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D2" w:rsidRDefault="008276D2" w:rsidP="008276D2">
      <w:pPr>
        <w:pStyle w:val="HeadingOrange"/>
      </w:pPr>
      <w:bookmarkStart w:id="0" w:name="_GoBack"/>
      <w:bookmarkEnd w:id="0"/>
      <w:r w:rsidRPr="008276D2">
        <w:rPr>
          <w:noProof/>
          <w:lang w:eastAsia="en-AU"/>
        </w:rPr>
        <w:drawing>
          <wp:anchor distT="0" distB="0" distL="114300" distR="114300" simplePos="0" relativeHeight="251660288" behindDoc="1" locked="0" layoutInCell="1" allowOverlap="1" wp14:anchorId="2FFDFE7C" wp14:editId="3E18AEC8">
            <wp:simplePos x="0" y="0"/>
            <wp:positionH relativeFrom="column">
              <wp:posOffset>-1014730</wp:posOffset>
            </wp:positionH>
            <wp:positionV relativeFrom="paragraph">
              <wp:posOffset>-944245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Pr="008276D2">
        <w:rPr>
          <w:noProof/>
          <w:lang w:eastAsia="en-AU"/>
        </w:rPr>
        <w:drawing>
          <wp:anchor distT="0" distB="0" distL="114300" distR="114300" simplePos="0" relativeHeight="251659264" behindDoc="1" locked="0" layoutInCell="1" allowOverlap="1" wp14:anchorId="53F5F4AD" wp14:editId="1DB8740E">
            <wp:simplePos x="0" y="0"/>
            <wp:positionH relativeFrom="column">
              <wp:posOffset>8280400</wp:posOffset>
            </wp:positionH>
            <wp:positionV relativeFrom="paragraph">
              <wp:posOffset>-946150</wp:posOffset>
            </wp:positionV>
            <wp:extent cx="7635875" cy="10784205"/>
            <wp:effectExtent l="19050" t="0" r="3175"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8276D2" w:rsidRDefault="008276D2" w:rsidP="008276D2">
      <w:pPr>
        <w:pStyle w:val="AERtitle1"/>
      </w:pPr>
    </w:p>
    <w:p w:rsidR="008276D2" w:rsidRDefault="008276D2" w:rsidP="008276D2">
      <w:pPr>
        <w:pStyle w:val="AERtitle1"/>
      </w:pPr>
    </w:p>
    <w:p w:rsidR="008276D2" w:rsidRDefault="008276D2" w:rsidP="008276D2">
      <w:pPr>
        <w:pStyle w:val="AERtitle1"/>
      </w:pPr>
    </w:p>
    <w:p w:rsidR="008276D2" w:rsidRDefault="008276D2" w:rsidP="008276D2">
      <w:pPr>
        <w:pStyle w:val="AERtitle1"/>
      </w:pPr>
    </w:p>
    <w:p w:rsidR="008276D2" w:rsidRDefault="008276D2" w:rsidP="008276D2">
      <w:pPr>
        <w:pStyle w:val="AERtitle1"/>
      </w:pPr>
    </w:p>
    <w:p w:rsidR="008276D2" w:rsidRDefault="008276D2" w:rsidP="008276D2">
      <w:pPr>
        <w:pStyle w:val="AERtitle1"/>
      </w:pPr>
    </w:p>
    <w:p w:rsidR="008276D2" w:rsidRDefault="008276D2" w:rsidP="008276D2">
      <w:pPr>
        <w:pStyle w:val="AERtitle1"/>
      </w:pPr>
      <w:r>
        <w:t>Draft decision</w:t>
      </w:r>
    </w:p>
    <w:p w:rsidR="008276D2" w:rsidRDefault="008276D2" w:rsidP="008276D2">
      <w:pPr>
        <w:pStyle w:val="AERtitle1"/>
      </w:pPr>
      <w:r>
        <w:t>Directlink transmission determination</w:t>
      </w:r>
    </w:p>
    <w:p w:rsidR="008276D2" w:rsidRDefault="008276D2" w:rsidP="008276D2">
      <w:pPr>
        <w:pStyle w:val="AERtitle1"/>
      </w:pPr>
      <w:r>
        <w:t>2015-16 to 2019-20</w:t>
      </w:r>
    </w:p>
    <w:p w:rsidR="008276D2" w:rsidRDefault="008276D2" w:rsidP="008276D2">
      <w:pPr>
        <w:pStyle w:val="AERtitle1"/>
      </w:pPr>
      <w:r>
        <w:t>Attachment 2: Regulatory asset base</w:t>
      </w:r>
    </w:p>
    <w:p w:rsidR="008276D2" w:rsidRDefault="008276D2" w:rsidP="008276D2"/>
    <w:p w:rsidR="008276D2" w:rsidRDefault="008276D2" w:rsidP="008276D2"/>
    <w:p w:rsidR="008276D2" w:rsidRPr="00F6235D" w:rsidRDefault="008276D2" w:rsidP="008276D2"/>
    <w:p w:rsidR="008276D2" w:rsidRPr="00F6235D" w:rsidRDefault="008276D2" w:rsidP="008276D2">
      <w:pPr>
        <w:pStyle w:val="AERtitle2"/>
      </w:pPr>
      <w:r>
        <w:t>November 2014</w:t>
      </w:r>
    </w:p>
    <w:p w:rsidR="008276D2" w:rsidRPr="00F6235D" w:rsidRDefault="008276D2" w:rsidP="008276D2">
      <w:r w:rsidRPr="00F6235D">
        <w:t xml:space="preserve"> </w:t>
      </w:r>
    </w:p>
    <w:p w:rsidR="008276D2" w:rsidRPr="00EF0E19" w:rsidRDefault="008276D2" w:rsidP="008276D2">
      <w:pPr>
        <w:rPr>
          <w:rStyle w:val="AERtextbold"/>
        </w:rPr>
      </w:pPr>
      <w:r>
        <w:rPr>
          <w:rStyle w:val="AERtextbold"/>
        </w:rPr>
        <w:br w:type="page"/>
      </w:r>
    </w:p>
    <w:p w:rsidR="008276D2" w:rsidRPr="00B06FB7" w:rsidRDefault="008276D2" w:rsidP="008276D2">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8276D2" w:rsidRPr="00B06FB7" w:rsidRDefault="008276D2" w:rsidP="008276D2">
      <w:r w:rsidRPr="00B06FB7">
        <w:t>This work is copyright. In addition to any use permitted under the Copyright Act 1968, all material contained within this work is provided under a Creative Commons Attribution 3.0 Australia licence, with the exception of:</w:t>
      </w:r>
    </w:p>
    <w:p w:rsidR="008276D2" w:rsidRPr="00B06FB7" w:rsidRDefault="008276D2" w:rsidP="008276D2">
      <w:pPr>
        <w:pStyle w:val="AERbulletlistfirststyle"/>
      </w:pPr>
      <w:r w:rsidRPr="00B06FB7">
        <w:t>the Commonwealth Coat of Arms</w:t>
      </w:r>
    </w:p>
    <w:p w:rsidR="008276D2" w:rsidRPr="00B06FB7" w:rsidRDefault="008276D2" w:rsidP="008276D2">
      <w:pPr>
        <w:pStyle w:val="AERbulletlistfirststyle"/>
      </w:pPr>
      <w:r w:rsidRPr="00B06FB7">
        <w:t>the ACCC and AER logos</w:t>
      </w:r>
    </w:p>
    <w:p w:rsidR="008276D2" w:rsidRPr="00E750B2" w:rsidRDefault="008276D2" w:rsidP="008276D2">
      <w:r w:rsidRPr="00B06FB7">
        <w:t>any illustration, diagram, photograph or graphic over which the Australian Competition and Consumer Commission does not hold copyright, but which may be part of or contained within this publication.</w:t>
      </w:r>
    </w:p>
    <w:p w:rsidR="008276D2" w:rsidRPr="00B06FB7" w:rsidRDefault="008276D2" w:rsidP="008276D2">
      <w:r w:rsidRPr="00B06FB7">
        <w:t>The details of the relevant licence conditions are available on the Creative Commons website, as is the full legal code for the CC BY 3.0 AU licence.</w:t>
      </w:r>
    </w:p>
    <w:p w:rsidR="008276D2" w:rsidRPr="00B06FB7" w:rsidRDefault="008276D2" w:rsidP="008276D2">
      <w:pPr>
        <w:numPr>
          <w:ilvl w:val="0"/>
          <w:numId w:val="13"/>
        </w:numPr>
      </w:pPr>
      <w:r w:rsidRPr="00B06FB7">
        <w:t>Requests and inquiries concerning reproduction and rights should be addressed to the Director, Corporate Communications, ACCC, GPO Box 3131, Canberra ACT 2601, or</w:t>
      </w:r>
    </w:p>
    <w:p w:rsidR="008276D2" w:rsidRPr="00B06FB7" w:rsidRDefault="008276D2" w:rsidP="008276D2">
      <w:pPr>
        <w:numPr>
          <w:ilvl w:val="0"/>
          <w:numId w:val="13"/>
        </w:numPr>
      </w:pPr>
      <w:r w:rsidRPr="00B06FB7">
        <w:t xml:space="preserve"> </w:t>
      </w:r>
      <w:hyperlink r:id="rId10" w:history="1">
        <w:r w:rsidRPr="00B06FB7">
          <w:t>publishing.unit@accc.gov.au</w:t>
        </w:r>
      </w:hyperlink>
      <w:r w:rsidRPr="00B06FB7">
        <w:t xml:space="preserve"> .</w:t>
      </w:r>
    </w:p>
    <w:p w:rsidR="008276D2" w:rsidRDefault="008276D2" w:rsidP="008276D2">
      <w:r>
        <w:t>Inquiries about this document should be addressed to:</w:t>
      </w:r>
    </w:p>
    <w:p w:rsidR="008276D2" w:rsidRDefault="008276D2" w:rsidP="008276D2">
      <w:pPr>
        <w:pStyle w:val="AERbodytextnospace"/>
      </w:pPr>
      <w:r>
        <w:t>Australian Energy Regulator</w:t>
      </w:r>
    </w:p>
    <w:p w:rsidR="008276D2" w:rsidRDefault="008276D2" w:rsidP="008276D2">
      <w:pPr>
        <w:pStyle w:val="AERbodytextnospace"/>
      </w:pPr>
      <w:r>
        <w:t>GPO Box 520</w:t>
      </w:r>
    </w:p>
    <w:p w:rsidR="008276D2" w:rsidRDefault="008276D2" w:rsidP="008276D2">
      <w:pPr>
        <w:pStyle w:val="AERbodytextnospace"/>
      </w:pPr>
      <w:r>
        <w:t>Melbourne  Vic  3001</w:t>
      </w:r>
    </w:p>
    <w:p w:rsidR="008276D2" w:rsidRDefault="008276D2" w:rsidP="008276D2">
      <w:pPr>
        <w:pStyle w:val="AERbodytextnospace"/>
      </w:pPr>
      <w:r>
        <w:t>Tel: (03) 9290 1444</w:t>
      </w:r>
    </w:p>
    <w:p w:rsidR="008276D2" w:rsidRDefault="008276D2" w:rsidP="008276D2">
      <w:pPr>
        <w:pStyle w:val="AERbodytextnospace"/>
      </w:pPr>
      <w:r>
        <w:t>Fax: (03) 9290 1457</w:t>
      </w:r>
    </w:p>
    <w:p w:rsidR="008276D2" w:rsidRDefault="008276D2" w:rsidP="008276D2">
      <w:pPr>
        <w:pStyle w:val="AERbodytextnospace"/>
      </w:pPr>
      <w:r>
        <w:t xml:space="preserve">Email: </w:t>
      </w:r>
      <w:hyperlink r:id="rId11" w:history="1">
        <w:r w:rsidRPr="003E184A">
          <w:rPr>
            <w:rStyle w:val="Hyperlink"/>
          </w:rPr>
          <w:t>AERInquiry@aer.gov.au</w:t>
        </w:r>
      </w:hyperlink>
    </w:p>
    <w:p w:rsidR="008276D2" w:rsidRPr="008F1A4A" w:rsidRDefault="008276D2" w:rsidP="008276D2"/>
    <w:p w:rsidR="008276D2" w:rsidRDefault="008276D2" w:rsidP="008276D2">
      <w:r>
        <w:t>AER reference: 53446</w:t>
      </w:r>
    </w:p>
    <w:p w:rsidR="008276D2" w:rsidRPr="008276D2" w:rsidRDefault="008276D2" w:rsidP="008276D2">
      <w:r>
        <w:br w:type="page"/>
      </w:r>
    </w:p>
    <w:p w:rsidR="008276D2" w:rsidRPr="009134B1" w:rsidRDefault="008276D2" w:rsidP="008276D2">
      <w:pPr>
        <w:pStyle w:val="UnnumberedHeading"/>
        <w:numPr>
          <w:ilvl w:val="0"/>
          <w:numId w:val="2"/>
        </w:numPr>
      </w:pPr>
      <w:bookmarkStart w:id="1" w:name="_Toc404153950"/>
      <w:bookmarkStart w:id="2" w:name="_Toc404155330"/>
      <w:bookmarkStart w:id="3" w:name="_Toc404190270"/>
      <w:r w:rsidRPr="009134B1">
        <w:lastRenderedPageBreak/>
        <w:t>Note</w:t>
      </w:r>
      <w:bookmarkEnd w:id="1"/>
      <w:bookmarkEnd w:id="2"/>
      <w:bookmarkEnd w:id="3"/>
    </w:p>
    <w:p w:rsidR="008276D2" w:rsidRPr="009134B1" w:rsidRDefault="008276D2" w:rsidP="008276D2">
      <w:pPr>
        <w:pStyle w:val="AERbodytext"/>
      </w:pPr>
      <w:r w:rsidRPr="009134B1">
        <w:t xml:space="preserve">This attachment forms part of the AER's draft decision on </w:t>
      </w:r>
      <w:r>
        <w:t>Directlink'</w:t>
      </w:r>
      <w:r w:rsidRPr="009134B1">
        <w:t>s revenue proposal 2015–</w:t>
      </w:r>
      <w:r>
        <w:t>20</w:t>
      </w:r>
      <w:r w:rsidRPr="009134B1">
        <w:t>. It should be read with other parts of the draft decision.</w:t>
      </w:r>
    </w:p>
    <w:p w:rsidR="008276D2" w:rsidRPr="009134B1" w:rsidRDefault="008276D2" w:rsidP="008276D2">
      <w:pPr>
        <w:pStyle w:val="AERbodytext"/>
      </w:pPr>
      <w:r w:rsidRPr="009134B1">
        <w:t>The draft decision includes the following documents:</w:t>
      </w:r>
    </w:p>
    <w:p w:rsidR="008276D2" w:rsidRPr="009134B1" w:rsidRDefault="008276D2" w:rsidP="008276D2">
      <w:pPr>
        <w:pStyle w:val="AERbodytext"/>
      </w:pPr>
      <w:r w:rsidRPr="009134B1">
        <w:t>Overview</w:t>
      </w:r>
    </w:p>
    <w:p w:rsidR="008276D2" w:rsidRPr="009134B1" w:rsidRDefault="008276D2" w:rsidP="008276D2">
      <w:pPr>
        <w:pStyle w:val="AERbodytext"/>
      </w:pPr>
      <w:r w:rsidRPr="009134B1">
        <w:t>Attachment 1 – maximum allowed revenue</w:t>
      </w:r>
    </w:p>
    <w:p w:rsidR="008276D2" w:rsidRPr="009134B1" w:rsidRDefault="008276D2" w:rsidP="008276D2">
      <w:pPr>
        <w:pStyle w:val="AERbodytext"/>
      </w:pPr>
      <w:r w:rsidRPr="009134B1">
        <w:t>Attachment 2 – regulatory asset base</w:t>
      </w:r>
    </w:p>
    <w:p w:rsidR="008276D2" w:rsidRPr="009134B1" w:rsidRDefault="008276D2" w:rsidP="008276D2">
      <w:pPr>
        <w:pStyle w:val="AERbodytext"/>
      </w:pPr>
      <w:r w:rsidRPr="009134B1">
        <w:t>Attachment 3 – rate of return</w:t>
      </w:r>
    </w:p>
    <w:p w:rsidR="008276D2" w:rsidRPr="009134B1" w:rsidRDefault="008276D2" w:rsidP="008276D2">
      <w:pPr>
        <w:pStyle w:val="AERbodytext"/>
      </w:pPr>
      <w:r w:rsidRPr="009134B1">
        <w:t>Attachment 4 – value of imputation credits</w:t>
      </w:r>
    </w:p>
    <w:p w:rsidR="008276D2" w:rsidRPr="009134B1" w:rsidRDefault="008276D2" w:rsidP="008276D2">
      <w:pPr>
        <w:pStyle w:val="AERbodytext"/>
      </w:pPr>
      <w:r w:rsidRPr="009134B1">
        <w:t>Attachment 5 – regulatory depreciation</w:t>
      </w:r>
    </w:p>
    <w:p w:rsidR="008276D2" w:rsidRPr="009134B1" w:rsidRDefault="008276D2" w:rsidP="008276D2">
      <w:pPr>
        <w:pStyle w:val="AERbodytext"/>
      </w:pPr>
      <w:r w:rsidRPr="009134B1">
        <w:t xml:space="preserve">Attachment 6 – capital expenditure </w:t>
      </w:r>
    </w:p>
    <w:p w:rsidR="008276D2" w:rsidRPr="009134B1" w:rsidRDefault="008276D2" w:rsidP="008276D2">
      <w:pPr>
        <w:pStyle w:val="AERbodytext"/>
      </w:pPr>
      <w:r w:rsidRPr="009134B1">
        <w:t>Attachment 7 – operating expenditure</w:t>
      </w:r>
    </w:p>
    <w:p w:rsidR="008276D2" w:rsidRPr="009134B1" w:rsidRDefault="008276D2" w:rsidP="008276D2">
      <w:pPr>
        <w:pStyle w:val="AERbodytext"/>
      </w:pPr>
      <w:r w:rsidRPr="009134B1">
        <w:t>Attachment 8 – corporate income tax</w:t>
      </w:r>
    </w:p>
    <w:p w:rsidR="008276D2" w:rsidRPr="009134B1" w:rsidRDefault="008276D2" w:rsidP="008276D2">
      <w:pPr>
        <w:pStyle w:val="AERbodytext"/>
      </w:pPr>
      <w:r w:rsidRPr="009134B1">
        <w:t>Attachment 9 – efficiency benefit sharing scheme</w:t>
      </w:r>
    </w:p>
    <w:p w:rsidR="008276D2" w:rsidRPr="009134B1" w:rsidRDefault="008276D2" w:rsidP="008276D2">
      <w:pPr>
        <w:pStyle w:val="AERbodytext"/>
      </w:pPr>
      <w:r w:rsidRPr="009134B1">
        <w:t>Attachment 10 – capital expenditure sharing scheme</w:t>
      </w:r>
    </w:p>
    <w:p w:rsidR="008276D2" w:rsidRPr="009134B1" w:rsidRDefault="008276D2" w:rsidP="008276D2">
      <w:pPr>
        <w:pStyle w:val="AERbodytext"/>
      </w:pPr>
      <w:r w:rsidRPr="009134B1">
        <w:t>Attachment 11 – service target performance incentive scheme</w:t>
      </w:r>
    </w:p>
    <w:p w:rsidR="008276D2" w:rsidRPr="009134B1" w:rsidRDefault="008276D2" w:rsidP="008276D2">
      <w:pPr>
        <w:pStyle w:val="AERbodytext"/>
      </w:pPr>
      <w:r w:rsidRPr="009134B1">
        <w:t>Attachment 12 – pricing methodology</w:t>
      </w:r>
      <w:r>
        <w:t xml:space="preserve"> and negotiated services</w:t>
      </w:r>
    </w:p>
    <w:p w:rsidR="008276D2" w:rsidRPr="009134B1" w:rsidRDefault="008276D2" w:rsidP="008276D2">
      <w:pPr>
        <w:pStyle w:val="AERbodytext"/>
      </w:pPr>
      <w:r w:rsidRPr="009134B1">
        <w:t>Attachment 13 – pass through events</w:t>
      </w:r>
    </w:p>
    <w:p w:rsidR="008276D2" w:rsidRDefault="008276D2" w:rsidP="008276D2"/>
    <w:p w:rsidR="008276D2" w:rsidRDefault="008276D2" w:rsidP="008276D2">
      <w:pPr>
        <w:pStyle w:val="UnnumberedHeading"/>
        <w:numPr>
          <w:ilvl w:val="0"/>
          <w:numId w:val="2"/>
        </w:numPr>
      </w:pPr>
      <w:bookmarkStart w:id="4" w:name="_Toc404190271"/>
      <w:r>
        <w:lastRenderedPageBreak/>
        <w:t>Contents</w:t>
      </w:r>
      <w:bookmarkEnd w:id="4"/>
    </w:p>
    <w:sdt>
      <w:sdtPr>
        <w:rPr>
          <w:rFonts w:ascii="Gautami" w:eastAsia="Calibri" w:hAnsi="Gautami"/>
          <w:b w:val="0"/>
          <w:bCs w:val="0"/>
          <w:color w:val="auto"/>
          <w:sz w:val="20"/>
          <w:szCs w:val="20"/>
          <w:lang w:val="en-AU"/>
        </w:rPr>
        <w:id w:val="1247461416"/>
        <w:docPartObj>
          <w:docPartGallery w:val="Table of Contents"/>
          <w:docPartUnique/>
        </w:docPartObj>
      </w:sdtPr>
      <w:sdtEndPr/>
      <w:sdtContent>
        <w:p w:rsidR="008276D2" w:rsidRPr="00F0258A" w:rsidRDefault="008276D2" w:rsidP="008276D2">
          <w:pPr>
            <w:pStyle w:val="TOCHeading"/>
          </w:pPr>
        </w:p>
        <w:p w:rsidR="00C7595E" w:rsidRDefault="008276D2">
          <w:pPr>
            <w:pStyle w:val="TOC1"/>
            <w:tabs>
              <w:tab w:val="right" w:leader="dot" w:pos="9016"/>
            </w:tabs>
            <w:rPr>
              <w:rFonts w:asciiTheme="minorHAnsi" w:eastAsiaTheme="minorEastAsia" w:hAnsiTheme="minorHAnsi" w:cstheme="minorBidi"/>
              <w:b w:val="0"/>
              <w:bCs w:val="0"/>
              <w:noProof/>
              <w:sz w:val="22"/>
              <w:szCs w:val="22"/>
              <w:lang w:eastAsia="en-AU"/>
            </w:rPr>
          </w:pPr>
          <w:r w:rsidRPr="00F0258A">
            <w:fldChar w:fldCharType="begin"/>
          </w:r>
          <w:r w:rsidRPr="008276D2">
            <w:instrText xml:space="preserve"> TOC \o "1-3" \h \z \u </w:instrText>
          </w:r>
          <w:r w:rsidRPr="00F0258A">
            <w:fldChar w:fldCharType="separate"/>
          </w:r>
          <w:hyperlink w:anchor="_Toc404190271" w:history="1">
            <w:r w:rsidR="00C7595E" w:rsidRPr="008434EA">
              <w:rPr>
                <w:rStyle w:val="Hyperlink"/>
                <w:noProof/>
              </w:rPr>
              <w:t>Contents</w:t>
            </w:r>
            <w:r w:rsidR="00C7595E">
              <w:rPr>
                <w:noProof/>
                <w:webHidden/>
              </w:rPr>
              <w:tab/>
            </w:r>
            <w:r w:rsidR="00C7595E">
              <w:rPr>
                <w:noProof/>
                <w:webHidden/>
              </w:rPr>
              <w:fldChar w:fldCharType="begin"/>
            </w:r>
            <w:r w:rsidR="00C7595E">
              <w:rPr>
                <w:noProof/>
                <w:webHidden/>
              </w:rPr>
              <w:instrText xml:space="preserve"> PAGEREF _Toc404190271 \h </w:instrText>
            </w:r>
            <w:r w:rsidR="00C7595E">
              <w:rPr>
                <w:noProof/>
                <w:webHidden/>
              </w:rPr>
            </w:r>
            <w:r w:rsidR="00C7595E">
              <w:rPr>
                <w:noProof/>
                <w:webHidden/>
              </w:rPr>
              <w:fldChar w:fldCharType="separate"/>
            </w:r>
            <w:r w:rsidR="002E4829">
              <w:rPr>
                <w:noProof/>
                <w:webHidden/>
              </w:rPr>
              <w:t>2-4</w:t>
            </w:r>
            <w:r w:rsidR="00C7595E">
              <w:rPr>
                <w:noProof/>
                <w:webHidden/>
              </w:rPr>
              <w:fldChar w:fldCharType="end"/>
            </w:r>
          </w:hyperlink>
        </w:p>
        <w:p w:rsidR="00C7595E" w:rsidRDefault="00FC3B4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90272" w:history="1">
            <w:r w:rsidR="00C7595E" w:rsidRPr="008434EA">
              <w:rPr>
                <w:rStyle w:val="Hyperlink"/>
                <w:noProof/>
              </w:rPr>
              <w:t>Shortened forms</w:t>
            </w:r>
            <w:r w:rsidR="00C7595E">
              <w:rPr>
                <w:noProof/>
                <w:webHidden/>
              </w:rPr>
              <w:tab/>
            </w:r>
            <w:r w:rsidR="00C7595E">
              <w:rPr>
                <w:noProof/>
                <w:webHidden/>
              </w:rPr>
              <w:fldChar w:fldCharType="begin"/>
            </w:r>
            <w:r w:rsidR="00C7595E">
              <w:rPr>
                <w:noProof/>
                <w:webHidden/>
              </w:rPr>
              <w:instrText xml:space="preserve"> PAGEREF _Toc404190272 \h </w:instrText>
            </w:r>
            <w:r w:rsidR="00C7595E">
              <w:rPr>
                <w:noProof/>
                <w:webHidden/>
              </w:rPr>
            </w:r>
            <w:r w:rsidR="00C7595E">
              <w:rPr>
                <w:noProof/>
                <w:webHidden/>
              </w:rPr>
              <w:fldChar w:fldCharType="separate"/>
            </w:r>
            <w:r w:rsidR="002E4829">
              <w:rPr>
                <w:noProof/>
                <w:webHidden/>
              </w:rPr>
              <w:t>2-5</w:t>
            </w:r>
            <w:r w:rsidR="00C7595E">
              <w:rPr>
                <w:noProof/>
                <w:webHidden/>
              </w:rPr>
              <w:fldChar w:fldCharType="end"/>
            </w:r>
          </w:hyperlink>
        </w:p>
        <w:p w:rsidR="00C7595E" w:rsidRDefault="00FC3B4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90273" w:history="1">
            <w:r w:rsidR="00C7595E" w:rsidRPr="008434EA">
              <w:rPr>
                <w:rStyle w:val="Hyperlink"/>
                <w:noProof/>
              </w:rPr>
              <w:t>2</w:t>
            </w:r>
            <w:r w:rsidR="00C7595E">
              <w:rPr>
                <w:rFonts w:asciiTheme="minorHAnsi" w:eastAsiaTheme="minorEastAsia" w:hAnsiTheme="minorHAnsi" w:cstheme="minorBidi"/>
                <w:b w:val="0"/>
                <w:bCs w:val="0"/>
                <w:noProof/>
                <w:sz w:val="22"/>
                <w:szCs w:val="22"/>
                <w:lang w:eastAsia="en-AU"/>
              </w:rPr>
              <w:tab/>
            </w:r>
            <w:r w:rsidR="00C7595E" w:rsidRPr="008434EA">
              <w:rPr>
                <w:rStyle w:val="Hyperlink"/>
                <w:noProof/>
              </w:rPr>
              <w:t>Regulatory asset base</w:t>
            </w:r>
            <w:r w:rsidR="00C7595E">
              <w:rPr>
                <w:noProof/>
                <w:webHidden/>
              </w:rPr>
              <w:tab/>
            </w:r>
            <w:r w:rsidR="00C7595E">
              <w:rPr>
                <w:noProof/>
                <w:webHidden/>
              </w:rPr>
              <w:fldChar w:fldCharType="begin"/>
            </w:r>
            <w:r w:rsidR="00C7595E">
              <w:rPr>
                <w:noProof/>
                <w:webHidden/>
              </w:rPr>
              <w:instrText xml:space="preserve"> PAGEREF _Toc404190273 \h </w:instrText>
            </w:r>
            <w:r w:rsidR="00C7595E">
              <w:rPr>
                <w:noProof/>
                <w:webHidden/>
              </w:rPr>
            </w:r>
            <w:r w:rsidR="00C7595E">
              <w:rPr>
                <w:noProof/>
                <w:webHidden/>
              </w:rPr>
              <w:fldChar w:fldCharType="separate"/>
            </w:r>
            <w:r w:rsidR="002E4829">
              <w:rPr>
                <w:noProof/>
                <w:webHidden/>
              </w:rPr>
              <w:t>2-7</w:t>
            </w:r>
            <w:r w:rsidR="00C7595E">
              <w:rPr>
                <w:noProof/>
                <w:webHidden/>
              </w:rPr>
              <w:fldChar w:fldCharType="end"/>
            </w:r>
          </w:hyperlink>
        </w:p>
        <w:p w:rsidR="00C7595E" w:rsidRDefault="00FC3B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90274" w:history="1">
            <w:r w:rsidR="00C7595E" w:rsidRPr="008434EA">
              <w:rPr>
                <w:rStyle w:val="Hyperlink"/>
                <w:noProof/>
              </w:rPr>
              <w:t>2.1</w:t>
            </w:r>
            <w:r w:rsidR="00C7595E">
              <w:rPr>
                <w:rFonts w:asciiTheme="minorHAnsi" w:eastAsiaTheme="minorEastAsia" w:hAnsiTheme="minorHAnsi" w:cstheme="minorBidi"/>
                <w:iCs w:val="0"/>
                <w:noProof/>
                <w:sz w:val="22"/>
                <w:szCs w:val="22"/>
                <w:lang w:eastAsia="en-AU"/>
              </w:rPr>
              <w:tab/>
            </w:r>
            <w:r w:rsidR="00C7595E" w:rsidRPr="008434EA">
              <w:rPr>
                <w:rStyle w:val="Hyperlink"/>
                <w:noProof/>
              </w:rPr>
              <w:t>Draft decision</w:t>
            </w:r>
            <w:r w:rsidR="00C7595E">
              <w:rPr>
                <w:noProof/>
                <w:webHidden/>
              </w:rPr>
              <w:tab/>
            </w:r>
            <w:r w:rsidR="00C7595E">
              <w:rPr>
                <w:noProof/>
                <w:webHidden/>
              </w:rPr>
              <w:fldChar w:fldCharType="begin"/>
            </w:r>
            <w:r w:rsidR="00C7595E">
              <w:rPr>
                <w:noProof/>
                <w:webHidden/>
              </w:rPr>
              <w:instrText xml:space="preserve"> PAGEREF _Toc404190274 \h </w:instrText>
            </w:r>
            <w:r w:rsidR="00C7595E">
              <w:rPr>
                <w:noProof/>
                <w:webHidden/>
              </w:rPr>
            </w:r>
            <w:r w:rsidR="00C7595E">
              <w:rPr>
                <w:noProof/>
                <w:webHidden/>
              </w:rPr>
              <w:fldChar w:fldCharType="separate"/>
            </w:r>
            <w:r w:rsidR="002E4829">
              <w:rPr>
                <w:noProof/>
                <w:webHidden/>
              </w:rPr>
              <w:t>2-7</w:t>
            </w:r>
            <w:r w:rsidR="00C7595E">
              <w:rPr>
                <w:noProof/>
                <w:webHidden/>
              </w:rPr>
              <w:fldChar w:fldCharType="end"/>
            </w:r>
          </w:hyperlink>
        </w:p>
        <w:p w:rsidR="00C7595E" w:rsidRDefault="00FC3B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90275" w:history="1">
            <w:r w:rsidR="00C7595E" w:rsidRPr="008434EA">
              <w:rPr>
                <w:rStyle w:val="Hyperlink"/>
                <w:noProof/>
              </w:rPr>
              <w:t>2.2</w:t>
            </w:r>
            <w:r w:rsidR="00C7595E">
              <w:rPr>
                <w:rFonts w:asciiTheme="minorHAnsi" w:eastAsiaTheme="minorEastAsia" w:hAnsiTheme="minorHAnsi" w:cstheme="minorBidi"/>
                <w:iCs w:val="0"/>
                <w:noProof/>
                <w:sz w:val="22"/>
                <w:szCs w:val="22"/>
                <w:lang w:eastAsia="en-AU"/>
              </w:rPr>
              <w:tab/>
            </w:r>
            <w:r w:rsidR="00C7595E" w:rsidRPr="008434EA">
              <w:rPr>
                <w:rStyle w:val="Hyperlink"/>
                <w:noProof/>
              </w:rPr>
              <w:t>Directlink's proposal</w:t>
            </w:r>
            <w:r w:rsidR="00C7595E">
              <w:rPr>
                <w:noProof/>
                <w:webHidden/>
              </w:rPr>
              <w:tab/>
            </w:r>
            <w:r w:rsidR="00C7595E">
              <w:rPr>
                <w:noProof/>
                <w:webHidden/>
              </w:rPr>
              <w:fldChar w:fldCharType="begin"/>
            </w:r>
            <w:r w:rsidR="00C7595E">
              <w:rPr>
                <w:noProof/>
                <w:webHidden/>
              </w:rPr>
              <w:instrText xml:space="preserve"> PAGEREF _Toc404190275 \h </w:instrText>
            </w:r>
            <w:r w:rsidR="00C7595E">
              <w:rPr>
                <w:noProof/>
                <w:webHidden/>
              </w:rPr>
            </w:r>
            <w:r w:rsidR="00C7595E">
              <w:rPr>
                <w:noProof/>
                <w:webHidden/>
              </w:rPr>
              <w:fldChar w:fldCharType="separate"/>
            </w:r>
            <w:r w:rsidR="002E4829">
              <w:rPr>
                <w:noProof/>
                <w:webHidden/>
              </w:rPr>
              <w:t>2-8</w:t>
            </w:r>
            <w:r w:rsidR="00C7595E">
              <w:rPr>
                <w:noProof/>
                <w:webHidden/>
              </w:rPr>
              <w:fldChar w:fldCharType="end"/>
            </w:r>
          </w:hyperlink>
        </w:p>
        <w:p w:rsidR="00C7595E" w:rsidRDefault="00FC3B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90276" w:history="1">
            <w:r w:rsidR="00C7595E" w:rsidRPr="008434EA">
              <w:rPr>
                <w:rStyle w:val="Hyperlink"/>
                <w:noProof/>
              </w:rPr>
              <w:t>2.3</w:t>
            </w:r>
            <w:r w:rsidR="00C7595E">
              <w:rPr>
                <w:rFonts w:asciiTheme="minorHAnsi" w:eastAsiaTheme="minorEastAsia" w:hAnsiTheme="minorHAnsi" w:cstheme="minorBidi"/>
                <w:iCs w:val="0"/>
                <w:noProof/>
                <w:sz w:val="22"/>
                <w:szCs w:val="22"/>
                <w:lang w:eastAsia="en-AU"/>
              </w:rPr>
              <w:tab/>
            </w:r>
            <w:r w:rsidR="00C7595E" w:rsidRPr="008434EA">
              <w:rPr>
                <w:rStyle w:val="Hyperlink"/>
                <w:noProof/>
              </w:rPr>
              <w:t>AER's assessment approach</w:t>
            </w:r>
            <w:r w:rsidR="00C7595E">
              <w:rPr>
                <w:noProof/>
                <w:webHidden/>
              </w:rPr>
              <w:tab/>
            </w:r>
            <w:r w:rsidR="00C7595E">
              <w:rPr>
                <w:noProof/>
                <w:webHidden/>
              </w:rPr>
              <w:fldChar w:fldCharType="begin"/>
            </w:r>
            <w:r w:rsidR="00C7595E">
              <w:rPr>
                <w:noProof/>
                <w:webHidden/>
              </w:rPr>
              <w:instrText xml:space="preserve"> PAGEREF _Toc404190276 \h </w:instrText>
            </w:r>
            <w:r w:rsidR="00C7595E">
              <w:rPr>
                <w:noProof/>
                <w:webHidden/>
              </w:rPr>
            </w:r>
            <w:r w:rsidR="00C7595E">
              <w:rPr>
                <w:noProof/>
                <w:webHidden/>
              </w:rPr>
              <w:fldChar w:fldCharType="separate"/>
            </w:r>
            <w:r w:rsidR="002E4829">
              <w:rPr>
                <w:noProof/>
                <w:webHidden/>
              </w:rPr>
              <w:t>2-9</w:t>
            </w:r>
            <w:r w:rsidR="00C7595E">
              <w:rPr>
                <w:noProof/>
                <w:webHidden/>
              </w:rPr>
              <w:fldChar w:fldCharType="end"/>
            </w:r>
          </w:hyperlink>
        </w:p>
        <w:p w:rsidR="00C7595E" w:rsidRDefault="00FC3B4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90277" w:history="1">
            <w:r w:rsidR="00C7595E" w:rsidRPr="008434EA">
              <w:rPr>
                <w:rStyle w:val="Hyperlink"/>
                <w:noProof/>
              </w:rPr>
              <w:t>2.3.1</w:t>
            </w:r>
            <w:r w:rsidR="00C7595E">
              <w:rPr>
                <w:rFonts w:asciiTheme="minorHAnsi" w:eastAsiaTheme="minorEastAsia" w:hAnsiTheme="minorHAnsi" w:cstheme="minorBidi"/>
                <w:noProof/>
                <w:sz w:val="22"/>
                <w:szCs w:val="22"/>
                <w:lang w:eastAsia="en-AU"/>
              </w:rPr>
              <w:tab/>
            </w:r>
            <w:r w:rsidR="00C7595E" w:rsidRPr="008434EA">
              <w:rPr>
                <w:rStyle w:val="Hyperlink"/>
                <w:noProof/>
              </w:rPr>
              <w:t>Interrelationships</w:t>
            </w:r>
            <w:r w:rsidR="00C7595E">
              <w:rPr>
                <w:noProof/>
                <w:webHidden/>
              </w:rPr>
              <w:tab/>
            </w:r>
            <w:r w:rsidR="00C7595E">
              <w:rPr>
                <w:noProof/>
                <w:webHidden/>
              </w:rPr>
              <w:fldChar w:fldCharType="begin"/>
            </w:r>
            <w:r w:rsidR="00C7595E">
              <w:rPr>
                <w:noProof/>
                <w:webHidden/>
              </w:rPr>
              <w:instrText xml:space="preserve"> PAGEREF _Toc404190277 \h </w:instrText>
            </w:r>
            <w:r w:rsidR="00C7595E">
              <w:rPr>
                <w:noProof/>
                <w:webHidden/>
              </w:rPr>
            </w:r>
            <w:r w:rsidR="00C7595E">
              <w:rPr>
                <w:noProof/>
                <w:webHidden/>
              </w:rPr>
              <w:fldChar w:fldCharType="separate"/>
            </w:r>
            <w:r w:rsidR="002E4829">
              <w:rPr>
                <w:noProof/>
                <w:webHidden/>
              </w:rPr>
              <w:t>2-11</w:t>
            </w:r>
            <w:r w:rsidR="00C7595E">
              <w:rPr>
                <w:noProof/>
                <w:webHidden/>
              </w:rPr>
              <w:fldChar w:fldCharType="end"/>
            </w:r>
          </w:hyperlink>
        </w:p>
        <w:p w:rsidR="00C7595E" w:rsidRDefault="00FC3B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90278" w:history="1">
            <w:r w:rsidR="00C7595E" w:rsidRPr="008434EA">
              <w:rPr>
                <w:rStyle w:val="Hyperlink"/>
                <w:noProof/>
              </w:rPr>
              <w:t>2.4</w:t>
            </w:r>
            <w:r w:rsidR="00C7595E">
              <w:rPr>
                <w:rFonts w:asciiTheme="minorHAnsi" w:eastAsiaTheme="minorEastAsia" w:hAnsiTheme="minorHAnsi" w:cstheme="minorBidi"/>
                <w:iCs w:val="0"/>
                <w:noProof/>
                <w:sz w:val="22"/>
                <w:szCs w:val="22"/>
                <w:lang w:eastAsia="en-AU"/>
              </w:rPr>
              <w:tab/>
            </w:r>
            <w:r w:rsidR="00C7595E" w:rsidRPr="008434EA">
              <w:rPr>
                <w:rStyle w:val="Hyperlink"/>
                <w:noProof/>
              </w:rPr>
              <w:t>Reasons for draft decision</w:t>
            </w:r>
            <w:r w:rsidR="00C7595E">
              <w:rPr>
                <w:noProof/>
                <w:webHidden/>
              </w:rPr>
              <w:tab/>
            </w:r>
            <w:r w:rsidR="00C7595E">
              <w:rPr>
                <w:noProof/>
                <w:webHidden/>
              </w:rPr>
              <w:fldChar w:fldCharType="begin"/>
            </w:r>
            <w:r w:rsidR="00C7595E">
              <w:rPr>
                <w:noProof/>
                <w:webHidden/>
              </w:rPr>
              <w:instrText xml:space="preserve"> PAGEREF _Toc404190278 \h </w:instrText>
            </w:r>
            <w:r w:rsidR="00C7595E">
              <w:rPr>
                <w:noProof/>
                <w:webHidden/>
              </w:rPr>
            </w:r>
            <w:r w:rsidR="00C7595E">
              <w:rPr>
                <w:noProof/>
                <w:webHidden/>
              </w:rPr>
              <w:fldChar w:fldCharType="separate"/>
            </w:r>
            <w:r w:rsidR="002E4829">
              <w:rPr>
                <w:noProof/>
                <w:webHidden/>
              </w:rPr>
              <w:t>2-13</w:t>
            </w:r>
            <w:r w:rsidR="00C7595E">
              <w:rPr>
                <w:noProof/>
                <w:webHidden/>
              </w:rPr>
              <w:fldChar w:fldCharType="end"/>
            </w:r>
          </w:hyperlink>
        </w:p>
        <w:p w:rsidR="00C7595E" w:rsidRDefault="00FC3B4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90279" w:history="1">
            <w:r w:rsidR="00C7595E" w:rsidRPr="008434EA">
              <w:rPr>
                <w:rStyle w:val="Hyperlink"/>
                <w:noProof/>
              </w:rPr>
              <w:t>2.4.1</w:t>
            </w:r>
            <w:r w:rsidR="00C7595E">
              <w:rPr>
                <w:rFonts w:asciiTheme="minorHAnsi" w:eastAsiaTheme="minorEastAsia" w:hAnsiTheme="minorHAnsi" w:cstheme="minorBidi"/>
                <w:noProof/>
                <w:sz w:val="22"/>
                <w:szCs w:val="22"/>
                <w:lang w:eastAsia="en-AU"/>
              </w:rPr>
              <w:tab/>
            </w:r>
            <w:r w:rsidR="00C7595E" w:rsidRPr="008434EA">
              <w:rPr>
                <w:rStyle w:val="Hyperlink"/>
                <w:noProof/>
              </w:rPr>
              <w:t>Opening RAB at 1 July 2015</w:t>
            </w:r>
            <w:r w:rsidR="00C7595E">
              <w:rPr>
                <w:noProof/>
                <w:webHidden/>
              </w:rPr>
              <w:tab/>
            </w:r>
            <w:r w:rsidR="00C7595E">
              <w:rPr>
                <w:noProof/>
                <w:webHidden/>
              </w:rPr>
              <w:fldChar w:fldCharType="begin"/>
            </w:r>
            <w:r w:rsidR="00C7595E">
              <w:rPr>
                <w:noProof/>
                <w:webHidden/>
              </w:rPr>
              <w:instrText xml:space="preserve"> PAGEREF _Toc404190279 \h </w:instrText>
            </w:r>
            <w:r w:rsidR="00C7595E">
              <w:rPr>
                <w:noProof/>
                <w:webHidden/>
              </w:rPr>
            </w:r>
            <w:r w:rsidR="00C7595E">
              <w:rPr>
                <w:noProof/>
                <w:webHidden/>
              </w:rPr>
              <w:fldChar w:fldCharType="separate"/>
            </w:r>
            <w:r w:rsidR="002E4829">
              <w:rPr>
                <w:noProof/>
                <w:webHidden/>
              </w:rPr>
              <w:t>2-13</w:t>
            </w:r>
            <w:r w:rsidR="00C7595E">
              <w:rPr>
                <w:noProof/>
                <w:webHidden/>
              </w:rPr>
              <w:fldChar w:fldCharType="end"/>
            </w:r>
          </w:hyperlink>
        </w:p>
        <w:p w:rsidR="00C7595E" w:rsidRDefault="00FC3B4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90280" w:history="1">
            <w:r w:rsidR="00C7595E" w:rsidRPr="008434EA">
              <w:rPr>
                <w:rStyle w:val="Hyperlink"/>
                <w:noProof/>
              </w:rPr>
              <w:t>2.4.2</w:t>
            </w:r>
            <w:r w:rsidR="00C7595E">
              <w:rPr>
                <w:rFonts w:asciiTheme="minorHAnsi" w:eastAsiaTheme="minorEastAsia" w:hAnsiTheme="minorHAnsi" w:cstheme="minorBidi"/>
                <w:noProof/>
                <w:sz w:val="22"/>
                <w:szCs w:val="22"/>
                <w:lang w:eastAsia="en-AU"/>
              </w:rPr>
              <w:tab/>
            </w:r>
            <w:r w:rsidR="00C7595E" w:rsidRPr="008434EA">
              <w:rPr>
                <w:rStyle w:val="Hyperlink"/>
                <w:noProof/>
              </w:rPr>
              <w:t>Forecast closing RAB at 30 June 2020</w:t>
            </w:r>
            <w:r w:rsidR="00C7595E">
              <w:rPr>
                <w:noProof/>
                <w:webHidden/>
              </w:rPr>
              <w:tab/>
            </w:r>
            <w:r w:rsidR="00C7595E">
              <w:rPr>
                <w:noProof/>
                <w:webHidden/>
              </w:rPr>
              <w:fldChar w:fldCharType="begin"/>
            </w:r>
            <w:r w:rsidR="00C7595E">
              <w:rPr>
                <w:noProof/>
                <w:webHidden/>
              </w:rPr>
              <w:instrText xml:space="preserve"> PAGEREF _Toc404190280 \h </w:instrText>
            </w:r>
            <w:r w:rsidR="00C7595E">
              <w:rPr>
                <w:noProof/>
                <w:webHidden/>
              </w:rPr>
            </w:r>
            <w:r w:rsidR="00C7595E">
              <w:rPr>
                <w:noProof/>
                <w:webHidden/>
              </w:rPr>
              <w:fldChar w:fldCharType="separate"/>
            </w:r>
            <w:r w:rsidR="002E4829">
              <w:rPr>
                <w:noProof/>
                <w:webHidden/>
              </w:rPr>
              <w:t>2-13</w:t>
            </w:r>
            <w:r w:rsidR="00C7595E">
              <w:rPr>
                <w:noProof/>
                <w:webHidden/>
              </w:rPr>
              <w:fldChar w:fldCharType="end"/>
            </w:r>
          </w:hyperlink>
        </w:p>
        <w:p w:rsidR="00C7595E" w:rsidRDefault="00FC3B4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90281" w:history="1">
            <w:r w:rsidR="00C7595E" w:rsidRPr="008434EA">
              <w:rPr>
                <w:rStyle w:val="Hyperlink"/>
                <w:noProof/>
              </w:rPr>
              <w:t>2.4.3</w:t>
            </w:r>
            <w:r w:rsidR="00C7595E">
              <w:rPr>
                <w:rFonts w:asciiTheme="minorHAnsi" w:eastAsiaTheme="minorEastAsia" w:hAnsiTheme="minorHAnsi" w:cstheme="minorBidi"/>
                <w:noProof/>
                <w:sz w:val="22"/>
                <w:szCs w:val="22"/>
                <w:lang w:eastAsia="en-AU"/>
              </w:rPr>
              <w:tab/>
            </w:r>
            <w:r w:rsidR="00C7595E" w:rsidRPr="008434EA">
              <w:rPr>
                <w:rStyle w:val="Hyperlink"/>
                <w:noProof/>
              </w:rPr>
              <w:t>Application of depreciation approach in RAB roll forward for next reset</w:t>
            </w:r>
            <w:r w:rsidR="00C7595E">
              <w:rPr>
                <w:noProof/>
                <w:webHidden/>
              </w:rPr>
              <w:tab/>
            </w:r>
            <w:r w:rsidR="00C7595E">
              <w:rPr>
                <w:noProof/>
                <w:webHidden/>
              </w:rPr>
              <w:fldChar w:fldCharType="begin"/>
            </w:r>
            <w:r w:rsidR="00C7595E">
              <w:rPr>
                <w:noProof/>
                <w:webHidden/>
              </w:rPr>
              <w:instrText xml:space="preserve"> PAGEREF _Toc404190281 \h </w:instrText>
            </w:r>
            <w:r w:rsidR="00C7595E">
              <w:rPr>
                <w:noProof/>
                <w:webHidden/>
              </w:rPr>
            </w:r>
            <w:r w:rsidR="00C7595E">
              <w:rPr>
                <w:noProof/>
                <w:webHidden/>
              </w:rPr>
              <w:fldChar w:fldCharType="separate"/>
            </w:r>
            <w:r w:rsidR="002E4829">
              <w:rPr>
                <w:noProof/>
                <w:webHidden/>
              </w:rPr>
              <w:t>2-13</w:t>
            </w:r>
            <w:r w:rsidR="00C7595E">
              <w:rPr>
                <w:noProof/>
                <w:webHidden/>
              </w:rPr>
              <w:fldChar w:fldCharType="end"/>
            </w:r>
          </w:hyperlink>
        </w:p>
        <w:p w:rsidR="008276D2" w:rsidRPr="00F0258A" w:rsidRDefault="008276D2" w:rsidP="008276D2">
          <w:r w:rsidRPr="00F0258A">
            <w:fldChar w:fldCharType="end"/>
          </w:r>
        </w:p>
      </w:sdtContent>
    </w:sdt>
    <w:p w:rsidR="008276D2" w:rsidRDefault="008276D2" w:rsidP="008276D2">
      <w:pPr>
        <w:pStyle w:val="UnnumberedHeading"/>
        <w:numPr>
          <w:ilvl w:val="0"/>
          <w:numId w:val="2"/>
        </w:numPr>
      </w:pPr>
      <w:bookmarkStart w:id="5" w:name="_Toc404190272"/>
      <w:r>
        <w:lastRenderedPageBreak/>
        <w:t>Shortened forms</w:t>
      </w:r>
      <w:bookmarkEnd w:id="5"/>
    </w:p>
    <w:tbl>
      <w:tblPr>
        <w:tblStyle w:val="AERtable-numbers"/>
        <w:tblW w:w="0" w:type="auto"/>
        <w:tblLook w:val="04A0" w:firstRow="1" w:lastRow="0" w:firstColumn="1" w:lastColumn="0" w:noHBand="0" w:noVBand="1"/>
      </w:tblPr>
      <w:tblGrid>
        <w:gridCol w:w="4621"/>
        <w:gridCol w:w="4621"/>
      </w:tblGrid>
      <w:tr w:rsidR="008276D2" w:rsidRPr="00307E24" w:rsidTr="00EB6B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Shortened form</w:t>
            </w:r>
          </w:p>
        </w:tc>
        <w:tc>
          <w:tcPr>
            <w:tcW w:w="4621" w:type="dxa"/>
          </w:tcPr>
          <w:p w:rsidR="008276D2" w:rsidRPr="00307E24" w:rsidRDefault="008276D2" w:rsidP="008276D2">
            <w:pPr>
              <w:numPr>
                <w:ilvl w:val="0"/>
                <w:numId w:val="13"/>
              </w:numPr>
              <w:cnfStyle w:val="100000000000" w:firstRow="1" w:lastRow="0" w:firstColumn="0" w:lastColumn="0" w:oddVBand="0" w:evenVBand="0" w:oddHBand="0" w:evenHBand="0" w:firstRowFirstColumn="0" w:firstRowLastColumn="0" w:lastRowFirstColumn="0" w:lastRowLastColumn="0"/>
            </w:pPr>
            <w:r w:rsidRPr="00307E24">
              <w:t>Extended form</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AARR</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AEMC</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AEMO</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AER</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ASRR</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aggregate service revenue requirement</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augex</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capex</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CCP</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CESS</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CPI</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DRP</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debt risk premium</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EBSS</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ERP</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MAR</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MRP</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NEL</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NEM</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NEO</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NER</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NSP</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NTSC</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lastRenderedPageBreak/>
              <w:t>opex</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PPI</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PTRM</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RAB</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RBA</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repex</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RFM</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RIN</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RPP</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revenue pricing principles</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SLCAPM</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STPIS</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TNSP</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TUoS</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WACC</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8276D2" w:rsidRDefault="008276D2" w:rsidP="008276D2">
      <w:pPr>
        <w:pStyle w:val="AERbodytext"/>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B47945" w:rsidRDefault="00B47945" w:rsidP="003D2EB5">
      <w:pPr>
        <w:pStyle w:val="Heading1"/>
      </w:pPr>
      <w:bookmarkStart w:id="6" w:name="_Toc402784929"/>
      <w:bookmarkStart w:id="7" w:name="_Toc404190273"/>
      <w:r>
        <w:lastRenderedPageBreak/>
        <w:t>Regulatory asset base</w:t>
      </w:r>
      <w:bookmarkEnd w:id="6"/>
      <w:bookmarkEnd w:id="7"/>
    </w:p>
    <w:p w:rsidR="00A80E37" w:rsidRDefault="00A80E37" w:rsidP="00A80E37">
      <w:pPr>
        <w:pStyle w:val="AERbodytext"/>
      </w:pPr>
      <w:r>
        <w:t xml:space="preserve">The </w:t>
      </w:r>
      <w:r w:rsidRPr="00A80E37">
        <w:t>regulatory asset base (RAB</w:t>
      </w:r>
      <w:r>
        <w:t xml:space="preserve">) </w:t>
      </w:r>
      <w:r w:rsidR="00996D8E">
        <w:t xml:space="preserve">is the value of assets used by </w:t>
      </w:r>
      <w:r>
        <w:t>Directlink</w:t>
      </w:r>
      <w:r w:rsidR="00996D8E">
        <w:t xml:space="preserve"> to provide prescribed transmission services</w:t>
      </w:r>
      <w:r>
        <w:t>.</w:t>
      </w:r>
      <w:r w:rsidRPr="00A15399">
        <w:rPr>
          <w:rStyle w:val="FootnoteReference"/>
        </w:rPr>
        <w:footnoteReference w:id="1"/>
      </w:r>
      <w:r w:rsidRPr="00A15399">
        <w:t xml:space="preserve"> </w:t>
      </w:r>
      <w:r w:rsidR="0015485B" w:rsidRPr="0015485B">
        <w:t xml:space="preserve">The AER's revenue determination is to specify the RAB as at the commencement of the regulatory control period and </w:t>
      </w:r>
      <w:r w:rsidR="007C10ED">
        <w:t xml:space="preserve">the </w:t>
      </w:r>
      <w:r w:rsidR="0015485B" w:rsidRPr="0015485B">
        <w:t>appropriate method for the indexation of the RAB.</w:t>
      </w:r>
      <w:r w:rsidR="007C10ED">
        <w:rPr>
          <w:rStyle w:val="FootnoteReference"/>
        </w:rPr>
        <w:footnoteReference w:id="2"/>
      </w:r>
      <w:r w:rsidR="0015485B" w:rsidRPr="0015485B">
        <w:t xml:space="preserve"> </w:t>
      </w:r>
      <w:r w:rsidR="00996D8E" w:rsidRPr="00996D8E">
        <w:t xml:space="preserve">The indexation of the RAB is one of the building blocks that form the annual building block revenue requirement for each year of the </w:t>
      </w:r>
      <w:r w:rsidR="00996D8E">
        <w:t>2015</w:t>
      </w:r>
      <w:r w:rsidR="007C10ED">
        <w:t>–</w:t>
      </w:r>
      <w:r w:rsidR="00996D8E">
        <w:t>20 regulatory control</w:t>
      </w:r>
      <w:r w:rsidR="00996D8E" w:rsidRPr="00996D8E">
        <w:t xml:space="preserve"> period.</w:t>
      </w:r>
      <w:r w:rsidR="00C97230">
        <w:rPr>
          <w:rStyle w:val="FootnoteReference"/>
        </w:rPr>
        <w:footnoteReference w:id="3"/>
      </w:r>
      <w:r w:rsidR="00C97230">
        <w:rPr>
          <w:rStyle w:val="CommentReference"/>
          <w:rFonts w:eastAsia="Calibri"/>
        </w:rPr>
        <w:t xml:space="preserve"> </w:t>
      </w:r>
      <w:r w:rsidRPr="00A15399">
        <w:t xml:space="preserve">We set the RAB as the foundation for </w:t>
      </w:r>
      <w:r w:rsidRPr="00A80E37">
        <w:t xml:space="preserve">determining </w:t>
      </w:r>
      <w:r w:rsidRPr="00A80E37">
        <w:rPr>
          <w:rStyle w:val="AERtexthighlight"/>
          <w:shd w:val="clear" w:color="auto" w:fill="auto"/>
        </w:rPr>
        <w:t>a TNSP's</w:t>
      </w:r>
      <w:r w:rsidRPr="00A80E37">
        <w:t xml:space="preserve"> revenue</w:t>
      </w:r>
      <w:r w:rsidRPr="008F6FA4">
        <w:t xml:space="preserve"> requirements, and use the opening RAB for each regulatory year to determine the return on capital </w:t>
      </w:r>
      <w:r w:rsidR="00996D8E">
        <w:t xml:space="preserve">and </w:t>
      </w:r>
      <w:r w:rsidR="00996D8E" w:rsidRPr="008F6FA4">
        <w:t xml:space="preserve">return of capital (regulatory depreciation) </w:t>
      </w:r>
      <w:r w:rsidRPr="008F6FA4">
        <w:t>building block allowances.</w:t>
      </w:r>
      <w:r w:rsidR="00C97230">
        <w:rPr>
          <w:rStyle w:val="FootnoteReference"/>
        </w:rPr>
        <w:footnoteReference w:id="4"/>
      </w:r>
      <w:r w:rsidRPr="008F6FA4">
        <w:t xml:space="preserve"> </w:t>
      </w:r>
    </w:p>
    <w:p w:rsidR="00A80E37" w:rsidRPr="00A80E37" w:rsidRDefault="00A80E37" w:rsidP="00A80E37">
      <w:pPr>
        <w:pStyle w:val="AERbodytext"/>
      </w:pPr>
      <w:r w:rsidRPr="008F6FA4">
        <w:t xml:space="preserve">This attachment presents our draft decision on the opening RAB value as </w:t>
      </w:r>
      <w:r w:rsidRPr="00A80E37">
        <w:t xml:space="preserve">at </w:t>
      </w:r>
      <w:r w:rsidRPr="00A80E37">
        <w:rPr>
          <w:rStyle w:val="AERtexthighlight"/>
          <w:shd w:val="clear" w:color="auto" w:fill="auto"/>
        </w:rPr>
        <w:t>1 July 2015</w:t>
      </w:r>
      <w:r w:rsidRPr="00A80E37">
        <w:t xml:space="preserve"> for</w:t>
      </w:r>
      <w:r w:rsidRPr="008F6FA4">
        <w:t xml:space="preserve"> </w:t>
      </w:r>
      <w:r>
        <w:t xml:space="preserve">Directlink. It also presents our </w:t>
      </w:r>
      <w:r w:rsidRPr="00A15399">
        <w:t>for</w:t>
      </w:r>
      <w:r>
        <w:t>ecast RAB values for Directlink over the 2015–20 regulatory control period</w:t>
      </w:r>
      <w:r w:rsidRPr="00A15399">
        <w:t xml:space="preserve">. </w:t>
      </w:r>
    </w:p>
    <w:p w:rsidR="00B47945" w:rsidRDefault="00B47945" w:rsidP="00F0258A">
      <w:pPr>
        <w:pStyle w:val="Heading2"/>
      </w:pPr>
      <w:bookmarkStart w:id="8" w:name="_Toc402784930"/>
      <w:bookmarkStart w:id="9" w:name="_Toc404190274"/>
      <w:r w:rsidRPr="00B47945">
        <w:t>Draft decision</w:t>
      </w:r>
      <w:bookmarkEnd w:id="8"/>
      <w:bookmarkEnd w:id="9"/>
    </w:p>
    <w:p w:rsidR="00A80E37" w:rsidRDefault="00A80E37" w:rsidP="004500F9">
      <w:pPr>
        <w:pStyle w:val="AERbodytext"/>
      </w:pPr>
      <w:r w:rsidRPr="004500F9">
        <w:t xml:space="preserve">We </w:t>
      </w:r>
      <w:r w:rsidRPr="004500F9">
        <w:rPr>
          <w:rStyle w:val="AERtexthighlight"/>
          <w:shd w:val="clear" w:color="auto" w:fill="auto"/>
        </w:rPr>
        <w:t>do not accept</w:t>
      </w:r>
      <w:r w:rsidRPr="004500F9">
        <w:t xml:space="preserve"> Directlink's</w:t>
      </w:r>
      <w:r>
        <w:t xml:space="preserve"> proposed opening RAB value of $129.8 million as at 1 July 2015.</w:t>
      </w:r>
      <w:r w:rsidR="00A4485C">
        <w:rPr>
          <w:rStyle w:val="FootnoteReference"/>
        </w:rPr>
        <w:footnoteReference w:id="5"/>
      </w:r>
      <w:r>
        <w:t xml:space="preserve"> </w:t>
      </w:r>
      <w:r w:rsidRPr="005F16CE">
        <w:t>We have instead determined an opening RAB</w:t>
      </w:r>
      <w:r>
        <w:t xml:space="preserve"> value</w:t>
      </w:r>
      <w:r w:rsidRPr="005F16CE">
        <w:t xml:space="preserve"> of $</w:t>
      </w:r>
      <w:r w:rsidR="00540DAD">
        <w:t>129.6</w:t>
      </w:r>
      <w:r w:rsidRPr="005F16CE">
        <w:t xml:space="preserve"> million </w:t>
      </w:r>
      <w:r w:rsidR="00540DAD">
        <w:t xml:space="preserve">as at 1 July 2015 </w:t>
      </w:r>
      <w:r w:rsidRPr="005F16CE">
        <w:t xml:space="preserve">for </w:t>
      </w:r>
      <w:r>
        <w:t>Directlink</w:t>
      </w:r>
      <w:r w:rsidRPr="005F16CE">
        <w:t>.</w:t>
      </w:r>
      <w:r>
        <w:t xml:space="preserve"> This is because we have corrected the '</w:t>
      </w:r>
      <w:r w:rsidR="00455201">
        <w:t>allowed</w:t>
      </w:r>
      <w:r>
        <w:t xml:space="preserve"> WACC' and 'forecast </w:t>
      </w:r>
      <w:r w:rsidR="00A4485C">
        <w:t>inflation rate</w:t>
      </w:r>
      <w:r>
        <w:t xml:space="preserve">' inputs in the proposed </w:t>
      </w:r>
      <w:r w:rsidR="00EB6B90">
        <w:t>Roll Forward Model (</w:t>
      </w:r>
      <w:r>
        <w:t>RFM</w:t>
      </w:r>
      <w:r w:rsidR="00EB6B90">
        <w:t>)</w:t>
      </w:r>
      <w:r>
        <w:t>. These</w:t>
      </w:r>
      <w:r w:rsidRPr="005F16CE">
        <w:t xml:space="preserve"> amendment</w:t>
      </w:r>
      <w:r>
        <w:t>s</w:t>
      </w:r>
      <w:r w:rsidRPr="005F16CE">
        <w:t xml:space="preserve"> reduced </w:t>
      </w:r>
      <w:r>
        <w:t>Directlink</w:t>
      </w:r>
      <w:r w:rsidRPr="005F16CE">
        <w:t>'s proposed opening RAB as at 1</w:t>
      </w:r>
      <w:r w:rsidR="003C0CB2">
        <w:t> </w:t>
      </w:r>
      <w:r w:rsidRPr="005F16CE">
        <w:t>July 201</w:t>
      </w:r>
      <w:r>
        <w:t>5</w:t>
      </w:r>
      <w:r w:rsidRPr="005F16CE">
        <w:t xml:space="preserve"> by about $</w:t>
      </w:r>
      <w:r w:rsidR="00540DAD">
        <w:t>0.2</w:t>
      </w:r>
      <w:r w:rsidRPr="005F16CE">
        <w:t xml:space="preserve"> million</w:t>
      </w:r>
      <w:r w:rsidR="00540DAD">
        <w:t xml:space="preserve"> (or 0.</w:t>
      </w:r>
      <w:r w:rsidR="007C1218">
        <w:t>1</w:t>
      </w:r>
      <w:r>
        <w:t xml:space="preserve"> per cent)</w:t>
      </w:r>
      <w:r w:rsidRPr="005F16CE">
        <w:t>.</w:t>
      </w:r>
      <w:r>
        <w:rPr>
          <w:rStyle w:val="FootnoteReference"/>
        </w:rPr>
        <w:footnoteReference w:id="6"/>
      </w:r>
    </w:p>
    <w:p w:rsidR="00362857" w:rsidRDefault="00362857" w:rsidP="00A80E37">
      <w:pPr>
        <w:pStyle w:val="AERbodytext"/>
      </w:pPr>
      <w:r w:rsidRPr="00362857">
        <w:t>We determine a forecast closing RAB value at 30 June 20</w:t>
      </w:r>
      <w:r w:rsidR="00381A9A">
        <w:t>20</w:t>
      </w:r>
      <w:r w:rsidRPr="00362857">
        <w:t xml:space="preserve"> of $</w:t>
      </w:r>
      <w:r w:rsidR="007C1218">
        <w:t>147.9</w:t>
      </w:r>
      <w:r w:rsidRPr="00362857">
        <w:t> million ($ nominal). This is $</w:t>
      </w:r>
      <w:r w:rsidR="007C1218">
        <w:t>10.1</w:t>
      </w:r>
      <w:r w:rsidRPr="00362857">
        <w:t xml:space="preserve"> million (or </w:t>
      </w:r>
      <w:r w:rsidR="007C1218">
        <w:t>6.4</w:t>
      </w:r>
      <w:r w:rsidRPr="00362857">
        <w:t xml:space="preserve"> per cent) lower than the amount of $1</w:t>
      </w:r>
      <w:r w:rsidR="00381A9A">
        <w:t>58</w:t>
      </w:r>
      <w:r w:rsidR="007C1218">
        <w:t>.0</w:t>
      </w:r>
      <w:r w:rsidRPr="00362857">
        <w:t xml:space="preserve"> million ($ nominal) proposed by </w:t>
      </w:r>
      <w:r w:rsidR="00381A9A">
        <w:t>Directlink</w:t>
      </w:r>
      <w:r w:rsidRPr="00362857">
        <w:t>. Our draft decision on the forecast closing RAB reflects the amended opening RAB as at 1</w:t>
      </w:r>
      <w:r w:rsidR="007C1218">
        <w:t> </w:t>
      </w:r>
      <w:r w:rsidRPr="00362857">
        <w:t>July 201</w:t>
      </w:r>
      <w:r w:rsidR="00381A9A">
        <w:t>5</w:t>
      </w:r>
      <w:r w:rsidRPr="00362857">
        <w:t xml:space="preserve">, and our draft decision on forecast capex (attachment </w:t>
      </w:r>
      <w:r w:rsidR="007C1218">
        <w:t>6</w:t>
      </w:r>
      <w:r w:rsidRPr="00362857">
        <w:t xml:space="preserve">) and forecast regulatory depreciation (attachment </w:t>
      </w:r>
      <w:r w:rsidR="007C1218">
        <w:t>5</w:t>
      </w:r>
      <w:r w:rsidRPr="00362857">
        <w:t>).</w:t>
      </w:r>
    </w:p>
    <w:p w:rsidR="00A80E37" w:rsidRDefault="00A80E37" w:rsidP="00A80E37">
      <w:pPr>
        <w:pStyle w:val="AERbodytext"/>
      </w:pPr>
      <w:r w:rsidRPr="001E4152">
        <w:t xml:space="preserve">We </w:t>
      </w:r>
      <w:r>
        <w:t xml:space="preserve">determine that the forecast depreciation approach is to be used </w:t>
      </w:r>
      <w:r w:rsidRPr="001E4152">
        <w:t xml:space="preserve">to </w:t>
      </w:r>
      <w:r>
        <w:t>establish the RAB at the commencement of the regulatory control period from 1 July 2020 for Directlink.</w:t>
      </w:r>
      <w:r w:rsidR="00DE4934">
        <w:rPr>
          <w:rStyle w:val="FootnoteReference"/>
        </w:rPr>
        <w:footnoteReference w:id="7"/>
      </w:r>
      <w:r>
        <w:t xml:space="preserve"> We consider this approach will provide sufficient incentives for Directlink to achieve capex efficiency gains over the 2015–20 regulatory control period.</w:t>
      </w:r>
      <w:r w:rsidR="00A52C66">
        <w:t xml:space="preserve"> Directlink is</w:t>
      </w:r>
      <w:r w:rsidR="00A52C66" w:rsidRPr="00695AA2">
        <w:t xml:space="preserve"> not currently subject to a </w:t>
      </w:r>
      <w:r w:rsidR="00A52C66">
        <w:t>capital expenditure sharing scheme (</w:t>
      </w:r>
      <w:r w:rsidR="00A52C66" w:rsidRPr="00695AA2">
        <w:t>CESS</w:t>
      </w:r>
      <w:r w:rsidR="00A52C66">
        <w:t>)</w:t>
      </w:r>
      <w:r w:rsidR="00A52C66" w:rsidRPr="00695AA2">
        <w:t xml:space="preserve"> but we </w:t>
      </w:r>
      <w:r w:rsidR="00A52C66">
        <w:t>will</w:t>
      </w:r>
      <w:r w:rsidR="00A52C66" w:rsidRPr="00695AA2">
        <w:t xml:space="preserve"> apply the CESS </w:t>
      </w:r>
      <w:r w:rsidR="00A52C66">
        <w:t>to Directlink's 2015–20</w:t>
      </w:r>
      <w:r w:rsidR="00A52C66" w:rsidRPr="00695AA2">
        <w:t xml:space="preserve"> regulatory </w:t>
      </w:r>
      <w:r w:rsidR="00A52C66">
        <w:t>control period.</w:t>
      </w:r>
    </w:p>
    <w:p w:rsidR="00A80E37" w:rsidRDefault="00C90455" w:rsidP="00A80E37">
      <w:pPr>
        <w:pStyle w:val="AERbodytext"/>
      </w:pPr>
      <w:r>
        <w:fldChar w:fldCharType="begin"/>
      </w:r>
      <w:r>
        <w:instrText xml:space="preserve"> REF _Ref402784955 \h </w:instrText>
      </w:r>
      <w:r>
        <w:fldChar w:fldCharType="separate"/>
      </w:r>
      <w:r w:rsidR="003D2EB5" w:rsidRPr="002452D2">
        <w:t xml:space="preserve">Table </w:t>
      </w:r>
      <w:r w:rsidR="003D2EB5">
        <w:t>2</w:t>
      </w:r>
      <w:r w:rsidR="003D2EB5">
        <w:noBreakHyphen/>
      </w:r>
      <w:r w:rsidR="003D2EB5">
        <w:rPr>
          <w:noProof/>
        </w:rPr>
        <w:t>1</w:t>
      </w:r>
      <w:r>
        <w:fldChar w:fldCharType="end"/>
      </w:r>
      <w:r>
        <w:t xml:space="preserve"> and </w:t>
      </w:r>
      <w:r>
        <w:fldChar w:fldCharType="begin"/>
      </w:r>
      <w:r>
        <w:instrText xml:space="preserve"> REF _Ref402784956 \h </w:instrText>
      </w:r>
      <w:r>
        <w:fldChar w:fldCharType="separate"/>
      </w:r>
      <w:r w:rsidR="003D2EB5" w:rsidRPr="009275BB">
        <w:t xml:space="preserve">Table </w:t>
      </w:r>
      <w:r w:rsidR="003D2EB5">
        <w:t>2</w:t>
      </w:r>
      <w:r w:rsidR="003D2EB5">
        <w:noBreakHyphen/>
      </w:r>
      <w:r w:rsidR="003D2EB5">
        <w:rPr>
          <w:noProof/>
        </w:rPr>
        <w:t>2</w:t>
      </w:r>
      <w:r>
        <w:fldChar w:fldCharType="end"/>
      </w:r>
      <w:r>
        <w:t xml:space="preserve"> </w:t>
      </w:r>
      <w:r w:rsidR="00A80E37" w:rsidRPr="005F16CE">
        <w:t>set out our draft d</w:t>
      </w:r>
      <w:r w:rsidR="00A80E37">
        <w:t>ecision on the roll forward of the</w:t>
      </w:r>
      <w:r w:rsidR="00A80E37" w:rsidRPr="005F16CE">
        <w:t xml:space="preserve"> RAB</w:t>
      </w:r>
      <w:r w:rsidR="00A80E37">
        <w:t xml:space="preserve"> values</w:t>
      </w:r>
      <w:r w:rsidR="00A80E37" w:rsidRPr="005F16CE">
        <w:t xml:space="preserve"> </w:t>
      </w:r>
      <w:r w:rsidR="00A80E37">
        <w:t>for Directlink's 200</w:t>
      </w:r>
      <w:r w:rsidR="00A80E37" w:rsidRPr="005456B5">
        <w:t>5–</w:t>
      </w:r>
      <w:r w:rsidR="00A80E37">
        <w:t>15</w:t>
      </w:r>
      <w:r w:rsidR="00A80E37" w:rsidRPr="005456B5">
        <w:t xml:space="preserve"> regulatory control period</w:t>
      </w:r>
      <w:r w:rsidR="00A80E37">
        <w:t xml:space="preserve"> and </w:t>
      </w:r>
      <w:r w:rsidR="00A80E37" w:rsidRPr="005F16CE">
        <w:t xml:space="preserve">forecast </w:t>
      </w:r>
      <w:r w:rsidR="00A80E37">
        <w:t xml:space="preserve">RAB values for </w:t>
      </w:r>
      <w:r w:rsidR="00A80E37" w:rsidRPr="00D528E6">
        <w:t>Directlink's 2015–20 regulatory control period</w:t>
      </w:r>
      <w:r w:rsidR="00A80E37">
        <w:t>,</w:t>
      </w:r>
      <w:r w:rsidR="00A80E37" w:rsidRPr="005F16CE">
        <w:t xml:space="preserve"> respectively.</w:t>
      </w:r>
      <w:r w:rsidR="00A80E37">
        <w:t xml:space="preserve"> </w:t>
      </w:r>
    </w:p>
    <w:p w:rsidR="00A80E37" w:rsidRPr="002452D2" w:rsidRDefault="00A80E37" w:rsidP="003D2EB5">
      <w:pPr>
        <w:pStyle w:val="Caption"/>
        <w:keepLines/>
      </w:pPr>
      <w:bookmarkStart w:id="10" w:name="_Ref402784955"/>
      <w:r w:rsidRPr="002452D2">
        <w:lastRenderedPageBreak/>
        <w:t xml:space="preserve">Table </w:t>
      </w:r>
      <w:r w:rsidR="003D2EB5">
        <w:t>2</w:t>
      </w:r>
      <w:r w:rsidR="00C90455">
        <w:noBreakHyphen/>
      </w:r>
      <w:r w:rsidR="00FC3B4F">
        <w:fldChar w:fldCharType="begin"/>
      </w:r>
      <w:r w:rsidR="00FC3B4F">
        <w:instrText xml:space="preserve"> SEQ Table \* ARABIC \s 1 </w:instrText>
      </w:r>
      <w:r w:rsidR="00FC3B4F">
        <w:fldChar w:fldCharType="separate"/>
      </w:r>
      <w:r w:rsidR="00C90455">
        <w:rPr>
          <w:noProof/>
        </w:rPr>
        <w:t>1</w:t>
      </w:r>
      <w:r w:rsidR="00FC3B4F">
        <w:rPr>
          <w:noProof/>
        </w:rPr>
        <w:fldChar w:fldCharType="end"/>
      </w:r>
      <w:bookmarkEnd w:id="10"/>
      <w:r w:rsidRPr="002452D2">
        <w:tab/>
        <w:t xml:space="preserve">AER's draft decision on </w:t>
      </w:r>
      <w:r>
        <w:t>Directlink</w:t>
      </w:r>
      <w:r w:rsidRPr="002452D2">
        <w:t>'s RAB for the 200</w:t>
      </w:r>
      <w:r>
        <w:t>5</w:t>
      </w:r>
      <w:r w:rsidRPr="002452D2">
        <w:t>–1</w:t>
      </w:r>
      <w:r>
        <w:t>5</w:t>
      </w:r>
      <w:r w:rsidRPr="002452D2">
        <w:t xml:space="preserve"> regulatory control period ($ million, nominal)</w:t>
      </w:r>
    </w:p>
    <w:tbl>
      <w:tblPr>
        <w:tblStyle w:val="AERtable-numbers"/>
        <w:tblW w:w="5000" w:type="pct"/>
        <w:tblLayout w:type="fixed"/>
        <w:tblLook w:val="01E0" w:firstRow="1" w:lastRow="1" w:firstColumn="1" w:lastColumn="1" w:noHBand="0" w:noVBand="0"/>
      </w:tblPr>
      <w:tblGrid>
        <w:gridCol w:w="2158"/>
        <w:gridCol w:w="677"/>
        <w:gridCol w:w="677"/>
        <w:gridCol w:w="677"/>
        <w:gridCol w:w="677"/>
        <w:gridCol w:w="677"/>
        <w:gridCol w:w="723"/>
        <w:gridCol w:w="723"/>
        <w:gridCol w:w="723"/>
        <w:gridCol w:w="811"/>
        <w:gridCol w:w="719"/>
      </w:tblGrid>
      <w:tr w:rsidR="00A80E37" w:rsidRPr="00200EA2" w:rsidTr="00540DAD">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167" w:type="pct"/>
          </w:tcPr>
          <w:p w:rsidR="00A80E37" w:rsidRPr="00C83836" w:rsidRDefault="00A80E37" w:rsidP="003D2EB5">
            <w:pPr>
              <w:keepNext/>
              <w:keepLines/>
            </w:pPr>
          </w:p>
        </w:tc>
        <w:tc>
          <w:tcPr>
            <w:tcW w:w="366" w:type="pct"/>
          </w:tcPr>
          <w:p w:rsidR="00A80E37" w:rsidRPr="00C83836" w:rsidRDefault="00A80E37" w:rsidP="003D2EB5">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C83836">
              <w:t>2005–06</w:t>
            </w:r>
          </w:p>
        </w:tc>
        <w:tc>
          <w:tcPr>
            <w:tcW w:w="366" w:type="pct"/>
          </w:tcPr>
          <w:p w:rsidR="00A80E37" w:rsidRPr="00C83836" w:rsidRDefault="00A80E37" w:rsidP="003D2EB5">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C83836">
              <w:t>2006–07</w:t>
            </w:r>
          </w:p>
        </w:tc>
        <w:tc>
          <w:tcPr>
            <w:tcW w:w="366" w:type="pct"/>
          </w:tcPr>
          <w:p w:rsidR="00A80E37" w:rsidRPr="00C83836" w:rsidRDefault="00A80E37" w:rsidP="003D2EB5">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C83836">
              <w:t>2007–08</w:t>
            </w:r>
          </w:p>
        </w:tc>
        <w:tc>
          <w:tcPr>
            <w:tcW w:w="366" w:type="pct"/>
          </w:tcPr>
          <w:p w:rsidR="00A80E37" w:rsidRPr="00C83836" w:rsidRDefault="00A80E37" w:rsidP="003D2EB5">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C83836">
              <w:t>2008–09</w:t>
            </w:r>
          </w:p>
        </w:tc>
        <w:tc>
          <w:tcPr>
            <w:tcW w:w="366" w:type="pct"/>
          </w:tcPr>
          <w:p w:rsidR="00A80E37" w:rsidRPr="00C83836" w:rsidRDefault="00A80E37" w:rsidP="003D2EB5">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C83836">
              <w:t>2009–10</w:t>
            </w:r>
          </w:p>
        </w:tc>
        <w:tc>
          <w:tcPr>
            <w:tcW w:w="391" w:type="pct"/>
          </w:tcPr>
          <w:p w:rsidR="00A80E37" w:rsidRPr="00C83836" w:rsidRDefault="00A80E37" w:rsidP="003D2EB5">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C83836">
              <w:t>2010–11</w:t>
            </w:r>
          </w:p>
        </w:tc>
        <w:tc>
          <w:tcPr>
            <w:tcW w:w="391" w:type="pct"/>
          </w:tcPr>
          <w:p w:rsidR="00A80E37" w:rsidRPr="00C83836" w:rsidRDefault="00A80E37" w:rsidP="003D2EB5">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C83836">
              <w:t>2011–12</w:t>
            </w:r>
          </w:p>
        </w:tc>
        <w:tc>
          <w:tcPr>
            <w:tcW w:w="391" w:type="pct"/>
          </w:tcPr>
          <w:p w:rsidR="00A80E37" w:rsidRPr="00A80E37" w:rsidRDefault="00A80E37" w:rsidP="003D2EB5">
            <w:pPr>
              <w:pStyle w:val="AERtabletextright"/>
              <w:keepNext/>
              <w:keepLines/>
              <w:cnfStyle w:val="100000000000" w:firstRow="1" w:lastRow="0" w:firstColumn="0" w:lastColumn="0" w:oddVBand="0" w:evenVBand="0" w:oddHBand="0" w:evenHBand="0" w:firstRowFirstColumn="0" w:firstRowLastColumn="0" w:lastRowFirstColumn="0" w:lastRowLastColumn="0"/>
              <w:rPr>
                <w:rStyle w:val="AERsuperscript"/>
              </w:rPr>
            </w:pPr>
            <w:r w:rsidRPr="00C83836">
              <w:t>2012–13</w:t>
            </w:r>
          </w:p>
        </w:tc>
        <w:tc>
          <w:tcPr>
            <w:tcW w:w="439" w:type="pct"/>
          </w:tcPr>
          <w:p w:rsidR="00A80E37" w:rsidRPr="00A80E37" w:rsidRDefault="00A80E37" w:rsidP="003D2EB5">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C83836">
              <w:t>201</w:t>
            </w:r>
            <w:r w:rsidRPr="00A80E37">
              <w:t>3–14</w:t>
            </w:r>
            <w:r w:rsidRPr="00A80E37">
              <w:rPr>
                <w:rStyle w:val="AERsuperscript"/>
              </w:rPr>
              <w:t>a</w:t>
            </w:r>
          </w:p>
        </w:tc>
        <w:tc>
          <w:tcPr>
            <w:tcW w:w="389" w:type="pct"/>
          </w:tcPr>
          <w:p w:rsidR="00A80E37" w:rsidRPr="00A80E37" w:rsidRDefault="00A80E37" w:rsidP="003D2EB5">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C83836">
              <w:t>2014–15</w:t>
            </w:r>
            <w:r w:rsidRPr="00A80E37">
              <w:rPr>
                <w:rStyle w:val="AERsuperscript"/>
              </w:rPr>
              <w:t>b</w:t>
            </w:r>
          </w:p>
        </w:tc>
      </w:tr>
      <w:tr w:rsidR="00A80E37" w:rsidRPr="00200EA2" w:rsidTr="00540DAD">
        <w:trPr>
          <w:trHeight w:val="531"/>
        </w:trPr>
        <w:tc>
          <w:tcPr>
            <w:cnfStyle w:val="001000000000" w:firstRow="0" w:lastRow="0" w:firstColumn="1" w:lastColumn="0" w:oddVBand="0" w:evenVBand="0" w:oddHBand="0" w:evenHBand="0" w:firstRowFirstColumn="0" w:firstRowLastColumn="0" w:lastRowFirstColumn="0" w:lastRowLastColumn="0"/>
            <w:tcW w:w="1167" w:type="pct"/>
          </w:tcPr>
          <w:p w:rsidR="00A80E37" w:rsidRPr="002452D2" w:rsidRDefault="00A80E37" w:rsidP="003D2EB5">
            <w:pPr>
              <w:pStyle w:val="AERtabletextleft"/>
              <w:keepNext/>
              <w:keepLines/>
            </w:pPr>
            <w:r w:rsidRPr="002452D2">
              <w:t>Opening RAB</w:t>
            </w:r>
          </w:p>
        </w:tc>
        <w:tc>
          <w:tcPr>
            <w:tcW w:w="366"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116.7</w:t>
            </w:r>
          </w:p>
        </w:tc>
        <w:tc>
          <w:tcPr>
            <w:tcW w:w="366"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119.1</w:t>
            </w:r>
          </w:p>
        </w:tc>
        <w:tc>
          <w:tcPr>
            <w:tcW w:w="366"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119.7</w:t>
            </w:r>
          </w:p>
        </w:tc>
        <w:tc>
          <w:tcPr>
            <w:tcW w:w="366"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121.5</w:t>
            </w:r>
          </w:p>
        </w:tc>
        <w:tc>
          <w:tcPr>
            <w:tcW w:w="366"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121.1</w:t>
            </w:r>
          </w:p>
        </w:tc>
        <w:tc>
          <w:tcPr>
            <w:tcW w:w="391"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121.1</w:t>
            </w:r>
          </w:p>
        </w:tc>
        <w:tc>
          <w:tcPr>
            <w:tcW w:w="391"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123.7</w:t>
            </w:r>
          </w:p>
        </w:tc>
        <w:tc>
          <w:tcPr>
            <w:tcW w:w="391"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123.7</w:t>
            </w:r>
          </w:p>
        </w:tc>
        <w:tc>
          <w:tcPr>
            <w:tcW w:w="439"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123.7</w:t>
            </w:r>
          </w:p>
        </w:tc>
        <w:tc>
          <w:tcPr>
            <w:tcW w:w="389"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127.3</w:t>
            </w:r>
          </w:p>
        </w:tc>
      </w:tr>
      <w:tr w:rsidR="00A80E37" w:rsidRPr="00200EA2" w:rsidTr="00540DAD">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167" w:type="pct"/>
          </w:tcPr>
          <w:p w:rsidR="00A80E37" w:rsidRPr="00A80E37" w:rsidRDefault="00A80E37" w:rsidP="003D2EB5">
            <w:pPr>
              <w:pStyle w:val="AERtabletextleft"/>
              <w:keepNext/>
              <w:keepLines/>
            </w:pPr>
            <w:r w:rsidRPr="002452D2">
              <w:t>Capital expenditure</w:t>
            </w:r>
            <w:r w:rsidRPr="00A80E37">
              <w:rPr>
                <w:rStyle w:val="AERsuperscript"/>
              </w:rPr>
              <w:t>c</w:t>
            </w:r>
            <w:r w:rsidRPr="00A80E37">
              <w:t xml:space="preserve"> </w:t>
            </w:r>
          </w:p>
        </w:tc>
        <w:tc>
          <w:tcPr>
            <w:tcW w:w="366" w:type="pct"/>
          </w:tcPr>
          <w:p w:rsidR="00A80E37" w:rsidRPr="002452D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2.1</w:t>
            </w:r>
          </w:p>
        </w:tc>
        <w:tc>
          <w:tcPr>
            <w:tcW w:w="366" w:type="pct"/>
          </w:tcPr>
          <w:p w:rsidR="00A80E37" w:rsidRPr="002452D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0.8</w:t>
            </w:r>
          </w:p>
        </w:tc>
        <w:tc>
          <w:tcPr>
            <w:tcW w:w="366" w:type="pct"/>
          </w:tcPr>
          <w:p w:rsidR="00A80E37" w:rsidRPr="002452D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w:t>
            </w:r>
          </w:p>
        </w:tc>
        <w:tc>
          <w:tcPr>
            <w:tcW w:w="366" w:type="pct"/>
          </w:tcPr>
          <w:p w:rsidR="00A80E37" w:rsidRPr="002452D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w:t>
            </w:r>
          </w:p>
        </w:tc>
        <w:tc>
          <w:tcPr>
            <w:tcW w:w="366" w:type="pct"/>
          </w:tcPr>
          <w:p w:rsidR="00A80E37" w:rsidRPr="002452D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w:t>
            </w:r>
          </w:p>
        </w:tc>
        <w:tc>
          <w:tcPr>
            <w:tcW w:w="391" w:type="pct"/>
          </w:tcPr>
          <w:p w:rsidR="00A80E37" w:rsidRPr="002452D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2.2</w:t>
            </w:r>
          </w:p>
        </w:tc>
        <w:tc>
          <w:tcPr>
            <w:tcW w:w="391" w:type="pct"/>
          </w:tcPr>
          <w:p w:rsidR="00A80E37" w:rsidRPr="002452D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1.7</w:t>
            </w:r>
          </w:p>
        </w:tc>
        <w:tc>
          <w:tcPr>
            <w:tcW w:w="391" w:type="pct"/>
          </w:tcPr>
          <w:p w:rsidR="00A80E37" w:rsidRPr="002452D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0.7</w:t>
            </w:r>
          </w:p>
        </w:tc>
        <w:tc>
          <w:tcPr>
            <w:tcW w:w="439" w:type="pct"/>
          </w:tcPr>
          <w:p w:rsidR="00A80E37" w:rsidRPr="002452D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3.8</w:t>
            </w:r>
          </w:p>
        </w:tc>
        <w:tc>
          <w:tcPr>
            <w:tcW w:w="389" w:type="pct"/>
          </w:tcPr>
          <w:p w:rsidR="00A80E37" w:rsidRPr="00D254A7"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superscript"/>
              </w:rPr>
            </w:pPr>
            <w:r>
              <w:t>3.1</w:t>
            </w:r>
          </w:p>
        </w:tc>
      </w:tr>
      <w:tr w:rsidR="00A80E37" w:rsidRPr="00200EA2" w:rsidTr="00540DAD">
        <w:trPr>
          <w:trHeight w:val="531"/>
        </w:trPr>
        <w:tc>
          <w:tcPr>
            <w:cnfStyle w:val="001000000000" w:firstRow="0" w:lastRow="0" w:firstColumn="1" w:lastColumn="0" w:oddVBand="0" w:evenVBand="0" w:oddHBand="0" w:evenHBand="0" w:firstRowFirstColumn="0" w:firstRowLastColumn="0" w:lastRowFirstColumn="0" w:lastRowLastColumn="0"/>
            <w:tcW w:w="1167" w:type="pct"/>
          </w:tcPr>
          <w:p w:rsidR="00A80E37" w:rsidRPr="002452D2" w:rsidRDefault="00A80E37" w:rsidP="003D2EB5">
            <w:pPr>
              <w:pStyle w:val="AERtabletextleft"/>
              <w:keepNext/>
              <w:keepLines/>
            </w:pPr>
            <w:r w:rsidRPr="002452D2">
              <w:t>CPI indexation on opening RAB</w:t>
            </w:r>
          </w:p>
        </w:tc>
        <w:tc>
          <w:tcPr>
            <w:tcW w:w="366"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3.5</w:t>
            </w:r>
          </w:p>
        </w:tc>
        <w:tc>
          <w:tcPr>
            <w:tcW w:w="366"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2.9</w:t>
            </w:r>
          </w:p>
        </w:tc>
        <w:tc>
          <w:tcPr>
            <w:tcW w:w="366"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5.1</w:t>
            </w:r>
          </w:p>
        </w:tc>
        <w:tc>
          <w:tcPr>
            <w:tcW w:w="366"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3.0</w:t>
            </w:r>
          </w:p>
        </w:tc>
        <w:tc>
          <w:tcPr>
            <w:tcW w:w="366"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3.5</w:t>
            </w:r>
          </w:p>
        </w:tc>
        <w:tc>
          <w:tcPr>
            <w:tcW w:w="391"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4.0</w:t>
            </w:r>
          </w:p>
        </w:tc>
        <w:tc>
          <w:tcPr>
            <w:tcW w:w="391"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2.0</w:t>
            </w:r>
          </w:p>
        </w:tc>
        <w:tc>
          <w:tcPr>
            <w:tcW w:w="391"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3.1</w:t>
            </w:r>
          </w:p>
        </w:tc>
        <w:tc>
          <w:tcPr>
            <w:tcW w:w="439"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3.6</w:t>
            </w:r>
          </w:p>
        </w:tc>
        <w:tc>
          <w:tcPr>
            <w:tcW w:w="389" w:type="pct"/>
          </w:tcPr>
          <w:p w:rsidR="00A80E37"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3.2</w:t>
            </w:r>
          </w:p>
        </w:tc>
      </w:tr>
      <w:tr w:rsidR="00A80E37" w:rsidRPr="00200EA2" w:rsidTr="00540DAD">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167" w:type="pct"/>
          </w:tcPr>
          <w:p w:rsidR="00A80E37" w:rsidRPr="00A80E37" w:rsidRDefault="00A80E37" w:rsidP="003D2EB5">
            <w:pPr>
              <w:pStyle w:val="AERtabletextleft"/>
              <w:keepNext/>
              <w:keepLines/>
            </w:pPr>
            <w:r w:rsidRPr="002452D2">
              <w:t>Straight-line depreciation</w:t>
            </w:r>
            <w:r w:rsidRPr="00A80E37">
              <w:rPr>
                <w:rStyle w:val="AERsuperscript"/>
              </w:rPr>
              <w:t>d</w:t>
            </w:r>
          </w:p>
        </w:tc>
        <w:tc>
          <w:tcPr>
            <w:tcW w:w="366" w:type="pct"/>
          </w:tcPr>
          <w:p w:rsidR="00A80E37" w:rsidRPr="002452D2" w:rsidRDefault="00A80E37"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w:t>
            </w:r>
            <w:r w:rsidR="00540DAD">
              <w:t>3.1</w:t>
            </w:r>
          </w:p>
        </w:tc>
        <w:tc>
          <w:tcPr>
            <w:tcW w:w="366" w:type="pct"/>
          </w:tcPr>
          <w:p w:rsidR="00A80E37" w:rsidRPr="002452D2" w:rsidRDefault="00A80E37"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w:t>
            </w:r>
            <w:r w:rsidR="00540DAD">
              <w:t>3.2</w:t>
            </w:r>
          </w:p>
        </w:tc>
        <w:tc>
          <w:tcPr>
            <w:tcW w:w="366" w:type="pct"/>
          </w:tcPr>
          <w:p w:rsidR="00A80E37" w:rsidRPr="002452D2" w:rsidRDefault="00A80E37"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w:t>
            </w:r>
            <w:r w:rsidR="00540DAD">
              <w:t>3.3</w:t>
            </w:r>
          </w:p>
        </w:tc>
        <w:tc>
          <w:tcPr>
            <w:tcW w:w="366" w:type="pct"/>
          </w:tcPr>
          <w:p w:rsidR="00A80E37" w:rsidRPr="002452D2" w:rsidRDefault="00A80E37"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w:t>
            </w:r>
            <w:r w:rsidR="00540DAD">
              <w:t>3.4</w:t>
            </w:r>
          </w:p>
        </w:tc>
        <w:tc>
          <w:tcPr>
            <w:tcW w:w="366" w:type="pct"/>
          </w:tcPr>
          <w:p w:rsidR="00A80E37" w:rsidRPr="002452D2" w:rsidRDefault="00A80E37"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w:t>
            </w:r>
            <w:r w:rsidR="00540DAD">
              <w:t>3.5</w:t>
            </w:r>
          </w:p>
        </w:tc>
        <w:tc>
          <w:tcPr>
            <w:tcW w:w="391" w:type="pct"/>
          </w:tcPr>
          <w:p w:rsidR="00A80E37" w:rsidRPr="002452D2" w:rsidRDefault="00A80E37"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2452D2">
              <w:t>–</w:t>
            </w:r>
            <w:r w:rsidR="00540DAD">
              <w:t>3.6</w:t>
            </w:r>
          </w:p>
        </w:tc>
        <w:tc>
          <w:tcPr>
            <w:tcW w:w="391" w:type="pct"/>
          </w:tcPr>
          <w:p w:rsidR="00A80E37" w:rsidRPr="002452D2" w:rsidRDefault="00A80E37"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w:t>
            </w:r>
            <w:r w:rsidR="00540DAD">
              <w:t>3.7</w:t>
            </w:r>
          </w:p>
        </w:tc>
        <w:tc>
          <w:tcPr>
            <w:tcW w:w="391" w:type="pct"/>
          </w:tcPr>
          <w:p w:rsidR="00A80E37" w:rsidRPr="002452D2" w:rsidRDefault="00A80E37"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w:t>
            </w:r>
            <w:r w:rsidR="00540DAD">
              <w:t>3.8</w:t>
            </w:r>
          </w:p>
        </w:tc>
        <w:tc>
          <w:tcPr>
            <w:tcW w:w="439" w:type="pct"/>
          </w:tcPr>
          <w:p w:rsidR="00A80E37" w:rsidRPr="002452D2" w:rsidRDefault="00A80E37"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2452D2">
              <w:t>–</w:t>
            </w:r>
            <w:r w:rsidR="00540DAD">
              <w:t>3.9</w:t>
            </w:r>
          </w:p>
        </w:tc>
        <w:tc>
          <w:tcPr>
            <w:tcW w:w="389" w:type="pct"/>
          </w:tcPr>
          <w:p w:rsidR="00A80E37" w:rsidRPr="002452D2" w:rsidRDefault="00A80E37" w:rsidP="003D2EB5">
            <w:pPr>
              <w:pStyle w:val="AERtabletextright"/>
              <w:keepNext/>
              <w:keepLines/>
              <w:cnfStyle w:val="000000010000" w:firstRow="0" w:lastRow="0" w:firstColumn="0" w:lastColumn="0" w:oddVBand="0" w:evenVBand="0" w:oddHBand="0" w:evenHBand="1" w:firstRowFirstColumn="0" w:firstRowLastColumn="0" w:lastRowFirstColumn="0" w:lastRowLastColumn="0"/>
            </w:pPr>
            <w:r>
              <w:t>–</w:t>
            </w:r>
            <w:r w:rsidR="00540DAD">
              <w:t>4.0</w:t>
            </w:r>
          </w:p>
        </w:tc>
      </w:tr>
      <w:tr w:rsidR="00540DAD" w:rsidRPr="00200EA2" w:rsidTr="00540DAD">
        <w:trPr>
          <w:trHeight w:val="531"/>
        </w:trPr>
        <w:tc>
          <w:tcPr>
            <w:cnfStyle w:val="001000000000" w:firstRow="0" w:lastRow="0" w:firstColumn="1" w:lastColumn="0" w:oddVBand="0" w:evenVBand="0" w:oddHBand="0" w:evenHBand="0" w:firstRowFirstColumn="0" w:firstRowLastColumn="0" w:lastRowFirstColumn="0" w:lastRowLastColumn="0"/>
            <w:tcW w:w="1167" w:type="pct"/>
          </w:tcPr>
          <w:p w:rsidR="00540DAD" w:rsidRPr="00540DAD" w:rsidRDefault="00540DAD" w:rsidP="003D2EB5">
            <w:pPr>
              <w:pStyle w:val="AERtabletextleft"/>
              <w:keepNext/>
              <w:keepLines/>
            </w:pPr>
            <w:r w:rsidRPr="002452D2">
              <w:t>Closing RAB</w:t>
            </w:r>
          </w:p>
        </w:tc>
        <w:tc>
          <w:tcPr>
            <w:tcW w:w="366" w:type="pct"/>
          </w:tcPr>
          <w:p w:rsidR="00540DAD" w:rsidRPr="00540DAD"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119.1</w:t>
            </w:r>
          </w:p>
        </w:tc>
        <w:tc>
          <w:tcPr>
            <w:tcW w:w="366" w:type="pct"/>
          </w:tcPr>
          <w:p w:rsidR="00540DAD" w:rsidRPr="00540DAD"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119.7</w:t>
            </w:r>
          </w:p>
        </w:tc>
        <w:tc>
          <w:tcPr>
            <w:tcW w:w="366" w:type="pct"/>
          </w:tcPr>
          <w:p w:rsidR="00540DAD" w:rsidRPr="00540DAD"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121.5</w:t>
            </w:r>
          </w:p>
        </w:tc>
        <w:tc>
          <w:tcPr>
            <w:tcW w:w="366" w:type="pct"/>
          </w:tcPr>
          <w:p w:rsidR="00540DAD" w:rsidRPr="00540DAD"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121.1</w:t>
            </w:r>
          </w:p>
        </w:tc>
        <w:tc>
          <w:tcPr>
            <w:tcW w:w="366" w:type="pct"/>
          </w:tcPr>
          <w:p w:rsidR="00540DAD" w:rsidRPr="00540DAD"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121.1</w:t>
            </w:r>
          </w:p>
        </w:tc>
        <w:tc>
          <w:tcPr>
            <w:tcW w:w="391" w:type="pct"/>
          </w:tcPr>
          <w:p w:rsidR="00540DAD" w:rsidRPr="00540DAD"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123.7</w:t>
            </w:r>
          </w:p>
        </w:tc>
        <w:tc>
          <w:tcPr>
            <w:tcW w:w="391" w:type="pct"/>
          </w:tcPr>
          <w:p w:rsidR="00540DAD" w:rsidRPr="00540DAD"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123.7</w:t>
            </w:r>
          </w:p>
        </w:tc>
        <w:tc>
          <w:tcPr>
            <w:tcW w:w="391" w:type="pct"/>
          </w:tcPr>
          <w:p w:rsidR="00540DAD" w:rsidRPr="00540DAD"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123.7</w:t>
            </w:r>
          </w:p>
        </w:tc>
        <w:tc>
          <w:tcPr>
            <w:tcW w:w="439" w:type="pct"/>
          </w:tcPr>
          <w:p w:rsidR="00540DAD" w:rsidRPr="00540DAD"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127.3</w:t>
            </w:r>
          </w:p>
        </w:tc>
        <w:tc>
          <w:tcPr>
            <w:tcW w:w="389" w:type="pct"/>
          </w:tcPr>
          <w:p w:rsidR="00540DAD" w:rsidRPr="002452D2" w:rsidRDefault="00540DAD" w:rsidP="003D2EB5">
            <w:pPr>
              <w:pStyle w:val="AERtabletextright"/>
              <w:keepNext/>
              <w:keepLines/>
              <w:cnfStyle w:val="000000000000" w:firstRow="0" w:lastRow="0" w:firstColumn="0" w:lastColumn="0" w:oddVBand="0" w:evenVBand="0" w:oddHBand="0" w:evenHBand="0" w:firstRowFirstColumn="0" w:firstRowLastColumn="0" w:lastRowFirstColumn="0" w:lastRowLastColumn="0"/>
            </w:pPr>
            <w:r>
              <w:t>129.6</w:t>
            </w:r>
          </w:p>
        </w:tc>
      </w:tr>
      <w:tr w:rsidR="00540DAD" w:rsidRPr="003C0CB2" w:rsidTr="00540DAD">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167" w:type="pct"/>
          </w:tcPr>
          <w:p w:rsidR="00540DAD" w:rsidRPr="003C0CB2" w:rsidRDefault="00540DAD" w:rsidP="003C0CB2">
            <w:pPr>
              <w:pStyle w:val="AERtabletextleft"/>
              <w:keepNext/>
              <w:keepLines/>
              <w:rPr>
                <w:rStyle w:val="AERtextbold"/>
              </w:rPr>
            </w:pPr>
            <w:r w:rsidRPr="003C0CB2">
              <w:rPr>
                <w:rStyle w:val="AERtextbold"/>
              </w:rPr>
              <w:t>Opening RAB as at 1</w:t>
            </w:r>
            <w:r w:rsidR="003C0CB2">
              <w:rPr>
                <w:rStyle w:val="AERtextbold"/>
              </w:rPr>
              <w:t> </w:t>
            </w:r>
            <w:r w:rsidRPr="003C0CB2">
              <w:rPr>
                <w:rStyle w:val="AERtextbold"/>
              </w:rPr>
              <w:t>July 2015</w:t>
            </w:r>
          </w:p>
        </w:tc>
        <w:tc>
          <w:tcPr>
            <w:tcW w:w="366" w:type="pct"/>
          </w:tcPr>
          <w:p w:rsidR="00540DAD" w:rsidRPr="003C0CB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textbold"/>
              </w:rPr>
            </w:pPr>
          </w:p>
        </w:tc>
        <w:tc>
          <w:tcPr>
            <w:tcW w:w="366" w:type="pct"/>
          </w:tcPr>
          <w:p w:rsidR="00540DAD" w:rsidRPr="003C0CB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textbold"/>
              </w:rPr>
            </w:pPr>
          </w:p>
        </w:tc>
        <w:tc>
          <w:tcPr>
            <w:tcW w:w="366" w:type="pct"/>
          </w:tcPr>
          <w:p w:rsidR="00540DAD" w:rsidRPr="003C0CB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textbold"/>
              </w:rPr>
            </w:pPr>
          </w:p>
        </w:tc>
        <w:tc>
          <w:tcPr>
            <w:tcW w:w="366" w:type="pct"/>
          </w:tcPr>
          <w:p w:rsidR="00540DAD" w:rsidRPr="003C0CB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textbold"/>
              </w:rPr>
            </w:pPr>
          </w:p>
        </w:tc>
        <w:tc>
          <w:tcPr>
            <w:tcW w:w="366" w:type="pct"/>
          </w:tcPr>
          <w:p w:rsidR="00540DAD" w:rsidRPr="003C0CB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textbold"/>
              </w:rPr>
            </w:pPr>
          </w:p>
        </w:tc>
        <w:tc>
          <w:tcPr>
            <w:tcW w:w="391" w:type="pct"/>
          </w:tcPr>
          <w:p w:rsidR="00540DAD" w:rsidRPr="003C0CB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textbold"/>
              </w:rPr>
            </w:pPr>
          </w:p>
        </w:tc>
        <w:tc>
          <w:tcPr>
            <w:tcW w:w="391" w:type="pct"/>
          </w:tcPr>
          <w:p w:rsidR="00540DAD" w:rsidRPr="003C0CB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textbold"/>
              </w:rPr>
            </w:pPr>
          </w:p>
        </w:tc>
        <w:tc>
          <w:tcPr>
            <w:tcW w:w="391" w:type="pct"/>
          </w:tcPr>
          <w:p w:rsidR="00540DAD" w:rsidRPr="003C0CB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textbold"/>
              </w:rPr>
            </w:pPr>
          </w:p>
        </w:tc>
        <w:tc>
          <w:tcPr>
            <w:tcW w:w="439" w:type="pct"/>
          </w:tcPr>
          <w:p w:rsidR="00540DAD" w:rsidRPr="003C0CB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textbold"/>
              </w:rPr>
            </w:pPr>
          </w:p>
        </w:tc>
        <w:tc>
          <w:tcPr>
            <w:tcW w:w="389" w:type="pct"/>
          </w:tcPr>
          <w:p w:rsidR="00540DAD" w:rsidRPr="003C0CB2" w:rsidRDefault="00540DAD" w:rsidP="003D2EB5">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textbold"/>
              </w:rPr>
            </w:pPr>
            <w:r w:rsidRPr="003C0CB2">
              <w:rPr>
                <w:rStyle w:val="AERtextbold"/>
              </w:rPr>
              <w:t>129.6</w:t>
            </w:r>
          </w:p>
        </w:tc>
      </w:tr>
    </w:tbl>
    <w:p w:rsidR="00A80E37" w:rsidRPr="002452D2" w:rsidRDefault="00A80E37" w:rsidP="003D2EB5">
      <w:pPr>
        <w:pStyle w:val="AERtablesource"/>
        <w:keepNext/>
        <w:keepLines/>
      </w:pPr>
      <w:r w:rsidRPr="002452D2">
        <w:t>Source:</w:t>
      </w:r>
      <w:r w:rsidRPr="002452D2">
        <w:tab/>
        <w:t>AER analysis.</w:t>
      </w:r>
    </w:p>
    <w:p w:rsidR="00A80E37" w:rsidRPr="002452D2" w:rsidRDefault="00A80E37" w:rsidP="003D2EB5">
      <w:pPr>
        <w:pStyle w:val="AERtablesource"/>
        <w:keepNext/>
        <w:keepLines/>
      </w:pPr>
      <w:r w:rsidRPr="002452D2">
        <w:t>(a)</w:t>
      </w:r>
      <w:r w:rsidRPr="002452D2">
        <w:tab/>
        <w:t xml:space="preserve">Based on estimated capex. </w:t>
      </w:r>
      <w:r>
        <w:t xml:space="preserve">We will update </w:t>
      </w:r>
      <w:r w:rsidRPr="002452D2">
        <w:t xml:space="preserve">the RAB roll forward </w:t>
      </w:r>
      <w:r>
        <w:t>for actual capex for the final decision</w:t>
      </w:r>
      <w:r w:rsidRPr="002452D2">
        <w:t>.</w:t>
      </w:r>
    </w:p>
    <w:p w:rsidR="00A80E37" w:rsidRDefault="00A80E37" w:rsidP="003D2EB5">
      <w:pPr>
        <w:pStyle w:val="AERtablesource"/>
        <w:keepNext/>
        <w:keepLines/>
      </w:pPr>
      <w:r>
        <w:t>(b)</w:t>
      </w:r>
      <w:r>
        <w:tab/>
      </w:r>
      <w:r w:rsidRPr="002452D2">
        <w:t>Based on estimated capex</w:t>
      </w:r>
      <w:r>
        <w:t xml:space="preserve"> </w:t>
      </w:r>
      <w:r w:rsidRPr="004768B6">
        <w:t>and forecast inflation</w:t>
      </w:r>
      <w:r w:rsidRPr="002452D2">
        <w:t>.</w:t>
      </w:r>
      <w:r>
        <w:t xml:space="preserve"> We will update t</w:t>
      </w:r>
      <w:r w:rsidRPr="00131911">
        <w:t>he RAB roll forward for actual CPI</w:t>
      </w:r>
      <w:r w:rsidR="00D254A7">
        <w:t xml:space="preserve"> and may update for a revised estimate of capex</w:t>
      </w:r>
      <w:r w:rsidRPr="00131911">
        <w:t xml:space="preserve"> at the time </w:t>
      </w:r>
      <w:r w:rsidR="00455201">
        <w:t>o</w:t>
      </w:r>
      <w:r w:rsidRPr="00131911">
        <w:t>f the final decision. However, we will update for actual capex at the next reset.</w:t>
      </w:r>
    </w:p>
    <w:p w:rsidR="00A80E37" w:rsidRDefault="00A80E37" w:rsidP="003D2EB5">
      <w:pPr>
        <w:pStyle w:val="AERtablesource"/>
        <w:keepNext/>
        <w:keepLines/>
      </w:pPr>
      <w:r w:rsidRPr="002452D2">
        <w:t>(</w:t>
      </w:r>
      <w:r>
        <w:t>c</w:t>
      </w:r>
      <w:r w:rsidRPr="002452D2">
        <w:t xml:space="preserve">) </w:t>
      </w:r>
      <w:r w:rsidRPr="002452D2">
        <w:tab/>
        <w:t>As incurred, net of disposals</w:t>
      </w:r>
      <w:r>
        <w:t>, and adjusted for actual CPI.</w:t>
      </w:r>
    </w:p>
    <w:p w:rsidR="00A80E37" w:rsidRPr="003A4EF9" w:rsidRDefault="00A80E37" w:rsidP="003D2EB5">
      <w:pPr>
        <w:pStyle w:val="AERtablesource"/>
        <w:keepNext/>
        <w:keepLines/>
      </w:pPr>
      <w:r w:rsidRPr="003A4EF9">
        <w:t>(</w:t>
      </w:r>
      <w:r>
        <w:t>d</w:t>
      </w:r>
      <w:r w:rsidRPr="003A4EF9">
        <w:t>)</w:t>
      </w:r>
      <w:r w:rsidRPr="003A4EF9">
        <w:tab/>
        <w:t xml:space="preserve">Based on forecast depreciation </w:t>
      </w:r>
      <w:r>
        <w:t>and</w:t>
      </w:r>
      <w:r w:rsidRPr="003A4EF9">
        <w:t xml:space="preserve"> </w:t>
      </w:r>
      <w:r>
        <w:t>a</w:t>
      </w:r>
      <w:r w:rsidRPr="003A4EF9">
        <w:t>djusted for actual CPI.</w:t>
      </w:r>
      <w:bookmarkStart w:id="11" w:name="_Toc384222128"/>
    </w:p>
    <w:p w:rsidR="00A80E37" w:rsidRPr="009275BB" w:rsidRDefault="00A80E37" w:rsidP="00A80E37">
      <w:pPr>
        <w:pStyle w:val="Caption"/>
      </w:pPr>
      <w:bookmarkStart w:id="12" w:name="_Ref402784956"/>
      <w:r w:rsidRPr="009275BB">
        <w:t xml:space="preserve">Table </w:t>
      </w:r>
      <w:r w:rsidR="003D2EB5">
        <w:t>2</w:t>
      </w:r>
      <w:r w:rsidR="00C90455">
        <w:noBreakHyphen/>
      </w:r>
      <w:r w:rsidR="00FC3B4F">
        <w:fldChar w:fldCharType="begin"/>
      </w:r>
      <w:r w:rsidR="00FC3B4F">
        <w:instrText xml:space="preserve"> SEQ Table \* ARABIC \s 1 </w:instrText>
      </w:r>
      <w:r w:rsidR="00FC3B4F">
        <w:fldChar w:fldCharType="separate"/>
      </w:r>
      <w:r w:rsidR="00C90455">
        <w:rPr>
          <w:noProof/>
        </w:rPr>
        <w:t>2</w:t>
      </w:r>
      <w:r w:rsidR="00FC3B4F">
        <w:rPr>
          <w:noProof/>
        </w:rPr>
        <w:fldChar w:fldCharType="end"/>
      </w:r>
      <w:bookmarkEnd w:id="12"/>
      <w:r w:rsidRPr="009275BB">
        <w:tab/>
        <w:t xml:space="preserve">AER's draft decision on </w:t>
      </w:r>
      <w:r>
        <w:t>Directlink</w:t>
      </w:r>
      <w:r w:rsidRPr="009275BB">
        <w:t>'s RAB for the 201</w:t>
      </w:r>
      <w:r>
        <w:t>5–20</w:t>
      </w:r>
      <w:r w:rsidRPr="009275BB">
        <w:t xml:space="preserve"> regulatory control period ($ million, nominal)</w:t>
      </w:r>
    </w:p>
    <w:tbl>
      <w:tblPr>
        <w:tblStyle w:val="AERtable-numbers"/>
        <w:tblW w:w="4995" w:type="pct"/>
        <w:tblLook w:val="01E0" w:firstRow="1" w:lastRow="1" w:firstColumn="1" w:lastColumn="1" w:noHBand="0" w:noVBand="0"/>
      </w:tblPr>
      <w:tblGrid>
        <w:gridCol w:w="3655"/>
        <w:gridCol w:w="1119"/>
        <w:gridCol w:w="1117"/>
        <w:gridCol w:w="1115"/>
        <w:gridCol w:w="1115"/>
        <w:gridCol w:w="1112"/>
      </w:tblGrid>
      <w:tr w:rsidR="00A80E37" w:rsidRPr="00092AED" w:rsidTr="007C1218">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979" w:type="pct"/>
          </w:tcPr>
          <w:p w:rsidR="00A80E37" w:rsidRPr="00631150" w:rsidRDefault="00A80E37" w:rsidP="00A80E37"/>
        </w:tc>
        <w:tc>
          <w:tcPr>
            <w:tcW w:w="606" w:type="pct"/>
          </w:tcPr>
          <w:p w:rsidR="00A80E37" w:rsidRPr="00631150"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631150">
              <w:t>2015–16</w:t>
            </w:r>
          </w:p>
        </w:tc>
        <w:tc>
          <w:tcPr>
            <w:tcW w:w="605" w:type="pct"/>
          </w:tcPr>
          <w:p w:rsidR="00A80E37" w:rsidRPr="00631150"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631150">
              <w:t>2016–17</w:t>
            </w:r>
          </w:p>
        </w:tc>
        <w:tc>
          <w:tcPr>
            <w:tcW w:w="604" w:type="pct"/>
          </w:tcPr>
          <w:p w:rsidR="00A80E37" w:rsidRPr="00631150"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631150">
              <w:t>2017–18</w:t>
            </w:r>
          </w:p>
        </w:tc>
        <w:tc>
          <w:tcPr>
            <w:tcW w:w="604" w:type="pct"/>
          </w:tcPr>
          <w:p w:rsidR="00A80E37" w:rsidRPr="00631150"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631150">
              <w:t>2018–19</w:t>
            </w:r>
          </w:p>
        </w:tc>
        <w:tc>
          <w:tcPr>
            <w:tcW w:w="602" w:type="pct"/>
          </w:tcPr>
          <w:p w:rsidR="00A80E37" w:rsidRPr="00A80E37"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631150">
              <w:t>201</w:t>
            </w:r>
            <w:r w:rsidRPr="00A80E37">
              <w:t>9–20</w:t>
            </w:r>
          </w:p>
        </w:tc>
      </w:tr>
      <w:tr w:rsidR="00A80E37" w:rsidRPr="00D36EEF" w:rsidTr="007C1218">
        <w:trPr>
          <w:trHeight w:val="451"/>
        </w:trPr>
        <w:tc>
          <w:tcPr>
            <w:cnfStyle w:val="001000000000" w:firstRow="0" w:lastRow="0" w:firstColumn="1" w:lastColumn="0" w:oddVBand="0" w:evenVBand="0" w:oddHBand="0" w:evenHBand="0" w:firstRowFirstColumn="0" w:firstRowLastColumn="0" w:lastRowFirstColumn="0" w:lastRowLastColumn="0"/>
            <w:tcW w:w="1979" w:type="pct"/>
          </w:tcPr>
          <w:p w:rsidR="00A80E37" w:rsidRPr="00A80E37" w:rsidRDefault="00A80E37" w:rsidP="00A80E37">
            <w:pPr>
              <w:pStyle w:val="AERtabletextleft"/>
            </w:pPr>
            <w:r w:rsidRPr="009275BB">
              <w:t>Opening RAB</w:t>
            </w:r>
            <w:r w:rsidRPr="00A80E37">
              <w:t xml:space="preserve"> </w:t>
            </w:r>
          </w:p>
        </w:tc>
        <w:tc>
          <w:tcPr>
            <w:tcW w:w="606" w:type="pct"/>
          </w:tcPr>
          <w:p w:rsidR="00A80E37" w:rsidRPr="009275BB" w:rsidRDefault="007C1218" w:rsidP="00A80E37">
            <w:pPr>
              <w:pStyle w:val="AERtabletextright"/>
              <w:cnfStyle w:val="000000000000" w:firstRow="0" w:lastRow="0" w:firstColumn="0" w:lastColumn="0" w:oddVBand="0" w:evenVBand="0" w:oddHBand="0" w:evenHBand="0" w:firstRowFirstColumn="0" w:firstRowLastColumn="0" w:lastRowFirstColumn="0" w:lastRowLastColumn="0"/>
            </w:pPr>
            <w:r>
              <w:t>129.6</w:t>
            </w:r>
          </w:p>
        </w:tc>
        <w:tc>
          <w:tcPr>
            <w:tcW w:w="605" w:type="pct"/>
          </w:tcPr>
          <w:p w:rsidR="00A80E37" w:rsidRPr="009275BB" w:rsidRDefault="007C1218" w:rsidP="00A80E37">
            <w:pPr>
              <w:pStyle w:val="AERtabletextright"/>
              <w:cnfStyle w:val="000000000000" w:firstRow="0" w:lastRow="0" w:firstColumn="0" w:lastColumn="0" w:oddVBand="0" w:evenVBand="0" w:oddHBand="0" w:evenHBand="0" w:firstRowFirstColumn="0" w:firstRowLastColumn="0" w:lastRowFirstColumn="0" w:lastRowLastColumn="0"/>
            </w:pPr>
            <w:r>
              <w:t>132.4</w:t>
            </w:r>
          </w:p>
        </w:tc>
        <w:tc>
          <w:tcPr>
            <w:tcW w:w="604" w:type="pct"/>
          </w:tcPr>
          <w:p w:rsidR="00A80E37" w:rsidRPr="009275BB" w:rsidRDefault="007C1218" w:rsidP="00A80E37">
            <w:pPr>
              <w:pStyle w:val="AERtabletextright"/>
              <w:cnfStyle w:val="000000000000" w:firstRow="0" w:lastRow="0" w:firstColumn="0" w:lastColumn="0" w:oddVBand="0" w:evenVBand="0" w:oddHBand="0" w:evenHBand="0" w:firstRowFirstColumn="0" w:firstRowLastColumn="0" w:lastRowFirstColumn="0" w:lastRowLastColumn="0"/>
            </w:pPr>
            <w:r>
              <w:t>133.4</w:t>
            </w:r>
          </w:p>
        </w:tc>
        <w:tc>
          <w:tcPr>
            <w:tcW w:w="604" w:type="pct"/>
          </w:tcPr>
          <w:p w:rsidR="00A80E37" w:rsidRPr="009275BB" w:rsidRDefault="007C1218" w:rsidP="00A80E37">
            <w:pPr>
              <w:pStyle w:val="AERtabletextright"/>
              <w:cnfStyle w:val="000000000000" w:firstRow="0" w:lastRow="0" w:firstColumn="0" w:lastColumn="0" w:oddVBand="0" w:evenVBand="0" w:oddHBand="0" w:evenHBand="0" w:firstRowFirstColumn="0" w:firstRowLastColumn="0" w:lastRowFirstColumn="0" w:lastRowLastColumn="0"/>
            </w:pPr>
            <w:r>
              <w:t>133.8</w:t>
            </w:r>
          </w:p>
        </w:tc>
        <w:tc>
          <w:tcPr>
            <w:tcW w:w="602" w:type="pct"/>
          </w:tcPr>
          <w:p w:rsidR="00A80E37" w:rsidRPr="009275BB" w:rsidRDefault="007C1218" w:rsidP="00A80E37">
            <w:pPr>
              <w:pStyle w:val="AERtabletextright"/>
              <w:cnfStyle w:val="000000000000" w:firstRow="0" w:lastRow="0" w:firstColumn="0" w:lastColumn="0" w:oddVBand="0" w:evenVBand="0" w:oddHBand="0" w:evenHBand="0" w:firstRowFirstColumn="0" w:firstRowLastColumn="0" w:lastRowFirstColumn="0" w:lastRowLastColumn="0"/>
            </w:pPr>
            <w:r>
              <w:t>135.1</w:t>
            </w:r>
          </w:p>
        </w:tc>
      </w:tr>
      <w:tr w:rsidR="00A80E37" w:rsidRPr="00D36EEF" w:rsidTr="007C1218">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979" w:type="pct"/>
          </w:tcPr>
          <w:p w:rsidR="00A80E37" w:rsidRPr="00A80E37" w:rsidRDefault="00A80E37" w:rsidP="00A80E37">
            <w:pPr>
              <w:pStyle w:val="AERtabletextleft"/>
            </w:pPr>
            <w:r w:rsidRPr="009275BB">
              <w:t>Capital expenditure</w:t>
            </w:r>
            <w:r w:rsidRPr="00A80E37">
              <w:rPr>
                <w:rStyle w:val="AERsuperscript"/>
              </w:rPr>
              <w:t>a</w:t>
            </w:r>
            <w:r w:rsidRPr="00A80E37">
              <w:t xml:space="preserve"> </w:t>
            </w:r>
          </w:p>
        </w:tc>
        <w:tc>
          <w:tcPr>
            <w:tcW w:w="606" w:type="pct"/>
          </w:tcPr>
          <w:p w:rsidR="00A80E37" w:rsidRPr="009275BB" w:rsidRDefault="007C1218" w:rsidP="00A80E37">
            <w:pPr>
              <w:pStyle w:val="AERtabletextright"/>
              <w:cnfStyle w:val="000000010000" w:firstRow="0" w:lastRow="0" w:firstColumn="0" w:lastColumn="0" w:oddVBand="0" w:evenVBand="0" w:oddHBand="0" w:evenHBand="1" w:firstRowFirstColumn="0" w:firstRowLastColumn="0" w:lastRowFirstColumn="0" w:lastRowLastColumn="0"/>
            </w:pPr>
            <w:r>
              <w:t>4.4</w:t>
            </w:r>
          </w:p>
        </w:tc>
        <w:tc>
          <w:tcPr>
            <w:tcW w:w="605" w:type="pct"/>
          </w:tcPr>
          <w:p w:rsidR="00A80E37" w:rsidRPr="009275BB" w:rsidRDefault="007C1218" w:rsidP="00A80E37">
            <w:pPr>
              <w:pStyle w:val="AERtabletextright"/>
              <w:cnfStyle w:val="000000010000" w:firstRow="0" w:lastRow="0" w:firstColumn="0" w:lastColumn="0" w:oddVBand="0" w:evenVBand="0" w:oddHBand="0" w:evenHBand="1" w:firstRowFirstColumn="0" w:firstRowLastColumn="0" w:lastRowFirstColumn="0" w:lastRowLastColumn="0"/>
            </w:pPr>
            <w:r>
              <w:t>2.9</w:t>
            </w:r>
          </w:p>
        </w:tc>
        <w:tc>
          <w:tcPr>
            <w:tcW w:w="604" w:type="pct"/>
          </w:tcPr>
          <w:p w:rsidR="00A80E37" w:rsidRPr="009275BB" w:rsidRDefault="007C1218" w:rsidP="00A80E37">
            <w:pPr>
              <w:pStyle w:val="AERtabletextright"/>
              <w:cnfStyle w:val="000000010000" w:firstRow="0" w:lastRow="0" w:firstColumn="0" w:lastColumn="0" w:oddVBand="0" w:evenVBand="0" w:oddHBand="0" w:evenHBand="1" w:firstRowFirstColumn="0" w:firstRowLastColumn="0" w:lastRowFirstColumn="0" w:lastRowLastColumn="0"/>
            </w:pPr>
            <w:r>
              <w:t>2.5</w:t>
            </w:r>
          </w:p>
        </w:tc>
        <w:tc>
          <w:tcPr>
            <w:tcW w:w="604" w:type="pct"/>
          </w:tcPr>
          <w:p w:rsidR="00A80E37" w:rsidRPr="009275BB" w:rsidRDefault="007C1218" w:rsidP="00A80E37">
            <w:pPr>
              <w:pStyle w:val="AERtabletextright"/>
              <w:cnfStyle w:val="000000010000" w:firstRow="0" w:lastRow="0" w:firstColumn="0" w:lastColumn="0" w:oddVBand="0" w:evenVBand="0" w:oddHBand="0" w:evenHBand="1" w:firstRowFirstColumn="0" w:firstRowLastColumn="0" w:lastRowFirstColumn="0" w:lastRowLastColumn="0"/>
            </w:pPr>
            <w:r>
              <w:t>3.7</w:t>
            </w:r>
          </w:p>
        </w:tc>
        <w:tc>
          <w:tcPr>
            <w:tcW w:w="602" w:type="pct"/>
          </w:tcPr>
          <w:p w:rsidR="00A80E37" w:rsidRPr="009275BB" w:rsidRDefault="007C1218" w:rsidP="00A80E37">
            <w:pPr>
              <w:pStyle w:val="AERtabletextright"/>
              <w:cnfStyle w:val="000000010000" w:firstRow="0" w:lastRow="0" w:firstColumn="0" w:lastColumn="0" w:oddVBand="0" w:evenVBand="0" w:oddHBand="0" w:evenHBand="1" w:firstRowFirstColumn="0" w:firstRowLastColumn="0" w:lastRowFirstColumn="0" w:lastRowLastColumn="0"/>
            </w:pPr>
            <w:r>
              <w:t>15.3</w:t>
            </w:r>
          </w:p>
        </w:tc>
      </w:tr>
      <w:tr w:rsidR="00A80E37" w:rsidRPr="00D36EEF" w:rsidTr="007C1218">
        <w:trPr>
          <w:trHeight w:val="451"/>
        </w:trPr>
        <w:tc>
          <w:tcPr>
            <w:cnfStyle w:val="001000000000" w:firstRow="0" w:lastRow="0" w:firstColumn="1" w:lastColumn="0" w:oddVBand="0" w:evenVBand="0" w:oddHBand="0" w:evenHBand="0" w:firstRowFirstColumn="0" w:firstRowLastColumn="0" w:lastRowFirstColumn="0" w:lastRowLastColumn="0"/>
            <w:tcW w:w="1979" w:type="pct"/>
          </w:tcPr>
          <w:p w:rsidR="00A80E37" w:rsidRPr="009275BB" w:rsidRDefault="00A80E37" w:rsidP="00A80E37">
            <w:pPr>
              <w:pStyle w:val="AERtabletextleft"/>
            </w:pPr>
            <w:r w:rsidRPr="009275BB">
              <w:t>Inflation indexation on opening RAB</w:t>
            </w:r>
          </w:p>
        </w:tc>
        <w:tc>
          <w:tcPr>
            <w:tcW w:w="606" w:type="pct"/>
          </w:tcPr>
          <w:p w:rsidR="00A80E37" w:rsidRPr="009275BB" w:rsidRDefault="007C1218" w:rsidP="00A80E37">
            <w:pPr>
              <w:pStyle w:val="AERtabletextright"/>
              <w:cnfStyle w:val="000000000000" w:firstRow="0" w:lastRow="0" w:firstColumn="0" w:lastColumn="0" w:oddVBand="0" w:evenVBand="0" w:oddHBand="0" w:evenHBand="0" w:firstRowFirstColumn="0" w:firstRowLastColumn="0" w:lastRowFirstColumn="0" w:lastRowLastColumn="0"/>
            </w:pPr>
            <w:r>
              <w:t>3.3</w:t>
            </w:r>
          </w:p>
        </w:tc>
        <w:tc>
          <w:tcPr>
            <w:tcW w:w="605" w:type="pct"/>
          </w:tcPr>
          <w:p w:rsidR="00A80E37" w:rsidRPr="009275BB" w:rsidRDefault="007C1218" w:rsidP="00A80E37">
            <w:pPr>
              <w:pStyle w:val="AERtabletextright"/>
              <w:cnfStyle w:val="000000000000" w:firstRow="0" w:lastRow="0" w:firstColumn="0" w:lastColumn="0" w:oddVBand="0" w:evenVBand="0" w:oddHBand="0" w:evenHBand="0" w:firstRowFirstColumn="0" w:firstRowLastColumn="0" w:lastRowFirstColumn="0" w:lastRowLastColumn="0"/>
            </w:pPr>
            <w:r>
              <w:t>3.4</w:t>
            </w:r>
          </w:p>
        </w:tc>
        <w:tc>
          <w:tcPr>
            <w:tcW w:w="604" w:type="pct"/>
          </w:tcPr>
          <w:p w:rsidR="00A80E37" w:rsidRPr="009275BB" w:rsidRDefault="007C1218" w:rsidP="00A80E37">
            <w:pPr>
              <w:pStyle w:val="AERtabletextright"/>
              <w:cnfStyle w:val="000000000000" w:firstRow="0" w:lastRow="0" w:firstColumn="0" w:lastColumn="0" w:oddVBand="0" w:evenVBand="0" w:oddHBand="0" w:evenHBand="0" w:firstRowFirstColumn="0" w:firstRowLastColumn="0" w:lastRowFirstColumn="0" w:lastRowLastColumn="0"/>
            </w:pPr>
            <w:r>
              <w:t>3.4</w:t>
            </w:r>
          </w:p>
        </w:tc>
        <w:tc>
          <w:tcPr>
            <w:tcW w:w="604" w:type="pct"/>
          </w:tcPr>
          <w:p w:rsidR="00A80E37" w:rsidRPr="009275BB" w:rsidRDefault="007C1218" w:rsidP="00A80E37">
            <w:pPr>
              <w:pStyle w:val="AERtabletextright"/>
              <w:cnfStyle w:val="000000000000" w:firstRow="0" w:lastRow="0" w:firstColumn="0" w:lastColumn="0" w:oddVBand="0" w:evenVBand="0" w:oddHBand="0" w:evenHBand="0" w:firstRowFirstColumn="0" w:firstRowLastColumn="0" w:lastRowFirstColumn="0" w:lastRowLastColumn="0"/>
            </w:pPr>
            <w:r>
              <w:t>3.4</w:t>
            </w:r>
          </w:p>
        </w:tc>
        <w:tc>
          <w:tcPr>
            <w:tcW w:w="602" w:type="pct"/>
          </w:tcPr>
          <w:p w:rsidR="00A80E37" w:rsidRPr="009275BB" w:rsidRDefault="007C1218" w:rsidP="00A80E37">
            <w:pPr>
              <w:pStyle w:val="AERtabletextright"/>
              <w:cnfStyle w:val="000000000000" w:firstRow="0" w:lastRow="0" w:firstColumn="0" w:lastColumn="0" w:oddVBand="0" w:evenVBand="0" w:oddHBand="0" w:evenHBand="0" w:firstRowFirstColumn="0" w:firstRowLastColumn="0" w:lastRowFirstColumn="0" w:lastRowLastColumn="0"/>
            </w:pPr>
            <w:r>
              <w:t>3.4</w:t>
            </w:r>
          </w:p>
        </w:tc>
      </w:tr>
      <w:tr w:rsidR="00A80E37" w:rsidRPr="00D36EEF" w:rsidTr="007C1218">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979" w:type="pct"/>
          </w:tcPr>
          <w:p w:rsidR="00A80E37" w:rsidRPr="00A80E37" w:rsidRDefault="00A80E37" w:rsidP="00455201">
            <w:pPr>
              <w:pStyle w:val="AERtabletextleft"/>
            </w:pPr>
            <w:r w:rsidRPr="009275BB">
              <w:t>Straight-line depreciation</w:t>
            </w:r>
          </w:p>
        </w:tc>
        <w:tc>
          <w:tcPr>
            <w:tcW w:w="606" w:type="pct"/>
          </w:tcPr>
          <w:p w:rsidR="00A80E37" w:rsidRPr="009275BB"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rsidRPr="009275BB">
              <w:t>–</w:t>
            </w:r>
            <w:r w:rsidR="007C1218">
              <w:t>4.9</w:t>
            </w:r>
          </w:p>
        </w:tc>
        <w:tc>
          <w:tcPr>
            <w:tcW w:w="605" w:type="pct"/>
          </w:tcPr>
          <w:p w:rsidR="00A80E37" w:rsidRPr="009275BB"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rsidRPr="009275BB">
              <w:t>–</w:t>
            </w:r>
            <w:r w:rsidR="007C1218">
              <w:t>5.2</w:t>
            </w:r>
          </w:p>
        </w:tc>
        <w:tc>
          <w:tcPr>
            <w:tcW w:w="604" w:type="pct"/>
          </w:tcPr>
          <w:p w:rsidR="00A80E37" w:rsidRPr="009275BB"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rsidRPr="009275BB">
              <w:t>–</w:t>
            </w:r>
            <w:r w:rsidR="007C1218">
              <w:t>5.5</w:t>
            </w:r>
          </w:p>
        </w:tc>
        <w:tc>
          <w:tcPr>
            <w:tcW w:w="604" w:type="pct"/>
          </w:tcPr>
          <w:p w:rsidR="00A80E37" w:rsidRPr="009275BB" w:rsidRDefault="007C1218" w:rsidP="00A80E37">
            <w:pPr>
              <w:pStyle w:val="AERtabletextright"/>
              <w:cnfStyle w:val="000000010000" w:firstRow="0" w:lastRow="0" w:firstColumn="0" w:lastColumn="0" w:oddVBand="0" w:evenVBand="0" w:oddHBand="0" w:evenHBand="1" w:firstRowFirstColumn="0" w:firstRowLastColumn="0" w:lastRowFirstColumn="0" w:lastRowLastColumn="0"/>
            </w:pPr>
            <w:r>
              <w:t>–5.7</w:t>
            </w:r>
          </w:p>
        </w:tc>
        <w:tc>
          <w:tcPr>
            <w:tcW w:w="602" w:type="pct"/>
          </w:tcPr>
          <w:p w:rsidR="00A80E37" w:rsidRPr="009275BB" w:rsidRDefault="007C1218" w:rsidP="00A80E37">
            <w:pPr>
              <w:pStyle w:val="AERtabletextright"/>
              <w:cnfStyle w:val="000000010000" w:firstRow="0" w:lastRow="0" w:firstColumn="0" w:lastColumn="0" w:oddVBand="0" w:evenVBand="0" w:oddHBand="0" w:evenHBand="1" w:firstRowFirstColumn="0" w:firstRowLastColumn="0" w:lastRowFirstColumn="0" w:lastRowLastColumn="0"/>
            </w:pPr>
            <w:r>
              <w:t>–6.0</w:t>
            </w:r>
          </w:p>
        </w:tc>
      </w:tr>
      <w:tr w:rsidR="007C1218" w:rsidRPr="00D36EEF" w:rsidTr="007C1218">
        <w:trPr>
          <w:trHeight w:val="451"/>
        </w:trPr>
        <w:tc>
          <w:tcPr>
            <w:cnfStyle w:val="001000000000" w:firstRow="0" w:lastRow="0" w:firstColumn="1" w:lastColumn="0" w:oddVBand="0" w:evenVBand="0" w:oddHBand="0" w:evenHBand="0" w:firstRowFirstColumn="0" w:firstRowLastColumn="0" w:lastRowFirstColumn="0" w:lastRowLastColumn="0"/>
            <w:tcW w:w="1979" w:type="pct"/>
          </w:tcPr>
          <w:p w:rsidR="007C1218" w:rsidRPr="007C1218" w:rsidRDefault="007C1218" w:rsidP="007C1218">
            <w:pPr>
              <w:pStyle w:val="AERtabletextleft"/>
            </w:pPr>
            <w:r w:rsidRPr="009275BB">
              <w:t>Closing RAB</w:t>
            </w:r>
            <w:r w:rsidRPr="007C1218">
              <w:t xml:space="preserve"> </w:t>
            </w:r>
          </w:p>
        </w:tc>
        <w:tc>
          <w:tcPr>
            <w:tcW w:w="606" w:type="pct"/>
          </w:tcPr>
          <w:p w:rsidR="007C1218" w:rsidRPr="007C1218" w:rsidRDefault="007C1218" w:rsidP="007C1218">
            <w:pPr>
              <w:pStyle w:val="AERtabletextright"/>
              <w:cnfStyle w:val="000000000000" w:firstRow="0" w:lastRow="0" w:firstColumn="0" w:lastColumn="0" w:oddVBand="0" w:evenVBand="0" w:oddHBand="0" w:evenHBand="0" w:firstRowFirstColumn="0" w:firstRowLastColumn="0" w:lastRowFirstColumn="0" w:lastRowLastColumn="0"/>
            </w:pPr>
            <w:r>
              <w:t>132.4</w:t>
            </w:r>
          </w:p>
        </w:tc>
        <w:tc>
          <w:tcPr>
            <w:tcW w:w="605" w:type="pct"/>
          </w:tcPr>
          <w:p w:rsidR="007C1218" w:rsidRPr="007C1218" w:rsidRDefault="007C1218" w:rsidP="007C1218">
            <w:pPr>
              <w:pStyle w:val="AERtabletextright"/>
              <w:cnfStyle w:val="000000000000" w:firstRow="0" w:lastRow="0" w:firstColumn="0" w:lastColumn="0" w:oddVBand="0" w:evenVBand="0" w:oddHBand="0" w:evenHBand="0" w:firstRowFirstColumn="0" w:firstRowLastColumn="0" w:lastRowFirstColumn="0" w:lastRowLastColumn="0"/>
            </w:pPr>
            <w:r>
              <w:t>133.4</w:t>
            </w:r>
          </w:p>
        </w:tc>
        <w:tc>
          <w:tcPr>
            <w:tcW w:w="604" w:type="pct"/>
          </w:tcPr>
          <w:p w:rsidR="007C1218" w:rsidRPr="007C1218" w:rsidRDefault="007C1218" w:rsidP="007C1218">
            <w:pPr>
              <w:pStyle w:val="AERtabletextright"/>
              <w:cnfStyle w:val="000000000000" w:firstRow="0" w:lastRow="0" w:firstColumn="0" w:lastColumn="0" w:oddVBand="0" w:evenVBand="0" w:oddHBand="0" w:evenHBand="0" w:firstRowFirstColumn="0" w:firstRowLastColumn="0" w:lastRowFirstColumn="0" w:lastRowLastColumn="0"/>
            </w:pPr>
            <w:r>
              <w:t>133.8</w:t>
            </w:r>
          </w:p>
        </w:tc>
        <w:tc>
          <w:tcPr>
            <w:tcW w:w="604" w:type="pct"/>
          </w:tcPr>
          <w:p w:rsidR="007C1218" w:rsidRPr="007C1218" w:rsidRDefault="007C1218" w:rsidP="007C1218">
            <w:pPr>
              <w:pStyle w:val="AERtabletextright"/>
              <w:cnfStyle w:val="000000000000" w:firstRow="0" w:lastRow="0" w:firstColumn="0" w:lastColumn="0" w:oddVBand="0" w:evenVBand="0" w:oddHBand="0" w:evenHBand="0" w:firstRowFirstColumn="0" w:firstRowLastColumn="0" w:lastRowFirstColumn="0" w:lastRowLastColumn="0"/>
            </w:pPr>
            <w:r>
              <w:t>135.1</w:t>
            </w:r>
          </w:p>
        </w:tc>
        <w:tc>
          <w:tcPr>
            <w:tcW w:w="602" w:type="pct"/>
          </w:tcPr>
          <w:p w:rsidR="007C1218" w:rsidRPr="009275BB" w:rsidRDefault="007C1218" w:rsidP="007C1218">
            <w:pPr>
              <w:pStyle w:val="AERtabletextright"/>
              <w:cnfStyle w:val="000000000000" w:firstRow="0" w:lastRow="0" w:firstColumn="0" w:lastColumn="0" w:oddVBand="0" w:evenVBand="0" w:oddHBand="0" w:evenHBand="0" w:firstRowFirstColumn="0" w:firstRowLastColumn="0" w:lastRowFirstColumn="0" w:lastRowLastColumn="0"/>
            </w:pPr>
            <w:r>
              <w:t>147.9</w:t>
            </w:r>
          </w:p>
        </w:tc>
      </w:tr>
    </w:tbl>
    <w:p w:rsidR="00A80E37" w:rsidRPr="00772B52" w:rsidRDefault="00A80E37" w:rsidP="00A80E37">
      <w:pPr>
        <w:pStyle w:val="AERtablesource"/>
      </w:pPr>
      <w:r w:rsidRPr="00772B52">
        <w:t xml:space="preserve">Source: </w:t>
      </w:r>
      <w:r w:rsidRPr="00772B52">
        <w:tab/>
        <w:t>AER analysis.</w:t>
      </w:r>
    </w:p>
    <w:p w:rsidR="00A80E37" w:rsidRPr="00772B52" w:rsidRDefault="00A80E37" w:rsidP="00A80E37">
      <w:pPr>
        <w:pStyle w:val="AERtablesource"/>
      </w:pPr>
      <w:r w:rsidRPr="00772B52">
        <w:t xml:space="preserve">(a) </w:t>
      </w:r>
      <w:r w:rsidRPr="00772B52">
        <w:tab/>
        <w:t>As incurred, and net of disposals. In accordance with the timing assumptions of the post</w:t>
      </w:r>
      <w:r>
        <w:t>-</w:t>
      </w:r>
      <w:r w:rsidRPr="00772B52">
        <w:t xml:space="preserve">tax revenue model (PTRM), the capex includes a half-WACC allowance to compensate for the six month period before </w:t>
      </w:r>
      <w:r>
        <w:tab/>
      </w:r>
      <w:r w:rsidRPr="00772B52">
        <w:t>capex is added to the RAB for revenue modelling.</w:t>
      </w:r>
    </w:p>
    <w:p w:rsidR="00ED09CD" w:rsidRDefault="00A80E37" w:rsidP="00ED09CD">
      <w:pPr>
        <w:pStyle w:val="Heading2"/>
      </w:pPr>
      <w:bookmarkStart w:id="13" w:name="_Toc402784931"/>
      <w:bookmarkStart w:id="14" w:name="_Toc404190275"/>
      <w:bookmarkEnd w:id="11"/>
      <w:r>
        <w:t>Directlink</w:t>
      </w:r>
      <w:r w:rsidR="00ED09CD">
        <w:t>'s proposal</w:t>
      </w:r>
      <w:bookmarkEnd w:id="13"/>
      <w:bookmarkEnd w:id="14"/>
    </w:p>
    <w:p w:rsidR="00A80E37" w:rsidRPr="008863AB" w:rsidRDefault="00A80E37" w:rsidP="00A80E37">
      <w:pPr>
        <w:pStyle w:val="AERbodytext"/>
      </w:pPr>
      <w:r>
        <w:t>Directlink</w:t>
      </w:r>
      <w:r w:rsidRPr="008863AB">
        <w:t xml:space="preserve"> </w:t>
      </w:r>
      <w:r>
        <w:t>used the AER's roll forward model (RFM) t</w:t>
      </w:r>
      <w:r w:rsidRPr="008863AB">
        <w:t>o establish its proposed opening</w:t>
      </w:r>
      <w:r>
        <w:t xml:space="preserve"> RAB</w:t>
      </w:r>
      <w:r w:rsidRPr="008863AB">
        <w:t xml:space="preserve"> </w:t>
      </w:r>
      <w:r>
        <w:t>value</w:t>
      </w:r>
      <w:r w:rsidRPr="008863AB">
        <w:t xml:space="preserve"> of $</w:t>
      </w:r>
      <w:r>
        <w:t>129.8</w:t>
      </w:r>
      <w:r w:rsidRPr="008863AB">
        <w:t xml:space="preserve"> million ($ nominal) as at 1 July 201</w:t>
      </w:r>
      <w:r>
        <w:t>5.</w:t>
      </w:r>
      <w:r w:rsidR="00455201">
        <w:rPr>
          <w:rStyle w:val="FootnoteReference"/>
        </w:rPr>
        <w:footnoteReference w:id="8"/>
      </w:r>
      <w:r w:rsidRPr="008863AB">
        <w:t xml:space="preserve"> </w:t>
      </w:r>
      <w:r>
        <w:t xml:space="preserve">It </w:t>
      </w:r>
      <w:r w:rsidRPr="008863AB">
        <w:t>proposed a closing RAB of $</w:t>
      </w:r>
      <w:r>
        <w:t>158.0</w:t>
      </w:r>
      <w:r w:rsidRPr="008863AB">
        <w:t xml:space="preserve"> million ($</w:t>
      </w:r>
      <w:r w:rsidR="00455201">
        <w:t> </w:t>
      </w:r>
      <w:r w:rsidRPr="008863AB">
        <w:t>nominal) at 30 June 20</w:t>
      </w:r>
      <w:r>
        <w:t>20</w:t>
      </w:r>
      <w:r w:rsidRPr="008863AB">
        <w:t xml:space="preserve">, which reflects its </w:t>
      </w:r>
      <w:r>
        <w:t xml:space="preserve">proposed </w:t>
      </w:r>
      <w:r w:rsidRPr="008863AB">
        <w:t>forecast capex, inflation and depreciation over</w:t>
      </w:r>
      <w:r w:rsidR="00455201">
        <w:t xml:space="preserve"> </w:t>
      </w:r>
      <w:r w:rsidRPr="008863AB">
        <w:t>the</w:t>
      </w:r>
      <w:r w:rsidR="00455201">
        <w:t xml:space="preserve"> </w:t>
      </w:r>
      <w:r w:rsidR="007C1218">
        <w:br/>
      </w:r>
      <w:r w:rsidRPr="008863AB">
        <w:t>201</w:t>
      </w:r>
      <w:r>
        <w:t>5</w:t>
      </w:r>
      <w:r w:rsidRPr="008863AB">
        <w:t>–</w:t>
      </w:r>
      <w:r>
        <w:t>20</w:t>
      </w:r>
      <w:r w:rsidRPr="008863AB">
        <w:t xml:space="preserve"> regulatory control period.</w:t>
      </w:r>
      <w:r w:rsidRPr="008863AB">
        <w:rPr>
          <w:rStyle w:val="FootnoteReference"/>
        </w:rPr>
        <w:footnoteReference w:id="9"/>
      </w:r>
      <w:r>
        <w:t xml:space="preserve"> </w:t>
      </w:r>
      <w:r w:rsidR="00C90455">
        <w:fldChar w:fldCharType="begin"/>
      </w:r>
      <w:r w:rsidR="00C90455">
        <w:instrText xml:space="preserve"> REF _Ref402785082 \h </w:instrText>
      </w:r>
      <w:r w:rsidR="00C90455">
        <w:fldChar w:fldCharType="separate"/>
      </w:r>
      <w:r w:rsidR="003D2EB5">
        <w:t>Table 2</w:t>
      </w:r>
      <w:r w:rsidR="003D2EB5">
        <w:noBreakHyphen/>
      </w:r>
      <w:r w:rsidR="003D2EB5">
        <w:rPr>
          <w:noProof/>
        </w:rPr>
        <w:t>3</w:t>
      </w:r>
      <w:r w:rsidR="00C90455">
        <w:fldChar w:fldCharType="end"/>
      </w:r>
      <w:r w:rsidR="00C90455">
        <w:t xml:space="preserve"> and </w:t>
      </w:r>
      <w:r w:rsidR="00C90455">
        <w:fldChar w:fldCharType="begin"/>
      </w:r>
      <w:r w:rsidR="00C90455">
        <w:instrText xml:space="preserve"> REF _Ref402784972 \h </w:instrText>
      </w:r>
      <w:r w:rsidR="00C90455">
        <w:fldChar w:fldCharType="separate"/>
      </w:r>
      <w:r w:rsidR="003D2EB5" w:rsidRPr="008863AB">
        <w:t xml:space="preserve">Table </w:t>
      </w:r>
      <w:r w:rsidR="003D2EB5">
        <w:t>2</w:t>
      </w:r>
      <w:r w:rsidR="003D2EB5">
        <w:noBreakHyphen/>
      </w:r>
      <w:r w:rsidR="003D2EB5">
        <w:rPr>
          <w:noProof/>
        </w:rPr>
        <w:t>4</w:t>
      </w:r>
      <w:r w:rsidR="00C90455">
        <w:fldChar w:fldCharType="end"/>
      </w:r>
      <w:r w:rsidR="00C90455">
        <w:t xml:space="preserve"> </w:t>
      </w:r>
      <w:r w:rsidRPr="008863AB">
        <w:t xml:space="preserve">present </w:t>
      </w:r>
      <w:r>
        <w:t>Directlink</w:t>
      </w:r>
      <w:r w:rsidRPr="008863AB">
        <w:t>'s proposed roll forward of the RAB during the 200</w:t>
      </w:r>
      <w:r>
        <w:t>5</w:t>
      </w:r>
      <w:r w:rsidRPr="008863AB">
        <w:t>–1</w:t>
      </w:r>
      <w:r>
        <w:t>5</w:t>
      </w:r>
      <w:r w:rsidRPr="008863AB">
        <w:t xml:space="preserve"> regulatory control period and the 201</w:t>
      </w:r>
      <w:r>
        <w:t>5</w:t>
      </w:r>
      <w:r w:rsidRPr="008863AB">
        <w:t>–</w:t>
      </w:r>
      <w:r>
        <w:t>20</w:t>
      </w:r>
      <w:r w:rsidRPr="008863AB">
        <w:t xml:space="preserve"> regulatory control period</w:t>
      </w:r>
      <w:r>
        <w:t>,</w:t>
      </w:r>
      <w:r w:rsidRPr="008863AB">
        <w:t xml:space="preserve"> respectively.</w:t>
      </w:r>
      <w:r w:rsidR="00A52C66">
        <w:t xml:space="preserve"> The RAB roll forward for the 200</w:t>
      </w:r>
      <w:r w:rsidR="006C7908">
        <w:t>5</w:t>
      </w:r>
      <w:r w:rsidR="00A52C66">
        <w:t>–1</w:t>
      </w:r>
      <w:r w:rsidR="001538B3">
        <w:t>5</w:t>
      </w:r>
      <w:r w:rsidR="00A52C66">
        <w:t xml:space="preserve"> regulatory control period uses depreciation based </w:t>
      </w:r>
      <w:r w:rsidR="00A52C66">
        <w:lastRenderedPageBreak/>
        <w:t>on the allowance in the 2006 revenue cap decision</w:t>
      </w:r>
      <w:r w:rsidR="006C7908">
        <w:t>.</w:t>
      </w:r>
      <w:r w:rsidR="006C7908">
        <w:rPr>
          <w:rStyle w:val="FootnoteReference"/>
        </w:rPr>
        <w:footnoteReference w:id="10"/>
      </w:r>
      <w:r w:rsidR="006C7908">
        <w:t xml:space="preserve"> </w:t>
      </w:r>
      <w:r w:rsidR="00A52C66">
        <w:t>The projected RAB roll forward for the 2015–20 regulatory control period uses depreciation based on forecast capex. Directlink proposed that depreciation for establishing the RAB as at the commencement of 1 July 2020 at the next reset be based on forecast capex.</w:t>
      </w:r>
    </w:p>
    <w:p w:rsidR="00A80E37" w:rsidRPr="008863AB" w:rsidRDefault="00C90455" w:rsidP="00C90455">
      <w:pPr>
        <w:pStyle w:val="Caption"/>
      </w:pPr>
      <w:bookmarkStart w:id="15" w:name="_Ref402785082"/>
      <w:r>
        <w:t xml:space="preserve">Table </w:t>
      </w:r>
      <w:r w:rsidR="003D2EB5">
        <w:t>2</w:t>
      </w:r>
      <w:r>
        <w:noBreakHyphen/>
      </w:r>
      <w:r w:rsidR="00FC3B4F">
        <w:fldChar w:fldCharType="begin"/>
      </w:r>
      <w:r w:rsidR="00FC3B4F">
        <w:instrText xml:space="preserve"> SEQ Table \* ARABIC \s 1 </w:instrText>
      </w:r>
      <w:r w:rsidR="00FC3B4F">
        <w:fldChar w:fldCharType="separate"/>
      </w:r>
      <w:r>
        <w:rPr>
          <w:noProof/>
        </w:rPr>
        <w:t>3</w:t>
      </w:r>
      <w:r w:rsidR="00FC3B4F">
        <w:rPr>
          <w:noProof/>
        </w:rPr>
        <w:fldChar w:fldCharType="end"/>
      </w:r>
      <w:bookmarkEnd w:id="15"/>
      <w:r>
        <w:tab/>
      </w:r>
      <w:r w:rsidR="00A80E37">
        <w:t>Directlink</w:t>
      </w:r>
      <w:r w:rsidR="00A80E37" w:rsidRPr="008863AB">
        <w:t>'s proposed RAB for the 200</w:t>
      </w:r>
      <w:r w:rsidR="00A80E37">
        <w:t>5</w:t>
      </w:r>
      <w:r w:rsidR="00A80E37" w:rsidRPr="008863AB">
        <w:t>–1</w:t>
      </w:r>
      <w:r w:rsidR="00A80E37">
        <w:t>5</w:t>
      </w:r>
      <w:r w:rsidR="00A80E37" w:rsidRPr="008863AB">
        <w:t xml:space="preserve"> regulatory control period </w:t>
      </w:r>
      <w:r w:rsidR="00A80E37" w:rsidRPr="008863AB">
        <w:br/>
        <w:t>($ million, nominal)</w:t>
      </w:r>
    </w:p>
    <w:tbl>
      <w:tblPr>
        <w:tblStyle w:val="AERtable-numbers"/>
        <w:tblW w:w="5000" w:type="pct"/>
        <w:tblLook w:val="01E0" w:firstRow="1" w:lastRow="1" w:firstColumn="1" w:lastColumn="1" w:noHBand="0" w:noVBand="0"/>
      </w:tblPr>
      <w:tblGrid>
        <w:gridCol w:w="2269"/>
        <w:gridCol w:w="689"/>
        <w:gridCol w:w="689"/>
        <w:gridCol w:w="689"/>
        <w:gridCol w:w="689"/>
        <w:gridCol w:w="689"/>
        <w:gridCol w:w="706"/>
        <w:gridCol w:w="706"/>
        <w:gridCol w:w="706"/>
        <w:gridCol w:w="706"/>
        <w:gridCol w:w="704"/>
      </w:tblGrid>
      <w:tr w:rsidR="00A80E37" w:rsidRPr="00200EA2" w:rsidTr="00A80E37">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227" w:type="pct"/>
          </w:tcPr>
          <w:p w:rsidR="00A80E37" w:rsidRPr="00AC576B" w:rsidRDefault="00A80E37" w:rsidP="00A80E37"/>
        </w:tc>
        <w:tc>
          <w:tcPr>
            <w:tcW w:w="372" w:type="pct"/>
          </w:tcPr>
          <w:p w:rsidR="00A80E37" w:rsidRPr="00AC576B"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AC576B">
              <w:t>2005–06</w:t>
            </w:r>
          </w:p>
        </w:tc>
        <w:tc>
          <w:tcPr>
            <w:tcW w:w="373" w:type="pct"/>
          </w:tcPr>
          <w:p w:rsidR="00A80E37" w:rsidRPr="00AC576B"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AC576B">
              <w:t>2006–07</w:t>
            </w:r>
          </w:p>
        </w:tc>
        <w:tc>
          <w:tcPr>
            <w:tcW w:w="373" w:type="pct"/>
          </w:tcPr>
          <w:p w:rsidR="00A80E37" w:rsidRPr="00AC576B"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AC576B">
              <w:t>2007–08</w:t>
            </w:r>
          </w:p>
        </w:tc>
        <w:tc>
          <w:tcPr>
            <w:tcW w:w="373" w:type="pct"/>
          </w:tcPr>
          <w:p w:rsidR="00A80E37" w:rsidRPr="00AC576B"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AC576B">
              <w:t>2008–09</w:t>
            </w:r>
          </w:p>
        </w:tc>
        <w:tc>
          <w:tcPr>
            <w:tcW w:w="373" w:type="pct"/>
          </w:tcPr>
          <w:p w:rsidR="00A80E37" w:rsidRPr="00AC576B"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AC576B">
              <w:t>2009–10</w:t>
            </w:r>
          </w:p>
        </w:tc>
        <w:tc>
          <w:tcPr>
            <w:tcW w:w="382" w:type="pct"/>
          </w:tcPr>
          <w:p w:rsidR="00A80E37" w:rsidRPr="00AC576B"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AC576B">
              <w:t>2010–11</w:t>
            </w:r>
          </w:p>
        </w:tc>
        <w:tc>
          <w:tcPr>
            <w:tcW w:w="382" w:type="pct"/>
          </w:tcPr>
          <w:p w:rsidR="00A80E37" w:rsidRPr="00AC576B"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AC576B">
              <w:t>2011–12</w:t>
            </w:r>
          </w:p>
        </w:tc>
        <w:tc>
          <w:tcPr>
            <w:tcW w:w="382" w:type="pct"/>
          </w:tcPr>
          <w:p w:rsidR="00A80E37" w:rsidRPr="00A80E37" w:rsidRDefault="00A80E37" w:rsidP="00A80E37">
            <w:pPr>
              <w:pStyle w:val="AERtabletextright"/>
              <w:cnfStyle w:val="100000000000" w:firstRow="1" w:lastRow="0" w:firstColumn="0" w:lastColumn="0" w:oddVBand="0" w:evenVBand="0" w:oddHBand="0" w:evenHBand="0" w:firstRowFirstColumn="0" w:firstRowLastColumn="0" w:lastRowFirstColumn="0" w:lastRowLastColumn="0"/>
              <w:rPr>
                <w:rStyle w:val="AERsuperscript"/>
              </w:rPr>
            </w:pPr>
            <w:r w:rsidRPr="00AC576B">
              <w:t>2012–13</w:t>
            </w:r>
          </w:p>
        </w:tc>
        <w:tc>
          <w:tcPr>
            <w:tcW w:w="382" w:type="pct"/>
          </w:tcPr>
          <w:p w:rsidR="00A80E37" w:rsidRPr="00AC576B"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AC576B">
              <w:t>2013–14</w:t>
            </w:r>
          </w:p>
        </w:tc>
        <w:tc>
          <w:tcPr>
            <w:tcW w:w="382" w:type="pct"/>
          </w:tcPr>
          <w:p w:rsidR="00A80E37" w:rsidRPr="00AC576B"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AC576B">
              <w:t>2014–15</w:t>
            </w:r>
          </w:p>
        </w:tc>
      </w:tr>
      <w:tr w:rsidR="00A80E37" w:rsidRPr="00200EA2" w:rsidTr="00A80E37">
        <w:trPr>
          <w:trHeight w:val="528"/>
        </w:trPr>
        <w:tc>
          <w:tcPr>
            <w:cnfStyle w:val="001000000000" w:firstRow="0" w:lastRow="0" w:firstColumn="1" w:lastColumn="0" w:oddVBand="0" w:evenVBand="0" w:oddHBand="0" w:evenHBand="0" w:firstRowFirstColumn="0" w:firstRowLastColumn="0" w:lastRowFirstColumn="0" w:lastRowLastColumn="0"/>
            <w:tcW w:w="1227" w:type="pct"/>
          </w:tcPr>
          <w:p w:rsidR="00A80E37" w:rsidRPr="008863AB" w:rsidRDefault="00A80E37" w:rsidP="00A80E37">
            <w:pPr>
              <w:pStyle w:val="AERtabletextleft"/>
            </w:pPr>
            <w:r w:rsidRPr="008863AB">
              <w:t>Opening RAB</w:t>
            </w:r>
          </w:p>
        </w:tc>
        <w:tc>
          <w:tcPr>
            <w:tcW w:w="37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116.7</w:t>
            </w:r>
          </w:p>
        </w:tc>
        <w:tc>
          <w:tcPr>
            <w:tcW w:w="373"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119.2</w:t>
            </w:r>
          </w:p>
        </w:tc>
        <w:tc>
          <w:tcPr>
            <w:tcW w:w="373"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119.7</w:t>
            </w:r>
          </w:p>
        </w:tc>
        <w:tc>
          <w:tcPr>
            <w:tcW w:w="373"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121.5</w:t>
            </w:r>
          </w:p>
        </w:tc>
        <w:tc>
          <w:tcPr>
            <w:tcW w:w="373"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121.1</w:t>
            </w:r>
          </w:p>
        </w:tc>
        <w:tc>
          <w:tcPr>
            <w:tcW w:w="38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121.1</w:t>
            </w:r>
          </w:p>
        </w:tc>
        <w:tc>
          <w:tcPr>
            <w:tcW w:w="38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123.8</w:t>
            </w:r>
          </w:p>
        </w:tc>
        <w:tc>
          <w:tcPr>
            <w:tcW w:w="38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123.7</w:t>
            </w:r>
          </w:p>
        </w:tc>
        <w:tc>
          <w:tcPr>
            <w:tcW w:w="38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123.8</w:t>
            </w:r>
          </w:p>
        </w:tc>
        <w:tc>
          <w:tcPr>
            <w:tcW w:w="38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127.4</w:t>
            </w:r>
          </w:p>
        </w:tc>
      </w:tr>
      <w:tr w:rsidR="00A80E37" w:rsidRPr="00200EA2" w:rsidTr="00A80E37">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227" w:type="pct"/>
          </w:tcPr>
          <w:p w:rsidR="00A80E37" w:rsidRPr="00A80E37" w:rsidRDefault="00A80E37" w:rsidP="00A80E37">
            <w:pPr>
              <w:pStyle w:val="AERtabletextleft"/>
            </w:pPr>
            <w:r w:rsidRPr="008863AB">
              <w:t>Capital expenditure</w:t>
            </w:r>
            <w:r w:rsidRPr="00A80E37">
              <w:rPr>
                <w:rStyle w:val="AERsuperscript"/>
              </w:rPr>
              <w:t>a</w:t>
            </w:r>
            <w:r w:rsidRPr="00A80E37">
              <w:t xml:space="preserve"> </w:t>
            </w:r>
          </w:p>
        </w:tc>
        <w:tc>
          <w:tcPr>
            <w:tcW w:w="372"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2.1</w:t>
            </w:r>
          </w:p>
        </w:tc>
        <w:tc>
          <w:tcPr>
            <w:tcW w:w="373"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0.</w:t>
            </w:r>
            <w:r w:rsidRPr="00A80E37">
              <w:t>9</w:t>
            </w:r>
          </w:p>
        </w:tc>
        <w:tc>
          <w:tcPr>
            <w:tcW w:w="373"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0.0</w:t>
            </w:r>
          </w:p>
        </w:tc>
        <w:tc>
          <w:tcPr>
            <w:tcW w:w="373"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0.0</w:t>
            </w:r>
          </w:p>
        </w:tc>
        <w:tc>
          <w:tcPr>
            <w:tcW w:w="373"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0.0</w:t>
            </w:r>
          </w:p>
        </w:tc>
        <w:tc>
          <w:tcPr>
            <w:tcW w:w="382"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2.2</w:t>
            </w:r>
          </w:p>
        </w:tc>
        <w:tc>
          <w:tcPr>
            <w:tcW w:w="382"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1.7</w:t>
            </w:r>
          </w:p>
        </w:tc>
        <w:tc>
          <w:tcPr>
            <w:tcW w:w="382"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0.7</w:t>
            </w:r>
          </w:p>
        </w:tc>
        <w:tc>
          <w:tcPr>
            <w:tcW w:w="382" w:type="pct"/>
          </w:tcPr>
          <w:p w:rsidR="00A80E37" w:rsidRPr="00D254A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t>3.9</w:t>
            </w:r>
            <w:r w:rsidR="00D254A7">
              <w:rPr>
                <w:rStyle w:val="AERsuperscript"/>
              </w:rPr>
              <w:t>c</w:t>
            </w:r>
          </w:p>
        </w:tc>
        <w:tc>
          <w:tcPr>
            <w:tcW w:w="382" w:type="pct"/>
          </w:tcPr>
          <w:p w:rsidR="00A80E37" w:rsidRPr="00D254A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t>3.2</w:t>
            </w:r>
            <w:r w:rsidR="00D254A7">
              <w:rPr>
                <w:rStyle w:val="AERsuperscript"/>
              </w:rPr>
              <w:t>c</w:t>
            </w:r>
          </w:p>
        </w:tc>
      </w:tr>
      <w:tr w:rsidR="00A80E37" w:rsidRPr="00200EA2" w:rsidTr="00A80E37">
        <w:trPr>
          <w:trHeight w:val="528"/>
        </w:trPr>
        <w:tc>
          <w:tcPr>
            <w:cnfStyle w:val="001000000000" w:firstRow="0" w:lastRow="0" w:firstColumn="1" w:lastColumn="0" w:oddVBand="0" w:evenVBand="0" w:oddHBand="0" w:evenHBand="0" w:firstRowFirstColumn="0" w:firstRowLastColumn="0" w:lastRowFirstColumn="0" w:lastRowLastColumn="0"/>
            <w:tcW w:w="1227" w:type="pct"/>
          </w:tcPr>
          <w:p w:rsidR="00A80E37" w:rsidRPr="008863AB" w:rsidRDefault="00A80E37" w:rsidP="00A80E37">
            <w:pPr>
              <w:pStyle w:val="AERtabletextleft"/>
            </w:pPr>
            <w:r w:rsidRPr="008863AB">
              <w:t>CPI indexation on opening RAB</w:t>
            </w:r>
          </w:p>
        </w:tc>
        <w:tc>
          <w:tcPr>
            <w:tcW w:w="37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3.5</w:t>
            </w:r>
          </w:p>
        </w:tc>
        <w:tc>
          <w:tcPr>
            <w:tcW w:w="373"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2.9</w:t>
            </w:r>
          </w:p>
        </w:tc>
        <w:tc>
          <w:tcPr>
            <w:tcW w:w="373"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5.1</w:t>
            </w:r>
          </w:p>
        </w:tc>
        <w:tc>
          <w:tcPr>
            <w:tcW w:w="373"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3.0</w:t>
            </w:r>
          </w:p>
        </w:tc>
        <w:tc>
          <w:tcPr>
            <w:tcW w:w="373"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3.5</w:t>
            </w:r>
          </w:p>
        </w:tc>
        <w:tc>
          <w:tcPr>
            <w:tcW w:w="38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4.0</w:t>
            </w:r>
          </w:p>
        </w:tc>
        <w:tc>
          <w:tcPr>
            <w:tcW w:w="38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2.0</w:t>
            </w:r>
          </w:p>
        </w:tc>
        <w:tc>
          <w:tcPr>
            <w:tcW w:w="38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3.1</w:t>
            </w:r>
          </w:p>
        </w:tc>
        <w:tc>
          <w:tcPr>
            <w:tcW w:w="38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3.6</w:t>
            </w:r>
          </w:p>
        </w:tc>
        <w:tc>
          <w:tcPr>
            <w:tcW w:w="38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3.2</w:t>
            </w:r>
          </w:p>
        </w:tc>
      </w:tr>
      <w:tr w:rsidR="00A80E37" w:rsidRPr="00200EA2" w:rsidTr="00A80E37">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227" w:type="pct"/>
          </w:tcPr>
          <w:p w:rsidR="00A80E37" w:rsidRPr="00A80E37" w:rsidRDefault="00A80E37" w:rsidP="00A80E37">
            <w:pPr>
              <w:pStyle w:val="AERtabletextleft"/>
            </w:pPr>
            <w:r w:rsidRPr="008863AB">
              <w:t>Straight-line depreciation</w:t>
            </w:r>
            <w:r w:rsidRPr="00A80E37">
              <w:rPr>
                <w:rStyle w:val="AERsuperscript"/>
              </w:rPr>
              <w:t>b</w:t>
            </w:r>
          </w:p>
        </w:tc>
        <w:tc>
          <w:tcPr>
            <w:tcW w:w="372"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–3.1</w:t>
            </w:r>
          </w:p>
        </w:tc>
        <w:tc>
          <w:tcPr>
            <w:tcW w:w="373"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–3.2</w:t>
            </w:r>
          </w:p>
        </w:tc>
        <w:tc>
          <w:tcPr>
            <w:tcW w:w="373"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–3.3</w:t>
            </w:r>
          </w:p>
        </w:tc>
        <w:tc>
          <w:tcPr>
            <w:tcW w:w="373"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–3.4</w:t>
            </w:r>
          </w:p>
        </w:tc>
        <w:tc>
          <w:tcPr>
            <w:tcW w:w="373"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–3.5</w:t>
            </w:r>
          </w:p>
        </w:tc>
        <w:tc>
          <w:tcPr>
            <w:tcW w:w="382"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–3.6</w:t>
            </w:r>
          </w:p>
        </w:tc>
        <w:tc>
          <w:tcPr>
            <w:tcW w:w="382"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–3.7</w:t>
            </w:r>
          </w:p>
        </w:tc>
        <w:tc>
          <w:tcPr>
            <w:tcW w:w="382"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–3.8</w:t>
            </w:r>
          </w:p>
        </w:tc>
        <w:tc>
          <w:tcPr>
            <w:tcW w:w="382"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–3.9</w:t>
            </w:r>
          </w:p>
        </w:tc>
        <w:tc>
          <w:tcPr>
            <w:tcW w:w="382"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–4.0</w:t>
            </w:r>
          </w:p>
        </w:tc>
      </w:tr>
      <w:tr w:rsidR="00A80E37" w:rsidRPr="00200EA2" w:rsidTr="00A80E37">
        <w:trPr>
          <w:trHeight w:val="528"/>
        </w:trPr>
        <w:tc>
          <w:tcPr>
            <w:cnfStyle w:val="001000000000" w:firstRow="0" w:lastRow="0" w:firstColumn="1" w:lastColumn="0" w:oddVBand="0" w:evenVBand="0" w:oddHBand="0" w:evenHBand="0" w:firstRowFirstColumn="0" w:firstRowLastColumn="0" w:lastRowFirstColumn="0" w:lastRowLastColumn="0"/>
            <w:tcW w:w="1227" w:type="pct"/>
          </w:tcPr>
          <w:p w:rsidR="00A80E37" w:rsidRPr="008863AB" w:rsidRDefault="00A80E37" w:rsidP="00A80E37">
            <w:pPr>
              <w:pStyle w:val="AERtabletextleft"/>
            </w:pPr>
            <w:r w:rsidRPr="008863AB">
              <w:t>Closing RAB</w:t>
            </w:r>
          </w:p>
        </w:tc>
        <w:tc>
          <w:tcPr>
            <w:tcW w:w="37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119.2</w:t>
            </w:r>
          </w:p>
        </w:tc>
        <w:tc>
          <w:tcPr>
            <w:tcW w:w="373"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119.7</w:t>
            </w:r>
          </w:p>
        </w:tc>
        <w:tc>
          <w:tcPr>
            <w:tcW w:w="373"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121.5</w:t>
            </w:r>
          </w:p>
        </w:tc>
        <w:tc>
          <w:tcPr>
            <w:tcW w:w="373"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121.1</w:t>
            </w:r>
          </w:p>
        </w:tc>
        <w:tc>
          <w:tcPr>
            <w:tcW w:w="373"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121.1</w:t>
            </w:r>
          </w:p>
        </w:tc>
        <w:tc>
          <w:tcPr>
            <w:tcW w:w="38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123.8</w:t>
            </w:r>
          </w:p>
        </w:tc>
        <w:tc>
          <w:tcPr>
            <w:tcW w:w="38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123.7</w:t>
            </w:r>
          </w:p>
        </w:tc>
        <w:tc>
          <w:tcPr>
            <w:tcW w:w="38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123.8</w:t>
            </w:r>
          </w:p>
        </w:tc>
        <w:tc>
          <w:tcPr>
            <w:tcW w:w="38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127.4</w:t>
            </w:r>
          </w:p>
        </w:tc>
        <w:tc>
          <w:tcPr>
            <w:tcW w:w="382"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129.8</w:t>
            </w:r>
          </w:p>
        </w:tc>
      </w:tr>
      <w:tr w:rsidR="00A80E37" w:rsidRPr="003C0CB2" w:rsidTr="00A80E37">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227" w:type="pct"/>
          </w:tcPr>
          <w:p w:rsidR="00A80E37" w:rsidRPr="003C0CB2" w:rsidRDefault="00A80E37" w:rsidP="003C0CB2">
            <w:pPr>
              <w:pStyle w:val="AERtabletextleft"/>
              <w:rPr>
                <w:rStyle w:val="AERtextbold"/>
              </w:rPr>
            </w:pPr>
            <w:r w:rsidRPr="003C0CB2">
              <w:rPr>
                <w:rStyle w:val="AERtextbold"/>
              </w:rPr>
              <w:t xml:space="preserve">Opening RAB as at </w:t>
            </w:r>
            <w:r w:rsidR="003C0CB2">
              <w:rPr>
                <w:rStyle w:val="AERtextbold"/>
              </w:rPr>
              <w:br/>
            </w:r>
            <w:r w:rsidRPr="003C0CB2">
              <w:rPr>
                <w:rStyle w:val="AERtextbold"/>
              </w:rPr>
              <w:t>1 July 201</w:t>
            </w:r>
            <w:r w:rsidR="003C0CB2" w:rsidRPr="003C0CB2">
              <w:rPr>
                <w:rStyle w:val="AERtextbold"/>
              </w:rPr>
              <w:t>5</w:t>
            </w:r>
          </w:p>
        </w:tc>
        <w:tc>
          <w:tcPr>
            <w:tcW w:w="372" w:type="pct"/>
          </w:tcPr>
          <w:p w:rsidR="00A80E37" w:rsidRPr="003C0CB2" w:rsidRDefault="00A80E37" w:rsidP="00A80E3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373" w:type="pct"/>
          </w:tcPr>
          <w:p w:rsidR="00A80E37" w:rsidRPr="003C0CB2" w:rsidRDefault="00A80E37" w:rsidP="00A80E3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373" w:type="pct"/>
          </w:tcPr>
          <w:p w:rsidR="00A80E37" w:rsidRPr="003C0CB2" w:rsidRDefault="00A80E37" w:rsidP="00A80E3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373" w:type="pct"/>
          </w:tcPr>
          <w:p w:rsidR="00A80E37" w:rsidRPr="003C0CB2" w:rsidRDefault="00A80E37" w:rsidP="00A80E3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373" w:type="pct"/>
          </w:tcPr>
          <w:p w:rsidR="00A80E37" w:rsidRPr="003C0CB2" w:rsidRDefault="00A80E37" w:rsidP="00A80E3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382" w:type="pct"/>
          </w:tcPr>
          <w:p w:rsidR="00A80E37" w:rsidRPr="003C0CB2" w:rsidRDefault="00A80E37" w:rsidP="00A80E3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382" w:type="pct"/>
          </w:tcPr>
          <w:p w:rsidR="00A80E37" w:rsidRPr="003C0CB2" w:rsidRDefault="00A80E37" w:rsidP="00A80E3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382" w:type="pct"/>
          </w:tcPr>
          <w:p w:rsidR="00A80E37" w:rsidRPr="003C0CB2" w:rsidRDefault="00A80E37" w:rsidP="00A80E3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382" w:type="pct"/>
          </w:tcPr>
          <w:p w:rsidR="00A80E37" w:rsidRPr="003C0CB2" w:rsidRDefault="00A80E37" w:rsidP="00A80E3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382" w:type="pct"/>
          </w:tcPr>
          <w:p w:rsidR="00A80E37" w:rsidRPr="003C0CB2" w:rsidRDefault="00A80E37" w:rsidP="00A80E3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3C0CB2">
              <w:rPr>
                <w:rStyle w:val="AERtextbold"/>
              </w:rPr>
              <w:t>129.8</w:t>
            </w:r>
          </w:p>
        </w:tc>
      </w:tr>
    </w:tbl>
    <w:p w:rsidR="00A80E37" w:rsidRPr="008863AB" w:rsidRDefault="00A80E37" w:rsidP="00A80E37">
      <w:pPr>
        <w:pStyle w:val="AERtablesource"/>
      </w:pPr>
      <w:r w:rsidRPr="008863AB">
        <w:t>Source:</w:t>
      </w:r>
      <w:r w:rsidRPr="008863AB">
        <w:tab/>
      </w:r>
      <w:r>
        <w:t>Directlink</w:t>
      </w:r>
      <w:r w:rsidRPr="008863AB">
        <w:t xml:space="preserve">, </w:t>
      </w:r>
      <w:r w:rsidRPr="008863AB">
        <w:rPr>
          <w:rStyle w:val="AERtextitalic"/>
        </w:rPr>
        <w:t>Roll forward model</w:t>
      </w:r>
      <w:r w:rsidRPr="008863AB">
        <w:t xml:space="preserve">, </w:t>
      </w:r>
      <w:r>
        <w:t>May</w:t>
      </w:r>
      <w:r w:rsidRPr="008863AB">
        <w:t xml:space="preserve"> 2014.</w:t>
      </w:r>
    </w:p>
    <w:p w:rsidR="00A80E37" w:rsidRPr="008863AB" w:rsidRDefault="00A80E37" w:rsidP="00A80E37">
      <w:pPr>
        <w:pStyle w:val="AERtablesource"/>
      </w:pPr>
      <w:r w:rsidRPr="008863AB">
        <w:t xml:space="preserve">(a) </w:t>
      </w:r>
      <w:r w:rsidRPr="008863AB">
        <w:tab/>
        <w:t>As incurred, net of disposals, and adjusted for actual CPI.</w:t>
      </w:r>
    </w:p>
    <w:p w:rsidR="00D254A7" w:rsidRDefault="00A80E37" w:rsidP="00A80E37">
      <w:pPr>
        <w:pStyle w:val="AERtablesource"/>
      </w:pPr>
      <w:r w:rsidRPr="008863AB">
        <w:t>(b)</w:t>
      </w:r>
      <w:r w:rsidRPr="008863AB">
        <w:tab/>
      </w:r>
      <w:r>
        <w:t>Based on forecast depreciation and a</w:t>
      </w:r>
      <w:r w:rsidRPr="008863AB">
        <w:t>djusted for actual CPI.</w:t>
      </w:r>
    </w:p>
    <w:p w:rsidR="00A80E37" w:rsidRPr="008863AB" w:rsidRDefault="00D254A7" w:rsidP="00A80E37">
      <w:pPr>
        <w:pStyle w:val="AERtablesource"/>
      </w:pPr>
      <w:r>
        <w:t>(c)</w:t>
      </w:r>
      <w:r>
        <w:tab/>
        <w:t>Based on estimated capex.</w:t>
      </w:r>
      <w:r w:rsidR="00A80E37" w:rsidRPr="008863AB">
        <w:t xml:space="preserve"> </w:t>
      </w:r>
    </w:p>
    <w:p w:rsidR="00A80E37" w:rsidRPr="008863AB" w:rsidRDefault="00A80E37" w:rsidP="00A80E37">
      <w:pPr>
        <w:pStyle w:val="Caption"/>
      </w:pPr>
      <w:bookmarkStart w:id="16" w:name="_Ref402784972"/>
      <w:r w:rsidRPr="008863AB">
        <w:t xml:space="preserve">Table </w:t>
      </w:r>
      <w:r w:rsidR="003D2EB5">
        <w:t>2</w:t>
      </w:r>
      <w:r w:rsidR="00C90455">
        <w:noBreakHyphen/>
      </w:r>
      <w:r w:rsidR="00FC3B4F">
        <w:fldChar w:fldCharType="begin"/>
      </w:r>
      <w:r w:rsidR="00FC3B4F">
        <w:instrText xml:space="preserve"> SEQ Table \* ARABIC \s 1 </w:instrText>
      </w:r>
      <w:r w:rsidR="00FC3B4F">
        <w:fldChar w:fldCharType="separate"/>
      </w:r>
      <w:r w:rsidR="00C90455">
        <w:rPr>
          <w:noProof/>
        </w:rPr>
        <w:t>4</w:t>
      </w:r>
      <w:r w:rsidR="00FC3B4F">
        <w:rPr>
          <w:noProof/>
        </w:rPr>
        <w:fldChar w:fldCharType="end"/>
      </w:r>
      <w:bookmarkEnd w:id="16"/>
      <w:r w:rsidRPr="008863AB">
        <w:tab/>
      </w:r>
      <w:r>
        <w:t>Directlink</w:t>
      </w:r>
      <w:r w:rsidRPr="008863AB">
        <w:t>'s proposed RAB for the 201</w:t>
      </w:r>
      <w:r>
        <w:t>5–20</w:t>
      </w:r>
      <w:r w:rsidRPr="008863AB">
        <w:t xml:space="preserve"> regulatory control period </w:t>
      </w:r>
      <w:r w:rsidRPr="008863AB">
        <w:br/>
        <w:t>($ million, nominal)</w:t>
      </w:r>
    </w:p>
    <w:tbl>
      <w:tblPr>
        <w:tblStyle w:val="AERtable-numbers"/>
        <w:tblW w:w="5000" w:type="pct"/>
        <w:tblLook w:val="01E0" w:firstRow="1" w:lastRow="1" w:firstColumn="1" w:lastColumn="1" w:noHBand="0" w:noVBand="0"/>
      </w:tblPr>
      <w:tblGrid>
        <w:gridCol w:w="3657"/>
        <w:gridCol w:w="1120"/>
        <w:gridCol w:w="1118"/>
        <w:gridCol w:w="1116"/>
        <w:gridCol w:w="1116"/>
        <w:gridCol w:w="1115"/>
      </w:tblGrid>
      <w:tr w:rsidR="00A80E37" w:rsidRPr="00092AED" w:rsidTr="00A80E37">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978" w:type="pct"/>
          </w:tcPr>
          <w:p w:rsidR="00A80E37" w:rsidRPr="002066AB" w:rsidRDefault="00A80E37" w:rsidP="00A80E37"/>
        </w:tc>
        <w:tc>
          <w:tcPr>
            <w:tcW w:w="606" w:type="pct"/>
          </w:tcPr>
          <w:p w:rsidR="00A80E37" w:rsidRPr="002066AB"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2066AB">
              <w:t>2015–16</w:t>
            </w:r>
          </w:p>
        </w:tc>
        <w:tc>
          <w:tcPr>
            <w:tcW w:w="605" w:type="pct"/>
          </w:tcPr>
          <w:p w:rsidR="00A80E37" w:rsidRPr="002066AB"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2066AB">
              <w:t>2016–17</w:t>
            </w:r>
          </w:p>
        </w:tc>
        <w:tc>
          <w:tcPr>
            <w:tcW w:w="604" w:type="pct"/>
          </w:tcPr>
          <w:p w:rsidR="00A80E37" w:rsidRPr="002066AB"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2066AB">
              <w:t>2017–18</w:t>
            </w:r>
          </w:p>
        </w:tc>
        <w:tc>
          <w:tcPr>
            <w:tcW w:w="604" w:type="pct"/>
          </w:tcPr>
          <w:p w:rsidR="00A80E37" w:rsidRPr="002066AB"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2066AB">
              <w:t>2018–19</w:t>
            </w:r>
          </w:p>
        </w:tc>
        <w:tc>
          <w:tcPr>
            <w:tcW w:w="603" w:type="pct"/>
          </w:tcPr>
          <w:p w:rsidR="00A80E37" w:rsidRPr="00A80E37" w:rsidRDefault="00A80E37" w:rsidP="00A80E37">
            <w:pPr>
              <w:pStyle w:val="AERtabletextright"/>
              <w:cnfStyle w:val="100000000000" w:firstRow="1" w:lastRow="0" w:firstColumn="0" w:lastColumn="0" w:oddVBand="0" w:evenVBand="0" w:oddHBand="0" w:evenHBand="0" w:firstRowFirstColumn="0" w:firstRowLastColumn="0" w:lastRowFirstColumn="0" w:lastRowLastColumn="0"/>
            </w:pPr>
            <w:r w:rsidRPr="002066AB">
              <w:t>201</w:t>
            </w:r>
            <w:r w:rsidRPr="00A80E37">
              <w:t>9–20</w:t>
            </w:r>
          </w:p>
        </w:tc>
      </w:tr>
      <w:tr w:rsidR="00A80E37" w:rsidRPr="00D36EEF" w:rsidTr="00A80E37">
        <w:trPr>
          <w:trHeight w:val="547"/>
        </w:trPr>
        <w:tc>
          <w:tcPr>
            <w:cnfStyle w:val="001000000000" w:firstRow="0" w:lastRow="0" w:firstColumn="1" w:lastColumn="0" w:oddVBand="0" w:evenVBand="0" w:oddHBand="0" w:evenHBand="0" w:firstRowFirstColumn="0" w:firstRowLastColumn="0" w:lastRowFirstColumn="0" w:lastRowLastColumn="0"/>
            <w:tcW w:w="1978" w:type="pct"/>
          </w:tcPr>
          <w:p w:rsidR="00A80E37" w:rsidRPr="008863AB" w:rsidRDefault="00A80E37" w:rsidP="00A80E37">
            <w:pPr>
              <w:pStyle w:val="AERtabletextleft"/>
            </w:pPr>
            <w:r w:rsidRPr="008863AB">
              <w:t xml:space="preserve">Opening RAB </w:t>
            </w:r>
          </w:p>
        </w:tc>
        <w:tc>
          <w:tcPr>
            <w:tcW w:w="606"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129.8</w:t>
            </w:r>
          </w:p>
        </w:tc>
        <w:tc>
          <w:tcPr>
            <w:tcW w:w="605"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134.2</w:t>
            </w:r>
          </w:p>
        </w:tc>
        <w:tc>
          <w:tcPr>
            <w:tcW w:w="604"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138.1</w:t>
            </w:r>
          </w:p>
        </w:tc>
        <w:tc>
          <w:tcPr>
            <w:tcW w:w="604"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140.3</w:t>
            </w:r>
          </w:p>
        </w:tc>
        <w:tc>
          <w:tcPr>
            <w:tcW w:w="603"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143.6</w:t>
            </w:r>
          </w:p>
        </w:tc>
      </w:tr>
      <w:tr w:rsidR="00A80E37" w:rsidRPr="00D36EEF" w:rsidTr="00A80E37">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978" w:type="pct"/>
          </w:tcPr>
          <w:p w:rsidR="00A80E37" w:rsidRPr="00A80E37" w:rsidRDefault="00A80E37" w:rsidP="00A80E37">
            <w:pPr>
              <w:pStyle w:val="AERtabletextleft"/>
            </w:pPr>
            <w:r w:rsidRPr="008863AB">
              <w:t>Capital expenditure</w:t>
            </w:r>
            <w:r w:rsidRPr="00A80E37">
              <w:rPr>
                <w:rStyle w:val="AERsuperscript"/>
              </w:rPr>
              <w:t>a</w:t>
            </w:r>
            <w:r w:rsidRPr="00A80E37">
              <w:t xml:space="preserve"> </w:t>
            </w:r>
          </w:p>
        </w:tc>
        <w:tc>
          <w:tcPr>
            <w:tcW w:w="606"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6.2</w:t>
            </w:r>
          </w:p>
        </w:tc>
        <w:tc>
          <w:tcPr>
            <w:tcW w:w="605"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5.8</w:t>
            </w:r>
          </w:p>
        </w:tc>
        <w:tc>
          <w:tcPr>
            <w:tcW w:w="604"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4.5</w:t>
            </w:r>
          </w:p>
        </w:tc>
        <w:tc>
          <w:tcPr>
            <w:tcW w:w="604"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5.8</w:t>
            </w:r>
          </w:p>
        </w:tc>
        <w:tc>
          <w:tcPr>
            <w:tcW w:w="603"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17.2</w:t>
            </w:r>
          </w:p>
        </w:tc>
      </w:tr>
      <w:tr w:rsidR="00A80E37" w:rsidRPr="00D36EEF" w:rsidTr="00A80E37">
        <w:trPr>
          <w:trHeight w:val="547"/>
        </w:trPr>
        <w:tc>
          <w:tcPr>
            <w:cnfStyle w:val="001000000000" w:firstRow="0" w:lastRow="0" w:firstColumn="1" w:lastColumn="0" w:oddVBand="0" w:evenVBand="0" w:oddHBand="0" w:evenHBand="0" w:firstRowFirstColumn="0" w:firstRowLastColumn="0" w:lastRowFirstColumn="0" w:lastRowLastColumn="0"/>
            <w:tcW w:w="1978" w:type="pct"/>
          </w:tcPr>
          <w:p w:rsidR="00A80E37" w:rsidRPr="008863AB" w:rsidRDefault="00A80E37" w:rsidP="00A80E37">
            <w:pPr>
              <w:pStyle w:val="AERtabletextleft"/>
            </w:pPr>
            <w:r w:rsidRPr="008863AB">
              <w:t>Inflation indexation on opening RAB</w:t>
            </w:r>
          </w:p>
        </w:tc>
        <w:tc>
          <w:tcPr>
            <w:tcW w:w="606"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3.2</w:t>
            </w:r>
          </w:p>
        </w:tc>
        <w:tc>
          <w:tcPr>
            <w:tcW w:w="605"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3.4</w:t>
            </w:r>
          </w:p>
        </w:tc>
        <w:tc>
          <w:tcPr>
            <w:tcW w:w="604"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3.5</w:t>
            </w:r>
          </w:p>
        </w:tc>
        <w:tc>
          <w:tcPr>
            <w:tcW w:w="604"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3.5</w:t>
            </w:r>
          </w:p>
        </w:tc>
        <w:tc>
          <w:tcPr>
            <w:tcW w:w="603"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3.6</w:t>
            </w:r>
          </w:p>
        </w:tc>
      </w:tr>
      <w:tr w:rsidR="00A80E37" w:rsidRPr="00D36EEF" w:rsidTr="00A80E37">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978" w:type="pct"/>
          </w:tcPr>
          <w:p w:rsidR="00A80E37" w:rsidRPr="00A80E37" w:rsidRDefault="00A80E37" w:rsidP="00455201">
            <w:pPr>
              <w:pStyle w:val="AERtabletextleft"/>
            </w:pPr>
            <w:r w:rsidRPr="008863AB">
              <w:t>Straight-line depreciation</w:t>
            </w:r>
          </w:p>
        </w:tc>
        <w:tc>
          <w:tcPr>
            <w:tcW w:w="606"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–4.9</w:t>
            </w:r>
          </w:p>
        </w:tc>
        <w:tc>
          <w:tcPr>
            <w:tcW w:w="605"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–5.3</w:t>
            </w:r>
          </w:p>
        </w:tc>
        <w:tc>
          <w:tcPr>
            <w:tcW w:w="604"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–5.7</w:t>
            </w:r>
          </w:p>
        </w:tc>
        <w:tc>
          <w:tcPr>
            <w:tcW w:w="604"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–6.0</w:t>
            </w:r>
          </w:p>
        </w:tc>
        <w:tc>
          <w:tcPr>
            <w:tcW w:w="603" w:type="pct"/>
          </w:tcPr>
          <w:p w:rsidR="00A80E37" w:rsidRPr="00A80E37" w:rsidRDefault="00A80E37" w:rsidP="00A80E37">
            <w:pPr>
              <w:pStyle w:val="AERtabletextright"/>
              <w:cnfStyle w:val="000000010000" w:firstRow="0" w:lastRow="0" w:firstColumn="0" w:lastColumn="0" w:oddVBand="0" w:evenVBand="0" w:oddHBand="0" w:evenHBand="1" w:firstRowFirstColumn="0" w:firstRowLastColumn="0" w:lastRowFirstColumn="0" w:lastRowLastColumn="0"/>
            </w:pPr>
            <w:r>
              <w:t>–6.4</w:t>
            </w:r>
          </w:p>
        </w:tc>
      </w:tr>
      <w:tr w:rsidR="00A80E37" w:rsidRPr="00D36EEF" w:rsidTr="00A80E37">
        <w:trPr>
          <w:trHeight w:val="547"/>
        </w:trPr>
        <w:tc>
          <w:tcPr>
            <w:cnfStyle w:val="001000000000" w:firstRow="0" w:lastRow="0" w:firstColumn="1" w:lastColumn="0" w:oddVBand="0" w:evenVBand="0" w:oddHBand="0" w:evenHBand="0" w:firstRowFirstColumn="0" w:firstRowLastColumn="0" w:lastRowFirstColumn="0" w:lastRowLastColumn="0"/>
            <w:tcW w:w="1978" w:type="pct"/>
          </w:tcPr>
          <w:p w:rsidR="00A80E37" w:rsidRPr="00A80E37" w:rsidRDefault="00A80E37" w:rsidP="00A80E37">
            <w:pPr>
              <w:pStyle w:val="AERtabletextleft"/>
            </w:pPr>
            <w:r>
              <w:t>Closing RAB</w:t>
            </w:r>
          </w:p>
        </w:tc>
        <w:tc>
          <w:tcPr>
            <w:tcW w:w="606"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134.2</w:t>
            </w:r>
          </w:p>
        </w:tc>
        <w:tc>
          <w:tcPr>
            <w:tcW w:w="605"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138.1</w:t>
            </w:r>
          </w:p>
        </w:tc>
        <w:tc>
          <w:tcPr>
            <w:tcW w:w="604"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140.3</w:t>
            </w:r>
          </w:p>
        </w:tc>
        <w:tc>
          <w:tcPr>
            <w:tcW w:w="604"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143.6</w:t>
            </w:r>
          </w:p>
        </w:tc>
        <w:tc>
          <w:tcPr>
            <w:tcW w:w="603" w:type="pct"/>
          </w:tcPr>
          <w:p w:rsidR="00A80E37" w:rsidRPr="00A80E37" w:rsidRDefault="00A80E37" w:rsidP="00A80E37">
            <w:pPr>
              <w:pStyle w:val="AERtabletextright"/>
              <w:cnfStyle w:val="000000000000" w:firstRow="0" w:lastRow="0" w:firstColumn="0" w:lastColumn="0" w:oddVBand="0" w:evenVBand="0" w:oddHBand="0" w:evenHBand="0" w:firstRowFirstColumn="0" w:firstRowLastColumn="0" w:lastRowFirstColumn="0" w:lastRowLastColumn="0"/>
            </w:pPr>
            <w:r>
              <w:t>158.0</w:t>
            </w:r>
          </w:p>
        </w:tc>
      </w:tr>
    </w:tbl>
    <w:p w:rsidR="00A80E37" w:rsidRPr="008863AB" w:rsidRDefault="00A80E37" w:rsidP="00A80E37">
      <w:pPr>
        <w:pStyle w:val="AERtablesource"/>
      </w:pPr>
      <w:r w:rsidRPr="008863AB">
        <w:t xml:space="preserve">Source: </w:t>
      </w:r>
      <w:r w:rsidRPr="008863AB">
        <w:tab/>
      </w:r>
      <w:r>
        <w:t>Directlink</w:t>
      </w:r>
      <w:r w:rsidRPr="008863AB">
        <w:t xml:space="preserve">, </w:t>
      </w:r>
      <w:r w:rsidRPr="008863AB">
        <w:rPr>
          <w:rStyle w:val="AERtextitalic"/>
        </w:rPr>
        <w:t>Post-tax revenue model</w:t>
      </w:r>
      <w:r w:rsidRPr="008863AB">
        <w:t xml:space="preserve">, </w:t>
      </w:r>
      <w:r>
        <w:t>May</w:t>
      </w:r>
      <w:r w:rsidRPr="008863AB">
        <w:t xml:space="preserve"> 2014.</w:t>
      </w:r>
    </w:p>
    <w:p w:rsidR="00A80E37" w:rsidRPr="008863AB" w:rsidRDefault="00A80E37" w:rsidP="00A80E37">
      <w:pPr>
        <w:pStyle w:val="AERtablesource"/>
      </w:pPr>
      <w:r w:rsidRPr="008863AB">
        <w:t>(a)</w:t>
      </w:r>
      <w:r w:rsidRPr="008863AB">
        <w:tab/>
        <w:t>As incurred, and net of disposals.</w:t>
      </w:r>
    </w:p>
    <w:p w:rsidR="00B47945" w:rsidRDefault="00B47945" w:rsidP="00F0258A">
      <w:pPr>
        <w:pStyle w:val="Heading2"/>
      </w:pPr>
      <w:bookmarkStart w:id="17" w:name="_Toc402784932"/>
      <w:bookmarkStart w:id="18" w:name="_Toc404190276"/>
      <w:r w:rsidRPr="00B47945">
        <w:t>AER's assessment approach</w:t>
      </w:r>
      <w:bookmarkEnd w:id="17"/>
      <w:bookmarkEnd w:id="18"/>
    </w:p>
    <w:p w:rsidR="00C222A7" w:rsidRPr="004F4B8E" w:rsidRDefault="00892518" w:rsidP="00C222A7">
      <w:pPr>
        <w:pStyle w:val="AERbodytext"/>
      </w:pPr>
      <w:r w:rsidRPr="00892518">
        <w:t>In order to determine the RAB value for a regulatory control period, the opening value of the RAB in the previous period is adjusted by various amounts to calculate the opening RAB for the following period.</w:t>
      </w:r>
      <w:r w:rsidR="00371DCB">
        <w:rPr>
          <w:rStyle w:val="FootnoteReference"/>
        </w:rPr>
        <w:footnoteReference w:id="11"/>
      </w:r>
      <w:r>
        <w:t xml:space="preserve"> </w:t>
      </w:r>
      <w:r w:rsidR="00C222A7" w:rsidRPr="004F4B8E">
        <w:t xml:space="preserve">The RAB value </w:t>
      </w:r>
      <w:r>
        <w:t>must</w:t>
      </w:r>
      <w:r w:rsidRPr="004F4B8E">
        <w:t xml:space="preserve"> </w:t>
      </w:r>
      <w:r w:rsidR="00C222A7" w:rsidRPr="004F4B8E">
        <w:t xml:space="preserve">be adjusted for differences in the forecast and actual capex and </w:t>
      </w:r>
      <w:r w:rsidR="00C222A7" w:rsidRPr="004F4B8E">
        <w:lastRenderedPageBreak/>
        <w:t>disposals.</w:t>
      </w:r>
      <w:r w:rsidR="00371DCB">
        <w:rPr>
          <w:rStyle w:val="FootnoteReference"/>
        </w:rPr>
        <w:footnoteReference w:id="12"/>
      </w:r>
      <w:r w:rsidR="00C222A7" w:rsidRPr="004F4B8E">
        <w:t xml:space="preserve"> It may be adjusted to also reflect any changes in the use of the assets, because the RAB must include only assets used to provide prescribed transmission services.</w:t>
      </w:r>
      <w:r w:rsidR="00C222A7" w:rsidRPr="004F4B8E">
        <w:rPr>
          <w:rStyle w:val="FootnoteReference"/>
        </w:rPr>
        <w:footnoteReference w:id="13"/>
      </w:r>
    </w:p>
    <w:p w:rsidR="00C222A7" w:rsidRPr="004F4B8E" w:rsidRDefault="00C222A7" w:rsidP="00C222A7">
      <w:pPr>
        <w:pStyle w:val="AERbodytext"/>
      </w:pPr>
      <w:r w:rsidRPr="00C546DC">
        <w:t xml:space="preserve">To determine the opening RAB </w:t>
      </w:r>
      <w:r w:rsidRPr="004F4B8E">
        <w:t>for a transmission determination, we developed an asset base RFM in accordance with the requirements of the National Electricity Rules (NER).</w:t>
      </w:r>
      <w:r w:rsidRPr="004F4B8E">
        <w:rPr>
          <w:rStyle w:val="FootnoteReference"/>
        </w:rPr>
        <w:footnoteReference w:id="14"/>
      </w:r>
      <w:r w:rsidRPr="004F4B8E">
        <w:t xml:space="preserve"> A TNSP must use our RFM in preparing its revenue proposal. The RFM rolls forward the TNSP's RAB from the beginning of the final year of the previous regulatory control period, through the current regulatory control period, to the beginning of the next regulatory control period. The roll forward occurs for each regulatory year by:</w:t>
      </w:r>
    </w:p>
    <w:p w:rsidR="00C222A7" w:rsidRPr="00CB3AB2" w:rsidRDefault="00C222A7" w:rsidP="00C222A7">
      <w:pPr>
        <w:pStyle w:val="AERbulletlistfirststyle"/>
      </w:pPr>
      <w:r>
        <w:t>A</w:t>
      </w:r>
      <w:r w:rsidRPr="00CB3AB2">
        <w:t>dding an inflation (indexation) adjustment for the relevant year. This adjustment must be consistent with the inflation factor used in the annual indexation of the maximum allowed revenue (MAR).</w:t>
      </w:r>
      <w:r w:rsidRPr="00CB3AB2">
        <w:rPr>
          <w:rStyle w:val="FootnoteReference"/>
        </w:rPr>
        <w:footnoteReference w:id="15"/>
      </w:r>
    </w:p>
    <w:p w:rsidR="00C222A7" w:rsidRPr="00CB3AB2" w:rsidRDefault="00C222A7" w:rsidP="00C222A7">
      <w:pPr>
        <w:pStyle w:val="AERbulletlistfirststyle"/>
      </w:pPr>
      <w:r>
        <w:t>A</w:t>
      </w:r>
      <w:r w:rsidRPr="00CB3AB2">
        <w:t xml:space="preserve">dding </w:t>
      </w:r>
      <w:r>
        <w:t xml:space="preserve">actual or estimated </w:t>
      </w:r>
      <w:r w:rsidRPr="00CB3AB2">
        <w:t>capex for the relevant year.</w:t>
      </w:r>
      <w:r w:rsidRPr="00CB3AB2">
        <w:rPr>
          <w:rStyle w:val="FootnoteReference"/>
        </w:rPr>
        <w:footnoteReference w:id="16"/>
      </w:r>
      <w:r w:rsidRPr="00CB3AB2">
        <w:t xml:space="preserve"> </w:t>
      </w:r>
      <w:r w:rsidRPr="00E24641">
        <w:t xml:space="preserve">The NER </w:t>
      </w:r>
      <w:r>
        <w:t>allows</w:t>
      </w:r>
      <w:r w:rsidRPr="00E24641">
        <w:t xml:space="preserve"> us to review a TNSP's past capex and exclude </w:t>
      </w:r>
      <w:r>
        <w:t xml:space="preserve">inefficient past </w:t>
      </w:r>
      <w:r w:rsidRPr="00E24641">
        <w:t>capex from being rolled into the RAB.</w:t>
      </w:r>
      <w:r w:rsidRPr="00E24641">
        <w:rPr>
          <w:rStyle w:val="FootnoteReference"/>
        </w:rPr>
        <w:footnoteReference w:id="17"/>
      </w:r>
      <w:r w:rsidRPr="00E24641">
        <w:t xml:space="preserve"> We note that </w:t>
      </w:r>
      <w:r>
        <w:t>under the transitional rules, the review of past capex does not apply to Directlink's current regulatory control period (with the exception of 2014–15).</w:t>
      </w:r>
      <w:r>
        <w:rPr>
          <w:rStyle w:val="FootnoteReference"/>
        </w:rPr>
        <w:footnoteReference w:id="18"/>
      </w:r>
      <w:r>
        <w:t xml:space="preserve"> Therefore, for the purposes of this draft decision, we will add Directlink's a</w:t>
      </w:r>
      <w:r w:rsidRPr="00E24641">
        <w:t xml:space="preserve">ctual </w:t>
      </w:r>
      <w:r>
        <w:t xml:space="preserve">or estimated </w:t>
      </w:r>
      <w:r w:rsidRPr="00E24641">
        <w:t xml:space="preserve">capex </w:t>
      </w:r>
      <w:r>
        <w:t>in the current regulatory control period to the RAB</w:t>
      </w:r>
      <w:r w:rsidRPr="00E24641">
        <w:t>.</w:t>
      </w:r>
      <w:r>
        <w:t xml:space="preserve"> </w:t>
      </w:r>
      <w:r w:rsidRPr="00E24641">
        <w:t xml:space="preserve">We check actual capex amounts against </w:t>
      </w:r>
      <w:r>
        <w:t xml:space="preserve">the TNSP's </w:t>
      </w:r>
      <w:r w:rsidRPr="00E24641">
        <w:t>audited regulatory accounts data</w:t>
      </w:r>
      <w:r>
        <w:t>. W</w:t>
      </w:r>
      <w:r w:rsidRPr="000E1FB3">
        <w:t xml:space="preserve">e will update </w:t>
      </w:r>
      <w:r>
        <w:t>any</w:t>
      </w:r>
      <w:r w:rsidRPr="000E1FB3">
        <w:t xml:space="preserve"> estimated capex</w:t>
      </w:r>
      <w:r>
        <w:t xml:space="preserve"> </w:t>
      </w:r>
      <w:r w:rsidRPr="000E1FB3">
        <w:t xml:space="preserve">with actual capex at the </w:t>
      </w:r>
      <w:r>
        <w:t xml:space="preserve">time of the </w:t>
      </w:r>
      <w:r w:rsidRPr="000E1FB3">
        <w:t xml:space="preserve">next </w:t>
      </w:r>
      <w:r>
        <w:t>reset.</w:t>
      </w:r>
    </w:p>
    <w:p w:rsidR="00C222A7" w:rsidRDefault="00C222A7" w:rsidP="00C222A7">
      <w:pPr>
        <w:pStyle w:val="AERbulletlistfirststyle"/>
      </w:pPr>
      <w:r>
        <w:t>S</w:t>
      </w:r>
      <w:r w:rsidRPr="00CB3AB2">
        <w:t>ubtracting depreciation for the relevant year</w:t>
      </w:r>
      <w:r>
        <w:t>, calculated in accordance with the rates and methodologies allowed (if any) in the transmission determination for the TNSP's current regulatory control period</w:t>
      </w:r>
      <w:r w:rsidRPr="00CB3AB2">
        <w:t>.</w:t>
      </w:r>
      <w:r w:rsidRPr="008E66F1">
        <w:rPr>
          <w:rStyle w:val="FootnoteReference"/>
        </w:rPr>
        <w:footnoteReference w:id="19"/>
      </w:r>
      <w:r w:rsidRPr="00CB3AB2">
        <w:t xml:space="preserve"> </w:t>
      </w:r>
      <w:r w:rsidR="00DE4934" w:rsidRPr="0075167F">
        <w:t>Depreciation based on forecast or actual capex can be used to roll forward the RAB.</w:t>
      </w:r>
      <w:r w:rsidR="00DE4934">
        <w:rPr>
          <w:rStyle w:val="FootnoteReference"/>
        </w:rPr>
        <w:footnoteReference w:id="20"/>
      </w:r>
      <w:r w:rsidR="00DE4934" w:rsidRPr="0075167F">
        <w:t xml:space="preserve"> By default the RFM applies the depreciation approach based on actual capex, although this can be modified to apply a</w:t>
      </w:r>
      <w:r w:rsidR="00DE4934">
        <w:t xml:space="preserve"> depreciation approach based on forecast if </w:t>
      </w:r>
      <w:r w:rsidR="00DE4934" w:rsidRPr="0075167F">
        <w:t>necessary.</w:t>
      </w:r>
      <w:r w:rsidR="00DE4934">
        <w:t xml:space="preserve"> </w:t>
      </w:r>
      <w:r>
        <w:t>For this determination, we use d</w:t>
      </w:r>
      <w:r w:rsidRPr="00CB3AB2">
        <w:t xml:space="preserve">epreciation based on </w:t>
      </w:r>
      <w:r>
        <w:t>forecast</w:t>
      </w:r>
      <w:r w:rsidRPr="00CB3AB2">
        <w:t xml:space="preserve"> capex </w:t>
      </w:r>
      <w:r>
        <w:t>for</w:t>
      </w:r>
      <w:r w:rsidRPr="00CB3AB2">
        <w:t xml:space="preserve"> roll</w:t>
      </w:r>
      <w:r>
        <w:t>ing</w:t>
      </w:r>
      <w:r w:rsidRPr="00CB3AB2">
        <w:t xml:space="preserve"> forward the RAB</w:t>
      </w:r>
      <w:r>
        <w:t xml:space="preserve"> for Directlink's current regulatory control period</w:t>
      </w:r>
      <w:r w:rsidRPr="00CB3AB2">
        <w:t>.</w:t>
      </w:r>
      <w:r>
        <w:rPr>
          <w:rStyle w:val="FootnoteReference"/>
        </w:rPr>
        <w:footnoteReference w:id="21"/>
      </w:r>
    </w:p>
    <w:p w:rsidR="00C222A7" w:rsidRPr="00CB3AB2" w:rsidRDefault="00C222A7" w:rsidP="00C222A7">
      <w:pPr>
        <w:pStyle w:val="AERbulletlistfirststyle"/>
      </w:pPr>
      <w:r>
        <w:t>S</w:t>
      </w:r>
      <w:r w:rsidRPr="00CB3AB2">
        <w:t>ubtracting any disposals for the relevant year, by way of netting from capex to be added to the RAB.</w:t>
      </w:r>
      <w:r w:rsidRPr="00CB3AB2">
        <w:rPr>
          <w:rStyle w:val="FootnoteReference"/>
        </w:rPr>
        <w:footnoteReference w:id="22"/>
      </w:r>
      <w:r w:rsidRPr="00CB3AB2">
        <w:t xml:space="preserve"> We check these amounts against audited regulatory accounts data.</w:t>
      </w:r>
    </w:p>
    <w:p w:rsidR="00C222A7" w:rsidRPr="004F4B8E" w:rsidRDefault="00C222A7" w:rsidP="00C222A7">
      <w:pPr>
        <w:pStyle w:val="AERbodytext"/>
      </w:pPr>
      <w:r>
        <w:t xml:space="preserve">These annual adjustments give the closing RAB for a particular regulatory year, which then becomes the opening RAB for the subsequent regulatory year. Through this process, the RFM rolls forward the RAB to the end of the current regulatory control period. The post-tax revenue model (PTRM) for the next regulatory control period generally adopts the same roll forward approach for establishing the </w:t>
      </w:r>
      <w:r>
        <w:lastRenderedPageBreak/>
        <w:t xml:space="preserve">forecast RAB, although the adjustments to the RAB are based on forecasts rather than actual amounts. </w:t>
      </w:r>
    </w:p>
    <w:p w:rsidR="00C222A7" w:rsidRPr="00E54964" w:rsidRDefault="00C222A7" w:rsidP="00C222A7">
      <w:pPr>
        <w:pStyle w:val="AERbodytext"/>
      </w:pPr>
      <w:r>
        <w:t>We are also required to decide whether depreciation for establishing the TNSP's RAB as at the commencement of the following regulatory control period is to be based on actual or forecast capex.</w:t>
      </w:r>
      <w:r>
        <w:rPr>
          <w:rStyle w:val="FootnoteReference"/>
        </w:rPr>
        <w:footnoteReference w:id="23"/>
      </w:r>
      <w:r>
        <w:t xml:space="preserve"> Our </w:t>
      </w:r>
      <w:r w:rsidRPr="00E54964">
        <w:t xml:space="preserve">decision on whether to use actual or forecast depreciation must be consistent with the </w:t>
      </w:r>
      <w:r>
        <w:t>capex incentive objective.</w:t>
      </w:r>
      <w:r w:rsidR="00C97230">
        <w:rPr>
          <w:rStyle w:val="FootnoteReference"/>
        </w:rPr>
        <w:footnoteReference w:id="24"/>
      </w:r>
      <w:r w:rsidRPr="00E54964">
        <w:t xml:space="preserve"> </w:t>
      </w:r>
      <w:r>
        <w:t xml:space="preserve">We </w:t>
      </w:r>
      <w:r w:rsidRPr="00E54964">
        <w:t>must have regard to:</w:t>
      </w:r>
      <w:r>
        <w:rPr>
          <w:rStyle w:val="FootnoteReference"/>
        </w:rPr>
        <w:footnoteReference w:id="25"/>
      </w:r>
    </w:p>
    <w:p w:rsidR="00C222A7" w:rsidRPr="00C222A7" w:rsidRDefault="00C222A7" w:rsidP="00C222A7">
      <w:pPr>
        <w:pStyle w:val="AERbulletlistfirststyle"/>
        <w:rPr>
          <w:rFonts w:eastAsia="Calibri"/>
        </w:rPr>
      </w:pPr>
      <w:r>
        <w:t xml:space="preserve">any </w:t>
      </w:r>
      <w:r w:rsidRPr="00D40315">
        <w:t xml:space="preserve">other </w:t>
      </w:r>
      <w:r w:rsidRPr="00E54964">
        <w:t xml:space="preserve">incentives the </w:t>
      </w:r>
      <w:r>
        <w:t>TNSP</w:t>
      </w:r>
      <w:r w:rsidRPr="00E54964">
        <w:t xml:space="preserve"> has to undertake efficient capex</w:t>
      </w:r>
    </w:p>
    <w:p w:rsidR="00C222A7" w:rsidRPr="00E54964" w:rsidRDefault="00C222A7" w:rsidP="00C222A7">
      <w:pPr>
        <w:pStyle w:val="AERbulletlistfirststyle"/>
      </w:pPr>
      <w:r w:rsidRPr="00E54964">
        <w:t>substitution possibilities between assets with different lives</w:t>
      </w:r>
    </w:p>
    <w:p w:rsidR="00C222A7" w:rsidRPr="00E54964" w:rsidRDefault="00C222A7" w:rsidP="00C222A7">
      <w:pPr>
        <w:pStyle w:val="AERbulletlistfirststyle"/>
      </w:pPr>
      <w:r w:rsidRPr="00E54964">
        <w:t>the extent of overspending and inefficient overspending relative to the allowed forecast</w:t>
      </w:r>
    </w:p>
    <w:p w:rsidR="00C222A7" w:rsidRPr="00E54964" w:rsidRDefault="00C222A7" w:rsidP="00C222A7">
      <w:pPr>
        <w:pStyle w:val="AERbulletlistfirststyle"/>
      </w:pPr>
      <w:r>
        <w:t>the capex incentive guideline</w:t>
      </w:r>
    </w:p>
    <w:p w:rsidR="00C222A7" w:rsidRPr="00C222A7" w:rsidRDefault="00C222A7" w:rsidP="00C222A7">
      <w:pPr>
        <w:pStyle w:val="AERbulletlistfirststyle"/>
      </w:pPr>
      <w:r w:rsidRPr="00E54964">
        <w:t>the capital expenditure factors.</w:t>
      </w:r>
    </w:p>
    <w:p w:rsidR="00ED09CD" w:rsidRPr="00ED09CD" w:rsidRDefault="00ED09CD" w:rsidP="00ED09CD">
      <w:pPr>
        <w:pStyle w:val="Heading3"/>
      </w:pPr>
      <w:bookmarkStart w:id="19" w:name="_Toc402784933"/>
      <w:bookmarkStart w:id="20" w:name="_Toc404190277"/>
      <w:r w:rsidRPr="00ED09CD">
        <w:t>Interrelationships</w:t>
      </w:r>
      <w:bookmarkEnd w:id="19"/>
      <w:bookmarkEnd w:id="20"/>
    </w:p>
    <w:p w:rsidR="0080793E" w:rsidRPr="00E94F8A" w:rsidRDefault="0080793E" w:rsidP="0080793E">
      <w:pPr>
        <w:pStyle w:val="AERbodytext"/>
      </w:pPr>
      <w:r w:rsidRPr="00E94F8A">
        <w:t>The RAB is an input into the determination of the return on capital and depreciation (return of capital) allowances.</w:t>
      </w:r>
      <w:r>
        <w:rPr>
          <w:rStyle w:val="FootnoteReference"/>
        </w:rPr>
        <w:footnoteReference w:id="26"/>
      </w:r>
      <w:r>
        <w:t xml:space="preserve"> </w:t>
      </w:r>
      <w:r w:rsidRPr="00E94F8A">
        <w:t xml:space="preserve">Factors that influence the RAB will therefore flow through to these building block components and the annual </w:t>
      </w:r>
      <w:r>
        <w:t xml:space="preserve">building block </w:t>
      </w:r>
      <w:r w:rsidRPr="00E94F8A">
        <w:t>revenue requirement. Other things being equal, a higher RAB increases both the return on capital and depreciation allowances.</w:t>
      </w:r>
    </w:p>
    <w:p w:rsidR="0080793E" w:rsidRPr="00E94F8A" w:rsidRDefault="0080793E" w:rsidP="0080793E">
      <w:pPr>
        <w:pStyle w:val="AERbodytext"/>
      </w:pPr>
      <w:r w:rsidRPr="00E94F8A">
        <w:t>The RAB is determined by various factors, including;</w:t>
      </w:r>
    </w:p>
    <w:p w:rsidR="0080793E" w:rsidRPr="00E94F8A" w:rsidRDefault="0080793E" w:rsidP="0080793E">
      <w:pPr>
        <w:pStyle w:val="AERbulletlistfirststyle"/>
      </w:pPr>
      <w:r>
        <w:t>t</w:t>
      </w:r>
      <w:r w:rsidRPr="00E94F8A">
        <w:t>he opening RAB (meaning the value of existing assets at the beginning of the regulatory control period)</w:t>
      </w:r>
    </w:p>
    <w:p w:rsidR="0080793E" w:rsidRPr="00E94F8A" w:rsidRDefault="006E0F1B" w:rsidP="0080793E">
      <w:pPr>
        <w:pStyle w:val="AERbulletlistfirststyle"/>
      </w:pPr>
      <w:r>
        <w:t xml:space="preserve">net </w:t>
      </w:r>
      <w:r w:rsidR="0080793E">
        <w:t>capex</w:t>
      </w:r>
      <w:r w:rsidR="0080793E">
        <w:rPr>
          <w:rStyle w:val="FootnoteReference"/>
        </w:rPr>
        <w:footnoteReference w:id="27"/>
      </w:r>
    </w:p>
    <w:p w:rsidR="0080793E" w:rsidRPr="00E94F8A" w:rsidRDefault="0080793E" w:rsidP="0080793E">
      <w:pPr>
        <w:pStyle w:val="AERbulletlistfirststyle"/>
      </w:pPr>
      <w:r>
        <w:t>d</w:t>
      </w:r>
      <w:r w:rsidRPr="00E94F8A">
        <w:t>epreciation</w:t>
      </w:r>
    </w:p>
    <w:p w:rsidR="0080793E" w:rsidRPr="00E94F8A" w:rsidRDefault="0080793E" w:rsidP="0080793E">
      <w:pPr>
        <w:pStyle w:val="AERbulletlistfirststyle"/>
      </w:pPr>
      <w:r>
        <w:t>indexation adjustment –</w:t>
      </w:r>
      <w:r w:rsidRPr="00E94F8A">
        <w:t xml:space="preserve"> so the RAB is presented in nominal terms, consistent with the </w:t>
      </w:r>
      <w:r>
        <w:t>rate of return</w:t>
      </w:r>
      <w:r w:rsidRPr="00E94F8A">
        <w:t>.</w:t>
      </w:r>
    </w:p>
    <w:p w:rsidR="0080793E" w:rsidRPr="00E94F8A" w:rsidRDefault="0080793E" w:rsidP="0080793E">
      <w:pPr>
        <w:pStyle w:val="AERbodytext"/>
      </w:pPr>
      <w:r w:rsidRPr="00E94F8A">
        <w:t xml:space="preserve">The opening RAB depends on the value of existing assets and will depend on actual </w:t>
      </w:r>
      <w:r w:rsidR="006E0F1B">
        <w:t xml:space="preserve">net </w:t>
      </w:r>
      <w:r w:rsidRPr="00E94F8A">
        <w:t xml:space="preserve">capex, actual inflation outcomes and depreciation in the past. </w:t>
      </w:r>
    </w:p>
    <w:p w:rsidR="0080793E" w:rsidRPr="00E94F8A" w:rsidRDefault="0080793E" w:rsidP="0080793E">
      <w:pPr>
        <w:pStyle w:val="AERbodytext"/>
      </w:pPr>
      <w:r w:rsidRPr="00E94F8A">
        <w:t xml:space="preserve">The RAB when projected to the end of the regulatory control period increases due to both </w:t>
      </w:r>
      <w:r w:rsidR="00301DF6">
        <w:t xml:space="preserve">forecast </w:t>
      </w:r>
      <w:r w:rsidRPr="00E94F8A">
        <w:t xml:space="preserve">new capex and the indexation adjustment. The size of the indexation adjustment depends on expected inflation (which also affects the nominal rate of return or WACC) and the size of the RAB at the start of each year. </w:t>
      </w:r>
    </w:p>
    <w:p w:rsidR="00ED09CD" w:rsidRDefault="0080793E" w:rsidP="00ED09CD">
      <w:pPr>
        <w:pStyle w:val="AERbodytext"/>
      </w:pPr>
      <w:r w:rsidRPr="00E94F8A">
        <w:lastRenderedPageBreak/>
        <w:t>Depreciation reduces the RAB. The depreciation allowance depends on the size of the opening RAB and the forecast</w:t>
      </w:r>
      <w:r w:rsidR="006E0F1B">
        <w:t xml:space="preserve"> net</w:t>
      </w:r>
      <w:r w:rsidRPr="00E94F8A">
        <w:t xml:space="preserve"> capex. By convention, the indexation adjustment is also offset against depreciation to prevent double counting of inflation in the RAB and WACC, which are both presented in nominal terms. This reduces the depreciation building block that feeds into the annual</w:t>
      </w:r>
      <w:r>
        <w:t xml:space="preserve"> building block</w:t>
      </w:r>
      <w:r w:rsidRPr="00E94F8A">
        <w:t xml:space="preserve"> revenue requirement.</w:t>
      </w:r>
    </w:p>
    <w:p w:rsidR="00D6195D" w:rsidRDefault="003D2EB5" w:rsidP="00D6195D">
      <w:pPr>
        <w:pStyle w:val="AERbodytext"/>
      </w:pPr>
      <w:r>
        <w:fldChar w:fldCharType="begin"/>
      </w:r>
      <w:r>
        <w:instrText xml:space="preserve"> REF _Ref402785156 \h </w:instrText>
      </w:r>
      <w:r>
        <w:fldChar w:fldCharType="separate"/>
      </w:r>
      <w:r>
        <w:t>Figure 2</w:t>
      </w:r>
      <w:r>
        <w:noBreakHyphen/>
      </w:r>
      <w:r>
        <w:rPr>
          <w:noProof/>
        </w:rPr>
        <w:t>1</w:t>
      </w:r>
      <w:r>
        <w:fldChar w:fldCharType="end"/>
      </w:r>
      <w:r>
        <w:t xml:space="preserve"> </w:t>
      </w:r>
      <w:r w:rsidR="00D6195D">
        <w:t>shows the key drivers of the change in the RAB over the 2015–20 regulatory control period as proposed by Directlink. Overall, the closing RAB at the end of the 2015–20 regul</w:t>
      </w:r>
      <w:r w:rsidR="007B4A0F">
        <w:t>atory control period would be 22</w:t>
      </w:r>
      <w:r w:rsidR="00D6195D">
        <w:t xml:space="preserve"> per cent higher than the opening RAB at the start of that period based on the proposal</w:t>
      </w:r>
      <w:r w:rsidR="00301DF6">
        <w:t>, in nominal terms</w:t>
      </w:r>
      <w:r w:rsidR="00D6195D">
        <w:t xml:space="preserve">. The proposed forecast </w:t>
      </w:r>
      <w:r w:rsidR="006E0F1B">
        <w:t xml:space="preserve">net </w:t>
      </w:r>
      <w:r w:rsidR="00D6195D">
        <w:t xml:space="preserve">capex increases the RAB by about </w:t>
      </w:r>
      <w:r w:rsidR="007B4A0F">
        <w:t>30</w:t>
      </w:r>
      <w:r w:rsidR="00D6195D">
        <w:t xml:space="preserve"> per cent, while forecast inflation increases it</w:t>
      </w:r>
      <w:r w:rsidR="007B4A0F">
        <w:t xml:space="preserve"> by about 13</w:t>
      </w:r>
      <w:r w:rsidR="00D6195D">
        <w:t xml:space="preserve"> per cent. Forecast depreciation, on the other h</w:t>
      </w:r>
      <w:r w:rsidR="007B4A0F">
        <w:t>and, reduces the RAB by about 22</w:t>
      </w:r>
      <w:r w:rsidR="00D6195D">
        <w:t xml:space="preserve"> per cent. </w:t>
      </w:r>
    </w:p>
    <w:p w:rsidR="00D6195D" w:rsidRDefault="00D6195D" w:rsidP="00D6195D">
      <w:pPr>
        <w:pStyle w:val="AERbodytext"/>
      </w:pPr>
      <w:r>
        <w:t>The RAB would rise in real terms over the 2015–20 regulatory control period based on Directlink's proposal. We consider the depreciation amount to be generally reasonable and satisfy the requirements of the NER in terms of the assigned asset lives</w:t>
      </w:r>
      <w:r w:rsidR="00371DCB">
        <w:t xml:space="preserve">, as discussed in attachment </w:t>
      </w:r>
      <w:r w:rsidR="007C1218">
        <w:t>5</w:t>
      </w:r>
      <w:r>
        <w:t>. The depreciation amount also largely depends on the opening RAB (which in turn depends on capex in the past). However, we do have concerns with the size of the forecast</w:t>
      </w:r>
      <w:r w:rsidR="006E0F1B">
        <w:t xml:space="preserve"> net</w:t>
      </w:r>
      <w:r>
        <w:t xml:space="preserve"> capex. </w:t>
      </w:r>
      <w:r w:rsidR="00C90455">
        <w:fldChar w:fldCharType="begin"/>
      </w:r>
      <w:r w:rsidR="00C90455">
        <w:instrText xml:space="preserve"> REF _Ref402785156 \h </w:instrText>
      </w:r>
      <w:r w:rsidR="00C90455">
        <w:fldChar w:fldCharType="separate"/>
      </w:r>
      <w:r w:rsidR="003D2EB5">
        <w:t>Figure 2</w:t>
      </w:r>
      <w:r w:rsidR="003D2EB5">
        <w:noBreakHyphen/>
      </w:r>
      <w:r w:rsidR="003D2EB5">
        <w:rPr>
          <w:noProof/>
        </w:rPr>
        <w:t>1</w:t>
      </w:r>
      <w:r w:rsidR="00C90455">
        <w:fldChar w:fldCharType="end"/>
      </w:r>
      <w:r w:rsidR="00C90455">
        <w:t xml:space="preserve"> </w:t>
      </w:r>
      <w:r>
        <w:t xml:space="preserve">shows forecast </w:t>
      </w:r>
      <w:r w:rsidR="006E0F1B">
        <w:t xml:space="preserve">net </w:t>
      </w:r>
      <w:r>
        <w:t>capex is the largest driver of the increase in the RAB and we have considered whether it is appropriate that the forecast</w:t>
      </w:r>
      <w:r w:rsidR="006E0F1B">
        <w:t xml:space="preserve"> net</w:t>
      </w:r>
      <w:r>
        <w:t xml:space="preserve"> capex exceeds depreciation as Directlink has proposed. Refer to attachment </w:t>
      </w:r>
      <w:r w:rsidR="007C1218">
        <w:t>6</w:t>
      </w:r>
      <w:r>
        <w:t xml:space="preserve"> for the discussion on forecast capex.</w:t>
      </w:r>
    </w:p>
    <w:p w:rsidR="00D6195D" w:rsidRDefault="00C90455" w:rsidP="00C90455">
      <w:pPr>
        <w:pStyle w:val="Caption"/>
      </w:pPr>
      <w:bookmarkStart w:id="21" w:name="_Ref402785156"/>
      <w:r>
        <w:t xml:space="preserve">Figure </w:t>
      </w:r>
      <w:r w:rsidR="003D2EB5">
        <w:t>2</w:t>
      </w:r>
      <w:r>
        <w:noBreakHyphen/>
      </w:r>
      <w:r w:rsidR="00FC3B4F">
        <w:fldChar w:fldCharType="begin"/>
      </w:r>
      <w:r w:rsidR="00FC3B4F">
        <w:instrText xml:space="preserve"> SEQ Figure \* ARABIC \s 1 </w:instrText>
      </w:r>
      <w:r w:rsidR="00FC3B4F">
        <w:fldChar w:fldCharType="separate"/>
      </w:r>
      <w:r>
        <w:rPr>
          <w:noProof/>
        </w:rPr>
        <w:t>1</w:t>
      </w:r>
      <w:r w:rsidR="00FC3B4F">
        <w:rPr>
          <w:noProof/>
        </w:rPr>
        <w:fldChar w:fldCharType="end"/>
      </w:r>
      <w:bookmarkEnd w:id="21"/>
      <w:r>
        <w:tab/>
      </w:r>
      <w:r w:rsidR="00D6195D">
        <w:t>Key drivers of changes in the RAB ($m, nominal)</w:t>
      </w:r>
    </w:p>
    <w:p w:rsidR="00D6195D" w:rsidRPr="00D6195D" w:rsidRDefault="007B4A0F" w:rsidP="007B4A0F">
      <w:pPr>
        <w:pStyle w:val="AERbodytext"/>
      </w:pPr>
      <w:r w:rsidRPr="007B4A0F">
        <w:rPr>
          <w:noProof/>
          <w:lang w:eastAsia="en-AU"/>
        </w:rPr>
        <w:drawing>
          <wp:inline distT="0" distB="0" distL="0" distR="0" wp14:anchorId="386A6DD9" wp14:editId="6604FC8A">
            <wp:extent cx="5731510" cy="32342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34271"/>
                    </a:xfrm>
                    <a:prstGeom prst="rect">
                      <a:avLst/>
                    </a:prstGeom>
                    <a:noFill/>
                    <a:ln>
                      <a:noFill/>
                    </a:ln>
                  </pic:spPr>
                </pic:pic>
              </a:graphicData>
            </a:graphic>
          </wp:inline>
        </w:drawing>
      </w:r>
    </w:p>
    <w:p w:rsidR="00D6195D" w:rsidRPr="00ED09CD" w:rsidRDefault="00D6195D" w:rsidP="00ED09CD">
      <w:pPr>
        <w:pStyle w:val="AERbodytext"/>
      </w:pPr>
      <w:r>
        <w:t>A</w:t>
      </w:r>
      <w:r w:rsidRPr="00D6195D">
        <w:t xml:space="preserve"> </w:t>
      </w:r>
      <w:r w:rsidR="00A00707">
        <w:t>ten</w:t>
      </w:r>
      <w:r w:rsidRPr="00D6195D">
        <w:t xml:space="preserve"> per cent increase in the </w:t>
      </w:r>
      <w:r w:rsidR="00A00707">
        <w:t xml:space="preserve">opening </w:t>
      </w:r>
      <w:r w:rsidRPr="00D6195D">
        <w:t>RAB causes r</w:t>
      </w:r>
      <w:r w:rsidR="00A67680">
        <w:t xml:space="preserve">evenues to increase by about </w:t>
      </w:r>
      <w:r w:rsidR="00A00707">
        <w:t xml:space="preserve">7.2 per cent. However, the </w:t>
      </w:r>
      <w:r w:rsidRPr="00D6195D">
        <w:t>impact on revenues</w:t>
      </w:r>
      <w:r w:rsidR="00A00707">
        <w:t xml:space="preserve"> of the annual change in RAB</w:t>
      </w:r>
      <w:r w:rsidRPr="00D6195D">
        <w:t xml:space="preserve"> depend</w:t>
      </w:r>
      <w:r w:rsidR="00A00707">
        <w:t>s</w:t>
      </w:r>
      <w:r w:rsidRPr="00D6195D">
        <w:t xml:space="preserve"> on the source of the RAB </w:t>
      </w:r>
      <w:r w:rsidR="00A00707">
        <w:t>change</w:t>
      </w:r>
      <w:r w:rsidRPr="00D6195D">
        <w:t>, as some drivers affect more than one building block cost.</w:t>
      </w:r>
      <w:r w:rsidRPr="00D6195D">
        <w:rPr>
          <w:rStyle w:val="FootnoteReference"/>
        </w:rPr>
        <w:footnoteReference w:id="28"/>
      </w:r>
      <w:r w:rsidRPr="00D6195D">
        <w:t xml:space="preserve"> </w:t>
      </w:r>
    </w:p>
    <w:p w:rsidR="00B47945" w:rsidRDefault="00B47945" w:rsidP="00F0258A">
      <w:pPr>
        <w:pStyle w:val="Heading2"/>
      </w:pPr>
      <w:bookmarkStart w:id="22" w:name="_Toc402784934"/>
      <w:bookmarkStart w:id="23" w:name="_Toc404190278"/>
      <w:r w:rsidRPr="00B47945">
        <w:lastRenderedPageBreak/>
        <w:t>Reasons for draft decision</w:t>
      </w:r>
      <w:bookmarkEnd w:id="22"/>
      <w:bookmarkEnd w:id="23"/>
    </w:p>
    <w:p w:rsidR="00C222A7" w:rsidRPr="00EE7FFB" w:rsidRDefault="00C222A7" w:rsidP="00C222A7">
      <w:pPr>
        <w:pStyle w:val="AERbodytext"/>
      </w:pPr>
      <w:r>
        <w:t>We do not accept Directlink</w:t>
      </w:r>
      <w:r w:rsidR="004500F9">
        <w:t>'</w:t>
      </w:r>
      <w:r>
        <w:t>s proposed opening RAB value</w:t>
      </w:r>
      <w:r w:rsidRPr="00EE7FFB">
        <w:t xml:space="preserve"> </w:t>
      </w:r>
      <w:r>
        <w:t>of $</w:t>
      </w:r>
      <w:r w:rsidR="009C3702">
        <w:t>129.8</w:t>
      </w:r>
      <w:r>
        <w:t xml:space="preserve"> million as at 1 July 201</w:t>
      </w:r>
      <w:r w:rsidR="004500F9">
        <w:t>5</w:t>
      </w:r>
      <w:r>
        <w:t xml:space="preserve">. </w:t>
      </w:r>
      <w:r w:rsidRPr="005F16CE">
        <w:t xml:space="preserve">This is because we </w:t>
      </w:r>
      <w:r w:rsidR="00786B0B">
        <w:t xml:space="preserve">have </w:t>
      </w:r>
      <w:r w:rsidRPr="005F16CE">
        <w:t xml:space="preserve">amended </w:t>
      </w:r>
      <w:r>
        <w:t>certain inputs to its</w:t>
      </w:r>
      <w:r w:rsidRPr="005F16CE">
        <w:t xml:space="preserve"> proposed </w:t>
      </w:r>
      <w:r>
        <w:t>RFM s</w:t>
      </w:r>
      <w:r w:rsidR="009C3702">
        <w:t>o</w:t>
      </w:r>
      <w:r>
        <w:t xml:space="preserve"> that they reconcile with those approved in the 2006 revenue cap decision</w:t>
      </w:r>
      <w:r w:rsidRPr="005F16CE">
        <w:t>.</w:t>
      </w:r>
      <w:r w:rsidR="00371DCB">
        <w:rPr>
          <w:rStyle w:val="FootnoteReference"/>
        </w:rPr>
        <w:footnoteReference w:id="29"/>
      </w:r>
    </w:p>
    <w:p w:rsidR="00C222A7" w:rsidRPr="00EE7FFB" w:rsidRDefault="00C222A7" w:rsidP="00C222A7">
      <w:pPr>
        <w:pStyle w:val="AERbodytext"/>
      </w:pPr>
      <w:r>
        <w:t xml:space="preserve">We also do not accept </w:t>
      </w:r>
      <w:r w:rsidR="00786B0B">
        <w:t>Directlink</w:t>
      </w:r>
      <w:r>
        <w:t>'</w:t>
      </w:r>
      <w:r w:rsidR="00786B0B">
        <w:t>s</w:t>
      </w:r>
      <w:r w:rsidRPr="00EE7FFB">
        <w:t xml:space="preserve"> </w:t>
      </w:r>
      <w:r>
        <w:t xml:space="preserve">projected </w:t>
      </w:r>
      <w:r w:rsidRPr="00EE7FFB">
        <w:t xml:space="preserve">closing RAB </w:t>
      </w:r>
      <w:r>
        <w:t xml:space="preserve">at the end of the </w:t>
      </w:r>
      <w:r w:rsidR="004500F9">
        <w:t>2015–20</w:t>
      </w:r>
      <w:r>
        <w:t xml:space="preserve"> regulatory control period and have reduced it by</w:t>
      </w:r>
      <w:r w:rsidRPr="00EE7FFB">
        <w:t xml:space="preserve"> </w:t>
      </w:r>
      <w:r w:rsidRPr="00D13859">
        <w:t>$</w:t>
      </w:r>
      <w:r w:rsidR="007C1218">
        <w:t>10.1</w:t>
      </w:r>
      <w:r w:rsidRPr="00D13859">
        <w:t xml:space="preserve"> million </w:t>
      </w:r>
      <w:r>
        <w:t xml:space="preserve">(or </w:t>
      </w:r>
      <w:r w:rsidR="007C1218">
        <w:t>6.4</w:t>
      </w:r>
      <w:r w:rsidRPr="00EE7FFB">
        <w:t xml:space="preserve"> per cent</w:t>
      </w:r>
      <w:r>
        <w:t>)</w:t>
      </w:r>
      <w:r w:rsidRPr="00EE7FFB">
        <w:t xml:space="preserve">. The </w:t>
      </w:r>
      <w:r w:rsidR="00371DCB">
        <w:t>r</w:t>
      </w:r>
      <w:r w:rsidRPr="00EE7FFB">
        <w:t xml:space="preserve">easons for </w:t>
      </w:r>
      <w:r>
        <w:t>the</w:t>
      </w:r>
      <w:r w:rsidRPr="00EE7FFB">
        <w:t xml:space="preserve"> reduction are our adjustments to</w:t>
      </w:r>
      <w:r>
        <w:t xml:space="preserve"> its</w:t>
      </w:r>
      <w:r w:rsidRPr="00EE7FFB">
        <w:t xml:space="preserve"> opening RAB as at 1 </w:t>
      </w:r>
      <w:r>
        <w:t>July</w:t>
      </w:r>
      <w:r w:rsidRPr="00EE7FFB">
        <w:t xml:space="preserve"> 201</w:t>
      </w:r>
      <w:r w:rsidR="004500F9">
        <w:t>5</w:t>
      </w:r>
      <w:r>
        <w:t xml:space="preserve"> </w:t>
      </w:r>
      <w:r w:rsidRPr="00EE7FFB">
        <w:t>(section</w:t>
      </w:r>
      <w:r w:rsidR="00C90455">
        <w:t xml:space="preserve"> </w:t>
      </w:r>
      <w:r w:rsidR="00C90455">
        <w:fldChar w:fldCharType="begin"/>
      </w:r>
      <w:r w:rsidR="00C90455">
        <w:instrText xml:space="preserve"> REF _Ref402785191 \r \h </w:instrText>
      </w:r>
      <w:r w:rsidR="00C90455">
        <w:fldChar w:fldCharType="separate"/>
      </w:r>
      <w:r w:rsidR="00C90455">
        <w:t>1.4.1</w:t>
      </w:r>
      <w:r w:rsidR="00C90455">
        <w:fldChar w:fldCharType="end"/>
      </w:r>
      <w:r w:rsidRPr="00EE7FFB">
        <w:t>)</w:t>
      </w:r>
      <w:r>
        <w:t xml:space="preserve">, </w:t>
      </w:r>
      <w:r w:rsidRPr="00EE7FFB">
        <w:t xml:space="preserve">forecast capex (attachment </w:t>
      </w:r>
      <w:r w:rsidR="007C1218">
        <w:t>6</w:t>
      </w:r>
      <w:r w:rsidRPr="00EE7FFB">
        <w:t>)</w:t>
      </w:r>
      <w:r>
        <w:t xml:space="preserve"> and </w:t>
      </w:r>
      <w:r w:rsidRPr="00EE7FFB">
        <w:t xml:space="preserve">forecast depreciation (attachment </w:t>
      </w:r>
      <w:r w:rsidR="007C1218">
        <w:t>5</w:t>
      </w:r>
      <w:r w:rsidRPr="00EE7FFB">
        <w:t>).</w:t>
      </w:r>
    </w:p>
    <w:p w:rsidR="00B47945" w:rsidRDefault="004500F9" w:rsidP="00F0258A">
      <w:pPr>
        <w:pStyle w:val="Heading3"/>
      </w:pPr>
      <w:bookmarkStart w:id="24" w:name="_Toc402784935"/>
      <w:bookmarkStart w:id="25" w:name="_Ref402785191"/>
      <w:bookmarkStart w:id="26" w:name="_Ref402785212"/>
      <w:bookmarkStart w:id="27" w:name="_Toc404190279"/>
      <w:r>
        <w:t>Opening RAB at 1 July 2015</w:t>
      </w:r>
      <w:bookmarkEnd w:id="24"/>
      <w:bookmarkEnd w:id="25"/>
      <w:bookmarkEnd w:id="26"/>
      <w:bookmarkEnd w:id="27"/>
    </w:p>
    <w:p w:rsidR="004500F9" w:rsidRDefault="004500F9" w:rsidP="004500F9">
      <w:pPr>
        <w:pStyle w:val="AERbodytext"/>
      </w:pPr>
      <w:r w:rsidRPr="005765AA">
        <w:t xml:space="preserve">We </w:t>
      </w:r>
      <w:r w:rsidRPr="004500F9">
        <w:rPr>
          <w:rStyle w:val="AERtexthighlight"/>
          <w:shd w:val="clear" w:color="auto" w:fill="auto"/>
        </w:rPr>
        <w:t>do not accept</w:t>
      </w:r>
      <w:r w:rsidRPr="004500F9">
        <w:t xml:space="preserve"> Directlink's</w:t>
      </w:r>
      <w:r w:rsidRPr="005765AA">
        <w:t xml:space="preserve"> proposed opening RAB value of $</w:t>
      </w:r>
      <w:r w:rsidR="009C3702">
        <w:t>129.8</w:t>
      </w:r>
      <w:r w:rsidRPr="005765AA">
        <w:t xml:space="preserve"> million as at 1 July 2015. </w:t>
      </w:r>
      <w:r w:rsidR="00540DAD" w:rsidRPr="005F16CE">
        <w:t>We instead determine an opening RAB</w:t>
      </w:r>
      <w:r w:rsidR="00540DAD">
        <w:t xml:space="preserve"> value</w:t>
      </w:r>
      <w:r w:rsidR="00540DAD" w:rsidRPr="005F16CE">
        <w:t xml:space="preserve"> of $</w:t>
      </w:r>
      <w:r w:rsidR="00540DAD">
        <w:t>129.6</w:t>
      </w:r>
      <w:r w:rsidR="00540DAD" w:rsidRPr="005F16CE">
        <w:t xml:space="preserve"> million </w:t>
      </w:r>
      <w:r w:rsidR="00540DAD">
        <w:t xml:space="preserve">as at 1 July 2015 </w:t>
      </w:r>
      <w:r w:rsidR="00540DAD" w:rsidRPr="005F16CE">
        <w:t xml:space="preserve">for </w:t>
      </w:r>
      <w:r w:rsidR="00540DAD">
        <w:t>Directlink</w:t>
      </w:r>
      <w:r w:rsidR="00540DAD" w:rsidRPr="005F16CE">
        <w:t>.</w:t>
      </w:r>
      <w:r w:rsidR="00540DAD">
        <w:t xml:space="preserve"> </w:t>
      </w:r>
      <w:r>
        <w:t>This is because we have corrected the '</w:t>
      </w:r>
      <w:r w:rsidR="009C3702">
        <w:t>allowed</w:t>
      </w:r>
      <w:r>
        <w:t xml:space="preserve"> WACC' and 'forecast </w:t>
      </w:r>
      <w:r w:rsidR="009C3702">
        <w:t>inflation rate'</w:t>
      </w:r>
      <w:r>
        <w:t xml:space="preserve"> inputs in the proposed RFM. These inputs need to reconcile with those approved in the 2006 revenue cap decision.</w:t>
      </w:r>
    </w:p>
    <w:p w:rsidR="004500F9" w:rsidRPr="004500F9" w:rsidRDefault="004500F9" w:rsidP="004500F9">
      <w:pPr>
        <w:pStyle w:val="AERbodytext"/>
      </w:pPr>
      <w:r>
        <w:t>We reviewed other key inputs into Directlink's proposed RFM, such as the opening RAB value as at 1</w:t>
      </w:r>
      <w:r w:rsidR="009C3702">
        <w:t> </w:t>
      </w:r>
      <w:r>
        <w:t>July 2005, CPI and asset lives</w:t>
      </w:r>
      <w:r w:rsidR="00E41D2F">
        <w:t>. We f</w:t>
      </w:r>
      <w:r>
        <w:t>ound these were correct</w:t>
      </w:r>
      <w:r w:rsidR="00E41D2F">
        <w:t xml:space="preserve"> and they reconcile with relevant data sources such as ABS data, regulatory accounts and the 2006 decision model</w:t>
      </w:r>
      <w:r>
        <w:t xml:space="preserve">. Also, Directlink's proposed </w:t>
      </w:r>
      <w:r w:rsidRPr="005765AA">
        <w:t xml:space="preserve">actual capex </w:t>
      </w:r>
      <w:r>
        <w:t xml:space="preserve">values </w:t>
      </w:r>
      <w:r w:rsidRPr="005765AA">
        <w:t xml:space="preserve">for 2005–2013 </w:t>
      </w:r>
      <w:r>
        <w:t>are consistent</w:t>
      </w:r>
      <w:r w:rsidRPr="005765AA">
        <w:t xml:space="preserve"> with </w:t>
      </w:r>
      <w:r>
        <w:t>its</w:t>
      </w:r>
      <w:r w:rsidRPr="005765AA">
        <w:t xml:space="preserve"> audited </w:t>
      </w:r>
      <w:r w:rsidR="00E41D2F">
        <w:t xml:space="preserve">regulatory </w:t>
      </w:r>
      <w:r w:rsidRPr="005765AA">
        <w:t>accounts. We note that Directlink does not have any movements in provisions during 2005–1</w:t>
      </w:r>
      <w:r w:rsidR="00E41D2F">
        <w:t>3</w:t>
      </w:r>
      <w:r w:rsidRPr="005765AA">
        <w:t>. Therefore, we did not make</w:t>
      </w:r>
      <w:r>
        <w:t xml:space="preserve"> any</w:t>
      </w:r>
      <w:r w:rsidRPr="005765AA">
        <w:t xml:space="preserve"> further adjustment to its 2005–2013 actual capex for RAB roll forward purposes.</w:t>
      </w:r>
      <w:r w:rsidR="00B275A9">
        <w:rPr>
          <w:rStyle w:val="FootnoteReference"/>
        </w:rPr>
        <w:footnoteReference w:id="30"/>
      </w:r>
      <w:r w:rsidRPr="005765AA">
        <w:t xml:space="preserve"> </w:t>
      </w:r>
    </w:p>
    <w:p w:rsidR="00B47945" w:rsidRDefault="004500F9" w:rsidP="00F0258A">
      <w:pPr>
        <w:pStyle w:val="Heading3"/>
      </w:pPr>
      <w:bookmarkStart w:id="28" w:name="_Toc402784936"/>
      <w:bookmarkStart w:id="29" w:name="_Toc404190280"/>
      <w:r>
        <w:t>Forecast closing RAB at 30 June 2020</w:t>
      </w:r>
      <w:bookmarkEnd w:id="28"/>
      <w:bookmarkEnd w:id="29"/>
    </w:p>
    <w:p w:rsidR="00E41D2F" w:rsidRPr="00E41D2F" w:rsidRDefault="00E41D2F" w:rsidP="00E41D2F">
      <w:pPr>
        <w:pStyle w:val="AERbodytext"/>
      </w:pPr>
      <w:r w:rsidRPr="0011654E">
        <w:t xml:space="preserve">We forecast a closing RAB value of </w:t>
      </w:r>
      <w:r w:rsidRPr="00E41D2F">
        <w:t>$</w:t>
      </w:r>
      <w:r w:rsidR="007C1218">
        <w:t>147.9</w:t>
      </w:r>
      <w:r w:rsidRPr="00E41D2F">
        <w:t xml:space="preserve"> million by 30 June 2020 for Directlink, which represents a </w:t>
      </w:r>
      <w:r w:rsidR="007C1218">
        <w:t>6.4</w:t>
      </w:r>
      <w:r w:rsidRPr="00E41D2F">
        <w:t xml:space="preserve"> per cent reduction </w:t>
      </w:r>
      <w:r>
        <w:t>t</w:t>
      </w:r>
      <w:r w:rsidRPr="00E41D2F">
        <w:t>o Directlink's proposal. This reduction reflects our draft decision on the inputs for determining the forecast RAB in the PTRM.</w:t>
      </w:r>
      <w:r w:rsidR="00371DCB">
        <w:t xml:space="preserve"> </w:t>
      </w:r>
      <w:r w:rsidRPr="00E41D2F">
        <w:t>To determine the forecast RAB value for Directlink, we amended the following PTRM inputs:</w:t>
      </w:r>
    </w:p>
    <w:p w:rsidR="00E41D2F" w:rsidRPr="00E41D2F" w:rsidRDefault="00E41D2F" w:rsidP="00E41D2F">
      <w:pPr>
        <w:pStyle w:val="AERbulletlistfirststyle"/>
      </w:pPr>
      <w:r w:rsidRPr="00E41D2F">
        <w:t xml:space="preserve">We reduced </w:t>
      </w:r>
      <w:r>
        <w:t>Directlink</w:t>
      </w:r>
      <w:r w:rsidRPr="00E41D2F">
        <w:t>'</w:t>
      </w:r>
      <w:r>
        <w:t>s</w:t>
      </w:r>
      <w:r w:rsidRPr="00E41D2F">
        <w:t xml:space="preserve"> proposed opening RAB as at 1 July 201</w:t>
      </w:r>
      <w:r>
        <w:t>5</w:t>
      </w:r>
      <w:r w:rsidRPr="00E41D2F">
        <w:t xml:space="preserve"> by $</w:t>
      </w:r>
      <w:r w:rsidR="007C1218">
        <w:t>0.2</w:t>
      </w:r>
      <w:r w:rsidRPr="00E41D2F">
        <w:t xml:space="preserve"> million or 0.</w:t>
      </w:r>
      <w:r w:rsidR="007C1218">
        <w:t>1</w:t>
      </w:r>
      <w:r w:rsidRPr="00E41D2F">
        <w:t xml:space="preserve"> per cent (section</w:t>
      </w:r>
      <w:r w:rsidR="00C90455">
        <w:t xml:space="preserve"> </w:t>
      </w:r>
      <w:r w:rsidR="00C90455">
        <w:fldChar w:fldCharType="begin"/>
      </w:r>
      <w:r w:rsidR="00C90455">
        <w:instrText xml:space="preserve"> REF _Ref402785212 \r \h </w:instrText>
      </w:r>
      <w:r w:rsidR="00C90455">
        <w:fldChar w:fldCharType="separate"/>
      </w:r>
      <w:r w:rsidR="00C90455">
        <w:t>1.4.1</w:t>
      </w:r>
      <w:r w:rsidR="00C90455">
        <w:fldChar w:fldCharType="end"/>
      </w:r>
      <w:r w:rsidRPr="00E41D2F">
        <w:t>).</w:t>
      </w:r>
    </w:p>
    <w:p w:rsidR="00E41D2F" w:rsidRPr="00E41D2F" w:rsidRDefault="00E41D2F" w:rsidP="00E41D2F">
      <w:pPr>
        <w:pStyle w:val="AERbulletlistfirststyle"/>
      </w:pPr>
      <w:r w:rsidRPr="00E41D2F">
        <w:t>We reduced Directlink's proposed forecast capex for the 201</w:t>
      </w:r>
      <w:r>
        <w:t>5</w:t>
      </w:r>
      <w:r w:rsidRPr="00E41D2F">
        <w:t>–</w:t>
      </w:r>
      <w:r>
        <w:t>2</w:t>
      </w:r>
      <w:r w:rsidR="007C1218">
        <w:t>0</w:t>
      </w:r>
      <w:r w:rsidRPr="00E41D2F">
        <w:t xml:space="preserve"> regulatory control period by $</w:t>
      </w:r>
      <w:r w:rsidR="007C1218">
        <w:t>10.7</w:t>
      </w:r>
      <w:r w:rsidRPr="00E41D2F">
        <w:t xml:space="preserve"> million </w:t>
      </w:r>
      <w:r w:rsidR="007C1218">
        <w:t xml:space="preserve">($ nominal) </w:t>
      </w:r>
      <w:r w:rsidRPr="00E41D2F">
        <w:t xml:space="preserve">or </w:t>
      </w:r>
      <w:r w:rsidR="00331D19">
        <w:t>27.0</w:t>
      </w:r>
      <w:r w:rsidRPr="00E41D2F">
        <w:t xml:space="preserve"> per cent (attachment </w:t>
      </w:r>
      <w:r w:rsidR="00331D19">
        <w:t>6</w:t>
      </w:r>
      <w:r w:rsidRPr="00E41D2F">
        <w:t>).</w:t>
      </w:r>
    </w:p>
    <w:p w:rsidR="00E41D2F" w:rsidRPr="00E41D2F" w:rsidRDefault="00E41D2F" w:rsidP="00E41D2F">
      <w:pPr>
        <w:pStyle w:val="AERbulletlistfirststyle"/>
      </w:pPr>
      <w:r w:rsidRPr="00E41D2F">
        <w:t xml:space="preserve">We reduced </w:t>
      </w:r>
      <w:r>
        <w:t>Directlink's</w:t>
      </w:r>
      <w:r w:rsidRPr="00E41D2F">
        <w:t xml:space="preserve"> proposed forecast regulatory depreciation allowance by $</w:t>
      </w:r>
      <w:r w:rsidR="00331D19">
        <w:t>0.6</w:t>
      </w:r>
      <w:r w:rsidRPr="00E41D2F">
        <w:t xml:space="preserve"> million or </w:t>
      </w:r>
      <w:r w:rsidR="00331D19">
        <w:t>5.4</w:t>
      </w:r>
      <w:r w:rsidRPr="00E41D2F">
        <w:t xml:space="preserve"> per cent (attachment </w:t>
      </w:r>
      <w:r w:rsidR="00331D19">
        <w:t>5</w:t>
      </w:r>
      <w:r w:rsidRPr="00E41D2F">
        <w:t>).</w:t>
      </w:r>
    </w:p>
    <w:p w:rsidR="00B04D68" w:rsidRPr="00B04D68" w:rsidRDefault="00B04D68" w:rsidP="00B04D68">
      <w:pPr>
        <w:pStyle w:val="Heading3"/>
      </w:pPr>
      <w:bookmarkStart w:id="30" w:name="_Toc402784937"/>
      <w:bookmarkStart w:id="31" w:name="_Toc404190281"/>
      <w:r w:rsidRPr="00B04D68">
        <w:t>Application of depreciation approach in RAB roll forward for next reset</w:t>
      </w:r>
      <w:bookmarkEnd w:id="30"/>
      <w:bookmarkEnd w:id="31"/>
    </w:p>
    <w:p w:rsidR="00B04D68" w:rsidRDefault="00B04D68" w:rsidP="00B04D68">
      <w:pPr>
        <w:pStyle w:val="AERbodytext"/>
      </w:pPr>
      <w:r>
        <w:t xml:space="preserve">Consistent with our </w:t>
      </w:r>
      <w:r w:rsidRPr="00743C7A">
        <w:rPr>
          <w:rStyle w:val="AERtextitalic"/>
        </w:rPr>
        <w:t>Framework and approach</w:t>
      </w:r>
      <w:r>
        <w:t xml:space="preserve"> paper</w:t>
      </w:r>
      <w:r w:rsidR="00A52C66">
        <w:t xml:space="preserve"> and Directlink's proposal</w:t>
      </w:r>
      <w:r>
        <w:t>,</w:t>
      </w:r>
      <w:r>
        <w:rPr>
          <w:rStyle w:val="FootnoteReference"/>
        </w:rPr>
        <w:footnoteReference w:id="31"/>
      </w:r>
      <w:r>
        <w:t xml:space="preserve"> w</w:t>
      </w:r>
      <w:r w:rsidRPr="001E4152">
        <w:t xml:space="preserve">e </w:t>
      </w:r>
      <w:r>
        <w:t xml:space="preserve">determine that the forecast depreciation approach is to be used </w:t>
      </w:r>
      <w:r w:rsidRPr="001E4152">
        <w:t xml:space="preserve">to </w:t>
      </w:r>
      <w:r>
        <w:t xml:space="preserve">establish the RAB at the commencement of </w:t>
      </w:r>
      <w:r>
        <w:lastRenderedPageBreak/>
        <w:t>Directlink's regulatory control period from 1 July 2020. We consider this approach will provide sufficient incentives for Directlink to achieve capex efficiency gains over the 2015–20 regulatory control period.</w:t>
      </w:r>
    </w:p>
    <w:p w:rsidR="00B04D68" w:rsidRPr="00FB2897" w:rsidRDefault="00B04D68" w:rsidP="00B04D68">
      <w:pPr>
        <w:pStyle w:val="AERbodytext"/>
      </w:pPr>
      <w:r>
        <w:t>We had regard to the relevant factors in the NER in developing the approach to choosing the depreciation approach set out in our capex incentives guideline.</w:t>
      </w:r>
      <w:r>
        <w:rPr>
          <w:rStyle w:val="FootnoteReference"/>
        </w:rPr>
        <w:footnoteReference w:id="32"/>
      </w:r>
      <w:r>
        <w:t xml:space="preserve"> Our approach is to apply forecast depreciation except where</w:t>
      </w:r>
      <w:r w:rsidRPr="00FB2897">
        <w:t>:</w:t>
      </w:r>
      <w:r>
        <w:t xml:space="preserve"> </w:t>
      </w:r>
    </w:p>
    <w:p w:rsidR="00B04D68" w:rsidRPr="00FB2897" w:rsidRDefault="00B04D68" w:rsidP="00B04D68">
      <w:pPr>
        <w:pStyle w:val="AERbulletlistfirststyle"/>
      </w:pPr>
      <w:r w:rsidRPr="00FB2897">
        <w:t xml:space="preserve">there is no CESS in place and therefore the power of </w:t>
      </w:r>
      <w:r>
        <w:t xml:space="preserve">the </w:t>
      </w:r>
      <w:r w:rsidRPr="00FB2897">
        <w:t>capex incent</w:t>
      </w:r>
      <w:r>
        <w:t>ive may need to be strengthened,</w:t>
      </w:r>
      <w:r w:rsidRPr="00FB2897">
        <w:t xml:space="preserve"> or</w:t>
      </w:r>
    </w:p>
    <w:p w:rsidR="00B04D68" w:rsidRPr="00FB2897" w:rsidRDefault="00B04D68" w:rsidP="00B04D68">
      <w:pPr>
        <w:pStyle w:val="AERbulletlistfirststyle"/>
      </w:pPr>
      <w:r>
        <w:t xml:space="preserve">a TNSP’s </w:t>
      </w:r>
      <w:r w:rsidRPr="00FB2897">
        <w:t>past capex performance demonstrates evidence of persistent overspending</w:t>
      </w:r>
      <w:r>
        <w:t xml:space="preserve"> or inefficiency, thus requiring a higher powered incentive</w:t>
      </w:r>
      <w:r w:rsidRPr="00FB2897">
        <w:t>.</w:t>
      </w:r>
    </w:p>
    <w:p w:rsidR="00B04D68" w:rsidRPr="002B6508" w:rsidRDefault="00B04D68" w:rsidP="00B04D68">
      <w:pPr>
        <w:pStyle w:val="AERbodytext"/>
      </w:pPr>
      <w:r w:rsidRPr="002B6508">
        <w:t xml:space="preserve">In making our decision on whether to use actual depreciation in either of these circumstances we </w:t>
      </w:r>
      <w:r>
        <w:t>have</w:t>
      </w:r>
      <w:r w:rsidRPr="002B6508">
        <w:t xml:space="preserve"> consider</w:t>
      </w:r>
      <w:r>
        <w:t>ed</w:t>
      </w:r>
      <w:r w:rsidRPr="002B6508">
        <w:t>:</w:t>
      </w:r>
    </w:p>
    <w:p w:rsidR="00B04D68" w:rsidRPr="002B6508" w:rsidRDefault="00B04D68" w:rsidP="00B04D68">
      <w:pPr>
        <w:pStyle w:val="AERbulletlistfirststyle"/>
      </w:pPr>
      <w:r w:rsidRPr="002B6508">
        <w:t>the substitutability between capex and opex and the balance of incentives between these</w:t>
      </w:r>
    </w:p>
    <w:p w:rsidR="00B04D68" w:rsidRPr="002B6508" w:rsidRDefault="00B04D68" w:rsidP="00B04D68">
      <w:pPr>
        <w:pStyle w:val="AERbulletlistfirststyle"/>
      </w:pPr>
      <w:r w:rsidRPr="002B6508">
        <w:t>the balance of incentives with service</w:t>
      </w:r>
      <w:r>
        <w:t xml:space="preserve"> outcomes</w:t>
      </w:r>
    </w:p>
    <w:p w:rsidR="00B04D68" w:rsidRPr="002B6508" w:rsidRDefault="00B04D68" w:rsidP="00B04D68">
      <w:pPr>
        <w:pStyle w:val="AERbulletlistfirststyle"/>
      </w:pPr>
      <w:r w:rsidRPr="002B6508">
        <w:t>the substitutability of assets of different asset lives.</w:t>
      </w:r>
    </w:p>
    <w:p w:rsidR="00B04D68" w:rsidRDefault="00B04D68" w:rsidP="00B04D68">
      <w:pPr>
        <w:pStyle w:val="AERbodytext"/>
      </w:pPr>
      <w:r w:rsidRPr="00695AA2">
        <w:t>We have chosen forecast depreciation because, in combination with the CESS, it will provide a 30 per cent reward</w:t>
      </w:r>
      <w:r>
        <w:t xml:space="preserve"> </w:t>
      </w:r>
      <w:r w:rsidRPr="00695AA2">
        <w:t xml:space="preserve">for capex </w:t>
      </w:r>
      <w:r>
        <w:t>underspends and 30 per cent penalty for capex overspends</w:t>
      </w:r>
      <w:r w:rsidRPr="00695AA2">
        <w:t xml:space="preserve">, which is consistent for all asset classes. </w:t>
      </w:r>
      <w:r>
        <w:t xml:space="preserve">In developing </w:t>
      </w:r>
      <w:r w:rsidRPr="002B6508">
        <w:t>our capex incentives guideline</w:t>
      </w:r>
      <w:r>
        <w:t xml:space="preserve">, </w:t>
      </w:r>
      <w:r w:rsidRPr="00695AA2">
        <w:t>we consider</w:t>
      </w:r>
      <w:r>
        <w:t>ed</w:t>
      </w:r>
      <w:r w:rsidRPr="00695AA2">
        <w:t xml:space="preserve"> this to be a sufficient incentive for a </w:t>
      </w:r>
      <w:r>
        <w:t>TNSP</w:t>
      </w:r>
      <w:r w:rsidRPr="00695AA2">
        <w:t xml:space="preserve"> to achieve efficiency gains over the regulatory </w:t>
      </w:r>
      <w:r>
        <w:t xml:space="preserve">control </w:t>
      </w:r>
      <w:r w:rsidRPr="00695AA2">
        <w:t>period</w:t>
      </w:r>
      <w:r>
        <w:t xml:space="preserve"> i</w:t>
      </w:r>
      <w:r w:rsidRPr="002B6508">
        <w:t>n most circumstances</w:t>
      </w:r>
      <w:r w:rsidRPr="00695AA2">
        <w:t>.</w:t>
      </w:r>
      <w:r>
        <w:t xml:space="preserve"> </w:t>
      </w:r>
    </w:p>
    <w:p w:rsidR="00B04D68" w:rsidRDefault="00B04D68" w:rsidP="00B04D68">
      <w:pPr>
        <w:pStyle w:val="AERbodytext"/>
      </w:pPr>
      <w:r>
        <w:t xml:space="preserve">As discussed in attachment </w:t>
      </w:r>
      <w:r w:rsidR="00331D19">
        <w:t>10</w:t>
      </w:r>
      <w:r>
        <w:t>, Directlink is</w:t>
      </w:r>
      <w:r w:rsidRPr="00695AA2">
        <w:t xml:space="preserve"> not currently subject to a CESS but we </w:t>
      </w:r>
      <w:r>
        <w:t>will</w:t>
      </w:r>
      <w:r w:rsidRPr="00695AA2">
        <w:t xml:space="preserve"> apply the CESS </w:t>
      </w:r>
      <w:r>
        <w:t>to Directlink's 2015–20</w:t>
      </w:r>
      <w:r w:rsidRPr="00695AA2">
        <w:t xml:space="preserve"> regulatory </w:t>
      </w:r>
      <w:r>
        <w:t xml:space="preserve">control period. We consider the incentive provided by the application of the CESS in combination with the use of forecast depreciation and our other ex post capex measures </w:t>
      </w:r>
      <w:r w:rsidR="0090269E">
        <w:t>are</w:t>
      </w:r>
      <w:r>
        <w:t xml:space="preserve"> sufficient to achieve the </w:t>
      </w:r>
      <w:r w:rsidRPr="002B6508">
        <w:t>capex incentive objective</w:t>
      </w:r>
      <w:r>
        <w:t>.</w:t>
      </w:r>
      <w:r>
        <w:rPr>
          <w:rStyle w:val="FootnoteReference"/>
        </w:rPr>
        <w:footnoteReference w:id="33"/>
      </w:r>
      <w:r>
        <w:t xml:space="preserve">  </w:t>
      </w:r>
    </w:p>
    <w:p w:rsidR="00E41D2F" w:rsidRPr="00E41D2F" w:rsidRDefault="00E41D2F" w:rsidP="00E41D2F">
      <w:pPr>
        <w:pStyle w:val="AERbodytext"/>
      </w:pPr>
    </w:p>
    <w:sectPr w:rsidR="00E41D2F" w:rsidRPr="00E41D2F" w:rsidSect="003D2EB5">
      <w:footerReference w:type="even" r:id="rId13"/>
      <w:footerReference w:type="default" r:id="rId14"/>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18" w:rsidRPr="00AB4345" w:rsidRDefault="007C1218" w:rsidP="00AB4345">
      <w:r>
        <w:separator/>
      </w:r>
    </w:p>
  </w:endnote>
  <w:endnote w:type="continuationSeparator" w:id="0">
    <w:p w:rsidR="007C1218" w:rsidRPr="00AB4345" w:rsidRDefault="007C1218"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7C1218" w:rsidRPr="00824CC8" w:rsidRDefault="007C1218" w:rsidP="00824CC8">
        <w:pPr>
          <w:pStyle w:val="Footer"/>
        </w:pPr>
        <w:r w:rsidRPr="00824CC8">
          <w:fldChar w:fldCharType="begin"/>
        </w:r>
        <w:r w:rsidRPr="00824CC8">
          <w:instrText xml:space="preserve"> PAGE   \* MERGEFORMAT </w:instrText>
        </w:r>
        <w:r w:rsidRPr="00824CC8">
          <w:fldChar w:fldCharType="separate"/>
        </w:r>
        <w:r w:rsidR="00FC3B4F">
          <w:rPr>
            <w:noProof/>
          </w:rPr>
          <w:t>2-14</w:t>
        </w:r>
        <w:r w:rsidRPr="00824CC8">
          <w:fldChar w:fldCharType="end"/>
        </w:r>
        <w:r w:rsidRPr="00824CC8">
          <w:tab/>
        </w:r>
        <w:r w:rsidR="002E4829">
          <w:t xml:space="preserve">                                                                                        </w:t>
        </w:r>
        <w:r w:rsidR="00B933CB" w:rsidRPr="00824CC8">
          <w:rPr>
            <w:rStyle w:val="AERbody"/>
          </w:rPr>
          <w:t xml:space="preserve">Attachment </w:t>
        </w:r>
        <w:r w:rsidR="00B933CB">
          <w:rPr>
            <w:rStyle w:val="AERbody"/>
          </w:rPr>
          <w:t>2</w:t>
        </w:r>
        <w:r w:rsidR="00B933CB" w:rsidRPr="00824CC8">
          <w:rPr>
            <w:rStyle w:val="AERbody"/>
          </w:rPr>
          <w:t xml:space="preserve"> | </w:t>
        </w:r>
        <w:r w:rsidR="00EB6B90">
          <w:rPr>
            <w:rStyle w:val="AERbody"/>
          </w:rPr>
          <w:t>Regulatory asset base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18" w:rsidRPr="00824CC8" w:rsidRDefault="00B933CB" w:rsidP="00824CC8">
    <w:pPr>
      <w:pStyle w:val="Footer"/>
      <w:rPr>
        <w:rStyle w:val="AERbody"/>
      </w:rPr>
    </w:pPr>
    <w:r>
      <w:rPr>
        <w:rStyle w:val="AERbody"/>
      </w:rPr>
      <w:t>Draft decision: Directlink transmission determination 2015-20</w:t>
    </w:r>
    <w:r w:rsidRPr="00210880">
      <w:rPr>
        <w:rStyle w:val="AERbody"/>
      </w:rPr>
      <w:t xml:space="preserve"> | Attachment </w:t>
    </w:r>
    <w:r>
      <w:rPr>
        <w:rStyle w:val="AERbody"/>
      </w:rPr>
      <w:t>2</w:t>
    </w:r>
    <w:r w:rsidR="007C1218" w:rsidRPr="00210880">
      <w:rPr>
        <w:rStyle w:val="AERbody"/>
      </w:rPr>
      <w:tab/>
    </w:r>
    <w:r w:rsidR="007C1218" w:rsidRPr="00824CC8">
      <w:rPr>
        <w:rStyle w:val="AERbody"/>
      </w:rPr>
      <w:fldChar w:fldCharType="begin"/>
    </w:r>
    <w:r w:rsidR="007C1218" w:rsidRPr="00824CC8">
      <w:rPr>
        <w:rStyle w:val="AERbody"/>
      </w:rPr>
      <w:instrText xml:space="preserve"> PAGE   \* MERGEFORMAT </w:instrText>
    </w:r>
    <w:r w:rsidR="007C1218" w:rsidRPr="00824CC8">
      <w:rPr>
        <w:rStyle w:val="AERbody"/>
      </w:rPr>
      <w:fldChar w:fldCharType="separate"/>
    </w:r>
    <w:r w:rsidR="00FC3B4F">
      <w:rPr>
        <w:rStyle w:val="AERbody"/>
        <w:noProof/>
      </w:rPr>
      <w:t>2-13</w:t>
    </w:r>
    <w:r w:rsidR="007C1218"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18" w:rsidRPr="00AB4345" w:rsidRDefault="007C1218" w:rsidP="00AB4345">
      <w:r>
        <w:separator/>
      </w:r>
    </w:p>
  </w:footnote>
  <w:footnote w:type="continuationSeparator" w:id="0">
    <w:p w:rsidR="007C1218" w:rsidRPr="00AB4345" w:rsidRDefault="007C1218" w:rsidP="00AB4345">
      <w:r>
        <w:continuationSeparator/>
      </w:r>
    </w:p>
  </w:footnote>
  <w:footnote w:id="1">
    <w:p w:rsidR="007C1218" w:rsidRDefault="007C1218" w:rsidP="00A80E37">
      <w:pPr>
        <w:pStyle w:val="FootnoteText"/>
      </w:pPr>
      <w:r>
        <w:rPr>
          <w:rStyle w:val="FootnoteReference"/>
        </w:rPr>
        <w:footnoteRef/>
      </w:r>
      <w:r>
        <w:t xml:space="preserve"> </w:t>
      </w:r>
      <w:r>
        <w:tab/>
        <w:t xml:space="preserve">NER, </w:t>
      </w:r>
      <w:r w:rsidR="003D2EB5">
        <w:t>cl.</w:t>
      </w:r>
      <w:r>
        <w:t xml:space="preserve"> 6A.6.1.</w:t>
      </w:r>
    </w:p>
  </w:footnote>
  <w:footnote w:id="2">
    <w:p w:rsidR="007C1218" w:rsidRDefault="007C1218">
      <w:pPr>
        <w:pStyle w:val="FootnoteText"/>
      </w:pPr>
      <w:r>
        <w:rPr>
          <w:rStyle w:val="FootnoteReference"/>
        </w:rPr>
        <w:footnoteRef/>
      </w:r>
      <w:r>
        <w:t xml:space="preserve"> </w:t>
      </w:r>
      <w:r>
        <w:tab/>
        <w:t xml:space="preserve">NER, </w:t>
      </w:r>
      <w:r w:rsidR="003D2EB5">
        <w:t>cl.</w:t>
      </w:r>
      <w:r>
        <w:t xml:space="preserve"> 6A.4.2(3A) and (4).</w:t>
      </w:r>
    </w:p>
  </w:footnote>
  <w:footnote w:id="3">
    <w:p w:rsidR="007C1218" w:rsidRDefault="007C1218">
      <w:pPr>
        <w:pStyle w:val="FootnoteText"/>
      </w:pPr>
      <w:r>
        <w:rPr>
          <w:rStyle w:val="FootnoteReference"/>
        </w:rPr>
        <w:footnoteRef/>
      </w:r>
      <w:r>
        <w:t xml:space="preserve"> </w:t>
      </w:r>
      <w:r>
        <w:tab/>
        <w:t xml:space="preserve">NER, </w:t>
      </w:r>
      <w:r w:rsidR="003D2EB5">
        <w:t>cl.</w:t>
      </w:r>
      <w:r>
        <w:t xml:space="preserve"> 6A.5.4(a)(1) and (b)(1).</w:t>
      </w:r>
    </w:p>
  </w:footnote>
  <w:footnote w:id="4">
    <w:p w:rsidR="007C1218" w:rsidRDefault="007C1218">
      <w:pPr>
        <w:pStyle w:val="FootnoteText"/>
      </w:pPr>
      <w:r>
        <w:rPr>
          <w:rStyle w:val="FootnoteReference"/>
        </w:rPr>
        <w:footnoteRef/>
      </w:r>
      <w:r>
        <w:t xml:space="preserve"> </w:t>
      </w:r>
      <w:r>
        <w:tab/>
        <w:t xml:space="preserve">NER, </w:t>
      </w:r>
      <w:r w:rsidR="003D2EB5">
        <w:t>cl.</w:t>
      </w:r>
      <w:r>
        <w:t xml:space="preserve"> 6A.5.4(a)(2) and (3).</w:t>
      </w:r>
    </w:p>
  </w:footnote>
  <w:footnote w:id="5">
    <w:p w:rsidR="007C1218" w:rsidRDefault="007C1218">
      <w:pPr>
        <w:pStyle w:val="FootnoteText"/>
      </w:pPr>
      <w:r>
        <w:rPr>
          <w:rStyle w:val="FootnoteReference"/>
        </w:rPr>
        <w:footnoteRef/>
      </w:r>
      <w:r>
        <w:t xml:space="preserve"> </w:t>
      </w:r>
      <w:r>
        <w:tab/>
        <w:t>This RAB value is based on as-incurred capex.</w:t>
      </w:r>
    </w:p>
  </w:footnote>
  <w:footnote w:id="6">
    <w:p w:rsidR="007C1218" w:rsidRDefault="007C1218" w:rsidP="00A80E37">
      <w:pPr>
        <w:pStyle w:val="FootnoteText"/>
      </w:pPr>
      <w:r>
        <w:rPr>
          <w:rStyle w:val="FootnoteReference"/>
        </w:rPr>
        <w:footnoteRef/>
      </w:r>
      <w:r>
        <w:t xml:space="preserve"> </w:t>
      </w:r>
      <w:r>
        <w:tab/>
        <w:t xml:space="preserve">At the time of the draft decision, the capex for 2013–14 and 2014–15 are estimated values. We will update </w:t>
      </w:r>
      <w:r w:rsidRPr="002452D2">
        <w:t xml:space="preserve">the RAB roll forward </w:t>
      </w:r>
      <w:r>
        <w:t>for 2013–14 actual capex and revised 2013–14 estimated capex at the time of the final decision</w:t>
      </w:r>
      <w:r w:rsidRPr="002452D2">
        <w:t>.</w:t>
      </w:r>
    </w:p>
  </w:footnote>
  <w:footnote w:id="7">
    <w:p w:rsidR="007C1218" w:rsidRDefault="007C1218">
      <w:pPr>
        <w:pStyle w:val="FootnoteText"/>
      </w:pPr>
      <w:r>
        <w:rPr>
          <w:rStyle w:val="FootnoteReference"/>
        </w:rPr>
        <w:footnoteRef/>
      </w:r>
      <w:r>
        <w:t xml:space="preserve"> </w:t>
      </w:r>
      <w:r>
        <w:tab/>
      </w:r>
      <w:r w:rsidRPr="00DE4934">
        <w:rPr>
          <w:rFonts w:eastAsia="Calibri"/>
        </w:rPr>
        <w:t xml:space="preserve">NER, clause </w:t>
      </w:r>
      <w:r>
        <w:t>S6A.2.2B(a).</w:t>
      </w:r>
    </w:p>
  </w:footnote>
  <w:footnote w:id="8">
    <w:p w:rsidR="007C1218" w:rsidRDefault="007C1218">
      <w:pPr>
        <w:pStyle w:val="FootnoteText"/>
      </w:pPr>
      <w:r>
        <w:rPr>
          <w:rStyle w:val="FootnoteReference"/>
        </w:rPr>
        <w:footnoteRef/>
      </w:r>
      <w:r>
        <w:t xml:space="preserve"> </w:t>
      </w:r>
      <w:r>
        <w:tab/>
        <w:t>This RAB value is based on as-incurred capex.</w:t>
      </w:r>
    </w:p>
  </w:footnote>
  <w:footnote w:id="9">
    <w:p w:rsidR="007C1218" w:rsidRDefault="007C1218" w:rsidP="00A80E37">
      <w:pPr>
        <w:pStyle w:val="FootnoteText"/>
      </w:pPr>
      <w:r>
        <w:rPr>
          <w:rStyle w:val="FootnoteReference"/>
        </w:rPr>
        <w:footnoteRef/>
      </w:r>
      <w:r>
        <w:t xml:space="preserve"> </w:t>
      </w:r>
      <w:r>
        <w:tab/>
        <w:t xml:space="preserve">Directlink, </w:t>
      </w:r>
      <w:r w:rsidRPr="00F86888">
        <w:rPr>
          <w:rStyle w:val="AERtextitalic"/>
        </w:rPr>
        <w:t>Revenue proposal</w:t>
      </w:r>
      <w:r>
        <w:t>, pp.33–34 and 83.</w:t>
      </w:r>
    </w:p>
  </w:footnote>
  <w:footnote w:id="10">
    <w:p w:rsidR="007C1218" w:rsidRDefault="007C1218">
      <w:pPr>
        <w:pStyle w:val="FootnoteText"/>
      </w:pPr>
      <w:r>
        <w:rPr>
          <w:rStyle w:val="FootnoteReference"/>
        </w:rPr>
        <w:footnoteRef/>
      </w:r>
      <w:r>
        <w:t xml:space="preserve"> </w:t>
      </w:r>
      <w:r>
        <w:tab/>
        <w:t xml:space="preserve">AER, </w:t>
      </w:r>
      <w:r w:rsidRPr="0090269E">
        <w:rPr>
          <w:rStyle w:val="AERtextitalic"/>
        </w:rPr>
        <w:t>Decision – Directlink Joint Venturers' application for conversion and revenue cap</w:t>
      </w:r>
      <w:r>
        <w:t>, 3 March 2006, p. 31.</w:t>
      </w:r>
    </w:p>
  </w:footnote>
  <w:footnote w:id="11">
    <w:p w:rsidR="007C1218" w:rsidRDefault="007C1218">
      <w:pPr>
        <w:pStyle w:val="FootnoteText"/>
      </w:pPr>
      <w:r>
        <w:rPr>
          <w:rStyle w:val="FootnoteReference"/>
        </w:rPr>
        <w:footnoteRef/>
      </w:r>
      <w:r>
        <w:t xml:space="preserve"> </w:t>
      </w:r>
      <w:r>
        <w:tab/>
        <w:t xml:space="preserve">NER, </w:t>
      </w:r>
      <w:r w:rsidR="003D2EB5">
        <w:t>cl.</w:t>
      </w:r>
      <w:r>
        <w:t xml:space="preserve"> </w:t>
      </w:r>
      <w:r w:rsidRPr="00E468A4">
        <w:t>S6A.2.1(f)</w:t>
      </w:r>
      <w:r>
        <w:t>.</w:t>
      </w:r>
    </w:p>
  </w:footnote>
  <w:footnote w:id="12">
    <w:p w:rsidR="007C1218" w:rsidRDefault="007C1218">
      <w:pPr>
        <w:pStyle w:val="FootnoteText"/>
      </w:pPr>
      <w:r>
        <w:rPr>
          <w:rStyle w:val="FootnoteReference"/>
        </w:rPr>
        <w:footnoteRef/>
      </w:r>
      <w:r>
        <w:t xml:space="preserve"> </w:t>
      </w:r>
      <w:r>
        <w:tab/>
        <w:t xml:space="preserve">NER, </w:t>
      </w:r>
      <w:r w:rsidR="003D2EB5">
        <w:t>cl.</w:t>
      </w:r>
      <w:r>
        <w:t xml:space="preserve"> S6A(2.1(f)(3) and (6).</w:t>
      </w:r>
    </w:p>
  </w:footnote>
  <w:footnote w:id="13">
    <w:p w:rsidR="007C1218" w:rsidRDefault="007C1218" w:rsidP="00C222A7">
      <w:pPr>
        <w:pStyle w:val="FootnoteText"/>
      </w:pPr>
      <w:r>
        <w:rPr>
          <w:rStyle w:val="FootnoteReference"/>
        </w:rPr>
        <w:footnoteRef/>
      </w:r>
      <w:r>
        <w:t xml:space="preserve"> </w:t>
      </w:r>
      <w:r>
        <w:tab/>
        <w:t xml:space="preserve">NER, </w:t>
      </w:r>
      <w:r w:rsidR="003D2EB5">
        <w:t>cl.</w:t>
      </w:r>
      <w:r w:rsidRPr="007E45A1">
        <w:t xml:space="preserve"> </w:t>
      </w:r>
      <w:r w:rsidRPr="00E468A4">
        <w:t>S6A.2.1(f)</w:t>
      </w:r>
      <w:r>
        <w:t>(8) and S6A.2.3.</w:t>
      </w:r>
    </w:p>
  </w:footnote>
  <w:footnote w:id="14">
    <w:p w:rsidR="007C1218" w:rsidRPr="00E0282D" w:rsidRDefault="007C1218" w:rsidP="00C222A7">
      <w:pPr>
        <w:pStyle w:val="FootnoteText"/>
      </w:pPr>
      <w:r>
        <w:rPr>
          <w:rStyle w:val="FootnoteReference"/>
        </w:rPr>
        <w:footnoteRef/>
      </w:r>
      <w:r w:rsidRPr="00E0282D">
        <w:t xml:space="preserve"> </w:t>
      </w:r>
      <w:r w:rsidRPr="00E0282D">
        <w:tab/>
        <w:t xml:space="preserve">NER, </w:t>
      </w:r>
      <w:r w:rsidR="003D2EB5">
        <w:t>cl.</w:t>
      </w:r>
      <w:r w:rsidRPr="00E0282D">
        <w:t xml:space="preserve"> 6A.6.1(b)</w:t>
      </w:r>
      <w:r>
        <w:t xml:space="preserve"> and (e)</w:t>
      </w:r>
      <w:r w:rsidRPr="00E0282D">
        <w:t>.</w:t>
      </w:r>
    </w:p>
  </w:footnote>
  <w:footnote w:id="15">
    <w:p w:rsidR="007C1218" w:rsidRPr="00E0282D" w:rsidRDefault="007C1218" w:rsidP="00C222A7">
      <w:pPr>
        <w:pStyle w:val="FootnoteText"/>
      </w:pPr>
      <w:r>
        <w:rPr>
          <w:rStyle w:val="FootnoteReference"/>
        </w:rPr>
        <w:footnoteRef/>
      </w:r>
      <w:r w:rsidRPr="00E0282D">
        <w:t xml:space="preserve"> </w:t>
      </w:r>
      <w:r w:rsidRPr="00E0282D">
        <w:tab/>
        <w:t xml:space="preserve">NER, </w:t>
      </w:r>
      <w:r w:rsidR="003D2EB5">
        <w:t>cl.</w:t>
      </w:r>
      <w:r w:rsidRPr="00E0282D">
        <w:t xml:space="preserve"> 6A.6.1(e)(3).</w:t>
      </w:r>
    </w:p>
  </w:footnote>
  <w:footnote w:id="16">
    <w:p w:rsidR="007C1218" w:rsidRDefault="007C1218" w:rsidP="00C222A7">
      <w:pPr>
        <w:pStyle w:val="FootnoteText"/>
      </w:pPr>
      <w:r>
        <w:rPr>
          <w:rStyle w:val="FootnoteReference"/>
        </w:rPr>
        <w:footnoteRef/>
      </w:r>
      <w:r>
        <w:t xml:space="preserve"> </w:t>
      </w:r>
      <w:r>
        <w:tab/>
        <w:t xml:space="preserve">NER, </w:t>
      </w:r>
      <w:r w:rsidR="003D2EB5">
        <w:t>cl.</w:t>
      </w:r>
      <w:r w:rsidRPr="00963601">
        <w:t xml:space="preserve"> </w:t>
      </w:r>
      <w:r w:rsidRPr="00E468A4">
        <w:t>S6A.2.1(f)</w:t>
      </w:r>
      <w:r>
        <w:t>(4).</w:t>
      </w:r>
    </w:p>
  </w:footnote>
  <w:footnote w:id="17">
    <w:p w:rsidR="007C1218" w:rsidRDefault="007C1218" w:rsidP="00C222A7">
      <w:pPr>
        <w:pStyle w:val="FootnoteText"/>
      </w:pPr>
      <w:r>
        <w:rPr>
          <w:rStyle w:val="FootnoteReference"/>
        </w:rPr>
        <w:footnoteRef/>
      </w:r>
      <w:r>
        <w:t xml:space="preserve"> </w:t>
      </w:r>
      <w:r>
        <w:tab/>
        <w:t xml:space="preserve">NER, </w:t>
      </w:r>
      <w:r w:rsidRPr="008A6CEE">
        <w:t>S6A.2.2A.</w:t>
      </w:r>
    </w:p>
  </w:footnote>
  <w:footnote w:id="18">
    <w:p w:rsidR="007C1218" w:rsidRDefault="007C1218" w:rsidP="00C222A7">
      <w:pPr>
        <w:pStyle w:val="FootnoteText"/>
      </w:pPr>
      <w:r>
        <w:rPr>
          <w:rStyle w:val="FootnoteReference"/>
        </w:rPr>
        <w:footnoteRef/>
      </w:r>
      <w:r>
        <w:t xml:space="preserve"> </w:t>
      </w:r>
      <w:r>
        <w:tab/>
        <w:t xml:space="preserve">NER, </w:t>
      </w:r>
      <w:r w:rsidR="003D2EB5">
        <w:t>cl.</w:t>
      </w:r>
      <w:r>
        <w:t xml:space="preserve"> 11.58.5 and 11.63.</w:t>
      </w:r>
    </w:p>
  </w:footnote>
  <w:footnote w:id="19">
    <w:p w:rsidR="007C1218" w:rsidRDefault="007C1218" w:rsidP="00C222A7">
      <w:pPr>
        <w:pStyle w:val="FootnoteText"/>
      </w:pPr>
      <w:r>
        <w:rPr>
          <w:rStyle w:val="FootnoteReference"/>
        </w:rPr>
        <w:footnoteRef/>
      </w:r>
      <w:r>
        <w:t xml:space="preserve"> </w:t>
      </w:r>
      <w:r>
        <w:tab/>
        <w:t xml:space="preserve">NER, </w:t>
      </w:r>
      <w:r w:rsidR="003D2EB5">
        <w:t>cl.</w:t>
      </w:r>
      <w:r w:rsidRPr="00963601">
        <w:t xml:space="preserve"> </w:t>
      </w:r>
      <w:r w:rsidRPr="00E468A4">
        <w:t>S6A.2.1(f)</w:t>
      </w:r>
      <w:r>
        <w:t xml:space="preserve">(5). </w:t>
      </w:r>
    </w:p>
  </w:footnote>
  <w:footnote w:id="20">
    <w:p w:rsidR="007C1218" w:rsidRDefault="007C1218" w:rsidP="00DE4934">
      <w:pPr>
        <w:pStyle w:val="FootnoteText"/>
      </w:pPr>
      <w:r>
        <w:rPr>
          <w:rStyle w:val="FootnoteReference"/>
        </w:rPr>
        <w:footnoteRef/>
      </w:r>
      <w:r>
        <w:t xml:space="preserve"> </w:t>
      </w:r>
      <w:r>
        <w:tab/>
        <w:t xml:space="preserve">NER, </w:t>
      </w:r>
      <w:r w:rsidR="003D2EB5">
        <w:t>cl.</w:t>
      </w:r>
      <w:r>
        <w:t xml:space="preserve"> 6A 4.2(a1).</w:t>
      </w:r>
    </w:p>
  </w:footnote>
  <w:footnote w:id="21">
    <w:p w:rsidR="007C1218" w:rsidRDefault="007C1218" w:rsidP="00C222A7">
      <w:pPr>
        <w:pStyle w:val="FootnoteText"/>
      </w:pPr>
      <w:r>
        <w:rPr>
          <w:rStyle w:val="FootnoteReference"/>
        </w:rPr>
        <w:footnoteRef/>
      </w:r>
      <w:r>
        <w:t xml:space="preserve"> </w:t>
      </w:r>
      <w:r>
        <w:tab/>
      </w:r>
      <w:r w:rsidRPr="000715E7">
        <w:t xml:space="preserve">Clause 11.6.9 of the NER provides that the value of the RAB for the first regulatory control period under the revised NER may also be adjusted to have regard </w:t>
      </w:r>
      <w:r>
        <w:t>to</w:t>
      </w:r>
      <w:r w:rsidRPr="000715E7">
        <w:t xml:space="preserve"> an existing revenue determination and any other arrangements agreed between the AER and TNSP. </w:t>
      </w:r>
      <w:r>
        <w:t xml:space="preserve">The 2005 decision did not provide any capex allowance for Directlink, but stated that it is appropriate to add any capex in the RAB at the next reset for prudent works that Directlink undertook to improve its reliability (AER, </w:t>
      </w:r>
      <w:r w:rsidRPr="00C222A7">
        <w:rPr>
          <w:rStyle w:val="AERtextitalic"/>
        </w:rPr>
        <w:t xml:space="preserve">Final decision: </w:t>
      </w:r>
      <w:r w:rsidRPr="00C222A7">
        <w:rPr>
          <w:rStyle w:val="AERtextitalic"/>
          <w:rFonts w:eastAsia="Calibri"/>
        </w:rPr>
        <w:t>DJV application for conversion and revenue cap</w:t>
      </w:r>
      <w:r w:rsidRPr="00C222A7">
        <w:rPr>
          <w:rFonts w:eastAsia="Calibri"/>
        </w:rPr>
        <w:t xml:space="preserve">, </w:t>
      </w:r>
      <w:r>
        <w:t>p. 25). This indicates that the use of forecast depreciation for the purposes of rolling forward the RAB from 2005–06 to 2014–15 is appropriate.</w:t>
      </w:r>
    </w:p>
  </w:footnote>
  <w:footnote w:id="22">
    <w:p w:rsidR="007C1218" w:rsidRDefault="007C1218" w:rsidP="00C222A7">
      <w:pPr>
        <w:pStyle w:val="FootnoteText"/>
      </w:pPr>
      <w:r>
        <w:rPr>
          <w:rStyle w:val="FootnoteReference"/>
        </w:rPr>
        <w:footnoteRef/>
      </w:r>
      <w:r>
        <w:t xml:space="preserve"> </w:t>
      </w:r>
      <w:r>
        <w:tab/>
        <w:t xml:space="preserve">NER, </w:t>
      </w:r>
      <w:r w:rsidR="003D2EB5">
        <w:t>cl.</w:t>
      </w:r>
      <w:r w:rsidRPr="00963601">
        <w:t xml:space="preserve"> </w:t>
      </w:r>
      <w:r w:rsidRPr="00E468A4">
        <w:t>S6A.2.1(f)</w:t>
      </w:r>
      <w:r>
        <w:t>(6).</w:t>
      </w:r>
    </w:p>
  </w:footnote>
  <w:footnote w:id="23">
    <w:p w:rsidR="007C1218" w:rsidRDefault="007C1218" w:rsidP="00C222A7">
      <w:pPr>
        <w:pStyle w:val="FootnoteText"/>
      </w:pPr>
      <w:r>
        <w:rPr>
          <w:rStyle w:val="FootnoteReference"/>
        </w:rPr>
        <w:footnoteRef/>
      </w:r>
      <w:r>
        <w:tab/>
      </w:r>
      <w:r>
        <w:rPr>
          <w:rFonts w:eastAsia="Calibri"/>
        </w:rPr>
        <w:t xml:space="preserve">NER, </w:t>
      </w:r>
      <w:r w:rsidR="003D2EB5">
        <w:rPr>
          <w:rFonts w:eastAsia="Calibri"/>
        </w:rPr>
        <w:t>cl.</w:t>
      </w:r>
      <w:r>
        <w:rPr>
          <w:rFonts w:eastAsia="Calibri"/>
        </w:rPr>
        <w:t xml:space="preserve"> </w:t>
      </w:r>
      <w:r>
        <w:t>S6A.2.2B(a).</w:t>
      </w:r>
    </w:p>
  </w:footnote>
  <w:footnote w:id="24">
    <w:p w:rsidR="007C1218" w:rsidRDefault="007C1218">
      <w:pPr>
        <w:pStyle w:val="FootnoteText"/>
      </w:pPr>
      <w:r>
        <w:rPr>
          <w:rStyle w:val="FootnoteReference"/>
        </w:rPr>
        <w:footnoteRef/>
      </w:r>
      <w:r>
        <w:t xml:space="preserve"> </w:t>
      </w:r>
      <w:r>
        <w:tab/>
        <w:t xml:space="preserve">NER, </w:t>
      </w:r>
      <w:r w:rsidR="003D2EB5">
        <w:t>cl.</w:t>
      </w:r>
      <w:r>
        <w:t xml:space="preserve"> S6A.2.2B(b).</w:t>
      </w:r>
    </w:p>
  </w:footnote>
  <w:footnote w:id="25">
    <w:p w:rsidR="007C1218" w:rsidRDefault="007C1218" w:rsidP="00C222A7">
      <w:pPr>
        <w:pStyle w:val="FootnoteText"/>
      </w:pPr>
      <w:r>
        <w:rPr>
          <w:rStyle w:val="FootnoteReference"/>
        </w:rPr>
        <w:footnoteRef/>
      </w:r>
      <w:r>
        <w:tab/>
      </w:r>
      <w:r>
        <w:rPr>
          <w:rFonts w:eastAsia="Calibri"/>
        </w:rPr>
        <w:t xml:space="preserve">NER, </w:t>
      </w:r>
      <w:r w:rsidR="003D2EB5">
        <w:rPr>
          <w:rFonts w:eastAsia="Calibri"/>
        </w:rPr>
        <w:t>cl.</w:t>
      </w:r>
      <w:r>
        <w:rPr>
          <w:rFonts w:eastAsia="Calibri"/>
        </w:rPr>
        <w:t xml:space="preserve"> </w:t>
      </w:r>
      <w:r>
        <w:t>S6A.2.2B(c).</w:t>
      </w:r>
    </w:p>
  </w:footnote>
  <w:footnote w:id="26">
    <w:p w:rsidR="007C1218" w:rsidRDefault="007C1218" w:rsidP="0080793E">
      <w:pPr>
        <w:pStyle w:val="FootnoteText"/>
      </w:pPr>
      <w:r>
        <w:rPr>
          <w:rStyle w:val="FootnoteReference"/>
        </w:rPr>
        <w:footnoteRef/>
      </w:r>
      <w:r>
        <w:t xml:space="preserve"> </w:t>
      </w:r>
      <w:r>
        <w:tab/>
      </w:r>
      <w:r w:rsidRPr="008D04DA">
        <w:t xml:space="preserve">The size of the RAB also impacts the </w:t>
      </w:r>
      <w:r>
        <w:t xml:space="preserve">benchmark </w:t>
      </w:r>
      <w:r w:rsidRPr="008D04DA">
        <w:t>debt raising cost allowance. However, this amount is usually relatively small and therefore not a significant determinant of revenues overall.</w:t>
      </w:r>
    </w:p>
  </w:footnote>
  <w:footnote w:id="27">
    <w:p w:rsidR="007C1218" w:rsidRDefault="007C1218" w:rsidP="0080793E">
      <w:pPr>
        <w:pStyle w:val="FootnoteText"/>
      </w:pPr>
      <w:r>
        <w:rPr>
          <w:rStyle w:val="FootnoteReference"/>
        </w:rPr>
        <w:footnoteRef/>
      </w:r>
      <w:r>
        <w:t xml:space="preserve"> </w:t>
      </w:r>
      <w:r>
        <w:tab/>
        <w:t xml:space="preserve">Net capex is gross capex less disposals. </w:t>
      </w:r>
      <w:r w:rsidRPr="008D04DA">
        <w:t xml:space="preserve">The </w:t>
      </w:r>
      <w:r>
        <w:t>rate of return</w:t>
      </w:r>
      <w:r w:rsidRPr="008D04DA">
        <w:t xml:space="preserve"> </w:t>
      </w:r>
      <w:r>
        <w:t xml:space="preserve">or WACC </w:t>
      </w:r>
      <w:r w:rsidRPr="008D04DA">
        <w:t>also influences the size of the capex</w:t>
      </w:r>
      <w:r>
        <w:t xml:space="preserve">. This is because </w:t>
      </w:r>
      <w:r w:rsidRPr="008D04DA">
        <w:t xml:space="preserve">capex is not depreciated in the year it is first </w:t>
      </w:r>
      <w:r>
        <w:t xml:space="preserve">incurred, but </w:t>
      </w:r>
      <w:r w:rsidRPr="008D04DA">
        <w:t>added to the RAB</w:t>
      </w:r>
      <w:r>
        <w:t xml:space="preserve"> at the end of the year. Instead,</w:t>
      </w:r>
      <w:r w:rsidRPr="008D04DA">
        <w:t xml:space="preserve"> the capex amount is escalated by half a WACC to arrive at an end of year value. It then begins depreciating the following year.</w:t>
      </w:r>
    </w:p>
  </w:footnote>
  <w:footnote w:id="28">
    <w:p w:rsidR="007C1218" w:rsidRDefault="007C1218" w:rsidP="00D6195D">
      <w:pPr>
        <w:pStyle w:val="FootnoteText"/>
      </w:pPr>
      <w:r>
        <w:rPr>
          <w:rStyle w:val="FootnoteReference"/>
        </w:rPr>
        <w:footnoteRef/>
      </w:r>
      <w:r>
        <w:t xml:space="preserve"> </w:t>
      </w:r>
      <w:r>
        <w:tab/>
      </w:r>
      <w:r w:rsidRPr="002F3335">
        <w:t>If capex causes the RAB incr</w:t>
      </w:r>
      <w:r>
        <w:t xml:space="preserve">ease, return on capital, </w:t>
      </w:r>
      <w:r w:rsidRPr="002F3335">
        <w:t>depreciation</w:t>
      </w:r>
      <w:r>
        <w:t>, and debt raising costs all</w:t>
      </w:r>
      <w:r w:rsidRPr="002F3335">
        <w:t xml:space="preserve"> increase</w:t>
      </w:r>
      <w:r>
        <w:t xml:space="preserve"> too</w:t>
      </w:r>
      <w:r w:rsidRPr="002F3335">
        <w:t>. If a reduction in depreciation causes the RAB increase, revenue could increase or decrease. In this case</w:t>
      </w:r>
      <w:r>
        <w:t>,</w:t>
      </w:r>
      <w:r w:rsidRPr="002F3335">
        <w:t xml:space="preserve"> the higher return on capital is offset (perhaps more than offset) by the reduction in depreciation allowance. Inflation naturally increases the RAB in nominal terms. However, the real impact from changing the inflation forecast is inconsequential as revenues are updated annual</w:t>
      </w:r>
      <w:r>
        <w:t>ly</w:t>
      </w:r>
      <w:r w:rsidRPr="002F3335">
        <w:t xml:space="preserve"> by actual </w:t>
      </w:r>
      <w:r>
        <w:t xml:space="preserve">inflation </w:t>
      </w:r>
      <w:r w:rsidRPr="002F3335">
        <w:t>and the X factor, which is generally unaffected by the assumed</w:t>
      </w:r>
      <w:r>
        <w:t xml:space="preserve"> forecast</w:t>
      </w:r>
      <w:r w:rsidRPr="002F3335">
        <w:t xml:space="preserve"> inflation rate.</w:t>
      </w:r>
    </w:p>
  </w:footnote>
  <w:footnote w:id="29">
    <w:p w:rsidR="007C1218" w:rsidRDefault="007C1218">
      <w:pPr>
        <w:pStyle w:val="FootnoteText"/>
      </w:pPr>
      <w:r>
        <w:rPr>
          <w:rStyle w:val="FootnoteReference"/>
        </w:rPr>
        <w:footnoteRef/>
      </w:r>
      <w:r>
        <w:t xml:space="preserve"> </w:t>
      </w:r>
      <w:r>
        <w:tab/>
        <w:t xml:space="preserve">AER, </w:t>
      </w:r>
      <w:r w:rsidRPr="0090269E">
        <w:rPr>
          <w:rStyle w:val="AERtextitalic"/>
        </w:rPr>
        <w:t>Decision – Directlink Joint Venturers' application for conversion and revenue cap</w:t>
      </w:r>
      <w:r>
        <w:t>, 3 March 2006.</w:t>
      </w:r>
    </w:p>
  </w:footnote>
  <w:footnote w:id="30">
    <w:p w:rsidR="007C1218" w:rsidRDefault="007C1218">
      <w:pPr>
        <w:pStyle w:val="FootnoteText"/>
      </w:pPr>
      <w:r>
        <w:rPr>
          <w:rStyle w:val="FootnoteReference"/>
        </w:rPr>
        <w:footnoteRef/>
      </w:r>
      <w:r>
        <w:t xml:space="preserve"> </w:t>
      </w:r>
      <w:r>
        <w:tab/>
      </w:r>
      <w:r w:rsidRPr="008914BF">
        <w:t>At the time of this draft decision</w:t>
      </w:r>
      <w:r>
        <w:t>,</w:t>
      </w:r>
      <w:r w:rsidRPr="008914BF">
        <w:t xml:space="preserve"> the roll forward of </w:t>
      </w:r>
      <w:r>
        <w:t>Directlink's RAB</w:t>
      </w:r>
      <w:r w:rsidRPr="008914BF">
        <w:t xml:space="preserve"> includes </w:t>
      </w:r>
      <w:r>
        <w:t>estimated</w:t>
      </w:r>
      <w:r w:rsidRPr="008914BF">
        <w:t xml:space="preserve"> capex </w:t>
      </w:r>
      <w:r>
        <w:t xml:space="preserve">values </w:t>
      </w:r>
      <w:r w:rsidRPr="008914BF">
        <w:t xml:space="preserve">for </w:t>
      </w:r>
      <w:r>
        <w:t xml:space="preserve">2013–14 and 2014–15. </w:t>
      </w:r>
      <w:r w:rsidRPr="00516A5D">
        <w:t>We will update the 2013–14 estimated capex value</w:t>
      </w:r>
      <w:r>
        <w:t>s</w:t>
      </w:r>
      <w:r w:rsidRPr="00516A5D">
        <w:t xml:space="preserve"> with the actual value</w:t>
      </w:r>
      <w:r>
        <w:t>s</w:t>
      </w:r>
      <w:r w:rsidRPr="00B275A9">
        <w:t xml:space="preserve"> </w:t>
      </w:r>
      <w:r w:rsidRPr="00516A5D">
        <w:t>for the final decision</w:t>
      </w:r>
      <w:r>
        <w:t>. We may update the 2014–15 capex values with revised estimates for the final decision. The update for 2014–15 actual capex values will be made at the next reset.</w:t>
      </w:r>
    </w:p>
  </w:footnote>
  <w:footnote w:id="31">
    <w:p w:rsidR="007C1218" w:rsidRDefault="007C1218" w:rsidP="00B04D68">
      <w:pPr>
        <w:pStyle w:val="FootnoteText"/>
      </w:pPr>
      <w:r>
        <w:rPr>
          <w:rStyle w:val="FootnoteReference"/>
        </w:rPr>
        <w:footnoteRef/>
      </w:r>
      <w:r>
        <w:t xml:space="preserve"> </w:t>
      </w:r>
      <w:r>
        <w:tab/>
        <w:t xml:space="preserve">AER, </w:t>
      </w:r>
      <w:r w:rsidRPr="00743C7A">
        <w:rPr>
          <w:rStyle w:val="AERtextitalic"/>
        </w:rPr>
        <w:t xml:space="preserve">Framework and approach </w:t>
      </w:r>
      <w:r w:rsidRPr="00B04D68">
        <w:rPr>
          <w:rStyle w:val="AERtextitalic"/>
        </w:rPr>
        <w:t>paper Directlink—regulatory control period commencing 1 July 2015</w:t>
      </w:r>
      <w:r>
        <w:t>, January 2014, pp. 23–24.</w:t>
      </w:r>
    </w:p>
  </w:footnote>
  <w:footnote w:id="32">
    <w:p w:rsidR="007C1218" w:rsidRDefault="007C1218" w:rsidP="00B04D68">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xml:space="preserve">, November 2013. pp. </w:t>
      </w:r>
      <w:r w:rsidRPr="003E15E0">
        <w:t>12–13.</w:t>
      </w:r>
    </w:p>
  </w:footnote>
  <w:footnote w:id="33">
    <w:p w:rsidR="007C1218" w:rsidRDefault="007C1218" w:rsidP="00B04D68">
      <w:pPr>
        <w:pStyle w:val="FootnoteText"/>
      </w:pPr>
      <w:r>
        <w:rPr>
          <w:rStyle w:val="FootnoteReference"/>
        </w:rPr>
        <w:footnoteRef/>
      </w:r>
      <w:r>
        <w:t xml:space="preserve"> </w:t>
      </w:r>
      <w:r>
        <w:tab/>
        <w:t xml:space="preserve">Our ex post capex measures are set out in the capex incentives guideline: AER, </w:t>
      </w:r>
      <w:r>
        <w:rPr>
          <w:rStyle w:val="AERtextitalic"/>
        </w:rPr>
        <w:t>C</w:t>
      </w:r>
      <w:r w:rsidRPr="00AE091F">
        <w:rPr>
          <w:rStyle w:val="AERtextitalic"/>
        </w:rPr>
        <w:t>apex incentives guideline</w:t>
      </w:r>
      <w:r>
        <w:t xml:space="preserve">, November 2013, pp. 13–19, 20–21. The guideline also sets out how all our capex incentive measures </w:t>
      </w:r>
      <w:r w:rsidRPr="008269B2">
        <w:t>are consistent with the capex incentive objective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2"/>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ocumentProtection w:formatting="1" w:enforcement="1" w:cryptProviderType="rsaFull" w:cryptAlgorithmClass="hash" w:cryptAlgorithmType="typeAny" w:cryptAlgorithmSid="4" w:cryptSpinCount="100000" w:hash="aK4W0FUndcozBtAd1jxhcHCCK1g=" w:salt="yGppFCDi+ynecjSuM2ZRQg=="/>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1528\D14 95401  Directlink draft decision template - master.DOCX"/>
  </w:docVars>
  <w:rsids>
    <w:rsidRoot w:val="000C052F"/>
    <w:rsid w:val="00001004"/>
    <w:rsid w:val="00011129"/>
    <w:rsid w:val="00022606"/>
    <w:rsid w:val="00024AF9"/>
    <w:rsid w:val="0003484A"/>
    <w:rsid w:val="00040599"/>
    <w:rsid w:val="00040749"/>
    <w:rsid w:val="00055B39"/>
    <w:rsid w:val="00060BC9"/>
    <w:rsid w:val="00093090"/>
    <w:rsid w:val="000A1CC2"/>
    <w:rsid w:val="000A4A31"/>
    <w:rsid w:val="000A5342"/>
    <w:rsid w:val="000B15CA"/>
    <w:rsid w:val="000C052F"/>
    <w:rsid w:val="000C3430"/>
    <w:rsid w:val="000D03C2"/>
    <w:rsid w:val="000D04B1"/>
    <w:rsid w:val="000D401F"/>
    <w:rsid w:val="000E1A25"/>
    <w:rsid w:val="000F3A6A"/>
    <w:rsid w:val="001033B3"/>
    <w:rsid w:val="00105636"/>
    <w:rsid w:val="00127280"/>
    <w:rsid w:val="0013022D"/>
    <w:rsid w:val="00147A6E"/>
    <w:rsid w:val="001538B3"/>
    <w:rsid w:val="001543D2"/>
    <w:rsid w:val="0015485B"/>
    <w:rsid w:val="00174026"/>
    <w:rsid w:val="00182D19"/>
    <w:rsid w:val="001856EE"/>
    <w:rsid w:val="00194C3C"/>
    <w:rsid w:val="001B3DDB"/>
    <w:rsid w:val="001C12E5"/>
    <w:rsid w:val="001F5A7B"/>
    <w:rsid w:val="0020711E"/>
    <w:rsid w:val="00210880"/>
    <w:rsid w:val="002257B9"/>
    <w:rsid w:val="0023137D"/>
    <w:rsid w:val="00266710"/>
    <w:rsid w:val="002805B8"/>
    <w:rsid w:val="002938CE"/>
    <w:rsid w:val="002973C4"/>
    <w:rsid w:val="002A232D"/>
    <w:rsid w:val="002B0093"/>
    <w:rsid w:val="002B578D"/>
    <w:rsid w:val="002B6640"/>
    <w:rsid w:val="002C7483"/>
    <w:rsid w:val="002D30D8"/>
    <w:rsid w:val="002D404C"/>
    <w:rsid w:val="002D61AC"/>
    <w:rsid w:val="002E4720"/>
    <w:rsid w:val="002E4829"/>
    <w:rsid w:val="00301323"/>
    <w:rsid w:val="00301DF6"/>
    <w:rsid w:val="00303452"/>
    <w:rsid w:val="00331D19"/>
    <w:rsid w:val="003324F7"/>
    <w:rsid w:val="00334F88"/>
    <w:rsid w:val="00362857"/>
    <w:rsid w:val="003707DB"/>
    <w:rsid w:val="00371621"/>
    <w:rsid w:val="00371DCB"/>
    <w:rsid w:val="00375AEC"/>
    <w:rsid w:val="00376236"/>
    <w:rsid w:val="0037652C"/>
    <w:rsid w:val="003800E4"/>
    <w:rsid w:val="003803E9"/>
    <w:rsid w:val="00380FF5"/>
    <w:rsid w:val="00381A9A"/>
    <w:rsid w:val="00385DBF"/>
    <w:rsid w:val="003A6174"/>
    <w:rsid w:val="003A78B6"/>
    <w:rsid w:val="003B7FE3"/>
    <w:rsid w:val="003C0CB2"/>
    <w:rsid w:val="003D2EB5"/>
    <w:rsid w:val="003F1D21"/>
    <w:rsid w:val="004030AB"/>
    <w:rsid w:val="004100C4"/>
    <w:rsid w:val="004110EE"/>
    <w:rsid w:val="00412282"/>
    <w:rsid w:val="004256BA"/>
    <w:rsid w:val="00431999"/>
    <w:rsid w:val="00433D80"/>
    <w:rsid w:val="00435682"/>
    <w:rsid w:val="004500F9"/>
    <w:rsid w:val="00450B92"/>
    <w:rsid w:val="00455201"/>
    <w:rsid w:val="00456081"/>
    <w:rsid w:val="00464F5D"/>
    <w:rsid w:val="00465E03"/>
    <w:rsid w:val="00465FD2"/>
    <w:rsid w:val="00474FBD"/>
    <w:rsid w:val="00491D7D"/>
    <w:rsid w:val="004A18FF"/>
    <w:rsid w:val="004A288A"/>
    <w:rsid w:val="004A7CD3"/>
    <w:rsid w:val="004C3F45"/>
    <w:rsid w:val="004C5AB3"/>
    <w:rsid w:val="004D717F"/>
    <w:rsid w:val="004E40EF"/>
    <w:rsid w:val="004E73F7"/>
    <w:rsid w:val="004F76A0"/>
    <w:rsid w:val="00500E7F"/>
    <w:rsid w:val="00512BE9"/>
    <w:rsid w:val="0052179D"/>
    <w:rsid w:val="00527533"/>
    <w:rsid w:val="00540DAD"/>
    <w:rsid w:val="005456A9"/>
    <w:rsid w:val="00555D52"/>
    <w:rsid w:val="005566D7"/>
    <w:rsid w:val="00561F7F"/>
    <w:rsid w:val="00566B35"/>
    <w:rsid w:val="005732CC"/>
    <w:rsid w:val="00575422"/>
    <w:rsid w:val="00575720"/>
    <w:rsid w:val="005938C6"/>
    <w:rsid w:val="005A0431"/>
    <w:rsid w:val="005B0E5B"/>
    <w:rsid w:val="005B3752"/>
    <w:rsid w:val="005B61C2"/>
    <w:rsid w:val="005D26B7"/>
    <w:rsid w:val="005D4AA1"/>
    <w:rsid w:val="0060146C"/>
    <w:rsid w:val="0060207D"/>
    <w:rsid w:val="006039F2"/>
    <w:rsid w:val="006061B0"/>
    <w:rsid w:val="0060732E"/>
    <w:rsid w:val="006076A9"/>
    <w:rsid w:val="00613A04"/>
    <w:rsid w:val="006544EA"/>
    <w:rsid w:val="006638EE"/>
    <w:rsid w:val="0066569F"/>
    <w:rsid w:val="0069004B"/>
    <w:rsid w:val="006B08EB"/>
    <w:rsid w:val="006B481F"/>
    <w:rsid w:val="006C7908"/>
    <w:rsid w:val="006D165F"/>
    <w:rsid w:val="006E07E1"/>
    <w:rsid w:val="006E0F1B"/>
    <w:rsid w:val="006F638E"/>
    <w:rsid w:val="00703E42"/>
    <w:rsid w:val="007368AD"/>
    <w:rsid w:val="00742B08"/>
    <w:rsid w:val="00751D2A"/>
    <w:rsid w:val="00755095"/>
    <w:rsid w:val="00786B0B"/>
    <w:rsid w:val="0079395F"/>
    <w:rsid w:val="00796A07"/>
    <w:rsid w:val="007A1F87"/>
    <w:rsid w:val="007B4A0F"/>
    <w:rsid w:val="007C10ED"/>
    <w:rsid w:val="007C1218"/>
    <w:rsid w:val="007E5666"/>
    <w:rsid w:val="007F10E3"/>
    <w:rsid w:val="007F2C0E"/>
    <w:rsid w:val="00804AEB"/>
    <w:rsid w:val="00807364"/>
    <w:rsid w:val="0080793E"/>
    <w:rsid w:val="00821237"/>
    <w:rsid w:val="00824CC8"/>
    <w:rsid w:val="008276D2"/>
    <w:rsid w:val="00836D17"/>
    <w:rsid w:val="00840A55"/>
    <w:rsid w:val="00841E25"/>
    <w:rsid w:val="00845140"/>
    <w:rsid w:val="008464CD"/>
    <w:rsid w:val="008515EE"/>
    <w:rsid w:val="00861C4E"/>
    <w:rsid w:val="00866D21"/>
    <w:rsid w:val="00872D85"/>
    <w:rsid w:val="00883DDA"/>
    <w:rsid w:val="008874B6"/>
    <w:rsid w:val="00891FF9"/>
    <w:rsid w:val="00892518"/>
    <w:rsid w:val="00893367"/>
    <w:rsid w:val="00893D07"/>
    <w:rsid w:val="00895B14"/>
    <w:rsid w:val="0089739C"/>
    <w:rsid w:val="008B7956"/>
    <w:rsid w:val="008C3722"/>
    <w:rsid w:val="008C3B67"/>
    <w:rsid w:val="008C3F48"/>
    <w:rsid w:val="008D49B4"/>
    <w:rsid w:val="008D7498"/>
    <w:rsid w:val="0090269E"/>
    <w:rsid w:val="009134A7"/>
    <w:rsid w:val="00932E96"/>
    <w:rsid w:val="009418E6"/>
    <w:rsid w:val="0094235F"/>
    <w:rsid w:val="0094279F"/>
    <w:rsid w:val="00946B98"/>
    <w:rsid w:val="0095052A"/>
    <w:rsid w:val="009658F0"/>
    <w:rsid w:val="00971655"/>
    <w:rsid w:val="00971C63"/>
    <w:rsid w:val="00996D8E"/>
    <w:rsid w:val="009A4AE9"/>
    <w:rsid w:val="009C2CC6"/>
    <w:rsid w:val="009C3702"/>
    <w:rsid w:val="009C71D5"/>
    <w:rsid w:val="009F3163"/>
    <w:rsid w:val="009F7CE4"/>
    <w:rsid w:val="00A00707"/>
    <w:rsid w:val="00A11162"/>
    <w:rsid w:val="00A30F64"/>
    <w:rsid w:val="00A41D0C"/>
    <w:rsid w:val="00A43227"/>
    <w:rsid w:val="00A4485C"/>
    <w:rsid w:val="00A46CCD"/>
    <w:rsid w:val="00A52C66"/>
    <w:rsid w:val="00A56EC8"/>
    <w:rsid w:val="00A65133"/>
    <w:rsid w:val="00A652C5"/>
    <w:rsid w:val="00A67680"/>
    <w:rsid w:val="00A80E37"/>
    <w:rsid w:val="00A85C5A"/>
    <w:rsid w:val="00A96A08"/>
    <w:rsid w:val="00AA0161"/>
    <w:rsid w:val="00AA4171"/>
    <w:rsid w:val="00AB1D08"/>
    <w:rsid w:val="00AB4345"/>
    <w:rsid w:val="00AB5BD7"/>
    <w:rsid w:val="00AC0135"/>
    <w:rsid w:val="00AC070D"/>
    <w:rsid w:val="00AC1B94"/>
    <w:rsid w:val="00AD0616"/>
    <w:rsid w:val="00AD34FF"/>
    <w:rsid w:val="00AD4DE6"/>
    <w:rsid w:val="00AE6DBC"/>
    <w:rsid w:val="00AF3E95"/>
    <w:rsid w:val="00AF71EE"/>
    <w:rsid w:val="00AF7C67"/>
    <w:rsid w:val="00B04D68"/>
    <w:rsid w:val="00B15FE9"/>
    <w:rsid w:val="00B275A9"/>
    <w:rsid w:val="00B47945"/>
    <w:rsid w:val="00B51883"/>
    <w:rsid w:val="00B61FD4"/>
    <w:rsid w:val="00B65507"/>
    <w:rsid w:val="00B674DB"/>
    <w:rsid w:val="00B82E8D"/>
    <w:rsid w:val="00B9264D"/>
    <w:rsid w:val="00B933CB"/>
    <w:rsid w:val="00B94D99"/>
    <w:rsid w:val="00BB3FA1"/>
    <w:rsid w:val="00BB62BB"/>
    <w:rsid w:val="00BC05C5"/>
    <w:rsid w:val="00BD04BE"/>
    <w:rsid w:val="00BD4E35"/>
    <w:rsid w:val="00BE6F28"/>
    <w:rsid w:val="00BF29FA"/>
    <w:rsid w:val="00C01346"/>
    <w:rsid w:val="00C04D2B"/>
    <w:rsid w:val="00C11A4F"/>
    <w:rsid w:val="00C222A7"/>
    <w:rsid w:val="00C302D2"/>
    <w:rsid w:val="00C677AF"/>
    <w:rsid w:val="00C737C5"/>
    <w:rsid w:val="00C7595E"/>
    <w:rsid w:val="00C75B0B"/>
    <w:rsid w:val="00C90455"/>
    <w:rsid w:val="00C97230"/>
    <w:rsid w:val="00CA3540"/>
    <w:rsid w:val="00CA6DED"/>
    <w:rsid w:val="00CB22C6"/>
    <w:rsid w:val="00CC49D4"/>
    <w:rsid w:val="00CE6F5A"/>
    <w:rsid w:val="00CF42CF"/>
    <w:rsid w:val="00D0222F"/>
    <w:rsid w:val="00D102E9"/>
    <w:rsid w:val="00D1688F"/>
    <w:rsid w:val="00D2117F"/>
    <w:rsid w:val="00D25317"/>
    <w:rsid w:val="00D254A7"/>
    <w:rsid w:val="00D53830"/>
    <w:rsid w:val="00D6195D"/>
    <w:rsid w:val="00D66E8B"/>
    <w:rsid w:val="00D85715"/>
    <w:rsid w:val="00D8706C"/>
    <w:rsid w:val="00DA4C62"/>
    <w:rsid w:val="00DB6A17"/>
    <w:rsid w:val="00DD039E"/>
    <w:rsid w:val="00DD4E84"/>
    <w:rsid w:val="00DD5520"/>
    <w:rsid w:val="00DE4934"/>
    <w:rsid w:val="00DF16C2"/>
    <w:rsid w:val="00E00F76"/>
    <w:rsid w:val="00E21E75"/>
    <w:rsid w:val="00E41D2F"/>
    <w:rsid w:val="00E45A6F"/>
    <w:rsid w:val="00E519DC"/>
    <w:rsid w:val="00E807DA"/>
    <w:rsid w:val="00E84E3A"/>
    <w:rsid w:val="00EA05AF"/>
    <w:rsid w:val="00EB5CDF"/>
    <w:rsid w:val="00EB6B90"/>
    <w:rsid w:val="00EC0EC8"/>
    <w:rsid w:val="00EC43B9"/>
    <w:rsid w:val="00ED09CD"/>
    <w:rsid w:val="00ED4D69"/>
    <w:rsid w:val="00EE1380"/>
    <w:rsid w:val="00EE362F"/>
    <w:rsid w:val="00EF0E19"/>
    <w:rsid w:val="00F0258A"/>
    <w:rsid w:val="00F03898"/>
    <w:rsid w:val="00F114AE"/>
    <w:rsid w:val="00F43CA0"/>
    <w:rsid w:val="00F55030"/>
    <w:rsid w:val="00F7696F"/>
    <w:rsid w:val="00F8209B"/>
    <w:rsid w:val="00F86B4E"/>
    <w:rsid w:val="00F97CD9"/>
    <w:rsid w:val="00FA0576"/>
    <w:rsid w:val="00FB038D"/>
    <w:rsid w:val="00FB427A"/>
    <w:rsid w:val="00FB50B4"/>
    <w:rsid w:val="00FC1CF8"/>
    <w:rsid w:val="00FC3B4F"/>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blishing.unit@accc.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1EF9B3EB.dotm</Template>
  <TotalTime>0</TotalTime>
  <Pages>14</Pages>
  <Words>3372</Words>
  <Characters>19223</Characters>
  <Application>Microsoft Office Word</Application>
  <DocSecurity>0</DocSecurity>
  <Lines>160</Lines>
  <Paragraphs>45</Paragraphs>
  <ScaleCrop>false</ScaleCrop>
  <Company/>
  <LinksUpToDate>false</LinksUpToDate>
  <CharactersWithSpaces>22550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2014-11-26T04:20:00Z</dcterms:created>
  <dcterms:modified xsi:type="dcterms:W3CDTF">2014-11-26T04:20:00Z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8234895</vt:lpwstr>
  </property>
</Properties>
</file>