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11" w:rsidRDefault="00AD1711" w:rsidP="00AD1711">
      <w:pPr>
        <w:pStyle w:val="HeadingOrange"/>
        <w:numPr>
          <w:ilvl w:val="0"/>
          <w:numId w:val="12"/>
        </w:numPr>
      </w:pPr>
      <w:bookmarkStart w:id="0" w:name="_Toc390936289"/>
      <w:bookmarkStart w:id="1" w:name="_GoBack"/>
      <w:bookmarkEnd w:id="1"/>
      <w:r w:rsidRPr="00AD1711">
        <w:rPr>
          <w:noProof/>
          <w:lang w:eastAsia="en-AU"/>
        </w:rPr>
        <w:drawing>
          <wp:anchor distT="0" distB="0" distL="114300" distR="114300" simplePos="0" relativeHeight="251660288" behindDoc="1" locked="0" layoutInCell="1" allowOverlap="1" wp14:anchorId="0422459B" wp14:editId="31D5095A">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AD1711">
        <w:rPr>
          <w:noProof/>
          <w:lang w:eastAsia="en-AU"/>
        </w:rPr>
        <w:drawing>
          <wp:anchor distT="0" distB="0" distL="114300" distR="114300" simplePos="0" relativeHeight="251659264" behindDoc="1" locked="0" layoutInCell="1" allowOverlap="1" wp14:anchorId="77EA5045" wp14:editId="73166A1D">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AD1711" w:rsidRDefault="00AD1711" w:rsidP="00AD1711">
      <w:pPr>
        <w:pStyle w:val="AERtitle1"/>
      </w:pPr>
    </w:p>
    <w:p w:rsidR="00AD1711" w:rsidRDefault="00AD1711" w:rsidP="00AD1711">
      <w:pPr>
        <w:pStyle w:val="AERtitle1"/>
      </w:pPr>
    </w:p>
    <w:p w:rsidR="00AD1711" w:rsidRDefault="00AD1711" w:rsidP="00AD1711">
      <w:pPr>
        <w:pStyle w:val="AERtitle1"/>
      </w:pPr>
    </w:p>
    <w:p w:rsidR="00AD1711" w:rsidRDefault="00AD1711" w:rsidP="00AD1711">
      <w:pPr>
        <w:pStyle w:val="AERtitle1"/>
      </w:pPr>
    </w:p>
    <w:p w:rsidR="00AD1711" w:rsidRDefault="00AD1711" w:rsidP="00AD1711">
      <w:pPr>
        <w:pStyle w:val="AERtitle1"/>
      </w:pPr>
    </w:p>
    <w:p w:rsidR="00AD1711" w:rsidRDefault="00AD1711" w:rsidP="00AD1711">
      <w:pPr>
        <w:pStyle w:val="AERtitle1"/>
      </w:pPr>
    </w:p>
    <w:p w:rsidR="00AD1711" w:rsidRDefault="00AD1711" w:rsidP="00AD1711">
      <w:pPr>
        <w:pStyle w:val="AERtitle1"/>
      </w:pPr>
      <w:r>
        <w:t>Draft decision</w:t>
      </w:r>
    </w:p>
    <w:p w:rsidR="00AD1711" w:rsidRDefault="00AD1711" w:rsidP="00AD1711">
      <w:pPr>
        <w:pStyle w:val="AERtitle1"/>
      </w:pPr>
      <w:r>
        <w:t>Directlink transmission determination</w:t>
      </w:r>
    </w:p>
    <w:p w:rsidR="00AD1711" w:rsidRDefault="00AD1711" w:rsidP="00AD1711">
      <w:pPr>
        <w:pStyle w:val="AERtitle1"/>
      </w:pPr>
      <w:r>
        <w:t>2015-16 to 2019-20</w:t>
      </w:r>
    </w:p>
    <w:p w:rsidR="00AD1711" w:rsidRDefault="00AD1711" w:rsidP="00AD1711">
      <w:pPr>
        <w:pStyle w:val="AERtitle1"/>
      </w:pPr>
      <w:r>
        <w:t>Attachment 6: Capital expenditure</w:t>
      </w:r>
    </w:p>
    <w:p w:rsidR="00AD1711" w:rsidRDefault="00AD1711" w:rsidP="00AD1711"/>
    <w:p w:rsidR="00AD1711" w:rsidRDefault="00AD1711" w:rsidP="00AD1711"/>
    <w:p w:rsidR="00AD1711" w:rsidRPr="00F6235D" w:rsidRDefault="00AD1711" w:rsidP="00AD1711"/>
    <w:p w:rsidR="00AD1711" w:rsidRPr="00F6235D" w:rsidRDefault="00AD1711" w:rsidP="00AD1711">
      <w:pPr>
        <w:pStyle w:val="AERtitle2"/>
      </w:pPr>
      <w:r>
        <w:t>November 2014</w:t>
      </w:r>
    </w:p>
    <w:p w:rsidR="00AD1711" w:rsidRPr="00F6235D" w:rsidRDefault="00AD1711" w:rsidP="00AD1711">
      <w:r w:rsidRPr="00F6235D">
        <w:t xml:space="preserve"> </w:t>
      </w:r>
    </w:p>
    <w:p w:rsidR="00AD1711" w:rsidRPr="00EF0E19" w:rsidRDefault="00AD1711" w:rsidP="00AD1711">
      <w:pPr>
        <w:rPr>
          <w:rStyle w:val="AERtextbold"/>
        </w:rPr>
      </w:pPr>
      <w:r>
        <w:rPr>
          <w:rStyle w:val="AERtextbold"/>
        </w:rPr>
        <w:br w:type="page"/>
      </w:r>
    </w:p>
    <w:p w:rsidR="00AD1711" w:rsidRPr="00B06FB7" w:rsidRDefault="00AD1711" w:rsidP="00AD1711">
      <w:pPr>
        <w:pStyle w:val="AERbodytextnospace"/>
        <w:numPr>
          <w:ilvl w:val="0"/>
          <w:numId w:val="12"/>
        </w:numPr>
        <w:rPr>
          <w:rStyle w:val="AERtextbold"/>
        </w:rPr>
      </w:pPr>
      <w:r w:rsidRPr="008F1A4A">
        <w:rPr>
          <w:rStyle w:val="AERtextbold"/>
        </w:rPr>
        <w:lastRenderedPageBreak/>
        <w:t xml:space="preserve">© Commonwealth of Australia </w:t>
      </w:r>
      <w:r w:rsidRPr="00B06FB7">
        <w:rPr>
          <w:rStyle w:val="AERtextbold"/>
        </w:rPr>
        <w:t>2014</w:t>
      </w:r>
    </w:p>
    <w:p w:rsidR="00AD1711" w:rsidRPr="00B06FB7" w:rsidRDefault="00AD1711" w:rsidP="00AD1711">
      <w:r w:rsidRPr="00B06FB7">
        <w:t>This work is copyright. In addition to any use permitted under the Copyright Act 1968, all material contained within this work is provided under a Creative Commons Attribution 3.0 Australia licence, with the exception of:</w:t>
      </w:r>
    </w:p>
    <w:p w:rsidR="00AD1711" w:rsidRPr="00B06FB7" w:rsidRDefault="00AD1711" w:rsidP="00AD1711">
      <w:pPr>
        <w:pStyle w:val="AERbulletlistfirststyle"/>
      </w:pPr>
      <w:r w:rsidRPr="00B06FB7">
        <w:t>the Commonwealth Coat of Arms</w:t>
      </w:r>
    </w:p>
    <w:p w:rsidR="00AD1711" w:rsidRPr="00B06FB7" w:rsidRDefault="00AD1711" w:rsidP="00AD1711">
      <w:pPr>
        <w:pStyle w:val="AERbulletlistfirststyle"/>
      </w:pPr>
      <w:r w:rsidRPr="00B06FB7">
        <w:t>the ACCC and AER logos</w:t>
      </w:r>
    </w:p>
    <w:p w:rsidR="00AD1711" w:rsidRPr="00E750B2" w:rsidRDefault="00AD1711" w:rsidP="00B96EF9">
      <w:pPr>
        <w:pStyle w:val="AERbulletlistfirststyle"/>
      </w:pPr>
      <w:r w:rsidRPr="00B06FB7">
        <w:t>any illustration, diagram, photograph or graphic over which the Australian Competition and Consumer Commission does not hold copyright, but which may be part of or contained within this publication.</w:t>
      </w:r>
    </w:p>
    <w:p w:rsidR="00AD1711" w:rsidRPr="00B06FB7" w:rsidRDefault="00AD1711" w:rsidP="00AD1711">
      <w:r w:rsidRPr="00B06FB7">
        <w:t>The details of the relevant licence conditions are available on the Creative Commons website, as is the full legal code for the CC BY 3.0 AU licence.</w:t>
      </w:r>
    </w:p>
    <w:p w:rsidR="00B96EF9" w:rsidRDefault="00AD1711" w:rsidP="00AD1711">
      <w:pPr>
        <w:numPr>
          <w:ilvl w:val="0"/>
          <w:numId w:val="12"/>
        </w:numPr>
      </w:pPr>
      <w:r w:rsidRPr="00B06FB7">
        <w:t>Requests and inquiries concerning reproduction and rights should be addressed to the Director, Corporate Communications, ACCC, GPO Box 3131, Canberra ACT 2601, or</w:t>
      </w:r>
      <w:r w:rsidR="00B96EF9">
        <w:t xml:space="preserve"> </w:t>
      </w:r>
    </w:p>
    <w:p w:rsidR="00AD1711" w:rsidRPr="00B06FB7" w:rsidRDefault="007E6954" w:rsidP="00AD1711">
      <w:pPr>
        <w:numPr>
          <w:ilvl w:val="0"/>
          <w:numId w:val="12"/>
        </w:numPr>
      </w:pPr>
      <w:hyperlink r:id="rId10" w:history="1">
        <w:r w:rsidR="00AD1711" w:rsidRPr="00B06FB7">
          <w:t>publishing.unit@accc.gov.au</w:t>
        </w:r>
      </w:hyperlink>
      <w:r w:rsidR="00AD1711" w:rsidRPr="00B06FB7">
        <w:t>.</w:t>
      </w:r>
    </w:p>
    <w:p w:rsidR="00AD1711" w:rsidRDefault="00AD1711" w:rsidP="00AD1711">
      <w:r>
        <w:t>Inquiries about this document should be addressed to:</w:t>
      </w:r>
    </w:p>
    <w:p w:rsidR="00AD1711" w:rsidRDefault="00AD1711" w:rsidP="00AD1711">
      <w:pPr>
        <w:pStyle w:val="AERbodytextnospace"/>
        <w:numPr>
          <w:ilvl w:val="0"/>
          <w:numId w:val="12"/>
        </w:numPr>
      </w:pPr>
      <w:r>
        <w:t>Australian Energy Regulator</w:t>
      </w:r>
    </w:p>
    <w:p w:rsidR="00AD1711" w:rsidRDefault="00AD1711" w:rsidP="00AD1711">
      <w:pPr>
        <w:pStyle w:val="AERbodytextnospace"/>
        <w:numPr>
          <w:ilvl w:val="0"/>
          <w:numId w:val="12"/>
        </w:numPr>
      </w:pPr>
      <w:r>
        <w:t>GPO Box 520</w:t>
      </w:r>
    </w:p>
    <w:p w:rsidR="00AD1711" w:rsidRDefault="00AD1711" w:rsidP="00AD1711">
      <w:pPr>
        <w:pStyle w:val="AERbodytextnospace"/>
        <w:numPr>
          <w:ilvl w:val="0"/>
          <w:numId w:val="12"/>
        </w:numPr>
      </w:pPr>
      <w:r>
        <w:t>Melbourne  Vic  3001</w:t>
      </w:r>
    </w:p>
    <w:p w:rsidR="00AD1711" w:rsidRDefault="00AD1711" w:rsidP="00AD1711">
      <w:pPr>
        <w:pStyle w:val="AERbodytextnospace"/>
        <w:numPr>
          <w:ilvl w:val="0"/>
          <w:numId w:val="12"/>
        </w:numPr>
      </w:pPr>
      <w:r>
        <w:t>Tel: (03) 9290 1444</w:t>
      </w:r>
    </w:p>
    <w:p w:rsidR="00AD1711" w:rsidRDefault="00AD1711" w:rsidP="00AD1711">
      <w:pPr>
        <w:pStyle w:val="AERbodytextnospace"/>
        <w:numPr>
          <w:ilvl w:val="0"/>
          <w:numId w:val="12"/>
        </w:numPr>
      </w:pPr>
      <w:r>
        <w:t>Fax: (03) 9290 1457</w:t>
      </w:r>
    </w:p>
    <w:p w:rsidR="00AD1711" w:rsidRDefault="00AD1711" w:rsidP="00AD1711">
      <w:pPr>
        <w:pStyle w:val="AERbodytextnospace"/>
        <w:numPr>
          <w:ilvl w:val="0"/>
          <w:numId w:val="12"/>
        </w:numPr>
      </w:pPr>
      <w:r>
        <w:t xml:space="preserve">Email: </w:t>
      </w:r>
      <w:hyperlink r:id="rId11" w:history="1">
        <w:r w:rsidRPr="003E184A">
          <w:rPr>
            <w:rStyle w:val="Hyperlink"/>
          </w:rPr>
          <w:t>AERInquiry@aer.gov.au</w:t>
        </w:r>
      </w:hyperlink>
    </w:p>
    <w:p w:rsidR="00AD1711" w:rsidRPr="008F1A4A" w:rsidRDefault="00AD1711" w:rsidP="00AD1711"/>
    <w:p w:rsidR="00AD1711" w:rsidRDefault="00AD1711" w:rsidP="00AD1711">
      <w:r>
        <w:t>AER reference: 53446</w:t>
      </w:r>
    </w:p>
    <w:p w:rsidR="00AD1711" w:rsidRPr="00AD1711" w:rsidRDefault="00AD1711" w:rsidP="00AD1711">
      <w:r>
        <w:br w:type="page"/>
      </w:r>
    </w:p>
    <w:p w:rsidR="00AD1711" w:rsidRPr="009134B1" w:rsidRDefault="00AD1711" w:rsidP="00AD1711">
      <w:pPr>
        <w:pStyle w:val="UnnumberedHeading"/>
        <w:numPr>
          <w:ilvl w:val="0"/>
          <w:numId w:val="1"/>
        </w:numPr>
      </w:pPr>
      <w:bookmarkStart w:id="2" w:name="_Toc404153950"/>
      <w:bookmarkStart w:id="3" w:name="_Toc404155330"/>
      <w:bookmarkStart w:id="4" w:name="_Toc404182893"/>
      <w:bookmarkStart w:id="5" w:name="_Toc404190851"/>
      <w:r w:rsidRPr="009134B1">
        <w:lastRenderedPageBreak/>
        <w:t>Note</w:t>
      </w:r>
      <w:bookmarkEnd w:id="2"/>
      <w:bookmarkEnd w:id="3"/>
      <w:bookmarkEnd w:id="4"/>
      <w:bookmarkEnd w:id="5"/>
    </w:p>
    <w:p w:rsidR="00AD1711" w:rsidRPr="009134B1" w:rsidRDefault="00AD1711" w:rsidP="00AD1711">
      <w:pPr>
        <w:pStyle w:val="AERbodytext"/>
        <w:numPr>
          <w:ilvl w:val="0"/>
          <w:numId w:val="12"/>
        </w:numPr>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AD1711" w:rsidRPr="009134B1" w:rsidRDefault="00AD1711" w:rsidP="00AD1711">
      <w:pPr>
        <w:pStyle w:val="AERbodytext"/>
        <w:numPr>
          <w:ilvl w:val="0"/>
          <w:numId w:val="12"/>
        </w:numPr>
      </w:pPr>
      <w:r w:rsidRPr="009134B1">
        <w:t>The draft decision includes the following documents:</w:t>
      </w:r>
    </w:p>
    <w:p w:rsidR="00AD1711" w:rsidRPr="009134B1" w:rsidRDefault="00AD1711" w:rsidP="00AD1711">
      <w:pPr>
        <w:pStyle w:val="AERbodytext"/>
        <w:numPr>
          <w:ilvl w:val="0"/>
          <w:numId w:val="12"/>
        </w:numPr>
      </w:pPr>
      <w:r w:rsidRPr="009134B1">
        <w:t>Overview</w:t>
      </w:r>
    </w:p>
    <w:p w:rsidR="00AD1711" w:rsidRPr="009134B1" w:rsidRDefault="00AD1711" w:rsidP="00AD1711">
      <w:pPr>
        <w:pStyle w:val="AERbodytext"/>
        <w:numPr>
          <w:ilvl w:val="0"/>
          <w:numId w:val="12"/>
        </w:numPr>
      </w:pPr>
      <w:r w:rsidRPr="009134B1">
        <w:t>Attachment 1 – maximum allowed revenue</w:t>
      </w:r>
    </w:p>
    <w:p w:rsidR="00AD1711" w:rsidRPr="009134B1" w:rsidRDefault="00AD1711" w:rsidP="00AD1711">
      <w:pPr>
        <w:pStyle w:val="AERbodytext"/>
        <w:numPr>
          <w:ilvl w:val="0"/>
          <w:numId w:val="12"/>
        </w:numPr>
      </w:pPr>
      <w:r w:rsidRPr="009134B1">
        <w:t>Attachment 2 – regulatory asset base</w:t>
      </w:r>
    </w:p>
    <w:p w:rsidR="00AD1711" w:rsidRPr="009134B1" w:rsidRDefault="00AD1711" w:rsidP="00AD1711">
      <w:pPr>
        <w:pStyle w:val="AERbodytext"/>
        <w:numPr>
          <w:ilvl w:val="0"/>
          <w:numId w:val="12"/>
        </w:numPr>
      </w:pPr>
      <w:r w:rsidRPr="009134B1">
        <w:t>Attachment 3 – rate of return</w:t>
      </w:r>
    </w:p>
    <w:p w:rsidR="00AD1711" w:rsidRPr="009134B1" w:rsidRDefault="00AD1711" w:rsidP="00AD1711">
      <w:pPr>
        <w:pStyle w:val="AERbodytext"/>
        <w:numPr>
          <w:ilvl w:val="0"/>
          <w:numId w:val="12"/>
        </w:numPr>
      </w:pPr>
      <w:r w:rsidRPr="009134B1">
        <w:t>Attachment 4 – value of imputation credits</w:t>
      </w:r>
    </w:p>
    <w:p w:rsidR="00AD1711" w:rsidRPr="009134B1" w:rsidRDefault="00AD1711" w:rsidP="00AD1711">
      <w:pPr>
        <w:pStyle w:val="AERbodytext"/>
        <w:numPr>
          <w:ilvl w:val="0"/>
          <w:numId w:val="12"/>
        </w:numPr>
      </w:pPr>
      <w:r w:rsidRPr="009134B1">
        <w:t>Attachment 5 – regulatory depreciation</w:t>
      </w:r>
    </w:p>
    <w:p w:rsidR="00AD1711" w:rsidRPr="009134B1" w:rsidRDefault="00AD1711" w:rsidP="00AD1711">
      <w:pPr>
        <w:pStyle w:val="AERbodytext"/>
        <w:numPr>
          <w:ilvl w:val="0"/>
          <w:numId w:val="12"/>
        </w:numPr>
      </w:pPr>
      <w:r w:rsidRPr="009134B1">
        <w:t xml:space="preserve">Attachment 6 – capital expenditure </w:t>
      </w:r>
    </w:p>
    <w:p w:rsidR="00AD1711" w:rsidRPr="009134B1" w:rsidRDefault="00AD1711" w:rsidP="00AD1711">
      <w:pPr>
        <w:pStyle w:val="AERbodytext"/>
        <w:numPr>
          <w:ilvl w:val="0"/>
          <w:numId w:val="12"/>
        </w:numPr>
      </w:pPr>
      <w:r w:rsidRPr="009134B1">
        <w:t>Attachment 7 – operating expenditure</w:t>
      </w:r>
    </w:p>
    <w:p w:rsidR="00AD1711" w:rsidRPr="009134B1" w:rsidRDefault="00AD1711" w:rsidP="00AD1711">
      <w:pPr>
        <w:pStyle w:val="AERbodytext"/>
        <w:numPr>
          <w:ilvl w:val="0"/>
          <w:numId w:val="12"/>
        </w:numPr>
      </w:pPr>
      <w:r w:rsidRPr="009134B1">
        <w:t>Attachment 8 – corporate income tax</w:t>
      </w:r>
    </w:p>
    <w:p w:rsidR="00AD1711" w:rsidRPr="009134B1" w:rsidRDefault="00AD1711" w:rsidP="00AD1711">
      <w:pPr>
        <w:pStyle w:val="AERbodytext"/>
        <w:numPr>
          <w:ilvl w:val="0"/>
          <w:numId w:val="12"/>
        </w:numPr>
      </w:pPr>
      <w:r w:rsidRPr="009134B1">
        <w:t>Attachment 9 – efficiency benefit sharing scheme</w:t>
      </w:r>
    </w:p>
    <w:p w:rsidR="00AD1711" w:rsidRPr="009134B1" w:rsidRDefault="00AD1711" w:rsidP="00AD1711">
      <w:pPr>
        <w:pStyle w:val="AERbodytext"/>
        <w:numPr>
          <w:ilvl w:val="0"/>
          <w:numId w:val="12"/>
        </w:numPr>
      </w:pPr>
      <w:r w:rsidRPr="009134B1">
        <w:t>Attachment 10 – capital expenditure sharing scheme</w:t>
      </w:r>
    </w:p>
    <w:p w:rsidR="00AD1711" w:rsidRPr="009134B1" w:rsidRDefault="00AD1711" w:rsidP="00AD1711">
      <w:pPr>
        <w:pStyle w:val="AERbodytext"/>
        <w:numPr>
          <w:ilvl w:val="0"/>
          <w:numId w:val="12"/>
        </w:numPr>
      </w:pPr>
      <w:r w:rsidRPr="009134B1">
        <w:t>Attachment 11 – service target performance incentive scheme</w:t>
      </w:r>
    </w:p>
    <w:p w:rsidR="00AD1711" w:rsidRPr="009134B1" w:rsidRDefault="00AD1711" w:rsidP="00AD1711">
      <w:pPr>
        <w:pStyle w:val="AERbodytext"/>
        <w:numPr>
          <w:ilvl w:val="0"/>
          <w:numId w:val="12"/>
        </w:numPr>
      </w:pPr>
      <w:r w:rsidRPr="009134B1">
        <w:t>Attachment 12 – pricing methodology</w:t>
      </w:r>
      <w:r>
        <w:t xml:space="preserve"> and negotiated services</w:t>
      </w:r>
    </w:p>
    <w:p w:rsidR="00AD1711" w:rsidRPr="009134B1" w:rsidRDefault="00AD1711" w:rsidP="00AD1711">
      <w:pPr>
        <w:pStyle w:val="AERbodytext"/>
        <w:numPr>
          <w:ilvl w:val="0"/>
          <w:numId w:val="12"/>
        </w:numPr>
      </w:pPr>
      <w:r w:rsidRPr="009134B1">
        <w:t>Attachment 13 – pass through events</w:t>
      </w:r>
    </w:p>
    <w:p w:rsidR="00AD1711" w:rsidRDefault="00AD1711" w:rsidP="00AD1711"/>
    <w:p w:rsidR="00AD1711" w:rsidRDefault="00AD1711" w:rsidP="00AD1711">
      <w:pPr>
        <w:pStyle w:val="UnnumberedHeading"/>
        <w:numPr>
          <w:ilvl w:val="0"/>
          <w:numId w:val="1"/>
        </w:numPr>
      </w:pPr>
      <w:bookmarkStart w:id="6" w:name="_Toc404190852"/>
      <w:r>
        <w:lastRenderedPageBreak/>
        <w:t>Contents</w:t>
      </w:r>
      <w:bookmarkEnd w:id="6"/>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AD1711" w:rsidRPr="00F0258A" w:rsidRDefault="00AD1711" w:rsidP="00AD1711">
          <w:pPr>
            <w:pStyle w:val="TOCHeading"/>
          </w:pPr>
        </w:p>
        <w:p w:rsidR="00F576FD" w:rsidRDefault="00AD1711">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AD1711">
            <w:instrText xml:space="preserve"> TOC \o "1-3" \h \z \u </w:instrText>
          </w:r>
          <w:r w:rsidRPr="00F0258A">
            <w:fldChar w:fldCharType="separate"/>
          </w:r>
        </w:p>
        <w:p w:rsidR="00F576FD" w:rsidRDefault="007E695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90852" w:history="1">
            <w:r w:rsidR="00F576FD" w:rsidRPr="004022F0">
              <w:rPr>
                <w:rStyle w:val="Hyperlink"/>
                <w:noProof/>
              </w:rPr>
              <w:t>Contents</w:t>
            </w:r>
            <w:r w:rsidR="00F576FD">
              <w:rPr>
                <w:noProof/>
                <w:webHidden/>
              </w:rPr>
              <w:tab/>
            </w:r>
            <w:r w:rsidR="00F576FD">
              <w:rPr>
                <w:noProof/>
                <w:webHidden/>
              </w:rPr>
              <w:fldChar w:fldCharType="begin"/>
            </w:r>
            <w:r w:rsidR="00F576FD">
              <w:rPr>
                <w:noProof/>
                <w:webHidden/>
              </w:rPr>
              <w:instrText xml:space="preserve"> PAGEREF _Toc404190852 \h </w:instrText>
            </w:r>
            <w:r w:rsidR="00F576FD">
              <w:rPr>
                <w:noProof/>
                <w:webHidden/>
              </w:rPr>
            </w:r>
            <w:r w:rsidR="00F576FD">
              <w:rPr>
                <w:noProof/>
                <w:webHidden/>
              </w:rPr>
              <w:fldChar w:fldCharType="separate"/>
            </w:r>
            <w:r w:rsidR="001B72AD">
              <w:rPr>
                <w:noProof/>
                <w:webHidden/>
              </w:rPr>
              <w:t>6-4</w:t>
            </w:r>
            <w:r w:rsidR="00F576FD">
              <w:rPr>
                <w:noProof/>
                <w:webHidden/>
              </w:rPr>
              <w:fldChar w:fldCharType="end"/>
            </w:r>
          </w:hyperlink>
        </w:p>
        <w:p w:rsidR="00F576FD" w:rsidRDefault="007E695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90853" w:history="1">
            <w:r w:rsidR="00F576FD" w:rsidRPr="004022F0">
              <w:rPr>
                <w:rStyle w:val="Hyperlink"/>
                <w:noProof/>
              </w:rPr>
              <w:t>Shortened forms</w:t>
            </w:r>
            <w:r w:rsidR="00F576FD">
              <w:rPr>
                <w:noProof/>
                <w:webHidden/>
              </w:rPr>
              <w:tab/>
            </w:r>
            <w:r w:rsidR="00F576FD">
              <w:rPr>
                <w:noProof/>
                <w:webHidden/>
              </w:rPr>
              <w:fldChar w:fldCharType="begin"/>
            </w:r>
            <w:r w:rsidR="00F576FD">
              <w:rPr>
                <w:noProof/>
                <w:webHidden/>
              </w:rPr>
              <w:instrText xml:space="preserve"> PAGEREF _Toc404190853 \h </w:instrText>
            </w:r>
            <w:r w:rsidR="00F576FD">
              <w:rPr>
                <w:noProof/>
                <w:webHidden/>
              </w:rPr>
            </w:r>
            <w:r w:rsidR="00F576FD">
              <w:rPr>
                <w:noProof/>
                <w:webHidden/>
              </w:rPr>
              <w:fldChar w:fldCharType="separate"/>
            </w:r>
            <w:r w:rsidR="001B72AD">
              <w:rPr>
                <w:noProof/>
                <w:webHidden/>
              </w:rPr>
              <w:t>6-5</w:t>
            </w:r>
            <w:r w:rsidR="00F576FD">
              <w:rPr>
                <w:noProof/>
                <w:webHidden/>
              </w:rPr>
              <w:fldChar w:fldCharType="end"/>
            </w:r>
          </w:hyperlink>
        </w:p>
        <w:p w:rsidR="00F576FD" w:rsidRDefault="007E695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90854" w:history="1">
            <w:r w:rsidR="00F576FD" w:rsidRPr="004022F0">
              <w:rPr>
                <w:rStyle w:val="Hyperlink"/>
                <w:noProof/>
              </w:rPr>
              <w:t>6</w:t>
            </w:r>
            <w:r w:rsidR="00F576FD">
              <w:rPr>
                <w:rFonts w:asciiTheme="minorHAnsi" w:eastAsiaTheme="minorEastAsia" w:hAnsiTheme="minorHAnsi" w:cstheme="minorBidi"/>
                <w:b w:val="0"/>
                <w:bCs w:val="0"/>
                <w:noProof/>
                <w:sz w:val="22"/>
                <w:szCs w:val="22"/>
                <w:lang w:eastAsia="en-AU"/>
              </w:rPr>
              <w:tab/>
            </w:r>
            <w:r w:rsidR="00F576FD" w:rsidRPr="004022F0">
              <w:rPr>
                <w:rStyle w:val="Hyperlink"/>
                <w:noProof/>
              </w:rPr>
              <w:t>Capital expenditure</w:t>
            </w:r>
            <w:r w:rsidR="00F576FD">
              <w:rPr>
                <w:noProof/>
                <w:webHidden/>
              </w:rPr>
              <w:tab/>
            </w:r>
            <w:r w:rsidR="00F576FD">
              <w:rPr>
                <w:noProof/>
                <w:webHidden/>
              </w:rPr>
              <w:fldChar w:fldCharType="begin"/>
            </w:r>
            <w:r w:rsidR="00F576FD">
              <w:rPr>
                <w:noProof/>
                <w:webHidden/>
              </w:rPr>
              <w:instrText xml:space="preserve"> PAGEREF _Toc404190854 \h </w:instrText>
            </w:r>
            <w:r w:rsidR="00F576FD">
              <w:rPr>
                <w:noProof/>
                <w:webHidden/>
              </w:rPr>
            </w:r>
            <w:r w:rsidR="00F576FD">
              <w:rPr>
                <w:noProof/>
                <w:webHidden/>
              </w:rPr>
              <w:fldChar w:fldCharType="separate"/>
            </w:r>
            <w:r w:rsidR="001B72AD">
              <w:rPr>
                <w:noProof/>
                <w:webHidden/>
              </w:rPr>
              <w:t>6-7</w:t>
            </w:r>
            <w:r w:rsidR="00F576FD">
              <w:rPr>
                <w:noProof/>
                <w:webHidden/>
              </w:rPr>
              <w:fldChar w:fldCharType="end"/>
            </w:r>
          </w:hyperlink>
        </w:p>
        <w:p w:rsidR="00F576FD" w:rsidRDefault="007E69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855" w:history="1">
            <w:r w:rsidR="00F576FD" w:rsidRPr="004022F0">
              <w:rPr>
                <w:rStyle w:val="Hyperlink"/>
                <w:noProof/>
              </w:rPr>
              <w:t>6.1</w:t>
            </w:r>
            <w:r w:rsidR="00F576FD">
              <w:rPr>
                <w:rFonts w:asciiTheme="minorHAnsi" w:eastAsiaTheme="minorEastAsia" w:hAnsiTheme="minorHAnsi" w:cstheme="minorBidi"/>
                <w:iCs w:val="0"/>
                <w:noProof/>
                <w:sz w:val="22"/>
                <w:szCs w:val="22"/>
                <w:lang w:eastAsia="en-AU"/>
              </w:rPr>
              <w:tab/>
            </w:r>
            <w:r w:rsidR="00F576FD" w:rsidRPr="004022F0">
              <w:rPr>
                <w:rStyle w:val="Hyperlink"/>
                <w:noProof/>
              </w:rPr>
              <w:t>Draft decision</w:t>
            </w:r>
            <w:r w:rsidR="00F576FD">
              <w:rPr>
                <w:noProof/>
                <w:webHidden/>
              </w:rPr>
              <w:tab/>
            </w:r>
            <w:r w:rsidR="00F576FD">
              <w:rPr>
                <w:noProof/>
                <w:webHidden/>
              </w:rPr>
              <w:fldChar w:fldCharType="begin"/>
            </w:r>
            <w:r w:rsidR="00F576FD">
              <w:rPr>
                <w:noProof/>
                <w:webHidden/>
              </w:rPr>
              <w:instrText xml:space="preserve"> PAGEREF _Toc404190855 \h </w:instrText>
            </w:r>
            <w:r w:rsidR="00F576FD">
              <w:rPr>
                <w:noProof/>
                <w:webHidden/>
              </w:rPr>
            </w:r>
            <w:r w:rsidR="00F576FD">
              <w:rPr>
                <w:noProof/>
                <w:webHidden/>
              </w:rPr>
              <w:fldChar w:fldCharType="separate"/>
            </w:r>
            <w:r w:rsidR="001B72AD">
              <w:rPr>
                <w:noProof/>
                <w:webHidden/>
              </w:rPr>
              <w:t>6-7</w:t>
            </w:r>
            <w:r w:rsidR="00F576FD">
              <w:rPr>
                <w:noProof/>
                <w:webHidden/>
              </w:rPr>
              <w:fldChar w:fldCharType="end"/>
            </w:r>
          </w:hyperlink>
        </w:p>
        <w:p w:rsidR="00F576FD" w:rsidRDefault="007E69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856" w:history="1">
            <w:r w:rsidR="00F576FD" w:rsidRPr="004022F0">
              <w:rPr>
                <w:rStyle w:val="Hyperlink"/>
                <w:noProof/>
              </w:rPr>
              <w:t>6.2</w:t>
            </w:r>
            <w:r w:rsidR="00F576FD">
              <w:rPr>
                <w:rFonts w:asciiTheme="minorHAnsi" w:eastAsiaTheme="minorEastAsia" w:hAnsiTheme="minorHAnsi" w:cstheme="minorBidi"/>
                <w:iCs w:val="0"/>
                <w:noProof/>
                <w:sz w:val="22"/>
                <w:szCs w:val="22"/>
                <w:lang w:eastAsia="en-AU"/>
              </w:rPr>
              <w:tab/>
            </w:r>
            <w:r w:rsidR="00F576FD" w:rsidRPr="004022F0">
              <w:rPr>
                <w:rStyle w:val="Hyperlink"/>
                <w:noProof/>
              </w:rPr>
              <w:t>Directlink's proposal</w:t>
            </w:r>
            <w:r w:rsidR="00F576FD">
              <w:rPr>
                <w:noProof/>
                <w:webHidden/>
              </w:rPr>
              <w:tab/>
            </w:r>
            <w:r w:rsidR="00F576FD">
              <w:rPr>
                <w:noProof/>
                <w:webHidden/>
              </w:rPr>
              <w:fldChar w:fldCharType="begin"/>
            </w:r>
            <w:r w:rsidR="00F576FD">
              <w:rPr>
                <w:noProof/>
                <w:webHidden/>
              </w:rPr>
              <w:instrText xml:space="preserve"> PAGEREF _Toc404190856 \h </w:instrText>
            </w:r>
            <w:r w:rsidR="00F576FD">
              <w:rPr>
                <w:noProof/>
                <w:webHidden/>
              </w:rPr>
            </w:r>
            <w:r w:rsidR="00F576FD">
              <w:rPr>
                <w:noProof/>
                <w:webHidden/>
              </w:rPr>
              <w:fldChar w:fldCharType="separate"/>
            </w:r>
            <w:r w:rsidR="001B72AD">
              <w:rPr>
                <w:noProof/>
                <w:webHidden/>
              </w:rPr>
              <w:t>6-9</w:t>
            </w:r>
            <w:r w:rsidR="00F576FD">
              <w:rPr>
                <w:noProof/>
                <w:webHidden/>
              </w:rPr>
              <w:fldChar w:fldCharType="end"/>
            </w:r>
          </w:hyperlink>
        </w:p>
        <w:p w:rsidR="00F576FD" w:rsidRDefault="007E69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857" w:history="1">
            <w:r w:rsidR="00F576FD" w:rsidRPr="004022F0">
              <w:rPr>
                <w:rStyle w:val="Hyperlink"/>
                <w:noProof/>
              </w:rPr>
              <w:t>6.3</w:t>
            </w:r>
            <w:r w:rsidR="00F576FD">
              <w:rPr>
                <w:rFonts w:asciiTheme="minorHAnsi" w:eastAsiaTheme="minorEastAsia" w:hAnsiTheme="minorHAnsi" w:cstheme="minorBidi"/>
                <w:iCs w:val="0"/>
                <w:noProof/>
                <w:sz w:val="22"/>
                <w:szCs w:val="22"/>
                <w:lang w:eastAsia="en-AU"/>
              </w:rPr>
              <w:tab/>
            </w:r>
            <w:r w:rsidR="00F576FD" w:rsidRPr="004022F0">
              <w:rPr>
                <w:rStyle w:val="Hyperlink"/>
                <w:noProof/>
              </w:rPr>
              <w:t>Assessment approach</w:t>
            </w:r>
            <w:r w:rsidR="00F576FD">
              <w:rPr>
                <w:noProof/>
                <w:webHidden/>
              </w:rPr>
              <w:tab/>
            </w:r>
            <w:r w:rsidR="00F576FD">
              <w:rPr>
                <w:noProof/>
                <w:webHidden/>
              </w:rPr>
              <w:fldChar w:fldCharType="begin"/>
            </w:r>
            <w:r w:rsidR="00F576FD">
              <w:rPr>
                <w:noProof/>
                <w:webHidden/>
              </w:rPr>
              <w:instrText xml:space="preserve"> PAGEREF _Toc404190857 \h </w:instrText>
            </w:r>
            <w:r w:rsidR="00F576FD">
              <w:rPr>
                <w:noProof/>
                <w:webHidden/>
              </w:rPr>
            </w:r>
            <w:r w:rsidR="00F576FD">
              <w:rPr>
                <w:noProof/>
                <w:webHidden/>
              </w:rPr>
              <w:fldChar w:fldCharType="separate"/>
            </w:r>
            <w:r w:rsidR="001B72AD">
              <w:rPr>
                <w:noProof/>
                <w:webHidden/>
              </w:rPr>
              <w:t>6-11</w:t>
            </w:r>
            <w:r w:rsidR="00F576FD">
              <w:rPr>
                <w:noProof/>
                <w:webHidden/>
              </w:rPr>
              <w:fldChar w:fldCharType="end"/>
            </w:r>
          </w:hyperlink>
        </w:p>
        <w:p w:rsidR="00F576FD" w:rsidRDefault="007E69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858" w:history="1">
            <w:r w:rsidR="00F576FD" w:rsidRPr="004022F0">
              <w:rPr>
                <w:rStyle w:val="Hyperlink"/>
                <w:noProof/>
              </w:rPr>
              <w:t>6.4</w:t>
            </w:r>
            <w:r w:rsidR="00F576FD">
              <w:rPr>
                <w:rFonts w:asciiTheme="minorHAnsi" w:eastAsiaTheme="minorEastAsia" w:hAnsiTheme="minorHAnsi" w:cstheme="minorBidi"/>
                <w:iCs w:val="0"/>
                <w:noProof/>
                <w:sz w:val="22"/>
                <w:szCs w:val="22"/>
                <w:lang w:eastAsia="en-AU"/>
              </w:rPr>
              <w:tab/>
            </w:r>
            <w:r w:rsidR="00F576FD" w:rsidRPr="004022F0">
              <w:rPr>
                <w:rStyle w:val="Hyperlink"/>
                <w:noProof/>
              </w:rPr>
              <w:t>Reasons for draft decision</w:t>
            </w:r>
            <w:r w:rsidR="00F576FD">
              <w:rPr>
                <w:noProof/>
                <w:webHidden/>
              </w:rPr>
              <w:tab/>
            </w:r>
            <w:r w:rsidR="00F576FD">
              <w:rPr>
                <w:noProof/>
                <w:webHidden/>
              </w:rPr>
              <w:fldChar w:fldCharType="begin"/>
            </w:r>
            <w:r w:rsidR="00F576FD">
              <w:rPr>
                <w:noProof/>
                <w:webHidden/>
              </w:rPr>
              <w:instrText xml:space="preserve"> PAGEREF _Toc404190858 \h </w:instrText>
            </w:r>
            <w:r w:rsidR="00F576FD">
              <w:rPr>
                <w:noProof/>
                <w:webHidden/>
              </w:rPr>
            </w:r>
            <w:r w:rsidR="00F576FD">
              <w:rPr>
                <w:noProof/>
                <w:webHidden/>
              </w:rPr>
              <w:fldChar w:fldCharType="separate"/>
            </w:r>
            <w:r w:rsidR="001B72AD">
              <w:rPr>
                <w:noProof/>
                <w:webHidden/>
              </w:rPr>
              <w:t>6-15</w:t>
            </w:r>
            <w:r w:rsidR="00F576FD">
              <w:rPr>
                <w:noProof/>
                <w:webHidden/>
              </w:rPr>
              <w:fldChar w:fldCharType="end"/>
            </w:r>
          </w:hyperlink>
        </w:p>
        <w:p w:rsidR="00F576FD" w:rsidRDefault="007E695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859" w:history="1">
            <w:r w:rsidR="00F576FD" w:rsidRPr="004022F0">
              <w:rPr>
                <w:rStyle w:val="Hyperlink"/>
                <w:noProof/>
              </w:rPr>
              <w:t>6.4.1</w:t>
            </w:r>
            <w:r w:rsidR="00F576FD">
              <w:rPr>
                <w:rFonts w:asciiTheme="minorHAnsi" w:eastAsiaTheme="minorEastAsia" w:hAnsiTheme="minorHAnsi" w:cstheme="minorBidi"/>
                <w:noProof/>
                <w:sz w:val="22"/>
                <w:szCs w:val="22"/>
                <w:lang w:eastAsia="en-AU"/>
              </w:rPr>
              <w:tab/>
            </w:r>
            <w:r w:rsidR="00F576FD" w:rsidRPr="004022F0">
              <w:rPr>
                <w:rStyle w:val="Hyperlink"/>
                <w:noProof/>
              </w:rPr>
              <w:t>Past capex performance</w:t>
            </w:r>
            <w:r w:rsidR="00F576FD">
              <w:rPr>
                <w:noProof/>
                <w:webHidden/>
              </w:rPr>
              <w:tab/>
            </w:r>
            <w:r w:rsidR="00F576FD">
              <w:rPr>
                <w:noProof/>
                <w:webHidden/>
              </w:rPr>
              <w:fldChar w:fldCharType="begin"/>
            </w:r>
            <w:r w:rsidR="00F576FD">
              <w:rPr>
                <w:noProof/>
                <w:webHidden/>
              </w:rPr>
              <w:instrText xml:space="preserve"> PAGEREF _Toc404190859 \h </w:instrText>
            </w:r>
            <w:r w:rsidR="00F576FD">
              <w:rPr>
                <w:noProof/>
                <w:webHidden/>
              </w:rPr>
            </w:r>
            <w:r w:rsidR="00F576FD">
              <w:rPr>
                <w:noProof/>
                <w:webHidden/>
              </w:rPr>
              <w:fldChar w:fldCharType="separate"/>
            </w:r>
            <w:r w:rsidR="001B72AD">
              <w:rPr>
                <w:noProof/>
                <w:webHidden/>
              </w:rPr>
              <w:t>6-15</w:t>
            </w:r>
            <w:r w:rsidR="00F576FD">
              <w:rPr>
                <w:noProof/>
                <w:webHidden/>
              </w:rPr>
              <w:fldChar w:fldCharType="end"/>
            </w:r>
          </w:hyperlink>
        </w:p>
        <w:p w:rsidR="00F576FD" w:rsidRDefault="007E695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860" w:history="1">
            <w:r w:rsidR="00F576FD" w:rsidRPr="004022F0">
              <w:rPr>
                <w:rStyle w:val="Hyperlink"/>
                <w:noProof/>
              </w:rPr>
              <w:t>6.4.2</w:t>
            </w:r>
            <w:r w:rsidR="00F576FD">
              <w:rPr>
                <w:rFonts w:asciiTheme="minorHAnsi" w:eastAsiaTheme="minorEastAsia" w:hAnsiTheme="minorHAnsi" w:cstheme="minorBidi"/>
                <w:noProof/>
                <w:sz w:val="22"/>
                <w:szCs w:val="22"/>
                <w:lang w:eastAsia="en-AU"/>
              </w:rPr>
              <w:tab/>
            </w:r>
            <w:r w:rsidR="00F576FD" w:rsidRPr="004022F0">
              <w:rPr>
                <w:rStyle w:val="Hyperlink"/>
                <w:noProof/>
              </w:rPr>
              <w:t>Assessment of proposed capital expenditure</w:t>
            </w:r>
            <w:r w:rsidR="00F576FD">
              <w:rPr>
                <w:noProof/>
                <w:webHidden/>
              </w:rPr>
              <w:tab/>
            </w:r>
            <w:r w:rsidR="00F576FD">
              <w:rPr>
                <w:noProof/>
                <w:webHidden/>
              </w:rPr>
              <w:fldChar w:fldCharType="begin"/>
            </w:r>
            <w:r w:rsidR="00F576FD">
              <w:rPr>
                <w:noProof/>
                <w:webHidden/>
              </w:rPr>
              <w:instrText xml:space="preserve"> PAGEREF _Toc404190860 \h </w:instrText>
            </w:r>
            <w:r w:rsidR="00F576FD">
              <w:rPr>
                <w:noProof/>
                <w:webHidden/>
              </w:rPr>
            </w:r>
            <w:r w:rsidR="00F576FD">
              <w:rPr>
                <w:noProof/>
                <w:webHidden/>
              </w:rPr>
              <w:fldChar w:fldCharType="separate"/>
            </w:r>
            <w:r w:rsidR="001B72AD">
              <w:rPr>
                <w:noProof/>
                <w:webHidden/>
              </w:rPr>
              <w:t>6-16</w:t>
            </w:r>
            <w:r w:rsidR="00F576FD">
              <w:rPr>
                <w:noProof/>
                <w:webHidden/>
              </w:rPr>
              <w:fldChar w:fldCharType="end"/>
            </w:r>
          </w:hyperlink>
        </w:p>
        <w:p w:rsidR="00F576FD" w:rsidRDefault="007E695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861" w:history="1">
            <w:r w:rsidR="00F576FD" w:rsidRPr="004022F0">
              <w:rPr>
                <w:rStyle w:val="Hyperlink"/>
                <w:noProof/>
              </w:rPr>
              <w:t>6.4.3</w:t>
            </w:r>
            <w:r w:rsidR="00F576FD">
              <w:rPr>
                <w:rFonts w:asciiTheme="minorHAnsi" w:eastAsiaTheme="minorEastAsia" w:hAnsiTheme="minorHAnsi" w:cstheme="minorBidi"/>
                <w:noProof/>
                <w:sz w:val="22"/>
                <w:szCs w:val="22"/>
                <w:lang w:eastAsia="en-AU"/>
              </w:rPr>
              <w:tab/>
            </w:r>
            <w:r w:rsidR="00F576FD" w:rsidRPr="004022F0">
              <w:rPr>
                <w:rStyle w:val="Hyperlink"/>
                <w:noProof/>
              </w:rPr>
              <w:t>Interrelationships</w:t>
            </w:r>
            <w:r w:rsidR="00F576FD">
              <w:rPr>
                <w:noProof/>
                <w:webHidden/>
              </w:rPr>
              <w:tab/>
            </w:r>
            <w:r w:rsidR="00F576FD">
              <w:rPr>
                <w:noProof/>
                <w:webHidden/>
              </w:rPr>
              <w:fldChar w:fldCharType="begin"/>
            </w:r>
            <w:r w:rsidR="00F576FD">
              <w:rPr>
                <w:noProof/>
                <w:webHidden/>
              </w:rPr>
              <w:instrText xml:space="preserve"> PAGEREF _Toc404190861 \h </w:instrText>
            </w:r>
            <w:r w:rsidR="00F576FD">
              <w:rPr>
                <w:noProof/>
                <w:webHidden/>
              </w:rPr>
            </w:r>
            <w:r w:rsidR="00F576FD">
              <w:rPr>
                <w:noProof/>
                <w:webHidden/>
              </w:rPr>
              <w:fldChar w:fldCharType="separate"/>
            </w:r>
            <w:r w:rsidR="001B72AD">
              <w:rPr>
                <w:noProof/>
                <w:webHidden/>
              </w:rPr>
              <w:t>6-21</w:t>
            </w:r>
            <w:r w:rsidR="00F576FD">
              <w:rPr>
                <w:noProof/>
                <w:webHidden/>
              </w:rPr>
              <w:fldChar w:fldCharType="end"/>
            </w:r>
          </w:hyperlink>
        </w:p>
        <w:p w:rsidR="00F576FD" w:rsidRDefault="007E695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862" w:history="1">
            <w:r w:rsidR="00F576FD" w:rsidRPr="004022F0">
              <w:rPr>
                <w:rStyle w:val="Hyperlink"/>
                <w:noProof/>
              </w:rPr>
              <w:t>6.4.4</w:t>
            </w:r>
            <w:r w:rsidR="00F576FD">
              <w:rPr>
                <w:rFonts w:asciiTheme="minorHAnsi" w:eastAsiaTheme="minorEastAsia" w:hAnsiTheme="minorHAnsi" w:cstheme="minorBidi"/>
                <w:noProof/>
                <w:sz w:val="22"/>
                <w:szCs w:val="22"/>
                <w:lang w:eastAsia="en-AU"/>
              </w:rPr>
              <w:tab/>
            </w:r>
            <w:r w:rsidR="00F576FD" w:rsidRPr="004022F0">
              <w:rPr>
                <w:rStyle w:val="Hyperlink"/>
                <w:noProof/>
              </w:rPr>
              <w:t>Real price escalators</w:t>
            </w:r>
            <w:r w:rsidR="00F576FD">
              <w:rPr>
                <w:noProof/>
                <w:webHidden/>
              </w:rPr>
              <w:tab/>
            </w:r>
            <w:r w:rsidR="00F576FD">
              <w:rPr>
                <w:noProof/>
                <w:webHidden/>
              </w:rPr>
              <w:fldChar w:fldCharType="begin"/>
            </w:r>
            <w:r w:rsidR="00F576FD">
              <w:rPr>
                <w:noProof/>
                <w:webHidden/>
              </w:rPr>
              <w:instrText xml:space="preserve"> PAGEREF _Toc404190862 \h </w:instrText>
            </w:r>
            <w:r w:rsidR="00F576FD">
              <w:rPr>
                <w:noProof/>
                <w:webHidden/>
              </w:rPr>
            </w:r>
            <w:r w:rsidR="00F576FD">
              <w:rPr>
                <w:noProof/>
                <w:webHidden/>
              </w:rPr>
              <w:fldChar w:fldCharType="separate"/>
            </w:r>
            <w:r w:rsidR="001B72AD">
              <w:rPr>
                <w:noProof/>
                <w:webHidden/>
              </w:rPr>
              <w:t>6-21</w:t>
            </w:r>
            <w:r w:rsidR="00F576FD">
              <w:rPr>
                <w:noProof/>
                <w:webHidden/>
              </w:rPr>
              <w:fldChar w:fldCharType="end"/>
            </w:r>
          </w:hyperlink>
        </w:p>
        <w:p w:rsidR="00F576FD" w:rsidRDefault="007E695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863" w:history="1">
            <w:r w:rsidR="00F576FD" w:rsidRPr="004022F0">
              <w:rPr>
                <w:rStyle w:val="Hyperlink"/>
                <w:noProof/>
              </w:rPr>
              <w:t>6.4.5</w:t>
            </w:r>
            <w:r w:rsidR="00F576FD">
              <w:rPr>
                <w:rFonts w:asciiTheme="minorHAnsi" w:eastAsiaTheme="minorEastAsia" w:hAnsiTheme="minorHAnsi" w:cstheme="minorBidi"/>
                <w:noProof/>
                <w:sz w:val="22"/>
                <w:szCs w:val="22"/>
                <w:lang w:eastAsia="en-AU"/>
              </w:rPr>
              <w:tab/>
            </w:r>
            <w:r w:rsidR="00F576FD" w:rsidRPr="004022F0">
              <w:rPr>
                <w:rStyle w:val="Hyperlink"/>
                <w:noProof/>
              </w:rPr>
              <w:t>Conclusion</w:t>
            </w:r>
            <w:r w:rsidR="00F576FD">
              <w:rPr>
                <w:noProof/>
                <w:webHidden/>
              </w:rPr>
              <w:tab/>
            </w:r>
            <w:r w:rsidR="00F576FD">
              <w:rPr>
                <w:noProof/>
                <w:webHidden/>
              </w:rPr>
              <w:fldChar w:fldCharType="begin"/>
            </w:r>
            <w:r w:rsidR="00F576FD">
              <w:rPr>
                <w:noProof/>
                <w:webHidden/>
              </w:rPr>
              <w:instrText xml:space="preserve"> PAGEREF _Toc404190863 \h </w:instrText>
            </w:r>
            <w:r w:rsidR="00F576FD">
              <w:rPr>
                <w:noProof/>
                <w:webHidden/>
              </w:rPr>
            </w:r>
            <w:r w:rsidR="00F576FD">
              <w:rPr>
                <w:noProof/>
                <w:webHidden/>
              </w:rPr>
              <w:fldChar w:fldCharType="separate"/>
            </w:r>
            <w:r w:rsidR="001B72AD">
              <w:rPr>
                <w:noProof/>
                <w:webHidden/>
              </w:rPr>
              <w:t>6-23</w:t>
            </w:r>
            <w:r w:rsidR="00F576FD">
              <w:rPr>
                <w:noProof/>
                <w:webHidden/>
              </w:rPr>
              <w:fldChar w:fldCharType="end"/>
            </w:r>
          </w:hyperlink>
        </w:p>
        <w:p w:rsidR="00AD1711" w:rsidRPr="00F0258A" w:rsidRDefault="00AD1711" w:rsidP="00AD1711">
          <w:r w:rsidRPr="00F0258A">
            <w:fldChar w:fldCharType="end"/>
          </w:r>
        </w:p>
      </w:sdtContent>
    </w:sdt>
    <w:p w:rsidR="00AD1711" w:rsidRDefault="00AD1711" w:rsidP="00AD1711">
      <w:pPr>
        <w:pStyle w:val="UnnumberedHeading"/>
        <w:numPr>
          <w:ilvl w:val="0"/>
          <w:numId w:val="1"/>
        </w:numPr>
      </w:pPr>
      <w:bookmarkStart w:id="7" w:name="_Toc404190853"/>
      <w:r>
        <w:lastRenderedPageBreak/>
        <w:t>Shortened forms</w:t>
      </w:r>
      <w:bookmarkEnd w:id="7"/>
    </w:p>
    <w:tbl>
      <w:tblPr>
        <w:tblStyle w:val="AERtable-numbers"/>
        <w:tblW w:w="0" w:type="auto"/>
        <w:tblLook w:val="04A0" w:firstRow="1" w:lastRow="0" w:firstColumn="1" w:lastColumn="0" w:noHBand="0" w:noVBand="1"/>
      </w:tblPr>
      <w:tblGrid>
        <w:gridCol w:w="4621"/>
        <w:gridCol w:w="4621"/>
      </w:tblGrid>
      <w:tr w:rsidR="00AD1711" w:rsidRPr="00307E24" w:rsidTr="0028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Shortened form</w:t>
            </w:r>
          </w:p>
        </w:tc>
        <w:tc>
          <w:tcPr>
            <w:tcW w:w="4621" w:type="dxa"/>
          </w:tcPr>
          <w:p w:rsidR="00AD1711" w:rsidRPr="00307E24" w:rsidRDefault="00AD1711" w:rsidP="00AD1711">
            <w:pPr>
              <w:numPr>
                <w:ilvl w:val="0"/>
                <w:numId w:val="12"/>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AARR</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AEMC</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AEMO</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AER</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ASRR</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augex</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capex</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CCP</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CESS</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CPI</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DRP</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EBSS</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ERP</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MAR</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MRP</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NEL</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NEM</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NEO</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NER</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NSP</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NTSC</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lastRenderedPageBreak/>
              <w:t>opex</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PPI</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PTRM</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RAB</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RBA</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repex</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RFM</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RIN</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RPP</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SLCAPM</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STPIS</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TNSP</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AD1711" w:rsidRPr="00307E24"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TUoS</w:t>
            </w:r>
          </w:p>
        </w:tc>
        <w:tc>
          <w:tcPr>
            <w:tcW w:w="4621" w:type="dxa"/>
          </w:tcPr>
          <w:p w:rsidR="00AD1711" w:rsidRPr="00307E24" w:rsidRDefault="00AD1711" w:rsidP="00AD1711">
            <w:pPr>
              <w:numPr>
                <w:ilvl w:val="0"/>
                <w:numId w:val="12"/>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AD1711" w:rsidRPr="00307E24" w:rsidTr="00117C35">
        <w:tc>
          <w:tcPr>
            <w:cnfStyle w:val="001000000000" w:firstRow="0" w:lastRow="0" w:firstColumn="1" w:lastColumn="0" w:oddVBand="0" w:evenVBand="0" w:oddHBand="0" w:evenHBand="0" w:firstRowFirstColumn="0" w:firstRowLastColumn="0" w:lastRowFirstColumn="0" w:lastRowLastColumn="0"/>
            <w:tcW w:w="4621" w:type="dxa"/>
          </w:tcPr>
          <w:p w:rsidR="00AD1711" w:rsidRPr="00307E24" w:rsidRDefault="00AD1711" w:rsidP="00AD1711">
            <w:pPr>
              <w:numPr>
                <w:ilvl w:val="0"/>
                <w:numId w:val="12"/>
              </w:numPr>
            </w:pPr>
            <w:r w:rsidRPr="00307E24">
              <w:t>WACC</w:t>
            </w:r>
          </w:p>
        </w:tc>
        <w:tc>
          <w:tcPr>
            <w:tcW w:w="4621" w:type="dxa"/>
          </w:tcPr>
          <w:p w:rsidR="00AD1711" w:rsidRPr="00307E24" w:rsidRDefault="00AD1711" w:rsidP="00AD1711">
            <w:pPr>
              <w:numPr>
                <w:ilvl w:val="0"/>
                <w:numId w:val="12"/>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AD1711" w:rsidRDefault="00AD1711" w:rsidP="00AD1711">
      <w:pPr>
        <w:pStyle w:val="AERbodytext"/>
        <w:numPr>
          <w:ilvl w:val="0"/>
          <w:numId w:val="12"/>
        </w:numPr>
      </w:pPr>
    </w:p>
    <w:p w:rsidR="00AD1711" w:rsidRDefault="00AD1711">
      <w:pPr>
        <w:spacing w:after="0" w:line="240" w:lineRule="auto"/>
        <w:jc w:val="left"/>
      </w:pPr>
    </w:p>
    <w:p w:rsidR="00AD1711" w:rsidRDefault="00AD1711">
      <w:pPr>
        <w:spacing w:after="0" w:line="240" w:lineRule="auto"/>
        <w:jc w:val="left"/>
        <w:rPr>
          <w:rFonts w:eastAsia="Times New Roman"/>
          <w:b/>
          <w:bCs/>
          <w:color w:val="E36C0A"/>
          <w:sz w:val="36"/>
          <w:szCs w:val="28"/>
        </w:rPr>
      </w:pPr>
      <w:r>
        <w:br w:type="page"/>
      </w:r>
    </w:p>
    <w:p w:rsidR="007150BC" w:rsidRDefault="007150BC" w:rsidP="00AD1711">
      <w:pPr>
        <w:pStyle w:val="Heading1"/>
      </w:pPr>
      <w:bookmarkStart w:id="8" w:name="_Toc404190854"/>
      <w:r>
        <w:lastRenderedPageBreak/>
        <w:t>Capital expenditure</w:t>
      </w:r>
      <w:bookmarkEnd w:id="8"/>
    </w:p>
    <w:p w:rsidR="00FC0335" w:rsidRDefault="007150BC" w:rsidP="007150BC">
      <w:pPr>
        <w:pStyle w:val="AERbodytext"/>
      </w:pPr>
      <w:r w:rsidRPr="00F73128">
        <w:t xml:space="preserve">The National </w:t>
      </w:r>
      <w:r>
        <w:t xml:space="preserve">Electricity Rules (NER) require </w:t>
      </w:r>
      <w:r w:rsidR="004972BE">
        <w:t>Directlink</w:t>
      </w:r>
      <w:r>
        <w:t xml:space="preserve"> to include</w:t>
      </w:r>
      <w:r w:rsidRPr="00F73128">
        <w:t xml:space="preserve"> </w:t>
      </w:r>
      <w:r>
        <w:t xml:space="preserve">a forecast of </w:t>
      </w:r>
      <w:r w:rsidRPr="00F73128">
        <w:t>total ca</w:t>
      </w:r>
      <w:r>
        <w:t>pital expenditure (capex) in</w:t>
      </w:r>
      <w:r w:rsidRPr="00F73128">
        <w:t xml:space="preserve"> </w:t>
      </w:r>
      <w:r>
        <w:t xml:space="preserve">its </w:t>
      </w:r>
      <w:r w:rsidRPr="00F73128">
        <w:t>revenue proposal for the 201</w:t>
      </w:r>
      <w:r w:rsidR="009A5679">
        <w:t>5</w:t>
      </w:r>
      <w:r>
        <w:t>–</w:t>
      </w:r>
      <w:r w:rsidR="009A5679">
        <w:t>20</w:t>
      </w:r>
      <w:r>
        <w:t xml:space="preserve"> period.</w:t>
      </w:r>
      <w:r>
        <w:rPr>
          <w:rStyle w:val="FootnoteReference"/>
        </w:rPr>
        <w:footnoteReference w:id="1"/>
      </w:r>
      <w:r>
        <w:t xml:space="preserve"> The return on </w:t>
      </w:r>
      <w:r w:rsidRPr="00F73128">
        <w:t>and of capex are components of the buil</w:t>
      </w:r>
      <w:r>
        <w:t>ding block revenue requirement.</w:t>
      </w:r>
      <w:r>
        <w:rPr>
          <w:rStyle w:val="FootnoteReference"/>
        </w:rPr>
        <w:footnoteReference w:id="2"/>
      </w:r>
      <w:r w:rsidRPr="00F73128">
        <w:t xml:space="preserve"> </w:t>
      </w:r>
    </w:p>
    <w:p w:rsidR="00D566B9" w:rsidRDefault="007150BC" w:rsidP="007150BC">
      <w:pPr>
        <w:pStyle w:val="AERbodytext"/>
      </w:pPr>
      <w:r w:rsidRPr="00F73128">
        <w:t xml:space="preserve">We must accept </w:t>
      </w:r>
      <w:r w:rsidR="004972BE">
        <w:t>Directlink's</w:t>
      </w:r>
      <w:r w:rsidRPr="00F73128">
        <w:t xml:space="preserve"> proposed </w:t>
      </w:r>
      <w:r>
        <w:t xml:space="preserve">total </w:t>
      </w:r>
      <w:r w:rsidRPr="00F73128">
        <w:t xml:space="preserve">forecast capex </w:t>
      </w:r>
      <w:r>
        <w:t xml:space="preserve">if </w:t>
      </w:r>
      <w:r w:rsidR="009A3B3E">
        <w:t xml:space="preserve">we are satisfied that </w:t>
      </w:r>
      <w:r>
        <w:t>it</w:t>
      </w:r>
      <w:r w:rsidRPr="00F73128">
        <w:t xml:space="preserve"> reasonably reflect</w:t>
      </w:r>
      <w:r>
        <w:t>s</w:t>
      </w:r>
      <w:r w:rsidRPr="00F73128">
        <w:t xml:space="preserve"> the capex criteria</w:t>
      </w:r>
      <w:r>
        <w:t>.</w:t>
      </w:r>
      <w:r>
        <w:rPr>
          <w:rStyle w:val="FootnoteReference"/>
        </w:rPr>
        <w:footnoteReference w:id="3"/>
      </w:r>
      <w:r w:rsidRPr="00F73128">
        <w:t xml:space="preserve"> </w:t>
      </w:r>
      <w:r>
        <w:t>If we are not satisfied</w:t>
      </w:r>
      <w:r w:rsidR="004F66BF">
        <w:t xml:space="preserve"> of this</w:t>
      </w:r>
      <w:r>
        <w:t xml:space="preserve">, we must not accept </w:t>
      </w:r>
      <w:r w:rsidR="00FC0335">
        <w:t xml:space="preserve">it and </w:t>
      </w:r>
      <w:r w:rsidR="00442C3C">
        <w:t xml:space="preserve">must </w:t>
      </w:r>
      <w:r w:rsidR="009A3B3E">
        <w:t xml:space="preserve">determine an </w:t>
      </w:r>
      <w:r w:rsidR="00442C3C">
        <w:t xml:space="preserve">alternative </w:t>
      </w:r>
      <w:r w:rsidR="009A3B3E">
        <w:t>estimate that we are satisfied with.</w:t>
      </w:r>
      <w:r>
        <w:rPr>
          <w:rStyle w:val="FootnoteReference"/>
        </w:rPr>
        <w:footnoteReference w:id="4"/>
      </w:r>
      <w:r w:rsidRPr="00F73128">
        <w:t xml:space="preserve"> </w:t>
      </w:r>
      <w:r>
        <w:t xml:space="preserve">In </w:t>
      </w:r>
      <w:r w:rsidR="00FC0335">
        <w:t xml:space="preserve">so doing, </w:t>
      </w:r>
      <w:r>
        <w:t xml:space="preserve">we must have regard to </w:t>
      </w:r>
      <w:r w:rsidR="00FC0335">
        <w:t xml:space="preserve">the </w:t>
      </w:r>
      <w:r>
        <w:t>capex factors</w:t>
      </w:r>
      <w:r w:rsidR="00FC0335">
        <w:t xml:space="preserve"> and </w:t>
      </w:r>
      <w:r w:rsidR="00D566B9">
        <w:t xml:space="preserve">take into account </w:t>
      </w:r>
      <w:r w:rsidR="00FC0335">
        <w:t>the revenue and pricing principles</w:t>
      </w:r>
      <w:r>
        <w:t>.</w:t>
      </w:r>
      <w:r>
        <w:rPr>
          <w:rStyle w:val="FootnoteReference"/>
        </w:rPr>
        <w:footnoteReference w:id="5"/>
      </w:r>
    </w:p>
    <w:p w:rsidR="007150BC" w:rsidRPr="00F73128" w:rsidRDefault="007150BC" w:rsidP="007150BC">
      <w:pPr>
        <w:pStyle w:val="AERbodytext"/>
      </w:pPr>
      <w:r>
        <w:t>We generally categorise c</w:t>
      </w:r>
      <w:r w:rsidRPr="00F73128">
        <w:t xml:space="preserve">apex </w:t>
      </w:r>
      <w:r>
        <w:t>as either network or</w:t>
      </w:r>
      <w:r w:rsidRPr="00F73128">
        <w:t xml:space="preserve"> non-network </w:t>
      </w:r>
      <w:r>
        <w:t>capex. Network capex includes</w:t>
      </w:r>
      <w:r w:rsidRPr="00F73128">
        <w:t>:</w:t>
      </w:r>
    </w:p>
    <w:p w:rsidR="007150BC" w:rsidRPr="004861E1" w:rsidRDefault="007150BC" w:rsidP="007150BC">
      <w:pPr>
        <w:pStyle w:val="AERbulletlistfirststyle"/>
      </w:pPr>
      <w:r w:rsidRPr="004861E1">
        <w:t xml:space="preserve">growth </w:t>
      </w:r>
      <w:r>
        <w:t xml:space="preserve">driven capex, </w:t>
      </w:r>
      <w:r w:rsidRPr="004861E1">
        <w:t xml:space="preserve">including </w:t>
      </w:r>
      <w:r>
        <w:t>for augmentation and new</w:t>
      </w:r>
      <w:r w:rsidRPr="004861E1">
        <w:t xml:space="preserve"> connections</w:t>
      </w:r>
    </w:p>
    <w:p w:rsidR="007150BC" w:rsidRPr="004861E1" w:rsidRDefault="007150BC" w:rsidP="007150BC">
      <w:pPr>
        <w:pStyle w:val="AERbulletlistfirststyle"/>
      </w:pPr>
      <w:r w:rsidRPr="00F73128">
        <w:t xml:space="preserve">non-load driven </w:t>
      </w:r>
      <w:r>
        <w:t xml:space="preserve">capex, </w:t>
      </w:r>
      <w:r w:rsidRPr="004861E1">
        <w:t>including replacement and refurbishment</w:t>
      </w:r>
      <w:r>
        <w:t xml:space="preserve"> capex.</w:t>
      </w:r>
    </w:p>
    <w:p w:rsidR="007150BC" w:rsidRDefault="007150BC" w:rsidP="007150BC">
      <w:pPr>
        <w:pStyle w:val="AERbodytext"/>
      </w:pPr>
      <w:r>
        <w:t>N</w:t>
      </w:r>
      <w:r w:rsidRPr="00F73128">
        <w:t xml:space="preserve">on-network </w:t>
      </w:r>
      <w:r>
        <w:t xml:space="preserve">capex covers expenditure in areas other than the network and includes </w:t>
      </w:r>
      <w:r w:rsidRPr="004861E1">
        <w:t>business information technology (IT) and buildings/facilities.</w:t>
      </w:r>
    </w:p>
    <w:p w:rsidR="001760E8" w:rsidRPr="004861E1" w:rsidRDefault="001760E8" w:rsidP="00FC11B0">
      <w:pPr>
        <w:pStyle w:val="AERbodytext"/>
      </w:pPr>
      <w:r w:rsidRPr="00FC11B0">
        <w:t>This</w:t>
      </w:r>
      <w:r w:rsidR="00FC11B0" w:rsidRPr="00FC11B0">
        <w:t xml:space="preserve"> a</w:t>
      </w:r>
      <w:r w:rsidR="0086427C" w:rsidRPr="00843BE9">
        <w:rPr>
          <w:rStyle w:val="AERtexthighlight"/>
          <w:shd w:val="clear" w:color="auto" w:fill="auto"/>
        </w:rPr>
        <w:t>ttachment</w:t>
      </w:r>
      <w:r w:rsidRPr="00FC11B0">
        <w:t xml:space="preserve"> sets out</w:t>
      </w:r>
      <w:r w:rsidRPr="001760E8">
        <w:t xml:space="preserve"> our draft decision on </w:t>
      </w:r>
      <w:r w:rsidR="00BD38CB">
        <w:t>Directlink's</w:t>
      </w:r>
      <w:r w:rsidRPr="001760E8">
        <w:t xml:space="preserve"> proposed total forecast capex.</w:t>
      </w:r>
    </w:p>
    <w:p w:rsidR="007150BC" w:rsidRDefault="007150BC" w:rsidP="009917BF">
      <w:pPr>
        <w:pStyle w:val="Heading2"/>
      </w:pPr>
      <w:bookmarkStart w:id="9" w:name="_Toc390936288"/>
      <w:bookmarkStart w:id="10" w:name="_Toc404190855"/>
      <w:r>
        <w:t>Draft decision</w:t>
      </w:r>
      <w:bookmarkEnd w:id="9"/>
      <w:bookmarkEnd w:id="10"/>
    </w:p>
    <w:p w:rsidR="00DB3227" w:rsidRPr="00DB3227" w:rsidRDefault="007150BC" w:rsidP="00DB3227">
      <w:pPr>
        <w:pStyle w:val="AERbodytext"/>
        <w:numPr>
          <w:ilvl w:val="0"/>
          <w:numId w:val="12"/>
        </w:numPr>
      </w:pPr>
      <w:r>
        <w:t xml:space="preserve">Our draft decision is </w:t>
      </w:r>
      <w:r w:rsidR="00FC0335">
        <w:t xml:space="preserve">to </w:t>
      </w:r>
      <w:r w:rsidR="007F0BC5">
        <w:t xml:space="preserve">not accept </w:t>
      </w:r>
      <w:r w:rsidR="004972BE">
        <w:t>Directlink's</w:t>
      </w:r>
      <w:r w:rsidR="007F0BC5">
        <w:t xml:space="preserve"> proposed total </w:t>
      </w:r>
      <w:r w:rsidR="000834B6">
        <w:t xml:space="preserve">forecast capex </w:t>
      </w:r>
      <w:r w:rsidR="007F0BC5">
        <w:t>of $</w:t>
      </w:r>
      <w:r w:rsidR="004972BE">
        <w:t>35.</w:t>
      </w:r>
      <w:r w:rsidR="001D22A4">
        <w:t>19</w:t>
      </w:r>
      <w:r w:rsidR="007F0BC5">
        <w:t> million</w:t>
      </w:r>
      <w:r w:rsidR="0009748F">
        <w:t xml:space="preserve"> ($ real </w:t>
      </w:r>
      <w:r w:rsidR="00A2362D">
        <w:t>2014-15</w:t>
      </w:r>
      <w:r w:rsidR="0009748F">
        <w:t>)</w:t>
      </w:r>
      <w:r w:rsidR="007F0BC5">
        <w:t xml:space="preserve"> for the 201</w:t>
      </w:r>
      <w:r w:rsidR="004972BE">
        <w:t>5</w:t>
      </w:r>
      <w:r w:rsidR="007F0BC5">
        <w:t>-</w:t>
      </w:r>
      <w:r w:rsidR="004972BE">
        <w:t>20</w:t>
      </w:r>
      <w:r w:rsidR="007F0BC5">
        <w:t xml:space="preserve"> </w:t>
      </w:r>
      <w:r w:rsidR="00A2362D">
        <w:t xml:space="preserve">regulatory control </w:t>
      </w:r>
      <w:r w:rsidR="007F0BC5">
        <w:t>period</w:t>
      </w:r>
      <w:r w:rsidR="0067198F">
        <w:t xml:space="preserve"> because w</w:t>
      </w:r>
      <w:r w:rsidR="007F0BC5">
        <w:t>e are not satisfied that</w:t>
      </w:r>
      <w:r>
        <w:t xml:space="preserve"> </w:t>
      </w:r>
      <w:r w:rsidR="0067198F">
        <w:t xml:space="preserve">it </w:t>
      </w:r>
      <w:r w:rsidR="00FC0335">
        <w:t xml:space="preserve">reasonably reflects </w:t>
      </w:r>
      <w:r w:rsidR="007F0BC5">
        <w:t>the capex criteria</w:t>
      </w:r>
      <w:r w:rsidR="00CA3E9B">
        <w:t>. In reaching this conclusion, we have taken into account</w:t>
      </w:r>
      <w:r w:rsidR="007C336E">
        <w:t xml:space="preserve"> the revenue and pricing principles</w:t>
      </w:r>
      <w:r w:rsidR="0067198F">
        <w:t>. Our estimate of the total forecast capex that reasonably reflects the capex criteria is $</w:t>
      </w:r>
      <w:r w:rsidR="005D4664" w:rsidRPr="00AB1A53">
        <w:rPr>
          <w:rStyle w:val="AERtexthighlight"/>
          <w:shd w:val="clear" w:color="auto" w:fill="auto"/>
        </w:rPr>
        <w:t>25</w:t>
      </w:r>
      <w:r w:rsidR="005D4664" w:rsidRPr="00B10E5D">
        <w:t>.</w:t>
      </w:r>
      <w:r w:rsidR="00FB5E96">
        <w:t>63</w:t>
      </w:r>
      <w:r w:rsidR="0067198F" w:rsidRPr="00B10E5D">
        <w:t xml:space="preserve"> million</w:t>
      </w:r>
      <w:r w:rsidR="00B533E2">
        <w:t xml:space="preserve">, a reduction of </w:t>
      </w:r>
      <w:r w:rsidR="004B3A8A">
        <w:t>2</w:t>
      </w:r>
      <w:r w:rsidR="00FB5E96">
        <w:t>7</w:t>
      </w:r>
      <w:r w:rsidR="00B533E2">
        <w:t xml:space="preserve"> per cent</w:t>
      </w:r>
      <w:r w:rsidR="0067198F">
        <w:t>.</w:t>
      </w:r>
      <w:r w:rsidR="00665063">
        <w:t xml:space="preserve"> </w:t>
      </w:r>
      <w:r w:rsidR="00843BE9">
        <w:fldChar w:fldCharType="begin"/>
      </w:r>
      <w:r w:rsidR="00843BE9">
        <w:instrText xml:space="preserve"> REF _Ref404090797 \h </w:instrText>
      </w:r>
      <w:r w:rsidR="00843BE9">
        <w:fldChar w:fldCharType="separate"/>
      </w:r>
      <w:r w:rsidR="00117C35">
        <w:t>Table 6-</w:t>
      </w:r>
      <w:r w:rsidR="00117C35">
        <w:rPr>
          <w:noProof/>
        </w:rPr>
        <w:t>1</w:t>
      </w:r>
      <w:r w:rsidR="00843BE9">
        <w:fldChar w:fldCharType="end"/>
      </w:r>
      <w:r w:rsidR="00843BE9">
        <w:t xml:space="preserve"> </w:t>
      </w:r>
      <w:r w:rsidR="00DB3227" w:rsidRPr="00DB3227">
        <w:t>outlines our draft decision.</w:t>
      </w:r>
    </w:p>
    <w:p w:rsidR="00DB3227" w:rsidRPr="00DB3227" w:rsidRDefault="00843BE9" w:rsidP="00843BE9">
      <w:pPr>
        <w:pStyle w:val="Caption"/>
      </w:pPr>
      <w:bookmarkStart w:id="11" w:name="_Ref404090797"/>
      <w:r>
        <w:t xml:space="preserve">Table </w:t>
      </w:r>
      <w:r w:rsidR="00117C35">
        <w:t>6-</w:t>
      </w:r>
      <w:fldSimple w:instr=" SEQ Table \* ARABIC ">
        <w:r w:rsidR="00F6718C">
          <w:rPr>
            <w:noProof/>
          </w:rPr>
          <w:t>1</w:t>
        </w:r>
      </w:fldSimple>
      <w:bookmarkEnd w:id="11"/>
      <w:r w:rsidR="00DB3227" w:rsidRPr="00DB3227">
        <w:tab/>
        <w:t xml:space="preserve">Our draft decision on </w:t>
      </w:r>
      <w:r w:rsidR="00582604">
        <w:t>Directlink's</w:t>
      </w:r>
      <w:r w:rsidR="00DB3227" w:rsidRPr="00DB3227">
        <w:t xml:space="preserve"> total forecast capex (</w:t>
      </w:r>
      <w:r w:rsidR="00B42744">
        <w:t xml:space="preserve">$ </w:t>
      </w:r>
      <w:r w:rsidR="00DB3227" w:rsidRPr="00DB3227">
        <w:t>million $201</w:t>
      </w:r>
      <w:r w:rsidR="00DB3227">
        <w:t>4</w:t>
      </w:r>
      <w:r w:rsidR="00DB3227" w:rsidRPr="00DB3227">
        <w:t>–1</w:t>
      </w:r>
      <w:r w:rsidR="00DB3227">
        <w:t>5</w:t>
      </w:r>
      <w:r w:rsidR="00DB3227" w:rsidRPr="00DB3227">
        <w:t>)</w:t>
      </w:r>
    </w:p>
    <w:tbl>
      <w:tblPr>
        <w:tblStyle w:val="AERtable-numbers"/>
        <w:tblW w:w="0" w:type="auto"/>
        <w:tblLook w:val="04A0" w:firstRow="1" w:lastRow="0" w:firstColumn="1" w:lastColumn="0" w:noHBand="0" w:noVBand="1"/>
      </w:tblPr>
      <w:tblGrid>
        <w:gridCol w:w="2286"/>
        <w:gridCol w:w="1251"/>
        <w:gridCol w:w="1141"/>
        <w:gridCol w:w="1141"/>
        <w:gridCol w:w="1141"/>
        <w:gridCol w:w="1189"/>
        <w:gridCol w:w="1093"/>
      </w:tblGrid>
      <w:tr w:rsidR="00DB3227" w:rsidRPr="00DB3227" w:rsidTr="00442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DB3227" w:rsidRPr="00DB3227" w:rsidRDefault="00DB3227" w:rsidP="00DB3227"/>
        </w:tc>
        <w:tc>
          <w:tcPr>
            <w:tcW w:w="1251" w:type="dxa"/>
          </w:tcPr>
          <w:p w:rsidR="00DB3227" w:rsidRPr="00DB3227" w:rsidRDefault="00DB3227" w:rsidP="00582604">
            <w:pPr>
              <w:cnfStyle w:val="100000000000" w:firstRow="1" w:lastRow="0" w:firstColumn="0" w:lastColumn="0" w:oddVBand="0" w:evenVBand="0" w:oddHBand="0" w:evenHBand="0" w:firstRowFirstColumn="0" w:firstRowLastColumn="0" w:lastRowFirstColumn="0" w:lastRowLastColumn="0"/>
            </w:pPr>
            <w:r w:rsidRPr="00DB3227">
              <w:t>201</w:t>
            </w:r>
            <w:r w:rsidR="00582604">
              <w:t>5</w:t>
            </w:r>
            <w:r w:rsidRPr="00DB3227">
              <w:t>–1</w:t>
            </w:r>
            <w:r w:rsidR="00582604">
              <w:t>6</w:t>
            </w:r>
          </w:p>
        </w:tc>
        <w:tc>
          <w:tcPr>
            <w:tcW w:w="1141" w:type="dxa"/>
          </w:tcPr>
          <w:p w:rsidR="00DB3227" w:rsidRPr="00DB3227" w:rsidRDefault="00DB3227" w:rsidP="00582604">
            <w:pPr>
              <w:cnfStyle w:val="100000000000" w:firstRow="1" w:lastRow="0" w:firstColumn="0" w:lastColumn="0" w:oddVBand="0" w:evenVBand="0" w:oddHBand="0" w:evenHBand="0" w:firstRowFirstColumn="0" w:firstRowLastColumn="0" w:lastRowFirstColumn="0" w:lastRowLastColumn="0"/>
            </w:pPr>
            <w:r w:rsidRPr="00DB3227">
              <w:t>201</w:t>
            </w:r>
            <w:r w:rsidR="00582604">
              <w:t>6</w:t>
            </w:r>
            <w:r w:rsidRPr="00DB3227">
              <w:t>–1</w:t>
            </w:r>
            <w:r w:rsidR="00582604">
              <w:t>7</w:t>
            </w:r>
          </w:p>
        </w:tc>
        <w:tc>
          <w:tcPr>
            <w:tcW w:w="1141" w:type="dxa"/>
          </w:tcPr>
          <w:p w:rsidR="00DB3227" w:rsidRPr="00DB3227" w:rsidRDefault="00DB3227" w:rsidP="00582604">
            <w:pPr>
              <w:cnfStyle w:val="100000000000" w:firstRow="1" w:lastRow="0" w:firstColumn="0" w:lastColumn="0" w:oddVBand="0" w:evenVBand="0" w:oddHBand="0" w:evenHBand="0" w:firstRowFirstColumn="0" w:firstRowLastColumn="0" w:lastRowFirstColumn="0" w:lastRowLastColumn="0"/>
            </w:pPr>
            <w:r w:rsidRPr="00DB3227">
              <w:t>201</w:t>
            </w:r>
            <w:r w:rsidR="00582604">
              <w:t>7</w:t>
            </w:r>
            <w:r w:rsidRPr="00DB3227">
              <w:t>–1</w:t>
            </w:r>
            <w:r w:rsidR="00582604">
              <w:t>8</w:t>
            </w:r>
          </w:p>
        </w:tc>
        <w:tc>
          <w:tcPr>
            <w:tcW w:w="1141" w:type="dxa"/>
          </w:tcPr>
          <w:p w:rsidR="00DB3227" w:rsidRPr="00DB3227" w:rsidRDefault="00DB3227" w:rsidP="00582604">
            <w:pPr>
              <w:cnfStyle w:val="100000000000" w:firstRow="1" w:lastRow="0" w:firstColumn="0" w:lastColumn="0" w:oddVBand="0" w:evenVBand="0" w:oddHBand="0" w:evenHBand="0" w:firstRowFirstColumn="0" w:firstRowLastColumn="0" w:lastRowFirstColumn="0" w:lastRowLastColumn="0"/>
            </w:pPr>
            <w:r w:rsidRPr="00DB3227">
              <w:t>201</w:t>
            </w:r>
            <w:r w:rsidR="00582604">
              <w:t>8–19</w:t>
            </w:r>
          </w:p>
        </w:tc>
        <w:tc>
          <w:tcPr>
            <w:tcW w:w="1189" w:type="dxa"/>
          </w:tcPr>
          <w:p w:rsidR="00DB3227" w:rsidRPr="00DB3227" w:rsidRDefault="00DB3227" w:rsidP="00582604">
            <w:pPr>
              <w:cnfStyle w:val="100000000000" w:firstRow="1" w:lastRow="0" w:firstColumn="0" w:lastColumn="0" w:oddVBand="0" w:evenVBand="0" w:oddHBand="0" w:evenHBand="0" w:firstRowFirstColumn="0" w:firstRowLastColumn="0" w:lastRowFirstColumn="0" w:lastRowLastColumn="0"/>
            </w:pPr>
            <w:r w:rsidRPr="00DB3227">
              <w:t>201</w:t>
            </w:r>
            <w:r w:rsidR="00582604">
              <w:t>9</w:t>
            </w:r>
            <w:r w:rsidRPr="00DB3227">
              <w:t>–</w:t>
            </w:r>
            <w:r w:rsidR="00582604">
              <w:t>20</w:t>
            </w:r>
          </w:p>
        </w:tc>
        <w:tc>
          <w:tcPr>
            <w:tcW w:w="1093" w:type="dxa"/>
          </w:tcPr>
          <w:p w:rsidR="00DB3227" w:rsidRPr="00DB3227" w:rsidRDefault="00DB3227" w:rsidP="00DB3227">
            <w:pPr>
              <w:cnfStyle w:val="100000000000" w:firstRow="1" w:lastRow="0" w:firstColumn="0" w:lastColumn="0" w:oddVBand="0" w:evenVBand="0" w:oddHBand="0" w:evenHBand="0" w:firstRowFirstColumn="0" w:firstRowLastColumn="0" w:lastRowFirstColumn="0" w:lastRowLastColumn="0"/>
            </w:pPr>
            <w:r w:rsidRPr="00DB3227">
              <w:t>Total</w:t>
            </w:r>
          </w:p>
        </w:tc>
      </w:tr>
      <w:tr w:rsidR="00B42744" w:rsidRPr="00DB3227" w:rsidTr="00B42744">
        <w:tc>
          <w:tcPr>
            <w:cnfStyle w:val="001000000000" w:firstRow="0" w:lastRow="0" w:firstColumn="1" w:lastColumn="0" w:oddVBand="0" w:evenVBand="0" w:oddHBand="0" w:evenHBand="0" w:firstRowFirstColumn="0" w:firstRowLastColumn="0" w:lastRowFirstColumn="0" w:lastRowLastColumn="0"/>
            <w:tcW w:w="2286" w:type="dxa"/>
          </w:tcPr>
          <w:p w:rsidR="00B42744" w:rsidRPr="00B42744" w:rsidRDefault="00B42744" w:rsidP="00B42744">
            <w:r w:rsidRPr="00B42744">
              <w:t>Directlink's proposal</w:t>
            </w:r>
          </w:p>
        </w:tc>
        <w:tc>
          <w:tcPr>
            <w:tcW w:w="1251" w:type="dxa"/>
            <w:vAlign w:val="bottom"/>
          </w:tcPr>
          <w:p w:rsidR="00B42744" w:rsidRPr="00B42744" w:rsidRDefault="00B42744" w:rsidP="00B42744">
            <w:pPr>
              <w:cnfStyle w:val="000000000000" w:firstRow="0" w:lastRow="0" w:firstColumn="0" w:lastColumn="0" w:oddVBand="0" w:evenVBand="0" w:oddHBand="0" w:evenHBand="0" w:firstRowFirstColumn="0" w:firstRowLastColumn="0" w:lastRowFirstColumn="0" w:lastRowLastColumn="0"/>
            </w:pPr>
            <w:r w:rsidRPr="00B42744">
              <w:t>5.86</w:t>
            </w:r>
          </w:p>
        </w:tc>
        <w:tc>
          <w:tcPr>
            <w:tcW w:w="1141" w:type="dxa"/>
            <w:vAlign w:val="bottom"/>
          </w:tcPr>
          <w:p w:rsidR="00B42744" w:rsidRPr="00B42744" w:rsidRDefault="00B42744" w:rsidP="00B42744">
            <w:pPr>
              <w:cnfStyle w:val="000000000000" w:firstRow="0" w:lastRow="0" w:firstColumn="0" w:lastColumn="0" w:oddVBand="0" w:evenVBand="0" w:oddHBand="0" w:evenHBand="0" w:firstRowFirstColumn="0" w:firstRowLastColumn="0" w:lastRowFirstColumn="0" w:lastRowLastColumn="0"/>
            </w:pPr>
            <w:r w:rsidRPr="00B42744">
              <w:t>5.41</w:t>
            </w:r>
          </w:p>
        </w:tc>
        <w:tc>
          <w:tcPr>
            <w:tcW w:w="1141" w:type="dxa"/>
            <w:vAlign w:val="bottom"/>
          </w:tcPr>
          <w:p w:rsidR="00B42744" w:rsidRPr="00B42744" w:rsidRDefault="00B42744" w:rsidP="00B42744">
            <w:pPr>
              <w:cnfStyle w:val="000000000000" w:firstRow="0" w:lastRow="0" w:firstColumn="0" w:lastColumn="0" w:oddVBand="0" w:evenVBand="0" w:oddHBand="0" w:evenHBand="0" w:firstRowFirstColumn="0" w:firstRowLastColumn="0" w:lastRowFirstColumn="0" w:lastRowLastColumn="0"/>
            </w:pPr>
            <w:r w:rsidRPr="00B42744">
              <w:t>4.03</w:t>
            </w:r>
          </w:p>
        </w:tc>
        <w:tc>
          <w:tcPr>
            <w:tcW w:w="1141" w:type="dxa"/>
            <w:vAlign w:val="bottom"/>
          </w:tcPr>
          <w:p w:rsidR="00B42744" w:rsidRPr="00B42744" w:rsidRDefault="00B42744" w:rsidP="00B42744">
            <w:pPr>
              <w:cnfStyle w:val="000000000000" w:firstRow="0" w:lastRow="0" w:firstColumn="0" w:lastColumn="0" w:oddVBand="0" w:evenVBand="0" w:oddHBand="0" w:evenHBand="0" w:firstRowFirstColumn="0" w:firstRowLastColumn="0" w:lastRowFirstColumn="0" w:lastRowLastColumn="0"/>
            </w:pPr>
            <w:r w:rsidRPr="00B42744">
              <w:t>5.10</w:t>
            </w:r>
          </w:p>
        </w:tc>
        <w:tc>
          <w:tcPr>
            <w:tcW w:w="1189" w:type="dxa"/>
            <w:vAlign w:val="bottom"/>
          </w:tcPr>
          <w:p w:rsidR="00B42744" w:rsidRPr="00B42744" w:rsidRDefault="00B42744" w:rsidP="00B42744">
            <w:pPr>
              <w:cnfStyle w:val="000000000000" w:firstRow="0" w:lastRow="0" w:firstColumn="0" w:lastColumn="0" w:oddVBand="0" w:evenVBand="0" w:oddHBand="0" w:evenHBand="0" w:firstRowFirstColumn="0" w:firstRowLastColumn="0" w:lastRowFirstColumn="0" w:lastRowLastColumn="0"/>
            </w:pPr>
            <w:r w:rsidRPr="00B42744">
              <w:t>14.80</w:t>
            </w:r>
          </w:p>
        </w:tc>
        <w:tc>
          <w:tcPr>
            <w:tcW w:w="1093" w:type="dxa"/>
            <w:vAlign w:val="bottom"/>
          </w:tcPr>
          <w:p w:rsidR="00B42744" w:rsidRPr="00B42744" w:rsidRDefault="00B42744" w:rsidP="00B42744">
            <w:pPr>
              <w:cnfStyle w:val="000000000000" w:firstRow="0" w:lastRow="0" w:firstColumn="0" w:lastColumn="0" w:oddVBand="0" w:evenVBand="0" w:oddHBand="0" w:evenHBand="0" w:firstRowFirstColumn="0" w:firstRowLastColumn="0" w:lastRowFirstColumn="0" w:lastRowLastColumn="0"/>
            </w:pPr>
            <w:bookmarkStart w:id="12" w:name="RANGE!G8"/>
            <w:r w:rsidRPr="00B42744">
              <w:t>35.20</w:t>
            </w:r>
            <w:bookmarkEnd w:id="12"/>
          </w:p>
        </w:tc>
      </w:tr>
      <w:tr w:rsidR="00B42744" w:rsidRPr="00DB3227" w:rsidTr="00442C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B42744" w:rsidRPr="00B42744" w:rsidRDefault="00B42744" w:rsidP="00B42744">
            <w:r w:rsidRPr="00B42744">
              <w:t>AER draft decision</w:t>
            </w:r>
          </w:p>
        </w:tc>
        <w:tc>
          <w:tcPr>
            <w:tcW w:w="125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4.16</w:t>
            </w:r>
          </w:p>
        </w:tc>
        <w:tc>
          <w:tcPr>
            <w:tcW w:w="114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2.68</w:t>
            </w:r>
          </w:p>
        </w:tc>
        <w:tc>
          <w:tcPr>
            <w:tcW w:w="114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2.26</w:t>
            </w:r>
          </w:p>
        </w:tc>
        <w:tc>
          <w:tcPr>
            <w:tcW w:w="114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3.28</w:t>
            </w:r>
          </w:p>
        </w:tc>
        <w:tc>
          <w:tcPr>
            <w:tcW w:w="1189"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13.25</w:t>
            </w:r>
          </w:p>
        </w:tc>
        <w:tc>
          <w:tcPr>
            <w:tcW w:w="1093"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bookmarkStart w:id="13" w:name="RANGE!G15"/>
            <w:r w:rsidRPr="00B42744">
              <w:t>25.63</w:t>
            </w:r>
            <w:bookmarkEnd w:id="13"/>
          </w:p>
        </w:tc>
      </w:tr>
      <w:tr w:rsidR="00B42744" w:rsidRPr="00DB3227" w:rsidTr="00B42744">
        <w:trPr>
          <w:trHeight w:val="80"/>
        </w:trPr>
        <w:tc>
          <w:tcPr>
            <w:cnfStyle w:val="001000000000" w:firstRow="0" w:lastRow="0" w:firstColumn="1" w:lastColumn="0" w:oddVBand="0" w:evenVBand="0" w:oddHBand="0" w:evenHBand="0" w:firstRowFirstColumn="0" w:firstRowLastColumn="0" w:lastRowFirstColumn="0" w:lastRowLastColumn="0"/>
            <w:tcW w:w="2286" w:type="dxa"/>
          </w:tcPr>
          <w:p w:rsidR="00B42744" w:rsidRPr="00B42744" w:rsidRDefault="00B42744" w:rsidP="00B42744">
            <w:r w:rsidRPr="00B42744">
              <w:t>Difference</w:t>
            </w:r>
          </w:p>
        </w:tc>
        <w:tc>
          <w:tcPr>
            <w:tcW w:w="1251" w:type="dxa"/>
            <w:vAlign w:val="bottom"/>
          </w:tcPr>
          <w:p w:rsidR="00B42744" w:rsidRPr="00B42744" w:rsidRDefault="002817A2" w:rsidP="00B42744">
            <w:pPr>
              <w:cnfStyle w:val="000000000000" w:firstRow="0" w:lastRow="0" w:firstColumn="0" w:lastColumn="0" w:oddVBand="0" w:evenVBand="0" w:oddHBand="0" w:evenHBand="0" w:firstRowFirstColumn="0" w:firstRowLastColumn="0" w:lastRowFirstColumn="0" w:lastRowLastColumn="0"/>
            </w:pPr>
            <w:r>
              <w:t>-</w:t>
            </w:r>
            <w:r w:rsidR="00B42744" w:rsidRPr="00B42744">
              <w:t>1.70</w:t>
            </w:r>
          </w:p>
        </w:tc>
        <w:tc>
          <w:tcPr>
            <w:tcW w:w="1141" w:type="dxa"/>
            <w:vAlign w:val="bottom"/>
          </w:tcPr>
          <w:p w:rsidR="00B42744" w:rsidRPr="00B42744" w:rsidRDefault="002817A2" w:rsidP="00B42744">
            <w:pPr>
              <w:cnfStyle w:val="000000000000" w:firstRow="0" w:lastRow="0" w:firstColumn="0" w:lastColumn="0" w:oddVBand="0" w:evenVBand="0" w:oddHBand="0" w:evenHBand="0" w:firstRowFirstColumn="0" w:firstRowLastColumn="0" w:lastRowFirstColumn="0" w:lastRowLastColumn="0"/>
            </w:pPr>
            <w:r>
              <w:t>-</w:t>
            </w:r>
            <w:r w:rsidR="00B42744" w:rsidRPr="00B42744">
              <w:t>2.73</w:t>
            </w:r>
          </w:p>
        </w:tc>
        <w:tc>
          <w:tcPr>
            <w:tcW w:w="1141" w:type="dxa"/>
            <w:vAlign w:val="bottom"/>
          </w:tcPr>
          <w:p w:rsidR="00B42744" w:rsidRPr="00B42744" w:rsidRDefault="002817A2" w:rsidP="00B42744">
            <w:pPr>
              <w:cnfStyle w:val="000000000000" w:firstRow="0" w:lastRow="0" w:firstColumn="0" w:lastColumn="0" w:oddVBand="0" w:evenVBand="0" w:oddHBand="0" w:evenHBand="0" w:firstRowFirstColumn="0" w:firstRowLastColumn="0" w:lastRowFirstColumn="0" w:lastRowLastColumn="0"/>
            </w:pPr>
            <w:r>
              <w:t>-</w:t>
            </w:r>
            <w:r w:rsidR="00B42744" w:rsidRPr="00B42744">
              <w:t>1.77</w:t>
            </w:r>
          </w:p>
        </w:tc>
        <w:tc>
          <w:tcPr>
            <w:tcW w:w="1141" w:type="dxa"/>
            <w:vAlign w:val="bottom"/>
          </w:tcPr>
          <w:p w:rsidR="00B42744" w:rsidRPr="00B42744" w:rsidRDefault="002817A2" w:rsidP="00B42744">
            <w:pPr>
              <w:cnfStyle w:val="000000000000" w:firstRow="0" w:lastRow="0" w:firstColumn="0" w:lastColumn="0" w:oddVBand="0" w:evenVBand="0" w:oddHBand="0" w:evenHBand="0" w:firstRowFirstColumn="0" w:firstRowLastColumn="0" w:lastRowFirstColumn="0" w:lastRowLastColumn="0"/>
            </w:pPr>
            <w:r>
              <w:t>-</w:t>
            </w:r>
            <w:r w:rsidR="00B42744" w:rsidRPr="00B42744">
              <w:t>1.82</w:t>
            </w:r>
          </w:p>
        </w:tc>
        <w:tc>
          <w:tcPr>
            <w:tcW w:w="1189" w:type="dxa"/>
            <w:vAlign w:val="bottom"/>
          </w:tcPr>
          <w:p w:rsidR="00B42744" w:rsidRPr="00B42744" w:rsidRDefault="002817A2" w:rsidP="00B42744">
            <w:pPr>
              <w:cnfStyle w:val="000000000000" w:firstRow="0" w:lastRow="0" w:firstColumn="0" w:lastColumn="0" w:oddVBand="0" w:evenVBand="0" w:oddHBand="0" w:evenHBand="0" w:firstRowFirstColumn="0" w:firstRowLastColumn="0" w:lastRowFirstColumn="0" w:lastRowLastColumn="0"/>
            </w:pPr>
            <w:r>
              <w:t>-</w:t>
            </w:r>
            <w:r w:rsidR="00B42744" w:rsidRPr="00B42744">
              <w:t>1.55</w:t>
            </w:r>
          </w:p>
        </w:tc>
        <w:tc>
          <w:tcPr>
            <w:tcW w:w="1093" w:type="dxa"/>
            <w:vAlign w:val="bottom"/>
          </w:tcPr>
          <w:p w:rsidR="00B42744" w:rsidRPr="00B42744" w:rsidRDefault="002817A2" w:rsidP="00B42744">
            <w:pPr>
              <w:cnfStyle w:val="000000000000" w:firstRow="0" w:lastRow="0" w:firstColumn="0" w:lastColumn="0" w:oddVBand="0" w:evenVBand="0" w:oddHBand="0" w:evenHBand="0" w:firstRowFirstColumn="0" w:firstRowLastColumn="0" w:lastRowFirstColumn="0" w:lastRowLastColumn="0"/>
            </w:pPr>
            <w:r>
              <w:t>-</w:t>
            </w:r>
            <w:r w:rsidR="00B42744" w:rsidRPr="00B42744">
              <w:t>9.57</w:t>
            </w:r>
          </w:p>
        </w:tc>
      </w:tr>
      <w:tr w:rsidR="00B42744" w:rsidRPr="00DB3227" w:rsidTr="00442C3C">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86" w:type="dxa"/>
          </w:tcPr>
          <w:p w:rsidR="00B42744" w:rsidRPr="00B42744" w:rsidRDefault="00B42744" w:rsidP="00B42744">
            <w:r w:rsidRPr="00B42744">
              <w:t>Percentage difference</w:t>
            </w:r>
          </w:p>
        </w:tc>
        <w:tc>
          <w:tcPr>
            <w:tcW w:w="125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29.0</w:t>
            </w:r>
          </w:p>
        </w:tc>
        <w:tc>
          <w:tcPr>
            <w:tcW w:w="114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50.4</w:t>
            </w:r>
          </w:p>
        </w:tc>
        <w:tc>
          <w:tcPr>
            <w:tcW w:w="114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43.9</w:t>
            </w:r>
          </w:p>
        </w:tc>
        <w:tc>
          <w:tcPr>
            <w:tcW w:w="1141"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35.7</w:t>
            </w:r>
          </w:p>
        </w:tc>
        <w:tc>
          <w:tcPr>
            <w:tcW w:w="1189"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10.5</w:t>
            </w:r>
          </w:p>
        </w:tc>
        <w:tc>
          <w:tcPr>
            <w:tcW w:w="1093" w:type="dxa"/>
            <w:vAlign w:val="bottom"/>
          </w:tcPr>
          <w:p w:rsidR="00B42744" w:rsidRPr="00B42744" w:rsidRDefault="00B42744" w:rsidP="00B42744">
            <w:pPr>
              <w:cnfStyle w:val="000000010000" w:firstRow="0" w:lastRow="0" w:firstColumn="0" w:lastColumn="0" w:oddVBand="0" w:evenVBand="0" w:oddHBand="0" w:evenHBand="1" w:firstRowFirstColumn="0" w:firstRowLastColumn="0" w:lastRowFirstColumn="0" w:lastRowLastColumn="0"/>
            </w:pPr>
            <w:r w:rsidRPr="00B42744">
              <w:t>27.2</w:t>
            </w:r>
          </w:p>
        </w:tc>
      </w:tr>
    </w:tbl>
    <w:p w:rsidR="00DB3227" w:rsidRPr="00DB3227" w:rsidRDefault="00DB3227" w:rsidP="00582604">
      <w:pPr>
        <w:pStyle w:val="AERtablesource"/>
      </w:pPr>
      <w:r w:rsidRPr="00DB3227">
        <w:t>Source:</w:t>
      </w:r>
      <w:r w:rsidRPr="00DB3227">
        <w:tab/>
      </w:r>
      <w:r w:rsidR="00B42744">
        <w:t>Directlink,</w:t>
      </w:r>
      <w:r w:rsidRPr="00DB3227">
        <w:t xml:space="preserve"> Regulatory Proposal, p. </w:t>
      </w:r>
      <w:r w:rsidR="00B42744">
        <w:t>55</w:t>
      </w:r>
      <w:r w:rsidRPr="00DB3227">
        <w:t>; AER analysis</w:t>
      </w:r>
    </w:p>
    <w:p w:rsidR="00DB3227" w:rsidRPr="00DB3227" w:rsidRDefault="00DB3227" w:rsidP="00582604">
      <w:pPr>
        <w:pStyle w:val="AERtablesource"/>
        <w:rPr>
          <w:rFonts w:eastAsia="Calibri"/>
        </w:rPr>
      </w:pPr>
      <w:r w:rsidRPr="00DB3227">
        <w:rPr>
          <w:rFonts w:eastAsia="Calibri"/>
        </w:rPr>
        <w:t>Note:</w:t>
      </w:r>
      <w:r w:rsidRPr="00DB3227">
        <w:rPr>
          <w:rFonts w:eastAsia="Calibri"/>
        </w:rPr>
        <w:tab/>
        <w:t>Numbers may not total due to rounding.</w:t>
      </w:r>
    </w:p>
    <w:p w:rsidR="00442C3C" w:rsidRPr="00442C3C" w:rsidRDefault="00442C3C" w:rsidP="00442C3C">
      <w:bookmarkStart w:id="14" w:name="_Ref403468188"/>
      <w:bookmarkStart w:id="15" w:name="_Ref403468179"/>
      <w:r w:rsidRPr="00442C3C">
        <w:t>A summary of our reasons and findings that we present in this Attachment are set out in</w:t>
      </w:r>
      <w:r w:rsidR="00843BE9">
        <w:t xml:space="preserve"> </w:t>
      </w:r>
      <w:r w:rsidR="00843BE9">
        <w:fldChar w:fldCharType="begin"/>
      </w:r>
      <w:r w:rsidR="00843BE9">
        <w:instrText xml:space="preserve"> REF _Ref404090838 \h </w:instrText>
      </w:r>
      <w:r w:rsidR="00843BE9">
        <w:fldChar w:fldCharType="separate"/>
      </w:r>
      <w:r w:rsidR="00117C35">
        <w:t>Table 6-</w:t>
      </w:r>
      <w:r w:rsidR="00117C35">
        <w:rPr>
          <w:noProof/>
        </w:rPr>
        <w:t>2</w:t>
      </w:r>
      <w:r w:rsidR="00843BE9">
        <w:fldChar w:fldCharType="end"/>
      </w:r>
      <w:r w:rsidRPr="00442C3C">
        <w:t xml:space="preserve">. It is important to recognise that our decision is about </w:t>
      </w:r>
      <w:r w:rsidR="007831FA">
        <w:t>Directlink's</w:t>
      </w:r>
      <w:r w:rsidRPr="00442C3C">
        <w:t xml:space="preserve"> total forecast capex for the 201</w:t>
      </w:r>
      <w:r w:rsidR="007831FA">
        <w:t>5</w:t>
      </w:r>
      <w:r w:rsidRPr="00442C3C">
        <w:t>–20</w:t>
      </w:r>
      <w:r w:rsidR="007831FA">
        <w:t>20</w:t>
      </w:r>
      <w:r w:rsidRPr="00442C3C">
        <w:t xml:space="preserve"> </w:t>
      </w:r>
      <w:r w:rsidRPr="00442C3C">
        <w:lastRenderedPageBreak/>
        <w:t xml:space="preserve">period. We are not approving a particular category of capex or a particular project, but rather an overall amount. However, as part of our assessment, we necessarily review the categories of expenditure and some particular projects in order to test whether </w:t>
      </w:r>
      <w:r w:rsidR="001760E8">
        <w:t xml:space="preserve">Directlink's </w:t>
      </w:r>
      <w:r w:rsidRPr="00442C3C">
        <w:t xml:space="preserve">proposed total forecast capex reasonably reflects the capex criteria. This is explained further in our assessment approach at </w:t>
      </w:r>
      <w:r w:rsidR="00FC11B0">
        <w:fldChar w:fldCharType="begin"/>
      </w:r>
      <w:r w:rsidR="00FC11B0">
        <w:instrText xml:space="preserve"> REF _Ref404088960 \r \h </w:instrText>
      </w:r>
      <w:r w:rsidR="00FC11B0">
        <w:fldChar w:fldCharType="separate"/>
      </w:r>
      <w:r w:rsidR="000834B6">
        <w:fldChar w:fldCharType="begin"/>
      </w:r>
      <w:r w:rsidR="000834B6">
        <w:instrText xml:space="preserve"> REF _Ref404088960 \r \h </w:instrText>
      </w:r>
      <w:r w:rsidR="000834B6">
        <w:fldChar w:fldCharType="separate"/>
      </w:r>
      <w:r w:rsidR="000834B6">
        <w:t>6.3</w:t>
      </w:r>
      <w:r w:rsidR="000834B6">
        <w:fldChar w:fldCharType="end"/>
      </w:r>
      <w:r w:rsidR="00FC11B0">
        <w:fldChar w:fldCharType="end"/>
      </w:r>
      <w:r w:rsidR="000834B6">
        <w:t>.</w:t>
      </w:r>
    </w:p>
    <w:p w:rsidR="00442C3C" w:rsidRPr="00442C3C" w:rsidRDefault="00843BE9" w:rsidP="00843BE9">
      <w:pPr>
        <w:pStyle w:val="Caption"/>
      </w:pPr>
      <w:bookmarkStart w:id="16" w:name="_Ref404090838"/>
      <w:bookmarkStart w:id="17" w:name="_Ref403493355"/>
      <w:bookmarkEnd w:id="14"/>
      <w:r>
        <w:t xml:space="preserve">Table </w:t>
      </w:r>
      <w:r w:rsidR="00117C35">
        <w:t>6-</w:t>
      </w:r>
      <w:fldSimple w:instr=" SEQ Table \* ARABIC ">
        <w:r w:rsidR="00F6718C">
          <w:rPr>
            <w:noProof/>
          </w:rPr>
          <w:t>2</w:t>
        </w:r>
      </w:fldSimple>
      <w:bookmarkEnd w:id="16"/>
      <w:r w:rsidR="00442C3C" w:rsidRPr="00442C3C">
        <w:tab/>
        <w:t>Summary of AER reasons and findings</w:t>
      </w:r>
      <w:bookmarkEnd w:id="15"/>
      <w:bookmarkEnd w:id="17"/>
    </w:p>
    <w:tbl>
      <w:tblPr>
        <w:tblStyle w:val="AERtable-numbers"/>
        <w:tblW w:w="0" w:type="auto"/>
        <w:tblLook w:val="04A0" w:firstRow="1" w:lastRow="0" w:firstColumn="1" w:lastColumn="0" w:noHBand="0" w:noVBand="1"/>
      </w:tblPr>
      <w:tblGrid>
        <w:gridCol w:w="2398"/>
        <w:gridCol w:w="6844"/>
      </w:tblGrid>
      <w:tr w:rsidR="00442C3C" w:rsidRPr="00442C3C" w:rsidTr="00117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hideMark/>
          </w:tcPr>
          <w:p w:rsidR="00442C3C" w:rsidRPr="00442C3C" w:rsidRDefault="00442C3C" w:rsidP="00442C3C">
            <w:r w:rsidRPr="00442C3C">
              <w:t>Issue</w:t>
            </w:r>
          </w:p>
        </w:tc>
        <w:tc>
          <w:tcPr>
            <w:tcW w:w="6844" w:type="dxa"/>
            <w:tcBorders>
              <w:top w:val="nil"/>
              <w:left w:val="nil"/>
              <w:bottom w:val="nil"/>
              <w:right w:val="nil"/>
            </w:tcBorders>
            <w:hideMark/>
          </w:tcPr>
          <w:p w:rsidR="00442C3C" w:rsidRPr="00442C3C" w:rsidRDefault="00442C3C" w:rsidP="00442C3C">
            <w:pPr>
              <w:cnfStyle w:val="100000000000" w:firstRow="1" w:lastRow="0" w:firstColumn="0" w:lastColumn="0" w:oddVBand="0" w:evenVBand="0" w:oddHBand="0" w:evenHBand="0" w:firstRowFirstColumn="0" w:firstRowLastColumn="0" w:lastRowFirstColumn="0" w:lastRowLastColumn="0"/>
            </w:pPr>
            <w:r w:rsidRPr="00442C3C">
              <w:t>Reasons and findings</w:t>
            </w:r>
          </w:p>
        </w:tc>
      </w:tr>
      <w:tr w:rsidR="00442C3C" w:rsidRPr="00442C3C" w:rsidTr="00442C3C">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442C3C" w:rsidRPr="00442C3C" w:rsidRDefault="00442C3C" w:rsidP="00442C3C">
            <w:r w:rsidRPr="00442C3C">
              <w:t>Forecasting methodology, key assumptions and past capex performance</w:t>
            </w:r>
          </w:p>
        </w:tc>
        <w:tc>
          <w:tcPr>
            <w:tcW w:w="6844" w:type="dxa"/>
            <w:tcBorders>
              <w:top w:val="nil"/>
              <w:left w:val="nil"/>
              <w:bottom w:val="nil"/>
              <w:right w:val="nil"/>
            </w:tcBorders>
          </w:tcPr>
          <w:p w:rsidR="004C51C1" w:rsidRDefault="004C51C1" w:rsidP="00442C3C">
            <w:pPr>
              <w:cnfStyle w:val="000000000000" w:firstRow="0" w:lastRow="0" w:firstColumn="0" w:lastColumn="0" w:oddVBand="0" w:evenVBand="0" w:oddHBand="0" w:evenHBand="0" w:firstRowFirstColumn="0" w:firstRowLastColumn="0" w:lastRowFirstColumn="0" w:lastRowLastColumn="0"/>
            </w:pPr>
            <w:r>
              <w:t>Directlink's capex forecast is based on m</w:t>
            </w:r>
            <w:r w:rsidR="005A0FC7">
              <w:t xml:space="preserve">aintaining the maximum capability of the link with a high degree of reliability whilst ensuring that all regulatory, statutory and legislative requirements are met. </w:t>
            </w:r>
            <w:r w:rsidR="00D63355">
              <w:t xml:space="preserve">Directlink has submitted business cases for each project that supports its capex program. </w:t>
            </w:r>
            <w:r w:rsidR="005A0FC7">
              <w:t xml:space="preserve">We consider that the </w:t>
            </w:r>
            <w:r w:rsidR="00DA16FA">
              <w:t>majority</w:t>
            </w:r>
            <w:r w:rsidR="005A0FC7">
              <w:t xml:space="preserve"> of Directlink's proposed capex program is prudent and is justified with respect to its </w:t>
            </w:r>
            <w:r w:rsidR="00D63355">
              <w:t>reliability and compliance requirements.</w:t>
            </w:r>
          </w:p>
          <w:p w:rsidR="00D63355" w:rsidRDefault="00ED6CFE" w:rsidP="00442C3C">
            <w:pPr>
              <w:cnfStyle w:val="000000000000" w:firstRow="0" w:lastRow="0" w:firstColumn="0" w:lastColumn="0" w:oddVBand="0" w:evenVBand="0" w:oddHBand="0" w:evenHBand="0" w:firstRowFirstColumn="0" w:firstRowLastColumn="0" w:lastRowFirstColumn="0" w:lastRowLastColumn="0"/>
            </w:pPr>
            <w:r>
              <w:t xml:space="preserve">Directlink's capex business cases provide details in respect </w:t>
            </w:r>
            <w:r w:rsidR="000834B6">
              <w:t>of the need for each project</w:t>
            </w:r>
            <w:r>
              <w:t xml:space="preserve">, evaluation of alternatives, estimated cost and scope, timing and justification. We consider this approach acceptable given the smaller scale of Directlink's assets and nature of its network operations. For these reasons we have not applied standardised benchmarking analysis or predictive modelling in assessing Directlink's capex forecasts. </w:t>
            </w:r>
            <w:r w:rsidR="00B50169">
              <w:t xml:space="preserve">We have undertaken </w:t>
            </w:r>
            <w:r w:rsidR="00B50169" w:rsidRPr="00B50169">
              <w:t>detailed reviews of Directlink’s asset management practices and specific projects</w:t>
            </w:r>
            <w:r w:rsidR="00B50169">
              <w:t>.</w:t>
            </w:r>
          </w:p>
          <w:p w:rsidR="00442C3C" w:rsidRPr="00442C3C" w:rsidRDefault="00813A02" w:rsidP="00311E91">
            <w:pPr>
              <w:cnfStyle w:val="000000000000" w:firstRow="0" w:lastRow="0" w:firstColumn="0" w:lastColumn="0" w:oddVBand="0" w:evenVBand="0" w:oddHBand="0" w:evenHBand="0" w:firstRowFirstColumn="0" w:firstRowLastColumn="0" w:lastRowFirstColumn="0" w:lastRowLastColumn="0"/>
            </w:pPr>
            <w:r w:rsidRPr="00813A02">
              <w:t>Directlink</w:t>
            </w:r>
            <w:r>
              <w:t>'s</w:t>
            </w:r>
            <w:r w:rsidRPr="00813A02">
              <w:t xml:space="preserve"> proposed forecast capex is 128 per cent</w:t>
            </w:r>
            <w:r>
              <w:t xml:space="preserve"> (</w:t>
            </w:r>
            <w:r w:rsidRPr="00813A02">
              <w:t>$19.8 million) higher than the previous 10 year 2005-14 regulatory period</w:t>
            </w:r>
            <w:r>
              <w:t>. This represents an average annual increase</w:t>
            </w:r>
            <w:r w:rsidRPr="00813A02">
              <w:t xml:space="preserve"> four and a half times greater than the </w:t>
            </w:r>
            <w:r>
              <w:t xml:space="preserve">2005-2014 period. </w:t>
            </w:r>
            <w:r w:rsidR="004A62D5">
              <w:t xml:space="preserve">We consider that much of Directlink's proposed capex program reflects the </w:t>
            </w:r>
            <w:r w:rsidRPr="00813A02">
              <w:t xml:space="preserve">stochastic nature </w:t>
            </w:r>
            <w:r w:rsidR="004A62D5">
              <w:t xml:space="preserve">of its capex requirements rather </w:t>
            </w:r>
            <w:r w:rsidRPr="00813A02">
              <w:t xml:space="preserve">than that of a mature "steady state" system with recurrent capital expenditure programs. </w:t>
            </w:r>
            <w:r w:rsidR="004A62D5">
              <w:t>We also consider that Directlink is</w:t>
            </w:r>
            <w:r w:rsidRPr="00813A02">
              <w:t xml:space="preserve"> facing a number of "end-of-life" projects which have been included in its historical capex.</w:t>
            </w:r>
          </w:p>
        </w:tc>
      </w:tr>
      <w:tr w:rsidR="00442C3C" w:rsidRPr="00442C3C" w:rsidTr="00442C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442C3C" w:rsidRPr="00442C3C" w:rsidRDefault="00C152ED" w:rsidP="00C152ED">
            <w:r>
              <w:t xml:space="preserve">Forecast </w:t>
            </w:r>
            <w:r w:rsidR="00BD38CB">
              <w:t>capex</w:t>
            </w:r>
            <w:r w:rsidR="00442C3C" w:rsidRPr="00442C3C">
              <w:t> </w:t>
            </w:r>
          </w:p>
        </w:tc>
        <w:tc>
          <w:tcPr>
            <w:tcW w:w="6844" w:type="dxa"/>
            <w:tcBorders>
              <w:top w:val="nil"/>
              <w:left w:val="nil"/>
              <w:bottom w:val="nil"/>
              <w:right w:val="nil"/>
            </w:tcBorders>
          </w:tcPr>
          <w:p w:rsidR="00F3430E" w:rsidRDefault="00442C3C" w:rsidP="00F3430E">
            <w:pPr>
              <w:cnfStyle w:val="000000010000" w:firstRow="0" w:lastRow="0" w:firstColumn="0" w:lastColumn="0" w:oddVBand="0" w:evenVBand="0" w:oddHBand="0" w:evenHBand="1" w:firstRowFirstColumn="0" w:firstRowLastColumn="0" w:lastRowFirstColumn="0" w:lastRowLastColumn="0"/>
            </w:pPr>
            <w:r w:rsidRPr="00442C3C">
              <w:t xml:space="preserve">We have not accepted </w:t>
            </w:r>
            <w:r w:rsidR="003F7870">
              <w:t>Directlink's</w:t>
            </w:r>
            <w:r w:rsidRPr="00442C3C">
              <w:t xml:space="preserve"> proposed forecast </w:t>
            </w:r>
            <w:r w:rsidR="00BD38CB">
              <w:t>ca</w:t>
            </w:r>
            <w:r w:rsidRPr="00442C3C">
              <w:t>pex of $</w:t>
            </w:r>
            <w:r w:rsidR="00C152ED">
              <w:t>35.2</w:t>
            </w:r>
            <w:r w:rsidR="00BD38CB">
              <w:t xml:space="preserve"> </w:t>
            </w:r>
            <w:r w:rsidRPr="00442C3C">
              <w:t>million ($201</w:t>
            </w:r>
            <w:r w:rsidR="00BD38CB">
              <w:t>4</w:t>
            </w:r>
            <w:r w:rsidRPr="00442C3C">
              <w:t>–1</w:t>
            </w:r>
            <w:r w:rsidR="00BD38CB">
              <w:t>5</w:t>
            </w:r>
            <w:r w:rsidRPr="00442C3C">
              <w:t xml:space="preserve">). On the basis of the information before us, this amount is overstated and exceeds the amount required to achieve the capex objectives. </w:t>
            </w:r>
          </w:p>
          <w:p w:rsidR="00F3430E" w:rsidRDefault="00BD38CB" w:rsidP="00F3430E">
            <w:pPr>
              <w:cnfStyle w:val="000000010000" w:firstRow="0" w:lastRow="0" w:firstColumn="0" w:lastColumn="0" w:oddVBand="0" w:evenVBand="0" w:oddHBand="0" w:evenHBand="1" w:firstRowFirstColumn="0" w:firstRowLastColumn="0" w:lastRowFirstColumn="0" w:lastRowLastColumn="0"/>
            </w:pPr>
            <w:r>
              <w:t xml:space="preserve">We have made adjustments to the </w:t>
            </w:r>
            <w:r w:rsidR="00C152ED">
              <w:t>value of $7.29 million for projects we considered prudent but did not consider the proposed costs to be efficient. These projects included the f</w:t>
            </w:r>
            <w:r w:rsidR="00343241">
              <w:t xml:space="preserve">ire suppression </w:t>
            </w:r>
            <w:r w:rsidR="00C152ED">
              <w:t xml:space="preserve">project, </w:t>
            </w:r>
            <w:r w:rsidR="00D44BDE">
              <w:t>the c</w:t>
            </w:r>
            <w:r w:rsidR="00343241">
              <w:t>able replacement program</w:t>
            </w:r>
            <w:r w:rsidR="00D44BDE">
              <w:t xml:space="preserve">, </w:t>
            </w:r>
            <w:r w:rsidR="00F3430E">
              <w:t>the s</w:t>
            </w:r>
            <w:r w:rsidR="00D621C4">
              <w:t xml:space="preserve">pare cable joints </w:t>
            </w:r>
            <w:r w:rsidR="00F3430E">
              <w:t>program, b</w:t>
            </w:r>
            <w:r w:rsidR="00B66F93">
              <w:t xml:space="preserve">uilding corrosion roof repair </w:t>
            </w:r>
            <w:r w:rsidR="00F3430E">
              <w:t>and z</w:t>
            </w:r>
            <w:r w:rsidR="00B66F93">
              <w:t>ero sequence reactor repair</w:t>
            </w:r>
            <w:r w:rsidR="00F3430E">
              <w:t>.</w:t>
            </w:r>
          </w:p>
          <w:p w:rsidR="00B66F93" w:rsidRDefault="00F3430E" w:rsidP="00F3430E">
            <w:pPr>
              <w:cnfStyle w:val="000000010000" w:firstRow="0" w:lastRow="0" w:firstColumn="0" w:lastColumn="0" w:oddVBand="0" w:evenVBand="0" w:oddHBand="0" w:evenHBand="1" w:firstRowFirstColumn="0" w:firstRowLastColumn="0" w:lastRowFirstColumn="0" w:lastRowLastColumn="0"/>
            </w:pPr>
            <w:r>
              <w:t xml:space="preserve">We considered </w:t>
            </w:r>
            <w:r w:rsidR="009C6CB5">
              <w:t xml:space="preserve">proposed expenditure related to </w:t>
            </w:r>
            <w:r>
              <w:t xml:space="preserve">a number of proposed capex projects </w:t>
            </w:r>
            <w:r w:rsidR="009C6CB5">
              <w:t>is</w:t>
            </w:r>
            <w:r>
              <w:t xml:space="preserve"> </w:t>
            </w:r>
            <w:r w:rsidR="009C6CB5">
              <w:t>not</w:t>
            </w:r>
            <w:r>
              <w:t xml:space="preserve"> prudent or </w:t>
            </w:r>
            <w:r w:rsidR="00DA16FA">
              <w:t>efficient</w:t>
            </w:r>
            <w:r>
              <w:t>. The value of these projects was $0.7 million and included cable relocation and emergency lighting.</w:t>
            </w:r>
            <w:r w:rsidR="004C2074">
              <w:t xml:space="preserve"> We also considered that Directlink's proposal had not identified </w:t>
            </w:r>
            <w:r w:rsidR="000834B6">
              <w:t xml:space="preserve">for what it requires </w:t>
            </w:r>
            <w:r w:rsidR="004C2074">
              <w:t xml:space="preserve">an amount of $1.57 million and has not provided any </w:t>
            </w:r>
            <w:r w:rsidR="004C2074" w:rsidRPr="004C2074">
              <w:t>supporting documentation to justify its claim for this amount.</w:t>
            </w:r>
          </w:p>
          <w:p w:rsidR="00442C3C" w:rsidRPr="00442C3C" w:rsidRDefault="00B61C03" w:rsidP="00115F52">
            <w:pPr>
              <w:cnfStyle w:val="000000010000" w:firstRow="0" w:lastRow="0" w:firstColumn="0" w:lastColumn="0" w:oddVBand="0" w:evenVBand="0" w:oddHBand="0" w:evenHBand="1" w:firstRowFirstColumn="0" w:firstRowLastColumn="0" w:lastRowFirstColumn="0" w:lastRowLastColumn="0"/>
            </w:pPr>
            <w:r>
              <w:t xml:space="preserve">Our estimate of Directlink's required capex of $25.63 million has been informed in part by the anticipated impact of Directlink's proposed capex program on reliability and the need to ensure availability of the link at maximum capacity. We also </w:t>
            </w:r>
            <w:r w:rsidR="00DA16FA">
              <w:t>considered</w:t>
            </w:r>
            <w:r>
              <w:t xml:space="preserve"> the operating risks arising from the impact of the Mullumbimby </w:t>
            </w:r>
            <w:r w:rsidR="00DA16FA">
              <w:t>converter</w:t>
            </w:r>
            <w:r>
              <w:t xml:space="preserve"> station fire in August 2012.</w:t>
            </w:r>
            <w:r w:rsidR="00442C3C" w:rsidRPr="00442C3C">
              <w:rPr>
                <w:lang w:eastAsia="en-AU"/>
              </w:rPr>
              <w:t xml:space="preserve"> </w:t>
            </w:r>
          </w:p>
        </w:tc>
      </w:tr>
      <w:tr w:rsidR="00442C3C" w:rsidRPr="00442C3C" w:rsidTr="00442C3C">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442C3C" w:rsidRPr="00442C3C" w:rsidRDefault="00E20876" w:rsidP="00E20876">
            <w:r>
              <w:t>Impact of reliability improvement</w:t>
            </w:r>
          </w:p>
        </w:tc>
        <w:tc>
          <w:tcPr>
            <w:tcW w:w="6844" w:type="dxa"/>
            <w:tcBorders>
              <w:top w:val="nil"/>
              <w:left w:val="nil"/>
              <w:bottom w:val="nil"/>
              <w:right w:val="nil"/>
            </w:tcBorders>
          </w:tcPr>
          <w:p w:rsidR="00442C3C" w:rsidRPr="00442C3C" w:rsidRDefault="00E20876" w:rsidP="00211B67">
            <w:pPr>
              <w:pStyle w:val="AERbodytext"/>
              <w:cnfStyle w:val="000000000000" w:firstRow="0" w:lastRow="0" w:firstColumn="0" w:lastColumn="0" w:oddVBand="0" w:evenVBand="0" w:oddHBand="0" w:evenHBand="0" w:firstRowFirstColumn="0" w:firstRowLastColumn="0" w:lastRowFirstColumn="0" w:lastRowLastColumn="0"/>
              <w:rPr>
                <w:sz w:val="20"/>
              </w:rPr>
            </w:pPr>
            <w:r w:rsidRPr="00E20876">
              <w:t xml:space="preserve">On the basis of significantly increased capex and anticipated increased reliability as a consequence of the impact of the Mullumbimby converter station fire, Directlink's </w:t>
            </w:r>
            <w:r w:rsidR="00E6377F">
              <w:t>STPIS targets have been</w:t>
            </w:r>
            <w:r w:rsidRPr="00E20876">
              <w:t xml:space="preserve"> recalibrat</w:t>
            </w:r>
            <w:r w:rsidR="00E6377F">
              <w:t>ed with</w:t>
            </w:r>
            <w:r w:rsidRPr="00E20876">
              <w:t xml:space="preserve"> stricter performance targets. </w:t>
            </w:r>
            <w:r w:rsidR="00115F52" w:rsidRPr="009C45F7">
              <w:t>D</w:t>
            </w:r>
            <w:r w:rsidR="00115F52" w:rsidRPr="00115F52">
              <w:t xml:space="preserve">etails of the recalibrated STPIS targets are discussed in </w:t>
            </w:r>
            <w:r w:rsidR="00FC11B0">
              <w:t xml:space="preserve">attachment </w:t>
            </w:r>
            <w:r w:rsidR="00FC11B0" w:rsidRPr="00211B67">
              <w:rPr>
                <w:rStyle w:val="AERsuperscript"/>
                <w:vertAlign w:val="baseline"/>
              </w:rPr>
              <w:t>11</w:t>
            </w:r>
            <w:r w:rsidR="00FC11B0">
              <w:t>.</w:t>
            </w:r>
          </w:p>
        </w:tc>
      </w:tr>
      <w:tr w:rsidR="00442C3C" w:rsidRPr="00442C3C" w:rsidTr="00442C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442C3C" w:rsidRPr="00442C3C" w:rsidRDefault="00442C3C" w:rsidP="00442C3C">
            <w:r w:rsidRPr="00442C3C">
              <w:t>Real cost escalation</w:t>
            </w:r>
          </w:p>
        </w:tc>
        <w:tc>
          <w:tcPr>
            <w:tcW w:w="6844" w:type="dxa"/>
            <w:tcBorders>
              <w:top w:val="nil"/>
              <w:left w:val="nil"/>
              <w:bottom w:val="nil"/>
              <w:right w:val="nil"/>
            </w:tcBorders>
          </w:tcPr>
          <w:p w:rsidR="00442C3C" w:rsidRPr="00442C3C" w:rsidRDefault="00115F52" w:rsidP="009C6CB5">
            <w:pPr>
              <w:cnfStyle w:val="000000010000" w:firstRow="0" w:lastRow="0" w:firstColumn="0" w:lastColumn="0" w:oddVBand="0" w:evenVBand="0" w:oddHBand="0" w:evenHBand="1" w:firstRowFirstColumn="0" w:firstRowLastColumn="0" w:lastRowFirstColumn="0" w:lastRowLastColumn="0"/>
              <w:rPr>
                <w:sz w:val="20"/>
              </w:rPr>
            </w:pPr>
            <w:r>
              <w:t xml:space="preserve">Directlink did not propose labour and materials escalators, instead advising that they would accept our decision on real cost escalators. We consider that real materials cost escalation </w:t>
            </w:r>
            <w:r>
              <w:lastRenderedPageBreak/>
              <w:t xml:space="preserve">should not be applied in determining a service provider's </w:t>
            </w:r>
            <w:r w:rsidRPr="00115F52">
              <w:t xml:space="preserve">required capital expenditure. </w:t>
            </w:r>
            <w:r w:rsidR="00211B67">
              <w:t>Directlink did not include an amount for the real cost escalation of labour in its capex forecast. For the other NSPs we have forecast the labour price change based on an average of the electricity, gas and water sectors from Deloitte and Independent Economics. To allow us to make this adjustment, we expect Directlink to provide further information in its revised revenue proposal (i.e. labour costs as a proportion of total forecast capex).</w:t>
            </w:r>
          </w:p>
        </w:tc>
      </w:tr>
    </w:tbl>
    <w:p w:rsidR="00442C3C" w:rsidRPr="00442C3C" w:rsidRDefault="00442C3C" w:rsidP="00115F52">
      <w:pPr>
        <w:pStyle w:val="AERtablesource"/>
      </w:pPr>
      <w:r w:rsidRPr="00442C3C">
        <w:lastRenderedPageBreak/>
        <w:t>Source:</w:t>
      </w:r>
      <w:r w:rsidRPr="00442C3C">
        <w:tab/>
        <w:t>AER analysis</w:t>
      </w:r>
    </w:p>
    <w:p w:rsidR="004A5D16" w:rsidRDefault="00211B67" w:rsidP="004A5D16">
      <w:r>
        <w:t>Our substitute estimate</w:t>
      </w:r>
      <w:r w:rsidR="004A5D16">
        <w:t xml:space="preserve"> </w:t>
      </w:r>
      <w:r>
        <w:t xml:space="preserve">includes </w:t>
      </w:r>
      <w:r w:rsidR="004A5D16">
        <w:t xml:space="preserve">$25.63 million of Directlink's proposed capex program. </w:t>
      </w:r>
    </w:p>
    <w:p w:rsidR="0067198F" w:rsidRDefault="004A5D16" w:rsidP="00B10E5D">
      <w:r>
        <w:t xml:space="preserve">We do however, consider that the proposed cost of a number of projects were not </w:t>
      </w:r>
      <w:r w:rsidR="00DA16FA">
        <w:t>efficient</w:t>
      </w:r>
      <w:r>
        <w:t xml:space="preserve">. </w:t>
      </w:r>
      <w:r w:rsidR="004B3A8A">
        <w:t xml:space="preserve">We </w:t>
      </w:r>
      <w:r w:rsidR="009C6CB5">
        <w:t>have</w:t>
      </w:r>
      <w:r w:rsidR="004B3A8A">
        <w:t xml:space="preserve"> made </w:t>
      </w:r>
      <w:r w:rsidR="00B10E5D">
        <w:t>adjustments</w:t>
      </w:r>
      <w:r w:rsidR="004B3A8A">
        <w:t xml:space="preserve"> to </w:t>
      </w:r>
      <w:r w:rsidR="009C6CB5">
        <w:t xml:space="preserve">proposed expenditure </w:t>
      </w:r>
      <w:r w:rsidR="00117151">
        <w:t>a</w:t>
      </w:r>
      <w:r w:rsidR="009C6CB5">
        <w:t>s follows:</w:t>
      </w:r>
      <w:r w:rsidR="00117151">
        <w:t xml:space="preserve"> </w:t>
      </w:r>
    </w:p>
    <w:p w:rsidR="00665063" w:rsidRDefault="00697370" w:rsidP="00C03160">
      <w:pPr>
        <w:pStyle w:val="AERbulletlistfirststyle"/>
      </w:pPr>
      <w:r>
        <w:t>a reduction of $2.5 million to its Fire Suppression Project to reflect a lower expert consultancy estimate of the project</w:t>
      </w:r>
    </w:p>
    <w:p w:rsidR="00697370" w:rsidRDefault="00697370" w:rsidP="00C03160">
      <w:pPr>
        <w:pStyle w:val="AERbulletlistfirststyle"/>
      </w:pPr>
      <w:r>
        <w:t xml:space="preserve">a reduction of $2.13 million </w:t>
      </w:r>
      <w:r w:rsidR="00C03160">
        <w:t xml:space="preserve">to its </w:t>
      </w:r>
      <w:r>
        <w:t xml:space="preserve">Cable Repairs Program </w:t>
      </w:r>
      <w:r w:rsidR="00C03160">
        <w:t>based on our assessment of Directlink's cable strategy and improved cable fault rate</w:t>
      </w:r>
    </w:p>
    <w:p w:rsidR="00C03160" w:rsidRDefault="00C03160" w:rsidP="00C03160">
      <w:pPr>
        <w:pStyle w:val="AERbulletlistfirststyle"/>
      </w:pPr>
      <w:r>
        <w:t>a reduction of $1.46 million to its Sourcing Program for Cable Joint Kits based on an expected reduced cable fault rate</w:t>
      </w:r>
    </w:p>
    <w:p w:rsidR="00C03160" w:rsidRDefault="00C03160" w:rsidP="00C03160">
      <w:pPr>
        <w:pStyle w:val="AERbulletlistfirststyle"/>
      </w:pPr>
      <w:r>
        <w:t xml:space="preserve">a reduction of $0.99 million for its Zero Sequence Reactor Repair </w:t>
      </w:r>
      <w:r w:rsidR="00015D2E">
        <w:t xml:space="preserve">because </w:t>
      </w:r>
      <w:r>
        <w:t>a</w:t>
      </w:r>
      <w:r w:rsidR="007A2B9E">
        <w:t xml:space="preserve"> suitable reactor could be sourced for about a third of the cost of the proposed O</w:t>
      </w:r>
      <w:r w:rsidR="009370FB">
        <w:t xml:space="preserve">riginal </w:t>
      </w:r>
      <w:r w:rsidR="007A2B9E">
        <w:t>E</w:t>
      </w:r>
      <w:r w:rsidR="009370FB">
        <w:t xml:space="preserve">quipment </w:t>
      </w:r>
      <w:r w:rsidR="007A2B9E">
        <w:t>M</w:t>
      </w:r>
      <w:r w:rsidR="009370FB">
        <w:t>anufacturer</w:t>
      </w:r>
      <w:r w:rsidR="003433ED">
        <w:t xml:space="preserve"> (OEM)</w:t>
      </w:r>
      <w:r w:rsidR="00211B67">
        <w:t xml:space="preserve"> reactor.</w:t>
      </w:r>
    </w:p>
    <w:p w:rsidR="00C771D0" w:rsidRDefault="00BB6603" w:rsidP="00C771D0">
      <w:pPr>
        <w:pStyle w:val="AERbodytext"/>
      </w:pPr>
      <w:r>
        <w:t xml:space="preserve">We consider the </w:t>
      </w:r>
      <w:r w:rsidR="00C771D0">
        <w:t xml:space="preserve">following </w:t>
      </w:r>
      <w:r w:rsidR="00117151">
        <w:t xml:space="preserve">proposed </w:t>
      </w:r>
      <w:r w:rsidR="009C6CB5">
        <w:t>expenditure</w:t>
      </w:r>
      <w:r>
        <w:t xml:space="preserve"> </w:t>
      </w:r>
      <w:r w:rsidR="00117151">
        <w:t>not to be prudent or efficient</w:t>
      </w:r>
      <w:r w:rsidR="00211B67">
        <w:t>. We have not</w:t>
      </w:r>
      <w:r w:rsidR="00117151">
        <w:t xml:space="preserve"> included </w:t>
      </w:r>
      <w:r w:rsidR="00211B67">
        <w:t xml:space="preserve">this in our substitute estimate of Directlink's total forecast </w:t>
      </w:r>
      <w:r w:rsidR="00117151">
        <w:t>capex for the 2015-20 period:</w:t>
      </w:r>
    </w:p>
    <w:p w:rsidR="00117151" w:rsidRDefault="00117151" w:rsidP="00117151">
      <w:pPr>
        <w:pStyle w:val="AERbulletlistfirststyle"/>
      </w:pPr>
      <w:r w:rsidRPr="00802264">
        <w:t>a $0.37</w:t>
      </w:r>
      <w:r>
        <w:t xml:space="preserve"> </w:t>
      </w:r>
      <w:r w:rsidRPr="00802264">
        <w:t>m</w:t>
      </w:r>
      <w:r>
        <w:t>illion</w:t>
      </w:r>
      <w:r w:rsidRPr="00802264">
        <w:t xml:space="preserve"> capex provision for the relocation of its DC cables in the event they need to be relocated due to development in proximity to any of the cables over the 201</w:t>
      </w:r>
      <w:r>
        <w:t>5</w:t>
      </w:r>
      <w:r w:rsidRPr="00802264">
        <w:t>-</w:t>
      </w:r>
      <w:r>
        <w:t>20</w:t>
      </w:r>
      <w:r w:rsidRPr="00802264">
        <w:t xml:space="preserve"> </w:t>
      </w:r>
      <w:r>
        <w:t>period</w:t>
      </w:r>
    </w:p>
    <w:p w:rsidR="00117151" w:rsidRDefault="00117151" w:rsidP="00117151">
      <w:pPr>
        <w:pStyle w:val="AERbulletlistfirststyle"/>
      </w:pPr>
      <w:r w:rsidRPr="008C0376">
        <w:t>$0.34</w:t>
      </w:r>
      <w:r w:rsidR="00C51FF4">
        <w:t xml:space="preserve"> </w:t>
      </w:r>
      <w:r w:rsidRPr="008C0376">
        <w:t>m</w:t>
      </w:r>
      <w:r w:rsidR="00C51FF4">
        <w:t>illion</w:t>
      </w:r>
      <w:r w:rsidRPr="008C0376">
        <w:t xml:space="preserve"> to bring the </w:t>
      </w:r>
      <w:r w:rsidR="002E2AFA">
        <w:t xml:space="preserve">existing converter stations emergency lighting and exit signs </w:t>
      </w:r>
      <w:r w:rsidRPr="008C0376">
        <w:t>up to the requirements of the current building code and relevant Australian standards</w:t>
      </w:r>
      <w:r w:rsidR="00C51FF4">
        <w:t>, and</w:t>
      </w:r>
    </w:p>
    <w:p w:rsidR="002E2AFA" w:rsidRDefault="002E2AFA" w:rsidP="00117151">
      <w:pPr>
        <w:pStyle w:val="AERbulletlistfirststyle"/>
      </w:pPr>
      <w:r>
        <w:t xml:space="preserve">removal of $1.57 million in expenditure because Directlink has not identified why the expenditure is required and has not provided any </w:t>
      </w:r>
      <w:r w:rsidRPr="007A2B9E">
        <w:t xml:space="preserve">supporting documentation to justify </w:t>
      </w:r>
      <w:r>
        <w:t>its claim for this amount.</w:t>
      </w:r>
    </w:p>
    <w:p w:rsidR="007150BC" w:rsidRDefault="009A0410" w:rsidP="009917BF">
      <w:pPr>
        <w:pStyle w:val="Heading2"/>
      </w:pPr>
      <w:bookmarkStart w:id="18" w:name="_Toc404190856"/>
      <w:r>
        <w:t xml:space="preserve">Directlink's </w:t>
      </w:r>
      <w:r w:rsidR="007150BC">
        <w:t>proposal</w:t>
      </w:r>
      <w:bookmarkEnd w:id="18"/>
    </w:p>
    <w:p w:rsidR="0009748F" w:rsidRPr="000672BC" w:rsidRDefault="00EE5B9B" w:rsidP="009C6CB5">
      <w:pPr>
        <w:pStyle w:val="AERbodytext"/>
        <w:rPr>
          <w:rStyle w:val="AERtexthighlight"/>
          <w:shd w:val="clear" w:color="auto" w:fill="auto"/>
        </w:rPr>
      </w:pPr>
      <w:r w:rsidRPr="00AB1A53">
        <w:rPr>
          <w:rStyle w:val="AERtexthighlight"/>
          <w:shd w:val="clear" w:color="auto" w:fill="auto"/>
        </w:rPr>
        <w:t>Directlink proposed forecast capex of $</w:t>
      </w:r>
      <w:r w:rsidR="004972BE" w:rsidRPr="00AB1A53">
        <w:rPr>
          <w:rStyle w:val="AERtexthighlight"/>
          <w:shd w:val="clear" w:color="auto" w:fill="auto"/>
        </w:rPr>
        <w:t>35.2</w:t>
      </w:r>
      <w:r w:rsidRPr="00AB1A53">
        <w:rPr>
          <w:rStyle w:val="AERtexthighlight"/>
          <w:shd w:val="clear" w:color="auto" w:fill="auto"/>
        </w:rPr>
        <w:t xml:space="preserve"> million </w:t>
      </w:r>
      <w:r w:rsidR="00B56022" w:rsidRPr="00AB1A53">
        <w:rPr>
          <w:rStyle w:val="AERtexthighlight"/>
          <w:shd w:val="clear" w:color="auto" w:fill="auto"/>
        </w:rPr>
        <w:t xml:space="preserve">($ real June </w:t>
      </w:r>
      <w:r w:rsidR="00B56022" w:rsidRPr="003A5568">
        <w:rPr>
          <w:rStyle w:val="AERtexthighlight"/>
          <w:shd w:val="clear" w:color="auto" w:fill="auto"/>
        </w:rPr>
        <w:t>2015)</w:t>
      </w:r>
      <w:r w:rsidR="00AB1A53" w:rsidRPr="003A5568">
        <w:rPr>
          <w:rStyle w:val="AERtexthighlight"/>
          <w:shd w:val="clear" w:color="auto" w:fill="auto"/>
        </w:rPr>
        <w:t xml:space="preserve"> </w:t>
      </w:r>
      <w:r w:rsidRPr="003A5568">
        <w:rPr>
          <w:rStyle w:val="AERtexthighlight"/>
          <w:shd w:val="clear" w:color="auto" w:fill="auto"/>
        </w:rPr>
        <w:t>for the</w:t>
      </w:r>
      <w:r w:rsidRPr="00AB1A53">
        <w:rPr>
          <w:rStyle w:val="AERtexthighlight"/>
          <w:shd w:val="clear" w:color="auto" w:fill="auto"/>
        </w:rPr>
        <w:t xml:space="preserve"> 2015</w:t>
      </w:r>
      <w:r w:rsidRPr="000071A3">
        <w:rPr>
          <w:rStyle w:val="AERtexthighlight"/>
          <w:shd w:val="clear" w:color="auto" w:fill="auto"/>
        </w:rPr>
        <w:t>-20 period.</w:t>
      </w:r>
      <w:r w:rsidR="00A90D8E">
        <w:rPr>
          <w:rStyle w:val="FootnoteReference"/>
        </w:rPr>
        <w:footnoteReference w:id="6"/>
      </w:r>
      <w:r w:rsidRPr="000071A3">
        <w:rPr>
          <w:rStyle w:val="AERtexthighlight"/>
          <w:shd w:val="clear" w:color="auto" w:fill="auto"/>
        </w:rPr>
        <w:t xml:space="preserve"> The proposed capex is $</w:t>
      </w:r>
      <w:r w:rsidR="000071A3" w:rsidRPr="000071A3">
        <w:rPr>
          <w:rStyle w:val="AERtexthighlight"/>
          <w:shd w:val="clear" w:color="auto" w:fill="auto"/>
        </w:rPr>
        <w:t>19.8</w:t>
      </w:r>
      <w:r w:rsidRPr="000071A3">
        <w:rPr>
          <w:rStyle w:val="AERtexthighlight"/>
          <w:shd w:val="clear" w:color="auto" w:fill="auto"/>
        </w:rPr>
        <w:t xml:space="preserve"> million (or </w:t>
      </w:r>
      <w:r w:rsidR="000071A3" w:rsidRPr="000071A3">
        <w:rPr>
          <w:rStyle w:val="AERtexthighlight"/>
          <w:shd w:val="clear" w:color="auto" w:fill="auto"/>
        </w:rPr>
        <w:t>128</w:t>
      </w:r>
      <w:r w:rsidRPr="000071A3">
        <w:rPr>
          <w:rStyle w:val="AERtexthighlight"/>
          <w:shd w:val="clear" w:color="auto" w:fill="auto"/>
        </w:rPr>
        <w:t xml:space="preserve"> per </w:t>
      </w:r>
      <w:r w:rsidRPr="009370FB">
        <w:rPr>
          <w:rStyle w:val="AERtexthighlight"/>
          <w:shd w:val="clear" w:color="auto" w:fill="auto"/>
        </w:rPr>
        <w:t>cent</w:t>
      </w:r>
      <w:r w:rsidR="009370FB" w:rsidRPr="009370FB">
        <w:rPr>
          <w:rStyle w:val="AERtexthighlight"/>
          <w:shd w:val="clear" w:color="auto" w:fill="auto"/>
        </w:rPr>
        <w:t>)</w:t>
      </w:r>
      <w:r w:rsidRPr="000071A3">
        <w:rPr>
          <w:rStyle w:val="AERtexthighlight"/>
          <w:shd w:val="clear" w:color="auto" w:fill="auto"/>
        </w:rPr>
        <w:t xml:space="preserve"> higher than the actual/estimated capex over the previous </w:t>
      </w:r>
      <w:r w:rsidR="00A10574" w:rsidRPr="00A10574">
        <w:rPr>
          <w:rStyle w:val="AERtexthighlight"/>
          <w:shd w:val="clear" w:color="auto" w:fill="auto"/>
        </w:rPr>
        <w:t xml:space="preserve">10 year </w:t>
      </w:r>
      <w:r w:rsidR="000071A3" w:rsidRPr="009C6CB5">
        <w:rPr>
          <w:rStyle w:val="AERtexthighlight"/>
          <w:shd w:val="clear" w:color="auto" w:fill="auto"/>
        </w:rPr>
        <w:t>200</w:t>
      </w:r>
      <w:r w:rsidR="002817A2">
        <w:rPr>
          <w:rStyle w:val="AERtexthighlight"/>
          <w:shd w:val="clear" w:color="auto" w:fill="auto"/>
        </w:rPr>
        <w:t>5</w:t>
      </w:r>
      <w:r w:rsidR="000071A3" w:rsidRPr="009C6CB5">
        <w:rPr>
          <w:rStyle w:val="AERtexthighlight"/>
          <w:shd w:val="clear" w:color="auto" w:fill="auto"/>
        </w:rPr>
        <w:t>-1</w:t>
      </w:r>
      <w:r w:rsidR="00892EB0" w:rsidRPr="009C6CB5">
        <w:rPr>
          <w:rStyle w:val="AERtexthighlight"/>
          <w:shd w:val="clear" w:color="auto" w:fill="auto"/>
        </w:rPr>
        <w:t>5</w:t>
      </w:r>
      <w:r w:rsidR="000071A3" w:rsidRPr="000071A3">
        <w:rPr>
          <w:rStyle w:val="AERtexthighlight"/>
          <w:shd w:val="clear" w:color="auto" w:fill="auto"/>
        </w:rPr>
        <w:t xml:space="preserve"> </w:t>
      </w:r>
      <w:r w:rsidRPr="000071A3">
        <w:rPr>
          <w:rStyle w:val="AERtexthighlight"/>
          <w:shd w:val="clear" w:color="auto" w:fill="auto"/>
        </w:rPr>
        <w:t xml:space="preserve">regulatory period. </w:t>
      </w:r>
      <w:r w:rsidR="000071A3" w:rsidRPr="00A10574">
        <w:rPr>
          <w:rStyle w:val="AERtexthighlight"/>
          <w:shd w:val="clear" w:color="auto" w:fill="auto"/>
        </w:rPr>
        <w:t>On</w:t>
      </w:r>
      <w:r w:rsidR="000071A3" w:rsidRPr="000071A3">
        <w:rPr>
          <w:rStyle w:val="AERtexthighlight"/>
          <w:shd w:val="clear" w:color="auto" w:fill="auto"/>
        </w:rPr>
        <w:t xml:space="preserve"> an annual basis, </w:t>
      </w:r>
      <w:r w:rsidR="000071A3" w:rsidRPr="00A10574">
        <w:rPr>
          <w:rStyle w:val="AERtexthighlight"/>
          <w:shd w:val="clear" w:color="auto" w:fill="auto"/>
        </w:rPr>
        <w:t xml:space="preserve">Directlink's proposed forecast capex </w:t>
      </w:r>
      <w:r w:rsidR="00A10574" w:rsidRPr="00A10574">
        <w:rPr>
          <w:rStyle w:val="AERtexthighlight"/>
          <w:shd w:val="clear" w:color="auto" w:fill="auto"/>
        </w:rPr>
        <w:t xml:space="preserve">for the 2015-20 period </w:t>
      </w:r>
      <w:r w:rsidR="000071A3" w:rsidRPr="00A10574">
        <w:rPr>
          <w:rStyle w:val="AERtexthighlight"/>
          <w:shd w:val="clear" w:color="auto" w:fill="auto"/>
        </w:rPr>
        <w:t xml:space="preserve">of $7.04 million is on average </w:t>
      </w:r>
      <w:r w:rsidR="00A10574" w:rsidRPr="009C6CB5">
        <w:rPr>
          <w:rStyle w:val="AERtexthighlight"/>
          <w:shd w:val="clear" w:color="auto" w:fill="auto"/>
        </w:rPr>
        <w:t>356</w:t>
      </w:r>
      <w:r w:rsidR="009C6CB5" w:rsidRPr="009C6CB5">
        <w:rPr>
          <w:rStyle w:val="AERtexthighlight"/>
          <w:shd w:val="clear" w:color="auto" w:fill="auto"/>
        </w:rPr>
        <w:t xml:space="preserve"> per cent</w:t>
      </w:r>
      <w:r w:rsidR="000071A3" w:rsidRPr="009C6CB5">
        <w:rPr>
          <w:rStyle w:val="AERtexthighlight"/>
          <w:shd w:val="clear" w:color="auto" w:fill="auto"/>
        </w:rPr>
        <w:t xml:space="preserve"> </w:t>
      </w:r>
      <w:r w:rsidR="00B533E2" w:rsidRPr="009C6CB5">
        <w:rPr>
          <w:rStyle w:val="AERtexthighlight"/>
          <w:shd w:val="clear" w:color="auto" w:fill="auto"/>
        </w:rPr>
        <w:t>or</w:t>
      </w:r>
      <w:r w:rsidR="00B533E2" w:rsidRPr="008657A0">
        <w:rPr>
          <w:rStyle w:val="AERtexthighlight"/>
          <w:shd w:val="clear" w:color="auto" w:fill="auto"/>
        </w:rPr>
        <w:t xml:space="preserve"> four and a half times </w:t>
      </w:r>
      <w:r w:rsidR="000071A3" w:rsidRPr="008657A0">
        <w:rPr>
          <w:rStyle w:val="AERtexthighlight"/>
          <w:shd w:val="clear" w:color="auto" w:fill="auto"/>
        </w:rPr>
        <w:t>greater</w:t>
      </w:r>
      <w:r w:rsidR="000071A3" w:rsidRPr="00A10574">
        <w:rPr>
          <w:rStyle w:val="AERtexthighlight"/>
          <w:shd w:val="clear" w:color="auto" w:fill="auto"/>
        </w:rPr>
        <w:t xml:space="preserve"> than the actual/estimated </w:t>
      </w:r>
      <w:r w:rsidR="00A10574" w:rsidRPr="00A10574">
        <w:rPr>
          <w:rStyle w:val="AERtexthighlight"/>
          <w:shd w:val="clear" w:color="auto" w:fill="auto"/>
        </w:rPr>
        <w:t xml:space="preserve">capex of $1.54 million for the previous </w:t>
      </w:r>
      <w:r w:rsidR="00A10574" w:rsidRPr="009C6CB5">
        <w:rPr>
          <w:rStyle w:val="AERtexthighlight"/>
          <w:shd w:val="clear" w:color="auto" w:fill="auto"/>
        </w:rPr>
        <w:t>200</w:t>
      </w:r>
      <w:r w:rsidR="002817A2">
        <w:rPr>
          <w:rStyle w:val="AERtexthighlight"/>
          <w:shd w:val="clear" w:color="auto" w:fill="auto"/>
        </w:rPr>
        <w:t>5</w:t>
      </w:r>
      <w:r w:rsidR="00A10574" w:rsidRPr="009C6CB5">
        <w:rPr>
          <w:rStyle w:val="AERtexthighlight"/>
          <w:shd w:val="clear" w:color="auto" w:fill="auto"/>
        </w:rPr>
        <w:t>-1</w:t>
      </w:r>
      <w:r w:rsidR="00892EB0" w:rsidRPr="009C6CB5">
        <w:rPr>
          <w:rStyle w:val="AERtexthighlight"/>
          <w:shd w:val="clear" w:color="auto" w:fill="auto"/>
        </w:rPr>
        <w:t>5</w:t>
      </w:r>
      <w:r w:rsidR="00A10574" w:rsidRPr="00A10574">
        <w:rPr>
          <w:rStyle w:val="AERtexthighlight"/>
          <w:shd w:val="clear" w:color="auto" w:fill="auto"/>
        </w:rPr>
        <w:t xml:space="preserve"> regulatory period</w:t>
      </w:r>
      <w:r w:rsidR="00A10574" w:rsidRPr="000672BC">
        <w:rPr>
          <w:rStyle w:val="AERtexthighlight"/>
          <w:shd w:val="clear" w:color="auto" w:fill="auto"/>
        </w:rPr>
        <w:t>.</w:t>
      </w:r>
      <w:r w:rsidR="00A90D8E" w:rsidRPr="00C03160">
        <w:rPr>
          <w:rStyle w:val="AERsuperscript"/>
        </w:rPr>
        <w:footnoteReference w:id="7"/>
      </w:r>
      <w:r w:rsidR="00A41D0F" w:rsidRPr="000672BC">
        <w:rPr>
          <w:rStyle w:val="AERtexthighlight"/>
          <w:shd w:val="clear" w:color="auto" w:fill="auto"/>
        </w:rPr>
        <w:t xml:space="preserve"> Directlink stated that the majority of its capex projects are stochastic in nature </w:t>
      </w:r>
      <w:r w:rsidR="008657A0" w:rsidRPr="008657A0">
        <w:rPr>
          <w:rStyle w:val="AERtexthighlight"/>
          <w:shd w:val="clear" w:color="auto" w:fill="auto"/>
        </w:rPr>
        <w:t xml:space="preserve">rather than </w:t>
      </w:r>
      <w:r w:rsidR="003C2670" w:rsidRPr="003C2670">
        <w:rPr>
          <w:rStyle w:val="AERtexthighlight"/>
          <w:shd w:val="clear" w:color="auto" w:fill="auto"/>
        </w:rPr>
        <w:t>that of</w:t>
      </w:r>
      <w:r w:rsidR="008657A0" w:rsidRPr="008657A0">
        <w:rPr>
          <w:rStyle w:val="AERtexthighlight"/>
          <w:shd w:val="clear" w:color="auto" w:fill="auto"/>
        </w:rPr>
        <w:t xml:space="preserve"> a mature </w:t>
      </w:r>
      <w:r w:rsidR="008657A0" w:rsidRPr="008657A0">
        <w:rPr>
          <w:rStyle w:val="AERtexthighlight"/>
          <w:shd w:val="clear" w:color="auto" w:fill="auto"/>
        </w:rPr>
        <w:lastRenderedPageBreak/>
        <w:t xml:space="preserve">"steady state" system with recurrent capital expenditure programs. </w:t>
      </w:r>
      <w:r w:rsidR="00015D2E" w:rsidRPr="003C2670">
        <w:rPr>
          <w:rStyle w:val="AERtexthighlight"/>
          <w:shd w:val="clear" w:color="auto" w:fill="auto"/>
        </w:rPr>
        <w:t>It</w:t>
      </w:r>
      <w:r w:rsidR="00015D2E" w:rsidRPr="008657A0">
        <w:rPr>
          <w:rStyle w:val="AERtexthighlight"/>
          <w:shd w:val="clear" w:color="auto" w:fill="auto"/>
        </w:rPr>
        <w:t xml:space="preserve"> also submitted that it</w:t>
      </w:r>
      <w:r w:rsidR="00A41D0F" w:rsidRPr="000672BC">
        <w:rPr>
          <w:rStyle w:val="AERtexthighlight"/>
          <w:shd w:val="clear" w:color="auto" w:fill="auto"/>
        </w:rPr>
        <w:t xml:space="preserve"> was facing a number of "end-of-life" projects which would not have been included in its historical capex.</w:t>
      </w:r>
      <w:r w:rsidR="00A41D0F" w:rsidRPr="002775B8">
        <w:rPr>
          <w:rStyle w:val="AERsuperscript"/>
        </w:rPr>
        <w:footnoteReference w:id="8"/>
      </w:r>
    </w:p>
    <w:p w:rsidR="00B56022" w:rsidRDefault="00B56022" w:rsidP="00B56022">
      <w:pPr>
        <w:pStyle w:val="AERbodytext"/>
      </w:pPr>
      <w:r>
        <w:t>In support of its capex claim, Directlink provided business cases and supporting information for each of the capex projects listed in</w:t>
      </w:r>
      <w:r w:rsidR="00F6718C">
        <w:t xml:space="preserve"> </w:t>
      </w:r>
      <w:r w:rsidR="00F6718C">
        <w:fldChar w:fldCharType="begin"/>
      </w:r>
      <w:r w:rsidR="00F6718C">
        <w:instrText xml:space="preserve"> REF _Ref404090875 \h </w:instrText>
      </w:r>
      <w:r w:rsidR="00F6718C">
        <w:fldChar w:fldCharType="separate"/>
      </w:r>
      <w:r w:rsidR="00117C35">
        <w:t>Table 6-</w:t>
      </w:r>
      <w:r w:rsidR="00117C35">
        <w:rPr>
          <w:noProof/>
        </w:rPr>
        <w:t>3</w:t>
      </w:r>
      <w:r w:rsidR="00F6718C">
        <w:fldChar w:fldCharType="end"/>
      </w:r>
      <w:r>
        <w:t>.</w:t>
      </w:r>
    </w:p>
    <w:p w:rsidR="00B56022" w:rsidRDefault="00843BE9" w:rsidP="00843BE9">
      <w:pPr>
        <w:pStyle w:val="Caption"/>
      </w:pPr>
      <w:bookmarkStart w:id="19" w:name="_Ref404090875"/>
      <w:r>
        <w:t xml:space="preserve">Table </w:t>
      </w:r>
      <w:r w:rsidR="00117C35">
        <w:t>6-</w:t>
      </w:r>
      <w:fldSimple w:instr=" SEQ Table \* ARABIC ">
        <w:r w:rsidR="00F6718C">
          <w:rPr>
            <w:noProof/>
          </w:rPr>
          <w:t>3</w:t>
        </w:r>
      </w:fldSimple>
      <w:bookmarkEnd w:id="19"/>
      <w:r w:rsidR="00B56022" w:rsidRPr="00C16DCE">
        <w:tab/>
      </w:r>
      <w:r w:rsidR="00344EEF">
        <w:t>Directlink p</w:t>
      </w:r>
      <w:r w:rsidR="00B56022">
        <w:t xml:space="preserve">roposed capex projects </w:t>
      </w:r>
      <w:r w:rsidR="00B56022" w:rsidRPr="000814D8">
        <w:t>($</w:t>
      </w:r>
      <w:r w:rsidR="00B56022">
        <w:t xml:space="preserve">m </w:t>
      </w:r>
      <w:r w:rsidR="00B56022" w:rsidRPr="000814D8">
        <w:t>real, 2014-15)</w:t>
      </w:r>
    </w:p>
    <w:tbl>
      <w:tblPr>
        <w:tblStyle w:val="AERtable-numbers"/>
        <w:tblW w:w="5000" w:type="pct"/>
        <w:tblLook w:val="04A0" w:firstRow="1" w:lastRow="0" w:firstColumn="1" w:lastColumn="0" w:noHBand="0" w:noVBand="1"/>
      </w:tblPr>
      <w:tblGrid>
        <w:gridCol w:w="2140"/>
        <w:gridCol w:w="4344"/>
        <w:gridCol w:w="2758"/>
      </w:tblGrid>
      <w:tr w:rsidR="00957A1A" w:rsidRPr="00957A1A" w:rsidTr="00117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pct"/>
          </w:tcPr>
          <w:p w:rsidR="00957A1A" w:rsidRPr="00957A1A" w:rsidRDefault="00957A1A" w:rsidP="00344EEF">
            <w:pPr>
              <w:pStyle w:val="AERtabletextleft"/>
            </w:pPr>
            <w:r w:rsidRPr="00957A1A">
              <w:t>Project</w:t>
            </w:r>
          </w:p>
        </w:tc>
        <w:tc>
          <w:tcPr>
            <w:tcW w:w="3842" w:type="pct"/>
            <w:gridSpan w:val="2"/>
          </w:tcPr>
          <w:p w:rsidR="00F81A3C" w:rsidRPr="00957A1A" w:rsidRDefault="00CF55F8" w:rsidP="00344EEF">
            <w:pPr>
              <w:pStyle w:val="AERtabletextleft"/>
              <w:cnfStyle w:val="100000000000" w:firstRow="1" w:lastRow="0" w:firstColumn="0" w:lastColumn="0" w:oddVBand="0" w:evenVBand="0" w:oddHBand="0" w:evenHBand="0" w:firstRowFirstColumn="0" w:firstRowLastColumn="0" w:lastRowFirstColumn="0" w:lastRowLastColumn="0"/>
            </w:pPr>
            <w:r w:rsidRPr="00957A1A">
              <w:t>Directlink proposed capex</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957A1A" w:rsidRPr="00957A1A" w:rsidRDefault="00344EEF" w:rsidP="00344EEF">
            <w:pPr>
              <w:pStyle w:val="AERtabletextleft"/>
            </w:pPr>
            <w:r w:rsidRPr="00344EEF">
              <w:rPr>
                <w:rFonts w:eastAsiaTheme="minorEastAsia"/>
              </w:rPr>
              <w:t>Control system upgrade</w:t>
            </w:r>
          </w:p>
        </w:tc>
        <w:tc>
          <w:tcPr>
            <w:tcW w:w="1492" w:type="pct"/>
            <w:vAlign w:val="bottom"/>
          </w:tcPr>
          <w:p w:rsidR="00957A1A" w:rsidRPr="00957A1A" w:rsidRDefault="00957A1A"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13.07 </w:t>
            </w:r>
          </w:p>
        </w:tc>
      </w:tr>
      <w:tr w:rsidR="00344EEF"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957A1A" w:rsidRPr="00957A1A" w:rsidRDefault="00957A1A" w:rsidP="00344EEF">
            <w:pPr>
              <w:pStyle w:val="AERtabletextleft"/>
            </w:pPr>
            <w:r w:rsidRPr="00957A1A">
              <w:t xml:space="preserve">Fire suppression </w:t>
            </w:r>
          </w:p>
        </w:tc>
        <w:tc>
          <w:tcPr>
            <w:tcW w:w="1492" w:type="pct"/>
            <w:vAlign w:val="bottom"/>
          </w:tcPr>
          <w:p w:rsidR="00957A1A" w:rsidRPr="00957A1A" w:rsidRDefault="00957A1A"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7.19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957A1A" w:rsidRPr="00957A1A" w:rsidRDefault="00957A1A" w:rsidP="00344EEF">
            <w:pPr>
              <w:pStyle w:val="AERtabletextleft"/>
            </w:pPr>
            <w:r w:rsidRPr="00957A1A">
              <w:t xml:space="preserve">Cable repairs </w:t>
            </w:r>
          </w:p>
        </w:tc>
        <w:tc>
          <w:tcPr>
            <w:tcW w:w="1492" w:type="pct"/>
            <w:vAlign w:val="bottom"/>
          </w:tcPr>
          <w:p w:rsidR="00957A1A" w:rsidRPr="00957A1A" w:rsidRDefault="00957A1A"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2.84 </w:t>
            </w:r>
          </w:p>
        </w:tc>
      </w:tr>
      <w:tr w:rsidR="00344EEF"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957A1A" w:rsidRPr="00957A1A" w:rsidRDefault="00957A1A" w:rsidP="00344EEF">
            <w:pPr>
              <w:pStyle w:val="AERtabletextleft"/>
            </w:pPr>
            <w:r w:rsidRPr="00957A1A">
              <w:t xml:space="preserve">Phase reactor cooling revisions (Gotland solution) </w:t>
            </w:r>
          </w:p>
        </w:tc>
        <w:tc>
          <w:tcPr>
            <w:tcW w:w="1492" w:type="pct"/>
            <w:vAlign w:val="bottom"/>
          </w:tcPr>
          <w:p w:rsidR="00957A1A" w:rsidRPr="00957A1A" w:rsidRDefault="00957A1A"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2.28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957A1A" w:rsidRPr="00957A1A" w:rsidRDefault="00957A1A" w:rsidP="00344EEF">
            <w:pPr>
              <w:pStyle w:val="AERtabletextleft"/>
            </w:pPr>
            <w:r w:rsidRPr="00957A1A">
              <w:t xml:space="preserve">Sourcing program - Cable joints </w:t>
            </w:r>
          </w:p>
        </w:tc>
        <w:tc>
          <w:tcPr>
            <w:tcW w:w="1492" w:type="pct"/>
            <w:vAlign w:val="bottom"/>
          </w:tcPr>
          <w:p w:rsidR="00957A1A" w:rsidRPr="00957A1A" w:rsidRDefault="00957A1A"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1.94 </w:t>
            </w:r>
          </w:p>
        </w:tc>
      </w:tr>
      <w:tr w:rsidR="00957A1A"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957A1A" w:rsidRPr="00957A1A" w:rsidRDefault="00957A1A" w:rsidP="00344EEF">
            <w:pPr>
              <w:pStyle w:val="AERtabletextleft"/>
            </w:pPr>
            <w:r w:rsidRPr="00957A1A">
              <w:t xml:space="preserve">Sourcing program - IGBTs </w:t>
            </w:r>
          </w:p>
        </w:tc>
        <w:tc>
          <w:tcPr>
            <w:tcW w:w="1492" w:type="pct"/>
            <w:vAlign w:val="bottom"/>
          </w:tcPr>
          <w:p w:rsidR="00957A1A" w:rsidRPr="00957A1A" w:rsidRDefault="00957A1A"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1.87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Control system upgrade </w:t>
            </w:r>
          </w:p>
        </w:tc>
        <w:tc>
          <w:tcPr>
            <w:tcW w:w="1492" w:type="pct"/>
            <w:vAlign w:val="bottom"/>
          </w:tcPr>
          <w:p w:rsidR="00344EEF" w:rsidRPr="00344EEF" w:rsidRDefault="00344EEF"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1.51 </w:t>
            </w:r>
          </w:p>
        </w:tc>
      </w:tr>
      <w:tr w:rsidR="00344EEF"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Optic fibre cables and connectors </w:t>
            </w:r>
          </w:p>
        </w:tc>
        <w:tc>
          <w:tcPr>
            <w:tcW w:w="1492" w:type="pct"/>
            <w:vAlign w:val="bottom"/>
          </w:tcPr>
          <w:p w:rsidR="00344EEF" w:rsidRPr="00344EEF" w:rsidRDefault="00344EEF"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0.80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Cooling tower sound enclosure remediation </w:t>
            </w:r>
          </w:p>
        </w:tc>
        <w:tc>
          <w:tcPr>
            <w:tcW w:w="1492" w:type="pct"/>
            <w:vAlign w:val="bottom"/>
          </w:tcPr>
          <w:p w:rsidR="00344EEF" w:rsidRPr="00344EEF" w:rsidRDefault="00344EEF"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0.51 </w:t>
            </w:r>
          </w:p>
        </w:tc>
      </w:tr>
      <w:tr w:rsidR="00344EEF"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Security fence upgrade </w:t>
            </w:r>
          </w:p>
        </w:tc>
        <w:tc>
          <w:tcPr>
            <w:tcW w:w="1492" w:type="pct"/>
            <w:vAlign w:val="bottom"/>
          </w:tcPr>
          <w:p w:rsidR="00344EEF" w:rsidRPr="00344EEF" w:rsidRDefault="00344EEF"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0.39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Cable relocation </w:t>
            </w:r>
          </w:p>
        </w:tc>
        <w:tc>
          <w:tcPr>
            <w:tcW w:w="1492" w:type="pct"/>
            <w:vAlign w:val="bottom"/>
          </w:tcPr>
          <w:p w:rsidR="00344EEF" w:rsidRPr="00344EEF" w:rsidRDefault="00344EEF"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0.37 </w:t>
            </w:r>
          </w:p>
        </w:tc>
      </w:tr>
      <w:tr w:rsidR="00344EEF"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Emergency lighting </w:t>
            </w:r>
          </w:p>
        </w:tc>
        <w:tc>
          <w:tcPr>
            <w:tcW w:w="1492" w:type="pct"/>
            <w:vAlign w:val="bottom"/>
          </w:tcPr>
          <w:p w:rsidR="00344EEF" w:rsidRPr="00344EEF" w:rsidRDefault="00344EEF"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0.34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Roof repair of converter buildings </w:t>
            </w:r>
          </w:p>
        </w:tc>
        <w:tc>
          <w:tcPr>
            <w:tcW w:w="1492" w:type="pct"/>
            <w:vAlign w:val="bottom"/>
          </w:tcPr>
          <w:p w:rsidR="00344EEF" w:rsidRPr="00344EEF" w:rsidRDefault="00344EEF"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0.26 </w:t>
            </w:r>
          </w:p>
        </w:tc>
      </w:tr>
      <w:tr w:rsidR="00344EEF"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Building safety upgrade </w:t>
            </w:r>
          </w:p>
        </w:tc>
        <w:tc>
          <w:tcPr>
            <w:tcW w:w="1492" w:type="pct"/>
            <w:vAlign w:val="bottom"/>
          </w:tcPr>
          <w:p w:rsidR="00344EEF" w:rsidRPr="00344EEF" w:rsidRDefault="00344EEF"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0.18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Converter buildings ventilation sound dampers corrosion repair </w:t>
            </w:r>
          </w:p>
        </w:tc>
        <w:tc>
          <w:tcPr>
            <w:tcW w:w="1492" w:type="pct"/>
            <w:vAlign w:val="bottom"/>
          </w:tcPr>
          <w:p w:rsidR="00344EEF" w:rsidRPr="00344EEF" w:rsidRDefault="00344EEF" w:rsidP="00344EEF">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0.05 </w:t>
            </w:r>
          </w:p>
        </w:tc>
      </w:tr>
      <w:tr w:rsidR="00344EEF" w:rsidRPr="00957A1A" w:rsidTr="00117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344EEF" w:rsidRDefault="00344EEF" w:rsidP="00344EEF">
            <w:pPr>
              <w:pStyle w:val="AERtabletextleft"/>
            </w:pPr>
            <w:r w:rsidRPr="00957A1A">
              <w:t xml:space="preserve">Safety hand rails - Bungalora </w:t>
            </w:r>
          </w:p>
        </w:tc>
        <w:tc>
          <w:tcPr>
            <w:tcW w:w="1492" w:type="pct"/>
            <w:vAlign w:val="bottom"/>
          </w:tcPr>
          <w:p w:rsidR="00344EEF" w:rsidRPr="00344EEF" w:rsidRDefault="00344EEF" w:rsidP="00344EEF">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0.02 </w:t>
            </w:r>
          </w:p>
        </w:tc>
      </w:tr>
      <w:tr w:rsidR="00344EEF" w:rsidRPr="00957A1A" w:rsidTr="00117C35">
        <w:tc>
          <w:tcPr>
            <w:cnfStyle w:val="001000000000" w:firstRow="0" w:lastRow="0" w:firstColumn="1" w:lastColumn="0" w:oddVBand="0" w:evenVBand="0" w:oddHBand="0" w:evenHBand="0" w:firstRowFirstColumn="0" w:firstRowLastColumn="0" w:lastRowFirstColumn="0" w:lastRowLastColumn="0"/>
            <w:tcW w:w="3508" w:type="pct"/>
            <w:gridSpan w:val="2"/>
            <w:vAlign w:val="bottom"/>
          </w:tcPr>
          <w:p w:rsidR="00344EEF" w:rsidRPr="00904619" w:rsidRDefault="00344EEF" w:rsidP="00344EEF">
            <w:pPr>
              <w:pStyle w:val="AERtabletextleft"/>
              <w:rPr>
                <w:rStyle w:val="AERtextbold"/>
              </w:rPr>
            </w:pPr>
            <w:r w:rsidRPr="00904619">
              <w:rPr>
                <w:rStyle w:val="AERtextbold"/>
              </w:rPr>
              <w:t>TOTAL</w:t>
            </w:r>
          </w:p>
        </w:tc>
        <w:tc>
          <w:tcPr>
            <w:tcW w:w="1492" w:type="pct"/>
            <w:vAlign w:val="bottom"/>
          </w:tcPr>
          <w:p w:rsidR="00344EEF" w:rsidRPr="00EE7AEF" w:rsidRDefault="00344EEF" w:rsidP="00344EEF">
            <w:pPr>
              <w:pStyle w:val="AERtabletextleft"/>
              <w:cnfStyle w:val="000000000000" w:firstRow="0" w:lastRow="0" w:firstColumn="0" w:lastColumn="0" w:oddVBand="0" w:evenVBand="0" w:oddHBand="0" w:evenHBand="0" w:firstRowFirstColumn="0" w:firstRowLastColumn="0" w:lastRowFirstColumn="0" w:lastRowLastColumn="0"/>
              <w:rPr>
                <w:rStyle w:val="AERsuperscript"/>
              </w:rPr>
            </w:pPr>
            <w:r w:rsidRPr="00904619">
              <w:rPr>
                <w:rStyle w:val="AERtextbold"/>
              </w:rPr>
              <w:t>33.62</w:t>
            </w:r>
            <w:r w:rsidR="00EE7AEF" w:rsidRPr="00EE7AEF">
              <w:rPr>
                <w:rStyle w:val="AERsuperscript"/>
              </w:rPr>
              <w:t>1</w:t>
            </w:r>
          </w:p>
        </w:tc>
      </w:tr>
    </w:tbl>
    <w:p w:rsidR="00892EB0" w:rsidRPr="002817A2" w:rsidRDefault="00EE7AEF" w:rsidP="002817A2">
      <w:pPr>
        <w:pStyle w:val="AERtablesource"/>
      </w:pPr>
      <w:r w:rsidRPr="002817A2">
        <w:t xml:space="preserve">1 </w:t>
      </w:r>
      <w:r w:rsidRPr="002817A2">
        <w:tab/>
        <w:t>Excludes $1.57 million of proposed capex Directlink did not provide supporting documentation</w:t>
      </w:r>
      <w:r w:rsidR="00892EB0" w:rsidRPr="002817A2">
        <w:t xml:space="preserve"> in its proposal</w:t>
      </w:r>
      <w:r w:rsidRPr="002817A2">
        <w:t>.</w:t>
      </w:r>
    </w:p>
    <w:p w:rsidR="00B56022" w:rsidRPr="002817A2" w:rsidRDefault="00B56022" w:rsidP="002817A2">
      <w:pPr>
        <w:pStyle w:val="AERtablesource"/>
      </w:pPr>
      <w:r w:rsidRPr="002817A2">
        <w:t>Source:</w:t>
      </w:r>
      <w:r w:rsidRPr="002817A2">
        <w:tab/>
        <w:t>Directlink, May 2014, ‘Revenue Proposal, Attachment 8.1, Capital expenditure business cases’, p.1.</w:t>
      </w:r>
    </w:p>
    <w:p w:rsidR="00A10574" w:rsidRDefault="00454EE5" w:rsidP="000672BC">
      <w:pPr>
        <w:pStyle w:val="AERbodytext"/>
      </w:pPr>
      <w:r w:rsidRPr="000672BC">
        <w:rPr>
          <w:rStyle w:val="AERtexthighlight"/>
          <w:shd w:val="clear" w:color="auto" w:fill="auto"/>
        </w:rPr>
        <w:t>Directlink stated that t</w:t>
      </w:r>
      <w:r w:rsidRPr="000672BC">
        <w:t>he demand for its service will remain equal to its</w:t>
      </w:r>
      <w:r w:rsidRPr="00454EE5">
        <w:t xml:space="preserve"> maximum capability during the </w:t>
      </w:r>
      <w:r>
        <w:t>2015-20 period and that its proposed</w:t>
      </w:r>
      <w:r w:rsidRPr="00454EE5">
        <w:t xml:space="preserve"> capital expenditure is therefore not growth related. </w:t>
      </w:r>
      <w:r>
        <w:t>Directlink stated that its capex</w:t>
      </w:r>
      <w:r w:rsidRPr="00454EE5">
        <w:t xml:space="preserve"> is directed at maintaining the maximum capability of the link with a high degree of reliability, whilst ensuring that all regulatory, statutory and legislative requirements are met.</w:t>
      </w:r>
      <w:r w:rsidR="00A90D8E">
        <w:t xml:space="preserve"> </w:t>
      </w:r>
      <w:r w:rsidR="00103C58">
        <w:t xml:space="preserve">Directlink identified </w:t>
      </w:r>
      <w:r w:rsidR="00A41D0F">
        <w:t>reliability</w:t>
      </w:r>
      <w:r w:rsidR="000C772E">
        <w:t xml:space="preserve"> ($23.7 million)</w:t>
      </w:r>
      <w:r w:rsidR="00A41D0F">
        <w:t xml:space="preserve">, </w:t>
      </w:r>
      <w:r w:rsidR="00103C58">
        <w:t xml:space="preserve">refurbishment </w:t>
      </w:r>
      <w:r w:rsidR="000C772E">
        <w:t xml:space="preserve">($10.5) </w:t>
      </w:r>
      <w:r w:rsidR="00A41D0F">
        <w:t>and compliance</w:t>
      </w:r>
      <w:r w:rsidR="00E74585">
        <w:t xml:space="preserve"> ($0.9 million)</w:t>
      </w:r>
      <w:r w:rsidR="00A41D0F">
        <w:t xml:space="preserve"> as drivers of it</w:t>
      </w:r>
      <w:r w:rsidR="009370FB">
        <w:t>s</w:t>
      </w:r>
      <w:r w:rsidR="00A41D0F">
        <w:t xml:space="preserve"> proposed capex program.</w:t>
      </w:r>
      <w:r w:rsidR="00A41D0F">
        <w:rPr>
          <w:rStyle w:val="FootnoteReference"/>
        </w:rPr>
        <w:footnoteReference w:id="9"/>
      </w:r>
      <w:r w:rsidR="00A41D0F">
        <w:t xml:space="preserve"> </w:t>
      </w:r>
      <w:r w:rsidR="000672BC">
        <w:t>Directlink has identified two projects which make up more than half of its proposed capex - converter station control system upgrade ($13.1 million) and converter station fire suppression ($7.2 million). The next highest value project proposed by Directlink was the p</w:t>
      </w:r>
      <w:r w:rsidR="000672BC" w:rsidRPr="000672BC">
        <w:t xml:space="preserve">hase </w:t>
      </w:r>
      <w:r w:rsidR="000672BC">
        <w:t>r</w:t>
      </w:r>
      <w:r w:rsidR="000672BC" w:rsidRPr="000672BC">
        <w:t xml:space="preserve">eactor </w:t>
      </w:r>
      <w:r w:rsidR="000672BC">
        <w:t>c</w:t>
      </w:r>
      <w:r w:rsidR="000672BC" w:rsidRPr="000672BC">
        <w:t xml:space="preserve">ooling </w:t>
      </w:r>
      <w:r w:rsidR="000672BC">
        <w:t>r</w:t>
      </w:r>
      <w:r w:rsidR="000672BC" w:rsidRPr="000672BC">
        <w:t xml:space="preserve">evision </w:t>
      </w:r>
      <w:r w:rsidR="000672BC">
        <w:t>p</w:t>
      </w:r>
      <w:r w:rsidR="000672BC" w:rsidRPr="000672BC">
        <w:t xml:space="preserve">roject </w:t>
      </w:r>
      <w:r w:rsidR="000672BC">
        <w:t xml:space="preserve">with a forecast capex of </w:t>
      </w:r>
      <w:r w:rsidR="000672BC" w:rsidRPr="000672BC">
        <w:t>$2.</w:t>
      </w:r>
      <w:r w:rsidR="000672BC">
        <w:t xml:space="preserve">3 </w:t>
      </w:r>
      <w:r w:rsidR="000672BC" w:rsidRPr="000672BC">
        <w:t>million</w:t>
      </w:r>
      <w:r w:rsidR="000672BC">
        <w:t>.</w:t>
      </w:r>
    </w:p>
    <w:p w:rsidR="007538F4" w:rsidRDefault="007538F4" w:rsidP="007538F4">
      <w:pPr>
        <w:numPr>
          <w:ilvl w:val="0"/>
          <w:numId w:val="1"/>
        </w:numPr>
      </w:pPr>
      <w:r w:rsidRPr="007538F4">
        <w:rPr>
          <w:lang w:eastAsia="en-AU"/>
        </w:rPr>
        <w:lastRenderedPageBreak/>
        <w:t>Directlink elected not to engage an economic consultant to advise on forecast levels of inflation and real labour and materials cost escalation</w:t>
      </w:r>
      <w:r w:rsidR="00015D2E">
        <w:t>.  Instead it indicated that it was prepared</w:t>
      </w:r>
      <w:r w:rsidRPr="007538F4">
        <w:rPr>
          <w:lang w:eastAsia="en-AU"/>
        </w:rPr>
        <w:t xml:space="preserve"> to </w:t>
      </w:r>
      <w:r w:rsidR="00015D2E">
        <w:t xml:space="preserve">accept whatever outcome </w:t>
      </w:r>
      <w:r w:rsidRPr="007538F4">
        <w:rPr>
          <w:lang w:eastAsia="en-AU"/>
        </w:rPr>
        <w:t>the AER</w:t>
      </w:r>
      <w:r w:rsidR="003C2670">
        <w:t xml:space="preserve"> </w:t>
      </w:r>
      <w:r w:rsidR="00015D2E">
        <w:t>determined</w:t>
      </w:r>
      <w:r w:rsidRPr="007538F4">
        <w:rPr>
          <w:lang w:eastAsia="en-AU"/>
        </w:rPr>
        <w:t xml:space="preserve"> </w:t>
      </w:r>
      <w:r w:rsidR="00015D2E">
        <w:t xml:space="preserve">for </w:t>
      </w:r>
      <w:r w:rsidR="004D0B2F">
        <w:t>these</w:t>
      </w:r>
      <w:r w:rsidR="00015D2E">
        <w:t xml:space="preserve"> in its decisions for </w:t>
      </w:r>
      <w:r w:rsidR="004D0B2F">
        <w:t>other</w:t>
      </w:r>
      <w:r w:rsidRPr="007538F4">
        <w:rPr>
          <w:lang w:eastAsia="en-AU"/>
        </w:rPr>
        <w:t xml:space="preserve"> NSW transmission and distribution businesses.</w:t>
      </w:r>
      <w:r w:rsidR="008A17AF" w:rsidRPr="008A17AF">
        <w:rPr>
          <w:rStyle w:val="FootnoteReference"/>
        </w:rPr>
        <w:footnoteReference w:id="10"/>
      </w:r>
      <w:r w:rsidRPr="007538F4">
        <w:rPr>
          <w:lang w:eastAsia="en-AU"/>
        </w:rPr>
        <w:t xml:space="preserve"> </w:t>
      </w:r>
      <w:r w:rsidR="00015D2E">
        <w:t xml:space="preserve">Given our draft decisions for each of those NSPs, </w:t>
      </w:r>
      <w:r>
        <w:t>Directlink's</w:t>
      </w:r>
      <w:r w:rsidRPr="007538F4">
        <w:rPr>
          <w:lang w:eastAsia="en-AU"/>
        </w:rPr>
        <w:t xml:space="preserve"> forecast capital </w:t>
      </w:r>
      <w:r w:rsidR="00505A67">
        <w:t>expenditure reflects a</w:t>
      </w:r>
      <w:r w:rsidRPr="007538F4">
        <w:rPr>
          <w:lang w:eastAsia="en-AU"/>
        </w:rPr>
        <w:t xml:space="preserve"> zero real cost escalation for labour and materials costs.</w:t>
      </w:r>
    </w:p>
    <w:p w:rsidR="00DB196B" w:rsidRPr="00D95AEB" w:rsidRDefault="00F6718C" w:rsidP="009C6CB5">
      <w:pPr>
        <w:pStyle w:val="AERbodytext"/>
        <w:rPr>
          <w:rStyle w:val="AERtexthighlight"/>
          <w:shd w:val="clear" w:color="auto" w:fill="auto"/>
        </w:rPr>
      </w:pPr>
      <w:r>
        <w:rPr>
          <w:rStyle w:val="AERtexthighlight"/>
          <w:shd w:val="clear" w:color="auto" w:fill="auto"/>
        </w:rPr>
        <w:fldChar w:fldCharType="begin"/>
      </w:r>
      <w:r>
        <w:rPr>
          <w:rStyle w:val="AERtexthighlight"/>
          <w:shd w:val="clear" w:color="auto" w:fill="auto"/>
        </w:rPr>
        <w:instrText xml:space="preserve"> REF _Ref404090959 \h </w:instrText>
      </w:r>
      <w:r>
        <w:rPr>
          <w:rStyle w:val="AERtexthighlight"/>
          <w:shd w:val="clear" w:color="auto" w:fill="auto"/>
        </w:rPr>
      </w:r>
      <w:r>
        <w:rPr>
          <w:rStyle w:val="AERtexthighlight"/>
          <w:shd w:val="clear" w:color="auto" w:fill="auto"/>
        </w:rPr>
        <w:fldChar w:fldCharType="separate"/>
      </w:r>
      <w:r w:rsidR="00117C35">
        <w:t>Figure 6-</w:t>
      </w:r>
      <w:r w:rsidR="00117C35">
        <w:rPr>
          <w:noProof/>
        </w:rPr>
        <w:t>1</w:t>
      </w:r>
      <w:r>
        <w:rPr>
          <w:rStyle w:val="AERtexthighlight"/>
          <w:shd w:val="clear" w:color="auto" w:fill="auto"/>
        </w:rPr>
        <w:fldChar w:fldCharType="end"/>
      </w:r>
      <w:r w:rsidR="009A0410" w:rsidRPr="00DB196B">
        <w:rPr>
          <w:rStyle w:val="AERtexthighlight"/>
          <w:shd w:val="clear" w:color="auto" w:fill="auto"/>
        </w:rPr>
        <w:t xml:space="preserve"> shows the </w:t>
      </w:r>
      <w:r w:rsidR="005503B4" w:rsidRPr="00DB196B">
        <w:rPr>
          <w:rStyle w:val="AERtexthighlight"/>
          <w:shd w:val="clear" w:color="auto" w:fill="auto"/>
        </w:rPr>
        <w:t>increase</w:t>
      </w:r>
      <w:r w:rsidR="009A0410" w:rsidRPr="00DB196B">
        <w:rPr>
          <w:rStyle w:val="AERtexthighlight"/>
          <w:shd w:val="clear" w:color="auto" w:fill="auto"/>
        </w:rPr>
        <w:t xml:space="preserve"> between </w:t>
      </w:r>
      <w:r w:rsidR="009A0410" w:rsidRPr="009C6CB5">
        <w:rPr>
          <w:rStyle w:val="AERtexthighlight"/>
          <w:shd w:val="clear" w:color="auto" w:fill="auto"/>
        </w:rPr>
        <w:t xml:space="preserve">Directlink's </w:t>
      </w:r>
      <w:r w:rsidR="004D0B2F" w:rsidRPr="009C6CB5">
        <w:rPr>
          <w:rStyle w:val="AERtexthighlight"/>
          <w:shd w:val="clear" w:color="auto" w:fill="auto"/>
        </w:rPr>
        <w:t>proposed</w:t>
      </w:r>
      <w:r w:rsidR="009A0410" w:rsidRPr="009C6CB5">
        <w:rPr>
          <w:rStyle w:val="AERtexthighlight"/>
          <w:shd w:val="clear" w:color="auto" w:fill="auto"/>
        </w:rPr>
        <w:t xml:space="preserve"> capex (2015-20) and its historic capex (200</w:t>
      </w:r>
      <w:r w:rsidR="002817A2">
        <w:rPr>
          <w:rStyle w:val="AERtexthighlight"/>
          <w:shd w:val="clear" w:color="auto" w:fill="auto"/>
        </w:rPr>
        <w:t>5</w:t>
      </w:r>
      <w:r w:rsidR="009A0410" w:rsidRPr="009C6CB5">
        <w:rPr>
          <w:rStyle w:val="AERtexthighlight"/>
          <w:shd w:val="clear" w:color="auto" w:fill="auto"/>
        </w:rPr>
        <w:t>-1</w:t>
      </w:r>
      <w:r w:rsidR="004D0B2F" w:rsidRPr="009C6CB5">
        <w:rPr>
          <w:rStyle w:val="AERtexthighlight"/>
          <w:shd w:val="clear" w:color="auto" w:fill="auto"/>
        </w:rPr>
        <w:t>5</w:t>
      </w:r>
      <w:r w:rsidR="009A0410" w:rsidRPr="009C6CB5">
        <w:rPr>
          <w:rStyle w:val="AERtexthighlight"/>
          <w:shd w:val="clear" w:color="auto" w:fill="auto"/>
        </w:rPr>
        <w:t xml:space="preserve">). The </w:t>
      </w:r>
      <w:r w:rsidR="00AD215A" w:rsidRPr="009C6CB5">
        <w:rPr>
          <w:rStyle w:val="AERtexthighlight"/>
          <w:shd w:val="clear" w:color="auto" w:fill="auto"/>
        </w:rPr>
        <w:t xml:space="preserve">principle </w:t>
      </w:r>
      <w:r w:rsidR="009A0410" w:rsidRPr="009C6CB5">
        <w:rPr>
          <w:rStyle w:val="AERtexthighlight"/>
          <w:shd w:val="clear" w:color="auto" w:fill="auto"/>
        </w:rPr>
        <w:t>increase in Directlink's proposed capex is attribut</w:t>
      </w:r>
      <w:r w:rsidR="004D0B2F" w:rsidRPr="009C6CB5">
        <w:rPr>
          <w:rStyle w:val="AERtexthighlight"/>
          <w:shd w:val="clear" w:color="auto" w:fill="auto"/>
        </w:rPr>
        <w:t>ed by Directlink</w:t>
      </w:r>
      <w:r w:rsidR="009A0410" w:rsidRPr="00DB196B">
        <w:rPr>
          <w:rStyle w:val="AERtexthighlight"/>
          <w:shd w:val="clear" w:color="auto" w:fill="auto"/>
        </w:rPr>
        <w:t xml:space="preserve"> to increases in expenditure to</w:t>
      </w:r>
      <w:r w:rsidR="00DB196B" w:rsidRPr="00AD215A">
        <w:rPr>
          <w:rStyle w:val="AERtexthighlight"/>
          <w:shd w:val="clear" w:color="auto" w:fill="auto"/>
        </w:rPr>
        <w:t xml:space="preserve"> </w:t>
      </w:r>
      <w:r w:rsidR="00DB196B" w:rsidRPr="00EC16F1">
        <w:rPr>
          <w:rStyle w:val="AERtexthighlight"/>
          <w:shd w:val="clear" w:color="auto" w:fill="auto"/>
        </w:rPr>
        <w:t>reliability to ensure availability of the link at maximum capability</w:t>
      </w:r>
      <w:r w:rsidR="00DB196B" w:rsidRPr="00D95AEB">
        <w:rPr>
          <w:rStyle w:val="AERtexthighlight"/>
          <w:shd w:val="clear" w:color="auto" w:fill="auto"/>
        </w:rPr>
        <w:t xml:space="preserve">. Directlink stated that </w:t>
      </w:r>
      <w:r w:rsidR="0083487F" w:rsidRPr="00D95AEB">
        <w:rPr>
          <w:rStyle w:val="AERtexthighlight"/>
          <w:shd w:val="clear" w:color="auto" w:fill="auto"/>
        </w:rPr>
        <w:t>its forecasts for the capital projects in the refurbishment</w:t>
      </w:r>
      <w:r w:rsidR="00D95AEB" w:rsidRPr="00D95AEB">
        <w:rPr>
          <w:rStyle w:val="AERtexthighlight"/>
          <w:shd w:val="clear" w:color="auto" w:fill="auto"/>
        </w:rPr>
        <w:t xml:space="preserve"> (or "stay-in-business"</w:t>
      </w:r>
      <w:r w:rsidR="00D95AEB">
        <w:rPr>
          <w:rStyle w:val="FootnoteReference"/>
        </w:rPr>
        <w:footnoteReference w:id="11"/>
      </w:r>
      <w:r w:rsidR="00D95AEB" w:rsidRPr="00D95AEB">
        <w:rPr>
          <w:rStyle w:val="AERtexthighlight"/>
          <w:shd w:val="clear" w:color="auto" w:fill="auto"/>
        </w:rPr>
        <w:t>)</w:t>
      </w:r>
      <w:r w:rsidR="0083487F" w:rsidRPr="00D95AEB">
        <w:rPr>
          <w:rStyle w:val="AERtexthighlight"/>
          <w:shd w:val="clear" w:color="auto" w:fill="auto"/>
        </w:rPr>
        <w:t xml:space="preserve"> and compliance categories </w:t>
      </w:r>
      <w:r w:rsidR="00EC16F1" w:rsidRPr="00D95AEB">
        <w:rPr>
          <w:rStyle w:val="AERtexthighlight"/>
          <w:shd w:val="clear" w:color="auto" w:fill="auto"/>
        </w:rPr>
        <w:t xml:space="preserve">reflect the impact of the Mullumbimby converter station fire in August 2012 </w:t>
      </w:r>
      <w:r w:rsidR="00D95AEB" w:rsidRPr="00D95AEB">
        <w:rPr>
          <w:rStyle w:val="AERtexthighlight"/>
          <w:shd w:val="clear" w:color="auto" w:fill="auto"/>
        </w:rPr>
        <w:t xml:space="preserve">to the </w:t>
      </w:r>
      <w:r w:rsidR="0083487F" w:rsidRPr="00D95AEB">
        <w:rPr>
          <w:rStyle w:val="AERtexthighlight"/>
          <w:shd w:val="clear" w:color="auto" w:fill="auto"/>
        </w:rPr>
        <w:t xml:space="preserve">Asset Management Plan </w:t>
      </w:r>
      <w:r w:rsidR="00D95AEB" w:rsidRPr="00D95AEB">
        <w:rPr>
          <w:rStyle w:val="AERtexthighlight"/>
          <w:shd w:val="clear" w:color="auto" w:fill="auto"/>
        </w:rPr>
        <w:t>approved by Directlink's Board in November 2013.</w:t>
      </w:r>
      <w:r w:rsidR="005A6084" w:rsidRPr="00D95AEB">
        <w:rPr>
          <w:rStyle w:val="AERsuperscript"/>
        </w:rPr>
        <w:footnoteReference w:id="12"/>
      </w:r>
      <w:r w:rsidR="00EC16F1" w:rsidRPr="00D95AEB">
        <w:rPr>
          <w:rStyle w:val="AERtexthighlight"/>
          <w:shd w:val="clear" w:color="auto" w:fill="auto"/>
        </w:rPr>
        <w:t xml:space="preserve"> </w:t>
      </w:r>
    </w:p>
    <w:p w:rsidR="009A0410" w:rsidRDefault="00F6718C" w:rsidP="00F6718C">
      <w:pPr>
        <w:pStyle w:val="Caption"/>
      </w:pPr>
      <w:bookmarkStart w:id="20" w:name="_Ref404090959"/>
      <w:r>
        <w:t xml:space="preserve">Figure </w:t>
      </w:r>
      <w:r w:rsidR="00117C35">
        <w:t>6-</w:t>
      </w:r>
      <w:fldSimple w:instr=" SEQ Figure \* ARABIC ">
        <w:r>
          <w:rPr>
            <w:noProof/>
          </w:rPr>
          <w:t>1</w:t>
        </w:r>
      </w:fldSimple>
      <w:bookmarkEnd w:id="20"/>
      <w:r>
        <w:tab/>
      </w:r>
      <w:r w:rsidR="00565E55" w:rsidRPr="00565E55">
        <w:t>Directlink—actual and proposed capex ($ million 2014-15)</w:t>
      </w:r>
    </w:p>
    <w:p w:rsidR="009A0410" w:rsidRPr="009917BF" w:rsidRDefault="000C05C9" w:rsidP="00DB7076">
      <w:pPr>
        <w:pStyle w:val="AERbodytext"/>
        <w:numPr>
          <w:ilvl w:val="0"/>
          <w:numId w:val="0"/>
        </w:numPr>
        <w:rPr>
          <w:rStyle w:val="AERtexthighlight"/>
        </w:rPr>
      </w:pPr>
      <w:r w:rsidRPr="000C05C9">
        <w:rPr>
          <w:noProof/>
          <w:lang w:eastAsia="en-AU"/>
        </w:rPr>
        <w:drawing>
          <wp:inline distT="0" distB="0" distL="0" distR="0" wp14:anchorId="3F5D7B73" wp14:editId="0055CE5C">
            <wp:extent cx="5731510" cy="3440743"/>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76F3" w:rsidRDefault="00E776F3" w:rsidP="009917BF">
      <w:pPr>
        <w:pStyle w:val="Heading2"/>
      </w:pPr>
      <w:bookmarkStart w:id="21" w:name="_Ref404088960"/>
      <w:bookmarkStart w:id="22" w:name="_Toc404190857"/>
      <w:r>
        <w:t>Assessment approach</w:t>
      </w:r>
      <w:bookmarkEnd w:id="21"/>
      <w:bookmarkEnd w:id="22"/>
    </w:p>
    <w:p w:rsidR="00D305F4" w:rsidRPr="00D305F4" w:rsidRDefault="00D305F4" w:rsidP="00D305F4">
      <w:pPr>
        <w:numPr>
          <w:ilvl w:val="0"/>
          <w:numId w:val="12"/>
        </w:numPr>
      </w:pPr>
      <w:r w:rsidRPr="00D305F4">
        <w:t>This section outlines our approach to capex assessments. It sets out the relevant legislative and rule requirements, outlines our assessment techniques, and explains how we build an alternative estimate of total forecast capex against which we compare that proposed by the service provider.</w:t>
      </w:r>
    </w:p>
    <w:p w:rsidR="00D305F4" w:rsidRPr="00D305F4" w:rsidRDefault="00D305F4" w:rsidP="00D305F4">
      <w:pPr>
        <w:numPr>
          <w:ilvl w:val="0"/>
          <w:numId w:val="12"/>
        </w:numPr>
      </w:pPr>
      <w:r w:rsidRPr="00D305F4">
        <w:t>We will accept Directlink's proposed total forecast capex if we are satisfied that it reasonably reflects the capex criteria.</w:t>
      </w:r>
      <w:r w:rsidRPr="003B71B0">
        <w:rPr>
          <w:rStyle w:val="AERsuperscript"/>
        </w:rPr>
        <w:footnoteReference w:id="13"/>
      </w:r>
      <w:r w:rsidRPr="00D305F4">
        <w:t xml:space="preserve"> If we are not satisfied, we replace it with our estimate of a total forecast capex that we are satisfied reasonably reflects the capex criteria.</w:t>
      </w:r>
      <w:r w:rsidRPr="003B71B0">
        <w:rPr>
          <w:rStyle w:val="AERsuperscript"/>
        </w:rPr>
        <w:footnoteReference w:id="14"/>
      </w:r>
      <w:r w:rsidRPr="00D305F4">
        <w:t xml:space="preserve"> The capex criteria are:</w:t>
      </w:r>
    </w:p>
    <w:p w:rsidR="00D305F4" w:rsidRPr="00D305F4" w:rsidRDefault="00D305F4" w:rsidP="002817A2">
      <w:pPr>
        <w:pStyle w:val="AERnumberedlist2first"/>
      </w:pPr>
      <w:r w:rsidRPr="00D305F4">
        <w:t>the efficient costs of achieving the capital expenditure objectives</w:t>
      </w:r>
    </w:p>
    <w:p w:rsidR="00D305F4" w:rsidRPr="00D305F4" w:rsidRDefault="00D305F4" w:rsidP="002817A2">
      <w:pPr>
        <w:pStyle w:val="AERnumberedlist2first"/>
      </w:pPr>
      <w:r w:rsidRPr="00D305F4">
        <w:lastRenderedPageBreak/>
        <w:t>the costs that a prudent operator would require to achieve the capital expenditure objectives</w:t>
      </w:r>
    </w:p>
    <w:p w:rsidR="00D305F4" w:rsidRPr="00D305F4" w:rsidRDefault="00D305F4" w:rsidP="002817A2">
      <w:pPr>
        <w:pStyle w:val="AERnumberedlist2first"/>
      </w:pPr>
      <w:r w:rsidRPr="00D305F4">
        <w:t>a realistic expectation of the demand forecast and cost inputs required to achieve the capital expenditure objectives.</w:t>
      </w:r>
    </w:p>
    <w:p w:rsidR="00D305F4" w:rsidRPr="00D305F4" w:rsidRDefault="00D305F4" w:rsidP="00D305F4">
      <w:pPr>
        <w:numPr>
          <w:ilvl w:val="0"/>
          <w:numId w:val="12"/>
        </w:numPr>
      </w:pPr>
      <w:r w:rsidRPr="00D305F4">
        <w:t>The Australian Energy Market Commission (AEMC) noted that '[t]hese criteria broadly reflect the NEO [National Electricity Objective]'.</w:t>
      </w:r>
      <w:r w:rsidRPr="003B71B0">
        <w:rPr>
          <w:rStyle w:val="AERsuperscript"/>
        </w:rPr>
        <w:footnoteReference w:id="15"/>
      </w:r>
      <w:r w:rsidRPr="00D305F4">
        <w:t xml:space="preserve"> The capital expenditure objectives (capex objectives) referred to in the capex criteria, are to:</w:t>
      </w:r>
      <w:r w:rsidRPr="003B71B0">
        <w:rPr>
          <w:rStyle w:val="AERsuperscript"/>
        </w:rPr>
        <w:footnoteReference w:id="16"/>
      </w:r>
    </w:p>
    <w:p w:rsidR="00D305F4" w:rsidRPr="00D305F4" w:rsidRDefault="00D305F4" w:rsidP="002817A2">
      <w:pPr>
        <w:pStyle w:val="AERnumberedlist2first"/>
      </w:pPr>
      <w:r w:rsidRPr="00D305F4">
        <w:t>meet or manage the expected demand for prescribed transmission services over the period</w:t>
      </w:r>
    </w:p>
    <w:p w:rsidR="00D305F4" w:rsidRPr="00D305F4" w:rsidRDefault="00D305F4" w:rsidP="002817A2">
      <w:pPr>
        <w:pStyle w:val="AERnumberedlist2first"/>
      </w:pPr>
      <w:r w:rsidRPr="00D305F4">
        <w:t xml:space="preserve">comply with all regulatory obligations or requirements associated with the provision of prescribed transmission services </w:t>
      </w:r>
    </w:p>
    <w:p w:rsidR="00D305F4" w:rsidRPr="00D305F4" w:rsidRDefault="00D305F4" w:rsidP="002817A2">
      <w:pPr>
        <w:pStyle w:val="AERnumberedlist2first"/>
      </w:pPr>
      <w:r w:rsidRPr="00D305F4">
        <w:t>to the extent that there are no such obligations or requirements, maintain service quality, reliability and security of supply of prescribed transmission services and maintain the reliability and security of the transmission system</w:t>
      </w:r>
    </w:p>
    <w:p w:rsidR="00D305F4" w:rsidRPr="00D305F4" w:rsidRDefault="00D305F4" w:rsidP="002817A2">
      <w:pPr>
        <w:pStyle w:val="AERnumberedlist2first"/>
      </w:pPr>
      <w:r w:rsidRPr="00D305F4">
        <w:t>maintain the safety of the transmission system through the supply of prescribed transmission services.</w:t>
      </w:r>
    </w:p>
    <w:p w:rsidR="00D305F4" w:rsidRPr="00D305F4" w:rsidRDefault="00D305F4" w:rsidP="00D305F4">
      <w:pPr>
        <w:numPr>
          <w:ilvl w:val="0"/>
          <w:numId w:val="12"/>
        </w:numPr>
      </w:pPr>
      <w:r w:rsidRPr="00D305F4">
        <w:t>Importantly, our assessment is about the total forecast capex and not about particular categories or projects in the capex forecast. The Australian Energy Market Commission (AEMC) has expressed our role in these terms:</w:t>
      </w:r>
      <w:r w:rsidRPr="003B71B0">
        <w:rPr>
          <w:rStyle w:val="AERsuperscript"/>
        </w:rPr>
        <w:footnoteReference w:id="17"/>
      </w:r>
    </w:p>
    <w:p w:rsidR="00D305F4" w:rsidRPr="00D305F4" w:rsidRDefault="00D305F4" w:rsidP="002817A2">
      <w:pPr>
        <w:pStyle w:val="AERquote"/>
      </w:pPr>
      <w:r w:rsidRPr="00D305F4">
        <w:t>It should be noted here that what the AER approves in this context is expenditure allowances, not projects.</w:t>
      </w:r>
    </w:p>
    <w:p w:rsidR="00D305F4" w:rsidRPr="00D305F4" w:rsidRDefault="00D305F4" w:rsidP="00D305F4">
      <w:r w:rsidRPr="00D305F4">
        <w:t>In deciding whether we are satisfied if Directlink's proposed total forecast capex reasonably reflects the capex criteria, we have regard to the capex factors.</w:t>
      </w:r>
    </w:p>
    <w:p w:rsidR="00D305F4" w:rsidRPr="00D305F4" w:rsidRDefault="00D305F4" w:rsidP="00D305F4">
      <w:r w:rsidRPr="00D305F4">
        <w:t>The capex factors are:</w:t>
      </w:r>
      <w:r w:rsidRPr="003B71B0">
        <w:rPr>
          <w:rStyle w:val="AERsuperscript"/>
        </w:rPr>
        <w:footnoteReference w:id="18"/>
      </w:r>
    </w:p>
    <w:p w:rsidR="00D305F4" w:rsidRPr="00D305F4" w:rsidRDefault="00D305F4" w:rsidP="002817A2">
      <w:pPr>
        <w:pStyle w:val="AERnumberedlist2first"/>
      </w:pPr>
      <w:r w:rsidRPr="00D305F4">
        <w:t>the AER's most recent annual benchmarking report and benchmarking capex that would be incurred by an efficient TNSP over the relevant regulatory control period</w:t>
      </w:r>
    </w:p>
    <w:p w:rsidR="00D305F4" w:rsidRPr="00D305F4" w:rsidRDefault="00D305F4" w:rsidP="002817A2">
      <w:pPr>
        <w:pStyle w:val="AERnumberedlist2first"/>
      </w:pPr>
      <w:r w:rsidRPr="00D305F4">
        <w:t>the actual and expected capex of the TNSP during the preceding regulatory control periods</w:t>
      </w:r>
    </w:p>
    <w:p w:rsidR="00D305F4" w:rsidRPr="00D305F4" w:rsidRDefault="00D305F4" w:rsidP="002817A2">
      <w:pPr>
        <w:pStyle w:val="AERnumberedlist2first"/>
      </w:pPr>
      <w:r w:rsidRPr="00D305F4">
        <w:t>the extent to which the capex forecast includes expenditure to address the concerns of electricity consumers as identified by the TNSP in the course of its engagement with electricity consumers</w:t>
      </w:r>
    </w:p>
    <w:p w:rsidR="00D305F4" w:rsidRPr="00D305F4" w:rsidRDefault="00D305F4" w:rsidP="002817A2">
      <w:pPr>
        <w:pStyle w:val="AERnumberedlist2first"/>
      </w:pPr>
      <w:r w:rsidRPr="00D305F4">
        <w:t>the relative prices of operating and capital inputs</w:t>
      </w:r>
    </w:p>
    <w:p w:rsidR="00D305F4" w:rsidRPr="00D305F4" w:rsidRDefault="00D305F4" w:rsidP="002817A2">
      <w:pPr>
        <w:pStyle w:val="AERnumberedlist2first"/>
      </w:pPr>
      <w:r w:rsidRPr="00D305F4">
        <w:t>the substitution possibilities between operating and capital expenditure</w:t>
      </w:r>
    </w:p>
    <w:p w:rsidR="00D305F4" w:rsidRPr="00D305F4" w:rsidRDefault="00D305F4" w:rsidP="002817A2">
      <w:pPr>
        <w:pStyle w:val="AERnumberedlist2first"/>
      </w:pPr>
      <w:r w:rsidRPr="00D305F4">
        <w:t>whether the capex forecast is consistent with any incentive scheme or schemes that apply to the TNSP</w:t>
      </w:r>
    </w:p>
    <w:p w:rsidR="00D305F4" w:rsidRPr="00D305F4" w:rsidRDefault="00D305F4" w:rsidP="002817A2">
      <w:pPr>
        <w:pStyle w:val="AERnumberedlist2first"/>
      </w:pPr>
      <w:r w:rsidRPr="00D305F4">
        <w:lastRenderedPageBreak/>
        <w:t>the extent to which the capex forecast is referable to arrangements with a person other than the TNSP that, in the opinion of the AER, do not reflect arm's length terms</w:t>
      </w:r>
    </w:p>
    <w:p w:rsidR="00D305F4" w:rsidRPr="00D305F4" w:rsidRDefault="00D305F4" w:rsidP="002817A2">
      <w:pPr>
        <w:pStyle w:val="AERnumberedlist2first"/>
      </w:pPr>
      <w:r w:rsidRPr="00D305F4">
        <w:t>whether the capex forecast includes an amount relating to a project that should more appropriately be included as a contingent project</w:t>
      </w:r>
    </w:p>
    <w:p w:rsidR="00D305F4" w:rsidRPr="00D305F4" w:rsidRDefault="00D305F4" w:rsidP="002817A2">
      <w:pPr>
        <w:pStyle w:val="AERnumberedlist2first"/>
      </w:pPr>
      <w:r w:rsidRPr="00D305F4">
        <w:t>the most recent National Transmission Network Development Plan (NTNDP) and any submissions made by AEMO on the forecast of the TNSP's required capex</w:t>
      </w:r>
    </w:p>
    <w:p w:rsidR="00D305F4" w:rsidRPr="00D305F4" w:rsidRDefault="00D305F4" w:rsidP="002817A2">
      <w:pPr>
        <w:pStyle w:val="AERnumberedlist2first"/>
      </w:pPr>
      <w:r w:rsidRPr="00D305F4">
        <w:t>the extent to which the TNSP has considered, and made provision for, efficient and prudent non-network alternatives.</w:t>
      </w:r>
    </w:p>
    <w:p w:rsidR="00D305F4" w:rsidRPr="00D305F4" w:rsidRDefault="00D305F4" w:rsidP="002817A2">
      <w:pPr>
        <w:pStyle w:val="AERnumberedlist2first"/>
      </w:pPr>
      <w:r w:rsidRPr="00D305F4">
        <w:t xml:space="preserve">any relevant project assessment conclusions report under clause 5.6.6 of the NER. </w:t>
      </w:r>
    </w:p>
    <w:p w:rsidR="00D305F4" w:rsidRPr="00D305F4" w:rsidRDefault="00D305F4" w:rsidP="00D305F4">
      <w:r w:rsidRPr="00D305F4">
        <w:t>In addition, the AER may notify the TNSP in writing, prior to the submission of its revised revenue proposal, of any other factor it considers relevant.</w:t>
      </w:r>
      <w:r w:rsidRPr="003B71B0">
        <w:rPr>
          <w:rStyle w:val="AERsuperscript"/>
        </w:rPr>
        <w:footnoteReference w:id="19"/>
      </w:r>
    </w:p>
    <w:p w:rsidR="00D305F4" w:rsidRPr="00D305F4" w:rsidRDefault="00D305F4" w:rsidP="00D305F4">
      <w:r w:rsidRPr="00D305F4">
        <w:t>In taking these factors into account, the AEMC has noted that:</w:t>
      </w:r>
      <w:r w:rsidRPr="003B71B0">
        <w:rPr>
          <w:rStyle w:val="AERsuperscript"/>
        </w:rPr>
        <w:footnoteReference w:id="20"/>
      </w:r>
    </w:p>
    <w:p w:rsidR="00D305F4" w:rsidRPr="00D305F4" w:rsidRDefault="00D305F4" w:rsidP="003B71B0">
      <w:pPr>
        <w:pStyle w:val="AERquote"/>
      </w:pPr>
      <w:r w:rsidRPr="00D305F4">
        <w:t>…this does not mean that every factor will be relevant to every aspect of every regulatory determination the AER makes. The AER may decide that certain factors are not relevant in certain cases once it has considered them.</w:t>
      </w:r>
    </w:p>
    <w:p w:rsidR="00D305F4" w:rsidRPr="00D305F4" w:rsidRDefault="00D305F4" w:rsidP="00D305F4">
      <w:pPr>
        <w:numPr>
          <w:ilvl w:val="0"/>
          <w:numId w:val="12"/>
        </w:numPr>
      </w:pPr>
      <w:r w:rsidRPr="00D305F4">
        <w:t>For transparency and ease of reference, we have included a summary of how we have had regard to each of the capex factors in our assessment at the end of this attachment.</w:t>
      </w:r>
    </w:p>
    <w:p w:rsidR="00D305F4" w:rsidRPr="00D305F4" w:rsidRDefault="00D305F4" w:rsidP="00D305F4">
      <w:pPr>
        <w:numPr>
          <w:ilvl w:val="0"/>
          <w:numId w:val="12"/>
        </w:numPr>
      </w:pPr>
      <w:r w:rsidRPr="00D305F4">
        <w:t>More broadly, we also note that in exercising our discretion, we take into account the revenue and pricing principles which are set out in the National Electricity Law.</w:t>
      </w:r>
      <w:r w:rsidRPr="00325130">
        <w:rPr>
          <w:rStyle w:val="AERsuperscript"/>
        </w:rPr>
        <w:footnoteReference w:id="21"/>
      </w:r>
    </w:p>
    <w:p w:rsidR="00D305F4" w:rsidRPr="00D305F4" w:rsidRDefault="00D305F4" w:rsidP="003B71B0">
      <w:pPr>
        <w:pStyle w:val="HeadingBoldBlue"/>
      </w:pPr>
      <w:r w:rsidRPr="00D305F4">
        <w:t>The Expenditure Forecast Assessment Guideline</w:t>
      </w:r>
    </w:p>
    <w:p w:rsidR="00D305F4" w:rsidRPr="00D305F4" w:rsidRDefault="00D305F4" w:rsidP="00D305F4">
      <w:r w:rsidRPr="00D305F4">
        <w:t>The rule changes the AEMC made in November 2012 require us to make and publish an Expenditure Forecast Assessment Guideline for Electricity Transmission (released in November 2013). The Guideline sets out the AER's proposed general approach to assessing capex (and opex) forecasts.  The rule changes also require us to set out our approach to assessing capex in the relevant framework and approach paper. For Directlink, our framework and approach paper (published in January 2014) stated that we would apply the guideline, including the assessment techniques outlined in it. We may depart from our Guideline approach and if we do so, need to explain why.  In this determination we have not departed from the ap</w:t>
      </w:r>
      <w:r w:rsidR="00505A67">
        <w:t>proach set out in our Guideline, other than we have not assessed Directlink's capex by specific reference to capex drivers, and we have used a more limited number of techniques than we would typically use. Our reasons for our approach are set out below.</w:t>
      </w:r>
    </w:p>
    <w:p w:rsidR="00D305F4" w:rsidRPr="00D305F4" w:rsidRDefault="00D305F4" w:rsidP="00ED5D2A">
      <w:pPr>
        <w:pStyle w:val="HeadingBoldBlue"/>
      </w:pPr>
      <w:r w:rsidRPr="00D305F4">
        <w:t>Building an alternative estimate of total forecast capex</w:t>
      </w:r>
    </w:p>
    <w:p w:rsidR="00D305F4" w:rsidRPr="00D305F4" w:rsidRDefault="00D305F4" w:rsidP="00D305F4">
      <w:pPr>
        <w:numPr>
          <w:ilvl w:val="0"/>
          <w:numId w:val="12"/>
        </w:numPr>
      </w:pPr>
      <w:r w:rsidRPr="00D305F4">
        <w:t>Our starting point is the service provider's proposal.</w:t>
      </w:r>
      <w:r w:rsidRPr="00ED5D2A">
        <w:rPr>
          <w:rStyle w:val="AERsuperscript"/>
        </w:rPr>
        <w:footnoteReference w:id="22"/>
      </w:r>
      <w:r w:rsidRPr="00D305F4">
        <w:t xml:space="preserve"> We then considered the service provider's performance in the previous regulatory control period to inform our alternative estimate. We also </w:t>
      </w:r>
      <w:r w:rsidRPr="00D305F4">
        <w:lastRenderedPageBreak/>
        <w:t>reviewed the proposed forecast methodology and the service provider's reliance on key assumptions that underlie its forecast.</w:t>
      </w:r>
    </w:p>
    <w:p w:rsidR="00D305F4" w:rsidRPr="00D305F4" w:rsidRDefault="00D305F4" w:rsidP="00D305F4">
      <w:pPr>
        <w:numPr>
          <w:ilvl w:val="0"/>
          <w:numId w:val="12"/>
        </w:numPr>
      </w:pPr>
      <w:r w:rsidRPr="00D305F4">
        <w:t>We then applied our specific assessment techniques, outlined below, to develop and estimate and assess the economic justifications that the service provider put forward. The specific techniques that we have used in this draft decision include:</w:t>
      </w:r>
    </w:p>
    <w:p w:rsidR="00D305F4" w:rsidRPr="00D305F4" w:rsidRDefault="00D305F4" w:rsidP="00117C35">
      <w:pPr>
        <w:pStyle w:val="AERbulletlistfirststyle"/>
      </w:pPr>
      <w:r w:rsidRPr="00D305F4">
        <w:t xml:space="preserve">trend analysis—forecasting future expenditure based on historical information, </w:t>
      </w:r>
    </w:p>
    <w:p w:rsidR="00D305F4" w:rsidRPr="00D305F4" w:rsidRDefault="00D305F4" w:rsidP="00117C35">
      <w:pPr>
        <w:pStyle w:val="AERbulletlistfirststyle"/>
      </w:pPr>
      <w:r w:rsidRPr="00D305F4">
        <w:t>review of asset management practices and a technical review of each of the capex projects</w:t>
      </w:r>
    </w:p>
    <w:p w:rsidR="00D305F4" w:rsidRPr="00D305F4" w:rsidRDefault="00D305F4" w:rsidP="00D305F4">
      <w:pPr>
        <w:numPr>
          <w:ilvl w:val="0"/>
          <w:numId w:val="12"/>
        </w:numPr>
      </w:pPr>
      <w:r w:rsidRPr="00D305F4">
        <w:t>Importantly, our review of particular projects and programs is not conducted for the purpose of determining at a detailed level what projects or programs of work the service provider should or should not undertake. For Directlink, this is key part of our assessment but as the AEMC notes, the AER does not approve projects. Once we approve total revenue, which will be determined by reference to the AER's analysis of the proposed capex, the service provider will have to prioritise its capex program given the prevailing circumstances at the time (such as demand and economic conditions that impact during the regulatory period). Most likely, some projects or programs of work that were not anticipated will be required. Equally likely, some of the projects or programs of work that the service provider has proposed for the regulatory control period will not be required. We consider that acting prudently and efficiently, the service provider will consider the changing environment throughout the regulatory period and make sound decisions taking into account their individual circumstances.</w:t>
      </w:r>
    </w:p>
    <w:p w:rsidR="00D305F4" w:rsidRPr="00D305F4" w:rsidRDefault="00D305F4" w:rsidP="00D305F4">
      <w:pPr>
        <w:numPr>
          <w:ilvl w:val="0"/>
          <w:numId w:val="12"/>
        </w:numPr>
      </w:pPr>
      <w:r w:rsidRPr="00D305F4">
        <w:t xml:space="preserve">As explained in our Guidelines: </w:t>
      </w:r>
    </w:p>
    <w:p w:rsidR="00D305F4" w:rsidRPr="00D305F4" w:rsidRDefault="00D305F4" w:rsidP="00D305F4">
      <w:r w:rsidRPr="00D305F4">
        <w:t>We typically would not infer the findings of an assessment technique in isolation from other techniques.</w:t>
      </w:r>
      <w:r w:rsidRPr="00ED5D2A">
        <w:rPr>
          <w:rStyle w:val="AERsuperscript"/>
        </w:rPr>
        <w:footnoteReference w:id="23"/>
      </w:r>
      <w:r w:rsidRPr="00D305F4">
        <w:t xml:space="preserve"> For Directlink, however, we have relied primarily on our technical review of its proposed projects and programs. This is because for Directlink, we consider that this is the most robust technique given the nature and small scale of its operations, and its previous regulatory allowance.</w:t>
      </w:r>
      <w:r w:rsidRPr="00ED5D2A">
        <w:rPr>
          <w:rStyle w:val="AERsuperscript"/>
        </w:rPr>
        <w:footnoteReference w:id="24"/>
      </w:r>
      <w:r w:rsidRPr="00D305F4">
        <w:t xml:space="preserve"> </w:t>
      </w:r>
    </w:p>
    <w:p w:rsidR="00D305F4" w:rsidRPr="00D305F4" w:rsidRDefault="00D305F4" w:rsidP="00D305F4">
      <w:pPr>
        <w:numPr>
          <w:ilvl w:val="0"/>
          <w:numId w:val="12"/>
        </w:numPr>
      </w:pPr>
      <w:r w:rsidRPr="00D305F4">
        <w:t xml:space="preserve">We also need to take into account the various interrelationships between the total forecast capex and other components of a service provider's transmission determination. We identify these interrelationships in section </w:t>
      </w:r>
      <w:r w:rsidR="00117C35">
        <w:t>6</w:t>
      </w:r>
      <w:r w:rsidR="00ED5D2A">
        <w:t>.4.</w:t>
      </w:r>
      <w:r w:rsidR="002817A2">
        <w:t>3</w:t>
      </w:r>
      <w:r w:rsidRPr="00D305F4">
        <w:t xml:space="preserve"> below. </w:t>
      </w:r>
    </w:p>
    <w:p w:rsidR="00D305F4" w:rsidRPr="00D305F4" w:rsidRDefault="00D305F4" w:rsidP="00D305F4">
      <w:pPr>
        <w:numPr>
          <w:ilvl w:val="0"/>
          <w:numId w:val="12"/>
        </w:numPr>
      </w:pPr>
      <w:r w:rsidRPr="00D305F4">
        <w:t>Underlying our approach are two general assumptions:</w:t>
      </w:r>
    </w:p>
    <w:p w:rsidR="00D305F4" w:rsidRPr="00D305F4" w:rsidRDefault="00D305F4" w:rsidP="00ED5D2A">
      <w:pPr>
        <w:pStyle w:val="AERbulletlistfirststyle"/>
      </w:pPr>
      <w:r w:rsidRPr="00D305F4">
        <w:t>Capex criteria relating to a prudent operator and efficient costs are complementary such that prudent and efficient expenditure reflects the lowest long-term cost to consumers for the most appropriate investment or activity required to achieve the expenditure objectives.</w:t>
      </w:r>
      <w:r w:rsidRPr="00ED5D2A">
        <w:rPr>
          <w:rStyle w:val="AERsuperscript"/>
        </w:rPr>
        <w:footnoteReference w:id="25"/>
      </w:r>
      <w:r w:rsidRPr="00D305F4">
        <w:t xml:space="preserve"> </w:t>
      </w:r>
    </w:p>
    <w:p w:rsidR="00D305F4" w:rsidRPr="00D305F4" w:rsidRDefault="00D305F4" w:rsidP="00ED5D2A">
      <w:pPr>
        <w:pStyle w:val="AERbulletlistfirststyle"/>
      </w:pPr>
      <w:r w:rsidRPr="00D305F4">
        <w:t>Past expenditure was sufficient for Directlink to manage and operate its network in that previous period, in a manner that achieved the capex objectives.</w:t>
      </w:r>
      <w:r w:rsidRPr="00ED5D2A">
        <w:rPr>
          <w:rStyle w:val="AERsuperscript"/>
        </w:rPr>
        <w:footnoteReference w:id="26"/>
      </w:r>
      <w:r w:rsidRPr="00D305F4">
        <w:t xml:space="preserve"> though for Directlink we have taken into account where relevant the operating risks arising from the impact of the Mullumbimby converter station fire in August 2012</w:t>
      </w:r>
      <w:r w:rsidR="00ED5D2A">
        <w:t>.</w:t>
      </w:r>
    </w:p>
    <w:p w:rsidR="00D305F4" w:rsidRPr="00D305F4" w:rsidRDefault="00D305F4" w:rsidP="00D305F4">
      <w:r w:rsidRPr="00D305F4">
        <w:t>After applying the above approach, we arrive at our estimate of the total capex forecast.</w:t>
      </w:r>
    </w:p>
    <w:p w:rsidR="00D305F4" w:rsidRPr="00D305F4" w:rsidRDefault="00D305F4" w:rsidP="00ED5D2A">
      <w:pPr>
        <w:pStyle w:val="HeadingBoldBlue"/>
      </w:pPr>
      <w:r w:rsidRPr="00D305F4">
        <w:lastRenderedPageBreak/>
        <w:t>Comparing the service provider's proposal with our estimate</w:t>
      </w:r>
    </w:p>
    <w:p w:rsidR="00D305F4" w:rsidRPr="00D305F4" w:rsidRDefault="00D305F4" w:rsidP="00D305F4">
      <w:pPr>
        <w:numPr>
          <w:ilvl w:val="0"/>
          <w:numId w:val="12"/>
        </w:numPr>
      </w:pPr>
      <w:r w:rsidRPr="00D305F4">
        <w:t xml:space="preserve">Having established our estimate of the total forecast capex, we can test the service provider's proposed total forecast capex. This includes comparing our alternative estimate of forecast total capex with the service provider's forecast total. The service provider's forecast methodology and its key assumptions may explain any differences between our alternative estimate and its proposal. </w:t>
      </w:r>
    </w:p>
    <w:p w:rsidR="00D305F4" w:rsidRPr="00D305F4" w:rsidRDefault="00D305F4" w:rsidP="00D305F4">
      <w:pPr>
        <w:numPr>
          <w:ilvl w:val="0"/>
          <w:numId w:val="12"/>
        </w:numPr>
      </w:pPr>
      <w:r w:rsidRPr="00D305F4">
        <w:t>As the AEMC foreshadowed, we may need to exercise our judgement in determining whether any 'margin of difference' is reasonable:</w:t>
      </w:r>
      <w:r w:rsidRPr="00ED5D2A">
        <w:rPr>
          <w:rStyle w:val="AERsuperscript"/>
        </w:rPr>
        <w:footnoteReference w:id="27"/>
      </w:r>
    </w:p>
    <w:p w:rsidR="00D305F4" w:rsidRPr="00D305F4" w:rsidRDefault="00D305F4" w:rsidP="00ED5D2A">
      <w:pPr>
        <w:pStyle w:val="AERquote"/>
      </w:pPr>
      <w:r w:rsidRPr="00D305F4">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D305F4" w:rsidRPr="00D305F4" w:rsidRDefault="00D305F4" w:rsidP="00D305F4">
      <w:pPr>
        <w:numPr>
          <w:ilvl w:val="0"/>
          <w:numId w:val="12"/>
        </w:numPr>
      </w:pPr>
      <w:r w:rsidRPr="00D305F4">
        <w:t xml:space="preserve">Where we approve a service provider's proposed total forecast capex or where we substitute our estimate of total forecast capex, it is important to recognise that the service provider is not precluded from undertaking unexpected capex works, if the need arises, and despite the fact that such works did not form part our assessment in this determination. As noted above, we anticipate that a service provider will prioritise their capex program of works. Where an unexpected event leads to an overspend of the capex amount approved in this determination as part of total revenue, a service provider will only be required to bear 30 per cent of this cost if the expenditure is found to be prudent and efficient. Further, for significant unexpected capex, the pass-through provisions provide a means for a service provider to pass on such expenses to customers where appropriate. For these reasons, in the event that the approved total revenue underestimates the total capex required, we do not consider that this should lead to undue safety or reliability issues. Conversely, if we overestimate the amount of capex required, the stronger incentives put in place by the AEMC in 2012 should lead to a business spending only what is efficient, with the benefits of the underspend being shared between businesses and consumers. </w:t>
      </w:r>
    </w:p>
    <w:p w:rsidR="00D305F4" w:rsidRPr="00D305F4" w:rsidRDefault="00D305F4" w:rsidP="00ED5D2A">
      <w:pPr>
        <w:pStyle w:val="Heading2"/>
      </w:pPr>
      <w:bookmarkStart w:id="23" w:name="_Toc404190858"/>
      <w:r w:rsidRPr="00D305F4">
        <w:t>Reasons for draft decision</w:t>
      </w:r>
      <w:bookmarkEnd w:id="23"/>
    </w:p>
    <w:p w:rsidR="00D305F4" w:rsidRPr="00D305F4" w:rsidRDefault="00D305F4" w:rsidP="00D305F4">
      <w:r w:rsidRPr="00D305F4">
        <w:t xml:space="preserve">We are not satisfied that Directlink's total forecast capex reasonably reflects the capex criteria. We compared Directlink's proposed total capex forecast to our alternative capex forecast constructed using certain techniques as outlined above. For the reasons set out below, we consider that our substitute estimate reasonably reflects the capex criteria. </w:t>
      </w:r>
    </w:p>
    <w:p w:rsidR="009C55ED" w:rsidRDefault="001D6DB8" w:rsidP="009C55ED">
      <w:pPr>
        <w:pStyle w:val="Heading3"/>
      </w:pPr>
      <w:bookmarkStart w:id="24" w:name="_Toc404190859"/>
      <w:bookmarkEnd w:id="0"/>
      <w:r>
        <w:t>Past</w:t>
      </w:r>
      <w:r w:rsidR="009C55ED">
        <w:t xml:space="preserve"> capex performance</w:t>
      </w:r>
      <w:bookmarkEnd w:id="24"/>
    </w:p>
    <w:p w:rsidR="008A6114" w:rsidRPr="008A6114" w:rsidRDefault="00AF0E03" w:rsidP="008A6114">
      <w:r>
        <w:t>W</w:t>
      </w:r>
      <w:r w:rsidR="008A6114">
        <w:t>e consider there is limited benefit in reviewing</w:t>
      </w:r>
      <w:r>
        <w:t xml:space="preserve"> </w:t>
      </w:r>
      <w:r w:rsidR="008A6114">
        <w:t xml:space="preserve">Directlink's capex performance </w:t>
      </w:r>
      <w:r w:rsidR="00020077">
        <w:t xml:space="preserve">with other NSPs or on a trend basis over the previous period, </w:t>
      </w:r>
      <w:r>
        <w:t>as there are no equivalent electricity network assets to provide meaningful comparisons given the nature and small scale of Directlink's operations and</w:t>
      </w:r>
      <w:r w:rsidR="00416667">
        <w:t xml:space="preserve"> </w:t>
      </w:r>
      <w:r w:rsidR="00B165A0">
        <w:t xml:space="preserve">that there was </w:t>
      </w:r>
      <w:r w:rsidR="00B165A0" w:rsidRPr="00B165A0">
        <w:t xml:space="preserve">no allowance for </w:t>
      </w:r>
      <w:r>
        <w:t xml:space="preserve">capital expenditure </w:t>
      </w:r>
      <w:r w:rsidR="00416667">
        <w:t xml:space="preserve">approved </w:t>
      </w:r>
      <w:r>
        <w:t>for Directlink for the 200</w:t>
      </w:r>
      <w:r w:rsidR="001D6DB8">
        <w:t>6</w:t>
      </w:r>
      <w:r>
        <w:t>-1</w:t>
      </w:r>
      <w:r w:rsidR="001D6DB8">
        <w:t>5</w:t>
      </w:r>
      <w:r>
        <w:t xml:space="preserve"> regulatory </w:t>
      </w:r>
      <w:r w:rsidR="00416667">
        <w:t xml:space="preserve">control </w:t>
      </w:r>
      <w:r>
        <w:t>period</w:t>
      </w:r>
      <w:r w:rsidR="006C4F5A">
        <w:t>.</w:t>
      </w:r>
      <w:r>
        <w:rPr>
          <w:rStyle w:val="FootnoteReference"/>
        </w:rPr>
        <w:footnoteReference w:id="28"/>
      </w:r>
      <w:r>
        <w:t xml:space="preserve"> </w:t>
      </w:r>
    </w:p>
    <w:p w:rsidR="00593827" w:rsidRDefault="00593827" w:rsidP="00593827">
      <w:pPr>
        <w:pStyle w:val="AERbodytext"/>
      </w:pPr>
      <w:r>
        <w:t xml:space="preserve">One of the capex factors that we are required to </w:t>
      </w:r>
      <w:r w:rsidR="00BE3AE0">
        <w:t xml:space="preserve">have regard to </w:t>
      </w:r>
      <w:r>
        <w:t xml:space="preserve">in </w:t>
      </w:r>
      <w:r w:rsidR="00BE3AE0">
        <w:t xml:space="preserve">determining </w:t>
      </w:r>
      <w:r>
        <w:t>a</w:t>
      </w:r>
      <w:r w:rsidR="007544D9">
        <w:t>n</w:t>
      </w:r>
      <w:r>
        <w:t xml:space="preserve"> </w:t>
      </w:r>
      <w:r w:rsidR="006C4F5A">
        <w:t>electricity network provider's</w:t>
      </w:r>
      <w:r>
        <w:t xml:space="preserve"> capex allowance is the </w:t>
      </w:r>
      <w:r w:rsidR="006C4F5A" w:rsidRPr="006C4F5A">
        <w:t xml:space="preserve">electricity network provider's </w:t>
      </w:r>
      <w:r>
        <w:t xml:space="preserve">actual and expected capex in previous </w:t>
      </w:r>
      <w:r>
        <w:lastRenderedPageBreak/>
        <w:t>regulatory control periods.</w:t>
      </w:r>
      <w:r>
        <w:rPr>
          <w:rStyle w:val="FootnoteReference"/>
        </w:rPr>
        <w:footnoteReference w:id="29"/>
      </w:r>
      <w:r>
        <w:t xml:space="preserve"> </w:t>
      </w:r>
      <w:r w:rsidR="004972BE">
        <w:t>Directlink's</w:t>
      </w:r>
      <w:r>
        <w:t xml:space="preserve"> capex proposal in this context suggests that the proposal appears relatively high when compared with the historic trend (see </w:t>
      </w:r>
      <w:r w:rsidR="00F6718C">
        <w:fldChar w:fldCharType="begin"/>
      </w:r>
      <w:r w:rsidR="00F6718C">
        <w:instrText xml:space="preserve"> REF _Ref404091001 \h </w:instrText>
      </w:r>
      <w:r w:rsidR="00F6718C">
        <w:fldChar w:fldCharType="separate"/>
      </w:r>
      <w:r w:rsidR="00117C35">
        <w:t>Figure 6-</w:t>
      </w:r>
      <w:r w:rsidR="00117C35">
        <w:rPr>
          <w:noProof/>
        </w:rPr>
        <w:t>2</w:t>
      </w:r>
      <w:r w:rsidR="00F6718C">
        <w:fldChar w:fldCharType="end"/>
      </w:r>
      <w:r>
        <w:t xml:space="preserve">). </w:t>
      </w:r>
    </w:p>
    <w:p w:rsidR="00593827" w:rsidRDefault="00F6718C" w:rsidP="00F6718C">
      <w:pPr>
        <w:pStyle w:val="Caption"/>
      </w:pPr>
      <w:bookmarkStart w:id="25" w:name="_Ref404091001"/>
      <w:r>
        <w:t xml:space="preserve">Figure </w:t>
      </w:r>
      <w:r w:rsidR="00117C35">
        <w:t>6-</w:t>
      </w:r>
      <w:fldSimple w:instr=" SEQ Figure \* ARABIC ">
        <w:r>
          <w:rPr>
            <w:noProof/>
          </w:rPr>
          <w:t>2</w:t>
        </w:r>
      </w:fldSimple>
      <w:bookmarkEnd w:id="25"/>
      <w:r w:rsidR="00593827" w:rsidRPr="00E43A58">
        <w:tab/>
      </w:r>
      <w:r w:rsidR="004972BE">
        <w:t>Directlink</w:t>
      </w:r>
      <w:r w:rsidR="00593827">
        <w:t xml:space="preserve"> </w:t>
      </w:r>
      <w:r w:rsidR="006C4F5A">
        <w:t xml:space="preserve">capital expenditure </w:t>
      </w:r>
      <w:r w:rsidR="00593827">
        <w:t>(</w:t>
      </w:r>
      <w:r w:rsidR="006C4F5A">
        <w:t>$ real June 2015</w:t>
      </w:r>
      <w:r w:rsidR="00593827">
        <w:t>)</w:t>
      </w:r>
    </w:p>
    <w:p w:rsidR="00777799" w:rsidRDefault="00777799" w:rsidP="00777799">
      <w:pPr>
        <w:pStyle w:val="AERbodytext"/>
        <w:numPr>
          <w:ilvl w:val="0"/>
          <w:numId w:val="0"/>
        </w:numPr>
      </w:pPr>
      <w:r w:rsidRPr="00777799">
        <w:rPr>
          <w:noProof/>
          <w:lang w:eastAsia="en-AU"/>
        </w:rPr>
        <w:drawing>
          <wp:inline distT="0" distB="0" distL="0" distR="0" wp14:anchorId="69459D71" wp14:editId="2EB5D69D">
            <wp:extent cx="5438775" cy="33813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1A53" w:rsidRDefault="000C2BC5" w:rsidP="00567F76">
      <w:pPr>
        <w:pStyle w:val="AERtablesource"/>
      </w:pPr>
      <w:r>
        <w:t xml:space="preserve">Source: Directlink, </w:t>
      </w:r>
      <w:r w:rsidRPr="000C2BC5">
        <w:rPr>
          <w:rStyle w:val="AERtextitalic"/>
        </w:rPr>
        <w:t xml:space="preserve">Revenue proposal, Regulatory Information Notice, </w:t>
      </w:r>
      <w:r w:rsidR="00833A51">
        <w:rPr>
          <w:rStyle w:val="AERtextitalic"/>
        </w:rPr>
        <w:t>Template</w:t>
      </w:r>
      <w:r w:rsidRPr="000C2BC5">
        <w:rPr>
          <w:rStyle w:val="AERtextitalic"/>
        </w:rPr>
        <w:t xml:space="preserve"> 2.2 </w:t>
      </w:r>
      <w:r w:rsidR="00833A51">
        <w:rPr>
          <w:rStyle w:val="AERtextitalic"/>
        </w:rPr>
        <w:t>C</w:t>
      </w:r>
      <w:r w:rsidRPr="000C2BC5">
        <w:rPr>
          <w:rStyle w:val="AERtextitalic"/>
        </w:rPr>
        <w:t>apex</w:t>
      </w:r>
      <w:r>
        <w:t>.</w:t>
      </w:r>
      <w:r w:rsidR="00AB1A53">
        <w:t xml:space="preserve"> </w:t>
      </w:r>
    </w:p>
    <w:p w:rsidR="00593827" w:rsidRPr="00417231" w:rsidRDefault="0051361F" w:rsidP="00417231">
      <w:pPr>
        <w:pStyle w:val="AERbodytext"/>
      </w:pPr>
      <w:r>
        <w:t xml:space="preserve">For the period up to 2014/15, </w:t>
      </w:r>
      <w:r w:rsidR="00117C35">
        <w:fldChar w:fldCharType="begin"/>
      </w:r>
      <w:r w:rsidR="00117C35">
        <w:instrText xml:space="preserve"> REF _Ref404091001 \h </w:instrText>
      </w:r>
      <w:r w:rsidR="00117C35">
        <w:fldChar w:fldCharType="separate"/>
      </w:r>
      <w:r w:rsidR="00117C35">
        <w:t>Figure 6-</w:t>
      </w:r>
      <w:r w:rsidR="00117C35">
        <w:rPr>
          <w:noProof/>
        </w:rPr>
        <w:t>2</w:t>
      </w:r>
      <w:r w:rsidR="00117C35">
        <w:fldChar w:fldCharType="end"/>
      </w:r>
      <w:r w:rsidR="00593827">
        <w:t xml:space="preserve"> shows actual</w:t>
      </w:r>
      <w:r w:rsidR="00F354BC">
        <w:t>/estimated</w:t>
      </w:r>
      <w:r w:rsidR="00593827">
        <w:t xml:space="preserve"> historic capex (rather than forecasts and allowances). </w:t>
      </w:r>
      <w:r w:rsidR="008F1299">
        <w:t>Directlink</w:t>
      </w:r>
      <w:r w:rsidR="006C7F98">
        <w:t xml:space="preserve"> submitted that the proposed capex </w:t>
      </w:r>
      <w:r w:rsidR="008F1299">
        <w:t xml:space="preserve">program reflects that </w:t>
      </w:r>
      <w:r w:rsidR="00D6033B">
        <w:t xml:space="preserve">a number of </w:t>
      </w:r>
      <w:r w:rsidR="008F1299">
        <w:t xml:space="preserve">its </w:t>
      </w:r>
      <w:r w:rsidR="00D6033B">
        <w:t xml:space="preserve">assets </w:t>
      </w:r>
      <w:r w:rsidR="008F1299">
        <w:t xml:space="preserve">are </w:t>
      </w:r>
      <w:r w:rsidR="00D6033B">
        <w:t xml:space="preserve">nearing the end of their useful life as well as </w:t>
      </w:r>
      <w:r w:rsidR="008F1299">
        <w:t>the requirement to maintain t</w:t>
      </w:r>
      <w:r w:rsidR="00D6033B" w:rsidRPr="00454EE5">
        <w:t>he maximum capability of the link with a high degree of reliability, whilst ensuring that all regulatory, statutory and legislative requirements are met.</w:t>
      </w:r>
      <w:r w:rsidR="00D6033B">
        <w:t xml:space="preserve"> </w:t>
      </w:r>
      <w:r w:rsidR="008D3A02">
        <w:t>We reviewed this justification in the course of assessing the capex program proposed by</w:t>
      </w:r>
      <w:r w:rsidR="00C22334">
        <w:t xml:space="preserve"> Directlink's capex </w:t>
      </w:r>
      <w:r w:rsidR="00F0514E">
        <w:t xml:space="preserve">forecasts </w:t>
      </w:r>
      <w:r w:rsidR="008D3A02">
        <w:t xml:space="preserve">as </w:t>
      </w:r>
      <w:r w:rsidR="00C22334">
        <w:t xml:space="preserve">discussed in section </w:t>
      </w:r>
      <w:r w:rsidR="00505A67">
        <w:fldChar w:fldCharType="begin"/>
      </w:r>
      <w:r w:rsidR="00505A67">
        <w:instrText xml:space="preserve"> REF _Ref404355491 \r \h </w:instrText>
      </w:r>
      <w:r w:rsidR="00505A67">
        <w:fldChar w:fldCharType="separate"/>
      </w:r>
      <w:r w:rsidR="00505A67">
        <w:t>6.4.2</w:t>
      </w:r>
      <w:r w:rsidR="00505A67">
        <w:fldChar w:fldCharType="end"/>
      </w:r>
      <w:r w:rsidR="00C22334" w:rsidRPr="00417231">
        <w:t>.</w:t>
      </w:r>
    </w:p>
    <w:p w:rsidR="00BA519A" w:rsidRDefault="00BA519A" w:rsidP="00BA519A">
      <w:pPr>
        <w:pStyle w:val="Heading3"/>
      </w:pPr>
      <w:bookmarkStart w:id="26" w:name="_Toc404190860"/>
      <w:bookmarkStart w:id="27" w:name="_Ref404355491"/>
      <w:r>
        <w:t>Assessment of proposed capital expenditure</w:t>
      </w:r>
      <w:bookmarkEnd w:id="26"/>
      <w:bookmarkEnd w:id="27"/>
    </w:p>
    <w:p w:rsidR="001547D5" w:rsidRPr="001547D5" w:rsidRDefault="00160AC8" w:rsidP="001547D5">
      <w:r>
        <w:t xml:space="preserve">Based on our review of Directlink's asset management practices and a technical review of each of the capex projects proposed by </w:t>
      </w:r>
      <w:r w:rsidR="0047659A">
        <w:t>Directlink, w</w:t>
      </w:r>
      <w:r w:rsidR="00CB2423">
        <w:t xml:space="preserve">e consider that </w:t>
      </w:r>
      <w:r w:rsidR="00B933A3">
        <w:t xml:space="preserve">total </w:t>
      </w:r>
      <w:r w:rsidR="00505A67">
        <w:t xml:space="preserve">forecast </w:t>
      </w:r>
      <w:r w:rsidR="00B933A3">
        <w:t xml:space="preserve">capex of </w:t>
      </w:r>
      <w:r w:rsidR="00CB2423">
        <w:t>$25.</w:t>
      </w:r>
      <w:r w:rsidR="004E6B6C">
        <w:t>63</w:t>
      </w:r>
      <w:r w:rsidR="00CB2423">
        <w:t xml:space="preserve"> million ($ real June 2015) </w:t>
      </w:r>
      <w:r w:rsidR="00B933A3">
        <w:t>for Directlink in the 2015-20 period</w:t>
      </w:r>
      <w:r w:rsidR="00C06895">
        <w:t xml:space="preserve"> </w:t>
      </w:r>
      <w:r>
        <w:t>reasonably reflects the capex criteria</w:t>
      </w:r>
      <w:r w:rsidR="00B933A3">
        <w:t xml:space="preserve">. This is </w:t>
      </w:r>
      <w:r w:rsidR="00B10E5D">
        <w:t>a reduction of $9.</w:t>
      </w:r>
      <w:r w:rsidR="004E6B6C">
        <w:t>56</w:t>
      </w:r>
      <w:r w:rsidR="00B933A3">
        <w:t xml:space="preserve"> </w:t>
      </w:r>
      <w:r w:rsidR="00020077">
        <w:t>m</w:t>
      </w:r>
      <w:r w:rsidR="00B933A3">
        <w:t>illion</w:t>
      </w:r>
      <w:r w:rsidR="00020077">
        <w:t xml:space="preserve"> </w:t>
      </w:r>
      <w:r w:rsidR="00B933A3">
        <w:t xml:space="preserve">or </w:t>
      </w:r>
      <w:r w:rsidR="00C06895">
        <w:t>2</w:t>
      </w:r>
      <w:r w:rsidR="004E6B6C">
        <w:t>7</w:t>
      </w:r>
      <w:r w:rsidR="00B933A3">
        <w:t xml:space="preserve"> per cent </w:t>
      </w:r>
      <w:r w:rsidR="00020077">
        <w:t xml:space="preserve">on Directlink's capex forecast </w:t>
      </w:r>
      <w:r w:rsidR="00B933A3">
        <w:t>of $35.19 million</w:t>
      </w:r>
      <w:r>
        <w:t xml:space="preserve">. </w:t>
      </w:r>
      <w:r w:rsidR="00416667">
        <w:t xml:space="preserve">Total </w:t>
      </w:r>
      <w:r w:rsidR="00505A67">
        <w:t xml:space="preserve">forecast </w:t>
      </w:r>
      <w:r w:rsidR="00416667">
        <w:t>capex</w:t>
      </w:r>
      <w:r w:rsidR="00B933A3">
        <w:t xml:space="preserve"> of $25.</w:t>
      </w:r>
      <w:r w:rsidR="004E6B6C">
        <w:t>63</w:t>
      </w:r>
      <w:r w:rsidR="001547D5" w:rsidRPr="001547D5">
        <w:t xml:space="preserve"> million </w:t>
      </w:r>
      <w:r w:rsidR="001547D5">
        <w:t xml:space="preserve">provides Directlink with a reasonable opportunity to recover at least the </w:t>
      </w:r>
      <w:r w:rsidR="007C336E">
        <w:t>efficient costs it incurs in providing direct control network services.</w:t>
      </w:r>
      <w:r w:rsidR="007C336E">
        <w:rPr>
          <w:rStyle w:val="FootnoteReference"/>
        </w:rPr>
        <w:footnoteReference w:id="30"/>
      </w:r>
      <w:r w:rsidR="007C336E">
        <w:t xml:space="preserve">  </w:t>
      </w:r>
    </w:p>
    <w:p w:rsidR="00BA519A" w:rsidRDefault="00714663" w:rsidP="00BA519A">
      <w:pPr>
        <w:pStyle w:val="AERbodytext"/>
      </w:pPr>
      <w:r>
        <w:t xml:space="preserve">Our alternative estimate of the total forecast capex required </w:t>
      </w:r>
      <w:r w:rsidR="0051361F">
        <w:t xml:space="preserve">is based on the same list of projects Directlink used to develop its proposal, but </w:t>
      </w:r>
      <w:r>
        <w:t xml:space="preserve">reflects the following </w:t>
      </w:r>
      <w:r w:rsidR="0047659A">
        <w:t>adjustments to Directlink's proposed capex:</w:t>
      </w:r>
    </w:p>
    <w:p w:rsidR="007928F8" w:rsidRDefault="00CA4DF1" w:rsidP="001662B3">
      <w:pPr>
        <w:pStyle w:val="AERbulletlistfirststyle"/>
      </w:pPr>
      <w:r>
        <w:t>A</w:t>
      </w:r>
      <w:r w:rsidR="001662B3">
        <w:t xml:space="preserve"> reduction of $2.5 million to </w:t>
      </w:r>
      <w:r w:rsidR="0051361F">
        <w:t>the proposed</w:t>
      </w:r>
      <w:r w:rsidR="001662B3">
        <w:t xml:space="preserve"> Fire Suppression Project </w:t>
      </w:r>
      <w:r w:rsidR="007F37A1">
        <w:t>in line with</w:t>
      </w:r>
      <w:r w:rsidR="001662B3">
        <w:t xml:space="preserve"> a lower expert consultancy estimate of the project. </w:t>
      </w:r>
    </w:p>
    <w:p w:rsidR="007F37A1" w:rsidRDefault="007928F8" w:rsidP="00D439F7">
      <w:pPr>
        <w:pStyle w:val="AERbodytextindent1"/>
      </w:pPr>
      <w:r>
        <w:lastRenderedPageBreak/>
        <w:t xml:space="preserve">The Directlink facility incorporates fire detection systems but currently has no fire suppression system. </w:t>
      </w:r>
      <w:r w:rsidR="007F37A1" w:rsidRPr="00514BC2">
        <w:t>In August 2012 a fire at Mullumbimby converter station destroyed Directlink’s system 1 converter and the associated converter building. Directlink claim</w:t>
      </w:r>
      <w:r w:rsidR="0051361F">
        <w:t>s</w:t>
      </w:r>
      <w:r w:rsidR="007F37A1" w:rsidRPr="00514BC2">
        <w:t xml:space="preserve"> that the August 2012 fire demonstrated that a fire suppression system would have been beneficial as it would limit equipment damage, avoid the total loss of a convert</w:t>
      </w:r>
      <w:r w:rsidR="007F37A1">
        <w:t>e</w:t>
      </w:r>
      <w:r w:rsidR="007F37A1" w:rsidRPr="00514BC2">
        <w:t>r station and the consequent extended shutdown, as well as limit third party damage. Directlink also claim</w:t>
      </w:r>
      <w:r w:rsidR="0051361F">
        <w:t>s</w:t>
      </w:r>
      <w:r w:rsidR="007F37A1" w:rsidRPr="00514BC2">
        <w:t xml:space="preserve"> that the installation of a fire suppression system will comply with the recommendations of insurance advisors and energy industry advisors.</w:t>
      </w:r>
      <w:r w:rsidR="00DC008A">
        <w:t xml:space="preserve"> </w:t>
      </w:r>
      <w:r w:rsidR="007F37A1" w:rsidRPr="00514BC2">
        <w:t xml:space="preserve">It is estimated that the project to install the proposed fire suppression will take approximately </w:t>
      </w:r>
      <w:r w:rsidR="008A17AF">
        <w:t>three</w:t>
      </w:r>
      <w:r w:rsidR="007F37A1" w:rsidRPr="00514BC2">
        <w:t xml:space="preserve"> years at an estimated cost of $7.2</w:t>
      </w:r>
      <w:r w:rsidR="00D439F7">
        <w:t xml:space="preserve"> </w:t>
      </w:r>
      <w:r w:rsidR="007F37A1" w:rsidRPr="00514BC2">
        <w:t>m</w:t>
      </w:r>
      <w:r w:rsidR="00D439F7">
        <w:t>illion</w:t>
      </w:r>
      <w:r w:rsidR="007F37A1" w:rsidRPr="00514BC2">
        <w:t>. Directlink propose to commence the installation project in mid</w:t>
      </w:r>
      <w:r w:rsidR="007F37A1" w:rsidRPr="00514BC2">
        <w:noBreakHyphen/>
        <w:t>2016 with a planned completion date in late 2019.</w:t>
      </w:r>
      <w:r w:rsidR="00DC008A">
        <w:rPr>
          <w:rStyle w:val="FootnoteReference"/>
        </w:rPr>
        <w:footnoteReference w:id="31"/>
      </w:r>
    </w:p>
    <w:p w:rsidR="007F37A1" w:rsidRPr="007F37A1" w:rsidRDefault="007F37A1" w:rsidP="00D439F7">
      <w:pPr>
        <w:pStyle w:val="AERbodytextindent1"/>
      </w:pPr>
      <w:r w:rsidRPr="007F37A1">
        <w:t>While the extent of combustible materials (e.g. insulating oil) and the availability of ignition sources within the converter stations is unclear, it is clear from the reports relating to the 2012 fire that the converter equipment ha</w:t>
      </w:r>
      <w:r>
        <w:t>s</w:t>
      </w:r>
      <w:r w:rsidRPr="007F37A1">
        <w:t xml:space="preserve"> the potential for significant fire events. </w:t>
      </w:r>
      <w:r>
        <w:t>However, w</w:t>
      </w:r>
      <w:r w:rsidRPr="007F37A1">
        <w:t xml:space="preserve">ith the removal of the fiberglass ‘igloos’ from the reactors under the proposed phase reactor cooling revision project, a key potential source of fire risk will be removed </w:t>
      </w:r>
      <w:r>
        <w:t xml:space="preserve">from </w:t>
      </w:r>
      <w:r w:rsidRPr="007F37A1">
        <w:t>the converter buildings. Consequently, the fire risk associated with the converter buildings is likely to be significantly reduced and this will have plant performance implications as well as insurance implications for the facility</w:t>
      </w:r>
      <w:r w:rsidR="00852C0A">
        <w:t xml:space="preserve"> (the latter is considered in the opex chapter of this decision)</w:t>
      </w:r>
      <w:r w:rsidRPr="007F37A1">
        <w:t>.</w:t>
      </w:r>
      <w:r>
        <w:t xml:space="preserve"> </w:t>
      </w:r>
      <w:r w:rsidR="00852C0A">
        <w:t>We do, however, acknowledge that there remains an inherent, but reduced</w:t>
      </w:r>
      <w:r w:rsidR="0051361F">
        <w:t>,</w:t>
      </w:r>
      <w:r w:rsidR="00852C0A">
        <w:t xml:space="preserve"> fire risk with the converter buildings.</w:t>
      </w:r>
      <w:r>
        <w:t xml:space="preserve"> </w:t>
      </w:r>
    </w:p>
    <w:p w:rsidR="00643FD7" w:rsidRPr="00A33A9C" w:rsidRDefault="001662B3" w:rsidP="002254DD">
      <w:pPr>
        <w:pStyle w:val="AERbodytextindent1"/>
      </w:pPr>
      <w:r>
        <w:t xml:space="preserve">We are of the view that a prudent electricity service provider would seek the most efficient solution. </w:t>
      </w:r>
      <w:r w:rsidR="00DF1DE0">
        <w:t xml:space="preserve">Directlink received an estimate for a solution with an estimated cost some $2.5 million </w:t>
      </w:r>
      <w:r w:rsidR="007F37A1">
        <w:t>(or 55</w:t>
      </w:r>
      <w:r w:rsidR="0051361F">
        <w:t xml:space="preserve"> per cent</w:t>
      </w:r>
      <w:r w:rsidR="007F37A1">
        <w:t xml:space="preserve">) </w:t>
      </w:r>
      <w:r w:rsidR="00DF1DE0">
        <w:t>less than its proposal.</w:t>
      </w:r>
      <w:r w:rsidR="00DF1DE0">
        <w:rPr>
          <w:rStyle w:val="FootnoteReference"/>
        </w:rPr>
        <w:footnoteReference w:id="32"/>
      </w:r>
      <w:r w:rsidR="00DF1DE0">
        <w:t xml:space="preserve"> Directlink provided no information </w:t>
      </w:r>
      <w:r w:rsidR="00C23BDF">
        <w:t xml:space="preserve">to show that this estimate did not address the identified need for a suitable fire suppression system. </w:t>
      </w:r>
      <w:r w:rsidR="00643FD7" w:rsidRPr="00A33A9C">
        <w:t>We have therefore included an amount of $</w:t>
      </w:r>
      <w:r w:rsidR="00852C0A">
        <w:t>4.69 million</w:t>
      </w:r>
      <w:r w:rsidR="00643FD7" w:rsidRPr="00A33A9C">
        <w:t xml:space="preserve"> in our </w:t>
      </w:r>
      <w:r w:rsidR="0051361F">
        <w:t>substitute</w:t>
      </w:r>
      <w:r w:rsidR="00643FD7" w:rsidRPr="00A33A9C">
        <w:t xml:space="preserve"> estimate</w:t>
      </w:r>
      <w:r w:rsidR="0051361F">
        <w:t xml:space="preserve"> of total capex</w:t>
      </w:r>
      <w:r w:rsidR="00643FD7" w:rsidRPr="00A33A9C">
        <w:t>.</w:t>
      </w:r>
    </w:p>
    <w:p w:rsidR="00B610C5" w:rsidRDefault="00CA4DF1" w:rsidP="001662B3">
      <w:pPr>
        <w:pStyle w:val="AERbulletlistfirststyle"/>
      </w:pPr>
      <w:r>
        <w:t>A</w:t>
      </w:r>
      <w:r w:rsidR="001662B3">
        <w:t xml:space="preserve"> reduction of $2.13 million to </w:t>
      </w:r>
      <w:r w:rsidR="0051361F">
        <w:t>the</w:t>
      </w:r>
      <w:r w:rsidR="001662B3">
        <w:t xml:space="preserve"> </w:t>
      </w:r>
      <w:r w:rsidR="0051361F">
        <w:t xml:space="preserve">proposed </w:t>
      </w:r>
      <w:r w:rsidR="001662B3">
        <w:t>Cable Repairs Program based on our assessment of Directlink's cable strategy and improved cable fault rate</w:t>
      </w:r>
      <w:r w:rsidR="00C23BDF">
        <w:t xml:space="preserve">. </w:t>
      </w:r>
    </w:p>
    <w:p w:rsidR="00B610C5" w:rsidRPr="00B610C5" w:rsidRDefault="00B610C5" w:rsidP="00394F05">
      <w:pPr>
        <w:pStyle w:val="AERbulletlistfirststyle"/>
        <w:numPr>
          <w:ilvl w:val="0"/>
          <w:numId w:val="0"/>
        </w:numPr>
        <w:ind w:left="357"/>
      </w:pPr>
      <w:r w:rsidRPr="00B610C5">
        <w:t>The DC cables associated with the Directlink facility exhibit a high failure rate associated with water ingress at cable joints. This cable fault trend showed a considerable worsening over the period from 2002 to 2010. Directlink ha</w:t>
      </w:r>
      <w:r>
        <w:t>s</w:t>
      </w:r>
      <w:r w:rsidRPr="00B610C5">
        <w:t xml:space="preserve"> advised that in 2011-12 the </w:t>
      </w:r>
      <w:r w:rsidR="006B0C84" w:rsidRPr="00B610C5">
        <w:t>facilit</w:t>
      </w:r>
      <w:r w:rsidR="006B0C84">
        <w:t>y'</w:t>
      </w:r>
      <w:r w:rsidR="006B0C84" w:rsidRPr="00B610C5">
        <w:t xml:space="preserve">s </w:t>
      </w:r>
      <w:r w:rsidRPr="00B610C5">
        <w:t>availability was 78.25</w:t>
      </w:r>
      <w:r w:rsidR="002254DD">
        <w:t xml:space="preserve"> per cent</w:t>
      </w:r>
      <w:r w:rsidRPr="00B610C5">
        <w:t xml:space="preserve"> and there were 12 cable faults that accounted for 50.96</w:t>
      </w:r>
      <w:r w:rsidR="002254DD">
        <w:t xml:space="preserve"> per cent</w:t>
      </w:r>
      <w:r w:rsidRPr="00B610C5">
        <w:t xml:space="preserve"> of the </w:t>
      </w:r>
      <w:r w:rsidR="006B0C84" w:rsidRPr="00B610C5">
        <w:t>facilit</w:t>
      </w:r>
      <w:r w:rsidR="006B0C84">
        <w:t>y's</w:t>
      </w:r>
      <w:r w:rsidR="006B0C84" w:rsidRPr="00B610C5">
        <w:t xml:space="preserve"> </w:t>
      </w:r>
      <w:r w:rsidRPr="00B610C5">
        <w:t>unavailability which is a contribution to availability of 2.77</w:t>
      </w:r>
      <w:r w:rsidR="002254DD">
        <w:t xml:space="preserve"> per cent</w:t>
      </w:r>
      <w:r w:rsidRPr="00B610C5">
        <w:t xml:space="preserve"> for cable fault avoided.</w:t>
      </w:r>
      <w:r w:rsidRPr="00B610C5">
        <w:rPr>
          <w:rStyle w:val="FootnoteReference"/>
        </w:rPr>
        <w:footnoteReference w:id="33"/>
      </w:r>
    </w:p>
    <w:p w:rsidR="00B610C5" w:rsidRPr="00B610C5" w:rsidRDefault="00B610C5" w:rsidP="00394F05">
      <w:pPr>
        <w:pStyle w:val="AERbulletlistfirststyle"/>
        <w:numPr>
          <w:ilvl w:val="0"/>
          <w:numId w:val="0"/>
        </w:numPr>
        <w:ind w:left="357"/>
      </w:pPr>
      <w:r w:rsidRPr="00B610C5">
        <w:t xml:space="preserve">To address the cable performance Directlink has developed a strategy of replacing significant lengths of cable adjacent to the fault. </w:t>
      </w:r>
      <w:r>
        <w:t>We understand</w:t>
      </w:r>
      <w:r w:rsidRPr="00B610C5">
        <w:t xml:space="preserve"> that this strategy has been applied for approximately the past three years</w:t>
      </w:r>
      <w:r>
        <w:rPr>
          <w:rStyle w:val="FootnoteReference"/>
        </w:rPr>
        <w:footnoteReference w:id="34"/>
      </w:r>
      <w:r w:rsidRPr="00B610C5">
        <w:t xml:space="preserve"> and has shown a considerable improvement in cable failure rates over this time. The proposed expenditure of $2.84</w:t>
      </w:r>
      <w:r w:rsidR="002254DD">
        <w:t xml:space="preserve"> </w:t>
      </w:r>
      <w:r w:rsidRPr="00B610C5">
        <w:t>m</w:t>
      </w:r>
      <w:r w:rsidR="002254DD">
        <w:t>illion</w:t>
      </w:r>
      <w:r w:rsidRPr="00B610C5">
        <w:t xml:space="preserve"> provides for cable and associated jointing materials to support this strategy through the maintenance of suitable spares and an expansion of the replacement program.</w:t>
      </w:r>
      <w:r w:rsidR="002254DD">
        <w:rPr>
          <w:rStyle w:val="FootnoteReference"/>
        </w:rPr>
        <w:footnoteReference w:id="35"/>
      </w:r>
      <w:r w:rsidR="002254DD" w:rsidRPr="00B610C5">
        <w:t xml:space="preserve"> </w:t>
      </w:r>
    </w:p>
    <w:p w:rsidR="00643FD7" w:rsidRPr="00A33A9C" w:rsidRDefault="00B610C5" w:rsidP="00CF4A6A">
      <w:pPr>
        <w:pStyle w:val="AERbulletlistfirststyle"/>
        <w:numPr>
          <w:ilvl w:val="0"/>
          <w:numId w:val="0"/>
        </w:numPr>
        <w:ind w:left="357"/>
      </w:pPr>
      <w:r>
        <w:t>W</w:t>
      </w:r>
      <w:r w:rsidR="00861EBF">
        <w:t xml:space="preserve">e consider Directlink's cable repair strategy of replacing significant lengths of cable adjacent to the cable fault to be a prudent response to the worsening historical cable failure rates, </w:t>
      </w:r>
      <w:r>
        <w:t xml:space="preserve">given the </w:t>
      </w:r>
      <w:r>
        <w:lastRenderedPageBreak/>
        <w:t xml:space="preserve">improvements that are progressively being made in reduced cable outages. However, </w:t>
      </w:r>
      <w:r w:rsidR="00861EBF">
        <w:t xml:space="preserve">we </w:t>
      </w:r>
      <w:r w:rsidR="005E56B1">
        <w:t xml:space="preserve">consider </w:t>
      </w:r>
      <w:r w:rsidR="00861EBF">
        <w:t>the proposed cost is not based on a realistic estimate</w:t>
      </w:r>
      <w:r>
        <w:t xml:space="preserve"> as the basis of the estimate assumes the continuation of 12 faults each year with no improvement</w:t>
      </w:r>
      <w:r w:rsidR="00861EBF">
        <w:t xml:space="preserve">. We consider that </w:t>
      </w:r>
      <w:r w:rsidR="005E56B1">
        <w:t xml:space="preserve">an average cable failure rate of three per annum can be expected to reflect the full impact of Directlink's cable repair strategy. We do not accept Directlink's estimate of a continuation of 12 cable faults per annum with no improvement. </w:t>
      </w:r>
      <w:r w:rsidR="00643FD7" w:rsidRPr="00A33A9C">
        <w:t>We have therefore included an amount of $</w:t>
      </w:r>
      <w:r w:rsidR="00AF57EA">
        <w:t>0.71 million</w:t>
      </w:r>
      <w:r w:rsidR="00643FD7" w:rsidRPr="00A33A9C">
        <w:t xml:space="preserve"> in our alternative estimate.</w:t>
      </w:r>
    </w:p>
    <w:p w:rsidR="00B610C5" w:rsidRDefault="00CA4DF1" w:rsidP="001662B3">
      <w:pPr>
        <w:pStyle w:val="AERbulletlistfirststyle"/>
      </w:pPr>
      <w:r>
        <w:t>A</w:t>
      </w:r>
      <w:r w:rsidR="001662B3">
        <w:t xml:space="preserve"> reduction of $1.46 million to </w:t>
      </w:r>
      <w:r w:rsidR="0051361F">
        <w:t>the related</w:t>
      </w:r>
      <w:r w:rsidR="001662B3">
        <w:t xml:space="preserve"> Sourcing Program for Cable Joint Kits based on an expected reduced cable fault rate</w:t>
      </w:r>
      <w:r w:rsidR="005E56B1">
        <w:t xml:space="preserve">. </w:t>
      </w:r>
    </w:p>
    <w:p w:rsidR="00DC008A" w:rsidRDefault="00B610C5" w:rsidP="00E660B4">
      <w:pPr>
        <w:pStyle w:val="AERbulletlistfirststyle"/>
        <w:numPr>
          <w:ilvl w:val="0"/>
          <w:numId w:val="0"/>
        </w:numPr>
        <w:ind w:left="357"/>
      </w:pPr>
      <w:r w:rsidRPr="00514BC2">
        <w:t xml:space="preserve">Directlink </w:t>
      </w:r>
      <w:r w:rsidRPr="00B610C5">
        <w:t>is proposing $1.94</w:t>
      </w:r>
      <w:r w:rsidR="00E660B4">
        <w:t xml:space="preserve"> </w:t>
      </w:r>
      <w:r w:rsidRPr="00B610C5">
        <w:t>m</w:t>
      </w:r>
      <w:r w:rsidR="00E660B4">
        <w:t>illion</w:t>
      </w:r>
      <w:r w:rsidRPr="00B610C5">
        <w:t xml:space="preserve"> of capex to maintain an adequate inventory of cable jointing materials and support the cable repair expenditure discussed above</w:t>
      </w:r>
      <w:r>
        <w:t>.</w:t>
      </w:r>
      <w:r w:rsidR="00746BC7">
        <w:rPr>
          <w:rStyle w:val="FootnoteReference"/>
        </w:rPr>
        <w:footnoteReference w:id="36"/>
      </w:r>
      <w:r w:rsidRPr="00B610C5">
        <w:t xml:space="preserve"> </w:t>
      </w:r>
    </w:p>
    <w:p w:rsidR="001662B3" w:rsidRDefault="005E56B1" w:rsidP="00E660B4">
      <w:pPr>
        <w:pStyle w:val="AERbulletlistfirststyle"/>
        <w:numPr>
          <w:ilvl w:val="0"/>
          <w:numId w:val="0"/>
        </w:numPr>
        <w:ind w:left="357"/>
      </w:pPr>
      <w:r>
        <w:t xml:space="preserve">Whilst we consider </w:t>
      </w:r>
      <w:r w:rsidR="009F6708">
        <w:t xml:space="preserve">Directlink's proposal to maintain an adequate inventory of cable jointing materials to </w:t>
      </w:r>
      <w:r w:rsidR="005503B4">
        <w:t>support</w:t>
      </w:r>
      <w:r w:rsidR="009F6708">
        <w:t xml:space="preserve"> cable repair to be prudent, we do not consider the proposed expenditure to be efficient because we expect an improvement in the rate of cable faults as discussed above.</w:t>
      </w:r>
      <w:r w:rsidR="00A33A9C" w:rsidRPr="00A33A9C">
        <w:t xml:space="preserve"> </w:t>
      </w:r>
      <w:r w:rsidR="00A33A9C">
        <w:t>We have therefore included an amount of $</w:t>
      </w:r>
      <w:r w:rsidR="00E660B4">
        <w:t>0.48 million</w:t>
      </w:r>
      <w:r w:rsidR="00A33A9C">
        <w:t xml:space="preserve"> in our</w:t>
      </w:r>
      <w:r w:rsidR="00A33A9C" w:rsidRPr="00A33A9C">
        <w:t xml:space="preserve"> alternative estimate.</w:t>
      </w:r>
    </w:p>
    <w:p w:rsidR="00B610C5" w:rsidRDefault="00CA4DF1" w:rsidP="001662B3">
      <w:pPr>
        <w:pStyle w:val="AERbulletlistfirststyle"/>
      </w:pPr>
      <w:r>
        <w:t>A</w:t>
      </w:r>
      <w:r w:rsidR="001662B3">
        <w:t xml:space="preserve"> reduction of $0.99 million for its </w:t>
      </w:r>
      <w:r w:rsidR="0051361F">
        <w:t xml:space="preserve">proposed </w:t>
      </w:r>
      <w:r w:rsidR="001662B3">
        <w:t>Zero Sequence Reactor Repair as a suitable reactor could be sourced for about a third of the cost of the proposed OEM reactor</w:t>
      </w:r>
      <w:r w:rsidR="009F6708">
        <w:t>.</w:t>
      </w:r>
      <w:r w:rsidR="001662B3">
        <w:t xml:space="preserve"> </w:t>
      </w:r>
    </w:p>
    <w:p w:rsidR="00B610C5" w:rsidRPr="00B610C5" w:rsidRDefault="00B610C5" w:rsidP="00E660B4">
      <w:pPr>
        <w:pStyle w:val="AERbulletlistfirststyle"/>
        <w:numPr>
          <w:ilvl w:val="0"/>
          <w:numId w:val="0"/>
        </w:numPr>
        <w:ind w:left="357"/>
      </w:pPr>
      <w:r w:rsidRPr="00B610C5">
        <w:t>Directlink is proposing to refurbish its spare zero sequence reactor</w:t>
      </w:r>
      <w:r w:rsidR="0051361F">
        <w:t xml:space="preserve">, which </w:t>
      </w:r>
      <w:r w:rsidRPr="00B610C5">
        <w:t xml:space="preserve">has been found to have corrosion damage in the core laminations. </w:t>
      </w:r>
      <w:r w:rsidR="000655F0">
        <w:t>Its</w:t>
      </w:r>
      <w:r w:rsidRPr="00B610C5">
        <w:t xml:space="preserve"> forecast cost of this work is $1.5</w:t>
      </w:r>
      <w:r w:rsidR="00E660B4">
        <w:t xml:space="preserve"> </w:t>
      </w:r>
      <w:r w:rsidRPr="00B610C5">
        <w:t>m</w:t>
      </w:r>
      <w:r w:rsidR="00E660B4">
        <w:t>illion</w:t>
      </w:r>
      <w:r w:rsidRPr="00B610C5">
        <w:t>.</w:t>
      </w:r>
      <w:r>
        <w:t xml:space="preserve"> We unde</w:t>
      </w:r>
      <w:r w:rsidR="00746BC7">
        <w:t>r</w:t>
      </w:r>
      <w:r>
        <w:t>stand</w:t>
      </w:r>
      <w:r w:rsidRPr="00B610C5">
        <w:t xml:space="preserve"> the reactor was originally purchased in 1999 as a spare and has been held in a wooden crate at various storage facilities since its purchase. APA acquired this spare in 2007 when </w:t>
      </w:r>
      <w:r w:rsidR="000655F0">
        <w:t>it</w:t>
      </w:r>
      <w:r w:rsidRPr="00B610C5">
        <w:t xml:space="preserve"> purchased the Directlink facility.</w:t>
      </w:r>
      <w:r w:rsidR="00643FD7">
        <w:rPr>
          <w:rStyle w:val="FootnoteReference"/>
        </w:rPr>
        <w:footnoteReference w:id="37"/>
      </w:r>
      <w:r w:rsidRPr="00B610C5">
        <w:t xml:space="preserve"> </w:t>
      </w:r>
    </w:p>
    <w:p w:rsidR="00A33A9C" w:rsidRDefault="000655F0" w:rsidP="00E660B4">
      <w:pPr>
        <w:pStyle w:val="AERbulletlistfirststyle"/>
        <w:numPr>
          <w:ilvl w:val="0"/>
          <w:numId w:val="0"/>
        </w:numPr>
        <w:ind w:left="357"/>
      </w:pPr>
      <w:r>
        <w:t>Z</w:t>
      </w:r>
      <w:r w:rsidR="00714663" w:rsidRPr="00B610C5">
        <w:t xml:space="preserve">ero sequence reactors are an integral part of the facility and are not </w:t>
      </w:r>
      <w:r>
        <w:t>easy to</w:t>
      </w:r>
      <w:r w:rsidR="00714663" w:rsidRPr="00B610C5">
        <w:t xml:space="preserve"> acquire</w:t>
      </w:r>
      <w:r>
        <w:t xml:space="preserve"> and have</w:t>
      </w:r>
      <w:r w:rsidR="00714663" w:rsidRPr="00B610C5">
        <w:t xml:space="preserve"> long lead times</w:t>
      </w:r>
      <w:r>
        <w:t>.</w:t>
      </w:r>
      <w:r w:rsidR="00714663">
        <w:t xml:space="preserve"> </w:t>
      </w:r>
      <w:r>
        <w:t>W</w:t>
      </w:r>
      <w:r w:rsidR="009F6708">
        <w:t xml:space="preserve">e </w:t>
      </w:r>
      <w:r>
        <w:t xml:space="preserve">therefore </w:t>
      </w:r>
      <w:r w:rsidR="009F6708">
        <w:t xml:space="preserve">consider </w:t>
      </w:r>
      <w:r w:rsidR="009F6708" w:rsidRPr="009F6708">
        <w:t>it prudent to ensure that a working spare reactor is available as this may impact on the availability performance of the Directlink facility.</w:t>
      </w:r>
      <w:r w:rsidR="001662B3">
        <w:t xml:space="preserve"> </w:t>
      </w:r>
      <w:r w:rsidR="009F6708">
        <w:t xml:space="preserve">However, we do not accept </w:t>
      </w:r>
      <w:r w:rsidR="00802264">
        <w:t xml:space="preserve">Directlink's claim that </w:t>
      </w:r>
      <w:r w:rsidR="00211B9C">
        <w:t xml:space="preserve">experimenting with alternative suppliers to the OEM incurs increased technical risk in addition to </w:t>
      </w:r>
      <w:r w:rsidR="00B10E5D">
        <w:t>jeopardising</w:t>
      </w:r>
      <w:r w:rsidR="00211B9C">
        <w:t xml:space="preserve"> the original design performance and ongoing OEM support of Directlink's system</w:t>
      </w:r>
      <w:r w:rsidR="00802264">
        <w:t>.</w:t>
      </w:r>
      <w:r w:rsidR="00802264">
        <w:rPr>
          <w:rStyle w:val="FootnoteReference"/>
        </w:rPr>
        <w:footnoteReference w:id="38"/>
      </w:r>
      <w:r w:rsidR="00802264">
        <w:t xml:space="preserve"> </w:t>
      </w:r>
    </w:p>
    <w:p w:rsidR="001D6DB8" w:rsidRPr="001D6DB8" w:rsidRDefault="001D6DB8" w:rsidP="00C16FB3">
      <w:pPr>
        <w:pStyle w:val="AERbodytextindent1"/>
      </w:pPr>
      <w:r w:rsidRPr="001D6DB8">
        <w:t>We consider that a suitable reactor could be competitively sourced with minimal risk as there are various suppliers that could manufacture a similar device to the original electrical specification. Whilst we recognise the unique nature of the proposed work, it is our view that it is likely that a suitable reactor could be competitively sourced for around one third of the proposed cost</w:t>
      </w:r>
      <w:r w:rsidRPr="00C16FB3">
        <w:rPr>
          <w:rStyle w:val="AERsuperscript"/>
        </w:rPr>
        <w:footnoteReference w:id="39"/>
      </w:r>
      <w:r w:rsidRPr="001D6DB8">
        <w:t>. We have therefore included an amount of $0.52 million in our alternative estimate.</w:t>
      </w:r>
    </w:p>
    <w:p w:rsidR="00E538EB" w:rsidRDefault="00E538EB" w:rsidP="00E538EB">
      <w:pPr>
        <w:pStyle w:val="AERbulletlistfirststyle"/>
      </w:pPr>
      <w:r>
        <w:t xml:space="preserve">Removal of $0.37 million for cable relocation. </w:t>
      </w:r>
    </w:p>
    <w:p w:rsidR="00DC008A" w:rsidRDefault="00802264" w:rsidP="008349C3">
      <w:pPr>
        <w:pStyle w:val="AERbulletlistfirststyle"/>
        <w:numPr>
          <w:ilvl w:val="0"/>
          <w:numId w:val="0"/>
        </w:numPr>
        <w:ind w:left="357"/>
      </w:pPr>
      <w:r w:rsidRPr="00802264">
        <w:lastRenderedPageBreak/>
        <w:t>Directlink is proposing a $0.37</w:t>
      </w:r>
      <w:r w:rsidR="003433ED">
        <w:t xml:space="preserve"> </w:t>
      </w:r>
      <w:r w:rsidRPr="00802264">
        <w:t>m</w:t>
      </w:r>
      <w:r w:rsidR="003433ED">
        <w:t>illion</w:t>
      </w:r>
      <w:r w:rsidRPr="00802264">
        <w:t xml:space="preserve"> capex provision for the relocation of its DC cables in the event they need to be relocated due to development in proximity to any of the cables over the 201</w:t>
      </w:r>
      <w:r w:rsidR="003433ED">
        <w:t>5</w:t>
      </w:r>
      <w:r w:rsidRPr="00802264">
        <w:t>-</w:t>
      </w:r>
      <w:r w:rsidR="003433ED">
        <w:t>20</w:t>
      </w:r>
      <w:r w:rsidRPr="00802264">
        <w:t xml:space="preserve"> </w:t>
      </w:r>
      <w:r>
        <w:t>period</w:t>
      </w:r>
      <w:r w:rsidRPr="00802264">
        <w:t>.</w:t>
      </w:r>
      <w:r w:rsidR="00746BC7">
        <w:rPr>
          <w:rStyle w:val="FootnoteReference"/>
        </w:rPr>
        <w:footnoteReference w:id="40"/>
      </w:r>
      <w:r w:rsidRPr="00802264">
        <w:t xml:space="preserve"> </w:t>
      </w:r>
    </w:p>
    <w:p w:rsidR="00802264" w:rsidRPr="00802264" w:rsidRDefault="00CA4DF1" w:rsidP="008349C3">
      <w:pPr>
        <w:pStyle w:val="AERbulletlistfirststyle"/>
        <w:numPr>
          <w:ilvl w:val="0"/>
          <w:numId w:val="0"/>
        </w:numPr>
        <w:ind w:left="357"/>
      </w:pPr>
      <w:r>
        <w:t>W</w:t>
      </w:r>
      <w:r w:rsidR="00802264">
        <w:t xml:space="preserve">e consider </w:t>
      </w:r>
      <w:r w:rsidR="00802264" w:rsidRPr="00802264">
        <w:t xml:space="preserve">that there is no demonstrated need for </w:t>
      </w:r>
      <w:r w:rsidR="00802264">
        <w:t xml:space="preserve">Directlink's proposed relocation of its DC cables. It is our view that </w:t>
      </w:r>
      <w:r w:rsidR="00802264" w:rsidRPr="00802264">
        <w:t xml:space="preserve">the proposed </w:t>
      </w:r>
      <w:r w:rsidR="00802264">
        <w:t xml:space="preserve">cable relocation </w:t>
      </w:r>
      <w:r w:rsidR="00802264" w:rsidRPr="00802264">
        <w:t xml:space="preserve">capex is essentially a provision for an event that may not occur. </w:t>
      </w:r>
      <w:r w:rsidR="00802264">
        <w:t>We note</w:t>
      </w:r>
      <w:r w:rsidR="00802264" w:rsidRPr="00802264">
        <w:t xml:space="preserve"> that no cable relocations have been required historically</w:t>
      </w:r>
      <w:r w:rsidR="00444270">
        <w:t xml:space="preserve"> by Directlink.</w:t>
      </w:r>
      <w:r w:rsidR="00444270">
        <w:rPr>
          <w:rStyle w:val="FootnoteReference"/>
        </w:rPr>
        <w:footnoteReference w:id="41"/>
      </w:r>
      <w:r w:rsidR="00802264">
        <w:t xml:space="preserve"> </w:t>
      </w:r>
      <w:r w:rsidR="00802264" w:rsidRPr="00802264">
        <w:t>Moreover, it is generally accepted industry practice that the proponent of any relocation (e.g. land developer) should fund all costs associated with the requested relocation. Consequently</w:t>
      </w:r>
      <w:r w:rsidR="00444270">
        <w:t>,</w:t>
      </w:r>
      <w:r w:rsidR="00802264" w:rsidRPr="00802264">
        <w:t xml:space="preserve"> </w:t>
      </w:r>
      <w:r w:rsidR="003433ED">
        <w:t>w</w:t>
      </w:r>
      <w:r w:rsidR="00444270">
        <w:t>e consider</w:t>
      </w:r>
      <w:r w:rsidR="00802264" w:rsidRPr="00802264">
        <w:t xml:space="preserve"> this capex is not prudent or efficient and </w:t>
      </w:r>
      <w:r w:rsidR="00E538EB">
        <w:t>have not included expenditure for cable relocation in our alternative estimate</w:t>
      </w:r>
      <w:r w:rsidR="00802264" w:rsidRPr="00802264">
        <w:t>.</w:t>
      </w:r>
    </w:p>
    <w:p w:rsidR="00BC3D2C" w:rsidRDefault="00BC3D2C" w:rsidP="001662B3">
      <w:pPr>
        <w:pStyle w:val="AERbulletlistfirststyle"/>
      </w:pPr>
      <w:r>
        <w:t xml:space="preserve">Removal of $0.34 million for </w:t>
      </w:r>
      <w:r w:rsidR="00F424EE">
        <w:t>emergency lighting</w:t>
      </w:r>
    </w:p>
    <w:p w:rsidR="008C0376" w:rsidRPr="008C0376" w:rsidRDefault="008C0376" w:rsidP="00C14CEE">
      <w:pPr>
        <w:pStyle w:val="AERbulletlistfirststyle"/>
        <w:numPr>
          <w:ilvl w:val="0"/>
          <w:numId w:val="0"/>
        </w:numPr>
        <w:ind w:left="357"/>
      </w:pPr>
      <w:r w:rsidRPr="008C0376">
        <w:t>Directlink has identified that the existing converter stations have limited emergency lighting and exit signs and is proposing capex of $0.34m to bring the facility up to the requirements of the current building code and relevant Australian standards.</w:t>
      </w:r>
      <w:r w:rsidR="00DC008A">
        <w:rPr>
          <w:rStyle w:val="FootnoteReference"/>
        </w:rPr>
        <w:footnoteReference w:id="42"/>
      </w:r>
    </w:p>
    <w:p w:rsidR="008C0376" w:rsidRPr="008C0376" w:rsidRDefault="008144EF" w:rsidP="00C14CEE">
      <w:pPr>
        <w:pStyle w:val="AERbulletlistfirststyle"/>
        <w:numPr>
          <w:ilvl w:val="0"/>
          <w:numId w:val="0"/>
        </w:numPr>
        <w:ind w:left="357"/>
      </w:pPr>
      <w:r>
        <w:t>We are aware that</w:t>
      </w:r>
      <w:r w:rsidRPr="008144EF">
        <w:t xml:space="preserve"> Directlink</w:t>
      </w:r>
      <w:r>
        <w:t xml:space="preserve">'s </w:t>
      </w:r>
      <w:r w:rsidRPr="008144EF">
        <w:t xml:space="preserve">facility was designed and built to the relevant requirements of the </w:t>
      </w:r>
      <w:r>
        <w:t>B</w:t>
      </w:r>
      <w:r w:rsidRPr="008144EF">
        <w:t xml:space="preserve">uilding </w:t>
      </w:r>
      <w:r>
        <w:t>C</w:t>
      </w:r>
      <w:r w:rsidRPr="008144EF">
        <w:t xml:space="preserve">ode </w:t>
      </w:r>
      <w:r>
        <w:t xml:space="preserve">of Australia </w:t>
      </w:r>
      <w:r w:rsidR="002964D8">
        <w:t>and Australian S</w:t>
      </w:r>
      <w:r w:rsidRPr="008144EF">
        <w:t>tandards at the time of its construction. There is no requirement in the NER,</w:t>
      </w:r>
      <w:r w:rsidR="002964D8">
        <w:t xml:space="preserve"> the Building Code of Australia</w:t>
      </w:r>
      <w:r w:rsidRPr="008144EF">
        <w:t xml:space="preserve"> or in the relevant Australian Standards that requires the retrospective application of these requirements or standards to existing facilities. Consequently </w:t>
      </w:r>
      <w:r w:rsidR="002964D8">
        <w:t>we consider that</w:t>
      </w:r>
      <w:r w:rsidRPr="008144EF">
        <w:t xml:space="preserve"> the need for this expenditure has not been demonstrated and </w:t>
      </w:r>
      <w:r w:rsidR="008C0376">
        <w:t>have not included expenditure for this emergency lighting project in our alternative estimate</w:t>
      </w:r>
      <w:r w:rsidR="008C0376" w:rsidRPr="008C0376">
        <w:t>.</w:t>
      </w:r>
    </w:p>
    <w:p w:rsidR="008C0376" w:rsidRDefault="00DC008A" w:rsidP="00CA4DF1">
      <w:pPr>
        <w:pStyle w:val="AERbulletlistfirststyle"/>
      </w:pPr>
      <w:r>
        <w:t xml:space="preserve">A reduction </w:t>
      </w:r>
      <w:r w:rsidR="008C0376">
        <w:t>of $0.2</w:t>
      </w:r>
      <w:r>
        <w:t xml:space="preserve">1 </w:t>
      </w:r>
      <w:r w:rsidR="008C0376">
        <w:t>m</w:t>
      </w:r>
      <w:r>
        <w:t>illion</w:t>
      </w:r>
      <w:r w:rsidR="008C0376">
        <w:t xml:space="preserve"> for </w:t>
      </w:r>
      <w:r>
        <w:t>addressing roofing corrosion.</w:t>
      </w:r>
    </w:p>
    <w:p w:rsidR="00DC008A" w:rsidRPr="00DC008A" w:rsidRDefault="00DC008A" w:rsidP="000B3DE9">
      <w:pPr>
        <w:pStyle w:val="AERbulletlistfirststyle"/>
        <w:numPr>
          <w:ilvl w:val="0"/>
          <w:numId w:val="0"/>
        </w:numPr>
        <w:ind w:left="357"/>
      </w:pPr>
      <w:r w:rsidRPr="00DC008A">
        <w:t xml:space="preserve">Directlink has stated that high rainfall and salt in the atmosphere due to the </w:t>
      </w:r>
      <w:r w:rsidR="00136F57" w:rsidRPr="00DC008A">
        <w:t>facilit</w:t>
      </w:r>
      <w:r w:rsidR="00136F57">
        <w:t>y's</w:t>
      </w:r>
      <w:r w:rsidR="00136F57" w:rsidRPr="00DC008A">
        <w:t xml:space="preserve"> </w:t>
      </w:r>
      <w:r w:rsidRPr="00DC008A">
        <w:t xml:space="preserve">proximity to the coast has caused corrosion to the converter station roofing materials </w:t>
      </w:r>
      <w:r w:rsidR="00A954AC">
        <w:t>which</w:t>
      </w:r>
      <w:r w:rsidRPr="00DC008A">
        <w:t xml:space="preserve"> we </w:t>
      </w:r>
      <w:r w:rsidR="00A954AC">
        <w:t>are aware</w:t>
      </w:r>
      <w:r w:rsidRPr="00DC008A">
        <w:t xml:space="preserve"> is mostly confined to the vicinity of the roof fixings. Directlink </w:t>
      </w:r>
      <w:r w:rsidR="00A954AC">
        <w:t>is</w:t>
      </w:r>
      <w:r w:rsidRPr="00DC008A">
        <w:t xml:space="preserve"> proposing to undertake an annual restoration of the roofing material which i</w:t>
      </w:r>
      <w:r w:rsidR="000B3DE9">
        <w:t xml:space="preserve">t claims </w:t>
      </w:r>
      <w:r w:rsidRPr="00DC008A">
        <w:t>involve</w:t>
      </w:r>
      <w:r w:rsidR="000B3DE9">
        <w:t>s</w:t>
      </w:r>
      <w:r w:rsidRPr="00DC008A">
        <w:t xml:space="preserve"> removing the corrosion, applying rust inhibitor and a paint coating, reinforcing with fiberglass and then coating with polyurethane. The total cost of this work is forecast at $0.26m.</w:t>
      </w:r>
      <w:r>
        <w:rPr>
          <w:rStyle w:val="FootnoteReference"/>
        </w:rPr>
        <w:footnoteReference w:id="43"/>
      </w:r>
    </w:p>
    <w:p w:rsidR="00746BC7" w:rsidRPr="00A33A9C" w:rsidRDefault="0005544A" w:rsidP="000B3DE9">
      <w:pPr>
        <w:pStyle w:val="AERbulletlistfirststyle"/>
        <w:numPr>
          <w:ilvl w:val="0"/>
          <w:numId w:val="0"/>
        </w:numPr>
        <w:ind w:left="357"/>
      </w:pPr>
      <w:r>
        <w:t xml:space="preserve">We consider </w:t>
      </w:r>
      <w:r w:rsidRPr="0005544A">
        <w:t xml:space="preserve">that </w:t>
      </w:r>
      <w:r>
        <w:t xml:space="preserve">although Directlink's </w:t>
      </w:r>
      <w:r w:rsidRPr="0005544A">
        <w:t>propos</w:t>
      </w:r>
      <w:r>
        <w:t>al</w:t>
      </w:r>
      <w:r w:rsidRPr="0005544A">
        <w:t xml:space="preserve"> to arrest the corrosion and remediate the corroding roofing materials is prudent</w:t>
      </w:r>
      <w:r w:rsidR="003433ED">
        <w:t>,</w:t>
      </w:r>
      <w:r>
        <w:t xml:space="preserve"> </w:t>
      </w:r>
      <w:r w:rsidRPr="0005544A">
        <w:t xml:space="preserve">no evidence has been provided to support </w:t>
      </w:r>
      <w:r w:rsidR="003433ED">
        <w:t>its</w:t>
      </w:r>
      <w:r w:rsidRPr="0005544A">
        <w:t xml:space="preserve"> claim that it is necessary to undertake work annually. </w:t>
      </w:r>
      <w:r>
        <w:t>Further, it is our view that</w:t>
      </w:r>
      <w:r w:rsidRPr="0005544A">
        <w:t xml:space="preserve"> the proposed action to arrest the corrosion and remediate the corroding roofing materials should provide protection for a considerable period of time and certainly in excess of one year. </w:t>
      </w:r>
      <w:r w:rsidR="00CA4DF1">
        <w:t>T</w:t>
      </w:r>
      <w:r w:rsidRPr="0005544A">
        <w:t xml:space="preserve">he efficiency of this expenditure has not been demonstrated as an annual cost and we </w:t>
      </w:r>
      <w:r w:rsidR="00CA4DF1">
        <w:t>have made an</w:t>
      </w:r>
      <w:r w:rsidRPr="0005544A">
        <w:t xml:space="preserve"> adjustment of $0.21</w:t>
      </w:r>
      <w:r w:rsidR="00CA4DF1">
        <w:t xml:space="preserve"> </w:t>
      </w:r>
      <w:r w:rsidRPr="0005544A">
        <w:t>m</w:t>
      </w:r>
      <w:r w:rsidR="00CA4DF1">
        <w:t>illion</w:t>
      </w:r>
      <w:r w:rsidRPr="0005544A">
        <w:t xml:space="preserve"> to remove the annual repair cost over the subsequent </w:t>
      </w:r>
      <w:r w:rsidR="00CA4DF1">
        <w:t>four</w:t>
      </w:r>
      <w:r w:rsidRPr="0005544A">
        <w:t xml:space="preserve"> years of the </w:t>
      </w:r>
      <w:r w:rsidR="00CA4DF1">
        <w:t>2015-2020 period</w:t>
      </w:r>
      <w:r w:rsidRPr="0005544A">
        <w:t>.</w:t>
      </w:r>
      <w:r w:rsidR="00746BC7" w:rsidRPr="00746BC7">
        <w:t xml:space="preserve"> </w:t>
      </w:r>
      <w:r w:rsidR="00746BC7" w:rsidRPr="00A33A9C">
        <w:t>We have therefore included an amount of $</w:t>
      </w:r>
      <w:r w:rsidR="000B3DE9">
        <w:t>0.05 million</w:t>
      </w:r>
      <w:r w:rsidR="00746BC7" w:rsidRPr="00A33A9C">
        <w:t xml:space="preserve"> in our alternative estimate.</w:t>
      </w:r>
    </w:p>
    <w:p w:rsidR="00AB1A53" w:rsidRPr="0052078D" w:rsidRDefault="00746BC7" w:rsidP="00CA4DF1">
      <w:pPr>
        <w:pStyle w:val="AERbulletlistfirststyle"/>
        <w:rPr>
          <w:b/>
        </w:rPr>
      </w:pPr>
      <w:r>
        <w:t>Removal</w:t>
      </w:r>
      <w:r w:rsidR="001662B3">
        <w:t xml:space="preserve"> of $1.57 million </w:t>
      </w:r>
      <w:r>
        <w:t xml:space="preserve">in expenditure </w:t>
      </w:r>
      <w:r w:rsidR="00A954AC">
        <w:t>to correct for an unexplained</w:t>
      </w:r>
      <w:r w:rsidR="00EE3630">
        <w:t xml:space="preserve"> discrepancy between the amounts proposed in specified projects by Directlink and its total proposed capex. </w:t>
      </w:r>
    </w:p>
    <w:p w:rsidR="00237055" w:rsidRDefault="00EB7341" w:rsidP="0052078D">
      <w:pPr>
        <w:pStyle w:val="AERbodytext"/>
      </w:pPr>
      <w:r>
        <w:lastRenderedPageBreak/>
        <w:t xml:space="preserve">In </w:t>
      </w:r>
      <w:r w:rsidR="00A954AC">
        <w:t>determining our substitute estimate, we have included</w:t>
      </w:r>
      <w:r w:rsidR="00531603">
        <w:t xml:space="preserve"> the expenditure proposed by Directlink </w:t>
      </w:r>
      <w:r>
        <w:t>for</w:t>
      </w:r>
      <w:r w:rsidR="00531603">
        <w:t xml:space="preserve"> the following projects:</w:t>
      </w:r>
      <w:r w:rsidR="009F2396">
        <w:rPr>
          <w:rStyle w:val="FootnoteReference"/>
        </w:rPr>
        <w:footnoteReference w:id="44"/>
      </w:r>
    </w:p>
    <w:p w:rsidR="0052078D" w:rsidRDefault="00237055" w:rsidP="0052078D">
      <w:pPr>
        <w:pStyle w:val="AERbulletlistfirststyle"/>
      </w:pPr>
      <w:r>
        <w:t>Directlink</w:t>
      </w:r>
      <w:r w:rsidR="009F2396">
        <w:t>'s</w:t>
      </w:r>
      <w:r>
        <w:t xml:space="preserve"> proposed upgrad</w:t>
      </w:r>
      <w:r w:rsidR="00EE3630">
        <w:t>e</w:t>
      </w:r>
      <w:r w:rsidR="0052078D">
        <w:t xml:space="preserve"> </w:t>
      </w:r>
      <w:r w:rsidR="009F2396">
        <w:t xml:space="preserve">to </w:t>
      </w:r>
      <w:r w:rsidR="0052078D">
        <w:t>its industrial computers control system</w:t>
      </w:r>
      <w:r w:rsidR="00DA7075">
        <w:t xml:space="preserve"> </w:t>
      </w:r>
      <w:r w:rsidR="00EE3630">
        <w:t>for $13.07 million</w:t>
      </w:r>
      <w:r w:rsidR="00D0399D">
        <w:t>.</w:t>
      </w:r>
      <w:r w:rsidR="00DA7075">
        <w:t xml:space="preserve"> We recognise the unique nature of the Directlink facility and critical importance of the control system to the effective operation of this facility as well as the significant technical reliance that is placed on the </w:t>
      </w:r>
      <w:r w:rsidR="008E0E2B">
        <w:t xml:space="preserve">control </w:t>
      </w:r>
      <w:r w:rsidR="00DA7075">
        <w:t xml:space="preserve">system OEM due to the </w:t>
      </w:r>
      <w:r w:rsidR="008E0E2B">
        <w:t>relatively bespoke and proprietary nature of the system.</w:t>
      </w:r>
      <w:r w:rsidR="00DA7075">
        <w:t xml:space="preserve"> Moreover, the performance of the control system has been problematic with it being implicated in 30 plant performance</w:t>
      </w:r>
      <w:r w:rsidR="0054716B">
        <w:t xml:space="preserve"> incidents, or approximately 20 per cent</w:t>
      </w:r>
      <w:r w:rsidR="00DA7075">
        <w:t xml:space="preserve"> of all interruptions, since 2007.</w:t>
      </w:r>
      <w:r w:rsidR="008E0E2B">
        <w:t xml:space="preserve"> We accept that systems for the control room are at the end of their serviceable life</w:t>
      </w:r>
      <w:r>
        <w:t>.</w:t>
      </w:r>
      <w:r w:rsidR="009F2396">
        <w:t xml:space="preserve"> </w:t>
      </w:r>
      <w:r>
        <w:t>W</w:t>
      </w:r>
      <w:r w:rsidR="008E0E2B">
        <w:t>e consider the proposed expenditure of $13.07 million is necessary to maintain the link at maximum capacity with a higher degree of reliability and for Directlink to meet its regulatory obligations.</w:t>
      </w:r>
    </w:p>
    <w:p w:rsidR="008E0E2B" w:rsidRDefault="00D0399D" w:rsidP="009F2396">
      <w:pPr>
        <w:pStyle w:val="AERbulletlistfirststyle"/>
      </w:pPr>
      <w:r>
        <w:t>T</w:t>
      </w:r>
      <w:r w:rsidR="008E0E2B">
        <w:t xml:space="preserve">he proposed phase reactor cooling revisions to </w:t>
      </w:r>
      <w:r w:rsidR="00526F3A">
        <w:t xml:space="preserve">address performance issues with the fibreglass </w:t>
      </w:r>
      <w:r w:rsidR="0054716B">
        <w:t>'</w:t>
      </w:r>
      <w:r w:rsidR="00526F3A">
        <w:t>igloos</w:t>
      </w:r>
      <w:r w:rsidR="0054716B">
        <w:t>'</w:t>
      </w:r>
      <w:r w:rsidR="00526F3A">
        <w:t xml:space="preserve"> </w:t>
      </w:r>
      <w:r w:rsidR="009F2396">
        <w:t>at a cost of $2.28 million</w:t>
      </w:r>
      <w:r>
        <w:t>. This work</w:t>
      </w:r>
      <w:r w:rsidR="009F2396">
        <w:t xml:space="preserve"> </w:t>
      </w:r>
      <w:r w:rsidR="00526F3A">
        <w:t xml:space="preserve">is required to address the facility performance </w:t>
      </w:r>
      <w:r w:rsidR="00FE2373">
        <w:t>issues</w:t>
      </w:r>
      <w:r w:rsidR="00526F3A">
        <w:t xml:space="preserve"> as well as reduce the risk of further failures or fire events. </w:t>
      </w:r>
      <w:r>
        <w:t>We consider</w:t>
      </w:r>
      <w:r w:rsidR="00526F3A">
        <w:t xml:space="preserve"> that the program </w:t>
      </w:r>
      <w:r w:rsidR="001B2F95">
        <w:t xml:space="preserve">to maintain a holding of spare insulated-gate bipolar transistors (IGBT) to meet the ongoing replacement needs of Directlink's converters is prudent </w:t>
      </w:r>
      <w:r w:rsidR="001B2F95" w:rsidRPr="00514BC2">
        <w:t xml:space="preserve">as it is required to maintain and improve the </w:t>
      </w:r>
      <w:r w:rsidR="001B2F95">
        <w:t xml:space="preserve">facilities </w:t>
      </w:r>
      <w:r w:rsidR="001B2F95" w:rsidRPr="00514BC2">
        <w:t xml:space="preserve">performance </w:t>
      </w:r>
      <w:r w:rsidR="001B2F95">
        <w:t xml:space="preserve">as well as </w:t>
      </w:r>
      <w:r w:rsidR="001B2F95" w:rsidRPr="00514BC2">
        <w:t>contribute to reduced repair costs. We are also of the view that the proposed expenditure is efficient given the proprietary and bespoke nature of the IGBT’s.</w:t>
      </w:r>
    </w:p>
    <w:p w:rsidR="00482657" w:rsidRDefault="00136F57" w:rsidP="00D0399D">
      <w:pPr>
        <w:pStyle w:val="AERbulletlistfirststyle"/>
      </w:pPr>
      <w:r>
        <w:t xml:space="preserve">Directlink's proposed </w:t>
      </w:r>
      <w:r w:rsidR="00482657">
        <w:t xml:space="preserve">$1.87 million to maintain a holding of spare IGBT's to meet the ongoing replacement needs of Directlink's converters. We consider that the </w:t>
      </w:r>
      <w:r w:rsidR="00482657" w:rsidRPr="00514BC2">
        <w:t xml:space="preserve">proposed program is prudent as it is required to maintain and improve the </w:t>
      </w:r>
      <w:r w:rsidR="00482657">
        <w:t xml:space="preserve">facilities </w:t>
      </w:r>
      <w:r w:rsidR="00482657" w:rsidRPr="00514BC2">
        <w:t xml:space="preserve">performance </w:t>
      </w:r>
      <w:r w:rsidR="00482657">
        <w:t xml:space="preserve">as well as </w:t>
      </w:r>
      <w:r w:rsidR="00482657" w:rsidRPr="00514BC2">
        <w:t>contribute to reduced repair costs. We are also of the view that the proposed expenditure is efficient given the proprietary and bespoke nature of the IGBT’s.</w:t>
      </w:r>
      <w:r w:rsidR="00D0399D">
        <w:t xml:space="preserve"> </w:t>
      </w:r>
      <w:r>
        <w:t>Also, g</w:t>
      </w:r>
      <w:r w:rsidR="005D56B6" w:rsidRPr="00514BC2">
        <w:t>iven th</w:t>
      </w:r>
      <w:r w:rsidR="005D56B6">
        <w:t>at</w:t>
      </w:r>
      <w:r w:rsidR="005D56B6" w:rsidRPr="00514BC2">
        <w:t xml:space="preserve"> </w:t>
      </w:r>
      <w:r w:rsidR="005D56B6">
        <w:t xml:space="preserve">many of the IGBT failures events are related to the performance </w:t>
      </w:r>
      <w:r w:rsidR="005D56B6" w:rsidRPr="00514BC2">
        <w:t xml:space="preserve">of </w:t>
      </w:r>
      <w:r w:rsidR="005D56B6">
        <w:t xml:space="preserve">optic fibre cables, </w:t>
      </w:r>
      <w:r w:rsidR="005D56B6" w:rsidRPr="00514BC2">
        <w:t xml:space="preserve">their proprietary and bespoke nature and their critical role in the operation of the </w:t>
      </w:r>
      <w:r w:rsidR="005D56B6">
        <w:t xml:space="preserve">Directlink </w:t>
      </w:r>
      <w:r w:rsidR="005D56B6" w:rsidRPr="00514BC2">
        <w:t>facility</w:t>
      </w:r>
      <w:r w:rsidR="005D56B6">
        <w:t>,</w:t>
      </w:r>
      <w:r w:rsidR="005D56B6" w:rsidRPr="00514BC2">
        <w:t xml:space="preserve"> </w:t>
      </w:r>
      <w:r w:rsidR="005D56B6">
        <w:t xml:space="preserve">we consider </w:t>
      </w:r>
      <w:r w:rsidR="005D56B6" w:rsidRPr="00514BC2">
        <w:t xml:space="preserve">that </w:t>
      </w:r>
      <w:r w:rsidR="005D56B6">
        <w:t xml:space="preserve">the proposed cost of $0.80 million </w:t>
      </w:r>
      <w:r w:rsidR="00CF7DD2">
        <w:t>for</w:t>
      </w:r>
      <w:r w:rsidR="005D56B6">
        <w:t xml:space="preserve"> </w:t>
      </w:r>
      <w:r w:rsidR="00CF4A6A">
        <w:t xml:space="preserve">the replacement program for optic fibre cable and optic fibre connectors </w:t>
      </w:r>
      <w:r w:rsidR="005D56B6" w:rsidRPr="00514BC2">
        <w:t>is prudent and efficient.</w:t>
      </w:r>
    </w:p>
    <w:p w:rsidR="00CF7DD2" w:rsidRPr="00CF7DD2" w:rsidRDefault="00CF7DD2" w:rsidP="00CF7DD2">
      <w:pPr>
        <w:pStyle w:val="AERbulletlistfirststyle"/>
      </w:pPr>
      <w:r w:rsidRPr="00CF7DD2">
        <w:t>Directlink</w:t>
      </w:r>
      <w:r w:rsidR="00D0399D">
        <w:t>'s</w:t>
      </w:r>
      <w:r w:rsidRPr="00CF7DD2">
        <w:t xml:space="preserve"> propos</w:t>
      </w:r>
      <w:r w:rsidR="00D0399D">
        <w:t>al</w:t>
      </w:r>
      <w:r w:rsidRPr="00CF7DD2">
        <w:t xml:space="preserve"> to replace and remediate corroded sound enclosure panels associated with the cooling towers</w:t>
      </w:r>
      <w:r w:rsidR="00D0399D">
        <w:t>,</w:t>
      </w:r>
      <w:r w:rsidRPr="00CF7DD2">
        <w:t xml:space="preserve"> at a total forecast cost of $0.51</w:t>
      </w:r>
      <w:r w:rsidR="00A5246B">
        <w:t xml:space="preserve"> </w:t>
      </w:r>
      <w:r w:rsidRPr="00CF7DD2">
        <w:t>m</w:t>
      </w:r>
      <w:r w:rsidR="00A5246B">
        <w:t>illion</w:t>
      </w:r>
      <w:r w:rsidRPr="00CF7DD2">
        <w:t xml:space="preserve">. </w:t>
      </w:r>
      <w:r w:rsidR="00A5246B">
        <w:t>Directlink stated</w:t>
      </w:r>
      <w:r w:rsidRPr="00CF7DD2">
        <w:t xml:space="preserve"> that the sound enclosures were installed in 2001 and local heavy rainfall as well as salt in the atmosphere due to the facilities proximity to the coast has caused corrosion to the sound enclosure panels</w:t>
      </w:r>
      <w:r w:rsidR="00A5246B">
        <w:t xml:space="preserve"> along with potential</w:t>
      </w:r>
      <w:r w:rsidRPr="00CF7DD2">
        <w:t xml:space="preserve"> design issues (e.g. clearance of water from the panels, material gauge and galvanising treatment).</w:t>
      </w:r>
      <w:r w:rsidR="00A5246B">
        <w:t xml:space="preserve"> Although we are</w:t>
      </w:r>
      <w:r w:rsidRPr="00CF7DD2">
        <w:t xml:space="preserve"> concerned that corrosion damage has occurred in a relatively short time after installation, we recognise that the sound enclosure is required for compliance with noise regulations and accept that corrosion warranting intervention has occurred.</w:t>
      </w:r>
      <w:r w:rsidR="00A5246B">
        <w:t xml:space="preserve"> We consider that the</w:t>
      </w:r>
      <w:r w:rsidRPr="00CF7DD2">
        <w:t xml:space="preserve"> replacement of the corroded panels and remediation with inhibitors and paint o</w:t>
      </w:r>
      <w:r w:rsidR="00A5246B">
        <w:t>f</w:t>
      </w:r>
      <w:r w:rsidRPr="00CF7DD2">
        <w:t xml:space="preserve"> the remaining panels is prudent and </w:t>
      </w:r>
      <w:r w:rsidR="00136F57">
        <w:t>accept that it is a reasonably</w:t>
      </w:r>
      <w:r w:rsidRPr="00CF7DD2">
        <w:t xml:space="preserve"> efficient approach. </w:t>
      </w:r>
    </w:p>
    <w:p w:rsidR="00CF3B6C" w:rsidRPr="00CF3B6C" w:rsidRDefault="00CF3B6C" w:rsidP="00CF3B6C">
      <w:pPr>
        <w:pStyle w:val="AERbulletlistfirststyle"/>
      </w:pPr>
      <w:r w:rsidRPr="00CF3B6C">
        <w:t>Directlink</w:t>
      </w:r>
      <w:r w:rsidR="00D0399D">
        <w:t>'s</w:t>
      </w:r>
      <w:r w:rsidRPr="00CF3B6C">
        <w:t xml:space="preserve"> propos</w:t>
      </w:r>
      <w:r w:rsidR="00D0399D">
        <w:t>ed</w:t>
      </w:r>
      <w:r w:rsidRPr="00CF3B6C">
        <w:t xml:space="preserve"> upgrade </w:t>
      </w:r>
      <w:r w:rsidR="00D0399D">
        <w:t xml:space="preserve">of </w:t>
      </w:r>
      <w:r w:rsidRPr="00CF3B6C">
        <w:t>the existing security fencing at its Mullumbimby facility to improve security and site emergency egress</w:t>
      </w:r>
      <w:r w:rsidR="00D0399D">
        <w:t>,</w:t>
      </w:r>
      <w:r w:rsidRPr="00CF3B6C">
        <w:t xml:space="preserve"> at a total forecast co</w:t>
      </w:r>
      <w:r>
        <w:t>s</w:t>
      </w:r>
      <w:r w:rsidRPr="00CF3B6C">
        <w:t>t of $0.39</w:t>
      </w:r>
      <w:r>
        <w:t xml:space="preserve"> </w:t>
      </w:r>
      <w:r w:rsidRPr="00CF3B6C">
        <w:t>m</w:t>
      </w:r>
      <w:r>
        <w:t>illion</w:t>
      </w:r>
      <w:r w:rsidRPr="00CF3B6C">
        <w:t>. The relatively isolated location of the facility and the number of large towns in the area has resulted in frequent incidents of trespassing, theft and vandalism. Similar fencing at the Bungalora facility has been found to halt illegal entry at that site.</w:t>
      </w:r>
      <w:r>
        <w:t xml:space="preserve"> </w:t>
      </w:r>
      <w:r w:rsidRPr="00CF3B6C">
        <w:t xml:space="preserve">Given the nature of the facility </w:t>
      </w:r>
      <w:r>
        <w:t>we consider that</w:t>
      </w:r>
      <w:r w:rsidRPr="00CF3B6C">
        <w:t xml:space="preserve"> the proposed expenditure is prudent. We are also of the view that the proposed expenditure is reasonably efficient given the security requirements and type of fencing proposed.</w:t>
      </w:r>
    </w:p>
    <w:p w:rsidR="00410A1B" w:rsidRDefault="00237055" w:rsidP="00315A5F">
      <w:r>
        <w:lastRenderedPageBreak/>
        <w:t xml:space="preserve">Our alternative estimate </w:t>
      </w:r>
      <w:r w:rsidR="005B2663">
        <w:t>includes Directlink's estimate of</w:t>
      </w:r>
      <w:r>
        <w:t xml:space="preserve"> expenditure proposed by Directlink for three minor capex projects: for b</w:t>
      </w:r>
      <w:r w:rsidRPr="00514BC2">
        <w:t>uilding safety upgrade</w:t>
      </w:r>
      <w:r w:rsidRPr="00237055">
        <w:t xml:space="preserve"> </w:t>
      </w:r>
      <w:r w:rsidRPr="00514BC2">
        <w:t>at the Mullumbimby and Bungalora sites</w:t>
      </w:r>
      <w:r w:rsidRPr="00237055">
        <w:t xml:space="preserve"> ($0.18</w:t>
      </w:r>
      <w:r w:rsidR="00CF3B6C">
        <w:t xml:space="preserve"> </w:t>
      </w:r>
      <w:r w:rsidRPr="00237055">
        <w:t>m</w:t>
      </w:r>
      <w:r w:rsidR="00CF3B6C">
        <w:t>illion</w:t>
      </w:r>
      <w:r w:rsidRPr="00237055">
        <w:t>)</w:t>
      </w:r>
      <w:r>
        <w:t>, c</w:t>
      </w:r>
      <w:r w:rsidRPr="00514BC2">
        <w:t>onverter buildings ventilation sound dampers corrosion repair</w:t>
      </w:r>
      <w:r w:rsidRPr="00237055">
        <w:t xml:space="preserve"> ($0.05</w:t>
      </w:r>
      <w:r w:rsidR="00CF3B6C">
        <w:t xml:space="preserve"> </w:t>
      </w:r>
      <w:r w:rsidRPr="00237055">
        <w:t>m</w:t>
      </w:r>
      <w:r w:rsidR="00CF3B6C">
        <w:t>illion</w:t>
      </w:r>
      <w:r w:rsidRPr="00237055">
        <w:t>)</w:t>
      </w:r>
      <w:r>
        <w:t>, and the installation of s</w:t>
      </w:r>
      <w:r w:rsidRPr="00514BC2">
        <w:t xml:space="preserve">afety hand rails </w:t>
      </w:r>
      <w:r>
        <w:t>at</w:t>
      </w:r>
      <w:r w:rsidRPr="00514BC2">
        <w:t xml:space="preserve"> Bungalora</w:t>
      </w:r>
      <w:r w:rsidRPr="00237055">
        <w:t xml:space="preserve"> ($0.02</w:t>
      </w:r>
      <w:r w:rsidR="00CF3B6C">
        <w:t xml:space="preserve"> </w:t>
      </w:r>
      <w:r w:rsidRPr="00237055">
        <w:t>m</w:t>
      </w:r>
      <w:r w:rsidR="00CF3B6C">
        <w:t>illion)</w:t>
      </w:r>
      <w:r w:rsidR="00505A67">
        <w:t>. W</w:t>
      </w:r>
      <w:r w:rsidR="005B2663">
        <w:t xml:space="preserve">e consider </w:t>
      </w:r>
      <w:r w:rsidR="00505A67">
        <w:t xml:space="preserve">this expenditure is </w:t>
      </w:r>
      <w:r w:rsidR="005B2663">
        <w:t>prudent and efficient</w:t>
      </w:r>
      <w:r w:rsidR="00CF3B6C">
        <w:t>.</w:t>
      </w:r>
    </w:p>
    <w:p w:rsidR="009C45F7" w:rsidRPr="009C45F7" w:rsidRDefault="009C45F7" w:rsidP="009C45F7">
      <w:pPr>
        <w:pStyle w:val="Heading3"/>
      </w:pPr>
      <w:bookmarkStart w:id="28" w:name="_Toc404190861"/>
      <w:r w:rsidRPr="009C45F7">
        <w:t>Interrelationships</w:t>
      </w:r>
      <w:bookmarkEnd w:id="28"/>
    </w:p>
    <w:p w:rsidR="00F73323" w:rsidRPr="009C45F7" w:rsidRDefault="004C2F04" w:rsidP="009C45F7">
      <w:r w:rsidRPr="009C45F7">
        <w:t>Directlink</w:t>
      </w:r>
      <w:r w:rsidR="004E10B5" w:rsidRPr="009C45F7">
        <w:t xml:space="preserve">'s network service </w:t>
      </w:r>
      <w:r w:rsidRPr="009C45F7">
        <w:t xml:space="preserve">is subject to </w:t>
      </w:r>
      <w:r w:rsidR="004E10B5" w:rsidRPr="009C45F7">
        <w:t xml:space="preserve">a Service Target Performance Incentive Scheme (STPIS). On the basis of </w:t>
      </w:r>
      <w:r w:rsidR="009C45F7" w:rsidRPr="009C45F7">
        <w:t xml:space="preserve">significantly increased capex and </w:t>
      </w:r>
      <w:r w:rsidR="004E10B5" w:rsidRPr="009C45F7">
        <w:t xml:space="preserve">anticipated increased reliability as a consequence </w:t>
      </w:r>
      <w:r w:rsidR="009C45F7" w:rsidRPr="009C45F7">
        <w:t xml:space="preserve">of the impact </w:t>
      </w:r>
      <w:r w:rsidR="004E10B5" w:rsidRPr="009C45F7">
        <w:t xml:space="preserve">of </w:t>
      </w:r>
      <w:r w:rsidR="009C45F7" w:rsidRPr="009C45F7">
        <w:t>the Mullumbimby converter station fire</w:t>
      </w:r>
      <w:r w:rsidR="004E10B5" w:rsidRPr="009C45F7">
        <w:t>, Directlink's STPIS performance targets will require recalibration.</w:t>
      </w:r>
      <w:r w:rsidR="00BE3AE0">
        <w:rPr>
          <w:rStyle w:val="FootnoteReference"/>
        </w:rPr>
        <w:footnoteReference w:id="45"/>
      </w:r>
      <w:r w:rsidR="004E10B5" w:rsidRPr="009C45F7">
        <w:t xml:space="preserve"> </w:t>
      </w:r>
      <w:r w:rsidR="00BF3699">
        <w:t xml:space="preserve">The anticipated improvement in reliability has resulted in stricter performance targets. </w:t>
      </w:r>
      <w:r w:rsidR="004E10B5" w:rsidRPr="009C45F7">
        <w:t>D</w:t>
      </w:r>
      <w:r w:rsidR="009C45F7" w:rsidRPr="009C45F7">
        <w:t>etails</w:t>
      </w:r>
      <w:r w:rsidR="004E10B5" w:rsidRPr="009C45F7">
        <w:t xml:space="preserve"> of the recalibra</w:t>
      </w:r>
      <w:r w:rsidR="009C45F7" w:rsidRPr="009C45F7">
        <w:t>t</w:t>
      </w:r>
      <w:r w:rsidR="004E10B5" w:rsidRPr="009C45F7">
        <w:t>ed STPIS targets are discussed in</w:t>
      </w:r>
      <w:r w:rsidR="00FC11B0">
        <w:t xml:space="preserve"> attachment 11 </w:t>
      </w:r>
      <w:r w:rsidR="004E10B5" w:rsidRPr="009C45F7">
        <w:t>of this decision.</w:t>
      </w:r>
    </w:p>
    <w:p w:rsidR="00227F2D" w:rsidRDefault="00674460" w:rsidP="009854CE">
      <w:pPr>
        <w:pStyle w:val="AERbodytext"/>
      </w:pPr>
      <w:r>
        <w:t>Having regard to the substitution possibilities between opex and capex</w:t>
      </w:r>
      <w:r w:rsidR="00974C14">
        <w:rPr>
          <w:rStyle w:val="FootnoteReference"/>
        </w:rPr>
        <w:footnoteReference w:id="46"/>
      </w:r>
      <w:r>
        <w:t xml:space="preserve"> w</w:t>
      </w:r>
      <w:r w:rsidR="009C45F7" w:rsidRPr="009C45F7">
        <w:t xml:space="preserve">e expect the anticipated increased reliability of Directlink's performance during the 2015-20 </w:t>
      </w:r>
      <w:r w:rsidR="0054716B">
        <w:t xml:space="preserve">regulatory control </w:t>
      </w:r>
      <w:r w:rsidR="009C45F7" w:rsidRPr="009C45F7">
        <w:t xml:space="preserve">period will also impact on Directlink's operating risk. We consider that Directlink's operating risk will </w:t>
      </w:r>
      <w:r w:rsidR="005B2663">
        <w:t>return</w:t>
      </w:r>
      <w:r w:rsidR="009C45F7" w:rsidRPr="009C45F7">
        <w:t xml:space="preserve"> to its pre-Mullumbimby converter station fire levels</w:t>
      </w:r>
      <w:r w:rsidR="0054716B">
        <w:t xml:space="preserve"> based on the increased allowances for cape</w:t>
      </w:r>
      <w:r w:rsidR="00440594">
        <w:t>x</w:t>
      </w:r>
      <w:r w:rsidR="0054716B">
        <w:t xml:space="preserve"> </w:t>
      </w:r>
      <w:r w:rsidR="001D72FB">
        <w:t>(</w:t>
      </w:r>
      <w:r w:rsidR="0054716B">
        <w:t>and opex</w:t>
      </w:r>
      <w:r w:rsidR="001D72FB">
        <w:t>)</w:t>
      </w:r>
      <w:r w:rsidR="009C45F7" w:rsidRPr="009C45F7">
        <w:t xml:space="preserve"> and as such, should be reflected in Directlink's insurance premiums. The impact on Directlink's insurance premiums is discussed in</w:t>
      </w:r>
      <w:r w:rsidR="00FC11B0">
        <w:t xml:space="preserve"> attachment 7 </w:t>
      </w:r>
      <w:r w:rsidR="009C45F7" w:rsidRPr="009C45F7">
        <w:t>of this decision.</w:t>
      </w:r>
    </w:p>
    <w:p w:rsidR="009C55ED" w:rsidRDefault="009C55ED" w:rsidP="009C55ED">
      <w:pPr>
        <w:pStyle w:val="Heading3"/>
      </w:pPr>
      <w:bookmarkStart w:id="29" w:name="_Toc404190862"/>
      <w:r>
        <w:t xml:space="preserve">Real </w:t>
      </w:r>
      <w:r w:rsidRPr="009C55ED">
        <w:t>price</w:t>
      </w:r>
      <w:r>
        <w:t xml:space="preserve"> escalators</w:t>
      </w:r>
      <w:bookmarkEnd w:id="29"/>
    </w:p>
    <w:p w:rsidR="006F366E" w:rsidRPr="006F366E" w:rsidRDefault="00A862DA" w:rsidP="00417231">
      <w:pPr>
        <w:pStyle w:val="AERbodytext"/>
      </w:pPr>
      <w:r>
        <w:t xml:space="preserve">As noted in section </w:t>
      </w:r>
      <w:r w:rsidR="00117C35">
        <w:t>6</w:t>
      </w:r>
      <w:r>
        <w:t xml:space="preserve">.2, Directlink </w:t>
      </w:r>
      <w:r w:rsidR="001100F1">
        <w:t xml:space="preserve">did not propose labour and materials escalators. Instead, </w:t>
      </w:r>
      <w:r w:rsidR="00DA16FA">
        <w:t>Directlink advised</w:t>
      </w:r>
      <w:r w:rsidR="001100F1">
        <w:t xml:space="preserve"> that they would accept our decision on these matters.</w:t>
      </w:r>
      <w:r>
        <w:t xml:space="preserve"> </w:t>
      </w:r>
      <w:r w:rsidR="001100F1">
        <w:t>W</w:t>
      </w:r>
      <w:r>
        <w:t xml:space="preserve">e consider that real materials cost escalation should not be applied in determining a service provider's </w:t>
      </w:r>
      <w:r w:rsidR="001D22A4">
        <w:t xml:space="preserve">required capital expenditure. </w:t>
      </w:r>
      <w:r w:rsidR="006F366E" w:rsidRPr="006F366E">
        <w:t>Consideration of the capex factors</w:t>
      </w:r>
      <w:r w:rsidR="00505A67">
        <w:t xml:space="preserve">. We expect Directlink to provide further information </w:t>
      </w:r>
      <w:r w:rsidR="00A1538A">
        <w:t xml:space="preserve">in its revised revenue proposal </w:t>
      </w:r>
      <w:r w:rsidR="00505A67">
        <w:t>(i.e. the proportion of labour of the total capex forecast) to allow an adjustment to total forecast capex to be made for expected real labour cost escalation over the 2015-120 regulatory control period.</w:t>
      </w:r>
    </w:p>
    <w:p w:rsidR="006F366E" w:rsidRPr="006F366E" w:rsidRDefault="006F366E" w:rsidP="006F366E">
      <w:r w:rsidRPr="006F366E">
        <w:t xml:space="preserve">In deciding whether or not we are satisfied </w:t>
      </w:r>
      <w:r>
        <w:t>Directlink's</w:t>
      </w:r>
      <w:r w:rsidRPr="006F366E">
        <w:t xml:space="preserve"> forecast reasonably reflects the capex criteria, we have had regard to the following capex factors when applying our assessment techniques to the total proposed capex forecast. </w:t>
      </w:r>
      <w:r w:rsidR="00F6718C">
        <w:fldChar w:fldCharType="begin"/>
      </w:r>
      <w:r w:rsidR="00F6718C">
        <w:instrText xml:space="preserve"> REF _Ref404091078 \h </w:instrText>
      </w:r>
      <w:r w:rsidR="00F6718C">
        <w:fldChar w:fldCharType="separate"/>
      </w:r>
      <w:r w:rsidR="00117C35">
        <w:t>Table 6-</w:t>
      </w:r>
      <w:r w:rsidR="00117C35">
        <w:rPr>
          <w:noProof/>
        </w:rPr>
        <w:t>4</w:t>
      </w:r>
      <w:r w:rsidR="00F6718C">
        <w:fldChar w:fldCharType="end"/>
      </w:r>
      <w:r w:rsidR="00F6718C">
        <w:t xml:space="preserve"> </w:t>
      </w:r>
      <w:r w:rsidRPr="006F366E">
        <w:t>summarises how we have taken into account the capex factors.</w:t>
      </w:r>
    </w:p>
    <w:p w:rsidR="006F366E" w:rsidRPr="006F366E" w:rsidRDefault="00F6718C" w:rsidP="00F6718C">
      <w:pPr>
        <w:pStyle w:val="Caption"/>
      </w:pPr>
      <w:bookmarkStart w:id="30" w:name="_Ref404091078"/>
      <w:bookmarkStart w:id="31" w:name="_Ref402362360"/>
      <w:r>
        <w:t xml:space="preserve">Table </w:t>
      </w:r>
      <w:r w:rsidR="00117C35">
        <w:t>6-</w:t>
      </w:r>
      <w:fldSimple w:instr=" SEQ Table \* ARABIC ">
        <w:r>
          <w:rPr>
            <w:noProof/>
          </w:rPr>
          <w:t>4</w:t>
        </w:r>
      </w:fldSimple>
      <w:bookmarkEnd w:id="30"/>
      <w:r w:rsidR="006F366E" w:rsidRPr="006F366E">
        <w:tab/>
        <w:t>AER consideration of the capex factors</w:t>
      </w:r>
      <w:bookmarkEnd w:id="31"/>
    </w:p>
    <w:tbl>
      <w:tblPr>
        <w:tblStyle w:val="AERtable-numbers"/>
        <w:tblW w:w="0" w:type="auto"/>
        <w:tblLook w:val="04A0" w:firstRow="1" w:lastRow="0" w:firstColumn="1" w:lastColumn="0" w:noHBand="0" w:noVBand="1"/>
      </w:tblPr>
      <w:tblGrid>
        <w:gridCol w:w="4100"/>
        <w:gridCol w:w="5142"/>
      </w:tblGrid>
      <w:tr w:rsidR="006F366E" w:rsidRPr="006F366E" w:rsidTr="00117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6F366E">
            <w:r w:rsidRPr="006F366E">
              <w:t>Capex factor</w:t>
            </w:r>
          </w:p>
        </w:tc>
        <w:tc>
          <w:tcPr>
            <w:tcW w:w="5142" w:type="dxa"/>
            <w:tcBorders>
              <w:top w:val="nil"/>
              <w:left w:val="nil"/>
              <w:bottom w:val="nil"/>
              <w:right w:val="nil"/>
            </w:tcBorders>
            <w:hideMark/>
          </w:tcPr>
          <w:p w:rsidR="006F366E" w:rsidRPr="006F366E" w:rsidRDefault="006F366E" w:rsidP="006F366E">
            <w:pPr>
              <w:cnfStyle w:val="100000000000" w:firstRow="1" w:lastRow="0" w:firstColumn="0" w:lastColumn="0" w:oddVBand="0" w:evenVBand="0" w:oddHBand="0" w:evenHBand="0" w:firstRowFirstColumn="0" w:firstRowLastColumn="0" w:lastRowFirstColumn="0" w:lastRowLastColumn="0"/>
            </w:pPr>
            <w:r w:rsidRPr="006F366E">
              <w:t>AER consideration</w:t>
            </w:r>
          </w:p>
        </w:tc>
      </w:tr>
      <w:tr w:rsidR="006F366E" w:rsidRPr="006F366E" w:rsidTr="00D305F4">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894611">
            <w:r w:rsidRPr="006F366E">
              <w:t xml:space="preserve">The actual and expected capex of </w:t>
            </w:r>
            <w:r w:rsidR="00894611">
              <w:t xml:space="preserve">Directlink </w:t>
            </w:r>
            <w:r w:rsidRPr="006F366E">
              <w:t>during any preceding regulatory control periods</w:t>
            </w:r>
          </w:p>
        </w:tc>
        <w:tc>
          <w:tcPr>
            <w:tcW w:w="5142" w:type="dxa"/>
            <w:tcBorders>
              <w:top w:val="nil"/>
              <w:left w:val="nil"/>
              <w:bottom w:val="nil"/>
              <w:right w:val="nil"/>
            </w:tcBorders>
            <w:hideMark/>
          </w:tcPr>
          <w:p w:rsidR="006F366E" w:rsidRPr="006F366E" w:rsidRDefault="006F366E" w:rsidP="003762D9">
            <w:pPr>
              <w:cnfStyle w:val="000000000000" w:firstRow="0" w:lastRow="0" w:firstColumn="0" w:lastColumn="0" w:oddVBand="0" w:evenVBand="0" w:oddHBand="0" w:evenHBand="0" w:firstRowFirstColumn="0" w:firstRowLastColumn="0" w:lastRowFirstColumn="0" w:lastRowLastColumn="0"/>
            </w:pPr>
            <w:r w:rsidRPr="006F366E">
              <w:t xml:space="preserve">We have had regard to </w:t>
            </w:r>
            <w:r w:rsidR="002F6E5B">
              <w:t>Directlink's</w:t>
            </w:r>
            <w:r w:rsidRPr="006F366E">
              <w:t xml:space="preserve"> actual and expected capex during the 200</w:t>
            </w:r>
            <w:r w:rsidR="002F6E5B">
              <w:t>6</w:t>
            </w:r>
            <w:r w:rsidRPr="006F366E">
              <w:t>–201</w:t>
            </w:r>
            <w:r w:rsidR="002F6E5B">
              <w:t>5</w:t>
            </w:r>
            <w:r w:rsidRPr="006F366E">
              <w:t xml:space="preserve"> regulatory control periods in assessing its proposed total forecast capex and in determining our substitute estimate for the 201</w:t>
            </w:r>
            <w:r w:rsidR="002F6E5B">
              <w:t>5</w:t>
            </w:r>
            <w:r w:rsidRPr="006F366E">
              <w:t>–20</w:t>
            </w:r>
            <w:r w:rsidR="002F6E5B">
              <w:t>20</w:t>
            </w:r>
            <w:r w:rsidRPr="006F366E">
              <w:t xml:space="preserve"> period. </w:t>
            </w:r>
            <w:r w:rsidR="003762D9">
              <w:t xml:space="preserve">We consider that much of Directlink's proposed capex program reflects the </w:t>
            </w:r>
            <w:r w:rsidR="003762D9" w:rsidRPr="003762D9">
              <w:t>stochastic nature of its capex requirements rather than that of a mature "steady state" system with recurrent capital expenditure programs. We also consider that Directlink is facing a number of "end-of-life" projects which have been included in its historical capex.</w:t>
            </w:r>
          </w:p>
        </w:tc>
      </w:tr>
      <w:tr w:rsidR="00910806" w:rsidRPr="006F366E" w:rsidTr="009108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vAlign w:val="top"/>
          </w:tcPr>
          <w:p w:rsidR="00910806" w:rsidRPr="00910806" w:rsidRDefault="00910806" w:rsidP="00910806">
            <w:r w:rsidRPr="0018361E">
              <w:lastRenderedPageBreak/>
              <w:t xml:space="preserve">The most recent annual benchmarking report and benchmarking capex that would be </w:t>
            </w:r>
            <w:r>
              <w:t>incurred by an efficient T</w:t>
            </w:r>
            <w:r w:rsidRPr="00910806">
              <w:t>NSP over the relevant regulatory control period</w:t>
            </w:r>
          </w:p>
        </w:tc>
        <w:tc>
          <w:tcPr>
            <w:tcW w:w="5142" w:type="dxa"/>
            <w:tcBorders>
              <w:top w:val="nil"/>
              <w:left w:val="nil"/>
              <w:bottom w:val="nil"/>
              <w:right w:val="nil"/>
            </w:tcBorders>
            <w:vAlign w:val="top"/>
          </w:tcPr>
          <w:p w:rsidR="00910806" w:rsidRPr="00910806" w:rsidRDefault="00910806" w:rsidP="00A1538A">
            <w:pPr>
              <w:cnfStyle w:val="000000010000" w:firstRow="0" w:lastRow="0" w:firstColumn="0" w:lastColumn="0" w:oddVBand="0" w:evenVBand="0" w:oddHBand="0" w:evenHBand="1" w:firstRowFirstColumn="0" w:firstRowLastColumn="0" w:lastRowFirstColumn="0" w:lastRowLastColumn="0"/>
            </w:pPr>
            <w:r>
              <w:t>W</w:t>
            </w:r>
            <w:r w:rsidRPr="00910806">
              <w:t xml:space="preserve">e consider there is limited benefit in reviewing Directlink's capex performance with other NSPs or on a trend basis over the previous period, as there are no equivalent electricity network assets to provide meaningful comparisons given the nature and small scale of Directlink's operations and due to the minimal capital expenditure </w:t>
            </w:r>
            <w:r w:rsidR="00A1538A">
              <w:t>incurred by</w:t>
            </w:r>
            <w:r w:rsidRPr="00910806">
              <w:t xml:space="preserve"> Directlink for the 200</w:t>
            </w:r>
            <w:r>
              <w:t>6</w:t>
            </w:r>
            <w:r w:rsidRPr="00910806">
              <w:t>-1</w:t>
            </w:r>
            <w:r>
              <w:t>5</w:t>
            </w:r>
            <w:r w:rsidRPr="00910806">
              <w:t xml:space="preserve"> regulatory control period.</w:t>
            </w:r>
          </w:p>
        </w:tc>
      </w:tr>
      <w:tr w:rsidR="006F366E" w:rsidRPr="006F366E" w:rsidTr="00D305F4">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910806">
            <w:r w:rsidRPr="006F366E">
              <w:t xml:space="preserve">The extent to which the capex forecast includes expenditure to address concerns of electricity consumers as identified by </w:t>
            </w:r>
            <w:r w:rsidR="00910806">
              <w:t xml:space="preserve">Directlink </w:t>
            </w:r>
            <w:r w:rsidRPr="006F366E">
              <w:t>in the course of its engagement with electricity consumers</w:t>
            </w:r>
          </w:p>
        </w:tc>
        <w:tc>
          <w:tcPr>
            <w:tcW w:w="5142" w:type="dxa"/>
            <w:tcBorders>
              <w:top w:val="nil"/>
              <w:left w:val="nil"/>
              <w:bottom w:val="nil"/>
              <w:right w:val="nil"/>
            </w:tcBorders>
            <w:hideMark/>
          </w:tcPr>
          <w:p w:rsidR="006F366E" w:rsidRPr="006F366E" w:rsidRDefault="006F366E" w:rsidP="00417231">
            <w:pPr>
              <w:cnfStyle w:val="000000000000" w:firstRow="0" w:lastRow="0" w:firstColumn="0" w:lastColumn="0" w:oddVBand="0" w:evenVBand="0" w:oddHBand="0" w:evenHBand="0" w:firstRowFirstColumn="0" w:firstRowLastColumn="0" w:lastRowFirstColumn="0" w:lastRowLastColumn="0"/>
            </w:pPr>
            <w:r w:rsidRPr="006F366E">
              <w:t xml:space="preserve">We have had regard to the extent to which </w:t>
            </w:r>
            <w:r w:rsidR="00910806">
              <w:t>Directlink's</w:t>
            </w:r>
            <w:r w:rsidRPr="006F366E">
              <w:t xml:space="preserve"> proposed total forecast capex includes expenditure to address consumer concerns that have been identified by </w:t>
            </w:r>
            <w:r w:rsidR="00910806">
              <w:t>Directlink</w:t>
            </w:r>
            <w:r w:rsidRPr="006F366E">
              <w:t xml:space="preserve">. On the information available to us, </w:t>
            </w:r>
            <w:r w:rsidR="00417231">
              <w:t xml:space="preserve">Directlink has not identified any expenditure to address concerns by consumers. </w:t>
            </w:r>
          </w:p>
        </w:tc>
      </w:tr>
      <w:tr w:rsidR="006F366E" w:rsidRPr="006F366E" w:rsidTr="00D30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6F366E">
            <w:r w:rsidRPr="006F366E">
              <w:t>The relative prices of operating and capital inputs</w:t>
            </w:r>
          </w:p>
        </w:tc>
        <w:tc>
          <w:tcPr>
            <w:tcW w:w="5142" w:type="dxa"/>
            <w:tcBorders>
              <w:top w:val="nil"/>
              <w:left w:val="nil"/>
              <w:bottom w:val="nil"/>
              <w:right w:val="nil"/>
            </w:tcBorders>
            <w:hideMark/>
          </w:tcPr>
          <w:p w:rsidR="006F366E" w:rsidRPr="006F366E" w:rsidRDefault="00900BBD" w:rsidP="00900BBD">
            <w:pPr>
              <w:cnfStyle w:val="000000010000" w:firstRow="0" w:lastRow="0" w:firstColumn="0" w:lastColumn="0" w:oddVBand="0" w:evenVBand="0" w:oddHBand="0" w:evenHBand="1" w:firstRowFirstColumn="0" w:firstRowLastColumn="0" w:lastRowFirstColumn="0" w:lastRowLastColumn="0"/>
            </w:pPr>
            <w:r>
              <w:t>Directlink did not propose material real cost escalators. We consider that real material cost escalation should not be applied in determining Directlink's required capital expenditure.</w:t>
            </w:r>
            <w:r w:rsidR="006F366E" w:rsidRPr="006F366E">
              <w:t xml:space="preserve"> </w:t>
            </w:r>
          </w:p>
        </w:tc>
      </w:tr>
      <w:tr w:rsidR="006F366E" w:rsidRPr="006F366E" w:rsidTr="00D305F4">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6F366E">
            <w:r w:rsidRPr="006F366E">
              <w:t>The substitution possibilities between operating and capital expenditure</w:t>
            </w:r>
          </w:p>
        </w:tc>
        <w:tc>
          <w:tcPr>
            <w:tcW w:w="5142" w:type="dxa"/>
            <w:tcBorders>
              <w:top w:val="nil"/>
              <w:left w:val="nil"/>
              <w:bottom w:val="nil"/>
              <w:right w:val="nil"/>
            </w:tcBorders>
            <w:hideMark/>
          </w:tcPr>
          <w:p w:rsidR="006F366E" w:rsidRPr="006F366E" w:rsidRDefault="006F366E" w:rsidP="003D2532">
            <w:pPr>
              <w:cnfStyle w:val="000000000000" w:firstRow="0" w:lastRow="0" w:firstColumn="0" w:lastColumn="0" w:oddVBand="0" w:evenVBand="0" w:oddHBand="0" w:evenHBand="0" w:firstRowFirstColumn="0" w:firstRowLastColumn="0" w:lastRowFirstColumn="0" w:lastRowLastColumn="0"/>
            </w:pPr>
            <w:r w:rsidRPr="006F366E">
              <w:t xml:space="preserve">We have had regard to the substitution possibilities between opex and capex. We have considered whether there are more efficient and prudent trade-offs in investing more or less in capital in place of ongoing operations. </w:t>
            </w:r>
            <w:r w:rsidR="003D2532" w:rsidRPr="009C45F7">
              <w:t>We consider that Directlink's operating risk will decline to its pre-Mullumbimby converter station fire levels</w:t>
            </w:r>
            <w:r w:rsidR="003D2532" w:rsidRPr="003D2532">
              <w:t xml:space="preserve"> based on the increased allowances for capex (and opex) and as such, should be reflected in Directlink's insurance premiums. </w:t>
            </w:r>
          </w:p>
        </w:tc>
      </w:tr>
      <w:tr w:rsidR="006F366E" w:rsidRPr="006F366E" w:rsidTr="00D30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3D2532">
            <w:r w:rsidRPr="006F366E">
              <w:t xml:space="preserve">Whether the capex forecast is consistent with any incentive scheme or schemes that apply to </w:t>
            </w:r>
            <w:r w:rsidR="003D2532">
              <w:t>Directlink.</w:t>
            </w:r>
          </w:p>
        </w:tc>
        <w:tc>
          <w:tcPr>
            <w:tcW w:w="5142" w:type="dxa"/>
            <w:tcBorders>
              <w:top w:val="nil"/>
              <w:left w:val="nil"/>
              <w:bottom w:val="nil"/>
              <w:right w:val="nil"/>
            </w:tcBorders>
            <w:hideMark/>
          </w:tcPr>
          <w:p w:rsidR="006F366E" w:rsidRPr="006F366E" w:rsidRDefault="006F366E" w:rsidP="00417231">
            <w:pPr>
              <w:cnfStyle w:val="000000010000" w:firstRow="0" w:lastRow="0" w:firstColumn="0" w:lastColumn="0" w:oddVBand="0" w:evenVBand="0" w:oddHBand="0" w:evenHBand="1" w:firstRowFirstColumn="0" w:firstRowLastColumn="0" w:lastRowFirstColumn="0" w:lastRowLastColumn="0"/>
              <w:rPr>
                <w:sz w:val="20"/>
              </w:rPr>
            </w:pPr>
            <w:r w:rsidRPr="006F366E">
              <w:t xml:space="preserve">We have had regard to whether </w:t>
            </w:r>
            <w:r w:rsidR="003D2532">
              <w:t>Directlink's</w:t>
            </w:r>
            <w:r w:rsidRPr="006F366E">
              <w:t xml:space="preserve"> proposed total forecast capex is consistent with the STPIS. See our discussion about the interrelationships between </w:t>
            </w:r>
            <w:r w:rsidR="00DA16FA">
              <w:t>Directlink's</w:t>
            </w:r>
            <w:r w:rsidRPr="006F366E">
              <w:t xml:space="preserve"> total forecast capex and the application of the STPIS </w:t>
            </w:r>
            <w:r w:rsidR="003D2532">
              <w:t xml:space="preserve">above and in </w:t>
            </w:r>
            <w:r w:rsidR="00FC11B0">
              <w:t>attachment 11.</w:t>
            </w:r>
          </w:p>
        </w:tc>
      </w:tr>
      <w:tr w:rsidR="006F366E" w:rsidRPr="006F366E" w:rsidTr="00D305F4">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3D2532">
            <w:r w:rsidRPr="006F366E">
              <w:t xml:space="preserve">The extent to which the capex forecast is referable to arrangements with a person other than the </w:t>
            </w:r>
            <w:r w:rsidR="003D2532">
              <w:t>T</w:t>
            </w:r>
            <w:r w:rsidRPr="006F366E">
              <w:t>NSP that do not reflect arm's length terms</w:t>
            </w:r>
          </w:p>
        </w:tc>
        <w:tc>
          <w:tcPr>
            <w:tcW w:w="5142" w:type="dxa"/>
            <w:tcBorders>
              <w:top w:val="nil"/>
              <w:left w:val="nil"/>
              <w:bottom w:val="nil"/>
              <w:right w:val="nil"/>
            </w:tcBorders>
            <w:hideMark/>
          </w:tcPr>
          <w:p w:rsidR="006F366E" w:rsidRPr="006F366E" w:rsidRDefault="006F366E" w:rsidP="00A1538A">
            <w:pPr>
              <w:cnfStyle w:val="000000000000" w:firstRow="0" w:lastRow="0" w:firstColumn="0" w:lastColumn="0" w:oddVBand="0" w:evenVBand="0" w:oddHBand="0" w:evenHBand="0" w:firstRowFirstColumn="0" w:firstRowLastColumn="0" w:lastRowFirstColumn="0" w:lastRowLastColumn="0"/>
            </w:pPr>
            <w:r w:rsidRPr="006F366E">
              <w:t xml:space="preserve">We have had regard to whether any part of </w:t>
            </w:r>
            <w:r w:rsidR="003D2532">
              <w:t>Directlink's</w:t>
            </w:r>
            <w:r w:rsidRPr="006F366E">
              <w:t xml:space="preserve"> proposed total forecast capex or our substitute estimate is referable to arrangements with a person other than </w:t>
            </w:r>
            <w:r w:rsidR="003D2532">
              <w:t xml:space="preserve">Directlink </w:t>
            </w:r>
            <w:r w:rsidRPr="006F366E">
              <w:t xml:space="preserve">that do not reflect arm's length terms. We did not identify any parts of </w:t>
            </w:r>
            <w:r w:rsidR="003D2532">
              <w:t>Directlink's</w:t>
            </w:r>
            <w:r w:rsidRPr="006F366E">
              <w:t xml:space="preserve"> proposed total forecast capex or our substitute estimate that is referable in this way.</w:t>
            </w:r>
          </w:p>
        </w:tc>
      </w:tr>
      <w:tr w:rsidR="006F366E" w:rsidRPr="006F366E" w:rsidTr="00D30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6F366E">
            <w:r w:rsidRPr="006F366E">
              <w:t>Whether the capex forecast includes an amount relating to a project that should more appropriately be included as a contingent project</w:t>
            </w:r>
          </w:p>
        </w:tc>
        <w:tc>
          <w:tcPr>
            <w:tcW w:w="5142" w:type="dxa"/>
            <w:tcBorders>
              <w:top w:val="nil"/>
              <w:left w:val="nil"/>
              <w:bottom w:val="nil"/>
              <w:right w:val="nil"/>
            </w:tcBorders>
            <w:hideMark/>
          </w:tcPr>
          <w:p w:rsidR="006F366E" w:rsidRPr="006F366E" w:rsidRDefault="006F366E" w:rsidP="00A1538A">
            <w:pPr>
              <w:cnfStyle w:val="000000010000" w:firstRow="0" w:lastRow="0" w:firstColumn="0" w:lastColumn="0" w:oddVBand="0" w:evenVBand="0" w:oddHBand="0" w:evenHBand="1" w:firstRowFirstColumn="0" w:firstRowLastColumn="0" w:lastRowFirstColumn="0" w:lastRowLastColumn="0"/>
            </w:pPr>
            <w:r w:rsidRPr="006F366E">
              <w:t xml:space="preserve">We have had regard to whether any amount of </w:t>
            </w:r>
            <w:r w:rsidR="003D2532">
              <w:t>Directlink's</w:t>
            </w:r>
            <w:r w:rsidRPr="006F366E">
              <w:t xml:space="preserve"> proposed total forecast capex or our substitute estimate relates to a project that should more appropriately be included as a contingent project. We did not identify any such amounts</w:t>
            </w:r>
            <w:r w:rsidR="00A1538A">
              <w:t>.</w:t>
            </w:r>
          </w:p>
        </w:tc>
      </w:tr>
      <w:tr w:rsidR="006F366E" w:rsidRPr="006F366E" w:rsidTr="00D305F4">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3D2532">
            <w:r w:rsidRPr="006F366E">
              <w:t xml:space="preserve">The extent to which </w:t>
            </w:r>
            <w:r w:rsidR="003D2532">
              <w:t xml:space="preserve">Directlink </w:t>
            </w:r>
            <w:r w:rsidRPr="006F366E">
              <w:t>has considered and made provision for efficient and prudent non-network alternatives</w:t>
            </w:r>
          </w:p>
        </w:tc>
        <w:tc>
          <w:tcPr>
            <w:tcW w:w="5142" w:type="dxa"/>
            <w:tcBorders>
              <w:top w:val="nil"/>
              <w:left w:val="nil"/>
              <w:bottom w:val="nil"/>
              <w:right w:val="nil"/>
            </w:tcBorders>
            <w:hideMark/>
          </w:tcPr>
          <w:p w:rsidR="006F366E" w:rsidRPr="006F366E" w:rsidRDefault="006F366E" w:rsidP="003D2532">
            <w:pPr>
              <w:cnfStyle w:val="000000000000" w:firstRow="0" w:lastRow="0" w:firstColumn="0" w:lastColumn="0" w:oddVBand="0" w:evenVBand="0" w:oddHBand="0" w:evenHBand="0" w:firstRowFirstColumn="0" w:firstRowLastColumn="0" w:lastRowFirstColumn="0" w:lastRowLastColumn="0"/>
            </w:pPr>
            <w:r w:rsidRPr="006F366E">
              <w:t xml:space="preserve">We have had regard to the extent to which </w:t>
            </w:r>
            <w:r w:rsidR="003D2532">
              <w:t xml:space="preserve">Directlink </w:t>
            </w:r>
            <w:r w:rsidRPr="006F366E">
              <w:t xml:space="preserve">made provision for efficient and prudent non-network alternatives as part of our assessment of the capex associated with the non-network capex driver. </w:t>
            </w:r>
          </w:p>
        </w:tc>
      </w:tr>
      <w:tr w:rsidR="006F366E" w:rsidRPr="006F366E" w:rsidTr="00D30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6F366E">
            <w:r w:rsidRPr="006F366E">
              <w:t>Any relevant final project assessment report (as defined in clause 5.10.2 of the NER) published under clause 5.17.4(o), (p) or (s)</w:t>
            </w:r>
          </w:p>
        </w:tc>
        <w:tc>
          <w:tcPr>
            <w:tcW w:w="5142" w:type="dxa"/>
            <w:tcBorders>
              <w:top w:val="nil"/>
              <w:left w:val="nil"/>
              <w:bottom w:val="nil"/>
              <w:right w:val="nil"/>
            </w:tcBorders>
            <w:hideMark/>
          </w:tcPr>
          <w:p w:rsidR="006F366E" w:rsidRPr="006F366E" w:rsidRDefault="006F366E" w:rsidP="002F7177">
            <w:pPr>
              <w:cnfStyle w:val="000000010000" w:firstRow="0" w:lastRow="0" w:firstColumn="0" w:lastColumn="0" w:oddVBand="0" w:evenVBand="0" w:oddHBand="0" w:evenHBand="1" w:firstRowFirstColumn="0" w:firstRowLastColumn="0" w:lastRowFirstColumn="0" w:lastRowLastColumn="0"/>
            </w:pPr>
            <w:r w:rsidRPr="006F366E">
              <w:t xml:space="preserve">There are no final project assessment reports relevant to </w:t>
            </w:r>
            <w:r w:rsidR="002F7177">
              <w:t xml:space="preserve">Directlink </w:t>
            </w:r>
            <w:r w:rsidRPr="006F366E">
              <w:t>for us to have regard to.</w:t>
            </w:r>
          </w:p>
        </w:tc>
      </w:tr>
      <w:tr w:rsidR="006F366E" w:rsidRPr="006F366E" w:rsidTr="00D305F4">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F366E" w:rsidRPr="006F366E" w:rsidRDefault="006F366E" w:rsidP="002F7177">
            <w:r w:rsidRPr="006F366E">
              <w:t xml:space="preserve">Any other factor the AER considers relevant and which the AER has notified </w:t>
            </w:r>
            <w:r w:rsidR="002F7177">
              <w:t xml:space="preserve">Directlink </w:t>
            </w:r>
            <w:r w:rsidRPr="006F366E">
              <w:t xml:space="preserve">in writing, prior to the submission of its revised regulatory proposal under is </w:t>
            </w:r>
            <w:r w:rsidRPr="006F366E">
              <w:lastRenderedPageBreak/>
              <w:t>a capex factor</w:t>
            </w:r>
          </w:p>
        </w:tc>
        <w:tc>
          <w:tcPr>
            <w:tcW w:w="5142" w:type="dxa"/>
            <w:tcBorders>
              <w:top w:val="nil"/>
              <w:left w:val="nil"/>
              <w:bottom w:val="nil"/>
              <w:right w:val="nil"/>
            </w:tcBorders>
            <w:hideMark/>
          </w:tcPr>
          <w:p w:rsidR="006F366E" w:rsidRPr="006F366E" w:rsidRDefault="006F366E" w:rsidP="006F366E">
            <w:pPr>
              <w:cnfStyle w:val="000000000000" w:firstRow="0" w:lastRow="0" w:firstColumn="0" w:lastColumn="0" w:oddVBand="0" w:evenVBand="0" w:oddHBand="0" w:evenHBand="0" w:firstRowFirstColumn="0" w:firstRowLastColumn="0" w:lastRowFirstColumn="0" w:lastRowLastColumn="0"/>
            </w:pPr>
            <w:r w:rsidRPr="006F366E">
              <w:lastRenderedPageBreak/>
              <w:t>We did not identify any other capex factor that we consider relevant.</w:t>
            </w:r>
          </w:p>
        </w:tc>
      </w:tr>
    </w:tbl>
    <w:p w:rsidR="006F366E" w:rsidRPr="006F366E" w:rsidRDefault="006F366E" w:rsidP="002F7177">
      <w:pPr>
        <w:pStyle w:val="AERtablesource"/>
      </w:pPr>
      <w:r w:rsidRPr="006F366E">
        <w:lastRenderedPageBreak/>
        <w:t xml:space="preserve">Source: </w:t>
      </w:r>
      <w:r w:rsidRPr="006F366E">
        <w:tab/>
        <w:t>AER analysis</w:t>
      </w:r>
    </w:p>
    <w:p w:rsidR="00EC2694" w:rsidRPr="001D22A4" w:rsidRDefault="00F37501" w:rsidP="001D22A4">
      <w:pPr>
        <w:pStyle w:val="Heading3"/>
        <w:rPr>
          <w:rFonts w:eastAsia="Calibri"/>
        </w:rPr>
      </w:pPr>
      <w:bookmarkStart w:id="32" w:name="_Toc404190863"/>
      <w:r w:rsidRPr="001D22A4">
        <w:t>Conclusion</w:t>
      </w:r>
      <w:bookmarkEnd w:id="32"/>
    </w:p>
    <w:p w:rsidR="00E8301D" w:rsidRDefault="000A3BB4" w:rsidP="000A3BB4">
      <w:pPr>
        <w:pStyle w:val="AERbodytext"/>
      </w:pPr>
      <w:r>
        <w:t xml:space="preserve">For the foregoing reasons, </w:t>
      </w:r>
      <w:r w:rsidRPr="000A3BB4">
        <w:t xml:space="preserve">we </w:t>
      </w:r>
      <w:r w:rsidR="00D5785D">
        <w:t xml:space="preserve">do not accept </w:t>
      </w:r>
      <w:r w:rsidRPr="000A3BB4">
        <w:t xml:space="preserve">the total forecast capex </w:t>
      </w:r>
      <w:r w:rsidR="00396E86">
        <w:t>of $</w:t>
      </w:r>
      <w:r w:rsidR="001D22A4">
        <w:t>35.19 million</w:t>
      </w:r>
      <w:r w:rsidR="00396E86">
        <w:t xml:space="preserve"> </w:t>
      </w:r>
      <w:r w:rsidRPr="000A3BB4">
        <w:t xml:space="preserve">that </w:t>
      </w:r>
      <w:r w:rsidR="004972BE">
        <w:t>Directlink</w:t>
      </w:r>
      <w:r w:rsidRPr="000A3BB4">
        <w:t xml:space="preserve"> proposed </w:t>
      </w:r>
      <w:r w:rsidR="00396E86">
        <w:t xml:space="preserve">in its revenue proposal </w:t>
      </w:r>
      <w:r w:rsidRPr="000A3BB4">
        <w:t>for the</w:t>
      </w:r>
      <w:r w:rsidR="00396E86">
        <w:t xml:space="preserve"> 2015–</w:t>
      </w:r>
      <w:r w:rsidR="001D22A4">
        <w:t>20</w:t>
      </w:r>
      <w:r w:rsidRPr="000A3BB4">
        <w:t xml:space="preserve"> </w:t>
      </w:r>
      <w:r w:rsidR="00564182">
        <w:t xml:space="preserve">regulatory control </w:t>
      </w:r>
      <w:r w:rsidRPr="000A3BB4">
        <w:t>period</w:t>
      </w:r>
      <w:r w:rsidR="00D5785D">
        <w:t>. This is because we are not satisfied that a</w:t>
      </w:r>
      <w:r w:rsidR="00D5785D" w:rsidRPr="00D5785D">
        <w:t xml:space="preserve"> </w:t>
      </w:r>
      <w:r w:rsidR="00D5785D" w:rsidRPr="000A3BB4">
        <w:t xml:space="preserve">total forecast capex </w:t>
      </w:r>
      <w:r w:rsidR="00D5785D">
        <w:t>of $</w:t>
      </w:r>
      <w:r w:rsidR="001D22A4">
        <w:t>35.19 million</w:t>
      </w:r>
      <w:r w:rsidRPr="000A3BB4">
        <w:t xml:space="preserve"> reasonably reflects the capex criteria</w:t>
      </w:r>
      <w:r w:rsidR="008D3A02">
        <w:t xml:space="preserve">. </w:t>
      </w:r>
      <w:r w:rsidR="0052349D">
        <w:t xml:space="preserve"> </w:t>
      </w:r>
      <w:r w:rsidR="008D3A02">
        <w:t xml:space="preserve">In reaching this conclusion, we have taken into account the revenue and pricing principles. </w:t>
      </w:r>
      <w:r w:rsidR="0052349D">
        <w:rPr>
          <w:rStyle w:val="FootnoteReference"/>
        </w:rPr>
        <w:footnoteReference w:id="47"/>
      </w:r>
      <w:r>
        <w:t xml:space="preserve"> </w:t>
      </w:r>
    </w:p>
    <w:p w:rsidR="007544D9" w:rsidRDefault="001100F1" w:rsidP="00CF4A6A">
      <w:pPr>
        <w:pStyle w:val="AERbodytext"/>
      </w:pPr>
      <w:r>
        <w:t>O</w:t>
      </w:r>
      <w:r w:rsidR="008D3A02">
        <w:t xml:space="preserve">ur alternative estimate of the required capex </w:t>
      </w:r>
      <w:r>
        <w:t xml:space="preserve">has been influenced in part by </w:t>
      </w:r>
      <w:r w:rsidR="008D3A02">
        <w:t>Directlink's proposal, namely the</w:t>
      </w:r>
      <w:r w:rsidR="00CF4A6A">
        <w:t xml:space="preserve"> </w:t>
      </w:r>
      <w:r w:rsidR="00275BEB">
        <w:t xml:space="preserve">anticipated impact on reliability </w:t>
      </w:r>
      <w:r w:rsidR="008D3A02">
        <w:t>and the need to</w:t>
      </w:r>
      <w:r w:rsidR="008D3A02" w:rsidRPr="00275BEB">
        <w:t xml:space="preserve"> </w:t>
      </w:r>
      <w:r w:rsidR="00275BEB" w:rsidRPr="00275BEB">
        <w:t xml:space="preserve">ensure availability of </w:t>
      </w:r>
      <w:r w:rsidR="00275BEB">
        <w:t>Directlink's</w:t>
      </w:r>
      <w:r w:rsidR="00275BEB" w:rsidRPr="00275BEB">
        <w:t xml:space="preserve"> link at maximum capability</w:t>
      </w:r>
      <w:r w:rsidR="00275BEB">
        <w:t>.</w:t>
      </w:r>
      <w:r w:rsidR="00275BEB" w:rsidRPr="00275BEB">
        <w:t xml:space="preserve"> </w:t>
      </w:r>
      <w:r w:rsidR="008D3A02">
        <w:t xml:space="preserve">Our alternative estimate also takes into account the </w:t>
      </w:r>
      <w:r w:rsidR="00440594">
        <w:t xml:space="preserve">operating risks arising from </w:t>
      </w:r>
      <w:r w:rsidR="00275BEB" w:rsidRPr="00275BEB">
        <w:t>the impact of the Mullumbimby converter station fire in August 2012.</w:t>
      </w:r>
      <w:r w:rsidR="00275BEB">
        <w:t xml:space="preserve"> </w:t>
      </w:r>
    </w:p>
    <w:p w:rsidR="00E8301D" w:rsidRDefault="00ED5D2A" w:rsidP="00D5785D">
      <w:pPr>
        <w:pStyle w:val="AERbodytext"/>
        <w:numPr>
          <w:ilvl w:val="0"/>
          <w:numId w:val="0"/>
        </w:numPr>
      </w:pPr>
      <w:r>
        <w:t xml:space="preserve">Our </w:t>
      </w:r>
      <w:r w:rsidRPr="00ED5D2A">
        <w:t>substitute estimate of the total forecast capex that Directlink requires over the 2015–20 regulatory control period is based on our alternative estimate. We are satisfied that this amount of $25.</w:t>
      </w:r>
      <w:r w:rsidR="00434EA7">
        <w:t>63</w:t>
      </w:r>
      <w:r w:rsidRPr="00ED5D2A">
        <w:t xml:space="preserve"> million ($</w:t>
      </w:r>
      <w:r w:rsidR="002817A2">
        <w:t>2014-15</w:t>
      </w:r>
      <w:r w:rsidRPr="00ED5D2A">
        <w:t>) reasonably reflects the capex criteria. This should provide Directlink with a reasonable opportunity to recover at least its efficient costs.</w:t>
      </w:r>
      <w:r w:rsidR="00E8301D">
        <w:t xml:space="preserve"> </w:t>
      </w:r>
      <w:r w:rsidR="00F6718C">
        <w:fldChar w:fldCharType="begin"/>
      </w:r>
      <w:r w:rsidR="00F6718C">
        <w:instrText xml:space="preserve"> REF _Ref404091122 \h </w:instrText>
      </w:r>
      <w:r w:rsidR="00F6718C">
        <w:fldChar w:fldCharType="separate"/>
      </w:r>
      <w:r w:rsidR="00117C35">
        <w:t>Table 6-</w:t>
      </w:r>
      <w:r w:rsidR="00117C35">
        <w:rPr>
          <w:noProof/>
        </w:rPr>
        <w:t>5</w:t>
      </w:r>
      <w:r w:rsidR="00F6718C">
        <w:fldChar w:fldCharType="end"/>
      </w:r>
      <w:r w:rsidR="00905A51">
        <w:t xml:space="preserve"> shows the adjustments we have made to Directlink's proposed capex.</w:t>
      </w:r>
    </w:p>
    <w:p w:rsidR="00905A51" w:rsidRDefault="00F6718C" w:rsidP="00F6718C">
      <w:pPr>
        <w:pStyle w:val="Caption"/>
      </w:pPr>
      <w:bookmarkStart w:id="33" w:name="_Ref404091122"/>
      <w:r>
        <w:t xml:space="preserve">Table </w:t>
      </w:r>
      <w:r w:rsidR="00117C35">
        <w:t>6-</w:t>
      </w:r>
      <w:fldSimple w:instr=" SEQ Table \* ARABIC ">
        <w:r>
          <w:rPr>
            <w:noProof/>
          </w:rPr>
          <w:t>5</w:t>
        </w:r>
      </w:fldSimple>
      <w:bookmarkEnd w:id="33"/>
      <w:r w:rsidR="00905A51" w:rsidRPr="00C16DCE">
        <w:tab/>
      </w:r>
      <w:r w:rsidR="00440594">
        <w:t xml:space="preserve">Draft decision: </w:t>
      </w:r>
      <w:r w:rsidR="00905A51">
        <w:t xml:space="preserve">capex </w:t>
      </w:r>
      <w:r w:rsidR="00DF040F">
        <w:t>adjustment</w:t>
      </w:r>
      <w:r w:rsidR="00905A51">
        <w:t xml:space="preserve"> </w:t>
      </w:r>
      <w:r w:rsidR="00905A51" w:rsidRPr="000814D8">
        <w:t>($</w:t>
      </w:r>
      <w:r w:rsidR="00905A51">
        <w:t xml:space="preserve">m </w:t>
      </w:r>
      <w:r w:rsidR="00905A51" w:rsidRPr="000814D8">
        <w:t>real, 2014-15)</w:t>
      </w:r>
    </w:p>
    <w:tbl>
      <w:tblPr>
        <w:tblStyle w:val="AERtable-numbers"/>
        <w:tblW w:w="0" w:type="auto"/>
        <w:tblLayout w:type="fixed"/>
        <w:tblLook w:val="04A0" w:firstRow="1" w:lastRow="0" w:firstColumn="1" w:lastColumn="0" w:noHBand="0" w:noVBand="1"/>
      </w:tblPr>
      <w:tblGrid>
        <w:gridCol w:w="1355"/>
        <w:gridCol w:w="2682"/>
        <w:gridCol w:w="1735"/>
        <w:gridCol w:w="1589"/>
        <w:gridCol w:w="1701"/>
      </w:tblGrid>
      <w:tr w:rsidR="00905A51" w:rsidRPr="00957A1A" w:rsidTr="00117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5" w:type="dxa"/>
          </w:tcPr>
          <w:p w:rsidR="00905A51" w:rsidRPr="00905A51" w:rsidRDefault="00905A51" w:rsidP="00905A51">
            <w:pPr>
              <w:pStyle w:val="AERtabletextleft"/>
            </w:pPr>
            <w:r w:rsidRPr="00957A1A">
              <w:t>Project</w:t>
            </w:r>
          </w:p>
        </w:tc>
        <w:tc>
          <w:tcPr>
            <w:tcW w:w="4417" w:type="dxa"/>
            <w:gridSpan w:val="2"/>
          </w:tcPr>
          <w:p w:rsidR="00905A51" w:rsidRPr="00905A51" w:rsidRDefault="00905A51" w:rsidP="00905A51">
            <w:pPr>
              <w:pStyle w:val="AERtabletextleft"/>
              <w:cnfStyle w:val="100000000000" w:firstRow="1" w:lastRow="0" w:firstColumn="0" w:lastColumn="0" w:oddVBand="0" w:evenVBand="0" w:oddHBand="0" w:evenHBand="0" w:firstRowFirstColumn="0" w:firstRowLastColumn="0" w:lastRowFirstColumn="0" w:lastRowLastColumn="0"/>
            </w:pPr>
            <w:r w:rsidRPr="00957A1A">
              <w:t>Directlink proposed capex</w:t>
            </w:r>
          </w:p>
        </w:tc>
        <w:tc>
          <w:tcPr>
            <w:tcW w:w="1589" w:type="dxa"/>
          </w:tcPr>
          <w:p w:rsidR="00905A51" w:rsidRPr="00957A1A" w:rsidRDefault="00905A51" w:rsidP="00905A51">
            <w:pPr>
              <w:pStyle w:val="AERtabletextleft"/>
              <w:cnfStyle w:val="100000000000" w:firstRow="1" w:lastRow="0" w:firstColumn="0" w:lastColumn="0" w:oddVBand="0" w:evenVBand="0" w:oddHBand="0" w:evenHBand="0" w:firstRowFirstColumn="0" w:firstRowLastColumn="0" w:lastRowFirstColumn="0" w:lastRowLastColumn="0"/>
            </w:pPr>
            <w:r>
              <w:t>AER adjustment</w:t>
            </w:r>
          </w:p>
        </w:tc>
        <w:tc>
          <w:tcPr>
            <w:tcW w:w="1701" w:type="dxa"/>
          </w:tcPr>
          <w:p w:rsidR="00905A51" w:rsidRPr="00957A1A" w:rsidRDefault="00B96EF9" w:rsidP="00905A51">
            <w:pPr>
              <w:pStyle w:val="AERtabletextleft"/>
              <w:cnfStyle w:val="100000000000" w:firstRow="1" w:lastRow="0" w:firstColumn="0" w:lastColumn="0" w:oddVBand="0" w:evenVBand="0" w:oddHBand="0" w:evenHBand="0" w:firstRowFirstColumn="0" w:firstRowLastColumn="0" w:lastRowFirstColumn="0" w:lastRowLastColumn="0"/>
            </w:pPr>
            <w:r>
              <w:t>Draft Decision</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05A51">
              <w:rPr>
                <w:rFonts w:eastAsiaTheme="minorEastAsia"/>
              </w:rPr>
              <w:t>Control system upgrade</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13.07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13.07</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Fire suppression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7.19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-2.50</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4.69</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Cable repairs </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2.84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-2.13</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0.71</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Phase reactor cooling revisions (Gotland solution)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2.28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2.28</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Sourcing program - Cable joints </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1.94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-1.46</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0.48</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Sourcing program - IGBTs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1.87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1.87</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t>Zero sequence reactor repair</w:t>
            </w:r>
            <w:r w:rsidRPr="00957A1A">
              <w:t xml:space="preserve"> </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1.51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-0.99</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0.52</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Optic fibre cables and connectors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0.80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0.80</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Cooling tower sound enclosure remediation </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0.51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0.51</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Security fence upgrade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0.39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0.39</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Cable relocation </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0.37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-0.37</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Emergency lighting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0.34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-0.34</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Roof repair of converter buildings </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0.26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-0.21</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0.05</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Building safety upgrade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0.18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0.18</w:t>
            </w:r>
          </w:p>
        </w:tc>
      </w:tr>
      <w:tr w:rsidR="00905A5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lastRenderedPageBreak/>
              <w:t xml:space="preserve">Converter buildings ventilation sound dampers corrosion repair </w:t>
            </w:r>
          </w:p>
        </w:tc>
        <w:tc>
          <w:tcPr>
            <w:tcW w:w="1735" w:type="dxa"/>
            <w:vAlign w:val="bottom"/>
          </w:tcPr>
          <w:p w:rsidR="00905A51" w:rsidRPr="00905A51"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rsidRPr="00957A1A">
              <w:t xml:space="preserve">0.05 </w:t>
            </w:r>
          </w:p>
        </w:tc>
        <w:tc>
          <w:tcPr>
            <w:tcW w:w="1589" w:type="dxa"/>
          </w:tcPr>
          <w:p w:rsidR="00905A51" w:rsidRPr="00957A1A" w:rsidRDefault="00905A51" w:rsidP="00905A51">
            <w:pPr>
              <w:pStyle w:val="AERtabletextleft"/>
              <w:cnfStyle w:val="000000000000" w:firstRow="0" w:lastRow="0" w:firstColumn="0" w:lastColumn="0" w:oddVBand="0" w:evenVBand="0" w:oddHBand="0" w:evenHBand="0" w:firstRowFirstColumn="0" w:firstRowLastColumn="0" w:lastRowFirstColumn="0" w:lastRowLastColumn="0"/>
            </w:pPr>
            <w:r>
              <w:t>-</w:t>
            </w:r>
          </w:p>
        </w:tc>
        <w:tc>
          <w:tcPr>
            <w:tcW w:w="1701" w:type="dxa"/>
          </w:tcPr>
          <w:p w:rsidR="00905A51" w:rsidRPr="00957A1A" w:rsidRDefault="00DF040F" w:rsidP="00905A51">
            <w:pPr>
              <w:pStyle w:val="AERtabletextleft"/>
              <w:cnfStyle w:val="000000000000" w:firstRow="0" w:lastRow="0" w:firstColumn="0" w:lastColumn="0" w:oddVBand="0" w:evenVBand="0" w:oddHBand="0" w:evenHBand="0" w:firstRowFirstColumn="0" w:firstRowLastColumn="0" w:lastRowFirstColumn="0" w:lastRowLastColumn="0"/>
            </w:pPr>
            <w:r>
              <w:t>0.05</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pPr>
            <w:r w:rsidRPr="00957A1A">
              <w:t xml:space="preserve">Safety hand rails - Bungalora </w:t>
            </w:r>
          </w:p>
        </w:tc>
        <w:tc>
          <w:tcPr>
            <w:tcW w:w="1735" w:type="dxa"/>
            <w:vAlign w:val="bottom"/>
          </w:tcPr>
          <w:p w:rsidR="00905A51" w:rsidRPr="00905A51"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rsidRPr="00957A1A">
              <w:t xml:space="preserve">0.02 </w:t>
            </w:r>
          </w:p>
        </w:tc>
        <w:tc>
          <w:tcPr>
            <w:tcW w:w="1589" w:type="dxa"/>
          </w:tcPr>
          <w:p w:rsidR="00905A51" w:rsidRPr="00957A1A" w:rsidRDefault="00905A51" w:rsidP="00905A51">
            <w:pPr>
              <w:pStyle w:val="AERtabletextleft"/>
              <w:cnfStyle w:val="000000010000" w:firstRow="0" w:lastRow="0" w:firstColumn="0" w:lastColumn="0" w:oddVBand="0" w:evenVBand="0" w:oddHBand="0" w:evenHBand="1" w:firstRowFirstColumn="0" w:firstRowLastColumn="0" w:lastRowFirstColumn="0" w:lastRowLastColumn="0"/>
            </w:pPr>
            <w:r>
              <w:t>-</w:t>
            </w:r>
          </w:p>
        </w:tc>
        <w:tc>
          <w:tcPr>
            <w:tcW w:w="1701" w:type="dxa"/>
          </w:tcPr>
          <w:p w:rsidR="00905A51" w:rsidRPr="00957A1A" w:rsidRDefault="00DF040F" w:rsidP="00905A51">
            <w:pPr>
              <w:pStyle w:val="AERtabletextleft"/>
              <w:cnfStyle w:val="000000010000" w:firstRow="0" w:lastRow="0" w:firstColumn="0" w:lastColumn="0" w:oddVBand="0" w:evenVBand="0" w:oddHBand="0" w:evenHBand="1" w:firstRowFirstColumn="0" w:firstRowLastColumn="0" w:lastRowFirstColumn="0" w:lastRowLastColumn="0"/>
            </w:pPr>
            <w:r>
              <w:t>0.02</w:t>
            </w:r>
          </w:p>
        </w:tc>
      </w:tr>
      <w:tr w:rsidR="00C35C31" w:rsidRPr="00957A1A" w:rsidTr="00905A51">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C35C31" w:rsidRPr="00C35C31" w:rsidRDefault="00C35C31" w:rsidP="00C35C31">
            <w:pPr>
              <w:pStyle w:val="AERtabletextleft"/>
            </w:pPr>
            <w:r>
              <w:t>Othe</w:t>
            </w:r>
            <w:r w:rsidRPr="00C35C31">
              <w:t>r</w:t>
            </w:r>
          </w:p>
        </w:tc>
        <w:tc>
          <w:tcPr>
            <w:tcW w:w="1735" w:type="dxa"/>
            <w:vAlign w:val="bottom"/>
          </w:tcPr>
          <w:p w:rsidR="00C35C31" w:rsidRPr="00C35C31" w:rsidRDefault="00C35C31" w:rsidP="00C35C31">
            <w:pPr>
              <w:pStyle w:val="AERtabletextleft"/>
              <w:cnfStyle w:val="000000000000" w:firstRow="0" w:lastRow="0" w:firstColumn="0" w:lastColumn="0" w:oddVBand="0" w:evenVBand="0" w:oddHBand="0" w:evenHBand="0" w:firstRowFirstColumn="0" w:firstRowLastColumn="0" w:lastRowFirstColumn="0" w:lastRowLastColumn="0"/>
            </w:pPr>
            <w:r>
              <w:t>1.57</w:t>
            </w:r>
          </w:p>
        </w:tc>
        <w:tc>
          <w:tcPr>
            <w:tcW w:w="1589" w:type="dxa"/>
          </w:tcPr>
          <w:p w:rsidR="00C35C31" w:rsidRDefault="00C35C31" w:rsidP="00C35C31">
            <w:pPr>
              <w:pStyle w:val="AERtabletextleft"/>
              <w:cnfStyle w:val="000000000000" w:firstRow="0" w:lastRow="0" w:firstColumn="0" w:lastColumn="0" w:oddVBand="0" w:evenVBand="0" w:oddHBand="0" w:evenHBand="0" w:firstRowFirstColumn="0" w:firstRowLastColumn="0" w:lastRowFirstColumn="0" w:lastRowLastColumn="0"/>
            </w:pPr>
            <w:r>
              <w:t>-1.57</w:t>
            </w:r>
          </w:p>
        </w:tc>
        <w:tc>
          <w:tcPr>
            <w:tcW w:w="1701" w:type="dxa"/>
          </w:tcPr>
          <w:p w:rsidR="00C35C31" w:rsidRDefault="00C35C31" w:rsidP="00C35C31">
            <w:pPr>
              <w:pStyle w:val="AERtabletextleft"/>
              <w:cnfStyle w:val="000000000000" w:firstRow="0" w:lastRow="0" w:firstColumn="0" w:lastColumn="0" w:oddVBand="0" w:evenVBand="0" w:oddHBand="0" w:evenHBand="0" w:firstRowFirstColumn="0" w:firstRowLastColumn="0" w:lastRowFirstColumn="0" w:lastRowLastColumn="0"/>
            </w:pPr>
            <w:r>
              <w:t>0.00</w:t>
            </w:r>
          </w:p>
        </w:tc>
      </w:tr>
      <w:tr w:rsidR="00905A51" w:rsidRPr="00957A1A" w:rsidTr="00905A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7" w:type="dxa"/>
            <w:gridSpan w:val="2"/>
            <w:vAlign w:val="bottom"/>
          </w:tcPr>
          <w:p w:rsidR="00905A51" w:rsidRPr="00905A51" w:rsidRDefault="00905A51" w:rsidP="00905A51">
            <w:pPr>
              <w:pStyle w:val="AERtabletextleft"/>
              <w:rPr>
                <w:rStyle w:val="AERtextbold"/>
              </w:rPr>
            </w:pPr>
            <w:r w:rsidRPr="00904619">
              <w:rPr>
                <w:rStyle w:val="AERtextbold"/>
              </w:rPr>
              <w:t>TOTAL</w:t>
            </w:r>
          </w:p>
        </w:tc>
        <w:tc>
          <w:tcPr>
            <w:tcW w:w="1735" w:type="dxa"/>
            <w:vAlign w:val="bottom"/>
          </w:tcPr>
          <w:p w:rsidR="00905A51" w:rsidRPr="00905A51" w:rsidRDefault="00905A51" w:rsidP="00DF040F">
            <w:pPr>
              <w:pStyle w:val="AERtabletextleft"/>
              <w:cnfStyle w:val="000000010000" w:firstRow="0" w:lastRow="0" w:firstColumn="0" w:lastColumn="0" w:oddVBand="0" w:evenVBand="0" w:oddHBand="0" w:evenHBand="1" w:firstRowFirstColumn="0" w:firstRowLastColumn="0" w:lastRowFirstColumn="0" w:lastRowLastColumn="0"/>
              <w:rPr>
                <w:rStyle w:val="AERsuperscript"/>
              </w:rPr>
            </w:pPr>
            <w:r w:rsidRPr="00904619">
              <w:rPr>
                <w:rStyle w:val="AERtextbold"/>
              </w:rPr>
              <w:t>3</w:t>
            </w:r>
            <w:r w:rsidR="00DF040F">
              <w:rPr>
                <w:rStyle w:val="AERtextbold"/>
              </w:rPr>
              <w:t>5.19</w:t>
            </w:r>
          </w:p>
        </w:tc>
        <w:tc>
          <w:tcPr>
            <w:tcW w:w="1589" w:type="dxa"/>
          </w:tcPr>
          <w:p w:rsidR="00905A51" w:rsidRPr="00904619" w:rsidRDefault="00DF040F" w:rsidP="00A17ECF">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9.</w:t>
            </w:r>
            <w:r w:rsidR="00A17ECF">
              <w:rPr>
                <w:rStyle w:val="AERtextbold"/>
              </w:rPr>
              <w:t>56</w:t>
            </w:r>
          </w:p>
        </w:tc>
        <w:tc>
          <w:tcPr>
            <w:tcW w:w="1701" w:type="dxa"/>
          </w:tcPr>
          <w:p w:rsidR="00905A51" w:rsidRPr="00904619" w:rsidRDefault="00DF040F" w:rsidP="00A17ECF">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25.</w:t>
            </w:r>
            <w:r w:rsidR="00A17ECF">
              <w:rPr>
                <w:rStyle w:val="AERtextbold"/>
              </w:rPr>
              <w:t>63</w:t>
            </w:r>
          </w:p>
        </w:tc>
      </w:tr>
    </w:tbl>
    <w:p w:rsidR="00905A51" w:rsidRPr="002817A2" w:rsidRDefault="00905A51" w:rsidP="002817A2">
      <w:pPr>
        <w:pStyle w:val="AERtablesource"/>
      </w:pPr>
      <w:r w:rsidRPr="002817A2">
        <w:t>Source:</w:t>
      </w:r>
      <w:r w:rsidRPr="002817A2">
        <w:tab/>
        <w:t>Directlink, May 2014, ‘Revenue Proposal, Attachment 8.1, Capital expenditure business cases’, p.1</w:t>
      </w:r>
      <w:r w:rsidR="00DF040F" w:rsidRPr="002817A2">
        <w:t xml:space="preserve"> and Directlink, Regulatory proposal, p. 55.</w:t>
      </w:r>
    </w:p>
    <w:p w:rsidR="000A3BB4" w:rsidRPr="00F37501" w:rsidRDefault="000A3BB4" w:rsidP="00F37501">
      <w:pPr>
        <w:pStyle w:val="AERbodytext"/>
      </w:pPr>
    </w:p>
    <w:sectPr w:rsidR="000A3BB4" w:rsidRPr="00F37501" w:rsidSect="00F576FD">
      <w:footerReference w:type="even" r:id="rId14"/>
      <w:footerReference w:type="default" r:id="rId15"/>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B6" w:rsidRPr="00AB4345" w:rsidRDefault="000834B6" w:rsidP="00AB4345">
      <w:r>
        <w:separator/>
      </w:r>
    </w:p>
  </w:endnote>
  <w:endnote w:type="continuationSeparator" w:id="0">
    <w:p w:rsidR="000834B6" w:rsidRPr="00AB4345" w:rsidRDefault="000834B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0834B6" w:rsidRPr="00824CC8" w:rsidRDefault="000834B6" w:rsidP="00824CC8">
        <w:pPr>
          <w:pStyle w:val="Footer"/>
        </w:pPr>
        <w:r w:rsidRPr="00824CC8">
          <w:fldChar w:fldCharType="begin"/>
        </w:r>
        <w:r w:rsidRPr="00824CC8">
          <w:instrText xml:space="preserve"> PAGE   \* MERGEFORMAT </w:instrText>
        </w:r>
        <w:r w:rsidRPr="00824CC8">
          <w:fldChar w:fldCharType="separate"/>
        </w:r>
        <w:r w:rsidR="007E6954">
          <w:rPr>
            <w:noProof/>
          </w:rPr>
          <w:t>6-24</w:t>
        </w:r>
        <w:r w:rsidRPr="00824CC8">
          <w:fldChar w:fldCharType="end"/>
        </w:r>
        <w:r w:rsidRPr="00824CC8">
          <w:tab/>
        </w:r>
        <w:r w:rsidRPr="00824CC8">
          <w:rPr>
            <w:rStyle w:val="AERbody"/>
          </w:rPr>
          <w:t xml:space="preserve">Attachment </w:t>
        </w:r>
        <w:r>
          <w:rPr>
            <w:rStyle w:val="AERbody"/>
          </w:rPr>
          <w:t>6</w:t>
        </w:r>
        <w:r w:rsidRPr="00824CC8">
          <w:rPr>
            <w:rStyle w:val="AERbody"/>
          </w:rPr>
          <w:t xml:space="preserve"> | </w:t>
        </w:r>
        <w:r>
          <w:rPr>
            <w:rStyle w:val="AERbody"/>
          </w:rPr>
          <w:t>Capital expenditure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B6" w:rsidRPr="00824CC8" w:rsidRDefault="000834B6" w:rsidP="00824CC8">
    <w:pPr>
      <w:pStyle w:val="Footer"/>
      <w:rPr>
        <w:rStyle w:val="AERbody"/>
      </w:rPr>
    </w:pPr>
    <w:r>
      <w:rPr>
        <w:rStyle w:val="AERbody"/>
      </w:rPr>
      <w:t>Draft decision: Directlink transmission determination 2015-20</w:t>
    </w:r>
    <w:r w:rsidRPr="00210880">
      <w:rPr>
        <w:rStyle w:val="AERbody"/>
      </w:rPr>
      <w:t xml:space="preserve"> | Attachment </w:t>
    </w:r>
    <w:r>
      <w:rPr>
        <w:rStyle w:val="AERbody"/>
      </w:rPr>
      <w:t>12</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7E6954">
      <w:rPr>
        <w:rStyle w:val="AERbody"/>
        <w:noProof/>
      </w:rPr>
      <w:t>6-23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B6" w:rsidRPr="00AB4345" w:rsidRDefault="000834B6" w:rsidP="00AB4345">
      <w:r>
        <w:separator/>
      </w:r>
    </w:p>
  </w:footnote>
  <w:footnote w:type="continuationSeparator" w:id="0">
    <w:p w:rsidR="000834B6" w:rsidRPr="00AB4345" w:rsidRDefault="000834B6" w:rsidP="00AB4345">
      <w:r>
        <w:continuationSeparator/>
      </w:r>
    </w:p>
  </w:footnote>
  <w:footnote w:id="1">
    <w:p w:rsidR="000834B6" w:rsidRPr="000732B5" w:rsidRDefault="000834B6" w:rsidP="007150BC">
      <w:pPr>
        <w:pStyle w:val="FootnoteText"/>
        <w:rPr>
          <w:rStyle w:val="AERtexthighlight"/>
        </w:rPr>
      </w:pPr>
      <w:r>
        <w:rPr>
          <w:rStyle w:val="FootnoteReference"/>
        </w:rPr>
        <w:footnoteRef/>
      </w:r>
      <w:r>
        <w:t xml:space="preserve"> </w:t>
      </w:r>
      <w:r>
        <w:tab/>
        <w:t>NER, cl. 6A.6.7(a).</w:t>
      </w:r>
    </w:p>
  </w:footnote>
  <w:footnote w:id="2">
    <w:p w:rsidR="000834B6" w:rsidRDefault="000834B6" w:rsidP="007150BC">
      <w:pPr>
        <w:pStyle w:val="FootnoteText"/>
      </w:pPr>
      <w:r>
        <w:rPr>
          <w:rStyle w:val="FootnoteReference"/>
        </w:rPr>
        <w:footnoteRef/>
      </w:r>
      <w:r>
        <w:t xml:space="preserve"> </w:t>
      </w:r>
      <w:r>
        <w:tab/>
        <w:t>NER, cl. 6A.5.4(a).</w:t>
      </w:r>
    </w:p>
  </w:footnote>
  <w:footnote w:id="3">
    <w:p w:rsidR="000834B6" w:rsidRDefault="000834B6" w:rsidP="007150BC">
      <w:pPr>
        <w:pStyle w:val="FootnoteText"/>
      </w:pPr>
      <w:r>
        <w:rPr>
          <w:rStyle w:val="FootnoteReference"/>
        </w:rPr>
        <w:footnoteRef/>
      </w:r>
      <w:r>
        <w:t xml:space="preserve"> </w:t>
      </w:r>
      <w:r>
        <w:tab/>
        <w:t>NER, cll. 6A.6.7(c) and 6A.14.1(2)(i).</w:t>
      </w:r>
    </w:p>
  </w:footnote>
  <w:footnote w:id="4">
    <w:p w:rsidR="000834B6" w:rsidRDefault="000834B6" w:rsidP="007150BC">
      <w:pPr>
        <w:pStyle w:val="FootnoteText"/>
      </w:pPr>
      <w:r>
        <w:rPr>
          <w:rStyle w:val="FootnoteReference"/>
        </w:rPr>
        <w:footnoteRef/>
      </w:r>
      <w:r>
        <w:t xml:space="preserve"> </w:t>
      </w:r>
      <w:r>
        <w:tab/>
        <w:t>NER, cll. 6A.6.7(d) and 6A.14.1(2)(ii).</w:t>
      </w:r>
    </w:p>
  </w:footnote>
  <w:footnote w:id="5">
    <w:p w:rsidR="000834B6" w:rsidRDefault="000834B6" w:rsidP="007150BC">
      <w:pPr>
        <w:pStyle w:val="FootnoteText"/>
      </w:pPr>
      <w:r>
        <w:rPr>
          <w:rStyle w:val="FootnoteReference"/>
        </w:rPr>
        <w:footnoteRef/>
      </w:r>
      <w:r>
        <w:t xml:space="preserve"> </w:t>
      </w:r>
      <w:r>
        <w:tab/>
        <w:t>NER, cl. 6A.6.7(e); NEL, s. 16(2)(a)(i).</w:t>
      </w:r>
    </w:p>
  </w:footnote>
  <w:footnote w:id="6">
    <w:p w:rsidR="000834B6" w:rsidRDefault="000834B6">
      <w:pPr>
        <w:pStyle w:val="FootnoteText"/>
      </w:pPr>
      <w:r>
        <w:rPr>
          <w:rStyle w:val="FootnoteReference"/>
        </w:rPr>
        <w:footnoteRef/>
      </w:r>
      <w:r>
        <w:t xml:space="preserve"> </w:t>
      </w:r>
      <w:r>
        <w:tab/>
        <w:t xml:space="preserve">Directlink, </w:t>
      </w:r>
      <w:r w:rsidRPr="00A90D8E">
        <w:rPr>
          <w:rStyle w:val="AERtextitalic"/>
        </w:rPr>
        <w:t>Revenue proposal</w:t>
      </w:r>
      <w:r>
        <w:t>, p. 55.</w:t>
      </w:r>
    </w:p>
  </w:footnote>
  <w:footnote w:id="7">
    <w:p w:rsidR="000834B6" w:rsidRDefault="000834B6">
      <w:pPr>
        <w:pStyle w:val="FootnoteText"/>
      </w:pPr>
      <w:r>
        <w:rPr>
          <w:rStyle w:val="FootnoteReference"/>
        </w:rPr>
        <w:footnoteRef/>
      </w:r>
      <w:r>
        <w:t xml:space="preserve"> </w:t>
      </w:r>
      <w:r>
        <w:tab/>
        <w:t xml:space="preserve">Directlink, </w:t>
      </w:r>
      <w:r w:rsidRPr="00A90D8E">
        <w:rPr>
          <w:rStyle w:val="AERtextitalic"/>
        </w:rPr>
        <w:t>Revenue proposal</w:t>
      </w:r>
      <w:r>
        <w:t xml:space="preserve">, </w:t>
      </w:r>
      <w:r w:rsidRPr="009370FB">
        <w:rPr>
          <w:rStyle w:val="AERtextitalic"/>
        </w:rPr>
        <w:t>Regulatory Information Notice, 2.2 Capex</w:t>
      </w:r>
      <w:r>
        <w:t>.</w:t>
      </w:r>
    </w:p>
  </w:footnote>
  <w:footnote w:id="8">
    <w:p w:rsidR="000834B6" w:rsidRDefault="000834B6">
      <w:pPr>
        <w:pStyle w:val="FootnoteText"/>
      </w:pPr>
      <w:r>
        <w:rPr>
          <w:rStyle w:val="FootnoteReference"/>
        </w:rPr>
        <w:footnoteRef/>
      </w:r>
      <w:r>
        <w:t xml:space="preserve"> </w:t>
      </w:r>
      <w:r>
        <w:tab/>
        <w:t xml:space="preserve">Directlink, </w:t>
      </w:r>
      <w:r w:rsidRPr="00A90D8E">
        <w:rPr>
          <w:rStyle w:val="AERtextitalic"/>
        </w:rPr>
        <w:t>Revenue proposal</w:t>
      </w:r>
      <w:r>
        <w:t>, p. 44.</w:t>
      </w:r>
    </w:p>
  </w:footnote>
  <w:footnote w:id="9">
    <w:p w:rsidR="000834B6" w:rsidRDefault="000834B6">
      <w:pPr>
        <w:pStyle w:val="FootnoteText"/>
      </w:pPr>
      <w:r>
        <w:rPr>
          <w:rStyle w:val="FootnoteReference"/>
        </w:rPr>
        <w:footnoteRef/>
      </w:r>
      <w:r>
        <w:t xml:space="preserve"> </w:t>
      </w:r>
      <w:r>
        <w:tab/>
        <w:t xml:space="preserve">Directlink, </w:t>
      </w:r>
      <w:r w:rsidRPr="00A90D8E">
        <w:rPr>
          <w:rStyle w:val="AERtextitalic"/>
        </w:rPr>
        <w:t>Revenue proposal</w:t>
      </w:r>
      <w:r>
        <w:t>, pp. 44-45.</w:t>
      </w:r>
    </w:p>
  </w:footnote>
  <w:footnote w:id="10">
    <w:p w:rsidR="000834B6" w:rsidRDefault="000834B6" w:rsidP="008A17AF">
      <w:pPr>
        <w:pStyle w:val="FootnoteText"/>
      </w:pPr>
      <w:r>
        <w:rPr>
          <w:rStyle w:val="FootnoteReference"/>
        </w:rPr>
        <w:footnoteRef/>
      </w:r>
      <w:r>
        <w:t xml:space="preserve"> </w:t>
      </w:r>
      <w:r>
        <w:tab/>
        <w:t xml:space="preserve">Directlink, </w:t>
      </w:r>
      <w:r w:rsidRPr="00A90D8E">
        <w:rPr>
          <w:rStyle w:val="AERtextitalic"/>
        </w:rPr>
        <w:t>Revenue proposal</w:t>
      </w:r>
      <w:r>
        <w:t>, p. 19.</w:t>
      </w:r>
    </w:p>
  </w:footnote>
  <w:footnote w:id="11">
    <w:p w:rsidR="000834B6" w:rsidRDefault="000834B6">
      <w:pPr>
        <w:pStyle w:val="FootnoteText"/>
      </w:pPr>
      <w:r>
        <w:rPr>
          <w:rStyle w:val="FootnoteReference"/>
        </w:rPr>
        <w:footnoteRef/>
      </w:r>
      <w:r>
        <w:t xml:space="preserve"> </w:t>
      </w:r>
      <w:r>
        <w:tab/>
      </w:r>
      <w:r w:rsidRPr="00D95AEB">
        <w:t xml:space="preserve">Directlink, </w:t>
      </w:r>
      <w:r w:rsidRPr="00D95AEB">
        <w:rPr>
          <w:rStyle w:val="AERtextitalic"/>
        </w:rPr>
        <w:t>Revenue proposal</w:t>
      </w:r>
      <w:r w:rsidRPr="00D95AEB">
        <w:t xml:space="preserve">, p. </w:t>
      </w:r>
      <w:r>
        <w:t>48</w:t>
      </w:r>
      <w:r w:rsidRPr="00D95AEB">
        <w:t>.</w:t>
      </w:r>
    </w:p>
  </w:footnote>
  <w:footnote w:id="12">
    <w:p w:rsidR="000834B6" w:rsidRDefault="000834B6">
      <w:pPr>
        <w:pStyle w:val="FootnoteText"/>
      </w:pPr>
      <w:r>
        <w:rPr>
          <w:rStyle w:val="FootnoteReference"/>
        </w:rPr>
        <w:footnoteRef/>
      </w:r>
      <w:r>
        <w:t xml:space="preserve"> </w:t>
      </w:r>
      <w:r>
        <w:tab/>
        <w:t xml:space="preserve">Directlink, </w:t>
      </w:r>
      <w:r w:rsidRPr="00A90D8E">
        <w:rPr>
          <w:rStyle w:val="AERtextitalic"/>
        </w:rPr>
        <w:t>Revenue proposal</w:t>
      </w:r>
      <w:r>
        <w:t>, p. 47.</w:t>
      </w:r>
    </w:p>
  </w:footnote>
  <w:footnote w:id="13">
    <w:p w:rsidR="000834B6" w:rsidRDefault="000834B6" w:rsidP="00D305F4">
      <w:pPr>
        <w:pStyle w:val="FootnoteText"/>
      </w:pPr>
      <w:r>
        <w:rPr>
          <w:rStyle w:val="FootnoteReference"/>
        </w:rPr>
        <w:footnoteRef/>
      </w:r>
      <w:r>
        <w:t xml:space="preserve"> </w:t>
      </w:r>
      <w:r>
        <w:tab/>
        <w:t xml:space="preserve">NER, cl. </w:t>
      </w:r>
      <w:r w:rsidRPr="00AC4977">
        <w:t>6</w:t>
      </w:r>
      <w:r>
        <w:t>A.6.7(c).</w:t>
      </w:r>
    </w:p>
  </w:footnote>
  <w:footnote w:id="14">
    <w:p w:rsidR="000834B6" w:rsidRDefault="000834B6" w:rsidP="00D305F4">
      <w:pPr>
        <w:pStyle w:val="FootnoteText"/>
      </w:pPr>
      <w:r>
        <w:rPr>
          <w:rStyle w:val="FootnoteReference"/>
        </w:rPr>
        <w:footnoteRef/>
      </w:r>
      <w:r>
        <w:t xml:space="preserve"> </w:t>
      </w:r>
      <w:r>
        <w:tab/>
        <w:t xml:space="preserve">NER, cll. </w:t>
      </w:r>
      <w:r w:rsidRPr="00AC4977">
        <w:t>6</w:t>
      </w:r>
      <w:r>
        <w:t>A.6.7(d) and 6A.14.1(2)(ii).</w:t>
      </w:r>
    </w:p>
  </w:footnote>
  <w:footnote w:id="15">
    <w:p w:rsidR="000834B6" w:rsidRDefault="000834B6" w:rsidP="00D305F4">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113 (AEMC Economic Regulation Final Rule Determination).</w:t>
      </w:r>
    </w:p>
  </w:footnote>
  <w:footnote w:id="16">
    <w:p w:rsidR="000834B6" w:rsidRDefault="000834B6" w:rsidP="00D305F4">
      <w:pPr>
        <w:pStyle w:val="FootnoteText"/>
      </w:pPr>
      <w:r>
        <w:rPr>
          <w:rStyle w:val="FootnoteReference"/>
        </w:rPr>
        <w:footnoteRef/>
      </w:r>
      <w:r>
        <w:t xml:space="preserve"> </w:t>
      </w:r>
      <w:r>
        <w:tab/>
        <w:t>NER, cl.</w:t>
      </w:r>
      <w:r w:rsidRPr="00DE72A1">
        <w:t xml:space="preserve"> </w:t>
      </w:r>
      <w:r>
        <w:t>6A.6.7(a).</w:t>
      </w:r>
    </w:p>
  </w:footnote>
  <w:footnote w:id="17">
    <w:p w:rsidR="000834B6" w:rsidRDefault="000834B6" w:rsidP="00D305F4">
      <w:pPr>
        <w:pStyle w:val="FootnoteText"/>
      </w:pPr>
      <w:r>
        <w:rPr>
          <w:rStyle w:val="FootnoteReference"/>
        </w:rPr>
        <w:footnoteRef/>
      </w:r>
      <w:r>
        <w:t xml:space="preserve"> </w:t>
      </w:r>
      <w:r>
        <w:tab/>
        <w:t>AEMC Economic Regulation Final Rule Determination, p. vii.</w:t>
      </w:r>
    </w:p>
  </w:footnote>
  <w:footnote w:id="18">
    <w:p w:rsidR="000834B6" w:rsidRDefault="000834B6" w:rsidP="00D305F4">
      <w:pPr>
        <w:pStyle w:val="FootnoteText"/>
      </w:pPr>
      <w:r>
        <w:rPr>
          <w:rStyle w:val="FootnoteReference"/>
        </w:rPr>
        <w:footnoteRef/>
      </w:r>
      <w:r>
        <w:t xml:space="preserve"> </w:t>
      </w:r>
      <w:r>
        <w:tab/>
        <w:t>NER, cl. 6A.6.7(e).</w:t>
      </w:r>
    </w:p>
  </w:footnote>
  <w:footnote w:id="19">
    <w:p w:rsidR="000834B6" w:rsidRDefault="000834B6" w:rsidP="00D305F4">
      <w:pPr>
        <w:pStyle w:val="FootnoteText"/>
      </w:pPr>
      <w:r>
        <w:rPr>
          <w:rStyle w:val="FootnoteReference"/>
        </w:rPr>
        <w:footnoteRef/>
      </w:r>
      <w:r>
        <w:t xml:space="preserve"> </w:t>
      </w:r>
      <w:r>
        <w:tab/>
        <w:t>NER, cl. 6A.6.7(e)(14).</w:t>
      </w:r>
    </w:p>
  </w:footnote>
  <w:footnote w:id="20">
    <w:p w:rsidR="000834B6" w:rsidRDefault="000834B6" w:rsidP="00D305F4">
      <w:pPr>
        <w:pStyle w:val="FootnoteText"/>
      </w:pPr>
      <w:r>
        <w:rPr>
          <w:rStyle w:val="FootnoteReference"/>
        </w:rPr>
        <w:footnoteRef/>
      </w:r>
      <w:r>
        <w:t xml:space="preserve"> </w:t>
      </w:r>
      <w:r>
        <w:tab/>
        <w:t>AEMC Economic Regulation Final Rule Determination, p. 115.</w:t>
      </w:r>
    </w:p>
  </w:footnote>
  <w:footnote w:id="21">
    <w:p w:rsidR="000834B6" w:rsidRDefault="000834B6" w:rsidP="00D305F4">
      <w:pPr>
        <w:pStyle w:val="FootnoteText"/>
      </w:pPr>
      <w:r>
        <w:rPr>
          <w:rStyle w:val="FootnoteReference"/>
        </w:rPr>
        <w:footnoteRef/>
      </w:r>
      <w:r>
        <w:t xml:space="preserve"> </w:t>
      </w:r>
      <w:r>
        <w:tab/>
        <w:t>NEL, ss. 7A and 16(2).</w:t>
      </w:r>
    </w:p>
  </w:footnote>
  <w:footnote w:id="22">
    <w:p w:rsidR="000834B6" w:rsidRDefault="000834B6" w:rsidP="00D305F4">
      <w:pPr>
        <w:pStyle w:val="FootnoteText"/>
      </w:pPr>
      <w:r>
        <w:rPr>
          <w:rStyle w:val="FootnoteReference"/>
        </w:rPr>
        <w:footnoteRef/>
      </w:r>
      <w:r>
        <w:t xml:space="preserve"> </w:t>
      </w:r>
      <w:r>
        <w:tab/>
        <w:t>AER Expenditure Forecast Electricity Transmission Guideline</w:t>
      </w:r>
      <w:r w:rsidRPr="00746EB3">
        <w:t xml:space="preserve">, p. </w:t>
      </w:r>
      <w:r>
        <w:t>9; see also AEMC Economic Regulation Final Rule Determination, pp. 111 and 112.</w:t>
      </w:r>
    </w:p>
  </w:footnote>
  <w:footnote w:id="23">
    <w:p w:rsidR="000834B6" w:rsidRDefault="000834B6" w:rsidP="00D305F4">
      <w:pPr>
        <w:pStyle w:val="FootnoteText"/>
      </w:pPr>
      <w:r>
        <w:rPr>
          <w:rStyle w:val="FootnoteReference"/>
        </w:rPr>
        <w:footnoteRef/>
      </w:r>
      <w:r>
        <w:t xml:space="preserve"> </w:t>
      </w:r>
      <w:r>
        <w:tab/>
        <w:t>AER Expenditure Forecast Electricity Transmission Guideline</w:t>
      </w:r>
      <w:r w:rsidRPr="001A5C0B">
        <w:t xml:space="preserve">, </w:t>
      </w:r>
      <w:r>
        <w:t>p.12</w:t>
      </w:r>
    </w:p>
  </w:footnote>
  <w:footnote w:id="24">
    <w:p w:rsidR="000834B6" w:rsidRDefault="000834B6" w:rsidP="00D305F4">
      <w:pPr>
        <w:pStyle w:val="FootnoteText"/>
      </w:pPr>
      <w:r>
        <w:rPr>
          <w:rStyle w:val="FootnoteReference"/>
        </w:rPr>
        <w:footnoteRef/>
      </w:r>
      <w:r>
        <w:t xml:space="preserve"> </w:t>
      </w:r>
      <w:r>
        <w:tab/>
        <w:t>AER Expenditure Forecast Electricity Transmission Guideline</w:t>
      </w:r>
      <w:r w:rsidRPr="001A5C0B">
        <w:t xml:space="preserve">, </w:t>
      </w:r>
      <w:r>
        <w:t>p.15</w:t>
      </w:r>
    </w:p>
  </w:footnote>
  <w:footnote w:id="25">
    <w:p w:rsidR="000834B6" w:rsidRDefault="000834B6" w:rsidP="00D305F4">
      <w:pPr>
        <w:pStyle w:val="FootnoteText"/>
      </w:pPr>
      <w:r>
        <w:rPr>
          <w:rStyle w:val="FootnoteReference"/>
        </w:rPr>
        <w:footnoteRef/>
      </w:r>
      <w:r>
        <w:t xml:space="preserve"> </w:t>
      </w:r>
      <w:r>
        <w:tab/>
        <w:t>AER Expenditure Forecast Electricity Transmission Guideline</w:t>
      </w:r>
      <w:r w:rsidRPr="001A5C0B">
        <w:t>, p</w:t>
      </w:r>
      <w:r>
        <w:t>p</w:t>
      </w:r>
      <w:r w:rsidRPr="001A5C0B">
        <w:t xml:space="preserve">. </w:t>
      </w:r>
      <w:r>
        <w:t>8-9</w:t>
      </w:r>
      <w:r w:rsidRPr="001A5C0B">
        <w:t xml:space="preserve">. </w:t>
      </w:r>
    </w:p>
  </w:footnote>
  <w:footnote w:id="26">
    <w:p w:rsidR="000834B6" w:rsidRDefault="000834B6" w:rsidP="00D305F4">
      <w:pPr>
        <w:pStyle w:val="FootnoteText"/>
      </w:pPr>
      <w:r>
        <w:rPr>
          <w:rStyle w:val="FootnoteReference"/>
        </w:rPr>
        <w:footnoteRef/>
      </w:r>
      <w:r>
        <w:t xml:space="preserve"> </w:t>
      </w:r>
      <w:r>
        <w:tab/>
        <w:t>AER Expenditure Forecast Electricity Transmission Guideline</w:t>
      </w:r>
      <w:r w:rsidRPr="00746EB3">
        <w:t xml:space="preserve">, p. </w:t>
      </w:r>
      <w:r>
        <w:t>9</w:t>
      </w:r>
      <w:r w:rsidRPr="00746EB3">
        <w:t>.</w:t>
      </w:r>
      <w:r>
        <w:t xml:space="preserve"> </w:t>
      </w:r>
      <w:r w:rsidRPr="00746EB3">
        <w:t xml:space="preserve"> </w:t>
      </w:r>
    </w:p>
  </w:footnote>
  <w:footnote w:id="27">
    <w:p w:rsidR="000834B6" w:rsidRDefault="000834B6" w:rsidP="00D305F4">
      <w:pPr>
        <w:pStyle w:val="FootnoteText"/>
      </w:pPr>
      <w:r>
        <w:rPr>
          <w:rStyle w:val="FootnoteReference"/>
        </w:rPr>
        <w:footnoteRef/>
      </w:r>
      <w:r>
        <w:t xml:space="preserve"> </w:t>
      </w:r>
      <w:r>
        <w:tab/>
        <w:t>AEMC Economic Regulation Final Rule Determination, p. 112.</w:t>
      </w:r>
    </w:p>
  </w:footnote>
  <w:footnote w:id="28">
    <w:p w:rsidR="000834B6" w:rsidRDefault="000834B6" w:rsidP="00AF0E03">
      <w:pPr>
        <w:pStyle w:val="FootnoteText"/>
      </w:pPr>
      <w:r>
        <w:rPr>
          <w:rStyle w:val="FootnoteReference"/>
        </w:rPr>
        <w:footnoteRef/>
      </w:r>
      <w:r>
        <w:t xml:space="preserve"> </w:t>
      </w:r>
      <w:r>
        <w:tab/>
        <w:t xml:space="preserve">AER, </w:t>
      </w:r>
      <w:r w:rsidRPr="00FD43F5">
        <w:rPr>
          <w:rStyle w:val="AERtextitalic"/>
        </w:rPr>
        <w:t>Directlink Joint Venturers’ Application for Conversion and Revenue Cap Decision</w:t>
      </w:r>
      <w:r>
        <w:t xml:space="preserve">, </w:t>
      </w:r>
      <w:r w:rsidRPr="00833A51">
        <w:t>3 March 2006</w:t>
      </w:r>
      <w:r>
        <w:t>, p. v.</w:t>
      </w:r>
    </w:p>
  </w:footnote>
  <w:footnote w:id="29">
    <w:p w:rsidR="000834B6" w:rsidRDefault="000834B6" w:rsidP="00593827">
      <w:pPr>
        <w:pStyle w:val="FootnoteText"/>
      </w:pPr>
      <w:r>
        <w:rPr>
          <w:rStyle w:val="FootnoteReference"/>
        </w:rPr>
        <w:footnoteRef/>
      </w:r>
      <w:r>
        <w:t xml:space="preserve"> </w:t>
      </w:r>
      <w:r>
        <w:tab/>
        <w:t>Consistent with cl. 6A.6.7(e)(5) of the NER.</w:t>
      </w:r>
    </w:p>
  </w:footnote>
  <w:footnote w:id="30">
    <w:p w:rsidR="000834B6" w:rsidRDefault="000834B6">
      <w:pPr>
        <w:pStyle w:val="FootnoteText"/>
      </w:pPr>
      <w:r>
        <w:rPr>
          <w:rStyle w:val="FootnoteReference"/>
        </w:rPr>
        <w:footnoteRef/>
      </w:r>
      <w:r>
        <w:t xml:space="preserve"> </w:t>
      </w:r>
      <w:r>
        <w:tab/>
        <w:t>NEL, s. 7A(2).</w:t>
      </w:r>
    </w:p>
  </w:footnote>
  <w:footnote w:id="31">
    <w:p w:rsidR="000834B6" w:rsidRDefault="000834B6">
      <w:pPr>
        <w:pStyle w:val="FootnoteText"/>
      </w:pPr>
      <w:r>
        <w:rPr>
          <w:rStyle w:val="FootnoteReference"/>
        </w:rPr>
        <w:footnoteRef/>
      </w:r>
      <w:r>
        <w:t xml:space="preserve"> </w:t>
      </w:r>
      <w:r>
        <w:tab/>
        <w:t xml:space="preserve">Directlink, </w:t>
      </w:r>
      <w:r w:rsidRPr="00D439F7">
        <w:rPr>
          <w:rStyle w:val="AERtextitalic"/>
        </w:rPr>
        <w:t>Regulatory Proposal, Attachment 8.1, Capital expenditure business cases, Fire Suppression Project</w:t>
      </w:r>
      <w:r>
        <w:t>, May 2014.</w:t>
      </w:r>
    </w:p>
  </w:footnote>
  <w:footnote w:id="32">
    <w:p w:rsidR="000834B6" w:rsidRDefault="000834B6">
      <w:pPr>
        <w:pStyle w:val="FootnoteText"/>
      </w:pPr>
      <w:r>
        <w:rPr>
          <w:rStyle w:val="FootnoteReference"/>
        </w:rPr>
        <w:footnoteRef/>
      </w:r>
      <w:r>
        <w:t xml:space="preserve"> </w:t>
      </w:r>
      <w:r>
        <w:tab/>
        <w:t xml:space="preserve">Directlink, </w:t>
      </w:r>
      <w:r w:rsidRPr="00DF1DE0">
        <w:rPr>
          <w:rStyle w:val="AERtextitalic"/>
        </w:rPr>
        <w:t>Response to Capex 01 - information request</w:t>
      </w:r>
      <w:r w:rsidRPr="00C23BDF">
        <w:rPr>
          <w:rStyle w:val="AERtextitalic"/>
        </w:rPr>
        <w:t xml:space="preserve">, </w:t>
      </w:r>
      <w:r w:rsidRPr="00C23BDF">
        <w:t>22 August 2014</w:t>
      </w:r>
      <w:r w:rsidRPr="00C23BDF">
        <w:rPr>
          <w:rStyle w:val="AERtextitalic"/>
        </w:rPr>
        <w:t>.</w:t>
      </w:r>
    </w:p>
  </w:footnote>
  <w:footnote w:id="33">
    <w:p w:rsidR="000834B6" w:rsidRDefault="000834B6" w:rsidP="00B610C5">
      <w:pPr>
        <w:pStyle w:val="FootnoteText"/>
      </w:pPr>
      <w:r>
        <w:rPr>
          <w:rStyle w:val="FootnoteReference"/>
        </w:rPr>
        <w:footnoteRef/>
      </w:r>
      <w:r>
        <w:t xml:space="preserve"> </w:t>
      </w:r>
      <w:r>
        <w:tab/>
        <w:t>Availability = 1 – unavailability. Note that each cable fault requires all three cables to be removed from service requiring that cable unavailability is multiplied by three to obtain the total impact.</w:t>
      </w:r>
    </w:p>
  </w:footnote>
  <w:footnote w:id="34">
    <w:p w:rsidR="000834B6" w:rsidRDefault="000834B6">
      <w:pPr>
        <w:pStyle w:val="FootnoteText"/>
      </w:pPr>
      <w:r>
        <w:rPr>
          <w:rStyle w:val="FootnoteReference"/>
        </w:rPr>
        <w:footnoteRef/>
      </w:r>
      <w:r>
        <w:t xml:space="preserve"> </w:t>
      </w:r>
      <w:r>
        <w:tab/>
        <w:t>This trend can be seen in Directlink’s raw cable fault rates as well as in the fault rates corrected for availability.</w:t>
      </w:r>
    </w:p>
  </w:footnote>
  <w:footnote w:id="35">
    <w:p w:rsidR="000834B6" w:rsidRDefault="000834B6">
      <w:pPr>
        <w:pStyle w:val="FootnoteText"/>
      </w:pPr>
      <w:r>
        <w:rPr>
          <w:rStyle w:val="FootnoteReference"/>
        </w:rPr>
        <w:footnoteRef/>
      </w:r>
      <w:r>
        <w:t xml:space="preserve"> </w:t>
      </w:r>
      <w:r>
        <w:tab/>
        <w:t xml:space="preserve">Directlink, </w:t>
      </w:r>
      <w:r w:rsidRPr="00D439F7">
        <w:rPr>
          <w:rStyle w:val="AERtextitalic"/>
        </w:rPr>
        <w:t xml:space="preserve">Regulatory Proposal, Attachment 8.1, Capital expenditure business cases, </w:t>
      </w:r>
      <w:r>
        <w:rPr>
          <w:rStyle w:val="AERtextitalic"/>
        </w:rPr>
        <w:t>Cable repairs</w:t>
      </w:r>
      <w:r>
        <w:t>, May 2014.</w:t>
      </w:r>
    </w:p>
  </w:footnote>
  <w:footnote w:id="36">
    <w:p w:rsidR="000834B6" w:rsidRDefault="000834B6">
      <w:pPr>
        <w:pStyle w:val="FootnoteText"/>
      </w:pPr>
      <w:r>
        <w:rPr>
          <w:rStyle w:val="FootnoteReference"/>
        </w:rPr>
        <w:footnoteRef/>
      </w:r>
      <w:r>
        <w:t xml:space="preserve"> </w:t>
      </w:r>
      <w:r>
        <w:tab/>
        <w:t xml:space="preserve">Directlink, </w:t>
      </w:r>
      <w:r w:rsidRPr="00E660B4">
        <w:rPr>
          <w:rStyle w:val="AERtextitalic"/>
        </w:rPr>
        <w:t>Regulatory Proposal, Attachment 8.1, Capital expenditure business cases, Sourcing Program for Cable Joint Kits</w:t>
      </w:r>
      <w:r>
        <w:t>, May 2014.</w:t>
      </w:r>
    </w:p>
  </w:footnote>
  <w:footnote w:id="37">
    <w:p w:rsidR="000834B6" w:rsidRDefault="000834B6">
      <w:pPr>
        <w:pStyle w:val="FootnoteText"/>
      </w:pPr>
      <w:r>
        <w:rPr>
          <w:rStyle w:val="FootnoteReference"/>
        </w:rPr>
        <w:footnoteRef/>
      </w:r>
      <w:r>
        <w:t xml:space="preserve"> </w:t>
      </w:r>
      <w:r>
        <w:tab/>
        <w:t xml:space="preserve">Directlink, </w:t>
      </w:r>
      <w:r w:rsidRPr="00977958">
        <w:rPr>
          <w:rStyle w:val="AERtextitalic"/>
        </w:rPr>
        <w:t>Regulatory Proposal, Attachment 8.1,</w:t>
      </w:r>
      <w:r>
        <w:t xml:space="preserve"> </w:t>
      </w:r>
      <w:r w:rsidRPr="00E660B4">
        <w:rPr>
          <w:rStyle w:val="AERtextitalic"/>
        </w:rPr>
        <w:t>Capital expenditure business cases, Zero Sequence Reactor Repair</w:t>
      </w:r>
      <w:r>
        <w:t>, May 2014.</w:t>
      </w:r>
    </w:p>
  </w:footnote>
  <w:footnote w:id="38">
    <w:p w:rsidR="000834B6" w:rsidRDefault="000834B6">
      <w:pPr>
        <w:pStyle w:val="FootnoteText"/>
      </w:pPr>
      <w:r>
        <w:rPr>
          <w:rStyle w:val="FootnoteReference"/>
        </w:rPr>
        <w:footnoteRef/>
      </w:r>
      <w:r>
        <w:t xml:space="preserve"> </w:t>
      </w:r>
      <w:r>
        <w:tab/>
      </w:r>
      <w:r w:rsidRPr="00802264">
        <w:t>Directlink,</w:t>
      </w:r>
      <w:r w:rsidRPr="00211B9C">
        <w:t xml:space="preserve"> </w:t>
      </w:r>
      <w:r w:rsidRPr="00977958">
        <w:rPr>
          <w:rStyle w:val="AERtextitalic"/>
        </w:rPr>
        <w:t>Regulatory Proposal, Attachment 8.1, Capital expenditure</w:t>
      </w:r>
      <w:r w:rsidRPr="00E660B4">
        <w:rPr>
          <w:rStyle w:val="AERtextitalic"/>
        </w:rPr>
        <w:t xml:space="preserve"> business cases, Zero Sequence Reactor Repair</w:t>
      </w:r>
      <w:r>
        <w:t>, May 2014.</w:t>
      </w:r>
    </w:p>
  </w:footnote>
  <w:footnote w:id="39">
    <w:p w:rsidR="000834B6" w:rsidRDefault="000834B6" w:rsidP="001D6DB8">
      <w:pPr>
        <w:pStyle w:val="FootnoteText"/>
      </w:pPr>
      <w:r>
        <w:rPr>
          <w:rStyle w:val="FootnoteReference"/>
        </w:rPr>
        <w:footnoteRef/>
      </w:r>
      <w:r>
        <w:t xml:space="preserve"> </w:t>
      </w:r>
      <w:r>
        <w:tab/>
        <w:t>Zero sequence reactor costs can vary considerably depending on the details of the required specification. Typical costing has been used as details of the details of Directlink’s zero sequence reactor’s specification are unclear.</w:t>
      </w:r>
    </w:p>
  </w:footnote>
  <w:footnote w:id="40">
    <w:p w:rsidR="000834B6" w:rsidRDefault="000834B6">
      <w:pPr>
        <w:pStyle w:val="FootnoteText"/>
      </w:pPr>
      <w:r>
        <w:rPr>
          <w:rStyle w:val="FootnoteReference"/>
        </w:rPr>
        <w:footnoteRef/>
      </w:r>
      <w:r>
        <w:t xml:space="preserve"> </w:t>
      </w:r>
      <w:r>
        <w:tab/>
        <w:t xml:space="preserve">Directlink, </w:t>
      </w:r>
      <w:r w:rsidRPr="00977958">
        <w:rPr>
          <w:rStyle w:val="AERtextitalic"/>
        </w:rPr>
        <w:t>Regulatory Proposal, Attachment 8.1, Capital expenditure business cases, Cable Relocation</w:t>
      </w:r>
      <w:r>
        <w:t>, May 2014.</w:t>
      </w:r>
    </w:p>
  </w:footnote>
  <w:footnote w:id="41">
    <w:p w:rsidR="000834B6" w:rsidRDefault="000834B6">
      <w:pPr>
        <w:pStyle w:val="FootnoteText"/>
      </w:pPr>
      <w:r>
        <w:rPr>
          <w:rStyle w:val="FootnoteReference"/>
        </w:rPr>
        <w:footnoteRef/>
      </w:r>
      <w:r>
        <w:t xml:space="preserve"> </w:t>
      </w:r>
      <w:r>
        <w:tab/>
      </w:r>
      <w:r w:rsidRPr="00444270">
        <w:t xml:space="preserve">Directlink, </w:t>
      </w:r>
      <w:r w:rsidRPr="00444270">
        <w:rPr>
          <w:rStyle w:val="AERtextitalic"/>
        </w:rPr>
        <w:t xml:space="preserve">Response to Capex 01 - information request, </w:t>
      </w:r>
      <w:r w:rsidRPr="00444270">
        <w:t>22 August 2014</w:t>
      </w:r>
      <w:r w:rsidRPr="00444270">
        <w:rPr>
          <w:rStyle w:val="AERtextitalic"/>
        </w:rPr>
        <w:t>.</w:t>
      </w:r>
    </w:p>
  </w:footnote>
  <w:footnote w:id="42">
    <w:p w:rsidR="000834B6" w:rsidRDefault="000834B6">
      <w:pPr>
        <w:pStyle w:val="FootnoteText"/>
      </w:pPr>
      <w:r>
        <w:rPr>
          <w:rStyle w:val="FootnoteReference"/>
        </w:rPr>
        <w:footnoteRef/>
      </w:r>
      <w:r>
        <w:t xml:space="preserve"> </w:t>
      </w:r>
      <w:r>
        <w:tab/>
        <w:t xml:space="preserve">Directlink, </w:t>
      </w:r>
      <w:r w:rsidRPr="000B3DE9">
        <w:rPr>
          <w:rStyle w:val="AERtextitalic"/>
        </w:rPr>
        <w:t>Regulatory Proposal, Attachment 8.1, Capital expenditure business cases, Emergency Lighting Project</w:t>
      </w:r>
      <w:r>
        <w:t xml:space="preserve">, May 2014. </w:t>
      </w:r>
    </w:p>
  </w:footnote>
  <w:footnote w:id="43">
    <w:p w:rsidR="000834B6" w:rsidRDefault="000834B6">
      <w:pPr>
        <w:pStyle w:val="FootnoteText"/>
      </w:pPr>
      <w:r>
        <w:rPr>
          <w:rStyle w:val="FootnoteReference"/>
        </w:rPr>
        <w:footnoteRef/>
      </w:r>
      <w:r>
        <w:t xml:space="preserve"> </w:t>
      </w:r>
      <w:r>
        <w:tab/>
        <w:t xml:space="preserve">Directlink, </w:t>
      </w:r>
      <w:r w:rsidRPr="000B3DE9">
        <w:rPr>
          <w:rStyle w:val="AERtextitalic"/>
        </w:rPr>
        <w:t>Regulatory Proposal, Attachment 8.1, Capital expenditure business cases, Roof Repair of Converter Buildings</w:t>
      </w:r>
      <w:r>
        <w:t>, May 2014.</w:t>
      </w:r>
    </w:p>
  </w:footnote>
  <w:footnote w:id="44">
    <w:p w:rsidR="000834B6" w:rsidRDefault="000834B6">
      <w:pPr>
        <w:pStyle w:val="FootnoteText"/>
      </w:pPr>
      <w:r>
        <w:rPr>
          <w:rStyle w:val="FootnoteReference"/>
        </w:rPr>
        <w:footnoteRef/>
      </w:r>
      <w:r>
        <w:t xml:space="preserve"> </w:t>
      </w:r>
      <w:r>
        <w:tab/>
        <w:t xml:space="preserve">Directlink, </w:t>
      </w:r>
      <w:r w:rsidRPr="000B3DE9">
        <w:rPr>
          <w:rStyle w:val="AERtextitalic"/>
        </w:rPr>
        <w:t>Regulatory Proposal, Attachment 8.1, Capi</w:t>
      </w:r>
      <w:r>
        <w:rPr>
          <w:rStyle w:val="AERtextitalic"/>
        </w:rPr>
        <w:t>tal expenditure business cases,</w:t>
      </w:r>
      <w:r>
        <w:t xml:space="preserve"> May 2014.</w:t>
      </w:r>
    </w:p>
  </w:footnote>
  <w:footnote w:id="45">
    <w:p w:rsidR="000834B6" w:rsidRDefault="000834B6">
      <w:pPr>
        <w:pStyle w:val="FootnoteText"/>
      </w:pPr>
      <w:r>
        <w:rPr>
          <w:rStyle w:val="FootnoteReference"/>
        </w:rPr>
        <w:footnoteRef/>
      </w:r>
      <w:r>
        <w:t xml:space="preserve"> </w:t>
      </w:r>
      <w:r>
        <w:tab/>
        <w:t>NER, cl. 6A.6.7(8).</w:t>
      </w:r>
    </w:p>
  </w:footnote>
  <w:footnote w:id="46">
    <w:p w:rsidR="000834B6" w:rsidRDefault="000834B6">
      <w:pPr>
        <w:pStyle w:val="FootnoteText"/>
      </w:pPr>
      <w:r>
        <w:rPr>
          <w:rStyle w:val="FootnoteReference"/>
        </w:rPr>
        <w:footnoteRef/>
      </w:r>
      <w:r>
        <w:t xml:space="preserve"> </w:t>
      </w:r>
      <w:r>
        <w:tab/>
        <w:t>NER, cl. 6A.6.7(e)(7).</w:t>
      </w:r>
    </w:p>
  </w:footnote>
  <w:footnote w:id="47">
    <w:p w:rsidR="000834B6" w:rsidRDefault="000834B6">
      <w:pPr>
        <w:pStyle w:val="FootnoteText"/>
      </w:pPr>
      <w:r>
        <w:rPr>
          <w:rStyle w:val="FootnoteReference"/>
        </w:rPr>
        <w:footnoteRef/>
      </w:r>
      <w:r>
        <w:t xml:space="preserve"> </w:t>
      </w:r>
      <w:r>
        <w:tab/>
        <w:t>NEL, s. 7A.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2C98E"/>
    <w:multiLevelType w:val="hybridMultilevel"/>
    <w:tmpl w:val="6136F6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83E63"/>
    <w:multiLevelType w:val="multilevel"/>
    <w:tmpl w:val="950A1C52"/>
    <w:numStyleLink w:val="AERHeadings"/>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17CB70E5"/>
    <w:multiLevelType w:val="hybridMultilevel"/>
    <w:tmpl w:val="86026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6"/>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F336BC"/>
    <w:multiLevelType w:val="hybridMultilevel"/>
    <w:tmpl w:val="955A02CC"/>
    <w:lvl w:ilvl="0" w:tplc="C90C7928">
      <w:start w:val="1"/>
      <w:numFmt w:val="bullet"/>
      <w:pStyle w:val="AERbulletlistfirststyle"/>
      <w:lvlText w:val=""/>
      <w:lvlJc w:val="left"/>
      <w:pPr>
        <w:ind w:left="1069"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6B48B4"/>
    <w:multiLevelType w:val="hybridMultilevel"/>
    <w:tmpl w:val="BDD0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0">
    <w:nsid w:val="51487971"/>
    <w:multiLevelType w:val="multilevel"/>
    <w:tmpl w:val="AE06C6EC"/>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3772DA2"/>
    <w:multiLevelType w:val="hybridMultilevel"/>
    <w:tmpl w:val="4FD93EE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AAC6DD7"/>
    <w:multiLevelType w:val="multilevel"/>
    <w:tmpl w:val="950A1C52"/>
    <w:numStyleLink w:val="AERHeadings"/>
  </w:abstractNum>
  <w:abstractNum w:abstractNumId="1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3"/>
  </w:num>
  <w:num w:numId="5">
    <w:abstractNumId w:val="2"/>
  </w:num>
  <w:num w:numId="6">
    <w:abstractNumId w:val="10"/>
    <w:lvlOverride w:ilvl="0">
      <w:lvl w:ilvl="0">
        <w:start w:val="1"/>
        <w:numFmt w:val="none"/>
        <w:pStyle w:val="AERbodytext"/>
        <w:lvlText w:val="%1"/>
        <w:lvlJc w:val="left"/>
        <w:pPr>
          <w:tabs>
            <w:tab w:val="num" w:pos="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6"/>
  </w:num>
  <w:num w:numId="8">
    <w:abstractNumId w:val="12"/>
  </w:num>
  <w:num w:numId="9">
    <w:abstractNumId w:val="1"/>
  </w:num>
  <w:num w:numId="10">
    <w:abstractNumId w:val="9"/>
    <w:lvlOverride w:ilvl="0">
      <w:startOverride w:val="1"/>
    </w:lvlOverride>
  </w:num>
  <w:num w:numId="11">
    <w:abstractNumId w:val="3"/>
  </w:num>
  <w:num w:numId="12">
    <w:abstractNumId w:val="10"/>
  </w:num>
  <w:num w:numId="13">
    <w:abstractNumId w:val="0"/>
  </w:num>
  <w:num w:numId="14">
    <w:abstractNumId w:val="11"/>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cumentProtection w:formatting="1" w:enforcement="1" w:cryptProviderType="rsaFull" w:cryptAlgorithmClass="hash" w:cryptAlgorithmType="typeAny" w:cryptAlgorithmSid="4" w:cryptSpinCount="100000" w:hash="k+0amptRHKVYeCFu1weH8qK4RZA=" w:salt="BwKniDkL2D1RddmF1HdURA=="/>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624\D14 138487  20141030 - 3.1.12 - attachment FA - Capex - Directlink.DOCX"/>
  </w:docVars>
  <w:rsids>
    <w:rsidRoot w:val="000C052F"/>
    <w:rsid w:val="00000992"/>
    <w:rsid w:val="00002039"/>
    <w:rsid w:val="00006613"/>
    <w:rsid w:val="000071A3"/>
    <w:rsid w:val="00011129"/>
    <w:rsid w:val="00013760"/>
    <w:rsid w:val="00015271"/>
    <w:rsid w:val="00015D2E"/>
    <w:rsid w:val="00020077"/>
    <w:rsid w:val="0002046C"/>
    <w:rsid w:val="0002174D"/>
    <w:rsid w:val="00022606"/>
    <w:rsid w:val="00035059"/>
    <w:rsid w:val="0003698E"/>
    <w:rsid w:val="0003748F"/>
    <w:rsid w:val="0004048F"/>
    <w:rsid w:val="00040599"/>
    <w:rsid w:val="00040749"/>
    <w:rsid w:val="00045EF6"/>
    <w:rsid w:val="000529A0"/>
    <w:rsid w:val="00053A09"/>
    <w:rsid w:val="0005544A"/>
    <w:rsid w:val="00062DF4"/>
    <w:rsid w:val="000655F0"/>
    <w:rsid w:val="000672BC"/>
    <w:rsid w:val="00070C76"/>
    <w:rsid w:val="000715E1"/>
    <w:rsid w:val="00077609"/>
    <w:rsid w:val="000816D6"/>
    <w:rsid w:val="00081EE6"/>
    <w:rsid w:val="0008227E"/>
    <w:rsid w:val="00082C0C"/>
    <w:rsid w:val="000834B6"/>
    <w:rsid w:val="0008380A"/>
    <w:rsid w:val="000846C1"/>
    <w:rsid w:val="00085D2D"/>
    <w:rsid w:val="00087B68"/>
    <w:rsid w:val="000902AA"/>
    <w:rsid w:val="000951C8"/>
    <w:rsid w:val="0009748F"/>
    <w:rsid w:val="000A1CC2"/>
    <w:rsid w:val="000A3BB4"/>
    <w:rsid w:val="000A4669"/>
    <w:rsid w:val="000A5342"/>
    <w:rsid w:val="000B15CA"/>
    <w:rsid w:val="000B3DE9"/>
    <w:rsid w:val="000C052F"/>
    <w:rsid w:val="000C05C9"/>
    <w:rsid w:val="000C1965"/>
    <w:rsid w:val="000C2BC5"/>
    <w:rsid w:val="000C3430"/>
    <w:rsid w:val="000C3546"/>
    <w:rsid w:val="000C4D8F"/>
    <w:rsid w:val="000C6D78"/>
    <w:rsid w:val="000C772E"/>
    <w:rsid w:val="000C7E06"/>
    <w:rsid w:val="000D03C2"/>
    <w:rsid w:val="000D04B1"/>
    <w:rsid w:val="000D401F"/>
    <w:rsid w:val="000D5805"/>
    <w:rsid w:val="000D76C0"/>
    <w:rsid w:val="000E0CE0"/>
    <w:rsid w:val="000E1A25"/>
    <w:rsid w:val="000E6418"/>
    <w:rsid w:val="000F06A6"/>
    <w:rsid w:val="000F3A6A"/>
    <w:rsid w:val="000F7C5E"/>
    <w:rsid w:val="001033B3"/>
    <w:rsid w:val="00103C58"/>
    <w:rsid w:val="00105636"/>
    <w:rsid w:val="001100F1"/>
    <w:rsid w:val="00112879"/>
    <w:rsid w:val="001150B9"/>
    <w:rsid w:val="00115F52"/>
    <w:rsid w:val="00117151"/>
    <w:rsid w:val="00117C35"/>
    <w:rsid w:val="00120152"/>
    <w:rsid w:val="00122952"/>
    <w:rsid w:val="00123B68"/>
    <w:rsid w:val="00123D81"/>
    <w:rsid w:val="00125704"/>
    <w:rsid w:val="00126034"/>
    <w:rsid w:val="0013022D"/>
    <w:rsid w:val="00131287"/>
    <w:rsid w:val="00135169"/>
    <w:rsid w:val="00136F57"/>
    <w:rsid w:val="0014288E"/>
    <w:rsid w:val="0014592F"/>
    <w:rsid w:val="00146C6F"/>
    <w:rsid w:val="001514F1"/>
    <w:rsid w:val="00153FB2"/>
    <w:rsid w:val="001543D2"/>
    <w:rsid w:val="001547D5"/>
    <w:rsid w:val="00156721"/>
    <w:rsid w:val="00157A38"/>
    <w:rsid w:val="0016039D"/>
    <w:rsid w:val="00160AC8"/>
    <w:rsid w:val="00163E33"/>
    <w:rsid w:val="001662B3"/>
    <w:rsid w:val="001708CC"/>
    <w:rsid w:val="00174026"/>
    <w:rsid w:val="001760E8"/>
    <w:rsid w:val="00177EDF"/>
    <w:rsid w:val="00181759"/>
    <w:rsid w:val="001856EE"/>
    <w:rsid w:val="00192875"/>
    <w:rsid w:val="00194C3C"/>
    <w:rsid w:val="001973C9"/>
    <w:rsid w:val="0019754A"/>
    <w:rsid w:val="00197C39"/>
    <w:rsid w:val="001A241E"/>
    <w:rsid w:val="001A36C3"/>
    <w:rsid w:val="001A5C0B"/>
    <w:rsid w:val="001B19EE"/>
    <w:rsid w:val="001B2F95"/>
    <w:rsid w:val="001B4889"/>
    <w:rsid w:val="001B6619"/>
    <w:rsid w:val="001B72AD"/>
    <w:rsid w:val="001C12E5"/>
    <w:rsid w:val="001C52D4"/>
    <w:rsid w:val="001C6A47"/>
    <w:rsid w:val="001D22A4"/>
    <w:rsid w:val="001D2F80"/>
    <w:rsid w:val="001D46AD"/>
    <w:rsid w:val="001D6457"/>
    <w:rsid w:val="001D6DB8"/>
    <w:rsid w:val="001D72FB"/>
    <w:rsid w:val="001E3416"/>
    <w:rsid w:val="001E4C23"/>
    <w:rsid w:val="001E642B"/>
    <w:rsid w:val="001F0226"/>
    <w:rsid w:val="001F500A"/>
    <w:rsid w:val="001F778F"/>
    <w:rsid w:val="002019BF"/>
    <w:rsid w:val="002023C1"/>
    <w:rsid w:val="00203EC8"/>
    <w:rsid w:val="0020633A"/>
    <w:rsid w:val="0020711E"/>
    <w:rsid w:val="002101AF"/>
    <w:rsid w:val="00210880"/>
    <w:rsid w:val="00211B67"/>
    <w:rsid w:val="00211B9C"/>
    <w:rsid w:val="0021265C"/>
    <w:rsid w:val="0021449D"/>
    <w:rsid w:val="0022077E"/>
    <w:rsid w:val="00224FEF"/>
    <w:rsid w:val="002254DD"/>
    <w:rsid w:val="002257B9"/>
    <w:rsid w:val="0022755C"/>
    <w:rsid w:val="00227F2D"/>
    <w:rsid w:val="0023137D"/>
    <w:rsid w:val="00233757"/>
    <w:rsid w:val="00237055"/>
    <w:rsid w:val="00242879"/>
    <w:rsid w:val="002471E6"/>
    <w:rsid w:val="002510CA"/>
    <w:rsid w:val="00252590"/>
    <w:rsid w:val="002600CF"/>
    <w:rsid w:val="0026441F"/>
    <w:rsid w:val="002657D5"/>
    <w:rsid w:val="00266710"/>
    <w:rsid w:val="00271E51"/>
    <w:rsid w:val="00272183"/>
    <w:rsid w:val="0027311A"/>
    <w:rsid w:val="00275BEB"/>
    <w:rsid w:val="002775B8"/>
    <w:rsid w:val="002805B8"/>
    <w:rsid w:val="002817A2"/>
    <w:rsid w:val="002836E4"/>
    <w:rsid w:val="002869F3"/>
    <w:rsid w:val="0029046F"/>
    <w:rsid w:val="002938CE"/>
    <w:rsid w:val="002964D8"/>
    <w:rsid w:val="002A3DE0"/>
    <w:rsid w:val="002A7178"/>
    <w:rsid w:val="002B2151"/>
    <w:rsid w:val="002B597D"/>
    <w:rsid w:val="002B61FD"/>
    <w:rsid w:val="002B6640"/>
    <w:rsid w:val="002B6BDD"/>
    <w:rsid w:val="002C6F35"/>
    <w:rsid w:val="002D3338"/>
    <w:rsid w:val="002D594A"/>
    <w:rsid w:val="002D61AC"/>
    <w:rsid w:val="002E0B0D"/>
    <w:rsid w:val="002E1B34"/>
    <w:rsid w:val="002E2AFA"/>
    <w:rsid w:val="002E3927"/>
    <w:rsid w:val="002E3DBE"/>
    <w:rsid w:val="002E4720"/>
    <w:rsid w:val="002E4767"/>
    <w:rsid w:val="002E5F39"/>
    <w:rsid w:val="002F0444"/>
    <w:rsid w:val="002F1EDF"/>
    <w:rsid w:val="002F6191"/>
    <w:rsid w:val="002F6A62"/>
    <w:rsid w:val="002F6E5B"/>
    <w:rsid w:val="002F7177"/>
    <w:rsid w:val="00302BF7"/>
    <w:rsid w:val="00303452"/>
    <w:rsid w:val="00311E91"/>
    <w:rsid w:val="00315A5F"/>
    <w:rsid w:val="00320741"/>
    <w:rsid w:val="00325130"/>
    <w:rsid w:val="0032551B"/>
    <w:rsid w:val="00327772"/>
    <w:rsid w:val="00327E80"/>
    <w:rsid w:val="0033168A"/>
    <w:rsid w:val="00331DCB"/>
    <w:rsid w:val="003324F7"/>
    <w:rsid w:val="00334F88"/>
    <w:rsid w:val="0033670E"/>
    <w:rsid w:val="00337672"/>
    <w:rsid w:val="00340972"/>
    <w:rsid w:val="00343241"/>
    <w:rsid w:val="003433ED"/>
    <w:rsid w:val="00344EEF"/>
    <w:rsid w:val="00356BC7"/>
    <w:rsid w:val="0035750F"/>
    <w:rsid w:val="00357555"/>
    <w:rsid w:val="003604F9"/>
    <w:rsid w:val="00362F4A"/>
    <w:rsid w:val="00365295"/>
    <w:rsid w:val="003654DB"/>
    <w:rsid w:val="00367D52"/>
    <w:rsid w:val="003700A7"/>
    <w:rsid w:val="003707DB"/>
    <w:rsid w:val="00372BEF"/>
    <w:rsid w:val="00375AEC"/>
    <w:rsid w:val="00376236"/>
    <w:rsid w:val="003762D9"/>
    <w:rsid w:val="0037652C"/>
    <w:rsid w:val="0037671E"/>
    <w:rsid w:val="00377722"/>
    <w:rsid w:val="003800E4"/>
    <w:rsid w:val="00380FF5"/>
    <w:rsid w:val="003840E7"/>
    <w:rsid w:val="003874FE"/>
    <w:rsid w:val="00392A51"/>
    <w:rsid w:val="00394342"/>
    <w:rsid w:val="00394F05"/>
    <w:rsid w:val="003950B5"/>
    <w:rsid w:val="00396252"/>
    <w:rsid w:val="00396E86"/>
    <w:rsid w:val="003A00A0"/>
    <w:rsid w:val="003A0BB9"/>
    <w:rsid w:val="003A5568"/>
    <w:rsid w:val="003A6174"/>
    <w:rsid w:val="003A739A"/>
    <w:rsid w:val="003B0AA5"/>
    <w:rsid w:val="003B23F5"/>
    <w:rsid w:val="003B6992"/>
    <w:rsid w:val="003B71B0"/>
    <w:rsid w:val="003C1606"/>
    <w:rsid w:val="003C1A32"/>
    <w:rsid w:val="003C2670"/>
    <w:rsid w:val="003C306C"/>
    <w:rsid w:val="003C318C"/>
    <w:rsid w:val="003C3E7F"/>
    <w:rsid w:val="003C5332"/>
    <w:rsid w:val="003D075A"/>
    <w:rsid w:val="003D0786"/>
    <w:rsid w:val="003D2532"/>
    <w:rsid w:val="003D277F"/>
    <w:rsid w:val="003D349B"/>
    <w:rsid w:val="003D395F"/>
    <w:rsid w:val="003D5BBA"/>
    <w:rsid w:val="003E2F42"/>
    <w:rsid w:val="003E5EEE"/>
    <w:rsid w:val="003F11E3"/>
    <w:rsid w:val="003F13ED"/>
    <w:rsid w:val="003F278A"/>
    <w:rsid w:val="003F7870"/>
    <w:rsid w:val="004000EC"/>
    <w:rsid w:val="0040099D"/>
    <w:rsid w:val="004030AB"/>
    <w:rsid w:val="004049F3"/>
    <w:rsid w:val="00406BB2"/>
    <w:rsid w:val="00406D8E"/>
    <w:rsid w:val="004108E7"/>
    <w:rsid w:val="00410A1B"/>
    <w:rsid w:val="00412282"/>
    <w:rsid w:val="00412DED"/>
    <w:rsid w:val="0041555C"/>
    <w:rsid w:val="00416667"/>
    <w:rsid w:val="00417231"/>
    <w:rsid w:val="00417752"/>
    <w:rsid w:val="00422770"/>
    <w:rsid w:val="004256BA"/>
    <w:rsid w:val="00426541"/>
    <w:rsid w:val="00426970"/>
    <w:rsid w:val="00431837"/>
    <w:rsid w:val="00431999"/>
    <w:rsid w:val="00433475"/>
    <w:rsid w:val="004334B1"/>
    <w:rsid w:val="0043441E"/>
    <w:rsid w:val="00434D02"/>
    <w:rsid w:val="00434EA7"/>
    <w:rsid w:val="00434EE2"/>
    <w:rsid w:val="00435682"/>
    <w:rsid w:val="00435C42"/>
    <w:rsid w:val="00436391"/>
    <w:rsid w:val="00436C61"/>
    <w:rsid w:val="00440594"/>
    <w:rsid w:val="004415DB"/>
    <w:rsid w:val="00442C3C"/>
    <w:rsid w:val="00444270"/>
    <w:rsid w:val="004453F3"/>
    <w:rsid w:val="00445E9B"/>
    <w:rsid w:val="00447A0B"/>
    <w:rsid w:val="004526C5"/>
    <w:rsid w:val="004536BC"/>
    <w:rsid w:val="00454EE5"/>
    <w:rsid w:val="00456081"/>
    <w:rsid w:val="0046026C"/>
    <w:rsid w:val="0046195B"/>
    <w:rsid w:val="0046318A"/>
    <w:rsid w:val="0046330C"/>
    <w:rsid w:val="00463B04"/>
    <w:rsid w:val="00464554"/>
    <w:rsid w:val="00464F5D"/>
    <w:rsid w:val="00466F1E"/>
    <w:rsid w:val="0047201F"/>
    <w:rsid w:val="0047275D"/>
    <w:rsid w:val="00474FBD"/>
    <w:rsid w:val="0047659A"/>
    <w:rsid w:val="004816B8"/>
    <w:rsid w:val="00482657"/>
    <w:rsid w:val="004848A8"/>
    <w:rsid w:val="004861E1"/>
    <w:rsid w:val="0048622B"/>
    <w:rsid w:val="00491D7D"/>
    <w:rsid w:val="004939CF"/>
    <w:rsid w:val="00495FE0"/>
    <w:rsid w:val="004964DB"/>
    <w:rsid w:val="004972BE"/>
    <w:rsid w:val="004A1872"/>
    <w:rsid w:val="004A4C3A"/>
    <w:rsid w:val="004A5389"/>
    <w:rsid w:val="004A5D16"/>
    <w:rsid w:val="004A62D5"/>
    <w:rsid w:val="004B3A8A"/>
    <w:rsid w:val="004C115A"/>
    <w:rsid w:val="004C2074"/>
    <w:rsid w:val="004C2C9B"/>
    <w:rsid w:val="004C2F04"/>
    <w:rsid w:val="004C3F45"/>
    <w:rsid w:val="004C51C1"/>
    <w:rsid w:val="004C6A4A"/>
    <w:rsid w:val="004D0B2F"/>
    <w:rsid w:val="004D0FD3"/>
    <w:rsid w:val="004D4CFB"/>
    <w:rsid w:val="004E10B5"/>
    <w:rsid w:val="004E1B33"/>
    <w:rsid w:val="004E40EF"/>
    <w:rsid w:val="004E6B6C"/>
    <w:rsid w:val="004E73F7"/>
    <w:rsid w:val="004F631E"/>
    <w:rsid w:val="004F66BF"/>
    <w:rsid w:val="004F76A0"/>
    <w:rsid w:val="00500E7F"/>
    <w:rsid w:val="00502331"/>
    <w:rsid w:val="00505A67"/>
    <w:rsid w:val="00506C3E"/>
    <w:rsid w:val="005074E4"/>
    <w:rsid w:val="0051361F"/>
    <w:rsid w:val="00515A61"/>
    <w:rsid w:val="00515F94"/>
    <w:rsid w:val="0052078D"/>
    <w:rsid w:val="0052179D"/>
    <w:rsid w:val="0052349D"/>
    <w:rsid w:val="00525604"/>
    <w:rsid w:val="0052649B"/>
    <w:rsid w:val="00526F3A"/>
    <w:rsid w:val="00531603"/>
    <w:rsid w:val="00536073"/>
    <w:rsid w:val="00537271"/>
    <w:rsid w:val="005417FB"/>
    <w:rsid w:val="00542AAD"/>
    <w:rsid w:val="005452CA"/>
    <w:rsid w:val="005456A9"/>
    <w:rsid w:val="0054716B"/>
    <w:rsid w:val="005503B4"/>
    <w:rsid w:val="005541B4"/>
    <w:rsid w:val="005548B3"/>
    <w:rsid w:val="0055494F"/>
    <w:rsid w:val="00555D52"/>
    <w:rsid w:val="005566D7"/>
    <w:rsid w:val="0055713A"/>
    <w:rsid w:val="0056094E"/>
    <w:rsid w:val="00560AAC"/>
    <w:rsid w:val="00561F7F"/>
    <w:rsid w:val="00564182"/>
    <w:rsid w:val="00565E55"/>
    <w:rsid w:val="00566B23"/>
    <w:rsid w:val="00566B35"/>
    <w:rsid w:val="00566B8E"/>
    <w:rsid w:val="00567F76"/>
    <w:rsid w:val="005732CC"/>
    <w:rsid w:val="00573DCB"/>
    <w:rsid w:val="00575422"/>
    <w:rsid w:val="00575528"/>
    <w:rsid w:val="00577440"/>
    <w:rsid w:val="00582604"/>
    <w:rsid w:val="0058284F"/>
    <w:rsid w:val="00590615"/>
    <w:rsid w:val="00591C6D"/>
    <w:rsid w:val="00593827"/>
    <w:rsid w:val="005938C6"/>
    <w:rsid w:val="00594FC4"/>
    <w:rsid w:val="00595B9A"/>
    <w:rsid w:val="00597608"/>
    <w:rsid w:val="005A0431"/>
    <w:rsid w:val="005A0FC7"/>
    <w:rsid w:val="005A2D06"/>
    <w:rsid w:val="005A3B40"/>
    <w:rsid w:val="005A5DDD"/>
    <w:rsid w:val="005A6084"/>
    <w:rsid w:val="005B2663"/>
    <w:rsid w:val="005B2D9B"/>
    <w:rsid w:val="005B3752"/>
    <w:rsid w:val="005B61C2"/>
    <w:rsid w:val="005B7C7A"/>
    <w:rsid w:val="005C0495"/>
    <w:rsid w:val="005C3F98"/>
    <w:rsid w:val="005C51C8"/>
    <w:rsid w:val="005D26B7"/>
    <w:rsid w:val="005D37F6"/>
    <w:rsid w:val="005D3BCE"/>
    <w:rsid w:val="005D4664"/>
    <w:rsid w:val="005D4AA1"/>
    <w:rsid w:val="005D56B6"/>
    <w:rsid w:val="005D5B8B"/>
    <w:rsid w:val="005D5D4A"/>
    <w:rsid w:val="005D7EB9"/>
    <w:rsid w:val="005D7FA1"/>
    <w:rsid w:val="005E18F8"/>
    <w:rsid w:val="005E3E0C"/>
    <w:rsid w:val="005E56B1"/>
    <w:rsid w:val="005E70F1"/>
    <w:rsid w:val="0060146C"/>
    <w:rsid w:val="00601F52"/>
    <w:rsid w:val="0060207D"/>
    <w:rsid w:val="00602822"/>
    <w:rsid w:val="006039F2"/>
    <w:rsid w:val="006061B0"/>
    <w:rsid w:val="0060732E"/>
    <w:rsid w:val="006076A9"/>
    <w:rsid w:val="006108B1"/>
    <w:rsid w:val="0061647B"/>
    <w:rsid w:val="0061771E"/>
    <w:rsid w:val="00620EB0"/>
    <w:rsid w:val="006228B2"/>
    <w:rsid w:val="00630849"/>
    <w:rsid w:val="00632924"/>
    <w:rsid w:val="0063382A"/>
    <w:rsid w:val="006341BE"/>
    <w:rsid w:val="0063769C"/>
    <w:rsid w:val="00642086"/>
    <w:rsid w:val="00643FD7"/>
    <w:rsid w:val="00650CA1"/>
    <w:rsid w:val="0065125A"/>
    <w:rsid w:val="00653A72"/>
    <w:rsid w:val="006544EA"/>
    <w:rsid w:val="006604FD"/>
    <w:rsid w:val="00661514"/>
    <w:rsid w:val="00661ED4"/>
    <w:rsid w:val="00665063"/>
    <w:rsid w:val="0066569F"/>
    <w:rsid w:val="0067198F"/>
    <w:rsid w:val="00674460"/>
    <w:rsid w:val="00675EFE"/>
    <w:rsid w:val="006826D9"/>
    <w:rsid w:val="00683371"/>
    <w:rsid w:val="0068360B"/>
    <w:rsid w:val="0068519C"/>
    <w:rsid w:val="0069004B"/>
    <w:rsid w:val="006919F5"/>
    <w:rsid w:val="0069446B"/>
    <w:rsid w:val="006955C8"/>
    <w:rsid w:val="00697370"/>
    <w:rsid w:val="006978E1"/>
    <w:rsid w:val="006A4C7A"/>
    <w:rsid w:val="006B08EB"/>
    <w:rsid w:val="006B0C84"/>
    <w:rsid w:val="006B481F"/>
    <w:rsid w:val="006B4EB4"/>
    <w:rsid w:val="006B7725"/>
    <w:rsid w:val="006C003E"/>
    <w:rsid w:val="006C101C"/>
    <w:rsid w:val="006C377D"/>
    <w:rsid w:val="006C4F5A"/>
    <w:rsid w:val="006C77A3"/>
    <w:rsid w:val="006C7F98"/>
    <w:rsid w:val="006D3D04"/>
    <w:rsid w:val="006D791A"/>
    <w:rsid w:val="006E07AC"/>
    <w:rsid w:val="006E36D0"/>
    <w:rsid w:val="006F366E"/>
    <w:rsid w:val="006F638E"/>
    <w:rsid w:val="006F68D6"/>
    <w:rsid w:val="006F7941"/>
    <w:rsid w:val="00700239"/>
    <w:rsid w:val="00701B25"/>
    <w:rsid w:val="00703E42"/>
    <w:rsid w:val="00711086"/>
    <w:rsid w:val="00711B55"/>
    <w:rsid w:val="00713C9C"/>
    <w:rsid w:val="00714470"/>
    <w:rsid w:val="00714663"/>
    <w:rsid w:val="007150BC"/>
    <w:rsid w:val="00715243"/>
    <w:rsid w:val="00717889"/>
    <w:rsid w:val="00725271"/>
    <w:rsid w:val="007275F7"/>
    <w:rsid w:val="007326E4"/>
    <w:rsid w:val="00733164"/>
    <w:rsid w:val="007368AD"/>
    <w:rsid w:val="00736F8A"/>
    <w:rsid w:val="0073747C"/>
    <w:rsid w:val="0074021F"/>
    <w:rsid w:val="00742139"/>
    <w:rsid w:val="00742463"/>
    <w:rsid w:val="00746BC7"/>
    <w:rsid w:val="00746EB3"/>
    <w:rsid w:val="007471B1"/>
    <w:rsid w:val="00750204"/>
    <w:rsid w:val="00751D2A"/>
    <w:rsid w:val="00751FD6"/>
    <w:rsid w:val="007537DF"/>
    <w:rsid w:val="007538F4"/>
    <w:rsid w:val="007544D9"/>
    <w:rsid w:val="00755095"/>
    <w:rsid w:val="007615D3"/>
    <w:rsid w:val="00763E91"/>
    <w:rsid w:val="00765322"/>
    <w:rsid w:val="00767577"/>
    <w:rsid w:val="007737E7"/>
    <w:rsid w:val="007750B9"/>
    <w:rsid w:val="00777799"/>
    <w:rsid w:val="007831FA"/>
    <w:rsid w:val="007913CA"/>
    <w:rsid w:val="007928F8"/>
    <w:rsid w:val="00796A07"/>
    <w:rsid w:val="0079721E"/>
    <w:rsid w:val="007A0ABB"/>
    <w:rsid w:val="007A2B9E"/>
    <w:rsid w:val="007A3FFA"/>
    <w:rsid w:val="007A43ED"/>
    <w:rsid w:val="007B0B53"/>
    <w:rsid w:val="007B6EDE"/>
    <w:rsid w:val="007C1145"/>
    <w:rsid w:val="007C31A3"/>
    <w:rsid w:val="007C336E"/>
    <w:rsid w:val="007C43BC"/>
    <w:rsid w:val="007D074E"/>
    <w:rsid w:val="007D3D2E"/>
    <w:rsid w:val="007E0929"/>
    <w:rsid w:val="007E1164"/>
    <w:rsid w:val="007E3D73"/>
    <w:rsid w:val="007E4243"/>
    <w:rsid w:val="007E6954"/>
    <w:rsid w:val="007F0BC5"/>
    <w:rsid w:val="007F10A6"/>
    <w:rsid w:val="007F10E3"/>
    <w:rsid w:val="007F1590"/>
    <w:rsid w:val="007F2C0E"/>
    <w:rsid w:val="007F37A1"/>
    <w:rsid w:val="007F399F"/>
    <w:rsid w:val="007F4223"/>
    <w:rsid w:val="007F5093"/>
    <w:rsid w:val="00802264"/>
    <w:rsid w:val="00804AEB"/>
    <w:rsid w:val="00804FB4"/>
    <w:rsid w:val="00810386"/>
    <w:rsid w:val="00813A02"/>
    <w:rsid w:val="008144EF"/>
    <w:rsid w:val="00815B79"/>
    <w:rsid w:val="008161FE"/>
    <w:rsid w:val="0081783E"/>
    <w:rsid w:val="0082083F"/>
    <w:rsid w:val="00824CC8"/>
    <w:rsid w:val="0083337E"/>
    <w:rsid w:val="00833A51"/>
    <w:rsid w:val="0083487F"/>
    <w:rsid w:val="008349C3"/>
    <w:rsid w:val="00835B8E"/>
    <w:rsid w:val="00835CEC"/>
    <w:rsid w:val="00836D17"/>
    <w:rsid w:val="00840A55"/>
    <w:rsid w:val="00841DB4"/>
    <w:rsid w:val="00841E25"/>
    <w:rsid w:val="00842482"/>
    <w:rsid w:val="00843377"/>
    <w:rsid w:val="0084378B"/>
    <w:rsid w:val="00843BE9"/>
    <w:rsid w:val="00844DB9"/>
    <w:rsid w:val="008464CD"/>
    <w:rsid w:val="0085105E"/>
    <w:rsid w:val="008515EE"/>
    <w:rsid w:val="00852C0A"/>
    <w:rsid w:val="00853A86"/>
    <w:rsid w:val="00860F10"/>
    <w:rsid w:val="008616F2"/>
    <w:rsid w:val="00861C4E"/>
    <w:rsid w:val="00861EBF"/>
    <w:rsid w:val="0086427C"/>
    <w:rsid w:val="0086575E"/>
    <w:rsid w:val="0086579F"/>
    <w:rsid w:val="008657A0"/>
    <w:rsid w:val="008658BA"/>
    <w:rsid w:val="00866D21"/>
    <w:rsid w:val="0086710C"/>
    <w:rsid w:val="008714D3"/>
    <w:rsid w:val="00871969"/>
    <w:rsid w:val="00872D85"/>
    <w:rsid w:val="00880BF4"/>
    <w:rsid w:val="00882ED7"/>
    <w:rsid w:val="00883DDA"/>
    <w:rsid w:val="008904D5"/>
    <w:rsid w:val="00891E9D"/>
    <w:rsid w:val="00891FF9"/>
    <w:rsid w:val="00892EB0"/>
    <w:rsid w:val="00893367"/>
    <w:rsid w:val="00893D07"/>
    <w:rsid w:val="00894611"/>
    <w:rsid w:val="008A0416"/>
    <w:rsid w:val="008A17AF"/>
    <w:rsid w:val="008A4032"/>
    <w:rsid w:val="008A4F53"/>
    <w:rsid w:val="008A6114"/>
    <w:rsid w:val="008B298D"/>
    <w:rsid w:val="008B7956"/>
    <w:rsid w:val="008C0376"/>
    <w:rsid w:val="008C24B0"/>
    <w:rsid w:val="008C32B0"/>
    <w:rsid w:val="008C3722"/>
    <w:rsid w:val="008C3B67"/>
    <w:rsid w:val="008C3F48"/>
    <w:rsid w:val="008C4CDB"/>
    <w:rsid w:val="008C6152"/>
    <w:rsid w:val="008D3A02"/>
    <w:rsid w:val="008D3F78"/>
    <w:rsid w:val="008D49B4"/>
    <w:rsid w:val="008D4E92"/>
    <w:rsid w:val="008D7498"/>
    <w:rsid w:val="008E0E2B"/>
    <w:rsid w:val="008E15FE"/>
    <w:rsid w:val="008E1C9F"/>
    <w:rsid w:val="008E636B"/>
    <w:rsid w:val="008F0AE2"/>
    <w:rsid w:val="008F1299"/>
    <w:rsid w:val="008F20DB"/>
    <w:rsid w:val="008F3DAA"/>
    <w:rsid w:val="008F49D6"/>
    <w:rsid w:val="008F7CDE"/>
    <w:rsid w:val="00900BBD"/>
    <w:rsid w:val="00903FC1"/>
    <w:rsid w:val="00904619"/>
    <w:rsid w:val="00905A51"/>
    <w:rsid w:val="00910806"/>
    <w:rsid w:val="00910926"/>
    <w:rsid w:val="009172F2"/>
    <w:rsid w:val="0092325A"/>
    <w:rsid w:val="00927749"/>
    <w:rsid w:val="00932E96"/>
    <w:rsid w:val="00934CD5"/>
    <w:rsid w:val="009370FB"/>
    <w:rsid w:val="00937161"/>
    <w:rsid w:val="009418E6"/>
    <w:rsid w:val="0094235F"/>
    <w:rsid w:val="0094279F"/>
    <w:rsid w:val="00942C32"/>
    <w:rsid w:val="00946B98"/>
    <w:rsid w:val="0095052A"/>
    <w:rsid w:val="009516DF"/>
    <w:rsid w:val="00957473"/>
    <w:rsid w:val="00957A1A"/>
    <w:rsid w:val="009626AB"/>
    <w:rsid w:val="00963043"/>
    <w:rsid w:val="0096370A"/>
    <w:rsid w:val="00965780"/>
    <w:rsid w:val="009658F0"/>
    <w:rsid w:val="00965CCD"/>
    <w:rsid w:val="00966546"/>
    <w:rsid w:val="0097104F"/>
    <w:rsid w:val="009713CF"/>
    <w:rsid w:val="00971655"/>
    <w:rsid w:val="00971C63"/>
    <w:rsid w:val="00972175"/>
    <w:rsid w:val="00973514"/>
    <w:rsid w:val="00974C14"/>
    <w:rsid w:val="00977958"/>
    <w:rsid w:val="00982BDE"/>
    <w:rsid w:val="00982CE0"/>
    <w:rsid w:val="00983700"/>
    <w:rsid w:val="009854CE"/>
    <w:rsid w:val="009860A6"/>
    <w:rsid w:val="00986566"/>
    <w:rsid w:val="009917BF"/>
    <w:rsid w:val="00992271"/>
    <w:rsid w:val="00992626"/>
    <w:rsid w:val="0099496E"/>
    <w:rsid w:val="00997762"/>
    <w:rsid w:val="009A0410"/>
    <w:rsid w:val="009A1336"/>
    <w:rsid w:val="009A3B3E"/>
    <w:rsid w:val="009A4AE9"/>
    <w:rsid w:val="009A5679"/>
    <w:rsid w:val="009A6456"/>
    <w:rsid w:val="009B11D7"/>
    <w:rsid w:val="009C03CE"/>
    <w:rsid w:val="009C2F77"/>
    <w:rsid w:val="009C3A96"/>
    <w:rsid w:val="009C45F7"/>
    <w:rsid w:val="009C55ED"/>
    <w:rsid w:val="009C6CB5"/>
    <w:rsid w:val="009C71D5"/>
    <w:rsid w:val="009C736D"/>
    <w:rsid w:val="009D0222"/>
    <w:rsid w:val="009D03D7"/>
    <w:rsid w:val="009D22C9"/>
    <w:rsid w:val="009D70D6"/>
    <w:rsid w:val="009E2ADF"/>
    <w:rsid w:val="009E3EF2"/>
    <w:rsid w:val="009E7012"/>
    <w:rsid w:val="009F0021"/>
    <w:rsid w:val="009F1504"/>
    <w:rsid w:val="009F2396"/>
    <w:rsid w:val="009F2623"/>
    <w:rsid w:val="009F443D"/>
    <w:rsid w:val="009F595D"/>
    <w:rsid w:val="009F6708"/>
    <w:rsid w:val="009F7CE4"/>
    <w:rsid w:val="00A018DC"/>
    <w:rsid w:val="00A0431C"/>
    <w:rsid w:val="00A05581"/>
    <w:rsid w:val="00A10574"/>
    <w:rsid w:val="00A11162"/>
    <w:rsid w:val="00A1538A"/>
    <w:rsid w:val="00A17ECF"/>
    <w:rsid w:val="00A21EE6"/>
    <w:rsid w:val="00A2362D"/>
    <w:rsid w:val="00A312CD"/>
    <w:rsid w:val="00A32D8C"/>
    <w:rsid w:val="00A33A9C"/>
    <w:rsid w:val="00A35A1B"/>
    <w:rsid w:val="00A41D0F"/>
    <w:rsid w:val="00A42167"/>
    <w:rsid w:val="00A42245"/>
    <w:rsid w:val="00A43227"/>
    <w:rsid w:val="00A45158"/>
    <w:rsid w:val="00A46CCD"/>
    <w:rsid w:val="00A5246B"/>
    <w:rsid w:val="00A54CC0"/>
    <w:rsid w:val="00A56303"/>
    <w:rsid w:val="00A601DD"/>
    <w:rsid w:val="00A65133"/>
    <w:rsid w:val="00A652C5"/>
    <w:rsid w:val="00A65F34"/>
    <w:rsid w:val="00A715F9"/>
    <w:rsid w:val="00A8042E"/>
    <w:rsid w:val="00A84973"/>
    <w:rsid w:val="00A85C5A"/>
    <w:rsid w:val="00A862DA"/>
    <w:rsid w:val="00A86810"/>
    <w:rsid w:val="00A86F1A"/>
    <w:rsid w:val="00A90D8E"/>
    <w:rsid w:val="00A92706"/>
    <w:rsid w:val="00A954AC"/>
    <w:rsid w:val="00A96A08"/>
    <w:rsid w:val="00AA0161"/>
    <w:rsid w:val="00AA44F2"/>
    <w:rsid w:val="00AA6F34"/>
    <w:rsid w:val="00AB0A02"/>
    <w:rsid w:val="00AB1A53"/>
    <w:rsid w:val="00AB1D08"/>
    <w:rsid w:val="00AB3094"/>
    <w:rsid w:val="00AB4345"/>
    <w:rsid w:val="00AB4A5D"/>
    <w:rsid w:val="00AB506E"/>
    <w:rsid w:val="00AB5BD7"/>
    <w:rsid w:val="00AB639A"/>
    <w:rsid w:val="00AB6C6C"/>
    <w:rsid w:val="00AC0135"/>
    <w:rsid w:val="00AC070D"/>
    <w:rsid w:val="00AC1B94"/>
    <w:rsid w:val="00AD0616"/>
    <w:rsid w:val="00AD1711"/>
    <w:rsid w:val="00AD215A"/>
    <w:rsid w:val="00AD34FF"/>
    <w:rsid w:val="00AD3879"/>
    <w:rsid w:val="00AD4971"/>
    <w:rsid w:val="00AD4DE6"/>
    <w:rsid w:val="00AE10A8"/>
    <w:rsid w:val="00AE24C9"/>
    <w:rsid w:val="00AE6DBC"/>
    <w:rsid w:val="00AF0DCA"/>
    <w:rsid w:val="00AF0E03"/>
    <w:rsid w:val="00AF1085"/>
    <w:rsid w:val="00AF1D6D"/>
    <w:rsid w:val="00AF3E95"/>
    <w:rsid w:val="00AF57EA"/>
    <w:rsid w:val="00AF7C67"/>
    <w:rsid w:val="00B02F3B"/>
    <w:rsid w:val="00B037DD"/>
    <w:rsid w:val="00B10C87"/>
    <w:rsid w:val="00B10E5D"/>
    <w:rsid w:val="00B13C28"/>
    <w:rsid w:val="00B15FE9"/>
    <w:rsid w:val="00B165A0"/>
    <w:rsid w:val="00B17723"/>
    <w:rsid w:val="00B23771"/>
    <w:rsid w:val="00B239CA"/>
    <w:rsid w:val="00B268D1"/>
    <w:rsid w:val="00B30316"/>
    <w:rsid w:val="00B31AB4"/>
    <w:rsid w:val="00B42744"/>
    <w:rsid w:val="00B43BFF"/>
    <w:rsid w:val="00B4430C"/>
    <w:rsid w:val="00B44748"/>
    <w:rsid w:val="00B4501F"/>
    <w:rsid w:val="00B47F50"/>
    <w:rsid w:val="00B50169"/>
    <w:rsid w:val="00B50919"/>
    <w:rsid w:val="00B51883"/>
    <w:rsid w:val="00B51FD6"/>
    <w:rsid w:val="00B533E2"/>
    <w:rsid w:val="00B5493C"/>
    <w:rsid w:val="00B557E8"/>
    <w:rsid w:val="00B56022"/>
    <w:rsid w:val="00B60312"/>
    <w:rsid w:val="00B610C5"/>
    <w:rsid w:val="00B61639"/>
    <w:rsid w:val="00B61C03"/>
    <w:rsid w:val="00B61FD4"/>
    <w:rsid w:val="00B65014"/>
    <w:rsid w:val="00B66F93"/>
    <w:rsid w:val="00B674DB"/>
    <w:rsid w:val="00B71318"/>
    <w:rsid w:val="00B723E9"/>
    <w:rsid w:val="00B7281B"/>
    <w:rsid w:val="00B72C8E"/>
    <w:rsid w:val="00B74ADF"/>
    <w:rsid w:val="00B819AB"/>
    <w:rsid w:val="00B81FB5"/>
    <w:rsid w:val="00B82E8D"/>
    <w:rsid w:val="00B8546B"/>
    <w:rsid w:val="00B90D12"/>
    <w:rsid w:val="00B9264D"/>
    <w:rsid w:val="00B933A3"/>
    <w:rsid w:val="00B946D0"/>
    <w:rsid w:val="00B94D99"/>
    <w:rsid w:val="00B95413"/>
    <w:rsid w:val="00B96EF9"/>
    <w:rsid w:val="00BA33F5"/>
    <w:rsid w:val="00BA519A"/>
    <w:rsid w:val="00BB292F"/>
    <w:rsid w:val="00BB3FA1"/>
    <w:rsid w:val="00BB4758"/>
    <w:rsid w:val="00BB5532"/>
    <w:rsid w:val="00BB62BB"/>
    <w:rsid w:val="00BB6603"/>
    <w:rsid w:val="00BC05C5"/>
    <w:rsid w:val="00BC3D2C"/>
    <w:rsid w:val="00BC7BB1"/>
    <w:rsid w:val="00BD04BE"/>
    <w:rsid w:val="00BD14D2"/>
    <w:rsid w:val="00BD3257"/>
    <w:rsid w:val="00BD38CB"/>
    <w:rsid w:val="00BD3CED"/>
    <w:rsid w:val="00BD3E64"/>
    <w:rsid w:val="00BD4DB6"/>
    <w:rsid w:val="00BD718C"/>
    <w:rsid w:val="00BE0275"/>
    <w:rsid w:val="00BE0630"/>
    <w:rsid w:val="00BE3AE0"/>
    <w:rsid w:val="00BE5AC1"/>
    <w:rsid w:val="00BE6F28"/>
    <w:rsid w:val="00BF25B5"/>
    <w:rsid w:val="00BF29FA"/>
    <w:rsid w:val="00BF3699"/>
    <w:rsid w:val="00C01986"/>
    <w:rsid w:val="00C03160"/>
    <w:rsid w:val="00C04D2B"/>
    <w:rsid w:val="00C06895"/>
    <w:rsid w:val="00C070BC"/>
    <w:rsid w:val="00C14CEE"/>
    <w:rsid w:val="00C152ED"/>
    <w:rsid w:val="00C16FB3"/>
    <w:rsid w:val="00C22334"/>
    <w:rsid w:val="00C23BDF"/>
    <w:rsid w:val="00C249CF"/>
    <w:rsid w:val="00C322B8"/>
    <w:rsid w:val="00C35418"/>
    <w:rsid w:val="00C35C31"/>
    <w:rsid w:val="00C361C9"/>
    <w:rsid w:val="00C43C72"/>
    <w:rsid w:val="00C51FF4"/>
    <w:rsid w:val="00C53B42"/>
    <w:rsid w:val="00C557F2"/>
    <w:rsid w:val="00C6585D"/>
    <w:rsid w:val="00C65A70"/>
    <w:rsid w:val="00C678D3"/>
    <w:rsid w:val="00C705E0"/>
    <w:rsid w:val="00C737C5"/>
    <w:rsid w:val="00C75244"/>
    <w:rsid w:val="00C770C0"/>
    <w:rsid w:val="00C771D0"/>
    <w:rsid w:val="00C86478"/>
    <w:rsid w:val="00C91F04"/>
    <w:rsid w:val="00C954DF"/>
    <w:rsid w:val="00CA2E1F"/>
    <w:rsid w:val="00CA347F"/>
    <w:rsid w:val="00CA3540"/>
    <w:rsid w:val="00CA3E9B"/>
    <w:rsid w:val="00CA4DF1"/>
    <w:rsid w:val="00CA6C66"/>
    <w:rsid w:val="00CA6DED"/>
    <w:rsid w:val="00CB0FA2"/>
    <w:rsid w:val="00CB2423"/>
    <w:rsid w:val="00CB2DED"/>
    <w:rsid w:val="00CB5677"/>
    <w:rsid w:val="00CC1A72"/>
    <w:rsid w:val="00CC49D4"/>
    <w:rsid w:val="00CD2065"/>
    <w:rsid w:val="00CD59BF"/>
    <w:rsid w:val="00CD66F3"/>
    <w:rsid w:val="00CD6AC8"/>
    <w:rsid w:val="00CD6D6C"/>
    <w:rsid w:val="00CD7CF8"/>
    <w:rsid w:val="00CE4A6B"/>
    <w:rsid w:val="00CE6F5A"/>
    <w:rsid w:val="00CF2940"/>
    <w:rsid w:val="00CF3B6C"/>
    <w:rsid w:val="00CF42CF"/>
    <w:rsid w:val="00CF4A6A"/>
    <w:rsid w:val="00CF55F8"/>
    <w:rsid w:val="00CF7DD2"/>
    <w:rsid w:val="00D01345"/>
    <w:rsid w:val="00D02AD4"/>
    <w:rsid w:val="00D0399D"/>
    <w:rsid w:val="00D04B6C"/>
    <w:rsid w:val="00D05EF6"/>
    <w:rsid w:val="00D06DD1"/>
    <w:rsid w:val="00D102E9"/>
    <w:rsid w:val="00D1688F"/>
    <w:rsid w:val="00D2117F"/>
    <w:rsid w:val="00D21AA5"/>
    <w:rsid w:val="00D21AD4"/>
    <w:rsid w:val="00D25317"/>
    <w:rsid w:val="00D305F4"/>
    <w:rsid w:val="00D30E30"/>
    <w:rsid w:val="00D339C7"/>
    <w:rsid w:val="00D4004C"/>
    <w:rsid w:val="00D4386B"/>
    <w:rsid w:val="00D439F7"/>
    <w:rsid w:val="00D44BDE"/>
    <w:rsid w:val="00D44C5F"/>
    <w:rsid w:val="00D50765"/>
    <w:rsid w:val="00D55E77"/>
    <w:rsid w:val="00D566B9"/>
    <w:rsid w:val="00D5785D"/>
    <w:rsid w:val="00D6033B"/>
    <w:rsid w:val="00D621C4"/>
    <w:rsid w:val="00D63355"/>
    <w:rsid w:val="00D65E33"/>
    <w:rsid w:val="00D66E8B"/>
    <w:rsid w:val="00D714C5"/>
    <w:rsid w:val="00D71ED1"/>
    <w:rsid w:val="00D72F37"/>
    <w:rsid w:val="00D7470D"/>
    <w:rsid w:val="00D7763F"/>
    <w:rsid w:val="00D80C6B"/>
    <w:rsid w:val="00D85715"/>
    <w:rsid w:val="00D8706C"/>
    <w:rsid w:val="00D904C6"/>
    <w:rsid w:val="00D925C1"/>
    <w:rsid w:val="00D92DAB"/>
    <w:rsid w:val="00D94EDD"/>
    <w:rsid w:val="00D95AEB"/>
    <w:rsid w:val="00DA15F0"/>
    <w:rsid w:val="00DA16FA"/>
    <w:rsid w:val="00DA4C62"/>
    <w:rsid w:val="00DA7075"/>
    <w:rsid w:val="00DB09F6"/>
    <w:rsid w:val="00DB196B"/>
    <w:rsid w:val="00DB19F7"/>
    <w:rsid w:val="00DB3227"/>
    <w:rsid w:val="00DB6A17"/>
    <w:rsid w:val="00DB6E61"/>
    <w:rsid w:val="00DB7076"/>
    <w:rsid w:val="00DC008A"/>
    <w:rsid w:val="00DC1ADB"/>
    <w:rsid w:val="00DC72E8"/>
    <w:rsid w:val="00DD129C"/>
    <w:rsid w:val="00DD4E84"/>
    <w:rsid w:val="00DD5520"/>
    <w:rsid w:val="00DE19C4"/>
    <w:rsid w:val="00DE22F1"/>
    <w:rsid w:val="00DF040F"/>
    <w:rsid w:val="00DF16C2"/>
    <w:rsid w:val="00DF1DE0"/>
    <w:rsid w:val="00DF26C5"/>
    <w:rsid w:val="00DF2B86"/>
    <w:rsid w:val="00E0011C"/>
    <w:rsid w:val="00E00F76"/>
    <w:rsid w:val="00E15362"/>
    <w:rsid w:val="00E17560"/>
    <w:rsid w:val="00E20876"/>
    <w:rsid w:val="00E21E75"/>
    <w:rsid w:val="00E24FF5"/>
    <w:rsid w:val="00E25C7F"/>
    <w:rsid w:val="00E3272E"/>
    <w:rsid w:val="00E3581F"/>
    <w:rsid w:val="00E37064"/>
    <w:rsid w:val="00E4287B"/>
    <w:rsid w:val="00E43A58"/>
    <w:rsid w:val="00E45CFF"/>
    <w:rsid w:val="00E46B89"/>
    <w:rsid w:val="00E47C81"/>
    <w:rsid w:val="00E519DC"/>
    <w:rsid w:val="00E538EB"/>
    <w:rsid w:val="00E57824"/>
    <w:rsid w:val="00E6377F"/>
    <w:rsid w:val="00E6571F"/>
    <w:rsid w:val="00E660B4"/>
    <w:rsid w:val="00E66FB2"/>
    <w:rsid w:val="00E74585"/>
    <w:rsid w:val="00E75BE9"/>
    <w:rsid w:val="00E7616A"/>
    <w:rsid w:val="00E776F3"/>
    <w:rsid w:val="00E807DA"/>
    <w:rsid w:val="00E8301D"/>
    <w:rsid w:val="00E84E3A"/>
    <w:rsid w:val="00E87415"/>
    <w:rsid w:val="00E874A6"/>
    <w:rsid w:val="00E91A4F"/>
    <w:rsid w:val="00E94C06"/>
    <w:rsid w:val="00E951E7"/>
    <w:rsid w:val="00E95642"/>
    <w:rsid w:val="00E97D6D"/>
    <w:rsid w:val="00EA05AF"/>
    <w:rsid w:val="00EA064D"/>
    <w:rsid w:val="00EA08AB"/>
    <w:rsid w:val="00EA5849"/>
    <w:rsid w:val="00EB1FAA"/>
    <w:rsid w:val="00EB3ABC"/>
    <w:rsid w:val="00EB4D03"/>
    <w:rsid w:val="00EB5CDF"/>
    <w:rsid w:val="00EB7341"/>
    <w:rsid w:val="00EC16F1"/>
    <w:rsid w:val="00EC2032"/>
    <w:rsid w:val="00EC2197"/>
    <w:rsid w:val="00EC2694"/>
    <w:rsid w:val="00EC2B1D"/>
    <w:rsid w:val="00EC43B9"/>
    <w:rsid w:val="00EC7AC1"/>
    <w:rsid w:val="00ED4D69"/>
    <w:rsid w:val="00ED5D2A"/>
    <w:rsid w:val="00ED6CFE"/>
    <w:rsid w:val="00ED7BFA"/>
    <w:rsid w:val="00EE1493"/>
    <w:rsid w:val="00EE1E81"/>
    <w:rsid w:val="00EE34CC"/>
    <w:rsid w:val="00EE362F"/>
    <w:rsid w:val="00EE3630"/>
    <w:rsid w:val="00EE5B9B"/>
    <w:rsid w:val="00EE6590"/>
    <w:rsid w:val="00EE7AEF"/>
    <w:rsid w:val="00EF0E19"/>
    <w:rsid w:val="00EF3B03"/>
    <w:rsid w:val="00F00609"/>
    <w:rsid w:val="00F0514E"/>
    <w:rsid w:val="00F10E6F"/>
    <w:rsid w:val="00F114A9"/>
    <w:rsid w:val="00F114AE"/>
    <w:rsid w:val="00F13D7C"/>
    <w:rsid w:val="00F15B49"/>
    <w:rsid w:val="00F21069"/>
    <w:rsid w:val="00F320DA"/>
    <w:rsid w:val="00F3217D"/>
    <w:rsid w:val="00F3430E"/>
    <w:rsid w:val="00F34F9C"/>
    <w:rsid w:val="00F35234"/>
    <w:rsid w:val="00F354BC"/>
    <w:rsid w:val="00F37501"/>
    <w:rsid w:val="00F378CF"/>
    <w:rsid w:val="00F424EE"/>
    <w:rsid w:val="00F42FC0"/>
    <w:rsid w:val="00F43CA0"/>
    <w:rsid w:val="00F4484C"/>
    <w:rsid w:val="00F44A4E"/>
    <w:rsid w:val="00F46D93"/>
    <w:rsid w:val="00F54216"/>
    <w:rsid w:val="00F546EA"/>
    <w:rsid w:val="00F55030"/>
    <w:rsid w:val="00F55E14"/>
    <w:rsid w:val="00F576FD"/>
    <w:rsid w:val="00F62DAE"/>
    <w:rsid w:val="00F64263"/>
    <w:rsid w:val="00F6603F"/>
    <w:rsid w:val="00F66C1B"/>
    <w:rsid w:val="00F6718C"/>
    <w:rsid w:val="00F70A9B"/>
    <w:rsid w:val="00F73323"/>
    <w:rsid w:val="00F75698"/>
    <w:rsid w:val="00F75A1E"/>
    <w:rsid w:val="00F76327"/>
    <w:rsid w:val="00F7696F"/>
    <w:rsid w:val="00F7749E"/>
    <w:rsid w:val="00F77554"/>
    <w:rsid w:val="00F778A9"/>
    <w:rsid w:val="00F7793A"/>
    <w:rsid w:val="00F800D7"/>
    <w:rsid w:val="00F81A3C"/>
    <w:rsid w:val="00F8209B"/>
    <w:rsid w:val="00F82AE4"/>
    <w:rsid w:val="00F8634A"/>
    <w:rsid w:val="00F92E24"/>
    <w:rsid w:val="00F96577"/>
    <w:rsid w:val="00F97CD9"/>
    <w:rsid w:val="00FA0576"/>
    <w:rsid w:val="00FA1264"/>
    <w:rsid w:val="00FA1EB8"/>
    <w:rsid w:val="00FA7EA2"/>
    <w:rsid w:val="00FB1A09"/>
    <w:rsid w:val="00FB4D5B"/>
    <w:rsid w:val="00FB50B4"/>
    <w:rsid w:val="00FB5E96"/>
    <w:rsid w:val="00FB613C"/>
    <w:rsid w:val="00FC0335"/>
    <w:rsid w:val="00FC11B0"/>
    <w:rsid w:val="00FC4FA5"/>
    <w:rsid w:val="00FC5885"/>
    <w:rsid w:val="00FC66F0"/>
    <w:rsid w:val="00FD29A5"/>
    <w:rsid w:val="00FD43F5"/>
    <w:rsid w:val="00FD4B97"/>
    <w:rsid w:val="00FE0D46"/>
    <w:rsid w:val="00FE2373"/>
    <w:rsid w:val="00FE2C41"/>
    <w:rsid w:val="00FE3C7F"/>
    <w:rsid w:val="00FE5108"/>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C45F7"/>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2"/>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1C52D4"/>
    <w:pPr>
      <w:numPr>
        <w:numId w:val="9"/>
      </w:numPr>
      <w:contextualSpacing/>
    </w:pPr>
  </w:style>
  <w:style w:type="table" w:styleId="MediumShading1-Accent6">
    <w:name w:val="Medium Shading 1 Accent 6"/>
    <w:basedOn w:val="TableNormal"/>
    <w:uiPriority w:val="63"/>
    <w:locked/>
    <w:rsid w:val="00B56022"/>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5486">
      <w:bodyDiv w:val="1"/>
      <w:marLeft w:val="0"/>
      <w:marRight w:val="0"/>
      <w:marTop w:val="0"/>
      <w:marBottom w:val="0"/>
      <w:divBdr>
        <w:top w:val="none" w:sz="0" w:space="0" w:color="auto"/>
        <w:left w:val="none" w:sz="0" w:space="0" w:color="auto"/>
        <w:bottom w:val="none" w:sz="0" w:space="0" w:color="auto"/>
        <w:right w:val="none" w:sz="0" w:space="0" w:color="auto"/>
      </w:divBdr>
    </w:div>
    <w:div w:id="97078529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9040701">
      <w:bodyDiv w:val="1"/>
      <w:marLeft w:val="0"/>
      <w:marRight w:val="0"/>
      <w:marTop w:val="0"/>
      <w:marBottom w:val="0"/>
      <w:divBdr>
        <w:top w:val="none" w:sz="0" w:space="0" w:color="auto"/>
        <w:left w:val="none" w:sz="0" w:space="0" w:color="auto"/>
        <w:bottom w:val="none" w:sz="0" w:space="0" w:color="auto"/>
        <w:right w:val="none" w:sz="0" w:space="0" w:color="auto"/>
      </w:divBdr>
    </w:div>
    <w:div w:id="1336886384">
      <w:bodyDiv w:val="1"/>
      <w:marLeft w:val="0"/>
      <w:marRight w:val="0"/>
      <w:marTop w:val="0"/>
      <w:marBottom w:val="0"/>
      <w:divBdr>
        <w:top w:val="none" w:sz="0" w:space="0" w:color="auto"/>
        <w:left w:val="none" w:sz="0" w:space="0" w:color="auto"/>
        <w:bottom w:val="none" w:sz="0" w:space="0" w:color="auto"/>
        <w:right w:val="none" w:sz="0" w:space="0" w:color="auto"/>
      </w:divBdr>
    </w:div>
    <w:div w:id="18686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257465257487949E-2"/>
          <c:y val="4.4823466834087597E-2"/>
          <c:w val="0.87124556724444391"/>
          <c:h val="0.70366091049616686"/>
        </c:manualLayout>
      </c:layout>
      <c:barChart>
        <c:barDir val="col"/>
        <c:grouping val="stacked"/>
        <c:varyColors val="0"/>
        <c:ser>
          <c:idx val="0"/>
          <c:order val="0"/>
          <c:tx>
            <c:strRef>
              <c:f>'Capex - Directlink'!$B$4</c:f>
              <c:strCache>
                <c:ptCount val="1"/>
                <c:pt idx="0">
                  <c:v>Actual capex</c:v>
                </c:pt>
              </c:strCache>
            </c:strRef>
          </c:tx>
          <c:spPr>
            <a:ln>
              <a:solidFill>
                <a:schemeClr val="tx1"/>
              </a:solidFill>
            </a:ln>
          </c:spPr>
          <c:invertIfNegative val="0"/>
          <c:cat>
            <c:strRef>
              <c:f>'Capex - Directlink'!$C$3:$Q$3</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strCache>
            </c:strRef>
          </c:cat>
          <c:val>
            <c:numRef>
              <c:f>'Capex - Directlink'!$C$4:$Q$4</c:f>
              <c:numCache>
                <c:formatCode>_("$"* #,##0.00_);_("$"* \(#,##0.00\);_("$"* "-"??_);_(@_)</c:formatCode>
                <c:ptCount val="15"/>
                <c:pt idx="0">
                  <c:v>2.6173928588974751</c:v>
                </c:pt>
                <c:pt idx="1">
                  <c:v>1.0312077580126702</c:v>
                </c:pt>
                <c:pt idx="2">
                  <c:v>0</c:v>
                </c:pt>
                <c:pt idx="3">
                  <c:v>1.2208972963377952E-2</c:v>
                </c:pt>
                <c:pt idx="4">
                  <c:v>2.4008465201824356E-2</c:v>
                </c:pt>
                <c:pt idx="5">
                  <c:v>2.3699145065964333</c:v>
                </c:pt>
                <c:pt idx="6">
                  <c:v>1.7704936384057925</c:v>
                </c:pt>
                <c:pt idx="7">
                  <c:v>0.75214442927568481</c:v>
                </c:pt>
              </c:numCache>
            </c:numRef>
          </c:val>
        </c:ser>
        <c:ser>
          <c:idx val="2"/>
          <c:order val="1"/>
          <c:tx>
            <c:strRef>
              <c:f>'Capex - Directlink'!$B$5</c:f>
              <c:strCache>
                <c:ptCount val="1"/>
                <c:pt idx="0">
                  <c:v>Estimate</c:v>
                </c:pt>
              </c:strCache>
            </c:strRef>
          </c:tx>
          <c:spPr>
            <a:solidFill>
              <a:schemeClr val="accent5">
                <a:lumMod val="40000"/>
                <a:lumOff val="60000"/>
              </a:schemeClr>
            </a:solidFill>
          </c:spPr>
          <c:invertIfNegative val="0"/>
          <c:cat>
            <c:strRef>
              <c:f>'Capex - Directlink'!$C$3:$Q$3</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strCache>
            </c:strRef>
          </c:cat>
          <c:val>
            <c:numRef>
              <c:f>'Capex - Directlink'!$C$5:$Q$5</c:f>
              <c:numCache>
                <c:formatCode>General</c:formatCode>
                <c:ptCount val="15"/>
                <c:pt idx="8" formatCode="_(&quot;$&quot;* #,##0.00_);_(&quot;$&quot;* \(#,##0.00\);_(&quot;$&quot;* &quot;-&quot;??_);_(@_)">
                  <c:v>3.8419730355841515</c:v>
                </c:pt>
                <c:pt idx="9" formatCode="_(&quot;$&quot;* #,##0.00_);_(&quot;$&quot;* \(#,##0.00\);_(&quot;$&quot;* &quot;-&quot;??_);_(@_)">
                  <c:v>3.03</c:v>
                </c:pt>
              </c:numCache>
            </c:numRef>
          </c:val>
        </c:ser>
        <c:ser>
          <c:idx val="3"/>
          <c:order val="2"/>
          <c:tx>
            <c:strRef>
              <c:f>'Capex - Directlink'!$B$6</c:f>
              <c:strCache>
                <c:ptCount val="1"/>
                <c:pt idx="0">
                  <c:v>Directlink reg proposal forecast</c:v>
                </c:pt>
              </c:strCache>
            </c:strRef>
          </c:tx>
          <c:spPr>
            <a:solidFill>
              <a:schemeClr val="accent2">
                <a:lumMod val="60000"/>
                <a:lumOff val="40000"/>
              </a:schemeClr>
            </a:solidFill>
          </c:spPr>
          <c:invertIfNegative val="0"/>
          <c:cat>
            <c:strRef>
              <c:f>'Capex - Directlink'!$C$3:$Q$3</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strCache>
            </c:strRef>
          </c:cat>
          <c:val>
            <c:numRef>
              <c:f>'Capex - Directlink'!$C$6:$Q$6</c:f>
              <c:numCache>
                <c:formatCode>General</c:formatCode>
                <c:ptCount val="15"/>
                <c:pt idx="10" formatCode="_(&quot;$&quot;* #,##0.00_);_(&quot;$&quot;* \(#,##0.00\);_(&quot;$&quot;* &quot;-&quot;??_);_(@_)">
                  <c:v>5.856395383580864</c:v>
                </c:pt>
                <c:pt idx="11" formatCode="_(&quot;$&quot;* #,##0.00_);_(&quot;$&quot;* \(#,##0.00\);_(&quot;$&quot;* &quot;-&quot;??_);_(@_)">
                  <c:v>5.4094279757981258</c:v>
                </c:pt>
                <c:pt idx="12" formatCode="_(&quot;$&quot;* #,##0.00_);_(&quot;$&quot;* \(#,##0.00\);_(&quot;$&quot;* &quot;-&quot;??_);_(@_)">
                  <c:v>4.0275262528724376</c:v>
                </c:pt>
                <c:pt idx="13" formatCode="_(&quot;$&quot;* #,##0.00_);_(&quot;$&quot;* \(#,##0.00\);_(&quot;$&quot;* &quot;-&quot;??_);_(@_)">
                  <c:v>5.104003587259248</c:v>
                </c:pt>
                <c:pt idx="14" formatCode="_(&quot;$&quot;* #,##0.00_);_(&quot;$&quot;* \(#,##0.00\);_(&quot;$&quot;* &quot;-&quot;??_);_(@_)">
                  <c:v>14.795568920107163</c:v>
                </c:pt>
              </c:numCache>
            </c:numRef>
          </c:val>
        </c:ser>
        <c:dLbls>
          <c:showLegendKey val="0"/>
          <c:showVal val="0"/>
          <c:showCatName val="0"/>
          <c:showSerName val="0"/>
          <c:showPercent val="0"/>
          <c:showBubbleSize val="0"/>
        </c:dLbls>
        <c:gapWidth val="50"/>
        <c:overlap val="100"/>
        <c:axId val="296148352"/>
        <c:axId val="296555648"/>
      </c:barChart>
      <c:lineChart>
        <c:grouping val="standard"/>
        <c:varyColors val="0"/>
        <c:ser>
          <c:idx val="1"/>
          <c:order val="3"/>
          <c:tx>
            <c:strRef>
              <c:f>'Capex - Directlink'!$B$7</c:f>
              <c:strCache>
                <c:ptCount val="1"/>
                <c:pt idx="0">
                  <c:v>AER allowance</c:v>
                </c:pt>
              </c:strCache>
            </c:strRef>
          </c:tx>
          <c:spPr>
            <a:ln w="63500" cmpd="sng">
              <a:solidFill>
                <a:schemeClr val="tx1"/>
              </a:solidFill>
            </a:ln>
          </c:spPr>
          <c:marker>
            <c:symbol val="none"/>
          </c:marker>
          <c:dPt>
            <c:idx val="6"/>
            <c:bubble3D val="0"/>
          </c:dPt>
          <c:cat>
            <c:strRef>
              <c:f>'Capex - Directlink'!$C$3:$Q$3</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strCache>
            </c:strRef>
          </c:cat>
          <c:val>
            <c:numRef>
              <c:f>'Capex - Directlink'!$C$7:$Q$7</c:f>
              <c:numCache>
                <c:formatCode>General</c:formatCode>
                <c:ptCount val="15"/>
                <c:pt idx="0">
                  <c:v>0</c:v>
                </c:pt>
                <c:pt idx="1">
                  <c:v>0</c:v>
                </c:pt>
                <c:pt idx="2">
                  <c:v>0</c:v>
                </c:pt>
                <c:pt idx="3">
                  <c:v>0</c:v>
                </c:pt>
                <c:pt idx="4" formatCode="0">
                  <c:v>0</c:v>
                </c:pt>
                <c:pt idx="5" formatCode="0">
                  <c:v>0</c:v>
                </c:pt>
                <c:pt idx="6" formatCode="0">
                  <c:v>0.02</c:v>
                </c:pt>
                <c:pt idx="7" formatCode="0">
                  <c:v>0</c:v>
                </c:pt>
                <c:pt idx="8" formatCode="0">
                  <c:v>0</c:v>
                </c:pt>
                <c:pt idx="9" formatCode="0">
                  <c:v>0</c:v>
                </c:pt>
              </c:numCache>
            </c:numRef>
          </c:val>
          <c:smooth val="0"/>
        </c:ser>
        <c:dLbls>
          <c:showLegendKey val="0"/>
          <c:showVal val="0"/>
          <c:showCatName val="0"/>
          <c:showSerName val="0"/>
          <c:showPercent val="0"/>
          <c:showBubbleSize val="0"/>
        </c:dLbls>
        <c:marker val="1"/>
        <c:smooth val="0"/>
        <c:axId val="296148352"/>
        <c:axId val="296555648"/>
      </c:lineChart>
      <c:catAx>
        <c:axId val="296148352"/>
        <c:scaling>
          <c:orientation val="minMax"/>
        </c:scaling>
        <c:delete val="0"/>
        <c:axPos val="b"/>
        <c:majorTickMark val="out"/>
        <c:minorTickMark val="none"/>
        <c:tickLblPos val="nextTo"/>
        <c:crossAx val="296555648"/>
        <c:crossesAt val="0"/>
        <c:auto val="1"/>
        <c:lblAlgn val="ctr"/>
        <c:lblOffset val="100"/>
        <c:noMultiLvlLbl val="0"/>
      </c:catAx>
      <c:valAx>
        <c:axId val="296555648"/>
        <c:scaling>
          <c:orientation val="minMax"/>
        </c:scaling>
        <c:delete val="0"/>
        <c:axPos val="l"/>
        <c:majorGridlines/>
        <c:title>
          <c:tx>
            <c:rich>
              <a:bodyPr rot="-5400000" vert="horz"/>
              <a:lstStyle/>
              <a:p>
                <a:pPr>
                  <a:defRPr/>
                </a:pPr>
                <a:r>
                  <a:rPr lang="en-AU"/>
                  <a:t>$m, 2014–15</a:t>
                </a:r>
              </a:p>
            </c:rich>
          </c:tx>
          <c:overlay val="0"/>
        </c:title>
        <c:numFmt formatCode="#,##0" sourceLinked="0"/>
        <c:majorTickMark val="out"/>
        <c:minorTickMark val="none"/>
        <c:tickLblPos val="nextTo"/>
        <c:crossAx val="296148352"/>
        <c:crosses val="autoZero"/>
        <c:crossBetween val="between"/>
      </c:valAx>
    </c:plotArea>
    <c:legend>
      <c:legendPos val="b"/>
      <c:overlay val="0"/>
    </c:legend>
    <c:plotVisOnly val="1"/>
    <c:dispBlanksAs val="gap"/>
    <c:showDLblsOverMax val="0"/>
  </c:chart>
  <c:spPr>
    <a:ln w="8890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strRef>
              <c:f>Sheet1!$A$5:$A$19</c:f>
              <c:strCache>
                <c:ptCount val="15"/>
                <c:pt idx="0">
                  <c:v>2005/2006</c:v>
                </c:pt>
                <c:pt idx="1">
                  <c:v>2006/2007</c:v>
                </c:pt>
                <c:pt idx="2">
                  <c:v>2007/2008</c:v>
                </c:pt>
                <c:pt idx="3">
                  <c:v>2008/2009</c:v>
                </c:pt>
                <c:pt idx="4">
                  <c:v>2009/2010</c:v>
                </c:pt>
                <c:pt idx="5">
                  <c:v>2010/2011</c:v>
                </c:pt>
                <c:pt idx="6">
                  <c:v>2011/2012</c:v>
                </c:pt>
                <c:pt idx="7">
                  <c:v>2012/2013</c:v>
                </c:pt>
                <c:pt idx="8">
                  <c:v>2013/2014</c:v>
                </c:pt>
                <c:pt idx="9">
                  <c:v>2014/2015</c:v>
                </c:pt>
                <c:pt idx="10">
                  <c:v>2015/2016</c:v>
                </c:pt>
                <c:pt idx="11">
                  <c:v>2016/2017</c:v>
                </c:pt>
                <c:pt idx="12">
                  <c:v>2017/2018</c:v>
                </c:pt>
                <c:pt idx="13">
                  <c:v>2018/2019</c:v>
                </c:pt>
                <c:pt idx="14">
                  <c:v>2019/2020</c:v>
                </c:pt>
              </c:strCache>
            </c:strRef>
          </c:cat>
          <c:val>
            <c:numRef>
              <c:f>Sheet1!$B$5:$B$19</c:f>
              <c:numCache>
                <c:formatCode>0.000</c:formatCode>
                <c:ptCount val="15"/>
                <c:pt idx="0">
                  <c:v>2.6</c:v>
                </c:pt>
                <c:pt idx="1">
                  <c:v>1.02</c:v>
                </c:pt>
                <c:pt idx="2">
                  <c:v>0</c:v>
                </c:pt>
                <c:pt idx="3">
                  <c:v>0.01</c:v>
                </c:pt>
                <c:pt idx="4">
                  <c:v>0.02</c:v>
                </c:pt>
                <c:pt idx="5">
                  <c:v>2.36</c:v>
                </c:pt>
                <c:pt idx="6">
                  <c:v>1.78</c:v>
                </c:pt>
                <c:pt idx="7">
                  <c:v>0.75</c:v>
                </c:pt>
                <c:pt idx="8">
                  <c:v>3.81</c:v>
                </c:pt>
                <c:pt idx="9">
                  <c:v>3.07</c:v>
                </c:pt>
                <c:pt idx="10">
                  <c:v>5.8559999999999999</c:v>
                </c:pt>
                <c:pt idx="11">
                  <c:v>5.4089999999999998</c:v>
                </c:pt>
                <c:pt idx="12">
                  <c:v>4.0279999999999996</c:v>
                </c:pt>
                <c:pt idx="13">
                  <c:v>5.1040000000000001</c:v>
                </c:pt>
                <c:pt idx="14">
                  <c:v>14.795999999999999</c:v>
                </c:pt>
              </c:numCache>
            </c:numRef>
          </c:val>
          <c:smooth val="0"/>
        </c:ser>
        <c:dLbls>
          <c:showLegendKey val="0"/>
          <c:showVal val="0"/>
          <c:showCatName val="0"/>
          <c:showSerName val="0"/>
          <c:showPercent val="0"/>
          <c:showBubbleSize val="0"/>
        </c:dLbls>
        <c:marker val="1"/>
        <c:smooth val="0"/>
        <c:axId val="296920192"/>
        <c:axId val="296921728"/>
      </c:lineChart>
      <c:catAx>
        <c:axId val="296920192"/>
        <c:scaling>
          <c:orientation val="minMax"/>
        </c:scaling>
        <c:delete val="0"/>
        <c:axPos val="b"/>
        <c:majorTickMark val="out"/>
        <c:minorTickMark val="none"/>
        <c:tickLblPos val="nextTo"/>
        <c:crossAx val="296921728"/>
        <c:crosses val="autoZero"/>
        <c:auto val="1"/>
        <c:lblAlgn val="ctr"/>
        <c:lblOffset val="100"/>
        <c:noMultiLvlLbl val="0"/>
      </c:catAx>
      <c:valAx>
        <c:axId val="296921728"/>
        <c:scaling>
          <c:orientation val="minMax"/>
        </c:scaling>
        <c:delete val="0"/>
        <c:axPos val="l"/>
        <c:majorGridlines/>
        <c:numFmt formatCode="0.000" sourceLinked="1"/>
        <c:majorTickMark val="out"/>
        <c:minorTickMark val="none"/>
        <c:tickLblPos val="nextTo"/>
        <c:crossAx val="2969201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76023C0A.dotm</Template>
  <TotalTime>0</TotalTime>
  <Pages>24</Pages>
  <Words>8132</Words>
  <Characters>46353</Characters>
  <Application>Microsoft Office Word</Application>
  <DocSecurity>0</DocSecurity>
  <Lines>386</Lines>
  <Paragraphs>108</Paragraphs>
  <ScaleCrop>false</ScaleCrop>
  <Company/>
  <LinksUpToDate>false</LinksUpToDate>
  <CharactersWithSpaces>54377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2014-11-26T04:26:00Z</dcterms:created>
  <dcterms:modified xsi:type="dcterms:W3CDTF">2014-11-26T04:26:00Z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8298551</vt:lpwstr>
  </property>
</Properties>
</file>