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92" w:rsidRDefault="00353F92" w:rsidP="00353F92">
      <w:pPr>
        <w:pStyle w:val="HeadingOrange"/>
      </w:pPr>
      <w:bookmarkStart w:id="0" w:name="_GoBack"/>
      <w:bookmarkEnd w:id="0"/>
      <w:r w:rsidRPr="00353F92">
        <w:rPr>
          <w:noProof/>
          <w:lang w:eastAsia="en-AU"/>
        </w:rPr>
        <w:drawing>
          <wp:anchor distT="0" distB="0" distL="114300" distR="114300" simplePos="0" relativeHeight="251660288" behindDoc="1" locked="0" layoutInCell="1" allowOverlap="1" wp14:anchorId="546F58B5" wp14:editId="4EAAEF0B">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Pr="00353F92">
        <w:rPr>
          <w:noProof/>
          <w:lang w:eastAsia="en-AU"/>
        </w:rPr>
        <w:drawing>
          <wp:anchor distT="0" distB="0" distL="114300" distR="114300" simplePos="0" relativeHeight="251659264" behindDoc="1" locked="0" layoutInCell="1" allowOverlap="1" wp14:anchorId="0EA16A4A" wp14:editId="617764EF">
            <wp:simplePos x="0" y="0"/>
            <wp:positionH relativeFrom="column">
              <wp:posOffset>8280400</wp:posOffset>
            </wp:positionH>
            <wp:positionV relativeFrom="paragraph">
              <wp:posOffset>-946150</wp:posOffset>
            </wp:positionV>
            <wp:extent cx="7635875" cy="10784205"/>
            <wp:effectExtent l="1905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353F92" w:rsidRDefault="00353F92" w:rsidP="00353F92">
      <w:pPr>
        <w:pStyle w:val="AERtitle1"/>
      </w:pPr>
    </w:p>
    <w:p w:rsidR="00353F92" w:rsidRDefault="00353F92" w:rsidP="00353F92">
      <w:pPr>
        <w:pStyle w:val="AERtitle1"/>
      </w:pPr>
    </w:p>
    <w:p w:rsidR="00353F92" w:rsidRDefault="00353F92" w:rsidP="00353F92">
      <w:pPr>
        <w:pStyle w:val="AERtitle1"/>
      </w:pPr>
    </w:p>
    <w:p w:rsidR="00353F92" w:rsidRDefault="00353F92" w:rsidP="00353F92">
      <w:pPr>
        <w:pStyle w:val="AERtitle1"/>
      </w:pPr>
    </w:p>
    <w:p w:rsidR="00353F92" w:rsidRDefault="00353F92" w:rsidP="00353F92">
      <w:pPr>
        <w:pStyle w:val="AERtitle1"/>
      </w:pPr>
    </w:p>
    <w:p w:rsidR="00353F92" w:rsidRDefault="00353F92" w:rsidP="00353F92">
      <w:pPr>
        <w:pStyle w:val="AERtitle1"/>
      </w:pPr>
    </w:p>
    <w:p w:rsidR="00353F92" w:rsidRDefault="00353F92" w:rsidP="00353F92">
      <w:pPr>
        <w:pStyle w:val="AERtitle1"/>
      </w:pPr>
      <w:r>
        <w:t>Draft decision</w:t>
      </w:r>
    </w:p>
    <w:p w:rsidR="00353F92" w:rsidRDefault="00353F92" w:rsidP="00353F92">
      <w:pPr>
        <w:pStyle w:val="AERtitle1"/>
      </w:pPr>
      <w:r>
        <w:t>Directlink transmission determination</w:t>
      </w:r>
    </w:p>
    <w:p w:rsidR="00353F92" w:rsidRDefault="00353F92" w:rsidP="00353F92">
      <w:pPr>
        <w:pStyle w:val="AERtitle1"/>
      </w:pPr>
      <w:r>
        <w:t>2015-16 to 2019-20</w:t>
      </w:r>
    </w:p>
    <w:p w:rsidR="00353F92" w:rsidRDefault="00353F92" w:rsidP="00353F92">
      <w:pPr>
        <w:pStyle w:val="AERtitle1"/>
      </w:pPr>
      <w:r>
        <w:t>Attachment 9: Efficiency benefit sharing scheme</w:t>
      </w:r>
    </w:p>
    <w:p w:rsidR="00353F92" w:rsidRDefault="00353F92" w:rsidP="00353F92"/>
    <w:p w:rsidR="00353F92" w:rsidRDefault="00353F92" w:rsidP="00353F92"/>
    <w:p w:rsidR="00353F92" w:rsidRPr="00F6235D" w:rsidRDefault="00353F92" w:rsidP="00353F92"/>
    <w:p w:rsidR="00353F92" w:rsidRPr="00F6235D" w:rsidRDefault="00353F92" w:rsidP="00353F92">
      <w:pPr>
        <w:pStyle w:val="AERtitle2"/>
      </w:pPr>
      <w:r>
        <w:t>November 2014</w:t>
      </w:r>
    </w:p>
    <w:p w:rsidR="00353F92" w:rsidRPr="00F6235D" w:rsidRDefault="00353F92" w:rsidP="00353F92">
      <w:r w:rsidRPr="00F6235D">
        <w:t xml:space="preserve"> </w:t>
      </w:r>
    </w:p>
    <w:p w:rsidR="00353F92" w:rsidRPr="00EF0E19" w:rsidRDefault="00353F92" w:rsidP="00353F92">
      <w:pPr>
        <w:rPr>
          <w:rStyle w:val="AERtextbold"/>
        </w:rPr>
      </w:pPr>
      <w:r>
        <w:rPr>
          <w:rStyle w:val="AERtextbold"/>
        </w:rPr>
        <w:br w:type="page"/>
      </w:r>
    </w:p>
    <w:p w:rsidR="00353F92" w:rsidRPr="00B06FB7" w:rsidRDefault="00353F92" w:rsidP="00353F92">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353F92" w:rsidRPr="00B06FB7" w:rsidRDefault="00353F92" w:rsidP="00353F92">
      <w:r w:rsidRPr="00B06FB7">
        <w:t>This work is copyright. In addition to any use permitted under the Copyright Act 1968, all material contained within this work is provided under a Creative Commons Attribution 3.0 Australia licence, with the exception of:</w:t>
      </w:r>
    </w:p>
    <w:p w:rsidR="00353F92" w:rsidRPr="00B06FB7" w:rsidRDefault="00353F92" w:rsidP="00353F92">
      <w:pPr>
        <w:pStyle w:val="AERbulletlistfirststyle"/>
      </w:pPr>
      <w:r w:rsidRPr="00B06FB7">
        <w:t>the Commonwealth Coat of Arms</w:t>
      </w:r>
    </w:p>
    <w:p w:rsidR="00353F92" w:rsidRPr="00B06FB7" w:rsidRDefault="00353F92" w:rsidP="00353F92">
      <w:pPr>
        <w:pStyle w:val="AERbulletlistfirststyle"/>
      </w:pPr>
      <w:r w:rsidRPr="00B06FB7">
        <w:t>the ACCC and AER logos</w:t>
      </w:r>
    </w:p>
    <w:p w:rsidR="00353F92" w:rsidRPr="00E750B2" w:rsidRDefault="00353F92" w:rsidP="00353F92">
      <w:r w:rsidRPr="00B06FB7">
        <w:t>any illustration, diagram, photograph or graphic over which the Australian Competition and Consumer Commission does not hold copyright, but which may be part of or contained within this publication.</w:t>
      </w:r>
    </w:p>
    <w:p w:rsidR="00353F92" w:rsidRPr="00B06FB7" w:rsidRDefault="00353F92" w:rsidP="00353F92">
      <w:r w:rsidRPr="00B06FB7">
        <w:t>The details of the relevant licence conditions are available on the Creative Commons website, as is the full legal code for the CC BY 3.0 AU licence.</w:t>
      </w:r>
    </w:p>
    <w:p w:rsidR="00353F92" w:rsidRPr="00B06FB7" w:rsidRDefault="00353F92" w:rsidP="00353F92">
      <w:pPr>
        <w:numPr>
          <w:ilvl w:val="0"/>
          <w:numId w:val="13"/>
        </w:numPr>
      </w:pPr>
      <w:r w:rsidRPr="00B06FB7">
        <w:t>Requests and inquiries concerning reproduction and rights should be addressed to the Director, Corporate Communications, ACCC, GPO Box 3131, Canberra ACT 2601, or</w:t>
      </w:r>
    </w:p>
    <w:p w:rsidR="00353F92" w:rsidRPr="00B06FB7" w:rsidRDefault="00353F92" w:rsidP="00353F92">
      <w:pPr>
        <w:numPr>
          <w:ilvl w:val="0"/>
          <w:numId w:val="13"/>
        </w:numPr>
      </w:pPr>
      <w:r w:rsidRPr="00B06FB7">
        <w:t xml:space="preserve"> </w:t>
      </w:r>
      <w:hyperlink r:id="rId10" w:history="1">
        <w:r w:rsidRPr="00B06FB7">
          <w:t>publishing.unit@accc.gov.au</w:t>
        </w:r>
      </w:hyperlink>
      <w:r w:rsidRPr="00B06FB7">
        <w:t xml:space="preserve"> .</w:t>
      </w:r>
    </w:p>
    <w:p w:rsidR="00353F92" w:rsidRDefault="00353F92" w:rsidP="00353F92">
      <w:r>
        <w:t>Inquiries about this document should be addressed to:</w:t>
      </w:r>
    </w:p>
    <w:p w:rsidR="00353F92" w:rsidRDefault="00353F92" w:rsidP="00353F92">
      <w:pPr>
        <w:pStyle w:val="AERbodytextnospace"/>
      </w:pPr>
      <w:r>
        <w:t>Australian Energy Regulator</w:t>
      </w:r>
    </w:p>
    <w:p w:rsidR="00353F92" w:rsidRDefault="00353F92" w:rsidP="00353F92">
      <w:pPr>
        <w:pStyle w:val="AERbodytextnospace"/>
      </w:pPr>
      <w:r>
        <w:t>GPO Box 520</w:t>
      </w:r>
    </w:p>
    <w:p w:rsidR="00353F92" w:rsidRDefault="00353F92" w:rsidP="00353F92">
      <w:pPr>
        <w:pStyle w:val="AERbodytextnospace"/>
      </w:pPr>
      <w:r>
        <w:t>Melbourne  Vic  3001</w:t>
      </w:r>
    </w:p>
    <w:p w:rsidR="00353F92" w:rsidRDefault="00353F92" w:rsidP="00353F92">
      <w:pPr>
        <w:pStyle w:val="AERbodytextnospace"/>
      </w:pPr>
      <w:r>
        <w:t>Tel: (03) 9290 1444</w:t>
      </w:r>
    </w:p>
    <w:p w:rsidR="00353F92" w:rsidRDefault="00353F92" w:rsidP="00353F92">
      <w:pPr>
        <w:pStyle w:val="AERbodytextnospace"/>
      </w:pPr>
      <w:r>
        <w:t>Fax: (03) 9290 1457</w:t>
      </w:r>
    </w:p>
    <w:p w:rsidR="00353F92" w:rsidRDefault="00353F92" w:rsidP="00353F92">
      <w:pPr>
        <w:pStyle w:val="AERbodytextnospace"/>
      </w:pPr>
      <w:r>
        <w:t xml:space="preserve">Email: </w:t>
      </w:r>
      <w:hyperlink r:id="rId11" w:history="1">
        <w:r w:rsidRPr="003E184A">
          <w:rPr>
            <w:rStyle w:val="Hyperlink"/>
          </w:rPr>
          <w:t>AERInquiry@aer.gov.au</w:t>
        </w:r>
      </w:hyperlink>
    </w:p>
    <w:p w:rsidR="00353F92" w:rsidRPr="008F1A4A" w:rsidRDefault="00353F92" w:rsidP="00353F92"/>
    <w:p w:rsidR="00353F92" w:rsidRDefault="00353F92" w:rsidP="00353F92">
      <w:r>
        <w:t>AER reference: 53446</w:t>
      </w:r>
    </w:p>
    <w:p w:rsidR="00353F92" w:rsidRPr="00353F92" w:rsidRDefault="00353F92" w:rsidP="00353F92">
      <w:r>
        <w:br w:type="page"/>
      </w:r>
    </w:p>
    <w:p w:rsidR="00353F92" w:rsidRPr="009134B1" w:rsidRDefault="00353F92" w:rsidP="00353F92">
      <w:pPr>
        <w:pStyle w:val="UnnumberedHeading"/>
        <w:numPr>
          <w:ilvl w:val="0"/>
          <w:numId w:val="2"/>
        </w:numPr>
      </w:pPr>
      <w:bookmarkStart w:id="1" w:name="_Toc404153950"/>
      <w:bookmarkStart w:id="2" w:name="_Toc404155330"/>
      <w:bookmarkStart w:id="3" w:name="_Toc404182373"/>
      <w:r w:rsidRPr="009134B1">
        <w:lastRenderedPageBreak/>
        <w:t>Note</w:t>
      </w:r>
      <w:bookmarkEnd w:id="1"/>
      <w:bookmarkEnd w:id="2"/>
      <w:bookmarkEnd w:id="3"/>
    </w:p>
    <w:p w:rsidR="00353F92" w:rsidRPr="009134B1" w:rsidRDefault="00353F92" w:rsidP="00353F92">
      <w:pPr>
        <w:pStyle w:val="AERbodytext"/>
      </w:pPr>
      <w:r w:rsidRPr="009134B1">
        <w:t xml:space="preserve">This attachment forms part of the AER's draft decision on </w:t>
      </w:r>
      <w:r>
        <w:t>Directlink'</w:t>
      </w:r>
      <w:r w:rsidRPr="009134B1">
        <w:t>s revenue proposal 2015–</w:t>
      </w:r>
      <w:r>
        <w:t>20</w:t>
      </w:r>
      <w:r w:rsidRPr="009134B1">
        <w:t>. It should be read with other parts of the draft decision.</w:t>
      </w:r>
    </w:p>
    <w:p w:rsidR="00353F92" w:rsidRPr="009134B1" w:rsidRDefault="00353F92" w:rsidP="00353F92">
      <w:pPr>
        <w:pStyle w:val="AERbodytext"/>
      </w:pPr>
      <w:r w:rsidRPr="009134B1">
        <w:t>The draft decision includes the following documents:</w:t>
      </w:r>
    </w:p>
    <w:p w:rsidR="00353F92" w:rsidRPr="009134B1" w:rsidRDefault="00353F92" w:rsidP="00353F92">
      <w:pPr>
        <w:pStyle w:val="AERbodytext"/>
      </w:pPr>
      <w:r w:rsidRPr="009134B1">
        <w:t>Overview</w:t>
      </w:r>
    </w:p>
    <w:p w:rsidR="00353F92" w:rsidRPr="009134B1" w:rsidRDefault="00353F92" w:rsidP="00353F92">
      <w:pPr>
        <w:pStyle w:val="AERbodytext"/>
      </w:pPr>
      <w:r w:rsidRPr="009134B1">
        <w:t>Attachment 1 – maximum allowed revenue</w:t>
      </w:r>
    </w:p>
    <w:p w:rsidR="00353F92" w:rsidRPr="009134B1" w:rsidRDefault="00353F92" w:rsidP="00353F92">
      <w:pPr>
        <w:pStyle w:val="AERbodytext"/>
      </w:pPr>
      <w:r w:rsidRPr="009134B1">
        <w:t>Attachment 2 – regulatory asset base</w:t>
      </w:r>
    </w:p>
    <w:p w:rsidR="00353F92" w:rsidRPr="009134B1" w:rsidRDefault="00353F92" w:rsidP="00353F92">
      <w:pPr>
        <w:pStyle w:val="AERbodytext"/>
      </w:pPr>
      <w:r w:rsidRPr="009134B1">
        <w:t>Attachment 3 – rate of return</w:t>
      </w:r>
    </w:p>
    <w:p w:rsidR="00353F92" w:rsidRPr="009134B1" w:rsidRDefault="00353F92" w:rsidP="00353F92">
      <w:pPr>
        <w:pStyle w:val="AERbodytext"/>
      </w:pPr>
      <w:r w:rsidRPr="009134B1">
        <w:t>Attachment 4 – value of imputation credits</w:t>
      </w:r>
    </w:p>
    <w:p w:rsidR="00353F92" w:rsidRPr="009134B1" w:rsidRDefault="00353F92" w:rsidP="00353F92">
      <w:pPr>
        <w:pStyle w:val="AERbodytext"/>
      </w:pPr>
      <w:r w:rsidRPr="009134B1">
        <w:t>Attachment 5 – regulatory depreciation</w:t>
      </w:r>
    </w:p>
    <w:p w:rsidR="00353F92" w:rsidRPr="009134B1" w:rsidRDefault="00353F92" w:rsidP="00353F92">
      <w:pPr>
        <w:pStyle w:val="AERbodytext"/>
      </w:pPr>
      <w:r w:rsidRPr="009134B1">
        <w:t xml:space="preserve">Attachment 6 – capital expenditure </w:t>
      </w:r>
    </w:p>
    <w:p w:rsidR="00353F92" w:rsidRPr="009134B1" w:rsidRDefault="00353F92" w:rsidP="00353F92">
      <w:pPr>
        <w:pStyle w:val="AERbodytext"/>
      </w:pPr>
      <w:r w:rsidRPr="009134B1">
        <w:t>Attachment 7 – operating expenditure</w:t>
      </w:r>
    </w:p>
    <w:p w:rsidR="00353F92" w:rsidRPr="009134B1" w:rsidRDefault="00353F92" w:rsidP="00353F92">
      <w:pPr>
        <w:pStyle w:val="AERbodytext"/>
      </w:pPr>
      <w:r w:rsidRPr="009134B1">
        <w:t>Attachment 8 – corporate income tax</w:t>
      </w:r>
    </w:p>
    <w:p w:rsidR="00353F92" w:rsidRPr="009134B1" w:rsidRDefault="00353F92" w:rsidP="00353F92">
      <w:pPr>
        <w:pStyle w:val="AERbodytext"/>
      </w:pPr>
      <w:r w:rsidRPr="009134B1">
        <w:t>Attachment 9 – efficiency benefit sharing scheme</w:t>
      </w:r>
    </w:p>
    <w:p w:rsidR="00353F92" w:rsidRPr="009134B1" w:rsidRDefault="00353F92" w:rsidP="00353F92">
      <w:pPr>
        <w:pStyle w:val="AERbodytext"/>
      </w:pPr>
      <w:r w:rsidRPr="009134B1">
        <w:t>Attachment 10 – capital expenditure sharing scheme</w:t>
      </w:r>
    </w:p>
    <w:p w:rsidR="00353F92" w:rsidRPr="009134B1" w:rsidRDefault="00353F92" w:rsidP="00353F92">
      <w:pPr>
        <w:pStyle w:val="AERbodytext"/>
      </w:pPr>
      <w:r w:rsidRPr="009134B1">
        <w:t>Attachment 11 – service target performance incentive scheme</w:t>
      </w:r>
    </w:p>
    <w:p w:rsidR="00353F92" w:rsidRPr="009134B1" w:rsidRDefault="00353F92" w:rsidP="00353F92">
      <w:pPr>
        <w:pStyle w:val="AERbodytext"/>
      </w:pPr>
      <w:r w:rsidRPr="009134B1">
        <w:t>Attachment 12 – pricing methodology</w:t>
      </w:r>
      <w:r>
        <w:t xml:space="preserve"> and negotiated services</w:t>
      </w:r>
    </w:p>
    <w:p w:rsidR="00353F92" w:rsidRPr="009134B1" w:rsidRDefault="00353F92" w:rsidP="00353F92">
      <w:pPr>
        <w:pStyle w:val="AERbodytext"/>
      </w:pPr>
      <w:r w:rsidRPr="009134B1">
        <w:t>Attachment 13 – pass through events</w:t>
      </w:r>
    </w:p>
    <w:p w:rsidR="00353F92" w:rsidRDefault="00353F92" w:rsidP="00353F92"/>
    <w:p w:rsidR="00353F92" w:rsidRDefault="00353F92" w:rsidP="00353F92">
      <w:pPr>
        <w:pStyle w:val="UnnumberedHeading"/>
        <w:numPr>
          <w:ilvl w:val="0"/>
          <w:numId w:val="2"/>
        </w:numPr>
      </w:pPr>
      <w:bookmarkStart w:id="4" w:name="_Toc404182374"/>
      <w:r>
        <w:lastRenderedPageBreak/>
        <w:t>Contents</w:t>
      </w:r>
      <w:bookmarkEnd w:id="4"/>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353F92" w:rsidRPr="00F0258A" w:rsidRDefault="00353F92" w:rsidP="00353F92">
          <w:pPr>
            <w:pStyle w:val="TOCHeading"/>
          </w:pPr>
        </w:p>
        <w:p w:rsidR="00210A19" w:rsidRDefault="00353F92">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353F92">
            <w:instrText xml:space="preserve"> TOC \o "1-3" \h \z \u </w:instrText>
          </w:r>
          <w:r w:rsidRPr="00F0258A">
            <w:fldChar w:fldCharType="separate"/>
          </w:r>
          <w:hyperlink w:anchor="_Toc404182374" w:history="1">
            <w:r w:rsidR="00210A19" w:rsidRPr="00F837E1">
              <w:rPr>
                <w:rStyle w:val="Hyperlink"/>
                <w:noProof/>
              </w:rPr>
              <w:t>Contents</w:t>
            </w:r>
            <w:r w:rsidR="00210A19">
              <w:rPr>
                <w:noProof/>
                <w:webHidden/>
              </w:rPr>
              <w:tab/>
            </w:r>
            <w:r w:rsidR="00210A19">
              <w:rPr>
                <w:noProof/>
                <w:webHidden/>
              </w:rPr>
              <w:fldChar w:fldCharType="begin"/>
            </w:r>
            <w:r w:rsidR="00210A19">
              <w:rPr>
                <w:noProof/>
                <w:webHidden/>
              </w:rPr>
              <w:instrText xml:space="preserve"> PAGEREF _Toc404182374 \h </w:instrText>
            </w:r>
            <w:r w:rsidR="00210A19">
              <w:rPr>
                <w:noProof/>
                <w:webHidden/>
              </w:rPr>
            </w:r>
            <w:r w:rsidR="00210A19">
              <w:rPr>
                <w:noProof/>
                <w:webHidden/>
              </w:rPr>
              <w:fldChar w:fldCharType="separate"/>
            </w:r>
            <w:r w:rsidR="00D956EC">
              <w:rPr>
                <w:noProof/>
                <w:webHidden/>
              </w:rPr>
              <w:t>9-4</w:t>
            </w:r>
            <w:r w:rsidR="00210A19">
              <w:rPr>
                <w:noProof/>
                <w:webHidden/>
              </w:rPr>
              <w:fldChar w:fldCharType="end"/>
            </w:r>
          </w:hyperlink>
        </w:p>
        <w:p w:rsidR="00210A19" w:rsidRDefault="00BB50E1">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82375" w:history="1">
            <w:r w:rsidR="00210A19" w:rsidRPr="00F837E1">
              <w:rPr>
                <w:rStyle w:val="Hyperlink"/>
                <w:noProof/>
              </w:rPr>
              <w:t>Shortened forms</w:t>
            </w:r>
            <w:r w:rsidR="00210A19">
              <w:rPr>
                <w:noProof/>
                <w:webHidden/>
              </w:rPr>
              <w:tab/>
            </w:r>
            <w:r w:rsidR="00210A19">
              <w:rPr>
                <w:noProof/>
                <w:webHidden/>
              </w:rPr>
              <w:fldChar w:fldCharType="begin"/>
            </w:r>
            <w:r w:rsidR="00210A19">
              <w:rPr>
                <w:noProof/>
                <w:webHidden/>
              </w:rPr>
              <w:instrText xml:space="preserve"> PAGEREF _Toc404182375 \h </w:instrText>
            </w:r>
            <w:r w:rsidR="00210A19">
              <w:rPr>
                <w:noProof/>
                <w:webHidden/>
              </w:rPr>
            </w:r>
            <w:r w:rsidR="00210A19">
              <w:rPr>
                <w:noProof/>
                <w:webHidden/>
              </w:rPr>
              <w:fldChar w:fldCharType="separate"/>
            </w:r>
            <w:r w:rsidR="00D956EC">
              <w:rPr>
                <w:noProof/>
                <w:webHidden/>
              </w:rPr>
              <w:t>9-5</w:t>
            </w:r>
            <w:r w:rsidR="00210A19">
              <w:rPr>
                <w:noProof/>
                <w:webHidden/>
              </w:rPr>
              <w:fldChar w:fldCharType="end"/>
            </w:r>
          </w:hyperlink>
        </w:p>
        <w:p w:rsidR="00210A19" w:rsidRDefault="00BB50E1">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82376" w:history="1">
            <w:r w:rsidR="00210A19" w:rsidRPr="00F837E1">
              <w:rPr>
                <w:rStyle w:val="Hyperlink"/>
                <w:noProof/>
              </w:rPr>
              <w:t>9</w:t>
            </w:r>
            <w:r w:rsidR="00210A19">
              <w:rPr>
                <w:rFonts w:asciiTheme="minorHAnsi" w:eastAsiaTheme="minorEastAsia" w:hAnsiTheme="minorHAnsi" w:cstheme="minorBidi"/>
                <w:b w:val="0"/>
                <w:bCs w:val="0"/>
                <w:noProof/>
                <w:sz w:val="22"/>
                <w:szCs w:val="22"/>
                <w:lang w:eastAsia="en-AU"/>
              </w:rPr>
              <w:tab/>
            </w:r>
            <w:r w:rsidR="00210A19" w:rsidRPr="00F837E1">
              <w:rPr>
                <w:rStyle w:val="Hyperlink"/>
                <w:noProof/>
              </w:rPr>
              <w:t>Efficiency benefit sharing scheme</w:t>
            </w:r>
            <w:r w:rsidR="00210A19">
              <w:rPr>
                <w:noProof/>
                <w:webHidden/>
              </w:rPr>
              <w:tab/>
            </w:r>
            <w:r w:rsidR="00210A19">
              <w:rPr>
                <w:noProof/>
                <w:webHidden/>
              </w:rPr>
              <w:fldChar w:fldCharType="begin"/>
            </w:r>
            <w:r w:rsidR="00210A19">
              <w:rPr>
                <w:noProof/>
                <w:webHidden/>
              </w:rPr>
              <w:instrText xml:space="preserve"> PAGEREF _Toc404182376 \h </w:instrText>
            </w:r>
            <w:r w:rsidR="00210A19">
              <w:rPr>
                <w:noProof/>
                <w:webHidden/>
              </w:rPr>
            </w:r>
            <w:r w:rsidR="00210A19">
              <w:rPr>
                <w:noProof/>
                <w:webHidden/>
              </w:rPr>
              <w:fldChar w:fldCharType="separate"/>
            </w:r>
            <w:r w:rsidR="00D956EC">
              <w:rPr>
                <w:noProof/>
                <w:webHidden/>
              </w:rPr>
              <w:t>9-7</w:t>
            </w:r>
            <w:r w:rsidR="00210A19">
              <w:rPr>
                <w:noProof/>
                <w:webHidden/>
              </w:rPr>
              <w:fldChar w:fldCharType="end"/>
            </w:r>
          </w:hyperlink>
        </w:p>
        <w:p w:rsidR="00210A19" w:rsidRDefault="00BB50E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2377" w:history="1">
            <w:r w:rsidR="00210A19" w:rsidRPr="00F837E1">
              <w:rPr>
                <w:rStyle w:val="Hyperlink"/>
                <w:noProof/>
              </w:rPr>
              <w:t>9.1</w:t>
            </w:r>
            <w:r w:rsidR="00210A19">
              <w:rPr>
                <w:rFonts w:asciiTheme="minorHAnsi" w:eastAsiaTheme="minorEastAsia" w:hAnsiTheme="minorHAnsi" w:cstheme="minorBidi"/>
                <w:iCs w:val="0"/>
                <w:noProof/>
                <w:sz w:val="22"/>
                <w:szCs w:val="22"/>
                <w:lang w:eastAsia="en-AU"/>
              </w:rPr>
              <w:tab/>
            </w:r>
            <w:r w:rsidR="00210A19" w:rsidRPr="00F837E1">
              <w:rPr>
                <w:rStyle w:val="Hyperlink"/>
                <w:noProof/>
              </w:rPr>
              <w:t>Draft decision</w:t>
            </w:r>
            <w:r w:rsidR="00210A19">
              <w:rPr>
                <w:noProof/>
                <w:webHidden/>
              </w:rPr>
              <w:tab/>
            </w:r>
            <w:r w:rsidR="00210A19">
              <w:rPr>
                <w:noProof/>
                <w:webHidden/>
              </w:rPr>
              <w:fldChar w:fldCharType="begin"/>
            </w:r>
            <w:r w:rsidR="00210A19">
              <w:rPr>
                <w:noProof/>
                <w:webHidden/>
              </w:rPr>
              <w:instrText xml:space="preserve"> PAGEREF _Toc404182377 \h </w:instrText>
            </w:r>
            <w:r w:rsidR="00210A19">
              <w:rPr>
                <w:noProof/>
                <w:webHidden/>
              </w:rPr>
            </w:r>
            <w:r w:rsidR="00210A19">
              <w:rPr>
                <w:noProof/>
                <w:webHidden/>
              </w:rPr>
              <w:fldChar w:fldCharType="separate"/>
            </w:r>
            <w:r w:rsidR="00D956EC">
              <w:rPr>
                <w:noProof/>
                <w:webHidden/>
              </w:rPr>
              <w:t>9-7</w:t>
            </w:r>
            <w:r w:rsidR="00210A19">
              <w:rPr>
                <w:noProof/>
                <w:webHidden/>
              </w:rPr>
              <w:fldChar w:fldCharType="end"/>
            </w:r>
          </w:hyperlink>
        </w:p>
        <w:p w:rsidR="00210A19" w:rsidRDefault="00BB50E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2378" w:history="1">
            <w:r w:rsidR="00210A19" w:rsidRPr="00F837E1">
              <w:rPr>
                <w:rStyle w:val="Hyperlink"/>
                <w:noProof/>
              </w:rPr>
              <w:t>9.2</w:t>
            </w:r>
            <w:r w:rsidR="00210A19">
              <w:rPr>
                <w:rFonts w:asciiTheme="minorHAnsi" w:eastAsiaTheme="minorEastAsia" w:hAnsiTheme="minorHAnsi" w:cstheme="minorBidi"/>
                <w:iCs w:val="0"/>
                <w:noProof/>
                <w:sz w:val="22"/>
                <w:szCs w:val="22"/>
                <w:lang w:eastAsia="en-AU"/>
              </w:rPr>
              <w:tab/>
            </w:r>
            <w:r w:rsidR="00210A19" w:rsidRPr="00F837E1">
              <w:rPr>
                <w:rStyle w:val="Hyperlink"/>
                <w:noProof/>
              </w:rPr>
              <w:t>Proposal</w:t>
            </w:r>
            <w:r w:rsidR="00210A19">
              <w:rPr>
                <w:noProof/>
                <w:webHidden/>
              </w:rPr>
              <w:tab/>
            </w:r>
            <w:r w:rsidR="00210A19">
              <w:rPr>
                <w:noProof/>
                <w:webHidden/>
              </w:rPr>
              <w:fldChar w:fldCharType="begin"/>
            </w:r>
            <w:r w:rsidR="00210A19">
              <w:rPr>
                <w:noProof/>
                <w:webHidden/>
              </w:rPr>
              <w:instrText xml:space="preserve"> PAGEREF _Toc404182378 \h </w:instrText>
            </w:r>
            <w:r w:rsidR="00210A19">
              <w:rPr>
                <w:noProof/>
                <w:webHidden/>
              </w:rPr>
            </w:r>
            <w:r w:rsidR="00210A19">
              <w:rPr>
                <w:noProof/>
                <w:webHidden/>
              </w:rPr>
              <w:fldChar w:fldCharType="separate"/>
            </w:r>
            <w:r w:rsidR="00D956EC">
              <w:rPr>
                <w:noProof/>
                <w:webHidden/>
              </w:rPr>
              <w:t>9-7</w:t>
            </w:r>
            <w:r w:rsidR="00210A19">
              <w:rPr>
                <w:noProof/>
                <w:webHidden/>
              </w:rPr>
              <w:fldChar w:fldCharType="end"/>
            </w:r>
          </w:hyperlink>
        </w:p>
        <w:p w:rsidR="00210A19" w:rsidRDefault="00BB50E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2379" w:history="1">
            <w:r w:rsidR="00210A19" w:rsidRPr="00F837E1">
              <w:rPr>
                <w:rStyle w:val="Hyperlink"/>
                <w:noProof/>
              </w:rPr>
              <w:t>9.3</w:t>
            </w:r>
            <w:r w:rsidR="00210A19">
              <w:rPr>
                <w:rFonts w:asciiTheme="minorHAnsi" w:eastAsiaTheme="minorEastAsia" w:hAnsiTheme="minorHAnsi" w:cstheme="minorBidi"/>
                <w:iCs w:val="0"/>
                <w:noProof/>
                <w:sz w:val="22"/>
                <w:szCs w:val="22"/>
                <w:lang w:eastAsia="en-AU"/>
              </w:rPr>
              <w:tab/>
            </w:r>
            <w:r w:rsidR="00210A19" w:rsidRPr="00F837E1">
              <w:rPr>
                <w:rStyle w:val="Hyperlink"/>
                <w:noProof/>
              </w:rPr>
              <w:t>Assessment approach</w:t>
            </w:r>
            <w:r w:rsidR="00210A19">
              <w:rPr>
                <w:noProof/>
                <w:webHidden/>
              </w:rPr>
              <w:tab/>
            </w:r>
            <w:r w:rsidR="00210A19">
              <w:rPr>
                <w:noProof/>
                <w:webHidden/>
              </w:rPr>
              <w:fldChar w:fldCharType="begin"/>
            </w:r>
            <w:r w:rsidR="00210A19">
              <w:rPr>
                <w:noProof/>
                <w:webHidden/>
              </w:rPr>
              <w:instrText xml:space="preserve"> PAGEREF _Toc404182379 \h </w:instrText>
            </w:r>
            <w:r w:rsidR="00210A19">
              <w:rPr>
                <w:noProof/>
                <w:webHidden/>
              </w:rPr>
            </w:r>
            <w:r w:rsidR="00210A19">
              <w:rPr>
                <w:noProof/>
                <w:webHidden/>
              </w:rPr>
              <w:fldChar w:fldCharType="separate"/>
            </w:r>
            <w:r w:rsidR="00D956EC">
              <w:rPr>
                <w:noProof/>
                <w:webHidden/>
              </w:rPr>
              <w:t>9-8</w:t>
            </w:r>
            <w:r w:rsidR="00210A19">
              <w:rPr>
                <w:noProof/>
                <w:webHidden/>
              </w:rPr>
              <w:fldChar w:fldCharType="end"/>
            </w:r>
          </w:hyperlink>
        </w:p>
        <w:p w:rsidR="00210A19" w:rsidRDefault="00BB50E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2380" w:history="1">
            <w:r w:rsidR="00210A19" w:rsidRPr="00F837E1">
              <w:rPr>
                <w:rStyle w:val="Hyperlink"/>
                <w:noProof/>
              </w:rPr>
              <w:t>9.4</w:t>
            </w:r>
            <w:r w:rsidR="00210A19">
              <w:rPr>
                <w:rFonts w:asciiTheme="minorHAnsi" w:eastAsiaTheme="minorEastAsia" w:hAnsiTheme="minorHAnsi" w:cstheme="minorBidi"/>
                <w:iCs w:val="0"/>
                <w:noProof/>
                <w:sz w:val="22"/>
                <w:szCs w:val="22"/>
                <w:lang w:eastAsia="en-AU"/>
              </w:rPr>
              <w:tab/>
            </w:r>
            <w:r w:rsidR="00210A19" w:rsidRPr="00F837E1">
              <w:rPr>
                <w:rStyle w:val="Hyperlink"/>
                <w:noProof/>
              </w:rPr>
              <w:t>Reasons for draft decision</w:t>
            </w:r>
            <w:r w:rsidR="00210A19">
              <w:rPr>
                <w:noProof/>
                <w:webHidden/>
              </w:rPr>
              <w:tab/>
            </w:r>
            <w:r w:rsidR="00210A19">
              <w:rPr>
                <w:noProof/>
                <w:webHidden/>
              </w:rPr>
              <w:fldChar w:fldCharType="begin"/>
            </w:r>
            <w:r w:rsidR="00210A19">
              <w:rPr>
                <w:noProof/>
                <w:webHidden/>
              </w:rPr>
              <w:instrText xml:space="preserve"> PAGEREF _Toc404182380 \h </w:instrText>
            </w:r>
            <w:r w:rsidR="00210A19">
              <w:rPr>
                <w:noProof/>
                <w:webHidden/>
              </w:rPr>
            </w:r>
            <w:r w:rsidR="00210A19">
              <w:rPr>
                <w:noProof/>
                <w:webHidden/>
              </w:rPr>
              <w:fldChar w:fldCharType="separate"/>
            </w:r>
            <w:r w:rsidR="00D956EC">
              <w:rPr>
                <w:noProof/>
                <w:webHidden/>
              </w:rPr>
              <w:t>9-8</w:t>
            </w:r>
            <w:r w:rsidR="00210A19">
              <w:rPr>
                <w:noProof/>
                <w:webHidden/>
              </w:rPr>
              <w:fldChar w:fldCharType="end"/>
            </w:r>
          </w:hyperlink>
        </w:p>
        <w:p w:rsidR="00353F92" w:rsidRPr="00F0258A" w:rsidRDefault="00353F92" w:rsidP="00353F92">
          <w:r w:rsidRPr="00F0258A">
            <w:fldChar w:fldCharType="end"/>
          </w:r>
        </w:p>
      </w:sdtContent>
    </w:sdt>
    <w:p w:rsidR="00353F92" w:rsidRDefault="00353F92" w:rsidP="00353F92">
      <w:pPr>
        <w:pStyle w:val="UnnumberedHeading"/>
        <w:numPr>
          <w:ilvl w:val="0"/>
          <w:numId w:val="2"/>
        </w:numPr>
      </w:pPr>
      <w:bookmarkStart w:id="5" w:name="_Toc404182375"/>
      <w:r>
        <w:lastRenderedPageBreak/>
        <w:t>Shortened forms</w:t>
      </w:r>
      <w:bookmarkEnd w:id="5"/>
    </w:p>
    <w:tbl>
      <w:tblPr>
        <w:tblStyle w:val="AERtable-numbers"/>
        <w:tblW w:w="0" w:type="auto"/>
        <w:tblLook w:val="04A0" w:firstRow="1" w:lastRow="0" w:firstColumn="1" w:lastColumn="0" w:noHBand="0" w:noVBand="1"/>
      </w:tblPr>
      <w:tblGrid>
        <w:gridCol w:w="4621"/>
        <w:gridCol w:w="4621"/>
      </w:tblGrid>
      <w:tr w:rsidR="00353F92" w:rsidRPr="00307E24" w:rsidTr="001D4E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Shortened form</w:t>
            </w:r>
          </w:p>
        </w:tc>
        <w:tc>
          <w:tcPr>
            <w:tcW w:w="4621" w:type="dxa"/>
          </w:tcPr>
          <w:p w:rsidR="00353F92" w:rsidRPr="00307E24" w:rsidRDefault="00353F92" w:rsidP="00353F92">
            <w:pPr>
              <w:numPr>
                <w:ilvl w:val="0"/>
                <w:numId w:val="13"/>
              </w:numPr>
              <w:cnfStyle w:val="100000000000" w:firstRow="1" w:lastRow="0" w:firstColumn="0" w:lastColumn="0" w:oddVBand="0" w:evenVBand="0" w:oddHBand="0" w:evenHBand="0" w:firstRowFirstColumn="0" w:firstRowLastColumn="0" w:lastRowFirstColumn="0" w:lastRowLastColumn="0"/>
            </w:pPr>
            <w:r w:rsidRPr="00307E24">
              <w:t>Extended form</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AARR</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AEMC</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AEMO</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AER</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ASRR</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aggregate service revenue requirement</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augex</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capex</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CCP</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CESS</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CPI</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DRP</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debt risk premium</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EBSS</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ERP</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MAR</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MRP</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NEL</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NEM</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NEO</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NER</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NSP</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NTSC</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lastRenderedPageBreak/>
              <w:t>opex</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PPI</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PTRM</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RAB</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RBA</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repex</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RFM</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RIN</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RPP</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revenue pricing principles</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SLCAPM</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STPIS</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TNSP</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353F9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TUoS</w:t>
            </w:r>
          </w:p>
        </w:tc>
        <w:tc>
          <w:tcPr>
            <w:tcW w:w="4621" w:type="dxa"/>
          </w:tcPr>
          <w:p w:rsidR="00353F92" w:rsidRPr="00307E24" w:rsidRDefault="00353F92" w:rsidP="00353F92">
            <w:pPr>
              <w:numPr>
                <w:ilvl w:val="0"/>
                <w:numId w:val="13"/>
              </w:numPr>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353F9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53F92" w:rsidRPr="00307E24" w:rsidRDefault="00353F92" w:rsidP="00353F92">
            <w:pPr>
              <w:numPr>
                <w:ilvl w:val="0"/>
                <w:numId w:val="13"/>
              </w:numPr>
            </w:pPr>
            <w:r w:rsidRPr="00307E24">
              <w:t>WACC</w:t>
            </w:r>
          </w:p>
        </w:tc>
        <w:tc>
          <w:tcPr>
            <w:tcW w:w="4621" w:type="dxa"/>
          </w:tcPr>
          <w:p w:rsidR="00353F92" w:rsidRPr="00307E24" w:rsidRDefault="00353F92" w:rsidP="00353F92">
            <w:pPr>
              <w:numPr>
                <w:ilvl w:val="0"/>
                <w:numId w:val="13"/>
              </w:numPr>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353F92" w:rsidRDefault="00353F92" w:rsidP="00353F92">
      <w:pPr>
        <w:pStyle w:val="AERbodytext"/>
      </w:pPr>
    </w:p>
    <w:p w:rsidR="00353F92" w:rsidRDefault="00353F92">
      <w:pPr>
        <w:spacing w:after="0" w:line="240" w:lineRule="auto"/>
        <w:jc w:val="left"/>
      </w:pPr>
    </w:p>
    <w:p w:rsidR="00353F92" w:rsidRDefault="00353F92">
      <w:pPr>
        <w:spacing w:after="0" w:line="240" w:lineRule="auto"/>
        <w:jc w:val="left"/>
        <w:rPr>
          <w:rFonts w:eastAsia="Times New Roman"/>
          <w:b/>
          <w:bCs/>
          <w:color w:val="E36C0A"/>
          <w:sz w:val="36"/>
          <w:szCs w:val="28"/>
        </w:rPr>
      </w:pPr>
      <w:r>
        <w:br w:type="page"/>
      </w:r>
    </w:p>
    <w:p w:rsidR="00B64598" w:rsidRDefault="00B64598" w:rsidP="00353F92">
      <w:pPr>
        <w:pStyle w:val="Heading1"/>
      </w:pPr>
      <w:bookmarkStart w:id="6" w:name="_Toc404182376"/>
      <w:r w:rsidRPr="00B64598">
        <w:lastRenderedPageBreak/>
        <w:t>Efficiency benefit sharing scheme</w:t>
      </w:r>
      <w:bookmarkEnd w:id="6"/>
    </w:p>
    <w:p w:rsidR="00D17F19" w:rsidRDefault="00D17F19" w:rsidP="00D17F19">
      <w:pPr>
        <w:pStyle w:val="AERbodytext"/>
      </w:pPr>
      <w:r w:rsidRPr="0095175F">
        <w:t xml:space="preserve">The efficiency benefit sharing scheme (EBSS) is a key component of incentive regulation employed under the </w:t>
      </w:r>
      <w:r>
        <w:t>NER</w:t>
      </w:r>
      <w:r w:rsidRPr="0095175F">
        <w:t xml:space="preserve">. Because opex is largely recurrent and predictable, opex in one period is generally a good indicator of opex in the next period. </w:t>
      </w:r>
      <w:r>
        <w:t>Where a service provider</w:t>
      </w:r>
      <w:r w:rsidR="00CC6E9F">
        <w:t xml:space="preserve"> </w:t>
      </w:r>
      <w:r>
        <w:t>is relatively efficient, w</w:t>
      </w:r>
      <w:r w:rsidRPr="0095175F">
        <w:t xml:space="preserve">e </w:t>
      </w:r>
      <w:r>
        <w:t>use the</w:t>
      </w:r>
      <w:r w:rsidRPr="0095175F">
        <w:t xml:space="preserve"> actual opex </w:t>
      </w:r>
      <w:r>
        <w:t xml:space="preserve">it </w:t>
      </w:r>
      <w:r w:rsidRPr="0095175F">
        <w:t xml:space="preserve">incurred in a chosen base year of the regulatory control period to forecast opex for the next regulatory control period. </w:t>
      </w:r>
    </w:p>
    <w:p w:rsidR="00D17F19" w:rsidRDefault="00D17F19" w:rsidP="00D17F19">
      <w:pPr>
        <w:pStyle w:val="AERbodytext"/>
      </w:pPr>
      <w:r w:rsidRPr="0095175F">
        <w:t xml:space="preserve">To encourage </w:t>
      </w:r>
      <w:r>
        <w:t xml:space="preserve">a </w:t>
      </w:r>
      <w:r w:rsidR="000E6B5F">
        <w:t>service provider</w:t>
      </w:r>
      <w:r w:rsidR="000E6B5F" w:rsidRPr="0095175F">
        <w:t xml:space="preserve"> </w:t>
      </w:r>
      <w:r w:rsidRPr="0095175F">
        <w:t xml:space="preserve">to become more efficient </w:t>
      </w:r>
      <w:r w:rsidR="0018385B">
        <w:t xml:space="preserve">it is allowed to keep any </w:t>
      </w:r>
      <w:r w:rsidR="0059290B">
        <w:t xml:space="preserve">difference between its approved forecast and its actual opex during </w:t>
      </w:r>
      <w:r w:rsidR="0018385B">
        <w:t>a regulatory control period</w:t>
      </w:r>
      <w:r w:rsidRPr="0095175F">
        <w:t xml:space="preserve">. </w:t>
      </w:r>
      <w:r w:rsidR="00BD3C88">
        <w:t xml:space="preserve">This is supplemented by the </w:t>
      </w:r>
      <w:r w:rsidRPr="0095175F">
        <w:t>EBSS</w:t>
      </w:r>
      <w:r w:rsidR="0018385B">
        <w:t xml:space="preserve"> which provides the </w:t>
      </w:r>
      <w:r w:rsidR="000E6B5F">
        <w:t xml:space="preserve">service provider </w:t>
      </w:r>
      <w:r w:rsidR="0018385B">
        <w:t>with an additional reward for</w:t>
      </w:r>
      <w:r w:rsidR="00E636A5">
        <w:t xml:space="preserve"> any</w:t>
      </w:r>
      <w:r w:rsidR="0018385B">
        <w:t xml:space="preserve"> </w:t>
      </w:r>
      <w:r w:rsidR="00191C76">
        <w:t>incremental efficiency gains</w:t>
      </w:r>
      <w:r w:rsidR="0018385B">
        <w:t xml:space="preserve"> it makes</w:t>
      </w:r>
      <w:r w:rsidR="00191C76">
        <w:t xml:space="preserve"> or imposes a penalty for any incremental efficiency losses incurred</w:t>
      </w:r>
      <w:r w:rsidR="000E3BA9">
        <w:t>.</w:t>
      </w:r>
      <w:r w:rsidR="0018385B">
        <w:t xml:space="preserve"> In total</w:t>
      </w:r>
      <w:r w:rsidR="000E3BA9">
        <w:t>,</w:t>
      </w:r>
      <w:r w:rsidR="0018385B">
        <w:t xml:space="preserve"> these rewards work together to </w:t>
      </w:r>
      <w:r w:rsidRPr="00A86CDD">
        <w:t xml:space="preserve">provide a constant incentive </w:t>
      </w:r>
      <w:r>
        <w:t xml:space="preserve">for </w:t>
      </w:r>
      <w:r w:rsidR="0018385B">
        <w:t xml:space="preserve">a </w:t>
      </w:r>
      <w:r w:rsidR="000E6B5F">
        <w:t xml:space="preserve">service provider </w:t>
      </w:r>
      <w:r w:rsidR="0018385B">
        <w:t>to</w:t>
      </w:r>
      <w:r w:rsidRPr="00A86CDD">
        <w:t xml:space="preserve"> pursue efficiency gains over </w:t>
      </w:r>
      <w:r>
        <w:t>the</w:t>
      </w:r>
      <w:r w:rsidRPr="00A86CDD">
        <w:t xml:space="preserve"> regulatory control period.</w:t>
      </w:r>
      <w:r w:rsidRPr="0028525B">
        <w:t xml:space="preserve"> </w:t>
      </w:r>
      <w:r>
        <w:t xml:space="preserve">The EBSS also discourages a </w:t>
      </w:r>
      <w:r w:rsidR="000E6B5F">
        <w:t xml:space="preserve">service provider </w:t>
      </w:r>
      <w:r>
        <w:t xml:space="preserve">from </w:t>
      </w:r>
      <w:r w:rsidR="0059290B">
        <w:t xml:space="preserve">incurring opex </w:t>
      </w:r>
      <w:r>
        <w:t xml:space="preserve">in the expected base year in order to receive a higher opex allowance in the following regulatory control period. </w:t>
      </w:r>
    </w:p>
    <w:p w:rsidR="00135689" w:rsidRDefault="00D17F19" w:rsidP="00D17F19">
      <w:pPr>
        <w:pStyle w:val="AERbodytext"/>
      </w:pPr>
      <w:r>
        <w:t xml:space="preserve">When a </w:t>
      </w:r>
      <w:r w:rsidR="000E6B5F">
        <w:t xml:space="preserve">service provider </w:t>
      </w:r>
      <w:r>
        <w:t xml:space="preserve">is rewarded for </w:t>
      </w:r>
      <w:r w:rsidR="00382CAD">
        <w:t>making efficiency gains</w:t>
      </w:r>
      <w:r>
        <w:t>, c</w:t>
      </w:r>
      <w:r w:rsidRPr="0095175F">
        <w:t>onsumers benefit through lower prices in the next regulatory control period</w:t>
      </w:r>
      <w:r>
        <w:t>. This is because</w:t>
      </w:r>
      <w:r w:rsidRPr="0095175F">
        <w:t xml:space="preserve"> forecast opex in the next regulatory control period will reflect the </w:t>
      </w:r>
      <w:r w:rsidR="000E6B5F">
        <w:t>service provider</w:t>
      </w:r>
      <w:r w:rsidR="000E6B5F" w:rsidRPr="0095175F">
        <w:t xml:space="preserve">'s </w:t>
      </w:r>
      <w:r w:rsidRPr="0095175F">
        <w:t>lower level of opex in the current regulatory control period</w:t>
      </w:r>
      <w:r w:rsidR="000E3BA9">
        <w:t>.</w:t>
      </w:r>
      <w:r>
        <w:t xml:space="preserve"> </w:t>
      </w:r>
      <w:r w:rsidR="000E3BA9">
        <w:t>A</w:t>
      </w:r>
      <w:r>
        <w:t>s a result,</w:t>
      </w:r>
      <w:r w:rsidRPr="0095175F">
        <w:t xml:space="preserve"> reg</w:t>
      </w:r>
      <w:r>
        <w:t>ulated prices will be lower.</w:t>
      </w:r>
      <w:r w:rsidR="00294042">
        <w:rPr>
          <w:rStyle w:val="FootnoteReference"/>
        </w:rPr>
        <w:footnoteReference w:id="1"/>
      </w:r>
      <w:r w:rsidR="0096505E">
        <w:t xml:space="preserve"> </w:t>
      </w:r>
    </w:p>
    <w:p w:rsidR="008A2582" w:rsidRDefault="00801375" w:rsidP="008A2582">
      <w:pPr>
        <w:pStyle w:val="AERbodytext"/>
      </w:pPr>
      <w:r>
        <w:t>An EBSS did not apply to Directlink d</w:t>
      </w:r>
      <w:r w:rsidR="008E0133">
        <w:t xml:space="preserve">uring the </w:t>
      </w:r>
      <w:r w:rsidR="000E3BA9">
        <w:t>2006</w:t>
      </w:r>
      <w:r>
        <w:t>–15</w:t>
      </w:r>
      <w:r w:rsidR="003F5EF6" w:rsidRPr="00135689">
        <w:t xml:space="preserve"> regulatory control period</w:t>
      </w:r>
      <w:r w:rsidR="003F5EF6">
        <w:t xml:space="preserve">. </w:t>
      </w:r>
      <w:r w:rsidR="000E6B5F">
        <w:t>Under t</w:t>
      </w:r>
      <w:r w:rsidR="00160A31" w:rsidRPr="002D16B9">
        <w:t xml:space="preserve">he </w:t>
      </w:r>
      <w:r w:rsidR="00C61BC9">
        <w:t>NER</w:t>
      </w:r>
      <w:r w:rsidR="00160A31">
        <w:t xml:space="preserve"> </w:t>
      </w:r>
      <w:r w:rsidR="000E6B5F">
        <w:t xml:space="preserve">we must </w:t>
      </w:r>
      <w:r w:rsidR="00160A31">
        <w:t xml:space="preserve">decide if and </w:t>
      </w:r>
      <w:r w:rsidR="00160A31" w:rsidRPr="002D16B9">
        <w:t>how the EBSS will a</w:t>
      </w:r>
      <w:r w:rsidR="00C61BC9">
        <w:t xml:space="preserve">pply to Directlink in the </w:t>
      </w:r>
      <w:r w:rsidR="00160A31">
        <w:t>2015–20</w:t>
      </w:r>
      <w:r w:rsidR="00160A31" w:rsidRPr="002D16B9">
        <w:t xml:space="preserve"> regulatory control period.</w:t>
      </w:r>
      <w:r w:rsidR="00160A31">
        <w:rPr>
          <w:rStyle w:val="FootnoteReference"/>
        </w:rPr>
        <w:footnoteReference w:id="2"/>
      </w:r>
    </w:p>
    <w:p w:rsidR="00B64598" w:rsidRDefault="00B64598" w:rsidP="00B64598">
      <w:pPr>
        <w:pStyle w:val="Heading2"/>
      </w:pPr>
      <w:bookmarkStart w:id="7" w:name="_Toc404182377"/>
      <w:r w:rsidRPr="00B64598">
        <w:t>Draft decision</w:t>
      </w:r>
      <w:bookmarkEnd w:id="7"/>
    </w:p>
    <w:p w:rsidR="00E636A5" w:rsidRPr="00FB7ED6" w:rsidRDefault="00631B8A" w:rsidP="00D6276C">
      <w:pPr>
        <w:pStyle w:val="AERbodytext"/>
      </w:pPr>
      <w:bookmarkStart w:id="8" w:name="_Ref387739438"/>
      <w:r>
        <w:t>We will apply version two of the EBSS</w:t>
      </w:r>
      <w:r w:rsidR="005E3044">
        <w:t xml:space="preserve"> </w:t>
      </w:r>
      <w:r>
        <w:t>to Directlink during the 2015–20 regulatory control period.</w:t>
      </w:r>
      <w:r>
        <w:rPr>
          <w:rStyle w:val="FootnoteReference"/>
        </w:rPr>
        <w:footnoteReference w:id="3"/>
      </w:r>
      <w:r w:rsidR="008A2582">
        <w:t xml:space="preserve"> </w:t>
      </w:r>
      <w:r w:rsidR="0018385B">
        <w:t xml:space="preserve">In applying </w:t>
      </w:r>
      <w:r w:rsidR="00707A05" w:rsidRPr="00BD4587">
        <w:t xml:space="preserve">the EBSS to </w:t>
      </w:r>
      <w:r w:rsidR="00801375">
        <w:t>Directlink in the 2015–20</w:t>
      </w:r>
      <w:r w:rsidR="00707A05" w:rsidRPr="00BD4587">
        <w:t xml:space="preserve"> regulatory control period we will exclude </w:t>
      </w:r>
      <w:r w:rsidR="00E636A5" w:rsidRPr="00FB7ED6">
        <w:t>debt raising costs</w:t>
      </w:r>
      <w:r w:rsidR="00E636A5">
        <w:t>.</w:t>
      </w:r>
    </w:p>
    <w:p w:rsidR="0096505E" w:rsidRDefault="009B2905" w:rsidP="000B3844">
      <w:pPr>
        <w:pStyle w:val="AERbodytext"/>
      </w:pPr>
      <w:r>
        <w:fldChar w:fldCharType="begin"/>
      </w:r>
      <w:r>
        <w:instrText xml:space="preserve"> REF _Ref396126766 \h </w:instrText>
      </w:r>
      <w:r>
        <w:fldChar w:fldCharType="separate"/>
      </w:r>
      <w:r w:rsidR="00353F92">
        <w:t>Table 9.</w:t>
      </w:r>
      <w:r w:rsidR="00353F92">
        <w:rPr>
          <w:noProof/>
        </w:rPr>
        <w:t>1</w:t>
      </w:r>
      <w:r>
        <w:fldChar w:fldCharType="end"/>
      </w:r>
      <w:r>
        <w:t xml:space="preserve"> </w:t>
      </w:r>
      <w:r w:rsidR="00707A05">
        <w:t>illustrates</w:t>
      </w:r>
      <w:r w:rsidR="00707A05" w:rsidRPr="00BD4587">
        <w:t xml:space="preserve"> the total opex forecasts we </w:t>
      </w:r>
      <w:r w:rsidR="00707A05">
        <w:t>expect</w:t>
      </w:r>
      <w:r w:rsidR="000E3BA9">
        <w:t xml:space="preserve"> we</w:t>
      </w:r>
      <w:r w:rsidR="00707A05">
        <w:t xml:space="preserve"> </w:t>
      </w:r>
      <w:r w:rsidR="00707A05" w:rsidRPr="00BD4587">
        <w:t xml:space="preserve">will use to calculate efficiency </w:t>
      </w:r>
      <w:r w:rsidR="00801375">
        <w:t>gains and losses for the 2015–20</w:t>
      </w:r>
      <w:r w:rsidR="00707A05" w:rsidRPr="00BD4587">
        <w:t xml:space="preserve"> regulatory control period</w:t>
      </w:r>
      <w:r w:rsidR="00707A05">
        <w:t xml:space="preserve">. </w:t>
      </w:r>
    </w:p>
    <w:p w:rsidR="003F5EF6" w:rsidRPr="003F5EF6" w:rsidRDefault="009B2905" w:rsidP="009B2905">
      <w:pPr>
        <w:pStyle w:val="Caption"/>
      </w:pPr>
      <w:bookmarkStart w:id="9" w:name="_Ref396126766"/>
      <w:r>
        <w:t xml:space="preserve">Table </w:t>
      </w:r>
      <w:r w:rsidR="00353F92">
        <w:t>9</w:t>
      </w:r>
      <w:r>
        <w:t>.</w:t>
      </w:r>
      <w:fldSimple w:instr=" SEQ Table \* ARABIC \s 1 ">
        <w:r w:rsidR="00DE77E3">
          <w:rPr>
            <w:noProof/>
          </w:rPr>
          <w:t>1</w:t>
        </w:r>
      </w:fldSimple>
      <w:bookmarkEnd w:id="9"/>
      <w:r>
        <w:tab/>
        <w:t>Draft decision on Directlink's forecast opex for the EBSS ($ million, 2014–15)</w:t>
      </w:r>
    </w:p>
    <w:tbl>
      <w:tblPr>
        <w:tblStyle w:val="AERtable-numbers"/>
        <w:tblW w:w="5000" w:type="pct"/>
        <w:tblLook w:val="04A0" w:firstRow="1" w:lastRow="0" w:firstColumn="1" w:lastColumn="0" w:noHBand="0" w:noVBand="1"/>
      </w:tblPr>
      <w:tblGrid>
        <w:gridCol w:w="2762"/>
        <w:gridCol w:w="1296"/>
        <w:gridCol w:w="1296"/>
        <w:gridCol w:w="1296"/>
        <w:gridCol w:w="1296"/>
        <w:gridCol w:w="1296"/>
      </w:tblGrid>
      <w:tr w:rsidR="00801375" w:rsidTr="00801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rsidR="00801375" w:rsidRDefault="00801375" w:rsidP="003F5EF6">
            <w:pPr>
              <w:pStyle w:val="AERtabletextleft"/>
            </w:pPr>
          </w:p>
        </w:tc>
        <w:tc>
          <w:tcPr>
            <w:tcW w:w="701" w:type="pct"/>
          </w:tcPr>
          <w:p w:rsidR="00801375" w:rsidRPr="003F5EF6" w:rsidRDefault="00801375" w:rsidP="003F5EF6">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701" w:type="pct"/>
          </w:tcPr>
          <w:p w:rsidR="00801375" w:rsidRPr="003F5EF6" w:rsidRDefault="00801375" w:rsidP="003F5EF6">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701" w:type="pct"/>
          </w:tcPr>
          <w:p w:rsidR="00801375" w:rsidRPr="003F5EF6" w:rsidRDefault="00801375" w:rsidP="003F5EF6">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701" w:type="pct"/>
          </w:tcPr>
          <w:p w:rsidR="00801375" w:rsidRPr="003F5EF6" w:rsidRDefault="00801375" w:rsidP="003F5EF6">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701" w:type="pct"/>
          </w:tcPr>
          <w:p w:rsidR="00801375" w:rsidRDefault="00801375" w:rsidP="003F5EF6">
            <w:pPr>
              <w:pStyle w:val="AERtabletextright"/>
              <w:cnfStyle w:val="100000000000" w:firstRow="1" w:lastRow="0" w:firstColumn="0" w:lastColumn="0" w:oddVBand="0" w:evenVBand="0" w:oddHBand="0" w:evenHBand="0" w:firstRowFirstColumn="0" w:firstRowLastColumn="0" w:lastRowFirstColumn="0" w:lastRowLastColumn="0"/>
            </w:pPr>
            <w:r>
              <w:t>2019-20</w:t>
            </w:r>
          </w:p>
        </w:tc>
      </w:tr>
      <w:tr w:rsidR="00C174DE" w:rsidTr="00C174DE">
        <w:tc>
          <w:tcPr>
            <w:cnfStyle w:val="001000000000" w:firstRow="0" w:lastRow="0" w:firstColumn="1" w:lastColumn="0" w:oddVBand="0" w:evenVBand="0" w:oddHBand="0" w:evenHBand="0" w:firstRowFirstColumn="0" w:firstRowLastColumn="0" w:lastRowFirstColumn="0" w:lastRowLastColumn="0"/>
            <w:tcW w:w="1494" w:type="pct"/>
          </w:tcPr>
          <w:p w:rsidR="00C174DE" w:rsidRPr="00C174DE" w:rsidRDefault="00C174DE" w:rsidP="00C174DE">
            <w:pPr>
              <w:pStyle w:val="AERtabletextleft"/>
            </w:pPr>
            <w:r w:rsidRPr="00C174DE">
              <w:t>Approved forecast opex for EBSS</w:t>
            </w:r>
          </w:p>
        </w:tc>
        <w:tc>
          <w:tcPr>
            <w:tcW w:w="701" w:type="pct"/>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3.79 </w:t>
            </w:r>
          </w:p>
        </w:tc>
        <w:tc>
          <w:tcPr>
            <w:tcW w:w="701" w:type="pct"/>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3.08 </w:t>
            </w:r>
          </w:p>
        </w:tc>
        <w:tc>
          <w:tcPr>
            <w:tcW w:w="701" w:type="pct"/>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3.17 </w:t>
            </w:r>
          </w:p>
        </w:tc>
        <w:tc>
          <w:tcPr>
            <w:tcW w:w="701" w:type="pct"/>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3.12 </w:t>
            </w:r>
          </w:p>
        </w:tc>
        <w:tc>
          <w:tcPr>
            <w:tcW w:w="701" w:type="pct"/>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3.14 </w:t>
            </w:r>
          </w:p>
        </w:tc>
      </w:tr>
    </w:tbl>
    <w:bookmarkEnd w:id="8"/>
    <w:p w:rsidR="0018385B" w:rsidRDefault="00D37D2C" w:rsidP="00D37D2C">
      <w:pPr>
        <w:pStyle w:val="AERtablesource"/>
      </w:pPr>
      <w:r>
        <w:t>Source: AER analysis</w:t>
      </w:r>
    </w:p>
    <w:p w:rsidR="00C061ED" w:rsidRDefault="0073340F" w:rsidP="00B64598">
      <w:pPr>
        <w:pStyle w:val="Heading2"/>
      </w:pPr>
      <w:bookmarkStart w:id="10" w:name="_Toc404182378"/>
      <w:r>
        <w:t>Proposal</w:t>
      </w:r>
      <w:bookmarkEnd w:id="10"/>
    </w:p>
    <w:p w:rsidR="00E1226B" w:rsidRDefault="000F73F1" w:rsidP="00C061ED">
      <w:pPr>
        <w:pStyle w:val="AERbodytext"/>
      </w:pPr>
      <w:r>
        <w:t>Directlink</w:t>
      </w:r>
      <w:r w:rsidR="00E1226B">
        <w:t xml:space="preserve"> proposed </w:t>
      </w:r>
      <w:r w:rsidR="00367E80">
        <w:t>excluding</w:t>
      </w:r>
      <w:r w:rsidR="00E1226B">
        <w:t xml:space="preserve"> </w:t>
      </w:r>
      <w:r>
        <w:t>two</w:t>
      </w:r>
      <w:r w:rsidR="00E1226B">
        <w:t xml:space="preserve"> cost categories from </w:t>
      </w:r>
      <w:r w:rsidR="005C2582" w:rsidRPr="005C2582">
        <w:t xml:space="preserve">version two the EBSS </w:t>
      </w:r>
      <w:r w:rsidR="005C2582">
        <w:t xml:space="preserve">which </w:t>
      </w:r>
      <w:r w:rsidR="005C2582" w:rsidRPr="005C2582">
        <w:t>will apply to it in the 2015–20 regulatory control period</w:t>
      </w:r>
      <w:r w:rsidR="00E1226B">
        <w:t>:</w:t>
      </w:r>
    </w:p>
    <w:p w:rsidR="00E1226B" w:rsidRDefault="00367E80" w:rsidP="00E1226B">
      <w:pPr>
        <w:pStyle w:val="AERbulletlistfirststyle"/>
      </w:pPr>
      <w:r>
        <w:t>d</w:t>
      </w:r>
      <w:r w:rsidR="00E1226B">
        <w:t>ebt raising costs</w:t>
      </w:r>
    </w:p>
    <w:p w:rsidR="000F73F1" w:rsidRPr="000F73F1" w:rsidRDefault="00367E80" w:rsidP="000F73F1">
      <w:pPr>
        <w:pStyle w:val="AERbulletlistfirststyle"/>
      </w:pPr>
      <w:r>
        <w:lastRenderedPageBreak/>
        <w:t>f</w:t>
      </w:r>
      <w:r w:rsidR="000F73F1">
        <w:t>ees levied by TransGrid</w:t>
      </w:r>
      <w:r>
        <w:t xml:space="preserve"> u</w:t>
      </w:r>
      <w:r w:rsidRPr="000F73F1">
        <w:t>nder (forthcom</w:t>
      </w:r>
      <w:r>
        <w:t>ing) Rules 6A.29A.4 or 6A.29A.5</w:t>
      </w:r>
      <w:r w:rsidR="000F73F1">
        <w:t>.</w:t>
      </w:r>
      <w:r w:rsidR="000F73F1">
        <w:rPr>
          <w:rStyle w:val="FootnoteReference"/>
        </w:rPr>
        <w:footnoteReference w:id="4"/>
      </w:r>
    </w:p>
    <w:p w:rsidR="0018385B" w:rsidRDefault="00B80514" w:rsidP="000F73F1">
      <w:pPr>
        <w:pStyle w:val="AERbulletlistfirststyle"/>
        <w:numPr>
          <w:ilvl w:val="0"/>
          <w:numId w:val="0"/>
        </w:numPr>
      </w:pPr>
      <w:r>
        <w:t xml:space="preserve">Directlink proposed we exclude fees that may be levied by TransGrid under (forthcoming) Rules 6A.29A or 6A.29A.5 from the operation of the EBSS because of uncertainty around if and how much TransGrid would charge. </w:t>
      </w:r>
      <w:r w:rsidR="0018385B">
        <w:t xml:space="preserve">From 1 July 2015, TransGrid will be able to levy fees on </w:t>
      </w:r>
      <w:r w:rsidR="00B93E27">
        <w:t xml:space="preserve">Directlink </w:t>
      </w:r>
      <w:r w:rsidR="00E87540">
        <w:t>to cover its administrative costs for being the coordinating service provider in the region</w:t>
      </w:r>
      <w:r w:rsidR="0018385B">
        <w:t xml:space="preserve">. Directlink </w:t>
      </w:r>
      <w:r>
        <w:t xml:space="preserve">considered the fees should be excluded from the EBSS because </w:t>
      </w:r>
      <w:r w:rsidR="0018385B" w:rsidRPr="0018385B">
        <w:t xml:space="preserve">TransGrid has not advised </w:t>
      </w:r>
      <w:r>
        <w:t>them</w:t>
      </w:r>
      <w:r w:rsidR="0018385B" w:rsidRPr="0018385B">
        <w:t xml:space="preserve"> of any such fees, </w:t>
      </w:r>
      <w:r>
        <w:rPr>
          <w:rFonts w:eastAsia="Calibri"/>
        </w:rPr>
        <w:t>Directlink</w:t>
      </w:r>
      <w:r w:rsidRPr="00B80514">
        <w:rPr>
          <w:rFonts w:eastAsia="Calibri"/>
        </w:rPr>
        <w:t xml:space="preserve"> is unable to forecast whether these fees, if levied, will be a significant proportion of future opex</w:t>
      </w:r>
      <w:r w:rsidRPr="00B80514">
        <w:t xml:space="preserve"> </w:t>
      </w:r>
      <w:r>
        <w:t>and</w:t>
      </w:r>
      <w:r w:rsidR="0018385B">
        <w:rPr>
          <w:rFonts w:eastAsia="Calibri"/>
        </w:rPr>
        <w:t xml:space="preserve"> </w:t>
      </w:r>
      <w:r>
        <w:rPr>
          <w:rFonts w:eastAsia="Calibri"/>
        </w:rPr>
        <w:t>they</w:t>
      </w:r>
      <w:r w:rsidR="0018385B" w:rsidRPr="0018385B">
        <w:rPr>
          <w:rFonts w:eastAsia="Calibri"/>
        </w:rPr>
        <w:t xml:space="preserve"> are uncontrollable </w:t>
      </w:r>
      <w:r>
        <w:rPr>
          <w:rFonts w:eastAsia="Calibri"/>
        </w:rPr>
        <w:t>costs</w:t>
      </w:r>
      <w:r w:rsidR="0018385B" w:rsidRPr="0018385B">
        <w:rPr>
          <w:rFonts w:eastAsia="Calibri"/>
        </w:rPr>
        <w:t xml:space="preserve"> unrelated to Directlink‘s efficiency. </w:t>
      </w:r>
    </w:p>
    <w:p w:rsidR="00B64598" w:rsidRDefault="00D01B61" w:rsidP="00B64598">
      <w:pPr>
        <w:pStyle w:val="Heading2"/>
      </w:pPr>
      <w:bookmarkStart w:id="11" w:name="_Toc404182379"/>
      <w:r>
        <w:t>A</w:t>
      </w:r>
      <w:r w:rsidR="00B64598" w:rsidRPr="00B64598">
        <w:t>ssessment approach</w:t>
      </w:r>
      <w:bookmarkEnd w:id="11"/>
    </w:p>
    <w:p w:rsidR="004813AC" w:rsidRDefault="004813AC" w:rsidP="004813AC">
      <w:pPr>
        <w:pStyle w:val="AERbodytext"/>
      </w:pPr>
      <w:r>
        <w:t>Under t</w:t>
      </w:r>
      <w:r w:rsidRPr="002D16B9">
        <w:t xml:space="preserve">he </w:t>
      </w:r>
      <w:r w:rsidR="00C61BC9">
        <w:t>NER</w:t>
      </w:r>
      <w:r w:rsidRPr="002D16B9">
        <w:t xml:space="preserve"> </w:t>
      </w:r>
      <w:r>
        <w:t xml:space="preserve">we must decide </w:t>
      </w:r>
      <w:r w:rsidR="006F6197">
        <w:t xml:space="preserve">the values that are to be attributed to the EBBS parameters for the purposes of the application to </w:t>
      </w:r>
      <w:r w:rsidR="003A1BC7">
        <w:t>Directlink</w:t>
      </w:r>
      <w:r w:rsidR="006F6197">
        <w:t xml:space="preserve"> of any EBSS that applies in the </w:t>
      </w:r>
      <w:r>
        <w:t>2015–20</w:t>
      </w:r>
      <w:r w:rsidRPr="002D16B9">
        <w:t xml:space="preserve"> regulatory control period.</w:t>
      </w:r>
      <w:r>
        <w:rPr>
          <w:rStyle w:val="FootnoteReference"/>
        </w:rPr>
        <w:footnoteReference w:id="5"/>
      </w:r>
    </w:p>
    <w:p w:rsidR="00AB237C" w:rsidRDefault="00E24763" w:rsidP="004813AC">
      <w:pPr>
        <w:pStyle w:val="AERbodytext"/>
      </w:pPr>
      <w:r>
        <w:rPr>
          <w:rStyle w:val="AERbody"/>
        </w:rPr>
        <w:t xml:space="preserve">The EBSS must provide for a fair sharing between </w:t>
      </w:r>
      <w:r w:rsidR="00633ECA">
        <w:rPr>
          <w:rStyle w:val="AERbody"/>
        </w:rPr>
        <w:t>service providers</w:t>
      </w:r>
      <w:r>
        <w:rPr>
          <w:rStyle w:val="AERbody"/>
        </w:rPr>
        <w:t xml:space="preserve"> and network users of opex efficiency gains and efficiency losses.</w:t>
      </w:r>
      <w:r>
        <w:rPr>
          <w:rStyle w:val="FootnoteReference"/>
        </w:rPr>
        <w:footnoteReference w:id="6"/>
      </w:r>
      <w:r>
        <w:rPr>
          <w:rStyle w:val="AERbody"/>
        </w:rPr>
        <w:t xml:space="preserve"> We must also have regard to the following factors when implementing the EBSS</w:t>
      </w:r>
      <w:r w:rsidR="00AB237C">
        <w:t>:</w:t>
      </w:r>
      <w:r>
        <w:rPr>
          <w:rStyle w:val="FootnoteReference"/>
        </w:rPr>
        <w:footnoteReference w:id="7"/>
      </w:r>
    </w:p>
    <w:p w:rsidR="00AB237C" w:rsidRPr="007439B9" w:rsidRDefault="00AB237C" w:rsidP="007439B9">
      <w:pPr>
        <w:pStyle w:val="AERbulletlistfirststyle"/>
      </w:pPr>
      <w:r w:rsidRPr="007439B9">
        <w:t xml:space="preserve">the need to provide </w:t>
      </w:r>
      <w:r w:rsidR="005C2582">
        <w:t>service providers</w:t>
      </w:r>
      <w:r w:rsidR="005C2582" w:rsidRPr="007439B9">
        <w:t xml:space="preserve"> </w:t>
      </w:r>
      <w:r w:rsidRPr="007439B9">
        <w:t>with continuous incenti</w:t>
      </w:r>
      <w:r w:rsidR="00D01B61" w:rsidRPr="007439B9">
        <w:t xml:space="preserve">ves to reduce opex </w:t>
      </w:r>
    </w:p>
    <w:p w:rsidR="00E24763" w:rsidRPr="007439B9" w:rsidRDefault="00AB237C" w:rsidP="007439B9">
      <w:pPr>
        <w:pStyle w:val="AERbulletlistfirststyle"/>
      </w:pPr>
      <w:r w:rsidRPr="007439B9">
        <w:t xml:space="preserve">the desirability of both rewarding </w:t>
      </w:r>
      <w:r w:rsidR="005C2582">
        <w:t>service providers</w:t>
      </w:r>
      <w:r w:rsidR="005C2582" w:rsidRPr="007439B9">
        <w:t xml:space="preserve"> </w:t>
      </w:r>
      <w:r w:rsidRPr="007439B9">
        <w:t xml:space="preserve">for efficiency gains and penalising </w:t>
      </w:r>
      <w:r w:rsidR="00633ECA">
        <w:t>it</w:t>
      </w:r>
      <w:r w:rsidRPr="007439B9">
        <w:t xml:space="preserve"> for efficiency losses </w:t>
      </w:r>
    </w:p>
    <w:p w:rsidR="007439B9" w:rsidRPr="007439B9" w:rsidRDefault="007439B9" w:rsidP="007439B9">
      <w:pPr>
        <w:pStyle w:val="AERbulletlistfirststyle"/>
      </w:pPr>
      <w:r w:rsidRPr="007439B9">
        <w:t xml:space="preserve">any incentives that </w:t>
      </w:r>
      <w:r w:rsidR="005C2582">
        <w:t>service providers</w:t>
      </w:r>
      <w:r w:rsidR="005C2582" w:rsidRPr="007439B9">
        <w:t xml:space="preserve"> </w:t>
      </w:r>
      <w:r w:rsidRPr="007439B9">
        <w:t xml:space="preserve">may have to </w:t>
      </w:r>
      <w:r w:rsidR="003A1BC7">
        <w:t xml:space="preserve">inappropriately </w:t>
      </w:r>
      <w:r w:rsidRPr="007439B9">
        <w:t xml:space="preserve">capitalise </w:t>
      </w:r>
      <w:r w:rsidR="003A1BC7">
        <w:t>opex</w:t>
      </w:r>
    </w:p>
    <w:p w:rsidR="007439B9" w:rsidRPr="007439B9" w:rsidRDefault="007439B9" w:rsidP="007439B9">
      <w:pPr>
        <w:pStyle w:val="AERbulletlistfirststyle"/>
      </w:pPr>
      <w:r w:rsidRPr="007439B9">
        <w:t>the possible effects of the scheme on incentives for the implementation of non-network alternatives</w:t>
      </w:r>
      <w:r>
        <w:t>.</w:t>
      </w:r>
    </w:p>
    <w:p w:rsidR="00B64598" w:rsidRDefault="00B64598" w:rsidP="00B64598">
      <w:pPr>
        <w:pStyle w:val="Heading2"/>
      </w:pPr>
      <w:bookmarkStart w:id="12" w:name="_Toc404182380"/>
      <w:r w:rsidRPr="00B64598">
        <w:t>Reasons for draft decision</w:t>
      </w:r>
      <w:bookmarkEnd w:id="12"/>
    </w:p>
    <w:p w:rsidR="0018385B" w:rsidRDefault="00631B8A" w:rsidP="00631B8A">
      <w:r w:rsidRPr="00631B8A">
        <w:rPr>
          <w:rStyle w:val="AERbody"/>
        </w:rPr>
        <w:t>We will apply version two of the EBSS to Directlink</w:t>
      </w:r>
      <w:r w:rsidR="004813AC">
        <w:rPr>
          <w:rStyle w:val="AERbody"/>
        </w:rPr>
        <w:t xml:space="preserve"> </w:t>
      </w:r>
      <w:r w:rsidR="00C61BC9">
        <w:rPr>
          <w:rStyle w:val="AERbody"/>
        </w:rPr>
        <w:t xml:space="preserve">during </w:t>
      </w:r>
      <w:r w:rsidR="004813AC">
        <w:rPr>
          <w:rStyle w:val="AERbody"/>
        </w:rPr>
        <w:t>the 2015–20 regulatory control period.</w:t>
      </w:r>
      <w:r w:rsidRPr="00F21B8F">
        <w:rPr>
          <w:rStyle w:val="FootnoteReference"/>
        </w:rPr>
        <w:footnoteReference w:id="8"/>
      </w:r>
      <w:r w:rsidR="00F21B8F" w:rsidRPr="00F21B8F">
        <w:t xml:space="preserve"> </w:t>
      </w:r>
      <w:r w:rsidR="0018385B">
        <w:t xml:space="preserve">We consider the EBSS is needed to provide Directlink with a continuous incentive to pursue efficiency gains during the </w:t>
      </w:r>
      <w:r w:rsidR="0018385B" w:rsidRPr="00631B8A">
        <w:rPr>
          <w:rStyle w:val="AERbody"/>
        </w:rPr>
        <w:t>during the 20</w:t>
      </w:r>
      <w:r w:rsidR="00617644">
        <w:rPr>
          <w:rStyle w:val="AERbody"/>
        </w:rPr>
        <w:t>15–20 regulatory control period. As we typically rely on a revealed cost approach to forecasting opex, we consider the EBSS is also needed to provide Directlink with an incentive not to increase its opex in the expected base year.</w:t>
      </w:r>
    </w:p>
    <w:p w:rsidR="00D17F19" w:rsidRPr="00631B8A" w:rsidRDefault="00F21B8F" w:rsidP="00631B8A">
      <w:pPr>
        <w:rPr>
          <w:rStyle w:val="AERbody"/>
        </w:rPr>
      </w:pPr>
      <w:r>
        <w:t xml:space="preserve">Version </w:t>
      </w:r>
      <w:r w:rsidR="00C61BC9">
        <w:t xml:space="preserve">two </w:t>
      </w:r>
      <w:r>
        <w:t>of the EBSS specifies our approach to determining the length of the carryover period, calculating the incremental efficiency gains and adjusting forecast or actual opex when calculating carryover amounts.</w:t>
      </w:r>
      <w:r w:rsidR="00FB7ED6">
        <w:t xml:space="preserve"> </w:t>
      </w:r>
      <w:r w:rsidR="005F7DB4">
        <w:t>These are detailed below.</w:t>
      </w:r>
    </w:p>
    <w:p w:rsidR="005A5BBE" w:rsidRDefault="005A5BBE" w:rsidP="002965BA">
      <w:pPr>
        <w:pStyle w:val="HeadingBoldBlue"/>
      </w:pPr>
      <w:r>
        <w:t>Length of carryover period</w:t>
      </w:r>
    </w:p>
    <w:p w:rsidR="00EC3F02" w:rsidRDefault="002F362A" w:rsidP="00855BE1">
      <w:pPr>
        <w:pStyle w:val="AERbodytext"/>
        <w:numPr>
          <w:ilvl w:val="0"/>
          <w:numId w:val="0"/>
        </w:numPr>
      </w:pPr>
      <w:r>
        <w:t>T</w:t>
      </w:r>
      <w:r w:rsidR="00DC3FF5">
        <w:t>he carryover period will be five years.</w:t>
      </w:r>
      <w:r w:rsidR="00EC3F02" w:rsidRPr="00EC3F02">
        <w:t xml:space="preserve"> </w:t>
      </w:r>
      <w:r w:rsidR="00EC3F02">
        <w:t xml:space="preserve">We consider this provides </w:t>
      </w:r>
      <w:r>
        <w:t>Directlink</w:t>
      </w:r>
      <w:r w:rsidR="00EC3F02">
        <w:t xml:space="preserve"> with a reasonable reward for pursuing efficiency gains.</w:t>
      </w:r>
      <w:r>
        <w:t xml:space="preserve"> </w:t>
      </w:r>
      <w:r w:rsidR="00F750FF">
        <w:t>A five year carryover period</w:t>
      </w:r>
      <w:r>
        <w:t xml:space="preserve"> would share efficiency improvements between Directlink and its consumers approximately 30:70.</w:t>
      </w:r>
      <w:r w:rsidR="00EC3F02">
        <w:t xml:space="preserve"> We do not consider a longer carryover period is necessary to incentivise efficiency improvements.</w:t>
      </w:r>
    </w:p>
    <w:p w:rsidR="003F54B9" w:rsidRDefault="003F54B9" w:rsidP="002965BA">
      <w:pPr>
        <w:pStyle w:val="HeadingBoldBlue"/>
      </w:pPr>
      <w:r>
        <w:lastRenderedPageBreak/>
        <w:t>Incremental efficiency gains</w:t>
      </w:r>
    </w:p>
    <w:p w:rsidR="003F54B9" w:rsidRDefault="003F54B9" w:rsidP="003F54B9">
      <w:pPr>
        <w:pStyle w:val="AERbodytext"/>
      </w:pPr>
      <w:r>
        <w:t>We will calculate incremental efficiency gains differently depending on whether they are in:</w:t>
      </w:r>
    </w:p>
    <w:p w:rsidR="003F54B9" w:rsidRDefault="003F54B9" w:rsidP="003F54B9">
      <w:pPr>
        <w:pStyle w:val="AERbulletlistfirststyle"/>
      </w:pPr>
      <w:r>
        <w:t>the first regulatory year</w:t>
      </w:r>
    </w:p>
    <w:p w:rsidR="003F54B9" w:rsidRDefault="003F54B9" w:rsidP="003F54B9">
      <w:pPr>
        <w:pStyle w:val="AERbulletlistfirststyle"/>
      </w:pPr>
      <w:r>
        <w:t>the second regulatory year to the penultimate regulatory year</w:t>
      </w:r>
    </w:p>
    <w:p w:rsidR="003F54B9" w:rsidRDefault="003F54B9" w:rsidP="003F54B9">
      <w:pPr>
        <w:pStyle w:val="AERbulletlistfirststyle"/>
      </w:pPr>
      <w:r>
        <w:t>the final regulatory year.</w:t>
      </w:r>
    </w:p>
    <w:p w:rsidR="00A66D82" w:rsidRDefault="003F54B9" w:rsidP="00A66D82">
      <w:pPr>
        <w:pStyle w:val="AERbodytext"/>
      </w:pPr>
      <w:r>
        <w:t>We will do this according to the formulas set out in version two of the EBSS</w:t>
      </w:r>
      <w:r w:rsidR="000E3BA9">
        <w:t xml:space="preserve"> except for the first regulatory year</w:t>
      </w:r>
      <w:r>
        <w:t>.</w:t>
      </w:r>
      <w:r>
        <w:rPr>
          <w:rStyle w:val="FootnoteReference"/>
        </w:rPr>
        <w:footnoteReference w:id="9"/>
      </w:r>
      <w:r w:rsidR="00734110" w:rsidRPr="00734110">
        <w:t xml:space="preserve"> </w:t>
      </w:r>
      <w:r w:rsidR="000E3BA9">
        <w:t>T</w:t>
      </w:r>
      <w:r w:rsidR="00734110" w:rsidRPr="00734110">
        <w:t>he formula to calculate the efficiency gain in the first regulatory year in version two of the EBSS subtracts any incremental efficiency gain made in the previous regulatory control period after the base year.</w:t>
      </w:r>
      <w:r w:rsidR="00A66D82" w:rsidRPr="00A66D82">
        <w:rPr>
          <w:rStyle w:val="FootnoteReference"/>
        </w:rPr>
        <w:t xml:space="preserve"> </w:t>
      </w:r>
      <w:r w:rsidR="00A66D82">
        <w:rPr>
          <w:rStyle w:val="FootnoteReference"/>
        </w:rPr>
        <w:footnoteReference w:id="10"/>
      </w:r>
      <w:r w:rsidR="00A66D82">
        <w:t xml:space="preserve"> </w:t>
      </w:r>
      <w:r w:rsidR="00A66D82" w:rsidRPr="00A66D82">
        <w:t>This approach is designed to ensure that the EBSS provides continuous rewards and penalties where it operates across two regulatory control periods and we use a base year forecasting approach.</w:t>
      </w:r>
      <w:r w:rsidR="00A66D82">
        <w:rPr>
          <w:rStyle w:val="FootnoteReference"/>
        </w:rPr>
        <w:footnoteReference w:id="11"/>
      </w:r>
      <w:r w:rsidR="00A66D82" w:rsidRPr="00A66D82">
        <w:t xml:space="preserve"> </w:t>
      </w:r>
      <w:r w:rsidR="003A1BC7">
        <w:t>T</w:t>
      </w:r>
      <w:r w:rsidR="00A66D82" w:rsidRPr="00A66D82">
        <w:t xml:space="preserve">his </w:t>
      </w:r>
      <w:r w:rsidR="0033034D">
        <w:t xml:space="preserve">first year formula </w:t>
      </w:r>
      <w:r w:rsidR="003A1BC7">
        <w:t>applies</w:t>
      </w:r>
      <w:r w:rsidR="003A1BC7" w:rsidRPr="00A66D82">
        <w:t xml:space="preserve"> </w:t>
      </w:r>
      <w:r w:rsidR="00A66D82" w:rsidRPr="00A66D82">
        <w:t xml:space="preserve">to </w:t>
      </w:r>
      <w:r w:rsidR="00894CBE">
        <w:t>service providers</w:t>
      </w:r>
      <w:r w:rsidR="00894CBE" w:rsidRPr="00A66D82">
        <w:t xml:space="preserve"> </w:t>
      </w:r>
      <w:r w:rsidR="00A66D82" w:rsidRPr="00A66D82">
        <w:t>already subject to an EBSS.</w:t>
      </w:r>
      <w:r w:rsidR="00734110" w:rsidRPr="00734110">
        <w:t xml:space="preserve"> </w:t>
      </w:r>
    </w:p>
    <w:p w:rsidR="00E636A5" w:rsidRDefault="00A66D82" w:rsidP="00A66D82">
      <w:pPr>
        <w:pStyle w:val="AERbodytext"/>
      </w:pPr>
      <w:r w:rsidRPr="00A66D82">
        <w:t xml:space="preserve">Directlink is not subject to an EBSS in the </w:t>
      </w:r>
      <w:r w:rsidR="002F362A" w:rsidRPr="00A66D82">
        <w:t>200</w:t>
      </w:r>
      <w:r w:rsidR="002F362A">
        <w:t>6</w:t>
      </w:r>
      <w:r w:rsidR="002F362A" w:rsidRPr="006F6CCB">
        <w:t>–</w:t>
      </w:r>
      <w:r w:rsidRPr="00A66D82">
        <w:t>15 regulatory control period and Directlink's opex was not forecast using a base year. For these reasons</w:t>
      </w:r>
      <w:r>
        <w:t>,</w:t>
      </w:r>
      <w:r w:rsidRPr="00A66D82">
        <w:t xml:space="preserve"> it does not make sense to subtract any incremental gain made in the previous regulatory control period after the base year. Consequently, the formula to calculate the efficiency gain in the first year of the new period will be the difference between actual opex and forecast opex in that year. This is consistent with the formula used in previous versions of the EBSS to calculate first year efficiency gains when the EBSS was applied to a </w:t>
      </w:r>
      <w:r w:rsidR="00894CBE">
        <w:t>service provider</w:t>
      </w:r>
      <w:r w:rsidR="00894CBE" w:rsidRPr="00A66D82">
        <w:t xml:space="preserve"> </w:t>
      </w:r>
      <w:r w:rsidRPr="00A66D82">
        <w:t>for the first time.</w:t>
      </w:r>
      <w:r w:rsidR="00630451">
        <w:rPr>
          <w:rStyle w:val="FootnoteReference"/>
        </w:rPr>
        <w:footnoteReference w:id="12"/>
      </w:r>
      <w:r w:rsidR="008647E7">
        <w:t xml:space="preserve"> </w:t>
      </w:r>
      <w:r w:rsidR="006E4DFA">
        <w:t xml:space="preserve"> </w:t>
      </w:r>
    </w:p>
    <w:p w:rsidR="00BD3C88" w:rsidRPr="006F6CCB" w:rsidRDefault="00B9587C" w:rsidP="00D6276C">
      <w:pPr>
        <w:pStyle w:val="AERbodytext"/>
        <w:numPr>
          <w:ilvl w:val="0"/>
          <w:numId w:val="0"/>
        </w:numPr>
      </w:pPr>
      <w:r>
        <w:t>W</w:t>
      </w:r>
      <w:r w:rsidR="00BD3C88">
        <w:t xml:space="preserve">hen calculating actual opex under the EBSS we will </w:t>
      </w:r>
      <w:r w:rsidR="00BD3C88" w:rsidRPr="006F6CCB">
        <w:t xml:space="preserve">adjust </w:t>
      </w:r>
      <w:r w:rsidR="00BD3C88">
        <w:t xml:space="preserve">reported </w:t>
      </w:r>
      <w:r w:rsidR="00BD3C88" w:rsidRPr="006F6CCB">
        <w:t>actual opex for the 201</w:t>
      </w:r>
      <w:r w:rsidR="009B2905">
        <w:t>5</w:t>
      </w:r>
      <w:r w:rsidR="00BD3C88" w:rsidRPr="006F6CCB">
        <w:t>–</w:t>
      </w:r>
      <w:r w:rsidR="009B2905">
        <w:t>20</w:t>
      </w:r>
      <w:r w:rsidR="00BD3C88" w:rsidRPr="006F6CCB">
        <w:t xml:space="preserve"> regulatory control period to rever</w:t>
      </w:r>
      <w:r w:rsidR="00BD3C88">
        <w:t xml:space="preserve">se any movements in provisions. </w:t>
      </w:r>
      <w:r w:rsidR="00617644">
        <w:t>W</w:t>
      </w:r>
      <w:r w:rsidR="00BD3C88">
        <w:t xml:space="preserve">e consider </w:t>
      </w:r>
      <w:r w:rsidR="0073340F">
        <w:t xml:space="preserve">actual opex net of movement in provisions best reflects the actual opex incurred by the </w:t>
      </w:r>
      <w:r w:rsidR="00894CBE">
        <w:t xml:space="preserve">service provider </w:t>
      </w:r>
      <w:r w:rsidR="0073340F">
        <w:t>during the regulatory control period.</w:t>
      </w:r>
    </w:p>
    <w:p w:rsidR="002965BA" w:rsidRDefault="002965BA" w:rsidP="002965BA">
      <w:pPr>
        <w:pStyle w:val="HeadingBoldBlue"/>
      </w:pPr>
      <w:r>
        <w:t>Adjustments to forecast or actual opex when calculating carryover amounts</w:t>
      </w:r>
    </w:p>
    <w:p w:rsidR="00BF1F33" w:rsidRDefault="00EE38B1" w:rsidP="00EE38B1">
      <w:pPr>
        <w:pStyle w:val="AERbulletlistfirststyle"/>
        <w:numPr>
          <w:ilvl w:val="0"/>
          <w:numId w:val="0"/>
        </w:numPr>
      </w:pPr>
      <w:r>
        <w:t xml:space="preserve">The EBSS allows </w:t>
      </w:r>
      <w:r w:rsidRPr="00EE38B1">
        <w:t>for exclusions of categories of costs from the EBSS</w:t>
      </w:r>
      <w:r w:rsidR="00342645">
        <w:t xml:space="preserve"> where we do not use a single year revealed cost forecasting approach</w:t>
      </w:r>
      <w:r w:rsidRPr="00EE38B1">
        <w:t xml:space="preserve">. </w:t>
      </w:r>
      <w:r w:rsidR="00BF1F33">
        <w:t xml:space="preserve">This is designed to ensure the EBSS gives effect to fair sharing of efficiency gains and losses. If we do not use a single year revealed cost forecasting approach, there is a risk </w:t>
      </w:r>
      <w:r w:rsidR="009B2905">
        <w:t xml:space="preserve">a </w:t>
      </w:r>
      <w:r w:rsidR="00894CBE">
        <w:t xml:space="preserve">service provider </w:t>
      </w:r>
      <w:r w:rsidR="00BF1F33">
        <w:t xml:space="preserve">could receive EBSS carryover rewards or penalties that far exceed the cost reduction or increase. </w:t>
      </w:r>
    </w:p>
    <w:p w:rsidR="00D6276C" w:rsidRDefault="00D6276C" w:rsidP="00B07EBC">
      <w:pPr>
        <w:pStyle w:val="AERbulletlistsecondstyle"/>
        <w:numPr>
          <w:ilvl w:val="0"/>
          <w:numId w:val="0"/>
        </w:numPr>
      </w:pPr>
      <w:r>
        <w:t xml:space="preserve">When we apply </w:t>
      </w:r>
      <w:r w:rsidRPr="00D6276C">
        <w:t>the EBSS to Directlink we will exclude debt raising costs</w:t>
      </w:r>
      <w:r>
        <w:t xml:space="preserve"> because the</w:t>
      </w:r>
      <w:r w:rsidR="007176BA">
        <w:t xml:space="preserve">se </w:t>
      </w:r>
      <w:r>
        <w:t>are not</w:t>
      </w:r>
      <w:r w:rsidR="00D37D2C">
        <w:t xml:space="preserve"> typically</w:t>
      </w:r>
      <w:r>
        <w:t xml:space="preserve"> forecast using a single year revealed cost approach</w:t>
      </w:r>
      <w:r w:rsidRPr="00D6276C">
        <w:t>.</w:t>
      </w:r>
    </w:p>
    <w:p w:rsidR="007A15F4" w:rsidRDefault="00D6276C" w:rsidP="00B07EBC">
      <w:pPr>
        <w:pStyle w:val="AERbulletlistsecondstyle"/>
        <w:numPr>
          <w:ilvl w:val="0"/>
          <w:numId w:val="0"/>
        </w:numPr>
      </w:pPr>
      <w:r>
        <w:t xml:space="preserve">However, </w:t>
      </w:r>
      <w:r w:rsidR="008C50E9">
        <w:t xml:space="preserve">when we </w:t>
      </w:r>
      <w:r w:rsidR="008C50E9" w:rsidRPr="008C50E9">
        <w:t xml:space="preserve">apply the EBSS to Directlink we will </w:t>
      </w:r>
      <w:r w:rsidR="008C50E9">
        <w:t xml:space="preserve">not </w:t>
      </w:r>
      <w:r w:rsidR="008C50E9" w:rsidRPr="008C50E9">
        <w:t xml:space="preserve">exclude </w:t>
      </w:r>
      <w:r w:rsidR="00B07EBC">
        <w:t xml:space="preserve">fees levied by TransGrid under (forthcoming) </w:t>
      </w:r>
      <w:r w:rsidR="00353F92">
        <w:t>r</w:t>
      </w:r>
      <w:r w:rsidR="00B07EBC">
        <w:t xml:space="preserve">ules </w:t>
      </w:r>
      <w:r w:rsidR="00B07EBC" w:rsidRPr="00AD4ADC">
        <w:t>6A.29A.4 or 6A.29A.5</w:t>
      </w:r>
      <w:r>
        <w:t xml:space="preserve">. </w:t>
      </w:r>
    </w:p>
    <w:p w:rsidR="00D6276C" w:rsidRDefault="00311AD1" w:rsidP="00B07EBC">
      <w:pPr>
        <w:pStyle w:val="AERbulletlistsecondstyle"/>
        <w:numPr>
          <w:ilvl w:val="0"/>
          <w:numId w:val="0"/>
        </w:numPr>
      </w:pPr>
      <w:r>
        <w:t xml:space="preserve">Directlink proposed excluding future fees TransGrid may levy from the EBSS on the grounds that they would be uncontrollable, uncertain and possibly significant. </w:t>
      </w:r>
      <w:r w:rsidR="007A15F4">
        <w:t xml:space="preserve">We </w:t>
      </w:r>
      <w:r w:rsidR="003A1BC7">
        <w:t>do not accept that there are sufficient reasons</w:t>
      </w:r>
      <w:r w:rsidR="007A15F4">
        <w:t xml:space="preserve"> to exclude cost categories</w:t>
      </w:r>
      <w:r w:rsidR="007A15F4" w:rsidRPr="007A15F4">
        <w:t xml:space="preserve"> from the EBSS on the grounds </w:t>
      </w:r>
      <w:r w:rsidR="007A15F4">
        <w:t xml:space="preserve">they are uncontrollable or uncertain. </w:t>
      </w:r>
      <w:r w:rsidR="00C61BC9">
        <w:t>Rather, b</w:t>
      </w:r>
      <w:r w:rsidR="007A15F4" w:rsidRPr="007A15F4">
        <w:t xml:space="preserve">y including such costs in the EBSS, uncontrollable cost decreases or increases </w:t>
      </w:r>
      <w:r w:rsidR="007A15F4" w:rsidRPr="007A15F4">
        <w:lastRenderedPageBreak/>
        <w:t xml:space="preserve">are shared between </w:t>
      </w:r>
      <w:r w:rsidR="00633ECA">
        <w:t>service providers</w:t>
      </w:r>
      <w:r w:rsidR="007A15F4" w:rsidRPr="007A15F4">
        <w:t xml:space="preserve"> and consumers in the same way as any efficiency gain or loss (that is, approximately 30:70 with a five year carryover period). </w:t>
      </w:r>
      <w:r w:rsidR="00B37449" w:rsidRPr="00B37449">
        <w:t xml:space="preserve">We acknowledge the EBSS will reward or penalise </w:t>
      </w:r>
      <w:r w:rsidR="00633ECA">
        <w:t>service providers</w:t>
      </w:r>
      <w:r w:rsidR="00B37449" w:rsidRPr="00B37449">
        <w:t xml:space="preserve"> for some forecasting error associated with uncontrollable </w:t>
      </w:r>
      <w:r w:rsidR="00B37449">
        <w:t xml:space="preserve">or uncertain </w:t>
      </w:r>
      <w:r w:rsidR="00B37449" w:rsidRPr="00B37449">
        <w:t xml:space="preserve">events. However, on the whole, the risk of uncontrollable </w:t>
      </w:r>
      <w:r w:rsidR="00B37449">
        <w:t xml:space="preserve">or uncertain </w:t>
      </w:r>
      <w:r w:rsidR="00B37449" w:rsidRPr="00B37449">
        <w:t xml:space="preserve">events presents both upside and downside risk to </w:t>
      </w:r>
      <w:r w:rsidR="00633ECA">
        <w:t>service providers</w:t>
      </w:r>
      <w:r w:rsidR="00B37449" w:rsidRPr="00B37449">
        <w:t xml:space="preserve">. We do not think there is a compelling argument to share the cost of </w:t>
      </w:r>
      <w:r w:rsidR="00B37449">
        <w:t xml:space="preserve">these </w:t>
      </w:r>
      <w:r w:rsidR="00B37449" w:rsidRPr="00B37449">
        <w:t xml:space="preserve">events differently to all other costs facing </w:t>
      </w:r>
      <w:r w:rsidR="00633ECA">
        <w:t>service providers</w:t>
      </w:r>
      <w:r w:rsidR="00B37449" w:rsidRPr="00B37449">
        <w:t>.</w:t>
      </w:r>
      <w:r>
        <w:t xml:space="preserve"> </w:t>
      </w:r>
      <w:r w:rsidR="00557842">
        <w:t>Even if this were</w:t>
      </w:r>
      <w:r w:rsidR="000E6B5F">
        <w:t xml:space="preserve"> </w:t>
      </w:r>
      <w:r w:rsidR="00557842">
        <w:t>n</w:t>
      </w:r>
      <w:r w:rsidR="000E6B5F">
        <w:t>o</w:t>
      </w:r>
      <w:r w:rsidR="00557842">
        <w:t>t the case</w:t>
      </w:r>
      <w:r w:rsidR="00191C76">
        <w:t xml:space="preserve">, </w:t>
      </w:r>
      <w:r w:rsidR="00557842">
        <w:t>we would not exclude the cost of f</w:t>
      </w:r>
      <w:r w:rsidR="00557842" w:rsidRPr="00557842">
        <w:t xml:space="preserve">ees levied by TransGrid under (forthcoming) Rules 6A.29A.4 or 6A.29A.5 </w:t>
      </w:r>
      <w:r w:rsidR="00557842">
        <w:t xml:space="preserve">from the EBSS because </w:t>
      </w:r>
      <w:r w:rsidR="00191C76">
        <w:t xml:space="preserve">we have not included an amount for </w:t>
      </w:r>
      <w:r w:rsidR="00557842">
        <w:t xml:space="preserve">such fees in Directlink's opex forecast. This is </w:t>
      </w:r>
      <w:r w:rsidR="00191C76">
        <w:t>because Tr</w:t>
      </w:r>
      <w:r w:rsidR="00557842">
        <w:t>ansG</w:t>
      </w:r>
      <w:r w:rsidR="00191C76">
        <w:t xml:space="preserve">rid submitted that </w:t>
      </w:r>
      <w:r w:rsidR="00557842">
        <w:t>it</w:t>
      </w:r>
      <w:r w:rsidR="00191C76">
        <w:t xml:space="preserve"> was not going to charge Directlink this fee. </w:t>
      </w:r>
      <w:r w:rsidR="00557842">
        <w:t>We discuss this</w:t>
      </w:r>
      <w:r w:rsidR="00191C76">
        <w:t xml:space="preserve"> in the opex </w:t>
      </w:r>
      <w:r w:rsidR="00557842">
        <w:t>attachment</w:t>
      </w:r>
      <w:r w:rsidR="00191C76">
        <w:t>.</w:t>
      </w:r>
    </w:p>
    <w:p w:rsidR="00BF1F33" w:rsidRDefault="00BF1F33" w:rsidP="00BF1F33">
      <w:r>
        <w:t xml:space="preserve">In addition to </w:t>
      </w:r>
      <w:r w:rsidR="00D6276C">
        <w:t xml:space="preserve">excluding debt raising costs </w:t>
      </w:r>
      <w:r w:rsidR="00F750FF">
        <w:t xml:space="preserve">when we calculate </w:t>
      </w:r>
      <w:r w:rsidR="00C61BC9">
        <w:t xml:space="preserve">Directlink's </w:t>
      </w:r>
      <w:r w:rsidR="00F750FF">
        <w:t xml:space="preserve">carryover amounts </w:t>
      </w:r>
      <w:r>
        <w:t xml:space="preserve">we will also: </w:t>
      </w:r>
    </w:p>
    <w:p w:rsidR="00BF1F33" w:rsidRDefault="00BF1F33" w:rsidP="00BF1F33">
      <w:pPr>
        <w:pStyle w:val="AERbulletlistfirststyle"/>
      </w:pPr>
      <w:r>
        <w:t xml:space="preserve">adjust forecast opex to add (subtract) any approved revenue increments (decrements) made after the initial regulatory determination. This may include approved pass through amounts or opex for contingent projects </w:t>
      </w:r>
    </w:p>
    <w:p w:rsidR="00BF1F33" w:rsidRDefault="00BF1F33" w:rsidP="00BF1F33">
      <w:pPr>
        <w:pStyle w:val="AERbulletlistfirststyle"/>
      </w:pPr>
      <w:r>
        <w:t xml:space="preserve">adjust actual opex to add capitalised opex that has been excluded from the Regulatory Asset Base </w:t>
      </w:r>
    </w:p>
    <w:p w:rsidR="00E636A5" w:rsidRDefault="00E636A5" w:rsidP="00E636A5">
      <w:pPr>
        <w:pStyle w:val="AERbulletlistfirststyle"/>
      </w:pPr>
      <w:r>
        <w:t xml:space="preserve">exclude </w:t>
      </w:r>
      <w:r w:rsidRPr="00DA1B7F">
        <w:t xml:space="preserve">categories of opex not forecast using a single year revealed cost approach </w:t>
      </w:r>
      <w:r>
        <w:t>for the regulatory control period beginning in 2020</w:t>
      </w:r>
      <w:r w:rsidRPr="00DA1B7F">
        <w:t xml:space="preserve"> </w:t>
      </w:r>
      <w:r>
        <w:t>where</w:t>
      </w:r>
      <w:r w:rsidRPr="00DA1B7F">
        <w:t xml:space="preserve"> doing so better achieves the requirements of clause 6A.6.5 of the NER.</w:t>
      </w:r>
    </w:p>
    <w:p w:rsidR="00C061ED" w:rsidRDefault="005D690A" w:rsidP="006F6CCB">
      <w:r>
        <w:fldChar w:fldCharType="begin"/>
      </w:r>
      <w:r>
        <w:instrText xml:space="preserve"> REF _Ref387739277 \h </w:instrText>
      </w:r>
      <w:r>
        <w:fldChar w:fldCharType="separate"/>
      </w:r>
      <w:r w:rsidR="00353F92">
        <w:t>Table 9.</w:t>
      </w:r>
      <w:r w:rsidR="00353F92">
        <w:rPr>
          <w:noProof/>
        </w:rPr>
        <w:t>2</w:t>
      </w:r>
      <w:r>
        <w:fldChar w:fldCharType="end"/>
      </w:r>
      <w:r w:rsidR="00BF1F33">
        <w:t xml:space="preserve"> </w:t>
      </w:r>
      <w:r>
        <w:t>set</w:t>
      </w:r>
      <w:r w:rsidR="00DB4D75">
        <w:t>s</w:t>
      </w:r>
      <w:r w:rsidR="005D1B25" w:rsidRPr="006F6CCB">
        <w:t xml:space="preserve"> out our draft decision on </w:t>
      </w:r>
      <w:r w:rsidR="009B2905">
        <w:t>Directlink's</w:t>
      </w:r>
      <w:r w:rsidR="005D1B25" w:rsidRPr="006F6CCB">
        <w:t xml:space="preserve"> target opex for the EBSS (total opex less excluded categories), against which we will calculate efficiency gains in </w:t>
      </w:r>
      <w:r w:rsidR="007176BA">
        <w:t xml:space="preserve">the </w:t>
      </w:r>
      <w:r w:rsidR="009B2905">
        <w:t>2015–20</w:t>
      </w:r>
      <w:r w:rsidR="007176BA">
        <w:t xml:space="preserve"> regulatory control period</w:t>
      </w:r>
      <w:r w:rsidR="005D1B25" w:rsidRPr="006F6CCB">
        <w:t>.</w:t>
      </w:r>
    </w:p>
    <w:p w:rsidR="006F6CCB" w:rsidRPr="006F6CCB" w:rsidRDefault="006F6CCB" w:rsidP="006F6CCB">
      <w:pPr>
        <w:pStyle w:val="Caption"/>
      </w:pPr>
      <w:bookmarkStart w:id="13" w:name="_Ref387739277"/>
      <w:r>
        <w:t xml:space="preserve">Table </w:t>
      </w:r>
      <w:r w:rsidR="00353F92">
        <w:t>9</w:t>
      </w:r>
      <w:r w:rsidR="009B2905">
        <w:t>.</w:t>
      </w:r>
      <w:fldSimple w:instr=" SEQ Table \* ARABIC \s 1 ">
        <w:r w:rsidR="00DE77E3">
          <w:rPr>
            <w:noProof/>
          </w:rPr>
          <w:t>2</w:t>
        </w:r>
      </w:fldSimple>
      <w:bookmarkEnd w:id="13"/>
      <w:r>
        <w:tab/>
      </w:r>
      <w:r w:rsidR="00FB7ED6">
        <w:t>D</w:t>
      </w:r>
      <w:r>
        <w:t xml:space="preserve">raft decision on </w:t>
      </w:r>
      <w:r w:rsidR="003A0EB1">
        <w:t>Directlink</w:t>
      </w:r>
      <w:r>
        <w:t>'s forecast opex for the EBSS ($ million,</w:t>
      </w:r>
      <w:r w:rsidR="00A8610C">
        <w:t> </w:t>
      </w:r>
      <w:r>
        <w:t>2013–14)</w:t>
      </w:r>
    </w:p>
    <w:tbl>
      <w:tblPr>
        <w:tblStyle w:val="AERtable-numbers"/>
        <w:tblW w:w="0" w:type="auto"/>
        <w:tblLook w:val="04A0" w:firstRow="1" w:lastRow="0" w:firstColumn="1" w:lastColumn="0" w:noHBand="0" w:noVBand="1"/>
      </w:tblPr>
      <w:tblGrid>
        <w:gridCol w:w="2778"/>
        <w:gridCol w:w="1077"/>
        <w:gridCol w:w="1077"/>
        <w:gridCol w:w="1078"/>
        <w:gridCol w:w="1077"/>
        <w:gridCol w:w="1077"/>
        <w:gridCol w:w="1078"/>
      </w:tblGrid>
      <w:tr w:rsidR="006F6CCB" w:rsidTr="00E12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tcPr>
          <w:p w:rsidR="006F6CCB" w:rsidRDefault="006F6CCB" w:rsidP="006F6CCB">
            <w:pPr>
              <w:pStyle w:val="AERtabletextleft"/>
            </w:pPr>
          </w:p>
        </w:tc>
        <w:tc>
          <w:tcPr>
            <w:tcW w:w="1077" w:type="dxa"/>
          </w:tcPr>
          <w:p w:rsidR="006F6CCB" w:rsidRPr="006F6CCB" w:rsidRDefault="003A0EB1" w:rsidP="006F6CCB">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077" w:type="dxa"/>
          </w:tcPr>
          <w:p w:rsidR="006F6CCB" w:rsidRPr="006F6CCB" w:rsidRDefault="003A0EB1" w:rsidP="006F6CCB">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078" w:type="dxa"/>
          </w:tcPr>
          <w:p w:rsidR="006F6CCB" w:rsidRPr="006F6CCB" w:rsidRDefault="003A0EB1" w:rsidP="006F6CCB">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077" w:type="dxa"/>
          </w:tcPr>
          <w:p w:rsidR="006F6CCB" w:rsidRPr="006F6CCB" w:rsidRDefault="006F6CCB" w:rsidP="006F6CCB">
            <w:pPr>
              <w:pStyle w:val="AERtabletextright"/>
              <w:cnfStyle w:val="100000000000" w:firstRow="1" w:lastRow="0" w:firstColumn="0" w:lastColumn="0" w:oddVBand="0" w:evenVBand="0" w:oddHBand="0" w:evenHBand="0" w:firstRowFirstColumn="0" w:firstRowLastColumn="0" w:lastRowFirstColumn="0" w:lastRowLastColumn="0"/>
            </w:pPr>
            <w:r>
              <w:t>201</w:t>
            </w:r>
            <w:r w:rsidR="003A0EB1">
              <w:t>8-19</w:t>
            </w:r>
          </w:p>
        </w:tc>
        <w:tc>
          <w:tcPr>
            <w:tcW w:w="1077" w:type="dxa"/>
          </w:tcPr>
          <w:p w:rsidR="006F6CCB" w:rsidRPr="006F6CCB" w:rsidRDefault="003A0EB1" w:rsidP="006F6CCB">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078" w:type="dxa"/>
          </w:tcPr>
          <w:p w:rsidR="006F6CCB" w:rsidRPr="006F6CCB" w:rsidRDefault="006F6CCB" w:rsidP="006F6CCB">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C174DE" w:rsidTr="00C174DE">
        <w:tc>
          <w:tcPr>
            <w:cnfStyle w:val="001000000000" w:firstRow="0" w:lastRow="0" w:firstColumn="1" w:lastColumn="0" w:oddVBand="0" w:evenVBand="0" w:oddHBand="0" w:evenHBand="0" w:firstRowFirstColumn="0" w:firstRowLastColumn="0" w:lastRowFirstColumn="0" w:lastRowLastColumn="0"/>
            <w:tcW w:w="2778" w:type="dxa"/>
          </w:tcPr>
          <w:p w:rsidR="00C174DE" w:rsidRPr="00C174DE" w:rsidRDefault="00C174DE" w:rsidP="00C174DE">
            <w:pPr>
              <w:pStyle w:val="AERtabletextleft"/>
            </w:pPr>
            <w:r w:rsidRPr="00C174DE">
              <w:t>Directlink's total forecast opex</w:t>
            </w:r>
          </w:p>
        </w:tc>
        <w:tc>
          <w:tcPr>
            <w:tcW w:w="1077" w:type="dxa"/>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3.87 </w:t>
            </w:r>
          </w:p>
        </w:tc>
        <w:tc>
          <w:tcPr>
            <w:tcW w:w="1077" w:type="dxa"/>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3.16 </w:t>
            </w:r>
          </w:p>
        </w:tc>
        <w:tc>
          <w:tcPr>
            <w:tcW w:w="1078" w:type="dxa"/>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3.24 </w:t>
            </w:r>
          </w:p>
        </w:tc>
        <w:tc>
          <w:tcPr>
            <w:tcW w:w="1077" w:type="dxa"/>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3.19 </w:t>
            </w:r>
          </w:p>
        </w:tc>
        <w:tc>
          <w:tcPr>
            <w:tcW w:w="1077" w:type="dxa"/>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3.21 </w:t>
            </w:r>
          </w:p>
        </w:tc>
        <w:tc>
          <w:tcPr>
            <w:tcW w:w="1078" w:type="dxa"/>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t>16.66</w:t>
            </w:r>
          </w:p>
        </w:tc>
      </w:tr>
      <w:tr w:rsidR="00C174DE" w:rsidTr="00C174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tcPr>
          <w:p w:rsidR="00C174DE" w:rsidRPr="00C174DE" w:rsidRDefault="00C174DE" w:rsidP="00C174DE">
            <w:pPr>
              <w:pStyle w:val="AERtabletextleft"/>
            </w:pPr>
            <w:r w:rsidRPr="00C174DE">
              <w:t xml:space="preserve">Debt raising costs </w:t>
            </w:r>
          </w:p>
        </w:tc>
        <w:tc>
          <w:tcPr>
            <w:tcW w:w="1077" w:type="dxa"/>
            <w:vAlign w:val="top"/>
          </w:tcPr>
          <w:p w:rsidR="00C174DE" w:rsidRPr="00C174DE" w:rsidRDefault="00C174DE" w:rsidP="00C174DE">
            <w:pPr>
              <w:pStyle w:val="AERtabletextright"/>
              <w:cnfStyle w:val="000000010000" w:firstRow="0" w:lastRow="0" w:firstColumn="0" w:lastColumn="0" w:oddVBand="0" w:evenVBand="0" w:oddHBand="0" w:evenHBand="1" w:firstRowFirstColumn="0" w:firstRowLastColumn="0" w:lastRowFirstColumn="0" w:lastRowLastColumn="0"/>
            </w:pPr>
            <w:r w:rsidRPr="00C174DE">
              <w:t xml:space="preserve"> 0.07 </w:t>
            </w:r>
          </w:p>
        </w:tc>
        <w:tc>
          <w:tcPr>
            <w:tcW w:w="1077" w:type="dxa"/>
            <w:vAlign w:val="top"/>
          </w:tcPr>
          <w:p w:rsidR="00C174DE" w:rsidRPr="00C174DE" w:rsidRDefault="00C174DE" w:rsidP="00C174DE">
            <w:pPr>
              <w:pStyle w:val="AERtabletextright"/>
              <w:cnfStyle w:val="000000010000" w:firstRow="0" w:lastRow="0" w:firstColumn="0" w:lastColumn="0" w:oddVBand="0" w:evenVBand="0" w:oddHBand="0" w:evenHBand="1" w:firstRowFirstColumn="0" w:firstRowLastColumn="0" w:lastRowFirstColumn="0" w:lastRowLastColumn="0"/>
            </w:pPr>
            <w:r w:rsidRPr="00C174DE">
              <w:t xml:space="preserve"> 0.07 </w:t>
            </w:r>
          </w:p>
        </w:tc>
        <w:tc>
          <w:tcPr>
            <w:tcW w:w="1078" w:type="dxa"/>
            <w:vAlign w:val="top"/>
          </w:tcPr>
          <w:p w:rsidR="00C174DE" w:rsidRPr="00C174DE" w:rsidRDefault="00C174DE" w:rsidP="00C174DE">
            <w:pPr>
              <w:pStyle w:val="AERtabletextright"/>
              <w:cnfStyle w:val="000000010000" w:firstRow="0" w:lastRow="0" w:firstColumn="0" w:lastColumn="0" w:oddVBand="0" w:evenVBand="0" w:oddHBand="0" w:evenHBand="1" w:firstRowFirstColumn="0" w:firstRowLastColumn="0" w:lastRowFirstColumn="0" w:lastRowLastColumn="0"/>
            </w:pPr>
            <w:r w:rsidRPr="00C174DE">
              <w:t xml:space="preserve"> 0.07 </w:t>
            </w:r>
          </w:p>
        </w:tc>
        <w:tc>
          <w:tcPr>
            <w:tcW w:w="1077" w:type="dxa"/>
            <w:vAlign w:val="top"/>
          </w:tcPr>
          <w:p w:rsidR="00C174DE" w:rsidRPr="00C174DE" w:rsidRDefault="00C174DE" w:rsidP="00C174DE">
            <w:pPr>
              <w:pStyle w:val="AERtabletextright"/>
              <w:cnfStyle w:val="000000010000" w:firstRow="0" w:lastRow="0" w:firstColumn="0" w:lastColumn="0" w:oddVBand="0" w:evenVBand="0" w:oddHBand="0" w:evenHBand="1" w:firstRowFirstColumn="0" w:firstRowLastColumn="0" w:lastRowFirstColumn="0" w:lastRowLastColumn="0"/>
            </w:pPr>
            <w:r w:rsidRPr="00C174DE">
              <w:t xml:space="preserve"> 0.07 </w:t>
            </w:r>
          </w:p>
        </w:tc>
        <w:tc>
          <w:tcPr>
            <w:tcW w:w="1077" w:type="dxa"/>
            <w:vAlign w:val="top"/>
          </w:tcPr>
          <w:p w:rsidR="00C174DE" w:rsidRPr="00C174DE" w:rsidRDefault="00C174DE" w:rsidP="00C174DE">
            <w:pPr>
              <w:pStyle w:val="AERtabletextright"/>
              <w:cnfStyle w:val="000000010000" w:firstRow="0" w:lastRow="0" w:firstColumn="0" w:lastColumn="0" w:oddVBand="0" w:evenVBand="0" w:oddHBand="0" w:evenHBand="1" w:firstRowFirstColumn="0" w:firstRowLastColumn="0" w:lastRowFirstColumn="0" w:lastRowLastColumn="0"/>
            </w:pPr>
            <w:r w:rsidRPr="00C174DE">
              <w:t xml:space="preserve"> 0.07 </w:t>
            </w:r>
          </w:p>
        </w:tc>
        <w:tc>
          <w:tcPr>
            <w:tcW w:w="1078" w:type="dxa"/>
          </w:tcPr>
          <w:p w:rsidR="00C174DE" w:rsidRPr="00C174DE" w:rsidRDefault="00C174DE" w:rsidP="00C174DE">
            <w:pPr>
              <w:pStyle w:val="AERtabletextright"/>
              <w:cnfStyle w:val="000000010000" w:firstRow="0" w:lastRow="0" w:firstColumn="0" w:lastColumn="0" w:oddVBand="0" w:evenVBand="0" w:oddHBand="0" w:evenHBand="1" w:firstRowFirstColumn="0" w:firstRowLastColumn="0" w:lastRowFirstColumn="0" w:lastRowLastColumn="0"/>
            </w:pPr>
            <w:r>
              <w:t>0.35</w:t>
            </w:r>
          </w:p>
        </w:tc>
      </w:tr>
      <w:tr w:rsidR="00C174DE" w:rsidTr="00C174DE">
        <w:tc>
          <w:tcPr>
            <w:cnfStyle w:val="001000000000" w:firstRow="0" w:lastRow="0" w:firstColumn="1" w:lastColumn="0" w:oddVBand="0" w:evenVBand="0" w:oddHBand="0" w:evenHBand="0" w:firstRowFirstColumn="0" w:firstRowLastColumn="0" w:lastRowFirstColumn="0" w:lastRowLastColumn="0"/>
            <w:tcW w:w="2778" w:type="dxa"/>
          </w:tcPr>
          <w:p w:rsidR="00C174DE" w:rsidRPr="00C174DE" w:rsidRDefault="00C174DE" w:rsidP="00C174DE">
            <w:pPr>
              <w:pStyle w:val="AERtabletextleft"/>
            </w:pPr>
            <w:r w:rsidRPr="00C174DE">
              <w:rPr>
                <w:rStyle w:val="AERtextbold"/>
              </w:rPr>
              <w:t>Forecast opex for the EBSS</w:t>
            </w:r>
            <w:r w:rsidRPr="00C174DE">
              <w:t xml:space="preserve"> </w:t>
            </w:r>
          </w:p>
        </w:tc>
        <w:tc>
          <w:tcPr>
            <w:tcW w:w="1077" w:type="dxa"/>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3.79 </w:t>
            </w:r>
          </w:p>
        </w:tc>
        <w:tc>
          <w:tcPr>
            <w:tcW w:w="1077" w:type="dxa"/>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3.08 </w:t>
            </w:r>
          </w:p>
        </w:tc>
        <w:tc>
          <w:tcPr>
            <w:tcW w:w="1078" w:type="dxa"/>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3.17 </w:t>
            </w:r>
          </w:p>
        </w:tc>
        <w:tc>
          <w:tcPr>
            <w:tcW w:w="1077" w:type="dxa"/>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3.12 </w:t>
            </w:r>
          </w:p>
        </w:tc>
        <w:tc>
          <w:tcPr>
            <w:tcW w:w="1077" w:type="dxa"/>
            <w:vAlign w:val="top"/>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rsidRPr="00C174DE">
              <w:t xml:space="preserve"> 3.14 </w:t>
            </w:r>
          </w:p>
        </w:tc>
        <w:tc>
          <w:tcPr>
            <w:tcW w:w="1078" w:type="dxa"/>
          </w:tcPr>
          <w:p w:rsidR="00C174DE" w:rsidRPr="00C174DE" w:rsidRDefault="00C174DE" w:rsidP="00C174DE">
            <w:pPr>
              <w:pStyle w:val="AERtabletextright"/>
              <w:cnfStyle w:val="000000000000" w:firstRow="0" w:lastRow="0" w:firstColumn="0" w:lastColumn="0" w:oddVBand="0" w:evenVBand="0" w:oddHBand="0" w:evenHBand="0" w:firstRowFirstColumn="0" w:firstRowLastColumn="0" w:lastRowFirstColumn="0" w:lastRowLastColumn="0"/>
            </w:pPr>
            <w:r>
              <w:t>16.31</w:t>
            </w:r>
          </w:p>
        </w:tc>
      </w:tr>
    </w:tbl>
    <w:p w:rsidR="003324F7" w:rsidRPr="004721D2" w:rsidRDefault="003324F7" w:rsidP="004721D2">
      <w:pPr>
        <w:spacing w:after="0" w:line="240" w:lineRule="auto"/>
        <w:jc w:val="left"/>
        <w:rPr>
          <w:rFonts w:eastAsia="Times New Roman"/>
          <w:szCs w:val="24"/>
        </w:rPr>
      </w:pPr>
    </w:p>
    <w:sectPr w:rsidR="003324F7" w:rsidRPr="004721D2" w:rsidSect="00D956EC">
      <w:footerReference w:type="even" r:id="rId12"/>
      <w:footerReference w:type="default" r:id="rId13"/>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B24" w:rsidRPr="00AB4345" w:rsidRDefault="00907B24" w:rsidP="00AB4345">
      <w:r>
        <w:separator/>
      </w:r>
    </w:p>
  </w:endnote>
  <w:endnote w:type="continuationSeparator" w:id="0">
    <w:p w:rsidR="00907B24" w:rsidRPr="00AB4345" w:rsidRDefault="00907B24"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24" w:rsidRPr="00824CC8" w:rsidRDefault="00BB50E1" w:rsidP="00824CC8">
    <w:pPr>
      <w:pStyle w:val="Footer"/>
    </w:pPr>
    <w:sdt>
      <w:sdtPr>
        <w:id w:val="954882516"/>
        <w:docPartObj>
          <w:docPartGallery w:val="Page Numbers (Bottom of Page)"/>
          <w:docPartUnique/>
        </w:docPartObj>
      </w:sdtPr>
      <w:sdtEndPr/>
      <w:sdtContent>
        <w:r w:rsidR="00907B24" w:rsidRPr="00824CC8">
          <w:fldChar w:fldCharType="begin"/>
        </w:r>
        <w:r w:rsidR="00907B24" w:rsidRPr="00824CC8">
          <w:instrText xml:space="preserve"> PAGE   \* MERGEFORMAT </w:instrText>
        </w:r>
        <w:r w:rsidR="00907B24" w:rsidRPr="00824CC8">
          <w:fldChar w:fldCharType="separate"/>
        </w:r>
        <w:r>
          <w:rPr>
            <w:noProof/>
          </w:rPr>
          <w:t>9-10</w:t>
        </w:r>
        <w:r w:rsidR="00907B24" w:rsidRPr="00824CC8">
          <w:fldChar w:fldCharType="end"/>
        </w:r>
        <w:r w:rsidR="00907B24" w:rsidRPr="00824CC8">
          <w:tab/>
        </w:r>
      </w:sdtContent>
    </w:sdt>
    <w:r w:rsidR="00353F92" w:rsidRPr="00353F92">
      <w:rPr>
        <w:rStyle w:val="AERbody"/>
      </w:rPr>
      <w:t xml:space="preserve"> </w:t>
    </w:r>
    <w:r w:rsidR="00353F92" w:rsidRPr="00824CC8">
      <w:rPr>
        <w:rStyle w:val="AERbody"/>
      </w:rPr>
      <w:t xml:space="preserve">Attachment </w:t>
    </w:r>
    <w:r w:rsidR="00353F92">
      <w:rPr>
        <w:rStyle w:val="AERbody"/>
      </w:rPr>
      <w:t>9</w:t>
    </w:r>
    <w:r w:rsidR="00353F92" w:rsidRPr="00824CC8">
      <w:rPr>
        <w:rStyle w:val="AERbody"/>
      </w:rPr>
      <w:t xml:space="preserve"> | </w:t>
    </w:r>
    <w:r w:rsidR="001D4E4B">
      <w:rPr>
        <w:rStyle w:val="AERbody"/>
      </w:rPr>
      <w:t>Efficiency benefit sharing scheme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24" w:rsidRPr="00824CC8" w:rsidRDefault="00CF3064" w:rsidP="00824CC8">
    <w:pPr>
      <w:pStyle w:val="Footer"/>
      <w:rPr>
        <w:rStyle w:val="AERbody"/>
      </w:rPr>
    </w:pPr>
    <w:r w:rsidRPr="00CF3064">
      <w:rPr>
        <w:rStyle w:val="AERbody"/>
      </w:rPr>
      <w:t xml:space="preserve"> </w:t>
    </w:r>
    <w:r w:rsidR="00353F92">
      <w:rPr>
        <w:rStyle w:val="AERbody"/>
      </w:rPr>
      <w:t>Draft decision: Directlink transmission determination 2015-20</w:t>
    </w:r>
    <w:r w:rsidR="00353F92" w:rsidRPr="00210880">
      <w:rPr>
        <w:rStyle w:val="AERbody"/>
      </w:rPr>
      <w:t xml:space="preserve"> | Attachment</w:t>
    </w:r>
    <w:r w:rsidR="00353F92">
      <w:rPr>
        <w:rStyle w:val="AERbody"/>
      </w:rPr>
      <w:t xml:space="preserve"> 9</w:t>
    </w:r>
    <w:r w:rsidR="00907B24" w:rsidRPr="00210880">
      <w:rPr>
        <w:rStyle w:val="AERbody"/>
      </w:rPr>
      <w:tab/>
    </w:r>
    <w:r w:rsidR="00907B24" w:rsidRPr="00824CC8">
      <w:rPr>
        <w:rStyle w:val="AERbody"/>
      </w:rPr>
      <w:fldChar w:fldCharType="begin"/>
    </w:r>
    <w:r w:rsidR="00907B24" w:rsidRPr="00824CC8">
      <w:rPr>
        <w:rStyle w:val="AERbody"/>
      </w:rPr>
      <w:instrText xml:space="preserve"> PAGE   \* MERGEFORMAT </w:instrText>
    </w:r>
    <w:r w:rsidR="00907B24" w:rsidRPr="00824CC8">
      <w:rPr>
        <w:rStyle w:val="AERbody"/>
      </w:rPr>
      <w:fldChar w:fldCharType="separate"/>
    </w:r>
    <w:r w:rsidR="00BB50E1">
      <w:rPr>
        <w:rStyle w:val="AERbody"/>
        <w:noProof/>
      </w:rPr>
      <w:t>9-9</w:t>
    </w:r>
    <w:r w:rsidR="00907B24"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B24" w:rsidRPr="00AB4345" w:rsidRDefault="00907B24" w:rsidP="00AB4345">
      <w:r>
        <w:separator/>
      </w:r>
    </w:p>
  </w:footnote>
  <w:footnote w:type="continuationSeparator" w:id="0">
    <w:p w:rsidR="00907B24" w:rsidRPr="00AB4345" w:rsidRDefault="00907B24" w:rsidP="00AB4345">
      <w:r>
        <w:continuationSeparator/>
      </w:r>
    </w:p>
  </w:footnote>
  <w:footnote w:id="1">
    <w:p w:rsidR="00907B24" w:rsidRDefault="00907B24">
      <w:pPr>
        <w:pStyle w:val="FootnoteText"/>
      </w:pPr>
      <w:r>
        <w:rPr>
          <w:rStyle w:val="FootnoteReference"/>
        </w:rPr>
        <w:footnoteRef/>
      </w:r>
      <w:r>
        <w:t xml:space="preserve"> </w:t>
      </w:r>
      <w:r>
        <w:tab/>
        <w:t>These concepts are explained more fully in the EBSS itself, released in November 2013.</w:t>
      </w:r>
    </w:p>
  </w:footnote>
  <w:footnote w:id="2">
    <w:p w:rsidR="00160A31" w:rsidRDefault="00160A31" w:rsidP="00160A31">
      <w:pPr>
        <w:pStyle w:val="FootnoteText"/>
      </w:pPr>
      <w:r>
        <w:rPr>
          <w:rStyle w:val="FootnoteReference"/>
        </w:rPr>
        <w:footnoteRef/>
      </w:r>
      <w:r>
        <w:t xml:space="preserve"> </w:t>
      </w:r>
      <w:r>
        <w:tab/>
        <w:t>NER, clause 6A.4.2(a)(6).</w:t>
      </w:r>
    </w:p>
  </w:footnote>
  <w:footnote w:id="3">
    <w:p w:rsidR="00631B8A" w:rsidRDefault="00631B8A" w:rsidP="00631B8A">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4">
    <w:p w:rsidR="000F73F1" w:rsidRDefault="000F73F1">
      <w:pPr>
        <w:pStyle w:val="FootnoteText"/>
      </w:pPr>
      <w:r>
        <w:rPr>
          <w:rStyle w:val="FootnoteReference"/>
        </w:rPr>
        <w:footnoteRef/>
      </w:r>
      <w:r>
        <w:t xml:space="preserve"> </w:t>
      </w:r>
      <w:r>
        <w:tab/>
        <w:t xml:space="preserve">Directlink, </w:t>
      </w:r>
      <w:r w:rsidRPr="000F73F1">
        <w:rPr>
          <w:rStyle w:val="AERtextitalic"/>
        </w:rPr>
        <w:t>Revenue proposal</w:t>
      </w:r>
      <w:r>
        <w:t>, p. 92.</w:t>
      </w:r>
    </w:p>
  </w:footnote>
  <w:footnote w:id="5">
    <w:p w:rsidR="004813AC" w:rsidRDefault="004813AC" w:rsidP="004813AC">
      <w:pPr>
        <w:pStyle w:val="FootnoteText"/>
      </w:pPr>
      <w:r>
        <w:rPr>
          <w:rStyle w:val="FootnoteReference"/>
        </w:rPr>
        <w:footnoteRef/>
      </w:r>
      <w:r>
        <w:t xml:space="preserve"> </w:t>
      </w:r>
      <w:r>
        <w:tab/>
        <w:t>NER, clause 6A.4.2(a)(6).</w:t>
      </w:r>
    </w:p>
  </w:footnote>
  <w:footnote w:id="6">
    <w:p w:rsidR="00907B24" w:rsidRDefault="00907B24" w:rsidP="00E24763">
      <w:pPr>
        <w:pStyle w:val="FootnoteText"/>
      </w:pPr>
      <w:r>
        <w:rPr>
          <w:rStyle w:val="FootnoteReference"/>
        </w:rPr>
        <w:footnoteRef/>
      </w:r>
      <w:r>
        <w:t xml:space="preserve"> </w:t>
      </w:r>
      <w:r>
        <w:tab/>
        <w:t>NER, clause 6A.6.5(a).</w:t>
      </w:r>
    </w:p>
  </w:footnote>
  <w:footnote w:id="7">
    <w:p w:rsidR="00907B24" w:rsidRDefault="00907B24" w:rsidP="00E24763">
      <w:pPr>
        <w:pStyle w:val="FootnoteText"/>
      </w:pPr>
      <w:r>
        <w:rPr>
          <w:rStyle w:val="FootnoteReference"/>
        </w:rPr>
        <w:footnoteRef/>
      </w:r>
      <w:r>
        <w:t xml:space="preserve"> </w:t>
      </w:r>
      <w:r>
        <w:tab/>
        <w:t>NER, clause 6A.6.5(b).</w:t>
      </w:r>
    </w:p>
  </w:footnote>
  <w:footnote w:id="8">
    <w:p w:rsidR="00631B8A" w:rsidRDefault="00631B8A" w:rsidP="00631B8A">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9">
    <w:p w:rsidR="00907B24" w:rsidRDefault="00907B24">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 pp. 5-7.</w:t>
      </w:r>
    </w:p>
  </w:footnote>
  <w:footnote w:id="10">
    <w:p w:rsidR="00A66D82" w:rsidRDefault="00A66D82" w:rsidP="00A66D82">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 p. 6.</w:t>
      </w:r>
    </w:p>
  </w:footnote>
  <w:footnote w:id="11">
    <w:p w:rsidR="00A66D82" w:rsidRDefault="00A66D82">
      <w:pPr>
        <w:pStyle w:val="FootnoteText"/>
      </w:pPr>
      <w:r>
        <w:rPr>
          <w:rStyle w:val="FootnoteReference"/>
        </w:rPr>
        <w:footnoteRef/>
      </w:r>
      <w:r>
        <w:t xml:space="preserve"> </w:t>
      </w:r>
      <w:r>
        <w:tab/>
        <w:t>NER, clause 6A.6.5(b)</w:t>
      </w:r>
      <w:r w:rsidR="0033034D">
        <w:t>(1)</w:t>
      </w:r>
      <w:r>
        <w:t>.</w:t>
      </w:r>
    </w:p>
  </w:footnote>
  <w:footnote w:id="12">
    <w:p w:rsidR="00630451" w:rsidRDefault="00630451" w:rsidP="00BD3DC6">
      <w:pPr>
        <w:pStyle w:val="FootnoteText"/>
      </w:pPr>
      <w:r>
        <w:rPr>
          <w:rStyle w:val="FootnoteReference"/>
        </w:rPr>
        <w:footnoteRef/>
      </w:r>
      <w:r>
        <w:t xml:space="preserve"> </w:t>
      </w:r>
      <w:r>
        <w:tab/>
        <w:t xml:space="preserve">AER, </w:t>
      </w:r>
      <w:r w:rsidR="00BD3DC6" w:rsidRPr="00BD3DC6">
        <w:rPr>
          <w:rStyle w:val="AERtextitalic"/>
        </w:rPr>
        <w:t>Electricity transmission network service providers</w:t>
      </w:r>
      <w:r w:rsidR="00BD3DC6">
        <w:rPr>
          <w:rStyle w:val="AERtextitalic"/>
        </w:rPr>
        <w:t xml:space="preserve"> </w:t>
      </w:r>
      <w:r w:rsidR="00BD3DC6" w:rsidRPr="00BD3DC6">
        <w:rPr>
          <w:rStyle w:val="AERtextitalic"/>
        </w:rPr>
        <w:t>Efficiency benefit sharing scheme</w:t>
      </w:r>
      <w:r>
        <w:rPr>
          <w:rStyle w:val="AERtextitalic"/>
        </w:rPr>
        <w:t>,</w:t>
      </w:r>
      <w:r>
        <w:t xml:space="preserve"> September 2007, p.</w:t>
      </w:r>
      <w:r w:rsidR="00BD3DC6">
        <w:t xml:space="preserve"> 6.</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9"/>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cumentProtection w:formatting="1" w:enforcement="1" w:cryptProviderType="rsaFull" w:cryptAlgorithmClass="hash" w:cryptAlgorithmType="typeAny" w:cryptAlgorithmSid="4" w:cryptSpinCount="100000" w:hash="AKwFRMywjyRm8+awpPra4js5IEg=" w:salt="ax9GkCKuKyfIFxOGpbc76A=="/>
  <w:defaultTabStop w:val="720"/>
  <w:evenAndOddHeaders/>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7068\D14 55156  TNSPs 2014-19 - Draft decision - EBSS.DOCX"/>
  </w:docVars>
  <w:rsids>
    <w:rsidRoot w:val="000C052F"/>
    <w:rsid w:val="000027FC"/>
    <w:rsid w:val="000029AD"/>
    <w:rsid w:val="00011129"/>
    <w:rsid w:val="00022606"/>
    <w:rsid w:val="00032310"/>
    <w:rsid w:val="00040599"/>
    <w:rsid w:val="00040749"/>
    <w:rsid w:val="0009027E"/>
    <w:rsid w:val="000A1CC2"/>
    <w:rsid w:val="000A5342"/>
    <w:rsid w:val="000B15CA"/>
    <w:rsid w:val="000B28BE"/>
    <w:rsid w:val="000B3844"/>
    <w:rsid w:val="000C052F"/>
    <w:rsid w:val="000C3430"/>
    <w:rsid w:val="000D03C2"/>
    <w:rsid w:val="000D04B1"/>
    <w:rsid w:val="000D401F"/>
    <w:rsid w:val="000E1A25"/>
    <w:rsid w:val="000E3BA9"/>
    <w:rsid w:val="000E6B5F"/>
    <w:rsid w:val="000F15B5"/>
    <w:rsid w:val="000F3A6A"/>
    <w:rsid w:val="000F73F1"/>
    <w:rsid w:val="001033B3"/>
    <w:rsid w:val="00105636"/>
    <w:rsid w:val="00122CDA"/>
    <w:rsid w:val="0013022D"/>
    <w:rsid w:val="00135689"/>
    <w:rsid w:val="001543D2"/>
    <w:rsid w:val="00156B2E"/>
    <w:rsid w:val="001578F4"/>
    <w:rsid w:val="00160A31"/>
    <w:rsid w:val="00160CE2"/>
    <w:rsid w:val="00160CEF"/>
    <w:rsid w:val="00174026"/>
    <w:rsid w:val="0018385B"/>
    <w:rsid w:val="0018547E"/>
    <w:rsid w:val="001856EE"/>
    <w:rsid w:val="00191C76"/>
    <w:rsid w:val="00192796"/>
    <w:rsid w:val="00194C3C"/>
    <w:rsid w:val="001A2CB2"/>
    <w:rsid w:val="001B42F6"/>
    <w:rsid w:val="001C12E5"/>
    <w:rsid w:val="001C1FFE"/>
    <w:rsid w:val="001C4309"/>
    <w:rsid w:val="001C5553"/>
    <w:rsid w:val="001D4E4B"/>
    <w:rsid w:val="001F60A7"/>
    <w:rsid w:val="0020711E"/>
    <w:rsid w:val="00210880"/>
    <w:rsid w:val="00210A19"/>
    <w:rsid w:val="00213553"/>
    <w:rsid w:val="00214A77"/>
    <w:rsid w:val="002257B9"/>
    <w:rsid w:val="00227910"/>
    <w:rsid w:val="0023137D"/>
    <w:rsid w:val="002420DE"/>
    <w:rsid w:val="00266710"/>
    <w:rsid w:val="002805B8"/>
    <w:rsid w:val="0028290C"/>
    <w:rsid w:val="00283860"/>
    <w:rsid w:val="00292A7C"/>
    <w:rsid w:val="002938CE"/>
    <w:rsid w:val="00294042"/>
    <w:rsid w:val="002965BA"/>
    <w:rsid w:val="002B6640"/>
    <w:rsid w:val="002D16B9"/>
    <w:rsid w:val="002D61AC"/>
    <w:rsid w:val="002E4720"/>
    <w:rsid w:val="002E4C1E"/>
    <w:rsid w:val="002E7A3C"/>
    <w:rsid w:val="002F2EDD"/>
    <w:rsid w:val="002F362A"/>
    <w:rsid w:val="00303452"/>
    <w:rsid w:val="00311AD1"/>
    <w:rsid w:val="0033034D"/>
    <w:rsid w:val="003324F7"/>
    <w:rsid w:val="00334F88"/>
    <w:rsid w:val="003360C2"/>
    <w:rsid w:val="00342645"/>
    <w:rsid w:val="00345D15"/>
    <w:rsid w:val="00353F92"/>
    <w:rsid w:val="00357FC1"/>
    <w:rsid w:val="00362041"/>
    <w:rsid w:val="00367E80"/>
    <w:rsid w:val="003707DB"/>
    <w:rsid w:val="00375AEC"/>
    <w:rsid w:val="00376236"/>
    <w:rsid w:val="0037652C"/>
    <w:rsid w:val="003800E4"/>
    <w:rsid w:val="00380FF5"/>
    <w:rsid w:val="00382CAD"/>
    <w:rsid w:val="0038624E"/>
    <w:rsid w:val="003A0EB1"/>
    <w:rsid w:val="003A1BC7"/>
    <w:rsid w:val="003A6174"/>
    <w:rsid w:val="003A6FE6"/>
    <w:rsid w:val="003C5012"/>
    <w:rsid w:val="003D6853"/>
    <w:rsid w:val="003F54B9"/>
    <w:rsid w:val="003F5EF6"/>
    <w:rsid w:val="003F755D"/>
    <w:rsid w:val="004030AB"/>
    <w:rsid w:val="00412282"/>
    <w:rsid w:val="00421E6B"/>
    <w:rsid w:val="004256BA"/>
    <w:rsid w:val="00431999"/>
    <w:rsid w:val="00435682"/>
    <w:rsid w:val="00456081"/>
    <w:rsid w:val="00463216"/>
    <w:rsid w:val="00464F5D"/>
    <w:rsid w:val="004721D2"/>
    <w:rsid w:val="00474FBD"/>
    <w:rsid w:val="004813AC"/>
    <w:rsid w:val="00491D7D"/>
    <w:rsid w:val="004936D2"/>
    <w:rsid w:val="004A1D7E"/>
    <w:rsid w:val="004C3F45"/>
    <w:rsid w:val="004E338E"/>
    <w:rsid w:val="004E40EF"/>
    <w:rsid w:val="004E73F7"/>
    <w:rsid w:val="004F76A0"/>
    <w:rsid w:val="00500E7F"/>
    <w:rsid w:val="0052179D"/>
    <w:rsid w:val="005456A9"/>
    <w:rsid w:val="00555D52"/>
    <w:rsid w:val="005566D7"/>
    <w:rsid w:val="00557842"/>
    <w:rsid w:val="00561F7F"/>
    <w:rsid w:val="00566B35"/>
    <w:rsid w:val="005732CC"/>
    <w:rsid w:val="00575422"/>
    <w:rsid w:val="00591B98"/>
    <w:rsid w:val="0059290B"/>
    <w:rsid w:val="00592C86"/>
    <w:rsid w:val="005938C6"/>
    <w:rsid w:val="005A0431"/>
    <w:rsid w:val="005A5BBE"/>
    <w:rsid w:val="005A7C46"/>
    <w:rsid w:val="005B3752"/>
    <w:rsid w:val="005B61C2"/>
    <w:rsid w:val="005C2582"/>
    <w:rsid w:val="005D1B25"/>
    <w:rsid w:val="005D26B7"/>
    <w:rsid w:val="005D4AA1"/>
    <w:rsid w:val="005D690A"/>
    <w:rsid w:val="005E1050"/>
    <w:rsid w:val="005E3044"/>
    <w:rsid w:val="005F7DB4"/>
    <w:rsid w:val="0060146C"/>
    <w:rsid w:val="0060207D"/>
    <w:rsid w:val="006039F2"/>
    <w:rsid w:val="006061B0"/>
    <w:rsid w:val="0060732E"/>
    <w:rsid w:val="006076A9"/>
    <w:rsid w:val="00617644"/>
    <w:rsid w:val="00620E9A"/>
    <w:rsid w:val="00621534"/>
    <w:rsid w:val="00630451"/>
    <w:rsid w:val="00631B8A"/>
    <w:rsid w:val="00633ECA"/>
    <w:rsid w:val="0064487F"/>
    <w:rsid w:val="006544EA"/>
    <w:rsid w:val="0065651C"/>
    <w:rsid w:val="00661BFD"/>
    <w:rsid w:val="0066569F"/>
    <w:rsid w:val="006679B9"/>
    <w:rsid w:val="0069004B"/>
    <w:rsid w:val="006B08EB"/>
    <w:rsid w:val="006B481F"/>
    <w:rsid w:val="006B5F7B"/>
    <w:rsid w:val="006D1A9B"/>
    <w:rsid w:val="006D443D"/>
    <w:rsid w:val="006D54F3"/>
    <w:rsid w:val="006E4DFA"/>
    <w:rsid w:val="006F6197"/>
    <w:rsid w:val="006F638E"/>
    <w:rsid w:val="006F6CCB"/>
    <w:rsid w:val="00703E42"/>
    <w:rsid w:val="00707A05"/>
    <w:rsid w:val="00714701"/>
    <w:rsid w:val="007176BA"/>
    <w:rsid w:val="0073340F"/>
    <w:rsid w:val="00734110"/>
    <w:rsid w:val="007368AD"/>
    <w:rsid w:val="007439B9"/>
    <w:rsid w:val="00751D2A"/>
    <w:rsid w:val="0075407C"/>
    <w:rsid w:val="00755095"/>
    <w:rsid w:val="007601B4"/>
    <w:rsid w:val="007762A7"/>
    <w:rsid w:val="0077767F"/>
    <w:rsid w:val="00793DEB"/>
    <w:rsid w:val="00796A07"/>
    <w:rsid w:val="007A15F4"/>
    <w:rsid w:val="007B1D05"/>
    <w:rsid w:val="007D1353"/>
    <w:rsid w:val="007E03AC"/>
    <w:rsid w:val="007F10E3"/>
    <w:rsid w:val="007F2C0E"/>
    <w:rsid w:val="00801375"/>
    <w:rsid w:val="00804AEB"/>
    <w:rsid w:val="00812DAA"/>
    <w:rsid w:val="00820183"/>
    <w:rsid w:val="00824CC8"/>
    <w:rsid w:val="00836D17"/>
    <w:rsid w:val="00840A55"/>
    <w:rsid w:val="00841E25"/>
    <w:rsid w:val="008464CD"/>
    <w:rsid w:val="008515EE"/>
    <w:rsid w:val="00855BE1"/>
    <w:rsid w:val="00861C4E"/>
    <w:rsid w:val="008647E7"/>
    <w:rsid w:val="00866D21"/>
    <w:rsid w:val="00866F2D"/>
    <w:rsid w:val="00872D85"/>
    <w:rsid w:val="00883DDA"/>
    <w:rsid w:val="00891FF9"/>
    <w:rsid w:val="00893367"/>
    <w:rsid w:val="00893D07"/>
    <w:rsid w:val="00894CBE"/>
    <w:rsid w:val="008A2582"/>
    <w:rsid w:val="008B7956"/>
    <w:rsid w:val="008C3722"/>
    <w:rsid w:val="008C3B67"/>
    <w:rsid w:val="008C3F48"/>
    <w:rsid w:val="008C50E9"/>
    <w:rsid w:val="008D2F45"/>
    <w:rsid w:val="008D49B4"/>
    <w:rsid w:val="008D7498"/>
    <w:rsid w:val="008E0133"/>
    <w:rsid w:val="008F3863"/>
    <w:rsid w:val="008F5C6E"/>
    <w:rsid w:val="00904EE7"/>
    <w:rsid w:val="00907B24"/>
    <w:rsid w:val="00932E96"/>
    <w:rsid w:val="00935A19"/>
    <w:rsid w:val="009418E6"/>
    <w:rsid w:val="0094235F"/>
    <w:rsid w:val="0094279F"/>
    <w:rsid w:val="00946B98"/>
    <w:rsid w:val="0095052A"/>
    <w:rsid w:val="00954D98"/>
    <w:rsid w:val="009602EF"/>
    <w:rsid w:val="0096505E"/>
    <w:rsid w:val="009658F0"/>
    <w:rsid w:val="009703B9"/>
    <w:rsid w:val="00971655"/>
    <w:rsid w:val="00971C63"/>
    <w:rsid w:val="009A4AE9"/>
    <w:rsid w:val="009B2905"/>
    <w:rsid w:val="009C71D5"/>
    <w:rsid w:val="009F49EE"/>
    <w:rsid w:val="009F5356"/>
    <w:rsid w:val="009F7CE4"/>
    <w:rsid w:val="00A056F5"/>
    <w:rsid w:val="00A11162"/>
    <w:rsid w:val="00A1649C"/>
    <w:rsid w:val="00A43227"/>
    <w:rsid w:val="00A46CCD"/>
    <w:rsid w:val="00A4782A"/>
    <w:rsid w:val="00A62DE9"/>
    <w:rsid w:val="00A65133"/>
    <w:rsid w:val="00A652C5"/>
    <w:rsid w:val="00A66D82"/>
    <w:rsid w:val="00A675F9"/>
    <w:rsid w:val="00A85C5A"/>
    <w:rsid w:val="00A8610C"/>
    <w:rsid w:val="00A947AA"/>
    <w:rsid w:val="00A96A08"/>
    <w:rsid w:val="00A971B7"/>
    <w:rsid w:val="00A97C5C"/>
    <w:rsid w:val="00AA0161"/>
    <w:rsid w:val="00AB1D08"/>
    <w:rsid w:val="00AB237C"/>
    <w:rsid w:val="00AB2DD1"/>
    <w:rsid w:val="00AB4345"/>
    <w:rsid w:val="00AB5BD7"/>
    <w:rsid w:val="00AC0135"/>
    <w:rsid w:val="00AC070D"/>
    <w:rsid w:val="00AC1B94"/>
    <w:rsid w:val="00AC2901"/>
    <w:rsid w:val="00AC68B4"/>
    <w:rsid w:val="00AD0616"/>
    <w:rsid w:val="00AD34FF"/>
    <w:rsid w:val="00AD3F51"/>
    <w:rsid w:val="00AD4ADC"/>
    <w:rsid w:val="00AD4DE6"/>
    <w:rsid w:val="00AE56D5"/>
    <w:rsid w:val="00AE628D"/>
    <w:rsid w:val="00AE6DBC"/>
    <w:rsid w:val="00AF3E95"/>
    <w:rsid w:val="00AF47D9"/>
    <w:rsid w:val="00AF7C67"/>
    <w:rsid w:val="00B07EBC"/>
    <w:rsid w:val="00B15FE9"/>
    <w:rsid w:val="00B3604B"/>
    <w:rsid w:val="00B37449"/>
    <w:rsid w:val="00B51883"/>
    <w:rsid w:val="00B52796"/>
    <w:rsid w:val="00B61FD4"/>
    <w:rsid w:val="00B64598"/>
    <w:rsid w:val="00B674DB"/>
    <w:rsid w:val="00B80514"/>
    <w:rsid w:val="00B82E8D"/>
    <w:rsid w:val="00B9264D"/>
    <w:rsid w:val="00B93E27"/>
    <w:rsid w:val="00B94D99"/>
    <w:rsid w:val="00B9587C"/>
    <w:rsid w:val="00B9711D"/>
    <w:rsid w:val="00BB3FA1"/>
    <w:rsid w:val="00BB4B81"/>
    <w:rsid w:val="00BB50E1"/>
    <w:rsid w:val="00BB62BB"/>
    <w:rsid w:val="00BC05C5"/>
    <w:rsid w:val="00BC3332"/>
    <w:rsid w:val="00BD04BE"/>
    <w:rsid w:val="00BD3C88"/>
    <w:rsid w:val="00BD3DC6"/>
    <w:rsid w:val="00BE6F28"/>
    <w:rsid w:val="00BF1F33"/>
    <w:rsid w:val="00BF29FA"/>
    <w:rsid w:val="00C04D2B"/>
    <w:rsid w:val="00C04F93"/>
    <w:rsid w:val="00C061ED"/>
    <w:rsid w:val="00C064E1"/>
    <w:rsid w:val="00C15D3D"/>
    <w:rsid w:val="00C174DE"/>
    <w:rsid w:val="00C61BC9"/>
    <w:rsid w:val="00C64A2B"/>
    <w:rsid w:val="00C737C5"/>
    <w:rsid w:val="00CA3540"/>
    <w:rsid w:val="00CA6DED"/>
    <w:rsid w:val="00CB39B1"/>
    <w:rsid w:val="00CC1EC2"/>
    <w:rsid w:val="00CC25AF"/>
    <w:rsid w:val="00CC49D4"/>
    <w:rsid w:val="00CC6E9F"/>
    <w:rsid w:val="00CC6FE3"/>
    <w:rsid w:val="00CD2AE7"/>
    <w:rsid w:val="00CE0402"/>
    <w:rsid w:val="00CE4887"/>
    <w:rsid w:val="00CE6F5A"/>
    <w:rsid w:val="00CF3064"/>
    <w:rsid w:val="00CF42CF"/>
    <w:rsid w:val="00D01B61"/>
    <w:rsid w:val="00D1025E"/>
    <w:rsid w:val="00D102E9"/>
    <w:rsid w:val="00D1688F"/>
    <w:rsid w:val="00D17B6B"/>
    <w:rsid w:val="00D17F19"/>
    <w:rsid w:val="00D2117F"/>
    <w:rsid w:val="00D25317"/>
    <w:rsid w:val="00D25C1D"/>
    <w:rsid w:val="00D37D2C"/>
    <w:rsid w:val="00D6276C"/>
    <w:rsid w:val="00D66E8B"/>
    <w:rsid w:val="00D77606"/>
    <w:rsid w:val="00D806F5"/>
    <w:rsid w:val="00D85715"/>
    <w:rsid w:val="00D869D1"/>
    <w:rsid w:val="00D8706C"/>
    <w:rsid w:val="00D956EC"/>
    <w:rsid w:val="00D96904"/>
    <w:rsid w:val="00DA4C62"/>
    <w:rsid w:val="00DB4D75"/>
    <w:rsid w:val="00DB6A17"/>
    <w:rsid w:val="00DC3FF5"/>
    <w:rsid w:val="00DD4E84"/>
    <w:rsid w:val="00DD5520"/>
    <w:rsid w:val="00DE77E3"/>
    <w:rsid w:val="00DF16C2"/>
    <w:rsid w:val="00E00F76"/>
    <w:rsid w:val="00E1226B"/>
    <w:rsid w:val="00E12BBC"/>
    <w:rsid w:val="00E21E75"/>
    <w:rsid w:val="00E24763"/>
    <w:rsid w:val="00E26D86"/>
    <w:rsid w:val="00E519DC"/>
    <w:rsid w:val="00E636A5"/>
    <w:rsid w:val="00E71662"/>
    <w:rsid w:val="00E807DA"/>
    <w:rsid w:val="00E84E3A"/>
    <w:rsid w:val="00E87540"/>
    <w:rsid w:val="00E914C7"/>
    <w:rsid w:val="00E92E64"/>
    <w:rsid w:val="00EA05AF"/>
    <w:rsid w:val="00EA74C7"/>
    <w:rsid w:val="00EB5CDF"/>
    <w:rsid w:val="00EC0C5F"/>
    <w:rsid w:val="00EC3F02"/>
    <w:rsid w:val="00EC43B9"/>
    <w:rsid w:val="00ED4D69"/>
    <w:rsid w:val="00EE362F"/>
    <w:rsid w:val="00EE38B1"/>
    <w:rsid w:val="00EF0E19"/>
    <w:rsid w:val="00EF7F51"/>
    <w:rsid w:val="00F030EA"/>
    <w:rsid w:val="00F114AE"/>
    <w:rsid w:val="00F12126"/>
    <w:rsid w:val="00F13B9D"/>
    <w:rsid w:val="00F152C5"/>
    <w:rsid w:val="00F21B8F"/>
    <w:rsid w:val="00F30928"/>
    <w:rsid w:val="00F43CA0"/>
    <w:rsid w:val="00F55030"/>
    <w:rsid w:val="00F70D92"/>
    <w:rsid w:val="00F750FF"/>
    <w:rsid w:val="00F7696F"/>
    <w:rsid w:val="00F8209B"/>
    <w:rsid w:val="00F97CD9"/>
    <w:rsid w:val="00FA0576"/>
    <w:rsid w:val="00FB4F14"/>
    <w:rsid w:val="00FB50B4"/>
    <w:rsid w:val="00FB6485"/>
    <w:rsid w:val="00FB7ED6"/>
    <w:rsid w:val="00FC4CA1"/>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1578F4"/>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1578F4"/>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61764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blishing.unit@acc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E91DC2AC.dotm</Template>
  <TotalTime>0</TotalTime>
  <Pages>10</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2014-11-26T04:27:00Z</dcterms:created>
  <dcterms:modified xsi:type="dcterms:W3CDTF">2014-11-26T04:27:00Z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8248562</vt:lpwstr>
  </property>
</Properties>
</file>