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r w:rsidRPr="00824CC8">
        <w:rPr>
          <w:noProof/>
        </w:rPr>
        <w:drawing>
          <wp:anchor distT="0" distB="0" distL="114300" distR="114300" simplePos="0" relativeHeight="251664384" behindDoc="1" locked="0" layoutInCell="1" allowOverlap="1" wp14:anchorId="76D7C48D" wp14:editId="4E9C46BD">
            <wp:simplePos x="0" y="0"/>
            <wp:positionH relativeFrom="column">
              <wp:posOffset>-948513</wp:posOffset>
            </wp:positionH>
            <wp:positionV relativeFrom="paragraph">
              <wp:posOffset>-946298</wp:posOffset>
            </wp:positionV>
            <wp:extent cx="7657657" cy="10792047"/>
            <wp:effectExtent l="19050" t="0" r="443"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8"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720624" w:rsidRDefault="00720624" w:rsidP="00EF0E19">
      <w:pPr>
        <w:pStyle w:val="AERtitle1"/>
      </w:pPr>
    </w:p>
    <w:p w:rsidR="00720624" w:rsidRDefault="00720624" w:rsidP="00EF0E19">
      <w:pPr>
        <w:pStyle w:val="AERtitle1"/>
      </w:pPr>
      <w:r>
        <w:t>Draft decision</w:t>
      </w:r>
    </w:p>
    <w:p w:rsidR="00727C40" w:rsidRDefault="00727C40" w:rsidP="00727C40">
      <w:pPr>
        <w:pStyle w:val="AERtitle1"/>
      </w:pPr>
      <w:r>
        <w:t>Jemena Gas Networks</w:t>
      </w:r>
      <w:r w:rsidR="00097C48">
        <w:t xml:space="preserve"> (NSW) Ltd</w:t>
      </w:r>
    </w:p>
    <w:p w:rsidR="00727C40" w:rsidRDefault="00951C01" w:rsidP="00EF0E19">
      <w:pPr>
        <w:pStyle w:val="AERtitle1"/>
      </w:pPr>
      <w:r>
        <w:t>Access arran</w:t>
      </w:r>
      <w:bookmarkStart w:id="0" w:name="_GoBack"/>
      <w:bookmarkEnd w:id="0"/>
      <w:r>
        <w:t xml:space="preserve">gement </w:t>
      </w:r>
      <w:r w:rsidR="00953C00">
        <w:t>2015-</w:t>
      </w:r>
      <w:r w:rsidR="00DC6340">
        <w:t>20</w:t>
      </w:r>
    </w:p>
    <w:p w:rsidR="00951C01" w:rsidRDefault="00951C01" w:rsidP="00EF0E19">
      <w:pPr>
        <w:pStyle w:val="AERtitle1"/>
      </w:pPr>
    </w:p>
    <w:p w:rsidR="00EF0E19" w:rsidRDefault="00D7417B" w:rsidP="00EF0E19">
      <w:pPr>
        <w:pStyle w:val="AERtitle1"/>
      </w:pPr>
      <w:r>
        <w:t>Attachment 1</w:t>
      </w:r>
      <w:r w:rsidR="00727C40">
        <w:t xml:space="preserve"> -</w:t>
      </w:r>
      <w:r>
        <w:t xml:space="preserve"> Services covered by the access arrangement</w:t>
      </w:r>
    </w:p>
    <w:p w:rsidR="00EF0E19" w:rsidRDefault="00EF0E19" w:rsidP="00EF0E19"/>
    <w:p w:rsidR="00EF0E19" w:rsidRDefault="00EF0E19" w:rsidP="00EF0E19"/>
    <w:p w:rsidR="00EF0E19" w:rsidRPr="00F6235D" w:rsidRDefault="00EF0E19" w:rsidP="00EF0E19"/>
    <w:p w:rsidR="00EF0E19" w:rsidRPr="00F6235D" w:rsidRDefault="00D7417B" w:rsidP="00EF0E19">
      <w:pPr>
        <w:pStyle w:val="AERtitle2"/>
      </w:pPr>
      <w:r>
        <w:t>November</w:t>
      </w:r>
      <w:r w:rsidR="00525604">
        <w:t xml:space="preserve"> </w:t>
      </w:r>
      <w:r w:rsidR="00EF0E19">
        <w:t>20</w:t>
      </w:r>
      <w:r w:rsidR="00525604">
        <w:t>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EF0E19" w:rsidP="00F97CD9">
      <w:pPr>
        <w:pStyle w:val="AERbodytextnospace"/>
        <w:rPr>
          <w:rStyle w:val="AERtextbold"/>
        </w:rPr>
      </w:pPr>
      <w:r w:rsidRPr="008F1A4A">
        <w:rPr>
          <w:rStyle w:val="AERtextbold"/>
        </w:rPr>
        <w:lastRenderedPageBreak/>
        <w:t>© Commonwealth of Australia 201</w:t>
      </w:r>
      <w:r w:rsidR="00525604">
        <w:rPr>
          <w:rStyle w:val="AERtextbold"/>
        </w:rPr>
        <w:t>4</w:t>
      </w:r>
    </w:p>
    <w:p w:rsidR="008E43EB" w:rsidRDefault="00EF0E19" w:rsidP="008E43EB">
      <w:r w:rsidRPr="00F6235D">
        <w:t xml:space="preserve">This work is copyright. Apart from any use permitted by the Copyright Act 1968, </w:t>
      </w:r>
      <w:r w:rsidR="008E43EB" w:rsidRPr="008E43EB">
        <w:t>all material contained within this work is provided under a Creative Commons Attribution 3.0 Australia licence</w:t>
      </w:r>
      <w:r w:rsidR="008E43EB">
        <w:t xml:space="preserve"> </w:t>
      </w:r>
      <w:r w:rsidR="008E43EB" w:rsidRPr="008E43EB">
        <w:t>with the exception of:</w:t>
      </w:r>
    </w:p>
    <w:p w:rsidR="008E43EB" w:rsidRDefault="008E43EB" w:rsidP="00C05CEC">
      <w:pPr>
        <w:pStyle w:val="AERbulletlistfirststyle"/>
      </w:pPr>
      <w:r>
        <w:t>Commonwealth Coat of Arms</w:t>
      </w:r>
    </w:p>
    <w:p w:rsidR="008E43EB" w:rsidRDefault="008E43EB" w:rsidP="00C05CEC">
      <w:pPr>
        <w:pStyle w:val="AERbulletlistfirststyle"/>
      </w:pPr>
      <w:r>
        <w:t>the ACCC and AER logos</w:t>
      </w:r>
    </w:p>
    <w:p w:rsidR="008E43EB" w:rsidRPr="008E43EB" w:rsidRDefault="008E43EB" w:rsidP="00C05CEC">
      <w:pPr>
        <w:pStyle w:val="AERbulletlistfirststyle"/>
      </w:pPr>
      <w:r w:rsidRPr="008E43EB">
        <w:t>any illustration, diagram, photograph or graphic over which the Australian Competition and Consumer Commission does not hold copyright, but which may be part of or contained within this publication</w:t>
      </w:r>
    </w:p>
    <w:p w:rsidR="008E43EB" w:rsidRPr="008E43EB" w:rsidRDefault="008E43EB" w:rsidP="008E43EB">
      <w:pPr>
        <w:pStyle w:val="AERbodytext"/>
      </w:pPr>
      <w:r w:rsidRPr="008E43EB">
        <w:t>The details of the relevant licence conditions are available on the Creative Commons website, as is the full legal code for the CC BY 3.0 AU licence.</w:t>
      </w:r>
    </w:p>
    <w:p w:rsidR="008E43EB" w:rsidRPr="008E43EB" w:rsidRDefault="008E43EB" w:rsidP="008E43EB">
      <w:pPr>
        <w:pStyle w:val="AERbodytext"/>
      </w:pPr>
      <w:r w:rsidRPr="008E43EB">
        <w:t xml:space="preserve">Requests and inquiries concerning reproduction and rights should be addressed to the Director, Corporate Communications, ACCC, GPO Box 3131, Canberra ACT 2601, or </w:t>
      </w:r>
      <w:hyperlink r:id="rId9" w:history="1">
        <w:r w:rsidRPr="008E43EB">
          <w:rPr>
            <w:rStyle w:val="Hyperlink"/>
          </w:rPr>
          <w:t>publishing.unit@accc.gov.au</w:t>
        </w:r>
      </w:hyperlink>
      <w:r w:rsidRPr="008E43EB">
        <w:t xml:space="preserve"> .</w:t>
      </w:r>
    </w:p>
    <w:p w:rsidR="008E43EB" w:rsidRDefault="008E43EB" w:rsidP="008E43EB">
      <w:pPr>
        <w:pStyle w:val="AERbodytext"/>
      </w:pPr>
      <w:r w:rsidRPr="008E43EB">
        <w:t>Inquiries about this decision should be addressed to:</w:t>
      </w:r>
    </w:p>
    <w:p w:rsidR="00EF0E19" w:rsidRDefault="00EF0E19" w:rsidP="008E43EB">
      <w:pPr>
        <w:pStyle w:val="AERbodytext"/>
        <w:numPr>
          <w:ilvl w:val="0"/>
          <w:numId w:val="0"/>
        </w:numPr>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Pr="008F1A4A" w:rsidRDefault="00EF0E19" w:rsidP="00EF0E19"/>
    <w:p w:rsidR="00EF0E19" w:rsidRDefault="00EF0E19" w:rsidP="00EF0E19">
      <w:r>
        <w:t xml:space="preserve">AER reference:   </w:t>
      </w:r>
      <w:r w:rsidR="00253483">
        <w:t>51741</w:t>
      </w:r>
      <w:r>
        <w:t xml:space="preserve">      </w:t>
      </w: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525604" w:rsidRDefault="00525604" w:rsidP="00525604">
      <w:pPr>
        <w:pStyle w:val="AERbodytext"/>
        <w:numPr>
          <w:ilvl w:val="0"/>
          <w:numId w:val="0"/>
        </w:numPr>
      </w:pPr>
    </w:p>
    <w:p w:rsidR="00F54216" w:rsidRDefault="00F54216" w:rsidP="00525604">
      <w:pPr>
        <w:pStyle w:val="AERbodytext"/>
        <w:numPr>
          <w:ilvl w:val="0"/>
          <w:numId w:val="0"/>
        </w:numPr>
      </w:pPr>
    </w:p>
    <w:p w:rsidR="001C54CC" w:rsidRDefault="001C54CC">
      <w:pPr>
        <w:spacing w:after="0" w:line="240" w:lineRule="auto"/>
        <w:jc w:val="left"/>
        <w:rPr>
          <w:rFonts w:eastAsia="Times New Roman"/>
          <w:szCs w:val="24"/>
        </w:rPr>
      </w:pPr>
      <w:r>
        <w:br w:type="page"/>
      </w:r>
    </w:p>
    <w:p w:rsidR="001C54CC" w:rsidRPr="001C54CC" w:rsidRDefault="001C54CC" w:rsidP="001C54CC">
      <w:pPr>
        <w:pStyle w:val="UnnumberedHeading"/>
        <w:rPr>
          <w:rStyle w:val="AERtextblue"/>
          <w:color w:val="E36C0A"/>
        </w:rPr>
      </w:pPr>
      <w:bookmarkStart w:id="1" w:name="_Toc404255698"/>
      <w:r w:rsidRPr="001C54CC">
        <w:rPr>
          <w:rStyle w:val="AERtextblue"/>
          <w:color w:val="E36C0A"/>
        </w:rPr>
        <w:lastRenderedPageBreak/>
        <w:t>Note</w:t>
      </w:r>
      <w:bookmarkEnd w:id="1"/>
    </w:p>
    <w:p w:rsidR="001C54CC" w:rsidRDefault="001C54CC" w:rsidP="001C54CC">
      <w:r>
        <w:t>This attachment forms part of the AER's draft decision on Jemena Gas Networks</w:t>
      </w:r>
      <w:r w:rsidR="00802610">
        <w:t>'</w:t>
      </w:r>
      <w:r>
        <w:t xml:space="preserve"> 2015–20 access arrangement. It should be read with other parts of the draft decision.</w:t>
      </w:r>
    </w:p>
    <w:p w:rsidR="001C54CC" w:rsidRDefault="001C54CC" w:rsidP="001C54CC">
      <w:r>
        <w:t>The draft decision includes the following documents:</w:t>
      </w:r>
    </w:p>
    <w:p w:rsidR="001C54CC" w:rsidRDefault="001C54CC" w:rsidP="001C54CC">
      <w:r>
        <w:t>Overview</w:t>
      </w:r>
    </w:p>
    <w:p w:rsidR="001C54CC" w:rsidRDefault="001C54CC" w:rsidP="001C54CC">
      <w:r>
        <w:t>Attachment 1 – services covered by the access arrangement</w:t>
      </w:r>
    </w:p>
    <w:p w:rsidR="001C54CC" w:rsidRDefault="001C54CC" w:rsidP="001C54CC">
      <w:r>
        <w:t>Attachment 2 – capital base</w:t>
      </w:r>
    </w:p>
    <w:p w:rsidR="001C54CC" w:rsidRDefault="001C54CC" w:rsidP="001C54CC">
      <w:r>
        <w:t>Attachment 3 – rate of return</w:t>
      </w:r>
    </w:p>
    <w:p w:rsidR="001C54CC" w:rsidRDefault="001C54CC" w:rsidP="001C54CC">
      <w:r>
        <w:t>Attachment 4 – value of imputation credits</w:t>
      </w:r>
    </w:p>
    <w:p w:rsidR="001C54CC" w:rsidRDefault="001C54CC" w:rsidP="001C54CC">
      <w:r>
        <w:t>Attachment 5 – regulatory depreciation</w:t>
      </w:r>
    </w:p>
    <w:p w:rsidR="001C54CC" w:rsidRDefault="001C54CC" w:rsidP="001C54CC">
      <w:r>
        <w:t>Attachment 6 – capital expenditure</w:t>
      </w:r>
      <w:r w:rsidRPr="0012445F">
        <w:t xml:space="preserve"> </w:t>
      </w:r>
    </w:p>
    <w:p w:rsidR="001C54CC" w:rsidRDefault="001C54CC" w:rsidP="001C54CC">
      <w:r>
        <w:t>Attachment 7 – operating expenditure</w:t>
      </w:r>
    </w:p>
    <w:p w:rsidR="001C54CC" w:rsidRDefault="001C54CC" w:rsidP="001C54CC">
      <w:r>
        <w:t>Attachment 8 – corporate income tax</w:t>
      </w:r>
    </w:p>
    <w:p w:rsidR="00953C00" w:rsidRDefault="00953C00" w:rsidP="00953C00">
      <w:r>
        <w:t>Attachment 9 – efficiency carryover mechanism</w:t>
      </w:r>
    </w:p>
    <w:p w:rsidR="001C54CC" w:rsidRDefault="001C54CC" w:rsidP="001C54CC">
      <w:r w:rsidRPr="00DF268E">
        <w:t xml:space="preserve">Attachment </w:t>
      </w:r>
      <w:r>
        <w:t>10</w:t>
      </w:r>
      <w:r w:rsidRPr="00DF268E">
        <w:t xml:space="preserve"> –</w:t>
      </w:r>
      <w:r>
        <w:t xml:space="preserve"> reference tariff setting</w:t>
      </w:r>
    </w:p>
    <w:p w:rsidR="001C54CC" w:rsidRDefault="001C54CC" w:rsidP="001C54CC">
      <w:r w:rsidRPr="00DF268E">
        <w:t>Attachment 1</w:t>
      </w:r>
      <w:r>
        <w:t>1 – reference tariff variation mechanism</w:t>
      </w:r>
    </w:p>
    <w:p w:rsidR="001C54CC" w:rsidRDefault="001C54CC" w:rsidP="001C54CC">
      <w:r w:rsidRPr="00DF268E">
        <w:t>Attachment 1</w:t>
      </w:r>
      <w:r>
        <w:t>2</w:t>
      </w:r>
      <w:r w:rsidRPr="00DF268E">
        <w:t xml:space="preserve"> –</w:t>
      </w:r>
      <w:r>
        <w:t xml:space="preserve"> non-tariff components</w:t>
      </w:r>
    </w:p>
    <w:p w:rsidR="00253483" w:rsidRPr="0012445F" w:rsidRDefault="00253483" w:rsidP="001C54CC">
      <w:r>
        <w:t xml:space="preserve">Attachment 13 – demand </w:t>
      </w:r>
    </w:p>
    <w:p w:rsidR="00525604" w:rsidRDefault="00525604" w:rsidP="00525604">
      <w:pPr>
        <w:pStyle w:val="AERbodytext"/>
        <w:numPr>
          <w:ilvl w:val="0"/>
          <w:numId w:val="0"/>
        </w:numPr>
      </w:pPr>
    </w:p>
    <w:p w:rsidR="00525604" w:rsidRDefault="00525604" w:rsidP="00F54216">
      <w:pPr>
        <w:pStyle w:val="UnnumberedHeading"/>
      </w:pPr>
      <w:bookmarkStart w:id="2" w:name="_Toc404255699"/>
      <w:r>
        <w:lastRenderedPageBreak/>
        <w:t>Contents</w:t>
      </w:r>
      <w:bookmarkEnd w:id="2"/>
    </w:p>
    <w:sdt>
      <w:sdtPr>
        <w:rPr>
          <w:rFonts w:ascii="Gautami" w:eastAsia="Calibri" w:hAnsi="Gautami"/>
          <w:b w:val="0"/>
          <w:bCs w:val="0"/>
          <w:color w:val="auto"/>
          <w:sz w:val="20"/>
          <w:szCs w:val="20"/>
          <w:lang w:val="en-AU"/>
        </w:rPr>
        <w:id w:val="2131349066"/>
        <w:docPartObj>
          <w:docPartGallery w:val="Table of Contents"/>
          <w:docPartUnique/>
        </w:docPartObj>
      </w:sdtPr>
      <w:sdtEndPr/>
      <w:sdtContent>
        <w:p w:rsidR="0084378B" w:rsidRPr="0084378B" w:rsidRDefault="0084378B">
          <w:pPr>
            <w:pStyle w:val="TOCHeading"/>
          </w:pPr>
        </w:p>
        <w:p w:rsidR="007D22D7" w:rsidRDefault="0084378B">
          <w:pPr>
            <w:pStyle w:val="TOC1"/>
            <w:tabs>
              <w:tab w:val="right" w:leader="dot" w:pos="9016"/>
            </w:tabs>
            <w:rPr>
              <w:rFonts w:asciiTheme="minorHAnsi" w:eastAsiaTheme="minorEastAsia" w:hAnsiTheme="minorHAnsi" w:cstheme="minorBidi"/>
              <w:b w:val="0"/>
              <w:bCs w:val="0"/>
              <w:noProof/>
              <w:sz w:val="22"/>
              <w:szCs w:val="22"/>
              <w:lang w:eastAsia="en-AU"/>
            </w:rPr>
          </w:pPr>
          <w:r w:rsidRPr="0084378B">
            <w:fldChar w:fldCharType="begin"/>
          </w:r>
          <w:r w:rsidRPr="0084378B">
            <w:instrText xml:space="preserve"> TOC \o "1-3" \h \z \u </w:instrText>
          </w:r>
          <w:r w:rsidRPr="0084378B">
            <w:fldChar w:fldCharType="separate"/>
          </w:r>
          <w:hyperlink w:anchor="_Toc404255698" w:history="1">
            <w:r w:rsidR="007D22D7" w:rsidRPr="00FA3331">
              <w:rPr>
                <w:rStyle w:val="Hyperlink"/>
                <w:noProof/>
              </w:rPr>
              <w:t>Note</w:t>
            </w:r>
            <w:r w:rsidR="007D22D7">
              <w:rPr>
                <w:noProof/>
                <w:webHidden/>
              </w:rPr>
              <w:tab/>
            </w:r>
            <w:r w:rsidR="007D22D7">
              <w:rPr>
                <w:noProof/>
                <w:webHidden/>
              </w:rPr>
              <w:fldChar w:fldCharType="begin"/>
            </w:r>
            <w:r w:rsidR="007D22D7">
              <w:rPr>
                <w:noProof/>
                <w:webHidden/>
              </w:rPr>
              <w:instrText xml:space="preserve"> PAGEREF _Toc404255698 \h </w:instrText>
            </w:r>
            <w:r w:rsidR="007D22D7">
              <w:rPr>
                <w:noProof/>
                <w:webHidden/>
              </w:rPr>
            </w:r>
            <w:r w:rsidR="007D22D7">
              <w:rPr>
                <w:noProof/>
                <w:webHidden/>
              </w:rPr>
              <w:fldChar w:fldCharType="separate"/>
            </w:r>
            <w:r w:rsidR="005853E3">
              <w:rPr>
                <w:noProof/>
                <w:webHidden/>
              </w:rPr>
              <w:t>1-3</w:t>
            </w:r>
            <w:r w:rsidR="007D22D7">
              <w:rPr>
                <w:noProof/>
                <w:webHidden/>
              </w:rPr>
              <w:fldChar w:fldCharType="end"/>
            </w:r>
          </w:hyperlink>
        </w:p>
        <w:p w:rsidR="007D22D7" w:rsidRDefault="00DC6F38">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5699" w:history="1">
            <w:r w:rsidR="007D22D7" w:rsidRPr="00FA3331">
              <w:rPr>
                <w:rStyle w:val="Hyperlink"/>
                <w:noProof/>
              </w:rPr>
              <w:t>Contents</w:t>
            </w:r>
            <w:r w:rsidR="007D22D7">
              <w:rPr>
                <w:noProof/>
                <w:webHidden/>
              </w:rPr>
              <w:tab/>
            </w:r>
            <w:r w:rsidR="007D22D7">
              <w:rPr>
                <w:noProof/>
                <w:webHidden/>
              </w:rPr>
              <w:fldChar w:fldCharType="begin"/>
            </w:r>
            <w:r w:rsidR="007D22D7">
              <w:rPr>
                <w:noProof/>
                <w:webHidden/>
              </w:rPr>
              <w:instrText xml:space="preserve"> PAGEREF _Toc404255699 \h </w:instrText>
            </w:r>
            <w:r w:rsidR="007D22D7">
              <w:rPr>
                <w:noProof/>
                <w:webHidden/>
              </w:rPr>
            </w:r>
            <w:r w:rsidR="007D22D7">
              <w:rPr>
                <w:noProof/>
                <w:webHidden/>
              </w:rPr>
              <w:fldChar w:fldCharType="separate"/>
            </w:r>
            <w:r w:rsidR="005853E3">
              <w:rPr>
                <w:noProof/>
                <w:webHidden/>
              </w:rPr>
              <w:t>1-4</w:t>
            </w:r>
            <w:r w:rsidR="007D22D7">
              <w:rPr>
                <w:noProof/>
                <w:webHidden/>
              </w:rPr>
              <w:fldChar w:fldCharType="end"/>
            </w:r>
          </w:hyperlink>
        </w:p>
        <w:p w:rsidR="007D22D7" w:rsidRDefault="00DC6F38">
          <w:pPr>
            <w:pStyle w:val="TOC1"/>
            <w:tabs>
              <w:tab w:val="right" w:leader="dot" w:pos="9016"/>
            </w:tabs>
            <w:rPr>
              <w:rFonts w:asciiTheme="minorHAnsi" w:eastAsiaTheme="minorEastAsia" w:hAnsiTheme="minorHAnsi" w:cstheme="minorBidi"/>
              <w:b w:val="0"/>
              <w:bCs w:val="0"/>
              <w:noProof/>
              <w:sz w:val="22"/>
              <w:szCs w:val="22"/>
              <w:lang w:eastAsia="en-AU"/>
            </w:rPr>
          </w:pPr>
          <w:hyperlink w:anchor="_Toc404255700" w:history="1">
            <w:r w:rsidR="007D22D7" w:rsidRPr="00FA3331">
              <w:rPr>
                <w:rStyle w:val="Hyperlink"/>
                <w:noProof/>
              </w:rPr>
              <w:t>Shortened forms</w:t>
            </w:r>
            <w:r w:rsidR="007D22D7">
              <w:rPr>
                <w:noProof/>
                <w:webHidden/>
              </w:rPr>
              <w:tab/>
            </w:r>
            <w:r w:rsidR="007D22D7">
              <w:rPr>
                <w:noProof/>
                <w:webHidden/>
              </w:rPr>
              <w:fldChar w:fldCharType="begin"/>
            </w:r>
            <w:r w:rsidR="007D22D7">
              <w:rPr>
                <w:noProof/>
                <w:webHidden/>
              </w:rPr>
              <w:instrText xml:space="preserve"> PAGEREF _Toc404255700 \h </w:instrText>
            </w:r>
            <w:r w:rsidR="007D22D7">
              <w:rPr>
                <w:noProof/>
                <w:webHidden/>
              </w:rPr>
            </w:r>
            <w:r w:rsidR="007D22D7">
              <w:rPr>
                <w:noProof/>
                <w:webHidden/>
              </w:rPr>
              <w:fldChar w:fldCharType="separate"/>
            </w:r>
            <w:r w:rsidR="005853E3">
              <w:rPr>
                <w:noProof/>
                <w:webHidden/>
              </w:rPr>
              <w:t>1-5</w:t>
            </w:r>
            <w:r w:rsidR="007D22D7">
              <w:rPr>
                <w:noProof/>
                <w:webHidden/>
              </w:rPr>
              <w:fldChar w:fldCharType="end"/>
            </w:r>
          </w:hyperlink>
        </w:p>
        <w:p w:rsidR="007D22D7" w:rsidRDefault="00DC6F38">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404255701" w:history="1">
            <w:r w:rsidR="007D22D7" w:rsidRPr="00FA3331">
              <w:rPr>
                <w:rStyle w:val="Hyperlink"/>
                <w:noProof/>
              </w:rPr>
              <w:t>1</w:t>
            </w:r>
            <w:r w:rsidR="007D22D7">
              <w:rPr>
                <w:rFonts w:asciiTheme="minorHAnsi" w:eastAsiaTheme="minorEastAsia" w:hAnsiTheme="minorHAnsi" w:cstheme="minorBidi"/>
                <w:b w:val="0"/>
                <w:bCs w:val="0"/>
                <w:noProof/>
                <w:sz w:val="22"/>
                <w:szCs w:val="22"/>
                <w:lang w:eastAsia="en-AU"/>
              </w:rPr>
              <w:tab/>
            </w:r>
            <w:r w:rsidR="007D22D7" w:rsidRPr="00FA3331">
              <w:rPr>
                <w:rStyle w:val="Hyperlink"/>
                <w:noProof/>
              </w:rPr>
              <w:t>Services covered by the access arrangement</w:t>
            </w:r>
            <w:r w:rsidR="007D22D7">
              <w:rPr>
                <w:noProof/>
                <w:webHidden/>
              </w:rPr>
              <w:tab/>
            </w:r>
            <w:r w:rsidR="007D22D7">
              <w:rPr>
                <w:noProof/>
                <w:webHidden/>
              </w:rPr>
              <w:fldChar w:fldCharType="begin"/>
            </w:r>
            <w:r w:rsidR="007D22D7">
              <w:rPr>
                <w:noProof/>
                <w:webHidden/>
              </w:rPr>
              <w:instrText xml:space="preserve"> PAGEREF _Toc404255701 \h </w:instrText>
            </w:r>
            <w:r w:rsidR="007D22D7">
              <w:rPr>
                <w:noProof/>
                <w:webHidden/>
              </w:rPr>
            </w:r>
            <w:r w:rsidR="007D22D7">
              <w:rPr>
                <w:noProof/>
                <w:webHidden/>
              </w:rPr>
              <w:fldChar w:fldCharType="separate"/>
            </w:r>
            <w:r w:rsidR="005853E3">
              <w:rPr>
                <w:noProof/>
                <w:webHidden/>
              </w:rPr>
              <w:t>1-7</w:t>
            </w:r>
            <w:r w:rsidR="007D22D7">
              <w:rPr>
                <w:noProof/>
                <w:webHidden/>
              </w:rPr>
              <w:fldChar w:fldCharType="end"/>
            </w:r>
          </w:hyperlink>
        </w:p>
        <w:p w:rsidR="007D22D7" w:rsidRDefault="00DC6F3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702" w:history="1">
            <w:r w:rsidR="007D22D7" w:rsidRPr="00FA3331">
              <w:rPr>
                <w:rStyle w:val="Hyperlink"/>
                <w:noProof/>
              </w:rPr>
              <w:t>1.1</w:t>
            </w:r>
            <w:r w:rsidR="007D22D7">
              <w:rPr>
                <w:rFonts w:asciiTheme="minorHAnsi" w:eastAsiaTheme="minorEastAsia" w:hAnsiTheme="minorHAnsi" w:cstheme="minorBidi"/>
                <w:iCs w:val="0"/>
                <w:noProof/>
                <w:sz w:val="22"/>
                <w:szCs w:val="22"/>
                <w:lang w:eastAsia="en-AU"/>
              </w:rPr>
              <w:tab/>
            </w:r>
            <w:r w:rsidR="007D22D7" w:rsidRPr="00FA3331">
              <w:rPr>
                <w:rStyle w:val="Hyperlink"/>
                <w:noProof/>
              </w:rPr>
              <w:t>Draft decision</w:t>
            </w:r>
            <w:r w:rsidR="007D22D7">
              <w:rPr>
                <w:noProof/>
                <w:webHidden/>
              </w:rPr>
              <w:tab/>
            </w:r>
            <w:r w:rsidR="007D22D7">
              <w:rPr>
                <w:noProof/>
                <w:webHidden/>
              </w:rPr>
              <w:fldChar w:fldCharType="begin"/>
            </w:r>
            <w:r w:rsidR="007D22D7">
              <w:rPr>
                <w:noProof/>
                <w:webHidden/>
              </w:rPr>
              <w:instrText xml:space="preserve"> PAGEREF _Toc404255702 \h </w:instrText>
            </w:r>
            <w:r w:rsidR="007D22D7">
              <w:rPr>
                <w:noProof/>
                <w:webHidden/>
              </w:rPr>
            </w:r>
            <w:r w:rsidR="007D22D7">
              <w:rPr>
                <w:noProof/>
                <w:webHidden/>
              </w:rPr>
              <w:fldChar w:fldCharType="separate"/>
            </w:r>
            <w:r w:rsidR="005853E3">
              <w:rPr>
                <w:noProof/>
                <w:webHidden/>
              </w:rPr>
              <w:t>1-7</w:t>
            </w:r>
            <w:r w:rsidR="007D22D7">
              <w:rPr>
                <w:noProof/>
                <w:webHidden/>
              </w:rPr>
              <w:fldChar w:fldCharType="end"/>
            </w:r>
          </w:hyperlink>
        </w:p>
        <w:p w:rsidR="007D22D7" w:rsidRDefault="00DC6F3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703" w:history="1">
            <w:r w:rsidR="007D22D7" w:rsidRPr="00FA3331">
              <w:rPr>
                <w:rStyle w:val="Hyperlink"/>
                <w:noProof/>
              </w:rPr>
              <w:t>1.2</w:t>
            </w:r>
            <w:r w:rsidR="007D22D7">
              <w:rPr>
                <w:rFonts w:asciiTheme="minorHAnsi" w:eastAsiaTheme="minorEastAsia" w:hAnsiTheme="minorHAnsi" w:cstheme="minorBidi"/>
                <w:iCs w:val="0"/>
                <w:noProof/>
                <w:sz w:val="22"/>
                <w:szCs w:val="22"/>
                <w:lang w:eastAsia="en-AU"/>
              </w:rPr>
              <w:tab/>
            </w:r>
            <w:r w:rsidR="007D22D7" w:rsidRPr="00FA3331">
              <w:rPr>
                <w:rStyle w:val="Hyperlink"/>
                <w:noProof/>
              </w:rPr>
              <w:t>Jemena Gas Networks' proposal</w:t>
            </w:r>
            <w:r w:rsidR="007D22D7">
              <w:rPr>
                <w:noProof/>
                <w:webHidden/>
              </w:rPr>
              <w:tab/>
            </w:r>
            <w:r w:rsidR="007D22D7">
              <w:rPr>
                <w:noProof/>
                <w:webHidden/>
              </w:rPr>
              <w:fldChar w:fldCharType="begin"/>
            </w:r>
            <w:r w:rsidR="007D22D7">
              <w:rPr>
                <w:noProof/>
                <w:webHidden/>
              </w:rPr>
              <w:instrText xml:space="preserve"> PAGEREF _Toc404255703 \h </w:instrText>
            </w:r>
            <w:r w:rsidR="007D22D7">
              <w:rPr>
                <w:noProof/>
                <w:webHidden/>
              </w:rPr>
            </w:r>
            <w:r w:rsidR="007D22D7">
              <w:rPr>
                <w:noProof/>
                <w:webHidden/>
              </w:rPr>
              <w:fldChar w:fldCharType="separate"/>
            </w:r>
            <w:r w:rsidR="005853E3">
              <w:rPr>
                <w:noProof/>
                <w:webHidden/>
              </w:rPr>
              <w:t>1-7</w:t>
            </w:r>
            <w:r w:rsidR="007D22D7">
              <w:rPr>
                <w:noProof/>
                <w:webHidden/>
              </w:rPr>
              <w:fldChar w:fldCharType="end"/>
            </w:r>
          </w:hyperlink>
        </w:p>
        <w:p w:rsidR="007D22D7" w:rsidRDefault="00DC6F3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704" w:history="1">
            <w:r w:rsidR="007D22D7" w:rsidRPr="00FA3331">
              <w:rPr>
                <w:rStyle w:val="Hyperlink"/>
                <w:noProof/>
              </w:rPr>
              <w:t>1.3</w:t>
            </w:r>
            <w:r w:rsidR="007D22D7">
              <w:rPr>
                <w:rFonts w:asciiTheme="minorHAnsi" w:eastAsiaTheme="minorEastAsia" w:hAnsiTheme="minorHAnsi" w:cstheme="minorBidi"/>
                <w:iCs w:val="0"/>
                <w:noProof/>
                <w:sz w:val="22"/>
                <w:szCs w:val="22"/>
                <w:lang w:eastAsia="en-AU"/>
              </w:rPr>
              <w:tab/>
            </w:r>
            <w:r w:rsidR="007D22D7" w:rsidRPr="00FA3331">
              <w:rPr>
                <w:rStyle w:val="Hyperlink"/>
                <w:noProof/>
              </w:rPr>
              <w:t>Assessment approach</w:t>
            </w:r>
            <w:r w:rsidR="007D22D7">
              <w:rPr>
                <w:noProof/>
                <w:webHidden/>
              </w:rPr>
              <w:tab/>
            </w:r>
            <w:r w:rsidR="007D22D7">
              <w:rPr>
                <w:noProof/>
                <w:webHidden/>
              </w:rPr>
              <w:fldChar w:fldCharType="begin"/>
            </w:r>
            <w:r w:rsidR="007D22D7">
              <w:rPr>
                <w:noProof/>
                <w:webHidden/>
              </w:rPr>
              <w:instrText xml:space="preserve"> PAGEREF _Toc404255704 \h </w:instrText>
            </w:r>
            <w:r w:rsidR="007D22D7">
              <w:rPr>
                <w:noProof/>
                <w:webHidden/>
              </w:rPr>
            </w:r>
            <w:r w:rsidR="007D22D7">
              <w:rPr>
                <w:noProof/>
                <w:webHidden/>
              </w:rPr>
              <w:fldChar w:fldCharType="separate"/>
            </w:r>
            <w:r w:rsidR="005853E3">
              <w:rPr>
                <w:noProof/>
                <w:webHidden/>
              </w:rPr>
              <w:t>1-7</w:t>
            </w:r>
            <w:r w:rsidR="007D22D7">
              <w:rPr>
                <w:noProof/>
                <w:webHidden/>
              </w:rPr>
              <w:fldChar w:fldCharType="end"/>
            </w:r>
          </w:hyperlink>
        </w:p>
        <w:p w:rsidR="007D22D7" w:rsidRDefault="00DC6F3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705" w:history="1">
            <w:r w:rsidR="007D22D7" w:rsidRPr="00FA3331">
              <w:rPr>
                <w:rStyle w:val="Hyperlink"/>
                <w:noProof/>
              </w:rPr>
              <w:t>1.4</w:t>
            </w:r>
            <w:r w:rsidR="007D22D7">
              <w:rPr>
                <w:rFonts w:asciiTheme="minorHAnsi" w:eastAsiaTheme="minorEastAsia" w:hAnsiTheme="minorHAnsi" w:cstheme="minorBidi"/>
                <w:iCs w:val="0"/>
                <w:noProof/>
                <w:sz w:val="22"/>
                <w:szCs w:val="22"/>
                <w:lang w:eastAsia="en-AU"/>
              </w:rPr>
              <w:tab/>
            </w:r>
            <w:r w:rsidR="007D22D7" w:rsidRPr="00FA3331">
              <w:rPr>
                <w:rStyle w:val="Hyperlink"/>
                <w:noProof/>
              </w:rPr>
              <w:t>Reasons for Draft decision</w:t>
            </w:r>
            <w:r w:rsidR="007D22D7">
              <w:rPr>
                <w:noProof/>
                <w:webHidden/>
              </w:rPr>
              <w:tab/>
            </w:r>
            <w:r w:rsidR="007D22D7">
              <w:rPr>
                <w:noProof/>
                <w:webHidden/>
              </w:rPr>
              <w:fldChar w:fldCharType="begin"/>
            </w:r>
            <w:r w:rsidR="007D22D7">
              <w:rPr>
                <w:noProof/>
                <w:webHidden/>
              </w:rPr>
              <w:instrText xml:space="preserve"> PAGEREF _Toc404255705 \h </w:instrText>
            </w:r>
            <w:r w:rsidR="007D22D7">
              <w:rPr>
                <w:noProof/>
                <w:webHidden/>
              </w:rPr>
            </w:r>
            <w:r w:rsidR="007D22D7">
              <w:rPr>
                <w:noProof/>
                <w:webHidden/>
              </w:rPr>
              <w:fldChar w:fldCharType="separate"/>
            </w:r>
            <w:r w:rsidR="005853E3">
              <w:rPr>
                <w:noProof/>
                <w:webHidden/>
              </w:rPr>
              <w:t>1-8</w:t>
            </w:r>
            <w:r w:rsidR="007D22D7">
              <w:rPr>
                <w:noProof/>
                <w:webHidden/>
              </w:rPr>
              <w:fldChar w:fldCharType="end"/>
            </w:r>
          </w:hyperlink>
        </w:p>
        <w:p w:rsidR="007D22D7" w:rsidRDefault="00DC6F38">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404255706" w:history="1">
            <w:r w:rsidR="007D22D7" w:rsidRPr="00FA3331">
              <w:rPr>
                <w:rStyle w:val="Hyperlink"/>
                <w:noProof/>
              </w:rPr>
              <w:t>1.4.1</w:t>
            </w:r>
            <w:r w:rsidR="007D22D7">
              <w:rPr>
                <w:rFonts w:asciiTheme="minorHAnsi" w:eastAsiaTheme="minorEastAsia" w:hAnsiTheme="minorHAnsi" w:cstheme="minorBidi"/>
                <w:noProof/>
                <w:sz w:val="22"/>
                <w:szCs w:val="22"/>
                <w:lang w:eastAsia="en-AU"/>
              </w:rPr>
              <w:tab/>
            </w:r>
            <w:r w:rsidR="007D22D7" w:rsidRPr="00FA3331">
              <w:rPr>
                <w:rStyle w:val="Hyperlink"/>
                <w:noProof/>
              </w:rPr>
              <w:t>Reference services</w:t>
            </w:r>
            <w:r w:rsidR="007D22D7">
              <w:rPr>
                <w:noProof/>
                <w:webHidden/>
              </w:rPr>
              <w:tab/>
            </w:r>
            <w:r w:rsidR="007D22D7">
              <w:rPr>
                <w:noProof/>
                <w:webHidden/>
              </w:rPr>
              <w:fldChar w:fldCharType="begin"/>
            </w:r>
            <w:r w:rsidR="007D22D7">
              <w:rPr>
                <w:noProof/>
                <w:webHidden/>
              </w:rPr>
              <w:instrText xml:space="preserve"> PAGEREF _Toc404255706 \h </w:instrText>
            </w:r>
            <w:r w:rsidR="007D22D7">
              <w:rPr>
                <w:noProof/>
                <w:webHidden/>
              </w:rPr>
            </w:r>
            <w:r w:rsidR="007D22D7">
              <w:rPr>
                <w:noProof/>
                <w:webHidden/>
              </w:rPr>
              <w:fldChar w:fldCharType="separate"/>
            </w:r>
            <w:r w:rsidR="005853E3">
              <w:rPr>
                <w:noProof/>
                <w:webHidden/>
              </w:rPr>
              <w:t>1-9</w:t>
            </w:r>
            <w:r w:rsidR="007D22D7">
              <w:rPr>
                <w:noProof/>
                <w:webHidden/>
              </w:rPr>
              <w:fldChar w:fldCharType="end"/>
            </w:r>
          </w:hyperlink>
        </w:p>
        <w:p w:rsidR="007D22D7" w:rsidRDefault="00DC6F38">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404255707" w:history="1">
            <w:r w:rsidR="007D22D7" w:rsidRPr="00FA3331">
              <w:rPr>
                <w:rStyle w:val="Hyperlink"/>
                <w:noProof/>
              </w:rPr>
              <w:t>1.5</w:t>
            </w:r>
            <w:r w:rsidR="007D22D7">
              <w:rPr>
                <w:rFonts w:asciiTheme="minorHAnsi" w:eastAsiaTheme="minorEastAsia" w:hAnsiTheme="minorHAnsi" w:cstheme="minorBidi"/>
                <w:iCs w:val="0"/>
                <w:noProof/>
                <w:sz w:val="22"/>
                <w:szCs w:val="22"/>
                <w:lang w:eastAsia="en-AU"/>
              </w:rPr>
              <w:tab/>
            </w:r>
            <w:r w:rsidR="007D22D7" w:rsidRPr="00FA3331">
              <w:rPr>
                <w:rStyle w:val="Hyperlink"/>
                <w:noProof/>
              </w:rPr>
              <w:t>Non reference services</w:t>
            </w:r>
            <w:r w:rsidR="007D22D7">
              <w:rPr>
                <w:noProof/>
                <w:webHidden/>
              </w:rPr>
              <w:tab/>
            </w:r>
            <w:r w:rsidR="007D22D7">
              <w:rPr>
                <w:noProof/>
                <w:webHidden/>
              </w:rPr>
              <w:fldChar w:fldCharType="begin"/>
            </w:r>
            <w:r w:rsidR="007D22D7">
              <w:rPr>
                <w:noProof/>
                <w:webHidden/>
              </w:rPr>
              <w:instrText xml:space="preserve"> PAGEREF _Toc404255707 \h </w:instrText>
            </w:r>
            <w:r w:rsidR="007D22D7">
              <w:rPr>
                <w:noProof/>
                <w:webHidden/>
              </w:rPr>
            </w:r>
            <w:r w:rsidR="007D22D7">
              <w:rPr>
                <w:noProof/>
                <w:webHidden/>
              </w:rPr>
              <w:fldChar w:fldCharType="separate"/>
            </w:r>
            <w:r w:rsidR="005853E3">
              <w:rPr>
                <w:noProof/>
                <w:webHidden/>
              </w:rPr>
              <w:t>1-10</w:t>
            </w:r>
            <w:r w:rsidR="007D22D7">
              <w:rPr>
                <w:noProof/>
                <w:webHidden/>
              </w:rPr>
              <w:fldChar w:fldCharType="end"/>
            </w:r>
          </w:hyperlink>
        </w:p>
        <w:p w:rsidR="0084378B" w:rsidRPr="0084378B" w:rsidRDefault="0084378B">
          <w:r w:rsidRPr="0084378B">
            <w:fldChar w:fldCharType="end"/>
          </w:r>
        </w:p>
      </w:sdtContent>
    </w:sdt>
    <w:p w:rsidR="00525604" w:rsidRDefault="00525604" w:rsidP="00525604">
      <w:pPr>
        <w:pStyle w:val="AERbodytext"/>
        <w:numPr>
          <w:ilvl w:val="0"/>
          <w:numId w:val="0"/>
        </w:numPr>
      </w:pPr>
    </w:p>
    <w:p w:rsidR="00525604" w:rsidRDefault="00525604" w:rsidP="00F54216">
      <w:pPr>
        <w:pStyle w:val="UnnumberedHeading"/>
      </w:pPr>
      <w:bookmarkStart w:id="3" w:name="_Toc404255700"/>
      <w:r>
        <w:lastRenderedPageBreak/>
        <w:t>Shortened forms</w:t>
      </w:r>
      <w:bookmarkEnd w:id="3"/>
    </w:p>
    <w:tbl>
      <w:tblPr>
        <w:tblStyle w:val="AERtable-numbers"/>
        <w:tblW w:w="0" w:type="auto"/>
        <w:tblLook w:val="04A0" w:firstRow="1" w:lastRow="0" w:firstColumn="1" w:lastColumn="0" w:noHBand="0" w:noVBand="1"/>
      </w:tblPr>
      <w:tblGrid>
        <w:gridCol w:w="4621"/>
        <w:gridCol w:w="4621"/>
      </w:tblGrid>
      <w:tr w:rsidR="0027769C" w:rsidTr="002534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27769C" w:rsidRDefault="0027769C" w:rsidP="0027769C">
            <w:pPr>
              <w:pStyle w:val="AERbodytext"/>
            </w:pPr>
            <w:r>
              <w:t>Shortened form</w:t>
            </w:r>
          </w:p>
        </w:tc>
        <w:tc>
          <w:tcPr>
            <w:tcW w:w="4621" w:type="dxa"/>
          </w:tcPr>
          <w:p w:rsidR="0027769C" w:rsidRDefault="0027769C" w:rsidP="0027769C">
            <w:pPr>
              <w:pStyle w:val="AERbodytext"/>
              <w:cnfStyle w:val="100000000000" w:firstRow="1" w:lastRow="0" w:firstColumn="0" w:lastColumn="0" w:oddVBand="0" w:evenVBand="0" w:oddHBand="0" w:evenHBand="0" w:firstRowFirstColumn="0" w:firstRowLastColumn="0" w:lastRowFirstColumn="0" w:lastRowLastColumn="0"/>
            </w:pPr>
            <w:r>
              <w:t>Extended form</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2010–15 access arrangement</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Access arrangement for JGN effective from 1 July 2010 to 30 June 2015 inclusive</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Pr="00E854E3" w:rsidRDefault="001C54CC" w:rsidP="001C54CC">
            <w:pPr>
              <w:pStyle w:val="AERbodytext"/>
            </w:pPr>
            <w:r w:rsidRPr="00E854E3">
              <w:t>2010–15 access arrangement</w:t>
            </w:r>
            <w:r>
              <w:t xml:space="preserve"> period</w:t>
            </w:r>
          </w:p>
        </w:tc>
        <w:tc>
          <w:tcPr>
            <w:tcW w:w="4621" w:type="dxa"/>
          </w:tcPr>
          <w:p w:rsidR="001C54CC" w:rsidRPr="00E854E3"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rsidRPr="00E854E3">
              <w:t>1 July 2010 to 30 June 2015 inclusive</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Pr="00E854E3" w:rsidRDefault="001C54CC" w:rsidP="001C54CC">
            <w:pPr>
              <w:pStyle w:val="AERbodytext"/>
            </w:pPr>
            <w:r w:rsidRPr="00E854E3">
              <w:t>201</w:t>
            </w:r>
            <w:r>
              <w:t>5</w:t>
            </w:r>
            <w:r w:rsidRPr="00E854E3">
              <w:t>–</w:t>
            </w:r>
            <w:r>
              <w:t>20</w:t>
            </w:r>
            <w:r w:rsidRPr="00E854E3">
              <w:t xml:space="preserve"> access arrangement</w:t>
            </w:r>
          </w:p>
        </w:tc>
        <w:tc>
          <w:tcPr>
            <w:tcW w:w="4621" w:type="dxa"/>
          </w:tcPr>
          <w:p w:rsidR="001C54CC" w:rsidRPr="00E854E3"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rsidRPr="00E854E3">
              <w:t>Access arrangement for JGN effective from 1 July 201</w:t>
            </w:r>
            <w:r>
              <w:t>5</w:t>
            </w:r>
            <w:r w:rsidRPr="00E854E3">
              <w:t xml:space="preserve"> to 30 June 20</w:t>
            </w:r>
            <w:r>
              <w:t>20</w:t>
            </w:r>
            <w:r w:rsidRPr="00E854E3">
              <w:t xml:space="preserve"> inclusive</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Pr="00E854E3" w:rsidRDefault="001C54CC" w:rsidP="001C54CC">
            <w:pPr>
              <w:pStyle w:val="AERbodytext"/>
            </w:pPr>
            <w:r w:rsidRPr="00E854E3">
              <w:t>201</w:t>
            </w:r>
            <w:r>
              <w:t>5</w:t>
            </w:r>
            <w:r w:rsidRPr="00E854E3">
              <w:t>–</w:t>
            </w:r>
            <w:r>
              <w:t>20</w:t>
            </w:r>
            <w:r w:rsidRPr="00E854E3">
              <w:t xml:space="preserve"> access arrangement period</w:t>
            </w:r>
          </w:p>
        </w:tc>
        <w:tc>
          <w:tcPr>
            <w:tcW w:w="4621" w:type="dxa"/>
          </w:tcPr>
          <w:p w:rsidR="001C54CC" w:rsidRPr="00E854E3"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rsidRPr="00E854E3">
              <w:t>1 July 201</w:t>
            </w:r>
            <w:r>
              <w:t>5</w:t>
            </w:r>
            <w:r w:rsidRPr="00E854E3">
              <w:t xml:space="preserve"> to 30 June 20</w:t>
            </w:r>
            <w:r>
              <w:t>20</w:t>
            </w:r>
            <w:r w:rsidRPr="00E854E3">
              <w:t xml:space="preserve"> inclusive</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Access arrangement information</w:t>
            </w:r>
          </w:p>
        </w:tc>
        <w:tc>
          <w:tcPr>
            <w:tcW w:w="4621" w:type="dxa"/>
          </w:tcPr>
          <w:p w:rsidR="001C54CC" w:rsidRDefault="001C54CC" w:rsidP="00097C48">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Access Arrangement Informatio</w:t>
            </w:r>
            <w:r>
              <w:rPr>
                <w:rStyle w:val="AERtextitalic"/>
              </w:rPr>
              <w:t>n 2015–20</w:t>
            </w:r>
            <w:r w:rsidRPr="00A41D43">
              <w:t>, 30 June 2014</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Access arrangement proposal</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rsidRPr="00A41D43">
              <w:t xml:space="preserve">Jemena Gas Networks (NSW) Ltd,  </w:t>
            </w:r>
            <w:r w:rsidRPr="00A41D43">
              <w:rPr>
                <w:rStyle w:val="AERtextitalic"/>
              </w:rPr>
              <w:t>Access arrangement, JGN’s NSW gas distribution networks, 1 July 2015 – 30 June 2020</w:t>
            </w:r>
            <w:r w:rsidRPr="00A41D43">
              <w:t>, 30 June 2014</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AER</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Australian Energy Regulator</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capex</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capital expenditure</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CAPM</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capital asset pricing model</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CCP</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Consumer Challenge Panel</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Code</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National Third Party Access Code for Natural Gas Pipeline Systems</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CPI</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consumer price index</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DRP</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debt risk premium</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ERP</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equity risk premium</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JGN</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Jemena Gas Networks (NSW) Ltd (CAN 003 004 322)</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MRP</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market risk premium</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NGL</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national gas law</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NGO</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national gas objective</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NGR</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national gas rules</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lastRenderedPageBreak/>
              <w:t>opex</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operating expenditure</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PPI</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partial performance indicators</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PTRM</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post-tax revenue model</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RAB</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regulatory asset base</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RBA</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Reserve Bank of Australia</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Reference service agreement proposal</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rsidRPr="00A41D43">
              <w:t xml:space="preserve">Jemena Gas Networks (NSW) Ltd, </w:t>
            </w:r>
            <w:r w:rsidRPr="00A41D43">
              <w:rPr>
                <w:rStyle w:val="AERtextitalic"/>
              </w:rPr>
              <w:t>Reference Service Agreement, JGN’s NSW gas distribution networks</w:t>
            </w:r>
            <w:r w:rsidRPr="00A41D43">
              <w:t>, 30 June 2014</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RFM</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roll forward model</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RIN</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regulatory information notice</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RPP</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revenue</w:t>
            </w:r>
            <w:r w:rsidR="001D11A5">
              <w:t xml:space="preserve"> and</w:t>
            </w:r>
            <w:r>
              <w:t xml:space="preserve"> pricing principles</w:t>
            </w:r>
          </w:p>
        </w:tc>
      </w:tr>
      <w:tr w:rsidR="001C54CC" w:rsidTr="002B30CB">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SLCAPM</w:t>
            </w:r>
          </w:p>
        </w:tc>
        <w:tc>
          <w:tcPr>
            <w:tcW w:w="4621" w:type="dxa"/>
          </w:tcPr>
          <w:p w:rsidR="001C54CC" w:rsidRDefault="001C54CC" w:rsidP="001C54CC">
            <w:pPr>
              <w:pStyle w:val="AERbodytext"/>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1C54CC" w:rsidTr="002B30C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C54CC" w:rsidRDefault="001C54CC" w:rsidP="001C54CC">
            <w:pPr>
              <w:pStyle w:val="AERbodytext"/>
            </w:pPr>
            <w:r>
              <w:t>WACC</w:t>
            </w:r>
          </w:p>
        </w:tc>
        <w:tc>
          <w:tcPr>
            <w:tcW w:w="4621" w:type="dxa"/>
          </w:tcPr>
          <w:p w:rsidR="001C54CC" w:rsidRDefault="001C54CC" w:rsidP="001C54CC">
            <w:pPr>
              <w:pStyle w:val="AERbodytex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C557F2" w:rsidRPr="00C557F2" w:rsidRDefault="00C557F2" w:rsidP="00C557F2">
      <w:pPr>
        <w:pStyle w:val="AERbodytext"/>
      </w:pPr>
    </w:p>
    <w:p w:rsidR="00D426C7" w:rsidRPr="00D426C7" w:rsidRDefault="00D426C7" w:rsidP="00D426C7">
      <w:pPr>
        <w:pStyle w:val="Heading1"/>
      </w:pPr>
      <w:bookmarkStart w:id="4" w:name="_Toc404255701"/>
      <w:r w:rsidRPr="00D426C7">
        <w:lastRenderedPageBreak/>
        <w:t>Services covered by the access arrangement</w:t>
      </w:r>
      <w:bookmarkEnd w:id="4"/>
    </w:p>
    <w:p w:rsidR="00D426C7" w:rsidRPr="00D426C7" w:rsidRDefault="00D426C7" w:rsidP="00D426C7">
      <w:pPr>
        <w:pStyle w:val="AERbodytext"/>
      </w:pPr>
      <w:r w:rsidRPr="00D426C7">
        <w:t>The NGR requires the access arrangement to identify:</w:t>
      </w:r>
    </w:p>
    <w:p w:rsidR="00D426C7" w:rsidRPr="00D426C7" w:rsidRDefault="00D426C7" w:rsidP="00D426C7">
      <w:pPr>
        <w:pStyle w:val="AERbulletlistfirststyle"/>
      </w:pPr>
      <w:r w:rsidRPr="00D426C7">
        <w:t xml:space="preserve"> the pipeline which the access arrangement relates to, and</w:t>
      </w:r>
    </w:p>
    <w:p w:rsidR="00D426C7" w:rsidRPr="00D426C7" w:rsidRDefault="00D426C7" w:rsidP="00D426C7">
      <w:pPr>
        <w:pStyle w:val="AERbulletlistfirststyle"/>
      </w:pPr>
      <w:r w:rsidRPr="00D426C7">
        <w:t xml:space="preserve"> </w:t>
      </w:r>
      <w:proofErr w:type="gramStart"/>
      <w:r w:rsidRPr="00D426C7">
        <w:t>the</w:t>
      </w:r>
      <w:proofErr w:type="gramEnd"/>
      <w:r w:rsidRPr="00D426C7">
        <w:t xml:space="preserve"> services which JGN proposes to offer to provide by means of that pipeline.</w:t>
      </w:r>
      <w:r w:rsidRPr="00D426C7">
        <w:rPr>
          <w:rStyle w:val="FootnoteReference"/>
        </w:rPr>
        <w:footnoteReference w:id="1"/>
      </w:r>
      <w:r w:rsidRPr="00D426C7">
        <w:t xml:space="preserve"> </w:t>
      </w:r>
    </w:p>
    <w:p w:rsidR="00D426C7" w:rsidRPr="00D426C7" w:rsidRDefault="00D426C7" w:rsidP="00D426C7">
      <w:pPr>
        <w:pStyle w:val="Heading2"/>
      </w:pPr>
      <w:bookmarkStart w:id="5" w:name="_Toc404255702"/>
      <w:r w:rsidRPr="00D426C7">
        <w:t>Draft decision</w:t>
      </w:r>
      <w:bookmarkEnd w:id="5"/>
    </w:p>
    <w:p w:rsidR="00D426C7" w:rsidRPr="00D426C7" w:rsidRDefault="00D426C7" w:rsidP="00D426C7">
      <w:pPr>
        <w:pStyle w:val="AERbodytext"/>
      </w:pPr>
      <w:r w:rsidRPr="00D426C7">
        <w:t xml:space="preserve">We approve JGN's proposal. </w:t>
      </w:r>
    </w:p>
    <w:p w:rsidR="00D426C7" w:rsidRPr="00D426C7" w:rsidRDefault="007D22D7" w:rsidP="00D426C7">
      <w:pPr>
        <w:pStyle w:val="Heading2"/>
      </w:pPr>
      <w:bookmarkStart w:id="6" w:name="_Toc404255703"/>
      <w:r>
        <w:t>Jemena Gas Network</w:t>
      </w:r>
      <w:r w:rsidR="00D426C7" w:rsidRPr="00D426C7">
        <w:t>s</w:t>
      </w:r>
      <w:r>
        <w:t>'</w:t>
      </w:r>
      <w:r w:rsidR="00D426C7" w:rsidRPr="00D426C7">
        <w:t xml:space="preserve"> proposal</w:t>
      </w:r>
      <w:bookmarkEnd w:id="6"/>
    </w:p>
    <w:p w:rsidR="00D426C7" w:rsidRPr="00D426C7" w:rsidRDefault="00D426C7" w:rsidP="00D426C7">
      <w:pPr>
        <w:pStyle w:val="AERbodytext"/>
      </w:pPr>
      <w:r w:rsidRPr="00D426C7">
        <w:t>JGN's NSW proposes to offer the following services on its network in the next Access Arrangement period:</w:t>
      </w:r>
    </w:p>
    <w:p w:rsidR="00D426C7" w:rsidRPr="00D426C7" w:rsidRDefault="00D426C7" w:rsidP="00D426C7">
      <w:pPr>
        <w:pStyle w:val="AERbulletlistfirststyle"/>
      </w:pPr>
      <w:r w:rsidRPr="00D426C7">
        <w:t>the reference service, being the haulage reference service, and</w:t>
      </w:r>
    </w:p>
    <w:p w:rsidR="00D426C7" w:rsidRPr="00D426C7" w:rsidRDefault="00D426C7" w:rsidP="00D426C7">
      <w:pPr>
        <w:pStyle w:val="AERbulletlistfirststyle"/>
      </w:pPr>
      <w:proofErr w:type="gramStart"/>
      <w:r w:rsidRPr="00D426C7">
        <w:t>non-reference</w:t>
      </w:r>
      <w:proofErr w:type="gramEnd"/>
      <w:r w:rsidRPr="00D426C7">
        <w:t xml:space="preserve"> services.</w:t>
      </w:r>
    </w:p>
    <w:p w:rsidR="00D426C7" w:rsidRPr="00D426C7" w:rsidRDefault="00D426C7" w:rsidP="00D426C7">
      <w:pPr>
        <w:pStyle w:val="AERbodytext"/>
      </w:pPr>
      <w:r w:rsidRPr="00D426C7">
        <w:t>The haulage reference service is for:</w:t>
      </w:r>
    </w:p>
    <w:p w:rsidR="00D426C7" w:rsidRPr="00D426C7" w:rsidRDefault="00D426C7" w:rsidP="00D426C7">
      <w:pPr>
        <w:pStyle w:val="AERbulletlistfirststyle"/>
      </w:pPr>
      <w:r w:rsidRPr="00D426C7">
        <w:t>the transportation of gas by the service provider through the network to a single eligible delivery point for use and consumption within the premises served by that delivery point,</w:t>
      </w:r>
    </w:p>
    <w:p w:rsidR="00D426C7" w:rsidRPr="00D426C7" w:rsidRDefault="00D426C7" w:rsidP="00D426C7">
      <w:pPr>
        <w:pStyle w:val="AERbulletlistfirststyle"/>
      </w:pPr>
      <w:r w:rsidRPr="00D426C7">
        <w:t xml:space="preserve">meter reading and associated data activities, and the provision and maintenance of a standard metering installation at the delivery point as appropriate for the required capacity and meter reading frequency </w:t>
      </w:r>
    </w:p>
    <w:p w:rsidR="00D426C7" w:rsidRPr="00D426C7" w:rsidRDefault="00D426C7" w:rsidP="00D426C7">
      <w:pPr>
        <w:pStyle w:val="AERbulletlistfirststyle"/>
      </w:pPr>
      <w:proofErr w:type="gramStart"/>
      <w:r w:rsidRPr="00D426C7">
        <w:t>ancillary</w:t>
      </w:r>
      <w:proofErr w:type="gramEnd"/>
      <w:r w:rsidRPr="00D426C7">
        <w:t xml:space="preserve"> activities, as may be requested by a user.</w:t>
      </w:r>
      <w:r w:rsidRPr="00D426C7">
        <w:rPr>
          <w:rStyle w:val="FootnoteReference"/>
        </w:rPr>
        <w:footnoteReference w:id="2"/>
      </w:r>
    </w:p>
    <w:p w:rsidR="00D426C7" w:rsidRPr="00D426C7" w:rsidRDefault="00D426C7" w:rsidP="00D426C7">
      <w:pPr>
        <w:pStyle w:val="AERbodytext"/>
      </w:pPr>
      <w:r w:rsidRPr="00D426C7">
        <w:t>The non-reference service covers:</w:t>
      </w:r>
    </w:p>
    <w:p w:rsidR="00D426C7" w:rsidRPr="00D426C7" w:rsidRDefault="00D426C7" w:rsidP="000438D2">
      <w:pPr>
        <w:pStyle w:val="AERbulletlistfirststyle"/>
      </w:pPr>
      <w:r w:rsidRPr="00D426C7">
        <w:t>the interconnection of embedded network services where JGN establishes a single delivery point on an embedded network connected to the network, and</w:t>
      </w:r>
    </w:p>
    <w:p w:rsidR="00D426C7" w:rsidRPr="00D426C7" w:rsidRDefault="00D426C7" w:rsidP="000438D2">
      <w:pPr>
        <w:pStyle w:val="AERbulletlistfirststyle"/>
      </w:pPr>
      <w:proofErr w:type="gramStart"/>
      <w:r w:rsidRPr="00D426C7">
        <w:t>a</w:t>
      </w:r>
      <w:proofErr w:type="gramEnd"/>
      <w:r w:rsidRPr="00D426C7">
        <w:t xml:space="preserve"> prospective user that has specific needs which differ from those which would be satisfied by the reference service or the interconnection of embedded network service.</w:t>
      </w:r>
      <w:r w:rsidRPr="00D426C7">
        <w:rPr>
          <w:rStyle w:val="FootnoteReference"/>
        </w:rPr>
        <w:footnoteReference w:id="3"/>
      </w:r>
      <w:r w:rsidRPr="00D426C7">
        <w:t xml:space="preserve"> </w:t>
      </w:r>
    </w:p>
    <w:p w:rsidR="00D426C7" w:rsidRPr="00D426C7" w:rsidRDefault="00D426C7" w:rsidP="00D426C7">
      <w:pPr>
        <w:pStyle w:val="Heading2"/>
      </w:pPr>
      <w:bookmarkStart w:id="7" w:name="_Toc404255704"/>
      <w:r w:rsidRPr="00D426C7">
        <w:t>Assessment approach</w:t>
      </w:r>
      <w:bookmarkEnd w:id="7"/>
    </w:p>
    <w:p w:rsidR="00D426C7" w:rsidRPr="00D426C7" w:rsidRDefault="00D426C7" w:rsidP="00D426C7">
      <w:pPr>
        <w:pStyle w:val="AERbodytext"/>
      </w:pPr>
      <w:r w:rsidRPr="00D426C7">
        <w:t>JGN is required to specify all reference services in its access arrangement proposal. A reference service is a pipeline service that is likely to be sought by a significant part of the market. A pipeline service is a:</w:t>
      </w:r>
    </w:p>
    <w:p w:rsidR="00D426C7" w:rsidRPr="00D426C7" w:rsidRDefault="00D426C7" w:rsidP="00D426C7">
      <w:pPr>
        <w:pStyle w:val="AERbulletlistfirststyle"/>
      </w:pPr>
      <w:r w:rsidRPr="00D426C7">
        <w:t>service provided by means of a pipeline, including a:</w:t>
      </w:r>
    </w:p>
    <w:p w:rsidR="00D426C7" w:rsidRPr="00D426C7" w:rsidRDefault="00D426C7" w:rsidP="00D426C7">
      <w:pPr>
        <w:pStyle w:val="AERbulletlistsecondstyle"/>
      </w:pPr>
      <w:r w:rsidRPr="00D426C7">
        <w:t>haulage service</w:t>
      </w:r>
    </w:p>
    <w:p w:rsidR="00D426C7" w:rsidRPr="00D426C7" w:rsidRDefault="00D426C7" w:rsidP="00D426C7">
      <w:pPr>
        <w:pStyle w:val="AERbulletlistsecondstyle"/>
      </w:pPr>
      <w:r w:rsidRPr="00D426C7">
        <w:lastRenderedPageBreak/>
        <w:t>service facilitating the interconnection of pipelines</w:t>
      </w:r>
    </w:p>
    <w:p w:rsidR="00D426C7" w:rsidRPr="00D426C7" w:rsidRDefault="00D426C7" w:rsidP="00D426C7">
      <w:pPr>
        <w:pStyle w:val="AERbulletlistfirststyle"/>
      </w:pPr>
      <w:proofErr w:type="gramStart"/>
      <w:r w:rsidRPr="00D426C7">
        <w:t>service</w:t>
      </w:r>
      <w:proofErr w:type="gramEnd"/>
      <w:r w:rsidRPr="00D426C7">
        <w:t xml:space="preserve"> ancillary to one of these services.  </w:t>
      </w:r>
    </w:p>
    <w:p w:rsidR="00D426C7" w:rsidRPr="00D426C7" w:rsidRDefault="00D426C7" w:rsidP="00D426C7">
      <w:pPr>
        <w:pStyle w:val="AERbodytext"/>
      </w:pPr>
      <w:r w:rsidRPr="00D426C7">
        <w:t>A reference service must also be consistent with the National Gas Objective.</w:t>
      </w:r>
      <w:r w:rsidRPr="00D426C7">
        <w:rPr>
          <w:rStyle w:val="FootnoteReference"/>
        </w:rPr>
        <w:footnoteReference w:id="4"/>
      </w:r>
      <w:r w:rsidRPr="00D426C7">
        <w:t xml:space="preserve"> </w:t>
      </w:r>
    </w:p>
    <w:p w:rsidR="00D426C7" w:rsidRPr="00D426C7" w:rsidRDefault="00D426C7" w:rsidP="00D426C7">
      <w:pPr>
        <w:pStyle w:val="AERbodytext"/>
      </w:pPr>
      <w:r w:rsidRPr="00D426C7">
        <w:t>Our approach to assessing these requirements is to identify:</w:t>
      </w:r>
    </w:p>
    <w:p w:rsidR="00D426C7" w:rsidRPr="00D426C7" w:rsidRDefault="00D426C7" w:rsidP="00D426C7">
      <w:pPr>
        <w:pStyle w:val="AERbulletlistfirststyle"/>
      </w:pPr>
      <w:r w:rsidRPr="00D426C7">
        <w:t>the covered pipeline under the earlier access arrangement</w:t>
      </w:r>
    </w:p>
    <w:p w:rsidR="00D426C7" w:rsidRPr="00D426C7" w:rsidRDefault="00D426C7" w:rsidP="00D426C7">
      <w:pPr>
        <w:pStyle w:val="AERbulletlistfirststyle"/>
      </w:pPr>
      <w:proofErr w:type="gramStart"/>
      <w:r w:rsidRPr="00D426C7">
        <w:t>any</w:t>
      </w:r>
      <w:proofErr w:type="gramEnd"/>
      <w:r w:rsidRPr="00D426C7">
        <w:t xml:space="preserve"> extensions or expansions that were completed during the earlier access arrangement and which are taken to be 'covered' under that access arrangement's extension and expansion requirements.</w:t>
      </w:r>
    </w:p>
    <w:p w:rsidR="00D426C7" w:rsidRPr="00D426C7" w:rsidRDefault="00D426C7" w:rsidP="00D426C7">
      <w:pPr>
        <w:pStyle w:val="AERbodytext"/>
      </w:pPr>
      <w:r w:rsidRPr="00D426C7">
        <w:t xml:space="preserve">The next step is to review the service provider's description of the pipeline services and reference service. </w:t>
      </w:r>
    </w:p>
    <w:p w:rsidR="00D426C7" w:rsidRPr="00D426C7" w:rsidRDefault="00D426C7" w:rsidP="00D426C7">
      <w:pPr>
        <w:pStyle w:val="Heading2"/>
      </w:pPr>
      <w:bookmarkStart w:id="8" w:name="_Toc404255705"/>
      <w:r w:rsidRPr="00D426C7">
        <w:t>Reasons for Draft decision</w:t>
      </w:r>
      <w:bookmarkEnd w:id="8"/>
    </w:p>
    <w:p w:rsidR="00D426C7" w:rsidRDefault="00D426C7" w:rsidP="00D426C7">
      <w:pPr>
        <w:pStyle w:val="AERbodytext"/>
      </w:pPr>
      <w:r w:rsidRPr="00D426C7">
        <w:t>JGN has complied with the NGR's services requirements as outlined in</w:t>
      </w:r>
      <w:r w:rsidR="00B903FD">
        <w:t xml:space="preserve"> </w:t>
      </w:r>
      <w:r w:rsidR="00505DB7">
        <w:fldChar w:fldCharType="begin"/>
      </w:r>
      <w:r w:rsidR="00505DB7">
        <w:instrText xml:space="preserve"> REF _Ref404152497 \h </w:instrText>
      </w:r>
      <w:r w:rsidR="00505DB7">
        <w:fldChar w:fldCharType="separate"/>
      </w:r>
      <w:r w:rsidR="00097C48">
        <w:t xml:space="preserve">Table </w:t>
      </w:r>
      <w:r w:rsidR="00097C48">
        <w:rPr>
          <w:noProof/>
        </w:rPr>
        <w:t>1</w:t>
      </w:r>
      <w:r w:rsidR="00097C48">
        <w:noBreakHyphen/>
      </w:r>
      <w:r w:rsidR="00097C48">
        <w:rPr>
          <w:noProof/>
        </w:rPr>
        <w:t>1</w:t>
      </w:r>
      <w:r w:rsidR="00505DB7">
        <w:fldChar w:fldCharType="end"/>
      </w:r>
      <w:r w:rsidR="00505DB7">
        <w:t xml:space="preserve"> </w:t>
      </w:r>
      <w:r w:rsidRPr="00D426C7">
        <w:t xml:space="preserve">and section </w:t>
      </w:r>
      <w:r w:rsidR="00B903FD">
        <w:fldChar w:fldCharType="begin"/>
      </w:r>
      <w:r w:rsidR="00B903FD">
        <w:instrText xml:space="preserve"> REF _Ref402276220 \r \h </w:instrText>
      </w:r>
      <w:r w:rsidR="00B903FD">
        <w:fldChar w:fldCharType="separate"/>
      </w:r>
      <w:r w:rsidR="00097C48">
        <w:t>1.4.1</w:t>
      </w:r>
      <w:r w:rsidR="00B903FD">
        <w:fldChar w:fldCharType="end"/>
      </w:r>
      <w:r w:rsidRPr="00D426C7">
        <w:t>.</w:t>
      </w:r>
    </w:p>
    <w:p w:rsidR="00B903FD" w:rsidRPr="00D426C7" w:rsidRDefault="00505DB7" w:rsidP="00505DB7">
      <w:pPr>
        <w:pStyle w:val="Caption"/>
      </w:pPr>
      <w:bookmarkStart w:id="9" w:name="_Ref404152497"/>
      <w:r>
        <w:t xml:space="preserve">Table </w:t>
      </w:r>
      <w:r w:rsidR="00DC6F38">
        <w:fldChar w:fldCharType="begin"/>
      </w:r>
      <w:r w:rsidR="00DC6F38">
        <w:instrText xml:space="preserve"> STYLEREF 1 \s </w:instrText>
      </w:r>
      <w:r w:rsidR="00DC6F38">
        <w:fldChar w:fldCharType="separate"/>
      </w:r>
      <w:r w:rsidR="00097C48">
        <w:rPr>
          <w:noProof/>
        </w:rPr>
        <w:t>1</w:t>
      </w:r>
      <w:r w:rsidR="00DC6F38">
        <w:rPr>
          <w:noProof/>
        </w:rPr>
        <w:fldChar w:fldCharType="end"/>
      </w:r>
      <w:r>
        <w:noBreakHyphen/>
      </w:r>
      <w:r w:rsidR="00DC6F38">
        <w:fldChar w:fldCharType="begin"/>
      </w:r>
      <w:r w:rsidR="00DC6F38">
        <w:instrText xml:space="preserve"> SEQ Table \* ARABIC \s 1 </w:instrText>
      </w:r>
      <w:r w:rsidR="00DC6F38">
        <w:fldChar w:fldCharType="separate"/>
      </w:r>
      <w:r w:rsidR="00097C48">
        <w:rPr>
          <w:noProof/>
        </w:rPr>
        <w:t>1</w:t>
      </w:r>
      <w:r w:rsidR="00DC6F38">
        <w:rPr>
          <w:noProof/>
        </w:rPr>
        <w:fldChar w:fldCharType="end"/>
      </w:r>
      <w:bookmarkEnd w:id="9"/>
      <w:r w:rsidR="00D7417B">
        <w:tab/>
        <w:t>Assessment of JGN's compliance with NGR</w:t>
      </w:r>
    </w:p>
    <w:tbl>
      <w:tblPr>
        <w:tblStyle w:val="AERtable-text"/>
        <w:tblW w:w="5000" w:type="pct"/>
        <w:tblLook w:val="01E0" w:firstRow="1" w:lastRow="1" w:firstColumn="1" w:lastColumn="1" w:noHBand="0" w:noVBand="0"/>
      </w:tblPr>
      <w:tblGrid>
        <w:gridCol w:w="4621"/>
        <w:gridCol w:w="4621"/>
      </w:tblGrid>
      <w:tr w:rsidR="00D426C7" w:rsidTr="00253483">
        <w:trPr>
          <w:cnfStyle w:val="100000000000" w:firstRow="1" w:lastRow="0" w:firstColumn="0" w:lastColumn="0" w:oddVBand="0" w:evenVBand="0" w:oddHBand="0" w:evenHBand="0" w:firstRowFirstColumn="0" w:firstRowLastColumn="0" w:lastRowFirstColumn="0" w:lastRowLastColumn="0"/>
          <w:trHeight w:val="464"/>
          <w:tblHeader/>
        </w:trPr>
        <w:tc>
          <w:tcPr>
            <w:tcW w:w="2500" w:type="pct"/>
          </w:tcPr>
          <w:p w:rsidR="00D426C7" w:rsidRPr="00D426C7" w:rsidRDefault="00D426C7" w:rsidP="00D426C7">
            <w:pPr>
              <w:pStyle w:val="AERtabletextleft"/>
            </w:pPr>
            <w:r w:rsidRPr="00D426C7">
              <w:t>NGR requirements</w:t>
            </w:r>
          </w:p>
        </w:tc>
        <w:tc>
          <w:tcPr>
            <w:tcW w:w="2500" w:type="pct"/>
          </w:tcPr>
          <w:p w:rsidR="00D426C7" w:rsidRPr="00D426C7" w:rsidRDefault="00D426C7" w:rsidP="00D426C7">
            <w:pPr>
              <w:pStyle w:val="AERtabletextleft"/>
            </w:pPr>
            <w:r w:rsidRPr="00D426C7">
              <w:t>AER assessment</w:t>
            </w:r>
          </w:p>
        </w:tc>
      </w:tr>
      <w:tr w:rsidR="00D426C7" w:rsidTr="006A4B38">
        <w:trPr>
          <w:trHeight w:val="464"/>
        </w:trPr>
        <w:tc>
          <w:tcPr>
            <w:tcW w:w="2500" w:type="pct"/>
          </w:tcPr>
          <w:p w:rsidR="00D426C7" w:rsidRPr="00D426C7" w:rsidRDefault="00D426C7" w:rsidP="00D426C7">
            <w:pPr>
              <w:pStyle w:val="AERtablesource"/>
            </w:pPr>
            <w:r w:rsidRPr="00D426C7">
              <w:t>A full access arrangement must:</w:t>
            </w:r>
          </w:p>
        </w:tc>
        <w:tc>
          <w:tcPr>
            <w:tcW w:w="2500" w:type="pct"/>
          </w:tcPr>
          <w:p w:rsidR="00D426C7" w:rsidRPr="00D426C7" w:rsidRDefault="00D426C7" w:rsidP="00D426C7">
            <w:pPr>
              <w:pStyle w:val="AERtabletextleft"/>
            </w:pPr>
          </w:p>
        </w:tc>
      </w:tr>
      <w:tr w:rsidR="00D426C7" w:rsidTr="006A4B38">
        <w:trPr>
          <w:cnfStyle w:val="000000010000" w:firstRow="0" w:lastRow="0" w:firstColumn="0" w:lastColumn="0" w:oddVBand="0" w:evenVBand="0" w:oddHBand="0" w:evenHBand="1" w:firstRowFirstColumn="0" w:firstRowLastColumn="0" w:lastRowFirstColumn="0" w:lastRowLastColumn="0"/>
          <w:trHeight w:val="464"/>
        </w:trPr>
        <w:tc>
          <w:tcPr>
            <w:tcW w:w="2500" w:type="pct"/>
          </w:tcPr>
          <w:p w:rsidR="00D426C7" w:rsidRPr="00D426C7" w:rsidRDefault="00D426C7" w:rsidP="00D426C7">
            <w:pPr>
              <w:pStyle w:val="AERtabletextleft"/>
            </w:pPr>
            <w:r w:rsidRPr="00D426C7">
              <w:t>identify the pipeline to which the access arrangement relates and include a reference to a website at which a description of the pipeline can be inspected — NGR clause 48.1(a)</w:t>
            </w:r>
          </w:p>
        </w:tc>
        <w:tc>
          <w:tcPr>
            <w:tcW w:w="2500" w:type="pct"/>
          </w:tcPr>
          <w:p w:rsidR="00D426C7" w:rsidRPr="00D426C7" w:rsidRDefault="00D426C7" w:rsidP="00D426C7">
            <w:pPr>
              <w:pStyle w:val="AERtabletextleft"/>
            </w:pPr>
            <w:r w:rsidRPr="00D426C7">
              <w:t>Complies. Clause 1 and schedule 9 of the JGN Access Arrangement proposal.</w:t>
            </w:r>
          </w:p>
        </w:tc>
      </w:tr>
      <w:tr w:rsidR="00D426C7" w:rsidTr="006A4B38">
        <w:trPr>
          <w:trHeight w:val="464"/>
        </w:trPr>
        <w:tc>
          <w:tcPr>
            <w:tcW w:w="2500" w:type="pct"/>
          </w:tcPr>
          <w:p w:rsidR="00D426C7" w:rsidRPr="00D426C7" w:rsidRDefault="00D426C7" w:rsidP="00D426C7">
            <w:pPr>
              <w:pStyle w:val="AERtabletextleft"/>
            </w:pPr>
            <w:r w:rsidRPr="00D426C7">
              <w:t>describe the pipeline services the service provider proposes to offer to provide by means of the pipeline — NGR clause 48.1(b)</w:t>
            </w:r>
          </w:p>
        </w:tc>
        <w:tc>
          <w:tcPr>
            <w:tcW w:w="2500" w:type="pct"/>
          </w:tcPr>
          <w:p w:rsidR="00D426C7" w:rsidRPr="00D426C7" w:rsidRDefault="00D426C7" w:rsidP="00D426C7">
            <w:pPr>
              <w:pStyle w:val="AERtabletextleft"/>
            </w:pPr>
            <w:r w:rsidRPr="00D426C7">
              <w:t>Complies. Clause 2 of the JGN Access Arrangement proposal.</w:t>
            </w:r>
          </w:p>
        </w:tc>
      </w:tr>
      <w:tr w:rsidR="00D426C7" w:rsidTr="006A4B38">
        <w:trPr>
          <w:cnfStyle w:val="000000010000" w:firstRow="0" w:lastRow="0" w:firstColumn="0" w:lastColumn="0" w:oddVBand="0" w:evenVBand="0" w:oddHBand="0" w:evenHBand="1" w:firstRowFirstColumn="0" w:firstRowLastColumn="0" w:lastRowFirstColumn="0" w:lastRowLastColumn="0"/>
          <w:trHeight w:val="464"/>
        </w:trPr>
        <w:tc>
          <w:tcPr>
            <w:tcW w:w="2500" w:type="pct"/>
          </w:tcPr>
          <w:p w:rsidR="00D426C7" w:rsidRPr="00D426C7" w:rsidRDefault="00D426C7" w:rsidP="00D426C7">
            <w:pPr>
              <w:pStyle w:val="AERtablesource"/>
            </w:pPr>
            <w:r w:rsidRPr="00D426C7">
              <w:t>specify the reference services — NGR clause 48.1(c)</w:t>
            </w:r>
          </w:p>
        </w:tc>
        <w:tc>
          <w:tcPr>
            <w:tcW w:w="2500" w:type="pct"/>
          </w:tcPr>
          <w:p w:rsidR="00D426C7" w:rsidRPr="00D426C7" w:rsidRDefault="00D426C7" w:rsidP="00D426C7">
            <w:pPr>
              <w:pStyle w:val="AERtabletextleft"/>
            </w:pPr>
            <w:r w:rsidRPr="00D426C7">
              <w:t xml:space="preserve">Complies. Clause 2 of the JGN Access Arrangement proposal. </w:t>
            </w:r>
          </w:p>
        </w:tc>
      </w:tr>
      <w:tr w:rsidR="00D426C7" w:rsidTr="006A4B38">
        <w:trPr>
          <w:trHeight w:val="464"/>
        </w:trPr>
        <w:tc>
          <w:tcPr>
            <w:tcW w:w="2500" w:type="pct"/>
          </w:tcPr>
          <w:p w:rsidR="00D426C7" w:rsidRPr="00D426C7" w:rsidRDefault="00D426C7" w:rsidP="00D426C7">
            <w:pPr>
              <w:pStyle w:val="AERtabletextleft"/>
            </w:pPr>
            <w:r w:rsidRPr="00D426C7">
              <w:t>specify for each reference service:</w:t>
            </w:r>
          </w:p>
          <w:p w:rsidR="00D426C7" w:rsidRPr="00D426C7" w:rsidRDefault="00D426C7" w:rsidP="00D426C7">
            <w:pPr>
              <w:pStyle w:val="AERtabletextleft"/>
            </w:pPr>
            <w:r w:rsidRPr="00D426C7">
              <w:t>(</w:t>
            </w:r>
            <w:proofErr w:type="spellStart"/>
            <w:r w:rsidRPr="00D426C7">
              <w:t>i</w:t>
            </w:r>
            <w:proofErr w:type="spellEnd"/>
            <w:r w:rsidRPr="00D426C7">
              <w:t>) the reference tariff; and</w:t>
            </w:r>
          </w:p>
          <w:p w:rsidR="00D426C7" w:rsidRPr="00D426C7" w:rsidRDefault="00D426C7" w:rsidP="00D426C7">
            <w:pPr>
              <w:pStyle w:val="AERtabletextleft"/>
            </w:pPr>
            <w:r w:rsidRPr="00D426C7">
              <w:t>(ii) the other terms and conditions on which the reference service will be provided</w:t>
            </w:r>
          </w:p>
          <w:p w:rsidR="00D426C7" w:rsidRPr="00D426C7" w:rsidRDefault="00D426C7" w:rsidP="00D426C7">
            <w:pPr>
              <w:pStyle w:val="AERtabletextleft"/>
            </w:pPr>
            <w:r w:rsidRPr="00D426C7">
              <w:t xml:space="preserve">— NGR clause 48.1(d) </w:t>
            </w:r>
          </w:p>
        </w:tc>
        <w:tc>
          <w:tcPr>
            <w:tcW w:w="2500" w:type="pct"/>
          </w:tcPr>
          <w:p w:rsidR="00D426C7" w:rsidRPr="00D426C7" w:rsidRDefault="00D426C7" w:rsidP="00D426C7">
            <w:pPr>
              <w:pStyle w:val="AERtabletextleft"/>
            </w:pPr>
            <w:r w:rsidRPr="00D426C7">
              <w:t xml:space="preserve">Complies. Clause 2 and schedules 2 &amp; 4 of the JGN Access Arrangement proposal. </w:t>
            </w:r>
          </w:p>
          <w:p w:rsidR="00D426C7" w:rsidRPr="00D426C7" w:rsidRDefault="00D426C7" w:rsidP="00D426C7">
            <w:pPr>
              <w:pStyle w:val="AERtabletextleft"/>
            </w:pPr>
          </w:p>
          <w:p w:rsidR="00D426C7" w:rsidRPr="00D426C7" w:rsidRDefault="00D426C7" w:rsidP="00D426C7">
            <w:pPr>
              <w:pStyle w:val="AERtabletextleft"/>
            </w:pPr>
          </w:p>
          <w:p w:rsidR="00D426C7" w:rsidRPr="00D426C7" w:rsidRDefault="00D426C7" w:rsidP="00D426C7">
            <w:pPr>
              <w:pStyle w:val="AERtabletextleft"/>
            </w:pPr>
          </w:p>
          <w:p w:rsidR="00D426C7" w:rsidRPr="00D426C7" w:rsidRDefault="00D426C7" w:rsidP="00D426C7">
            <w:pPr>
              <w:pStyle w:val="AERtabletextleft"/>
            </w:pPr>
          </w:p>
        </w:tc>
      </w:tr>
      <w:tr w:rsidR="00D426C7" w:rsidTr="006A4B38">
        <w:trPr>
          <w:cnfStyle w:val="000000010000" w:firstRow="0" w:lastRow="0" w:firstColumn="0" w:lastColumn="0" w:oddVBand="0" w:evenVBand="0" w:oddHBand="0" w:evenHBand="1" w:firstRowFirstColumn="0" w:firstRowLastColumn="0" w:lastRowFirstColumn="0" w:lastRowLastColumn="0"/>
          <w:trHeight w:val="464"/>
        </w:trPr>
        <w:tc>
          <w:tcPr>
            <w:tcW w:w="2500" w:type="pct"/>
          </w:tcPr>
          <w:p w:rsidR="00D426C7" w:rsidRPr="00D426C7" w:rsidRDefault="00D426C7" w:rsidP="00D426C7">
            <w:pPr>
              <w:pStyle w:val="AERtabletextleft"/>
            </w:pPr>
            <w:r w:rsidRPr="00D426C7">
              <w:t>if the access arrangement is to contain queuing requirements – set out the queuing requirements — NGR clause 48.1(e)</w:t>
            </w:r>
          </w:p>
        </w:tc>
        <w:tc>
          <w:tcPr>
            <w:tcW w:w="2500" w:type="pct"/>
          </w:tcPr>
          <w:p w:rsidR="00D426C7" w:rsidRPr="00D426C7" w:rsidRDefault="00D426C7" w:rsidP="00D426C7">
            <w:pPr>
              <w:pStyle w:val="AERtabletextleft"/>
            </w:pPr>
            <w:r w:rsidRPr="00D426C7">
              <w:t>Complies. Clause 7 of the JGN Access Arrangement proposal.</w:t>
            </w:r>
          </w:p>
        </w:tc>
      </w:tr>
      <w:tr w:rsidR="00D426C7" w:rsidTr="006A4B38">
        <w:trPr>
          <w:trHeight w:val="464"/>
        </w:trPr>
        <w:tc>
          <w:tcPr>
            <w:tcW w:w="2500" w:type="pct"/>
            <w:vAlign w:val="top"/>
          </w:tcPr>
          <w:p w:rsidR="00D426C7" w:rsidRPr="00D426C7" w:rsidRDefault="00D426C7" w:rsidP="00D426C7">
            <w:pPr>
              <w:pStyle w:val="AERtabletextleft"/>
            </w:pPr>
            <w:r w:rsidRPr="00D426C7">
              <w:t>set out the capacity trading requirements — NGR clause 48.1(f)</w:t>
            </w:r>
          </w:p>
        </w:tc>
        <w:tc>
          <w:tcPr>
            <w:tcW w:w="2500" w:type="pct"/>
          </w:tcPr>
          <w:p w:rsidR="00D426C7" w:rsidRPr="00D426C7" w:rsidRDefault="00D426C7" w:rsidP="00D426C7">
            <w:pPr>
              <w:pStyle w:val="AERtabletextleft"/>
            </w:pPr>
            <w:r w:rsidRPr="00D426C7">
              <w:t>Complies. Clause 9 of the JGN Access Arrangement proposal.</w:t>
            </w:r>
          </w:p>
        </w:tc>
      </w:tr>
      <w:tr w:rsidR="00D426C7" w:rsidTr="006A4B38">
        <w:trPr>
          <w:cnfStyle w:val="000000010000" w:firstRow="0" w:lastRow="0" w:firstColumn="0" w:lastColumn="0" w:oddVBand="0" w:evenVBand="0" w:oddHBand="0" w:evenHBand="1" w:firstRowFirstColumn="0" w:firstRowLastColumn="0" w:lastRowFirstColumn="0" w:lastRowLastColumn="0"/>
          <w:trHeight w:val="464"/>
        </w:trPr>
        <w:tc>
          <w:tcPr>
            <w:tcW w:w="2500" w:type="pct"/>
            <w:vAlign w:val="top"/>
          </w:tcPr>
          <w:p w:rsidR="00D426C7" w:rsidRPr="00D426C7" w:rsidRDefault="00D426C7" w:rsidP="00D426C7">
            <w:pPr>
              <w:pStyle w:val="AERtabletextleft"/>
            </w:pPr>
            <w:r w:rsidRPr="00D426C7">
              <w:t>set out the extension and expansion requirements — NGR clause 48.1(g)</w:t>
            </w:r>
          </w:p>
        </w:tc>
        <w:tc>
          <w:tcPr>
            <w:tcW w:w="2500" w:type="pct"/>
          </w:tcPr>
          <w:p w:rsidR="00D426C7" w:rsidRPr="00D426C7" w:rsidRDefault="00D426C7" w:rsidP="00D426C7">
            <w:pPr>
              <w:pStyle w:val="AERtabletextleft"/>
            </w:pPr>
            <w:r w:rsidRPr="00D426C7">
              <w:t>Complies. Clause 8 of the JGN Access Arrangement proposal.</w:t>
            </w:r>
          </w:p>
        </w:tc>
      </w:tr>
      <w:tr w:rsidR="00D426C7" w:rsidTr="006A4B38">
        <w:trPr>
          <w:trHeight w:val="464"/>
        </w:trPr>
        <w:tc>
          <w:tcPr>
            <w:tcW w:w="2500" w:type="pct"/>
            <w:vAlign w:val="top"/>
          </w:tcPr>
          <w:p w:rsidR="00D426C7" w:rsidRPr="00D426C7" w:rsidRDefault="00D426C7" w:rsidP="00D426C7">
            <w:pPr>
              <w:pStyle w:val="AERtabletextleft"/>
            </w:pPr>
            <w:r w:rsidRPr="00D426C7">
              <w:lastRenderedPageBreak/>
              <w:t>state the terms and conditions for changing receipt and delivery points — NGR clause 48.1(h)</w:t>
            </w:r>
          </w:p>
        </w:tc>
        <w:tc>
          <w:tcPr>
            <w:tcW w:w="2500" w:type="pct"/>
          </w:tcPr>
          <w:p w:rsidR="00D426C7" w:rsidRPr="00D426C7" w:rsidRDefault="00D426C7" w:rsidP="00D426C7">
            <w:pPr>
              <w:pStyle w:val="AERtabletextleft"/>
            </w:pPr>
            <w:r w:rsidRPr="00D426C7">
              <w:t>Complies. Clause 10 and schedules 4 of the JGN Access Arrangement proposal.</w:t>
            </w:r>
          </w:p>
        </w:tc>
      </w:tr>
      <w:tr w:rsidR="00D426C7" w:rsidTr="006A4B38">
        <w:trPr>
          <w:cnfStyle w:val="000000010000" w:firstRow="0" w:lastRow="0" w:firstColumn="0" w:lastColumn="0" w:oddVBand="0" w:evenVBand="0" w:oddHBand="0" w:evenHBand="1" w:firstRowFirstColumn="0" w:firstRowLastColumn="0" w:lastRowFirstColumn="0" w:lastRowLastColumn="0"/>
          <w:trHeight w:val="464"/>
        </w:trPr>
        <w:tc>
          <w:tcPr>
            <w:tcW w:w="2500" w:type="pct"/>
            <w:vAlign w:val="top"/>
          </w:tcPr>
          <w:p w:rsidR="00D426C7" w:rsidRPr="00D426C7" w:rsidRDefault="00D426C7" w:rsidP="00D426C7">
            <w:pPr>
              <w:pStyle w:val="AERtabletextleft"/>
            </w:pPr>
            <w:r w:rsidRPr="00D426C7">
              <w:t>if there is to be a review submission date – state the review submission date and the revision commencement date — NGR clause 48.1(</w:t>
            </w:r>
            <w:proofErr w:type="spellStart"/>
            <w:r w:rsidRPr="00D426C7">
              <w:t>i</w:t>
            </w:r>
            <w:proofErr w:type="spellEnd"/>
            <w:r w:rsidRPr="00D426C7">
              <w:t>)</w:t>
            </w:r>
          </w:p>
        </w:tc>
        <w:tc>
          <w:tcPr>
            <w:tcW w:w="2500" w:type="pct"/>
          </w:tcPr>
          <w:p w:rsidR="00D426C7" w:rsidRPr="00D426C7" w:rsidRDefault="00D426C7" w:rsidP="00D426C7">
            <w:pPr>
              <w:pStyle w:val="AERtabletextleft"/>
            </w:pPr>
            <w:r w:rsidRPr="00D426C7">
              <w:t>Complies. Clauses 1.3 and 1.4 of the JGN Access Arrangement proposal.</w:t>
            </w:r>
          </w:p>
        </w:tc>
      </w:tr>
      <w:tr w:rsidR="00D426C7" w:rsidTr="006A4B38">
        <w:trPr>
          <w:trHeight w:val="464"/>
        </w:trPr>
        <w:tc>
          <w:tcPr>
            <w:tcW w:w="2500" w:type="pct"/>
          </w:tcPr>
          <w:p w:rsidR="00D426C7" w:rsidRPr="00D426C7" w:rsidRDefault="00D426C7" w:rsidP="00D426C7">
            <w:pPr>
              <w:pStyle w:val="AERtabletextleft"/>
            </w:pPr>
            <w:r w:rsidRPr="00D426C7">
              <w:t>if there is to be an expiry date – state the expiry date — NGR clause 48.1(j)</w:t>
            </w:r>
          </w:p>
        </w:tc>
        <w:tc>
          <w:tcPr>
            <w:tcW w:w="2500" w:type="pct"/>
          </w:tcPr>
          <w:p w:rsidR="00D426C7" w:rsidRPr="00D426C7" w:rsidRDefault="00D426C7" w:rsidP="00D426C7">
            <w:pPr>
              <w:pStyle w:val="AERtabletextleft"/>
            </w:pPr>
            <w:r w:rsidRPr="00D426C7">
              <w:t>Not applicable</w:t>
            </w:r>
          </w:p>
        </w:tc>
      </w:tr>
    </w:tbl>
    <w:p w:rsidR="00D426C7" w:rsidRPr="00D426C7" w:rsidRDefault="00D426C7" w:rsidP="00D426C7">
      <w:pPr>
        <w:pStyle w:val="AERbodytext"/>
        <w:rPr>
          <w:rStyle w:val="AERtextbold"/>
        </w:rPr>
      </w:pPr>
    </w:p>
    <w:p w:rsidR="00D426C7" w:rsidRPr="00D426C7" w:rsidRDefault="00D426C7" w:rsidP="00D426C7">
      <w:pPr>
        <w:pStyle w:val="Heading3"/>
        <w:rPr>
          <w:rStyle w:val="AERtextbold"/>
        </w:rPr>
      </w:pPr>
      <w:bookmarkStart w:id="10" w:name="_Ref402276220"/>
      <w:bookmarkStart w:id="11" w:name="_Toc404255706"/>
      <w:r w:rsidRPr="00D426C7">
        <w:rPr>
          <w:rStyle w:val="AERtextbold"/>
        </w:rPr>
        <w:t>Reference services</w:t>
      </w:r>
      <w:bookmarkEnd w:id="10"/>
      <w:bookmarkEnd w:id="11"/>
    </w:p>
    <w:p w:rsidR="00D426C7" w:rsidRPr="00D426C7" w:rsidRDefault="00D426C7" w:rsidP="00D426C7">
      <w:pPr>
        <w:pStyle w:val="AERbodytext"/>
      </w:pPr>
      <w:r w:rsidRPr="00D426C7">
        <w:t xml:space="preserve">We consider that a significant part of the market is likely to seek services that provide for the transportation of gas, meter reading and associated data activities and ancillary activities. Accordingly, we </w:t>
      </w:r>
      <w:r w:rsidR="00EB18DE">
        <w:t xml:space="preserve">consider </w:t>
      </w:r>
      <w:r w:rsidRPr="00D426C7">
        <w:t>that the reference services proposed by JGN are likely to be sought by a significant part of the market. This means they must be covered by the access arrangement.</w:t>
      </w:r>
    </w:p>
    <w:p w:rsidR="00D426C7" w:rsidRPr="00D426C7" w:rsidRDefault="00D426C7" w:rsidP="00D426C7">
      <w:pPr>
        <w:pStyle w:val="HeadingBoldBlue"/>
      </w:pPr>
      <w:r w:rsidRPr="00D426C7">
        <w:t>Combining meter data services into haulage reference services</w:t>
      </w:r>
    </w:p>
    <w:p w:rsidR="00D426C7" w:rsidRPr="00D426C7" w:rsidRDefault="00D426C7" w:rsidP="00D426C7">
      <w:pPr>
        <w:pStyle w:val="AERbodytext"/>
      </w:pPr>
      <w:r w:rsidRPr="00D426C7">
        <w:t>We approve JGN's proposal to combine its meter data services into a single reference service for the reasons outlined below.</w:t>
      </w:r>
    </w:p>
    <w:p w:rsidR="00D426C7" w:rsidRPr="00D426C7" w:rsidRDefault="00D426C7" w:rsidP="00D426C7">
      <w:pPr>
        <w:pStyle w:val="AERbodytext"/>
      </w:pPr>
      <w:r w:rsidRPr="00D426C7">
        <w:t>We received submissions from retailers and the Consumer Challenge Panel requesting careful examination of JGN's proposal.</w:t>
      </w:r>
      <w:r w:rsidR="006A4B38">
        <w:rPr>
          <w:rStyle w:val="FootnoteReference"/>
        </w:rPr>
        <w:footnoteReference w:id="5"/>
      </w:r>
      <w:r w:rsidRPr="00D426C7">
        <w:t xml:space="preserve"> AGL and </w:t>
      </w:r>
      <w:proofErr w:type="spellStart"/>
      <w:r w:rsidRPr="00D426C7">
        <w:t>EnergyAustralia</w:t>
      </w:r>
      <w:proofErr w:type="spellEnd"/>
      <w:r w:rsidRPr="00D426C7">
        <w:t xml:space="preserve"> submitted that absorbing metering services into haulage reference services would be a step backward for transparency of charges and contrary to electricity charges where they are unbundled.</w:t>
      </w:r>
      <w:r w:rsidRPr="00D426C7">
        <w:rPr>
          <w:rStyle w:val="FootnoteReference"/>
        </w:rPr>
        <w:footnoteReference w:id="6"/>
      </w:r>
      <w:r w:rsidRPr="00D426C7">
        <w:t xml:space="preserve">  </w:t>
      </w:r>
    </w:p>
    <w:p w:rsidR="00D426C7" w:rsidRPr="00D426C7" w:rsidRDefault="00D426C7" w:rsidP="00D426C7">
      <w:pPr>
        <w:pStyle w:val="AERbodytext"/>
      </w:pPr>
      <w:r w:rsidRPr="00D426C7">
        <w:t>We are not persuaded by the submissions for the following reasons:</w:t>
      </w:r>
    </w:p>
    <w:p w:rsidR="00D426C7" w:rsidRPr="00D426C7" w:rsidRDefault="00D426C7" w:rsidP="00D426C7">
      <w:pPr>
        <w:pStyle w:val="AERbulletlistfirststyle"/>
      </w:pPr>
      <w:proofErr w:type="gramStart"/>
      <w:r w:rsidRPr="00D426C7">
        <w:t>the</w:t>
      </w:r>
      <w:proofErr w:type="gramEnd"/>
      <w:r w:rsidRPr="00D426C7">
        <w:t xml:space="preserve"> market to implement gas meter reading contestability in NSW has not changed since 2000 and we have not seen any evidence that it may change in the next Access Arrangement period</w:t>
      </w:r>
      <w:r w:rsidR="00505DB7">
        <w:t>.</w:t>
      </w:r>
    </w:p>
    <w:p w:rsidR="00D426C7" w:rsidRPr="00D426C7" w:rsidRDefault="00D426C7" w:rsidP="00D426C7">
      <w:pPr>
        <w:pStyle w:val="AERbulletlistfirststyle"/>
      </w:pPr>
      <w:r w:rsidRPr="00D426C7">
        <w:t>the provisions to facilitate contestable meter data services were removed from NSW and ACT gas retail market procedures in 2000</w:t>
      </w:r>
      <w:r w:rsidR="002F1B47">
        <w:t xml:space="preserve"> </w:t>
      </w:r>
      <w:r w:rsidRPr="00D426C7">
        <w:t>the current Retail Service Agreement requires that services be taken as a bundled service (clause 17.1). As a result, in substance they are presently merged</w:t>
      </w:r>
      <w:r w:rsidR="00505DB7">
        <w:t>.</w:t>
      </w:r>
      <w:r w:rsidRPr="00D426C7">
        <w:t xml:space="preserve"> </w:t>
      </w:r>
    </w:p>
    <w:p w:rsidR="00D426C7" w:rsidRPr="00D426C7" w:rsidRDefault="00D426C7" w:rsidP="00D426C7">
      <w:pPr>
        <w:pStyle w:val="AERbulletlistfirststyle"/>
      </w:pPr>
      <w:proofErr w:type="gramStart"/>
      <w:r w:rsidRPr="00D426C7">
        <w:t>one</w:t>
      </w:r>
      <w:proofErr w:type="gramEnd"/>
      <w:r w:rsidRPr="00D426C7">
        <w:t xml:space="preserve"> significant driver of electricity metering contestability has been a desire to foster a competitive rollout of time of use tariffs to mass market electricity customers. There is no equivalent gas network or retail imperative for time of use pricing and associated behavioural change. </w:t>
      </w:r>
    </w:p>
    <w:p w:rsidR="00D426C7" w:rsidRPr="00D426C7" w:rsidRDefault="00D426C7" w:rsidP="00D426C7">
      <w:pPr>
        <w:pStyle w:val="AERbulletlistfirststyle"/>
      </w:pPr>
      <w:r w:rsidRPr="00D426C7">
        <w:t>JGN’s consumer engagement has identified the aggregation of these services as a way to simplify small customer bills – this goal is dependent in part on direct reflection of network charges in retail tariffs.</w:t>
      </w:r>
      <w:r w:rsidRPr="00D426C7">
        <w:rPr>
          <w:rStyle w:val="FootnoteReference"/>
        </w:rPr>
        <w:footnoteReference w:id="7"/>
      </w:r>
    </w:p>
    <w:p w:rsidR="00D426C7" w:rsidRPr="00D426C7" w:rsidRDefault="00D426C7" w:rsidP="000242A6">
      <w:r w:rsidRPr="000242A6">
        <w:lastRenderedPageBreak/>
        <w:t>We accept that an aggregated reference service may not be conducive to contestability. However, we consider that this issue can be revisited in subsequent Access Arrangements. The aggregation of the service does not lead to aggregation of the underlying costs. If the market for metering services</w:t>
      </w:r>
      <w:r w:rsidRPr="00D426C7">
        <w:t xml:space="preserve"> developments and disaggregation is considered warranted at a future date, this can be proposed and considered at that time.</w:t>
      </w:r>
    </w:p>
    <w:p w:rsidR="00694229" w:rsidRDefault="00FF4F16" w:rsidP="00D426C7">
      <w:pPr>
        <w:pStyle w:val="AERbodytext"/>
      </w:pPr>
      <w:r>
        <w:t xml:space="preserve">We found no compelling reasons </w:t>
      </w:r>
      <w:r w:rsidR="006A4B38">
        <w:t>not to approve JGN's proposal</w:t>
      </w:r>
      <w:r>
        <w:t xml:space="preserve">. </w:t>
      </w:r>
      <w:r w:rsidR="00D426C7" w:rsidRPr="00D426C7">
        <w:t>For the</w:t>
      </w:r>
      <w:r>
        <w:t>se</w:t>
      </w:r>
      <w:r w:rsidR="00D426C7" w:rsidRPr="00D426C7">
        <w:t xml:space="preserve"> reasons we</w:t>
      </w:r>
      <w:r>
        <w:t xml:space="preserve"> </w:t>
      </w:r>
      <w:r w:rsidR="00D426C7" w:rsidRPr="00D426C7">
        <w:t>approve JGN's proposal to merge metering data services into a single reference service</w:t>
      </w:r>
      <w:r w:rsidR="00694229">
        <w:t>.</w:t>
      </w:r>
    </w:p>
    <w:p w:rsidR="00D426C7" w:rsidRPr="00D426C7" w:rsidRDefault="00694229" w:rsidP="00D426C7">
      <w:pPr>
        <w:pStyle w:val="AERbodytext"/>
      </w:pPr>
      <w:r>
        <w:t>Nonetheless, if</w:t>
      </w:r>
      <w:r w:rsidR="00FF4F16">
        <w:t xml:space="preserve"> </w:t>
      </w:r>
      <w:r w:rsidR="00EB18DE">
        <w:t xml:space="preserve">retailers </w:t>
      </w:r>
      <w:r>
        <w:t xml:space="preserve">can </w:t>
      </w:r>
      <w:r w:rsidR="00EB18DE">
        <w:t xml:space="preserve">provide </w:t>
      </w:r>
      <w:r>
        <w:t xml:space="preserve">to us </w:t>
      </w:r>
      <w:r w:rsidR="00FF4F16">
        <w:t>compelling reasons</w:t>
      </w:r>
      <w:r w:rsidR="00EB18DE">
        <w:t xml:space="preserve"> not to merge metering data services into a single reference service</w:t>
      </w:r>
      <w:r w:rsidR="00907933">
        <w:t>,</w:t>
      </w:r>
      <w:r w:rsidRPr="00694229">
        <w:t xml:space="preserve"> </w:t>
      </w:r>
      <w:r>
        <w:t>we may review our draft decision position when making the final determination</w:t>
      </w:r>
      <w:r w:rsidR="00FF4F16">
        <w:t>.</w:t>
      </w:r>
      <w:r w:rsidR="00124199">
        <w:rPr>
          <w:rStyle w:val="FootnoteReference"/>
        </w:rPr>
        <w:footnoteReference w:id="8"/>
      </w:r>
      <w:r w:rsidR="00FF4F16">
        <w:t xml:space="preserve"> </w:t>
      </w:r>
    </w:p>
    <w:p w:rsidR="00D426C7" w:rsidRPr="00D426C7" w:rsidRDefault="00D426C7" w:rsidP="00CF3FFA">
      <w:pPr>
        <w:pStyle w:val="Heading2"/>
      </w:pPr>
      <w:bookmarkStart w:id="12" w:name="_Toc404255707"/>
      <w:r w:rsidRPr="00D426C7">
        <w:t>Non reference services</w:t>
      </w:r>
      <w:bookmarkEnd w:id="12"/>
    </w:p>
    <w:p w:rsidR="00D426C7" w:rsidRPr="00D426C7" w:rsidRDefault="00D426C7" w:rsidP="00D426C7">
      <w:pPr>
        <w:pStyle w:val="AERbodytext"/>
      </w:pPr>
      <w:r w:rsidRPr="00D426C7">
        <w:t xml:space="preserve">Our decision does not extend to non-reference services (negotiated or excluded services) because they are outside the scope of an access arrangement. </w:t>
      </w:r>
    </w:p>
    <w:sectPr w:rsidR="00D426C7" w:rsidRPr="00D426C7" w:rsidSect="00097C48">
      <w:footerReference w:type="even" r:id="rId11"/>
      <w:footerReference w:type="default" r:id="rId12"/>
      <w:pgSz w:w="11906" w:h="16838"/>
      <w:pgMar w:top="1440" w:right="1440" w:bottom="1440" w:left="1440"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38" w:rsidRPr="00AB4345" w:rsidRDefault="006A4B38" w:rsidP="00AB4345">
      <w:r>
        <w:separator/>
      </w:r>
    </w:p>
  </w:endnote>
  <w:endnote w:type="continuationSeparator" w:id="0">
    <w:p w:rsidR="006A4B38" w:rsidRPr="00AB4345" w:rsidRDefault="006A4B3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6A4B38" w:rsidRPr="00824CC8" w:rsidRDefault="006A4B38" w:rsidP="00824CC8">
        <w:pPr>
          <w:pStyle w:val="Footer"/>
        </w:pPr>
        <w:r w:rsidRPr="00824CC8">
          <w:fldChar w:fldCharType="begin"/>
        </w:r>
        <w:r w:rsidRPr="00824CC8">
          <w:instrText xml:space="preserve"> PAGE   \* MERGEFORMAT </w:instrText>
        </w:r>
        <w:r w:rsidRPr="00824CC8">
          <w:fldChar w:fldCharType="separate"/>
        </w:r>
        <w:r w:rsidR="00DC6F38">
          <w:rPr>
            <w:noProof/>
          </w:rPr>
          <w:t>1-2</w:t>
        </w:r>
        <w:r w:rsidRPr="00824CC8">
          <w:fldChar w:fldCharType="end"/>
        </w:r>
        <w:r w:rsidRPr="00824CC8">
          <w:tab/>
        </w:r>
        <w:r w:rsidR="001C54CC">
          <w:t xml:space="preserve"> </w:t>
        </w:r>
        <w:r w:rsidR="00D7417B">
          <w:rPr>
            <w:rStyle w:val="AERbody"/>
          </w:rPr>
          <w:t>Attachment 1 Services covered by the access arrangement</w:t>
        </w:r>
        <w:r w:rsidRPr="00824CC8">
          <w:rPr>
            <w:rStyle w:val="AERbody"/>
          </w:rPr>
          <w:t xml:space="preserve">| </w:t>
        </w:r>
        <w:r w:rsidR="00D7417B">
          <w:rPr>
            <w:rStyle w:val="AERbody"/>
          </w:rPr>
          <w:t>J</w:t>
        </w:r>
        <w:r w:rsidR="00C269C9">
          <w:rPr>
            <w:rStyle w:val="AERbody"/>
          </w:rPr>
          <w:t xml:space="preserve">emena </w:t>
        </w:r>
        <w:r w:rsidR="00D7417B">
          <w:rPr>
            <w:rStyle w:val="AERbody"/>
          </w:rPr>
          <w:t>G</w:t>
        </w:r>
        <w:r w:rsidR="00C269C9">
          <w:rPr>
            <w:rStyle w:val="AERbody"/>
          </w:rPr>
          <w:t xml:space="preserve">as </w:t>
        </w:r>
        <w:r w:rsidR="00D7417B">
          <w:rPr>
            <w:rStyle w:val="AERbody"/>
          </w:rPr>
          <w:t>N</w:t>
        </w:r>
        <w:r w:rsidR="00C269C9">
          <w:rPr>
            <w:rStyle w:val="AERbody"/>
          </w:rPr>
          <w:t>etwork</w:t>
        </w:r>
        <w:r w:rsidR="0027769C">
          <w:rPr>
            <w:rStyle w:val="AERbody"/>
          </w:rPr>
          <w:t>s</w:t>
        </w:r>
        <w:r w:rsidR="001D11A5">
          <w:rPr>
            <w:rStyle w:val="AERbody"/>
          </w:rPr>
          <w:t xml:space="preserve"> 2015-</w:t>
        </w:r>
        <w:r w:rsidR="00D7417B">
          <w:rPr>
            <w:rStyle w:val="AERbody"/>
          </w:rPr>
          <w:t>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B38" w:rsidRPr="00824CC8" w:rsidRDefault="00C269C9" w:rsidP="00824CC8">
    <w:pPr>
      <w:pStyle w:val="Footer"/>
      <w:rPr>
        <w:rStyle w:val="AERbody"/>
      </w:rPr>
    </w:pPr>
    <w:r>
      <w:rPr>
        <w:rStyle w:val="AERbody"/>
      </w:rPr>
      <w:t>Jemena Gas Network</w:t>
    </w:r>
    <w:r w:rsidR="0027769C">
      <w:rPr>
        <w:rStyle w:val="AERbody"/>
      </w:rPr>
      <w:t>s</w:t>
    </w:r>
    <w:r w:rsidR="001D11A5">
      <w:rPr>
        <w:rStyle w:val="AERbody"/>
      </w:rPr>
      <w:t xml:space="preserve"> 2015-</w:t>
    </w:r>
    <w:r w:rsidR="00D7417B">
      <w:rPr>
        <w:rStyle w:val="AERbody"/>
      </w:rPr>
      <w:t>20</w:t>
    </w:r>
    <w:r w:rsidR="006A4B38" w:rsidRPr="00210880">
      <w:rPr>
        <w:rStyle w:val="AERbody"/>
      </w:rPr>
      <w:t xml:space="preserve">| Attachment </w:t>
    </w:r>
    <w:r w:rsidR="00D7417B">
      <w:rPr>
        <w:rStyle w:val="AERbody"/>
      </w:rPr>
      <w:t>1 Services covered by the access arrangement</w:t>
    </w:r>
    <w:r w:rsidR="006A4B38" w:rsidRPr="00210880">
      <w:rPr>
        <w:rStyle w:val="AERbody"/>
      </w:rPr>
      <w:tab/>
    </w:r>
    <w:r w:rsidR="006A4B38" w:rsidRPr="00824CC8">
      <w:rPr>
        <w:rStyle w:val="AERbody"/>
      </w:rPr>
      <w:fldChar w:fldCharType="begin"/>
    </w:r>
    <w:r w:rsidR="006A4B38" w:rsidRPr="00824CC8">
      <w:rPr>
        <w:rStyle w:val="AERbody"/>
      </w:rPr>
      <w:instrText xml:space="preserve"> PAGE   \* MERGEFORMAT </w:instrText>
    </w:r>
    <w:r w:rsidR="006A4B38" w:rsidRPr="00824CC8">
      <w:rPr>
        <w:rStyle w:val="AERbody"/>
      </w:rPr>
      <w:fldChar w:fldCharType="separate"/>
    </w:r>
    <w:r w:rsidR="00DC6F38">
      <w:rPr>
        <w:rStyle w:val="AERbody"/>
        <w:noProof/>
      </w:rPr>
      <w:t>1-3</w:t>
    </w:r>
    <w:r w:rsidR="006A4B38"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38" w:rsidRPr="00AB4345" w:rsidRDefault="006A4B38" w:rsidP="00AB4345">
      <w:r>
        <w:separator/>
      </w:r>
    </w:p>
  </w:footnote>
  <w:footnote w:type="continuationSeparator" w:id="0">
    <w:p w:rsidR="006A4B38" w:rsidRPr="00AB4345" w:rsidRDefault="006A4B38" w:rsidP="00AB4345">
      <w:r>
        <w:continuationSeparator/>
      </w:r>
    </w:p>
  </w:footnote>
  <w:footnote w:id="1">
    <w:p w:rsidR="006A4B38" w:rsidRDefault="006A4B38" w:rsidP="00D426C7">
      <w:pPr>
        <w:pStyle w:val="FootnoteText"/>
      </w:pPr>
      <w:r>
        <w:rPr>
          <w:rStyle w:val="FootnoteReference"/>
        </w:rPr>
        <w:footnoteRef/>
      </w:r>
      <w:r>
        <w:t xml:space="preserve"> </w:t>
      </w:r>
      <w:r>
        <w:tab/>
        <w:t>NGR, r. 48(1</w:t>
      </w:r>
      <w:proofErr w:type="gramStart"/>
      <w:r>
        <w:t>)(</w:t>
      </w:r>
      <w:proofErr w:type="gramEnd"/>
      <w:r>
        <w:t>a) and (b).</w:t>
      </w:r>
    </w:p>
  </w:footnote>
  <w:footnote w:id="2">
    <w:p w:rsidR="006A4B38" w:rsidRDefault="006A4B38" w:rsidP="00DC2C2C">
      <w:pPr>
        <w:pStyle w:val="FootnoteText"/>
      </w:pPr>
      <w:r>
        <w:rPr>
          <w:rStyle w:val="FootnoteReference"/>
        </w:rPr>
        <w:footnoteRef/>
      </w:r>
      <w:r>
        <w:t xml:space="preserve"> </w:t>
      </w:r>
      <w:r>
        <w:tab/>
      </w:r>
      <w:r w:rsidRPr="00DC2C2C">
        <w:rPr>
          <w:rStyle w:val="AERbody"/>
          <w:sz w:val="16"/>
        </w:rPr>
        <w:t>JGN</w:t>
      </w:r>
      <w:r w:rsidR="00DC2C2C">
        <w:rPr>
          <w:rStyle w:val="AERtextitalic"/>
        </w:rPr>
        <w:t>,</w:t>
      </w:r>
      <w:r w:rsidRPr="00A87DA6">
        <w:rPr>
          <w:rStyle w:val="AERtextitalic"/>
        </w:rPr>
        <w:t xml:space="preserve"> 2015</w:t>
      </w:r>
      <w:r w:rsidR="00DC2C2C">
        <w:rPr>
          <w:rStyle w:val="AERtextitalic"/>
        </w:rPr>
        <w:t xml:space="preserve"> Access arrangement information</w:t>
      </w:r>
      <w:r>
        <w:t>, 30 June 2014, p. 3</w:t>
      </w:r>
      <w:r w:rsidR="00DC2C2C">
        <w:t>,</w:t>
      </w:r>
      <w:r w:rsidR="00DC2C2C" w:rsidRPr="00DC2C2C">
        <w:t xml:space="preserve"> </w:t>
      </w:r>
      <w:r w:rsidR="00DC2C2C">
        <w:t>paragraph 2.2</w:t>
      </w:r>
      <w:proofErr w:type="gramStart"/>
      <w:r w:rsidR="00DC2C2C">
        <w:t>,</w:t>
      </w:r>
      <w:r>
        <w:t>.</w:t>
      </w:r>
      <w:proofErr w:type="gramEnd"/>
      <w:r>
        <w:t xml:space="preserve"> </w:t>
      </w:r>
    </w:p>
    <w:p w:rsidR="006A4B38" w:rsidRDefault="006A4B38" w:rsidP="00D426C7">
      <w:pPr>
        <w:pStyle w:val="FootnoteText"/>
      </w:pPr>
      <w:r>
        <w:tab/>
      </w:r>
      <w:r w:rsidRPr="00B26077">
        <w:t>Delivery Point means a point at which Gas is withdrawn from the Network listed from time to time in the Relevant Customer List</w:t>
      </w:r>
      <w:r w:rsidR="00505DB7">
        <w:t>.</w:t>
      </w:r>
    </w:p>
  </w:footnote>
  <w:footnote w:id="3">
    <w:p w:rsidR="006A4B38" w:rsidRDefault="006A4B38" w:rsidP="00DC2C2C">
      <w:pPr>
        <w:pStyle w:val="FootnoteText"/>
      </w:pPr>
      <w:r>
        <w:rPr>
          <w:rStyle w:val="FootnoteReference"/>
        </w:rPr>
        <w:footnoteRef/>
      </w:r>
      <w:r>
        <w:t xml:space="preserve"> </w:t>
      </w:r>
      <w:r>
        <w:tab/>
      </w:r>
      <w:r w:rsidR="00DC2C2C" w:rsidRPr="00DC2C2C">
        <w:rPr>
          <w:rStyle w:val="AERbody"/>
          <w:sz w:val="16"/>
        </w:rPr>
        <w:t>JGN</w:t>
      </w:r>
      <w:r w:rsidR="00DC2C2C">
        <w:rPr>
          <w:rStyle w:val="AERtextitalic"/>
        </w:rPr>
        <w:t>,</w:t>
      </w:r>
      <w:r w:rsidR="00DC2C2C" w:rsidRPr="00A87DA6">
        <w:rPr>
          <w:rStyle w:val="AERtextitalic"/>
        </w:rPr>
        <w:t xml:space="preserve"> 2015</w:t>
      </w:r>
      <w:r w:rsidR="00DC2C2C">
        <w:rPr>
          <w:rStyle w:val="AERtextitalic"/>
        </w:rPr>
        <w:t xml:space="preserve"> Access arrangement information</w:t>
      </w:r>
      <w:r w:rsidR="00DC2C2C">
        <w:t xml:space="preserve">, 30 June 2014, </w:t>
      </w:r>
      <w:r w:rsidRPr="00F31724">
        <w:t xml:space="preserve">30 June 2014, p. </w:t>
      </w:r>
      <w:r>
        <w:t>4</w:t>
      </w:r>
      <w:r w:rsidR="00DC2C2C">
        <w:t>,</w:t>
      </w:r>
      <w:r w:rsidR="00DC2C2C" w:rsidRPr="00DC2C2C">
        <w:t xml:space="preserve"> </w:t>
      </w:r>
      <w:r w:rsidR="00DC2C2C">
        <w:t>p</w:t>
      </w:r>
      <w:r w:rsidR="00DC2C2C" w:rsidRPr="00F31724">
        <w:t>aragraph 2.</w:t>
      </w:r>
      <w:r w:rsidR="00DC2C2C">
        <w:t>4-2.6</w:t>
      </w:r>
      <w:r>
        <w:t>.</w:t>
      </w:r>
    </w:p>
  </w:footnote>
  <w:footnote w:id="4">
    <w:p w:rsidR="006A4B38" w:rsidRDefault="006A4B38" w:rsidP="00D426C7">
      <w:pPr>
        <w:pStyle w:val="FootnoteText"/>
      </w:pPr>
      <w:r>
        <w:rPr>
          <w:rStyle w:val="FootnoteReference"/>
        </w:rPr>
        <w:footnoteRef/>
      </w:r>
      <w:r>
        <w:t xml:space="preserve"> </w:t>
      </w:r>
      <w:r>
        <w:tab/>
      </w:r>
      <w:proofErr w:type="gramStart"/>
      <w:r w:rsidRPr="00A21EB4">
        <w:t>NGR, r. 100(a).</w:t>
      </w:r>
      <w:proofErr w:type="gramEnd"/>
    </w:p>
  </w:footnote>
  <w:footnote w:id="5">
    <w:p w:rsidR="006A4B38" w:rsidRDefault="006A4B38">
      <w:pPr>
        <w:pStyle w:val="FootnoteText"/>
      </w:pPr>
      <w:r>
        <w:rPr>
          <w:rStyle w:val="FootnoteReference"/>
        </w:rPr>
        <w:footnoteRef/>
      </w:r>
      <w:r>
        <w:t xml:space="preserve"> </w:t>
      </w:r>
      <w:r>
        <w:tab/>
        <w:t xml:space="preserve">The </w:t>
      </w:r>
      <w:r w:rsidRPr="006A4B38">
        <w:t>Consumer Challenge Panel</w:t>
      </w:r>
      <w:r>
        <w:t xml:space="preserve"> </w:t>
      </w:r>
      <w:r w:rsidR="00907933">
        <w:t xml:space="preserve">submitted that the AER should consider this issue carefully but </w:t>
      </w:r>
      <w:r>
        <w:t xml:space="preserve">did </w:t>
      </w:r>
      <w:r w:rsidR="00907933">
        <w:t xml:space="preserve">not provide </w:t>
      </w:r>
      <w:r>
        <w:t>reasons for it</w:t>
      </w:r>
      <w:r w:rsidR="00907933">
        <w:t>s</w:t>
      </w:r>
      <w:r>
        <w:t xml:space="preserve"> concerns.</w:t>
      </w:r>
    </w:p>
  </w:footnote>
  <w:footnote w:id="6">
    <w:p w:rsidR="006A4B38" w:rsidRDefault="006A4B38" w:rsidP="00D426C7">
      <w:pPr>
        <w:pStyle w:val="FootnoteText"/>
      </w:pPr>
      <w:r>
        <w:rPr>
          <w:rStyle w:val="FootnoteReference"/>
        </w:rPr>
        <w:footnoteRef/>
      </w:r>
      <w:r>
        <w:t xml:space="preserve"> </w:t>
      </w:r>
      <w:r>
        <w:tab/>
      </w:r>
      <w:r w:rsidRPr="0096346E">
        <w:t>Energy Australia</w:t>
      </w:r>
      <w:r>
        <w:t>,</w:t>
      </w:r>
      <w:r w:rsidRPr="0096346E">
        <w:t xml:space="preserve"> </w:t>
      </w:r>
      <w:r w:rsidRPr="00907933">
        <w:rPr>
          <w:rStyle w:val="AERtextitalic"/>
        </w:rPr>
        <w:t>submission on JGN's revised AA proposal</w:t>
      </w:r>
      <w:r>
        <w:t xml:space="preserve">, August 2014, p. 7, </w:t>
      </w:r>
      <w:r w:rsidRPr="0096346E">
        <w:t>AGL</w:t>
      </w:r>
      <w:r>
        <w:t>,</w:t>
      </w:r>
      <w:r w:rsidRPr="0096346E">
        <w:t xml:space="preserve"> </w:t>
      </w:r>
      <w:r w:rsidRPr="00907933">
        <w:rPr>
          <w:rStyle w:val="AERtextitalic"/>
        </w:rPr>
        <w:t>submission on JGN's revised AA proposal</w:t>
      </w:r>
      <w:r>
        <w:t xml:space="preserve">, </w:t>
      </w:r>
      <w:r w:rsidRPr="0096346E">
        <w:t>August 2014</w:t>
      </w:r>
      <w:r>
        <w:t xml:space="preserve">, p. 10, Consumer Challenge Panel, </w:t>
      </w:r>
      <w:r w:rsidRPr="00907933">
        <w:rPr>
          <w:rStyle w:val="AERtextitalic"/>
        </w:rPr>
        <w:t>Advice to AER from Consumer Challenge Panel sub-panel 7</w:t>
      </w:r>
      <w:r w:rsidR="00907933">
        <w:rPr>
          <w:rStyle w:val="AERtextitalic"/>
        </w:rPr>
        <w:t>,</w:t>
      </w:r>
      <w:r w:rsidRPr="0096346E">
        <w:t xml:space="preserve"> 3 Sep 2014</w:t>
      </w:r>
      <w:r>
        <w:t xml:space="preserve">, pp. 16–17. </w:t>
      </w:r>
    </w:p>
  </w:footnote>
  <w:footnote w:id="7">
    <w:p w:rsidR="006A4B38" w:rsidRDefault="006A4B38" w:rsidP="00D426C7">
      <w:pPr>
        <w:pStyle w:val="FootnoteText"/>
      </w:pPr>
      <w:r>
        <w:rPr>
          <w:rStyle w:val="FootnoteReference"/>
        </w:rPr>
        <w:footnoteRef/>
      </w:r>
      <w:r>
        <w:t xml:space="preserve"> </w:t>
      </w:r>
      <w:r>
        <w:tab/>
      </w:r>
      <w:r w:rsidRPr="00D426C7">
        <w:t xml:space="preserve">JGN, </w:t>
      </w:r>
      <w:r w:rsidRPr="00907933">
        <w:rPr>
          <w:rStyle w:val="AERtextitalic"/>
        </w:rPr>
        <w:t>Response to proposed tariff changes questions Information request 019</w:t>
      </w:r>
      <w:r w:rsidRPr="00D426C7">
        <w:t>, August 2014, pp. 1-2.</w:t>
      </w:r>
    </w:p>
  </w:footnote>
  <w:footnote w:id="8">
    <w:p w:rsidR="00124199" w:rsidRDefault="00124199">
      <w:pPr>
        <w:pStyle w:val="FootnoteText"/>
      </w:pPr>
      <w:r>
        <w:rPr>
          <w:rStyle w:val="FootnoteReference"/>
        </w:rPr>
        <w:footnoteRef/>
      </w:r>
      <w:r>
        <w:t xml:space="preserve"> </w:t>
      </w:r>
      <w:r>
        <w:tab/>
      </w:r>
      <w:r w:rsidRPr="00124199">
        <w:t xml:space="preserve">Evidence may include data or submissions from retail customers </w:t>
      </w:r>
      <w:r w:rsidR="00CF3FFA">
        <w:t xml:space="preserve">stating </w:t>
      </w:r>
      <w:r w:rsidRPr="00124199">
        <w:t>that they do not support JGN's proposal to merge meter data services into haulage reference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A3A6266"/>
    <w:multiLevelType w:val="multilevel"/>
    <w:tmpl w:val="A93864D8"/>
    <w:lvl w:ilvl="0">
      <w:start w:val="1"/>
      <w:numFmt w:val="bullet"/>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nsid w:val="1DFA331B"/>
    <w:multiLevelType w:val="multilevel"/>
    <w:tmpl w:val="39D4CB02"/>
    <w:numStyleLink w:val="AERnumberedlist"/>
  </w:abstractNum>
  <w:abstractNum w:abstractNumId="9">
    <w:nsid w:val="233428C7"/>
    <w:multiLevelType w:val="multilevel"/>
    <w:tmpl w:val="39D4CB02"/>
    <w:numStyleLink w:val="AERnumberedlist"/>
  </w:abstractNum>
  <w:abstractNum w:abstractNumId="10">
    <w:nsid w:val="2776270C"/>
    <w:multiLevelType w:val="multilevel"/>
    <w:tmpl w:val="39D4CB02"/>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BB6C5B"/>
    <w:multiLevelType w:val="hybridMultilevel"/>
    <w:tmpl w:val="09C0822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3">
    <w:nsid w:val="74F81DDF"/>
    <w:multiLevelType w:val="multilevel"/>
    <w:tmpl w:val="950A1C52"/>
    <w:numStyleLink w:val="AERHeadings"/>
  </w:abstractNum>
  <w:abstractNum w:abstractNumId="34">
    <w:nsid w:val="787F66A4"/>
    <w:multiLevelType w:val="multilevel"/>
    <w:tmpl w:val="950A1C52"/>
    <w:numStyleLink w:val="AERHeadings"/>
  </w:abstractNum>
  <w:abstractNum w:abstractNumId="35">
    <w:nsid w:val="7AAC6DD7"/>
    <w:multiLevelType w:val="multilevel"/>
    <w:tmpl w:val="950A1C52"/>
    <w:numStyleLink w:val="AERHeadings"/>
  </w:abstractNum>
  <w:abstractNum w:abstractNumId="36">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EF67FF"/>
    <w:multiLevelType w:val="multilevel"/>
    <w:tmpl w:val="E1F4D8C6"/>
    <w:lvl w:ilvl="0">
      <w:start w:val="1"/>
      <w:numFmt w:val="bullet"/>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38">
    <w:nsid w:val="7BE97BF8"/>
    <w:multiLevelType w:val="multilevel"/>
    <w:tmpl w:val="950A1C52"/>
    <w:numStyleLink w:val="AERHeadings"/>
  </w:abstractNum>
  <w:abstractNum w:abstractNumId="39">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6"/>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3"/>
  </w:num>
  <w:num w:numId="18">
    <w:abstractNumId w:val="8"/>
  </w:num>
  <w:num w:numId="19">
    <w:abstractNumId w:val="10"/>
  </w:num>
  <w:num w:numId="20">
    <w:abstractNumId w:val="33"/>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9"/>
  </w:num>
  <w:num w:numId="28">
    <w:abstractNumId w:val="18"/>
  </w:num>
  <w:num w:numId="29">
    <w:abstractNumId w:val="11"/>
  </w:num>
  <w:num w:numId="30">
    <w:abstractNumId w:val="5"/>
  </w:num>
  <w:num w:numId="31">
    <w:abstractNumId w:val="0"/>
  </w:num>
  <w:num w:numId="32">
    <w:abstractNumId w:val="6"/>
  </w:num>
  <w:num w:numId="33">
    <w:abstractNumId w:val="34"/>
  </w:num>
  <w:num w:numId="34">
    <w:abstractNumId w:val="29"/>
  </w:num>
  <w:num w:numId="35">
    <w:abstractNumId w:val="31"/>
  </w:num>
  <w:num w:numId="36">
    <w:abstractNumId w:val="38"/>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5"/>
  </w:num>
  <w:num w:numId="44">
    <w:abstractNumId w:val="24"/>
  </w:num>
  <w:num w:numId="45">
    <w:abstractNumId w:val="32"/>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7"/>
  </w:num>
  <w:num w:numId="49">
    <w:abstractNumId w:val="34"/>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ocumentProtection w:formatting="1" w:enforcement="1" w:cryptProviderType="rsaFull" w:cryptAlgorithmClass="hash" w:cryptAlgorithmType="typeAny" w:cryptAlgorithmSid="4" w:cryptSpinCount="100000" w:hash="mJGH91eC6J4ehaL/qed6+45KKrQ=" w:salt="/SWM8mm26y98USjSfrLR9Q=="/>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urrentname" w:val="C:\Documents and Settings\vulam\Local Settings\Temporary Internet Files\Content.Outlook\3ECIBHI2\jemena gas 2014 draft decision (D2014-00118292).docx"/>
  </w:docVars>
  <w:rsids>
    <w:rsidRoot w:val="000C052F"/>
    <w:rsid w:val="0000684F"/>
    <w:rsid w:val="00011129"/>
    <w:rsid w:val="00022606"/>
    <w:rsid w:val="000242A6"/>
    <w:rsid w:val="00031B1D"/>
    <w:rsid w:val="00040599"/>
    <w:rsid w:val="00040749"/>
    <w:rsid w:val="000438D2"/>
    <w:rsid w:val="000469DF"/>
    <w:rsid w:val="00047484"/>
    <w:rsid w:val="00067A6E"/>
    <w:rsid w:val="00083A41"/>
    <w:rsid w:val="00097C48"/>
    <w:rsid w:val="000A1CC2"/>
    <w:rsid w:val="000A5342"/>
    <w:rsid w:val="000B15CA"/>
    <w:rsid w:val="000C052F"/>
    <w:rsid w:val="000C3430"/>
    <w:rsid w:val="000D03C2"/>
    <w:rsid w:val="000D04B1"/>
    <w:rsid w:val="000D401F"/>
    <w:rsid w:val="000E1A25"/>
    <w:rsid w:val="000E3A64"/>
    <w:rsid w:val="000E6418"/>
    <w:rsid w:val="000F3A6A"/>
    <w:rsid w:val="001033B3"/>
    <w:rsid w:val="00105636"/>
    <w:rsid w:val="00124199"/>
    <w:rsid w:val="0013022D"/>
    <w:rsid w:val="001543D2"/>
    <w:rsid w:val="00162C0C"/>
    <w:rsid w:val="001708CC"/>
    <w:rsid w:val="00174026"/>
    <w:rsid w:val="001856EE"/>
    <w:rsid w:val="00194C3C"/>
    <w:rsid w:val="00196100"/>
    <w:rsid w:val="001A0B27"/>
    <w:rsid w:val="001B6619"/>
    <w:rsid w:val="001C12E5"/>
    <w:rsid w:val="001C54CC"/>
    <w:rsid w:val="001D11A5"/>
    <w:rsid w:val="002023C1"/>
    <w:rsid w:val="0020711E"/>
    <w:rsid w:val="00210880"/>
    <w:rsid w:val="002257B9"/>
    <w:rsid w:val="00230FFF"/>
    <w:rsid w:val="0023137D"/>
    <w:rsid w:val="00234371"/>
    <w:rsid w:val="002421DA"/>
    <w:rsid w:val="00253483"/>
    <w:rsid w:val="00265FDD"/>
    <w:rsid w:val="00266710"/>
    <w:rsid w:val="00272A2C"/>
    <w:rsid w:val="0027769C"/>
    <w:rsid w:val="002805B8"/>
    <w:rsid w:val="002938CE"/>
    <w:rsid w:val="002B5813"/>
    <w:rsid w:val="002B6640"/>
    <w:rsid w:val="002D5581"/>
    <w:rsid w:val="002D61AC"/>
    <w:rsid w:val="002E4720"/>
    <w:rsid w:val="002F1B47"/>
    <w:rsid w:val="00303452"/>
    <w:rsid w:val="00311EE2"/>
    <w:rsid w:val="003153DD"/>
    <w:rsid w:val="003324F7"/>
    <w:rsid w:val="00334F88"/>
    <w:rsid w:val="003707DB"/>
    <w:rsid w:val="00375AEC"/>
    <w:rsid w:val="00376236"/>
    <w:rsid w:val="0037652C"/>
    <w:rsid w:val="003800E4"/>
    <w:rsid w:val="00380FF5"/>
    <w:rsid w:val="003A4BAC"/>
    <w:rsid w:val="003A6174"/>
    <w:rsid w:val="003A7C8A"/>
    <w:rsid w:val="003B2337"/>
    <w:rsid w:val="003E3B6E"/>
    <w:rsid w:val="00402EDD"/>
    <w:rsid w:val="004030AB"/>
    <w:rsid w:val="00411E55"/>
    <w:rsid w:val="00412282"/>
    <w:rsid w:val="004256BA"/>
    <w:rsid w:val="00431999"/>
    <w:rsid w:val="00433475"/>
    <w:rsid w:val="00435682"/>
    <w:rsid w:val="00436C61"/>
    <w:rsid w:val="00456081"/>
    <w:rsid w:val="00464F5D"/>
    <w:rsid w:val="00474FBD"/>
    <w:rsid w:val="00491D7D"/>
    <w:rsid w:val="004964DB"/>
    <w:rsid w:val="004C115A"/>
    <w:rsid w:val="004C3F45"/>
    <w:rsid w:val="004D4ECE"/>
    <w:rsid w:val="004E40EF"/>
    <w:rsid w:val="004E73F7"/>
    <w:rsid w:val="004F76A0"/>
    <w:rsid w:val="00500E7F"/>
    <w:rsid w:val="00505DB7"/>
    <w:rsid w:val="00510278"/>
    <w:rsid w:val="00520094"/>
    <w:rsid w:val="0052179D"/>
    <w:rsid w:val="00525604"/>
    <w:rsid w:val="005456A9"/>
    <w:rsid w:val="00554463"/>
    <w:rsid w:val="00555D52"/>
    <w:rsid w:val="005566D7"/>
    <w:rsid w:val="00561F7F"/>
    <w:rsid w:val="00566B35"/>
    <w:rsid w:val="00572D5A"/>
    <w:rsid w:val="005732CC"/>
    <w:rsid w:val="00575422"/>
    <w:rsid w:val="005853E3"/>
    <w:rsid w:val="00591110"/>
    <w:rsid w:val="005938C6"/>
    <w:rsid w:val="005A0431"/>
    <w:rsid w:val="005B3752"/>
    <w:rsid w:val="005B61C2"/>
    <w:rsid w:val="005D26B7"/>
    <w:rsid w:val="005D4AA1"/>
    <w:rsid w:val="005E3E0C"/>
    <w:rsid w:val="0060146C"/>
    <w:rsid w:val="0060207D"/>
    <w:rsid w:val="006039F2"/>
    <w:rsid w:val="006061B0"/>
    <w:rsid w:val="0060732E"/>
    <w:rsid w:val="006076A9"/>
    <w:rsid w:val="006207A6"/>
    <w:rsid w:val="00630972"/>
    <w:rsid w:val="0065125A"/>
    <w:rsid w:val="006544EA"/>
    <w:rsid w:val="006570DA"/>
    <w:rsid w:val="0066569F"/>
    <w:rsid w:val="0069004B"/>
    <w:rsid w:val="00694229"/>
    <w:rsid w:val="006A4B38"/>
    <w:rsid w:val="006B08EB"/>
    <w:rsid w:val="006B481F"/>
    <w:rsid w:val="006F2F02"/>
    <w:rsid w:val="006F54A6"/>
    <w:rsid w:val="006F638E"/>
    <w:rsid w:val="00703E42"/>
    <w:rsid w:val="00706505"/>
    <w:rsid w:val="00714DC6"/>
    <w:rsid w:val="00720624"/>
    <w:rsid w:val="00726490"/>
    <w:rsid w:val="00727C40"/>
    <w:rsid w:val="007368AD"/>
    <w:rsid w:val="00751D2A"/>
    <w:rsid w:val="00755095"/>
    <w:rsid w:val="00770FE7"/>
    <w:rsid w:val="00796A07"/>
    <w:rsid w:val="007A366A"/>
    <w:rsid w:val="007B0BB0"/>
    <w:rsid w:val="007C0F46"/>
    <w:rsid w:val="007C1968"/>
    <w:rsid w:val="007D1E0F"/>
    <w:rsid w:val="007D22D7"/>
    <w:rsid w:val="007D3121"/>
    <w:rsid w:val="007F10E3"/>
    <w:rsid w:val="007F123B"/>
    <w:rsid w:val="007F1D44"/>
    <w:rsid w:val="007F2C0E"/>
    <w:rsid w:val="00802610"/>
    <w:rsid w:val="00804AEB"/>
    <w:rsid w:val="00806240"/>
    <w:rsid w:val="00824CC8"/>
    <w:rsid w:val="00830F4A"/>
    <w:rsid w:val="00836D17"/>
    <w:rsid w:val="00840A55"/>
    <w:rsid w:val="00841E25"/>
    <w:rsid w:val="0084378B"/>
    <w:rsid w:val="008464CD"/>
    <w:rsid w:val="008515EE"/>
    <w:rsid w:val="0086160E"/>
    <w:rsid w:val="00861C4E"/>
    <w:rsid w:val="00862AC2"/>
    <w:rsid w:val="00866D21"/>
    <w:rsid w:val="00872D85"/>
    <w:rsid w:val="00883DDA"/>
    <w:rsid w:val="00891FF9"/>
    <w:rsid w:val="00893367"/>
    <w:rsid w:val="00893D07"/>
    <w:rsid w:val="008B4932"/>
    <w:rsid w:val="008B7956"/>
    <w:rsid w:val="008C3722"/>
    <w:rsid w:val="008C3B67"/>
    <w:rsid w:val="008C3F48"/>
    <w:rsid w:val="008D49B4"/>
    <w:rsid w:val="008D7498"/>
    <w:rsid w:val="008E43EB"/>
    <w:rsid w:val="00907933"/>
    <w:rsid w:val="00911DAB"/>
    <w:rsid w:val="00914BD7"/>
    <w:rsid w:val="00932E96"/>
    <w:rsid w:val="0094054F"/>
    <w:rsid w:val="009418E6"/>
    <w:rsid w:val="0094235F"/>
    <w:rsid w:val="0094279F"/>
    <w:rsid w:val="00946B98"/>
    <w:rsid w:val="0095052A"/>
    <w:rsid w:val="009516DF"/>
    <w:rsid w:val="00951C01"/>
    <w:rsid w:val="00953C00"/>
    <w:rsid w:val="0096346E"/>
    <w:rsid w:val="009658F0"/>
    <w:rsid w:val="00971655"/>
    <w:rsid w:val="00971C63"/>
    <w:rsid w:val="00972175"/>
    <w:rsid w:val="00980D9B"/>
    <w:rsid w:val="00985A25"/>
    <w:rsid w:val="009A11B6"/>
    <w:rsid w:val="009A4AE9"/>
    <w:rsid w:val="009C71D5"/>
    <w:rsid w:val="009F7CE4"/>
    <w:rsid w:val="00A11162"/>
    <w:rsid w:val="00A21EB4"/>
    <w:rsid w:val="00A3053C"/>
    <w:rsid w:val="00A43227"/>
    <w:rsid w:val="00A46CCD"/>
    <w:rsid w:val="00A65133"/>
    <w:rsid w:val="00A652C5"/>
    <w:rsid w:val="00A85C5A"/>
    <w:rsid w:val="00A942E0"/>
    <w:rsid w:val="00A96A08"/>
    <w:rsid w:val="00AA0161"/>
    <w:rsid w:val="00AA3FD4"/>
    <w:rsid w:val="00AA49FD"/>
    <w:rsid w:val="00AB1D08"/>
    <w:rsid w:val="00AB4345"/>
    <w:rsid w:val="00AB5BD7"/>
    <w:rsid w:val="00AC0135"/>
    <w:rsid w:val="00AC070D"/>
    <w:rsid w:val="00AC1B94"/>
    <w:rsid w:val="00AD0616"/>
    <w:rsid w:val="00AD34FF"/>
    <w:rsid w:val="00AD4DE6"/>
    <w:rsid w:val="00AE4135"/>
    <w:rsid w:val="00AE6DBC"/>
    <w:rsid w:val="00AF146B"/>
    <w:rsid w:val="00AF3E95"/>
    <w:rsid w:val="00AF7C67"/>
    <w:rsid w:val="00B15092"/>
    <w:rsid w:val="00B15FE9"/>
    <w:rsid w:val="00B51883"/>
    <w:rsid w:val="00B61FD4"/>
    <w:rsid w:val="00B62EAC"/>
    <w:rsid w:val="00B674DB"/>
    <w:rsid w:val="00B82E8D"/>
    <w:rsid w:val="00B903FD"/>
    <w:rsid w:val="00B9264D"/>
    <w:rsid w:val="00B94D99"/>
    <w:rsid w:val="00BB3FA1"/>
    <w:rsid w:val="00BB62BB"/>
    <w:rsid w:val="00BC05C5"/>
    <w:rsid w:val="00BD04BE"/>
    <w:rsid w:val="00BE6F28"/>
    <w:rsid w:val="00BF29FA"/>
    <w:rsid w:val="00C0202A"/>
    <w:rsid w:val="00C04D2B"/>
    <w:rsid w:val="00C05CEC"/>
    <w:rsid w:val="00C269C9"/>
    <w:rsid w:val="00C4439D"/>
    <w:rsid w:val="00C557F2"/>
    <w:rsid w:val="00C737C5"/>
    <w:rsid w:val="00CA0B34"/>
    <w:rsid w:val="00CA3540"/>
    <w:rsid w:val="00CA6DED"/>
    <w:rsid w:val="00CC49D4"/>
    <w:rsid w:val="00CE6F5A"/>
    <w:rsid w:val="00CF2AD4"/>
    <w:rsid w:val="00CF3FFA"/>
    <w:rsid w:val="00CF42CF"/>
    <w:rsid w:val="00D102E9"/>
    <w:rsid w:val="00D1688F"/>
    <w:rsid w:val="00D2117F"/>
    <w:rsid w:val="00D25317"/>
    <w:rsid w:val="00D426C7"/>
    <w:rsid w:val="00D46B86"/>
    <w:rsid w:val="00D66E8B"/>
    <w:rsid w:val="00D7417B"/>
    <w:rsid w:val="00D81B53"/>
    <w:rsid w:val="00D85715"/>
    <w:rsid w:val="00D8706C"/>
    <w:rsid w:val="00DA1B55"/>
    <w:rsid w:val="00DA4C62"/>
    <w:rsid w:val="00DB6750"/>
    <w:rsid w:val="00DB6A17"/>
    <w:rsid w:val="00DC2C2C"/>
    <w:rsid w:val="00DC6340"/>
    <w:rsid w:val="00DC6F38"/>
    <w:rsid w:val="00DD3FD7"/>
    <w:rsid w:val="00DD4E84"/>
    <w:rsid w:val="00DD5520"/>
    <w:rsid w:val="00DE22F1"/>
    <w:rsid w:val="00DF16C2"/>
    <w:rsid w:val="00E00F76"/>
    <w:rsid w:val="00E2082B"/>
    <w:rsid w:val="00E21E75"/>
    <w:rsid w:val="00E519DC"/>
    <w:rsid w:val="00E57365"/>
    <w:rsid w:val="00E6571F"/>
    <w:rsid w:val="00E807DA"/>
    <w:rsid w:val="00E82908"/>
    <w:rsid w:val="00E84E3A"/>
    <w:rsid w:val="00E91F70"/>
    <w:rsid w:val="00EA05AF"/>
    <w:rsid w:val="00EB18DE"/>
    <w:rsid w:val="00EB5CDF"/>
    <w:rsid w:val="00EC43B9"/>
    <w:rsid w:val="00ED4D69"/>
    <w:rsid w:val="00EE02EE"/>
    <w:rsid w:val="00EE362F"/>
    <w:rsid w:val="00EF0E19"/>
    <w:rsid w:val="00F114AE"/>
    <w:rsid w:val="00F16AFA"/>
    <w:rsid w:val="00F43CA0"/>
    <w:rsid w:val="00F54216"/>
    <w:rsid w:val="00F55030"/>
    <w:rsid w:val="00F7696F"/>
    <w:rsid w:val="00F8209B"/>
    <w:rsid w:val="00F97CD9"/>
    <w:rsid w:val="00FA0576"/>
    <w:rsid w:val="00FA3BBC"/>
    <w:rsid w:val="00FA4CD4"/>
    <w:rsid w:val="00FB50B4"/>
    <w:rsid w:val="00FD01A3"/>
    <w:rsid w:val="00FD4B97"/>
    <w:rsid w:val="00FE55EB"/>
    <w:rsid w:val="00FF4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D81B53"/>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4520">
      <w:bodyDiv w:val="1"/>
      <w:marLeft w:val="0"/>
      <w:marRight w:val="0"/>
      <w:marTop w:val="0"/>
      <w:marBottom w:val="0"/>
      <w:divBdr>
        <w:top w:val="none" w:sz="0" w:space="0" w:color="auto"/>
        <w:left w:val="none" w:sz="0" w:space="0" w:color="auto"/>
        <w:bottom w:val="none" w:sz="0" w:space="0" w:color="auto"/>
        <w:right w:val="none" w:sz="0" w:space="0" w:color="auto"/>
      </w:divBdr>
    </w:div>
    <w:div w:id="306857222">
      <w:bodyDiv w:val="1"/>
      <w:marLeft w:val="0"/>
      <w:marRight w:val="0"/>
      <w:marTop w:val="0"/>
      <w:marBottom w:val="0"/>
      <w:divBdr>
        <w:top w:val="none" w:sz="0" w:space="0" w:color="auto"/>
        <w:left w:val="none" w:sz="0" w:space="0" w:color="auto"/>
        <w:bottom w:val="none" w:sz="0" w:space="0" w:color="auto"/>
        <w:right w:val="none" w:sz="0" w:space="0" w:color="auto"/>
      </w:divBdr>
    </w:div>
    <w:div w:id="741605736">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540052541">
      <w:bodyDiv w:val="1"/>
      <w:marLeft w:val="0"/>
      <w:marRight w:val="0"/>
      <w:marTop w:val="0"/>
      <w:marBottom w:val="0"/>
      <w:divBdr>
        <w:top w:val="none" w:sz="0" w:space="0" w:color="auto"/>
        <w:left w:val="none" w:sz="0" w:space="0" w:color="auto"/>
        <w:bottom w:val="none" w:sz="0" w:space="0" w:color="auto"/>
        <w:right w:val="none" w:sz="0" w:space="0" w:color="auto"/>
      </w:divBdr>
    </w:div>
    <w:div w:id="20196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ERInquiry@aer.gov.au"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176D71C9.dotm</Template>
  <TotalTime>0</TotalTime>
  <Pages>10</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2014-11-26T03:56:00Z</dcterms:created>
  <dcterms:modified xsi:type="dcterms:W3CDTF">2014-11-26T04:00:00Z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8257626</vt:lpwstr>
  </property>
</Properties>
</file>