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EF0E19">
      <w:pPr>
        <w:pStyle w:val="AERtitle1"/>
      </w:pPr>
      <w:bookmarkStart w:id="0" w:name="_GoBack"/>
      <w:bookmarkEnd w:id="0"/>
      <w:r w:rsidRPr="00824CC8">
        <w:rPr>
          <w:noProof/>
        </w:rPr>
        <w:drawing>
          <wp:anchor distT="0" distB="0" distL="114300" distR="114300" simplePos="0" relativeHeight="251664384" behindDoc="1" locked="0" layoutInCell="1" allowOverlap="1" wp14:anchorId="06DBB1A4" wp14:editId="353AA0A5">
            <wp:simplePos x="0" y="0"/>
            <wp:positionH relativeFrom="column">
              <wp:posOffset>-947454</wp:posOffset>
            </wp:positionH>
            <wp:positionV relativeFrom="paragraph">
              <wp:posOffset>-879475</wp:posOffset>
            </wp:positionV>
            <wp:extent cx="7657657" cy="10792047"/>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r>
        <w:t xml:space="preserve">Draft </w:t>
      </w:r>
      <w:r w:rsidR="00525604">
        <w:t>decision</w:t>
      </w:r>
    </w:p>
    <w:p w:rsidR="00EF0E19" w:rsidRDefault="00E82908" w:rsidP="00EF0E19">
      <w:pPr>
        <w:pStyle w:val="AERtitle1"/>
      </w:pPr>
      <w:r>
        <w:t>Jemena Gas Networks</w:t>
      </w:r>
      <w:r w:rsidR="00A16DB5">
        <w:t xml:space="preserve"> (NSW) Ltd</w:t>
      </w:r>
    </w:p>
    <w:p w:rsidR="00EF0E19" w:rsidRDefault="00980D9B" w:rsidP="00EF0E19">
      <w:pPr>
        <w:pStyle w:val="AERtitle1"/>
      </w:pPr>
      <w:r>
        <w:t xml:space="preserve">Access arrangement </w:t>
      </w:r>
      <w:r w:rsidR="00A16DB5">
        <w:t>2015–20</w:t>
      </w:r>
    </w:p>
    <w:p w:rsidR="00A16DB5" w:rsidRDefault="00A16DB5" w:rsidP="00EF0E19">
      <w:pPr>
        <w:pStyle w:val="AERtitle1"/>
      </w:pPr>
    </w:p>
    <w:p w:rsidR="00A16DB5" w:rsidRDefault="00A16DB5" w:rsidP="00EF0E19">
      <w:pPr>
        <w:pStyle w:val="AERtitle1"/>
      </w:pPr>
      <w:r>
        <w:t>Attachment 6</w:t>
      </w:r>
      <w:r w:rsidR="00306D00">
        <w:t>:</w:t>
      </w:r>
      <w:r>
        <w:t xml:space="preserve"> Capital expenditure</w:t>
      </w:r>
    </w:p>
    <w:p w:rsidR="00EF0E19" w:rsidRDefault="00EF0E19" w:rsidP="00EF0E19"/>
    <w:p w:rsidR="00EF0E19" w:rsidRDefault="00EF0E19" w:rsidP="00EF0E19"/>
    <w:p w:rsidR="00EF0E19" w:rsidRPr="00F6235D" w:rsidRDefault="00EF0E19" w:rsidP="00EF0E19"/>
    <w:p w:rsidR="00EF0E19" w:rsidRPr="00F6235D" w:rsidRDefault="006A1CB7" w:rsidP="00EF0E19">
      <w:pPr>
        <w:pStyle w:val="AERtitle2"/>
      </w:pPr>
      <w:r>
        <w:t>November</w:t>
      </w:r>
      <w:r w:rsidR="00525604">
        <w:t xml:space="preserve"> </w:t>
      </w:r>
      <w:r w:rsidR="00EF0E19">
        <w:t>20</w:t>
      </w:r>
      <w:r w:rsidR="00525604">
        <w:t>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EF0E19" w:rsidRPr="008F1A4A" w:rsidRDefault="00EF0E19" w:rsidP="00F97CD9">
      <w:pPr>
        <w:pStyle w:val="AERbodytextnospace"/>
        <w:rPr>
          <w:rStyle w:val="AERtextbold"/>
        </w:rPr>
      </w:pPr>
      <w:r w:rsidRPr="008F1A4A">
        <w:rPr>
          <w:rStyle w:val="AERtextbold"/>
        </w:rPr>
        <w:lastRenderedPageBreak/>
        <w:t>© Commonwealth of Australia 201</w:t>
      </w:r>
      <w:r w:rsidR="00525604">
        <w:rPr>
          <w:rStyle w:val="AERtextbold"/>
        </w:rPr>
        <w:t>4</w:t>
      </w:r>
    </w:p>
    <w:p w:rsidR="008E43EB" w:rsidRDefault="00EF0E19" w:rsidP="008E43EB">
      <w:r w:rsidRPr="00F6235D">
        <w:t xml:space="preserve">This work is copyright. Apart from any use permitted by the Copyright Act 1968, </w:t>
      </w:r>
      <w:r w:rsidR="008E43EB" w:rsidRPr="008E43EB">
        <w:t>all material contained within this work is provided under a Creative Commons Attribution 3.0 Australia licence</w:t>
      </w:r>
      <w:r w:rsidR="008E43EB">
        <w:t xml:space="preserve"> </w:t>
      </w:r>
      <w:r w:rsidR="008E43EB" w:rsidRPr="008E43EB">
        <w:t>with the exception of:</w:t>
      </w:r>
    </w:p>
    <w:p w:rsidR="008E43EB" w:rsidRDefault="008E43EB" w:rsidP="008E43EB">
      <w:pPr>
        <w:pStyle w:val="AERbulletlistsecondstyle"/>
      </w:pPr>
      <w:r>
        <w:t>Commonwealth Coat of Arms</w:t>
      </w:r>
    </w:p>
    <w:p w:rsidR="008E43EB" w:rsidRDefault="008E43EB" w:rsidP="008E43EB">
      <w:pPr>
        <w:pStyle w:val="AERbulletlistsecondstyle"/>
      </w:pPr>
      <w:r>
        <w:t>the ACCC and AER logos</w:t>
      </w:r>
    </w:p>
    <w:p w:rsidR="008E43EB" w:rsidRPr="008E43EB" w:rsidRDefault="008E43EB" w:rsidP="008E43EB">
      <w:pPr>
        <w:pStyle w:val="AERbulletlistsecondstyle"/>
      </w:pPr>
      <w:r w:rsidRPr="008E43EB">
        <w:t>any illustration, diagram, photograph or graphic over which the Australian Competition and Consumer Commission does not hold copyright, but which may be part of or contained within this publication</w:t>
      </w:r>
    </w:p>
    <w:p w:rsidR="008E43EB" w:rsidRPr="008E43EB" w:rsidRDefault="008E43EB" w:rsidP="008E43EB">
      <w:pPr>
        <w:pStyle w:val="AERbodytext"/>
      </w:pPr>
      <w:r w:rsidRPr="008E43EB">
        <w:t>The details of the relevant licence conditions are available on the Creative Commons website, as is the full legal code for the CC BY 3.0 AU licence.</w:t>
      </w:r>
    </w:p>
    <w:p w:rsidR="008E43EB" w:rsidRPr="008E43EB" w:rsidRDefault="008E43EB" w:rsidP="008E43EB">
      <w:pPr>
        <w:pStyle w:val="AERbodytext"/>
      </w:pPr>
      <w:r w:rsidRPr="008E43EB">
        <w:t xml:space="preserve">Requests and inquiries concerning reproduction and rights should be addressed to the Director, Corporate Communications, ACCC, GPO Box 3131, Canberra ACT 2601, or </w:t>
      </w:r>
      <w:hyperlink r:id="rId9" w:history="1">
        <w:r w:rsidRPr="008E43EB">
          <w:rPr>
            <w:rStyle w:val="Hyperlink"/>
          </w:rPr>
          <w:t>publishing.unit@accc.gov.au</w:t>
        </w:r>
      </w:hyperlink>
      <w:r w:rsidRPr="008E43EB">
        <w:t xml:space="preserve"> .</w:t>
      </w:r>
    </w:p>
    <w:p w:rsidR="008E43EB" w:rsidRDefault="008E43EB" w:rsidP="008E43EB">
      <w:pPr>
        <w:pStyle w:val="AERbodytext"/>
      </w:pPr>
      <w:r w:rsidRPr="008E43EB">
        <w:t>Inquiries about this decision should be addressed to:</w:t>
      </w:r>
    </w:p>
    <w:p w:rsidR="00EF0E19" w:rsidRDefault="00EF0E19" w:rsidP="008E43EB">
      <w:pPr>
        <w:pStyle w:val="AERbodytext"/>
        <w:numPr>
          <w:ilvl w:val="0"/>
          <w:numId w:val="0"/>
        </w:numPr>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0" w:history="1">
        <w:r w:rsidRPr="003E184A">
          <w:rPr>
            <w:rStyle w:val="Hyperlink"/>
          </w:rPr>
          <w:t>AERInquiry@aer.gov.au</w:t>
        </w:r>
      </w:hyperlink>
    </w:p>
    <w:p w:rsidR="00EF0E19" w:rsidRPr="008F1A4A" w:rsidRDefault="00EF0E19" w:rsidP="00EF0E19"/>
    <w:p w:rsidR="003324F7" w:rsidRDefault="00EF0E19" w:rsidP="00A16DB5">
      <w:r>
        <w:t xml:space="preserve">AER reference:   </w:t>
      </w:r>
      <w:r w:rsidR="00AF1B0F">
        <w:rPr>
          <w:rStyle w:val="AERbody"/>
        </w:rPr>
        <w:t>51741</w:t>
      </w:r>
      <w:r>
        <w:t xml:space="preserve">      </w:t>
      </w: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A16DB5" w:rsidRPr="00A16DB5" w:rsidRDefault="00A16DB5" w:rsidP="00A16DB5">
      <w:pPr>
        <w:pStyle w:val="UnnumberedHeading"/>
        <w:rPr>
          <w:rStyle w:val="AERtextblue"/>
          <w:color w:val="E36C0A"/>
        </w:rPr>
      </w:pPr>
      <w:bookmarkStart w:id="1" w:name="_Toc404156078"/>
      <w:bookmarkStart w:id="2" w:name="_Toc404676537"/>
      <w:bookmarkStart w:id="3" w:name="_Toc404676587"/>
      <w:r w:rsidRPr="00A16DB5">
        <w:rPr>
          <w:rStyle w:val="AERtextblue"/>
          <w:color w:val="E36C0A"/>
        </w:rPr>
        <w:lastRenderedPageBreak/>
        <w:t>Note</w:t>
      </w:r>
      <w:bookmarkEnd w:id="1"/>
      <w:bookmarkEnd w:id="2"/>
      <w:bookmarkEnd w:id="3"/>
    </w:p>
    <w:p w:rsidR="00A16DB5" w:rsidRDefault="00A16DB5" w:rsidP="00A16DB5">
      <w:r>
        <w:t>This attachment forms part of the AER's draft decision on Jemena Gas Networks</w:t>
      </w:r>
      <w:r w:rsidR="000E4ECC">
        <w:t>'</w:t>
      </w:r>
      <w:r>
        <w:t xml:space="preserve"> 2015–20 access arrangement. It should be read with other parts of the draft decision.</w:t>
      </w:r>
    </w:p>
    <w:p w:rsidR="00A16DB5" w:rsidRDefault="00A16DB5" w:rsidP="00A16DB5">
      <w:r>
        <w:t>The draft decision includes the following documents:</w:t>
      </w:r>
    </w:p>
    <w:p w:rsidR="00A16DB5" w:rsidRDefault="00A16DB5" w:rsidP="00A16DB5">
      <w:r>
        <w:t>Overview</w:t>
      </w:r>
    </w:p>
    <w:p w:rsidR="00A16DB5" w:rsidRDefault="00A16DB5" w:rsidP="00A16DB5">
      <w:r>
        <w:t>Attachment 1 – services covered by the access arrangement</w:t>
      </w:r>
    </w:p>
    <w:p w:rsidR="00A16DB5" w:rsidRDefault="00A16DB5" w:rsidP="00A16DB5">
      <w:r>
        <w:t>Attachment 2 – capital base</w:t>
      </w:r>
    </w:p>
    <w:p w:rsidR="00A16DB5" w:rsidRDefault="00A16DB5" w:rsidP="00A16DB5">
      <w:r>
        <w:t>Attachment 3 – rate of return</w:t>
      </w:r>
    </w:p>
    <w:p w:rsidR="00A16DB5" w:rsidRDefault="00A16DB5" w:rsidP="00A16DB5">
      <w:r>
        <w:t>Attachment 4 – value of imputation credits</w:t>
      </w:r>
    </w:p>
    <w:p w:rsidR="00A16DB5" w:rsidRDefault="00A16DB5" w:rsidP="00A16DB5">
      <w:r>
        <w:t>Attachment 5 – regulatory depreciation</w:t>
      </w:r>
    </w:p>
    <w:p w:rsidR="00A16DB5" w:rsidRDefault="00A16DB5" w:rsidP="00A16DB5">
      <w:r>
        <w:t>Attachment 6 – capital expenditure</w:t>
      </w:r>
      <w:r w:rsidRPr="0012445F">
        <w:t xml:space="preserve"> </w:t>
      </w:r>
    </w:p>
    <w:p w:rsidR="00A16DB5" w:rsidRDefault="00A16DB5" w:rsidP="00A16DB5">
      <w:r>
        <w:t>Attachment 7 – operating expenditure</w:t>
      </w:r>
    </w:p>
    <w:p w:rsidR="00A16DB5" w:rsidRDefault="00A16DB5" w:rsidP="00A16DB5">
      <w:r>
        <w:t>Attachment 8 – corporate income tax</w:t>
      </w:r>
    </w:p>
    <w:p w:rsidR="000E4ECC" w:rsidRPr="000E4ECC" w:rsidRDefault="000E4ECC" w:rsidP="000E4ECC">
      <w:r w:rsidRPr="000E4ECC">
        <w:t>Attachment 9 – efficiency carryover mechanism</w:t>
      </w:r>
    </w:p>
    <w:p w:rsidR="00A16DB5" w:rsidRDefault="00A16DB5" w:rsidP="00A16DB5">
      <w:r w:rsidRPr="00DF268E">
        <w:t xml:space="preserve">Attachment </w:t>
      </w:r>
      <w:r>
        <w:t>10</w:t>
      </w:r>
      <w:r w:rsidRPr="00DF268E">
        <w:t xml:space="preserve"> –</w:t>
      </w:r>
      <w:r>
        <w:t xml:space="preserve"> reference tariff setting</w:t>
      </w:r>
    </w:p>
    <w:p w:rsidR="00A16DB5" w:rsidRDefault="00A16DB5" w:rsidP="00A16DB5">
      <w:r w:rsidRPr="00DF268E">
        <w:t>Attachment 1</w:t>
      </w:r>
      <w:r>
        <w:t>1 – reference tariff variation mechanism</w:t>
      </w:r>
    </w:p>
    <w:p w:rsidR="00A16DB5" w:rsidRDefault="00A16DB5" w:rsidP="00A16DB5">
      <w:r w:rsidRPr="00DF268E">
        <w:t>Attachment 1</w:t>
      </w:r>
      <w:r>
        <w:t>2</w:t>
      </w:r>
      <w:r w:rsidRPr="00DF268E">
        <w:t xml:space="preserve"> –</w:t>
      </w:r>
      <w:r>
        <w:t xml:space="preserve"> non-tariff components</w:t>
      </w:r>
    </w:p>
    <w:p w:rsidR="00AF1B0F" w:rsidRPr="0012445F" w:rsidRDefault="00AF1B0F" w:rsidP="00A16DB5">
      <w:r>
        <w:t xml:space="preserve">Attachment 13 – demand </w:t>
      </w:r>
    </w:p>
    <w:p w:rsidR="00525604" w:rsidRDefault="00525604" w:rsidP="00525604">
      <w:pPr>
        <w:pStyle w:val="AERbodytext"/>
        <w:numPr>
          <w:ilvl w:val="0"/>
          <w:numId w:val="0"/>
        </w:numPr>
      </w:pPr>
    </w:p>
    <w:p w:rsidR="00F54216" w:rsidRDefault="00F54216" w:rsidP="00525604">
      <w:pPr>
        <w:pStyle w:val="AERbodytext"/>
        <w:numPr>
          <w:ilvl w:val="0"/>
          <w:numId w:val="0"/>
        </w:numPr>
      </w:pPr>
    </w:p>
    <w:p w:rsidR="00525604" w:rsidRDefault="00525604" w:rsidP="00525604">
      <w:pPr>
        <w:pStyle w:val="AERbodytext"/>
        <w:numPr>
          <w:ilvl w:val="0"/>
          <w:numId w:val="0"/>
        </w:numPr>
      </w:pPr>
    </w:p>
    <w:p w:rsidR="00525604" w:rsidRDefault="00525604" w:rsidP="00F54216">
      <w:pPr>
        <w:pStyle w:val="UnnumberedHeading"/>
      </w:pPr>
      <w:bookmarkStart w:id="4" w:name="_Toc404676538"/>
      <w:bookmarkStart w:id="5" w:name="_Toc404676588"/>
      <w:r>
        <w:lastRenderedPageBreak/>
        <w:t>Contents</w:t>
      </w:r>
      <w:bookmarkEnd w:id="4"/>
      <w:bookmarkEnd w:id="5"/>
    </w:p>
    <w:sdt>
      <w:sdtPr>
        <w:rPr>
          <w:rFonts w:ascii="Cambria" w:eastAsia="Times New Roman" w:hAnsi="Cambria"/>
          <w:b w:val="0"/>
          <w:bCs w:val="0"/>
          <w:color w:val="365F91"/>
          <w:sz w:val="28"/>
          <w:szCs w:val="28"/>
          <w:lang w:val="en-US"/>
        </w:rPr>
        <w:id w:val="2131349066"/>
        <w:docPartObj>
          <w:docPartGallery w:val="Table of Contents"/>
          <w:docPartUnique/>
        </w:docPartObj>
      </w:sdtPr>
      <w:sdtEndPr>
        <w:rPr>
          <w:b/>
          <w:bCs/>
        </w:rPr>
      </w:sdtEndPr>
      <w:sdtContent>
        <w:sdt>
          <w:sdtPr>
            <w:id w:val="-132095751"/>
            <w:docPartObj>
              <w:docPartGallery w:val="Table of Contents"/>
              <w:docPartUnique/>
            </w:docPartObj>
          </w:sdtPr>
          <w:sdtEndPr/>
          <w:sdtContent>
            <w:p w:rsidR="007C06E7" w:rsidRPr="002C153C" w:rsidRDefault="007C06E7" w:rsidP="007C06E7">
              <w:pPr>
                <w:pStyle w:val="TOC1"/>
              </w:pPr>
            </w:p>
            <w:p w:rsidR="007C06E7" w:rsidRDefault="007C06E7">
              <w:pPr>
                <w:pStyle w:val="TOC1"/>
                <w:tabs>
                  <w:tab w:val="right" w:leader="dot" w:pos="9016"/>
                </w:tabs>
                <w:rPr>
                  <w:rFonts w:asciiTheme="minorHAnsi" w:eastAsiaTheme="minorEastAsia" w:hAnsiTheme="minorHAnsi" w:cstheme="minorBidi"/>
                  <w:b w:val="0"/>
                  <w:bCs w:val="0"/>
                  <w:noProof/>
                  <w:sz w:val="22"/>
                  <w:szCs w:val="22"/>
                  <w:lang w:eastAsia="en-AU"/>
                </w:rPr>
              </w:pPr>
              <w:r w:rsidRPr="002C153C">
                <w:fldChar w:fldCharType="begin"/>
              </w:r>
              <w:r w:rsidRPr="002C153C">
                <w:instrText xml:space="preserve"> TOC \o "1-3" \h \z \u \t "Heading 7,1,Heading 8,2,Heading 9,3" </w:instrText>
              </w:r>
              <w:r w:rsidRPr="002C153C">
                <w:fldChar w:fldCharType="separate"/>
              </w:r>
              <w:hyperlink w:anchor="_Toc404676587" w:history="1">
                <w:r w:rsidRPr="000C7557">
                  <w:rPr>
                    <w:rStyle w:val="Hyperlink"/>
                    <w:noProof/>
                  </w:rPr>
                  <w:t>Note</w:t>
                </w:r>
                <w:r>
                  <w:rPr>
                    <w:noProof/>
                    <w:webHidden/>
                  </w:rPr>
                  <w:tab/>
                </w:r>
                <w:r>
                  <w:rPr>
                    <w:noProof/>
                    <w:webHidden/>
                  </w:rPr>
                  <w:fldChar w:fldCharType="begin"/>
                </w:r>
                <w:r>
                  <w:rPr>
                    <w:noProof/>
                    <w:webHidden/>
                  </w:rPr>
                  <w:instrText xml:space="preserve"> PAGEREF _Toc404676587 \h </w:instrText>
                </w:r>
                <w:r>
                  <w:rPr>
                    <w:noProof/>
                    <w:webHidden/>
                  </w:rPr>
                </w:r>
                <w:r>
                  <w:rPr>
                    <w:noProof/>
                    <w:webHidden/>
                  </w:rPr>
                  <w:fldChar w:fldCharType="separate"/>
                </w:r>
                <w:r>
                  <w:rPr>
                    <w:noProof/>
                    <w:webHidden/>
                  </w:rPr>
                  <w:t>6-3</w:t>
                </w:r>
                <w:r>
                  <w:rPr>
                    <w:noProof/>
                    <w:webHidden/>
                  </w:rPr>
                  <w:fldChar w:fldCharType="end"/>
                </w:r>
              </w:hyperlink>
            </w:p>
            <w:p w:rsidR="007C06E7" w:rsidRDefault="00923AC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76588" w:history="1">
                <w:r w:rsidR="007C06E7" w:rsidRPr="000C7557">
                  <w:rPr>
                    <w:rStyle w:val="Hyperlink"/>
                    <w:noProof/>
                  </w:rPr>
                  <w:t>Contents</w:t>
                </w:r>
                <w:r w:rsidR="007C06E7">
                  <w:rPr>
                    <w:noProof/>
                    <w:webHidden/>
                  </w:rPr>
                  <w:tab/>
                </w:r>
                <w:r w:rsidR="007C06E7">
                  <w:rPr>
                    <w:noProof/>
                    <w:webHidden/>
                  </w:rPr>
                  <w:fldChar w:fldCharType="begin"/>
                </w:r>
                <w:r w:rsidR="007C06E7">
                  <w:rPr>
                    <w:noProof/>
                    <w:webHidden/>
                  </w:rPr>
                  <w:instrText xml:space="preserve"> PAGEREF _Toc404676588 \h </w:instrText>
                </w:r>
                <w:r w:rsidR="007C06E7">
                  <w:rPr>
                    <w:noProof/>
                    <w:webHidden/>
                  </w:rPr>
                </w:r>
                <w:r w:rsidR="007C06E7">
                  <w:rPr>
                    <w:noProof/>
                    <w:webHidden/>
                  </w:rPr>
                  <w:fldChar w:fldCharType="separate"/>
                </w:r>
                <w:r w:rsidR="007C06E7">
                  <w:rPr>
                    <w:noProof/>
                    <w:webHidden/>
                  </w:rPr>
                  <w:t>6-4</w:t>
                </w:r>
                <w:r w:rsidR="007C06E7">
                  <w:rPr>
                    <w:noProof/>
                    <w:webHidden/>
                  </w:rPr>
                  <w:fldChar w:fldCharType="end"/>
                </w:r>
              </w:hyperlink>
            </w:p>
            <w:p w:rsidR="007C06E7" w:rsidRDefault="00923AC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76589" w:history="1">
                <w:r w:rsidR="007C06E7" w:rsidRPr="000C7557">
                  <w:rPr>
                    <w:rStyle w:val="Hyperlink"/>
                    <w:noProof/>
                  </w:rPr>
                  <w:t>Shortened forms</w:t>
                </w:r>
                <w:r w:rsidR="007C06E7">
                  <w:rPr>
                    <w:noProof/>
                    <w:webHidden/>
                  </w:rPr>
                  <w:tab/>
                </w:r>
                <w:r w:rsidR="007C06E7">
                  <w:rPr>
                    <w:noProof/>
                    <w:webHidden/>
                  </w:rPr>
                  <w:fldChar w:fldCharType="begin"/>
                </w:r>
                <w:r w:rsidR="007C06E7">
                  <w:rPr>
                    <w:noProof/>
                    <w:webHidden/>
                  </w:rPr>
                  <w:instrText xml:space="preserve"> PAGEREF _Toc404676589 \h </w:instrText>
                </w:r>
                <w:r w:rsidR="007C06E7">
                  <w:rPr>
                    <w:noProof/>
                    <w:webHidden/>
                  </w:rPr>
                </w:r>
                <w:r w:rsidR="007C06E7">
                  <w:rPr>
                    <w:noProof/>
                    <w:webHidden/>
                  </w:rPr>
                  <w:fldChar w:fldCharType="separate"/>
                </w:r>
                <w:r w:rsidR="007C06E7">
                  <w:rPr>
                    <w:noProof/>
                    <w:webHidden/>
                  </w:rPr>
                  <w:t>6-5</w:t>
                </w:r>
                <w:r w:rsidR="007C06E7">
                  <w:rPr>
                    <w:noProof/>
                    <w:webHidden/>
                  </w:rPr>
                  <w:fldChar w:fldCharType="end"/>
                </w:r>
              </w:hyperlink>
            </w:p>
            <w:p w:rsidR="007C06E7" w:rsidRDefault="00923AC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76590" w:history="1">
                <w:r w:rsidR="007C06E7" w:rsidRPr="000C7557">
                  <w:rPr>
                    <w:rStyle w:val="Hyperlink"/>
                    <w:noProof/>
                  </w:rPr>
                  <w:t>6</w:t>
                </w:r>
                <w:r w:rsidR="007C06E7">
                  <w:rPr>
                    <w:rFonts w:asciiTheme="minorHAnsi" w:eastAsiaTheme="minorEastAsia" w:hAnsiTheme="minorHAnsi" w:cstheme="minorBidi"/>
                    <w:b w:val="0"/>
                    <w:bCs w:val="0"/>
                    <w:noProof/>
                    <w:sz w:val="22"/>
                    <w:szCs w:val="22"/>
                    <w:lang w:eastAsia="en-AU"/>
                  </w:rPr>
                  <w:tab/>
                </w:r>
                <w:r w:rsidR="007C06E7" w:rsidRPr="000C7557">
                  <w:rPr>
                    <w:rStyle w:val="Hyperlink"/>
                    <w:noProof/>
                  </w:rPr>
                  <w:t>Capital expenditure</w:t>
                </w:r>
                <w:r w:rsidR="007C06E7">
                  <w:rPr>
                    <w:noProof/>
                    <w:webHidden/>
                  </w:rPr>
                  <w:tab/>
                </w:r>
                <w:r w:rsidR="007C06E7">
                  <w:rPr>
                    <w:noProof/>
                    <w:webHidden/>
                  </w:rPr>
                  <w:fldChar w:fldCharType="begin"/>
                </w:r>
                <w:r w:rsidR="007C06E7">
                  <w:rPr>
                    <w:noProof/>
                    <w:webHidden/>
                  </w:rPr>
                  <w:instrText xml:space="preserve"> PAGEREF _Toc404676590 \h </w:instrText>
                </w:r>
                <w:r w:rsidR="007C06E7">
                  <w:rPr>
                    <w:noProof/>
                    <w:webHidden/>
                  </w:rPr>
                </w:r>
                <w:r w:rsidR="007C06E7">
                  <w:rPr>
                    <w:noProof/>
                    <w:webHidden/>
                  </w:rPr>
                  <w:fldChar w:fldCharType="separate"/>
                </w:r>
                <w:r w:rsidR="007C06E7">
                  <w:rPr>
                    <w:noProof/>
                    <w:webHidden/>
                  </w:rPr>
                  <w:t>6-7</w:t>
                </w:r>
                <w:r w:rsidR="007C06E7">
                  <w:rPr>
                    <w:noProof/>
                    <w:webHidden/>
                  </w:rPr>
                  <w:fldChar w:fldCharType="end"/>
                </w:r>
              </w:hyperlink>
            </w:p>
            <w:p w:rsidR="007C06E7" w:rsidRDefault="00923AC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6591" w:history="1">
                <w:r w:rsidR="007C06E7" w:rsidRPr="000C7557">
                  <w:rPr>
                    <w:rStyle w:val="Hyperlink"/>
                    <w:noProof/>
                  </w:rPr>
                  <w:t>6.1</w:t>
                </w:r>
                <w:r w:rsidR="007C06E7">
                  <w:rPr>
                    <w:rFonts w:asciiTheme="minorHAnsi" w:eastAsiaTheme="minorEastAsia" w:hAnsiTheme="minorHAnsi" w:cstheme="minorBidi"/>
                    <w:iCs w:val="0"/>
                    <w:noProof/>
                    <w:sz w:val="22"/>
                    <w:szCs w:val="22"/>
                    <w:lang w:eastAsia="en-AU"/>
                  </w:rPr>
                  <w:tab/>
                </w:r>
                <w:r w:rsidR="007C06E7" w:rsidRPr="000C7557">
                  <w:rPr>
                    <w:rStyle w:val="Hyperlink"/>
                    <w:noProof/>
                  </w:rPr>
                  <w:t>Draft decision</w:t>
                </w:r>
                <w:r w:rsidR="007C06E7">
                  <w:rPr>
                    <w:noProof/>
                    <w:webHidden/>
                  </w:rPr>
                  <w:tab/>
                </w:r>
                <w:r w:rsidR="007C06E7">
                  <w:rPr>
                    <w:noProof/>
                    <w:webHidden/>
                  </w:rPr>
                  <w:fldChar w:fldCharType="begin"/>
                </w:r>
                <w:r w:rsidR="007C06E7">
                  <w:rPr>
                    <w:noProof/>
                    <w:webHidden/>
                  </w:rPr>
                  <w:instrText xml:space="preserve"> PAGEREF _Toc404676591 \h </w:instrText>
                </w:r>
                <w:r w:rsidR="007C06E7">
                  <w:rPr>
                    <w:noProof/>
                    <w:webHidden/>
                  </w:rPr>
                </w:r>
                <w:r w:rsidR="007C06E7">
                  <w:rPr>
                    <w:noProof/>
                    <w:webHidden/>
                  </w:rPr>
                  <w:fldChar w:fldCharType="separate"/>
                </w:r>
                <w:r w:rsidR="007C06E7">
                  <w:rPr>
                    <w:noProof/>
                    <w:webHidden/>
                  </w:rPr>
                  <w:t>6-7</w:t>
                </w:r>
                <w:r w:rsidR="007C06E7">
                  <w:rPr>
                    <w:noProof/>
                    <w:webHidden/>
                  </w:rPr>
                  <w:fldChar w:fldCharType="end"/>
                </w:r>
              </w:hyperlink>
            </w:p>
            <w:p w:rsidR="007C06E7" w:rsidRDefault="00923AC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6592" w:history="1">
                <w:r w:rsidR="007C06E7" w:rsidRPr="000C7557">
                  <w:rPr>
                    <w:rStyle w:val="Hyperlink"/>
                    <w:noProof/>
                  </w:rPr>
                  <w:t>6.2</w:t>
                </w:r>
                <w:r w:rsidR="007C06E7">
                  <w:rPr>
                    <w:rFonts w:asciiTheme="minorHAnsi" w:eastAsiaTheme="minorEastAsia" w:hAnsiTheme="minorHAnsi" w:cstheme="minorBidi"/>
                    <w:iCs w:val="0"/>
                    <w:noProof/>
                    <w:sz w:val="22"/>
                    <w:szCs w:val="22"/>
                    <w:lang w:eastAsia="en-AU"/>
                  </w:rPr>
                  <w:tab/>
                </w:r>
                <w:r w:rsidR="007C06E7" w:rsidRPr="000C7557">
                  <w:rPr>
                    <w:rStyle w:val="Hyperlink"/>
                    <w:noProof/>
                  </w:rPr>
                  <w:t>JGN's proposal</w:t>
                </w:r>
                <w:r w:rsidR="007C06E7">
                  <w:rPr>
                    <w:noProof/>
                    <w:webHidden/>
                  </w:rPr>
                  <w:tab/>
                </w:r>
                <w:r w:rsidR="007C06E7">
                  <w:rPr>
                    <w:noProof/>
                    <w:webHidden/>
                  </w:rPr>
                  <w:fldChar w:fldCharType="begin"/>
                </w:r>
                <w:r w:rsidR="007C06E7">
                  <w:rPr>
                    <w:noProof/>
                    <w:webHidden/>
                  </w:rPr>
                  <w:instrText xml:space="preserve"> PAGEREF _Toc404676592 \h </w:instrText>
                </w:r>
                <w:r w:rsidR="007C06E7">
                  <w:rPr>
                    <w:noProof/>
                    <w:webHidden/>
                  </w:rPr>
                </w:r>
                <w:r w:rsidR="007C06E7">
                  <w:rPr>
                    <w:noProof/>
                    <w:webHidden/>
                  </w:rPr>
                  <w:fldChar w:fldCharType="separate"/>
                </w:r>
                <w:r w:rsidR="007C06E7">
                  <w:rPr>
                    <w:noProof/>
                    <w:webHidden/>
                  </w:rPr>
                  <w:t>6-10</w:t>
                </w:r>
                <w:r w:rsidR="007C06E7">
                  <w:rPr>
                    <w:noProof/>
                    <w:webHidden/>
                  </w:rPr>
                  <w:fldChar w:fldCharType="end"/>
                </w:r>
              </w:hyperlink>
            </w:p>
            <w:p w:rsidR="007C06E7" w:rsidRDefault="00923AC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6593" w:history="1">
                <w:r w:rsidR="007C06E7" w:rsidRPr="000C7557">
                  <w:rPr>
                    <w:rStyle w:val="Hyperlink"/>
                    <w:noProof/>
                  </w:rPr>
                  <w:t>6.3</w:t>
                </w:r>
                <w:r w:rsidR="007C06E7">
                  <w:rPr>
                    <w:rFonts w:asciiTheme="minorHAnsi" w:eastAsiaTheme="minorEastAsia" w:hAnsiTheme="minorHAnsi" w:cstheme="minorBidi"/>
                    <w:iCs w:val="0"/>
                    <w:noProof/>
                    <w:sz w:val="22"/>
                    <w:szCs w:val="22"/>
                    <w:lang w:eastAsia="en-AU"/>
                  </w:rPr>
                  <w:tab/>
                </w:r>
                <w:r w:rsidR="007C06E7" w:rsidRPr="000C7557">
                  <w:rPr>
                    <w:rStyle w:val="Hyperlink"/>
                    <w:noProof/>
                  </w:rPr>
                  <w:t>Assessment approach</w:t>
                </w:r>
                <w:r w:rsidR="007C06E7">
                  <w:rPr>
                    <w:noProof/>
                    <w:webHidden/>
                  </w:rPr>
                  <w:tab/>
                </w:r>
                <w:r w:rsidR="007C06E7">
                  <w:rPr>
                    <w:noProof/>
                    <w:webHidden/>
                  </w:rPr>
                  <w:fldChar w:fldCharType="begin"/>
                </w:r>
                <w:r w:rsidR="007C06E7">
                  <w:rPr>
                    <w:noProof/>
                    <w:webHidden/>
                  </w:rPr>
                  <w:instrText xml:space="preserve"> PAGEREF _Toc404676593 \h </w:instrText>
                </w:r>
                <w:r w:rsidR="007C06E7">
                  <w:rPr>
                    <w:noProof/>
                    <w:webHidden/>
                  </w:rPr>
                </w:r>
                <w:r w:rsidR="007C06E7">
                  <w:rPr>
                    <w:noProof/>
                    <w:webHidden/>
                  </w:rPr>
                  <w:fldChar w:fldCharType="separate"/>
                </w:r>
                <w:r w:rsidR="007C06E7">
                  <w:rPr>
                    <w:noProof/>
                    <w:webHidden/>
                  </w:rPr>
                  <w:t>6-12</w:t>
                </w:r>
                <w:r w:rsidR="007C06E7">
                  <w:rPr>
                    <w:noProof/>
                    <w:webHidden/>
                  </w:rPr>
                  <w:fldChar w:fldCharType="end"/>
                </w:r>
              </w:hyperlink>
            </w:p>
            <w:p w:rsidR="007C06E7" w:rsidRDefault="00923ACA">
              <w:pPr>
                <w:pStyle w:val="TOC3"/>
                <w:rPr>
                  <w:rFonts w:asciiTheme="minorHAnsi" w:eastAsiaTheme="minorEastAsia" w:hAnsiTheme="minorHAnsi" w:cstheme="minorBidi"/>
                  <w:noProof/>
                  <w:sz w:val="22"/>
                  <w:szCs w:val="22"/>
                  <w:lang w:eastAsia="en-AU"/>
                </w:rPr>
              </w:pPr>
              <w:hyperlink w:anchor="_Toc404676594" w:history="1">
                <w:r w:rsidR="007C06E7" w:rsidRPr="000C7557">
                  <w:rPr>
                    <w:rStyle w:val="Hyperlink"/>
                    <w:noProof/>
                  </w:rPr>
                  <w:t>6.3.1</w:t>
                </w:r>
                <w:r w:rsidR="007C06E7">
                  <w:rPr>
                    <w:rFonts w:asciiTheme="minorHAnsi" w:eastAsiaTheme="minorEastAsia" w:hAnsiTheme="minorHAnsi" w:cstheme="minorBidi"/>
                    <w:noProof/>
                    <w:sz w:val="22"/>
                    <w:szCs w:val="22"/>
                    <w:lang w:eastAsia="en-AU"/>
                  </w:rPr>
                  <w:tab/>
                </w:r>
                <w:r w:rsidR="007C06E7" w:rsidRPr="000C7557">
                  <w:rPr>
                    <w:rStyle w:val="Hyperlink"/>
                    <w:noProof/>
                  </w:rPr>
                  <w:t>NGR requirements for conforming capital expenditure</w:t>
                </w:r>
                <w:r w:rsidR="007C06E7">
                  <w:rPr>
                    <w:noProof/>
                    <w:webHidden/>
                  </w:rPr>
                  <w:tab/>
                </w:r>
                <w:r w:rsidR="007C06E7">
                  <w:rPr>
                    <w:noProof/>
                    <w:webHidden/>
                  </w:rPr>
                  <w:fldChar w:fldCharType="begin"/>
                </w:r>
                <w:r w:rsidR="007C06E7">
                  <w:rPr>
                    <w:noProof/>
                    <w:webHidden/>
                  </w:rPr>
                  <w:instrText xml:space="preserve"> PAGEREF _Toc404676594 \h </w:instrText>
                </w:r>
                <w:r w:rsidR="007C06E7">
                  <w:rPr>
                    <w:noProof/>
                    <w:webHidden/>
                  </w:rPr>
                </w:r>
                <w:r w:rsidR="007C06E7">
                  <w:rPr>
                    <w:noProof/>
                    <w:webHidden/>
                  </w:rPr>
                  <w:fldChar w:fldCharType="separate"/>
                </w:r>
                <w:r w:rsidR="007C06E7">
                  <w:rPr>
                    <w:noProof/>
                    <w:webHidden/>
                  </w:rPr>
                  <w:t>6-12</w:t>
                </w:r>
                <w:r w:rsidR="007C06E7">
                  <w:rPr>
                    <w:noProof/>
                    <w:webHidden/>
                  </w:rPr>
                  <w:fldChar w:fldCharType="end"/>
                </w:r>
              </w:hyperlink>
            </w:p>
            <w:p w:rsidR="007C06E7" w:rsidRDefault="00923ACA">
              <w:pPr>
                <w:pStyle w:val="TOC3"/>
                <w:rPr>
                  <w:rFonts w:asciiTheme="minorHAnsi" w:eastAsiaTheme="minorEastAsia" w:hAnsiTheme="minorHAnsi" w:cstheme="minorBidi"/>
                  <w:noProof/>
                  <w:sz w:val="22"/>
                  <w:szCs w:val="22"/>
                  <w:lang w:eastAsia="en-AU"/>
                </w:rPr>
              </w:pPr>
              <w:hyperlink w:anchor="_Toc404676595" w:history="1">
                <w:r w:rsidR="007C06E7" w:rsidRPr="000C7557">
                  <w:rPr>
                    <w:rStyle w:val="Hyperlink"/>
                    <w:noProof/>
                  </w:rPr>
                  <w:t>6.3.2</w:t>
                </w:r>
                <w:r w:rsidR="007C06E7">
                  <w:rPr>
                    <w:rFonts w:asciiTheme="minorHAnsi" w:eastAsiaTheme="minorEastAsia" w:hAnsiTheme="minorHAnsi" w:cstheme="minorBidi"/>
                    <w:noProof/>
                    <w:sz w:val="22"/>
                    <w:szCs w:val="22"/>
                    <w:lang w:eastAsia="en-AU"/>
                  </w:rPr>
                  <w:tab/>
                </w:r>
                <w:r w:rsidR="007C06E7" w:rsidRPr="000C7557">
                  <w:rPr>
                    <w:rStyle w:val="Hyperlink"/>
                    <w:noProof/>
                  </w:rPr>
                  <w:t>Assessment of conforming capital expenditure in the previous period</w:t>
                </w:r>
                <w:r w:rsidR="007C06E7">
                  <w:rPr>
                    <w:noProof/>
                    <w:webHidden/>
                  </w:rPr>
                  <w:tab/>
                </w:r>
                <w:r w:rsidR="007C06E7">
                  <w:rPr>
                    <w:noProof/>
                    <w:webHidden/>
                  </w:rPr>
                  <w:fldChar w:fldCharType="begin"/>
                </w:r>
                <w:r w:rsidR="007C06E7">
                  <w:rPr>
                    <w:noProof/>
                    <w:webHidden/>
                  </w:rPr>
                  <w:instrText xml:space="preserve"> PAGEREF _Toc404676595 \h </w:instrText>
                </w:r>
                <w:r w:rsidR="007C06E7">
                  <w:rPr>
                    <w:noProof/>
                    <w:webHidden/>
                  </w:rPr>
                </w:r>
                <w:r w:rsidR="007C06E7">
                  <w:rPr>
                    <w:noProof/>
                    <w:webHidden/>
                  </w:rPr>
                  <w:fldChar w:fldCharType="separate"/>
                </w:r>
                <w:r w:rsidR="007C06E7">
                  <w:rPr>
                    <w:noProof/>
                    <w:webHidden/>
                  </w:rPr>
                  <w:t>6-13</w:t>
                </w:r>
                <w:r w:rsidR="007C06E7">
                  <w:rPr>
                    <w:noProof/>
                    <w:webHidden/>
                  </w:rPr>
                  <w:fldChar w:fldCharType="end"/>
                </w:r>
              </w:hyperlink>
            </w:p>
            <w:p w:rsidR="007C06E7" w:rsidRDefault="00923ACA">
              <w:pPr>
                <w:pStyle w:val="TOC3"/>
                <w:rPr>
                  <w:rFonts w:asciiTheme="minorHAnsi" w:eastAsiaTheme="minorEastAsia" w:hAnsiTheme="minorHAnsi" w:cstheme="minorBidi"/>
                  <w:noProof/>
                  <w:sz w:val="22"/>
                  <w:szCs w:val="22"/>
                  <w:lang w:eastAsia="en-AU"/>
                </w:rPr>
              </w:pPr>
              <w:hyperlink w:anchor="_Toc404676596" w:history="1">
                <w:r w:rsidR="007C06E7" w:rsidRPr="000C7557">
                  <w:rPr>
                    <w:rStyle w:val="Hyperlink"/>
                    <w:noProof/>
                  </w:rPr>
                  <w:t>6.3.3</w:t>
                </w:r>
                <w:r w:rsidR="007C06E7">
                  <w:rPr>
                    <w:rFonts w:asciiTheme="minorHAnsi" w:eastAsiaTheme="minorEastAsia" w:hAnsiTheme="minorHAnsi" w:cstheme="minorBidi"/>
                    <w:noProof/>
                    <w:sz w:val="22"/>
                    <w:szCs w:val="22"/>
                    <w:lang w:eastAsia="en-AU"/>
                  </w:rPr>
                  <w:tab/>
                </w:r>
                <w:r w:rsidR="007C06E7" w:rsidRPr="000C7557">
                  <w:rPr>
                    <w:rStyle w:val="Hyperlink"/>
                    <w:noProof/>
                  </w:rPr>
                  <w:t>Assessing forecast capex for the 2015-2020 access arrangement period</w:t>
                </w:r>
                <w:r w:rsidR="007C06E7">
                  <w:rPr>
                    <w:noProof/>
                    <w:webHidden/>
                  </w:rPr>
                  <w:tab/>
                </w:r>
                <w:r w:rsidR="007C06E7">
                  <w:rPr>
                    <w:noProof/>
                    <w:webHidden/>
                  </w:rPr>
                  <w:fldChar w:fldCharType="begin"/>
                </w:r>
                <w:r w:rsidR="007C06E7">
                  <w:rPr>
                    <w:noProof/>
                    <w:webHidden/>
                  </w:rPr>
                  <w:instrText xml:space="preserve"> PAGEREF _Toc404676596 \h </w:instrText>
                </w:r>
                <w:r w:rsidR="007C06E7">
                  <w:rPr>
                    <w:noProof/>
                    <w:webHidden/>
                  </w:rPr>
                </w:r>
                <w:r w:rsidR="007C06E7">
                  <w:rPr>
                    <w:noProof/>
                    <w:webHidden/>
                  </w:rPr>
                  <w:fldChar w:fldCharType="separate"/>
                </w:r>
                <w:r w:rsidR="007C06E7">
                  <w:rPr>
                    <w:noProof/>
                    <w:webHidden/>
                  </w:rPr>
                  <w:t>6-15</w:t>
                </w:r>
                <w:r w:rsidR="007C06E7">
                  <w:rPr>
                    <w:noProof/>
                    <w:webHidden/>
                  </w:rPr>
                  <w:fldChar w:fldCharType="end"/>
                </w:r>
              </w:hyperlink>
            </w:p>
            <w:p w:rsidR="007C06E7" w:rsidRDefault="00923ACA">
              <w:pPr>
                <w:pStyle w:val="TOC3"/>
                <w:rPr>
                  <w:rFonts w:asciiTheme="minorHAnsi" w:eastAsiaTheme="minorEastAsia" w:hAnsiTheme="minorHAnsi" w:cstheme="minorBidi"/>
                  <w:noProof/>
                  <w:sz w:val="22"/>
                  <w:szCs w:val="22"/>
                  <w:lang w:eastAsia="en-AU"/>
                </w:rPr>
              </w:pPr>
              <w:hyperlink w:anchor="_Toc404676597" w:history="1">
                <w:r w:rsidR="007C06E7" w:rsidRPr="000C7557">
                  <w:rPr>
                    <w:rStyle w:val="Hyperlink"/>
                    <w:noProof/>
                  </w:rPr>
                  <w:t>6.3.4</w:t>
                </w:r>
                <w:r w:rsidR="007C06E7">
                  <w:rPr>
                    <w:rFonts w:asciiTheme="minorHAnsi" w:eastAsiaTheme="minorEastAsia" w:hAnsiTheme="minorHAnsi" w:cstheme="minorBidi"/>
                    <w:noProof/>
                    <w:sz w:val="22"/>
                    <w:szCs w:val="22"/>
                    <w:lang w:eastAsia="en-AU"/>
                  </w:rPr>
                  <w:tab/>
                </w:r>
                <w:r w:rsidR="007C06E7" w:rsidRPr="000C7557">
                  <w:rPr>
                    <w:rStyle w:val="Hyperlink"/>
                    <w:noProof/>
                  </w:rPr>
                  <w:t>Interrelationships</w:t>
                </w:r>
                <w:r w:rsidR="007C06E7">
                  <w:rPr>
                    <w:noProof/>
                    <w:webHidden/>
                  </w:rPr>
                  <w:tab/>
                </w:r>
                <w:r w:rsidR="007C06E7">
                  <w:rPr>
                    <w:noProof/>
                    <w:webHidden/>
                  </w:rPr>
                  <w:fldChar w:fldCharType="begin"/>
                </w:r>
                <w:r w:rsidR="007C06E7">
                  <w:rPr>
                    <w:noProof/>
                    <w:webHidden/>
                  </w:rPr>
                  <w:instrText xml:space="preserve"> PAGEREF _Toc404676597 \h </w:instrText>
                </w:r>
                <w:r w:rsidR="007C06E7">
                  <w:rPr>
                    <w:noProof/>
                    <w:webHidden/>
                  </w:rPr>
                </w:r>
                <w:r w:rsidR="007C06E7">
                  <w:rPr>
                    <w:noProof/>
                    <w:webHidden/>
                  </w:rPr>
                  <w:fldChar w:fldCharType="separate"/>
                </w:r>
                <w:r w:rsidR="007C06E7">
                  <w:rPr>
                    <w:noProof/>
                    <w:webHidden/>
                  </w:rPr>
                  <w:t>6-17</w:t>
                </w:r>
                <w:r w:rsidR="007C06E7">
                  <w:rPr>
                    <w:noProof/>
                    <w:webHidden/>
                  </w:rPr>
                  <w:fldChar w:fldCharType="end"/>
                </w:r>
              </w:hyperlink>
            </w:p>
            <w:p w:rsidR="007C06E7" w:rsidRDefault="00923AC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6598" w:history="1">
                <w:r w:rsidR="007C06E7" w:rsidRPr="000C7557">
                  <w:rPr>
                    <w:rStyle w:val="Hyperlink"/>
                    <w:noProof/>
                  </w:rPr>
                  <w:t>6.4</w:t>
                </w:r>
                <w:r w:rsidR="007C06E7">
                  <w:rPr>
                    <w:rFonts w:asciiTheme="minorHAnsi" w:eastAsiaTheme="minorEastAsia" w:hAnsiTheme="minorHAnsi" w:cstheme="minorBidi"/>
                    <w:iCs w:val="0"/>
                    <w:noProof/>
                    <w:sz w:val="22"/>
                    <w:szCs w:val="22"/>
                    <w:lang w:eastAsia="en-AU"/>
                  </w:rPr>
                  <w:tab/>
                </w:r>
                <w:r w:rsidR="007C06E7" w:rsidRPr="000C7557">
                  <w:rPr>
                    <w:rStyle w:val="Hyperlink"/>
                    <w:noProof/>
                  </w:rPr>
                  <w:t>Reasons for draft decision</w:t>
                </w:r>
                <w:r w:rsidR="007C06E7">
                  <w:rPr>
                    <w:noProof/>
                    <w:webHidden/>
                  </w:rPr>
                  <w:tab/>
                </w:r>
                <w:r w:rsidR="007C06E7">
                  <w:rPr>
                    <w:noProof/>
                    <w:webHidden/>
                  </w:rPr>
                  <w:fldChar w:fldCharType="begin"/>
                </w:r>
                <w:r w:rsidR="007C06E7">
                  <w:rPr>
                    <w:noProof/>
                    <w:webHidden/>
                  </w:rPr>
                  <w:instrText xml:space="preserve"> PAGEREF _Toc404676598 \h </w:instrText>
                </w:r>
                <w:r w:rsidR="007C06E7">
                  <w:rPr>
                    <w:noProof/>
                    <w:webHidden/>
                  </w:rPr>
                </w:r>
                <w:r w:rsidR="007C06E7">
                  <w:rPr>
                    <w:noProof/>
                    <w:webHidden/>
                  </w:rPr>
                  <w:fldChar w:fldCharType="separate"/>
                </w:r>
                <w:r w:rsidR="007C06E7">
                  <w:rPr>
                    <w:noProof/>
                    <w:webHidden/>
                  </w:rPr>
                  <w:t>6-18</w:t>
                </w:r>
                <w:r w:rsidR="007C06E7">
                  <w:rPr>
                    <w:noProof/>
                    <w:webHidden/>
                  </w:rPr>
                  <w:fldChar w:fldCharType="end"/>
                </w:r>
              </w:hyperlink>
            </w:p>
            <w:p w:rsidR="007C06E7" w:rsidRDefault="00923ACA">
              <w:pPr>
                <w:pStyle w:val="TOC3"/>
                <w:rPr>
                  <w:rFonts w:asciiTheme="minorHAnsi" w:eastAsiaTheme="minorEastAsia" w:hAnsiTheme="minorHAnsi" w:cstheme="minorBidi"/>
                  <w:noProof/>
                  <w:sz w:val="22"/>
                  <w:szCs w:val="22"/>
                  <w:lang w:eastAsia="en-AU"/>
                </w:rPr>
              </w:pPr>
              <w:hyperlink w:anchor="_Toc404676599" w:history="1">
                <w:r w:rsidR="007C06E7" w:rsidRPr="000C7557">
                  <w:rPr>
                    <w:rStyle w:val="Hyperlink"/>
                    <w:noProof/>
                  </w:rPr>
                  <w:t>6.4.1</w:t>
                </w:r>
                <w:r w:rsidR="007C06E7">
                  <w:rPr>
                    <w:rFonts w:asciiTheme="minorHAnsi" w:eastAsiaTheme="minorEastAsia" w:hAnsiTheme="minorHAnsi" w:cstheme="minorBidi"/>
                    <w:noProof/>
                    <w:sz w:val="22"/>
                    <w:szCs w:val="22"/>
                    <w:lang w:eastAsia="en-AU"/>
                  </w:rPr>
                  <w:tab/>
                </w:r>
                <w:r w:rsidR="007C06E7" w:rsidRPr="000C7557">
                  <w:rPr>
                    <w:rStyle w:val="Hyperlink"/>
                    <w:noProof/>
                  </w:rPr>
                  <w:t>Conforming capex for 2009–14</w:t>
                </w:r>
                <w:r w:rsidR="007C06E7">
                  <w:rPr>
                    <w:noProof/>
                    <w:webHidden/>
                  </w:rPr>
                  <w:tab/>
                </w:r>
                <w:r w:rsidR="007C06E7">
                  <w:rPr>
                    <w:noProof/>
                    <w:webHidden/>
                  </w:rPr>
                  <w:fldChar w:fldCharType="begin"/>
                </w:r>
                <w:r w:rsidR="007C06E7">
                  <w:rPr>
                    <w:noProof/>
                    <w:webHidden/>
                  </w:rPr>
                  <w:instrText xml:space="preserve"> PAGEREF _Toc404676599 \h </w:instrText>
                </w:r>
                <w:r w:rsidR="007C06E7">
                  <w:rPr>
                    <w:noProof/>
                    <w:webHidden/>
                  </w:rPr>
                </w:r>
                <w:r w:rsidR="007C06E7">
                  <w:rPr>
                    <w:noProof/>
                    <w:webHidden/>
                  </w:rPr>
                  <w:fldChar w:fldCharType="separate"/>
                </w:r>
                <w:r w:rsidR="007C06E7">
                  <w:rPr>
                    <w:noProof/>
                    <w:webHidden/>
                  </w:rPr>
                  <w:t>6-18</w:t>
                </w:r>
                <w:r w:rsidR="007C06E7">
                  <w:rPr>
                    <w:noProof/>
                    <w:webHidden/>
                  </w:rPr>
                  <w:fldChar w:fldCharType="end"/>
                </w:r>
              </w:hyperlink>
            </w:p>
            <w:p w:rsidR="007C06E7" w:rsidRDefault="00923ACA">
              <w:pPr>
                <w:pStyle w:val="TOC3"/>
                <w:rPr>
                  <w:rFonts w:asciiTheme="minorHAnsi" w:eastAsiaTheme="minorEastAsia" w:hAnsiTheme="minorHAnsi" w:cstheme="minorBidi"/>
                  <w:noProof/>
                  <w:sz w:val="22"/>
                  <w:szCs w:val="22"/>
                  <w:lang w:eastAsia="en-AU"/>
                </w:rPr>
              </w:pPr>
              <w:hyperlink w:anchor="_Toc404676600" w:history="1">
                <w:r w:rsidR="007C06E7" w:rsidRPr="000C7557">
                  <w:rPr>
                    <w:rStyle w:val="Hyperlink"/>
                    <w:noProof/>
                  </w:rPr>
                  <w:t>6.4.2</w:t>
                </w:r>
                <w:r w:rsidR="007C06E7">
                  <w:rPr>
                    <w:rFonts w:asciiTheme="minorHAnsi" w:eastAsiaTheme="minorEastAsia" w:hAnsiTheme="minorHAnsi" w:cstheme="minorBidi"/>
                    <w:noProof/>
                    <w:sz w:val="22"/>
                    <w:szCs w:val="22"/>
                    <w:lang w:eastAsia="en-AU"/>
                  </w:rPr>
                  <w:tab/>
                </w:r>
                <w:r w:rsidR="007C06E7" w:rsidRPr="000C7557">
                  <w:rPr>
                    <w:rStyle w:val="Hyperlink"/>
                    <w:noProof/>
                  </w:rPr>
                  <w:t>Conforming capex for the 2015–20 access arrangement period</w:t>
                </w:r>
                <w:r w:rsidR="007C06E7">
                  <w:rPr>
                    <w:noProof/>
                    <w:webHidden/>
                  </w:rPr>
                  <w:tab/>
                </w:r>
                <w:r w:rsidR="007C06E7">
                  <w:rPr>
                    <w:noProof/>
                    <w:webHidden/>
                  </w:rPr>
                  <w:fldChar w:fldCharType="begin"/>
                </w:r>
                <w:r w:rsidR="007C06E7">
                  <w:rPr>
                    <w:noProof/>
                    <w:webHidden/>
                  </w:rPr>
                  <w:instrText xml:space="preserve"> PAGEREF _Toc404676600 \h </w:instrText>
                </w:r>
                <w:r w:rsidR="007C06E7">
                  <w:rPr>
                    <w:noProof/>
                    <w:webHidden/>
                  </w:rPr>
                </w:r>
                <w:r w:rsidR="007C06E7">
                  <w:rPr>
                    <w:noProof/>
                    <w:webHidden/>
                  </w:rPr>
                  <w:fldChar w:fldCharType="separate"/>
                </w:r>
                <w:r w:rsidR="007C06E7">
                  <w:rPr>
                    <w:noProof/>
                    <w:webHidden/>
                  </w:rPr>
                  <w:t>6-19</w:t>
                </w:r>
                <w:r w:rsidR="007C06E7">
                  <w:rPr>
                    <w:noProof/>
                    <w:webHidden/>
                  </w:rPr>
                  <w:fldChar w:fldCharType="end"/>
                </w:r>
              </w:hyperlink>
            </w:p>
            <w:p w:rsidR="007C06E7" w:rsidRDefault="00923ACA">
              <w:pPr>
                <w:pStyle w:val="TOC3"/>
                <w:rPr>
                  <w:rFonts w:asciiTheme="minorHAnsi" w:eastAsiaTheme="minorEastAsia" w:hAnsiTheme="minorHAnsi" w:cstheme="minorBidi"/>
                  <w:noProof/>
                  <w:sz w:val="22"/>
                  <w:szCs w:val="22"/>
                  <w:lang w:eastAsia="en-AU"/>
                </w:rPr>
              </w:pPr>
              <w:hyperlink w:anchor="_Toc404676601" w:history="1">
                <w:r w:rsidR="007C06E7" w:rsidRPr="000C7557">
                  <w:rPr>
                    <w:rStyle w:val="Hyperlink"/>
                    <w:noProof/>
                  </w:rPr>
                  <w:t>6.4.3</w:t>
                </w:r>
                <w:r w:rsidR="007C06E7">
                  <w:rPr>
                    <w:rFonts w:asciiTheme="minorHAnsi" w:eastAsiaTheme="minorEastAsia" w:hAnsiTheme="minorHAnsi" w:cstheme="minorBidi"/>
                    <w:noProof/>
                    <w:sz w:val="22"/>
                    <w:szCs w:val="22"/>
                    <w:lang w:eastAsia="en-AU"/>
                  </w:rPr>
                  <w:tab/>
                </w:r>
                <w:r w:rsidR="007C06E7" w:rsidRPr="000C7557">
                  <w:rPr>
                    <w:rStyle w:val="Hyperlink"/>
                    <w:noProof/>
                  </w:rPr>
                  <w:t>Adjustments to labour and material escalation</w:t>
                </w:r>
                <w:r w:rsidR="007C06E7">
                  <w:rPr>
                    <w:noProof/>
                    <w:webHidden/>
                  </w:rPr>
                  <w:tab/>
                </w:r>
                <w:r w:rsidR="007C06E7">
                  <w:rPr>
                    <w:noProof/>
                    <w:webHidden/>
                  </w:rPr>
                  <w:fldChar w:fldCharType="begin"/>
                </w:r>
                <w:r w:rsidR="007C06E7">
                  <w:rPr>
                    <w:noProof/>
                    <w:webHidden/>
                  </w:rPr>
                  <w:instrText xml:space="preserve"> PAGEREF _Toc404676601 \h </w:instrText>
                </w:r>
                <w:r w:rsidR="007C06E7">
                  <w:rPr>
                    <w:noProof/>
                    <w:webHidden/>
                  </w:rPr>
                </w:r>
                <w:r w:rsidR="007C06E7">
                  <w:rPr>
                    <w:noProof/>
                    <w:webHidden/>
                  </w:rPr>
                  <w:fldChar w:fldCharType="separate"/>
                </w:r>
                <w:r w:rsidR="007C06E7">
                  <w:rPr>
                    <w:noProof/>
                    <w:webHidden/>
                  </w:rPr>
                  <w:t>6-47</w:t>
                </w:r>
                <w:r w:rsidR="007C06E7">
                  <w:rPr>
                    <w:noProof/>
                    <w:webHidden/>
                  </w:rPr>
                  <w:fldChar w:fldCharType="end"/>
                </w:r>
              </w:hyperlink>
            </w:p>
            <w:p w:rsidR="007C06E7" w:rsidRDefault="00923AC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6602" w:history="1">
                <w:r w:rsidR="007C06E7" w:rsidRPr="000C7557">
                  <w:rPr>
                    <w:rStyle w:val="Hyperlink"/>
                    <w:noProof/>
                  </w:rPr>
                  <w:t>6.5</w:t>
                </w:r>
                <w:r w:rsidR="007C06E7">
                  <w:rPr>
                    <w:rFonts w:asciiTheme="minorHAnsi" w:eastAsiaTheme="minorEastAsia" w:hAnsiTheme="minorHAnsi" w:cstheme="minorBidi"/>
                    <w:iCs w:val="0"/>
                    <w:noProof/>
                    <w:sz w:val="22"/>
                    <w:szCs w:val="22"/>
                    <w:lang w:eastAsia="en-AU"/>
                  </w:rPr>
                  <w:tab/>
                </w:r>
                <w:r w:rsidR="007C06E7" w:rsidRPr="000C7557">
                  <w:rPr>
                    <w:rStyle w:val="Hyperlink"/>
                    <w:noProof/>
                  </w:rPr>
                  <w:t>Revisions</w:t>
                </w:r>
                <w:r w:rsidR="007C06E7">
                  <w:rPr>
                    <w:noProof/>
                    <w:webHidden/>
                  </w:rPr>
                  <w:tab/>
                </w:r>
                <w:r w:rsidR="007C06E7">
                  <w:rPr>
                    <w:noProof/>
                    <w:webHidden/>
                  </w:rPr>
                  <w:fldChar w:fldCharType="begin"/>
                </w:r>
                <w:r w:rsidR="007C06E7">
                  <w:rPr>
                    <w:noProof/>
                    <w:webHidden/>
                  </w:rPr>
                  <w:instrText xml:space="preserve"> PAGEREF _Toc404676602 \h </w:instrText>
                </w:r>
                <w:r w:rsidR="007C06E7">
                  <w:rPr>
                    <w:noProof/>
                    <w:webHidden/>
                  </w:rPr>
                </w:r>
                <w:r w:rsidR="007C06E7">
                  <w:rPr>
                    <w:noProof/>
                    <w:webHidden/>
                  </w:rPr>
                  <w:fldChar w:fldCharType="separate"/>
                </w:r>
                <w:r w:rsidR="007C06E7">
                  <w:rPr>
                    <w:noProof/>
                    <w:webHidden/>
                  </w:rPr>
                  <w:t>6-47</w:t>
                </w:r>
                <w:r w:rsidR="007C06E7">
                  <w:rPr>
                    <w:noProof/>
                    <w:webHidden/>
                  </w:rPr>
                  <w:fldChar w:fldCharType="end"/>
                </w:r>
              </w:hyperlink>
            </w:p>
            <w:p w:rsidR="007C06E7" w:rsidRDefault="00923AC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76603" w:history="1">
                <w:r w:rsidR="007C06E7" w:rsidRPr="000C7557">
                  <w:rPr>
                    <w:rStyle w:val="Hyperlink"/>
                    <w:noProof/>
                  </w:rPr>
                  <w:t>A</w:t>
                </w:r>
                <w:r w:rsidR="007C06E7">
                  <w:rPr>
                    <w:rFonts w:asciiTheme="minorHAnsi" w:eastAsiaTheme="minorEastAsia" w:hAnsiTheme="minorHAnsi" w:cstheme="minorBidi"/>
                    <w:b w:val="0"/>
                    <w:bCs w:val="0"/>
                    <w:noProof/>
                    <w:sz w:val="22"/>
                    <w:szCs w:val="22"/>
                    <w:lang w:eastAsia="en-AU"/>
                  </w:rPr>
                  <w:tab/>
                </w:r>
                <w:r w:rsidR="007C06E7" w:rsidRPr="000C7557">
                  <w:rPr>
                    <w:rStyle w:val="Hyperlink"/>
                    <w:noProof/>
                  </w:rPr>
                  <w:t>Appendix: Real material cost escalation</w:t>
                </w:r>
                <w:r w:rsidR="007C06E7">
                  <w:rPr>
                    <w:noProof/>
                    <w:webHidden/>
                  </w:rPr>
                  <w:tab/>
                </w:r>
                <w:r w:rsidR="007C06E7">
                  <w:rPr>
                    <w:noProof/>
                    <w:webHidden/>
                  </w:rPr>
                  <w:fldChar w:fldCharType="begin"/>
                </w:r>
                <w:r w:rsidR="007C06E7">
                  <w:rPr>
                    <w:noProof/>
                    <w:webHidden/>
                  </w:rPr>
                  <w:instrText xml:space="preserve"> PAGEREF _Toc404676603 \h </w:instrText>
                </w:r>
                <w:r w:rsidR="007C06E7">
                  <w:rPr>
                    <w:noProof/>
                    <w:webHidden/>
                  </w:rPr>
                </w:r>
                <w:r w:rsidR="007C06E7">
                  <w:rPr>
                    <w:noProof/>
                    <w:webHidden/>
                  </w:rPr>
                  <w:fldChar w:fldCharType="separate"/>
                </w:r>
                <w:r w:rsidR="007C06E7">
                  <w:rPr>
                    <w:noProof/>
                    <w:webHidden/>
                  </w:rPr>
                  <w:t>6-48</w:t>
                </w:r>
                <w:r w:rsidR="007C06E7">
                  <w:rPr>
                    <w:noProof/>
                    <w:webHidden/>
                  </w:rPr>
                  <w:fldChar w:fldCharType="end"/>
                </w:r>
              </w:hyperlink>
            </w:p>
            <w:p w:rsidR="007C06E7" w:rsidRDefault="00923AC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6604" w:history="1">
                <w:r w:rsidR="007C06E7" w:rsidRPr="000C7557">
                  <w:rPr>
                    <w:rStyle w:val="Hyperlink"/>
                    <w:noProof/>
                  </w:rPr>
                  <w:t>A.1</w:t>
                </w:r>
                <w:r w:rsidR="007C06E7">
                  <w:rPr>
                    <w:rFonts w:asciiTheme="minorHAnsi" w:eastAsiaTheme="minorEastAsia" w:hAnsiTheme="minorHAnsi" w:cstheme="minorBidi"/>
                    <w:iCs w:val="0"/>
                    <w:noProof/>
                    <w:sz w:val="22"/>
                    <w:szCs w:val="22"/>
                    <w:lang w:eastAsia="en-AU"/>
                  </w:rPr>
                  <w:tab/>
                </w:r>
                <w:r w:rsidR="007C06E7" w:rsidRPr="000C7557">
                  <w:rPr>
                    <w:rStyle w:val="Hyperlink"/>
                    <w:noProof/>
                  </w:rPr>
                  <w:t>Position</w:t>
                </w:r>
                <w:r w:rsidR="007C06E7">
                  <w:rPr>
                    <w:noProof/>
                    <w:webHidden/>
                  </w:rPr>
                  <w:tab/>
                </w:r>
                <w:r w:rsidR="007C06E7">
                  <w:rPr>
                    <w:noProof/>
                    <w:webHidden/>
                  </w:rPr>
                  <w:fldChar w:fldCharType="begin"/>
                </w:r>
                <w:r w:rsidR="007C06E7">
                  <w:rPr>
                    <w:noProof/>
                    <w:webHidden/>
                  </w:rPr>
                  <w:instrText xml:space="preserve"> PAGEREF _Toc404676604 \h </w:instrText>
                </w:r>
                <w:r w:rsidR="007C06E7">
                  <w:rPr>
                    <w:noProof/>
                    <w:webHidden/>
                  </w:rPr>
                </w:r>
                <w:r w:rsidR="007C06E7">
                  <w:rPr>
                    <w:noProof/>
                    <w:webHidden/>
                  </w:rPr>
                  <w:fldChar w:fldCharType="separate"/>
                </w:r>
                <w:r w:rsidR="007C06E7">
                  <w:rPr>
                    <w:noProof/>
                    <w:webHidden/>
                  </w:rPr>
                  <w:t>6-48</w:t>
                </w:r>
                <w:r w:rsidR="007C06E7">
                  <w:rPr>
                    <w:noProof/>
                    <w:webHidden/>
                  </w:rPr>
                  <w:fldChar w:fldCharType="end"/>
                </w:r>
              </w:hyperlink>
            </w:p>
            <w:p w:rsidR="007C06E7" w:rsidRDefault="00923AC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6605" w:history="1">
                <w:r w:rsidR="007C06E7" w:rsidRPr="000C7557">
                  <w:rPr>
                    <w:rStyle w:val="Hyperlink"/>
                    <w:noProof/>
                  </w:rPr>
                  <w:t>A.2</w:t>
                </w:r>
                <w:r w:rsidR="007C06E7">
                  <w:rPr>
                    <w:rFonts w:asciiTheme="minorHAnsi" w:eastAsiaTheme="minorEastAsia" w:hAnsiTheme="minorHAnsi" w:cstheme="minorBidi"/>
                    <w:iCs w:val="0"/>
                    <w:noProof/>
                    <w:sz w:val="22"/>
                    <w:szCs w:val="22"/>
                    <w:lang w:eastAsia="en-AU"/>
                  </w:rPr>
                  <w:tab/>
                </w:r>
                <w:r w:rsidR="007C06E7" w:rsidRPr="000C7557">
                  <w:rPr>
                    <w:rStyle w:val="Hyperlink"/>
                    <w:noProof/>
                  </w:rPr>
                  <w:t>JGN's proposal</w:t>
                </w:r>
                <w:r w:rsidR="007C06E7">
                  <w:rPr>
                    <w:noProof/>
                    <w:webHidden/>
                  </w:rPr>
                  <w:tab/>
                </w:r>
                <w:r w:rsidR="007C06E7">
                  <w:rPr>
                    <w:noProof/>
                    <w:webHidden/>
                  </w:rPr>
                  <w:fldChar w:fldCharType="begin"/>
                </w:r>
                <w:r w:rsidR="007C06E7">
                  <w:rPr>
                    <w:noProof/>
                    <w:webHidden/>
                  </w:rPr>
                  <w:instrText xml:space="preserve"> PAGEREF _Toc404676605 \h </w:instrText>
                </w:r>
                <w:r w:rsidR="007C06E7">
                  <w:rPr>
                    <w:noProof/>
                    <w:webHidden/>
                  </w:rPr>
                </w:r>
                <w:r w:rsidR="007C06E7">
                  <w:rPr>
                    <w:noProof/>
                    <w:webHidden/>
                  </w:rPr>
                  <w:fldChar w:fldCharType="separate"/>
                </w:r>
                <w:r w:rsidR="007C06E7">
                  <w:rPr>
                    <w:noProof/>
                    <w:webHidden/>
                  </w:rPr>
                  <w:t>6-48</w:t>
                </w:r>
                <w:r w:rsidR="007C06E7">
                  <w:rPr>
                    <w:noProof/>
                    <w:webHidden/>
                  </w:rPr>
                  <w:fldChar w:fldCharType="end"/>
                </w:r>
              </w:hyperlink>
            </w:p>
            <w:p w:rsidR="007C06E7" w:rsidRDefault="00923AC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6606" w:history="1">
                <w:r w:rsidR="007C06E7" w:rsidRPr="000C7557">
                  <w:rPr>
                    <w:rStyle w:val="Hyperlink"/>
                    <w:noProof/>
                  </w:rPr>
                  <w:t>A.3</w:t>
                </w:r>
                <w:r w:rsidR="007C06E7">
                  <w:rPr>
                    <w:rFonts w:asciiTheme="minorHAnsi" w:eastAsiaTheme="minorEastAsia" w:hAnsiTheme="minorHAnsi" w:cstheme="minorBidi"/>
                    <w:iCs w:val="0"/>
                    <w:noProof/>
                    <w:sz w:val="22"/>
                    <w:szCs w:val="22"/>
                    <w:lang w:eastAsia="en-AU"/>
                  </w:rPr>
                  <w:tab/>
                </w:r>
                <w:r w:rsidR="007C06E7" w:rsidRPr="000C7557">
                  <w:rPr>
                    <w:rStyle w:val="Hyperlink"/>
                    <w:noProof/>
                  </w:rPr>
                  <w:t>Assessment approach</w:t>
                </w:r>
                <w:r w:rsidR="007C06E7">
                  <w:rPr>
                    <w:noProof/>
                    <w:webHidden/>
                  </w:rPr>
                  <w:tab/>
                </w:r>
                <w:r w:rsidR="007C06E7">
                  <w:rPr>
                    <w:noProof/>
                    <w:webHidden/>
                  </w:rPr>
                  <w:fldChar w:fldCharType="begin"/>
                </w:r>
                <w:r w:rsidR="007C06E7">
                  <w:rPr>
                    <w:noProof/>
                    <w:webHidden/>
                  </w:rPr>
                  <w:instrText xml:space="preserve"> PAGEREF _Toc404676606 \h </w:instrText>
                </w:r>
                <w:r w:rsidR="007C06E7">
                  <w:rPr>
                    <w:noProof/>
                    <w:webHidden/>
                  </w:rPr>
                </w:r>
                <w:r w:rsidR="007C06E7">
                  <w:rPr>
                    <w:noProof/>
                    <w:webHidden/>
                  </w:rPr>
                  <w:fldChar w:fldCharType="separate"/>
                </w:r>
                <w:r w:rsidR="007C06E7">
                  <w:rPr>
                    <w:noProof/>
                    <w:webHidden/>
                  </w:rPr>
                  <w:t>6-49</w:t>
                </w:r>
                <w:r w:rsidR="007C06E7">
                  <w:rPr>
                    <w:noProof/>
                    <w:webHidden/>
                  </w:rPr>
                  <w:fldChar w:fldCharType="end"/>
                </w:r>
              </w:hyperlink>
            </w:p>
            <w:p w:rsidR="007C06E7" w:rsidRDefault="00923AC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6607" w:history="1">
                <w:r w:rsidR="007C06E7" w:rsidRPr="000C7557">
                  <w:rPr>
                    <w:rStyle w:val="Hyperlink"/>
                    <w:noProof/>
                  </w:rPr>
                  <w:t>A.4</w:t>
                </w:r>
                <w:r w:rsidR="007C06E7">
                  <w:rPr>
                    <w:rFonts w:asciiTheme="minorHAnsi" w:eastAsiaTheme="minorEastAsia" w:hAnsiTheme="minorHAnsi" w:cstheme="minorBidi"/>
                    <w:iCs w:val="0"/>
                    <w:noProof/>
                    <w:sz w:val="22"/>
                    <w:szCs w:val="22"/>
                    <w:lang w:eastAsia="en-AU"/>
                  </w:rPr>
                  <w:tab/>
                </w:r>
                <w:r w:rsidR="007C06E7" w:rsidRPr="000C7557">
                  <w:rPr>
                    <w:rStyle w:val="Hyperlink"/>
                    <w:noProof/>
                  </w:rPr>
                  <w:t>Reasons</w:t>
                </w:r>
                <w:r w:rsidR="007C06E7">
                  <w:rPr>
                    <w:noProof/>
                    <w:webHidden/>
                  </w:rPr>
                  <w:tab/>
                </w:r>
                <w:r w:rsidR="007C06E7">
                  <w:rPr>
                    <w:noProof/>
                    <w:webHidden/>
                  </w:rPr>
                  <w:fldChar w:fldCharType="begin"/>
                </w:r>
                <w:r w:rsidR="007C06E7">
                  <w:rPr>
                    <w:noProof/>
                    <w:webHidden/>
                  </w:rPr>
                  <w:instrText xml:space="preserve"> PAGEREF _Toc404676607 \h </w:instrText>
                </w:r>
                <w:r w:rsidR="007C06E7">
                  <w:rPr>
                    <w:noProof/>
                    <w:webHidden/>
                  </w:rPr>
                </w:r>
                <w:r w:rsidR="007C06E7">
                  <w:rPr>
                    <w:noProof/>
                    <w:webHidden/>
                  </w:rPr>
                  <w:fldChar w:fldCharType="separate"/>
                </w:r>
                <w:r w:rsidR="007C06E7">
                  <w:rPr>
                    <w:noProof/>
                    <w:webHidden/>
                  </w:rPr>
                  <w:t>6-50</w:t>
                </w:r>
                <w:r w:rsidR="007C06E7">
                  <w:rPr>
                    <w:noProof/>
                    <w:webHidden/>
                  </w:rPr>
                  <w:fldChar w:fldCharType="end"/>
                </w:r>
              </w:hyperlink>
            </w:p>
            <w:p w:rsidR="007C06E7" w:rsidRDefault="00923AC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6608" w:history="1">
                <w:r w:rsidR="007C06E7" w:rsidRPr="000C7557">
                  <w:rPr>
                    <w:rStyle w:val="Hyperlink"/>
                    <w:noProof/>
                  </w:rPr>
                  <w:t>A.5</w:t>
                </w:r>
                <w:r w:rsidR="007C06E7">
                  <w:rPr>
                    <w:rFonts w:asciiTheme="minorHAnsi" w:eastAsiaTheme="minorEastAsia" w:hAnsiTheme="minorHAnsi" w:cstheme="minorBidi"/>
                    <w:iCs w:val="0"/>
                    <w:noProof/>
                    <w:sz w:val="22"/>
                    <w:szCs w:val="22"/>
                    <w:lang w:eastAsia="en-AU"/>
                  </w:rPr>
                  <w:tab/>
                </w:r>
                <w:r w:rsidR="007C06E7" w:rsidRPr="000C7557">
                  <w:rPr>
                    <w:rStyle w:val="Hyperlink"/>
                    <w:noProof/>
                  </w:rPr>
                  <w:t>Review of independent expert's reports</w:t>
                </w:r>
                <w:r w:rsidR="007C06E7">
                  <w:rPr>
                    <w:noProof/>
                    <w:webHidden/>
                  </w:rPr>
                  <w:tab/>
                </w:r>
                <w:r w:rsidR="007C06E7">
                  <w:rPr>
                    <w:noProof/>
                    <w:webHidden/>
                  </w:rPr>
                  <w:fldChar w:fldCharType="begin"/>
                </w:r>
                <w:r w:rsidR="007C06E7">
                  <w:rPr>
                    <w:noProof/>
                    <w:webHidden/>
                  </w:rPr>
                  <w:instrText xml:space="preserve"> PAGEREF _Toc404676608 \h </w:instrText>
                </w:r>
                <w:r w:rsidR="007C06E7">
                  <w:rPr>
                    <w:noProof/>
                    <w:webHidden/>
                  </w:rPr>
                </w:r>
                <w:r w:rsidR="007C06E7">
                  <w:rPr>
                    <w:noProof/>
                    <w:webHidden/>
                  </w:rPr>
                  <w:fldChar w:fldCharType="separate"/>
                </w:r>
                <w:r w:rsidR="007C06E7">
                  <w:rPr>
                    <w:noProof/>
                    <w:webHidden/>
                  </w:rPr>
                  <w:t>6-53</w:t>
                </w:r>
                <w:r w:rsidR="007C06E7">
                  <w:rPr>
                    <w:noProof/>
                    <w:webHidden/>
                  </w:rPr>
                  <w:fldChar w:fldCharType="end"/>
                </w:r>
              </w:hyperlink>
            </w:p>
            <w:p w:rsidR="007C06E7" w:rsidRDefault="00923AC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6609" w:history="1">
                <w:r w:rsidR="007C06E7" w:rsidRPr="000C7557">
                  <w:rPr>
                    <w:rStyle w:val="Hyperlink"/>
                    <w:noProof/>
                  </w:rPr>
                  <w:t>A.6</w:t>
                </w:r>
                <w:r w:rsidR="007C06E7">
                  <w:rPr>
                    <w:rFonts w:asciiTheme="minorHAnsi" w:eastAsiaTheme="minorEastAsia" w:hAnsiTheme="minorHAnsi" w:cstheme="minorBidi"/>
                    <w:iCs w:val="0"/>
                    <w:noProof/>
                    <w:sz w:val="22"/>
                    <w:szCs w:val="22"/>
                    <w:lang w:eastAsia="en-AU"/>
                  </w:rPr>
                  <w:tab/>
                </w:r>
                <w:r w:rsidR="007C06E7" w:rsidRPr="000C7557">
                  <w:rPr>
                    <w:rStyle w:val="Hyperlink"/>
                    <w:noProof/>
                  </w:rPr>
                  <w:t>Conclusions on materials cost escalation</w:t>
                </w:r>
                <w:r w:rsidR="007C06E7">
                  <w:rPr>
                    <w:noProof/>
                    <w:webHidden/>
                  </w:rPr>
                  <w:tab/>
                </w:r>
                <w:r w:rsidR="007C06E7">
                  <w:rPr>
                    <w:noProof/>
                    <w:webHidden/>
                  </w:rPr>
                  <w:fldChar w:fldCharType="begin"/>
                </w:r>
                <w:r w:rsidR="007C06E7">
                  <w:rPr>
                    <w:noProof/>
                    <w:webHidden/>
                  </w:rPr>
                  <w:instrText xml:space="preserve"> PAGEREF _Toc404676609 \h </w:instrText>
                </w:r>
                <w:r w:rsidR="007C06E7">
                  <w:rPr>
                    <w:noProof/>
                    <w:webHidden/>
                  </w:rPr>
                </w:r>
                <w:r w:rsidR="007C06E7">
                  <w:rPr>
                    <w:noProof/>
                    <w:webHidden/>
                  </w:rPr>
                  <w:fldChar w:fldCharType="separate"/>
                </w:r>
                <w:r w:rsidR="007C06E7">
                  <w:rPr>
                    <w:noProof/>
                    <w:webHidden/>
                  </w:rPr>
                  <w:t>6-58</w:t>
                </w:r>
                <w:r w:rsidR="007C06E7">
                  <w:rPr>
                    <w:noProof/>
                    <w:webHidden/>
                  </w:rPr>
                  <w:fldChar w:fldCharType="end"/>
                </w:r>
              </w:hyperlink>
            </w:p>
            <w:p w:rsidR="007C06E7" w:rsidRDefault="00923AC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6610" w:history="1">
                <w:r w:rsidR="007C06E7" w:rsidRPr="000C7557">
                  <w:rPr>
                    <w:rStyle w:val="Hyperlink"/>
                    <w:noProof/>
                  </w:rPr>
                  <w:t>A.7</w:t>
                </w:r>
                <w:r w:rsidR="007C06E7">
                  <w:rPr>
                    <w:rFonts w:asciiTheme="minorHAnsi" w:eastAsiaTheme="minorEastAsia" w:hAnsiTheme="minorHAnsi" w:cstheme="minorBidi"/>
                    <w:iCs w:val="0"/>
                    <w:noProof/>
                    <w:sz w:val="22"/>
                    <w:szCs w:val="22"/>
                    <w:lang w:eastAsia="en-AU"/>
                  </w:rPr>
                  <w:tab/>
                </w:r>
                <w:r w:rsidR="007C06E7" w:rsidRPr="000C7557">
                  <w:rPr>
                    <w:rStyle w:val="Hyperlink"/>
                    <w:noProof/>
                  </w:rPr>
                  <w:t>Labour and construction escalators</w:t>
                </w:r>
                <w:r w:rsidR="007C06E7">
                  <w:rPr>
                    <w:noProof/>
                    <w:webHidden/>
                  </w:rPr>
                  <w:tab/>
                </w:r>
                <w:r w:rsidR="007C06E7">
                  <w:rPr>
                    <w:noProof/>
                    <w:webHidden/>
                  </w:rPr>
                  <w:fldChar w:fldCharType="begin"/>
                </w:r>
                <w:r w:rsidR="007C06E7">
                  <w:rPr>
                    <w:noProof/>
                    <w:webHidden/>
                  </w:rPr>
                  <w:instrText xml:space="preserve"> PAGEREF _Toc404676610 \h </w:instrText>
                </w:r>
                <w:r w:rsidR="007C06E7">
                  <w:rPr>
                    <w:noProof/>
                    <w:webHidden/>
                  </w:rPr>
                </w:r>
                <w:r w:rsidR="007C06E7">
                  <w:rPr>
                    <w:noProof/>
                    <w:webHidden/>
                  </w:rPr>
                  <w:fldChar w:fldCharType="separate"/>
                </w:r>
                <w:r w:rsidR="007C06E7">
                  <w:rPr>
                    <w:noProof/>
                    <w:webHidden/>
                  </w:rPr>
                  <w:t>6-59</w:t>
                </w:r>
                <w:r w:rsidR="007C06E7">
                  <w:rPr>
                    <w:noProof/>
                    <w:webHidden/>
                  </w:rPr>
                  <w:fldChar w:fldCharType="end"/>
                </w:r>
              </w:hyperlink>
            </w:p>
            <w:p w:rsidR="007C06E7" w:rsidRDefault="007C06E7" w:rsidP="007C06E7">
              <w:pPr>
                <w:pStyle w:val="TOC1"/>
                <w:rPr>
                  <w:b w:val="0"/>
                  <w:bCs w:val="0"/>
                </w:rPr>
              </w:pPr>
              <w:r w:rsidRPr="002C153C">
                <w:fldChar w:fldCharType="end"/>
              </w:r>
            </w:p>
          </w:sdtContent>
        </w:sdt>
        <w:p w:rsidR="0084378B" w:rsidRPr="0084378B" w:rsidRDefault="00923ACA" w:rsidP="007C06E7">
          <w:pPr>
            <w:pStyle w:val="TOCHeading"/>
          </w:pPr>
        </w:p>
      </w:sdtContent>
    </w:sdt>
    <w:p w:rsidR="00525604" w:rsidRDefault="00525604" w:rsidP="00525604">
      <w:pPr>
        <w:pStyle w:val="AERbodytext"/>
        <w:numPr>
          <w:ilvl w:val="0"/>
          <w:numId w:val="0"/>
        </w:numPr>
      </w:pPr>
    </w:p>
    <w:p w:rsidR="00A16DB5" w:rsidRDefault="00A16DB5">
      <w:pPr>
        <w:spacing w:after="0" w:line="240" w:lineRule="auto"/>
        <w:jc w:val="left"/>
        <w:rPr>
          <w:rFonts w:eastAsia="Times New Roman"/>
          <w:szCs w:val="24"/>
        </w:rPr>
      </w:pPr>
      <w:r>
        <w:br w:type="page"/>
      </w:r>
    </w:p>
    <w:p w:rsidR="00A16DB5" w:rsidRDefault="00A16DB5" w:rsidP="00A16DB5">
      <w:pPr>
        <w:pStyle w:val="UnnumberedHeading"/>
        <w:numPr>
          <w:ilvl w:val="0"/>
          <w:numId w:val="1"/>
        </w:numPr>
      </w:pPr>
      <w:bookmarkStart w:id="6" w:name="_Toc404156080"/>
      <w:bookmarkStart w:id="7" w:name="_Toc404676539"/>
      <w:bookmarkStart w:id="8" w:name="_Toc404676589"/>
      <w:r>
        <w:lastRenderedPageBreak/>
        <w:t>Shortened forms</w:t>
      </w:r>
      <w:bookmarkEnd w:id="6"/>
      <w:bookmarkEnd w:id="7"/>
      <w:bookmarkEnd w:id="8"/>
    </w:p>
    <w:tbl>
      <w:tblPr>
        <w:tblStyle w:val="AERtable-numbers"/>
        <w:tblW w:w="0" w:type="auto"/>
        <w:tblLook w:val="04A0" w:firstRow="1" w:lastRow="0" w:firstColumn="1" w:lastColumn="0" w:noHBand="0" w:noVBand="1"/>
      </w:tblPr>
      <w:tblGrid>
        <w:gridCol w:w="4621"/>
        <w:gridCol w:w="4621"/>
      </w:tblGrid>
      <w:tr w:rsidR="00A16DB5" w:rsidTr="00AF1B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Shortened form</w:t>
            </w:r>
          </w:p>
        </w:tc>
        <w:tc>
          <w:tcPr>
            <w:tcW w:w="4621" w:type="dxa"/>
          </w:tcPr>
          <w:p w:rsidR="00A16DB5" w:rsidRDefault="00A16DB5" w:rsidP="00A16DB5">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2010–15 access arrangement</w:t>
            </w:r>
          </w:p>
        </w:tc>
        <w:tc>
          <w:tcPr>
            <w:tcW w:w="4621" w:type="dxa"/>
          </w:tcPr>
          <w:p w:rsidR="00A16DB5"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t>Access arrangement for JGN effective from 1 July 2010 to 30 June 2015 inclusive</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Pr="00E854E3" w:rsidRDefault="00A16DB5" w:rsidP="00A16DB5">
            <w:pPr>
              <w:pStyle w:val="AERbodytext"/>
            </w:pPr>
            <w:r w:rsidRPr="00E854E3">
              <w:t>2010–15 access arrangement</w:t>
            </w:r>
            <w:r>
              <w:t xml:space="preserve"> period</w:t>
            </w:r>
          </w:p>
        </w:tc>
        <w:tc>
          <w:tcPr>
            <w:tcW w:w="4621" w:type="dxa"/>
          </w:tcPr>
          <w:p w:rsidR="00A16DB5" w:rsidRPr="00E854E3"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rsidRPr="00E854E3">
              <w:t>1 July 2010 to 30 June 2015 inclusive</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Pr="00E854E3" w:rsidRDefault="00A16DB5" w:rsidP="00A16DB5">
            <w:pPr>
              <w:pStyle w:val="AERbodytext"/>
            </w:pPr>
            <w:r w:rsidRPr="00E854E3">
              <w:t>201</w:t>
            </w:r>
            <w:r>
              <w:t>5</w:t>
            </w:r>
            <w:r w:rsidRPr="00E854E3">
              <w:t>–</w:t>
            </w:r>
            <w:r>
              <w:t>20</w:t>
            </w:r>
            <w:r w:rsidRPr="00E854E3">
              <w:t xml:space="preserve"> access arrangement</w:t>
            </w:r>
          </w:p>
        </w:tc>
        <w:tc>
          <w:tcPr>
            <w:tcW w:w="4621" w:type="dxa"/>
          </w:tcPr>
          <w:p w:rsidR="00A16DB5" w:rsidRPr="00E854E3"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rsidRPr="00E854E3">
              <w:t>Access arrangement for JGN effective from 1 July 201</w:t>
            </w:r>
            <w:r>
              <w:t>5</w:t>
            </w:r>
            <w:r w:rsidRPr="00E854E3">
              <w:t xml:space="preserve"> to 30 June 20</w:t>
            </w:r>
            <w:r>
              <w:t>20</w:t>
            </w:r>
            <w:r w:rsidRPr="00E854E3">
              <w:t xml:space="preserve"> inclusive</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Pr="00E854E3" w:rsidRDefault="00A16DB5" w:rsidP="00A16DB5">
            <w:pPr>
              <w:pStyle w:val="AERbodytext"/>
            </w:pPr>
            <w:r w:rsidRPr="00E854E3">
              <w:t>201</w:t>
            </w:r>
            <w:r>
              <w:t>5</w:t>
            </w:r>
            <w:r w:rsidRPr="00E854E3">
              <w:t>–</w:t>
            </w:r>
            <w:r>
              <w:t>20</w:t>
            </w:r>
            <w:r w:rsidRPr="00E854E3">
              <w:t xml:space="preserve"> access arrangement period</w:t>
            </w:r>
          </w:p>
        </w:tc>
        <w:tc>
          <w:tcPr>
            <w:tcW w:w="4621" w:type="dxa"/>
          </w:tcPr>
          <w:p w:rsidR="00A16DB5" w:rsidRPr="00E854E3"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rsidRPr="00E854E3">
              <w:t>1 July 201</w:t>
            </w:r>
            <w:r>
              <w:t>5</w:t>
            </w:r>
            <w:r w:rsidRPr="00E854E3">
              <w:t xml:space="preserve"> to 30 June 20</w:t>
            </w:r>
            <w:r>
              <w:t>20</w:t>
            </w:r>
            <w:r w:rsidRPr="00E854E3">
              <w:t xml:space="preserve"> inclusive</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Access arrangement information</w:t>
            </w:r>
          </w:p>
        </w:tc>
        <w:tc>
          <w:tcPr>
            <w:tcW w:w="4621" w:type="dxa"/>
          </w:tcPr>
          <w:p w:rsidR="00A16DB5"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Access Arrangement Informatio</w:t>
            </w:r>
            <w:r>
              <w:rPr>
                <w:rStyle w:val="AERtextitalic"/>
              </w:rPr>
              <w:t>n 2015–20</w:t>
            </w:r>
            <w:r w:rsidRPr="00A41D43">
              <w:t>, 30 June 2014</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Access arrangement proposal</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rsidRPr="00A41D43">
              <w:t xml:space="preserve">Jemena Gas Networks (NSW) Ltd,  </w:t>
            </w:r>
            <w:r w:rsidRPr="00A41D43">
              <w:rPr>
                <w:rStyle w:val="AERtextitalic"/>
              </w:rPr>
              <w:t>Access arrangement, JGN’s NSW gas distribution networks, 1 July 2015 – 30 June 2020</w:t>
            </w:r>
            <w:r w:rsidRPr="00A41D43">
              <w:t>, 30 June 2014</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AER</w:t>
            </w:r>
          </w:p>
        </w:tc>
        <w:tc>
          <w:tcPr>
            <w:tcW w:w="4621" w:type="dxa"/>
          </w:tcPr>
          <w:p w:rsidR="00A16DB5"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capex</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CAPM</w:t>
            </w:r>
          </w:p>
        </w:tc>
        <w:tc>
          <w:tcPr>
            <w:tcW w:w="4621" w:type="dxa"/>
          </w:tcPr>
          <w:p w:rsidR="00A16DB5"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t>capital asset pricing model</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CCP</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Code</w:t>
            </w:r>
          </w:p>
        </w:tc>
        <w:tc>
          <w:tcPr>
            <w:tcW w:w="4621" w:type="dxa"/>
          </w:tcPr>
          <w:p w:rsidR="00A16DB5"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CPI</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DRP</w:t>
            </w:r>
          </w:p>
        </w:tc>
        <w:tc>
          <w:tcPr>
            <w:tcW w:w="4621" w:type="dxa"/>
          </w:tcPr>
          <w:p w:rsidR="00A16DB5"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ERP</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D109F1" w:rsidTr="00A16DB5">
        <w:tc>
          <w:tcPr>
            <w:cnfStyle w:val="001000000000" w:firstRow="0" w:lastRow="0" w:firstColumn="1" w:lastColumn="0" w:oddVBand="0" w:evenVBand="0" w:oddHBand="0" w:evenHBand="0" w:firstRowFirstColumn="0" w:firstRowLastColumn="0" w:lastRowFirstColumn="0" w:lastRowLastColumn="0"/>
            <w:tcW w:w="4621" w:type="dxa"/>
          </w:tcPr>
          <w:p w:rsidR="00D109F1" w:rsidRDefault="00D109F1" w:rsidP="00A16DB5">
            <w:pPr>
              <w:pStyle w:val="AERbodytext"/>
            </w:pPr>
            <w:r>
              <w:t>IPART</w:t>
            </w:r>
          </w:p>
        </w:tc>
        <w:tc>
          <w:tcPr>
            <w:tcW w:w="4621" w:type="dxa"/>
          </w:tcPr>
          <w:p w:rsidR="00D109F1" w:rsidRDefault="00D109F1" w:rsidP="00A16DB5">
            <w:pPr>
              <w:pStyle w:val="AERbodytext"/>
              <w:cnfStyle w:val="000000000000" w:firstRow="0" w:lastRow="0" w:firstColumn="0" w:lastColumn="0" w:oddVBand="0" w:evenVBand="0" w:oddHBand="0" w:evenHBand="0" w:firstRowFirstColumn="0" w:firstRowLastColumn="0" w:lastRowFirstColumn="0" w:lastRowLastColumn="0"/>
            </w:pPr>
            <w:r>
              <w:t>Independent Pricing and Regulatory Tribunal</w:t>
            </w:r>
          </w:p>
        </w:tc>
      </w:tr>
      <w:tr w:rsidR="00903B08"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03B08" w:rsidRDefault="00903B08" w:rsidP="00A16DB5">
            <w:pPr>
              <w:pStyle w:val="AERbodytext"/>
            </w:pPr>
            <w:r>
              <w:t>I&amp;C</w:t>
            </w:r>
          </w:p>
        </w:tc>
        <w:tc>
          <w:tcPr>
            <w:tcW w:w="4621" w:type="dxa"/>
          </w:tcPr>
          <w:p w:rsidR="00903B08" w:rsidRDefault="00903B08" w:rsidP="00A16DB5">
            <w:pPr>
              <w:pStyle w:val="AERbodytext"/>
              <w:cnfStyle w:val="000000010000" w:firstRow="0" w:lastRow="0" w:firstColumn="0" w:lastColumn="0" w:oddVBand="0" w:evenVBand="0" w:oddHBand="0" w:evenHBand="1" w:firstRowFirstColumn="0" w:firstRowLastColumn="0" w:lastRowFirstColumn="0" w:lastRowLastColumn="0"/>
            </w:pPr>
            <w:r>
              <w:t>industrial and commercial</w:t>
            </w:r>
          </w:p>
        </w:tc>
      </w:tr>
      <w:tr w:rsidR="00CF1358" w:rsidTr="00A16DB5">
        <w:tc>
          <w:tcPr>
            <w:cnfStyle w:val="001000000000" w:firstRow="0" w:lastRow="0" w:firstColumn="1" w:lastColumn="0" w:oddVBand="0" w:evenVBand="0" w:oddHBand="0" w:evenHBand="0" w:firstRowFirstColumn="0" w:firstRowLastColumn="0" w:lastRowFirstColumn="0" w:lastRowLastColumn="0"/>
            <w:tcW w:w="4621" w:type="dxa"/>
          </w:tcPr>
          <w:p w:rsidR="00CF1358" w:rsidRDefault="00CF1358" w:rsidP="00A16DB5">
            <w:pPr>
              <w:pStyle w:val="AERbodytext"/>
            </w:pPr>
            <w:r>
              <w:t>IT</w:t>
            </w:r>
          </w:p>
        </w:tc>
        <w:tc>
          <w:tcPr>
            <w:tcW w:w="4621" w:type="dxa"/>
          </w:tcPr>
          <w:p w:rsidR="00CF1358" w:rsidRDefault="00CF1358" w:rsidP="00A16DB5">
            <w:pPr>
              <w:pStyle w:val="AERbodytext"/>
              <w:cnfStyle w:val="000000000000" w:firstRow="0" w:lastRow="0" w:firstColumn="0" w:lastColumn="0" w:oddVBand="0" w:evenVBand="0" w:oddHBand="0" w:evenHBand="0" w:firstRowFirstColumn="0" w:firstRowLastColumn="0" w:lastRowFirstColumn="0" w:lastRowLastColumn="0"/>
            </w:pPr>
            <w:r>
              <w:t>information technology</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JGN</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t>Jemena Gas Networks (NSW) Ltd (CAN 003 004 322)</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MRP</w:t>
            </w:r>
          </w:p>
        </w:tc>
        <w:tc>
          <w:tcPr>
            <w:tcW w:w="4621" w:type="dxa"/>
          </w:tcPr>
          <w:p w:rsidR="00A16DB5"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071636"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71636" w:rsidRDefault="00071636" w:rsidP="00A16DB5">
            <w:pPr>
              <w:pStyle w:val="AERbodytext"/>
            </w:pPr>
            <w:r>
              <w:lastRenderedPageBreak/>
              <w:t>NECF</w:t>
            </w:r>
          </w:p>
        </w:tc>
        <w:tc>
          <w:tcPr>
            <w:tcW w:w="4621" w:type="dxa"/>
          </w:tcPr>
          <w:p w:rsidR="00071636" w:rsidRDefault="00071636" w:rsidP="00A16DB5">
            <w:pPr>
              <w:pStyle w:val="AERbodytext"/>
              <w:cnfStyle w:val="000000010000" w:firstRow="0" w:lastRow="0" w:firstColumn="0" w:lastColumn="0" w:oddVBand="0" w:evenVBand="0" w:oddHBand="0" w:evenHBand="1" w:firstRowFirstColumn="0" w:firstRowLastColumn="0" w:lastRowFirstColumn="0" w:lastRowLastColumn="0"/>
            </w:pPr>
            <w:r>
              <w:t>National Energy Consumer Framework</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NGL</w:t>
            </w:r>
          </w:p>
        </w:tc>
        <w:tc>
          <w:tcPr>
            <w:tcW w:w="4621" w:type="dxa"/>
          </w:tcPr>
          <w:p w:rsidR="00A16DB5"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t>national gas law</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NGO</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t>national gas objective</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NGR</w:t>
            </w:r>
          </w:p>
        </w:tc>
        <w:tc>
          <w:tcPr>
            <w:tcW w:w="4621" w:type="dxa"/>
          </w:tcPr>
          <w:p w:rsidR="00A16DB5"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t>national gas rules</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opex</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PPI</w:t>
            </w:r>
          </w:p>
        </w:tc>
        <w:tc>
          <w:tcPr>
            <w:tcW w:w="4621" w:type="dxa"/>
          </w:tcPr>
          <w:p w:rsidR="00A16DB5"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PTRM</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RAB</w:t>
            </w:r>
          </w:p>
        </w:tc>
        <w:tc>
          <w:tcPr>
            <w:tcW w:w="4621" w:type="dxa"/>
          </w:tcPr>
          <w:p w:rsidR="00A16DB5"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RBA</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Reference service agreement proposal</w:t>
            </w:r>
          </w:p>
        </w:tc>
        <w:tc>
          <w:tcPr>
            <w:tcW w:w="4621" w:type="dxa"/>
          </w:tcPr>
          <w:p w:rsidR="00A16DB5"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Reference Service Agreement, JGN’s NSW gas distribution networks</w:t>
            </w:r>
            <w:r w:rsidRPr="00A41D43">
              <w:t>, 30 June 2014</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RFM</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A16DB5" w:rsidTr="00A16DB5">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RIN</w:t>
            </w:r>
          </w:p>
        </w:tc>
        <w:tc>
          <w:tcPr>
            <w:tcW w:w="4621" w:type="dxa"/>
          </w:tcPr>
          <w:p w:rsidR="00A16DB5" w:rsidRDefault="00A16DB5" w:rsidP="00A16DB5">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RPP</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t xml:space="preserve">revenue </w:t>
            </w:r>
            <w:r w:rsidR="00E23D6B">
              <w:t xml:space="preserve">and </w:t>
            </w:r>
            <w:r>
              <w:t>pricing principles</w:t>
            </w:r>
          </w:p>
        </w:tc>
      </w:tr>
      <w:tr w:rsidR="00A56698" w:rsidTr="00A16DB5">
        <w:tc>
          <w:tcPr>
            <w:cnfStyle w:val="001000000000" w:firstRow="0" w:lastRow="0" w:firstColumn="1" w:lastColumn="0" w:oddVBand="0" w:evenVBand="0" w:oddHBand="0" w:evenHBand="0" w:firstRowFirstColumn="0" w:firstRowLastColumn="0" w:lastRowFirstColumn="0" w:lastRowLastColumn="0"/>
            <w:tcW w:w="4621" w:type="dxa"/>
          </w:tcPr>
          <w:p w:rsidR="00A56698" w:rsidRDefault="00A56698" w:rsidP="00A16DB5">
            <w:pPr>
              <w:pStyle w:val="AERbodytext"/>
            </w:pPr>
            <w:r>
              <w:t>SCADA</w:t>
            </w:r>
          </w:p>
        </w:tc>
        <w:tc>
          <w:tcPr>
            <w:tcW w:w="4621" w:type="dxa"/>
          </w:tcPr>
          <w:p w:rsidR="00A56698" w:rsidRDefault="00CF1358" w:rsidP="00A16DB5">
            <w:pPr>
              <w:pStyle w:val="AERbodytext"/>
              <w:cnfStyle w:val="000000000000" w:firstRow="0" w:lastRow="0" w:firstColumn="0" w:lastColumn="0" w:oddVBand="0" w:evenVBand="0" w:oddHBand="0" w:evenHBand="0" w:firstRowFirstColumn="0" w:firstRowLastColumn="0" w:lastRowFirstColumn="0" w:lastRowLastColumn="0"/>
            </w:pPr>
            <w:r>
              <w:t>supervisory control and data acquisition</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SLCAPM</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3A52E3" w:rsidTr="00A16DB5">
        <w:tc>
          <w:tcPr>
            <w:cnfStyle w:val="001000000000" w:firstRow="0" w:lastRow="0" w:firstColumn="1" w:lastColumn="0" w:oddVBand="0" w:evenVBand="0" w:oddHBand="0" w:evenHBand="0" w:firstRowFirstColumn="0" w:firstRowLastColumn="0" w:lastRowFirstColumn="0" w:lastRowLastColumn="0"/>
            <w:tcW w:w="4621" w:type="dxa"/>
          </w:tcPr>
          <w:p w:rsidR="003A52E3" w:rsidRDefault="003A52E3" w:rsidP="00A16DB5">
            <w:pPr>
              <w:pStyle w:val="AERbodytext"/>
            </w:pPr>
            <w:r>
              <w:t>TJ</w:t>
            </w:r>
          </w:p>
        </w:tc>
        <w:tc>
          <w:tcPr>
            <w:tcW w:w="4621" w:type="dxa"/>
          </w:tcPr>
          <w:p w:rsidR="003A52E3" w:rsidRDefault="003A52E3" w:rsidP="00A16DB5">
            <w:pPr>
              <w:pStyle w:val="AERbodytext"/>
              <w:cnfStyle w:val="000000000000" w:firstRow="0" w:lastRow="0" w:firstColumn="0" w:lastColumn="0" w:oddVBand="0" w:evenVBand="0" w:oddHBand="0" w:evenHBand="0" w:firstRowFirstColumn="0" w:firstRowLastColumn="0" w:lastRowFirstColumn="0" w:lastRowLastColumn="0"/>
            </w:pPr>
            <w:r>
              <w:t>terrajoules</w:t>
            </w:r>
          </w:p>
        </w:tc>
      </w:tr>
      <w:tr w:rsidR="00A16DB5" w:rsidTr="00A16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16DB5" w:rsidRDefault="00A16DB5" w:rsidP="00A16DB5">
            <w:pPr>
              <w:pStyle w:val="AERbodytext"/>
            </w:pPr>
            <w:r>
              <w:t>WACC</w:t>
            </w:r>
          </w:p>
        </w:tc>
        <w:tc>
          <w:tcPr>
            <w:tcW w:w="4621" w:type="dxa"/>
          </w:tcPr>
          <w:p w:rsidR="00A16DB5" w:rsidRDefault="00A16DB5" w:rsidP="00A16DB5">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C557F2" w:rsidRPr="00C557F2" w:rsidRDefault="00C557F2" w:rsidP="00C557F2">
      <w:pPr>
        <w:pStyle w:val="AERbodytext"/>
      </w:pPr>
    </w:p>
    <w:p w:rsidR="008B4932" w:rsidRDefault="008B4932" w:rsidP="009F7369">
      <w:pPr>
        <w:pStyle w:val="Heading1"/>
      </w:pPr>
      <w:bookmarkStart w:id="9" w:name="_Toc404676540"/>
      <w:bookmarkStart w:id="10" w:name="_Toc404676590"/>
      <w:r w:rsidRPr="00A3053C">
        <w:lastRenderedPageBreak/>
        <w:t>Capital expenditure</w:t>
      </w:r>
      <w:bookmarkEnd w:id="9"/>
      <w:bookmarkEnd w:id="10"/>
    </w:p>
    <w:p w:rsidR="00EE386B" w:rsidRPr="00EE386B" w:rsidRDefault="00EE386B" w:rsidP="00EE386B">
      <w:pPr>
        <w:pStyle w:val="AERbodytext"/>
      </w:pPr>
      <w:r w:rsidRPr="00EE386B">
        <w:t xml:space="preserve">This attachment outlines </w:t>
      </w:r>
      <w:r w:rsidR="006457BC">
        <w:t>our</w:t>
      </w:r>
      <w:r w:rsidRPr="00EE386B">
        <w:t xml:space="preserve"> assessment of </w:t>
      </w:r>
      <w:r>
        <w:t xml:space="preserve">JGN‘s </w:t>
      </w:r>
      <w:r w:rsidRPr="00EE386B">
        <w:t xml:space="preserve">proposed </w:t>
      </w:r>
      <w:r w:rsidR="005A3660">
        <w:t xml:space="preserve">conforming </w:t>
      </w:r>
      <w:r w:rsidRPr="00EE386B">
        <w:t xml:space="preserve">capex for </w:t>
      </w:r>
      <w:r w:rsidR="00D51A58">
        <w:t>20</w:t>
      </w:r>
      <w:r w:rsidR="003D614B">
        <w:t>09</w:t>
      </w:r>
      <w:r w:rsidR="002E5F4A" w:rsidRPr="00EE386B">
        <w:t>–</w:t>
      </w:r>
      <w:r w:rsidR="00D51A58">
        <w:t xml:space="preserve">14 </w:t>
      </w:r>
      <w:r w:rsidRPr="00EE386B">
        <w:t>and forecast capex for the 20</w:t>
      </w:r>
      <w:r w:rsidR="005A3660">
        <w:t>1</w:t>
      </w:r>
      <w:r w:rsidR="003D614B">
        <w:t>5</w:t>
      </w:r>
      <w:r w:rsidR="002E5F4A" w:rsidRPr="00EE386B">
        <w:t>–</w:t>
      </w:r>
      <w:r>
        <w:t>20</w:t>
      </w:r>
      <w:r w:rsidRPr="00EE386B">
        <w:t xml:space="preserve"> access arrangement period.</w:t>
      </w:r>
    </w:p>
    <w:p w:rsidR="008B4932" w:rsidRDefault="008B4932" w:rsidP="00A3053C">
      <w:pPr>
        <w:pStyle w:val="Heading2"/>
      </w:pPr>
      <w:bookmarkStart w:id="11" w:name="_Toc404676541"/>
      <w:bookmarkStart w:id="12" w:name="_Toc404676591"/>
      <w:r w:rsidRPr="00A3053C">
        <w:t>Draft decision</w:t>
      </w:r>
      <w:bookmarkEnd w:id="11"/>
      <w:bookmarkEnd w:id="12"/>
    </w:p>
    <w:p w:rsidR="00EE386B" w:rsidRPr="00EE386B" w:rsidRDefault="00EE386B" w:rsidP="00EE386B">
      <w:pPr>
        <w:pStyle w:val="HeadingBoldBlue"/>
        <w:rPr>
          <w:rStyle w:val="AERtextblue"/>
        </w:rPr>
      </w:pPr>
      <w:r w:rsidRPr="00EE386B">
        <w:rPr>
          <w:rStyle w:val="AERtextblue"/>
        </w:rPr>
        <w:t xml:space="preserve">Conforming </w:t>
      </w:r>
      <w:r w:rsidR="00994D9F">
        <w:rPr>
          <w:rStyle w:val="AERtextblue"/>
        </w:rPr>
        <w:t>capex</w:t>
      </w:r>
      <w:r w:rsidRPr="00EE386B">
        <w:rPr>
          <w:rStyle w:val="AERtextblue"/>
        </w:rPr>
        <w:t xml:space="preserve"> for 20</w:t>
      </w:r>
      <w:r w:rsidR="003D614B">
        <w:rPr>
          <w:rStyle w:val="AERtextblue"/>
        </w:rPr>
        <w:t>09</w:t>
      </w:r>
      <w:r w:rsidRPr="00EE386B">
        <w:rPr>
          <w:rStyle w:val="AERtextblue"/>
        </w:rPr>
        <w:t>–1</w:t>
      </w:r>
      <w:r w:rsidR="005A3660">
        <w:rPr>
          <w:rStyle w:val="AERtextblue"/>
        </w:rPr>
        <w:t>4</w:t>
      </w:r>
    </w:p>
    <w:p w:rsidR="00EE386B" w:rsidRDefault="006457BC" w:rsidP="00EE386B">
      <w:pPr>
        <w:pStyle w:val="AERbodytext"/>
      </w:pPr>
      <w:r>
        <w:t>We</w:t>
      </w:r>
      <w:r w:rsidR="00EE386B" w:rsidRPr="00EE386B">
        <w:t xml:space="preserve"> approve $</w:t>
      </w:r>
      <w:r w:rsidR="00144370">
        <w:t>775.8</w:t>
      </w:r>
      <w:r w:rsidR="00EE386B" w:rsidRPr="00EE386B">
        <w:t xml:space="preserve"> million ($201</w:t>
      </w:r>
      <w:r w:rsidR="00EE386B">
        <w:t>5</w:t>
      </w:r>
      <w:r w:rsidR="00EE386B" w:rsidRPr="00EE386B">
        <w:t>) total net capex for 20</w:t>
      </w:r>
      <w:r w:rsidR="003D614B">
        <w:t>09</w:t>
      </w:r>
      <w:r w:rsidR="00EE386B" w:rsidRPr="00EE386B">
        <w:t>–1</w:t>
      </w:r>
      <w:r w:rsidR="005A3660">
        <w:t>4</w:t>
      </w:r>
      <w:r w:rsidR="00EE386B" w:rsidRPr="00EE386B">
        <w:t xml:space="preserve"> as conforming capex under r. 79(1) of the NGR.</w:t>
      </w:r>
    </w:p>
    <w:p w:rsidR="00EE386B" w:rsidRDefault="009F7369" w:rsidP="009F7369">
      <w:pPr>
        <w:pStyle w:val="Caption"/>
      </w:pPr>
      <w:bookmarkStart w:id="13" w:name="_Ref404334270"/>
      <w:r>
        <w:t xml:space="preserve">Table </w:t>
      </w:r>
      <w:fldSimple w:instr=" STYLEREF 1 \s ">
        <w:r w:rsidR="0029475D">
          <w:rPr>
            <w:noProof/>
          </w:rPr>
          <w:t>6</w:t>
        </w:r>
      </w:fldSimple>
      <w:r>
        <w:noBreakHyphen/>
      </w:r>
      <w:fldSimple w:instr=" SEQ Table \* ARABIC \s 1 ">
        <w:r w:rsidR="0029475D">
          <w:rPr>
            <w:noProof/>
          </w:rPr>
          <w:t>1</w:t>
        </w:r>
      </w:fldSimple>
      <w:bookmarkEnd w:id="13"/>
      <w:r w:rsidR="00EE386B">
        <w:tab/>
      </w:r>
      <w:r w:rsidR="00EE71BA" w:rsidRPr="00EE71BA">
        <w:t>AER approved capital expenditure by category over 20</w:t>
      </w:r>
      <w:r w:rsidR="005A3660">
        <w:t>09</w:t>
      </w:r>
      <w:r w:rsidR="00EE71BA" w:rsidRPr="00EE71BA">
        <w:t>–1</w:t>
      </w:r>
      <w:r w:rsidR="005A3660">
        <w:t>4</w:t>
      </w:r>
      <w:r w:rsidR="00EE71BA" w:rsidRPr="00EE71BA">
        <w:t xml:space="preserve"> ($million, 201</w:t>
      </w:r>
      <w:r w:rsidR="00EE71BA">
        <w:t>5</w:t>
      </w:r>
      <w:r w:rsidR="00EE71BA" w:rsidRPr="00EE71BA">
        <w:t>)</w:t>
      </w:r>
    </w:p>
    <w:tbl>
      <w:tblPr>
        <w:tblStyle w:val="AERtable-numbers"/>
        <w:tblW w:w="5000" w:type="pct"/>
        <w:tblLook w:val="04A0" w:firstRow="1" w:lastRow="0" w:firstColumn="1" w:lastColumn="0" w:noHBand="0" w:noVBand="1"/>
      </w:tblPr>
      <w:tblGrid>
        <w:gridCol w:w="3398"/>
        <w:gridCol w:w="974"/>
        <w:gridCol w:w="974"/>
        <w:gridCol w:w="974"/>
        <w:gridCol w:w="974"/>
        <w:gridCol w:w="974"/>
        <w:gridCol w:w="974"/>
      </w:tblGrid>
      <w:tr w:rsidR="005A3660" w:rsidRPr="004F416F" w:rsidTr="00CE2DD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pct"/>
            <w:hideMark/>
          </w:tcPr>
          <w:p w:rsidR="005A3660" w:rsidRPr="00413233" w:rsidRDefault="005A3660" w:rsidP="005A3660">
            <w:r w:rsidRPr="00413233">
              <w:t> Category</w:t>
            </w:r>
          </w:p>
        </w:tc>
        <w:tc>
          <w:tcPr>
            <w:tcW w:w="527" w:type="pct"/>
            <w:hideMark/>
          </w:tcPr>
          <w:p w:rsidR="005A3660" w:rsidRPr="005A3660" w:rsidRDefault="005A3660" w:rsidP="00A76366">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t>09</w:t>
            </w:r>
            <w:r w:rsidR="00D97B82" w:rsidRPr="00EE386B">
              <w:t>–</w:t>
            </w:r>
            <w:r w:rsidRPr="005A3660">
              <w:t>1</w:t>
            </w:r>
            <w:r>
              <w:t>0</w:t>
            </w:r>
          </w:p>
        </w:tc>
        <w:tc>
          <w:tcPr>
            <w:tcW w:w="527" w:type="pct"/>
            <w:hideMark/>
          </w:tcPr>
          <w:p w:rsidR="005A3660" w:rsidRPr="005A3660" w:rsidRDefault="005A3660" w:rsidP="00A76366">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5A3660">
              <w:t>10</w:t>
            </w:r>
            <w:r w:rsidR="00D97B82" w:rsidRPr="00EE386B">
              <w:t>–</w:t>
            </w:r>
            <w:r w:rsidR="00D97B82">
              <w:t>1</w:t>
            </w:r>
            <w:r w:rsidRPr="005A3660">
              <w:t>1</w:t>
            </w:r>
          </w:p>
        </w:tc>
        <w:tc>
          <w:tcPr>
            <w:tcW w:w="527" w:type="pct"/>
            <w:hideMark/>
          </w:tcPr>
          <w:p w:rsidR="005A3660" w:rsidRPr="005A3660" w:rsidRDefault="005A3660" w:rsidP="00A76366">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5A3660">
              <w:t>11</w:t>
            </w:r>
            <w:r w:rsidR="00D97B82" w:rsidRPr="00EE386B">
              <w:t>–</w:t>
            </w:r>
            <w:r w:rsidRPr="005A3660">
              <w:t>12</w:t>
            </w:r>
          </w:p>
        </w:tc>
        <w:tc>
          <w:tcPr>
            <w:tcW w:w="527" w:type="pct"/>
            <w:hideMark/>
          </w:tcPr>
          <w:p w:rsidR="005A3660" w:rsidRPr="005A3660" w:rsidRDefault="005A3660" w:rsidP="00A76366">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5A3660">
              <w:t>12</w:t>
            </w:r>
            <w:r w:rsidR="00D97B82" w:rsidRPr="00EE386B">
              <w:t>–</w:t>
            </w:r>
            <w:r w:rsidRPr="005A3660">
              <w:t>13</w:t>
            </w:r>
          </w:p>
        </w:tc>
        <w:tc>
          <w:tcPr>
            <w:tcW w:w="527" w:type="pct"/>
            <w:hideMark/>
          </w:tcPr>
          <w:p w:rsidR="005A3660" w:rsidRPr="005A3660" w:rsidRDefault="005A3660" w:rsidP="00A76366">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5A3660">
              <w:t>3</w:t>
            </w:r>
            <w:r w:rsidR="00D97B82" w:rsidRPr="00EE386B">
              <w:t>–</w:t>
            </w:r>
            <w:r w:rsidRPr="005A3660">
              <w:t>14</w:t>
            </w:r>
          </w:p>
        </w:tc>
        <w:tc>
          <w:tcPr>
            <w:tcW w:w="527" w:type="pct"/>
          </w:tcPr>
          <w:p w:rsidR="005A3660" w:rsidRPr="005A3660" w:rsidRDefault="005A3660" w:rsidP="00A76366">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5A3660">
              <w:t>4</w:t>
            </w:r>
            <w:r w:rsidR="00D97B82" w:rsidRPr="00EE386B">
              <w:t>–</w:t>
            </w:r>
            <w:r w:rsidRPr="005A3660">
              <w:t>15</w:t>
            </w:r>
            <w:r w:rsidRPr="005A3660">
              <w:rPr>
                <w:rStyle w:val="AERsuperscript"/>
              </w:rPr>
              <w:t>(a)</w:t>
            </w:r>
          </w:p>
        </w:tc>
      </w:tr>
      <w:tr w:rsidR="00A76366" w:rsidRPr="004F416F" w:rsidTr="00CE2DD1">
        <w:trPr>
          <w:trHeight w:val="300"/>
        </w:trPr>
        <w:tc>
          <w:tcPr>
            <w:cnfStyle w:val="001000000000" w:firstRow="0" w:lastRow="0" w:firstColumn="1" w:lastColumn="0" w:oddVBand="0" w:evenVBand="0" w:oddHBand="0" w:evenHBand="0" w:firstRowFirstColumn="0" w:firstRowLastColumn="0" w:lastRowFirstColumn="0" w:lastRowLastColumn="0"/>
            <w:tcW w:w="1838" w:type="pct"/>
            <w:hideMark/>
          </w:tcPr>
          <w:p w:rsidR="00A76366" w:rsidRPr="00A76366" w:rsidRDefault="00A76366" w:rsidP="00A76366">
            <w:r w:rsidRPr="00A76366">
              <w:t>Connections/Market expansion</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46.3</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51.3</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55.3</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62.6</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78.6</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75.0</w:t>
            </w:r>
          </w:p>
        </w:tc>
      </w:tr>
      <w:tr w:rsidR="00A76366" w:rsidRPr="004F416F" w:rsidTr="00CE2D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pct"/>
            <w:hideMark/>
          </w:tcPr>
          <w:p w:rsidR="00A76366" w:rsidRPr="00A76366" w:rsidRDefault="00A76366" w:rsidP="00A76366">
            <w:r w:rsidRPr="00A76366">
              <w:t>Augmentation/Growth capacity</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11.6</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31.6</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28.9</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6.0</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7.0</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6.8</w:t>
            </w:r>
          </w:p>
        </w:tc>
      </w:tr>
      <w:tr w:rsidR="00A76366" w:rsidRPr="004F416F" w:rsidTr="00CE2DD1">
        <w:trPr>
          <w:trHeight w:val="300"/>
        </w:trPr>
        <w:tc>
          <w:tcPr>
            <w:cnfStyle w:val="001000000000" w:firstRow="0" w:lastRow="0" w:firstColumn="1" w:lastColumn="0" w:oddVBand="0" w:evenVBand="0" w:oddHBand="0" w:evenHBand="0" w:firstRowFirstColumn="0" w:firstRowLastColumn="0" w:lastRowFirstColumn="0" w:lastRowLastColumn="0"/>
            <w:tcW w:w="1838" w:type="pct"/>
            <w:hideMark/>
          </w:tcPr>
          <w:p w:rsidR="00A76366" w:rsidRPr="00A76366" w:rsidRDefault="00A76366" w:rsidP="00A76366">
            <w:r w:rsidRPr="00A76366">
              <w:t>Mains and service renewal</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0.8</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0.1</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5.0</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4.2</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7.7</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7.0</w:t>
            </w:r>
          </w:p>
        </w:tc>
      </w:tr>
      <w:tr w:rsidR="00A76366" w:rsidRPr="004F416F" w:rsidTr="00CE2D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pct"/>
            <w:hideMark/>
          </w:tcPr>
          <w:p w:rsidR="00A76366" w:rsidRPr="00A76366" w:rsidRDefault="00A76366" w:rsidP="00A76366">
            <w:r w:rsidRPr="00A76366">
              <w:t>Facilities renewal and upgrade</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9.0</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7.9</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17.9</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10.5</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10.7</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21.2</w:t>
            </w:r>
          </w:p>
        </w:tc>
      </w:tr>
      <w:tr w:rsidR="00A76366" w:rsidRPr="004F416F" w:rsidTr="00CE2DD1">
        <w:trPr>
          <w:trHeight w:val="300"/>
        </w:trPr>
        <w:tc>
          <w:tcPr>
            <w:cnfStyle w:val="001000000000" w:firstRow="0" w:lastRow="0" w:firstColumn="1" w:lastColumn="0" w:oddVBand="0" w:evenVBand="0" w:oddHBand="0" w:evenHBand="0" w:firstRowFirstColumn="0" w:firstRowLastColumn="0" w:lastRowFirstColumn="0" w:lastRowLastColumn="0"/>
            <w:tcW w:w="1838" w:type="pct"/>
            <w:hideMark/>
          </w:tcPr>
          <w:p w:rsidR="00A76366" w:rsidRPr="00A76366" w:rsidRDefault="00A76366" w:rsidP="00A76366">
            <w:r w:rsidRPr="00A76366">
              <w:t>SCADA</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0.4</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0.3</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0.2</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1.2</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0.8</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1.0</w:t>
            </w:r>
          </w:p>
        </w:tc>
      </w:tr>
      <w:tr w:rsidR="00A76366" w:rsidRPr="004F416F" w:rsidTr="00CE2D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pct"/>
            <w:hideMark/>
          </w:tcPr>
          <w:p w:rsidR="00A76366" w:rsidRPr="00A76366" w:rsidRDefault="00A76366" w:rsidP="00A76366">
            <w:r w:rsidRPr="00A76366">
              <w:t>Meter renewal and upgrade</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14.3</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13.1</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15.8</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13.3</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19.4</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25.1</w:t>
            </w:r>
          </w:p>
        </w:tc>
      </w:tr>
      <w:tr w:rsidR="00A76366" w:rsidRPr="004F416F" w:rsidTr="00CE2DD1">
        <w:trPr>
          <w:trHeight w:val="300"/>
        </w:trPr>
        <w:tc>
          <w:tcPr>
            <w:cnfStyle w:val="001000000000" w:firstRow="0" w:lastRow="0" w:firstColumn="1" w:lastColumn="0" w:oddVBand="0" w:evenVBand="0" w:oddHBand="0" w:evenHBand="0" w:firstRowFirstColumn="0" w:firstRowLastColumn="0" w:lastRowFirstColumn="0" w:lastRowLastColumn="0"/>
            <w:tcW w:w="1838" w:type="pct"/>
            <w:hideMark/>
          </w:tcPr>
          <w:p w:rsidR="00A76366" w:rsidRPr="00A76366" w:rsidRDefault="00A76366" w:rsidP="00A76366">
            <w:r w:rsidRPr="00A76366">
              <w:t>Government authority work</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0.0</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0.1</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0.1</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0.4</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0.7</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0.4</w:t>
            </w:r>
          </w:p>
        </w:tc>
      </w:tr>
      <w:tr w:rsidR="00A76366" w:rsidRPr="004F416F" w:rsidTr="00CE2D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pct"/>
            <w:hideMark/>
          </w:tcPr>
          <w:p w:rsidR="00A76366" w:rsidRPr="00A76366" w:rsidRDefault="00A76366" w:rsidP="00A76366">
            <w:r w:rsidRPr="00A76366">
              <w:t>IT</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0.0</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41.3</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28.0</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12.7</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11.6</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38.6</w:t>
            </w:r>
          </w:p>
        </w:tc>
      </w:tr>
      <w:tr w:rsidR="00A76366" w:rsidRPr="004F416F" w:rsidTr="00CE2DD1">
        <w:trPr>
          <w:trHeight w:val="300"/>
        </w:trPr>
        <w:tc>
          <w:tcPr>
            <w:cnfStyle w:val="001000000000" w:firstRow="0" w:lastRow="0" w:firstColumn="1" w:lastColumn="0" w:oddVBand="0" w:evenVBand="0" w:oddHBand="0" w:evenHBand="0" w:firstRowFirstColumn="0" w:firstRowLastColumn="0" w:lastRowFirstColumn="0" w:lastRowLastColumn="0"/>
            <w:tcW w:w="1838" w:type="pct"/>
            <w:hideMark/>
          </w:tcPr>
          <w:p w:rsidR="00A76366" w:rsidRPr="00A76366" w:rsidRDefault="00A76366" w:rsidP="00A76366">
            <w:r w:rsidRPr="00A76366">
              <w:t>Other - non-distribution</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7.7</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6.3</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4.3</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5.3</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27.9</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46.6</w:t>
            </w:r>
          </w:p>
        </w:tc>
      </w:tr>
      <w:tr w:rsidR="00A76366" w:rsidRPr="004F416F" w:rsidTr="00CE2D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pct"/>
            <w:hideMark/>
          </w:tcPr>
          <w:p w:rsidR="00A76366" w:rsidRPr="00A76366" w:rsidRDefault="00A76366" w:rsidP="00A76366">
            <w:r w:rsidRPr="00A76366">
              <w:t>Overheads</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15.6</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17.6</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23.3</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24.2</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25.7</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26.2</w:t>
            </w:r>
          </w:p>
        </w:tc>
      </w:tr>
      <w:tr w:rsidR="00A76366" w:rsidRPr="004F416F" w:rsidTr="00CE2DD1">
        <w:trPr>
          <w:trHeight w:val="300"/>
        </w:trPr>
        <w:tc>
          <w:tcPr>
            <w:cnfStyle w:val="001000000000" w:firstRow="0" w:lastRow="0" w:firstColumn="1" w:lastColumn="0" w:oddVBand="0" w:evenVBand="0" w:oddHBand="0" w:evenHBand="0" w:firstRowFirstColumn="0" w:firstRowLastColumn="0" w:lastRowFirstColumn="0" w:lastRowLastColumn="0"/>
            <w:tcW w:w="1838" w:type="pct"/>
            <w:hideMark/>
          </w:tcPr>
          <w:p w:rsidR="00A76366" w:rsidRPr="00A76366" w:rsidRDefault="00A76366" w:rsidP="00A76366">
            <w:r w:rsidRPr="00A76366">
              <w:t>GROSS TOTAL CAPITAL EXPENDITURE</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107.9</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185.5</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189.1</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143.3</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191.0</w:t>
            </w:r>
          </w:p>
        </w:tc>
        <w:tc>
          <w:tcPr>
            <w:tcW w:w="527" w:type="pct"/>
          </w:tcPr>
          <w:p w:rsidR="00A76366" w:rsidRPr="00A76366" w:rsidRDefault="00A76366" w:rsidP="00A76366">
            <w:pPr>
              <w:pStyle w:val="AERtabletextright"/>
              <w:cnfStyle w:val="000000000000" w:firstRow="0" w:lastRow="0" w:firstColumn="0" w:lastColumn="0" w:oddVBand="0" w:evenVBand="0" w:oddHBand="0" w:evenHBand="0" w:firstRowFirstColumn="0" w:firstRowLastColumn="0" w:lastRowFirstColumn="0" w:lastRowLastColumn="0"/>
            </w:pPr>
            <w:r w:rsidRPr="00A76366">
              <w:t>249.0</w:t>
            </w:r>
          </w:p>
        </w:tc>
      </w:tr>
      <w:tr w:rsidR="00A76366" w:rsidRPr="004F416F" w:rsidTr="00CE2D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pct"/>
            <w:hideMark/>
          </w:tcPr>
          <w:p w:rsidR="00A76366" w:rsidRPr="00A76366" w:rsidRDefault="00A76366" w:rsidP="00A76366">
            <w:r w:rsidRPr="00A76366">
              <w:t>Contributions</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2.4</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3.3</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2.4</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2.9</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2.9</w:t>
            </w:r>
          </w:p>
        </w:tc>
        <w:tc>
          <w:tcPr>
            <w:tcW w:w="527" w:type="pct"/>
          </w:tcPr>
          <w:p w:rsidR="00A76366" w:rsidRPr="00A76366" w:rsidRDefault="00A76366" w:rsidP="00A76366">
            <w:pPr>
              <w:pStyle w:val="AERtabletextright"/>
              <w:cnfStyle w:val="000000010000" w:firstRow="0" w:lastRow="0" w:firstColumn="0" w:lastColumn="0" w:oddVBand="0" w:evenVBand="0" w:oddHBand="0" w:evenHBand="1" w:firstRowFirstColumn="0" w:firstRowLastColumn="0" w:lastRowFirstColumn="0" w:lastRowLastColumn="0"/>
            </w:pPr>
            <w:r w:rsidRPr="00A76366">
              <w:t>2.8</w:t>
            </w:r>
          </w:p>
        </w:tc>
      </w:tr>
      <w:tr w:rsidR="00AB3A65" w:rsidRPr="004F416F" w:rsidTr="00CE2DD1">
        <w:trPr>
          <w:trHeight w:val="300"/>
        </w:trPr>
        <w:tc>
          <w:tcPr>
            <w:cnfStyle w:val="001000000000" w:firstRow="0" w:lastRow="0" w:firstColumn="1" w:lastColumn="0" w:oddVBand="0" w:evenVBand="0" w:oddHBand="0" w:evenHBand="0" w:firstRowFirstColumn="0" w:firstRowLastColumn="0" w:lastRowFirstColumn="0" w:lastRowLastColumn="0"/>
            <w:tcW w:w="1838" w:type="pct"/>
          </w:tcPr>
          <w:p w:rsidR="00AB3A65" w:rsidRPr="00AB3A65" w:rsidRDefault="00AB3A65" w:rsidP="00AB3A65">
            <w:r w:rsidRPr="00AB3A65">
              <w:t>Asset disposals</w:t>
            </w:r>
          </w:p>
        </w:tc>
        <w:tc>
          <w:tcPr>
            <w:tcW w:w="527" w:type="pct"/>
          </w:tcPr>
          <w:p w:rsidR="00AB3A65" w:rsidRPr="00AB3A65" w:rsidRDefault="00AB3A65" w:rsidP="00AB3A65">
            <w:pPr>
              <w:pStyle w:val="AERtabletextright"/>
              <w:cnfStyle w:val="000000000000" w:firstRow="0" w:lastRow="0" w:firstColumn="0" w:lastColumn="0" w:oddVBand="0" w:evenVBand="0" w:oddHBand="0" w:evenHBand="0" w:firstRowFirstColumn="0" w:firstRowLastColumn="0" w:lastRowFirstColumn="0" w:lastRowLastColumn="0"/>
            </w:pPr>
            <w:r w:rsidRPr="00AB3A65">
              <w:t>0.2</w:t>
            </w:r>
          </w:p>
        </w:tc>
        <w:tc>
          <w:tcPr>
            <w:tcW w:w="527" w:type="pct"/>
          </w:tcPr>
          <w:p w:rsidR="00AB3A65" w:rsidRPr="00AB3A65" w:rsidRDefault="00AB3A65" w:rsidP="00AB3A65">
            <w:pPr>
              <w:pStyle w:val="AERtabletextright"/>
              <w:cnfStyle w:val="000000000000" w:firstRow="0" w:lastRow="0" w:firstColumn="0" w:lastColumn="0" w:oddVBand="0" w:evenVBand="0" w:oddHBand="0" w:evenHBand="0" w:firstRowFirstColumn="0" w:firstRowLastColumn="0" w:lastRowFirstColumn="0" w:lastRowLastColumn="0"/>
            </w:pPr>
            <w:r w:rsidRPr="00AB3A65">
              <w:t>7.2</w:t>
            </w:r>
          </w:p>
        </w:tc>
        <w:tc>
          <w:tcPr>
            <w:tcW w:w="527" w:type="pct"/>
          </w:tcPr>
          <w:p w:rsidR="00AB3A65" w:rsidRPr="00AB3A65" w:rsidRDefault="00AB3A65" w:rsidP="00AB3A65">
            <w:pPr>
              <w:pStyle w:val="AERtabletextright"/>
              <w:cnfStyle w:val="000000000000" w:firstRow="0" w:lastRow="0" w:firstColumn="0" w:lastColumn="0" w:oddVBand="0" w:evenVBand="0" w:oddHBand="0" w:evenHBand="0" w:firstRowFirstColumn="0" w:firstRowLastColumn="0" w:lastRowFirstColumn="0" w:lastRowLastColumn="0"/>
            </w:pPr>
            <w:r w:rsidRPr="00AB3A65">
              <w:t>3.2</w:t>
            </w:r>
          </w:p>
        </w:tc>
        <w:tc>
          <w:tcPr>
            <w:tcW w:w="527" w:type="pct"/>
          </w:tcPr>
          <w:p w:rsidR="00AB3A65" w:rsidRPr="00AB3A65" w:rsidRDefault="00AB3A65" w:rsidP="00AB3A65">
            <w:pPr>
              <w:pStyle w:val="AERtabletextright"/>
              <w:cnfStyle w:val="000000000000" w:firstRow="0" w:lastRow="0" w:firstColumn="0" w:lastColumn="0" w:oddVBand="0" w:evenVBand="0" w:oddHBand="0" w:evenHBand="0" w:firstRowFirstColumn="0" w:firstRowLastColumn="0" w:lastRowFirstColumn="0" w:lastRowLastColumn="0"/>
            </w:pPr>
            <w:r w:rsidRPr="00AB3A65">
              <w:t>1.8</w:t>
            </w:r>
          </w:p>
        </w:tc>
        <w:tc>
          <w:tcPr>
            <w:tcW w:w="527" w:type="pct"/>
          </w:tcPr>
          <w:p w:rsidR="00AB3A65" w:rsidRPr="00AB3A65" w:rsidRDefault="00AB3A65" w:rsidP="00AB3A65">
            <w:pPr>
              <w:pStyle w:val="AERtabletextright"/>
              <w:cnfStyle w:val="000000000000" w:firstRow="0" w:lastRow="0" w:firstColumn="0" w:lastColumn="0" w:oddVBand="0" w:evenVBand="0" w:oddHBand="0" w:evenHBand="0" w:firstRowFirstColumn="0" w:firstRowLastColumn="0" w:lastRowFirstColumn="0" w:lastRowLastColumn="0"/>
            </w:pPr>
            <w:r w:rsidRPr="00AB3A65">
              <w:t>0.2</w:t>
            </w:r>
          </w:p>
        </w:tc>
        <w:tc>
          <w:tcPr>
            <w:tcW w:w="527" w:type="pct"/>
          </w:tcPr>
          <w:p w:rsidR="00AB3A65" w:rsidRPr="00AB3A65" w:rsidRDefault="00AB3A65" w:rsidP="00AB3A65">
            <w:pPr>
              <w:pStyle w:val="AERtabletextright"/>
              <w:cnfStyle w:val="000000000000" w:firstRow="0" w:lastRow="0" w:firstColumn="0" w:lastColumn="0" w:oddVBand="0" w:evenVBand="0" w:oddHBand="0" w:evenHBand="0" w:firstRowFirstColumn="0" w:firstRowLastColumn="0" w:lastRowFirstColumn="0" w:lastRowLastColumn="0"/>
            </w:pPr>
            <w:r w:rsidRPr="00AB3A65">
              <w:t>0.1</w:t>
            </w:r>
          </w:p>
        </w:tc>
      </w:tr>
      <w:tr w:rsidR="00AB3A65" w:rsidRPr="004F416F" w:rsidTr="00CE2D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pct"/>
          </w:tcPr>
          <w:p w:rsidR="00AB3A65" w:rsidRPr="0047287F" w:rsidRDefault="00AB3A65" w:rsidP="00AB3A65">
            <w:pPr>
              <w:spacing w:before="0"/>
              <w:rPr>
                <w:rStyle w:val="AERsuperscript"/>
              </w:rPr>
            </w:pPr>
            <w:r w:rsidRPr="00AB3A65">
              <w:t>NET TOTAL CAPITAL EXPENDITURE</w:t>
            </w:r>
            <w:r w:rsidR="00CE2DD1">
              <w:rPr>
                <w:rStyle w:val="AERsuperscript"/>
              </w:rPr>
              <w:t>(b)</w:t>
            </w:r>
          </w:p>
        </w:tc>
        <w:tc>
          <w:tcPr>
            <w:tcW w:w="527" w:type="pct"/>
          </w:tcPr>
          <w:p w:rsidR="00AB3A65" w:rsidRPr="00AB3A65" w:rsidRDefault="00AB3A65" w:rsidP="00AB3A65">
            <w:pPr>
              <w:pStyle w:val="AERtabletextright"/>
              <w:cnfStyle w:val="000000010000" w:firstRow="0" w:lastRow="0" w:firstColumn="0" w:lastColumn="0" w:oddVBand="0" w:evenVBand="0" w:oddHBand="0" w:evenHBand="1" w:firstRowFirstColumn="0" w:firstRowLastColumn="0" w:lastRowFirstColumn="0" w:lastRowLastColumn="0"/>
            </w:pPr>
            <w:r w:rsidRPr="00AB3A65">
              <w:t>104.4</w:t>
            </w:r>
          </w:p>
        </w:tc>
        <w:tc>
          <w:tcPr>
            <w:tcW w:w="527" w:type="pct"/>
          </w:tcPr>
          <w:p w:rsidR="00AB3A65" w:rsidRPr="00AB3A65" w:rsidRDefault="00AB3A65" w:rsidP="00AB3A65">
            <w:pPr>
              <w:pStyle w:val="AERtabletextright"/>
              <w:cnfStyle w:val="000000010000" w:firstRow="0" w:lastRow="0" w:firstColumn="0" w:lastColumn="0" w:oddVBand="0" w:evenVBand="0" w:oddHBand="0" w:evenHBand="1" w:firstRowFirstColumn="0" w:firstRowLastColumn="0" w:lastRowFirstColumn="0" w:lastRowLastColumn="0"/>
            </w:pPr>
            <w:r w:rsidRPr="00AB3A65">
              <w:t>169.9</w:t>
            </w:r>
          </w:p>
        </w:tc>
        <w:tc>
          <w:tcPr>
            <w:tcW w:w="527" w:type="pct"/>
          </w:tcPr>
          <w:p w:rsidR="00AB3A65" w:rsidRPr="00AB3A65" w:rsidRDefault="00AB3A65" w:rsidP="00AB3A65">
            <w:pPr>
              <w:pStyle w:val="AERtabletextright"/>
              <w:cnfStyle w:val="000000010000" w:firstRow="0" w:lastRow="0" w:firstColumn="0" w:lastColumn="0" w:oddVBand="0" w:evenVBand="0" w:oddHBand="0" w:evenHBand="1" w:firstRowFirstColumn="0" w:firstRowLastColumn="0" w:lastRowFirstColumn="0" w:lastRowLastColumn="0"/>
            </w:pPr>
            <w:r w:rsidRPr="00AB3A65">
              <w:t>181.9</w:t>
            </w:r>
          </w:p>
        </w:tc>
        <w:tc>
          <w:tcPr>
            <w:tcW w:w="527" w:type="pct"/>
          </w:tcPr>
          <w:p w:rsidR="00AB3A65" w:rsidRPr="00AB3A65" w:rsidRDefault="00AB3A65" w:rsidP="00AB3A65">
            <w:pPr>
              <w:pStyle w:val="AERtabletextright"/>
              <w:cnfStyle w:val="000000010000" w:firstRow="0" w:lastRow="0" w:firstColumn="0" w:lastColumn="0" w:oddVBand="0" w:evenVBand="0" w:oddHBand="0" w:evenHBand="1" w:firstRowFirstColumn="0" w:firstRowLastColumn="0" w:lastRowFirstColumn="0" w:lastRowLastColumn="0"/>
            </w:pPr>
            <w:r w:rsidRPr="00AB3A65">
              <w:t>135.8</w:t>
            </w:r>
          </w:p>
        </w:tc>
        <w:tc>
          <w:tcPr>
            <w:tcW w:w="527" w:type="pct"/>
          </w:tcPr>
          <w:p w:rsidR="00AB3A65" w:rsidRPr="00AB3A65" w:rsidRDefault="00AB3A65" w:rsidP="00AB3A65">
            <w:pPr>
              <w:pStyle w:val="AERtabletextright"/>
              <w:cnfStyle w:val="000000010000" w:firstRow="0" w:lastRow="0" w:firstColumn="0" w:lastColumn="0" w:oddVBand="0" w:evenVBand="0" w:oddHBand="0" w:evenHBand="1" w:firstRowFirstColumn="0" w:firstRowLastColumn="0" w:lastRowFirstColumn="0" w:lastRowLastColumn="0"/>
            </w:pPr>
            <w:r w:rsidRPr="00AB3A65">
              <w:t>183.9</w:t>
            </w:r>
          </w:p>
        </w:tc>
        <w:tc>
          <w:tcPr>
            <w:tcW w:w="527" w:type="pct"/>
          </w:tcPr>
          <w:p w:rsidR="00AB3A65" w:rsidRPr="00AB3A65" w:rsidRDefault="00AB3A65" w:rsidP="00AB3A65">
            <w:pPr>
              <w:pStyle w:val="AERtabletextright"/>
              <w:cnfStyle w:val="000000010000" w:firstRow="0" w:lastRow="0" w:firstColumn="0" w:lastColumn="0" w:oddVBand="0" w:evenVBand="0" w:oddHBand="0" w:evenHBand="1" w:firstRowFirstColumn="0" w:firstRowLastColumn="0" w:lastRowFirstColumn="0" w:lastRowLastColumn="0"/>
            </w:pPr>
            <w:r w:rsidRPr="00AB3A65">
              <w:t>238.9</w:t>
            </w:r>
          </w:p>
        </w:tc>
      </w:tr>
    </w:tbl>
    <w:p w:rsidR="00EE71BA" w:rsidRDefault="00F61681" w:rsidP="00F61681">
      <w:pPr>
        <w:pStyle w:val="AERtablesource"/>
      </w:pPr>
      <w:r w:rsidRPr="00F61681">
        <w:t>Source:</w:t>
      </w:r>
      <w:r w:rsidRPr="00F61681">
        <w:tab/>
        <w:t>AER analysis.</w:t>
      </w:r>
    </w:p>
    <w:p w:rsidR="005A3660" w:rsidRDefault="005A3660" w:rsidP="005A3660">
      <w:pPr>
        <w:pStyle w:val="AERtablesource"/>
      </w:pPr>
      <w:r>
        <w:t>Note</w:t>
      </w:r>
      <w:r w:rsidRPr="005A3660">
        <w:t>:</w:t>
      </w:r>
      <w:r w:rsidRPr="005A3660">
        <w:tab/>
        <w:t>(</w:t>
      </w:r>
      <w:r>
        <w:t>a</w:t>
      </w:r>
      <w:r w:rsidRPr="005A3660">
        <w:t xml:space="preserve">) As set out in Attachment </w:t>
      </w:r>
      <w:r w:rsidR="00500885">
        <w:t xml:space="preserve">2 </w:t>
      </w:r>
      <w:r w:rsidRPr="005A3660">
        <w:t xml:space="preserve">the </w:t>
      </w:r>
      <w:r>
        <w:t xml:space="preserve">2014-15 amounts have not been assessed by the </w:t>
      </w:r>
      <w:r w:rsidRPr="005A3660">
        <w:t>AER</w:t>
      </w:r>
      <w:r>
        <w:t xml:space="preserve"> as</w:t>
      </w:r>
      <w:r w:rsidRPr="005A3660">
        <w:t xml:space="preserve"> approved capex</w:t>
      </w:r>
      <w:r w:rsidR="009A2F59">
        <w:t xml:space="preserve"> under this decision</w:t>
      </w:r>
      <w:r w:rsidR="00204395">
        <w:t>. This is because these</w:t>
      </w:r>
      <w:r w:rsidRPr="005A3660">
        <w:t xml:space="preserve"> values </w:t>
      </w:r>
      <w:r w:rsidR="00204395">
        <w:t xml:space="preserve">are estimates. The AER </w:t>
      </w:r>
      <w:r w:rsidR="009A2F59">
        <w:t xml:space="preserve">will </w:t>
      </w:r>
      <w:r w:rsidR="00204395">
        <w:t xml:space="preserve">undertake the assessment of whether the 2014-15 amounts are conforming capex </w:t>
      </w:r>
      <w:r w:rsidR="00D51A58">
        <w:t>as part of</w:t>
      </w:r>
      <w:r w:rsidR="00204395">
        <w:t xml:space="preserve"> the next access arrangement</w:t>
      </w:r>
      <w:r w:rsidR="00D51A58">
        <w:t xml:space="preserve"> determination</w:t>
      </w:r>
      <w:r w:rsidRPr="005A3660">
        <w:t>.</w:t>
      </w:r>
    </w:p>
    <w:p w:rsidR="00984CC5" w:rsidRPr="00984CC5" w:rsidRDefault="00984CC5" w:rsidP="00984CC5">
      <w:pPr>
        <w:pStyle w:val="AERtablesource"/>
      </w:pPr>
      <w:r>
        <w:tab/>
      </w:r>
      <w:r w:rsidR="00994D9F">
        <w:t xml:space="preserve">(b) </w:t>
      </w:r>
      <w:r w:rsidR="00CE2DD1">
        <w:t xml:space="preserve">Totals do not add </w:t>
      </w:r>
      <w:r>
        <w:t>as JGN claimed confidentiality over mines subsidence and related party margin expenditure.</w:t>
      </w:r>
    </w:p>
    <w:p w:rsidR="00CA131C" w:rsidRDefault="00CA131C" w:rsidP="00CA131C">
      <w:pPr>
        <w:pStyle w:val="HeadingBoldBlue"/>
      </w:pPr>
      <w:r w:rsidRPr="00CA131C">
        <w:lastRenderedPageBreak/>
        <w:t xml:space="preserve">Conforming </w:t>
      </w:r>
      <w:r w:rsidR="00E47751">
        <w:t xml:space="preserve">capex </w:t>
      </w:r>
      <w:r w:rsidRPr="00CA131C">
        <w:t>for the 201</w:t>
      </w:r>
      <w:r>
        <w:t>5</w:t>
      </w:r>
      <w:r w:rsidRPr="00CA131C">
        <w:t>–</w:t>
      </w:r>
      <w:r>
        <w:t>20</w:t>
      </w:r>
      <w:r w:rsidRPr="00CA131C">
        <w:t xml:space="preserve"> access arrangement period</w:t>
      </w:r>
    </w:p>
    <w:p w:rsidR="00CA131C" w:rsidRPr="00CA131C" w:rsidRDefault="006457BC" w:rsidP="00CA131C">
      <w:pPr>
        <w:pStyle w:val="AERbodytext"/>
      </w:pPr>
      <w:r>
        <w:t>We</w:t>
      </w:r>
      <w:r w:rsidR="00CA131C" w:rsidRPr="00CA131C">
        <w:t xml:space="preserve"> approve $</w:t>
      </w:r>
      <w:r w:rsidR="009B0BC2">
        <w:t>9</w:t>
      </w:r>
      <w:r w:rsidR="00DF2747">
        <w:t>18</w:t>
      </w:r>
      <w:r w:rsidR="009B0BC2">
        <w:t>.</w:t>
      </w:r>
      <w:r w:rsidR="00DF2747">
        <w:t>6</w:t>
      </w:r>
      <w:r w:rsidR="00CA131C" w:rsidRPr="00CA131C">
        <w:t xml:space="preserve"> million ($201</w:t>
      </w:r>
      <w:r w:rsidR="00CA131C">
        <w:t>5</w:t>
      </w:r>
      <w:r w:rsidR="00CA131C" w:rsidRPr="00CA131C">
        <w:t xml:space="preserve">) of </w:t>
      </w:r>
      <w:r w:rsidR="00CA131C">
        <w:t>JGN</w:t>
      </w:r>
      <w:r w:rsidR="00CA131C" w:rsidRPr="00CA131C">
        <w:t>'s proposed $</w:t>
      </w:r>
      <w:r w:rsidR="00632AE0">
        <w:t>1,13</w:t>
      </w:r>
      <w:r w:rsidR="00987DFB">
        <w:t>0.4</w:t>
      </w:r>
      <w:r w:rsidR="00CA131C" w:rsidRPr="00CA131C">
        <w:t xml:space="preserve"> million ($201</w:t>
      </w:r>
      <w:r w:rsidR="00CA131C">
        <w:t>5</w:t>
      </w:r>
      <w:r w:rsidR="00CA131C" w:rsidRPr="00CA131C">
        <w:t>) total net capex for 201</w:t>
      </w:r>
      <w:r w:rsidR="00CA131C">
        <w:t>5</w:t>
      </w:r>
      <w:r w:rsidR="00CA131C" w:rsidRPr="00CA131C">
        <w:t>–</w:t>
      </w:r>
      <w:r w:rsidR="00CA131C">
        <w:t>20</w:t>
      </w:r>
      <w:r w:rsidR="00CA131C" w:rsidRPr="00CA131C">
        <w:t xml:space="preserve"> as conforming capex under r. 79(1) of the NGR. </w:t>
      </w:r>
    </w:p>
    <w:p w:rsidR="00CA131C" w:rsidRDefault="00984CC5" w:rsidP="00CA131C">
      <w:pPr>
        <w:pStyle w:val="AERbodytext"/>
      </w:pPr>
      <w:r>
        <w:fldChar w:fldCharType="begin"/>
      </w:r>
      <w:r>
        <w:instrText xml:space="preserve"> REF _Ref404161318 \h </w:instrText>
      </w:r>
      <w:r>
        <w:fldChar w:fldCharType="separate"/>
      </w:r>
      <w:r>
        <w:t xml:space="preserve">Table </w:t>
      </w:r>
      <w:r>
        <w:rPr>
          <w:noProof/>
        </w:rPr>
        <w:t>6</w:t>
      </w:r>
      <w:r>
        <w:noBreakHyphen/>
      </w:r>
      <w:r>
        <w:rPr>
          <w:noProof/>
        </w:rPr>
        <w:t>2</w:t>
      </w:r>
      <w:r>
        <w:fldChar w:fldCharType="end"/>
      </w:r>
      <w:r w:rsidR="009F7369">
        <w:t xml:space="preserve"> </w:t>
      </w:r>
      <w:r w:rsidR="00CA131C" w:rsidRPr="00CA131C">
        <w:t>shows approved capex for the 201</w:t>
      </w:r>
      <w:r w:rsidR="00CA131C">
        <w:t>5–20</w:t>
      </w:r>
      <w:r w:rsidR="00CA131C" w:rsidRPr="00CA131C">
        <w:t xml:space="preserve"> access arrangement period by category.</w:t>
      </w:r>
    </w:p>
    <w:p w:rsidR="00EB0E3D" w:rsidRDefault="009F7369" w:rsidP="009F7369">
      <w:pPr>
        <w:pStyle w:val="Caption"/>
      </w:pPr>
      <w:bookmarkStart w:id="14" w:name="_Ref404161318"/>
      <w:r>
        <w:t xml:space="preserve">Table </w:t>
      </w:r>
      <w:fldSimple w:instr=" STYLEREF 1 \s ">
        <w:r w:rsidR="0029475D">
          <w:rPr>
            <w:noProof/>
          </w:rPr>
          <w:t>6</w:t>
        </w:r>
      </w:fldSimple>
      <w:r>
        <w:noBreakHyphen/>
      </w:r>
      <w:fldSimple w:instr=" SEQ Table \* ARABIC \s 1 ">
        <w:r w:rsidR="0029475D">
          <w:rPr>
            <w:noProof/>
          </w:rPr>
          <w:t>2</w:t>
        </w:r>
      </w:fldSimple>
      <w:bookmarkEnd w:id="14"/>
      <w:r w:rsidR="00EB0E3D">
        <w:tab/>
      </w:r>
      <w:r w:rsidR="00EB0E3D" w:rsidRPr="00EB0E3D">
        <w:t>AER approved capital expenditure</w:t>
      </w:r>
      <w:r w:rsidR="00EB0E3D" w:rsidRPr="00EB0E3D">
        <w:rPr>
          <w:rStyle w:val="AERsuperscript"/>
        </w:rPr>
        <w:t>(a)</w:t>
      </w:r>
      <w:r w:rsidR="00EB0E3D" w:rsidRPr="00EB0E3D">
        <w:t xml:space="preserve"> by category over the 201</w:t>
      </w:r>
      <w:r w:rsidR="00EB0E3D">
        <w:t>5</w:t>
      </w:r>
      <w:r w:rsidR="00EB0E3D" w:rsidRPr="00EB0E3D">
        <w:t>–</w:t>
      </w:r>
      <w:r w:rsidR="00EB0E3D">
        <w:t>20</w:t>
      </w:r>
      <w:r w:rsidR="00EB0E3D" w:rsidRPr="00EB0E3D">
        <w:t xml:space="preserve"> access arrangement period ($million, 201</w:t>
      </w:r>
      <w:r w:rsidR="00EB0E3D">
        <w:t>5</w:t>
      </w:r>
      <w:r w:rsidR="00EB0E3D" w:rsidRPr="00EB0E3D">
        <w:t>)</w:t>
      </w:r>
    </w:p>
    <w:tbl>
      <w:tblPr>
        <w:tblStyle w:val="AERtable-numbers"/>
        <w:tblW w:w="5000" w:type="pct"/>
        <w:tblLook w:val="04A0" w:firstRow="1" w:lastRow="0" w:firstColumn="1" w:lastColumn="0" w:noHBand="0" w:noVBand="1"/>
      </w:tblPr>
      <w:tblGrid>
        <w:gridCol w:w="3520"/>
        <w:gridCol w:w="952"/>
        <w:gridCol w:w="956"/>
        <w:gridCol w:w="954"/>
        <w:gridCol w:w="952"/>
        <w:gridCol w:w="954"/>
        <w:gridCol w:w="954"/>
      </w:tblGrid>
      <w:tr w:rsidR="00B43093" w:rsidRPr="004F416F" w:rsidTr="00333A3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4" w:type="pct"/>
            <w:hideMark/>
          </w:tcPr>
          <w:p w:rsidR="00B43093" w:rsidRPr="00B43093" w:rsidRDefault="00B43093" w:rsidP="00B43093">
            <w:r w:rsidRPr="00413233">
              <w:t> Category</w:t>
            </w:r>
          </w:p>
        </w:tc>
        <w:tc>
          <w:tcPr>
            <w:tcW w:w="515" w:type="pct"/>
            <w:hideMark/>
          </w:tcPr>
          <w:p w:rsidR="00B43093" w:rsidRPr="00B43093" w:rsidRDefault="00B43093" w:rsidP="009667FC">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B43093">
              <w:t>1</w:t>
            </w:r>
            <w:r>
              <w:t>5</w:t>
            </w:r>
            <w:r w:rsidRPr="00B43093">
              <w:t>-1</w:t>
            </w:r>
            <w:r>
              <w:t>6</w:t>
            </w:r>
          </w:p>
        </w:tc>
        <w:tc>
          <w:tcPr>
            <w:tcW w:w="517" w:type="pct"/>
            <w:hideMark/>
          </w:tcPr>
          <w:p w:rsidR="00B43093" w:rsidRPr="00B43093" w:rsidRDefault="00B43093" w:rsidP="009667FC">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t>16</w:t>
            </w:r>
            <w:r w:rsidRPr="00B43093">
              <w:t>-</w:t>
            </w:r>
            <w:r>
              <w:t>17</w:t>
            </w:r>
          </w:p>
        </w:tc>
        <w:tc>
          <w:tcPr>
            <w:tcW w:w="516" w:type="pct"/>
            <w:hideMark/>
          </w:tcPr>
          <w:p w:rsidR="00B43093" w:rsidRPr="00B43093" w:rsidRDefault="00B43093" w:rsidP="009667FC">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t>17-18</w:t>
            </w:r>
          </w:p>
        </w:tc>
        <w:tc>
          <w:tcPr>
            <w:tcW w:w="515" w:type="pct"/>
            <w:hideMark/>
          </w:tcPr>
          <w:p w:rsidR="00B43093" w:rsidRPr="00B43093" w:rsidRDefault="00B43093" w:rsidP="009667FC">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t>8-19</w:t>
            </w:r>
          </w:p>
        </w:tc>
        <w:tc>
          <w:tcPr>
            <w:tcW w:w="516" w:type="pct"/>
            <w:hideMark/>
          </w:tcPr>
          <w:p w:rsidR="00B43093" w:rsidRPr="00B43093" w:rsidRDefault="00B43093" w:rsidP="009667FC">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t>9-20</w:t>
            </w:r>
          </w:p>
        </w:tc>
        <w:tc>
          <w:tcPr>
            <w:tcW w:w="516" w:type="pct"/>
          </w:tcPr>
          <w:p w:rsidR="00B43093" w:rsidRPr="00B43093" w:rsidRDefault="00B43093" w:rsidP="009667FC">
            <w:pPr>
              <w:pStyle w:val="AERtabletextright"/>
              <w:cnfStyle w:val="100000000000" w:firstRow="1" w:lastRow="0" w:firstColumn="0" w:lastColumn="0" w:oddVBand="0" w:evenVBand="0" w:oddHBand="0" w:evenHBand="0" w:firstRowFirstColumn="0" w:firstRowLastColumn="0" w:lastRowFirstColumn="0" w:lastRowLastColumn="0"/>
            </w:pPr>
            <w:r>
              <w:t>T</w:t>
            </w:r>
            <w:r w:rsidRPr="00B43093">
              <w:t>otal</w:t>
            </w:r>
          </w:p>
        </w:tc>
      </w:tr>
      <w:tr w:rsidR="00DF2747"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DF2747" w:rsidRPr="00DF2747" w:rsidRDefault="00DF2747" w:rsidP="00DF2747">
            <w:r w:rsidRPr="00DF2747">
              <w:t>Connections/Market expansion</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58.9 </w:t>
            </w:r>
          </w:p>
        </w:tc>
        <w:tc>
          <w:tcPr>
            <w:tcW w:w="517"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61.4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60.4 </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59.3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59.5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299.6 </w:t>
            </w:r>
          </w:p>
        </w:tc>
      </w:tr>
      <w:tr w:rsidR="00DF2747"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DF2747" w:rsidRPr="00DF2747" w:rsidRDefault="00DF2747" w:rsidP="00DF2747">
            <w:r w:rsidRPr="00DF2747">
              <w:t>Augmentation/Growth capacity</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17.3 </w:t>
            </w:r>
          </w:p>
        </w:tc>
        <w:tc>
          <w:tcPr>
            <w:tcW w:w="517"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17.0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21.9 </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16.1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11.1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83.4 </w:t>
            </w:r>
          </w:p>
        </w:tc>
      </w:tr>
      <w:tr w:rsidR="00DF2747"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DF2747" w:rsidRPr="00DF2747" w:rsidRDefault="00DF2747" w:rsidP="00DF2747">
            <w:r w:rsidRPr="00DF2747">
              <w:t>Mains and service renewal</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12.5 </w:t>
            </w:r>
          </w:p>
        </w:tc>
        <w:tc>
          <w:tcPr>
            <w:tcW w:w="517"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16.1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12.4 </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8.5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9.7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59.1 </w:t>
            </w:r>
          </w:p>
        </w:tc>
      </w:tr>
      <w:tr w:rsidR="00DF2747"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DF2747" w:rsidRPr="00DF2747" w:rsidRDefault="00DF2747" w:rsidP="00DF2747">
            <w:r w:rsidRPr="00DF2747">
              <w:t>Facilities renewal and upgrade</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22.7 </w:t>
            </w:r>
          </w:p>
        </w:tc>
        <w:tc>
          <w:tcPr>
            <w:tcW w:w="517"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19.2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20.3 </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20.5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15.8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98.4 </w:t>
            </w:r>
          </w:p>
        </w:tc>
      </w:tr>
      <w:tr w:rsidR="00DF2747"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DF2747" w:rsidRPr="00DF2747" w:rsidRDefault="00DF2747" w:rsidP="00DF2747">
            <w:r w:rsidRPr="00DF2747">
              <w:t>SCADA</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0.6 </w:t>
            </w:r>
          </w:p>
        </w:tc>
        <w:tc>
          <w:tcPr>
            <w:tcW w:w="517"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0.5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0.7 </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0.7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0.7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3.2 </w:t>
            </w:r>
          </w:p>
        </w:tc>
      </w:tr>
      <w:tr w:rsidR="00DF2747"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DF2747" w:rsidRPr="00DF2747" w:rsidRDefault="00DF2747" w:rsidP="00DF2747">
            <w:r w:rsidRPr="00DF2747">
              <w:t>Meter renewal and upgrade</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24.3 </w:t>
            </w:r>
          </w:p>
        </w:tc>
        <w:tc>
          <w:tcPr>
            <w:tcW w:w="517"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26.7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27.3 </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25.8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22.9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126.9 </w:t>
            </w:r>
          </w:p>
        </w:tc>
      </w:tr>
      <w:tr w:rsidR="00DF2747"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DF2747" w:rsidRPr="00DF2747" w:rsidRDefault="00DF2747" w:rsidP="00DF2747">
            <w:r w:rsidRPr="00DF2747">
              <w:t>Government authority work</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0.4 </w:t>
            </w:r>
          </w:p>
        </w:tc>
        <w:tc>
          <w:tcPr>
            <w:tcW w:w="517"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0.4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0.4 </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0.4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0.4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1.9 </w:t>
            </w:r>
          </w:p>
        </w:tc>
      </w:tr>
      <w:tr w:rsidR="00DF2747"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DF2747" w:rsidRPr="00DF2747" w:rsidRDefault="00DF2747" w:rsidP="00DF2747">
            <w:r w:rsidRPr="00DF2747">
              <w:t>IT</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37.7 </w:t>
            </w:r>
          </w:p>
        </w:tc>
        <w:tc>
          <w:tcPr>
            <w:tcW w:w="517"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31.0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33.4 </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18.7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10.8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131.7 </w:t>
            </w:r>
          </w:p>
        </w:tc>
      </w:tr>
      <w:tr w:rsidR="00DF2747"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DF2747" w:rsidRPr="00DF2747" w:rsidRDefault="00DF2747" w:rsidP="00DF2747">
            <w:r w:rsidRPr="00DF2747">
              <w:t>Other - non-distribution</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7.4 </w:t>
            </w:r>
          </w:p>
        </w:tc>
        <w:tc>
          <w:tcPr>
            <w:tcW w:w="517"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3.3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4.0 </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7.4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4.7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26.8 </w:t>
            </w:r>
          </w:p>
        </w:tc>
      </w:tr>
      <w:tr w:rsidR="00DF2747"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DF2747" w:rsidRPr="00DF2747" w:rsidRDefault="00DF2747" w:rsidP="00DF2747">
            <w:r w:rsidRPr="00DF2747">
              <w:t>Overheads</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21.8 </w:t>
            </w:r>
          </w:p>
        </w:tc>
        <w:tc>
          <w:tcPr>
            <w:tcW w:w="517"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21.8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22.0 </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21.8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21.5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109.0 </w:t>
            </w:r>
          </w:p>
        </w:tc>
      </w:tr>
      <w:tr w:rsidR="00DF2747"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DF2747" w:rsidRPr="00DF2747" w:rsidRDefault="00DF2747" w:rsidP="00DF2747">
            <w:r w:rsidRPr="00DF2747">
              <w:t>GROSS TOTAL CAPITAL EXPENDITURE</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205.0 </w:t>
            </w:r>
          </w:p>
        </w:tc>
        <w:tc>
          <w:tcPr>
            <w:tcW w:w="517"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197.8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202.7 </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179.1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157.2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941.9 </w:t>
            </w:r>
          </w:p>
        </w:tc>
      </w:tr>
      <w:tr w:rsidR="0047287F"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DF2747" w:rsidRPr="00DF2747" w:rsidRDefault="00DF2747" w:rsidP="00DF2747">
            <w:r w:rsidRPr="00DF2747">
              <w:t>Contributions</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5.6 </w:t>
            </w:r>
          </w:p>
        </w:tc>
        <w:tc>
          <w:tcPr>
            <w:tcW w:w="517"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4.5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4.1 </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4.1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4.1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22.4 </w:t>
            </w:r>
          </w:p>
        </w:tc>
      </w:tr>
      <w:tr w:rsidR="00DF2747"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tcPr>
          <w:p w:rsidR="00DF2747" w:rsidRPr="00DF2747" w:rsidRDefault="00DF2747" w:rsidP="00DF2747">
            <w:r>
              <w:t>Asset disposals</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0.1 </w:t>
            </w:r>
          </w:p>
        </w:tc>
        <w:tc>
          <w:tcPr>
            <w:tcW w:w="517"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0.1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0.1 </w:t>
            </w:r>
          </w:p>
        </w:tc>
        <w:tc>
          <w:tcPr>
            <w:tcW w:w="515"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0.3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0.2 </w:t>
            </w:r>
          </w:p>
        </w:tc>
        <w:tc>
          <w:tcPr>
            <w:tcW w:w="516" w:type="pct"/>
            <w:vAlign w:val="top"/>
          </w:tcPr>
          <w:p w:rsidR="00DF2747" w:rsidRPr="00DF2747" w:rsidRDefault="00DF2747" w:rsidP="00DF2747">
            <w:pPr>
              <w:pStyle w:val="AERtabletextright"/>
              <w:cnfStyle w:val="000000000000" w:firstRow="0" w:lastRow="0" w:firstColumn="0" w:lastColumn="0" w:oddVBand="0" w:evenVBand="0" w:oddHBand="0" w:evenHBand="0" w:firstRowFirstColumn="0" w:firstRowLastColumn="0" w:lastRowFirstColumn="0" w:lastRowLastColumn="0"/>
            </w:pPr>
            <w:r w:rsidRPr="00DF2747">
              <w:t xml:space="preserve"> 0.8 </w:t>
            </w:r>
          </w:p>
        </w:tc>
      </w:tr>
      <w:tr w:rsidR="0047287F"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tcPr>
          <w:p w:rsidR="00DF2747" w:rsidRPr="0047287F" w:rsidRDefault="00DF2747" w:rsidP="00DF2747">
            <w:pPr>
              <w:spacing w:before="0"/>
              <w:rPr>
                <w:rStyle w:val="AERsuperscript"/>
              </w:rPr>
            </w:pPr>
            <w:r w:rsidRPr="00DF2747">
              <w:t>NET TOTAL CAPITAL EXPENDITURE</w:t>
            </w:r>
            <w:r w:rsidR="00CE2DD1">
              <w:rPr>
                <w:rStyle w:val="AERsuperscript"/>
              </w:rPr>
              <w:t>(b)</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199.3 </w:t>
            </w:r>
          </w:p>
        </w:tc>
        <w:tc>
          <w:tcPr>
            <w:tcW w:w="517"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193.2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198.4 </w:t>
            </w:r>
          </w:p>
        </w:tc>
        <w:tc>
          <w:tcPr>
            <w:tcW w:w="515"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174.7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152.9 </w:t>
            </w:r>
          </w:p>
        </w:tc>
        <w:tc>
          <w:tcPr>
            <w:tcW w:w="516" w:type="pct"/>
            <w:vAlign w:val="top"/>
          </w:tcPr>
          <w:p w:rsidR="00DF2747" w:rsidRPr="00DF2747" w:rsidRDefault="00DF2747" w:rsidP="00DF2747">
            <w:pPr>
              <w:pStyle w:val="AERtabletextright"/>
              <w:cnfStyle w:val="000000010000" w:firstRow="0" w:lastRow="0" w:firstColumn="0" w:lastColumn="0" w:oddVBand="0" w:evenVBand="0" w:oddHBand="0" w:evenHBand="1" w:firstRowFirstColumn="0" w:firstRowLastColumn="0" w:lastRowFirstColumn="0" w:lastRowLastColumn="0"/>
            </w:pPr>
            <w:r w:rsidRPr="00DF2747">
              <w:t xml:space="preserve"> 918.6 </w:t>
            </w:r>
          </w:p>
        </w:tc>
      </w:tr>
    </w:tbl>
    <w:p w:rsidR="00EB0E3D" w:rsidRDefault="00DE44F6" w:rsidP="00DE44F6">
      <w:pPr>
        <w:pStyle w:val="AERtablesource"/>
      </w:pPr>
      <w:r w:rsidRPr="00DE44F6">
        <w:t>Source:</w:t>
      </w:r>
      <w:r w:rsidRPr="00DE44F6">
        <w:tab/>
        <w:t>AER analysis.</w:t>
      </w:r>
    </w:p>
    <w:p w:rsidR="00A91109" w:rsidRDefault="00A91109" w:rsidP="00A91109">
      <w:pPr>
        <w:pStyle w:val="AERtablesource"/>
      </w:pPr>
      <w:r w:rsidRPr="00A91109">
        <w:t>Notes:</w:t>
      </w:r>
      <w:r w:rsidRPr="00A91109">
        <w:tab/>
        <w:t>(a) Including</w:t>
      </w:r>
      <w:r>
        <w:t xml:space="preserve"> </w:t>
      </w:r>
      <w:r w:rsidRPr="00A91109">
        <w:t>AER material and labour escalation adjustments.</w:t>
      </w:r>
    </w:p>
    <w:p w:rsidR="00CE2DD1" w:rsidRPr="00984CC5" w:rsidRDefault="00984CC5" w:rsidP="00CE2DD1">
      <w:pPr>
        <w:pStyle w:val="AERtablesource"/>
      </w:pPr>
      <w:r>
        <w:tab/>
      </w:r>
      <w:r w:rsidR="00E47751">
        <w:t xml:space="preserve">(b) </w:t>
      </w:r>
      <w:r w:rsidR="00CE2DD1">
        <w:t>Totals do not add as JGN claimed confidentiality over mines subsidence and related party margin expenditure.</w:t>
      </w:r>
    </w:p>
    <w:p w:rsidR="00984CC5" w:rsidRPr="00984CC5" w:rsidRDefault="00984CC5" w:rsidP="00984CC5">
      <w:pPr>
        <w:pStyle w:val="AERtablesource"/>
      </w:pPr>
    </w:p>
    <w:p w:rsidR="00333A31" w:rsidRPr="00A4447D" w:rsidRDefault="009F7369" w:rsidP="00333A31">
      <w:pPr>
        <w:pStyle w:val="AERbodytext"/>
      </w:pPr>
      <w:r>
        <w:rPr>
          <w:rFonts w:eastAsia="Calibri"/>
        </w:rPr>
        <w:fldChar w:fldCharType="begin"/>
      </w:r>
      <w:r>
        <w:rPr>
          <w:rFonts w:eastAsia="Calibri"/>
        </w:rPr>
        <w:instrText xml:space="preserve"> REF _Ref404161331 \h </w:instrText>
      </w:r>
      <w:r>
        <w:rPr>
          <w:rFonts w:eastAsia="Calibri"/>
        </w:rPr>
      </w:r>
      <w:r>
        <w:rPr>
          <w:rFonts w:eastAsia="Calibri"/>
        </w:rPr>
        <w:fldChar w:fldCharType="separate"/>
      </w:r>
      <w:r w:rsidR="0029475D">
        <w:t xml:space="preserve">Table </w:t>
      </w:r>
      <w:r w:rsidR="0029475D">
        <w:rPr>
          <w:noProof/>
        </w:rPr>
        <w:t>6</w:t>
      </w:r>
      <w:r w:rsidR="0029475D">
        <w:noBreakHyphen/>
      </w:r>
      <w:r w:rsidR="0029475D">
        <w:rPr>
          <w:noProof/>
        </w:rPr>
        <w:t>3</w:t>
      </w:r>
      <w:r>
        <w:rPr>
          <w:rFonts w:eastAsia="Calibri"/>
        </w:rPr>
        <w:fldChar w:fldCharType="end"/>
      </w:r>
      <w:r>
        <w:rPr>
          <w:rFonts w:eastAsia="Calibri"/>
        </w:rPr>
        <w:t xml:space="preserve"> </w:t>
      </w:r>
      <w:r w:rsidR="00333A31" w:rsidRPr="00333A31">
        <w:rPr>
          <w:rFonts w:eastAsia="Calibri"/>
        </w:rPr>
        <w:t xml:space="preserve">shows </w:t>
      </w:r>
      <w:r w:rsidR="00333A31">
        <w:rPr>
          <w:rFonts w:eastAsia="Calibri"/>
        </w:rPr>
        <w:t>JGN</w:t>
      </w:r>
      <w:r w:rsidR="00333A31" w:rsidRPr="00333A31">
        <w:rPr>
          <w:rFonts w:eastAsia="Calibri"/>
        </w:rPr>
        <w:t>'s proposed capex compared with the AER's approved allowance for each category.</w:t>
      </w:r>
    </w:p>
    <w:p w:rsidR="00A4447D" w:rsidRPr="00333A31" w:rsidRDefault="009F7369" w:rsidP="009F7369">
      <w:pPr>
        <w:pStyle w:val="Caption"/>
      </w:pPr>
      <w:bookmarkStart w:id="15" w:name="_Ref404161331"/>
      <w:r>
        <w:lastRenderedPageBreak/>
        <w:t xml:space="preserve">Table </w:t>
      </w:r>
      <w:fldSimple w:instr=" STYLEREF 1 \s ">
        <w:r w:rsidR="0029475D">
          <w:rPr>
            <w:noProof/>
          </w:rPr>
          <w:t>6</w:t>
        </w:r>
      </w:fldSimple>
      <w:r>
        <w:noBreakHyphen/>
      </w:r>
      <w:fldSimple w:instr=" SEQ Table \* ARABIC \s 1 ">
        <w:r w:rsidR="0029475D">
          <w:rPr>
            <w:noProof/>
          </w:rPr>
          <w:t>3</w:t>
        </w:r>
      </w:fldSimple>
      <w:bookmarkEnd w:id="15"/>
      <w:r w:rsidR="00A4447D">
        <w:tab/>
      </w:r>
      <w:r w:rsidR="00A4447D" w:rsidRPr="00A4447D">
        <w:t xml:space="preserve">Comparison of AER approved and </w:t>
      </w:r>
      <w:r w:rsidR="00A4447D">
        <w:t>JGN</w:t>
      </w:r>
      <w:r w:rsidR="00A4447D" w:rsidRPr="00A4447D">
        <w:t>'s proposed capital expenditure over the 201</w:t>
      </w:r>
      <w:r w:rsidR="00A4447D">
        <w:t>5–20</w:t>
      </w:r>
      <w:r w:rsidR="00A4447D" w:rsidRPr="00A4447D">
        <w:t xml:space="preserve"> access arrangement period ($million, 201</w:t>
      </w:r>
      <w:r w:rsidR="00A4447D">
        <w:t>5</w:t>
      </w:r>
      <w:r w:rsidR="00A4447D" w:rsidRPr="00A4447D">
        <w:t>)</w:t>
      </w:r>
    </w:p>
    <w:tbl>
      <w:tblPr>
        <w:tblStyle w:val="AERtable-numbers"/>
        <w:tblW w:w="5000" w:type="pct"/>
        <w:tblLook w:val="04A0" w:firstRow="1" w:lastRow="0" w:firstColumn="1" w:lastColumn="0" w:noHBand="0" w:noVBand="1"/>
      </w:tblPr>
      <w:tblGrid>
        <w:gridCol w:w="2836"/>
        <w:gridCol w:w="1603"/>
        <w:gridCol w:w="1603"/>
        <w:gridCol w:w="1601"/>
        <w:gridCol w:w="1599"/>
      </w:tblGrid>
      <w:tr w:rsidR="00632AE0" w:rsidRPr="004F416F" w:rsidTr="003F72EE">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34" w:type="pct"/>
            <w:hideMark/>
          </w:tcPr>
          <w:p w:rsidR="00632AE0" w:rsidRPr="00632AE0" w:rsidRDefault="00632AE0" w:rsidP="00632AE0">
            <w:r w:rsidRPr="00632AE0">
              <w:t> Category</w:t>
            </w:r>
          </w:p>
        </w:tc>
        <w:tc>
          <w:tcPr>
            <w:tcW w:w="867" w:type="pct"/>
            <w:hideMark/>
          </w:tcPr>
          <w:p w:rsidR="00632AE0" w:rsidRPr="00632AE0" w:rsidRDefault="00632AE0" w:rsidP="00632AE0">
            <w:pPr>
              <w:pStyle w:val="AERtabletextright"/>
              <w:cnfStyle w:val="100000000000" w:firstRow="1" w:lastRow="0" w:firstColumn="0" w:lastColumn="0" w:oddVBand="0" w:evenVBand="0" w:oddHBand="0" w:evenHBand="0" w:firstRowFirstColumn="0" w:firstRowLastColumn="0" w:lastRowFirstColumn="0" w:lastRowLastColumn="0"/>
            </w:pPr>
            <w:r w:rsidRPr="00632AE0">
              <w:t>Proposed</w:t>
            </w:r>
          </w:p>
        </w:tc>
        <w:tc>
          <w:tcPr>
            <w:tcW w:w="867" w:type="pct"/>
            <w:hideMark/>
          </w:tcPr>
          <w:p w:rsidR="00632AE0" w:rsidRPr="00632AE0" w:rsidRDefault="00632AE0" w:rsidP="00632AE0">
            <w:pPr>
              <w:pStyle w:val="AERtabletextright"/>
              <w:cnfStyle w:val="100000000000" w:firstRow="1" w:lastRow="0" w:firstColumn="0" w:lastColumn="0" w:oddVBand="0" w:evenVBand="0" w:oddHBand="0" w:evenHBand="0" w:firstRowFirstColumn="0" w:firstRowLastColumn="0" w:lastRowFirstColumn="0" w:lastRowLastColumn="0"/>
            </w:pPr>
            <w:r w:rsidRPr="00632AE0">
              <w:t>Approved</w:t>
            </w:r>
            <w:r w:rsidRPr="00632AE0">
              <w:rPr>
                <w:rStyle w:val="AERsuperscript"/>
              </w:rPr>
              <w:t>(a)</w:t>
            </w:r>
          </w:p>
        </w:tc>
        <w:tc>
          <w:tcPr>
            <w:tcW w:w="866" w:type="pct"/>
            <w:vAlign w:val="top"/>
          </w:tcPr>
          <w:p w:rsidR="00632AE0" w:rsidRPr="00632AE0" w:rsidRDefault="00632AE0" w:rsidP="00632AE0">
            <w:pPr>
              <w:pStyle w:val="AERtabletextright"/>
              <w:cnfStyle w:val="100000000000" w:firstRow="1" w:lastRow="0" w:firstColumn="0" w:lastColumn="0" w:oddVBand="0" w:evenVBand="0" w:oddHBand="0" w:evenHBand="0" w:firstRowFirstColumn="0" w:firstRowLastColumn="0" w:lastRowFirstColumn="0" w:lastRowLastColumn="0"/>
            </w:pPr>
            <w:r w:rsidRPr="00632AE0">
              <w:t>Difference ($millions)</w:t>
            </w:r>
          </w:p>
        </w:tc>
        <w:tc>
          <w:tcPr>
            <w:tcW w:w="865" w:type="pct"/>
            <w:vAlign w:val="top"/>
          </w:tcPr>
          <w:p w:rsidR="00632AE0" w:rsidRPr="00632AE0" w:rsidRDefault="00632AE0" w:rsidP="00632AE0">
            <w:pPr>
              <w:pStyle w:val="AERtabletextright"/>
              <w:cnfStyle w:val="100000000000" w:firstRow="1" w:lastRow="0" w:firstColumn="0" w:lastColumn="0" w:oddVBand="0" w:evenVBand="0" w:oddHBand="0" w:evenHBand="0" w:firstRowFirstColumn="0" w:firstRowLastColumn="0" w:lastRowFirstColumn="0" w:lastRowLastColumn="0"/>
            </w:pPr>
            <w:r w:rsidRPr="00632AE0">
              <w:t>Difference (%)</w:t>
            </w:r>
          </w:p>
        </w:tc>
      </w:tr>
      <w:tr w:rsidR="004D2C47" w:rsidRPr="004F416F" w:rsidTr="003F72EE">
        <w:trPr>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hideMark/>
          </w:tcPr>
          <w:p w:rsidR="004D2C47" w:rsidRPr="004D2C47" w:rsidRDefault="004D2C47" w:rsidP="004D2C47">
            <w:r w:rsidRPr="004D2C47">
              <w:t>Connections/Market expansion</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384.1 </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299.6 </w:t>
            </w:r>
          </w:p>
        </w:tc>
        <w:tc>
          <w:tcPr>
            <w:tcW w:w="866"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-84.6</w:t>
            </w:r>
          </w:p>
        </w:tc>
        <w:tc>
          <w:tcPr>
            <w:tcW w:w="865"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-22.0%</w:t>
            </w:r>
          </w:p>
        </w:tc>
      </w:tr>
      <w:tr w:rsidR="004D2C47" w:rsidRPr="004F416F" w:rsidTr="003F72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hideMark/>
          </w:tcPr>
          <w:p w:rsidR="004D2C47" w:rsidRPr="004D2C47" w:rsidRDefault="004D2C47" w:rsidP="004D2C47">
            <w:r w:rsidRPr="004D2C47">
              <w:t>Augmentation/Growth capacity</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95.0 </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83.4 </w:t>
            </w:r>
          </w:p>
        </w:tc>
        <w:tc>
          <w:tcPr>
            <w:tcW w:w="866"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-11.6</w:t>
            </w:r>
          </w:p>
        </w:tc>
        <w:tc>
          <w:tcPr>
            <w:tcW w:w="865"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-12.2%</w:t>
            </w:r>
          </w:p>
        </w:tc>
      </w:tr>
      <w:tr w:rsidR="004D2C47" w:rsidRPr="004F416F" w:rsidTr="003F72EE">
        <w:trPr>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hideMark/>
          </w:tcPr>
          <w:p w:rsidR="004D2C47" w:rsidRPr="004D2C47" w:rsidRDefault="004D2C47" w:rsidP="004D2C47">
            <w:r w:rsidRPr="004D2C47">
              <w:t>Mains and service renewal</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62.3 </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59.1 </w:t>
            </w:r>
          </w:p>
        </w:tc>
        <w:tc>
          <w:tcPr>
            <w:tcW w:w="866"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-3.2</w:t>
            </w:r>
          </w:p>
        </w:tc>
        <w:tc>
          <w:tcPr>
            <w:tcW w:w="865"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-5.1%</w:t>
            </w:r>
          </w:p>
        </w:tc>
      </w:tr>
      <w:tr w:rsidR="004D2C47" w:rsidRPr="004F416F" w:rsidTr="003F72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hideMark/>
          </w:tcPr>
          <w:p w:rsidR="004D2C47" w:rsidRPr="004D2C47" w:rsidRDefault="004D2C47" w:rsidP="004D2C47">
            <w:r w:rsidRPr="004D2C47">
              <w:t>Facilities renewal and upgrade</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124.1 </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98.4 </w:t>
            </w:r>
          </w:p>
        </w:tc>
        <w:tc>
          <w:tcPr>
            <w:tcW w:w="866"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-25.7</w:t>
            </w:r>
          </w:p>
        </w:tc>
        <w:tc>
          <w:tcPr>
            <w:tcW w:w="865"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-20.7%</w:t>
            </w:r>
          </w:p>
        </w:tc>
      </w:tr>
      <w:tr w:rsidR="004D2C47" w:rsidRPr="004F416F" w:rsidTr="003F72EE">
        <w:trPr>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hideMark/>
          </w:tcPr>
          <w:p w:rsidR="004D2C47" w:rsidRPr="004D2C47" w:rsidRDefault="004D2C47" w:rsidP="004D2C47">
            <w:r w:rsidRPr="004D2C47">
              <w:t>SCADA</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9.8 </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3.2 </w:t>
            </w:r>
          </w:p>
        </w:tc>
        <w:tc>
          <w:tcPr>
            <w:tcW w:w="866"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-6.5</w:t>
            </w:r>
          </w:p>
        </w:tc>
        <w:tc>
          <w:tcPr>
            <w:tcW w:w="865"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-66.8%</w:t>
            </w:r>
          </w:p>
        </w:tc>
      </w:tr>
      <w:tr w:rsidR="004D2C47" w:rsidRPr="004F416F" w:rsidTr="003F72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hideMark/>
          </w:tcPr>
          <w:p w:rsidR="004D2C47" w:rsidRPr="004D2C47" w:rsidRDefault="004D2C47" w:rsidP="004D2C47">
            <w:r w:rsidRPr="004D2C47">
              <w:t>Meter renewal and upgrade</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163.9 </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126.9 </w:t>
            </w:r>
          </w:p>
        </w:tc>
        <w:tc>
          <w:tcPr>
            <w:tcW w:w="866"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-37.0</w:t>
            </w:r>
          </w:p>
        </w:tc>
        <w:tc>
          <w:tcPr>
            <w:tcW w:w="865"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-22.6%</w:t>
            </w:r>
          </w:p>
        </w:tc>
      </w:tr>
      <w:tr w:rsidR="004D2C47" w:rsidRPr="004F416F" w:rsidTr="003F72EE">
        <w:trPr>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hideMark/>
          </w:tcPr>
          <w:p w:rsidR="004D2C47" w:rsidRPr="004D2C47" w:rsidRDefault="004D2C47" w:rsidP="004D2C47">
            <w:r w:rsidRPr="004D2C47">
              <w:t>Government authority work</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2.7 </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1.9 </w:t>
            </w:r>
          </w:p>
        </w:tc>
        <w:tc>
          <w:tcPr>
            <w:tcW w:w="866"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-0.8</w:t>
            </w:r>
          </w:p>
        </w:tc>
        <w:tc>
          <w:tcPr>
            <w:tcW w:w="865"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-30.4%</w:t>
            </w:r>
          </w:p>
        </w:tc>
      </w:tr>
      <w:tr w:rsidR="004D2C47" w:rsidRPr="004F416F" w:rsidTr="003F72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hideMark/>
          </w:tcPr>
          <w:p w:rsidR="004D2C47" w:rsidRPr="004D2C47" w:rsidRDefault="004D2C47" w:rsidP="004D2C47">
            <w:r w:rsidRPr="004D2C47">
              <w:t>IT</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131.6 </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131.7 </w:t>
            </w:r>
          </w:p>
        </w:tc>
        <w:tc>
          <w:tcPr>
            <w:tcW w:w="866"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0.1</w:t>
            </w:r>
          </w:p>
        </w:tc>
        <w:tc>
          <w:tcPr>
            <w:tcW w:w="865"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0.1%</w:t>
            </w:r>
          </w:p>
        </w:tc>
      </w:tr>
      <w:tr w:rsidR="004D2C47" w:rsidRPr="004F416F" w:rsidTr="003F72EE">
        <w:trPr>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hideMark/>
          </w:tcPr>
          <w:p w:rsidR="004D2C47" w:rsidRPr="004D2C47" w:rsidRDefault="004D2C47" w:rsidP="004D2C47">
            <w:r w:rsidRPr="004D2C47">
              <w:t>Other - non-distribution</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26.8 </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26.8 </w:t>
            </w:r>
          </w:p>
        </w:tc>
        <w:tc>
          <w:tcPr>
            <w:tcW w:w="866"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0.0</w:t>
            </w:r>
          </w:p>
        </w:tc>
        <w:tc>
          <w:tcPr>
            <w:tcW w:w="865"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0.0%</w:t>
            </w:r>
          </w:p>
        </w:tc>
      </w:tr>
      <w:tr w:rsidR="004D2C47" w:rsidRPr="004F416F" w:rsidTr="003F72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hideMark/>
          </w:tcPr>
          <w:p w:rsidR="004D2C47" w:rsidRPr="004D2C47" w:rsidRDefault="004D2C47" w:rsidP="004D2C47">
            <w:r w:rsidRPr="004D2C47">
              <w:t>Overheads</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144.4 </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109.0 </w:t>
            </w:r>
          </w:p>
        </w:tc>
        <w:tc>
          <w:tcPr>
            <w:tcW w:w="866"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-35.4</w:t>
            </w:r>
          </w:p>
        </w:tc>
        <w:tc>
          <w:tcPr>
            <w:tcW w:w="865"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-24.5%</w:t>
            </w:r>
          </w:p>
        </w:tc>
      </w:tr>
      <w:tr w:rsidR="004D2C47" w:rsidRPr="004F416F" w:rsidTr="003F72EE">
        <w:trPr>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hideMark/>
          </w:tcPr>
          <w:p w:rsidR="004D2C47" w:rsidRPr="004D2C47" w:rsidRDefault="004D2C47" w:rsidP="004D2C47">
            <w:r w:rsidRPr="004D2C47">
              <w:t>GROSS TOTAL CAPITAL EXPENDITURE</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1,148.5 </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941.9 </w:t>
            </w:r>
          </w:p>
        </w:tc>
        <w:tc>
          <w:tcPr>
            <w:tcW w:w="866"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-206.7</w:t>
            </w:r>
          </w:p>
        </w:tc>
        <w:tc>
          <w:tcPr>
            <w:tcW w:w="865"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-18.0%</w:t>
            </w:r>
          </w:p>
        </w:tc>
      </w:tr>
      <w:tr w:rsidR="004D2C47" w:rsidRPr="004F416F" w:rsidTr="003F72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hideMark/>
          </w:tcPr>
          <w:p w:rsidR="004D2C47" w:rsidRPr="004D2C47" w:rsidRDefault="004D2C47" w:rsidP="004D2C47">
            <w:r w:rsidRPr="004D2C47">
              <w:t>Contributions</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17.3 </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22.4 </w:t>
            </w:r>
          </w:p>
        </w:tc>
        <w:tc>
          <w:tcPr>
            <w:tcW w:w="866"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5.1</w:t>
            </w:r>
          </w:p>
        </w:tc>
        <w:tc>
          <w:tcPr>
            <w:tcW w:w="865"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29.6%</w:t>
            </w:r>
          </w:p>
        </w:tc>
      </w:tr>
      <w:tr w:rsidR="004D2C47" w:rsidRPr="004F416F" w:rsidTr="003F72EE">
        <w:trPr>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tcPr>
          <w:p w:rsidR="004D2C47" w:rsidRPr="004D2C47" w:rsidRDefault="004D2C47" w:rsidP="004D2C47">
            <w:r>
              <w:t>Asset disposals</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0.8 </w:t>
            </w:r>
          </w:p>
        </w:tc>
        <w:tc>
          <w:tcPr>
            <w:tcW w:w="867"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 xml:space="preserve"> 0.8 </w:t>
            </w:r>
          </w:p>
        </w:tc>
        <w:tc>
          <w:tcPr>
            <w:tcW w:w="866"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0.0</w:t>
            </w:r>
          </w:p>
        </w:tc>
        <w:tc>
          <w:tcPr>
            <w:tcW w:w="865" w:type="pct"/>
            <w:vAlign w:val="top"/>
          </w:tcPr>
          <w:p w:rsidR="004D2C47" w:rsidRPr="004D2C47" w:rsidRDefault="004D2C47" w:rsidP="004D2C47">
            <w:pPr>
              <w:pStyle w:val="AERtabletextright"/>
              <w:cnfStyle w:val="000000000000" w:firstRow="0" w:lastRow="0" w:firstColumn="0" w:lastColumn="0" w:oddVBand="0" w:evenVBand="0" w:oddHBand="0" w:evenHBand="0" w:firstRowFirstColumn="0" w:firstRowLastColumn="0" w:lastRowFirstColumn="0" w:lastRowLastColumn="0"/>
            </w:pPr>
            <w:r w:rsidRPr="004D2C47">
              <w:t>0.0%</w:t>
            </w:r>
          </w:p>
        </w:tc>
      </w:tr>
      <w:tr w:rsidR="004D2C47" w:rsidRPr="004F416F" w:rsidTr="003F72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pct"/>
            <w:vAlign w:val="bottom"/>
          </w:tcPr>
          <w:p w:rsidR="004D2C47" w:rsidRPr="0047287F" w:rsidRDefault="004D2C47" w:rsidP="004D2C47">
            <w:pPr>
              <w:spacing w:before="0"/>
              <w:rPr>
                <w:rStyle w:val="AERsuperscript"/>
              </w:rPr>
            </w:pPr>
            <w:r w:rsidRPr="004D2C47">
              <w:t>NET TOTAL CAPITAL EXPENDITURE</w:t>
            </w:r>
            <w:r w:rsidR="00CE2DD1">
              <w:rPr>
                <w:rStyle w:val="AERsuperscript"/>
              </w:rPr>
              <w:t>(b)</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1,130.4 </w:t>
            </w:r>
          </w:p>
        </w:tc>
        <w:tc>
          <w:tcPr>
            <w:tcW w:w="867"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 xml:space="preserve"> 918.6 </w:t>
            </w:r>
          </w:p>
        </w:tc>
        <w:tc>
          <w:tcPr>
            <w:tcW w:w="866"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-211.8</w:t>
            </w:r>
          </w:p>
        </w:tc>
        <w:tc>
          <w:tcPr>
            <w:tcW w:w="865" w:type="pct"/>
            <w:vAlign w:val="top"/>
          </w:tcPr>
          <w:p w:rsidR="004D2C47" w:rsidRPr="004D2C47" w:rsidRDefault="004D2C47" w:rsidP="004D2C47">
            <w:pPr>
              <w:pStyle w:val="AERtabletextright"/>
              <w:cnfStyle w:val="000000010000" w:firstRow="0" w:lastRow="0" w:firstColumn="0" w:lastColumn="0" w:oddVBand="0" w:evenVBand="0" w:oddHBand="0" w:evenHBand="1" w:firstRowFirstColumn="0" w:firstRowLastColumn="0" w:lastRowFirstColumn="0" w:lastRowLastColumn="0"/>
            </w:pPr>
            <w:r w:rsidRPr="004D2C47">
              <w:t>-18.7%</w:t>
            </w:r>
          </w:p>
        </w:tc>
      </w:tr>
    </w:tbl>
    <w:p w:rsidR="00A4447D" w:rsidRDefault="00A4447D" w:rsidP="00A4447D">
      <w:pPr>
        <w:pStyle w:val="AERtablesource"/>
      </w:pPr>
      <w:r w:rsidRPr="00DE44F6">
        <w:t>Source:</w:t>
      </w:r>
      <w:r w:rsidRPr="00DE44F6">
        <w:tab/>
        <w:t>AER analysis.</w:t>
      </w:r>
    </w:p>
    <w:p w:rsidR="00333A31" w:rsidRDefault="00A4447D" w:rsidP="00A4447D">
      <w:pPr>
        <w:pStyle w:val="AERtablesource"/>
      </w:pPr>
      <w:r w:rsidRPr="00A91109">
        <w:t>Notes:</w:t>
      </w:r>
      <w:r w:rsidRPr="00A91109">
        <w:tab/>
        <w:t>(a) Including</w:t>
      </w:r>
      <w:r>
        <w:t xml:space="preserve"> </w:t>
      </w:r>
      <w:r w:rsidRPr="00A91109">
        <w:t>AER material and labour escalation adjustments</w:t>
      </w:r>
      <w:r>
        <w:t>.</w:t>
      </w:r>
    </w:p>
    <w:p w:rsidR="00CE2DD1" w:rsidRDefault="00984CC5" w:rsidP="00CE2DD1">
      <w:pPr>
        <w:pStyle w:val="AERtablesource"/>
      </w:pPr>
      <w:r>
        <w:tab/>
      </w:r>
      <w:r w:rsidR="00570784">
        <w:t xml:space="preserve">(b) </w:t>
      </w:r>
      <w:r w:rsidR="00CE2DD1">
        <w:t>Totals do not add as JGN claimed confidentiality over mines subsidence and related party margin expenditure.</w:t>
      </w:r>
    </w:p>
    <w:p w:rsidR="00D5082B" w:rsidRDefault="00D5082B" w:rsidP="0047287F">
      <w:pPr>
        <w:pStyle w:val="AERbodytext"/>
      </w:pPr>
      <w:r w:rsidRPr="00D5082B">
        <w:t xml:space="preserve">The reasons for </w:t>
      </w:r>
      <w:r w:rsidR="006457BC">
        <w:t>our</w:t>
      </w:r>
      <w:r w:rsidRPr="00D5082B">
        <w:t xml:space="preserve"> reductions are:</w:t>
      </w:r>
    </w:p>
    <w:p w:rsidR="00D5082B" w:rsidRDefault="00F9735E" w:rsidP="00D5082B">
      <w:pPr>
        <w:pStyle w:val="AERbulletlistfirststyle"/>
      </w:pPr>
      <w:r>
        <w:t xml:space="preserve">JGN </w:t>
      </w:r>
      <w:r w:rsidR="006457BC">
        <w:t xml:space="preserve">used an inconsistent basis for </w:t>
      </w:r>
      <w:r>
        <w:t>forecast</w:t>
      </w:r>
      <w:r w:rsidR="006457BC">
        <w:t>ing</w:t>
      </w:r>
      <w:r>
        <w:t xml:space="preserve"> unit rates for connections</w:t>
      </w:r>
      <w:r w:rsidR="006457BC">
        <w:t xml:space="preserve">, often only on the </w:t>
      </w:r>
      <w:r w:rsidR="002B75A1">
        <w:t>basis of one year of regional, material type and lay method composition</w:t>
      </w:r>
      <w:r>
        <w:t xml:space="preserve">. </w:t>
      </w:r>
      <w:r w:rsidR="006457BC">
        <w:t xml:space="preserve">To have confidence that a forecast is based on efficient costs, we would expect to see a consistent treatment of historical averages that includes </w:t>
      </w:r>
      <w:r w:rsidR="002B75A1">
        <w:t xml:space="preserve">at least three years of data to adequately capture differences in composition. </w:t>
      </w:r>
      <w:r>
        <w:t xml:space="preserve">We substituted a five year historical average of unit rates. Our demand forecast </w:t>
      </w:r>
      <w:r w:rsidR="002B75A1">
        <w:t>of the</w:t>
      </w:r>
      <w:r>
        <w:t xml:space="preserve"> total number of new connections </w:t>
      </w:r>
      <w:r w:rsidR="00632AE0">
        <w:t>is slightly low</w:t>
      </w:r>
      <w:r>
        <w:t>er than JGN's forecast. Together, our unit rate and volume changes explain a difference of $</w:t>
      </w:r>
      <w:r w:rsidR="00632AE0">
        <w:t>8</w:t>
      </w:r>
      <w:r w:rsidR="002B75A1">
        <w:t>4</w:t>
      </w:r>
      <w:r w:rsidR="00632AE0">
        <w:t>.</w:t>
      </w:r>
      <w:r w:rsidR="002B75A1">
        <w:t>6</w:t>
      </w:r>
      <w:r>
        <w:t xml:space="preserve"> million between JGN's proposed capex and our </w:t>
      </w:r>
      <w:r w:rsidR="006811B8">
        <w:t>capex forecast</w:t>
      </w:r>
      <w:r>
        <w:t>.</w:t>
      </w:r>
    </w:p>
    <w:p w:rsidR="00D5082B" w:rsidRDefault="00F9735E" w:rsidP="00D5082B">
      <w:pPr>
        <w:pStyle w:val="AERbulletlistfirststyle"/>
      </w:pPr>
      <w:r>
        <w:lastRenderedPageBreak/>
        <w:t xml:space="preserve">JGN </w:t>
      </w:r>
      <w:r w:rsidR="002B75A1">
        <w:t>applied its opex rate of change to network and corporate overheads</w:t>
      </w:r>
      <w:r w:rsidR="00D5082B">
        <w:t>.</w:t>
      </w:r>
      <w:r w:rsidR="002B75A1">
        <w:t xml:space="preserve"> </w:t>
      </w:r>
      <w:r w:rsidR="006457BC">
        <w:t>Consistent with our approach to escalating base opex, w</w:t>
      </w:r>
      <w:r w:rsidR="002B75A1">
        <w:t>e have substituted our forecast of opex rate of change.</w:t>
      </w:r>
      <w:r>
        <w:t xml:space="preserve"> </w:t>
      </w:r>
      <w:r w:rsidR="006457BC">
        <w:t xml:space="preserve">Further, we do not consider that JGN has adequately justified the basis of its forecast for direct overheads. </w:t>
      </w:r>
      <w:r w:rsidR="00BB38B8">
        <w:t>I</w:t>
      </w:r>
      <w:r>
        <w:t xml:space="preserve">n </w:t>
      </w:r>
      <w:r w:rsidR="002B75A1">
        <w:t>anticipation of receiving more information from JGN to substantiate their magnitude</w:t>
      </w:r>
      <w:r w:rsidR="00BB38B8">
        <w:t xml:space="preserve"> we have estimated direct overheads on the basis of the two years of data that JGN has made available. </w:t>
      </w:r>
      <w:r w:rsidR="002B75A1">
        <w:t xml:space="preserve">We </w:t>
      </w:r>
      <w:r w:rsidR="006811B8">
        <w:t xml:space="preserve">also </w:t>
      </w:r>
      <w:r w:rsidR="002B75A1">
        <w:t xml:space="preserve">adjusted </w:t>
      </w:r>
      <w:r w:rsidR="006811B8">
        <w:t xml:space="preserve">down </w:t>
      </w:r>
      <w:r w:rsidR="002B75A1">
        <w:t xml:space="preserve">the </w:t>
      </w:r>
      <w:r w:rsidR="006811B8">
        <w:t xml:space="preserve">amount of </w:t>
      </w:r>
      <w:r w:rsidR="002B75A1">
        <w:t>direct overheads</w:t>
      </w:r>
      <w:r w:rsidR="006811B8">
        <w:t xml:space="preserve"> included in our forecast</w:t>
      </w:r>
      <w:r w:rsidR="002B75A1">
        <w:t xml:space="preserve"> to account for </w:t>
      </w:r>
      <w:r w:rsidR="006811B8">
        <w:t xml:space="preserve">the </w:t>
      </w:r>
      <w:r w:rsidR="002B75A1">
        <w:t xml:space="preserve">direct overheads already captured in the historical unit rates we used to calculate </w:t>
      </w:r>
      <w:r>
        <w:t xml:space="preserve">our </w:t>
      </w:r>
      <w:r w:rsidR="006811B8">
        <w:t xml:space="preserve">forecast capex </w:t>
      </w:r>
      <w:r w:rsidR="002B75A1">
        <w:t xml:space="preserve">for connections. </w:t>
      </w:r>
      <w:r>
        <w:t>This accounts for a $</w:t>
      </w:r>
      <w:r w:rsidR="002B75A1">
        <w:t>35</w:t>
      </w:r>
      <w:r w:rsidR="00632AE0">
        <w:t>.</w:t>
      </w:r>
      <w:r w:rsidR="002B75A1">
        <w:t>4</w:t>
      </w:r>
      <w:r>
        <w:t xml:space="preserve"> million difference between JGN's proposed capex and our alternative estimate.</w:t>
      </w:r>
    </w:p>
    <w:p w:rsidR="00632AE0" w:rsidRPr="00632AE0" w:rsidRDefault="00632AE0" w:rsidP="00632AE0">
      <w:pPr>
        <w:pStyle w:val="AERbulletlistfirststyle"/>
      </w:pPr>
      <w:r>
        <w:t>For m</w:t>
      </w:r>
      <w:r w:rsidRPr="00632AE0">
        <w:t>eter renewal and upgrade</w:t>
      </w:r>
      <w:r>
        <w:t xml:space="preserve"> capex,</w:t>
      </w:r>
      <w:r w:rsidRPr="00632AE0">
        <w:t xml:space="preserve"> </w:t>
      </w:r>
      <w:r w:rsidR="00BB38B8">
        <w:t xml:space="preserve">we </w:t>
      </w:r>
      <w:r w:rsidR="00937496">
        <w:t>are not satisfied</w:t>
      </w:r>
      <w:r w:rsidR="00BB38B8">
        <w:t xml:space="preserve"> that </w:t>
      </w:r>
      <w:r w:rsidRPr="00632AE0">
        <w:t xml:space="preserve">JGN </w:t>
      </w:r>
      <w:r w:rsidR="00BB38B8">
        <w:t xml:space="preserve">has </w:t>
      </w:r>
      <w:r w:rsidRPr="00632AE0">
        <w:t>justif</w:t>
      </w:r>
      <w:r w:rsidR="00BB38B8">
        <w:t>ied</w:t>
      </w:r>
      <w:r w:rsidRPr="00632AE0">
        <w:t xml:space="preserve"> particular replacement programs or there were unjustified step ups in the volume of replacements.</w:t>
      </w:r>
      <w:r w:rsidR="00CC1A91">
        <w:t xml:space="preserve"> </w:t>
      </w:r>
      <w:r w:rsidR="00CC1A91" w:rsidRPr="00CC1A91">
        <w:t>This accounts for a $</w:t>
      </w:r>
      <w:r w:rsidR="00CC1A91">
        <w:t>3</w:t>
      </w:r>
      <w:r w:rsidR="002B75A1">
        <w:t>7</w:t>
      </w:r>
      <w:r w:rsidR="00CC1A91">
        <w:t>.</w:t>
      </w:r>
      <w:r w:rsidR="002B75A1">
        <w:t>0</w:t>
      </w:r>
      <w:r w:rsidR="00CC1A91" w:rsidRPr="00CC1A91">
        <w:t xml:space="preserve"> million difference between JGN's proposed capex and our alternative estimate.</w:t>
      </w:r>
    </w:p>
    <w:p w:rsidR="00F9735E" w:rsidRDefault="00A74AEA" w:rsidP="00632AE0">
      <w:pPr>
        <w:pStyle w:val="AERbulletlistfirststyle"/>
      </w:pPr>
      <w:r>
        <w:t>F</w:t>
      </w:r>
      <w:r w:rsidR="00632AE0">
        <w:t>or f</w:t>
      </w:r>
      <w:r>
        <w:t>acilities renewal and upgrad</w:t>
      </w:r>
      <w:r w:rsidR="00632AE0">
        <w:t xml:space="preserve">e capex, </w:t>
      </w:r>
      <w:r w:rsidR="00632AE0" w:rsidRPr="00632AE0">
        <w:t xml:space="preserve">JGN did not justify the need for some replacements. In some instances its proposed costs </w:t>
      </w:r>
      <w:r w:rsidR="00632AE0">
        <w:t xml:space="preserve">which we </w:t>
      </w:r>
      <w:r w:rsidR="00937496">
        <w:t xml:space="preserve">were not satisfied are </w:t>
      </w:r>
      <w:r w:rsidR="00632AE0" w:rsidRPr="00632AE0">
        <w:t>efficient.</w:t>
      </w:r>
      <w:r w:rsidR="00CC1A91">
        <w:t xml:space="preserve"> </w:t>
      </w:r>
      <w:r w:rsidR="00CC1A91" w:rsidRPr="00CC1A91">
        <w:t>This accounts for a $</w:t>
      </w:r>
      <w:r w:rsidR="00CC1A91">
        <w:t>2</w:t>
      </w:r>
      <w:r w:rsidR="00CC1A91" w:rsidRPr="00CC1A91">
        <w:t>5</w:t>
      </w:r>
      <w:r w:rsidR="00CC1A91">
        <w:t>.7</w:t>
      </w:r>
      <w:r w:rsidR="00CC1A91" w:rsidRPr="00CC1A91">
        <w:t xml:space="preserve"> million difference between JGN's proposed capex and our alternative estimate.</w:t>
      </w:r>
    </w:p>
    <w:p w:rsidR="008B4932" w:rsidRDefault="002B5813" w:rsidP="00A3053C">
      <w:pPr>
        <w:pStyle w:val="Heading2"/>
      </w:pPr>
      <w:bookmarkStart w:id="16" w:name="_Toc404676542"/>
      <w:bookmarkStart w:id="17" w:name="_Toc404676592"/>
      <w:r>
        <w:t>J</w:t>
      </w:r>
      <w:r w:rsidR="00D109F1">
        <w:t>GN</w:t>
      </w:r>
      <w:r>
        <w:t>'s proposal</w:t>
      </w:r>
      <w:bookmarkEnd w:id="16"/>
      <w:bookmarkEnd w:id="17"/>
    </w:p>
    <w:p w:rsidR="005E1F06" w:rsidRDefault="005E1F06" w:rsidP="005E1F06">
      <w:pPr>
        <w:pStyle w:val="HeadingBoldBlue"/>
      </w:pPr>
      <w:r w:rsidRPr="005E1F06">
        <w:t>20</w:t>
      </w:r>
      <w:r w:rsidR="00F31B3A">
        <w:t>09–</w:t>
      </w:r>
      <w:r w:rsidR="006661A3">
        <w:t>1</w:t>
      </w:r>
      <w:r w:rsidR="00207CB5">
        <w:t>4</w:t>
      </w:r>
      <w:r w:rsidRPr="005E1F06">
        <w:t xml:space="preserve"> period</w:t>
      </w:r>
    </w:p>
    <w:p w:rsidR="005E1F06" w:rsidRDefault="005E1F06" w:rsidP="005E1F06">
      <w:pPr>
        <w:pStyle w:val="AERbodytext"/>
      </w:pPr>
      <w:r>
        <w:t>JGN</w:t>
      </w:r>
      <w:r w:rsidRPr="005E1F06">
        <w:t xml:space="preserve"> proposed net total capex of $</w:t>
      </w:r>
      <w:r w:rsidR="00BB24F7">
        <w:t>775.8</w:t>
      </w:r>
      <w:r w:rsidRPr="005E1F06">
        <w:t xml:space="preserve"> million ($201</w:t>
      </w:r>
      <w:r>
        <w:t>5</w:t>
      </w:r>
      <w:r w:rsidRPr="005E1F06">
        <w:t>) for 20</w:t>
      </w:r>
      <w:r w:rsidR="006661A3">
        <w:t>09</w:t>
      </w:r>
      <w:r w:rsidR="00F31B3A">
        <w:t>–</w:t>
      </w:r>
      <w:r w:rsidR="006661A3">
        <w:t>1</w:t>
      </w:r>
      <w:r w:rsidR="00207CB5">
        <w:t>4</w:t>
      </w:r>
      <w:r w:rsidRPr="005E1F06">
        <w:t xml:space="preserve">. This is </w:t>
      </w:r>
      <w:r w:rsidR="00BB24F7">
        <w:t>0</w:t>
      </w:r>
      <w:r w:rsidR="00207CB5">
        <w:t>.4</w:t>
      </w:r>
      <w:r w:rsidRPr="005E1F06">
        <w:t xml:space="preserve"> per cent </w:t>
      </w:r>
      <w:r w:rsidR="00207CB5">
        <w:t>above</w:t>
      </w:r>
      <w:r w:rsidRPr="005E1F06">
        <w:t xml:space="preserve"> the </w:t>
      </w:r>
      <w:r w:rsidR="006B2C1C">
        <w:t>amount</w:t>
      </w:r>
      <w:r w:rsidRPr="005E1F06">
        <w:t xml:space="preserve"> approved by </w:t>
      </w:r>
      <w:r w:rsidR="00207CB5">
        <w:t>IPART</w:t>
      </w:r>
      <w:r w:rsidR="00F31B3A">
        <w:t xml:space="preserve"> for 2009-10 and </w:t>
      </w:r>
      <w:r w:rsidR="00AB3A65">
        <w:t>0.5</w:t>
      </w:r>
      <w:r w:rsidR="00F31B3A" w:rsidRPr="005E1F06">
        <w:t xml:space="preserve"> per cent below the </w:t>
      </w:r>
      <w:r w:rsidR="006B2C1C">
        <w:t>amount</w:t>
      </w:r>
      <w:r w:rsidR="00F31B3A" w:rsidRPr="005E1F06">
        <w:t xml:space="preserve"> approved by the </w:t>
      </w:r>
      <w:r w:rsidR="00F31B3A">
        <w:t>AER for the 2010</w:t>
      </w:r>
      <w:r w:rsidR="00C03E43">
        <w:t>–</w:t>
      </w:r>
      <w:r w:rsidR="00F31B3A">
        <w:t>1</w:t>
      </w:r>
      <w:r w:rsidR="00207CB5">
        <w:t>4</w:t>
      </w:r>
      <w:r w:rsidR="00F31B3A">
        <w:t xml:space="preserve"> access arrangement period</w:t>
      </w:r>
      <w:r w:rsidRPr="005E1F06">
        <w:t>.</w:t>
      </w:r>
    </w:p>
    <w:p w:rsidR="00642F6F" w:rsidRDefault="00642F6F" w:rsidP="00642F6F">
      <w:pPr>
        <w:pStyle w:val="Caption"/>
        <w:rPr>
          <w:rFonts w:eastAsia="Calibri"/>
        </w:rPr>
      </w:pPr>
      <w:r>
        <w:t xml:space="preserve">Table </w:t>
      </w:r>
      <w:fldSimple w:instr=" STYLEREF 1 \s ">
        <w:r w:rsidR="0029475D">
          <w:rPr>
            <w:noProof/>
          </w:rPr>
          <w:t>6</w:t>
        </w:r>
      </w:fldSimple>
      <w:r w:rsidR="009F7369">
        <w:noBreakHyphen/>
      </w:r>
      <w:fldSimple w:instr=" SEQ Table \* ARABIC \s 1 ">
        <w:r w:rsidR="0029475D">
          <w:rPr>
            <w:noProof/>
          </w:rPr>
          <w:t>4</w:t>
        </w:r>
      </w:fldSimple>
      <w:r>
        <w:tab/>
        <w:t xml:space="preserve">JGN's </w:t>
      </w:r>
      <w:r w:rsidRPr="00642F6F">
        <w:rPr>
          <w:rFonts w:eastAsia="Calibri"/>
        </w:rPr>
        <w:t>proposed capital expenditure over 20</w:t>
      </w:r>
      <w:r w:rsidR="005A3660">
        <w:rPr>
          <w:rFonts w:eastAsia="Calibri"/>
        </w:rPr>
        <w:t>09-</w:t>
      </w:r>
      <w:r>
        <w:rPr>
          <w:rFonts w:eastAsia="Calibri"/>
        </w:rPr>
        <w:t>1</w:t>
      </w:r>
      <w:r w:rsidRPr="00642F6F">
        <w:rPr>
          <w:rFonts w:eastAsia="Calibri"/>
        </w:rPr>
        <w:t>0</w:t>
      </w:r>
      <w:r w:rsidR="005A3660">
        <w:rPr>
          <w:rFonts w:eastAsia="Calibri"/>
        </w:rPr>
        <w:t xml:space="preserve"> to 2013-14</w:t>
      </w:r>
      <w:r w:rsidRPr="00642F6F">
        <w:rPr>
          <w:rFonts w:eastAsia="Calibri"/>
        </w:rPr>
        <w:t xml:space="preserve"> ($million, 201</w:t>
      </w:r>
      <w:r>
        <w:rPr>
          <w:rFonts w:eastAsia="Calibri"/>
        </w:rPr>
        <w:t>5</w:t>
      </w:r>
      <w:r w:rsidRPr="00642F6F">
        <w:rPr>
          <w:rFonts w:eastAsia="Calibri"/>
        </w:rPr>
        <w:t>)</w:t>
      </w:r>
    </w:p>
    <w:tbl>
      <w:tblPr>
        <w:tblStyle w:val="AERtable-numbers"/>
        <w:tblW w:w="5000" w:type="pct"/>
        <w:tblLook w:val="04A0" w:firstRow="1" w:lastRow="0" w:firstColumn="1" w:lastColumn="0" w:noHBand="0" w:noVBand="1"/>
      </w:tblPr>
      <w:tblGrid>
        <w:gridCol w:w="3369"/>
        <w:gridCol w:w="977"/>
        <w:gridCol w:w="980"/>
        <w:gridCol w:w="980"/>
        <w:gridCol w:w="980"/>
        <w:gridCol w:w="980"/>
        <w:gridCol w:w="976"/>
      </w:tblGrid>
      <w:tr w:rsidR="00051586" w:rsidRPr="004F416F" w:rsidTr="00DF72C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23" w:type="pct"/>
            <w:hideMark/>
          </w:tcPr>
          <w:p w:rsidR="00051586" w:rsidRPr="00413233" w:rsidRDefault="00051586" w:rsidP="00051586">
            <w:r w:rsidRPr="00413233">
              <w:t> Category</w:t>
            </w:r>
          </w:p>
        </w:tc>
        <w:tc>
          <w:tcPr>
            <w:tcW w:w="529" w:type="pct"/>
            <w:hideMark/>
          </w:tcPr>
          <w:p w:rsidR="00051586" w:rsidRPr="00051586" w:rsidRDefault="00051586" w:rsidP="00DF72CB">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t>09-</w:t>
            </w:r>
            <w:r w:rsidRPr="00051586">
              <w:t>10</w:t>
            </w:r>
          </w:p>
        </w:tc>
        <w:tc>
          <w:tcPr>
            <w:tcW w:w="530" w:type="pct"/>
            <w:hideMark/>
          </w:tcPr>
          <w:p w:rsidR="00051586" w:rsidRPr="00051586" w:rsidRDefault="00051586" w:rsidP="00DF72CB">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051586">
              <w:t>10-11</w:t>
            </w:r>
          </w:p>
        </w:tc>
        <w:tc>
          <w:tcPr>
            <w:tcW w:w="530" w:type="pct"/>
            <w:hideMark/>
          </w:tcPr>
          <w:p w:rsidR="00051586" w:rsidRPr="00051586" w:rsidRDefault="00051586" w:rsidP="00DF72CB">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051586">
              <w:t>11-12</w:t>
            </w:r>
          </w:p>
        </w:tc>
        <w:tc>
          <w:tcPr>
            <w:tcW w:w="530" w:type="pct"/>
            <w:hideMark/>
          </w:tcPr>
          <w:p w:rsidR="00051586" w:rsidRPr="00051586" w:rsidRDefault="00051586" w:rsidP="00DF72CB">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051586">
              <w:t>12-13</w:t>
            </w:r>
          </w:p>
        </w:tc>
        <w:tc>
          <w:tcPr>
            <w:tcW w:w="530" w:type="pct"/>
            <w:hideMark/>
          </w:tcPr>
          <w:p w:rsidR="00051586" w:rsidRPr="00051586" w:rsidRDefault="00051586" w:rsidP="00DF72CB">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051586">
              <w:t>3-14</w:t>
            </w:r>
          </w:p>
        </w:tc>
        <w:tc>
          <w:tcPr>
            <w:tcW w:w="528" w:type="pct"/>
          </w:tcPr>
          <w:p w:rsidR="00051586" w:rsidRPr="00051586" w:rsidRDefault="00051586" w:rsidP="00DF72CB">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051586">
              <w:t>4-15</w:t>
            </w:r>
          </w:p>
        </w:tc>
      </w:tr>
      <w:tr w:rsidR="00DF72CB" w:rsidRPr="004F416F" w:rsidTr="00DF72CB">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DF72CB" w:rsidRPr="00DF72CB" w:rsidRDefault="00DF72CB" w:rsidP="00DF72CB">
            <w:r w:rsidRPr="00DF72CB">
              <w:t>Connections/Market expansion</w:t>
            </w:r>
          </w:p>
        </w:tc>
        <w:tc>
          <w:tcPr>
            <w:tcW w:w="529"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46.3</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51.3</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55.3</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62.6</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78.6</w:t>
            </w:r>
          </w:p>
        </w:tc>
        <w:tc>
          <w:tcPr>
            <w:tcW w:w="528"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75.0</w:t>
            </w:r>
          </w:p>
        </w:tc>
      </w:tr>
      <w:tr w:rsidR="00DF72CB" w:rsidRPr="004F416F" w:rsidTr="00DF72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DF72CB" w:rsidRPr="00DF72CB" w:rsidRDefault="00DF72CB" w:rsidP="00DF72CB">
            <w:r w:rsidRPr="00DF72CB">
              <w:t>Augmentation/Growth capacity</w:t>
            </w:r>
          </w:p>
        </w:tc>
        <w:tc>
          <w:tcPr>
            <w:tcW w:w="529"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11.6</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31.6</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28.9</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6.0</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7.0</w:t>
            </w:r>
          </w:p>
        </w:tc>
        <w:tc>
          <w:tcPr>
            <w:tcW w:w="528"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6.8</w:t>
            </w:r>
          </w:p>
        </w:tc>
      </w:tr>
      <w:tr w:rsidR="00DF72CB" w:rsidRPr="004F416F" w:rsidTr="00DF72CB">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DF72CB" w:rsidRPr="00DF72CB" w:rsidRDefault="00DF72CB" w:rsidP="00DF72CB">
            <w:r w:rsidRPr="00DF72CB">
              <w:t>Mains and service renewal</w:t>
            </w:r>
          </w:p>
        </w:tc>
        <w:tc>
          <w:tcPr>
            <w:tcW w:w="529"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0.8</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0.1</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5.0</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4.2</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7.7</w:t>
            </w:r>
          </w:p>
        </w:tc>
        <w:tc>
          <w:tcPr>
            <w:tcW w:w="528"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7.0</w:t>
            </w:r>
          </w:p>
        </w:tc>
      </w:tr>
      <w:tr w:rsidR="00DF72CB" w:rsidRPr="004F416F" w:rsidTr="00DF72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DF72CB" w:rsidRPr="00DF72CB" w:rsidRDefault="00DF72CB" w:rsidP="00DF72CB">
            <w:r w:rsidRPr="00DF72CB">
              <w:t>Facilities renewal and upgrade</w:t>
            </w:r>
          </w:p>
        </w:tc>
        <w:tc>
          <w:tcPr>
            <w:tcW w:w="529"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9.0</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7.9</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17.9</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10.5</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10.7</w:t>
            </w:r>
          </w:p>
        </w:tc>
        <w:tc>
          <w:tcPr>
            <w:tcW w:w="528"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21.2</w:t>
            </w:r>
          </w:p>
        </w:tc>
      </w:tr>
      <w:tr w:rsidR="00DF72CB" w:rsidRPr="004F416F" w:rsidTr="00DF72CB">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DF72CB" w:rsidRPr="00DF72CB" w:rsidRDefault="00DF72CB" w:rsidP="00DF72CB">
            <w:r w:rsidRPr="00DF72CB">
              <w:t>SCADA</w:t>
            </w:r>
          </w:p>
        </w:tc>
        <w:tc>
          <w:tcPr>
            <w:tcW w:w="529"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0.4</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0.3</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0.2</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1.2</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0.8</w:t>
            </w:r>
          </w:p>
        </w:tc>
        <w:tc>
          <w:tcPr>
            <w:tcW w:w="528"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1.0</w:t>
            </w:r>
          </w:p>
        </w:tc>
      </w:tr>
      <w:tr w:rsidR="00DF72CB" w:rsidRPr="004F416F" w:rsidTr="00DF72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DF72CB" w:rsidRPr="00DF72CB" w:rsidRDefault="00DF72CB" w:rsidP="00DF72CB">
            <w:r w:rsidRPr="00DF72CB">
              <w:t>Meter renewal and upgrade</w:t>
            </w:r>
          </w:p>
        </w:tc>
        <w:tc>
          <w:tcPr>
            <w:tcW w:w="529"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14.3</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13.1</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15.8</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13.3</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19.4</w:t>
            </w:r>
          </w:p>
        </w:tc>
        <w:tc>
          <w:tcPr>
            <w:tcW w:w="528"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25.1</w:t>
            </w:r>
          </w:p>
        </w:tc>
      </w:tr>
      <w:tr w:rsidR="00DF72CB" w:rsidRPr="004F416F" w:rsidTr="00DF72CB">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DF72CB" w:rsidRPr="00DF72CB" w:rsidRDefault="00DF72CB" w:rsidP="00DF72CB">
            <w:r w:rsidRPr="00DF72CB">
              <w:t>Government authority work</w:t>
            </w:r>
          </w:p>
        </w:tc>
        <w:tc>
          <w:tcPr>
            <w:tcW w:w="529"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0.0</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0.1</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0.1</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0.4</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0.7</w:t>
            </w:r>
          </w:p>
        </w:tc>
        <w:tc>
          <w:tcPr>
            <w:tcW w:w="528"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0.4</w:t>
            </w:r>
          </w:p>
        </w:tc>
      </w:tr>
      <w:tr w:rsidR="00DF72CB" w:rsidRPr="004F416F" w:rsidTr="00DF72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DF72CB" w:rsidRPr="00DF72CB" w:rsidRDefault="00DF72CB" w:rsidP="00DF72CB">
            <w:r w:rsidRPr="00DF72CB">
              <w:t>IT</w:t>
            </w:r>
          </w:p>
        </w:tc>
        <w:tc>
          <w:tcPr>
            <w:tcW w:w="529"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0.0</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41.3</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28.0</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12.7</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11.6</w:t>
            </w:r>
          </w:p>
        </w:tc>
        <w:tc>
          <w:tcPr>
            <w:tcW w:w="528"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38.6</w:t>
            </w:r>
          </w:p>
        </w:tc>
      </w:tr>
      <w:tr w:rsidR="00DF72CB" w:rsidRPr="004F416F" w:rsidTr="00DF72CB">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DF72CB" w:rsidRPr="00DF72CB" w:rsidRDefault="00DF72CB" w:rsidP="00DF72CB">
            <w:r w:rsidRPr="00DF72CB">
              <w:t>Other - non-distribution</w:t>
            </w:r>
          </w:p>
        </w:tc>
        <w:tc>
          <w:tcPr>
            <w:tcW w:w="529"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7.7</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6.3</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4.3</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5.3</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27.9</w:t>
            </w:r>
          </w:p>
        </w:tc>
        <w:tc>
          <w:tcPr>
            <w:tcW w:w="528"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46.6</w:t>
            </w:r>
          </w:p>
        </w:tc>
      </w:tr>
      <w:tr w:rsidR="00DF72CB" w:rsidRPr="004F416F" w:rsidTr="00DF72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DF72CB" w:rsidRPr="00DF72CB" w:rsidRDefault="00DF72CB" w:rsidP="00DF72CB">
            <w:r w:rsidRPr="00DF72CB">
              <w:t>Overheads</w:t>
            </w:r>
          </w:p>
        </w:tc>
        <w:tc>
          <w:tcPr>
            <w:tcW w:w="529"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15.6</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17.6</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23.3</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24.2</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25.7</w:t>
            </w:r>
          </w:p>
        </w:tc>
        <w:tc>
          <w:tcPr>
            <w:tcW w:w="528"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26.2</w:t>
            </w:r>
          </w:p>
        </w:tc>
      </w:tr>
      <w:tr w:rsidR="00DF72CB" w:rsidRPr="004F416F" w:rsidTr="00DF72CB">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DF72CB" w:rsidRPr="00DF72CB" w:rsidRDefault="00DF72CB" w:rsidP="00DF72CB">
            <w:r w:rsidRPr="00DF72CB">
              <w:lastRenderedPageBreak/>
              <w:t>GROSS TOTAL CAPITAL EXPENDITURE</w:t>
            </w:r>
          </w:p>
        </w:tc>
        <w:tc>
          <w:tcPr>
            <w:tcW w:w="529"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107.9</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185.5</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189.1</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143.3</w:t>
            </w:r>
          </w:p>
        </w:tc>
        <w:tc>
          <w:tcPr>
            <w:tcW w:w="530"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191.0</w:t>
            </w:r>
          </w:p>
        </w:tc>
        <w:tc>
          <w:tcPr>
            <w:tcW w:w="528" w:type="pct"/>
            <w:vAlign w:val="top"/>
          </w:tcPr>
          <w:p w:rsidR="00DF72CB" w:rsidRPr="00DF72CB" w:rsidRDefault="00DF72CB" w:rsidP="00DF72CB">
            <w:pPr>
              <w:pStyle w:val="AERtabletextright"/>
              <w:cnfStyle w:val="000000000000" w:firstRow="0" w:lastRow="0" w:firstColumn="0" w:lastColumn="0" w:oddVBand="0" w:evenVBand="0" w:oddHBand="0" w:evenHBand="0" w:firstRowFirstColumn="0" w:firstRowLastColumn="0" w:lastRowFirstColumn="0" w:lastRowLastColumn="0"/>
            </w:pPr>
            <w:r w:rsidRPr="00DF72CB">
              <w:t>249.0</w:t>
            </w:r>
          </w:p>
        </w:tc>
      </w:tr>
      <w:tr w:rsidR="00DF72CB" w:rsidRPr="004F416F" w:rsidTr="00DF72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DF72CB" w:rsidRPr="00DF72CB" w:rsidRDefault="00DF72CB" w:rsidP="00DF72CB">
            <w:r w:rsidRPr="00DF72CB">
              <w:t>Contributions</w:t>
            </w:r>
          </w:p>
        </w:tc>
        <w:tc>
          <w:tcPr>
            <w:tcW w:w="529"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2.4</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3.3</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2.4</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2.9</w:t>
            </w:r>
          </w:p>
        </w:tc>
        <w:tc>
          <w:tcPr>
            <w:tcW w:w="530"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2.9</w:t>
            </w:r>
          </w:p>
        </w:tc>
        <w:tc>
          <w:tcPr>
            <w:tcW w:w="528" w:type="pct"/>
            <w:vAlign w:val="top"/>
          </w:tcPr>
          <w:p w:rsidR="00DF72CB" w:rsidRPr="00DF72CB" w:rsidRDefault="00DF72CB" w:rsidP="00DF72CB">
            <w:pPr>
              <w:pStyle w:val="AERtabletextright"/>
              <w:cnfStyle w:val="000000010000" w:firstRow="0" w:lastRow="0" w:firstColumn="0" w:lastColumn="0" w:oddVBand="0" w:evenVBand="0" w:oddHBand="0" w:evenHBand="1" w:firstRowFirstColumn="0" w:firstRowLastColumn="0" w:lastRowFirstColumn="0" w:lastRowLastColumn="0"/>
            </w:pPr>
            <w:r w:rsidRPr="00DF72CB">
              <w:t>2.8</w:t>
            </w:r>
          </w:p>
        </w:tc>
      </w:tr>
      <w:tr w:rsidR="00096065" w:rsidRPr="004F416F" w:rsidTr="00DF72CB">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tcPr>
          <w:p w:rsidR="00096065" w:rsidRPr="00096065" w:rsidRDefault="00096065" w:rsidP="00096065">
            <w:r w:rsidRPr="00096065">
              <w:t>Asset disposals</w:t>
            </w:r>
          </w:p>
        </w:tc>
        <w:tc>
          <w:tcPr>
            <w:tcW w:w="529" w:type="pct"/>
            <w:vAlign w:val="top"/>
          </w:tcPr>
          <w:p w:rsidR="00096065" w:rsidRPr="00096065" w:rsidRDefault="00096065" w:rsidP="00096065">
            <w:pPr>
              <w:pStyle w:val="AERtabletextright"/>
              <w:cnfStyle w:val="000000000000" w:firstRow="0" w:lastRow="0" w:firstColumn="0" w:lastColumn="0" w:oddVBand="0" w:evenVBand="0" w:oddHBand="0" w:evenHBand="0" w:firstRowFirstColumn="0" w:firstRowLastColumn="0" w:lastRowFirstColumn="0" w:lastRowLastColumn="0"/>
            </w:pPr>
            <w:r w:rsidRPr="00096065">
              <w:t>0.2</w:t>
            </w:r>
          </w:p>
        </w:tc>
        <w:tc>
          <w:tcPr>
            <w:tcW w:w="530" w:type="pct"/>
            <w:vAlign w:val="top"/>
          </w:tcPr>
          <w:p w:rsidR="00096065" w:rsidRPr="00096065" w:rsidRDefault="00096065" w:rsidP="00096065">
            <w:pPr>
              <w:pStyle w:val="AERtabletextright"/>
              <w:cnfStyle w:val="000000000000" w:firstRow="0" w:lastRow="0" w:firstColumn="0" w:lastColumn="0" w:oddVBand="0" w:evenVBand="0" w:oddHBand="0" w:evenHBand="0" w:firstRowFirstColumn="0" w:firstRowLastColumn="0" w:lastRowFirstColumn="0" w:lastRowLastColumn="0"/>
            </w:pPr>
            <w:r w:rsidRPr="00096065">
              <w:t>7.2</w:t>
            </w:r>
          </w:p>
        </w:tc>
        <w:tc>
          <w:tcPr>
            <w:tcW w:w="530" w:type="pct"/>
            <w:vAlign w:val="top"/>
          </w:tcPr>
          <w:p w:rsidR="00096065" w:rsidRPr="00096065" w:rsidRDefault="00096065" w:rsidP="00096065">
            <w:pPr>
              <w:pStyle w:val="AERtabletextright"/>
              <w:cnfStyle w:val="000000000000" w:firstRow="0" w:lastRow="0" w:firstColumn="0" w:lastColumn="0" w:oddVBand="0" w:evenVBand="0" w:oddHBand="0" w:evenHBand="0" w:firstRowFirstColumn="0" w:firstRowLastColumn="0" w:lastRowFirstColumn="0" w:lastRowLastColumn="0"/>
            </w:pPr>
            <w:r w:rsidRPr="00096065">
              <w:t>3.2</w:t>
            </w:r>
          </w:p>
        </w:tc>
        <w:tc>
          <w:tcPr>
            <w:tcW w:w="530" w:type="pct"/>
            <w:vAlign w:val="top"/>
          </w:tcPr>
          <w:p w:rsidR="00096065" w:rsidRPr="00096065" w:rsidRDefault="00096065" w:rsidP="00096065">
            <w:pPr>
              <w:pStyle w:val="AERtabletextright"/>
              <w:cnfStyle w:val="000000000000" w:firstRow="0" w:lastRow="0" w:firstColumn="0" w:lastColumn="0" w:oddVBand="0" w:evenVBand="0" w:oddHBand="0" w:evenHBand="0" w:firstRowFirstColumn="0" w:firstRowLastColumn="0" w:lastRowFirstColumn="0" w:lastRowLastColumn="0"/>
            </w:pPr>
            <w:r w:rsidRPr="00096065">
              <w:t>1.8</w:t>
            </w:r>
          </w:p>
        </w:tc>
        <w:tc>
          <w:tcPr>
            <w:tcW w:w="530" w:type="pct"/>
            <w:vAlign w:val="top"/>
          </w:tcPr>
          <w:p w:rsidR="00096065" w:rsidRPr="00096065" w:rsidRDefault="00096065" w:rsidP="00096065">
            <w:pPr>
              <w:pStyle w:val="AERtabletextright"/>
              <w:cnfStyle w:val="000000000000" w:firstRow="0" w:lastRow="0" w:firstColumn="0" w:lastColumn="0" w:oddVBand="0" w:evenVBand="0" w:oddHBand="0" w:evenHBand="0" w:firstRowFirstColumn="0" w:firstRowLastColumn="0" w:lastRowFirstColumn="0" w:lastRowLastColumn="0"/>
            </w:pPr>
            <w:r w:rsidRPr="00096065">
              <w:t>0.2</w:t>
            </w:r>
          </w:p>
        </w:tc>
        <w:tc>
          <w:tcPr>
            <w:tcW w:w="528" w:type="pct"/>
            <w:vAlign w:val="top"/>
          </w:tcPr>
          <w:p w:rsidR="00096065" w:rsidRPr="00096065" w:rsidRDefault="00096065" w:rsidP="00096065">
            <w:pPr>
              <w:pStyle w:val="AERtabletextright"/>
              <w:cnfStyle w:val="000000000000" w:firstRow="0" w:lastRow="0" w:firstColumn="0" w:lastColumn="0" w:oddVBand="0" w:evenVBand="0" w:oddHBand="0" w:evenHBand="0" w:firstRowFirstColumn="0" w:firstRowLastColumn="0" w:lastRowFirstColumn="0" w:lastRowLastColumn="0"/>
            </w:pPr>
            <w:r w:rsidRPr="00096065">
              <w:t>0.1</w:t>
            </w:r>
          </w:p>
        </w:tc>
      </w:tr>
      <w:tr w:rsidR="00096065" w:rsidRPr="004F416F" w:rsidTr="00DF72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tcPr>
          <w:p w:rsidR="00096065" w:rsidRPr="00096065" w:rsidRDefault="00096065" w:rsidP="00096065">
            <w:r w:rsidRPr="00096065">
              <w:t>NET TOTAL CAPITAL EXPENDITURE</w:t>
            </w:r>
          </w:p>
        </w:tc>
        <w:tc>
          <w:tcPr>
            <w:tcW w:w="529" w:type="pct"/>
            <w:vAlign w:val="top"/>
          </w:tcPr>
          <w:p w:rsidR="00096065" w:rsidRPr="00096065" w:rsidRDefault="00096065" w:rsidP="00096065">
            <w:pPr>
              <w:pStyle w:val="AERtabletextright"/>
              <w:cnfStyle w:val="000000010000" w:firstRow="0" w:lastRow="0" w:firstColumn="0" w:lastColumn="0" w:oddVBand="0" w:evenVBand="0" w:oddHBand="0" w:evenHBand="1" w:firstRowFirstColumn="0" w:firstRowLastColumn="0" w:lastRowFirstColumn="0" w:lastRowLastColumn="0"/>
            </w:pPr>
            <w:r w:rsidRPr="00096065">
              <w:t>104.4</w:t>
            </w:r>
          </w:p>
        </w:tc>
        <w:tc>
          <w:tcPr>
            <w:tcW w:w="530" w:type="pct"/>
            <w:vAlign w:val="top"/>
          </w:tcPr>
          <w:p w:rsidR="00096065" w:rsidRPr="00096065" w:rsidRDefault="00096065" w:rsidP="00096065">
            <w:pPr>
              <w:pStyle w:val="AERtabletextright"/>
              <w:cnfStyle w:val="000000010000" w:firstRow="0" w:lastRow="0" w:firstColumn="0" w:lastColumn="0" w:oddVBand="0" w:evenVBand="0" w:oddHBand="0" w:evenHBand="1" w:firstRowFirstColumn="0" w:firstRowLastColumn="0" w:lastRowFirstColumn="0" w:lastRowLastColumn="0"/>
            </w:pPr>
            <w:r w:rsidRPr="00096065">
              <w:t>169.9</w:t>
            </w:r>
          </w:p>
        </w:tc>
        <w:tc>
          <w:tcPr>
            <w:tcW w:w="530" w:type="pct"/>
            <w:vAlign w:val="top"/>
          </w:tcPr>
          <w:p w:rsidR="00096065" w:rsidRPr="00096065" w:rsidRDefault="00096065" w:rsidP="00096065">
            <w:pPr>
              <w:pStyle w:val="AERtabletextright"/>
              <w:cnfStyle w:val="000000010000" w:firstRow="0" w:lastRow="0" w:firstColumn="0" w:lastColumn="0" w:oddVBand="0" w:evenVBand="0" w:oddHBand="0" w:evenHBand="1" w:firstRowFirstColumn="0" w:firstRowLastColumn="0" w:lastRowFirstColumn="0" w:lastRowLastColumn="0"/>
            </w:pPr>
            <w:r w:rsidRPr="00096065">
              <w:t>181.9</w:t>
            </w:r>
          </w:p>
        </w:tc>
        <w:tc>
          <w:tcPr>
            <w:tcW w:w="530" w:type="pct"/>
            <w:vAlign w:val="top"/>
          </w:tcPr>
          <w:p w:rsidR="00096065" w:rsidRPr="00096065" w:rsidRDefault="00096065" w:rsidP="00096065">
            <w:pPr>
              <w:pStyle w:val="AERtabletextright"/>
              <w:cnfStyle w:val="000000010000" w:firstRow="0" w:lastRow="0" w:firstColumn="0" w:lastColumn="0" w:oddVBand="0" w:evenVBand="0" w:oddHBand="0" w:evenHBand="1" w:firstRowFirstColumn="0" w:firstRowLastColumn="0" w:lastRowFirstColumn="0" w:lastRowLastColumn="0"/>
            </w:pPr>
            <w:r w:rsidRPr="00096065">
              <w:t>135.8</w:t>
            </w:r>
          </w:p>
        </w:tc>
        <w:tc>
          <w:tcPr>
            <w:tcW w:w="530" w:type="pct"/>
            <w:vAlign w:val="top"/>
          </w:tcPr>
          <w:p w:rsidR="00096065" w:rsidRPr="00096065" w:rsidRDefault="00096065" w:rsidP="00096065">
            <w:pPr>
              <w:pStyle w:val="AERtabletextright"/>
              <w:cnfStyle w:val="000000010000" w:firstRow="0" w:lastRow="0" w:firstColumn="0" w:lastColumn="0" w:oddVBand="0" w:evenVBand="0" w:oddHBand="0" w:evenHBand="1" w:firstRowFirstColumn="0" w:firstRowLastColumn="0" w:lastRowFirstColumn="0" w:lastRowLastColumn="0"/>
            </w:pPr>
            <w:r w:rsidRPr="00096065">
              <w:t>183.9</w:t>
            </w:r>
          </w:p>
        </w:tc>
        <w:tc>
          <w:tcPr>
            <w:tcW w:w="528" w:type="pct"/>
            <w:vAlign w:val="top"/>
          </w:tcPr>
          <w:p w:rsidR="00096065" w:rsidRPr="00096065" w:rsidRDefault="00096065" w:rsidP="00096065">
            <w:pPr>
              <w:pStyle w:val="AERtabletextright"/>
              <w:cnfStyle w:val="000000010000" w:firstRow="0" w:lastRow="0" w:firstColumn="0" w:lastColumn="0" w:oddVBand="0" w:evenVBand="0" w:oddHBand="0" w:evenHBand="1" w:firstRowFirstColumn="0" w:firstRowLastColumn="0" w:lastRowFirstColumn="0" w:lastRowLastColumn="0"/>
            </w:pPr>
            <w:r w:rsidRPr="00096065">
              <w:t>238.9</w:t>
            </w:r>
          </w:p>
        </w:tc>
      </w:tr>
    </w:tbl>
    <w:p w:rsidR="00984CC5" w:rsidRDefault="0004576C" w:rsidP="00984CC5">
      <w:pPr>
        <w:pStyle w:val="AERtablesource"/>
      </w:pPr>
      <w:r w:rsidRPr="0004576C">
        <w:t>Source:</w:t>
      </w:r>
      <w:r w:rsidRPr="0004576C">
        <w:tab/>
      </w:r>
      <w:r w:rsidR="00296316">
        <w:t xml:space="preserve">JGN, </w:t>
      </w:r>
      <w:r w:rsidR="00296316" w:rsidRPr="00DD4387">
        <w:rPr>
          <w:rStyle w:val="AERtextitalic"/>
        </w:rPr>
        <w:t>2015-20 Access Arrangement Information</w:t>
      </w:r>
      <w:r w:rsidR="00296316">
        <w:t xml:space="preserve">, </w:t>
      </w:r>
      <w:r w:rsidR="00296316" w:rsidRPr="00DD4387">
        <w:t>Appendix A to the AA RIN response - Regulatory templates (CONFIDENTIAL) [UPDATE].XLSM</w:t>
      </w:r>
      <w:r w:rsidRPr="0004576C">
        <w:t>.</w:t>
      </w:r>
    </w:p>
    <w:p w:rsidR="00984CC5" w:rsidRPr="00984CC5" w:rsidRDefault="00984CC5" w:rsidP="007533E2">
      <w:pPr>
        <w:pStyle w:val="AERtablesource"/>
      </w:pPr>
      <w:r>
        <w:t>Note:</w:t>
      </w:r>
      <w:r>
        <w:tab/>
      </w:r>
      <w:r w:rsidR="00CE2DD1">
        <w:t>Totals do not add as JGN claimed confidentiality over mines subsidence and related party margin expenditure.</w:t>
      </w:r>
    </w:p>
    <w:p w:rsidR="00DD4387" w:rsidRDefault="00DD4387" w:rsidP="00DD4387">
      <w:pPr>
        <w:pStyle w:val="HeadingBoldBlue"/>
      </w:pPr>
      <w:r w:rsidRPr="00DD4387">
        <w:t>201</w:t>
      </w:r>
      <w:r>
        <w:t>5</w:t>
      </w:r>
      <w:r w:rsidRPr="00DD4387">
        <w:t>–</w:t>
      </w:r>
      <w:r>
        <w:t>20</w:t>
      </w:r>
      <w:r w:rsidRPr="00DD4387">
        <w:t xml:space="preserve"> access arrangement period</w:t>
      </w:r>
    </w:p>
    <w:p w:rsidR="00DD4387" w:rsidRDefault="00DD4387" w:rsidP="00DD4387">
      <w:pPr>
        <w:pStyle w:val="AERbodytext"/>
      </w:pPr>
      <w:r>
        <w:t>JGN</w:t>
      </w:r>
      <w:r w:rsidRPr="00DD4387">
        <w:t xml:space="preserve"> proposed net total capex of $</w:t>
      </w:r>
      <w:r>
        <w:t>1,1</w:t>
      </w:r>
      <w:r w:rsidR="00BF1909">
        <w:t>3</w:t>
      </w:r>
      <w:r w:rsidR="00AB3A65">
        <w:t>0</w:t>
      </w:r>
      <w:r>
        <w:t>.</w:t>
      </w:r>
      <w:r w:rsidR="00AB3A65">
        <w:t>4</w:t>
      </w:r>
      <w:r w:rsidRPr="00DD4387">
        <w:t xml:space="preserve"> million ($201</w:t>
      </w:r>
      <w:r>
        <w:t>5</w:t>
      </w:r>
      <w:r w:rsidRPr="00DD4387">
        <w:t>) for the 201</w:t>
      </w:r>
      <w:r>
        <w:t>5</w:t>
      </w:r>
      <w:r w:rsidRPr="00DD4387">
        <w:t>–</w:t>
      </w:r>
      <w:r>
        <w:t>20</w:t>
      </w:r>
      <w:r w:rsidRPr="00DD4387">
        <w:t xml:space="preserve"> access arrangement period. This represents a real increase of </w:t>
      </w:r>
      <w:r w:rsidR="0051172A">
        <w:t>29.</w:t>
      </w:r>
      <w:r w:rsidR="00AB3A65">
        <w:t>6</w:t>
      </w:r>
      <w:r w:rsidRPr="00DD4387">
        <w:t xml:space="preserve"> per cent over the </w:t>
      </w:r>
      <w:r w:rsidR="006B2C1C">
        <w:t>amount</w:t>
      </w:r>
      <w:r w:rsidR="006B2C1C" w:rsidRPr="00DD4387">
        <w:t xml:space="preserve"> </w:t>
      </w:r>
      <w:r w:rsidRPr="00DD4387">
        <w:t xml:space="preserve">approved by the </w:t>
      </w:r>
      <w:r>
        <w:t>AER</w:t>
      </w:r>
      <w:r w:rsidRPr="00DD4387">
        <w:t xml:space="preserve"> for the 20</w:t>
      </w:r>
      <w:r>
        <w:t>1</w:t>
      </w:r>
      <w:r w:rsidRPr="00DD4387">
        <w:t>0–1</w:t>
      </w:r>
      <w:r>
        <w:t>5</w:t>
      </w:r>
      <w:r w:rsidRPr="00DD4387">
        <w:t xml:space="preserve"> access arrangement period.</w:t>
      </w:r>
    </w:p>
    <w:p w:rsidR="00DD4387" w:rsidRDefault="00DD4387" w:rsidP="00DD4387">
      <w:pPr>
        <w:pStyle w:val="Caption"/>
        <w:rPr>
          <w:rFonts w:eastAsia="Calibri"/>
        </w:rPr>
      </w:pPr>
      <w:r>
        <w:t xml:space="preserve">Table </w:t>
      </w:r>
      <w:fldSimple w:instr=" STYLEREF 1 \s ">
        <w:r w:rsidR="0029475D">
          <w:rPr>
            <w:noProof/>
          </w:rPr>
          <w:t>6</w:t>
        </w:r>
      </w:fldSimple>
      <w:r w:rsidR="009F7369">
        <w:noBreakHyphen/>
      </w:r>
      <w:fldSimple w:instr=" SEQ Table \* ARABIC \s 1 ">
        <w:r w:rsidR="0029475D">
          <w:rPr>
            <w:noProof/>
          </w:rPr>
          <w:t>5</w:t>
        </w:r>
      </w:fldSimple>
      <w:r>
        <w:tab/>
      </w:r>
      <w:r>
        <w:rPr>
          <w:rFonts w:eastAsia="Calibri"/>
        </w:rPr>
        <w:t>JGN</w:t>
      </w:r>
      <w:r w:rsidRPr="00DD4387">
        <w:rPr>
          <w:rFonts w:eastAsia="Calibri"/>
        </w:rPr>
        <w:t xml:space="preserve"> proposed capital expenditure by category over the 201</w:t>
      </w:r>
      <w:r>
        <w:rPr>
          <w:rFonts w:eastAsia="Calibri"/>
        </w:rPr>
        <w:t>5</w:t>
      </w:r>
      <w:r w:rsidRPr="00DD4387">
        <w:rPr>
          <w:rFonts w:eastAsia="Calibri"/>
        </w:rPr>
        <w:t>–</w:t>
      </w:r>
      <w:r>
        <w:rPr>
          <w:rFonts w:eastAsia="Calibri"/>
        </w:rPr>
        <w:t>20</w:t>
      </w:r>
      <w:r w:rsidRPr="00DD4387">
        <w:rPr>
          <w:rFonts w:eastAsia="Calibri"/>
        </w:rPr>
        <w:t xml:space="preserve"> access arrangement period ($million, 201</w:t>
      </w:r>
      <w:r>
        <w:rPr>
          <w:rFonts w:eastAsia="Calibri"/>
        </w:rPr>
        <w:t>5</w:t>
      </w:r>
      <w:r w:rsidRPr="00DD4387">
        <w:rPr>
          <w:rFonts w:eastAsia="Calibri"/>
        </w:rPr>
        <w:t>)</w:t>
      </w:r>
    </w:p>
    <w:tbl>
      <w:tblPr>
        <w:tblStyle w:val="AERtable-numbers"/>
        <w:tblW w:w="5000" w:type="pct"/>
        <w:tblLook w:val="04A0" w:firstRow="1" w:lastRow="0" w:firstColumn="1" w:lastColumn="0" w:noHBand="0" w:noVBand="1"/>
      </w:tblPr>
      <w:tblGrid>
        <w:gridCol w:w="3482"/>
        <w:gridCol w:w="915"/>
        <w:gridCol w:w="919"/>
        <w:gridCol w:w="917"/>
        <w:gridCol w:w="915"/>
        <w:gridCol w:w="917"/>
        <w:gridCol w:w="1177"/>
      </w:tblGrid>
      <w:tr w:rsidR="00DD4387" w:rsidRPr="004F416F" w:rsidTr="00BB24F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4" w:type="pct"/>
            <w:hideMark/>
          </w:tcPr>
          <w:p w:rsidR="00DD4387" w:rsidRPr="00DD4387" w:rsidRDefault="00DD4387" w:rsidP="00DD4387">
            <w:r w:rsidRPr="00413233">
              <w:t> Category</w:t>
            </w:r>
          </w:p>
        </w:tc>
        <w:tc>
          <w:tcPr>
            <w:tcW w:w="495" w:type="pct"/>
            <w:hideMark/>
          </w:tcPr>
          <w:p w:rsidR="00DD4387" w:rsidRPr="00DD4387" w:rsidRDefault="00DD4387" w:rsidP="00BF1909">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DD4387">
              <w:t>15-16</w:t>
            </w:r>
          </w:p>
        </w:tc>
        <w:tc>
          <w:tcPr>
            <w:tcW w:w="497" w:type="pct"/>
            <w:hideMark/>
          </w:tcPr>
          <w:p w:rsidR="00DD4387" w:rsidRPr="00DD4387" w:rsidRDefault="00DD4387" w:rsidP="00BF1909">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DD4387">
              <w:t>16-17</w:t>
            </w:r>
          </w:p>
        </w:tc>
        <w:tc>
          <w:tcPr>
            <w:tcW w:w="496" w:type="pct"/>
            <w:hideMark/>
          </w:tcPr>
          <w:p w:rsidR="00DD4387" w:rsidRPr="00DD4387" w:rsidRDefault="00DD4387" w:rsidP="00BF1909">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DD4387">
              <w:t>17-18</w:t>
            </w:r>
          </w:p>
        </w:tc>
        <w:tc>
          <w:tcPr>
            <w:tcW w:w="495" w:type="pct"/>
            <w:hideMark/>
          </w:tcPr>
          <w:p w:rsidR="00DD4387" w:rsidRPr="00DD4387" w:rsidRDefault="00DD4387" w:rsidP="00BF1909">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DD4387">
              <w:t>8-19</w:t>
            </w:r>
          </w:p>
        </w:tc>
        <w:tc>
          <w:tcPr>
            <w:tcW w:w="496" w:type="pct"/>
            <w:hideMark/>
          </w:tcPr>
          <w:p w:rsidR="00DD4387" w:rsidRPr="00DD4387" w:rsidRDefault="00DD4387" w:rsidP="00BF1909">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DD4387">
              <w:t>9-20</w:t>
            </w:r>
          </w:p>
        </w:tc>
        <w:tc>
          <w:tcPr>
            <w:tcW w:w="637" w:type="pct"/>
          </w:tcPr>
          <w:p w:rsidR="00DD4387" w:rsidRPr="00DD4387" w:rsidRDefault="00DD4387" w:rsidP="00BF1909">
            <w:pPr>
              <w:pStyle w:val="AERtabletextright"/>
              <w:cnfStyle w:val="100000000000" w:firstRow="1" w:lastRow="0" w:firstColumn="0" w:lastColumn="0" w:oddVBand="0" w:evenVBand="0" w:oddHBand="0" w:evenHBand="0" w:firstRowFirstColumn="0" w:firstRowLastColumn="0" w:lastRowFirstColumn="0" w:lastRowLastColumn="0"/>
            </w:pPr>
            <w:r>
              <w:t>T</w:t>
            </w:r>
            <w:r w:rsidRPr="00DD4387">
              <w:t>otal</w:t>
            </w:r>
          </w:p>
        </w:tc>
      </w:tr>
      <w:tr w:rsidR="00BF1909" w:rsidRPr="004F416F" w:rsidTr="00BB24F7">
        <w:trPr>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BF1909" w:rsidRPr="00BF1909" w:rsidRDefault="00BF1909" w:rsidP="00BF1909">
            <w:r w:rsidRPr="00BF1909">
              <w:t>Connections/Market expansion</w:t>
            </w:r>
          </w:p>
        </w:tc>
        <w:tc>
          <w:tcPr>
            <w:tcW w:w="495"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73.5 </w:t>
            </w:r>
          </w:p>
        </w:tc>
        <w:tc>
          <w:tcPr>
            <w:tcW w:w="497"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77.8 </w:t>
            </w:r>
          </w:p>
        </w:tc>
        <w:tc>
          <w:tcPr>
            <w:tcW w:w="496"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78.5 </w:t>
            </w:r>
          </w:p>
        </w:tc>
        <w:tc>
          <w:tcPr>
            <w:tcW w:w="495"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77.0 </w:t>
            </w:r>
          </w:p>
        </w:tc>
        <w:tc>
          <w:tcPr>
            <w:tcW w:w="496"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77.3 </w:t>
            </w:r>
          </w:p>
        </w:tc>
        <w:tc>
          <w:tcPr>
            <w:tcW w:w="637"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384.1 </w:t>
            </w:r>
          </w:p>
        </w:tc>
      </w:tr>
      <w:tr w:rsidR="00BF1909" w:rsidRPr="004F416F" w:rsidTr="00BB2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BF1909" w:rsidRPr="00BF1909" w:rsidRDefault="00BF1909" w:rsidP="00BF1909">
            <w:r w:rsidRPr="00BF1909">
              <w:t>Augmentation/Growth capacity</w:t>
            </w:r>
          </w:p>
        </w:tc>
        <w:tc>
          <w:tcPr>
            <w:tcW w:w="495"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18.0 </w:t>
            </w:r>
          </w:p>
        </w:tc>
        <w:tc>
          <w:tcPr>
            <w:tcW w:w="497"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18.5 </w:t>
            </w:r>
          </w:p>
        </w:tc>
        <w:tc>
          <w:tcPr>
            <w:tcW w:w="496"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23.3 </w:t>
            </w:r>
          </w:p>
        </w:tc>
        <w:tc>
          <w:tcPr>
            <w:tcW w:w="495"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19.3 </w:t>
            </w:r>
          </w:p>
        </w:tc>
        <w:tc>
          <w:tcPr>
            <w:tcW w:w="496"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15.9 </w:t>
            </w:r>
          </w:p>
        </w:tc>
        <w:tc>
          <w:tcPr>
            <w:tcW w:w="637"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95.0 </w:t>
            </w:r>
          </w:p>
        </w:tc>
      </w:tr>
      <w:tr w:rsidR="00BF1909" w:rsidRPr="004F416F" w:rsidTr="00BB24F7">
        <w:trPr>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BF1909" w:rsidRPr="00BF1909" w:rsidRDefault="00BF1909" w:rsidP="00BF1909">
            <w:r w:rsidRPr="00BF1909">
              <w:t>Mains and service renewal</w:t>
            </w:r>
          </w:p>
        </w:tc>
        <w:tc>
          <w:tcPr>
            <w:tcW w:w="495"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12.9 </w:t>
            </w:r>
          </w:p>
        </w:tc>
        <w:tc>
          <w:tcPr>
            <w:tcW w:w="497"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16.7 </w:t>
            </w:r>
          </w:p>
        </w:tc>
        <w:tc>
          <w:tcPr>
            <w:tcW w:w="496"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13.4 </w:t>
            </w:r>
          </w:p>
        </w:tc>
        <w:tc>
          <w:tcPr>
            <w:tcW w:w="495"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9.1 </w:t>
            </w:r>
          </w:p>
        </w:tc>
        <w:tc>
          <w:tcPr>
            <w:tcW w:w="496"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10.3 </w:t>
            </w:r>
          </w:p>
        </w:tc>
        <w:tc>
          <w:tcPr>
            <w:tcW w:w="637"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62.3 </w:t>
            </w:r>
          </w:p>
        </w:tc>
      </w:tr>
      <w:tr w:rsidR="00BF1909" w:rsidRPr="004F416F" w:rsidTr="00BB2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BF1909" w:rsidRPr="00BF1909" w:rsidRDefault="00BF1909" w:rsidP="00BF1909">
            <w:r w:rsidRPr="00BF1909">
              <w:t>Facilities renewal and upgrade</w:t>
            </w:r>
          </w:p>
        </w:tc>
        <w:tc>
          <w:tcPr>
            <w:tcW w:w="495"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24.5 </w:t>
            </w:r>
          </w:p>
        </w:tc>
        <w:tc>
          <w:tcPr>
            <w:tcW w:w="497"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21.9 </w:t>
            </w:r>
          </w:p>
        </w:tc>
        <w:tc>
          <w:tcPr>
            <w:tcW w:w="496"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27.4 </w:t>
            </w:r>
          </w:p>
        </w:tc>
        <w:tc>
          <w:tcPr>
            <w:tcW w:w="495"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29.1 </w:t>
            </w:r>
          </w:p>
        </w:tc>
        <w:tc>
          <w:tcPr>
            <w:tcW w:w="496"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21.1 </w:t>
            </w:r>
          </w:p>
        </w:tc>
        <w:tc>
          <w:tcPr>
            <w:tcW w:w="637"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124.1 </w:t>
            </w:r>
          </w:p>
        </w:tc>
      </w:tr>
      <w:tr w:rsidR="00BF1909" w:rsidRPr="004F416F" w:rsidTr="00BB24F7">
        <w:trPr>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BF1909" w:rsidRPr="00BF1909" w:rsidRDefault="00BF1909" w:rsidP="00BF1909">
            <w:r w:rsidRPr="00BF1909">
              <w:t>SCADA</w:t>
            </w:r>
          </w:p>
        </w:tc>
        <w:tc>
          <w:tcPr>
            <w:tcW w:w="495"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1.3 </w:t>
            </w:r>
          </w:p>
        </w:tc>
        <w:tc>
          <w:tcPr>
            <w:tcW w:w="497"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2.7 </w:t>
            </w:r>
          </w:p>
        </w:tc>
        <w:tc>
          <w:tcPr>
            <w:tcW w:w="496"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2.8 </w:t>
            </w:r>
          </w:p>
        </w:tc>
        <w:tc>
          <w:tcPr>
            <w:tcW w:w="495"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2.2 </w:t>
            </w:r>
          </w:p>
        </w:tc>
        <w:tc>
          <w:tcPr>
            <w:tcW w:w="496"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0.7 </w:t>
            </w:r>
          </w:p>
        </w:tc>
        <w:tc>
          <w:tcPr>
            <w:tcW w:w="637"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9.8 </w:t>
            </w:r>
          </w:p>
        </w:tc>
      </w:tr>
      <w:tr w:rsidR="00BF1909" w:rsidRPr="004F416F" w:rsidTr="00BB2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BF1909" w:rsidRPr="00BF1909" w:rsidRDefault="00BF1909" w:rsidP="00BF1909">
            <w:r w:rsidRPr="00BF1909">
              <w:t>Meter renewal and upgrade</w:t>
            </w:r>
          </w:p>
        </w:tc>
        <w:tc>
          <w:tcPr>
            <w:tcW w:w="495"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31.7 </w:t>
            </w:r>
          </w:p>
        </w:tc>
        <w:tc>
          <w:tcPr>
            <w:tcW w:w="497"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33.5 </w:t>
            </w:r>
          </w:p>
        </w:tc>
        <w:tc>
          <w:tcPr>
            <w:tcW w:w="496"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35.5 </w:t>
            </w:r>
          </w:p>
        </w:tc>
        <w:tc>
          <w:tcPr>
            <w:tcW w:w="495"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33.1 </w:t>
            </w:r>
          </w:p>
        </w:tc>
        <w:tc>
          <w:tcPr>
            <w:tcW w:w="496"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30.1 </w:t>
            </w:r>
          </w:p>
        </w:tc>
        <w:tc>
          <w:tcPr>
            <w:tcW w:w="637"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163.9 </w:t>
            </w:r>
          </w:p>
        </w:tc>
      </w:tr>
      <w:tr w:rsidR="00BF1909" w:rsidRPr="004F416F" w:rsidTr="00BB24F7">
        <w:trPr>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BF1909" w:rsidRPr="00BF1909" w:rsidRDefault="00BF1909" w:rsidP="00BF1909">
            <w:r w:rsidRPr="00BF1909">
              <w:t>Government authority work</w:t>
            </w:r>
          </w:p>
        </w:tc>
        <w:tc>
          <w:tcPr>
            <w:tcW w:w="495"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0.5 </w:t>
            </w:r>
          </w:p>
        </w:tc>
        <w:tc>
          <w:tcPr>
            <w:tcW w:w="497"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0.5 </w:t>
            </w:r>
          </w:p>
        </w:tc>
        <w:tc>
          <w:tcPr>
            <w:tcW w:w="496"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0.5 </w:t>
            </w:r>
          </w:p>
        </w:tc>
        <w:tc>
          <w:tcPr>
            <w:tcW w:w="495"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0.5 </w:t>
            </w:r>
          </w:p>
        </w:tc>
        <w:tc>
          <w:tcPr>
            <w:tcW w:w="496"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0.5 </w:t>
            </w:r>
          </w:p>
        </w:tc>
        <w:tc>
          <w:tcPr>
            <w:tcW w:w="637"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2.7 </w:t>
            </w:r>
          </w:p>
        </w:tc>
      </w:tr>
      <w:tr w:rsidR="00BF1909" w:rsidRPr="004F416F" w:rsidTr="00BB2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BF1909" w:rsidRPr="00BF1909" w:rsidRDefault="00BF1909" w:rsidP="00BF1909">
            <w:r w:rsidRPr="00BF1909">
              <w:t>IT</w:t>
            </w:r>
          </w:p>
        </w:tc>
        <w:tc>
          <w:tcPr>
            <w:tcW w:w="495"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37.6 </w:t>
            </w:r>
          </w:p>
        </w:tc>
        <w:tc>
          <w:tcPr>
            <w:tcW w:w="497"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31.0 </w:t>
            </w:r>
          </w:p>
        </w:tc>
        <w:tc>
          <w:tcPr>
            <w:tcW w:w="496"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33.5 </w:t>
            </w:r>
          </w:p>
        </w:tc>
        <w:tc>
          <w:tcPr>
            <w:tcW w:w="495"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18.7 </w:t>
            </w:r>
          </w:p>
        </w:tc>
        <w:tc>
          <w:tcPr>
            <w:tcW w:w="496"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10.8 </w:t>
            </w:r>
          </w:p>
        </w:tc>
        <w:tc>
          <w:tcPr>
            <w:tcW w:w="637"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131.6 </w:t>
            </w:r>
          </w:p>
        </w:tc>
      </w:tr>
      <w:tr w:rsidR="00BF1909" w:rsidRPr="004F416F" w:rsidTr="00BB24F7">
        <w:trPr>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BF1909" w:rsidRPr="00BF1909" w:rsidRDefault="00BF1909" w:rsidP="00BF1909">
            <w:r w:rsidRPr="00BF1909">
              <w:t>Other - non-distribution</w:t>
            </w:r>
          </w:p>
        </w:tc>
        <w:tc>
          <w:tcPr>
            <w:tcW w:w="495"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7.4 </w:t>
            </w:r>
          </w:p>
        </w:tc>
        <w:tc>
          <w:tcPr>
            <w:tcW w:w="497"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3.3 </w:t>
            </w:r>
          </w:p>
        </w:tc>
        <w:tc>
          <w:tcPr>
            <w:tcW w:w="496"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4.0 </w:t>
            </w:r>
          </w:p>
        </w:tc>
        <w:tc>
          <w:tcPr>
            <w:tcW w:w="495"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7.4 </w:t>
            </w:r>
          </w:p>
        </w:tc>
        <w:tc>
          <w:tcPr>
            <w:tcW w:w="496"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4.7 </w:t>
            </w:r>
          </w:p>
        </w:tc>
        <w:tc>
          <w:tcPr>
            <w:tcW w:w="637"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26.8 </w:t>
            </w:r>
          </w:p>
        </w:tc>
      </w:tr>
      <w:tr w:rsidR="00BF1909" w:rsidRPr="004F416F" w:rsidTr="00BB2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BF1909" w:rsidRPr="00BF1909" w:rsidRDefault="00BF1909" w:rsidP="00BF1909">
            <w:r w:rsidRPr="00BF1909">
              <w:t>Overheads</w:t>
            </w:r>
          </w:p>
        </w:tc>
        <w:tc>
          <w:tcPr>
            <w:tcW w:w="495"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28.5 </w:t>
            </w:r>
          </w:p>
        </w:tc>
        <w:tc>
          <w:tcPr>
            <w:tcW w:w="497"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29.0 </w:t>
            </w:r>
          </w:p>
        </w:tc>
        <w:tc>
          <w:tcPr>
            <w:tcW w:w="496"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29.5 </w:t>
            </w:r>
          </w:p>
        </w:tc>
        <w:tc>
          <w:tcPr>
            <w:tcW w:w="495"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29.0 </w:t>
            </w:r>
          </w:p>
        </w:tc>
        <w:tc>
          <w:tcPr>
            <w:tcW w:w="496"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28.3 </w:t>
            </w:r>
          </w:p>
        </w:tc>
        <w:tc>
          <w:tcPr>
            <w:tcW w:w="637"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144.4 </w:t>
            </w:r>
          </w:p>
        </w:tc>
      </w:tr>
      <w:tr w:rsidR="00BF1909" w:rsidRPr="004F416F" w:rsidTr="00BB24F7">
        <w:trPr>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BF1909" w:rsidRPr="00BF1909" w:rsidRDefault="00BF1909" w:rsidP="00BF1909">
            <w:r w:rsidRPr="00BF1909">
              <w:t>GROSS TOTAL CAPITAL EXPENDITURE</w:t>
            </w:r>
          </w:p>
        </w:tc>
        <w:tc>
          <w:tcPr>
            <w:tcW w:w="495"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237.9 </w:t>
            </w:r>
          </w:p>
        </w:tc>
        <w:tc>
          <w:tcPr>
            <w:tcW w:w="497"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235.7 </w:t>
            </w:r>
          </w:p>
        </w:tc>
        <w:tc>
          <w:tcPr>
            <w:tcW w:w="496"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248.7 </w:t>
            </w:r>
          </w:p>
        </w:tc>
        <w:tc>
          <w:tcPr>
            <w:tcW w:w="495"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225.9 </w:t>
            </w:r>
          </w:p>
        </w:tc>
        <w:tc>
          <w:tcPr>
            <w:tcW w:w="496"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200.3 </w:t>
            </w:r>
          </w:p>
        </w:tc>
        <w:tc>
          <w:tcPr>
            <w:tcW w:w="637" w:type="pct"/>
            <w:vAlign w:val="top"/>
          </w:tcPr>
          <w:p w:rsidR="00BF1909" w:rsidRPr="00BF1909" w:rsidRDefault="00BF1909" w:rsidP="00BF1909">
            <w:pPr>
              <w:pStyle w:val="AERtabletextright"/>
              <w:cnfStyle w:val="000000000000" w:firstRow="0" w:lastRow="0" w:firstColumn="0" w:lastColumn="0" w:oddVBand="0" w:evenVBand="0" w:oddHBand="0" w:evenHBand="0" w:firstRowFirstColumn="0" w:firstRowLastColumn="0" w:lastRowFirstColumn="0" w:lastRowLastColumn="0"/>
            </w:pPr>
            <w:r w:rsidRPr="00BF1909">
              <w:t xml:space="preserve"> 1,148.5 </w:t>
            </w:r>
          </w:p>
        </w:tc>
      </w:tr>
      <w:tr w:rsidR="00BF1909" w:rsidRPr="004F416F" w:rsidTr="00BB2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BF1909" w:rsidRPr="00BF1909" w:rsidRDefault="00BF1909" w:rsidP="00BF1909">
            <w:r w:rsidRPr="00BF1909">
              <w:t>Contributions</w:t>
            </w:r>
          </w:p>
        </w:tc>
        <w:tc>
          <w:tcPr>
            <w:tcW w:w="495"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3.1 </w:t>
            </w:r>
          </w:p>
        </w:tc>
        <w:tc>
          <w:tcPr>
            <w:tcW w:w="497"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3.3 </w:t>
            </w:r>
          </w:p>
        </w:tc>
        <w:tc>
          <w:tcPr>
            <w:tcW w:w="496"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3.5 </w:t>
            </w:r>
          </w:p>
        </w:tc>
        <w:tc>
          <w:tcPr>
            <w:tcW w:w="495"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3.6 </w:t>
            </w:r>
          </w:p>
        </w:tc>
        <w:tc>
          <w:tcPr>
            <w:tcW w:w="496"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3.7 </w:t>
            </w:r>
          </w:p>
        </w:tc>
        <w:tc>
          <w:tcPr>
            <w:tcW w:w="637" w:type="pct"/>
            <w:vAlign w:val="top"/>
          </w:tcPr>
          <w:p w:rsidR="00BF1909" w:rsidRPr="00BF1909" w:rsidRDefault="00BF1909" w:rsidP="00BF1909">
            <w:pPr>
              <w:pStyle w:val="AERtabletextright"/>
              <w:cnfStyle w:val="000000010000" w:firstRow="0" w:lastRow="0" w:firstColumn="0" w:lastColumn="0" w:oddVBand="0" w:evenVBand="0" w:oddHBand="0" w:evenHBand="1" w:firstRowFirstColumn="0" w:firstRowLastColumn="0" w:lastRowFirstColumn="0" w:lastRowLastColumn="0"/>
            </w:pPr>
            <w:r w:rsidRPr="00BF1909">
              <w:t xml:space="preserve"> 17.3 </w:t>
            </w:r>
          </w:p>
        </w:tc>
      </w:tr>
      <w:tr w:rsidR="00BB24F7" w:rsidRPr="004F416F" w:rsidTr="00BB24F7">
        <w:trPr>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tcPr>
          <w:p w:rsidR="00BB24F7" w:rsidRPr="00BB24F7" w:rsidRDefault="00BB24F7" w:rsidP="00BB24F7">
            <w:r w:rsidRPr="00BB24F7">
              <w:t>Asset disposals</w:t>
            </w:r>
          </w:p>
        </w:tc>
        <w:tc>
          <w:tcPr>
            <w:tcW w:w="495" w:type="pct"/>
            <w:vAlign w:val="top"/>
          </w:tcPr>
          <w:p w:rsidR="00BB24F7" w:rsidRPr="00BB24F7" w:rsidRDefault="00BB24F7" w:rsidP="00BB24F7">
            <w:pPr>
              <w:pStyle w:val="AERtabletextright"/>
              <w:cnfStyle w:val="000000000000" w:firstRow="0" w:lastRow="0" w:firstColumn="0" w:lastColumn="0" w:oddVBand="0" w:evenVBand="0" w:oddHBand="0" w:evenHBand="0" w:firstRowFirstColumn="0" w:firstRowLastColumn="0" w:lastRowFirstColumn="0" w:lastRowLastColumn="0"/>
            </w:pPr>
            <w:r w:rsidRPr="00BB24F7">
              <w:t xml:space="preserve"> 0.1 </w:t>
            </w:r>
          </w:p>
        </w:tc>
        <w:tc>
          <w:tcPr>
            <w:tcW w:w="497" w:type="pct"/>
            <w:vAlign w:val="top"/>
          </w:tcPr>
          <w:p w:rsidR="00BB24F7" w:rsidRPr="00BB24F7" w:rsidRDefault="00BB24F7" w:rsidP="00BB24F7">
            <w:pPr>
              <w:pStyle w:val="AERtabletextright"/>
              <w:cnfStyle w:val="000000000000" w:firstRow="0" w:lastRow="0" w:firstColumn="0" w:lastColumn="0" w:oddVBand="0" w:evenVBand="0" w:oddHBand="0" w:evenHBand="0" w:firstRowFirstColumn="0" w:firstRowLastColumn="0" w:lastRowFirstColumn="0" w:lastRowLastColumn="0"/>
            </w:pPr>
            <w:r w:rsidRPr="00BB24F7">
              <w:t xml:space="preserve"> 0.1 </w:t>
            </w:r>
          </w:p>
        </w:tc>
        <w:tc>
          <w:tcPr>
            <w:tcW w:w="496" w:type="pct"/>
            <w:vAlign w:val="top"/>
          </w:tcPr>
          <w:p w:rsidR="00BB24F7" w:rsidRPr="00BB24F7" w:rsidRDefault="00BB24F7" w:rsidP="00BB24F7">
            <w:pPr>
              <w:pStyle w:val="AERtabletextright"/>
              <w:cnfStyle w:val="000000000000" w:firstRow="0" w:lastRow="0" w:firstColumn="0" w:lastColumn="0" w:oddVBand="0" w:evenVBand="0" w:oddHBand="0" w:evenHBand="0" w:firstRowFirstColumn="0" w:firstRowLastColumn="0" w:lastRowFirstColumn="0" w:lastRowLastColumn="0"/>
            </w:pPr>
            <w:r w:rsidRPr="00BB24F7">
              <w:t xml:space="preserve"> 0.1 </w:t>
            </w:r>
          </w:p>
        </w:tc>
        <w:tc>
          <w:tcPr>
            <w:tcW w:w="495" w:type="pct"/>
            <w:vAlign w:val="top"/>
          </w:tcPr>
          <w:p w:rsidR="00BB24F7" w:rsidRPr="00BB24F7" w:rsidRDefault="00BB24F7" w:rsidP="00BB24F7">
            <w:pPr>
              <w:pStyle w:val="AERtabletextright"/>
              <w:cnfStyle w:val="000000000000" w:firstRow="0" w:lastRow="0" w:firstColumn="0" w:lastColumn="0" w:oddVBand="0" w:evenVBand="0" w:oddHBand="0" w:evenHBand="0" w:firstRowFirstColumn="0" w:firstRowLastColumn="0" w:lastRowFirstColumn="0" w:lastRowLastColumn="0"/>
            </w:pPr>
            <w:r w:rsidRPr="00BB24F7">
              <w:t xml:space="preserve"> 0.3 </w:t>
            </w:r>
          </w:p>
        </w:tc>
        <w:tc>
          <w:tcPr>
            <w:tcW w:w="496" w:type="pct"/>
            <w:vAlign w:val="top"/>
          </w:tcPr>
          <w:p w:rsidR="00BB24F7" w:rsidRPr="00BB24F7" w:rsidRDefault="00BB24F7" w:rsidP="00BB24F7">
            <w:pPr>
              <w:pStyle w:val="AERtabletextright"/>
              <w:cnfStyle w:val="000000000000" w:firstRow="0" w:lastRow="0" w:firstColumn="0" w:lastColumn="0" w:oddVBand="0" w:evenVBand="0" w:oddHBand="0" w:evenHBand="0" w:firstRowFirstColumn="0" w:firstRowLastColumn="0" w:lastRowFirstColumn="0" w:lastRowLastColumn="0"/>
            </w:pPr>
            <w:r w:rsidRPr="00BB24F7">
              <w:t xml:space="preserve"> 0.2 </w:t>
            </w:r>
          </w:p>
        </w:tc>
        <w:tc>
          <w:tcPr>
            <w:tcW w:w="637" w:type="pct"/>
            <w:vAlign w:val="top"/>
          </w:tcPr>
          <w:p w:rsidR="00BB24F7" w:rsidRPr="00BB24F7" w:rsidRDefault="00BB24F7" w:rsidP="00BB24F7">
            <w:pPr>
              <w:pStyle w:val="AERtabletextright"/>
              <w:cnfStyle w:val="000000000000" w:firstRow="0" w:lastRow="0" w:firstColumn="0" w:lastColumn="0" w:oddVBand="0" w:evenVBand="0" w:oddHBand="0" w:evenHBand="0" w:firstRowFirstColumn="0" w:firstRowLastColumn="0" w:lastRowFirstColumn="0" w:lastRowLastColumn="0"/>
            </w:pPr>
            <w:r w:rsidRPr="00BB24F7">
              <w:t xml:space="preserve"> 0.8 </w:t>
            </w:r>
          </w:p>
        </w:tc>
      </w:tr>
      <w:tr w:rsidR="0047287F" w:rsidRPr="004F416F" w:rsidTr="00BB2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tcPr>
          <w:p w:rsidR="00BB24F7" w:rsidRPr="00BB24F7" w:rsidRDefault="00BB24F7" w:rsidP="00BB24F7">
            <w:r w:rsidRPr="00BB24F7">
              <w:lastRenderedPageBreak/>
              <w:t>NET TOTAL CAPITAL EXPENDITURE</w:t>
            </w:r>
          </w:p>
        </w:tc>
        <w:tc>
          <w:tcPr>
            <w:tcW w:w="495" w:type="pct"/>
            <w:vAlign w:val="top"/>
          </w:tcPr>
          <w:p w:rsidR="00BB24F7" w:rsidRPr="00BB24F7" w:rsidRDefault="00BB24F7" w:rsidP="00BB24F7">
            <w:pPr>
              <w:pStyle w:val="AERtabletextright"/>
              <w:cnfStyle w:val="000000010000" w:firstRow="0" w:lastRow="0" w:firstColumn="0" w:lastColumn="0" w:oddVBand="0" w:evenVBand="0" w:oddHBand="0" w:evenHBand="1" w:firstRowFirstColumn="0" w:firstRowLastColumn="0" w:lastRowFirstColumn="0" w:lastRowLastColumn="0"/>
            </w:pPr>
            <w:r w:rsidRPr="00BB24F7">
              <w:t xml:space="preserve"> 234.7 </w:t>
            </w:r>
          </w:p>
        </w:tc>
        <w:tc>
          <w:tcPr>
            <w:tcW w:w="497" w:type="pct"/>
            <w:vAlign w:val="top"/>
          </w:tcPr>
          <w:p w:rsidR="00BB24F7" w:rsidRPr="00BB24F7" w:rsidRDefault="00BB24F7" w:rsidP="00BB24F7">
            <w:pPr>
              <w:pStyle w:val="AERtabletextright"/>
              <w:cnfStyle w:val="000000010000" w:firstRow="0" w:lastRow="0" w:firstColumn="0" w:lastColumn="0" w:oddVBand="0" w:evenVBand="0" w:oddHBand="0" w:evenHBand="1" w:firstRowFirstColumn="0" w:firstRowLastColumn="0" w:lastRowFirstColumn="0" w:lastRowLastColumn="0"/>
            </w:pPr>
            <w:r w:rsidRPr="00BB24F7">
              <w:t xml:space="preserve"> 232.2 </w:t>
            </w:r>
          </w:p>
        </w:tc>
        <w:tc>
          <w:tcPr>
            <w:tcW w:w="496" w:type="pct"/>
            <w:vAlign w:val="top"/>
          </w:tcPr>
          <w:p w:rsidR="00BB24F7" w:rsidRPr="00BB24F7" w:rsidRDefault="00BB24F7" w:rsidP="00BB24F7">
            <w:pPr>
              <w:pStyle w:val="AERtabletextright"/>
              <w:cnfStyle w:val="000000010000" w:firstRow="0" w:lastRow="0" w:firstColumn="0" w:lastColumn="0" w:oddVBand="0" w:evenVBand="0" w:oddHBand="0" w:evenHBand="1" w:firstRowFirstColumn="0" w:firstRowLastColumn="0" w:lastRowFirstColumn="0" w:lastRowLastColumn="0"/>
            </w:pPr>
            <w:r w:rsidRPr="00BB24F7">
              <w:t xml:space="preserve"> 245.0 </w:t>
            </w:r>
          </w:p>
        </w:tc>
        <w:tc>
          <w:tcPr>
            <w:tcW w:w="495" w:type="pct"/>
            <w:vAlign w:val="top"/>
          </w:tcPr>
          <w:p w:rsidR="00BB24F7" w:rsidRPr="00BB24F7" w:rsidRDefault="00BB24F7" w:rsidP="00BB24F7">
            <w:pPr>
              <w:pStyle w:val="AERtabletextright"/>
              <w:cnfStyle w:val="000000010000" w:firstRow="0" w:lastRow="0" w:firstColumn="0" w:lastColumn="0" w:oddVBand="0" w:evenVBand="0" w:oddHBand="0" w:evenHBand="1" w:firstRowFirstColumn="0" w:firstRowLastColumn="0" w:lastRowFirstColumn="0" w:lastRowLastColumn="0"/>
            </w:pPr>
            <w:r w:rsidRPr="00BB24F7">
              <w:t xml:space="preserve"> 222.0 </w:t>
            </w:r>
          </w:p>
        </w:tc>
        <w:tc>
          <w:tcPr>
            <w:tcW w:w="496" w:type="pct"/>
            <w:vAlign w:val="top"/>
          </w:tcPr>
          <w:p w:rsidR="00BB24F7" w:rsidRPr="00BB24F7" w:rsidRDefault="00BB24F7" w:rsidP="00BB24F7">
            <w:pPr>
              <w:pStyle w:val="AERtabletextright"/>
              <w:cnfStyle w:val="000000010000" w:firstRow="0" w:lastRow="0" w:firstColumn="0" w:lastColumn="0" w:oddVBand="0" w:evenVBand="0" w:oddHBand="0" w:evenHBand="1" w:firstRowFirstColumn="0" w:firstRowLastColumn="0" w:lastRowFirstColumn="0" w:lastRowLastColumn="0"/>
            </w:pPr>
            <w:r w:rsidRPr="00BB24F7">
              <w:t xml:space="preserve"> 196.4 </w:t>
            </w:r>
          </w:p>
        </w:tc>
        <w:tc>
          <w:tcPr>
            <w:tcW w:w="637" w:type="pct"/>
            <w:vAlign w:val="top"/>
          </w:tcPr>
          <w:p w:rsidR="00BB24F7" w:rsidRPr="00BB24F7" w:rsidRDefault="00BB24F7" w:rsidP="00BB24F7">
            <w:pPr>
              <w:pStyle w:val="AERtabletextright"/>
              <w:cnfStyle w:val="000000010000" w:firstRow="0" w:lastRow="0" w:firstColumn="0" w:lastColumn="0" w:oddVBand="0" w:evenVBand="0" w:oddHBand="0" w:evenHBand="1" w:firstRowFirstColumn="0" w:firstRowLastColumn="0" w:lastRowFirstColumn="0" w:lastRowLastColumn="0"/>
            </w:pPr>
            <w:r w:rsidRPr="00BB24F7">
              <w:t xml:space="preserve"> 1,130.4 </w:t>
            </w:r>
          </w:p>
        </w:tc>
      </w:tr>
    </w:tbl>
    <w:p w:rsidR="00DD4387" w:rsidRDefault="00DD4387" w:rsidP="00DD4387">
      <w:pPr>
        <w:pStyle w:val="AERtablesource"/>
      </w:pPr>
      <w:r>
        <w:t xml:space="preserve">Source: </w:t>
      </w:r>
      <w:r w:rsidR="007A2EAC">
        <w:tab/>
      </w:r>
      <w:r>
        <w:t xml:space="preserve">JGN, </w:t>
      </w:r>
      <w:r w:rsidRPr="00DD4387">
        <w:rPr>
          <w:rStyle w:val="AERtextitalic"/>
        </w:rPr>
        <w:t>2015-20 Access Arrangement Information – Public</w:t>
      </w:r>
      <w:r>
        <w:t xml:space="preserve">, </w:t>
      </w:r>
      <w:r w:rsidRPr="00DD4387">
        <w:t>30 June 2014</w:t>
      </w:r>
      <w:r>
        <w:t xml:space="preserve">, p.69; JGN, </w:t>
      </w:r>
      <w:r w:rsidRPr="00DD4387">
        <w:rPr>
          <w:rStyle w:val="AERtextitalic"/>
        </w:rPr>
        <w:t>2015-20 Access Arrangement Information</w:t>
      </w:r>
      <w:r w:rsidRPr="00DD4387">
        <w:t xml:space="preserve"> </w:t>
      </w:r>
      <w:r>
        <w:t xml:space="preserve">, </w:t>
      </w:r>
      <w:r w:rsidRPr="00DD4387">
        <w:t>Appendix A to the AA RIN response - Regulatory templates (CONFIDENTIAL) [UPDATE].XLSM</w:t>
      </w:r>
      <w:r>
        <w:t>.</w:t>
      </w:r>
    </w:p>
    <w:p w:rsidR="00984CC5" w:rsidRPr="00984CC5" w:rsidRDefault="00984CC5" w:rsidP="0047287F">
      <w:pPr>
        <w:pStyle w:val="AERtablesource"/>
      </w:pPr>
      <w:r>
        <w:t>N</w:t>
      </w:r>
      <w:r w:rsidRPr="00984CC5">
        <w:t>ote:</w:t>
      </w:r>
      <w:r w:rsidRPr="00984CC5">
        <w:tab/>
      </w:r>
      <w:r w:rsidR="00CE2DD1">
        <w:t>Totals do not add as JGN claimed confidentiality over mines subsidence and related party margin expenditure.</w:t>
      </w:r>
    </w:p>
    <w:p w:rsidR="00860E03" w:rsidRDefault="00860E03" w:rsidP="00860E03">
      <w:pPr>
        <w:pStyle w:val="AERbodytext"/>
      </w:pPr>
      <w:r w:rsidRPr="00860E03">
        <w:t xml:space="preserve">The major components of the forecast gross total expenditure are </w:t>
      </w:r>
      <w:r w:rsidR="0006749A">
        <w:t>connections/ market expansion</w:t>
      </w:r>
      <w:r w:rsidRPr="00860E03">
        <w:t xml:space="preserve"> (</w:t>
      </w:r>
      <w:r w:rsidR="005410DA">
        <w:t>33</w:t>
      </w:r>
      <w:r w:rsidRPr="00860E03">
        <w:t xml:space="preserve"> per cent), </w:t>
      </w:r>
      <w:r w:rsidR="005410DA">
        <w:t>meter renewal and upgrade</w:t>
      </w:r>
      <w:r w:rsidR="005410DA" w:rsidRPr="00860E03">
        <w:t xml:space="preserve"> (</w:t>
      </w:r>
      <w:r w:rsidR="005410DA">
        <w:t>14</w:t>
      </w:r>
      <w:r w:rsidR="005410DA" w:rsidRPr="00860E03">
        <w:t xml:space="preserve"> per cent), </w:t>
      </w:r>
      <w:r w:rsidR="005410DA">
        <w:t>overheads</w:t>
      </w:r>
      <w:r w:rsidR="005410DA" w:rsidRPr="00860E03">
        <w:t xml:space="preserve"> (</w:t>
      </w:r>
      <w:r w:rsidR="005410DA">
        <w:t>13</w:t>
      </w:r>
      <w:r w:rsidR="005410DA" w:rsidRPr="00860E03">
        <w:t xml:space="preserve"> per cent)</w:t>
      </w:r>
      <w:r w:rsidR="005410DA">
        <w:t>, facilities renewal and upgrade</w:t>
      </w:r>
      <w:r w:rsidR="005410DA" w:rsidRPr="00860E03">
        <w:t xml:space="preserve"> (</w:t>
      </w:r>
      <w:r w:rsidR="005410DA">
        <w:t>11</w:t>
      </w:r>
      <w:r w:rsidR="005410DA" w:rsidRPr="00860E03">
        <w:t xml:space="preserve"> per cent) and</w:t>
      </w:r>
      <w:r w:rsidR="005410DA">
        <w:t xml:space="preserve"> augmentation/ growth capacity</w:t>
      </w:r>
      <w:r w:rsidRPr="00860E03">
        <w:t xml:space="preserve"> (</w:t>
      </w:r>
      <w:r w:rsidR="005410DA">
        <w:t>8</w:t>
      </w:r>
      <w:r w:rsidRPr="00860E03">
        <w:t xml:space="preserve"> per cent) (see</w:t>
      </w:r>
      <w:r w:rsidR="00AF1B0F">
        <w:t xml:space="preserve"> Figure </w:t>
      </w:r>
      <w:fldSimple w:instr=" STYLEREF 1 \s ">
        <w:r w:rsidR="00AF1B0F">
          <w:rPr>
            <w:noProof/>
          </w:rPr>
          <w:t>6</w:t>
        </w:r>
      </w:fldSimple>
      <w:r w:rsidR="00AF1B0F">
        <w:noBreakHyphen/>
      </w:r>
      <w:fldSimple w:instr=" SEQ Figure \* ARABIC \s 1 ">
        <w:r w:rsidR="00AF1B0F">
          <w:rPr>
            <w:noProof/>
          </w:rPr>
          <w:t>1</w:t>
        </w:r>
      </w:fldSimple>
      <w:r w:rsidRPr="00860E03">
        <w:t>).</w:t>
      </w:r>
    </w:p>
    <w:p w:rsidR="00205A3C" w:rsidRDefault="009F7369" w:rsidP="009F7369">
      <w:pPr>
        <w:pStyle w:val="Caption"/>
      </w:pPr>
      <w:bookmarkStart w:id="18" w:name="_Ref404161377"/>
      <w:r>
        <w:t xml:space="preserve">Figure </w:t>
      </w:r>
      <w:fldSimple w:instr=" STYLEREF 1 \s ">
        <w:r w:rsidR="00AF1B0F">
          <w:rPr>
            <w:noProof/>
          </w:rPr>
          <w:t>6</w:t>
        </w:r>
      </w:fldSimple>
      <w:r w:rsidR="008D60EC">
        <w:noBreakHyphen/>
      </w:r>
      <w:bookmarkEnd w:id="18"/>
      <w:r w:rsidR="00AF1B0F">
        <w:fldChar w:fldCharType="begin"/>
      </w:r>
      <w:r w:rsidR="00AF1B0F">
        <w:instrText xml:space="preserve"> SEQ Figure \* ARABIC \s 1 </w:instrText>
      </w:r>
      <w:r w:rsidR="00AF1B0F">
        <w:fldChar w:fldCharType="separate"/>
      </w:r>
      <w:r w:rsidR="00AF1B0F">
        <w:rPr>
          <w:noProof/>
        </w:rPr>
        <w:t>1</w:t>
      </w:r>
      <w:r w:rsidR="00AF1B0F">
        <w:fldChar w:fldCharType="end"/>
      </w:r>
      <w:r w:rsidR="00860E03">
        <w:tab/>
      </w:r>
      <w:bookmarkStart w:id="19" w:name="_Ref332192813"/>
      <w:r w:rsidR="00860E03" w:rsidRPr="0067512E">
        <w:t>Com</w:t>
      </w:r>
      <w:r w:rsidR="00860E03">
        <w:t xml:space="preserve">position </w:t>
      </w:r>
      <w:r w:rsidR="00860E03" w:rsidRPr="0067512E">
        <w:t xml:space="preserve">of </w:t>
      </w:r>
      <w:r w:rsidR="00860E03">
        <w:t>JGN's</w:t>
      </w:r>
      <w:r w:rsidR="00860E03" w:rsidRPr="00981872">
        <w:t xml:space="preserve"> total capex</w:t>
      </w:r>
      <w:r w:rsidR="00860E03">
        <w:t xml:space="preserve"> for 2015–20 ($million, </w:t>
      </w:r>
      <w:r w:rsidR="00860E03" w:rsidRPr="00981872">
        <w:t>201</w:t>
      </w:r>
      <w:r w:rsidR="00860E03">
        <w:t>5</w:t>
      </w:r>
      <w:r w:rsidR="00860E03" w:rsidRPr="00981872">
        <w:t>)</w:t>
      </w:r>
      <w:bookmarkEnd w:id="19"/>
    </w:p>
    <w:p w:rsidR="00ED5C24" w:rsidRDefault="00ED5C24" w:rsidP="006903D6">
      <w:pPr>
        <w:pStyle w:val="AERtablesource"/>
        <w:ind w:left="0" w:firstLine="0"/>
        <w:rPr>
          <w:rFonts w:eastAsia="Calibri"/>
        </w:rPr>
      </w:pPr>
      <w:r w:rsidRPr="00ED5C24">
        <w:rPr>
          <w:noProof/>
          <w:lang w:eastAsia="en-AU"/>
        </w:rPr>
        <w:drawing>
          <wp:inline distT="0" distB="0" distL="0" distR="0" wp14:anchorId="2493A8E6" wp14:editId="4FC34191">
            <wp:extent cx="5731510" cy="38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833500"/>
                    </a:xfrm>
                    <a:prstGeom prst="rect">
                      <a:avLst/>
                    </a:prstGeom>
                  </pic:spPr>
                </pic:pic>
              </a:graphicData>
            </a:graphic>
          </wp:inline>
        </w:drawing>
      </w:r>
    </w:p>
    <w:p w:rsidR="00205A3C" w:rsidRPr="00205A3C" w:rsidRDefault="00205A3C" w:rsidP="006903D6">
      <w:pPr>
        <w:pStyle w:val="AERtablesource"/>
        <w:ind w:left="0" w:firstLine="0"/>
        <w:rPr>
          <w:rFonts w:eastAsia="Calibri"/>
        </w:rPr>
      </w:pPr>
      <w:r>
        <w:rPr>
          <w:rFonts w:eastAsia="Calibri"/>
        </w:rPr>
        <w:t xml:space="preserve">Source: </w:t>
      </w:r>
      <w:r w:rsidR="009F7369">
        <w:rPr>
          <w:rFonts w:eastAsia="Calibri"/>
        </w:rPr>
        <w:tab/>
      </w:r>
      <w:r w:rsidRPr="00205A3C">
        <w:rPr>
          <w:rFonts w:eastAsia="Calibri"/>
        </w:rPr>
        <w:t>AER analysis.</w:t>
      </w:r>
    </w:p>
    <w:p w:rsidR="002B5813" w:rsidRDefault="002B5813" w:rsidP="002B5813">
      <w:pPr>
        <w:pStyle w:val="Heading2"/>
      </w:pPr>
      <w:bookmarkStart w:id="20" w:name="_Toc404676543"/>
      <w:bookmarkStart w:id="21" w:name="_Toc404676593"/>
      <w:bookmarkStart w:id="22" w:name="_Toc386793081"/>
      <w:bookmarkStart w:id="23" w:name="_Toc387065817"/>
      <w:r>
        <w:t>Assessment approach</w:t>
      </w:r>
      <w:bookmarkEnd w:id="20"/>
      <w:bookmarkEnd w:id="21"/>
    </w:p>
    <w:p w:rsidR="00F745EE" w:rsidRPr="00F745EE" w:rsidRDefault="00F745EE" w:rsidP="00F745EE">
      <w:pPr>
        <w:pStyle w:val="AERbodytext"/>
      </w:pPr>
      <w:r w:rsidRPr="00F745EE">
        <w:t>We must make two decisions regarding JGN's capex. First, we are required to assess past expenditure and determine whether it meets the criteria set out in the NGR to be added to the starting capital base.</w:t>
      </w:r>
      <w:r w:rsidRPr="00F745EE">
        <w:rPr>
          <w:rStyle w:val="FootnoteReference"/>
        </w:rPr>
        <w:footnoteReference w:id="1"/>
      </w:r>
      <w:r w:rsidRPr="00F745EE">
        <w:t xml:space="preserve"> Where capex meets these criteria, it is referred to as "conforming".</w:t>
      </w:r>
      <w:r w:rsidRPr="00F745EE">
        <w:rPr>
          <w:rStyle w:val="FootnoteReference"/>
        </w:rPr>
        <w:footnoteReference w:id="2"/>
      </w:r>
      <w:r w:rsidRPr="00F745EE">
        <w:t xml:space="preserve"> Secondly, we are required to assess JGN's proposed forecast of required capex for the 2015-2020 period</w:t>
      </w:r>
      <w:r w:rsidR="00937496">
        <w:t xml:space="preserve"> to determine whether it is 'conforming</w:t>
      </w:r>
      <w:r w:rsidRPr="00F745EE">
        <w:t>.</w:t>
      </w:r>
      <w:r w:rsidR="00937496">
        <w:t>'</w:t>
      </w:r>
      <w:r w:rsidRPr="00F745EE">
        <w:t xml:space="preserve"> The following sections set out our approach and the tools and techniques we employ in forming a view on these two issues. We also need to take into account timing issues associated with the lag between actual capex data being available and the need to forecast an opening capital base. This is explained in the next section. </w:t>
      </w:r>
    </w:p>
    <w:p w:rsidR="00F745EE" w:rsidRPr="00F745EE" w:rsidRDefault="00F745EE" w:rsidP="008368B6">
      <w:pPr>
        <w:pStyle w:val="Heading3"/>
        <w:rPr>
          <w:rFonts w:eastAsia="Calibri"/>
        </w:rPr>
      </w:pPr>
      <w:bookmarkStart w:id="24" w:name="_Toc404676544"/>
      <w:bookmarkStart w:id="25" w:name="_Toc404676594"/>
      <w:r w:rsidRPr="00F745EE">
        <w:rPr>
          <w:rFonts w:eastAsia="Calibri"/>
        </w:rPr>
        <w:t>NGR requirements for conforming capital expenditure</w:t>
      </w:r>
      <w:bookmarkEnd w:id="24"/>
      <w:bookmarkEnd w:id="25"/>
    </w:p>
    <w:p w:rsidR="00F745EE" w:rsidRPr="00F745EE" w:rsidRDefault="00F745EE" w:rsidP="00F745EE">
      <w:r w:rsidRPr="00F745EE">
        <w:t>Capex will be conforming if it:</w:t>
      </w:r>
    </w:p>
    <w:p w:rsidR="00F745EE" w:rsidRPr="00F745EE" w:rsidRDefault="00F745EE" w:rsidP="00F745EE">
      <w:pPr>
        <w:pStyle w:val="AERbulletlistfirststyle"/>
      </w:pPr>
      <w:r w:rsidRPr="00F745EE">
        <w:rPr>
          <w:rFonts w:eastAsia="Calibri"/>
        </w:rPr>
        <w:lastRenderedPageBreak/>
        <w:t>meets the definition of capex in r. 69 of the NGR. Capex is defined as costs and expenditure of a capital nature incurred to provide, or in providing, pipeline services</w:t>
      </w:r>
    </w:p>
    <w:p w:rsidR="00F745EE" w:rsidRPr="00F745EE" w:rsidRDefault="00F745EE" w:rsidP="00F745EE">
      <w:pPr>
        <w:pStyle w:val="AERbulletlistfirststyle"/>
        <w:rPr>
          <w:rFonts w:eastAsia="Calibri"/>
        </w:rPr>
      </w:pPr>
      <w:r w:rsidRPr="00F745EE">
        <w:rPr>
          <w:rFonts w:eastAsia="Calibri"/>
        </w:rPr>
        <w:t>is based on a forecast or estimate which is supported by a statement of the basis of the forecast or estimate required under r. 74(1) of the NGR. In accordance with r. 74(2) of the NGR, any forecast or estimate submitted must:</w:t>
      </w:r>
    </w:p>
    <w:p w:rsidR="00F745EE" w:rsidRPr="00F745EE" w:rsidRDefault="00F745EE" w:rsidP="00F745EE">
      <w:pPr>
        <w:pStyle w:val="AERbulletlistsecondstyle"/>
        <w:rPr>
          <w:rFonts w:eastAsia="Calibri"/>
        </w:rPr>
      </w:pPr>
      <w:r w:rsidRPr="00F745EE">
        <w:rPr>
          <w:rFonts w:eastAsia="Calibri"/>
        </w:rPr>
        <w:t>be arrived at on a reasonable basis; and</w:t>
      </w:r>
    </w:p>
    <w:p w:rsidR="00F745EE" w:rsidRPr="00F745EE" w:rsidRDefault="00F745EE" w:rsidP="00F745EE">
      <w:pPr>
        <w:pStyle w:val="AERbulletlistsecondstyle"/>
        <w:rPr>
          <w:rFonts w:eastAsia="Calibri"/>
        </w:rPr>
      </w:pPr>
      <w:r w:rsidRPr="00F745EE">
        <w:rPr>
          <w:rFonts w:eastAsia="Calibri"/>
        </w:rPr>
        <w:t>represent the best forecast or estimate possible in the circumstances.</w:t>
      </w:r>
      <w:r w:rsidRPr="00F745EE">
        <w:rPr>
          <w:rStyle w:val="FootnoteReference"/>
          <w:rFonts w:eastAsia="Calibri"/>
        </w:rPr>
        <w:footnoteReference w:id="3"/>
      </w:r>
    </w:p>
    <w:p w:rsidR="00F745EE" w:rsidRPr="00F745EE" w:rsidRDefault="00F745EE" w:rsidP="00F745EE">
      <w:pPr>
        <w:pStyle w:val="AERbulletlistfirststyle"/>
        <w:rPr>
          <w:rFonts w:eastAsia="Calibri"/>
        </w:rPr>
      </w:pPr>
      <w:r w:rsidRPr="00F745EE">
        <w:rPr>
          <w:rFonts w:eastAsia="Calibri"/>
        </w:rPr>
        <w:t xml:space="preserve">conforms with the </w:t>
      </w:r>
      <w:r w:rsidR="00937496">
        <w:rPr>
          <w:rFonts w:eastAsia="Calibri"/>
        </w:rPr>
        <w:t xml:space="preserve">new </w:t>
      </w:r>
      <w:r w:rsidRPr="00F745EE">
        <w:rPr>
          <w:rFonts w:eastAsia="Calibri"/>
        </w:rPr>
        <w:t>capex criteria in r. 79 of the NGR. There are two essential criteria that must both be met under this rule:</w:t>
      </w:r>
    </w:p>
    <w:p w:rsidR="00F745EE" w:rsidRPr="00F745EE" w:rsidRDefault="00F745EE" w:rsidP="00F745EE">
      <w:pPr>
        <w:pStyle w:val="AERbulletlistsecondstyle"/>
        <w:rPr>
          <w:rFonts w:eastAsia="Calibri"/>
        </w:rPr>
      </w:pPr>
      <w:r w:rsidRPr="00F745EE">
        <w:rPr>
          <w:rFonts w:eastAsia="Calibri"/>
        </w:rPr>
        <w:t xml:space="preserve">The expenditure must be such as would be incurred by a prudent service provider acting efficiently, in accordance with good industry practice, to achieve the lowest sustainable cost of providing services; and </w:t>
      </w:r>
    </w:p>
    <w:p w:rsidR="00F745EE" w:rsidRPr="00F745EE" w:rsidRDefault="00F745EE" w:rsidP="00F745EE">
      <w:pPr>
        <w:pStyle w:val="AERbulletlistsecondstyle"/>
        <w:rPr>
          <w:rFonts w:eastAsia="Calibri"/>
        </w:rPr>
      </w:pPr>
      <w:r w:rsidRPr="00F745EE">
        <w:rPr>
          <w:rFonts w:eastAsia="Calibri"/>
        </w:rPr>
        <w:t>The expenditure must be justifiable on one of four grounds set out in r. 79(2) of the NGR.</w:t>
      </w:r>
    </w:p>
    <w:p w:rsidR="00F745EE" w:rsidRPr="00F745EE" w:rsidRDefault="00F745EE" w:rsidP="00F745EE">
      <w:r w:rsidRPr="00F745EE">
        <w:t>The four grounds set out in r. 79(2) of the NGR can be summarised as follows. The capex must either:</w:t>
      </w:r>
    </w:p>
    <w:p w:rsidR="00F745EE" w:rsidRPr="00F745EE" w:rsidRDefault="00F745EE" w:rsidP="00F745EE">
      <w:pPr>
        <w:pStyle w:val="AERbulletlistfirststyle"/>
      </w:pPr>
      <w:r w:rsidRPr="00F745EE">
        <w:rPr>
          <w:rFonts w:eastAsia="Calibri"/>
        </w:rPr>
        <w:t>have an overall economic value that is positive</w:t>
      </w:r>
    </w:p>
    <w:p w:rsidR="00F745EE" w:rsidRPr="00F745EE" w:rsidRDefault="00F745EE" w:rsidP="00F745EE">
      <w:pPr>
        <w:pStyle w:val="AERbulletlistfirststyle"/>
        <w:rPr>
          <w:rFonts w:eastAsia="Calibri"/>
        </w:rPr>
      </w:pPr>
      <w:r w:rsidRPr="00F745EE">
        <w:rPr>
          <w:rFonts w:eastAsia="Calibri"/>
        </w:rPr>
        <w:t>demonstrate an expected present value of the incremental revenue that exceeds the expenditure</w:t>
      </w:r>
    </w:p>
    <w:p w:rsidR="00F745EE" w:rsidRPr="00F745EE" w:rsidRDefault="00F745EE" w:rsidP="00F745EE">
      <w:pPr>
        <w:pStyle w:val="AERbulletlistfirststyle"/>
        <w:rPr>
          <w:rFonts w:eastAsia="Calibri"/>
        </w:rPr>
      </w:pPr>
      <w:r w:rsidRPr="00F745EE">
        <w:rPr>
          <w:rFonts w:eastAsia="Calibri"/>
        </w:rPr>
        <w:t>be necessary to maintain and improve the safety of services, or maintain the integrity of services, or comply with a regulatory obligation or requirement, or maintain capacity to meet levels of demand existing at the time the capex is incurred, or</w:t>
      </w:r>
    </w:p>
    <w:p w:rsidR="00F745EE" w:rsidRPr="00F745EE" w:rsidRDefault="00F745EE" w:rsidP="00F745EE">
      <w:pPr>
        <w:pStyle w:val="AERbulletlistfirststyle"/>
        <w:rPr>
          <w:rFonts w:eastAsia="Calibri"/>
        </w:rPr>
      </w:pPr>
      <w:r w:rsidRPr="00F745EE">
        <w:rPr>
          <w:rFonts w:eastAsia="Calibri"/>
        </w:rPr>
        <w:t>be justifiable as a combination of the preceding two dot points.</w:t>
      </w:r>
    </w:p>
    <w:p w:rsidR="00F745EE" w:rsidRPr="00F745EE" w:rsidRDefault="00F745EE" w:rsidP="00F745EE">
      <w:pPr>
        <w:pStyle w:val="AERbodytext"/>
        <w:rPr>
          <w:rFonts w:eastAsia="Calibri"/>
        </w:rPr>
      </w:pPr>
      <w:r w:rsidRPr="00F745EE">
        <w:rPr>
          <w:rFonts w:eastAsia="Calibri"/>
        </w:rPr>
        <w:t>Rule 79(3) of the NGR provides:</w:t>
      </w:r>
    </w:p>
    <w:p w:rsidR="00F745EE" w:rsidRPr="00F745EE" w:rsidRDefault="00F745EE" w:rsidP="00F745EE">
      <w:pPr>
        <w:pStyle w:val="AERquoteindent1"/>
        <w:rPr>
          <w:rFonts w:eastAsia="Calibri"/>
        </w:rPr>
      </w:pPr>
      <w:r w:rsidRPr="00F745EE">
        <w:rPr>
          <w:rFonts w:eastAsia="Calibri"/>
        </w:rPr>
        <w:t>In deciding whether the overall economic value of capital expenditure is positive, consideration is to be given only to economic value directly accruing to the service provider, gas providers, users and end users.</w:t>
      </w:r>
    </w:p>
    <w:p w:rsidR="00F745EE" w:rsidRPr="00F745EE" w:rsidRDefault="00BB38B8" w:rsidP="00F745EE">
      <w:pPr>
        <w:pStyle w:val="AERbodytext"/>
        <w:rPr>
          <w:rFonts w:eastAsia="Calibri"/>
        </w:rPr>
      </w:pPr>
      <w:r>
        <w:rPr>
          <w:rFonts w:eastAsia="Calibri"/>
        </w:rPr>
        <w:t>We have</w:t>
      </w:r>
      <w:r w:rsidR="00F745EE" w:rsidRPr="00F745EE">
        <w:rPr>
          <w:rFonts w:eastAsia="Calibri"/>
        </w:rPr>
        <w:t xml:space="preserve"> limited discretion when making decisions under r. 79 of the NGR.</w:t>
      </w:r>
      <w:r w:rsidR="00F745EE" w:rsidRPr="00F745EE">
        <w:rPr>
          <w:rStyle w:val="FootnoteReference"/>
          <w:rFonts w:eastAsia="Calibri"/>
        </w:rPr>
        <w:footnoteReference w:id="4"/>
      </w:r>
      <w:r w:rsidR="00F745EE" w:rsidRPr="00F745EE">
        <w:rPr>
          <w:rFonts w:eastAsia="Calibri"/>
        </w:rPr>
        <w:t xml:space="preserve"> This means that </w:t>
      </w:r>
      <w:r>
        <w:rPr>
          <w:rFonts w:eastAsia="Calibri"/>
        </w:rPr>
        <w:t>we</w:t>
      </w:r>
      <w:r w:rsidR="00F745EE" w:rsidRPr="00F745EE">
        <w:rPr>
          <w:rFonts w:eastAsia="Calibri"/>
        </w:rPr>
        <w:t xml:space="preserve"> must approve a particular element of the access arrangement proposal if </w:t>
      </w:r>
      <w:r>
        <w:rPr>
          <w:rFonts w:eastAsia="Calibri"/>
        </w:rPr>
        <w:t>we are</w:t>
      </w:r>
      <w:r w:rsidR="00F745EE" w:rsidRPr="00F745EE">
        <w:rPr>
          <w:rFonts w:eastAsia="Calibri"/>
        </w:rPr>
        <w:t xml:space="preserve"> satisfied that that element complies with the applicable requirements of the NGR and NGL and is consistent with any criteria set out in the NGR or NGL.</w:t>
      </w:r>
      <w:r w:rsidR="00F745EE" w:rsidRPr="00F745EE">
        <w:rPr>
          <w:rStyle w:val="FootnoteReference"/>
          <w:rFonts w:eastAsia="Calibri"/>
        </w:rPr>
        <w:footnoteReference w:id="5"/>
      </w:r>
    </w:p>
    <w:p w:rsidR="00F745EE" w:rsidRPr="00F745EE" w:rsidRDefault="00F745EE" w:rsidP="008368B6">
      <w:pPr>
        <w:pStyle w:val="Heading3"/>
        <w:rPr>
          <w:rFonts w:eastAsia="Calibri"/>
        </w:rPr>
      </w:pPr>
      <w:bookmarkStart w:id="26" w:name="_Toc404676545"/>
      <w:bookmarkStart w:id="27" w:name="_Toc404676595"/>
      <w:r w:rsidRPr="00F745EE">
        <w:rPr>
          <w:rFonts w:eastAsia="Calibri"/>
        </w:rPr>
        <w:t>Assessment of conforming capital expenditure</w:t>
      </w:r>
      <w:r w:rsidR="008368B6">
        <w:rPr>
          <w:rFonts w:eastAsia="Calibri"/>
        </w:rPr>
        <w:t xml:space="preserve"> in the previous period</w:t>
      </w:r>
      <w:bookmarkEnd w:id="26"/>
      <w:bookmarkEnd w:id="27"/>
    </w:p>
    <w:p w:rsidR="00F745EE" w:rsidRPr="00F745EE" w:rsidRDefault="00F745EE" w:rsidP="00F745EE">
      <w:pPr>
        <w:pStyle w:val="AERbodytext"/>
        <w:rPr>
          <w:rStyle w:val="AERbody"/>
          <w:rFonts w:eastAsia="Calibri"/>
        </w:rPr>
      </w:pPr>
      <w:r w:rsidRPr="00F745EE">
        <w:rPr>
          <w:rStyle w:val="AERbody"/>
          <w:rFonts w:eastAsia="Calibri"/>
        </w:rPr>
        <w:t xml:space="preserve">In assessing JGN’s proposed capex in the earlier access arrangement period, we reviewed JGN's supporting material. This included information on JGN's reasoning and, where relevant, business cases, audited regulatory accounts, and other relevant information. This information helped us identify whether capex over the earlier access arrangement period was conforming capex and, in turn, </w:t>
      </w:r>
      <w:r w:rsidRPr="00F745EE">
        <w:rPr>
          <w:rStyle w:val="AERbody"/>
          <w:rFonts w:eastAsia="Calibri"/>
        </w:rPr>
        <w:lastRenderedPageBreak/>
        <w:t>whether that capex should be included in the opening capital base in accordance with r. 77(2)(b) of the NGR.</w:t>
      </w:r>
    </w:p>
    <w:p w:rsidR="00F745EE" w:rsidRPr="00F745EE" w:rsidRDefault="00F745EE" w:rsidP="00F745EE">
      <w:pPr>
        <w:pStyle w:val="AERbodytext"/>
        <w:rPr>
          <w:rFonts w:eastAsia="Calibri"/>
        </w:rPr>
      </w:pPr>
      <w:r w:rsidRPr="00F745EE">
        <w:t>We do not approve certain information and forecasts provided by JGN if the information does not meet the requirements set out in the NGR.</w:t>
      </w:r>
      <w:r w:rsidRPr="00F745EE">
        <w:rPr>
          <w:rStyle w:val="FootnoteReference"/>
        </w:rPr>
        <w:footnoteReference w:id="6"/>
      </w:r>
      <w:r w:rsidRPr="00F745EE">
        <w:t xml:space="preserve"> </w:t>
      </w:r>
      <w:r w:rsidR="00BB38B8">
        <w:t>We must</w:t>
      </w:r>
      <w:r w:rsidRPr="00F745EE">
        <w:t xml:space="preserve"> exercise </w:t>
      </w:r>
      <w:r w:rsidR="00937496">
        <w:t>our</w:t>
      </w:r>
      <w:r w:rsidR="00937496" w:rsidRPr="00F745EE">
        <w:t xml:space="preserve"> </w:t>
      </w:r>
      <w:r w:rsidRPr="00F745EE">
        <w:t>economic regulatory functions in a manner that will or is likely to contribute to the achievement of the NGO.</w:t>
      </w:r>
      <w:r w:rsidRPr="00F745EE">
        <w:rPr>
          <w:rStyle w:val="FootnoteReference"/>
        </w:rPr>
        <w:footnoteReference w:id="7"/>
      </w:r>
      <w:r w:rsidRPr="00F745EE">
        <w:t xml:space="preserve"> For instance, having regard to the NGO, </w:t>
      </w:r>
      <w:r w:rsidR="00BB38B8">
        <w:t>we</w:t>
      </w:r>
      <w:r w:rsidRPr="00F745EE">
        <w:t xml:space="preserve"> take the view that a prudent service provider will seek cost efficiencies through continuous improvements, and that customers ultimately share in these benefits. This also provides the service provider with a reasonable opportunity to recover at least its efficient costs in accordance with the revenue and pricing principles. </w:t>
      </w:r>
    </w:p>
    <w:p w:rsidR="00F745EE" w:rsidRPr="00F745EE" w:rsidRDefault="00F745EE" w:rsidP="00F745EE">
      <w:pPr>
        <w:pStyle w:val="AERbodytext"/>
        <w:rPr>
          <w:rStyle w:val="AERbody"/>
        </w:rPr>
      </w:pPr>
      <w:r w:rsidRPr="00F745EE">
        <w:rPr>
          <w:rStyle w:val="AERbody"/>
        </w:rPr>
        <w:t>Although the capital base roll forward relates to the 2010–15 access arrangement period, we are also required to adjust for the difference between actual and forecast capex in the capital base.</w:t>
      </w:r>
      <w:r w:rsidRPr="00F745EE">
        <w:rPr>
          <w:rStyle w:val="FootnoteReference"/>
        </w:rPr>
        <w:footnoteReference w:id="8"/>
      </w:r>
      <w:r w:rsidRPr="00F745EE">
        <w:rPr>
          <w:rStyle w:val="AERbody"/>
        </w:rPr>
        <w:t xml:space="preserve"> Generally, the final year of the previous access arrangement period is based on forecast capex (in this case, 2009-10). Therefore, our assessment of conforming capex includes the regulatory years for 2009–14. This is because:</w:t>
      </w:r>
    </w:p>
    <w:p w:rsidR="00F745EE" w:rsidRPr="00F745EE" w:rsidRDefault="00F745EE" w:rsidP="00F745EE">
      <w:pPr>
        <w:pStyle w:val="AERbulletlistfirststyle"/>
        <w:rPr>
          <w:rStyle w:val="AERbody"/>
        </w:rPr>
      </w:pPr>
      <w:r w:rsidRPr="00F745EE">
        <w:rPr>
          <w:rStyle w:val="AERbody"/>
        </w:rPr>
        <w:t>2009–10 capex—when conducting the previous access arrangement review, we did not yet have actual capex for 2009–10. We therefore included in the capital base benchmark JGN's estimate of capex for 2009–10. Since actual capex is now available for 2009–10, we have assessed whether JGN’s actual capex for 2009–10 is conforming capex under the NGR.</w:t>
      </w:r>
      <w:r w:rsidRPr="00F745EE">
        <w:rPr>
          <w:rStyle w:val="FootnoteReference"/>
        </w:rPr>
        <w:footnoteReference w:id="9"/>
      </w:r>
      <w:r w:rsidRPr="00F745EE">
        <w:rPr>
          <w:rStyle w:val="AERbody"/>
        </w:rPr>
        <w:t xml:space="preserve"> This conforming capex is now included in the capital base roll forward.</w:t>
      </w:r>
      <w:r w:rsidRPr="00F745EE">
        <w:rPr>
          <w:rStyle w:val="FootnoteReference"/>
        </w:rPr>
        <w:footnoteReference w:id="10"/>
      </w:r>
    </w:p>
    <w:p w:rsidR="00F745EE" w:rsidRPr="00F745EE" w:rsidRDefault="00F745EE" w:rsidP="00F745EE">
      <w:pPr>
        <w:pStyle w:val="AERbulletlistfirststyle"/>
        <w:rPr>
          <w:rStyle w:val="AERbody"/>
        </w:rPr>
      </w:pPr>
      <w:r w:rsidRPr="00F745EE">
        <w:rPr>
          <w:rStyle w:val="AERbody"/>
        </w:rPr>
        <w:t>2010–14 capex—for this access arrangement review, we have the actual capex for 2010–14. We have assessed whether JGN’s actual capex for 2010–14 is conforming under the NGR for inclusion in the capital base roll forward.</w:t>
      </w:r>
      <w:r w:rsidRPr="00F745EE">
        <w:rPr>
          <w:rStyle w:val="FootnoteReference"/>
        </w:rPr>
        <w:footnoteReference w:id="11"/>
      </w:r>
      <w:r w:rsidRPr="00F745EE">
        <w:rPr>
          <w:rStyle w:val="AERbody"/>
        </w:rPr>
        <w:t xml:space="preserve"> </w:t>
      </w:r>
    </w:p>
    <w:p w:rsidR="00F745EE" w:rsidRPr="00F745EE" w:rsidRDefault="00F745EE" w:rsidP="00F745EE">
      <w:pPr>
        <w:pStyle w:val="AERbulletlistfirststyle"/>
        <w:rPr>
          <w:rStyle w:val="AERbody"/>
        </w:rPr>
      </w:pPr>
      <w:r w:rsidRPr="00F745EE">
        <w:rPr>
          <w:rStyle w:val="AERbody"/>
        </w:rPr>
        <w:t>2014–15 capex—for this access arrangement review, we do not yet have actual capex for 2014–15. We have therefore included in the capital base roll forward JGN's estimate of capex for 2014–15. At the next access arrangement review, we will assess whether JGN’s actual capex for 2014–15 is conforming capex under the NGR.</w:t>
      </w:r>
      <w:r w:rsidRPr="00F745EE">
        <w:rPr>
          <w:rStyle w:val="FootnoteReference"/>
        </w:rPr>
        <w:footnoteReference w:id="12"/>
      </w:r>
      <w:r w:rsidRPr="00F745EE">
        <w:rPr>
          <w:rStyle w:val="AERbody"/>
        </w:rPr>
        <w:t xml:space="preserve"> </w:t>
      </w:r>
    </w:p>
    <w:p w:rsidR="00F745EE" w:rsidRPr="00F745EE" w:rsidRDefault="00F745EE" w:rsidP="00F745EE">
      <w:pPr>
        <w:pStyle w:val="AERbodytext"/>
        <w:rPr>
          <w:rStyle w:val="AERbody"/>
        </w:rPr>
      </w:pPr>
      <w:r w:rsidRPr="00F745EE">
        <w:rPr>
          <w:rStyle w:val="AERbody"/>
          <w:rFonts w:eastAsia="Calibri"/>
        </w:rPr>
        <w:t xml:space="preserve">We assessed the key drivers for the capex to assess whether JGN’s proposed capex in the projected capital base complies with the capex criteria in r. 79(1) of the NGR. In doing so, we relied on the </w:t>
      </w:r>
      <w:r w:rsidRPr="00F745EE">
        <w:rPr>
          <w:rStyle w:val="AERbody"/>
        </w:rPr>
        <w:t>following information:</w:t>
      </w:r>
    </w:p>
    <w:p w:rsidR="00F745EE" w:rsidRPr="00F745EE" w:rsidRDefault="00F745EE" w:rsidP="00F745EE">
      <w:pPr>
        <w:pStyle w:val="AERbulletlistfirststyle"/>
      </w:pPr>
      <w:r w:rsidRPr="00F745EE">
        <w:t>The access arrangement information (AAI) - this document outlines JGN's program of capital expenditure and describes the main drivers of increased capital expenditure</w:t>
      </w:r>
      <w:r w:rsidRPr="00F745EE">
        <w:rPr>
          <w:rStyle w:val="FootnoteReference"/>
        </w:rPr>
        <w:footnoteReference w:id="13"/>
      </w:r>
    </w:p>
    <w:p w:rsidR="00F745EE" w:rsidRPr="00F745EE" w:rsidRDefault="00F745EE" w:rsidP="00F745EE">
      <w:pPr>
        <w:pStyle w:val="AERbulletlistfirststyle"/>
      </w:pPr>
      <w:r w:rsidRPr="00F745EE">
        <w:t>The Asset Management Plan, IT Strategy and Asset Management Plan, and appendices which provided specific expenditure detail</w:t>
      </w:r>
      <w:r w:rsidRPr="00F745EE">
        <w:rPr>
          <w:rStyle w:val="FootnoteReference"/>
        </w:rPr>
        <w:footnoteReference w:id="14"/>
      </w:r>
    </w:p>
    <w:p w:rsidR="00F745EE" w:rsidRPr="00F745EE" w:rsidRDefault="00F745EE" w:rsidP="00F745EE">
      <w:pPr>
        <w:pStyle w:val="AERbulletlistfirststyle"/>
      </w:pPr>
      <w:r w:rsidRPr="00F745EE">
        <w:t>JGN RIN template and basis of preparation</w:t>
      </w:r>
      <w:r w:rsidRPr="00F745EE">
        <w:rPr>
          <w:rStyle w:val="FootnoteReference"/>
        </w:rPr>
        <w:footnoteReference w:id="15"/>
      </w:r>
    </w:p>
    <w:p w:rsidR="00F745EE" w:rsidRPr="00F745EE" w:rsidRDefault="00F745EE" w:rsidP="00F745EE">
      <w:pPr>
        <w:pStyle w:val="AERbulletlistfirststyle"/>
      </w:pPr>
      <w:r w:rsidRPr="00F745EE">
        <w:lastRenderedPageBreak/>
        <w:t>Opportunity briefs which detail expenditure requirements of specific projects</w:t>
      </w:r>
      <w:r w:rsidRPr="00F745EE">
        <w:rPr>
          <w:rStyle w:val="FootnoteReference"/>
        </w:rPr>
        <w:footnoteReference w:id="16"/>
      </w:r>
    </w:p>
    <w:p w:rsidR="00F745EE" w:rsidRPr="00F745EE" w:rsidRDefault="00F745EE" w:rsidP="00F745EE">
      <w:pPr>
        <w:pStyle w:val="AERbulletlistfirststyle"/>
        <w:rPr>
          <w:rFonts w:eastAsia="Calibri"/>
        </w:rPr>
      </w:pPr>
      <w:r w:rsidRPr="00F745EE">
        <w:t>JGN tender and contract documentation</w:t>
      </w:r>
      <w:r w:rsidRPr="00F745EE">
        <w:rPr>
          <w:rStyle w:val="FootnoteReference"/>
        </w:rPr>
        <w:footnoteReference w:id="17"/>
      </w:r>
    </w:p>
    <w:p w:rsidR="00F745EE" w:rsidRPr="00F745EE" w:rsidRDefault="00F745EE" w:rsidP="00F745EE">
      <w:pPr>
        <w:pStyle w:val="AERbulletlistfirststyle"/>
        <w:rPr>
          <w:rFonts w:eastAsia="Calibri"/>
        </w:rPr>
      </w:pPr>
      <w:r w:rsidRPr="00F745EE">
        <w:t>Capex forecast model</w:t>
      </w:r>
      <w:r w:rsidR="00963704">
        <w:t>.</w:t>
      </w:r>
      <w:r w:rsidRPr="00F745EE">
        <w:rPr>
          <w:rStyle w:val="FootnoteReference"/>
        </w:rPr>
        <w:footnoteReference w:id="18"/>
      </w:r>
      <w:r w:rsidRPr="00F745EE">
        <w:t xml:space="preserve">  </w:t>
      </w:r>
    </w:p>
    <w:p w:rsidR="00F745EE" w:rsidRPr="00F745EE" w:rsidRDefault="00F745EE" w:rsidP="00F745EE">
      <w:pPr>
        <w:pStyle w:val="AERbodytext"/>
        <w:rPr>
          <w:rFonts w:eastAsia="Calibri"/>
        </w:rPr>
      </w:pPr>
      <w:r w:rsidRPr="00F745EE">
        <w:rPr>
          <w:rFonts w:eastAsia="Calibri"/>
        </w:rPr>
        <w:t>Initially we assessed whether the proposed capex is justified on one of the four grounds under NGR r. 79(2). We then assessed the prudency and efficiency of the proposed capex. For analysis purposes the capex was broken into categories depending on whether the expenditure is driven by:</w:t>
      </w:r>
    </w:p>
    <w:p w:rsidR="00F745EE" w:rsidRPr="00F745EE" w:rsidRDefault="00F745EE" w:rsidP="00F745EE">
      <w:pPr>
        <w:pStyle w:val="AERbulletlistfirststyle"/>
        <w:rPr>
          <w:rFonts w:eastAsia="Calibri"/>
        </w:rPr>
      </w:pPr>
      <w:r w:rsidRPr="00F745EE">
        <w:t>Growth in demand - extensions, connections, augmentation</w:t>
      </w:r>
    </w:p>
    <w:p w:rsidR="00F745EE" w:rsidRPr="00F745EE" w:rsidRDefault="00F745EE" w:rsidP="00F745EE">
      <w:pPr>
        <w:pStyle w:val="AERbulletlistfirststyle"/>
      </w:pPr>
      <w:r w:rsidRPr="00F745EE">
        <w:t>Replacement on the basis of asset life, obsolescence, safety or regulatory obligations - mains, services, meters, regulators, city gates, IT, SCADA, or</w:t>
      </w:r>
    </w:p>
    <w:p w:rsidR="00F745EE" w:rsidRPr="00F745EE" w:rsidRDefault="00F745EE" w:rsidP="00F745EE">
      <w:pPr>
        <w:pStyle w:val="AERbulletlistfirststyle"/>
      </w:pPr>
      <w:r w:rsidRPr="00F745EE">
        <w:t xml:space="preserve">Other - new regulatory or safety obligations, opex or reliability improvements. </w:t>
      </w:r>
    </w:p>
    <w:p w:rsidR="00F745EE" w:rsidRPr="00F745EE" w:rsidRDefault="00F745EE" w:rsidP="00F745EE">
      <w:pPr>
        <w:pStyle w:val="AERbodytext"/>
      </w:pPr>
      <w:r w:rsidRPr="00F745EE">
        <w:rPr>
          <w:rFonts w:eastAsia="Calibri"/>
        </w:rPr>
        <w:t xml:space="preserve">For each category of expenditure the scope, timing and cost of the proposed expenditure was considered in order to form a view on the prudency and efficiency of the expenditure. </w:t>
      </w:r>
      <w:r w:rsidRPr="00F745EE">
        <w:t>The assessment also considered whether cost forecasts have been arrived at on a reasonable basis and represent the best forecast possible in the circumstances.</w:t>
      </w:r>
      <w:r w:rsidRPr="00F745EE">
        <w:rPr>
          <w:rFonts w:eastAsia="Calibri"/>
        </w:rPr>
        <w:t xml:space="preserve">  </w:t>
      </w:r>
    </w:p>
    <w:p w:rsidR="00F745EE" w:rsidRPr="00F745EE" w:rsidRDefault="00F745EE" w:rsidP="008368B6">
      <w:pPr>
        <w:pStyle w:val="Heading3"/>
        <w:rPr>
          <w:rFonts w:eastAsia="Calibri"/>
        </w:rPr>
      </w:pPr>
      <w:bookmarkStart w:id="28" w:name="_Toc404676546"/>
      <w:bookmarkStart w:id="29" w:name="_Toc404676596"/>
      <w:r w:rsidRPr="00F745EE">
        <w:rPr>
          <w:rFonts w:eastAsia="Calibri"/>
        </w:rPr>
        <w:t>Assessing forecast capex for the 201</w:t>
      </w:r>
      <w:r w:rsidR="009C2D4D">
        <w:rPr>
          <w:rFonts w:eastAsia="Calibri"/>
        </w:rPr>
        <w:t>5</w:t>
      </w:r>
      <w:r w:rsidRPr="00F745EE">
        <w:rPr>
          <w:rFonts w:eastAsia="Calibri"/>
        </w:rPr>
        <w:t>-20</w:t>
      </w:r>
      <w:r w:rsidR="009C2D4D">
        <w:rPr>
          <w:rFonts w:eastAsia="Calibri"/>
        </w:rPr>
        <w:t>20</w:t>
      </w:r>
      <w:r w:rsidRPr="00F745EE">
        <w:rPr>
          <w:rFonts w:eastAsia="Calibri"/>
        </w:rPr>
        <w:t xml:space="preserve"> </w:t>
      </w:r>
      <w:r w:rsidR="00DD18F5">
        <w:rPr>
          <w:rFonts w:eastAsia="Calibri"/>
        </w:rPr>
        <w:t xml:space="preserve">access arrangement </w:t>
      </w:r>
      <w:r w:rsidRPr="00F745EE">
        <w:rPr>
          <w:rFonts w:eastAsia="Calibri"/>
        </w:rPr>
        <w:t>period</w:t>
      </w:r>
      <w:bookmarkEnd w:id="28"/>
      <w:bookmarkEnd w:id="29"/>
    </w:p>
    <w:p w:rsidR="00F745EE" w:rsidRPr="00F745EE" w:rsidRDefault="00F745EE" w:rsidP="00F745EE">
      <w:pPr>
        <w:pStyle w:val="AERbodytext"/>
        <w:rPr>
          <w:rFonts w:eastAsia="Calibri"/>
        </w:rPr>
      </w:pPr>
      <w:r w:rsidRPr="00F745EE">
        <w:rPr>
          <w:rFonts w:eastAsia="Calibri"/>
        </w:rPr>
        <w:t xml:space="preserve">The following sections set out our approach to assessing JGN's forecast of required capex for the 2015-2020 </w:t>
      </w:r>
      <w:r w:rsidR="00DD18F5">
        <w:rPr>
          <w:rFonts w:eastAsia="Calibri"/>
        </w:rPr>
        <w:t xml:space="preserve">access arrangement </w:t>
      </w:r>
      <w:r w:rsidRPr="00F745EE">
        <w:rPr>
          <w:rFonts w:eastAsia="Calibri"/>
        </w:rPr>
        <w:t>period. Our tools and techniques cover:</w:t>
      </w:r>
    </w:p>
    <w:p w:rsidR="00F745EE" w:rsidRPr="00F745EE" w:rsidRDefault="00F745EE" w:rsidP="00F745EE">
      <w:pPr>
        <w:pStyle w:val="AERbulletlistfirststyle"/>
        <w:rPr>
          <w:rFonts w:eastAsia="Calibri"/>
        </w:rPr>
      </w:pPr>
      <w:r>
        <w:rPr>
          <w:rFonts w:eastAsia="Calibri"/>
        </w:rPr>
        <w:t>a</w:t>
      </w:r>
      <w:r w:rsidRPr="00F745EE">
        <w:rPr>
          <w:rFonts w:eastAsia="Calibri"/>
        </w:rPr>
        <w:t>ssessing whether any outsourcing to third-parties reflect genuine arm's length arrangements</w:t>
      </w:r>
    </w:p>
    <w:p w:rsidR="00F745EE" w:rsidRPr="00F745EE" w:rsidRDefault="00F745EE" w:rsidP="00F745EE">
      <w:pPr>
        <w:pStyle w:val="AERbulletlistfirststyle"/>
        <w:rPr>
          <w:rFonts w:eastAsia="Calibri"/>
        </w:rPr>
      </w:pPr>
      <w:r w:rsidRPr="00F745EE">
        <w:rPr>
          <w:rFonts w:eastAsia="Calibri"/>
        </w:rPr>
        <w:t>assessing historical expenditure under the revealed cost approach</w:t>
      </w:r>
    </w:p>
    <w:p w:rsidR="00F745EE" w:rsidRPr="00F745EE" w:rsidRDefault="00F745EE" w:rsidP="00F745EE">
      <w:pPr>
        <w:pStyle w:val="AERbulletlistfirststyle"/>
        <w:rPr>
          <w:rFonts w:eastAsia="Calibri"/>
        </w:rPr>
      </w:pPr>
      <w:r w:rsidRPr="00F745EE">
        <w:rPr>
          <w:rFonts w:eastAsia="Calibri"/>
        </w:rPr>
        <w:t>how we compare costs against previous decisions we have made (benchmarking)</w:t>
      </w:r>
    </w:p>
    <w:p w:rsidR="00F745EE" w:rsidRPr="00F745EE" w:rsidRDefault="00F745EE" w:rsidP="00F745EE">
      <w:pPr>
        <w:pStyle w:val="AERbulletlistfirststyle"/>
        <w:rPr>
          <w:rFonts w:eastAsia="Calibri"/>
        </w:rPr>
      </w:pPr>
      <w:r w:rsidRPr="00F745EE">
        <w:rPr>
          <w:rFonts w:eastAsia="Calibri"/>
        </w:rPr>
        <w:t>consideration of technical engineering advice</w:t>
      </w:r>
    </w:p>
    <w:p w:rsidR="00F745EE" w:rsidRPr="00F745EE" w:rsidRDefault="00F745EE" w:rsidP="00F745EE">
      <w:pPr>
        <w:pStyle w:val="AERbulletlistfirststyle"/>
        <w:rPr>
          <w:rFonts w:eastAsia="Calibri"/>
        </w:rPr>
      </w:pPr>
      <w:r w:rsidRPr="00F745EE">
        <w:rPr>
          <w:rFonts w:eastAsia="Calibri"/>
        </w:rPr>
        <w:t xml:space="preserve">determining the appropriate allowance for equity raising costs. </w:t>
      </w:r>
    </w:p>
    <w:p w:rsidR="00F745EE" w:rsidRPr="008368B6" w:rsidRDefault="00F745EE" w:rsidP="008368B6">
      <w:pPr>
        <w:pStyle w:val="HeadingBoldBlue"/>
        <w:rPr>
          <w:rStyle w:val="AERtextitalic"/>
          <w:rFonts w:eastAsia="Calibri"/>
          <w:i w:val="0"/>
        </w:rPr>
      </w:pPr>
      <w:r w:rsidRPr="008368B6">
        <w:rPr>
          <w:rStyle w:val="AERtextitalic"/>
          <w:i w:val="0"/>
        </w:rPr>
        <w:t>Assessing competitive tender processes for outsourced activities</w:t>
      </w:r>
    </w:p>
    <w:p w:rsidR="00F745EE" w:rsidRPr="00F745EE" w:rsidRDefault="00F745EE" w:rsidP="00F745EE">
      <w:pPr>
        <w:pStyle w:val="AERbodytext"/>
      </w:pPr>
      <w:r w:rsidRPr="00F745EE">
        <w:t xml:space="preserve">Outsourcing to specialist providers of a particular service is a common means by which businesses in the economy are able to gain access to economies of scale and scope and other efficiencies. </w:t>
      </w:r>
    </w:p>
    <w:p w:rsidR="00F745EE" w:rsidRPr="00F745EE" w:rsidRDefault="00F745EE" w:rsidP="00F745EE">
      <w:pPr>
        <w:pStyle w:val="AERbodytext"/>
      </w:pPr>
      <w:r w:rsidRPr="00F745EE">
        <w:t xml:space="preserve">Where </w:t>
      </w:r>
      <w:r w:rsidR="008368B6">
        <w:t>JGN has</w:t>
      </w:r>
      <w:r w:rsidRPr="00F745EE">
        <w:t xml:space="preserve"> used tendered rates as the basis of proposed unit costs, </w:t>
      </w:r>
      <w:r w:rsidR="008368B6">
        <w:t>we</w:t>
      </w:r>
      <w:r w:rsidRPr="00F745EE">
        <w:t xml:space="preserve"> relied on </w:t>
      </w:r>
      <w:r w:rsidR="000D0C7C">
        <w:t>our</w:t>
      </w:r>
      <w:r w:rsidRPr="00F745EE">
        <w:t xml:space="preserve"> approach to assessing outsourcing arrangements.</w:t>
      </w:r>
      <w:r w:rsidR="000D0C7C">
        <w:rPr>
          <w:rStyle w:val="FootnoteReference"/>
        </w:rPr>
        <w:footnoteReference w:id="19"/>
      </w:r>
      <w:r w:rsidRPr="00F745EE">
        <w:t xml:space="preserve"> The first stage of the conceptual framework is a </w:t>
      </w:r>
      <w:r w:rsidRPr="00F745EE">
        <w:lastRenderedPageBreak/>
        <w:t>'presumption threshold' designed to be an initial filter to determine which contracts can be presumed to reflect efficient costs that would be incurred by a prudent operator.</w:t>
      </w:r>
      <w:r w:rsidR="007534E0">
        <w:rPr>
          <w:rStyle w:val="FootnoteReference"/>
        </w:rPr>
        <w:footnoteReference w:id="20"/>
      </w:r>
      <w:r w:rsidRPr="00F745EE">
        <w:t xml:space="preserve"> </w:t>
      </w:r>
    </w:p>
    <w:p w:rsidR="00F745EE" w:rsidRPr="00F745EE" w:rsidRDefault="00F745EE" w:rsidP="00F745EE">
      <w:pPr>
        <w:pStyle w:val="AERbodytext"/>
      </w:pPr>
      <w:r w:rsidRPr="00F745EE">
        <w:t xml:space="preserve">In undertaking this ‘presumption threshold’ assessment, </w:t>
      </w:r>
      <w:r w:rsidR="008368B6">
        <w:t>we</w:t>
      </w:r>
      <w:r w:rsidRPr="00F745EE">
        <w:t xml:space="preserve"> consider:</w:t>
      </w:r>
    </w:p>
    <w:p w:rsidR="00F745EE" w:rsidRPr="00F745EE" w:rsidRDefault="00F745EE" w:rsidP="00F745EE">
      <w:pPr>
        <w:pStyle w:val="AERbulletlistfirststyle"/>
      </w:pPr>
      <w:r w:rsidRPr="00F745EE">
        <w:t>Did the service provider have an incentive to agree to non-arm’s length terms at the time the contract was negotiated (or at its most recent re-negotiation)?</w:t>
      </w:r>
    </w:p>
    <w:p w:rsidR="00F745EE" w:rsidRPr="00F745EE" w:rsidRDefault="00F745EE" w:rsidP="00F745EE">
      <w:pPr>
        <w:pStyle w:val="AERbulletlistfirststyle"/>
      </w:pPr>
      <w:r w:rsidRPr="00F745EE">
        <w:t>If yes, was a competitive open tender process conducted in a competitive market?</w:t>
      </w:r>
    </w:p>
    <w:p w:rsidR="00F745EE" w:rsidRPr="00F745EE" w:rsidRDefault="00F745EE" w:rsidP="00F745EE">
      <w:pPr>
        <w:pStyle w:val="AERbodytext"/>
      </w:pPr>
      <w:r w:rsidRPr="00F745EE">
        <w:t xml:space="preserve">In the absence of an incentive to agree to non-arm’s length terms, </w:t>
      </w:r>
      <w:r w:rsidR="008368B6">
        <w:t>we</w:t>
      </w:r>
      <w:r w:rsidRPr="00F745EE">
        <w:t xml:space="preserve"> consider it reasonable to presume a contract price reflects efficient costs. </w:t>
      </w:r>
      <w:r w:rsidR="008368B6">
        <w:t>We</w:t>
      </w:r>
      <w:r w:rsidRPr="00F745EE">
        <w:t xml:space="preserve"> also consider this presumption to be reasonable where an incentive to agree to non-arm’s length terms exists but the contract was the outcome of a competitive open tender process in a competitive market.</w:t>
      </w:r>
      <w:r w:rsidR="00852D28">
        <w:rPr>
          <w:rStyle w:val="FootnoteReference"/>
        </w:rPr>
        <w:footnoteReference w:id="21"/>
      </w:r>
    </w:p>
    <w:p w:rsidR="00F745EE" w:rsidRPr="00F745EE" w:rsidRDefault="00F745EE" w:rsidP="00F745EE">
      <w:pPr>
        <w:pStyle w:val="AERbodytext"/>
      </w:pPr>
      <w:r w:rsidRPr="00F745EE">
        <w:t xml:space="preserve">Where an arrangement 'passes' the presumption threshold, </w:t>
      </w:r>
      <w:r w:rsidR="008368B6">
        <w:t>we</w:t>
      </w:r>
      <w:r w:rsidRPr="00F745EE">
        <w:t xml:space="preserve"> consider the starting point for setting future expenditure allowances should be the contract price itself, with limited further examination. This further examination involves checking whether the contract wholly relates to the relevant services and whether the contract price already compensates for risks or costs provided for elsewhere in the building blocks.</w:t>
      </w:r>
    </w:p>
    <w:p w:rsidR="00F745EE" w:rsidRPr="008368B6" w:rsidRDefault="00F745EE" w:rsidP="008368B6">
      <w:pPr>
        <w:pStyle w:val="HeadingBoldBlue"/>
        <w:rPr>
          <w:rStyle w:val="AERtextitalic"/>
          <w:i w:val="0"/>
        </w:rPr>
      </w:pPr>
      <w:r w:rsidRPr="008368B6">
        <w:rPr>
          <w:rStyle w:val="AERtextitalic"/>
          <w:i w:val="0"/>
        </w:rPr>
        <w:t>Revealed cost approach</w:t>
      </w:r>
    </w:p>
    <w:p w:rsidR="00F745EE" w:rsidRPr="00F745EE" w:rsidRDefault="00F745EE" w:rsidP="00F745EE">
      <w:pPr>
        <w:pStyle w:val="AERbodytext"/>
        <w:rPr>
          <w:rStyle w:val="AERbody"/>
        </w:rPr>
      </w:pPr>
      <w:r w:rsidRPr="00F745EE">
        <w:t>The revealed cost approach considers information revealed by the past performance of a gas business. Under the ex</w:t>
      </w:r>
      <w:r w:rsidR="00DD18F5">
        <w:t xml:space="preserve"> </w:t>
      </w:r>
      <w:r w:rsidRPr="00F745EE">
        <w:t xml:space="preserve">ante regime, gas businesses are rewarded for spending less capex than allowed by the regulator. This incentive enables </w:t>
      </w:r>
      <w:r w:rsidR="008368B6">
        <w:t>us</w:t>
      </w:r>
      <w:r w:rsidRPr="00F745EE">
        <w:t xml:space="preserve"> to place some reliance on the historical costs of a gas business when reviewing its forecast capex. </w:t>
      </w:r>
      <w:r w:rsidR="008368B6">
        <w:rPr>
          <w:rStyle w:val="AERbody"/>
        </w:rPr>
        <w:t>We</w:t>
      </w:r>
      <w:r w:rsidRPr="00F745EE">
        <w:rPr>
          <w:rStyle w:val="AERbody"/>
        </w:rPr>
        <w:t xml:space="preserve"> used historical costs and volumes as an indicator of efficient costs and volumes for certain categories of capex. In particular, </w:t>
      </w:r>
      <w:r w:rsidR="008368B6">
        <w:rPr>
          <w:rStyle w:val="AERbody"/>
        </w:rPr>
        <w:t>we</w:t>
      </w:r>
      <w:r w:rsidRPr="00F745EE">
        <w:rPr>
          <w:rStyle w:val="AERbody"/>
        </w:rPr>
        <w:t xml:space="preserve"> used historical total costs, unit costs and volumes in assessing connections, mains and services replacements, meter replacements, SCADA and IT. </w:t>
      </w:r>
    </w:p>
    <w:p w:rsidR="00F745EE" w:rsidRPr="00F745EE" w:rsidRDefault="00F745EE" w:rsidP="00F745EE">
      <w:pPr>
        <w:pStyle w:val="AERbodytext"/>
      </w:pPr>
      <w:r w:rsidRPr="00F745EE">
        <w:t xml:space="preserve">The revealed cost approach is an accepted industry practice. Many </w:t>
      </w:r>
      <w:r w:rsidRPr="00F745EE">
        <w:rPr>
          <w:rStyle w:val="AERbody"/>
        </w:rPr>
        <w:t>gas businesses</w:t>
      </w:r>
      <w:r w:rsidRPr="00F745EE">
        <w:t>, including JGN, have used this approach as a basis to forecast expenditure proposals. This approach has also been used previously by us in our assessment of access arrangement proposals for the Victorian gas businesses.</w:t>
      </w:r>
    </w:p>
    <w:p w:rsidR="00F745EE" w:rsidRPr="008368B6" w:rsidRDefault="00F745EE" w:rsidP="008368B6">
      <w:pPr>
        <w:pStyle w:val="HeadingBoldBlue"/>
        <w:rPr>
          <w:rStyle w:val="AERtextitalic"/>
          <w:i w:val="0"/>
        </w:rPr>
      </w:pPr>
      <w:r w:rsidRPr="008368B6">
        <w:rPr>
          <w:rStyle w:val="AERtextitalic"/>
          <w:i w:val="0"/>
        </w:rPr>
        <w:t>Benchmarking against the other businesses' proposed unit costs and volumes</w:t>
      </w:r>
    </w:p>
    <w:p w:rsidR="00F745EE" w:rsidRPr="00F745EE" w:rsidRDefault="008368B6" w:rsidP="00F745EE">
      <w:pPr>
        <w:pStyle w:val="AERbodytext"/>
      </w:pPr>
      <w:r>
        <w:t>We</w:t>
      </w:r>
      <w:r w:rsidR="00F745EE" w:rsidRPr="00F745EE">
        <w:t xml:space="preserve"> also conducted comparative analysis of unit costs JGN has used to develop its capex forecast. Comparing the costs incurred by one regulated entity against the costs incurred by other regulated entities in similar circumstances, and using the comparison to assess the efficiency and prudency of those costs, is known as 'benchmarking'. </w:t>
      </w:r>
      <w:r>
        <w:t>We</w:t>
      </w:r>
      <w:r w:rsidR="00F745EE" w:rsidRPr="00F745EE">
        <w:t xml:space="preserve"> consider that the use of benchmarking to assess whether capex is conforming is consistent with the requirements of the NGR.</w:t>
      </w:r>
    </w:p>
    <w:p w:rsidR="00F745EE" w:rsidRPr="00F745EE" w:rsidRDefault="008368B6" w:rsidP="00F745EE">
      <w:pPr>
        <w:pStyle w:val="AERbodytext"/>
        <w:rPr>
          <w:rStyle w:val="AERbody"/>
        </w:rPr>
      </w:pPr>
      <w:r>
        <w:t>We</w:t>
      </w:r>
      <w:r w:rsidR="00F745EE" w:rsidRPr="00F745EE">
        <w:t xml:space="preserve"> undertook a high level benchmarking of a selection of JGN‘s unit costs against similar unit costs of the Victorian gas businesses. </w:t>
      </w:r>
      <w:r w:rsidR="00F745EE" w:rsidRPr="00F745EE">
        <w:rPr>
          <w:rStyle w:val="AERbody"/>
        </w:rPr>
        <w:t>Where required some adjustment for compositional difference was made. This comparison was used for assessing connections, mains and services replacements, meter renewals and upgrade and SCADA.</w:t>
      </w:r>
    </w:p>
    <w:p w:rsidR="00F745EE" w:rsidRPr="00F745EE" w:rsidRDefault="00F745EE" w:rsidP="00F745EE">
      <w:pPr>
        <w:pStyle w:val="AERbodytext"/>
      </w:pPr>
      <w:r w:rsidRPr="00F745EE">
        <w:lastRenderedPageBreak/>
        <w:t xml:space="preserve">Where this benchmarking indicated that JGN's capex may not be efficient, </w:t>
      </w:r>
      <w:r w:rsidR="008368B6">
        <w:t>we</w:t>
      </w:r>
      <w:r w:rsidRPr="00F745EE">
        <w:t xml:space="preserve"> undertook a detailed review of JGN‘s proposal. </w:t>
      </w:r>
      <w:r w:rsidR="008368B6">
        <w:t>Our</w:t>
      </w:r>
      <w:r w:rsidRPr="00F745EE">
        <w:t xml:space="preserve"> detailed review involved consideration of relevant documentation and the impact of factors expected to differ from the past and/or from the Victorian gas businesses. </w:t>
      </w:r>
    </w:p>
    <w:p w:rsidR="00F745EE" w:rsidRPr="00F745EE" w:rsidRDefault="008368B6" w:rsidP="00F745EE">
      <w:pPr>
        <w:pStyle w:val="AERbodytext"/>
      </w:pPr>
      <w:r>
        <w:t>We</w:t>
      </w:r>
      <w:r w:rsidR="00F745EE" w:rsidRPr="00F745EE">
        <w:t xml:space="preserve"> recognise that forecast efficient costs may legitimately depart from those revealed through past performance, and compared with other gas businesses. For example, gas businesses may discover more efficient processes over time. The gas businesses may propose that they can best achieve their safety, reliability or regulatory obligations by incurring expenditure to implement new, more efficient processes, and include such expenditure in their proposed forecast capex. </w:t>
      </w:r>
      <w:r>
        <w:t>We</w:t>
      </w:r>
      <w:r w:rsidR="00F745EE" w:rsidRPr="00F745EE">
        <w:t xml:space="preserve"> consider</w:t>
      </w:r>
      <w:r>
        <w:t xml:space="preserve"> </w:t>
      </w:r>
      <w:r w:rsidR="00F745EE" w:rsidRPr="00F745EE">
        <w:t xml:space="preserve">it likely that a prudent service provider, acting efficiently, would only change operating processes (from revealed, or otherwise efficient processes) if they are likely to result in efficiency gains (in the absence of any information to suggest other reasons for the change). Where </w:t>
      </w:r>
      <w:r>
        <w:t>we</w:t>
      </w:r>
      <w:r w:rsidR="00F745EE" w:rsidRPr="00F745EE">
        <w:t xml:space="preserve"> consider that future cost savings should result from capex investments, </w:t>
      </w:r>
      <w:r>
        <w:t xml:space="preserve">we have taken this </w:t>
      </w:r>
      <w:r w:rsidR="00F745EE" w:rsidRPr="00F745EE">
        <w:t>into consideration in determining JGN‘s opex allowance.</w:t>
      </w:r>
    </w:p>
    <w:p w:rsidR="00F745EE" w:rsidRPr="008368B6" w:rsidRDefault="00F745EE" w:rsidP="008368B6">
      <w:pPr>
        <w:pStyle w:val="HeadingBoldBlue"/>
        <w:rPr>
          <w:rStyle w:val="AERtextitalic"/>
          <w:i w:val="0"/>
        </w:rPr>
      </w:pPr>
      <w:r w:rsidRPr="008368B6">
        <w:rPr>
          <w:rStyle w:val="AERtextitalic"/>
          <w:i w:val="0"/>
        </w:rPr>
        <w:t>Specialist technical advice</w:t>
      </w:r>
    </w:p>
    <w:p w:rsidR="00F745EE" w:rsidRPr="00F745EE" w:rsidRDefault="008368B6" w:rsidP="00F745EE">
      <w:pPr>
        <w:pStyle w:val="AERbodytext"/>
      </w:pPr>
      <w:r>
        <w:t>We</w:t>
      </w:r>
      <w:r w:rsidR="00F745EE" w:rsidRPr="00F745EE">
        <w:t xml:space="preserve"> engaged an engineering consultant, Sleeman Consulting, to provide specialist technical advice on the prudency and efficiency of JGN's proposed augmentation, facilities renewal and upgrade, metering renewal and upgrade, mains and services renewal and SCADA capex.</w:t>
      </w:r>
      <w:r w:rsidR="00F745EE" w:rsidRPr="00F745EE">
        <w:rPr>
          <w:rStyle w:val="FootnoteReference"/>
        </w:rPr>
        <w:footnoteReference w:id="22"/>
      </w:r>
      <w:r w:rsidR="00F745EE" w:rsidRPr="00F745EE">
        <w:t xml:space="preserve"> </w:t>
      </w:r>
    </w:p>
    <w:p w:rsidR="00F745EE" w:rsidRPr="008368B6" w:rsidRDefault="00F745EE" w:rsidP="008368B6">
      <w:pPr>
        <w:pStyle w:val="HeadingBoldBlue"/>
        <w:rPr>
          <w:rStyle w:val="AERtextitalic"/>
          <w:i w:val="0"/>
        </w:rPr>
      </w:pPr>
      <w:r w:rsidRPr="008368B6">
        <w:rPr>
          <w:rStyle w:val="AERtextitalic"/>
          <w:i w:val="0"/>
        </w:rPr>
        <w:t>Cash flow analysis for equity raising costs</w:t>
      </w:r>
    </w:p>
    <w:p w:rsidR="00D46FC0" w:rsidRPr="00D46FC0" w:rsidRDefault="00F745EE" w:rsidP="00F745EE">
      <w:pPr>
        <w:pStyle w:val="AERbodytext"/>
        <w:numPr>
          <w:ilvl w:val="0"/>
          <w:numId w:val="0"/>
        </w:numPr>
      </w:pPr>
      <w:r w:rsidRPr="00F745EE">
        <w:t xml:space="preserve">To determine the amount of equity raising costs, </w:t>
      </w:r>
      <w:r w:rsidR="00933E63">
        <w:t>we have</w:t>
      </w:r>
      <w:r w:rsidRPr="00F745EE">
        <w:t xml:space="preserve"> undertaken an assessment of benchmark cash flows calculated in the PTRM. Under this method, a prudent service provider, acting efficiently, would first exhaust the cheapest sources of funding, such as internal cash flows, before using more expensive external sources of funding, such as equity financing. The cash flow modelling approach used by the AER incorporates this assumption to determine if any external equity financing would be required based on the AER’s capex forecast for JGN.</w:t>
      </w:r>
      <w:r w:rsidR="00852D28">
        <w:t xml:space="preserve"> For further discussion see </w:t>
      </w:r>
      <w:r w:rsidR="00AF1B0F">
        <w:t>attachment 3</w:t>
      </w:r>
      <w:r w:rsidR="000C1F95">
        <w:t xml:space="preserve"> of this draft decision</w:t>
      </w:r>
      <w:r w:rsidR="000730D9">
        <w:t xml:space="preserve"> (rate of return)</w:t>
      </w:r>
      <w:r w:rsidR="000C1F95">
        <w:t>.</w:t>
      </w:r>
      <w:r w:rsidR="000C1F95" w:rsidDel="000C1F95">
        <w:t xml:space="preserve"> </w:t>
      </w:r>
    </w:p>
    <w:p w:rsidR="008B4932" w:rsidRDefault="008B4932" w:rsidP="00A3053C">
      <w:pPr>
        <w:pStyle w:val="Heading3"/>
      </w:pPr>
      <w:bookmarkStart w:id="30" w:name="_Toc404676547"/>
      <w:bookmarkStart w:id="31" w:name="_Toc404676597"/>
      <w:r w:rsidRPr="00A3053C">
        <w:t>Interrelationships</w:t>
      </w:r>
      <w:bookmarkEnd w:id="22"/>
      <w:bookmarkEnd w:id="23"/>
      <w:bookmarkEnd w:id="30"/>
      <w:bookmarkEnd w:id="31"/>
    </w:p>
    <w:p w:rsidR="00553F2C" w:rsidRPr="00553F2C" w:rsidRDefault="00553F2C" w:rsidP="00553F2C">
      <w:pPr>
        <w:pStyle w:val="AERbodytext"/>
      </w:pPr>
      <w:r w:rsidRPr="00553F2C">
        <w:t xml:space="preserve">In assessing </w:t>
      </w:r>
      <w:r w:rsidR="00A57D7B">
        <w:t>JGN's</w:t>
      </w:r>
      <w:r w:rsidR="00A57D7B" w:rsidRPr="00553F2C">
        <w:t xml:space="preserve"> </w:t>
      </w:r>
      <w:r w:rsidRPr="00553F2C">
        <w:t>total forecast opex we took into account other components of its regulatory proposal, including:</w:t>
      </w:r>
    </w:p>
    <w:p w:rsidR="00553F2C" w:rsidRDefault="00553F2C" w:rsidP="00553F2C">
      <w:pPr>
        <w:pStyle w:val="AERbulletlistfirststyle"/>
      </w:pPr>
      <w:r w:rsidRPr="00553F2C">
        <w:t xml:space="preserve">the trade-off between potential capex and opex solutions in our assessment of </w:t>
      </w:r>
      <w:r w:rsidR="009E112C">
        <w:t>JGN's proposed capex</w:t>
      </w:r>
      <w:r w:rsidRPr="00553F2C">
        <w:t>.</w:t>
      </w:r>
    </w:p>
    <w:p w:rsidR="00553F2C" w:rsidRDefault="009E112C" w:rsidP="009E112C">
      <w:pPr>
        <w:pStyle w:val="AERbulletlistfirststyle"/>
      </w:pPr>
      <w:r>
        <w:t xml:space="preserve">Any change in the capitalisation policy applied between the current </w:t>
      </w:r>
      <w:r w:rsidR="00933E63">
        <w:t>access arrangement and the 2015–</w:t>
      </w:r>
      <w:r>
        <w:t xml:space="preserve">20 access arrangement period. This relates to the change from the expensing of pigging in the </w:t>
      </w:r>
      <w:r w:rsidRPr="009E112C">
        <w:t>current</w:t>
      </w:r>
      <w:r>
        <w:t xml:space="preserve"> access arrangement period to capitalising in the next access arrangement and the change from the capitalising of access arrangement and consumer engagement costs in the current access arrangement period to expensing in the next access arrangement period.</w:t>
      </w:r>
    </w:p>
    <w:p w:rsidR="002B5813" w:rsidRDefault="002B5813" w:rsidP="002B5813">
      <w:pPr>
        <w:pStyle w:val="Heading2"/>
      </w:pPr>
      <w:bookmarkStart w:id="32" w:name="_Toc404676548"/>
      <w:bookmarkStart w:id="33" w:name="_Toc404676598"/>
      <w:r>
        <w:lastRenderedPageBreak/>
        <w:t xml:space="preserve">Reasons for </w:t>
      </w:r>
      <w:r w:rsidR="008428A5">
        <w:t xml:space="preserve">draft </w:t>
      </w:r>
      <w:r>
        <w:t>decision</w:t>
      </w:r>
      <w:bookmarkEnd w:id="32"/>
      <w:bookmarkEnd w:id="33"/>
    </w:p>
    <w:p w:rsidR="00343857" w:rsidRPr="00413233" w:rsidRDefault="00343857" w:rsidP="00902ACC">
      <w:pPr>
        <w:pStyle w:val="Heading3"/>
        <w:rPr>
          <w:rFonts w:eastAsia="Calibri"/>
        </w:rPr>
      </w:pPr>
      <w:bookmarkStart w:id="34" w:name="_Ref331418230"/>
      <w:bookmarkStart w:id="35" w:name="_Toc404676549"/>
      <w:bookmarkStart w:id="36" w:name="_Toc404676599"/>
      <w:r w:rsidRPr="00413233">
        <w:rPr>
          <w:rFonts w:eastAsia="Calibri"/>
        </w:rPr>
        <w:t xml:space="preserve">Conforming </w:t>
      </w:r>
      <w:r w:rsidR="008428A5">
        <w:rPr>
          <w:rFonts w:eastAsia="Calibri"/>
        </w:rPr>
        <w:t>capex</w:t>
      </w:r>
      <w:r w:rsidRPr="00413233">
        <w:rPr>
          <w:rFonts w:eastAsia="Calibri"/>
        </w:rPr>
        <w:t xml:space="preserve"> for 200</w:t>
      </w:r>
      <w:r>
        <w:rPr>
          <w:rFonts w:eastAsia="Calibri"/>
        </w:rPr>
        <w:t>9</w:t>
      </w:r>
      <w:r w:rsidRPr="00413233">
        <w:rPr>
          <w:rFonts w:eastAsia="Calibri"/>
        </w:rPr>
        <w:t>–1</w:t>
      </w:r>
      <w:bookmarkEnd w:id="34"/>
      <w:r>
        <w:rPr>
          <w:rFonts w:eastAsia="Calibri"/>
        </w:rPr>
        <w:t>4</w:t>
      </w:r>
      <w:bookmarkEnd w:id="35"/>
      <w:bookmarkEnd w:id="36"/>
    </w:p>
    <w:p w:rsidR="00343857" w:rsidRDefault="00933E63" w:rsidP="00343857">
      <w:pPr>
        <w:pStyle w:val="AERbodytext"/>
      </w:pPr>
      <w:r>
        <w:t>We</w:t>
      </w:r>
      <w:r w:rsidR="00343857" w:rsidRPr="008864A9">
        <w:t xml:space="preserve"> consider that the $</w:t>
      </w:r>
      <w:r w:rsidR="00AB3A65">
        <w:t>7</w:t>
      </w:r>
      <w:r w:rsidR="00144370">
        <w:t>7</w:t>
      </w:r>
      <w:r w:rsidR="00AB3A65">
        <w:t>5.8</w:t>
      </w:r>
      <w:r w:rsidR="00343857" w:rsidRPr="008864A9">
        <w:t xml:space="preserve"> million ($201</w:t>
      </w:r>
      <w:r w:rsidR="00343857">
        <w:t>5</w:t>
      </w:r>
      <w:r w:rsidR="00343857" w:rsidRPr="008864A9">
        <w:t xml:space="preserve">) net </w:t>
      </w:r>
      <w:r w:rsidR="00343857">
        <w:t>capex</w:t>
      </w:r>
      <w:r w:rsidR="00343857" w:rsidRPr="008864A9">
        <w:t xml:space="preserve"> incurred by </w:t>
      </w:r>
      <w:r w:rsidR="00343857">
        <w:t>JGN for 2009–</w:t>
      </w:r>
      <w:r w:rsidR="00343857" w:rsidRPr="008864A9">
        <w:t>1</w:t>
      </w:r>
      <w:r w:rsidR="00343857">
        <w:t>4</w:t>
      </w:r>
      <w:r w:rsidR="00343857" w:rsidRPr="008864A9">
        <w:t xml:space="preserve"> </w:t>
      </w:r>
      <w:r w:rsidR="00343857">
        <w:t xml:space="preserve">is conforming capex that </w:t>
      </w:r>
      <w:r w:rsidR="00343857" w:rsidRPr="008864A9">
        <w:t>complies with r.</w:t>
      </w:r>
      <w:r w:rsidR="00343857">
        <w:t xml:space="preserve"> </w:t>
      </w:r>
      <w:r w:rsidR="00343857" w:rsidRPr="008864A9">
        <w:t>79(1) of the NGR.</w:t>
      </w:r>
    </w:p>
    <w:p w:rsidR="00343857" w:rsidRDefault="00343857" w:rsidP="00343857">
      <w:pPr>
        <w:pStyle w:val="AERbodytext"/>
      </w:pPr>
      <w:r>
        <w:t xml:space="preserve">In reaching this view </w:t>
      </w:r>
      <w:r w:rsidR="00933E63">
        <w:t xml:space="preserve">we have </w:t>
      </w:r>
      <w:r>
        <w:t>considered the following factors:</w:t>
      </w:r>
    </w:p>
    <w:p w:rsidR="00343857" w:rsidRDefault="00C20F82" w:rsidP="00343857">
      <w:pPr>
        <w:pStyle w:val="AERbulletlistfirststyle"/>
      </w:pPr>
      <w:r>
        <w:t>JGN's</w:t>
      </w:r>
      <w:r w:rsidR="00343857">
        <w:t xml:space="preserve"> network capex was </w:t>
      </w:r>
      <w:r w:rsidR="00AB3A65">
        <w:t>0.4</w:t>
      </w:r>
      <w:r w:rsidR="00343857">
        <w:t xml:space="preserve"> million (</w:t>
      </w:r>
      <w:r w:rsidR="00AB3A65">
        <w:t>0</w:t>
      </w:r>
      <w:r w:rsidR="00BC4A5D">
        <w:t>.4</w:t>
      </w:r>
      <w:r w:rsidR="00343857">
        <w:t xml:space="preserve"> per cent) </w:t>
      </w:r>
      <w:r w:rsidR="00BC4A5D">
        <w:t>ov</w:t>
      </w:r>
      <w:r w:rsidR="00343857">
        <w:t xml:space="preserve">er the </w:t>
      </w:r>
      <w:r>
        <w:t>IPART</w:t>
      </w:r>
      <w:r w:rsidR="00343857">
        <w:t xml:space="preserve"> approved amount of $</w:t>
      </w:r>
      <w:r w:rsidR="00BC4A5D">
        <w:t>104.0</w:t>
      </w:r>
      <w:r w:rsidR="00343857">
        <w:t xml:space="preserve"> million for 200</w:t>
      </w:r>
      <w:r>
        <w:t>9</w:t>
      </w:r>
      <w:r w:rsidR="00343857">
        <w:t>–1</w:t>
      </w:r>
      <w:r>
        <w:t>0</w:t>
      </w:r>
      <w:r w:rsidR="00343857">
        <w:t xml:space="preserve">. </w:t>
      </w:r>
    </w:p>
    <w:p w:rsidR="00343857" w:rsidRDefault="00C20F82" w:rsidP="00343857">
      <w:pPr>
        <w:pStyle w:val="AERbulletlistfirststyle"/>
      </w:pPr>
      <w:r>
        <w:t>JGN</w:t>
      </w:r>
      <w:r w:rsidR="00343857">
        <w:t xml:space="preserve">'s network capex was </w:t>
      </w:r>
      <w:r w:rsidR="00144370">
        <w:t>3.4</w:t>
      </w:r>
      <w:r w:rsidR="00343857">
        <w:t xml:space="preserve"> million (</w:t>
      </w:r>
      <w:r w:rsidR="00144370">
        <w:t>0.5</w:t>
      </w:r>
      <w:r w:rsidR="00343857">
        <w:t xml:space="preserve"> per cent) under the </w:t>
      </w:r>
      <w:r>
        <w:t>AER</w:t>
      </w:r>
      <w:r w:rsidR="00343857">
        <w:t xml:space="preserve"> approved amount of $</w:t>
      </w:r>
      <w:r w:rsidR="00144370">
        <w:t>674.9</w:t>
      </w:r>
      <w:r w:rsidR="00343857">
        <w:t xml:space="preserve"> million for 20</w:t>
      </w:r>
      <w:r>
        <w:t>1</w:t>
      </w:r>
      <w:r w:rsidR="00343857">
        <w:t>0–1</w:t>
      </w:r>
      <w:r>
        <w:t>4</w:t>
      </w:r>
      <w:r w:rsidR="00343857">
        <w:t>.</w:t>
      </w:r>
    </w:p>
    <w:p w:rsidR="00343857" w:rsidRPr="00343857" w:rsidRDefault="00C20F82" w:rsidP="00343857">
      <w:pPr>
        <w:pStyle w:val="AERbulletlistfirststyle"/>
      </w:pPr>
      <w:r>
        <w:t>JGN</w:t>
      </w:r>
      <w:r w:rsidR="00343857">
        <w:t xml:space="preserve"> spent less than </w:t>
      </w:r>
      <w:r w:rsidR="00933E63">
        <w:t xml:space="preserve">our forecast </w:t>
      </w:r>
      <w:r w:rsidR="00343857">
        <w:t xml:space="preserve">on its network in </w:t>
      </w:r>
      <w:r w:rsidR="008428A5">
        <w:t xml:space="preserve">seven </w:t>
      </w:r>
      <w:r w:rsidR="00343857">
        <w:t>out of 11 categories</w:t>
      </w:r>
      <w:r w:rsidR="00400814">
        <w:t xml:space="preserve"> for 2010-14</w:t>
      </w:r>
      <w:r w:rsidR="00343857">
        <w:t xml:space="preserve">. In </w:t>
      </w:r>
      <w:r w:rsidR="00BD622D">
        <w:t xml:space="preserve">five </w:t>
      </w:r>
      <w:r w:rsidR="00144370">
        <w:t xml:space="preserve">categories, the </w:t>
      </w:r>
      <w:r w:rsidR="00343857">
        <w:t>under</w:t>
      </w:r>
      <w:r w:rsidR="00144370">
        <w:t xml:space="preserve"> </w:t>
      </w:r>
      <w:r w:rsidR="00343857">
        <w:t>spend was greater than 2</w:t>
      </w:r>
      <w:r w:rsidR="00BD622D">
        <w:t>0</w:t>
      </w:r>
      <w:r w:rsidR="00343857">
        <w:t xml:space="preserve"> per cent belo</w:t>
      </w:r>
      <w:r>
        <w:t xml:space="preserve">w </w:t>
      </w:r>
      <w:r w:rsidR="00933E63">
        <w:t>forecast</w:t>
      </w:r>
      <w:r>
        <w:t xml:space="preserve"> - see </w:t>
      </w:r>
      <w:r w:rsidR="00397328">
        <w:fldChar w:fldCharType="begin"/>
      </w:r>
      <w:r w:rsidR="00397328">
        <w:instrText xml:space="preserve"> REF  _Ref401758071 \* Lower \h  \* MERGEFORMAT </w:instrText>
      </w:r>
      <w:r w:rsidR="00397328">
        <w:fldChar w:fldCharType="separate"/>
      </w:r>
      <w:r w:rsidR="0029475D">
        <w:t xml:space="preserve">table </w:t>
      </w:r>
      <w:r w:rsidR="0029475D">
        <w:rPr>
          <w:noProof/>
        </w:rPr>
        <w:t>6</w:t>
      </w:r>
      <w:r w:rsidR="0029475D">
        <w:rPr>
          <w:noProof/>
        </w:rPr>
        <w:noBreakHyphen/>
        <w:t>6</w:t>
      </w:r>
      <w:r w:rsidR="00397328">
        <w:fldChar w:fldCharType="end"/>
      </w:r>
      <w:r w:rsidR="00343857" w:rsidRPr="00343857">
        <w:t>.</w:t>
      </w:r>
    </w:p>
    <w:p w:rsidR="00343857" w:rsidRPr="00343857" w:rsidRDefault="00343857" w:rsidP="00343857">
      <w:pPr>
        <w:pStyle w:val="AERbulletlistfirststyle"/>
        <w:rPr>
          <w:rFonts w:eastAsia="Calibri"/>
        </w:rPr>
      </w:pPr>
      <w:r w:rsidRPr="00475A41">
        <w:t>The largest underspends</w:t>
      </w:r>
      <w:r w:rsidR="00400814">
        <w:t xml:space="preserve"> for 2010-14</w:t>
      </w:r>
      <w:r w:rsidR="00BE60CB">
        <w:rPr>
          <w:rStyle w:val="FootnoteReference"/>
        </w:rPr>
        <w:footnoteReference w:id="23"/>
      </w:r>
      <w:r w:rsidRPr="00475A41">
        <w:t xml:space="preserve"> occurred </w:t>
      </w:r>
      <w:r w:rsidRPr="00343857">
        <w:t xml:space="preserve">in the </w:t>
      </w:r>
      <w:r w:rsidR="00B60DB6">
        <w:t>connections/market expansion</w:t>
      </w:r>
      <w:r w:rsidRPr="00343857">
        <w:t xml:space="preserve">, </w:t>
      </w:r>
      <w:r w:rsidR="00B60DB6">
        <w:t>meter renewal and upgrade</w:t>
      </w:r>
      <w:r w:rsidRPr="00343857">
        <w:t xml:space="preserve"> and </w:t>
      </w:r>
      <w:r w:rsidR="00B60DB6">
        <w:t>facilities renewal and upgrade</w:t>
      </w:r>
      <w:r w:rsidRPr="00343857">
        <w:t xml:space="preserve"> categories:  </w:t>
      </w:r>
    </w:p>
    <w:p w:rsidR="00343857" w:rsidRPr="00343857" w:rsidRDefault="00343857" w:rsidP="00343857">
      <w:pPr>
        <w:pStyle w:val="AERbulletlistsecondstyle"/>
        <w:rPr>
          <w:rFonts w:eastAsia="Calibri"/>
        </w:rPr>
      </w:pPr>
      <w:r w:rsidRPr="00343857">
        <w:rPr>
          <w:rFonts w:eastAsia="Calibri"/>
        </w:rPr>
        <w:t xml:space="preserve">In the </w:t>
      </w:r>
      <w:r w:rsidR="00A50A42">
        <w:rPr>
          <w:rFonts w:eastAsia="Calibri"/>
        </w:rPr>
        <w:t>connections/market expansion</w:t>
      </w:r>
      <w:r w:rsidRPr="00343857">
        <w:rPr>
          <w:rFonts w:eastAsia="Calibri"/>
        </w:rPr>
        <w:t xml:space="preserve"> category, </w:t>
      </w:r>
      <w:r w:rsidR="00A50A42">
        <w:rPr>
          <w:rFonts w:eastAsia="Calibri"/>
        </w:rPr>
        <w:t>JGN</w:t>
      </w:r>
      <w:r w:rsidRPr="00343857">
        <w:rPr>
          <w:rFonts w:eastAsia="Calibri"/>
        </w:rPr>
        <w:t xml:space="preserve"> spent $</w:t>
      </w:r>
      <w:r w:rsidR="000A0C59">
        <w:rPr>
          <w:rFonts w:eastAsia="Calibri"/>
        </w:rPr>
        <w:t>48.0</w:t>
      </w:r>
      <w:r w:rsidRPr="00343857">
        <w:rPr>
          <w:rFonts w:eastAsia="Calibri"/>
        </w:rPr>
        <w:t xml:space="preserve"> million less </w:t>
      </w:r>
      <w:r w:rsidR="00933E63">
        <w:rPr>
          <w:rFonts w:eastAsia="Calibri"/>
        </w:rPr>
        <w:t xml:space="preserve">forecast </w:t>
      </w:r>
      <w:r w:rsidRPr="00343857">
        <w:rPr>
          <w:rFonts w:eastAsia="Calibri"/>
        </w:rPr>
        <w:t xml:space="preserve">due to </w:t>
      </w:r>
      <w:r w:rsidR="00A50A42">
        <w:rPr>
          <w:rFonts w:eastAsia="Calibri"/>
        </w:rPr>
        <w:t>a smaller volume of new connections occurring than was approved</w:t>
      </w:r>
      <w:r w:rsidR="00572720">
        <w:rPr>
          <w:rFonts w:eastAsia="Calibri"/>
        </w:rPr>
        <w:t xml:space="preserve"> and lower industrial and commercial meter average costs</w:t>
      </w:r>
      <w:r w:rsidR="00572720">
        <w:rPr>
          <w:rStyle w:val="FootnoteReference"/>
          <w:rFonts w:eastAsia="Calibri"/>
        </w:rPr>
        <w:footnoteReference w:id="24"/>
      </w:r>
      <w:r w:rsidRPr="00343857">
        <w:rPr>
          <w:rFonts w:eastAsia="Calibri"/>
        </w:rPr>
        <w:t xml:space="preserve">  </w:t>
      </w:r>
    </w:p>
    <w:p w:rsidR="00343857" w:rsidRPr="00343857" w:rsidRDefault="00343857" w:rsidP="00343857">
      <w:pPr>
        <w:pStyle w:val="AERbulletlistsecondstyle"/>
        <w:rPr>
          <w:rFonts w:eastAsia="Calibri"/>
        </w:rPr>
      </w:pPr>
      <w:r w:rsidRPr="00343857">
        <w:rPr>
          <w:rFonts w:eastAsia="Calibri"/>
        </w:rPr>
        <w:t xml:space="preserve">In the </w:t>
      </w:r>
      <w:r w:rsidR="006A5D01">
        <w:rPr>
          <w:rFonts w:eastAsia="Calibri"/>
        </w:rPr>
        <w:t>meter renewal and upgrade</w:t>
      </w:r>
      <w:r w:rsidRPr="00343857">
        <w:rPr>
          <w:rFonts w:eastAsia="Calibri"/>
        </w:rPr>
        <w:t xml:space="preserve"> category, </w:t>
      </w:r>
      <w:r w:rsidR="006A5D01">
        <w:rPr>
          <w:rFonts w:eastAsia="Calibri"/>
        </w:rPr>
        <w:t>JGN</w:t>
      </w:r>
      <w:r w:rsidRPr="00343857">
        <w:rPr>
          <w:rFonts w:eastAsia="Calibri"/>
        </w:rPr>
        <w:t xml:space="preserve"> spent $3</w:t>
      </w:r>
      <w:r w:rsidR="006A5D01">
        <w:rPr>
          <w:rFonts w:eastAsia="Calibri"/>
        </w:rPr>
        <w:t>6</w:t>
      </w:r>
      <w:r w:rsidRPr="00343857">
        <w:rPr>
          <w:rFonts w:eastAsia="Calibri"/>
        </w:rPr>
        <w:t>.</w:t>
      </w:r>
      <w:r w:rsidR="006A5D01">
        <w:rPr>
          <w:rFonts w:eastAsia="Calibri"/>
        </w:rPr>
        <w:t>2</w:t>
      </w:r>
      <w:r w:rsidRPr="00343857">
        <w:rPr>
          <w:rFonts w:eastAsia="Calibri"/>
        </w:rPr>
        <w:t xml:space="preserve"> million less than </w:t>
      </w:r>
      <w:r w:rsidR="00933E63">
        <w:rPr>
          <w:rFonts w:eastAsia="Calibri"/>
        </w:rPr>
        <w:t xml:space="preserve">forecast </w:t>
      </w:r>
      <w:r w:rsidRPr="00343857">
        <w:rPr>
          <w:rFonts w:eastAsia="Calibri"/>
        </w:rPr>
        <w:t xml:space="preserve">due to </w:t>
      </w:r>
      <w:r w:rsidR="00572720">
        <w:rPr>
          <w:rFonts w:eastAsia="Calibri"/>
        </w:rPr>
        <w:t>lower project costs for the 'Replacement of 106 Meter Regulators' and deferral of and lower volumes of tariff meter replacement</w:t>
      </w:r>
      <w:r w:rsidR="00572720" w:rsidRPr="00572720">
        <w:rPr>
          <w:rStyle w:val="FootnoteReference"/>
          <w:rFonts w:eastAsia="Calibri"/>
        </w:rPr>
        <w:footnoteReference w:id="25"/>
      </w:r>
    </w:p>
    <w:p w:rsidR="00343857" w:rsidRPr="00343857" w:rsidRDefault="00343857" w:rsidP="00343857">
      <w:pPr>
        <w:pStyle w:val="AERbulletlistsecondstyle"/>
        <w:rPr>
          <w:rFonts w:eastAsia="Calibri"/>
        </w:rPr>
      </w:pPr>
      <w:r w:rsidRPr="00343857">
        <w:rPr>
          <w:rFonts w:eastAsia="Calibri"/>
        </w:rPr>
        <w:t xml:space="preserve">In the </w:t>
      </w:r>
      <w:r w:rsidR="006A5D01">
        <w:rPr>
          <w:rFonts w:eastAsia="Calibri"/>
        </w:rPr>
        <w:t>facilities and renewal</w:t>
      </w:r>
      <w:r w:rsidRPr="00343857">
        <w:rPr>
          <w:rFonts w:eastAsia="Calibri"/>
        </w:rPr>
        <w:t xml:space="preserve"> category, </w:t>
      </w:r>
      <w:r w:rsidR="006A5D01">
        <w:rPr>
          <w:rFonts w:eastAsia="Calibri"/>
        </w:rPr>
        <w:t>JGN</w:t>
      </w:r>
      <w:r w:rsidRPr="00343857">
        <w:rPr>
          <w:rFonts w:eastAsia="Calibri"/>
        </w:rPr>
        <w:t xml:space="preserve"> spent $1</w:t>
      </w:r>
      <w:r w:rsidR="006A5D01">
        <w:rPr>
          <w:rFonts w:eastAsia="Calibri"/>
        </w:rPr>
        <w:t>4.0</w:t>
      </w:r>
      <w:r w:rsidRPr="00343857">
        <w:rPr>
          <w:rFonts w:eastAsia="Calibri"/>
        </w:rPr>
        <w:t xml:space="preserve"> million less </w:t>
      </w:r>
      <w:r w:rsidR="00933E63">
        <w:rPr>
          <w:rFonts w:eastAsia="Calibri"/>
        </w:rPr>
        <w:t xml:space="preserve">forecast </w:t>
      </w:r>
      <w:r w:rsidRPr="00343857">
        <w:rPr>
          <w:rFonts w:eastAsia="Calibri"/>
        </w:rPr>
        <w:t xml:space="preserve">due to </w:t>
      </w:r>
      <w:r w:rsidR="00A52FFD">
        <w:rPr>
          <w:rFonts w:eastAsia="Calibri"/>
        </w:rPr>
        <w:t>an APA project delay with consequential delay to a country packaged off-take station (POTS) project</w:t>
      </w:r>
      <w:r w:rsidR="00591CAA" w:rsidRPr="00591CAA">
        <w:rPr>
          <w:rStyle w:val="FootnoteReference"/>
          <w:rFonts w:eastAsia="Calibri"/>
        </w:rPr>
        <w:footnoteReference w:id="26"/>
      </w:r>
    </w:p>
    <w:p w:rsidR="002571D7" w:rsidRDefault="002571D7" w:rsidP="002571D7">
      <w:pPr>
        <w:pStyle w:val="AERbulletlistfirststyle"/>
        <w:rPr>
          <w:rFonts w:eastAsia="Calibri"/>
        </w:rPr>
      </w:pPr>
      <w:r>
        <w:rPr>
          <w:rFonts w:eastAsia="Calibri"/>
        </w:rPr>
        <w:t xml:space="preserve">The largest overspends </w:t>
      </w:r>
      <w:r w:rsidR="00400814">
        <w:rPr>
          <w:rFonts w:eastAsia="Calibri"/>
        </w:rPr>
        <w:t xml:space="preserve">for 2010-14 </w:t>
      </w:r>
      <w:r>
        <w:rPr>
          <w:rFonts w:eastAsia="Calibri"/>
        </w:rPr>
        <w:t>occurred in overheads, other non-distribution, information technology</w:t>
      </w:r>
      <w:r w:rsidR="0080187F">
        <w:rPr>
          <w:rFonts w:eastAsia="Calibri"/>
        </w:rPr>
        <w:t xml:space="preserve"> (IT)</w:t>
      </w:r>
      <w:r>
        <w:rPr>
          <w:rFonts w:eastAsia="Calibri"/>
        </w:rPr>
        <w:t xml:space="preserve"> and related party margin categories:</w:t>
      </w:r>
    </w:p>
    <w:p w:rsidR="00343857" w:rsidRPr="002571D7" w:rsidRDefault="0080187F" w:rsidP="002571D7">
      <w:pPr>
        <w:pStyle w:val="AERbulletlistsecondstyle"/>
        <w:rPr>
          <w:rFonts w:eastAsia="Calibri"/>
        </w:rPr>
      </w:pPr>
      <w:r>
        <w:rPr>
          <w:rFonts w:eastAsia="Calibri"/>
        </w:rPr>
        <w:t xml:space="preserve">In the </w:t>
      </w:r>
      <w:r w:rsidR="002571D7">
        <w:rPr>
          <w:rFonts w:eastAsia="Calibri"/>
        </w:rPr>
        <w:t>overheads</w:t>
      </w:r>
      <w:r>
        <w:rPr>
          <w:rFonts w:eastAsia="Calibri"/>
        </w:rPr>
        <w:t xml:space="preserve"> category,</w:t>
      </w:r>
      <w:r w:rsidR="002571D7">
        <w:rPr>
          <w:rFonts w:eastAsia="Calibri"/>
        </w:rPr>
        <w:t xml:space="preserve"> </w:t>
      </w:r>
      <w:r w:rsidRPr="0080187F">
        <w:rPr>
          <w:rFonts w:eastAsia="Calibri"/>
        </w:rPr>
        <w:t xml:space="preserve">JGN </w:t>
      </w:r>
      <w:r w:rsidR="00933E63">
        <w:rPr>
          <w:rFonts w:eastAsia="Calibri"/>
        </w:rPr>
        <w:t xml:space="preserve">exceeded the forecast </w:t>
      </w:r>
      <w:r w:rsidR="002571D7">
        <w:rPr>
          <w:rFonts w:eastAsia="Calibri"/>
        </w:rPr>
        <w:t xml:space="preserve">by </w:t>
      </w:r>
      <w:r>
        <w:rPr>
          <w:rFonts w:eastAsia="Calibri"/>
        </w:rPr>
        <w:t>$64.0 million</w:t>
      </w:r>
      <w:r w:rsidR="00933E63">
        <w:rPr>
          <w:rFonts w:eastAsia="Calibri"/>
        </w:rPr>
        <w:t xml:space="preserve"> due</w:t>
      </w:r>
      <w:r w:rsidR="00343857" w:rsidRPr="008A71A1">
        <w:t xml:space="preserve"> to a</w:t>
      </w:r>
      <w:r w:rsidR="00591CAA">
        <w:t>n IT roll-over that was directly allocated from Jemena Group corporate to JGN</w:t>
      </w:r>
      <w:r w:rsidR="00343857">
        <w:t>.</w:t>
      </w:r>
      <w:r w:rsidR="00591CAA" w:rsidRPr="00591CAA">
        <w:rPr>
          <w:rStyle w:val="FootnoteReference"/>
          <w:rFonts w:eastAsia="Calibri"/>
        </w:rPr>
        <w:footnoteReference w:id="27"/>
      </w:r>
    </w:p>
    <w:p w:rsidR="0080187F" w:rsidRDefault="0080187F" w:rsidP="002571D7">
      <w:pPr>
        <w:pStyle w:val="AERbulletlistsecondstyle"/>
        <w:rPr>
          <w:rFonts w:eastAsia="Calibri"/>
        </w:rPr>
      </w:pPr>
      <w:r>
        <w:rPr>
          <w:rFonts w:eastAsia="Calibri"/>
        </w:rPr>
        <w:t xml:space="preserve">In the IT </w:t>
      </w:r>
      <w:r w:rsidR="001A47F4">
        <w:rPr>
          <w:rFonts w:eastAsia="Calibri"/>
        </w:rPr>
        <w:t>category</w:t>
      </w:r>
      <w:r>
        <w:rPr>
          <w:rFonts w:eastAsia="Calibri"/>
        </w:rPr>
        <w:t xml:space="preserve">, JGN spent $23.2 million more than </w:t>
      </w:r>
      <w:r w:rsidR="00933E63">
        <w:rPr>
          <w:rFonts w:eastAsia="Calibri"/>
        </w:rPr>
        <w:t>forecast due to</w:t>
      </w:r>
      <w:r w:rsidR="00591CAA">
        <w:rPr>
          <w:rFonts w:eastAsia="Calibri"/>
        </w:rPr>
        <w:t xml:space="preserve"> changes in project scope and the implementation of transitional NECF, which was not included in </w:t>
      </w:r>
      <w:r w:rsidR="00933E63">
        <w:rPr>
          <w:rFonts w:eastAsia="Calibri"/>
        </w:rPr>
        <w:t xml:space="preserve">the </w:t>
      </w:r>
      <w:r w:rsidR="00591CAA">
        <w:rPr>
          <w:rFonts w:eastAsia="Calibri"/>
        </w:rPr>
        <w:t>forecast</w:t>
      </w:r>
      <w:r>
        <w:rPr>
          <w:rFonts w:eastAsia="Calibri"/>
        </w:rPr>
        <w:t>.</w:t>
      </w:r>
      <w:r w:rsidR="00591CAA" w:rsidRPr="00591CAA">
        <w:rPr>
          <w:rStyle w:val="FootnoteReference"/>
          <w:rFonts w:eastAsia="Calibri"/>
        </w:rPr>
        <w:footnoteReference w:id="28"/>
      </w:r>
    </w:p>
    <w:p w:rsidR="00343857" w:rsidRPr="00343857" w:rsidRDefault="00343857" w:rsidP="00343857">
      <w:pPr>
        <w:pStyle w:val="AERbodytext"/>
        <w:rPr>
          <w:rFonts w:eastAsia="Calibri"/>
        </w:rPr>
      </w:pPr>
      <w:r>
        <w:t xml:space="preserve">In its submission, </w:t>
      </w:r>
      <w:r w:rsidR="00C35217">
        <w:t>Origin</w:t>
      </w:r>
      <w:r w:rsidR="00EE5D37">
        <w:t xml:space="preserve"> Energy</w:t>
      </w:r>
      <w:r w:rsidR="00C35217">
        <w:t xml:space="preserve"> noted that JGN's capex on IT and other non-system assets had considerably increased in the early and later years of the period. It questioned what JGN had spent the allocation on given the upgrade to the proposed SAP operating system has yet to be completed.</w:t>
      </w:r>
      <w:r w:rsidRPr="00154410">
        <w:rPr>
          <w:rStyle w:val="FootnoteReference"/>
        </w:rPr>
        <w:footnoteReference w:id="29"/>
      </w:r>
      <w:r w:rsidRPr="00154410">
        <w:t xml:space="preserve"> </w:t>
      </w:r>
      <w:r w:rsidR="00EE5D37">
        <w:t>JGN</w:t>
      </w:r>
      <w:r w:rsidRPr="00154410">
        <w:t xml:space="preserve"> </w:t>
      </w:r>
      <w:r>
        <w:t xml:space="preserve">stated that the </w:t>
      </w:r>
      <w:r w:rsidR="00EE5D37">
        <w:t>project commenced in the current access arrangement period with a two stage implementation from 2014-17</w:t>
      </w:r>
      <w:r w:rsidRPr="00154410">
        <w:t>.</w:t>
      </w:r>
      <w:r w:rsidRPr="00154410">
        <w:rPr>
          <w:rStyle w:val="FootnoteReference"/>
        </w:rPr>
        <w:footnoteReference w:id="30"/>
      </w:r>
      <w:r w:rsidR="00EE5D37">
        <w:t xml:space="preserve"> </w:t>
      </w:r>
      <w:r w:rsidR="004A179C">
        <w:t xml:space="preserve">Delta Electricity submitted that JGN had overspent its allowance by </w:t>
      </w:r>
      <w:r w:rsidR="004A179C">
        <w:lastRenderedPageBreak/>
        <w:t>$76 million and questioned why JGN's overspend should be included in the regulatory asset base.</w:t>
      </w:r>
      <w:r w:rsidR="004A179C">
        <w:rPr>
          <w:rStyle w:val="FootnoteReference"/>
        </w:rPr>
        <w:footnoteReference w:id="31"/>
      </w:r>
      <w:r w:rsidR="00B23487">
        <w:t xml:space="preserve"> It didn’t specify any particular areas of concern.</w:t>
      </w:r>
      <w:r w:rsidR="00E17590">
        <w:t xml:space="preserve"> The National Gas Rules require us to assess whether any overspend is prudent and efficient. Network service providers may incur unforeseen capex which is prudent and efficient and so is legitimately rolled into the asset base. </w:t>
      </w:r>
    </w:p>
    <w:p w:rsidR="00343857" w:rsidRDefault="00134815" w:rsidP="00134815">
      <w:pPr>
        <w:pStyle w:val="Caption"/>
        <w:rPr>
          <w:rFonts w:eastAsia="Calibri"/>
        </w:rPr>
      </w:pPr>
      <w:bookmarkStart w:id="37" w:name="_Ref401758071"/>
      <w:r>
        <w:t xml:space="preserve">Table </w:t>
      </w:r>
      <w:fldSimple w:instr=" STYLEREF 1 \s ">
        <w:r w:rsidR="0029475D">
          <w:rPr>
            <w:noProof/>
          </w:rPr>
          <w:t>6</w:t>
        </w:r>
      </w:fldSimple>
      <w:r w:rsidR="009F7369">
        <w:noBreakHyphen/>
      </w:r>
      <w:fldSimple w:instr=" SEQ Table \* ARABIC \s 1 ">
        <w:r w:rsidR="0029475D">
          <w:rPr>
            <w:noProof/>
          </w:rPr>
          <w:t>6</w:t>
        </w:r>
      </w:fldSimple>
      <w:bookmarkEnd w:id="37"/>
      <w:r>
        <w:tab/>
      </w:r>
      <w:r w:rsidRPr="00134815">
        <w:rPr>
          <w:rFonts w:eastAsia="Calibri"/>
        </w:rPr>
        <w:t xml:space="preserve">Comparison of </w:t>
      </w:r>
      <w:r>
        <w:rPr>
          <w:rFonts w:eastAsia="Calibri"/>
        </w:rPr>
        <w:t>AER</w:t>
      </w:r>
      <w:r w:rsidRPr="00134815">
        <w:rPr>
          <w:rFonts w:eastAsia="Calibri"/>
        </w:rPr>
        <w:t xml:space="preserve"> </w:t>
      </w:r>
      <w:r w:rsidR="00DD714D">
        <w:rPr>
          <w:rFonts w:eastAsia="Calibri"/>
        </w:rPr>
        <w:t>approved</w:t>
      </w:r>
      <w:r w:rsidRPr="00134815">
        <w:rPr>
          <w:rFonts w:eastAsia="Calibri"/>
        </w:rPr>
        <w:t xml:space="preserve"> and </w:t>
      </w:r>
      <w:r>
        <w:rPr>
          <w:rFonts w:eastAsia="Calibri"/>
        </w:rPr>
        <w:t>JGN</w:t>
      </w:r>
      <w:r w:rsidRPr="00134815">
        <w:rPr>
          <w:rFonts w:eastAsia="Calibri"/>
        </w:rPr>
        <w:t xml:space="preserve"> capital expenditure over 20</w:t>
      </w:r>
      <w:r w:rsidR="0080187F">
        <w:rPr>
          <w:rFonts w:eastAsia="Calibri"/>
        </w:rPr>
        <w:t>10</w:t>
      </w:r>
      <w:r w:rsidRPr="00134815">
        <w:rPr>
          <w:rFonts w:eastAsia="Calibri"/>
        </w:rPr>
        <w:t>–1</w:t>
      </w:r>
      <w:r>
        <w:rPr>
          <w:rFonts w:eastAsia="Calibri"/>
        </w:rPr>
        <w:t>4</w:t>
      </w:r>
      <w:r w:rsidRPr="00134815">
        <w:rPr>
          <w:rFonts w:eastAsia="Calibri"/>
        </w:rPr>
        <w:t xml:space="preserve"> ($million, 201</w:t>
      </w:r>
      <w:r>
        <w:rPr>
          <w:rFonts w:eastAsia="Calibri"/>
        </w:rPr>
        <w:t>5</w:t>
      </w:r>
      <w:r w:rsidRPr="00134815">
        <w:rPr>
          <w:rFonts w:eastAsia="Calibri"/>
        </w:rPr>
        <w:t>)</w:t>
      </w:r>
    </w:p>
    <w:tbl>
      <w:tblPr>
        <w:tblStyle w:val="AERtable-numbers"/>
        <w:tblW w:w="5000" w:type="pct"/>
        <w:tblLook w:val="04A0" w:firstRow="1" w:lastRow="0" w:firstColumn="1" w:lastColumn="0" w:noHBand="0" w:noVBand="1"/>
      </w:tblPr>
      <w:tblGrid>
        <w:gridCol w:w="2834"/>
        <w:gridCol w:w="1601"/>
        <w:gridCol w:w="1603"/>
        <w:gridCol w:w="1601"/>
        <w:gridCol w:w="1603"/>
      </w:tblGrid>
      <w:tr w:rsidR="0080187F" w:rsidRPr="004F416F" w:rsidTr="00AF1B0F">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000" w:firstRow="0" w:lastRow="0" w:firstColumn="1" w:lastColumn="0" w:oddVBand="0" w:evenVBand="0" w:oddHBand="0" w:evenHBand="0" w:firstRowFirstColumn="0" w:firstRowLastColumn="0" w:lastRowFirstColumn="0" w:lastRowLastColumn="0"/>
            <w:tcW w:w="1533" w:type="pct"/>
            <w:hideMark/>
          </w:tcPr>
          <w:p w:rsidR="0080187F" w:rsidRPr="00326AF5" w:rsidRDefault="0080187F" w:rsidP="00326AF5">
            <w:pPr>
              <w:pStyle w:val="AERbodytext"/>
            </w:pPr>
            <w:r w:rsidRPr="00326AF5">
              <w:t> Category</w:t>
            </w:r>
          </w:p>
        </w:tc>
        <w:tc>
          <w:tcPr>
            <w:tcW w:w="866" w:type="pct"/>
            <w:hideMark/>
          </w:tcPr>
          <w:p w:rsidR="0080187F" w:rsidRPr="00326AF5" w:rsidRDefault="0080187F" w:rsidP="00BE60CB">
            <w:pPr>
              <w:pStyle w:val="AERtabletextright"/>
              <w:cnfStyle w:val="100000000000" w:firstRow="1" w:lastRow="0" w:firstColumn="0" w:lastColumn="0" w:oddVBand="0" w:evenVBand="0" w:oddHBand="0" w:evenHBand="0" w:firstRowFirstColumn="0" w:firstRowLastColumn="0" w:lastRowFirstColumn="0" w:lastRowLastColumn="0"/>
            </w:pPr>
            <w:r>
              <w:t>Proposed</w:t>
            </w:r>
          </w:p>
        </w:tc>
        <w:tc>
          <w:tcPr>
            <w:tcW w:w="867" w:type="pct"/>
            <w:hideMark/>
          </w:tcPr>
          <w:p w:rsidR="0080187F" w:rsidRPr="00326AF5" w:rsidRDefault="00DD714D" w:rsidP="00933E63">
            <w:pPr>
              <w:pStyle w:val="AERtabletextright"/>
              <w:cnfStyle w:val="100000000000" w:firstRow="1" w:lastRow="0" w:firstColumn="0" w:lastColumn="0" w:oddVBand="0" w:evenVBand="0" w:oddHBand="0" w:evenHBand="0" w:firstRowFirstColumn="0" w:firstRowLastColumn="0" w:lastRowFirstColumn="0" w:lastRowLastColumn="0"/>
            </w:pPr>
            <w:r>
              <w:t>Appro</w:t>
            </w:r>
            <w:r w:rsidR="0080187F">
              <w:t>ved</w:t>
            </w:r>
            <w:r w:rsidR="0080187F" w:rsidRPr="00326AF5">
              <w:rPr>
                <w:rStyle w:val="AERsuperscript"/>
              </w:rPr>
              <w:t>(a)</w:t>
            </w:r>
          </w:p>
        </w:tc>
        <w:tc>
          <w:tcPr>
            <w:tcW w:w="866" w:type="pct"/>
          </w:tcPr>
          <w:p w:rsidR="0080187F" w:rsidRDefault="0080187F" w:rsidP="00BE60CB">
            <w:pPr>
              <w:pStyle w:val="AERtabletextright"/>
              <w:cnfStyle w:val="100000000000" w:firstRow="1" w:lastRow="0" w:firstColumn="0" w:lastColumn="0" w:oddVBand="0" w:evenVBand="0" w:oddHBand="0" w:evenHBand="0" w:firstRowFirstColumn="0" w:firstRowLastColumn="0" w:lastRowFirstColumn="0" w:lastRowLastColumn="0"/>
            </w:pPr>
            <w:r>
              <w:t>Difference</w:t>
            </w:r>
          </w:p>
          <w:p w:rsidR="0080187F" w:rsidRPr="00326AF5" w:rsidRDefault="0080187F" w:rsidP="00BE60CB">
            <w:pPr>
              <w:pStyle w:val="AERtabletextright"/>
              <w:cnfStyle w:val="100000000000" w:firstRow="1" w:lastRow="0" w:firstColumn="0" w:lastColumn="0" w:oddVBand="0" w:evenVBand="0" w:oddHBand="0" w:evenHBand="0" w:firstRowFirstColumn="0" w:firstRowLastColumn="0" w:lastRowFirstColumn="0" w:lastRowLastColumn="0"/>
            </w:pPr>
            <w:r>
              <w:t>($million)</w:t>
            </w:r>
          </w:p>
        </w:tc>
        <w:tc>
          <w:tcPr>
            <w:tcW w:w="867" w:type="pct"/>
          </w:tcPr>
          <w:p w:rsidR="0080187F" w:rsidRDefault="0080187F" w:rsidP="00BE60CB">
            <w:pPr>
              <w:pStyle w:val="AERtabletextright"/>
              <w:cnfStyle w:val="100000000000" w:firstRow="1" w:lastRow="0" w:firstColumn="0" w:lastColumn="0" w:oddVBand="0" w:evenVBand="0" w:oddHBand="0" w:evenHBand="0" w:firstRowFirstColumn="0" w:firstRowLastColumn="0" w:lastRowFirstColumn="0" w:lastRowLastColumn="0"/>
            </w:pPr>
            <w:r>
              <w:t>Difference</w:t>
            </w:r>
          </w:p>
          <w:p w:rsidR="0080187F" w:rsidRDefault="0080187F" w:rsidP="00BE60CB">
            <w:pPr>
              <w:pStyle w:val="AERtabletextright"/>
              <w:cnfStyle w:val="100000000000" w:firstRow="1" w:lastRow="0" w:firstColumn="0" w:lastColumn="0" w:oddVBand="0" w:evenVBand="0" w:oddHBand="0" w:evenHBand="0" w:firstRowFirstColumn="0" w:firstRowLastColumn="0" w:lastRowFirstColumn="0" w:lastRowLastColumn="0"/>
            </w:pPr>
            <w:r>
              <w:t>(%)</w:t>
            </w:r>
          </w:p>
        </w:tc>
      </w:tr>
      <w:tr w:rsidR="00BE60CB" w:rsidRPr="004F416F" w:rsidTr="00850842">
        <w:trPr>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hideMark/>
          </w:tcPr>
          <w:p w:rsidR="00BE60CB" w:rsidRPr="00BE60CB" w:rsidRDefault="00BE60CB" w:rsidP="00BE60CB">
            <w:r w:rsidRPr="00BE60CB">
              <w:t>Connections/Market expansion</w:t>
            </w:r>
          </w:p>
        </w:tc>
        <w:tc>
          <w:tcPr>
            <w:tcW w:w="866"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247.9</w:t>
            </w:r>
          </w:p>
        </w:tc>
        <w:tc>
          <w:tcPr>
            <w:tcW w:w="867"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295.9</w:t>
            </w:r>
          </w:p>
        </w:tc>
        <w:tc>
          <w:tcPr>
            <w:tcW w:w="866"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-48.0</w:t>
            </w:r>
          </w:p>
        </w:tc>
        <w:tc>
          <w:tcPr>
            <w:tcW w:w="867"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-16.2%</w:t>
            </w:r>
          </w:p>
        </w:tc>
      </w:tr>
      <w:tr w:rsidR="00BE60CB" w:rsidRPr="004F416F" w:rsidTr="008508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hideMark/>
          </w:tcPr>
          <w:p w:rsidR="00BE60CB" w:rsidRPr="00BE60CB" w:rsidRDefault="00BE60CB" w:rsidP="00BE60CB">
            <w:r w:rsidRPr="00BE60CB">
              <w:t>Augmentation/Growth capacity</w:t>
            </w:r>
          </w:p>
        </w:tc>
        <w:tc>
          <w:tcPr>
            <w:tcW w:w="866"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73.4</w:t>
            </w:r>
          </w:p>
        </w:tc>
        <w:tc>
          <w:tcPr>
            <w:tcW w:w="867"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64.4</w:t>
            </w:r>
          </w:p>
        </w:tc>
        <w:tc>
          <w:tcPr>
            <w:tcW w:w="866"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9.0</w:t>
            </w:r>
          </w:p>
        </w:tc>
        <w:tc>
          <w:tcPr>
            <w:tcW w:w="867"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14.0%</w:t>
            </w:r>
          </w:p>
        </w:tc>
      </w:tr>
      <w:tr w:rsidR="00BE60CB" w:rsidRPr="004F416F" w:rsidTr="00850842">
        <w:trPr>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hideMark/>
          </w:tcPr>
          <w:p w:rsidR="00BE60CB" w:rsidRPr="00BE60CB" w:rsidRDefault="00BE60CB" w:rsidP="00BE60CB">
            <w:r w:rsidRPr="00BE60CB">
              <w:t>Mains and service renewal</w:t>
            </w:r>
          </w:p>
        </w:tc>
        <w:tc>
          <w:tcPr>
            <w:tcW w:w="866"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17.0</w:t>
            </w:r>
          </w:p>
        </w:tc>
        <w:tc>
          <w:tcPr>
            <w:tcW w:w="867"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19.0</w:t>
            </w:r>
          </w:p>
        </w:tc>
        <w:tc>
          <w:tcPr>
            <w:tcW w:w="866"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-2.0</w:t>
            </w:r>
          </w:p>
        </w:tc>
        <w:tc>
          <w:tcPr>
            <w:tcW w:w="867"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-10.5%</w:t>
            </w:r>
          </w:p>
        </w:tc>
      </w:tr>
      <w:tr w:rsidR="00BE60CB" w:rsidRPr="004F416F" w:rsidTr="008508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hideMark/>
          </w:tcPr>
          <w:p w:rsidR="00BE60CB" w:rsidRPr="00BE60CB" w:rsidRDefault="00BE60CB" w:rsidP="00BE60CB">
            <w:r w:rsidRPr="00BE60CB">
              <w:t>Facilities renewal and upgrade</w:t>
            </w:r>
          </w:p>
        </w:tc>
        <w:tc>
          <w:tcPr>
            <w:tcW w:w="866"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47.2</w:t>
            </w:r>
          </w:p>
        </w:tc>
        <w:tc>
          <w:tcPr>
            <w:tcW w:w="867"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61.1</w:t>
            </w:r>
          </w:p>
        </w:tc>
        <w:tc>
          <w:tcPr>
            <w:tcW w:w="866"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-14.0</w:t>
            </w:r>
          </w:p>
        </w:tc>
        <w:tc>
          <w:tcPr>
            <w:tcW w:w="867"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-22.8%</w:t>
            </w:r>
          </w:p>
        </w:tc>
      </w:tr>
      <w:tr w:rsidR="00BE60CB" w:rsidRPr="004F416F" w:rsidTr="00850842">
        <w:trPr>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hideMark/>
          </w:tcPr>
          <w:p w:rsidR="00BE60CB" w:rsidRPr="00BE60CB" w:rsidRDefault="00BE60CB" w:rsidP="00BE60CB">
            <w:r w:rsidRPr="00BE60CB">
              <w:t>SCADA</w:t>
            </w:r>
          </w:p>
        </w:tc>
        <w:tc>
          <w:tcPr>
            <w:tcW w:w="866"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2.5</w:t>
            </w:r>
          </w:p>
        </w:tc>
        <w:tc>
          <w:tcPr>
            <w:tcW w:w="867"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6.1</w:t>
            </w:r>
          </w:p>
        </w:tc>
        <w:tc>
          <w:tcPr>
            <w:tcW w:w="866"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-3.6</w:t>
            </w:r>
          </w:p>
        </w:tc>
        <w:tc>
          <w:tcPr>
            <w:tcW w:w="867"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-59.0%</w:t>
            </w:r>
          </w:p>
        </w:tc>
      </w:tr>
      <w:tr w:rsidR="00BE60CB" w:rsidRPr="004F416F" w:rsidTr="008508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hideMark/>
          </w:tcPr>
          <w:p w:rsidR="00BE60CB" w:rsidRPr="00BE60CB" w:rsidRDefault="00BE60CB" w:rsidP="00BE60CB">
            <w:r w:rsidRPr="00BE60CB">
              <w:t>Meter renewal and upgrade</w:t>
            </w:r>
          </w:p>
        </w:tc>
        <w:tc>
          <w:tcPr>
            <w:tcW w:w="866"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61.7</w:t>
            </w:r>
          </w:p>
        </w:tc>
        <w:tc>
          <w:tcPr>
            <w:tcW w:w="867"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97.9</w:t>
            </w:r>
          </w:p>
        </w:tc>
        <w:tc>
          <w:tcPr>
            <w:tcW w:w="866"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-36.2</w:t>
            </w:r>
          </w:p>
        </w:tc>
        <w:tc>
          <w:tcPr>
            <w:tcW w:w="867"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-37.0%</w:t>
            </w:r>
          </w:p>
        </w:tc>
      </w:tr>
      <w:tr w:rsidR="00BE60CB" w:rsidRPr="004F416F" w:rsidTr="00850842">
        <w:trPr>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hideMark/>
          </w:tcPr>
          <w:p w:rsidR="00BE60CB" w:rsidRPr="00BE60CB" w:rsidRDefault="00BE60CB" w:rsidP="00BE60CB">
            <w:r w:rsidRPr="00BE60CB">
              <w:t>Government authority work</w:t>
            </w:r>
          </w:p>
        </w:tc>
        <w:tc>
          <w:tcPr>
            <w:tcW w:w="866"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1.3</w:t>
            </w:r>
          </w:p>
        </w:tc>
        <w:tc>
          <w:tcPr>
            <w:tcW w:w="867"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2.5</w:t>
            </w:r>
          </w:p>
        </w:tc>
        <w:tc>
          <w:tcPr>
            <w:tcW w:w="866"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-1.2</w:t>
            </w:r>
          </w:p>
        </w:tc>
        <w:tc>
          <w:tcPr>
            <w:tcW w:w="867"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-49.3%</w:t>
            </w:r>
          </w:p>
        </w:tc>
      </w:tr>
      <w:tr w:rsidR="00BE60CB" w:rsidRPr="004F416F" w:rsidTr="008508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hideMark/>
          </w:tcPr>
          <w:p w:rsidR="00BE60CB" w:rsidRPr="00BE60CB" w:rsidRDefault="00BE60CB" w:rsidP="00BE60CB">
            <w:r w:rsidRPr="00BE60CB">
              <w:t>IT</w:t>
            </w:r>
          </w:p>
        </w:tc>
        <w:tc>
          <w:tcPr>
            <w:tcW w:w="866"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93.6</w:t>
            </w:r>
          </w:p>
        </w:tc>
        <w:tc>
          <w:tcPr>
            <w:tcW w:w="867"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70.5</w:t>
            </w:r>
          </w:p>
        </w:tc>
        <w:tc>
          <w:tcPr>
            <w:tcW w:w="866"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23.2</w:t>
            </w:r>
          </w:p>
        </w:tc>
        <w:tc>
          <w:tcPr>
            <w:tcW w:w="867"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32.9%</w:t>
            </w:r>
          </w:p>
        </w:tc>
      </w:tr>
      <w:tr w:rsidR="00BE60CB" w:rsidRPr="004F416F" w:rsidTr="00850842">
        <w:trPr>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hideMark/>
          </w:tcPr>
          <w:p w:rsidR="00BE60CB" w:rsidRPr="00BE60CB" w:rsidRDefault="00BE60CB" w:rsidP="00BE60CB">
            <w:r w:rsidRPr="00BE60CB">
              <w:t>Other - non-distribution</w:t>
            </w:r>
          </w:p>
        </w:tc>
        <w:tc>
          <w:tcPr>
            <w:tcW w:w="866"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43.8</w:t>
            </w:r>
          </w:p>
        </w:tc>
        <w:tc>
          <w:tcPr>
            <w:tcW w:w="867"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18.6</w:t>
            </w:r>
          </w:p>
        </w:tc>
        <w:tc>
          <w:tcPr>
            <w:tcW w:w="866"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25.2</w:t>
            </w:r>
          </w:p>
        </w:tc>
        <w:tc>
          <w:tcPr>
            <w:tcW w:w="867"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136.0%</w:t>
            </w:r>
          </w:p>
        </w:tc>
      </w:tr>
      <w:tr w:rsidR="00BE60CB" w:rsidRPr="004F416F" w:rsidTr="008508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hideMark/>
          </w:tcPr>
          <w:p w:rsidR="00BE60CB" w:rsidRPr="00BE60CB" w:rsidRDefault="00BE60CB" w:rsidP="00BE60CB">
            <w:r w:rsidRPr="00BE60CB">
              <w:t>Overheads</w:t>
            </w:r>
          </w:p>
        </w:tc>
        <w:tc>
          <w:tcPr>
            <w:tcW w:w="866"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90.8</w:t>
            </w:r>
          </w:p>
        </w:tc>
        <w:tc>
          <w:tcPr>
            <w:tcW w:w="867"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26.8</w:t>
            </w:r>
          </w:p>
        </w:tc>
        <w:tc>
          <w:tcPr>
            <w:tcW w:w="866"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64.0</w:t>
            </w:r>
          </w:p>
        </w:tc>
        <w:tc>
          <w:tcPr>
            <w:tcW w:w="867" w:type="pct"/>
            <w:vAlign w:val="top"/>
          </w:tcPr>
          <w:p w:rsidR="00BE60CB" w:rsidRPr="00BE60CB" w:rsidRDefault="00BE60CB" w:rsidP="00BE60CB">
            <w:pPr>
              <w:pStyle w:val="AERtabletextright"/>
              <w:cnfStyle w:val="000000010000" w:firstRow="0" w:lastRow="0" w:firstColumn="0" w:lastColumn="0" w:oddVBand="0" w:evenVBand="0" w:oddHBand="0" w:evenHBand="1" w:firstRowFirstColumn="0" w:firstRowLastColumn="0" w:lastRowFirstColumn="0" w:lastRowLastColumn="0"/>
            </w:pPr>
            <w:r w:rsidRPr="00BE60CB">
              <w:t>239.3%</w:t>
            </w:r>
          </w:p>
        </w:tc>
      </w:tr>
      <w:tr w:rsidR="00BE60CB" w:rsidRPr="004F416F" w:rsidTr="00850842">
        <w:trPr>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hideMark/>
          </w:tcPr>
          <w:p w:rsidR="00BE60CB" w:rsidRPr="00BE60CB" w:rsidRDefault="00BE60CB" w:rsidP="00BE60CB">
            <w:r w:rsidRPr="00BE60CB">
              <w:t>GROSS TOTAL CAPITAL EXPENDITURE</w:t>
            </w:r>
          </w:p>
        </w:tc>
        <w:tc>
          <w:tcPr>
            <w:tcW w:w="866"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708.9</w:t>
            </w:r>
          </w:p>
        </w:tc>
        <w:tc>
          <w:tcPr>
            <w:tcW w:w="867"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680.5</w:t>
            </w:r>
          </w:p>
        </w:tc>
        <w:tc>
          <w:tcPr>
            <w:tcW w:w="866"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28.4</w:t>
            </w:r>
          </w:p>
        </w:tc>
        <w:tc>
          <w:tcPr>
            <w:tcW w:w="867" w:type="pct"/>
            <w:vAlign w:val="top"/>
          </w:tcPr>
          <w:p w:rsidR="00BE60CB" w:rsidRPr="00BE60CB" w:rsidRDefault="00BE60CB" w:rsidP="00BE60CB">
            <w:pPr>
              <w:pStyle w:val="AERtabletextright"/>
              <w:cnfStyle w:val="000000000000" w:firstRow="0" w:lastRow="0" w:firstColumn="0" w:lastColumn="0" w:oddVBand="0" w:evenVBand="0" w:oddHBand="0" w:evenHBand="0" w:firstRowFirstColumn="0" w:firstRowLastColumn="0" w:lastRowFirstColumn="0" w:lastRowLastColumn="0"/>
            </w:pPr>
            <w:r w:rsidRPr="00BE60CB">
              <w:t>4.2%</w:t>
            </w:r>
          </w:p>
        </w:tc>
      </w:tr>
      <w:tr w:rsidR="00850842" w:rsidRPr="004F416F" w:rsidTr="008508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hideMark/>
          </w:tcPr>
          <w:p w:rsidR="00850842" w:rsidRPr="00850842" w:rsidRDefault="00850842" w:rsidP="00850842">
            <w:r w:rsidRPr="00850842">
              <w:t>Contributions</w:t>
            </w:r>
          </w:p>
        </w:tc>
        <w:tc>
          <w:tcPr>
            <w:tcW w:w="866" w:type="pct"/>
            <w:vAlign w:val="top"/>
          </w:tcPr>
          <w:p w:rsidR="00850842" w:rsidRPr="00850842" w:rsidRDefault="00850842" w:rsidP="00850842">
            <w:pPr>
              <w:pStyle w:val="AERtabletextright"/>
              <w:cnfStyle w:val="000000010000" w:firstRow="0" w:lastRow="0" w:firstColumn="0" w:lastColumn="0" w:oddVBand="0" w:evenVBand="0" w:oddHBand="0" w:evenHBand="1" w:firstRowFirstColumn="0" w:firstRowLastColumn="0" w:lastRowFirstColumn="0" w:lastRowLastColumn="0"/>
            </w:pPr>
            <w:r w:rsidRPr="00850842">
              <w:t>24.9</w:t>
            </w:r>
          </w:p>
        </w:tc>
        <w:tc>
          <w:tcPr>
            <w:tcW w:w="867" w:type="pct"/>
            <w:vAlign w:val="top"/>
          </w:tcPr>
          <w:p w:rsidR="00850842" w:rsidRPr="00850842" w:rsidRDefault="00850842" w:rsidP="00850842">
            <w:pPr>
              <w:pStyle w:val="AERtabletextright"/>
              <w:cnfStyle w:val="000000010000" w:firstRow="0" w:lastRow="0" w:firstColumn="0" w:lastColumn="0" w:oddVBand="0" w:evenVBand="0" w:oddHBand="0" w:evenHBand="1" w:firstRowFirstColumn="0" w:firstRowLastColumn="0" w:lastRowFirstColumn="0" w:lastRowLastColumn="0"/>
            </w:pPr>
            <w:r w:rsidRPr="00850842">
              <w:t>5.6</w:t>
            </w:r>
          </w:p>
        </w:tc>
        <w:tc>
          <w:tcPr>
            <w:tcW w:w="866" w:type="pct"/>
            <w:vAlign w:val="top"/>
          </w:tcPr>
          <w:p w:rsidR="00850842" w:rsidRPr="00850842" w:rsidRDefault="00850842" w:rsidP="00850842">
            <w:pPr>
              <w:pStyle w:val="AERtabletextright"/>
              <w:cnfStyle w:val="000000010000" w:firstRow="0" w:lastRow="0" w:firstColumn="0" w:lastColumn="0" w:oddVBand="0" w:evenVBand="0" w:oddHBand="0" w:evenHBand="1" w:firstRowFirstColumn="0" w:firstRowLastColumn="0" w:lastRowFirstColumn="0" w:lastRowLastColumn="0"/>
            </w:pPr>
            <w:r w:rsidRPr="00850842">
              <w:t>19.3</w:t>
            </w:r>
          </w:p>
        </w:tc>
        <w:tc>
          <w:tcPr>
            <w:tcW w:w="867" w:type="pct"/>
            <w:vAlign w:val="top"/>
          </w:tcPr>
          <w:p w:rsidR="00850842" w:rsidRPr="00850842" w:rsidRDefault="00850842" w:rsidP="00850842">
            <w:pPr>
              <w:pStyle w:val="AERtabletextright"/>
              <w:cnfStyle w:val="000000010000" w:firstRow="0" w:lastRow="0" w:firstColumn="0" w:lastColumn="0" w:oddVBand="0" w:evenVBand="0" w:oddHBand="0" w:evenHBand="1" w:firstRowFirstColumn="0" w:firstRowLastColumn="0" w:lastRowFirstColumn="0" w:lastRowLastColumn="0"/>
            </w:pPr>
            <w:r w:rsidRPr="00850842">
              <w:t>342.6%</w:t>
            </w:r>
          </w:p>
        </w:tc>
      </w:tr>
      <w:tr w:rsidR="00850842" w:rsidRPr="004F416F" w:rsidTr="00850842">
        <w:trPr>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tcPr>
          <w:p w:rsidR="00850842" w:rsidRPr="00850842" w:rsidRDefault="00850842" w:rsidP="00850842">
            <w:r w:rsidRPr="00850842">
              <w:t>Asset disposals</w:t>
            </w:r>
          </w:p>
        </w:tc>
        <w:tc>
          <w:tcPr>
            <w:tcW w:w="866" w:type="pct"/>
            <w:vAlign w:val="top"/>
          </w:tcPr>
          <w:p w:rsidR="00850842" w:rsidRPr="00850842" w:rsidRDefault="00850842" w:rsidP="00850842">
            <w:pPr>
              <w:pStyle w:val="AERtabletextright"/>
              <w:cnfStyle w:val="000000000000" w:firstRow="0" w:lastRow="0" w:firstColumn="0" w:lastColumn="0" w:oddVBand="0" w:evenVBand="0" w:oddHBand="0" w:evenHBand="0" w:firstRowFirstColumn="0" w:firstRowLastColumn="0" w:lastRowFirstColumn="0" w:lastRowLastColumn="0"/>
            </w:pPr>
            <w:r w:rsidRPr="00850842">
              <w:t>12.5</w:t>
            </w:r>
          </w:p>
        </w:tc>
        <w:tc>
          <w:tcPr>
            <w:tcW w:w="867" w:type="pct"/>
            <w:vAlign w:val="top"/>
          </w:tcPr>
          <w:p w:rsidR="00850842" w:rsidRPr="00850842" w:rsidRDefault="00850842" w:rsidP="00850842">
            <w:pPr>
              <w:pStyle w:val="AERtabletextright"/>
              <w:cnfStyle w:val="000000000000" w:firstRow="0" w:lastRow="0" w:firstColumn="0" w:lastColumn="0" w:oddVBand="0" w:evenVBand="0" w:oddHBand="0" w:evenHBand="0" w:firstRowFirstColumn="0" w:firstRowLastColumn="0" w:lastRowFirstColumn="0" w:lastRowLastColumn="0"/>
            </w:pPr>
            <w:r w:rsidRPr="00850842">
              <w:t>0.0</w:t>
            </w:r>
          </w:p>
        </w:tc>
        <w:tc>
          <w:tcPr>
            <w:tcW w:w="866" w:type="pct"/>
            <w:vAlign w:val="top"/>
          </w:tcPr>
          <w:p w:rsidR="00850842" w:rsidRPr="00850842" w:rsidRDefault="00850842" w:rsidP="00850842">
            <w:pPr>
              <w:pStyle w:val="AERtabletextright"/>
              <w:cnfStyle w:val="000000000000" w:firstRow="0" w:lastRow="0" w:firstColumn="0" w:lastColumn="0" w:oddVBand="0" w:evenVBand="0" w:oddHBand="0" w:evenHBand="0" w:firstRowFirstColumn="0" w:firstRowLastColumn="0" w:lastRowFirstColumn="0" w:lastRowLastColumn="0"/>
            </w:pPr>
            <w:r w:rsidRPr="00850842">
              <w:t>12.5</w:t>
            </w:r>
          </w:p>
        </w:tc>
        <w:tc>
          <w:tcPr>
            <w:tcW w:w="867" w:type="pct"/>
            <w:vAlign w:val="top"/>
          </w:tcPr>
          <w:p w:rsidR="00850842" w:rsidRPr="00850842" w:rsidRDefault="00850842" w:rsidP="00850842">
            <w:pPr>
              <w:pStyle w:val="AERtabletextright"/>
              <w:cnfStyle w:val="000000000000" w:firstRow="0" w:lastRow="0" w:firstColumn="0" w:lastColumn="0" w:oddVBand="0" w:evenVBand="0" w:oddHBand="0" w:evenHBand="0" w:firstRowFirstColumn="0" w:firstRowLastColumn="0" w:lastRowFirstColumn="0" w:lastRowLastColumn="0"/>
            </w:pPr>
          </w:p>
        </w:tc>
      </w:tr>
      <w:tr w:rsidR="00850842" w:rsidRPr="004F416F" w:rsidTr="008508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pct"/>
            <w:vAlign w:val="bottom"/>
          </w:tcPr>
          <w:p w:rsidR="00850842" w:rsidRPr="0047287F" w:rsidRDefault="00850842" w:rsidP="00850842">
            <w:pPr>
              <w:spacing w:before="0"/>
              <w:rPr>
                <w:rStyle w:val="AERsuperscript"/>
              </w:rPr>
            </w:pPr>
            <w:r w:rsidRPr="00850842">
              <w:t>NET TOTAL CAPITAL EXPENDITURE</w:t>
            </w:r>
            <w:r w:rsidR="00CE2DD1">
              <w:rPr>
                <w:rStyle w:val="AERsuperscript"/>
              </w:rPr>
              <w:t>(b)</w:t>
            </w:r>
          </w:p>
        </w:tc>
        <w:tc>
          <w:tcPr>
            <w:tcW w:w="866" w:type="pct"/>
            <w:vAlign w:val="top"/>
          </w:tcPr>
          <w:p w:rsidR="00850842" w:rsidRPr="00850842" w:rsidRDefault="00850842" w:rsidP="00850842">
            <w:pPr>
              <w:pStyle w:val="AERtabletextright"/>
              <w:cnfStyle w:val="000000010000" w:firstRow="0" w:lastRow="0" w:firstColumn="0" w:lastColumn="0" w:oddVBand="0" w:evenVBand="0" w:oddHBand="0" w:evenHBand="1" w:firstRowFirstColumn="0" w:firstRowLastColumn="0" w:lastRowFirstColumn="0" w:lastRowLastColumn="0"/>
            </w:pPr>
            <w:r w:rsidRPr="00850842">
              <w:t>671.4</w:t>
            </w:r>
          </w:p>
        </w:tc>
        <w:tc>
          <w:tcPr>
            <w:tcW w:w="867" w:type="pct"/>
            <w:vAlign w:val="top"/>
          </w:tcPr>
          <w:p w:rsidR="00850842" w:rsidRPr="00850842" w:rsidRDefault="00850842" w:rsidP="00850842">
            <w:pPr>
              <w:pStyle w:val="AERtabletextright"/>
              <w:cnfStyle w:val="000000010000" w:firstRow="0" w:lastRow="0" w:firstColumn="0" w:lastColumn="0" w:oddVBand="0" w:evenVBand="0" w:oddHBand="0" w:evenHBand="1" w:firstRowFirstColumn="0" w:firstRowLastColumn="0" w:lastRowFirstColumn="0" w:lastRowLastColumn="0"/>
            </w:pPr>
            <w:r w:rsidRPr="00850842">
              <w:t>674.9</w:t>
            </w:r>
          </w:p>
        </w:tc>
        <w:tc>
          <w:tcPr>
            <w:tcW w:w="866" w:type="pct"/>
            <w:vAlign w:val="top"/>
          </w:tcPr>
          <w:p w:rsidR="00850842" w:rsidRPr="00850842" w:rsidRDefault="00850842" w:rsidP="00850842">
            <w:pPr>
              <w:pStyle w:val="AERtabletextright"/>
              <w:cnfStyle w:val="000000010000" w:firstRow="0" w:lastRow="0" w:firstColumn="0" w:lastColumn="0" w:oddVBand="0" w:evenVBand="0" w:oddHBand="0" w:evenHBand="1" w:firstRowFirstColumn="0" w:firstRowLastColumn="0" w:lastRowFirstColumn="0" w:lastRowLastColumn="0"/>
            </w:pPr>
            <w:r w:rsidRPr="00850842">
              <w:t>-3.4</w:t>
            </w:r>
          </w:p>
        </w:tc>
        <w:tc>
          <w:tcPr>
            <w:tcW w:w="867" w:type="pct"/>
            <w:vAlign w:val="top"/>
          </w:tcPr>
          <w:p w:rsidR="00850842" w:rsidRPr="00850842" w:rsidRDefault="00850842" w:rsidP="00850842">
            <w:pPr>
              <w:pStyle w:val="AERtabletextright"/>
              <w:cnfStyle w:val="000000010000" w:firstRow="0" w:lastRow="0" w:firstColumn="0" w:lastColumn="0" w:oddVBand="0" w:evenVBand="0" w:oddHBand="0" w:evenHBand="1" w:firstRowFirstColumn="0" w:firstRowLastColumn="0" w:lastRowFirstColumn="0" w:lastRowLastColumn="0"/>
            </w:pPr>
            <w:r w:rsidRPr="00850842">
              <w:t>-0.5%</w:t>
            </w:r>
          </w:p>
        </w:tc>
      </w:tr>
    </w:tbl>
    <w:p w:rsidR="00326AF5" w:rsidRDefault="00326AF5" w:rsidP="00326AF5">
      <w:pPr>
        <w:pStyle w:val="AERtablesource"/>
      </w:pPr>
      <w:r w:rsidRPr="00DE44F6">
        <w:t>Source:</w:t>
      </w:r>
      <w:r w:rsidRPr="00DE44F6">
        <w:tab/>
      </w:r>
      <w:r w:rsidR="00926391">
        <w:t xml:space="preserve">JGN, </w:t>
      </w:r>
      <w:r w:rsidR="00926391" w:rsidRPr="00DD4387">
        <w:rPr>
          <w:rStyle w:val="AERtextitalic"/>
        </w:rPr>
        <w:t>2015-20 Access Arrangement Information</w:t>
      </w:r>
      <w:r w:rsidR="00926391" w:rsidRPr="00DD4387">
        <w:t xml:space="preserve"> </w:t>
      </w:r>
      <w:r w:rsidR="00926391">
        <w:t xml:space="preserve">, </w:t>
      </w:r>
      <w:r w:rsidR="00926391" w:rsidRPr="00DD4387">
        <w:t>Appendix A to the AA RIN response - Regulatory templates (CONFIDENTIAL) [UPDATE].XLSM</w:t>
      </w:r>
      <w:r w:rsidR="00926391">
        <w:t xml:space="preserve">; </w:t>
      </w:r>
      <w:r w:rsidR="00926391" w:rsidRPr="00DE44F6">
        <w:t>AER</w:t>
      </w:r>
      <w:r w:rsidR="00926391">
        <w:t xml:space="preserve"> analysis.</w:t>
      </w:r>
    </w:p>
    <w:p w:rsidR="00CE2DD1" w:rsidRDefault="00326AF5" w:rsidP="00326AF5">
      <w:pPr>
        <w:pStyle w:val="AERtablesource"/>
      </w:pPr>
      <w:r w:rsidRPr="00A91109">
        <w:t>Notes:</w:t>
      </w:r>
      <w:r w:rsidRPr="00A91109">
        <w:tab/>
        <w:t>(a) Including</w:t>
      </w:r>
      <w:r>
        <w:t xml:space="preserve"> </w:t>
      </w:r>
      <w:r w:rsidRPr="00A91109">
        <w:t>AER material and labour escalation adjustments</w:t>
      </w:r>
      <w:r>
        <w:t>.</w:t>
      </w:r>
    </w:p>
    <w:p w:rsidR="00ED5C24" w:rsidRPr="00ED5C24" w:rsidRDefault="00CE2DD1" w:rsidP="0047287F">
      <w:pPr>
        <w:pStyle w:val="AERtablesource"/>
        <w:ind w:left="0" w:firstLine="0"/>
      </w:pPr>
      <w:r>
        <w:tab/>
        <w:t>(b) Totals do not add as JGN claimed confidentiality over mines subsidence and related party margin expenditure.</w:t>
      </w:r>
    </w:p>
    <w:p w:rsidR="00902ACC" w:rsidRPr="00413233" w:rsidRDefault="00902ACC" w:rsidP="00902ACC">
      <w:pPr>
        <w:pStyle w:val="Heading3"/>
        <w:rPr>
          <w:rFonts w:eastAsia="Calibri"/>
        </w:rPr>
      </w:pPr>
      <w:bookmarkStart w:id="38" w:name="_Ref404336201"/>
      <w:bookmarkStart w:id="39" w:name="_Toc404676550"/>
      <w:bookmarkStart w:id="40" w:name="_Toc404676600"/>
      <w:r w:rsidRPr="00413233">
        <w:rPr>
          <w:rFonts w:eastAsia="Calibri"/>
        </w:rPr>
        <w:t xml:space="preserve">Conforming </w:t>
      </w:r>
      <w:r w:rsidR="00336744">
        <w:rPr>
          <w:rFonts w:eastAsia="Calibri"/>
        </w:rPr>
        <w:t>capex</w:t>
      </w:r>
      <w:r w:rsidRPr="00413233">
        <w:rPr>
          <w:rFonts w:eastAsia="Calibri"/>
        </w:rPr>
        <w:t xml:space="preserve"> for the 201</w:t>
      </w:r>
      <w:r w:rsidR="00B55F8B">
        <w:rPr>
          <w:rFonts w:eastAsia="Calibri"/>
        </w:rPr>
        <w:t>5</w:t>
      </w:r>
      <w:r w:rsidRPr="00413233">
        <w:rPr>
          <w:rFonts w:eastAsia="Calibri"/>
        </w:rPr>
        <w:t>–</w:t>
      </w:r>
      <w:r w:rsidR="00B55F8B">
        <w:rPr>
          <w:rFonts w:eastAsia="Calibri"/>
        </w:rPr>
        <w:t>20</w:t>
      </w:r>
      <w:r w:rsidRPr="00413233">
        <w:rPr>
          <w:rFonts w:eastAsia="Calibri"/>
        </w:rPr>
        <w:t xml:space="preserve"> access arrangement period</w:t>
      </w:r>
      <w:bookmarkEnd w:id="38"/>
      <w:bookmarkEnd w:id="39"/>
      <w:bookmarkEnd w:id="40"/>
    </w:p>
    <w:p w:rsidR="00902ACC" w:rsidRPr="000B64B4" w:rsidRDefault="00933E63" w:rsidP="00902ACC">
      <w:pPr>
        <w:pStyle w:val="AERbodytext"/>
      </w:pPr>
      <w:r>
        <w:t xml:space="preserve">Our forecasts discussed </w:t>
      </w:r>
      <w:r w:rsidR="00902ACC" w:rsidRPr="000B64B4">
        <w:t>in this section do not include</w:t>
      </w:r>
      <w:r>
        <w:t xml:space="preserve"> our </w:t>
      </w:r>
      <w:r w:rsidR="00902ACC" w:rsidRPr="000B64B4">
        <w:t xml:space="preserve">adjustment to </w:t>
      </w:r>
      <w:r w:rsidR="00902ACC">
        <w:t>JGN</w:t>
      </w:r>
      <w:r w:rsidR="00902ACC" w:rsidRPr="000B64B4">
        <w:t xml:space="preserve">'s proposed labour and material cost escalation factors. For </w:t>
      </w:r>
      <w:r>
        <w:t xml:space="preserve">our forecasts </w:t>
      </w:r>
      <w:r w:rsidR="00902ACC" w:rsidRPr="000B64B4">
        <w:t>which include these adjustments see</w:t>
      </w:r>
      <w:r w:rsidR="00902ACC">
        <w:t xml:space="preserve"> </w:t>
      </w:r>
      <w:r w:rsidR="00150172">
        <w:fldChar w:fldCharType="begin"/>
      </w:r>
      <w:r w:rsidR="00150172">
        <w:instrText xml:space="preserve"> REF  _Ref401867665 \* Lower \h  \* MERGEFORMAT </w:instrText>
      </w:r>
      <w:r w:rsidR="00150172">
        <w:fldChar w:fldCharType="separate"/>
      </w:r>
      <w:r w:rsidR="00150172">
        <w:t xml:space="preserve">table </w:t>
      </w:r>
      <w:r w:rsidR="00150172">
        <w:rPr>
          <w:noProof/>
        </w:rPr>
        <w:t>6</w:t>
      </w:r>
      <w:r w:rsidR="00150172">
        <w:noBreakHyphen/>
      </w:r>
      <w:r w:rsidR="00150172">
        <w:rPr>
          <w:noProof/>
        </w:rPr>
        <w:t>7</w:t>
      </w:r>
      <w:r w:rsidR="00150172">
        <w:fldChar w:fldCharType="end"/>
      </w:r>
      <w:r w:rsidR="00902ACC" w:rsidRPr="000B64B4">
        <w:t>.</w:t>
      </w:r>
      <w:r>
        <w:t xml:space="preserve"> Our</w:t>
      </w:r>
      <w:r w:rsidR="00902ACC" w:rsidRPr="000B64B4">
        <w:t xml:space="preserve"> </w:t>
      </w:r>
      <w:r w:rsidR="00902ACC" w:rsidRPr="000B64B4">
        <w:lastRenderedPageBreak/>
        <w:t xml:space="preserve">assessment of labour and material cost escalation is </w:t>
      </w:r>
      <w:r w:rsidR="00902ACC">
        <w:t xml:space="preserve">contained in </w:t>
      </w:r>
      <w:r w:rsidR="00237797">
        <w:t xml:space="preserve">section 7.5.3 of </w:t>
      </w:r>
      <w:r w:rsidR="001C4667">
        <w:t xml:space="preserve">attachment 7 </w:t>
      </w:r>
      <w:r w:rsidR="00237797">
        <w:t>(opex) and appendix section A.6 of attachment 6 (capex) below</w:t>
      </w:r>
      <w:r w:rsidR="0047287F">
        <w:t>.</w:t>
      </w:r>
    </w:p>
    <w:p w:rsidR="00BA386E" w:rsidRPr="00BA386E" w:rsidRDefault="00933E63" w:rsidP="00902ACC">
      <w:pPr>
        <w:pStyle w:val="AERbodytext"/>
      </w:pPr>
      <w:r>
        <w:rPr>
          <w:rFonts w:eastAsia="Calibri"/>
        </w:rPr>
        <w:t>We</w:t>
      </w:r>
      <w:r w:rsidR="00902ACC" w:rsidRPr="00902ACC">
        <w:rPr>
          <w:rFonts w:eastAsia="Calibri"/>
        </w:rPr>
        <w:t xml:space="preserve"> approve $</w:t>
      </w:r>
      <w:r w:rsidR="00BD22FD">
        <w:rPr>
          <w:rFonts w:eastAsia="Calibri"/>
        </w:rPr>
        <w:t>892.1</w:t>
      </w:r>
      <w:r w:rsidR="00902ACC" w:rsidRPr="00902ACC">
        <w:rPr>
          <w:rFonts w:eastAsia="Calibri"/>
        </w:rPr>
        <w:t xml:space="preserve"> million ($201</w:t>
      </w:r>
      <w:r w:rsidR="00902ACC">
        <w:rPr>
          <w:rFonts w:eastAsia="Calibri"/>
        </w:rPr>
        <w:t>5</w:t>
      </w:r>
      <w:r w:rsidR="00902ACC" w:rsidRPr="00902ACC">
        <w:rPr>
          <w:rFonts w:eastAsia="Calibri"/>
        </w:rPr>
        <w:t>)</w:t>
      </w:r>
      <w:r w:rsidR="00902ACC" w:rsidRPr="00902ACC">
        <w:rPr>
          <w:rStyle w:val="FootnoteReference"/>
          <w:rFonts w:eastAsia="Calibri"/>
        </w:rPr>
        <w:footnoteReference w:id="32"/>
      </w:r>
      <w:r w:rsidR="00902ACC" w:rsidRPr="00902ACC">
        <w:rPr>
          <w:rFonts w:eastAsia="Calibri"/>
        </w:rPr>
        <w:t xml:space="preserve"> of </w:t>
      </w:r>
      <w:r w:rsidR="00902ACC">
        <w:rPr>
          <w:rFonts w:eastAsia="Calibri"/>
        </w:rPr>
        <w:t>JGN</w:t>
      </w:r>
      <w:r w:rsidR="00902ACC" w:rsidRPr="00902ACC">
        <w:rPr>
          <w:rFonts w:eastAsia="Calibri"/>
        </w:rPr>
        <w:t>'s proposed $</w:t>
      </w:r>
      <w:r w:rsidR="00E8558C">
        <w:rPr>
          <w:rFonts w:eastAsia="Calibri"/>
        </w:rPr>
        <w:t>1,083.9</w:t>
      </w:r>
      <w:r w:rsidR="00902ACC" w:rsidRPr="00902ACC">
        <w:rPr>
          <w:rFonts w:eastAsia="Calibri"/>
        </w:rPr>
        <w:t xml:space="preserve"> million total net capex for the 201</w:t>
      </w:r>
      <w:r w:rsidR="00902ACC">
        <w:rPr>
          <w:rFonts w:eastAsia="Calibri"/>
        </w:rPr>
        <w:t>5</w:t>
      </w:r>
      <w:r w:rsidR="00902ACC" w:rsidRPr="00902ACC">
        <w:rPr>
          <w:rFonts w:eastAsia="Calibri"/>
        </w:rPr>
        <w:t>–</w:t>
      </w:r>
      <w:r w:rsidR="00902ACC">
        <w:rPr>
          <w:rFonts w:eastAsia="Calibri"/>
        </w:rPr>
        <w:t>20</w:t>
      </w:r>
      <w:r w:rsidR="00902ACC" w:rsidRPr="00902ACC">
        <w:rPr>
          <w:rFonts w:eastAsia="Calibri"/>
        </w:rPr>
        <w:t xml:space="preserve"> access arrangement period (see</w:t>
      </w:r>
      <w:r w:rsidR="00963704">
        <w:rPr>
          <w:rFonts w:eastAsia="Calibri"/>
        </w:rPr>
        <w:t xml:space="preserve"> </w:t>
      </w:r>
      <w:r w:rsidR="00963704">
        <w:rPr>
          <w:rFonts w:eastAsia="Calibri"/>
        </w:rPr>
        <w:fldChar w:fldCharType="begin"/>
      </w:r>
      <w:r w:rsidR="00963704">
        <w:rPr>
          <w:rFonts w:eastAsia="Calibri"/>
        </w:rPr>
        <w:instrText xml:space="preserve"> REF _Ref401867665 \h </w:instrText>
      </w:r>
      <w:r w:rsidR="00963704">
        <w:rPr>
          <w:rFonts w:eastAsia="Calibri"/>
        </w:rPr>
      </w:r>
      <w:r w:rsidR="00963704">
        <w:rPr>
          <w:rFonts w:eastAsia="Calibri"/>
        </w:rPr>
        <w:fldChar w:fldCharType="separate"/>
      </w:r>
      <w:r w:rsidR="0029475D">
        <w:t xml:space="preserve">Table </w:t>
      </w:r>
      <w:r w:rsidR="0029475D">
        <w:rPr>
          <w:noProof/>
        </w:rPr>
        <w:t>6</w:t>
      </w:r>
      <w:r w:rsidR="0029475D">
        <w:noBreakHyphen/>
      </w:r>
      <w:r w:rsidR="0029475D">
        <w:rPr>
          <w:noProof/>
        </w:rPr>
        <w:t>7</w:t>
      </w:r>
      <w:r w:rsidR="00963704">
        <w:rPr>
          <w:rFonts w:eastAsia="Calibri"/>
        </w:rPr>
        <w:fldChar w:fldCharType="end"/>
      </w:r>
      <w:r w:rsidR="00963704">
        <w:rPr>
          <w:rFonts w:eastAsia="Calibri"/>
        </w:rPr>
        <w:t>)</w:t>
      </w:r>
      <w:r w:rsidR="00902ACC" w:rsidRPr="00902ACC">
        <w:rPr>
          <w:rFonts w:eastAsia="Calibri"/>
        </w:rPr>
        <w:t>.</w:t>
      </w:r>
    </w:p>
    <w:p w:rsidR="00134815" w:rsidRPr="00134815" w:rsidRDefault="00B55F8B" w:rsidP="00B55F8B">
      <w:pPr>
        <w:pStyle w:val="Caption"/>
        <w:rPr>
          <w:rFonts w:eastAsia="Calibri"/>
        </w:rPr>
      </w:pPr>
      <w:bookmarkStart w:id="41" w:name="_Ref401867665"/>
      <w:bookmarkStart w:id="42" w:name="_Ref404161554"/>
      <w:r>
        <w:t xml:space="preserve">Table </w:t>
      </w:r>
      <w:fldSimple w:instr=" STYLEREF 1 \s ">
        <w:r w:rsidR="0029475D">
          <w:rPr>
            <w:noProof/>
          </w:rPr>
          <w:t>6</w:t>
        </w:r>
      </w:fldSimple>
      <w:r w:rsidR="009F7369">
        <w:noBreakHyphen/>
      </w:r>
      <w:fldSimple w:instr=" SEQ Table \* ARABIC \s 1 ">
        <w:r w:rsidR="0029475D">
          <w:rPr>
            <w:noProof/>
          </w:rPr>
          <w:t>7</w:t>
        </w:r>
      </w:fldSimple>
      <w:bookmarkEnd w:id="41"/>
      <w:r>
        <w:tab/>
      </w:r>
      <w:r w:rsidRPr="00B55F8B">
        <w:rPr>
          <w:rFonts w:eastAsia="Calibri"/>
        </w:rPr>
        <w:t>AER approved capital expenditure over the 201</w:t>
      </w:r>
      <w:r>
        <w:rPr>
          <w:rFonts w:eastAsia="Calibri"/>
        </w:rPr>
        <w:t>5</w:t>
      </w:r>
      <w:r w:rsidRPr="00B55F8B">
        <w:rPr>
          <w:rFonts w:eastAsia="Calibri"/>
        </w:rPr>
        <w:t>–</w:t>
      </w:r>
      <w:r>
        <w:rPr>
          <w:rFonts w:eastAsia="Calibri"/>
        </w:rPr>
        <w:t>20</w:t>
      </w:r>
      <w:r w:rsidRPr="00B55F8B">
        <w:rPr>
          <w:rFonts w:eastAsia="Calibri"/>
        </w:rPr>
        <w:t xml:space="preserve"> access arrangement period ($million, 201</w:t>
      </w:r>
      <w:r>
        <w:rPr>
          <w:rFonts w:eastAsia="Calibri"/>
        </w:rPr>
        <w:t>5</w:t>
      </w:r>
      <w:r w:rsidRPr="00B55F8B">
        <w:rPr>
          <w:rFonts w:eastAsia="Calibri"/>
        </w:rPr>
        <w:t>)</w:t>
      </w:r>
      <w:r w:rsidRPr="00B55F8B">
        <w:rPr>
          <w:rStyle w:val="AERsuperscript"/>
          <w:rFonts w:eastAsia="Calibri"/>
        </w:rPr>
        <w:t>(a)</w:t>
      </w:r>
      <w:bookmarkEnd w:id="42"/>
    </w:p>
    <w:tbl>
      <w:tblPr>
        <w:tblStyle w:val="AERtable-numbers"/>
        <w:tblW w:w="5000" w:type="pct"/>
        <w:tblLook w:val="04A0" w:firstRow="1" w:lastRow="0" w:firstColumn="1" w:lastColumn="0" w:noHBand="0" w:noVBand="1"/>
      </w:tblPr>
      <w:tblGrid>
        <w:gridCol w:w="3520"/>
        <w:gridCol w:w="952"/>
        <w:gridCol w:w="956"/>
        <w:gridCol w:w="954"/>
        <w:gridCol w:w="952"/>
        <w:gridCol w:w="954"/>
        <w:gridCol w:w="954"/>
      </w:tblGrid>
      <w:tr w:rsidR="00800D85" w:rsidRPr="004F416F" w:rsidTr="00AF1B0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04" w:type="pct"/>
            <w:hideMark/>
          </w:tcPr>
          <w:p w:rsidR="00800D85" w:rsidRPr="00800D85" w:rsidRDefault="00800D85" w:rsidP="00800D85">
            <w:r w:rsidRPr="00413233">
              <w:t> Category</w:t>
            </w:r>
          </w:p>
        </w:tc>
        <w:tc>
          <w:tcPr>
            <w:tcW w:w="515" w:type="pct"/>
            <w:hideMark/>
          </w:tcPr>
          <w:p w:rsidR="00800D85" w:rsidRPr="00800D85" w:rsidRDefault="00800D85" w:rsidP="000126FA">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800D85">
              <w:t>15-16</w:t>
            </w:r>
          </w:p>
        </w:tc>
        <w:tc>
          <w:tcPr>
            <w:tcW w:w="517" w:type="pct"/>
            <w:hideMark/>
          </w:tcPr>
          <w:p w:rsidR="00800D85" w:rsidRPr="00800D85" w:rsidRDefault="00800D85" w:rsidP="000126FA">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800D85">
              <w:t>16-17</w:t>
            </w:r>
          </w:p>
        </w:tc>
        <w:tc>
          <w:tcPr>
            <w:tcW w:w="516" w:type="pct"/>
            <w:hideMark/>
          </w:tcPr>
          <w:p w:rsidR="00800D85" w:rsidRPr="00800D85" w:rsidRDefault="00800D85" w:rsidP="000126FA">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800D85">
              <w:t>17-18</w:t>
            </w:r>
          </w:p>
        </w:tc>
        <w:tc>
          <w:tcPr>
            <w:tcW w:w="515" w:type="pct"/>
            <w:hideMark/>
          </w:tcPr>
          <w:p w:rsidR="00800D85" w:rsidRPr="00800D85" w:rsidRDefault="00800D85" w:rsidP="000126FA">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800D85">
              <w:t>8-19</w:t>
            </w:r>
          </w:p>
        </w:tc>
        <w:tc>
          <w:tcPr>
            <w:tcW w:w="516" w:type="pct"/>
            <w:hideMark/>
          </w:tcPr>
          <w:p w:rsidR="00800D85" w:rsidRPr="00800D85" w:rsidRDefault="00800D85" w:rsidP="000126FA">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800D85">
              <w:t>9-20</w:t>
            </w:r>
          </w:p>
        </w:tc>
        <w:tc>
          <w:tcPr>
            <w:tcW w:w="516" w:type="pct"/>
          </w:tcPr>
          <w:p w:rsidR="00800D85" w:rsidRPr="00800D85" w:rsidRDefault="00800D85" w:rsidP="000126FA">
            <w:pPr>
              <w:pStyle w:val="AERtabletextright"/>
              <w:cnfStyle w:val="100000000000" w:firstRow="1" w:lastRow="0" w:firstColumn="0" w:lastColumn="0" w:oddVBand="0" w:evenVBand="0" w:oddHBand="0" w:evenHBand="0" w:firstRowFirstColumn="0" w:firstRowLastColumn="0" w:lastRowFirstColumn="0" w:lastRowLastColumn="0"/>
            </w:pPr>
            <w:r>
              <w:t>T</w:t>
            </w:r>
            <w:r w:rsidRPr="00800D85">
              <w:t>otal</w:t>
            </w:r>
          </w:p>
        </w:tc>
      </w:tr>
      <w:tr w:rsidR="00BD22FD"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BD22FD" w:rsidRPr="00BD22FD" w:rsidRDefault="00BD22FD" w:rsidP="00BD22FD">
            <w:r w:rsidRPr="00BD22FD">
              <w:t>Connections/Market expansion</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58.2 </w:t>
            </w:r>
          </w:p>
        </w:tc>
        <w:tc>
          <w:tcPr>
            <w:tcW w:w="517"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60.4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58.9 </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57.4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57.2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292.1 </w:t>
            </w:r>
          </w:p>
        </w:tc>
      </w:tr>
      <w:tr w:rsidR="00BD22FD"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BD22FD" w:rsidRPr="00BD22FD" w:rsidRDefault="00BD22FD" w:rsidP="00BD22FD">
            <w:r w:rsidRPr="00BD22FD">
              <w:t>Augmentation/Growth capacity</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17.0 </w:t>
            </w:r>
          </w:p>
        </w:tc>
        <w:tc>
          <w:tcPr>
            <w:tcW w:w="517"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16.6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21.1 </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15.4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10.5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80.6 </w:t>
            </w:r>
          </w:p>
        </w:tc>
      </w:tr>
      <w:tr w:rsidR="00BD22FD"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BD22FD" w:rsidRPr="00BD22FD" w:rsidRDefault="00BD22FD" w:rsidP="00BD22FD">
            <w:r w:rsidRPr="00BD22FD">
              <w:t>Mains and service renewal</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12.3 </w:t>
            </w:r>
          </w:p>
        </w:tc>
        <w:tc>
          <w:tcPr>
            <w:tcW w:w="517"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15.7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12.0 </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8.2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9.2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57.4 </w:t>
            </w:r>
          </w:p>
        </w:tc>
      </w:tr>
      <w:tr w:rsidR="00BD22FD"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BD22FD" w:rsidRPr="00BD22FD" w:rsidRDefault="00BD22FD" w:rsidP="00BD22FD">
            <w:r w:rsidRPr="00BD22FD">
              <w:t>Facilities renewal and upgrade</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22.3 </w:t>
            </w:r>
          </w:p>
        </w:tc>
        <w:tc>
          <w:tcPr>
            <w:tcW w:w="517"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18.7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19.7 </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19.6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15.0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95.3 </w:t>
            </w:r>
          </w:p>
        </w:tc>
      </w:tr>
      <w:tr w:rsidR="00BD22FD"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BD22FD" w:rsidRPr="00BD22FD" w:rsidRDefault="00BD22FD" w:rsidP="00BD22FD">
            <w:r w:rsidRPr="00BD22FD">
              <w:t>SCADA</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0.6 </w:t>
            </w:r>
          </w:p>
        </w:tc>
        <w:tc>
          <w:tcPr>
            <w:tcW w:w="517"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0.5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0.7 </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0.7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0.7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3.2 </w:t>
            </w:r>
          </w:p>
        </w:tc>
      </w:tr>
      <w:tr w:rsidR="00BD22FD"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BD22FD" w:rsidRPr="00BD22FD" w:rsidRDefault="00BD22FD" w:rsidP="00BD22FD">
            <w:r w:rsidRPr="00BD22FD">
              <w:t>Meter renewal and upgrade</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24.1 </w:t>
            </w:r>
          </w:p>
        </w:tc>
        <w:tc>
          <w:tcPr>
            <w:tcW w:w="517"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26.3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26.8 </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25.2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22.2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124.5 </w:t>
            </w:r>
          </w:p>
        </w:tc>
      </w:tr>
      <w:tr w:rsidR="00BD22FD"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BD22FD" w:rsidRPr="00BD22FD" w:rsidRDefault="00BD22FD" w:rsidP="00BD22FD">
            <w:r w:rsidRPr="00BD22FD">
              <w:t>Government authority work</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0.4 </w:t>
            </w:r>
          </w:p>
        </w:tc>
        <w:tc>
          <w:tcPr>
            <w:tcW w:w="517"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0.4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0.4 </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0.4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0.4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1.8 </w:t>
            </w:r>
          </w:p>
        </w:tc>
      </w:tr>
      <w:tr w:rsidR="00BD22FD"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BD22FD" w:rsidRPr="00BD22FD" w:rsidRDefault="00BD22FD" w:rsidP="00BD22FD">
            <w:r w:rsidRPr="00BD22FD">
              <w:t>IT</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37.1 </w:t>
            </w:r>
          </w:p>
        </w:tc>
        <w:tc>
          <w:tcPr>
            <w:tcW w:w="517"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30.3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32.3 </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17.9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10.3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127.9 </w:t>
            </w:r>
          </w:p>
        </w:tc>
      </w:tr>
      <w:tr w:rsidR="00BD22FD"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BD22FD" w:rsidRPr="00BD22FD" w:rsidRDefault="00BD22FD" w:rsidP="00BD22FD">
            <w:r w:rsidRPr="00BD22FD">
              <w:t>Other - non-distribution</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7.3 </w:t>
            </w:r>
          </w:p>
        </w:tc>
        <w:tc>
          <w:tcPr>
            <w:tcW w:w="517"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3.3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4.0 </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7.4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4.7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26.7 </w:t>
            </w:r>
          </w:p>
        </w:tc>
      </w:tr>
      <w:tr w:rsidR="00BD22FD"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BD22FD" w:rsidRPr="00BD22FD" w:rsidRDefault="00BD22FD" w:rsidP="00BD22FD">
            <w:r w:rsidRPr="00BD22FD">
              <w:t>Overheads</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21.4 </w:t>
            </w:r>
          </w:p>
        </w:tc>
        <w:tc>
          <w:tcPr>
            <w:tcW w:w="517"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21.1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21.0 </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20.5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19.9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104.0 </w:t>
            </w:r>
          </w:p>
        </w:tc>
      </w:tr>
      <w:tr w:rsidR="00BD22FD"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BD22FD" w:rsidRPr="00BD22FD" w:rsidRDefault="00BD22FD" w:rsidP="00BD22FD">
            <w:r w:rsidRPr="00BD22FD">
              <w:t>GROSS TOTAL CAPITAL EXPENDITURE</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202.3 </w:t>
            </w:r>
          </w:p>
        </w:tc>
        <w:tc>
          <w:tcPr>
            <w:tcW w:w="517"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193.6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196.7 </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172.6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150.1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915.3 </w:t>
            </w:r>
          </w:p>
        </w:tc>
      </w:tr>
      <w:tr w:rsidR="0047287F"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BD22FD" w:rsidRPr="00BD22FD" w:rsidRDefault="00BD22FD" w:rsidP="00BD22FD">
            <w:r w:rsidRPr="00BD22FD">
              <w:t>Contributions</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5.6 </w:t>
            </w:r>
          </w:p>
        </w:tc>
        <w:tc>
          <w:tcPr>
            <w:tcW w:w="517"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4.5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4.1 </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4.1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4.1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22.4 </w:t>
            </w:r>
          </w:p>
        </w:tc>
      </w:tr>
      <w:tr w:rsidR="00BD22FD" w:rsidRPr="004F416F" w:rsidTr="009B0BC2">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tcPr>
          <w:p w:rsidR="00BD22FD" w:rsidRPr="00BD22FD" w:rsidRDefault="00BD22FD" w:rsidP="00BD22FD">
            <w:r>
              <w:t>Asset disposals</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0.1 </w:t>
            </w:r>
          </w:p>
        </w:tc>
        <w:tc>
          <w:tcPr>
            <w:tcW w:w="517"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0.1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0.1 </w:t>
            </w:r>
          </w:p>
        </w:tc>
        <w:tc>
          <w:tcPr>
            <w:tcW w:w="515"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0.3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0.2 </w:t>
            </w:r>
          </w:p>
        </w:tc>
        <w:tc>
          <w:tcPr>
            <w:tcW w:w="516" w:type="pct"/>
            <w:vAlign w:val="top"/>
          </w:tcPr>
          <w:p w:rsidR="00BD22FD" w:rsidRPr="00BD22FD" w:rsidRDefault="00BD22FD" w:rsidP="00BD22FD">
            <w:pPr>
              <w:pStyle w:val="AERtabletextright"/>
              <w:cnfStyle w:val="000000000000" w:firstRow="0" w:lastRow="0" w:firstColumn="0" w:lastColumn="0" w:oddVBand="0" w:evenVBand="0" w:oddHBand="0" w:evenHBand="0" w:firstRowFirstColumn="0" w:firstRowLastColumn="0" w:lastRowFirstColumn="0" w:lastRowLastColumn="0"/>
            </w:pPr>
            <w:r w:rsidRPr="00BD22FD">
              <w:t xml:space="preserve"> 0.8 </w:t>
            </w:r>
          </w:p>
        </w:tc>
      </w:tr>
      <w:tr w:rsidR="0047287F" w:rsidRPr="004F416F" w:rsidTr="009B0B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tcPr>
          <w:p w:rsidR="00BD22FD" w:rsidRPr="0047287F" w:rsidRDefault="00BD22FD" w:rsidP="00BD22FD">
            <w:pPr>
              <w:spacing w:before="0"/>
              <w:rPr>
                <w:rStyle w:val="AERsuperscript"/>
              </w:rPr>
            </w:pPr>
            <w:r w:rsidRPr="00BD22FD">
              <w:t>NET TOTAL CAPITAL EXPENDITURE</w:t>
            </w:r>
            <w:r w:rsidR="00CE2DD1">
              <w:rPr>
                <w:rStyle w:val="AERsuperscript"/>
              </w:rPr>
              <w:t>(b)</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196.6 </w:t>
            </w:r>
          </w:p>
        </w:tc>
        <w:tc>
          <w:tcPr>
            <w:tcW w:w="517"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189.0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192.4 </w:t>
            </w:r>
          </w:p>
        </w:tc>
        <w:tc>
          <w:tcPr>
            <w:tcW w:w="515"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168.2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145.9 </w:t>
            </w:r>
          </w:p>
        </w:tc>
        <w:tc>
          <w:tcPr>
            <w:tcW w:w="516" w:type="pct"/>
            <w:vAlign w:val="top"/>
          </w:tcPr>
          <w:p w:rsidR="00BD22FD" w:rsidRPr="00BD22FD" w:rsidRDefault="00BD22FD" w:rsidP="00BD22FD">
            <w:pPr>
              <w:pStyle w:val="AERtabletextright"/>
              <w:cnfStyle w:val="000000010000" w:firstRow="0" w:lastRow="0" w:firstColumn="0" w:lastColumn="0" w:oddVBand="0" w:evenVBand="0" w:oddHBand="0" w:evenHBand="1" w:firstRowFirstColumn="0" w:firstRowLastColumn="0" w:lastRowFirstColumn="0" w:lastRowLastColumn="0"/>
            </w:pPr>
            <w:r w:rsidRPr="00BD22FD">
              <w:t xml:space="preserve"> 892.1 </w:t>
            </w:r>
          </w:p>
        </w:tc>
      </w:tr>
    </w:tbl>
    <w:p w:rsidR="00800D85" w:rsidRPr="00800D85" w:rsidRDefault="00800D85" w:rsidP="00800D85">
      <w:pPr>
        <w:pStyle w:val="AERtablesource"/>
        <w:rPr>
          <w:rFonts w:eastAsia="Calibri"/>
        </w:rPr>
      </w:pPr>
      <w:r w:rsidRPr="00800D85">
        <w:rPr>
          <w:rFonts w:eastAsia="Calibri"/>
        </w:rPr>
        <w:t>Source:</w:t>
      </w:r>
      <w:r w:rsidRPr="00800D85">
        <w:rPr>
          <w:rFonts w:eastAsia="Calibri"/>
        </w:rPr>
        <w:tab/>
        <w:t xml:space="preserve">AER analysis, </w:t>
      </w:r>
      <w:r>
        <w:rPr>
          <w:rFonts w:eastAsia="Calibri"/>
        </w:rPr>
        <w:t>JGN</w:t>
      </w:r>
      <w:r w:rsidRPr="00800D85">
        <w:rPr>
          <w:rFonts w:eastAsia="Calibri"/>
        </w:rPr>
        <w:t>.</w:t>
      </w:r>
    </w:p>
    <w:p w:rsidR="00ED5C24" w:rsidRDefault="00800D85" w:rsidP="0047287F">
      <w:pPr>
        <w:pStyle w:val="AERtablesource"/>
      </w:pPr>
      <w:r w:rsidRPr="00800D85">
        <w:rPr>
          <w:rFonts w:eastAsia="Calibri"/>
        </w:rPr>
        <w:t>Note:</w:t>
      </w:r>
      <w:r w:rsidRPr="00800D85">
        <w:rPr>
          <w:rFonts w:eastAsia="Calibri"/>
        </w:rPr>
        <w:tab/>
        <w:t xml:space="preserve">(a) </w:t>
      </w:r>
      <w:r w:rsidRPr="00BE0C0C">
        <w:t>Excluding AER adjustment for material and labour escalation</w:t>
      </w:r>
      <w:r>
        <w:t>.</w:t>
      </w:r>
    </w:p>
    <w:p w:rsidR="00ED5C24" w:rsidRPr="00ED5C24" w:rsidRDefault="00ED5C24" w:rsidP="0047287F">
      <w:pPr>
        <w:pStyle w:val="AERtablesource"/>
      </w:pPr>
      <w:r>
        <w:tab/>
      </w:r>
      <w:r w:rsidR="0091715B">
        <w:t xml:space="preserve">(b) </w:t>
      </w:r>
      <w:r w:rsidR="00CE2DD1">
        <w:t>Totals do not add as JGN claimed confidentiality over mines subsidence and related party margin expenditure.</w:t>
      </w:r>
    </w:p>
    <w:p w:rsidR="00275734" w:rsidRPr="00275734" w:rsidRDefault="00933E63" w:rsidP="00275734">
      <w:pPr>
        <w:pStyle w:val="AERbodytext"/>
        <w:rPr>
          <w:rFonts w:eastAsia="Calibri"/>
        </w:rPr>
      </w:pPr>
      <w:r>
        <w:rPr>
          <w:rFonts w:eastAsia="Calibri"/>
        </w:rPr>
        <w:t>Our</w:t>
      </w:r>
      <w:r w:rsidR="00275734" w:rsidRPr="00275734">
        <w:rPr>
          <w:rFonts w:eastAsia="Calibri"/>
        </w:rPr>
        <w:t xml:space="preserve"> analysis of the capex driver categories is presented below.</w:t>
      </w:r>
    </w:p>
    <w:p w:rsidR="00275734" w:rsidRDefault="00275734" w:rsidP="00275734">
      <w:pPr>
        <w:pStyle w:val="HeadingBoldBlue"/>
      </w:pPr>
      <w:r w:rsidRPr="00275734">
        <w:t>Connections/Market expansion</w:t>
      </w:r>
    </w:p>
    <w:p w:rsidR="006A3F2D" w:rsidRPr="006A3F2D" w:rsidRDefault="00275734" w:rsidP="006A3F2D">
      <w:pPr>
        <w:pStyle w:val="AERbodytext"/>
      </w:pPr>
      <w:r w:rsidRPr="00275734">
        <w:t xml:space="preserve">Distribution businesses have a regulatory obligation to connect residential and commercial/industrial customers to the distribution network upon request. The capex associated with connecting customers </w:t>
      </w:r>
      <w:r w:rsidRPr="00275734">
        <w:lastRenderedPageBreak/>
        <w:t>to the distribution network generally includes the cost of new mains, gas service pipe from the main to the meter, and the meter.</w:t>
      </w:r>
      <w:r w:rsidR="006A3F2D" w:rsidRPr="006A3F2D">
        <w:t xml:space="preserve"> </w:t>
      </w:r>
      <w:r w:rsidR="006A3F2D">
        <w:t>A</w:t>
      </w:r>
      <w:r w:rsidR="006A3F2D" w:rsidRPr="006A3F2D">
        <w:t xml:space="preserve">s </w:t>
      </w:r>
      <w:r w:rsidR="006A3F2D">
        <w:t xml:space="preserve">connecting customers </w:t>
      </w:r>
      <w:r w:rsidR="006A3F2D" w:rsidRPr="006A3F2D">
        <w:t>is a regulatory obligation</w:t>
      </w:r>
      <w:r w:rsidR="006A3F2D">
        <w:t xml:space="preserve">, we consider </w:t>
      </w:r>
      <w:r w:rsidR="006A3F2D" w:rsidRPr="006A3F2D">
        <w:t>that connections expenditure is justified under r. 79(2)(c)(iii) of the NGR</w:t>
      </w:r>
      <w:r w:rsidR="006A3F2D">
        <w:t>.</w:t>
      </w:r>
    </w:p>
    <w:p w:rsidR="006A3F2D" w:rsidRDefault="00933E63" w:rsidP="00275734">
      <w:pPr>
        <w:pStyle w:val="AERbodytext"/>
      </w:pPr>
      <w:r>
        <w:t>We have</w:t>
      </w:r>
      <w:r w:rsidR="00E41C0F">
        <w:t xml:space="preserve"> included $</w:t>
      </w:r>
      <w:r w:rsidR="00716770">
        <w:t>292.1</w:t>
      </w:r>
      <w:r w:rsidR="00E41C0F">
        <w:t xml:space="preserve"> million ($2015, unescalated direct costs, excluding overheads) of connections</w:t>
      </w:r>
      <w:r w:rsidR="00E41C0F" w:rsidRPr="00F75FD3">
        <w:t xml:space="preserve"> </w:t>
      </w:r>
      <w:r w:rsidR="00E41C0F">
        <w:t xml:space="preserve">capex in its alternative capex estimate (see </w:t>
      </w:r>
      <w:r w:rsidR="00E41C0F">
        <w:fldChar w:fldCharType="begin"/>
      </w:r>
      <w:r w:rsidR="00E41C0F">
        <w:instrText xml:space="preserve"> REF  _Ref401047773 \* Lower \h </w:instrText>
      </w:r>
      <w:r w:rsidR="00E41C0F">
        <w:fldChar w:fldCharType="separate"/>
      </w:r>
      <w:r w:rsidR="0029475D">
        <w:t xml:space="preserve">table </w:t>
      </w:r>
      <w:r w:rsidR="0029475D">
        <w:rPr>
          <w:noProof/>
        </w:rPr>
        <w:t>6</w:t>
      </w:r>
      <w:r w:rsidR="0029475D">
        <w:noBreakHyphen/>
      </w:r>
      <w:r w:rsidR="0029475D">
        <w:rPr>
          <w:noProof/>
        </w:rPr>
        <w:t>11</w:t>
      </w:r>
      <w:r w:rsidR="00E41C0F">
        <w:fldChar w:fldCharType="end"/>
      </w:r>
      <w:r w:rsidR="00E41C0F">
        <w:t>).</w:t>
      </w:r>
      <w:r w:rsidR="00E768D1">
        <w:t xml:space="preserve"> This is lower than JGN's forecast expenditure</w:t>
      </w:r>
      <w:r w:rsidR="006A3F2D">
        <w:t xml:space="preserve"> of </w:t>
      </w:r>
      <w:r w:rsidR="006A3F2D" w:rsidRPr="006A3F2D">
        <w:t>$356.6 million ($2015, unescalated direct costs, excluding overheads)</w:t>
      </w:r>
      <w:r w:rsidR="006A3F2D">
        <w:t>.</w:t>
      </w:r>
      <w:r w:rsidR="006A3F2D" w:rsidRPr="006A3F2D">
        <w:rPr>
          <w:rStyle w:val="FootnoteReference"/>
        </w:rPr>
        <w:t xml:space="preserve"> </w:t>
      </w:r>
      <w:r w:rsidR="006A3F2D" w:rsidRPr="006A3F2D">
        <w:rPr>
          <w:rStyle w:val="FootnoteReference"/>
        </w:rPr>
        <w:footnoteReference w:id="33"/>
      </w:r>
      <w:r w:rsidR="00E768D1">
        <w:t xml:space="preserve"> </w:t>
      </w:r>
      <w:r w:rsidR="006A3F2D">
        <w:t xml:space="preserve">Our reduction of around </w:t>
      </w:r>
      <w:r w:rsidR="00C629A3">
        <w:t>18</w:t>
      </w:r>
      <w:r w:rsidR="006A3F2D">
        <w:t xml:space="preserve"> per cent is driven by a change in the </w:t>
      </w:r>
      <w:r w:rsidR="00DD714D">
        <w:t>number</w:t>
      </w:r>
      <w:r w:rsidR="006A3F2D">
        <w:t xml:space="preserve"> of </w:t>
      </w:r>
      <w:r w:rsidR="00DD714D">
        <w:t xml:space="preserve">new </w:t>
      </w:r>
      <w:r w:rsidR="006A3F2D">
        <w:t xml:space="preserve">connections likely to be required and a change in the costs per connection. The </w:t>
      </w:r>
      <w:r w:rsidR="00DD714D">
        <w:t>number</w:t>
      </w:r>
      <w:r w:rsidR="006A3F2D">
        <w:t xml:space="preserve"> of </w:t>
      </w:r>
      <w:r w:rsidR="00DD714D">
        <w:t xml:space="preserve">new </w:t>
      </w:r>
      <w:r w:rsidR="006A3F2D">
        <w:t>connections is discussed in</w:t>
      </w:r>
      <w:r w:rsidR="006E7442">
        <w:t xml:space="preserve"> the next </w:t>
      </w:r>
      <w:r w:rsidR="006A3F2D">
        <w:t>section</w:t>
      </w:r>
      <w:r w:rsidR="006E7442">
        <w:t>.</w:t>
      </w:r>
    </w:p>
    <w:p w:rsidR="006E7442" w:rsidRPr="006E7442" w:rsidRDefault="006E7442" w:rsidP="006E7442">
      <w:pPr>
        <w:pStyle w:val="AERbodytext"/>
      </w:pPr>
      <w:r w:rsidRPr="006E7442">
        <w:t>JGN attributes the increase in proposed expenditure to an increase in the number of new connections, particularly in new estates and medium/high density premises, and an increase in the unit rates. JGN submits that the increase in unit rates is due to the new contractual arrangements and real cost escalation.</w:t>
      </w:r>
      <w:r w:rsidRPr="006E7442">
        <w:rPr>
          <w:rStyle w:val="FootnoteReference"/>
        </w:rPr>
        <w:footnoteReference w:id="34"/>
      </w:r>
    </w:p>
    <w:p w:rsidR="006E7442" w:rsidRDefault="006E7442" w:rsidP="006E7442">
      <w:pPr>
        <w:pStyle w:val="AERbodytext"/>
      </w:pPr>
      <w:r w:rsidRPr="006E7442">
        <w:t xml:space="preserve">JGN calculated the total capital expenditure for connections by determining the unit costs for mains, services, meters and associated equipment components and the forecast number of new connections for each segment of Tariff V class customers. The four Tariff V segments include electricity to gas conversions, new estates, medium density/high rise residential developments and industrial and commercial connections. </w:t>
      </w:r>
    </w:p>
    <w:p w:rsidR="006A3F2D" w:rsidRDefault="006E7442" w:rsidP="00275734">
      <w:pPr>
        <w:pStyle w:val="AERbodytext"/>
      </w:pPr>
      <w:r>
        <w:t>While w</w:t>
      </w:r>
      <w:r w:rsidRPr="006E7442">
        <w:t>e agree with this forecasting approach</w:t>
      </w:r>
      <w:r>
        <w:t>, w</w:t>
      </w:r>
      <w:r w:rsidR="006A3F2D">
        <w:t xml:space="preserve">e do not consider that JGN's unit rate composition used in determining the cost per connection </w:t>
      </w:r>
      <w:r w:rsidR="00E768D1">
        <w:t>is arrived at on a reasonable basis and is the best estimate in the circumstances.</w:t>
      </w:r>
      <w:r w:rsidR="00E768D1">
        <w:rPr>
          <w:rStyle w:val="FootnoteReference"/>
        </w:rPr>
        <w:footnoteReference w:id="35"/>
      </w:r>
      <w:r w:rsidR="00E768D1">
        <w:t xml:space="preserve"> This is because we assess that JGN's </w:t>
      </w:r>
      <w:r w:rsidR="00AA3554">
        <w:t>unit rates composition is based on one year of data instead of an average over a number of years</w:t>
      </w:r>
      <w:r w:rsidR="00E768D1">
        <w:t>.</w:t>
      </w:r>
      <w:r w:rsidR="00AA3554">
        <w:t xml:space="preserve"> </w:t>
      </w:r>
      <w:r w:rsidR="001B49C3">
        <w:t>As there can be significant differences in regional composition, material types and lay methods between years, w</w:t>
      </w:r>
      <w:r w:rsidR="006A3F2D">
        <w:t xml:space="preserve">e consider that to have confidence that the costs underlying a forecast are efficient, </w:t>
      </w:r>
      <w:r w:rsidR="00AA3554">
        <w:t>at least three years of data is required.</w:t>
      </w:r>
      <w:r>
        <w:t xml:space="preserve"> </w:t>
      </w:r>
    </w:p>
    <w:p w:rsidR="00E41C0F" w:rsidRDefault="006A3F2D" w:rsidP="00275734">
      <w:pPr>
        <w:pStyle w:val="AERbodytext"/>
      </w:pPr>
      <w:r>
        <w:t xml:space="preserve">In addition, we </w:t>
      </w:r>
      <w:r w:rsidR="001D320E">
        <w:t xml:space="preserve">are not satisfied </w:t>
      </w:r>
      <w:r>
        <w:t xml:space="preserve">that </w:t>
      </w:r>
      <w:r w:rsidR="00DF52C2">
        <w:t xml:space="preserve">JGN </w:t>
      </w:r>
      <w:r>
        <w:t xml:space="preserve">had adequately justified </w:t>
      </w:r>
      <w:r w:rsidR="00C70B59">
        <w:t>increases in the metres of mains/connection for medium density/high rise connections and I&amp;C tariff connections</w:t>
      </w:r>
      <w:r w:rsidR="001B49C3">
        <w:t>. This is discussed in more detail below.</w:t>
      </w:r>
    </w:p>
    <w:p w:rsidR="00275734" w:rsidRDefault="00FA716F" w:rsidP="00B80580">
      <w:pPr>
        <w:pStyle w:val="AERbodytext"/>
      </w:pPr>
      <w:r>
        <w:t>JGN</w:t>
      </w:r>
      <w:r w:rsidR="00B80580">
        <w:t xml:space="preserve"> proposed </w:t>
      </w:r>
      <w:r w:rsidR="00E41C0F">
        <w:t>forecasting</w:t>
      </w:r>
      <w:r w:rsidR="00B80580">
        <w:t xml:space="preserve"> Tariff D</w:t>
      </w:r>
      <w:r w:rsidR="00E41C0F">
        <w:t xml:space="preserve"> connections expenditure at a total expenditure level rather than applying a unit rate and volume approach</w:t>
      </w:r>
      <w:r w:rsidR="00B80580">
        <w:t xml:space="preserve">. </w:t>
      </w:r>
      <w:r w:rsidR="00B80580" w:rsidRPr="00A47A17">
        <w:t xml:space="preserve">For </w:t>
      </w:r>
      <w:r w:rsidR="00B80580">
        <w:t>Tariff D</w:t>
      </w:r>
      <w:r w:rsidR="00B80580" w:rsidRPr="00A47A17">
        <w:t xml:space="preserve"> customers</w:t>
      </w:r>
      <w:r w:rsidR="00B80580">
        <w:t xml:space="preserve"> </w:t>
      </w:r>
      <w:r w:rsidR="00B80580" w:rsidRPr="00A47A17">
        <w:t>expenditure</w:t>
      </w:r>
      <w:r w:rsidR="00B80580">
        <w:t xml:space="preserve"> tends to be lumpy in nature</w:t>
      </w:r>
      <w:r w:rsidR="00B80580" w:rsidRPr="00A47A17">
        <w:t xml:space="preserve"> due to the </w:t>
      </w:r>
      <w:r w:rsidR="00E41C0F">
        <w:t xml:space="preserve">heterogeneity in </w:t>
      </w:r>
      <w:r w:rsidR="00B80580">
        <w:t xml:space="preserve">customer </w:t>
      </w:r>
      <w:r w:rsidR="00B80580" w:rsidRPr="00A47A17">
        <w:t xml:space="preserve">size and </w:t>
      </w:r>
      <w:r w:rsidR="00E41C0F">
        <w:t xml:space="preserve">the volatility in the </w:t>
      </w:r>
      <w:r w:rsidR="00B80580" w:rsidRPr="00A47A17">
        <w:t>number of the connections</w:t>
      </w:r>
      <w:r w:rsidR="00B80580">
        <w:t>.</w:t>
      </w:r>
      <w:r w:rsidR="00B80580" w:rsidRPr="00A47A17">
        <w:t xml:space="preserve"> </w:t>
      </w:r>
      <w:r w:rsidR="006E7442">
        <w:t>We</w:t>
      </w:r>
      <w:r w:rsidR="00B80580">
        <w:t xml:space="preserve"> consider an assessment of </w:t>
      </w:r>
      <w:r w:rsidR="00B80580" w:rsidRPr="00A47A17">
        <w:t>total expenditure</w:t>
      </w:r>
      <w:r w:rsidR="00B80580">
        <w:t xml:space="preserve"> rather</w:t>
      </w:r>
      <w:r w:rsidR="00B80580" w:rsidRPr="00A47A17">
        <w:t xml:space="preserve"> than a unit rate and volume assessment</w:t>
      </w:r>
      <w:r w:rsidR="00B80580">
        <w:t xml:space="preserve"> is a </w:t>
      </w:r>
      <w:r w:rsidR="00E41C0F">
        <w:t>reasonable forecasting</w:t>
      </w:r>
      <w:r w:rsidR="00B80580">
        <w:t xml:space="preserve"> approach to assessing proposed </w:t>
      </w:r>
      <w:r w:rsidR="00E41C0F">
        <w:t xml:space="preserve">Tariff D connections </w:t>
      </w:r>
      <w:r w:rsidR="00B80580">
        <w:t>capex.</w:t>
      </w:r>
    </w:p>
    <w:p w:rsidR="00BC55C0" w:rsidRDefault="00BC55C0" w:rsidP="00B80580">
      <w:pPr>
        <w:pStyle w:val="AERbodytext"/>
      </w:pPr>
      <w:r>
        <w:t xml:space="preserve">Set out below are the elements of </w:t>
      </w:r>
      <w:r w:rsidR="00DF2134">
        <w:t>our assessment of the</w:t>
      </w:r>
      <w:r>
        <w:t xml:space="preserve"> connections expenditure forecast.</w:t>
      </w:r>
    </w:p>
    <w:p w:rsidR="00CA5DDC" w:rsidRPr="00CA5DDC" w:rsidRDefault="00CA5DDC" w:rsidP="00CA5DDC">
      <w:pPr>
        <w:pStyle w:val="HeadingOrange"/>
        <w:rPr>
          <w:rStyle w:val="AERtextblue"/>
        </w:rPr>
      </w:pPr>
      <w:r w:rsidRPr="00CA5DDC">
        <w:rPr>
          <w:rStyle w:val="AERtextblue"/>
        </w:rPr>
        <w:t>Tariff V or volume connection</w:t>
      </w:r>
      <w:r w:rsidR="004D07A1">
        <w:rPr>
          <w:rStyle w:val="AERtextblue"/>
        </w:rPr>
        <w:t>s expenditure</w:t>
      </w:r>
    </w:p>
    <w:p w:rsidR="00A73B8C" w:rsidRDefault="00A73B8C" w:rsidP="00A73B8C">
      <w:pPr>
        <w:pStyle w:val="AERbodytext"/>
      </w:pPr>
      <w:r w:rsidRPr="00A73B8C">
        <w:t>Tariff V class customer connections are residential and commercial/industrial customers who consume less than 10 TJ/year</w:t>
      </w:r>
      <w:r w:rsidR="00386A1D">
        <w:t xml:space="preserve"> (see</w:t>
      </w:r>
      <w:r w:rsidR="008D60EC">
        <w:t xml:space="preserve"> </w:t>
      </w:r>
      <w:r w:rsidR="008D60EC">
        <w:fldChar w:fldCharType="begin"/>
      </w:r>
      <w:r w:rsidR="008D60EC">
        <w:instrText xml:space="preserve"> REF _Ref401509609 \h </w:instrText>
      </w:r>
      <w:r w:rsidR="008D60EC">
        <w:fldChar w:fldCharType="separate"/>
      </w:r>
      <w:r w:rsidR="0029475D">
        <w:t xml:space="preserve">Table </w:t>
      </w:r>
      <w:r w:rsidR="0029475D">
        <w:rPr>
          <w:noProof/>
        </w:rPr>
        <w:t>6</w:t>
      </w:r>
      <w:r w:rsidR="0029475D">
        <w:noBreakHyphen/>
      </w:r>
      <w:r w:rsidR="0029475D">
        <w:rPr>
          <w:noProof/>
        </w:rPr>
        <w:t>8</w:t>
      </w:r>
      <w:r w:rsidR="008D60EC">
        <w:fldChar w:fldCharType="end"/>
      </w:r>
      <w:r w:rsidR="00386A1D">
        <w:t>)</w:t>
      </w:r>
      <w:r w:rsidRPr="00A73B8C">
        <w:t xml:space="preserve">. Residential and commercial/industrial customers are </w:t>
      </w:r>
      <w:r w:rsidRPr="00A73B8C">
        <w:lastRenderedPageBreak/>
        <w:t>considered separately because there are different input requirements, especially in relation to services and meters.</w:t>
      </w:r>
    </w:p>
    <w:p w:rsidR="00BC55C0" w:rsidRDefault="00BC55C0" w:rsidP="00BC55C0">
      <w:pPr>
        <w:pStyle w:val="Caption"/>
      </w:pPr>
      <w:bookmarkStart w:id="43" w:name="_Ref401509609"/>
      <w:r>
        <w:t xml:space="preserve">Table </w:t>
      </w:r>
      <w:fldSimple w:instr=" STYLEREF 1 \s ">
        <w:r w:rsidR="0029475D">
          <w:rPr>
            <w:noProof/>
          </w:rPr>
          <w:t>6</w:t>
        </w:r>
      </w:fldSimple>
      <w:r w:rsidR="009F7369">
        <w:noBreakHyphen/>
      </w:r>
      <w:fldSimple w:instr=" SEQ Table \* ARABIC \s 1 ">
        <w:r w:rsidR="0029475D">
          <w:rPr>
            <w:noProof/>
          </w:rPr>
          <w:t>8</w:t>
        </w:r>
      </w:fldSimple>
      <w:bookmarkEnd w:id="43"/>
      <w:r>
        <w:tab/>
        <w:t>Tariff V connection types</w:t>
      </w:r>
    </w:p>
    <w:tbl>
      <w:tblPr>
        <w:tblStyle w:val="AERtable-text"/>
        <w:tblW w:w="0" w:type="auto"/>
        <w:tblLook w:val="04A0" w:firstRow="1" w:lastRow="0" w:firstColumn="1" w:lastColumn="0" w:noHBand="0" w:noVBand="1"/>
      </w:tblPr>
      <w:tblGrid>
        <w:gridCol w:w="1668"/>
        <w:gridCol w:w="2126"/>
        <w:gridCol w:w="5448"/>
      </w:tblGrid>
      <w:tr w:rsidR="00BC55C0" w:rsidTr="009B18B5">
        <w:trPr>
          <w:cnfStyle w:val="100000000000" w:firstRow="1" w:lastRow="0" w:firstColumn="0" w:lastColumn="0" w:oddVBand="0" w:evenVBand="0" w:oddHBand="0" w:evenHBand="0" w:firstRowFirstColumn="0" w:firstRowLastColumn="0" w:lastRowFirstColumn="0" w:lastRowLastColumn="0"/>
        </w:trPr>
        <w:tc>
          <w:tcPr>
            <w:tcW w:w="1668" w:type="dxa"/>
          </w:tcPr>
          <w:p w:rsidR="00BC55C0" w:rsidRDefault="00BC55C0" w:rsidP="00A73B8C">
            <w:pPr>
              <w:pStyle w:val="AERbodytext"/>
            </w:pPr>
            <w:r>
              <w:t>Connection type</w:t>
            </w:r>
          </w:p>
        </w:tc>
        <w:tc>
          <w:tcPr>
            <w:tcW w:w="2126" w:type="dxa"/>
          </w:tcPr>
          <w:p w:rsidR="00BC55C0" w:rsidRDefault="00BC55C0" w:rsidP="00A73B8C">
            <w:pPr>
              <w:pStyle w:val="AERbodytext"/>
            </w:pPr>
          </w:p>
        </w:tc>
        <w:tc>
          <w:tcPr>
            <w:tcW w:w="5448" w:type="dxa"/>
          </w:tcPr>
          <w:p w:rsidR="00BC55C0" w:rsidRDefault="00BC55C0" w:rsidP="00A73B8C">
            <w:pPr>
              <w:pStyle w:val="AERbodytext"/>
            </w:pPr>
            <w:r>
              <w:t>Description</w:t>
            </w:r>
          </w:p>
        </w:tc>
      </w:tr>
      <w:tr w:rsidR="00BC55C0" w:rsidTr="009B18B5">
        <w:tc>
          <w:tcPr>
            <w:tcW w:w="1668" w:type="dxa"/>
          </w:tcPr>
          <w:p w:rsidR="00BC55C0" w:rsidRPr="00BC55C0" w:rsidRDefault="00BC55C0" w:rsidP="00A73B8C">
            <w:pPr>
              <w:pStyle w:val="AERbodytext"/>
              <w:rPr>
                <w:rStyle w:val="AERtextbold"/>
              </w:rPr>
            </w:pPr>
            <w:r w:rsidRPr="00BC55C0">
              <w:rPr>
                <w:rStyle w:val="AERtextbold"/>
              </w:rPr>
              <w:t>Residential</w:t>
            </w:r>
          </w:p>
        </w:tc>
        <w:tc>
          <w:tcPr>
            <w:tcW w:w="2126" w:type="dxa"/>
          </w:tcPr>
          <w:p w:rsidR="00BC55C0" w:rsidRDefault="00BC55C0" w:rsidP="00BC55C0">
            <w:pPr>
              <w:pStyle w:val="AERbodytext"/>
            </w:pPr>
            <w:r>
              <w:t>Electricity-to-gas (E to G)</w:t>
            </w:r>
          </w:p>
        </w:tc>
        <w:tc>
          <w:tcPr>
            <w:tcW w:w="5448" w:type="dxa"/>
          </w:tcPr>
          <w:p w:rsidR="00BC55C0" w:rsidRDefault="00BC55C0" w:rsidP="00BC55C0">
            <w:pPr>
              <w:pStyle w:val="AERbodytext"/>
            </w:pPr>
            <w:r w:rsidRPr="00BC55C0">
              <w:t>Customers currently not using gas, generally converting from electricity and/or LPG.</w:t>
            </w:r>
            <w:r>
              <w:t xml:space="preserve"> </w:t>
            </w:r>
            <w:r w:rsidRPr="00BC55C0">
              <w:t>May be on the line-of-main or may require a short main extension.</w:t>
            </w:r>
          </w:p>
        </w:tc>
      </w:tr>
      <w:tr w:rsidR="00BC55C0" w:rsidTr="009B18B5">
        <w:trPr>
          <w:cnfStyle w:val="000000010000" w:firstRow="0" w:lastRow="0" w:firstColumn="0" w:lastColumn="0" w:oddVBand="0" w:evenVBand="0" w:oddHBand="0" w:evenHBand="1" w:firstRowFirstColumn="0" w:firstRowLastColumn="0" w:lastRowFirstColumn="0" w:lastRowLastColumn="0"/>
        </w:trPr>
        <w:tc>
          <w:tcPr>
            <w:tcW w:w="1668" w:type="dxa"/>
          </w:tcPr>
          <w:p w:rsidR="00BC55C0" w:rsidRDefault="00BC55C0" w:rsidP="00BC55C0">
            <w:pPr>
              <w:pStyle w:val="AERbodytext"/>
            </w:pPr>
          </w:p>
        </w:tc>
        <w:tc>
          <w:tcPr>
            <w:tcW w:w="2126" w:type="dxa"/>
            <w:vAlign w:val="top"/>
          </w:tcPr>
          <w:p w:rsidR="00BC55C0" w:rsidRPr="00BC55C0" w:rsidRDefault="00BC55C0">
            <w:r>
              <w:t>N</w:t>
            </w:r>
            <w:r w:rsidRPr="00BC55C0">
              <w:t xml:space="preserve">ew estates </w:t>
            </w:r>
          </w:p>
        </w:tc>
        <w:tc>
          <w:tcPr>
            <w:tcW w:w="5448" w:type="dxa"/>
            <w:vAlign w:val="top"/>
          </w:tcPr>
          <w:p w:rsidR="00BC55C0" w:rsidRPr="00BC55C0" w:rsidRDefault="00BC55C0" w:rsidP="00BC55C0">
            <w:r w:rsidRPr="00BC55C0">
              <w:t xml:space="preserve">Customers connected in new estate developments. Typically these are constructed in parallel with other services in the estate development with the benefits of greenfield construction and shared trenching. </w:t>
            </w:r>
          </w:p>
        </w:tc>
      </w:tr>
      <w:tr w:rsidR="000D250E" w:rsidTr="009B18B5">
        <w:tc>
          <w:tcPr>
            <w:tcW w:w="1668" w:type="dxa"/>
          </w:tcPr>
          <w:p w:rsidR="000D250E" w:rsidRDefault="000D250E" w:rsidP="000D250E">
            <w:pPr>
              <w:pStyle w:val="AERbodytext"/>
            </w:pPr>
          </w:p>
        </w:tc>
        <w:tc>
          <w:tcPr>
            <w:tcW w:w="2126" w:type="dxa"/>
            <w:vAlign w:val="top"/>
          </w:tcPr>
          <w:p w:rsidR="000D250E" w:rsidRPr="000D250E" w:rsidRDefault="000D250E">
            <w:r>
              <w:t>M</w:t>
            </w:r>
            <w:r w:rsidRPr="000D250E">
              <w:t xml:space="preserve">edium/high density </w:t>
            </w:r>
          </w:p>
        </w:tc>
        <w:tc>
          <w:tcPr>
            <w:tcW w:w="5448" w:type="dxa"/>
            <w:vAlign w:val="top"/>
          </w:tcPr>
          <w:p w:rsidR="000D250E" w:rsidRPr="000D250E" w:rsidRDefault="000D250E" w:rsidP="000D250E">
            <w:r w:rsidRPr="000D250E">
              <w:t xml:space="preserve">Customers in medium/high density apartments. These usually involve gas for cooking and hot water using a centralised hot water system, and may include heating. This involves a service to the apartments and provision of a hot water meter and gas meter for each residence. </w:t>
            </w:r>
          </w:p>
        </w:tc>
      </w:tr>
      <w:tr w:rsidR="000D250E" w:rsidTr="009B18B5">
        <w:trPr>
          <w:cnfStyle w:val="000000010000" w:firstRow="0" w:lastRow="0" w:firstColumn="0" w:lastColumn="0" w:oddVBand="0" w:evenVBand="0" w:oddHBand="0" w:evenHBand="1" w:firstRowFirstColumn="0" w:firstRowLastColumn="0" w:lastRowFirstColumn="0" w:lastRowLastColumn="0"/>
        </w:trPr>
        <w:tc>
          <w:tcPr>
            <w:tcW w:w="1668" w:type="dxa"/>
          </w:tcPr>
          <w:p w:rsidR="000D250E" w:rsidRPr="009B18B5" w:rsidRDefault="000D250E" w:rsidP="000D250E">
            <w:pPr>
              <w:pStyle w:val="AERbodytext"/>
              <w:numPr>
                <w:ilvl w:val="0"/>
                <w:numId w:val="0"/>
              </w:numPr>
              <w:rPr>
                <w:rStyle w:val="AERtextbold"/>
              </w:rPr>
            </w:pPr>
            <w:r w:rsidRPr="009B18B5">
              <w:rPr>
                <w:rStyle w:val="AERtextbold"/>
              </w:rPr>
              <w:t>Industrial and commercial (I&amp;C)</w:t>
            </w:r>
          </w:p>
        </w:tc>
        <w:tc>
          <w:tcPr>
            <w:tcW w:w="2126" w:type="dxa"/>
            <w:vAlign w:val="top"/>
          </w:tcPr>
          <w:p w:rsidR="000D250E" w:rsidRPr="000D250E" w:rsidRDefault="000D250E" w:rsidP="000D250E">
            <w:r>
              <w:t>V</w:t>
            </w:r>
            <w:r w:rsidRPr="000D250E">
              <w:t xml:space="preserve">olume market  </w:t>
            </w:r>
          </w:p>
        </w:tc>
        <w:tc>
          <w:tcPr>
            <w:tcW w:w="5448" w:type="dxa"/>
            <w:vAlign w:val="top"/>
          </w:tcPr>
          <w:p w:rsidR="000D250E" w:rsidRPr="000D250E" w:rsidRDefault="000D250E" w:rsidP="000D250E">
            <w:r>
              <w:t>This includes s</w:t>
            </w:r>
            <w:r w:rsidRPr="000D250E">
              <w:t xml:space="preserve">mall business customers that use ~250 GJ p.a. </w:t>
            </w:r>
            <w:r>
              <w:t>and i</w:t>
            </w:r>
            <w:r w:rsidRPr="000D250E">
              <w:t>ndustrial and commercial (I&amp;C) – volume market</w:t>
            </w:r>
            <w:r>
              <w:t xml:space="preserve"> customers.</w:t>
            </w:r>
          </w:p>
        </w:tc>
      </w:tr>
    </w:tbl>
    <w:p w:rsidR="00BC55C0" w:rsidRDefault="00BC55C0" w:rsidP="00BC55C0">
      <w:pPr>
        <w:pStyle w:val="AERtablesource"/>
      </w:pPr>
      <w:r>
        <w:t xml:space="preserve">Source: </w:t>
      </w:r>
      <w:r>
        <w:tab/>
        <w:t xml:space="preserve">JGN, </w:t>
      </w:r>
      <w:r w:rsidRPr="00DD4387">
        <w:rPr>
          <w:rStyle w:val="AERtextitalic"/>
        </w:rPr>
        <w:t>2015-20 Access Arrangement Information – Public</w:t>
      </w:r>
      <w:r>
        <w:t xml:space="preserve">, </w:t>
      </w:r>
      <w:r w:rsidRPr="00DD4387">
        <w:t>30 June 2014</w:t>
      </w:r>
      <w:r>
        <w:t xml:space="preserve">, Appendix 6.7, </w:t>
      </w:r>
      <w:r w:rsidR="007533E2">
        <w:t>Table 4-2, pp.13–</w:t>
      </w:r>
      <w:r>
        <w:t>14.</w:t>
      </w:r>
    </w:p>
    <w:p w:rsidR="00471E3D" w:rsidRDefault="00DF2134" w:rsidP="00CA5DDC">
      <w:pPr>
        <w:pStyle w:val="AERbodytext"/>
      </w:pPr>
      <w:r>
        <w:t>Tariff V connections expenditure is calculated by deriving volume and unit rate forecasts.</w:t>
      </w:r>
    </w:p>
    <w:p w:rsidR="00CA5DDC" w:rsidRPr="00CA5DDC" w:rsidRDefault="00CA5DDC" w:rsidP="00CA5DDC">
      <w:pPr>
        <w:pStyle w:val="HeadingOrange"/>
        <w:rPr>
          <w:rStyle w:val="AERtextorange"/>
        </w:rPr>
      </w:pPr>
      <w:r w:rsidRPr="00CA5DDC">
        <w:rPr>
          <w:rStyle w:val="AERtextorange"/>
        </w:rPr>
        <w:t>Volumes</w:t>
      </w:r>
    </w:p>
    <w:p w:rsidR="002C327D" w:rsidRDefault="00CA5DDC" w:rsidP="00CA5DDC">
      <w:pPr>
        <w:pStyle w:val="AERbodytext"/>
      </w:pPr>
      <w:r>
        <w:t>JGN</w:t>
      </w:r>
      <w:r w:rsidR="009D6499">
        <w:t>'s</w:t>
      </w:r>
      <w:r>
        <w:t xml:space="preserve"> </w:t>
      </w:r>
      <w:r w:rsidR="00DF2134">
        <w:t>f</w:t>
      </w:r>
      <w:r w:rsidRPr="008419F1">
        <w:t xml:space="preserve">orecast </w:t>
      </w:r>
      <w:r w:rsidR="00DF2134">
        <w:t xml:space="preserve">volume of </w:t>
      </w:r>
      <w:r w:rsidRPr="008419F1">
        <w:t xml:space="preserve">new connections </w:t>
      </w:r>
      <w:r w:rsidR="002C327D">
        <w:t>is deriv</w:t>
      </w:r>
      <w:r w:rsidRPr="008419F1">
        <w:t xml:space="preserve">ed </w:t>
      </w:r>
      <w:r w:rsidR="002C327D">
        <w:t>from:</w:t>
      </w:r>
      <w:r w:rsidR="002C327D">
        <w:rPr>
          <w:rStyle w:val="FootnoteReference"/>
        </w:rPr>
        <w:footnoteReference w:id="36"/>
      </w:r>
    </w:p>
    <w:p w:rsidR="002C327D" w:rsidRDefault="00CA5DDC" w:rsidP="002C327D">
      <w:pPr>
        <w:pStyle w:val="AERbulletlistfirststyle"/>
      </w:pPr>
      <w:r w:rsidRPr="008419F1">
        <w:t xml:space="preserve">Core Energy’s forecast </w:t>
      </w:r>
      <w:r w:rsidR="002C327D">
        <w:t>of</w:t>
      </w:r>
      <w:r w:rsidRPr="008419F1">
        <w:t xml:space="preserve"> demand and connection</w:t>
      </w:r>
      <w:r w:rsidR="002C327D">
        <w:t xml:space="preserve">s, plus </w:t>
      </w:r>
      <w:r w:rsidRPr="008419F1">
        <w:t xml:space="preserve"> </w:t>
      </w:r>
    </w:p>
    <w:p w:rsidR="00CA5DDC" w:rsidRDefault="008349A0" w:rsidP="002C327D">
      <w:pPr>
        <w:pStyle w:val="AERbulletlistfirststyle"/>
      </w:pPr>
      <w:r>
        <w:t>c</w:t>
      </w:r>
      <w:r w:rsidR="002C327D">
        <w:t xml:space="preserve">onnections which JGN </w:t>
      </w:r>
      <w:r w:rsidR="00CA5DDC" w:rsidRPr="008419F1">
        <w:t xml:space="preserve">forecast </w:t>
      </w:r>
      <w:r>
        <w:t>to</w:t>
      </w:r>
      <w:r w:rsidR="002C327D">
        <w:t xml:space="preserve"> result </w:t>
      </w:r>
      <w:r>
        <w:t xml:space="preserve">from </w:t>
      </w:r>
      <w:r w:rsidR="00CA5DDC" w:rsidRPr="008419F1">
        <w:t xml:space="preserve">a step change in marketing expenditure </w:t>
      </w:r>
      <w:r>
        <w:t xml:space="preserve">(see </w:t>
      </w:r>
      <w:r w:rsidR="00AB5817">
        <w:t>attachment 7 of this draft decision</w:t>
      </w:r>
      <w:r w:rsidR="00963C2F">
        <w:t xml:space="preserve"> (opex)</w:t>
      </w:r>
      <w:r>
        <w:t>).</w:t>
      </w:r>
    </w:p>
    <w:p w:rsidR="00CA5DDC" w:rsidRDefault="007364AF" w:rsidP="00CA5DDC">
      <w:pPr>
        <w:pStyle w:val="AERbodytext"/>
      </w:pPr>
      <w:r>
        <w:t xml:space="preserve">Core Energy has forecast a 20 per cent </w:t>
      </w:r>
      <w:r w:rsidR="00CA5DDC" w:rsidRPr="007457E1">
        <w:t xml:space="preserve">increase in new estate and </w:t>
      </w:r>
      <w:r>
        <w:t xml:space="preserve">a 22 per cent increase in </w:t>
      </w:r>
      <w:r w:rsidR="00CA5DDC" w:rsidRPr="007457E1">
        <w:t xml:space="preserve">medium density </w:t>
      </w:r>
      <w:r>
        <w:t>connections. This is based on projected</w:t>
      </w:r>
      <w:r w:rsidR="00CA5DDC" w:rsidRPr="007457E1">
        <w:t xml:space="preserve"> increases in the number of new dwellings forecast to be constructed in NSW</w:t>
      </w:r>
      <w:r w:rsidR="009D6499">
        <w:t>, In turn, this is based on</w:t>
      </w:r>
      <w:r w:rsidR="00CA5DDC" w:rsidRPr="007457E1">
        <w:t xml:space="preserve"> expected land release</w:t>
      </w:r>
      <w:r w:rsidR="00B02D47">
        <w:t>s</w:t>
      </w:r>
      <w:r w:rsidR="00CA5DDC" w:rsidRPr="007457E1">
        <w:t xml:space="preserve"> and increases in house prices providing an economic environment that stimulates new estate development.</w:t>
      </w:r>
      <w:r w:rsidR="00C97BCC">
        <w:t xml:space="preserve"> Core Energy has also forecast increases in s</w:t>
      </w:r>
      <w:r w:rsidR="00CA5DDC" w:rsidRPr="007457E1">
        <w:t>mall industrial and commercial connections</w:t>
      </w:r>
      <w:r w:rsidR="00C97BCC">
        <w:t>, based on</w:t>
      </w:r>
      <w:r w:rsidR="00CA5DDC" w:rsidRPr="007457E1">
        <w:t xml:space="preserve"> historical annual growth of approximately five per cent</w:t>
      </w:r>
      <w:r w:rsidR="00CA5DDC">
        <w:t>.</w:t>
      </w:r>
      <w:r w:rsidR="00C97BCC" w:rsidRPr="00C97BCC">
        <w:rPr>
          <w:rStyle w:val="FootnoteReference"/>
        </w:rPr>
        <w:footnoteReference w:id="37"/>
      </w:r>
    </w:p>
    <w:p w:rsidR="00B20129" w:rsidRDefault="006E7442" w:rsidP="00D848F6">
      <w:r>
        <w:t>B</w:t>
      </w:r>
      <w:r w:rsidR="00C97BCC">
        <w:t xml:space="preserve">ased on advice from Deloitte Access Economics </w:t>
      </w:r>
      <w:r>
        <w:t xml:space="preserve">we </w:t>
      </w:r>
      <w:r w:rsidR="00C97BCC">
        <w:t xml:space="preserve">consider that the forecasts of Tariff V new connections are </w:t>
      </w:r>
      <w:r w:rsidR="00551A62">
        <w:t xml:space="preserve">marginally </w:t>
      </w:r>
      <w:r w:rsidR="005202A4">
        <w:t>over</w:t>
      </w:r>
      <w:r w:rsidR="00C97BCC">
        <w:t xml:space="preserve">stated. This is because </w:t>
      </w:r>
      <w:r w:rsidR="005202A4">
        <w:t xml:space="preserve">for small business connections we consider there is a structural break in the historical data series in 2008. Due to this </w:t>
      </w:r>
      <w:r w:rsidR="00D848F6" w:rsidRPr="00D848F6">
        <w:t>we have used a shorter averaging period</w:t>
      </w:r>
      <w:r w:rsidR="00D848F6">
        <w:t xml:space="preserve"> </w:t>
      </w:r>
      <w:r w:rsidR="00D848F6" w:rsidRPr="00D848F6">
        <w:t>than Core Energy (2008-13 instead of 2003-13) to derive the trend,</w:t>
      </w:r>
      <w:r w:rsidR="00D848F6">
        <w:t xml:space="preserve"> </w:t>
      </w:r>
      <w:r w:rsidR="00D848F6" w:rsidRPr="00D848F6">
        <w:t xml:space="preserve">which is projected forward for forecasting </w:t>
      </w:r>
      <w:r w:rsidR="00D848F6">
        <w:t xml:space="preserve">new </w:t>
      </w:r>
      <w:r w:rsidR="00D848F6" w:rsidRPr="00D848F6">
        <w:t>connections</w:t>
      </w:r>
      <w:r w:rsidR="00D848F6">
        <w:t xml:space="preserve"> for small business</w:t>
      </w:r>
      <w:r w:rsidR="005202A4">
        <w:t xml:space="preserve">. </w:t>
      </w:r>
    </w:p>
    <w:p w:rsidR="00B20129" w:rsidRDefault="00B20129" w:rsidP="00F94807">
      <w:r>
        <w:lastRenderedPageBreak/>
        <w:t xml:space="preserve">We also consider that </w:t>
      </w:r>
      <w:r w:rsidR="00F94807">
        <w:t>JGN's</w:t>
      </w:r>
      <w:r>
        <w:t xml:space="preserve"> allocation of new dwellings between </w:t>
      </w:r>
      <w:r w:rsidR="00F94807">
        <w:t>new estate and medium/high density connections is not the best estimate possible in the circumstances. W</w:t>
      </w:r>
      <w:r w:rsidR="00F94807" w:rsidRPr="00F94807">
        <w:t xml:space="preserve">e have replaced </w:t>
      </w:r>
      <w:r w:rsidR="00F94807">
        <w:t>JGN</w:t>
      </w:r>
      <w:r w:rsidR="00F94807" w:rsidRPr="00F94807">
        <w:t>’s assumption</w:t>
      </w:r>
      <w:r w:rsidR="00F94807">
        <w:t xml:space="preserve"> with </w:t>
      </w:r>
      <w:r w:rsidR="00F94807" w:rsidRPr="00F94807">
        <w:t>the average calculated</w:t>
      </w:r>
      <w:r w:rsidR="00F94807">
        <w:t xml:space="preserve"> </w:t>
      </w:r>
      <w:r w:rsidR="00F94807" w:rsidRPr="00F94807">
        <w:t>using historical Housing Industry Association (HIA) data</w:t>
      </w:r>
      <w:r w:rsidR="00F94807">
        <w:t>.</w:t>
      </w:r>
    </w:p>
    <w:p w:rsidR="00C97BCC" w:rsidRDefault="009D6499" w:rsidP="00D848F6">
      <w:r>
        <w:t>T</w:t>
      </w:r>
      <w:r w:rsidR="00C800B7">
        <w:t xml:space="preserve">he demand attachment </w:t>
      </w:r>
      <w:r>
        <w:t>discusses th</w:t>
      </w:r>
      <w:r w:rsidR="00B20129">
        <w:t>e</w:t>
      </w:r>
      <w:r>
        <w:t>s</w:t>
      </w:r>
      <w:r w:rsidR="00B20129">
        <w:t>e</w:t>
      </w:r>
      <w:r>
        <w:t xml:space="preserve"> issue</w:t>
      </w:r>
      <w:r w:rsidR="00B20129">
        <w:t>s</w:t>
      </w:r>
      <w:r>
        <w:t xml:space="preserve"> in greater detail </w:t>
      </w:r>
      <w:r w:rsidR="00C800B7">
        <w:t xml:space="preserve">(see </w:t>
      </w:r>
      <w:r w:rsidR="000E4ECC">
        <w:t>section 13.4 in attachment 13)</w:t>
      </w:r>
      <w:r w:rsidR="005202A4">
        <w:t>.</w:t>
      </w:r>
      <w:r w:rsidR="00D848F6" w:rsidRPr="00D848F6">
        <w:t xml:space="preserve"> </w:t>
      </w:r>
    </w:p>
    <w:p w:rsidR="00B34AC8" w:rsidRDefault="00B34AC8" w:rsidP="00CA5DDC">
      <w:pPr>
        <w:pStyle w:val="AERbodytext"/>
      </w:pPr>
      <w:r>
        <w:t>The t</w:t>
      </w:r>
      <w:r w:rsidR="00551A62">
        <w:t xml:space="preserve">able below (see </w:t>
      </w:r>
      <w:r w:rsidR="008D60EC">
        <w:fldChar w:fldCharType="begin"/>
      </w:r>
      <w:r w:rsidR="008D60EC">
        <w:instrText xml:space="preserve"> REF _Ref401863154 \h </w:instrText>
      </w:r>
      <w:r w:rsidR="008D60EC">
        <w:fldChar w:fldCharType="separate"/>
      </w:r>
      <w:r w:rsidR="0029475D">
        <w:t xml:space="preserve">Table </w:t>
      </w:r>
      <w:r w:rsidR="0029475D">
        <w:rPr>
          <w:noProof/>
        </w:rPr>
        <w:t>6</w:t>
      </w:r>
      <w:r w:rsidR="0029475D">
        <w:noBreakHyphen/>
      </w:r>
      <w:r w:rsidR="0029475D">
        <w:rPr>
          <w:noProof/>
        </w:rPr>
        <w:t>9</w:t>
      </w:r>
      <w:r w:rsidR="008D60EC">
        <w:fldChar w:fldCharType="end"/>
      </w:r>
      <w:r>
        <w:t>) sets out JGN's actual new connections for 2010-14 and proposed new connections for 2015-20 and our estimated new connection volumes for 2015-20.</w:t>
      </w:r>
    </w:p>
    <w:p w:rsidR="00B34AC8" w:rsidRDefault="00B34AC8" w:rsidP="00B34AC8">
      <w:pPr>
        <w:pStyle w:val="Caption"/>
      </w:pPr>
      <w:bookmarkStart w:id="44" w:name="_Ref401863154"/>
      <w:r>
        <w:t xml:space="preserve">Table </w:t>
      </w:r>
      <w:fldSimple w:instr=" STYLEREF 1 \s ">
        <w:r w:rsidR="0029475D">
          <w:rPr>
            <w:noProof/>
          </w:rPr>
          <w:t>6</w:t>
        </w:r>
      </w:fldSimple>
      <w:r w:rsidR="009F7369">
        <w:noBreakHyphen/>
      </w:r>
      <w:fldSimple w:instr=" SEQ Table \* ARABIC \s 1 ">
        <w:r w:rsidR="0029475D">
          <w:rPr>
            <w:noProof/>
          </w:rPr>
          <w:t>9</w:t>
        </w:r>
      </w:fldSimple>
      <w:bookmarkEnd w:id="44"/>
      <w:r>
        <w:tab/>
        <w:t>JGN actual new connections (2010-14), proposed new connections (15-20) and AER estimated new connections (2015-20)</w:t>
      </w:r>
      <w:r w:rsidR="0088519E">
        <w:t xml:space="preserve"> (number)</w:t>
      </w:r>
    </w:p>
    <w:tbl>
      <w:tblPr>
        <w:tblStyle w:val="AERtable-numbers"/>
        <w:tblW w:w="0" w:type="auto"/>
        <w:tblLook w:val="04A0" w:firstRow="1" w:lastRow="0" w:firstColumn="1" w:lastColumn="0" w:noHBand="0" w:noVBand="1"/>
      </w:tblPr>
      <w:tblGrid>
        <w:gridCol w:w="1284"/>
        <w:gridCol w:w="723"/>
        <w:gridCol w:w="723"/>
        <w:gridCol w:w="724"/>
        <w:gridCol w:w="723"/>
        <w:gridCol w:w="724"/>
        <w:gridCol w:w="723"/>
        <w:gridCol w:w="724"/>
        <w:gridCol w:w="723"/>
        <w:gridCol w:w="724"/>
        <w:gridCol w:w="723"/>
        <w:gridCol w:w="724"/>
      </w:tblGrid>
      <w:tr w:rsidR="00B34AC8" w:rsidTr="00B34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B34AC8" w:rsidRDefault="00B34AC8" w:rsidP="00CA5DDC">
            <w:pPr>
              <w:pStyle w:val="AERbodytext"/>
            </w:pPr>
            <w:r>
              <w:t>Connection type</w:t>
            </w:r>
          </w:p>
        </w:tc>
        <w:tc>
          <w:tcPr>
            <w:tcW w:w="723" w:type="dxa"/>
          </w:tcPr>
          <w:p w:rsidR="00B34AC8" w:rsidRDefault="00B34AC8" w:rsidP="00E85552">
            <w:pPr>
              <w:pStyle w:val="AERtabletextright"/>
              <w:cnfStyle w:val="100000000000" w:firstRow="1" w:lastRow="0" w:firstColumn="0" w:lastColumn="0" w:oddVBand="0" w:evenVBand="0" w:oddHBand="0" w:evenHBand="0" w:firstRowFirstColumn="0" w:firstRowLastColumn="0" w:lastRowFirstColumn="0" w:lastRowLastColumn="0"/>
            </w:pPr>
            <w:r>
              <w:t>2010</w:t>
            </w:r>
          </w:p>
        </w:tc>
        <w:tc>
          <w:tcPr>
            <w:tcW w:w="723" w:type="dxa"/>
          </w:tcPr>
          <w:p w:rsidR="00B34AC8" w:rsidRDefault="00B34AC8" w:rsidP="00E85552">
            <w:pPr>
              <w:pStyle w:val="AERtabletextright"/>
              <w:cnfStyle w:val="100000000000" w:firstRow="1" w:lastRow="0" w:firstColumn="0" w:lastColumn="0" w:oddVBand="0" w:evenVBand="0" w:oddHBand="0" w:evenHBand="0" w:firstRowFirstColumn="0" w:firstRowLastColumn="0" w:lastRowFirstColumn="0" w:lastRowLastColumn="0"/>
            </w:pPr>
            <w:r>
              <w:t>2011</w:t>
            </w:r>
          </w:p>
        </w:tc>
        <w:tc>
          <w:tcPr>
            <w:tcW w:w="724" w:type="dxa"/>
          </w:tcPr>
          <w:p w:rsidR="00B34AC8" w:rsidRDefault="00B34AC8" w:rsidP="00E85552">
            <w:pPr>
              <w:pStyle w:val="AERtabletextright"/>
              <w:cnfStyle w:val="100000000000" w:firstRow="1" w:lastRow="0" w:firstColumn="0" w:lastColumn="0" w:oddVBand="0" w:evenVBand="0" w:oddHBand="0" w:evenHBand="0" w:firstRowFirstColumn="0" w:firstRowLastColumn="0" w:lastRowFirstColumn="0" w:lastRowLastColumn="0"/>
            </w:pPr>
            <w:r>
              <w:t>2012</w:t>
            </w:r>
          </w:p>
        </w:tc>
        <w:tc>
          <w:tcPr>
            <w:tcW w:w="723" w:type="dxa"/>
          </w:tcPr>
          <w:p w:rsidR="00B34AC8" w:rsidRDefault="00B34AC8" w:rsidP="00E85552">
            <w:pPr>
              <w:pStyle w:val="AERtabletextright"/>
              <w:cnfStyle w:val="100000000000" w:firstRow="1" w:lastRow="0" w:firstColumn="0" w:lastColumn="0" w:oddVBand="0" w:evenVBand="0" w:oddHBand="0" w:evenHBand="0" w:firstRowFirstColumn="0" w:firstRowLastColumn="0" w:lastRowFirstColumn="0" w:lastRowLastColumn="0"/>
            </w:pPr>
            <w:r>
              <w:t>2013</w:t>
            </w:r>
          </w:p>
        </w:tc>
        <w:tc>
          <w:tcPr>
            <w:tcW w:w="724" w:type="dxa"/>
          </w:tcPr>
          <w:p w:rsidR="00B34AC8" w:rsidRDefault="00B34AC8" w:rsidP="00E85552">
            <w:pPr>
              <w:pStyle w:val="AERtabletextright"/>
              <w:cnfStyle w:val="100000000000" w:firstRow="1" w:lastRow="0" w:firstColumn="0" w:lastColumn="0" w:oddVBand="0" w:evenVBand="0" w:oddHBand="0" w:evenHBand="0" w:firstRowFirstColumn="0" w:firstRowLastColumn="0" w:lastRowFirstColumn="0" w:lastRowLastColumn="0"/>
            </w:pPr>
            <w:r>
              <w:t>2014</w:t>
            </w:r>
          </w:p>
        </w:tc>
        <w:tc>
          <w:tcPr>
            <w:tcW w:w="723" w:type="dxa"/>
          </w:tcPr>
          <w:p w:rsidR="00B34AC8" w:rsidRDefault="00B34AC8" w:rsidP="00E85552">
            <w:pPr>
              <w:pStyle w:val="AERtabletextright"/>
              <w:cnfStyle w:val="100000000000" w:firstRow="1" w:lastRow="0" w:firstColumn="0" w:lastColumn="0" w:oddVBand="0" w:evenVBand="0" w:oddHBand="0" w:evenHBand="0" w:firstRowFirstColumn="0" w:firstRowLastColumn="0" w:lastRowFirstColumn="0" w:lastRowLastColumn="0"/>
            </w:pPr>
            <w:r>
              <w:t>2015</w:t>
            </w:r>
          </w:p>
        </w:tc>
        <w:tc>
          <w:tcPr>
            <w:tcW w:w="724" w:type="dxa"/>
          </w:tcPr>
          <w:p w:rsidR="00B34AC8" w:rsidRDefault="00B34AC8" w:rsidP="00E85552">
            <w:pPr>
              <w:pStyle w:val="AERtabletextright"/>
              <w:cnfStyle w:val="100000000000" w:firstRow="1" w:lastRow="0" w:firstColumn="0" w:lastColumn="0" w:oddVBand="0" w:evenVBand="0" w:oddHBand="0" w:evenHBand="0" w:firstRowFirstColumn="0" w:firstRowLastColumn="0" w:lastRowFirstColumn="0" w:lastRowLastColumn="0"/>
            </w:pPr>
            <w:r>
              <w:t>2016</w:t>
            </w:r>
          </w:p>
        </w:tc>
        <w:tc>
          <w:tcPr>
            <w:tcW w:w="723" w:type="dxa"/>
          </w:tcPr>
          <w:p w:rsidR="00B34AC8" w:rsidRDefault="00B34AC8" w:rsidP="00E85552">
            <w:pPr>
              <w:pStyle w:val="AERtabletextright"/>
              <w:cnfStyle w:val="100000000000" w:firstRow="1" w:lastRow="0" w:firstColumn="0" w:lastColumn="0" w:oddVBand="0" w:evenVBand="0" w:oddHBand="0" w:evenHBand="0" w:firstRowFirstColumn="0" w:firstRowLastColumn="0" w:lastRowFirstColumn="0" w:lastRowLastColumn="0"/>
            </w:pPr>
            <w:r>
              <w:t>2017</w:t>
            </w:r>
          </w:p>
        </w:tc>
        <w:tc>
          <w:tcPr>
            <w:tcW w:w="724" w:type="dxa"/>
          </w:tcPr>
          <w:p w:rsidR="00B34AC8" w:rsidRDefault="00B34AC8" w:rsidP="00E85552">
            <w:pPr>
              <w:pStyle w:val="AERtabletextright"/>
              <w:cnfStyle w:val="100000000000" w:firstRow="1" w:lastRow="0" w:firstColumn="0" w:lastColumn="0" w:oddVBand="0" w:evenVBand="0" w:oddHBand="0" w:evenHBand="0" w:firstRowFirstColumn="0" w:firstRowLastColumn="0" w:lastRowFirstColumn="0" w:lastRowLastColumn="0"/>
            </w:pPr>
            <w:r>
              <w:t>2018</w:t>
            </w:r>
          </w:p>
        </w:tc>
        <w:tc>
          <w:tcPr>
            <w:tcW w:w="723" w:type="dxa"/>
          </w:tcPr>
          <w:p w:rsidR="00B34AC8" w:rsidRDefault="00B34AC8" w:rsidP="00E85552">
            <w:pPr>
              <w:pStyle w:val="AERtabletextright"/>
              <w:cnfStyle w:val="100000000000" w:firstRow="1" w:lastRow="0" w:firstColumn="0" w:lastColumn="0" w:oddVBand="0" w:evenVBand="0" w:oddHBand="0" w:evenHBand="0" w:firstRowFirstColumn="0" w:firstRowLastColumn="0" w:lastRowFirstColumn="0" w:lastRowLastColumn="0"/>
            </w:pPr>
            <w:r>
              <w:t>2019</w:t>
            </w:r>
          </w:p>
        </w:tc>
        <w:tc>
          <w:tcPr>
            <w:tcW w:w="724" w:type="dxa"/>
          </w:tcPr>
          <w:p w:rsidR="00B34AC8" w:rsidRDefault="00B34AC8" w:rsidP="00E85552">
            <w:pPr>
              <w:pStyle w:val="AERtabletextright"/>
              <w:cnfStyle w:val="100000000000" w:firstRow="1" w:lastRow="0" w:firstColumn="0" w:lastColumn="0" w:oddVBand="0" w:evenVBand="0" w:oddHBand="0" w:evenHBand="0" w:firstRowFirstColumn="0" w:firstRowLastColumn="0" w:lastRowFirstColumn="0" w:lastRowLastColumn="0"/>
            </w:pPr>
            <w:r>
              <w:t>2020</w:t>
            </w:r>
          </w:p>
        </w:tc>
      </w:tr>
      <w:tr w:rsidR="008D137B" w:rsidTr="0062586A">
        <w:tc>
          <w:tcPr>
            <w:cnfStyle w:val="001000000000" w:firstRow="0" w:lastRow="0" w:firstColumn="1" w:lastColumn="0" w:oddVBand="0" w:evenVBand="0" w:oddHBand="0" w:evenHBand="0" w:firstRowFirstColumn="0" w:firstRowLastColumn="0" w:lastRowFirstColumn="0" w:lastRowLastColumn="0"/>
            <w:tcW w:w="1284" w:type="dxa"/>
          </w:tcPr>
          <w:p w:rsidR="008D137B" w:rsidRPr="008D137B" w:rsidRDefault="008D137B" w:rsidP="008D137B">
            <w:pPr>
              <w:pStyle w:val="AERbodytext"/>
            </w:pPr>
            <w:r w:rsidRPr="008D137B">
              <w:t>JGN - E to G</w:t>
            </w:r>
          </w:p>
        </w:tc>
        <w:tc>
          <w:tcPr>
            <w:tcW w:w="723" w:type="dxa"/>
            <w:vAlign w:val="top"/>
          </w:tcPr>
          <w:p w:rsidR="008D137B" w:rsidRPr="008D137B" w:rsidRDefault="008D137B" w:rsidP="008D137B">
            <w:pPr>
              <w:pStyle w:val="AERtabletextright"/>
              <w:cnfStyle w:val="000000000000" w:firstRow="0" w:lastRow="0" w:firstColumn="0" w:lastColumn="0" w:oddVBand="0" w:evenVBand="0" w:oddHBand="0" w:evenHBand="0" w:firstRowFirstColumn="0" w:firstRowLastColumn="0" w:lastRowFirstColumn="0" w:lastRowLastColumn="0"/>
            </w:pPr>
            <w:r w:rsidRPr="008D137B">
              <w:t xml:space="preserve">7,848 </w:t>
            </w:r>
          </w:p>
        </w:tc>
        <w:tc>
          <w:tcPr>
            <w:tcW w:w="723" w:type="dxa"/>
            <w:vAlign w:val="top"/>
          </w:tcPr>
          <w:p w:rsidR="008D137B" w:rsidRPr="008D137B" w:rsidRDefault="008D137B" w:rsidP="008D137B">
            <w:pPr>
              <w:pStyle w:val="AERtabletextright"/>
              <w:cnfStyle w:val="000000000000" w:firstRow="0" w:lastRow="0" w:firstColumn="0" w:lastColumn="0" w:oddVBand="0" w:evenVBand="0" w:oddHBand="0" w:evenHBand="0" w:firstRowFirstColumn="0" w:firstRowLastColumn="0" w:lastRowFirstColumn="0" w:lastRowLastColumn="0"/>
            </w:pPr>
            <w:r w:rsidRPr="008D137B">
              <w:t xml:space="preserve">8,475 </w:t>
            </w:r>
          </w:p>
        </w:tc>
        <w:tc>
          <w:tcPr>
            <w:tcW w:w="724" w:type="dxa"/>
            <w:vAlign w:val="top"/>
          </w:tcPr>
          <w:p w:rsidR="008D137B" w:rsidRPr="008D137B" w:rsidRDefault="008D137B" w:rsidP="008D137B">
            <w:pPr>
              <w:pStyle w:val="AERtabletextright"/>
              <w:cnfStyle w:val="000000000000" w:firstRow="0" w:lastRow="0" w:firstColumn="0" w:lastColumn="0" w:oddVBand="0" w:evenVBand="0" w:oddHBand="0" w:evenHBand="0" w:firstRowFirstColumn="0" w:firstRowLastColumn="0" w:lastRowFirstColumn="0" w:lastRowLastColumn="0"/>
            </w:pPr>
            <w:r w:rsidRPr="008D137B">
              <w:t xml:space="preserve">9,030 </w:t>
            </w:r>
          </w:p>
        </w:tc>
        <w:tc>
          <w:tcPr>
            <w:tcW w:w="723" w:type="dxa"/>
            <w:vAlign w:val="top"/>
          </w:tcPr>
          <w:p w:rsidR="008D137B" w:rsidRPr="008D137B" w:rsidRDefault="008D137B" w:rsidP="008D137B">
            <w:pPr>
              <w:pStyle w:val="AERtabletextright"/>
              <w:cnfStyle w:val="000000000000" w:firstRow="0" w:lastRow="0" w:firstColumn="0" w:lastColumn="0" w:oddVBand="0" w:evenVBand="0" w:oddHBand="0" w:evenHBand="0" w:firstRowFirstColumn="0" w:firstRowLastColumn="0" w:lastRowFirstColumn="0" w:lastRowLastColumn="0"/>
            </w:pPr>
            <w:r w:rsidRPr="008D137B">
              <w:t xml:space="preserve">8,649 </w:t>
            </w:r>
          </w:p>
        </w:tc>
        <w:tc>
          <w:tcPr>
            <w:tcW w:w="724" w:type="dxa"/>
            <w:vAlign w:val="top"/>
          </w:tcPr>
          <w:p w:rsidR="008D137B" w:rsidRPr="008D137B" w:rsidRDefault="008D137B" w:rsidP="008D137B">
            <w:pPr>
              <w:pStyle w:val="AERtabletextright"/>
              <w:cnfStyle w:val="000000000000" w:firstRow="0" w:lastRow="0" w:firstColumn="0" w:lastColumn="0" w:oddVBand="0" w:evenVBand="0" w:oddHBand="0" w:evenHBand="0" w:firstRowFirstColumn="0" w:firstRowLastColumn="0" w:lastRowFirstColumn="0" w:lastRowLastColumn="0"/>
            </w:pPr>
            <w:r w:rsidRPr="008D137B">
              <w:t xml:space="preserve">8,217 </w:t>
            </w:r>
          </w:p>
        </w:tc>
        <w:tc>
          <w:tcPr>
            <w:tcW w:w="723" w:type="dxa"/>
            <w:vAlign w:val="top"/>
          </w:tcPr>
          <w:p w:rsidR="008D137B" w:rsidRPr="008D137B" w:rsidRDefault="008D137B" w:rsidP="008D137B">
            <w:pPr>
              <w:pStyle w:val="AERtabletextright"/>
              <w:cnfStyle w:val="000000000000" w:firstRow="0" w:lastRow="0" w:firstColumn="0" w:lastColumn="0" w:oddVBand="0" w:evenVBand="0" w:oddHBand="0" w:evenHBand="0" w:firstRowFirstColumn="0" w:firstRowLastColumn="0" w:lastRowFirstColumn="0" w:lastRowLastColumn="0"/>
            </w:pPr>
            <w:r w:rsidRPr="008D137B">
              <w:t xml:space="preserve">7,395 </w:t>
            </w:r>
          </w:p>
        </w:tc>
        <w:tc>
          <w:tcPr>
            <w:tcW w:w="724" w:type="dxa"/>
            <w:vAlign w:val="top"/>
          </w:tcPr>
          <w:p w:rsidR="008D137B" w:rsidRPr="008D137B" w:rsidRDefault="008D137B" w:rsidP="008D137B">
            <w:pPr>
              <w:pStyle w:val="AERtabletextright"/>
              <w:cnfStyle w:val="000000000000" w:firstRow="0" w:lastRow="0" w:firstColumn="0" w:lastColumn="0" w:oddVBand="0" w:evenVBand="0" w:oddHBand="0" w:evenHBand="0" w:firstRowFirstColumn="0" w:firstRowLastColumn="0" w:lastRowFirstColumn="0" w:lastRowLastColumn="0"/>
            </w:pPr>
            <w:r w:rsidRPr="008D137B">
              <w:t>7,025</w:t>
            </w:r>
          </w:p>
        </w:tc>
        <w:tc>
          <w:tcPr>
            <w:tcW w:w="723" w:type="dxa"/>
            <w:vAlign w:val="top"/>
          </w:tcPr>
          <w:p w:rsidR="008D137B" w:rsidRPr="008D137B" w:rsidRDefault="008D137B" w:rsidP="008D137B">
            <w:pPr>
              <w:pStyle w:val="AERtabletextright"/>
              <w:cnfStyle w:val="000000000000" w:firstRow="0" w:lastRow="0" w:firstColumn="0" w:lastColumn="0" w:oddVBand="0" w:evenVBand="0" w:oddHBand="0" w:evenHBand="0" w:firstRowFirstColumn="0" w:firstRowLastColumn="0" w:lastRowFirstColumn="0" w:lastRowLastColumn="0"/>
            </w:pPr>
            <w:r w:rsidRPr="008D137B">
              <w:t>6,885</w:t>
            </w:r>
          </w:p>
        </w:tc>
        <w:tc>
          <w:tcPr>
            <w:tcW w:w="724" w:type="dxa"/>
            <w:vAlign w:val="top"/>
          </w:tcPr>
          <w:p w:rsidR="008D137B" w:rsidRPr="008D137B" w:rsidRDefault="008D137B" w:rsidP="008D137B">
            <w:pPr>
              <w:pStyle w:val="AERtabletextright"/>
              <w:cnfStyle w:val="000000000000" w:firstRow="0" w:lastRow="0" w:firstColumn="0" w:lastColumn="0" w:oddVBand="0" w:evenVBand="0" w:oddHBand="0" w:evenHBand="0" w:firstRowFirstColumn="0" w:firstRowLastColumn="0" w:lastRowFirstColumn="0" w:lastRowLastColumn="0"/>
            </w:pPr>
            <w:r w:rsidRPr="008D137B">
              <w:t>6,747</w:t>
            </w:r>
          </w:p>
        </w:tc>
        <w:tc>
          <w:tcPr>
            <w:tcW w:w="723" w:type="dxa"/>
            <w:vAlign w:val="top"/>
          </w:tcPr>
          <w:p w:rsidR="008D137B" w:rsidRPr="008D137B" w:rsidRDefault="008D137B" w:rsidP="008D137B">
            <w:pPr>
              <w:pStyle w:val="AERtabletextright"/>
              <w:cnfStyle w:val="000000000000" w:firstRow="0" w:lastRow="0" w:firstColumn="0" w:lastColumn="0" w:oddVBand="0" w:evenVBand="0" w:oddHBand="0" w:evenHBand="0" w:firstRowFirstColumn="0" w:firstRowLastColumn="0" w:lastRowFirstColumn="0" w:lastRowLastColumn="0"/>
            </w:pPr>
            <w:r w:rsidRPr="008D137B">
              <w:t>6,612</w:t>
            </w:r>
          </w:p>
        </w:tc>
        <w:tc>
          <w:tcPr>
            <w:tcW w:w="724" w:type="dxa"/>
            <w:vAlign w:val="top"/>
          </w:tcPr>
          <w:p w:rsidR="008D137B" w:rsidRPr="008D137B" w:rsidRDefault="008D137B" w:rsidP="008D137B">
            <w:pPr>
              <w:pStyle w:val="AERtabletextright"/>
              <w:cnfStyle w:val="000000000000" w:firstRow="0" w:lastRow="0" w:firstColumn="0" w:lastColumn="0" w:oddVBand="0" w:evenVBand="0" w:oddHBand="0" w:evenHBand="0" w:firstRowFirstColumn="0" w:firstRowLastColumn="0" w:lastRowFirstColumn="0" w:lastRowLastColumn="0"/>
            </w:pPr>
            <w:r w:rsidRPr="008D137B">
              <w:t>6,480</w:t>
            </w:r>
          </w:p>
        </w:tc>
      </w:tr>
      <w:tr w:rsidR="008D137B" w:rsidTr="000A1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8D137B" w:rsidRPr="008D137B" w:rsidRDefault="008D137B" w:rsidP="008D137B">
            <w:pPr>
              <w:pStyle w:val="AERbodytext"/>
            </w:pPr>
            <w:r w:rsidRPr="008D137B">
              <w:t>AER - E to G</w:t>
            </w:r>
          </w:p>
        </w:tc>
        <w:tc>
          <w:tcPr>
            <w:tcW w:w="723"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vAlign w:val="top"/>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r w:rsidRPr="008D137B">
              <w:t>7,025</w:t>
            </w:r>
          </w:p>
        </w:tc>
        <w:tc>
          <w:tcPr>
            <w:tcW w:w="723" w:type="dxa"/>
            <w:vAlign w:val="top"/>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r w:rsidRPr="008D137B">
              <w:t>6,885</w:t>
            </w:r>
          </w:p>
        </w:tc>
        <w:tc>
          <w:tcPr>
            <w:tcW w:w="724" w:type="dxa"/>
            <w:vAlign w:val="top"/>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r w:rsidRPr="008D137B">
              <w:t>6,747</w:t>
            </w:r>
          </w:p>
        </w:tc>
        <w:tc>
          <w:tcPr>
            <w:tcW w:w="723" w:type="dxa"/>
            <w:vAlign w:val="top"/>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r w:rsidRPr="008D137B">
              <w:t>6,612</w:t>
            </w:r>
          </w:p>
        </w:tc>
        <w:tc>
          <w:tcPr>
            <w:tcW w:w="724" w:type="dxa"/>
            <w:vAlign w:val="top"/>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r w:rsidRPr="008D137B">
              <w:t>6,480</w:t>
            </w:r>
          </w:p>
        </w:tc>
      </w:tr>
      <w:tr w:rsidR="00B34AC8" w:rsidTr="0062586A">
        <w:tc>
          <w:tcPr>
            <w:cnfStyle w:val="001000000000" w:firstRow="0" w:lastRow="0" w:firstColumn="1" w:lastColumn="0" w:oddVBand="0" w:evenVBand="0" w:oddHBand="0" w:evenHBand="0" w:firstRowFirstColumn="0" w:firstRowLastColumn="0" w:lastRowFirstColumn="0" w:lastRowLastColumn="0"/>
            <w:tcW w:w="1284" w:type="dxa"/>
          </w:tcPr>
          <w:p w:rsidR="00B34AC8" w:rsidRDefault="0088519E" w:rsidP="00B34AC8">
            <w:pPr>
              <w:pStyle w:val="AERbodytext"/>
            </w:pPr>
            <w:r>
              <w:t xml:space="preserve">JGN - </w:t>
            </w:r>
            <w:r w:rsidR="00E85552">
              <w:t>New estates</w:t>
            </w:r>
          </w:p>
        </w:tc>
        <w:tc>
          <w:tcPr>
            <w:tcW w:w="723" w:type="dxa"/>
            <w:vAlign w:val="top"/>
          </w:tcPr>
          <w:p w:rsidR="00B34AC8" w:rsidRPr="00B34AC8" w:rsidRDefault="00B34AC8" w:rsidP="00E85552">
            <w:pPr>
              <w:pStyle w:val="AERtabletextright"/>
              <w:cnfStyle w:val="000000000000" w:firstRow="0" w:lastRow="0" w:firstColumn="0" w:lastColumn="0" w:oddVBand="0" w:evenVBand="0" w:oddHBand="0" w:evenHBand="0" w:firstRowFirstColumn="0" w:firstRowLastColumn="0" w:lastRowFirstColumn="0" w:lastRowLastColumn="0"/>
            </w:pPr>
            <w:r w:rsidRPr="00B34AC8">
              <w:t xml:space="preserve">9,343 </w:t>
            </w:r>
          </w:p>
        </w:tc>
        <w:tc>
          <w:tcPr>
            <w:tcW w:w="723" w:type="dxa"/>
            <w:vAlign w:val="top"/>
          </w:tcPr>
          <w:p w:rsidR="00B34AC8" w:rsidRPr="00B34AC8" w:rsidRDefault="00B34AC8" w:rsidP="00E85552">
            <w:pPr>
              <w:pStyle w:val="AERtabletextright"/>
              <w:cnfStyle w:val="000000000000" w:firstRow="0" w:lastRow="0" w:firstColumn="0" w:lastColumn="0" w:oddVBand="0" w:evenVBand="0" w:oddHBand="0" w:evenHBand="0" w:firstRowFirstColumn="0" w:firstRowLastColumn="0" w:lastRowFirstColumn="0" w:lastRowLastColumn="0"/>
            </w:pPr>
            <w:r w:rsidRPr="00B34AC8">
              <w:t xml:space="preserve">10,233 </w:t>
            </w:r>
          </w:p>
        </w:tc>
        <w:tc>
          <w:tcPr>
            <w:tcW w:w="724" w:type="dxa"/>
            <w:vAlign w:val="top"/>
          </w:tcPr>
          <w:p w:rsidR="00B34AC8" w:rsidRPr="00B34AC8" w:rsidRDefault="00B34AC8" w:rsidP="00E85552">
            <w:pPr>
              <w:pStyle w:val="AERtabletextright"/>
              <w:cnfStyle w:val="000000000000" w:firstRow="0" w:lastRow="0" w:firstColumn="0" w:lastColumn="0" w:oddVBand="0" w:evenVBand="0" w:oddHBand="0" w:evenHBand="0" w:firstRowFirstColumn="0" w:firstRowLastColumn="0" w:lastRowFirstColumn="0" w:lastRowLastColumn="0"/>
            </w:pPr>
            <w:r w:rsidRPr="00B34AC8">
              <w:t xml:space="preserve">11,125 </w:t>
            </w:r>
          </w:p>
        </w:tc>
        <w:tc>
          <w:tcPr>
            <w:tcW w:w="723" w:type="dxa"/>
            <w:vAlign w:val="top"/>
          </w:tcPr>
          <w:p w:rsidR="00B34AC8" w:rsidRPr="00B34AC8" w:rsidRDefault="00B34AC8" w:rsidP="00E85552">
            <w:pPr>
              <w:pStyle w:val="AERtabletextright"/>
              <w:cnfStyle w:val="000000000000" w:firstRow="0" w:lastRow="0" w:firstColumn="0" w:lastColumn="0" w:oddVBand="0" w:evenVBand="0" w:oddHBand="0" w:evenHBand="0" w:firstRowFirstColumn="0" w:firstRowLastColumn="0" w:lastRowFirstColumn="0" w:lastRowLastColumn="0"/>
            </w:pPr>
            <w:r w:rsidRPr="00B34AC8">
              <w:t xml:space="preserve">12,391 </w:t>
            </w:r>
          </w:p>
        </w:tc>
        <w:tc>
          <w:tcPr>
            <w:tcW w:w="724" w:type="dxa"/>
            <w:vAlign w:val="top"/>
          </w:tcPr>
          <w:p w:rsidR="00B34AC8" w:rsidRPr="00B34AC8" w:rsidRDefault="00B34AC8" w:rsidP="00E85552">
            <w:pPr>
              <w:pStyle w:val="AERtabletextright"/>
              <w:cnfStyle w:val="000000000000" w:firstRow="0" w:lastRow="0" w:firstColumn="0" w:lastColumn="0" w:oddVBand="0" w:evenVBand="0" w:oddHBand="0" w:evenHBand="0" w:firstRowFirstColumn="0" w:firstRowLastColumn="0" w:lastRowFirstColumn="0" w:lastRowLastColumn="0"/>
            </w:pPr>
            <w:r w:rsidRPr="00B34AC8">
              <w:t xml:space="preserve">11,920 </w:t>
            </w:r>
          </w:p>
        </w:tc>
        <w:tc>
          <w:tcPr>
            <w:tcW w:w="723" w:type="dxa"/>
            <w:vAlign w:val="top"/>
          </w:tcPr>
          <w:p w:rsidR="00B34AC8" w:rsidRPr="00B34AC8" w:rsidRDefault="00B34AC8" w:rsidP="00E85552">
            <w:pPr>
              <w:pStyle w:val="AERtabletextright"/>
              <w:cnfStyle w:val="000000000000" w:firstRow="0" w:lastRow="0" w:firstColumn="0" w:lastColumn="0" w:oddVBand="0" w:evenVBand="0" w:oddHBand="0" w:evenHBand="0" w:firstRowFirstColumn="0" w:firstRowLastColumn="0" w:lastRowFirstColumn="0" w:lastRowLastColumn="0"/>
            </w:pPr>
            <w:r w:rsidRPr="00B34AC8">
              <w:t xml:space="preserve">12,913 </w:t>
            </w:r>
          </w:p>
        </w:tc>
        <w:tc>
          <w:tcPr>
            <w:tcW w:w="724" w:type="dxa"/>
            <w:vAlign w:val="top"/>
          </w:tcPr>
          <w:p w:rsidR="00B34AC8" w:rsidRPr="00B34AC8" w:rsidRDefault="00B34AC8" w:rsidP="00E85552">
            <w:pPr>
              <w:pStyle w:val="AERtabletextright"/>
              <w:cnfStyle w:val="000000000000" w:firstRow="0" w:lastRow="0" w:firstColumn="0" w:lastColumn="0" w:oddVBand="0" w:evenVBand="0" w:oddHBand="0" w:evenHBand="0" w:firstRowFirstColumn="0" w:firstRowLastColumn="0" w:lastRowFirstColumn="0" w:lastRowLastColumn="0"/>
            </w:pPr>
            <w:r w:rsidRPr="00B34AC8">
              <w:t xml:space="preserve">13,906 </w:t>
            </w:r>
          </w:p>
        </w:tc>
        <w:tc>
          <w:tcPr>
            <w:tcW w:w="723" w:type="dxa"/>
            <w:vAlign w:val="top"/>
          </w:tcPr>
          <w:p w:rsidR="00B34AC8" w:rsidRPr="00B34AC8" w:rsidRDefault="00B34AC8" w:rsidP="00E85552">
            <w:pPr>
              <w:pStyle w:val="AERtabletextright"/>
              <w:cnfStyle w:val="000000000000" w:firstRow="0" w:lastRow="0" w:firstColumn="0" w:lastColumn="0" w:oddVBand="0" w:evenVBand="0" w:oddHBand="0" w:evenHBand="0" w:firstRowFirstColumn="0" w:firstRowLastColumn="0" w:lastRowFirstColumn="0" w:lastRowLastColumn="0"/>
            </w:pPr>
            <w:r w:rsidRPr="00B34AC8">
              <w:t xml:space="preserve">14,899 </w:t>
            </w:r>
          </w:p>
        </w:tc>
        <w:tc>
          <w:tcPr>
            <w:tcW w:w="724" w:type="dxa"/>
            <w:vAlign w:val="top"/>
          </w:tcPr>
          <w:p w:rsidR="00B34AC8" w:rsidRPr="00B34AC8" w:rsidRDefault="00B34AC8" w:rsidP="00E85552">
            <w:pPr>
              <w:pStyle w:val="AERtabletextright"/>
              <w:cnfStyle w:val="000000000000" w:firstRow="0" w:lastRow="0" w:firstColumn="0" w:lastColumn="0" w:oddVBand="0" w:evenVBand="0" w:oddHBand="0" w:evenHBand="0" w:firstRowFirstColumn="0" w:firstRowLastColumn="0" w:lastRowFirstColumn="0" w:lastRowLastColumn="0"/>
            </w:pPr>
            <w:r w:rsidRPr="00B34AC8">
              <w:t xml:space="preserve">13,906 </w:t>
            </w:r>
          </w:p>
        </w:tc>
        <w:tc>
          <w:tcPr>
            <w:tcW w:w="723" w:type="dxa"/>
            <w:vAlign w:val="top"/>
          </w:tcPr>
          <w:p w:rsidR="00B34AC8" w:rsidRPr="00B34AC8" w:rsidRDefault="00B34AC8" w:rsidP="00E85552">
            <w:pPr>
              <w:pStyle w:val="AERtabletextright"/>
              <w:cnfStyle w:val="000000000000" w:firstRow="0" w:lastRow="0" w:firstColumn="0" w:lastColumn="0" w:oddVBand="0" w:evenVBand="0" w:oddHBand="0" w:evenHBand="0" w:firstRowFirstColumn="0" w:firstRowLastColumn="0" w:lastRowFirstColumn="0" w:lastRowLastColumn="0"/>
            </w:pPr>
            <w:r w:rsidRPr="00B34AC8">
              <w:t xml:space="preserve">13,906 </w:t>
            </w:r>
          </w:p>
        </w:tc>
        <w:tc>
          <w:tcPr>
            <w:tcW w:w="724" w:type="dxa"/>
            <w:vAlign w:val="top"/>
          </w:tcPr>
          <w:p w:rsidR="00B34AC8" w:rsidRPr="00B34AC8" w:rsidRDefault="00B34AC8" w:rsidP="00E85552">
            <w:pPr>
              <w:pStyle w:val="AERtabletextright"/>
              <w:cnfStyle w:val="000000000000" w:firstRow="0" w:lastRow="0" w:firstColumn="0" w:lastColumn="0" w:oddVBand="0" w:evenVBand="0" w:oddHBand="0" w:evenHBand="0" w:firstRowFirstColumn="0" w:firstRowLastColumn="0" w:lastRowFirstColumn="0" w:lastRowLastColumn="0"/>
            </w:pPr>
            <w:r w:rsidRPr="00B34AC8">
              <w:t xml:space="preserve">13,906 </w:t>
            </w:r>
          </w:p>
        </w:tc>
      </w:tr>
      <w:tr w:rsidR="008D137B" w:rsidTr="000A1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8D137B" w:rsidRPr="008D137B" w:rsidRDefault="008D137B" w:rsidP="008D137B">
            <w:pPr>
              <w:pStyle w:val="AERbodytext"/>
            </w:pPr>
            <w:r w:rsidRPr="008D137B">
              <w:t>AER - New estates</w:t>
            </w:r>
          </w:p>
        </w:tc>
        <w:tc>
          <w:tcPr>
            <w:tcW w:w="723"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vAlign w:val="top"/>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r w:rsidRPr="008D137B">
              <w:t>12,674</w:t>
            </w:r>
          </w:p>
        </w:tc>
        <w:tc>
          <w:tcPr>
            <w:tcW w:w="723" w:type="dxa"/>
            <w:vAlign w:val="top"/>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r w:rsidRPr="008D137B">
              <w:t>13,549</w:t>
            </w:r>
          </w:p>
        </w:tc>
        <w:tc>
          <w:tcPr>
            <w:tcW w:w="724" w:type="dxa"/>
            <w:vAlign w:val="top"/>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r w:rsidRPr="008D137B">
              <w:t>13,111</w:t>
            </w:r>
          </w:p>
        </w:tc>
        <w:tc>
          <w:tcPr>
            <w:tcW w:w="723" w:type="dxa"/>
            <w:vAlign w:val="top"/>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r w:rsidRPr="008D137B">
              <w:t>12,674</w:t>
            </w:r>
          </w:p>
        </w:tc>
        <w:tc>
          <w:tcPr>
            <w:tcW w:w="724" w:type="dxa"/>
            <w:vAlign w:val="top"/>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r w:rsidRPr="008D137B">
              <w:t>12,674</w:t>
            </w:r>
          </w:p>
        </w:tc>
      </w:tr>
      <w:tr w:rsidR="00E85552" w:rsidTr="0062586A">
        <w:tc>
          <w:tcPr>
            <w:cnfStyle w:val="001000000000" w:firstRow="0" w:lastRow="0" w:firstColumn="1" w:lastColumn="0" w:oddVBand="0" w:evenVBand="0" w:oddHBand="0" w:evenHBand="0" w:firstRowFirstColumn="0" w:firstRowLastColumn="0" w:lastRowFirstColumn="0" w:lastRowLastColumn="0"/>
            <w:tcW w:w="1284" w:type="dxa"/>
          </w:tcPr>
          <w:p w:rsidR="00E85552" w:rsidRDefault="00E85552" w:rsidP="00E85552">
            <w:pPr>
              <w:pStyle w:val="AERbodytext"/>
            </w:pPr>
            <w:r>
              <w:t>JGN - Medium/ high density</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9,387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11,994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9,119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12,110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12,913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13,906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14,899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15,893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15,893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14,899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14,899 </w:t>
            </w:r>
          </w:p>
        </w:tc>
      </w:tr>
      <w:tr w:rsidR="008D137B" w:rsidTr="000A1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8D137B" w:rsidRPr="008D137B" w:rsidRDefault="008D137B" w:rsidP="008D137B">
            <w:pPr>
              <w:pStyle w:val="AERbodytext"/>
            </w:pPr>
            <w:r w:rsidRPr="008D137B">
              <w:t>AER - Medium/ high density</w:t>
            </w:r>
          </w:p>
        </w:tc>
        <w:tc>
          <w:tcPr>
            <w:tcW w:w="723"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8D137B" w:rsidRPr="008D137B" w:rsidRDefault="008D137B" w:rsidP="008D137B">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vAlign w:val="top"/>
          </w:tcPr>
          <w:p w:rsidR="008D137B" w:rsidRPr="008D137B" w:rsidRDefault="008D137B" w:rsidP="000A1865">
            <w:pPr>
              <w:cnfStyle w:val="000000010000" w:firstRow="0" w:lastRow="0" w:firstColumn="0" w:lastColumn="0" w:oddVBand="0" w:evenVBand="0" w:oddHBand="0" w:evenHBand="1" w:firstRowFirstColumn="0" w:firstRowLastColumn="0" w:lastRowFirstColumn="0" w:lastRowLastColumn="0"/>
            </w:pPr>
            <w:r w:rsidRPr="008D137B">
              <w:t>16,131</w:t>
            </w:r>
          </w:p>
        </w:tc>
        <w:tc>
          <w:tcPr>
            <w:tcW w:w="723" w:type="dxa"/>
            <w:vAlign w:val="top"/>
          </w:tcPr>
          <w:p w:rsidR="008D137B" w:rsidRPr="008D137B" w:rsidRDefault="008D137B" w:rsidP="000A1865">
            <w:pPr>
              <w:cnfStyle w:val="000000010000" w:firstRow="0" w:lastRow="0" w:firstColumn="0" w:lastColumn="0" w:oddVBand="0" w:evenVBand="0" w:oddHBand="0" w:evenHBand="1" w:firstRowFirstColumn="0" w:firstRowLastColumn="0" w:lastRowFirstColumn="0" w:lastRowLastColumn="0"/>
            </w:pPr>
            <w:r w:rsidRPr="008D137B">
              <w:t>17,244</w:t>
            </w:r>
          </w:p>
        </w:tc>
        <w:tc>
          <w:tcPr>
            <w:tcW w:w="724" w:type="dxa"/>
            <w:vAlign w:val="top"/>
          </w:tcPr>
          <w:p w:rsidR="008D137B" w:rsidRPr="008D137B" w:rsidRDefault="008D137B" w:rsidP="000A1865">
            <w:pPr>
              <w:cnfStyle w:val="000000010000" w:firstRow="0" w:lastRow="0" w:firstColumn="0" w:lastColumn="0" w:oddVBand="0" w:evenVBand="0" w:oddHBand="0" w:evenHBand="1" w:firstRowFirstColumn="0" w:firstRowLastColumn="0" w:lastRowFirstColumn="0" w:lastRowLastColumn="0"/>
            </w:pPr>
            <w:r w:rsidRPr="008D137B">
              <w:t>16,687</w:t>
            </w:r>
          </w:p>
        </w:tc>
        <w:tc>
          <w:tcPr>
            <w:tcW w:w="723" w:type="dxa"/>
            <w:vAlign w:val="top"/>
          </w:tcPr>
          <w:p w:rsidR="008D137B" w:rsidRPr="008D137B" w:rsidRDefault="008D137B" w:rsidP="000A1865">
            <w:pPr>
              <w:cnfStyle w:val="000000010000" w:firstRow="0" w:lastRow="0" w:firstColumn="0" w:lastColumn="0" w:oddVBand="0" w:evenVBand="0" w:oddHBand="0" w:evenHBand="1" w:firstRowFirstColumn="0" w:firstRowLastColumn="0" w:lastRowFirstColumn="0" w:lastRowLastColumn="0"/>
            </w:pPr>
            <w:r w:rsidRPr="008D137B">
              <w:t>16,131</w:t>
            </w:r>
          </w:p>
        </w:tc>
        <w:tc>
          <w:tcPr>
            <w:tcW w:w="724" w:type="dxa"/>
            <w:vAlign w:val="top"/>
          </w:tcPr>
          <w:p w:rsidR="008D137B" w:rsidRPr="008D137B" w:rsidRDefault="008D137B" w:rsidP="000A1865">
            <w:pPr>
              <w:cnfStyle w:val="000000010000" w:firstRow="0" w:lastRow="0" w:firstColumn="0" w:lastColumn="0" w:oddVBand="0" w:evenVBand="0" w:oddHBand="0" w:evenHBand="1" w:firstRowFirstColumn="0" w:firstRowLastColumn="0" w:lastRowFirstColumn="0" w:lastRowLastColumn="0"/>
            </w:pPr>
            <w:r w:rsidRPr="008D137B">
              <w:t>16,131</w:t>
            </w:r>
          </w:p>
        </w:tc>
      </w:tr>
      <w:tr w:rsidR="00E85552" w:rsidTr="0062586A">
        <w:tc>
          <w:tcPr>
            <w:cnfStyle w:val="001000000000" w:firstRow="0" w:lastRow="0" w:firstColumn="1" w:lastColumn="0" w:oddVBand="0" w:evenVBand="0" w:oddHBand="0" w:evenHBand="0" w:firstRowFirstColumn="0" w:firstRowLastColumn="0" w:lastRowFirstColumn="0" w:lastRowLastColumn="0"/>
            <w:tcW w:w="1284" w:type="dxa"/>
          </w:tcPr>
          <w:p w:rsidR="00E85552" w:rsidRDefault="00E85552" w:rsidP="00E85552">
            <w:pPr>
              <w:pStyle w:val="AERbodytext"/>
            </w:pPr>
            <w:r>
              <w:t>JGN - I&amp;C volume</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714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868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815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825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876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930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988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1,050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1,116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1,186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1,262 </w:t>
            </w:r>
          </w:p>
        </w:tc>
      </w:tr>
      <w:tr w:rsidR="005478D3" w:rsidTr="000A1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5478D3" w:rsidRPr="005478D3" w:rsidRDefault="005478D3" w:rsidP="005478D3">
            <w:pPr>
              <w:pStyle w:val="AERbodytext"/>
            </w:pPr>
            <w:r w:rsidRPr="005478D3">
              <w:t>AER - I&amp;C volume</w:t>
            </w:r>
          </w:p>
        </w:tc>
        <w:tc>
          <w:tcPr>
            <w:tcW w:w="723" w:type="dxa"/>
          </w:tcPr>
          <w:p w:rsidR="005478D3" w:rsidRPr="005478D3" w:rsidRDefault="005478D3" w:rsidP="005478D3">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5478D3" w:rsidRPr="005478D3" w:rsidRDefault="005478D3" w:rsidP="005478D3">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tcPr>
          <w:p w:rsidR="005478D3" w:rsidRPr="005478D3" w:rsidRDefault="005478D3" w:rsidP="005478D3">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5478D3" w:rsidRPr="005478D3" w:rsidRDefault="005478D3" w:rsidP="005478D3">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tcPr>
          <w:p w:rsidR="005478D3" w:rsidRPr="005478D3" w:rsidRDefault="005478D3" w:rsidP="005478D3">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5478D3" w:rsidRPr="005478D3" w:rsidRDefault="005478D3" w:rsidP="005478D3">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vAlign w:val="top"/>
          </w:tcPr>
          <w:p w:rsidR="005478D3" w:rsidRPr="005478D3" w:rsidRDefault="005478D3" w:rsidP="005478D3">
            <w:pPr>
              <w:pStyle w:val="AERtabletextright"/>
              <w:cnfStyle w:val="000000010000" w:firstRow="0" w:lastRow="0" w:firstColumn="0" w:lastColumn="0" w:oddVBand="0" w:evenVBand="0" w:oddHBand="0" w:evenHBand="1" w:firstRowFirstColumn="0" w:firstRowLastColumn="0" w:lastRowFirstColumn="0" w:lastRowLastColumn="0"/>
            </w:pPr>
            <w:r w:rsidRPr="005478D3">
              <w:t>854</w:t>
            </w:r>
          </w:p>
        </w:tc>
        <w:tc>
          <w:tcPr>
            <w:tcW w:w="723" w:type="dxa"/>
            <w:vAlign w:val="top"/>
          </w:tcPr>
          <w:p w:rsidR="005478D3" w:rsidRPr="005478D3" w:rsidRDefault="005478D3" w:rsidP="005478D3">
            <w:pPr>
              <w:pStyle w:val="AERtabletextright"/>
              <w:cnfStyle w:val="000000010000" w:firstRow="0" w:lastRow="0" w:firstColumn="0" w:lastColumn="0" w:oddVBand="0" w:evenVBand="0" w:oddHBand="0" w:evenHBand="1" w:firstRowFirstColumn="0" w:firstRowLastColumn="0" w:lastRowFirstColumn="0" w:lastRowLastColumn="0"/>
            </w:pPr>
            <w:r w:rsidRPr="005478D3">
              <w:t>864</w:t>
            </w:r>
          </w:p>
        </w:tc>
        <w:tc>
          <w:tcPr>
            <w:tcW w:w="724" w:type="dxa"/>
            <w:vAlign w:val="top"/>
          </w:tcPr>
          <w:p w:rsidR="005478D3" w:rsidRPr="005478D3" w:rsidRDefault="005478D3" w:rsidP="005478D3">
            <w:pPr>
              <w:pStyle w:val="AERtabletextright"/>
              <w:cnfStyle w:val="000000010000" w:firstRow="0" w:lastRow="0" w:firstColumn="0" w:lastColumn="0" w:oddVBand="0" w:evenVBand="0" w:oddHBand="0" w:evenHBand="1" w:firstRowFirstColumn="0" w:firstRowLastColumn="0" w:lastRowFirstColumn="0" w:lastRowLastColumn="0"/>
            </w:pPr>
            <w:r w:rsidRPr="005478D3">
              <w:t>877</w:t>
            </w:r>
          </w:p>
        </w:tc>
        <w:tc>
          <w:tcPr>
            <w:tcW w:w="723" w:type="dxa"/>
            <w:vAlign w:val="top"/>
          </w:tcPr>
          <w:p w:rsidR="005478D3" w:rsidRPr="005478D3" w:rsidRDefault="005478D3" w:rsidP="005478D3">
            <w:pPr>
              <w:pStyle w:val="AERtabletextright"/>
              <w:cnfStyle w:val="000000010000" w:firstRow="0" w:lastRow="0" w:firstColumn="0" w:lastColumn="0" w:oddVBand="0" w:evenVBand="0" w:oddHBand="0" w:evenHBand="1" w:firstRowFirstColumn="0" w:firstRowLastColumn="0" w:lastRowFirstColumn="0" w:lastRowLastColumn="0"/>
            </w:pPr>
            <w:r w:rsidRPr="005478D3">
              <w:t>893</w:t>
            </w:r>
          </w:p>
        </w:tc>
        <w:tc>
          <w:tcPr>
            <w:tcW w:w="724" w:type="dxa"/>
            <w:vAlign w:val="top"/>
          </w:tcPr>
          <w:p w:rsidR="005478D3" w:rsidRPr="005478D3" w:rsidRDefault="005478D3" w:rsidP="005478D3">
            <w:pPr>
              <w:pStyle w:val="AERtabletextright"/>
              <w:cnfStyle w:val="000000010000" w:firstRow="0" w:lastRow="0" w:firstColumn="0" w:lastColumn="0" w:oddVBand="0" w:evenVBand="0" w:oddHBand="0" w:evenHBand="1" w:firstRowFirstColumn="0" w:firstRowLastColumn="0" w:lastRowFirstColumn="0" w:lastRowLastColumn="0"/>
            </w:pPr>
            <w:r w:rsidRPr="005478D3">
              <w:t>907</w:t>
            </w:r>
          </w:p>
        </w:tc>
      </w:tr>
      <w:tr w:rsidR="00E85552" w:rsidTr="0062586A">
        <w:tc>
          <w:tcPr>
            <w:cnfStyle w:val="001000000000" w:firstRow="0" w:lastRow="0" w:firstColumn="1" w:lastColumn="0" w:oddVBand="0" w:evenVBand="0" w:oddHBand="0" w:evenHBand="0" w:firstRowFirstColumn="0" w:firstRowLastColumn="0" w:lastRowFirstColumn="0" w:lastRowLastColumn="0"/>
            <w:tcW w:w="1284" w:type="dxa"/>
          </w:tcPr>
          <w:p w:rsidR="00E85552" w:rsidRDefault="00E85552" w:rsidP="00E85552">
            <w:pPr>
              <w:pStyle w:val="AERbodytext"/>
            </w:pPr>
            <w:r>
              <w:t>JGN - total</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27,292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31,570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30,089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33,975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33,925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35,144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37,219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39,127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38,062 </w:t>
            </w:r>
          </w:p>
        </w:tc>
        <w:tc>
          <w:tcPr>
            <w:tcW w:w="723"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37,005 </w:t>
            </w:r>
          </w:p>
        </w:tc>
        <w:tc>
          <w:tcPr>
            <w:tcW w:w="724" w:type="dxa"/>
            <w:vAlign w:val="top"/>
          </w:tcPr>
          <w:p w:rsidR="00E85552" w:rsidRPr="00E85552" w:rsidRDefault="00E85552" w:rsidP="00E85552">
            <w:pPr>
              <w:pStyle w:val="AERtabletextright"/>
              <w:cnfStyle w:val="000000000000" w:firstRow="0" w:lastRow="0" w:firstColumn="0" w:lastColumn="0" w:oddVBand="0" w:evenVBand="0" w:oddHBand="0" w:evenHBand="0" w:firstRowFirstColumn="0" w:firstRowLastColumn="0" w:lastRowFirstColumn="0" w:lastRowLastColumn="0"/>
            </w:pPr>
            <w:r w:rsidRPr="00E85552">
              <w:t xml:space="preserve">36,948 </w:t>
            </w:r>
          </w:p>
        </w:tc>
      </w:tr>
      <w:tr w:rsidR="00C9628B" w:rsidTr="000A1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C9628B" w:rsidRPr="00C9628B" w:rsidRDefault="00C9628B" w:rsidP="00C9628B">
            <w:pPr>
              <w:pStyle w:val="AERbodytext"/>
            </w:pPr>
            <w:r w:rsidRPr="00C9628B">
              <w:t>AER - total</w:t>
            </w:r>
          </w:p>
        </w:tc>
        <w:tc>
          <w:tcPr>
            <w:tcW w:w="723" w:type="dxa"/>
          </w:tcPr>
          <w:p w:rsidR="00C9628B" w:rsidRPr="00C9628B" w:rsidRDefault="00C9628B" w:rsidP="00C9628B">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C9628B" w:rsidRPr="00C9628B" w:rsidRDefault="00C9628B" w:rsidP="00C9628B">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tcPr>
          <w:p w:rsidR="00C9628B" w:rsidRPr="00C9628B" w:rsidRDefault="00C9628B" w:rsidP="00C9628B">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C9628B" w:rsidRPr="00C9628B" w:rsidRDefault="00C9628B" w:rsidP="00C9628B">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tcPr>
          <w:p w:rsidR="00C9628B" w:rsidRPr="00C9628B" w:rsidRDefault="00C9628B" w:rsidP="00C9628B">
            <w:pPr>
              <w:pStyle w:val="AERtabletextright"/>
              <w:cnfStyle w:val="000000010000" w:firstRow="0" w:lastRow="0" w:firstColumn="0" w:lastColumn="0" w:oddVBand="0" w:evenVBand="0" w:oddHBand="0" w:evenHBand="1" w:firstRowFirstColumn="0" w:firstRowLastColumn="0" w:lastRowFirstColumn="0" w:lastRowLastColumn="0"/>
            </w:pPr>
          </w:p>
        </w:tc>
        <w:tc>
          <w:tcPr>
            <w:tcW w:w="723" w:type="dxa"/>
          </w:tcPr>
          <w:p w:rsidR="00C9628B" w:rsidRPr="00C9628B" w:rsidRDefault="00C9628B" w:rsidP="00C9628B">
            <w:pPr>
              <w:pStyle w:val="AERtabletextright"/>
              <w:cnfStyle w:val="000000010000" w:firstRow="0" w:lastRow="0" w:firstColumn="0" w:lastColumn="0" w:oddVBand="0" w:evenVBand="0" w:oddHBand="0" w:evenHBand="1" w:firstRowFirstColumn="0" w:firstRowLastColumn="0" w:lastRowFirstColumn="0" w:lastRowLastColumn="0"/>
            </w:pPr>
          </w:p>
        </w:tc>
        <w:tc>
          <w:tcPr>
            <w:tcW w:w="724" w:type="dxa"/>
            <w:vAlign w:val="top"/>
          </w:tcPr>
          <w:p w:rsidR="00C9628B" w:rsidRPr="00C9628B" w:rsidRDefault="00C9628B" w:rsidP="00C9628B">
            <w:pPr>
              <w:pStyle w:val="AERtabletextright"/>
              <w:cnfStyle w:val="000000010000" w:firstRow="0" w:lastRow="0" w:firstColumn="0" w:lastColumn="0" w:oddVBand="0" w:evenVBand="0" w:oddHBand="0" w:evenHBand="1" w:firstRowFirstColumn="0" w:firstRowLastColumn="0" w:lastRowFirstColumn="0" w:lastRowLastColumn="0"/>
            </w:pPr>
            <w:r w:rsidRPr="00C9628B">
              <w:t>36,685</w:t>
            </w:r>
          </w:p>
        </w:tc>
        <w:tc>
          <w:tcPr>
            <w:tcW w:w="723" w:type="dxa"/>
            <w:vAlign w:val="top"/>
          </w:tcPr>
          <w:p w:rsidR="00C9628B" w:rsidRPr="00C9628B" w:rsidRDefault="00C9628B" w:rsidP="00C9628B">
            <w:pPr>
              <w:pStyle w:val="AERtabletextright"/>
              <w:cnfStyle w:val="000000010000" w:firstRow="0" w:lastRow="0" w:firstColumn="0" w:lastColumn="0" w:oddVBand="0" w:evenVBand="0" w:oddHBand="0" w:evenHBand="1" w:firstRowFirstColumn="0" w:firstRowLastColumn="0" w:lastRowFirstColumn="0" w:lastRowLastColumn="0"/>
            </w:pPr>
            <w:r w:rsidRPr="00C9628B">
              <w:t>38,541</w:t>
            </w:r>
          </w:p>
        </w:tc>
        <w:tc>
          <w:tcPr>
            <w:tcW w:w="724" w:type="dxa"/>
            <w:vAlign w:val="top"/>
          </w:tcPr>
          <w:p w:rsidR="00C9628B" w:rsidRPr="00C9628B" w:rsidRDefault="00C9628B" w:rsidP="00C9628B">
            <w:pPr>
              <w:pStyle w:val="AERtabletextright"/>
              <w:cnfStyle w:val="000000010000" w:firstRow="0" w:lastRow="0" w:firstColumn="0" w:lastColumn="0" w:oddVBand="0" w:evenVBand="0" w:oddHBand="0" w:evenHBand="1" w:firstRowFirstColumn="0" w:firstRowLastColumn="0" w:lastRowFirstColumn="0" w:lastRowLastColumn="0"/>
            </w:pPr>
            <w:r w:rsidRPr="00C9628B">
              <w:t>37,423</w:t>
            </w:r>
          </w:p>
        </w:tc>
        <w:tc>
          <w:tcPr>
            <w:tcW w:w="723" w:type="dxa"/>
            <w:vAlign w:val="top"/>
          </w:tcPr>
          <w:p w:rsidR="00C9628B" w:rsidRPr="00C9628B" w:rsidRDefault="00C9628B" w:rsidP="00C9628B">
            <w:pPr>
              <w:pStyle w:val="AERtabletextright"/>
              <w:cnfStyle w:val="000000010000" w:firstRow="0" w:lastRow="0" w:firstColumn="0" w:lastColumn="0" w:oddVBand="0" w:evenVBand="0" w:oddHBand="0" w:evenHBand="1" w:firstRowFirstColumn="0" w:firstRowLastColumn="0" w:lastRowFirstColumn="0" w:lastRowLastColumn="0"/>
            </w:pPr>
            <w:r w:rsidRPr="00C9628B">
              <w:t>36,310</w:t>
            </w:r>
          </w:p>
        </w:tc>
        <w:tc>
          <w:tcPr>
            <w:tcW w:w="724" w:type="dxa"/>
            <w:vAlign w:val="top"/>
          </w:tcPr>
          <w:p w:rsidR="00C9628B" w:rsidRPr="00C9628B" w:rsidRDefault="00C9628B" w:rsidP="00C9628B">
            <w:pPr>
              <w:pStyle w:val="AERtabletextright"/>
              <w:cnfStyle w:val="000000010000" w:firstRow="0" w:lastRow="0" w:firstColumn="0" w:lastColumn="0" w:oddVBand="0" w:evenVBand="0" w:oddHBand="0" w:evenHBand="1" w:firstRowFirstColumn="0" w:firstRowLastColumn="0" w:lastRowFirstColumn="0" w:lastRowLastColumn="0"/>
            </w:pPr>
            <w:r w:rsidRPr="00C9628B">
              <w:t>36,192</w:t>
            </w:r>
          </w:p>
        </w:tc>
      </w:tr>
    </w:tbl>
    <w:p w:rsidR="00B34AC8" w:rsidRDefault="00E85552" w:rsidP="00E85552">
      <w:pPr>
        <w:pStyle w:val="AERtablesource"/>
      </w:pPr>
      <w:r>
        <w:t xml:space="preserve">Source: </w:t>
      </w:r>
      <w:r>
        <w:tab/>
      </w:r>
      <w:r w:rsidRPr="00B02D47">
        <w:t xml:space="preserve">JGN, </w:t>
      </w:r>
      <w:r w:rsidRPr="00B02D47">
        <w:rPr>
          <w:rStyle w:val="AERtextitalic"/>
        </w:rPr>
        <w:t>2015-20 Access Arrangement Information</w:t>
      </w:r>
      <w:r w:rsidRPr="00B02D47">
        <w:t>, June 2014,</w:t>
      </w:r>
      <w:r w:rsidRPr="00C97BCC">
        <w:t xml:space="preserve"> Appendix 6.7</w:t>
      </w:r>
      <w:r>
        <w:t xml:space="preserve"> </w:t>
      </w:r>
      <w:r w:rsidRPr="00C97BCC">
        <w:t>Forecast capital expenditure report</w:t>
      </w:r>
      <w:r>
        <w:t>, Table 4-3, p.</w:t>
      </w:r>
      <w:r w:rsidR="007533E2">
        <w:t xml:space="preserve"> </w:t>
      </w:r>
      <w:r>
        <w:t xml:space="preserve">15 [updated for Core Energy model changes]; Deloitte Access Economics, </w:t>
      </w:r>
      <w:r w:rsidR="00AA3554">
        <w:t>Australian Energy Regulator, Gas demand forecast for Jemena's NSW network, 30 October 2014</w:t>
      </w:r>
      <w:r>
        <w:t>.</w:t>
      </w:r>
    </w:p>
    <w:p w:rsidR="00CA5DDC" w:rsidRDefault="00CA5DDC" w:rsidP="00CA5DDC">
      <w:pPr>
        <w:pStyle w:val="HeadingOrange"/>
      </w:pPr>
      <w:r>
        <w:lastRenderedPageBreak/>
        <w:t>Unit rates</w:t>
      </w:r>
    </w:p>
    <w:p w:rsidR="00CA5DDC" w:rsidRDefault="00CA5DDC" w:rsidP="00CA5DDC">
      <w:pPr>
        <w:pStyle w:val="AERbodytext"/>
      </w:pPr>
      <w:r>
        <w:t xml:space="preserve">JGN </w:t>
      </w:r>
      <w:r w:rsidR="00876438">
        <w:t>stated that its forecast u</w:t>
      </w:r>
      <w:r w:rsidRPr="00E868D4">
        <w:t>nit rates</w:t>
      </w:r>
      <w:r w:rsidR="00876438">
        <w:t xml:space="preserve"> were</w:t>
      </w:r>
      <w:r w:rsidRPr="00E868D4">
        <w:t xml:space="preserve"> based on JGN’s historical average for unit rates for each connection type and contract rates applicable from 1 July 2013.</w:t>
      </w:r>
      <w:r w:rsidR="00876438">
        <w:rPr>
          <w:rStyle w:val="FootnoteReference"/>
        </w:rPr>
        <w:footnoteReference w:id="38"/>
      </w:r>
      <w:r>
        <w:t xml:space="preserve"> </w:t>
      </w:r>
      <w:r w:rsidR="006E7442">
        <w:t>We</w:t>
      </w:r>
      <w:r w:rsidR="005C56FA">
        <w:t xml:space="preserve"> requested the build-up of the forecast unit rates.</w:t>
      </w:r>
      <w:r w:rsidR="005C56FA">
        <w:rPr>
          <w:rStyle w:val="FootnoteReference"/>
        </w:rPr>
        <w:footnoteReference w:id="39"/>
      </w:r>
      <w:r w:rsidR="005C56FA">
        <w:t xml:space="preserve"> </w:t>
      </w:r>
    </w:p>
    <w:p w:rsidR="00861BD4" w:rsidRDefault="00465807" w:rsidP="00861BD4">
      <w:pPr>
        <w:pStyle w:val="AERbodytext"/>
      </w:pPr>
      <w:r>
        <w:t xml:space="preserve">We did not find that the forecast unit rates were supported by historical data and JGN's contract rates. </w:t>
      </w:r>
      <w:r w:rsidR="00E84F0B">
        <w:t xml:space="preserve">We requested that JGN provide a derivation of the unit rates. </w:t>
      </w:r>
      <w:r w:rsidR="00886CFC">
        <w:t>JGN provided a derivation which indicated that JGN has relied upon only one year of data (year to March 2013) for forecasting regional composition, material types and lay methods</w:t>
      </w:r>
      <w:r w:rsidR="00E84F0B">
        <w:t>.</w:t>
      </w:r>
      <w:r w:rsidR="00886CFC">
        <w:rPr>
          <w:rStyle w:val="FootnoteReference"/>
        </w:rPr>
        <w:footnoteReference w:id="40"/>
      </w:r>
      <w:r w:rsidR="00E84F0B">
        <w:t xml:space="preserve"> </w:t>
      </w:r>
      <w:r w:rsidR="00F94807">
        <w:t>As there can be significant differences in regional composition, material types and lay methods between years</w:t>
      </w:r>
      <w:r w:rsidR="009D6499">
        <w:t xml:space="preserve">, we consider </w:t>
      </w:r>
      <w:r w:rsidR="00861BD4">
        <w:t xml:space="preserve">that more than one year of </w:t>
      </w:r>
      <w:r w:rsidR="00F94807">
        <w:t xml:space="preserve">composition </w:t>
      </w:r>
      <w:r w:rsidR="00861BD4">
        <w:t xml:space="preserve">data should be used to forecast unit rates. We </w:t>
      </w:r>
      <w:r w:rsidR="009D6499">
        <w:t xml:space="preserve">are satisfied </w:t>
      </w:r>
      <w:r w:rsidR="00861BD4">
        <w:t xml:space="preserve">that at least three years of data </w:t>
      </w:r>
      <w:r w:rsidR="009D6499">
        <w:t>would</w:t>
      </w:r>
      <w:r w:rsidR="00861BD4">
        <w:t xml:space="preserve"> adequately capture differences in composition differences across time.</w:t>
      </w:r>
    </w:p>
    <w:p w:rsidR="00DF52C2" w:rsidRDefault="00DF52C2" w:rsidP="00861BD4">
      <w:pPr>
        <w:pStyle w:val="AERbodytext"/>
      </w:pPr>
      <w:r>
        <w:t xml:space="preserve">Unit rates are built up from assumptions </w:t>
      </w:r>
      <w:r w:rsidR="009D6499">
        <w:t xml:space="preserve">relating to </w:t>
      </w:r>
      <w:r>
        <w:t xml:space="preserve">metres of mains per connection, the number of services per connection and the number of meters per connection. JGN forecast </w:t>
      </w:r>
      <w:r w:rsidR="00384FED">
        <w:t xml:space="preserve">an 81 per cent </w:t>
      </w:r>
      <w:r>
        <w:t>increase in the metres of mains per connection</w:t>
      </w:r>
      <w:r w:rsidR="00384FED">
        <w:t xml:space="preserve"> compared with the average over 2010-13 period for medium/high density connections. It also forecast a 72 per cent increase in the metres of mains per connection compared with the average over the 2010-13 period for tariff V I&amp;C connections. </w:t>
      </w:r>
      <w:r w:rsidR="006E7442">
        <w:t xml:space="preserve">We </w:t>
      </w:r>
      <w:r w:rsidR="009D6499">
        <w:t xml:space="preserve">are not satisfied </w:t>
      </w:r>
      <w:r w:rsidR="006E7442">
        <w:t xml:space="preserve">that JGN has adequately explained these increases. </w:t>
      </w:r>
      <w:r w:rsidR="00384FED">
        <w:t xml:space="preserve">It did not explain the increase in medium/high density connections. It submitted that the tariff V I&amp;C connections increase </w:t>
      </w:r>
      <w:r w:rsidR="000E43FB">
        <w:t>reflected the average taken between 2006 and 2014.</w:t>
      </w:r>
      <w:r w:rsidR="000E43FB">
        <w:rPr>
          <w:rStyle w:val="FootnoteReference"/>
        </w:rPr>
        <w:footnoteReference w:id="41"/>
      </w:r>
      <w:r w:rsidR="000E43FB">
        <w:t xml:space="preserve"> Included in this average are some years which appear to be outliers. We also do not consider that 2014, as a forecast year, should be included in an historical average.</w:t>
      </w:r>
      <w:r w:rsidR="00384FED">
        <w:t xml:space="preserve"> </w:t>
      </w:r>
      <w:r w:rsidR="000E43FB">
        <w:t>There also appears to be a</w:t>
      </w:r>
      <w:r w:rsidR="009D6499">
        <w:t>n</w:t>
      </w:r>
      <w:r w:rsidR="000E43FB">
        <w:t xml:space="preserve"> </w:t>
      </w:r>
      <w:r w:rsidR="009D6499">
        <w:t>in</w:t>
      </w:r>
      <w:r w:rsidR="000E43FB">
        <w:t>consistency in the number of years which JGN uses to forecast historical averages across categories</w:t>
      </w:r>
      <w:r w:rsidR="006E7442">
        <w:t xml:space="preserve">. To have confidence that the unit rates that are calculated from historical averages are efficient, we consider that a consistent averaging </w:t>
      </w:r>
      <w:r w:rsidR="00AA4EE3">
        <w:t xml:space="preserve">process should be used. In the absence of further information supporting the use of different bases for averaging, we </w:t>
      </w:r>
      <w:r w:rsidR="009D6499">
        <w:t xml:space="preserve">are not satisfied </w:t>
      </w:r>
      <w:r w:rsidR="00AA4EE3">
        <w:t>that JGN has justified the proposed unit rates.</w:t>
      </w:r>
    </w:p>
    <w:p w:rsidR="00465807" w:rsidRDefault="00465807" w:rsidP="00CA5DDC">
      <w:pPr>
        <w:pStyle w:val="AERbodytext"/>
      </w:pPr>
      <w:r>
        <w:t xml:space="preserve">On the evidence available to us, we considered that recent revealed unit rates provide the best estimate in the circumstances. We therefore calculated the </w:t>
      </w:r>
      <w:r w:rsidR="001E62E7">
        <w:t>unit rates using actual data between 2008 and 2013. For each Tariff V connection type we built up a total unit rate from the mains, services and meter unit rates and used these as our unit rate estimate for the 201</w:t>
      </w:r>
      <w:r w:rsidR="00B25066">
        <w:t>5</w:t>
      </w:r>
      <w:r w:rsidR="001E62E7">
        <w:t>-20 access arrangement period.</w:t>
      </w:r>
      <w:r w:rsidR="00C07573">
        <w:t xml:space="preserve"> We understand that in using these historical rates we are including direct overheads and related party margins and the cost of metretek and data meter loggers.</w:t>
      </w:r>
      <w:r w:rsidR="00C07573">
        <w:rPr>
          <w:rStyle w:val="FootnoteReference"/>
        </w:rPr>
        <w:footnoteReference w:id="42"/>
      </w:r>
    </w:p>
    <w:p w:rsidR="00B25066" w:rsidRPr="00B25066" w:rsidRDefault="00B25066" w:rsidP="00B25066">
      <w:pPr>
        <w:pStyle w:val="HeadingOrange"/>
        <w:rPr>
          <w:rStyle w:val="AERtextblue"/>
          <w:color w:val="E36C0A"/>
        </w:rPr>
      </w:pPr>
      <w:r w:rsidRPr="00B25066">
        <w:rPr>
          <w:rStyle w:val="AERtextblue"/>
          <w:color w:val="E36C0A"/>
        </w:rPr>
        <w:t>Expenditure</w:t>
      </w:r>
    </w:p>
    <w:p w:rsidR="00B25066" w:rsidRDefault="00B25066" w:rsidP="00B25066">
      <w:pPr>
        <w:pStyle w:val="AERbodytext"/>
      </w:pPr>
      <w:r w:rsidRPr="00B25066">
        <w:t xml:space="preserve">In order to calculate the Tariff V connections </w:t>
      </w:r>
      <w:r>
        <w:t xml:space="preserve">expenditure to include </w:t>
      </w:r>
      <w:r w:rsidR="00AA4EE3">
        <w:t>our</w:t>
      </w:r>
      <w:r>
        <w:t xml:space="preserve"> alternative capex estimate, we multiplied the volumes by the unit rates. This resulted in a total Tariff V connection expenditure of $</w:t>
      </w:r>
      <w:r w:rsidR="00DC0BAE">
        <w:t>284.1</w:t>
      </w:r>
      <w:r>
        <w:t xml:space="preserve"> million (</w:t>
      </w:r>
      <w:r w:rsidRPr="004D07A1">
        <w:t>($201</w:t>
      </w:r>
      <w:r>
        <w:t>5</w:t>
      </w:r>
      <w:r w:rsidRPr="004D07A1">
        <w:t>, unescalated direct costs, excluding overheads)</w:t>
      </w:r>
      <w:r>
        <w:t xml:space="preserve"> for the 2015-20 access arrangement period (see</w:t>
      </w:r>
      <w:r w:rsidR="008D60EC">
        <w:t xml:space="preserve"> </w:t>
      </w:r>
      <w:r w:rsidR="008D60EC">
        <w:fldChar w:fldCharType="begin"/>
      </w:r>
      <w:r w:rsidR="008D60EC">
        <w:instrText xml:space="preserve"> REF _Ref401513802 \h </w:instrText>
      </w:r>
      <w:r w:rsidR="008D60EC">
        <w:fldChar w:fldCharType="separate"/>
      </w:r>
      <w:r w:rsidR="0029475D">
        <w:t xml:space="preserve">Table </w:t>
      </w:r>
      <w:r w:rsidR="0029475D">
        <w:rPr>
          <w:noProof/>
        </w:rPr>
        <w:t>6</w:t>
      </w:r>
      <w:r w:rsidR="0029475D">
        <w:noBreakHyphen/>
      </w:r>
      <w:r w:rsidR="0029475D">
        <w:rPr>
          <w:noProof/>
        </w:rPr>
        <w:t>10</w:t>
      </w:r>
      <w:r w:rsidR="008D60EC">
        <w:fldChar w:fldCharType="end"/>
      </w:r>
      <w:r>
        <w:t>).</w:t>
      </w:r>
    </w:p>
    <w:p w:rsidR="00B25066" w:rsidRDefault="00B25066" w:rsidP="00B25066">
      <w:pPr>
        <w:pStyle w:val="Caption"/>
      </w:pPr>
      <w:bookmarkStart w:id="45" w:name="_Ref401513802"/>
      <w:r>
        <w:lastRenderedPageBreak/>
        <w:t xml:space="preserve">Table </w:t>
      </w:r>
      <w:fldSimple w:instr=" STYLEREF 1 \s ">
        <w:r w:rsidR="0029475D">
          <w:rPr>
            <w:noProof/>
          </w:rPr>
          <w:t>6</w:t>
        </w:r>
      </w:fldSimple>
      <w:r w:rsidR="009F7369">
        <w:noBreakHyphen/>
      </w:r>
      <w:fldSimple w:instr=" SEQ Table \* ARABIC \s 1 ">
        <w:r w:rsidR="0029475D">
          <w:rPr>
            <w:noProof/>
          </w:rPr>
          <w:t>10</w:t>
        </w:r>
      </w:fldSimple>
      <w:bookmarkEnd w:id="45"/>
      <w:r>
        <w:tab/>
        <w:t>AER included Tariff V connections expenditure ($million, real 2014-15</w:t>
      </w:r>
      <w:r w:rsidR="00A60A2E">
        <w:t>, unescalated direct costs, excluding overheads</w:t>
      </w:r>
      <w:r>
        <w:t>)</w:t>
      </w:r>
    </w:p>
    <w:tbl>
      <w:tblPr>
        <w:tblStyle w:val="AERtable-numbers"/>
        <w:tblW w:w="0" w:type="auto"/>
        <w:tblLook w:val="04A0" w:firstRow="1" w:lastRow="0" w:firstColumn="1" w:lastColumn="0" w:noHBand="0" w:noVBand="1"/>
      </w:tblPr>
      <w:tblGrid>
        <w:gridCol w:w="1320"/>
        <w:gridCol w:w="1320"/>
        <w:gridCol w:w="1320"/>
        <w:gridCol w:w="1321"/>
        <w:gridCol w:w="1320"/>
        <w:gridCol w:w="1320"/>
        <w:gridCol w:w="1321"/>
      </w:tblGrid>
      <w:tr w:rsidR="00B25066" w:rsidTr="00B25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B25066" w:rsidRDefault="00B25066" w:rsidP="00B25066">
            <w:pPr>
              <w:pStyle w:val="AERbodytext"/>
            </w:pPr>
            <w:r>
              <w:t>Connection type</w:t>
            </w:r>
          </w:p>
        </w:tc>
        <w:tc>
          <w:tcPr>
            <w:tcW w:w="1320" w:type="dxa"/>
          </w:tcPr>
          <w:p w:rsidR="00B25066" w:rsidRDefault="00B25066" w:rsidP="00B25066">
            <w:pPr>
              <w:pStyle w:val="AERbodytext"/>
              <w:cnfStyle w:val="100000000000" w:firstRow="1" w:lastRow="0" w:firstColumn="0" w:lastColumn="0" w:oddVBand="0" w:evenVBand="0" w:oddHBand="0" w:evenHBand="0" w:firstRowFirstColumn="0" w:firstRowLastColumn="0" w:lastRowFirstColumn="0" w:lastRowLastColumn="0"/>
            </w:pPr>
            <w:r>
              <w:t>2016</w:t>
            </w:r>
          </w:p>
        </w:tc>
        <w:tc>
          <w:tcPr>
            <w:tcW w:w="1320" w:type="dxa"/>
          </w:tcPr>
          <w:p w:rsidR="00B25066" w:rsidRDefault="00B25066" w:rsidP="00B25066">
            <w:pPr>
              <w:pStyle w:val="AERbodytext"/>
              <w:cnfStyle w:val="100000000000" w:firstRow="1" w:lastRow="0" w:firstColumn="0" w:lastColumn="0" w:oddVBand="0" w:evenVBand="0" w:oddHBand="0" w:evenHBand="0" w:firstRowFirstColumn="0" w:firstRowLastColumn="0" w:lastRowFirstColumn="0" w:lastRowLastColumn="0"/>
            </w:pPr>
            <w:r>
              <w:t>2017</w:t>
            </w:r>
          </w:p>
        </w:tc>
        <w:tc>
          <w:tcPr>
            <w:tcW w:w="1321" w:type="dxa"/>
          </w:tcPr>
          <w:p w:rsidR="00B25066" w:rsidRDefault="00B25066" w:rsidP="00B25066">
            <w:pPr>
              <w:pStyle w:val="AERbodytext"/>
              <w:cnfStyle w:val="100000000000" w:firstRow="1" w:lastRow="0" w:firstColumn="0" w:lastColumn="0" w:oddVBand="0" w:evenVBand="0" w:oddHBand="0" w:evenHBand="0" w:firstRowFirstColumn="0" w:firstRowLastColumn="0" w:lastRowFirstColumn="0" w:lastRowLastColumn="0"/>
            </w:pPr>
            <w:r>
              <w:t>2018</w:t>
            </w:r>
          </w:p>
        </w:tc>
        <w:tc>
          <w:tcPr>
            <w:tcW w:w="1320" w:type="dxa"/>
          </w:tcPr>
          <w:p w:rsidR="00B25066" w:rsidRDefault="00B25066" w:rsidP="00B25066">
            <w:pPr>
              <w:pStyle w:val="AERbodytext"/>
              <w:cnfStyle w:val="100000000000" w:firstRow="1" w:lastRow="0" w:firstColumn="0" w:lastColumn="0" w:oddVBand="0" w:evenVBand="0" w:oddHBand="0" w:evenHBand="0" w:firstRowFirstColumn="0" w:firstRowLastColumn="0" w:lastRowFirstColumn="0" w:lastRowLastColumn="0"/>
            </w:pPr>
            <w:r>
              <w:t>2019</w:t>
            </w:r>
          </w:p>
        </w:tc>
        <w:tc>
          <w:tcPr>
            <w:tcW w:w="1320" w:type="dxa"/>
          </w:tcPr>
          <w:p w:rsidR="00B25066" w:rsidRDefault="00B25066" w:rsidP="00B25066">
            <w:pPr>
              <w:pStyle w:val="AERbodytext"/>
              <w:cnfStyle w:val="100000000000" w:firstRow="1" w:lastRow="0" w:firstColumn="0" w:lastColumn="0" w:oddVBand="0" w:evenVBand="0" w:oddHBand="0" w:evenHBand="0" w:firstRowFirstColumn="0" w:firstRowLastColumn="0" w:lastRowFirstColumn="0" w:lastRowLastColumn="0"/>
            </w:pPr>
            <w:r>
              <w:t>2020</w:t>
            </w:r>
          </w:p>
        </w:tc>
        <w:tc>
          <w:tcPr>
            <w:tcW w:w="1321" w:type="dxa"/>
          </w:tcPr>
          <w:p w:rsidR="00B25066" w:rsidRDefault="00B25066" w:rsidP="00B25066">
            <w:pPr>
              <w:pStyle w:val="AERbodytext"/>
              <w:cnfStyle w:val="100000000000" w:firstRow="1" w:lastRow="0" w:firstColumn="0" w:lastColumn="0" w:oddVBand="0" w:evenVBand="0" w:oddHBand="0" w:evenHBand="0" w:firstRowFirstColumn="0" w:firstRowLastColumn="0" w:lastRowFirstColumn="0" w:lastRowLastColumn="0"/>
            </w:pPr>
            <w:r>
              <w:t>Total</w:t>
            </w:r>
          </w:p>
        </w:tc>
      </w:tr>
      <w:tr w:rsidR="002F3E8D" w:rsidTr="009B0BC2">
        <w:tc>
          <w:tcPr>
            <w:cnfStyle w:val="001000000000" w:firstRow="0" w:lastRow="0" w:firstColumn="1" w:lastColumn="0" w:oddVBand="0" w:evenVBand="0" w:oddHBand="0" w:evenHBand="0" w:firstRowFirstColumn="0" w:firstRowLastColumn="0" w:lastRowFirstColumn="0" w:lastRowLastColumn="0"/>
            <w:tcW w:w="1320" w:type="dxa"/>
          </w:tcPr>
          <w:p w:rsidR="002F3E8D" w:rsidRPr="002F3E8D" w:rsidRDefault="002F3E8D" w:rsidP="002F3E8D">
            <w:pPr>
              <w:pStyle w:val="AERbodytext"/>
            </w:pPr>
            <w:r w:rsidRPr="002F3E8D">
              <w:t>Residential</w:t>
            </w:r>
          </w:p>
        </w:tc>
        <w:tc>
          <w:tcPr>
            <w:tcW w:w="1320" w:type="dxa"/>
            <w:vAlign w:val="top"/>
          </w:tcPr>
          <w:p w:rsidR="002F3E8D" w:rsidRPr="002F3E8D" w:rsidRDefault="002F3E8D" w:rsidP="002F3E8D">
            <w:pPr>
              <w:pStyle w:val="AERtabletextright"/>
              <w:cnfStyle w:val="000000000000" w:firstRow="0" w:lastRow="0" w:firstColumn="0" w:lastColumn="0" w:oddVBand="0" w:evenVBand="0" w:oddHBand="0" w:evenHBand="0" w:firstRowFirstColumn="0" w:firstRowLastColumn="0" w:lastRowFirstColumn="0" w:lastRowLastColumn="0"/>
            </w:pPr>
            <w:r w:rsidRPr="002F3E8D">
              <w:t xml:space="preserve"> 51.4 </w:t>
            </w:r>
          </w:p>
        </w:tc>
        <w:tc>
          <w:tcPr>
            <w:tcW w:w="1320" w:type="dxa"/>
            <w:vAlign w:val="top"/>
          </w:tcPr>
          <w:p w:rsidR="002F3E8D" w:rsidRPr="002F3E8D" w:rsidRDefault="002F3E8D" w:rsidP="002F3E8D">
            <w:pPr>
              <w:pStyle w:val="AERtabletextright"/>
              <w:cnfStyle w:val="000000000000" w:firstRow="0" w:lastRow="0" w:firstColumn="0" w:lastColumn="0" w:oddVBand="0" w:evenVBand="0" w:oddHBand="0" w:evenHBand="0" w:firstRowFirstColumn="0" w:firstRowLastColumn="0" w:lastRowFirstColumn="0" w:lastRowLastColumn="0"/>
            </w:pPr>
            <w:r w:rsidRPr="002F3E8D">
              <w:t xml:space="preserve"> 53.6 </w:t>
            </w:r>
          </w:p>
        </w:tc>
        <w:tc>
          <w:tcPr>
            <w:tcW w:w="1321" w:type="dxa"/>
            <w:vAlign w:val="top"/>
          </w:tcPr>
          <w:p w:rsidR="002F3E8D" w:rsidRPr="002F3E8D" w:rsidRDefault="002F3E8D" w:rsidP="002F3E8D">
            <w:pPr>
              <w:pStyle w:val="AERtabletextright"/>
              <w:cnfStyle w:val="000000000000" w:firstRow="0" w:lastRow="0" w:firstColumn="0" w:lastColumn="0" w:oddVBand="0" w:evenVBand="0" w:oddHBand="0" w:evenHBand="0" w:firstRowFirstColumn="0" w:firstRowLastColumn="0" w:lastRowFirstColumn="0" w:lastRowLastColumn="0"/>
            </w:pPr>
            <w:r w:rsidRPr="002F3E8D">
              <w:t xml:space="preserve"> 52.0 </w:t>
            </w:r>
          </w:p>
        </w:tc>
        <w:tc>
          <w:tcPr>
            <w:tcW w:w="1320" w:type="dxa"/>
            <w:vAlign w:val="top"/>
          </w:tcPr>
          <w:p w:rsidR="002F3E8D" w:rsidRPr="002F3E8D" w:rsidRDefault="002F3E8D" w:rsidP="002F3E8D">
            <w:pPr>
              <w:pStyle w:val="AERtabletextright"/>
              <w:cnfStyle w:val="000000000000" w:firstRow="0" w:lastRow="0" w:firstColumn="0" w:lastColumn="0" w:oddVBand="0" w:evenVBand="0" w:oddHBand="0" w:evenHBand="0" w:firstRowFirstColumn="0" w:firstRowLastColumn="0" w:lastRowFirstColumn="0" w:lastRowLastColumn="0"/>
            </w:pPr>
            <w:r w:rsidRPr="002F3E8D">
              <w:t xml:space="preserve"> 50.5 </w:t>
            </w:r>
          </w:p>
        </w:tc>
        <w:tc>
          <w:tcPr>
            <w:tcW w:w="1320" w:type="dxa"/>
            <w:vAlign w:val="top"/>
          </w:tcPr>
          <w:p w:rsidR="002F3E8D" w:rsidRPr="002F3E8D" w:rsidRDefault="002F3E8D" w:rsidP="002F3E8D">
            <w:pPr>
              <w:pStyle w:val="AERtabletextright"/>
              <w:cnfStyle w:val="000000000000" w:firstRow="0" w:lastRow="0" w:firstColumn="0" w:lastColumn="0" w:oddVBand="0" w:evenVBand="0" w:oddHBand="0" w:evenHBand="0" w:firstRowFirstColumn="0" w:firstRowLastColumn="0" w:lastRowFirstColumn="0" w:lastRowLastColumn="0"/>
            </w:pPr>
            <w:r w:rsidRPr="002F3E8D">
              <w:t xml:space="preserve"> 50.2 </w:t>
            </w:r>
          </w:p>
        </w:tc>
        <w:tc>
          <w:tcPr>
            <w:tcW w:w="1321" w:type="dxa"/>
            <w:vAlign w:val="top"/>
          </w:tcPr>
          <w:p w:rsidR="002F3E8D" w:rsidRPr="002F3E8D" w:rsidRDefault="002F3E8D" w:rsidP="002F3E8D">
            <w:pPr>
              <w:pStyle w:val="AERtabletextright"/>
              <w:cnfStyle w:val="000000000000" w:firstRow="0" w:lastRow="0" w:firstColumn="0" w:lastColumn="0" w:oddVBand="0" w:evenVBand="0" w:oddHBand="0" w:evenHBand="0" w:firstRowFirstColumn="0" w:firstRowLastColumn="0" w:lastRowFirstColumn="0" w:lastRowLastColumn="0"/>
            </w:pPr>
            <w:r w:rsidRPr="002F3E8D">
              <w:t xml:space="preserve"> 257.7 </w:t>
            </w:r>
          </w:p>
        </w:tc>
      </w:tr>
      <w:tr w:rsidR="002F3E8D" w:rsidTr="009B0B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2F3E8D" w:rsidRPr="002F3E8D" w:rsidRDefault="002F3E8D" w:rsidP="002F3E8D">
            <w:pPr>
              <w:pStyle w:val="AERbodytext"/>
            </w:pPr>
            <w:r w:rsidRPr="002F3E8D">
              <w:t>I&amp;C volume</w:t>
            </w:r>
          </w:p>
        </w:tc>
        <w:tc>
          <w:tcPr>
            <w:tcW w:w="1320" w:type="dxa"/>
            <w:vAlign w:val="top"/>
          </w:tcPr>
          <w:p w:rsidR="002F3E8D" w:rsidRPr="002F3E8D" w:rsidRDefault="002F3E8D" w:rsidP="002F3E8D">
            <w:pPr>
              <w:pStyle w:val="AERtabletextright"/>
              <w:cnfStyle w:val="000000010000" w:firstRow="0" w:lastRow="0" w:firstColumn="0" w:lastColumn="0" w:oddVBand="0" w:evenVBand="0" w:oddHBand="0" w:evenHBand="1" w:firstRowFirstColumn="0" w:firstRowLastColumn="0" w:lastRowFirstColumn="0" w:lastRowLastColumn="0"/>
            </w:pPr>
            <w:r w:rsidRPr="002F3E8D">
              <w:t>5.1</w:t>
            </w:r>
          </w:p>
        </w:tc>
        <w:tc>
          <w:tcPr>
            <w:tcW w:w="1320" w:type="dxa"/>
            <w:vAlign w:val="top"/>
          </w:tcPr>
          <w:p w:rsidR="002F3E8D" w:rsidRPr="002F3E8D" w:rsidRDefault="002F3E8D" w:rsidP="002F3E8D">
            <w:pPr>
              <w:pStyle w:val="AERtabletextright"/>
              <w:cnfStyle w:val="000000010000" w:firstRow="0" w:lastRow="0" w:firstColumn="0" w:lastColumn="0" w:oddVBand="0" w:evenVBand="0" w:oddHBand="0" w:evenHBand="1" w:firstRowFirstColumn="0" w:firstRowLastColumn="0" w:lastRowFirstColumn="0" w:lastRowLastColumn="0"/>
            </w:pPr>
            <w:r w:rsidRPr="002F3E8D">
              <w:t>5.2</w:t>
            </w:r>
          </w:p>
        </w:tc>
        <w:tc>
          <w:tcPr>
            <w:tcW w:w="1321" w:type="dxa"/>
            <w:vAlign w:val="top"/>
          </w:tcPr>
          <w:p w:rsidR="002F3E8D" w:rsidRPr="002F3E8D" w:rsidRDefault="002F3E8D" w:rsidP="002F3E8D">
            <w:pPr>
              <w:pStyle w:val="AERtabletextright"/>
              <w:cnfStyle w:val="000000010000" w:firstRow="0" w:lastRow="0" w:firstColumn="0" w:lastColumn="0" w:oddVBand="0" w:evenVBand="0" w:oddHBand="0" w:evenHBand="1" w:firstRowFirstColumn="0" w:firstRowLastColumn="0" w:lastRowFirstColumn="0" w:lastRowLastColumn="0"/>
            </w:pPr>
            <w:r w:rsidRPr="002F3E8D">
              <w:t>5.3</w:t>
            </w:r>
          </w:p>
        </w:tc>
        <w:tc>
          <w:tcPr>
            <w:tcW w:w="1320" w:type="dxa"/>
            <w:vAlign w:val="top"/>
          </w:tcPr>
          <w:p w:rsidR="002F3E8D" w:rsidRPr="002F3E8D" w:rsidRDefault="002F3E8D" w:rsidP="002F3E8D">
            <w:pPr>
              <w:pStyle w:val="AERtabletextright"/>
              <w:cnfStyle w:val="000000010000" w:firstRow="0" w:lastRow="0" w:firstColumn="0" w:lastColumn="0" w:oddVBand="0" w:evenVBand="0" w:oddHBand="0" w:evenHBand="1" w:firstRowFirstColumn="0" w:firstRowLastColumn="0" w:lastRowFirstColumn="0" w:lastRowLastColumn="0"/>
            </w:pPr>
            <w:r w:rsidRPr="002F3E8D">
              <w:t>5.4</w:t>
            </w:r>
          </w:p>
        </w:tc>
        <w:tc>
          <w:tcPr>
            <w:tcW w:w="1320" w:type="dxa"/>
            <w:vAlign w:val="top"/>
          </w:tcPr>
          <w:p w:rsidR="002F3E8D" w:rsidRPr="002F3E8D" w:rsidRDefault="002F3E8D" w:rsidP="002F3E8D">
            <w:pPr>
              <w:pStyle w:val="AERtabletextright"/>
              <w:cnfStyle w:val="000000010000" w:firstRow="0" w:lastRow="0" w:firstColumn="0" w:lastColumn="0" w:oddVBand="0" w:evenVBand="0" w:oddHBand="0" w:evenHBand="1" w:firstRowFirstColumn="0" w:firstRowLastColumn="0" w:lastRowFirstColumn="0" w:lastRowLastColumn="0"/>
            </w:pPr>
            <w:r w:rsidRPr="002F3E8D">
              <w:t>5.4</w:t>
            </w:r>
          </w:p>
        </w:tc>
        <w:tc>
          <w:tcPr>
            <w:tcW w:w="1321" w:type="dxa"/>
            <w:vAlign w:val="top"/>
          </w:tcPr>
          <w:p w:rsidR="002F3E8D" w:rsidRPr="002F3E8D" w:rsidRDefault="002F3E8D" w:rsidP="002F3E8D">
            <w:pPr>
              <w:pStyle w:val="AERtabletextright"/>
              <w:cnfStyle w:val="000000010000" w:firstRow="0" w:lastRow="0" w:firstColumn="0" w:lastColumn="0" w:oddVBand="0" w:evenVBand="0" w:oddHBand="0" w:evenHBand="1" w:firstRowFirstColumn="0" w:firstRowLastColumn="0" w:lastRowFirstColumn="0" w:lastRowLastColumn="0"/>
            </w:pPr>
            <w:r w:rsidRPr="002F3E8D">
              <w:t>26.4</w:t>
            </w:r>
          </w:p>
        </w:tc>
      </w:tr>
    </w:tbl>
    <w:p w:rsidR="00B25066" w:rsidRPr="00B25066" w:rsidRDefault="00B25066" w:rsidP="00B25066">
      <w:pPr>
        <w:pStyle w:val="AERtablesource"/>
      </w:pPr>
      <w:r>
        <w:t xml:space="preserve">Source: </w:t>
      </w:r>
      <w:r>
        <w:tab/>
        <w:t>AER analysis.</w:t>
      </w:r>
    </w:p>
    <w:p w:rsidR="00CA5DDC" w:rsidRPr="00CA5DDC" w:rsidRDefault="004D07A1" w:rsidP="00CA5DDC">
      <w:pPr>
        <w:pStyle w:val="HeadingOrange"/>
        <w:rPr>
          <w:rStyle w:val="AERtextblue"/>
        </w:rPr>
      </w:pPr>
      <w:r>
        <w:rPr>
          <w:rStyle w:val="AERtextblue"/>
        </w:rPr>
        <w:t xml:space="preserve">I&amp;C contract </w:t>
      </w:r>
      <w:r w:rsidRPr="00CA5DDC">
        <w:rPr>
          <w:rStyle w:val="AERtextblue"/>
        </w:rPr>
        <w:t>connection</w:t>
      </w:r>
      <w:r>
        <w:rPr>
          <w:rStyle w:val="AERtextblue"/>
        </w:rPr>
        <w:t xml:space="preserve"> expenditure</w:t>
      </w:r>
      <w:r w:rsidRPr="00CA5DDC">
        <w:rPr>
          <w:rStyle w:val="AERtextblue"/>
        </w:rPr>
        <w:t xml:space="preserve"> </w:t>
      </w:r>
      <w:r>
        <w:rPr>
          <w:rStyle w:val="AERtextblue"/>
        </w:rPr>
        <w:t>(</w:t>
      </w:r>
      <w:r w:rsidR="00CA5DDC" w:rsidRPr="00CA5DDC">
        <w:rPr>
          <w:rStyle w:val="AERtextblue"/>
        </w:rPr>
        <w:t xml:space="preserve">Tariff D or demand </w:t>
      </w:r>
      <w:r>
        <w:rPr>
          <w:rStyle w:val="AERtextblue"/>
        </w:rPr>
        <w:t>connections)</w:t>
      </w:r>
    </w:p>
    <w:p w:rsidR="00CA5DDC" w:rsidRDefault="00F55FD6" w:rsidP="00F55FD6">
      <w:pPr>
        <w:pStyle w:val="AERbodytext"/>
      </w:pPr>
      <w:r>
        <w:t>I&amp;C contract connections are major industrial customer</w:t>
      </w:r>
      <w:r w:rsidRPr="00F55FD6">
        <w:t xml:space="preserve"> </w:t>
      </w:r>
      <w:r>
        <w:t>connection</w:t>
      </w:r>
      <w:r w:rsidR="009D6499">
        <w:t>s</w:t>
      </w:r>
      <w:r>
        <w:t xml:space="preserve">. These customers </w:t>
      </w:r>
      <w:r w:rsidRPr="00F55FD6">
        <w:t>us</w:t>
      </w:r>
      <w:r>
        <w:t>e</w:t>
      </w:r>
      <w:r w:rsidRPr="00F55FD6">
        <w:t xml:space="preserve"> more than 10 TJ p</w:t>
      </w:r>
      <w:r>
        <w:t>er year</w:t>
      </w:r>
      <w:r w:rsidRPr="00F55FD6">
        <w:t>.</w:t>
      </w:r>
      <w:r>
        <w:rPr>
          <w:rStyle w:val="FootnoteReference"/>
        </w:rPr>
        <w:footnoteReference w:id="43"/>
      </w:r>
    </w:p>
    <w:p w:rsidR="00CA5DDC" w:rsidRDefault="004D07A1" w:rsidP="00CA5DDC">
      <w:pPr>
        <w:pStyle w:val="AERbodytext"/>
      </w:pPr>
      <w:r>
        <w:t xml:space="preserve">JGN forecast I&amp;C contract connections on a total expenditure basis. </w:t>
      </w:r>
      <w:r w:rsidR="002C58E1">
        <w:t xml:space="preserve">It proposed $10.0 million </w:t>
      </w:r>
      <w:r w:rsidR="002C58E1" w:rsidRPr="004D07A1">
        <w:t>($201</w:t>
      </w:r>
      <w:r w:rsidR="002C58E1">
        <w:t>5</w:t>
      </w:r>
      <w:r w:rsidR="002C58E1" w:rsidRPr="004D07A1">
        <w:t>, unescalated direct costs, excluding overheads) over the 201</w:t>
      </w:r>
      <w:r w:rsidR="002C58E1">
        <w:t>5</w:t>
      </w:r>
      <w:r w:rsidR="002C58E1" w:rsidRPr="004D07A1">
        <w:t>–</w:t>
      </w:r>
      <w:r w:rsidR="002C58E1">
        <w:t>20</w:t>
      </w:r>
      <w:r w:rsidR="002C58E1" w:rsidRPr="004D07A1">
        <w:t xml:space="preserve"> access arrangement period</w:t>
      </w:r>
      <w:r w:rsidR="002C58E1">
        <w:t>.</w:t>
      </w:r>
      <w:r w:rsidR="003E1A9E">
        <w:rPr>
          <w:rStyle w:val="FootnoteReference"/>
        </w:rPr>
        <w:footnoteReference w:id="44"/>
      </w:r>
      <w:r w:rsidR="002C58E1">
        <w:t xml:space="preserve"> </w:t>
      </w:r>
      <w:r>
        <w:t xml:space="preserve">JGN </w:t>
      </w:r>
      <w:r w:rsidR="00E84F0B">
        <w:t xml:space="preserve">did not </w:t>
      </w:r>
      <w:r>
        <w:t>provide the basis for the estimate</w:t>
      </w:r>
      <w:r w:rsidR="003F72EE">
        <w:t xml:space="preserve"> in its proposal</w:t>
      </w:r>
      <w:r>
        <w:t>.</w:t>
      </w:r>
      <w:r w:rsidR="003F72EE">
        <w:t xml:space="preserve"> In response to </w:t>
      </w:r>
      <w:r w:rsidR="00AA4EE3">
        <w:t>our</w:t>
      </w:r>
      <w:r w:rsidR="003F72EE">
        <w:t xml:space="preserve"> request for further information on the method used to forecast I&amp;C contract connection expenditure, JG</w:t>
      </w:r>
      <w:r w:rsidR="00C70B59">
        <w:t>N stated that the basis was JGN's business forecast for the year to March 2014 excluding an unusual one-off connection.</w:t>
      </w:r>
      <w:r w:rsidR="00C70B59">
        <w:rPr>
          <w:rStyle w:val="FootnoteReference"/>
        </w:rPr>
        <w:footnoteReference w:id="45"/>
      </w:r>
      <w:r w:rsidR="00067C44">
        <w:t xml:space="preserve"> </w:t>
      </w:r>
      <w:r w:rsidR="00C667DA">
        <w:t xml:space="preserve">It did not provide information on the method used to forecast the 2014 forecast. </w:t>
      </w:r>
      <w:r w:rsidR="009D6499">
        <w:t>Also</w:t>
      </w:r>
      <w:r w:rsidR="00067C44">
        <w:t xml:space="preserve">, the data in the RIN template indicates a 2013-14 estimate of $0.5 million ($2015, </w:t>
      </w:r>
      <w:r w:rsidR="00067C44" w:rsidRPr="004D07A1">
        <w:t>unescalated direct costs, excluding overheads</w:t>
      </w:r>
      <w:r w:rsidR="00067C44">
        <w:t xml:space="preserve">) </w:t>
      </w:r>
      <w:r w:rsidR="009D6499">
        <w:t xml:space="preserve">that is </w:t>
      </w:r>
      <w:r w:rsidR="00C667DA">
        <w:t xml:space="preserve">not reflected in the forecast years. There are </w:t>
      </w:r>
      <w:r w:rsidR="00067C44">
        <w:t>escalating costs of $0.8 million to $1.1</w:t>
      </w:r>
      <w:r w:rsidR="00067C44" w:rsidRPr="00067C44">
        <w:t xml:space="preserve"> </w:t>
      </w:r>
      <w:r w:rsidR="00067C44">
        <w:t xml:space="preserve">million ($2015, </w:t>
      </w:r>
      <w:r w:rsidR="00067C44" w:rsidRPr="004D07A1">
        <w:t>unescalated direct costs, excluding overheads</w:t>
      </w:r>
      <w:r w:rsidR="00067C44">
        <w:t>) between 2016 and 2020.</w:t>
      </w:r>
      <w:r w:rsidR="00C667DA">
        <w:t xml:space="preserve"> </w:t>
      </w:r>
      <w:r w:rsidR="00AA4EE3">
        <w:t xml:space="preserve">We therefore </w:t>
      </w:r>
      <w:r w:rsidR="009D6499">
        <w:t xml:space="preserve">are not satisfied </w:t>
      </w:r>
      <w:r w:rsidR="00AA4EE3">
        <w:t xml:space="preserve">that </w:t>
      </w:r>
      <w:r w:rsidR="00C667DA">
        <w:t>JGN has justified its forecast of I&amp;C contract connection expenditure.</w:t>
      </w:r>
    </w:p>
    <w:p w:rsidR="00A203C9" w:rsidRPr="00A60A2E" w:rsidRDefault="00AA4EE3" w:rsidP="00A60A2E">
      <w:pPr>
        <w:pStyle w:val="AERbodytext"/>
        <w:rPr>
          <w:rStyle w:val="AERtextblue"/>
          <w:color w:val="auto"/>
        </w:rPr>
      </w:pPr>
      <w:r>
        <w:t>We</w:t>
      </w:r>
      <w:r w:rsidR="004D07A1">
        <w:t xml:space="preserve"> consider that </w:t>
      </w:r>
      <w:r w:rsidR="004D07A1" w:rsidRPr="004D07A1">
        <w:t>an appropriate alternative forecast is to project forward an average of the 200</w:t>
      </w:r>
      <w:r w:rsidR="00F55FD6">
        <w:t>9</w:t>
      </w:r>
      <w:r w:rsidR="004D07A1" w:rsidRPr="004D07A1">
        <w:t>–1</w:t>
      </w:r>
      <w:r w:rsidR="004D07A1">
        <w:t>3</w:t>
      </w:r>
      <w:r w:rsidR="004D07A1" w:rsidRPr="004D07A1">
        <w:t xml:space="preserve"> actual expenditure. </w:t>
      </w:r>
      <w:r w:rsidR="00306489">
        <w:t>This is based on the most recent four years of actual data that JGN provided in the RIN template.</w:t>
      </w:r>
      <w:r w:rsidR="00306489">
        <w:rPr>
          <w:rStyle w:val="FootnoteReference"/>
        </w:rPr>
        <w:footnoteReference w:id="46"/>
      </w:r>
      <w:r w:rsidR="00306489">
        <w:t xml:space="preserve"> We excluded the 2008-09 data point as it appeared to be inconsistent with the trend over the last four years of actual data.  </w:t>
      </w:r>
      <w:r w:rsidR="00BC72CA">
        <w:t>Based on this average, w</w:t>
      </w:r>
      <w:r>
        <w:t>e have</w:t>
      </w:r>
      <w:r w:rsidR="002C58E1">
        <w:t xml:space="preserve"> included</w:t>
      </w:r>
      <w:r w:rsidR="004D07A1" w:rsidRPr="004D07A1">
        <w:t xml:space="preserve"> </w:t>
      </w:r>
      <w:r w:rsidR="004D07A1">
        <w:t>I&amp;C contract</w:t>
      </w:r>
      <w:r w:rsidR="004D07A1" w:rsidRPr="004D07A1">
        <w:t xml:space="preserve"> expenditure of $</w:t>
      </w:r>
      <w:r w:rsidR="00ED6AEF">
        <w:t>7.9</w:t>
      </w:r>
      <w:r w:rsidR="004D07A1" w:rsidRPr="004D07A1">
        <w:t xml:space="preserve"> million ($201</w:t>
      </w:r>
      <w:r w:rsidR="004D07A1">
        <w:t>5</w:t>
      </w:r>
      <w:r w:rsidR="004D07A1" w:rsidRPr="004D07A1">
        <w:t>, unescalated direct costs, excluding overheads) over the 201</w:t>
      </w:r>
      <w:r w:rsidR="004D07A1">
        <w:t>5</w:t>
      </w:r>
      <w:r w:rsidR="004D07A1" w:rsidRPr="004D07A1">
        <w:t>–</w:t>
      </w:r>
      <w:r w:rsidR="004D07A1">
        <w:t>20</w:t>
      </w:r>
      <w:r w:rsidR="004D07A1" w:rsidRPr="004D07A1">
        <w:t xml:space="preserve"> access arrangement period</w:t>
      </w:r>
      <w:r w:rsidR="002C58E1">
        <w:t xml:space="preserve"> in </w:t>
      </w:r>
      <w:r w:rsidR="009D6499">
        <w:t xml:space="preserve">our </w:t>
      </w:r>
      <w:r w:rsidR="002C58E1">
        <w:t>alternative capex estimate</w:t>
      </w:r>
      <w:r w:rsidR="004D07A1" w:rsidRPr="004D07A1">
        <w:t>.</w:t>
      </w:r>
    </w:p>
    <w:p w:rsidR="000E4498" w:rsidRDefault="000E4498" w:rsidP="005C2CC8">
      <w:pPr>
        <w:pStyle w:val="HeadingOrange"/>
        <w:rPr>
          <w:rStyle w:val="AERtextblue"/>
        </w:rPr>
      </w:pPr>
      <w:r>
        <w:rPr>
          <w:rStyle w:val="AERtextblue"/>
        </w:rPr>
        <w:t>Metreteks and meter data loggers expenditure</w:t>
      </w:r>
    </w:p>
    <w:p w:rsidR="000E4498" w:rsidRDefault="000E4498" w:rsidP="005C2CC8">
      <w:pPr>
        <w:pStyle w:val="AERbodytext"/>
        <w:rPr>
          <w:rStyle w:val="AERtextblue"/>
        </w:rPr>
      </w:pPr>
      <w:r w:rsidRPr="000E4498">
        <w:t>JGN</w:t>
      </w:r>
      <w:r>
        <w:t xml:space="preserve"> did not provide the basis of its forecast of metretek and meter data loggers expenditure</w:t>
      </w:r>
      <w:r w:rsidR="00DE2063">
        <w:t xml:space="preserve"> in its access arrangement information</w:t>
      </w:r>
      <w:r>
        <w:t xml:space="preserve">. It did not provide any </w:t>
      </w:r>
      <w:r w:rsidR="00BC72CA">
        <w:t xml:space="preserve">actual </w:t>
      </w:r>
      <w:r>
        <w:t>historical expenditure information in the RIN template. We requested that JGN provide information on the forecasting method</w:t>
      </w:r>
      <w:r w:rsidR="00AA4EB3">
        <w:t>. It submitted that metreteks were forecast on the basis of JGN's business forecast for 2014.</w:t>
      </w:r>
      <w:r w:rsidR="00EE0B47">
        <w:rPr>
          <w:rStyle w:val="FootnoteReference"/>
        </w:rPr>
        <w:footnoteReference w:id="47"/>
      </w:r>
      <w:r w:rsidR="00AA4EB3">
        <w:t xml:space="preserve"> It did not provide information on the method used to forecast the 2014 forecast. </w:t>
      </w:r>
      <w:r w:rsidR="00DE2063">
        <w:t>It did not provide information on how it forecast meter data loggers expenditure.</w:t>
      </w:r>
      <w:r w:rsidR="00DE2063">
        <w:rPr>
          <w:rStyle w:val="FootnoteReference"/>
        </w:rPr>
        <w:footnoteReference w:id="48"/>
      </w:r>
      <w:r w:rsidR="00DE2063">
        <w:t xml:space="preserve"> </w:t>
      </w:r>
      <w:r w:rsidR="00EE0B47">
        <w:t xml:space="preserve">As indicated above, the historical unit rates capture the </w:t>
      </w:r>
      <w:r w:rsidR="00EE0B47">
        <w:lastRenderedPageBreak/>
        <w:t xml:space="preserve">metretek </w:t>
      </w:r>
      <w:r w:rsidR="00DE2063">
        <w:t xml:space="preserve">and meter data logger </w:t>
      </w:r>
      <w:r w:rsidR="00EE0B47">
        <w:t xml:space="preserve">costs. In the absence of information to be able to better forecast this expenditure we have not adjusted the historical metretek </w:t>
      </w:r>
      <w:r w:rsidR="00DE2063">
        <w:t xml:space="preserve">and meter data logger </w:t>
      </w:r>
      <w:r w:rsidR="00EE0B47">
        <w:t>costs included.</w:t>
      </w:r>
    </w:p>
    <w:p w:rsidR="00DC0BAE" w:rsidRDefault="00DC0BAE" w:rsidP="005C2CC8">
      <w:pPr>
        <w:pStyle w:val="HeadingOrange"/>
        <w:rPr>
          <w:rStyle w:val="AERtextblue"/>
        </w:rPr>
      </w:pPr>
      <w:r>
        <w:rPr>
          <w:rStyle w:val="AERtextblue"/>
        </w:rPr>
        <w:t>Menangle Park market expansion</w:t>
      </w:r>
    </w:p>
    <w:p w:rsidR="00DC0BAE" w:rsidRPr="00DC0BAE" w:rsidRDefault="00DC0BAE" w:rsidP="00DC0BAE">
      <w:pPr>
        <w:pStyle w:val="AERbodytext"/>
      </w:pPr>
      <w:r w:rsidRPr="00DC0BAE">
        <w:t xml:space="preserve">JGN proposed </w:t>
      </w:r>
      <w:r>
        <w:t>$0.1 million ($2015, unescalated direct costs, excluding overheads) in 2016 for connections as part of its Menangle Park market expansion.</w:t>
      </w:r>
      <w:r w:rsidR="008B4F6E">
        <w:t xml:space="preserve"> This project commenced in 2013-14. We have included this amount in our alternative capex estimate.</w:t>
      </w:r>
    </w:p>
    <w:p w:rsidR="00CA5DDC" w:rsidRPr="005C2CC8" w:rsidRDefault="00A203C9" w:rsidP="005C2CC8">
      <w:pPr>
        <w:pStyle w:val="HeadingOrange"/>
        <w:rPr>
          <w:rStyle w:val="AERtextblue"/>
        </w:rPr>
      </w:pPr>
      <w:r>
        <w:rPr>
          <w:rStyle w:val="AERtextblue"/>
        </w:rPr>
        <w:t>C</w:t>
      </w:r>
      <w:r w:rsidR="005C2CC8" w:rsidRPr="005C2CC8">
        <w:rPr>
          <w:rStyle w:val="AERtextblue"/>
        </w:rPr>
        <w:t xml:space="preserve">ustomer </w:t>
      </w:r>
      <w:r w:rsidR="006877E7">
        <w:rPr>
          <w:rStyle w:val="AERtextblue"/>
        </w:rPr>
        <w:t>c</w:t>
      </w:r>
      <w:r w:rsidR="005C2CC8" w:rsidRPr="005C2CC8">
        <w:rPr>
          <w:rStyle w:val="AERtextblue"/>
        </w:rPr>
        <w:t>ontributions</w:t>
      </w:r>
      <w:r w:rsidR="006877E7">
        <w:rPr>
          <w:rStyle w:val="AERtextblue"/>
        </w:rPr>
        <w:t xml:space="preserve"> for connections</w:t>
      </w:r>
    </w:p>
    <w:p w:rsidR="00F52DED" w:rsidRDefault="006877E7" w:rsidP="00076F86">
      <w:pPr>
        <w:pStyle w:val="AERbodytext"/>
      </w:pPr>
      <w:r>
        <w:t xml:space="preserve">Where a connection is not a standard connection, as specified in the </w:t>
      </w:r>
      <w:r w:rsidR="00071636">
        <w:t>NECF</w:t>
      </w:r>
      <w:r>
        <w:t xml:space="preserve"> and/or JGN'</w:t>
      </w:r>
      <w:r w:rsidR="00071636">
        <w:t>s</w:t>
      </w:r>
      <w:r>
        <w:t xml:space="preserve"> access arrangement, JGN can seek a contribution</w:t>
      </w:r>
      <w:r w:rsidR="00883385">
        <w:t xml:space="preserve"> from the customer.</w:t>
      </w:r>
      <w:r w:rsidR="00244921">
        <w:rPr>
          <w:rStyle w:val="FootnoteReference"/>
        </w:rPr>
        <w:footnoteReference w:id="49"/>
      </w:r>
    </w:p>
    <w:p w:rsidR="005C2CC8" w:rsidRDefault="00883385" w:rsidP="00076F86">
      <w:pPr>
        <w:pStyle w:val="AERbodytext"/>
      </w:pPr>
      <w:r>
        <w:t>JGN submits that it forecast its c</w:t>
      </w:r>
      <w:r w:rsidR="00132966">
        <w:t xml:space="preserve">apital contributions by applying </w:t>
      </w:r>
      <w:r>
        <w:t xml:space="preserve">the 8-year average of </w:t>
      </w:r>
      <w:r w:rsidR="00132966">
        <w:t xml:space="preserve">the historically observed ratio of contributions to </w:t>
      </w:r>
      <w:r>
        <w:t>connections</w:t>
      </w:r>
      <w:r w:rsidR="00132966">
        <w:t xml:space="preserve"> capex to </w:t>
      </w:r>
      <w:r>
        <w:t>forecast</w:t>
      </w:r>
      <w:r w:rsidR="00132966">
        <w:t xml:space="preserve"> </w:t>
      </w:r>
      <w:r>
        <w:t>connections</w:t>
      </w:r>
      <w:r w:rsidR="00132966">
        <w:t xml:space="preserve"> capex.</w:t>
      </w:r>
      <w:r w:rsidR="00132966">
        <w:rPr>
          <w:rStyle w:val="FootnoteReference"/>
        </w:rPr>
        <w:footnoteReference w:id="50"/>
      </w:r>
    </w:p>
    <w:p w:rsidR="00883385" w:rsidRDefault="00751365" w:rsidP="00E07777">
      <w:pPr>
        <w:pStyle w:val="AERbodytext"/>
      </w:pPr>
      <w:r>
        <w:t>We agree with this approach to calculating customer contributions, as revealed past data is likely to be the best indicator of future contribution rates. However, JGN did not apply an 8-year average consistently across all connection types. On applying an 8-year average across all connection types we</w:t>
      </w:r>
      <w:r w:rsidRPr="00751365">
        <w:t xml:space="preserve"> </w:t>
      </w:r>
      <w:r>
        <w:t xml:space="preserve">calculated customer contributions of </w:t>
      </w:r>
      <w:r w:rsidRPr="00E07777">
        <w:t>$</w:t>
      </w:r>
      <w:r w:rsidR="003F72EE">
        <w:t>18</w:t>
      </w:r>
      <w:r w:rsidR="00E07777" w:rsidRPr="00E07777">
        <w:t>.</w:t>
      </w:r>
      <w:r w:rsidR="003F72EE">
        <w:t>4</w:t>
      </w:r>
      <w:r>
        <w:t xml:space="preserve"> million.</w:t>
      </w:r>
    </w:p>
    <w:p w:rsidR="00E84F0B" w:rsidRPr="00E84F0B" w:rsidRDefault="00E84F0B" w:rsidP="00E84F0B">
      <w:pPr>
        <w:pStyle w:val="HeadingOrange"/>
        <w:rPr>
          <w:rStyle w:val="AERtextblue"/>
        </w:rPr>
      </w:pPr>
      <w:r w:rsidRPr="00E84F0B">
        <w:rPr>
          <w:rStyle w:val="AERtextblue"/>
        </w:rPr>
        <w:t>Related party margins</w:t>
      </w:r>
    </w:p>
    <w:p w:rsidR="00E84F0B" w:rsidRDefault="00E84F0B" w:rsidP="00076F86">
      <w:pPr>
        <w:pStyle w:val="AERbodytext"/>
      </w:pPr>
      <w:r>
        <w:t xml:space="preserve">JGN </w:t>
      </w:r>
      <w:r w:rsidR="00B5506C">
        <w:t xml:space="preserve">forecast an amount for </w:t>
      </w:r>
      <w:r>
        <w:t>related party margin expenditure associated with connections.</w:t>
      </w:r>
      <w:r w:rsidR="00B5506C">
        <w:t xml:space="preserve"> We do not consider that </w:t>
      </w:r>
      <w:r>
        <w:t>JGN justif</w:t>
      </w:r>
      <w:r w:rsidR="00B5506C">
        <w:t xml:space="preserve">ied </w:t>
      </w:r>
      <w:r>
        <w:t xml:space="preserve">this expenditure in its proposal. </w:t>
      </w:r>
      <w:r w:rsidR="00E77A67">
        <w:t xml:space="preserve">JGN did not set out why a Zinfra margin is incurred or how the margin is calculated. </w:t>
      </w:r>
      <w:r>
        <w:t>We therefore have not included it in our alternative estimate of capex.</w:t>
      </w:r>
      <w:r w:rsidR="00B5506C">
        <w:t xml:space="preserve"> The amount forecast by JGN is contained in a confidential appendix to this draft decision.</w:t>
      </w:r>
    </w:p>
    <w:p w:rsidR="00275734" w:rsidRDefault="00275734" w:rsidP="00275734">
      <w:pPr>
        <w:pStyle w:val="HeadingBoldBlue"/>
      </w:pPr>
      <w:r w:rsidRPr="00275734">
        <w:t>Augmentation/Growth capacity</w:t>
      </w:r>
    </w:p>
    <w:p w:rsidR="006D0CCD" w:rsidRDefault="006D0CCD" w:rsidP="006D0CCD">
      <w:pPr>
        <w:pStyle w:val="AERbodytext"/>
      </w:pPr>
      <w:r>
        <w:t>Network augmentation capex</w:t>
      </w:r>
      <w:r w:rsidRPr="00F75FD3">
        <w:t xml:space="preserve"> is directed at increasing the capacity of the existing network to meet </w:t>
      </w:r>
      <w:r w:rsidR="00B7544E">
        <w:t xml:space="preserve">the </w:t>
      </w:r>
      <w:r w:rsidRPr="00F75FD3">
        <w:t>demand of existing and future customers. Augmentation capex is required to maintain gas pressure and minimise the risk of gas outages.</w:t>
      </w:r>
    </w:p>
    <w:p w:rsidR="00F318AA" w:rsidRPr="00F75FD3" w:rsidRDefault="00454CC8" w:rsidP="00F318AA">
      <w:pPr>
        <w:pStyle w:val="AERbodytext"/>
      </w:pPr>
      <w:r>
        <w:t>We have</w:t>
      </w:r>
      <w:r w:rsidR="00B65FC5">
        <w:t xml:space="preserve"> included</w:t>
      </w:r>
      <w:r w:rsidR="00F318AA">
        <w:t xml:space="preserve"> $</w:t>
      </w:r>
      <w:r w:rsidR="00956724">
        <w:t>80.6</w:t>
      </w:r>
      <w:r w:rsidR="00F318AA">
        <w:t xml:space="preserve"> million ($2015, unescalated direct costs, excluding overheads) of </w:t>
      </w:r>
      <w:r w:rsidR="00F318AA" w:rsidRPr="00F75FD3">
        <w:t xml:space="preserve">augmentation </w:t>
      </w:r>
      <w:r w:rsidR="00F318AA">
        <w:t>capex</w:t>
      </w:r>
      <w:r w:rsidR="00B65FC5">
        <w:t xml:space="preserve"> in </w:t>
      </w:r>
      <w:r>
        <w:t xml:space="preserve">our </w:t>
      </w:r>
      <w:r w:rsidR="00B65FC5">
        <w:t xml:space="preserve">capex </w:t>
      </w:r>
      <w:r w:rsidR="00E77A67">
        <w:t>forecast</w:t>
      </w:r>
      <w:r w:rsidR="00F318AA">
        <w:t xml:space="preserve"> (see</w:t>
      </w:r>
      <w:r w:rsidR="008D60EC">
        <w:t xml:space="preserve"> </w:t>
      </w:r>
      <w:r w:rsidR="008D60EC">
        <w:fldChar w:fldCharType="begin"/>
      </w:r>
      <w:r w:rsidR="008D60EC">
        <w:instrText xml:space="preserve"> REF _Ref401047773 \h </w:instrText>
      </w:r>
      <w:r w:rsidR="008D60EC">
        <w:fldChar w:fldCharType="separate"/>
      </w:r>
      <w:r w:rsidR="0029475D">
        <w:t xml:space="preserve">Table </w:t>
      </w:r>
      <w:r w:rsidR="0029475D">
        <w:rPr>
          <w:noProof/>
        </w:rPr>
        <w:t>6</w:t>
      </w:r>
      <w:r w:rsidR="0029475D">
        <w:noBreakHyphen/>
      </w:r>
      <w:r w:rsidR="0029475D">
        <w:rPr>
          <w:noProof/>
        </w:rPr>
        <w:t>11</w:t>
      </w:r>
      <w:r w:rsidR="008D60EC">
        <w:fldChar w:fldCharType="end"/>
      </w:r>
      <w:r w:rsidR="00F318AA">
        <w:t xml:space="preserve">). </w:t>
      </w:r>
      <w:r w:rsidR="00B65FC5" w:rsidRPr="00B65FC5">
        <w:t xml:space="preserve">On the basis of advice provided by </w:t>
      </w:r>
      <w:r>
        <w:t>our</w:t>
      </w:r>
      <w:r w:rsidR="00B65FC5" w:rsidRPr="00B65FC5">
        <w:t xml:space="preserve"> engineering consultant, Sleeman Consulting, </w:t>
      </w:r>
      <w:r w:rsidR="00B65FC5">
        <w:t>we</w:t>
      </w:r>
      <w:r w:rsidR="00F318AA">
        <w:t xml:space="preserve"> consider that this capex </w:t>
      </w:r>
      <w:r w:rsidR="00F318AA" w:rsidRPr="00F75FD3">
        <w:t>compl</w:t>
      </w:r>
      <w:r w:rsidR="00F318AA">
        <w:t xml:space="preserve">ies with </w:t>
      </w:r>
      <w:r w:rsidR="00F318AA" w:rsidRPr="00F75FD3">
        <w:t>r.</w:t>
      </w:r>
      <w:r w:rsidR="00F318AA">
        <w:t xml:space="preserve"> </w:t>
      </w:r>
      <w:r w:rsidR="00F318AA" w:rsidRPr="00F75FD3">
        <w:t>79</w:t>
      </w:r>
      <w:r w:rsidR="00F318AA">
        <w:t>(1) of the NGR</w:t>
      </w:r>
      <w:r w:rsidR="00F318AA" w:rsidRPr="00F75FD3">
        <w:t xml:space="preserve"> for the following reasons:</w:t>
      </w:r>
      <w:r w:rsidR="00B65FC5" w:rsidRPr="00B65FC5">
        <w:rPr>
          <w:rStyle w:val="FootnoteReference"/>
        </w:rPr>
        <w:footnoteReference w:id="51"/>
      </w:r>
    </w:p>
    <w:p w:rsidR="00F318AA" w:rsidRPr="00693004" w:rsidRDefault="00F318AA" w:rsidP="00F318AA">
      <w:pPr>
        <w:pStyle w:val="AERbulletlistfirststyle"/>
      </w:pPr>
      <w:r>
        <w:t>JGN</w:t>
      </w:r>
      <w:r w:rsidRPr="00693004">
        <w:t xml:space="preserve">'s proposed augmentation solutions are </w:t>
      </w:r>
      <w:r w:rsidR="00B65FC5">
        <w:t>justified</w:t>
      </w:r>
      <w:r w:rsidRPr="00693004">
        <w:t xml:space="preserve"> in light of forecast connections growth to address a decline in gas pressure along the constrained network areas.</w:t>
      </w:r>
      <w:r w:rsidRPr="00693004">
        <w:rPr>
          <w:rStyle w:val="FootnoteReference"/>
        </w:rPr>
        <w:footnoteReference w:id="52"/>
      </w:r>
      <w:r w:rsidR="00B65FC5" w:rsidRPr="00B65FC5">
        <w:t xml:space="preserve"> </w:t>
      </w:r>
      <w:r w:rsidR="00454CC8">
        <w:t>We</w:t>
      </w:r>
      <w:r w:rsidR="00B65FC5" w:rsidRPr="00B65FC5">
        <w:t xml:space="preserve"> consider that the</w:t>
      </w:r>
      <w:r w:rsidR="00B65FC5">
        <w:t xml:space="preserve"> included project expenditure</w:t>
      </w:r>
      <w:r w:rsidR="00B65FC5" w:rsidRPr="00B65FC5">
        <w:t xml:space="preserve"> is justifiable under r. 79(2)(c)(i)-(iii) of the NGR as it is necessary </w:t>
      </w:r>
      <w:r w:rsidR="00B65FC5" w:rsidRPr="00B65FC5">
        <w:rPr>
          <w:rStyle w:val="AERbody"/>
        </w:rPr>
        <w:t>to</w:t>
      </w:r>
      <w:r w:rsidR="00B65FC5">
        <w:rPr>
          <w:rStyle w:val="AERbody"/>
        </w:rPr>
        <w:t xml:space="preserve"> </w:t>
      </w:r>
      <w:r w:rsidR="00B65FC5" w:rsidRPr="00B65FC5">
        <w:rPr>
          <w:rStyle w:val="AERbody"/>
        </w:rPr>
        <w:t>maintain the safety of services</w:t>
      </w:r>
      <w:r w:rsidR="00B65FC5">
        <w:rPr>
          <w:rStyle w:val="AERbody"/>
        </w:rPr>
        <w:t xml:space="preserve">, </w:t>
      </w:r>
      <w:r w:rsidR="00B65FC5" w:rsidRPr="00B65FC5">
        <w:rPr>
          <w:rStyle w:val="AERbody"/>
        </w:rPr>
        <w:t>maintain the integrity of gas services</w:t>
      </w:r>
      <w:r w:rsidR="00B65FC5">
        <w:rPr>
          <w:rStyle w:val="AERbody"/>
        </w:rPr>
        <w:t xml:space="preserve"> and/or </w:t>
      </w:r>
      <w:r w:rsidR="00B65FC5" w:rsidRPr="00B65FC5">
        <w:rPr>
          <w:rStyle w:val="AERbody"/>
        </w:rPr>
        <w:t>comply with a regulatory obligation or requirement.</w:t>
      </w:r>
    </w:p>
    <w:p w:rsidR="00F318AA" w:rsidRDefault="00B65FC5" w:rsidP="00F318AA">
      <w:pPr>
        <w:pStyle w:val="AERbulletlistfirststyle"/>
      </w:pPr>
      <w:r>
        <w:lastRenderedPageBreak/>
        <w:t>t</w:t>
      </w:r>
      <w:r w:rsidR="00BA4785">
        <w:t>he</w:t>
      </w:r>
      <w:r w:rsidR="00F318AA" w:rsidRPr="00F75FD3">
        <w:t xml:space="preserve"> input costs of </w:t>
      </w:r>
      <w:r w:rsidR="00BA4785">
        <w:t xml:space="preserve">JGN's proposed </w:t>
      </w:r>
      <w:r w:rsidR="00F318AA" w:rsidRPr="00F75FD3">
        <w:t>augmentation projects are within a reasonable range and reflect that of a prudent and efficient service provider</w:t>
      </w:r>
      <w:r w:rsidR="00F318AA" w:rsidRPr="00693004">
        <w:t>.</w:t>
      </w:r>
      <w:r w:rsidR="00F318AA" w:rsidRPr="00693004">
        <w:rPr>
          <w:rStyle w:val="FootnoteReference"/>
        </w:rPr>
        <w:footnoteReference w:id="53"/>
      </w:r>
    </w:p>
    <w:p w:rsidR="00F318AA" w:rsidRDefault="00F318AA" w:rsidP="00F318AA">
      <w:pPr>
        <w:pStyle w:val="AERbodytext"/>
      </w:pPr>
      <w:r>
        <w:t>JGN</w:t>
      </w:r>
      <w:r w:rsidRPr="00B92BA2">
        <w:t xml:space="preserve"> forecast expenditure of $</w:t>
      </w:r>
      <w:r>
        <w:t>88.7</w:t>
      </w:r>
      <w:r w:rsidRPr="00B92BA2">
        <w:t xml:space="preserve"> million ($201</w:t>
      </w:r>
      <w:r>
        <w:t>5, unescalated direct costs, excluding overheads</w:t>
      </w:r>
      <w:r w:rsidRPr="00B92BA2">
        <w:t xml:space="preserve">) for </w:t>
      </w:r>
      <w:r>
        <w:t xml:space="preserve">gross </w:t>
      </w:r>
      <w:r w:rsidRPr="00B92BA2">
        <w:t xml:space="preserve">customer connections capex over the </w:t>
      </w:r>
      <w:r>
        <w:t xml:space="preserve">2015–20 </w:t>
      </w:r>
      <w:r w:rsidRPr="00B92BA2">
        <w:t>access arrangement period.</w:t>
      </w:r>
      <w:r>
        <w:rPr>
          <w:rStyle w:val="FootnoteReference"/>
        </w:rPr>
        <w:footnoteReference w:id="54"/>
      </w:r>
      <w:r w:rsidRPr="00B92BA2">
        <w:t xml:space="preserve"> This amounts to approximately </w:t>
      </w:r>
      <w:r>
        <w:t>8</w:t>
      </w:r>
      <w:r w:rsidRPr="00B92BA2">
        <w:t xml:space="preserve"> per cent of </w:t>
      </w:r>
      <w:r>
        <w:t>JGN</w:t>
      </w:r>
      <w:r w:rsidRPr="00B92BA2">
        <w:t>‘s proposed total capex forecast</w:t>
      </w:r>
      <w:r>
        <w:t>, in unescalated, direct terms. It represents an 11 per cent increase in expenditure compared with the current access arrangement period.</w:t>
      </w:r>
    </w:p>
    <w:p w:rsidR="009632D9" w:rsidRDefault="0080174E" w:rsidP="005E4E71">
      <w:pPr>
        <w:pStyle w:val="AERbodytext"/>
      </w:pPr>
      <w:r>
        <w:t>JGN</w:t>
      </w:r>
      <w:r w:rsidR="00BB030D" w:rsidRPr="00F75FD3">
        <w:t xml:space="preserve"> proposed augmentation capex to</w:t>
      </w:r>
      <w:r w:rsidR="005E4E71" w:rsidRPr="005E4E71">
        <w:t xml:space="preserve"> </w:t>
      </w:r>
      <w:r w:rsidR="005E4E71" w:rsidRPr="00D0295A">
        <w:t>meet growth in peak hourly demand on the distribution network</w:t>
      </w:r>
      <w:r w:rsidR="00BE1154">
        <w:t>. This is</w:t>
      </w:r>
      <w:r w:rsidR="005E4E71" w:rsidRPr="00D0295A">
        <w:t xml:space="preserve"> to accommodate demand from new customers and to meet growth in peak demand from existing customers as they upgrade or add appliances</w:t>
      </w:r>
      <w:r w:rsidR="005E4E71">
        <w:t>.</w:t>
      </w:r>
      <w:r w:rsidR="00D0295A">
        <w:rPr>
          <w:rStyle w:val="FootnoteReference"/>
        </w:rPr>
        <w:footnoteReference w:id="55"/>
      </w:r>
    </w:p>
    <w:p w:rsidR="00F318AA" w:rsidRDefault="00454CC8" w:rsidP="00F318AA">
      <w:pPr>
        <w:pStyle w:val="AERbodytext"/>
      </w:pPr>
      <w:r>
        <w:t>We</w:t>
      </w:r>
      <w:r w:rsidR="00F318AA">
        <w:t xml:space="preserve"> assessed</w:t>
      </w:r>
      <w:r w:rsidR="00F318AA" w:rsidRPr="00F75FD3">
        <w:t xml:space="preserve"> </w:t>
      </w:r>
      <w:r w:rsidR="00F318AA">
        <w:t>JGN</w:t>
      </w:r>
      <w:r w:rsidR="00F318AA" w:rsidRPr="00F75FD3">
        <w:t>'s augmentation projects by considering the timing of the proposed works, the capacity benefit which results from the augmentation solution and whether the input cost of each project represents the efficient, lowest sustainable cost</w:t>
      </w:r>
      <w:r w:rsidR="00BE1154">
        <w:t>, as the NGR require</w:t>
      </w:r>
      <w:r w:rsidR="00E77A67">
        <w:t>s</w:t>
      </w:r>
      <w:r w:rsidR="00F318AA" w:rsidRPr="00F75FD3">
        <w:t>.</w:t>
      </w:r>
      <w:r w:rsidR="00BE1154">
        <w:rPr>
          <w:rStyle w:val="FootnoteReference"/>
        </w:rPr>
        <w:footnoteReference w:id="56"/>
      </w:r>
      <w:r w:rsidR="00F318AA" w:rsidRPr="00F75FD3">
        <w:t xml:space="preserve"> In undertaking this assessment </w:t>
      </w:r>
      <w:r>
        <w:t>we</w:t>
      </w:r>
      <w:r w:rsidR="00F318AA" w:rsidRPr="00F75FD3">
        <w:t xml:space="preserve"> sought input from </w:t>
      </w:r>
      <w:r>
        <w:t xml:space="preserve">our </w:t>
      </w:r>
      <w:r w:rsidR="00F318AA">
        <w:t>engineering consultant</w:t>
      </w:r>
      <w:r w:rsidR="00F318AA" w:rsidRPr="00F75FD3">
        <w:t xml:space="preserve">, examined the business cases and requested further information from </w:t>
      </w:r>
      <w:r w:rsidR="00F318AA">
        <w:t>JGN</w:t>
      </w:r>
      <w:r w:rsidR="00F318AA" w:rsidRPr="00F75FD3">
        <w:t>.</w:t>
      </w:r>
    </w:p>
    <w:p w:rsidR="00F318AA" w:rsidRDefault="00F318AA" w:rsidP="00F318AA">
      <w:pPr>
        <w:pStyle w:val="AERbodytext"/>
      </w:pPr>
      <w:r>
        <w:t>In assessing the prudency and efficiency of the proposed projects, Sleeman Consulting considered</w:t>
      </w:r>
      <w:r w:rsidR="00454CC8">
        <w:t xml:space="preserve"> the</w:t>
      </w:r>
      <w:r>
        <w:t>:</w:t>
      </w:r>
      <w:r w:rsidR="00AB20CB">
        <w:rPr>
          <w:rStyle w:val="FootnoteReference"/>
        </w:rPr>
        <w:footnoteReference w:id="57"/>
      </w:r>
    </w:p>
    <w:p w:rsidR="00F318AA" w:rsidRDefault="00F318AA" w:rsidP="00F318AA">
      <w:pPr>
        <w:pStyle w:val="AERbulletlistfirststyle"/>
      </w:pPr>
      <w:r>
        <w:t>capacity shortfall and/or projected growth demonstrating the requirement for the augmentation</w:t>
      </w:r>
    </w:p>
    <w:p w:rsidR="00F318AA" w:rsidRDefault="00F318AA" w:rsidP="00F318AA">
      <w:pPr>
        <w:pStyle w:val="AERbulletlistfirststyle"/>
      </w:pPr>
      <w:r>
        <w:t>alternative options available to address the issue</w:t>
      </w:r>
    </w:p>
    <w:p w:rsidR="00F318AA" w:rsidRDefault="00F318AA" w:rsidP="00F318AA">
      <w:pPr>
        <w:pStyle w:val="AERbulletlistfirststyle"/>
      </w:pPr>
      <w:r>
        <w:t>prudency of the timing of the proposed augmentation</w:t>
      </w:r>
    </w:p>
    <w:p w:rsidR="00F318AA" w:rsidRDefault="00F318AA" w:rsidP="00F318AA">
      <w:pPr>
        <w:pStyle w:val="AERbulletlistfirststyle"/>
      </w:pPr>
      <w:r>
        <w:t>prudency and efficiency of the scale of the proposed augmentation</w:t>
      </w:r>
    </w:p>
    <w:p w:rsidR="00F318AA" w:rsidRDefault="00F318AA" w:rsidP="00F318AA">
      <w:pPr>
        <w:pStyle w:val="AERbulletlistfirststyle"/>
      </w:pPr>
      <w:r>
        <w:t>efficiency of the proposed project costs.</w:t>
      </w:r>
    </w:p>
    <w:p w:rsidR="00E65496" w:rsidRPr="00F75FD3" w:rsidRDefault="00F318AA" w:rsidP="00E65496">
      <w:pPr>
        <w:pStyle w:val="AERbodytext"/>
      </w:pPr>
      <w:r>
        <w:t xml:space="preserve">Based on the advice of Sleeman Consulting, </w:t>
      </w:r>
      <w:r w:rsidR="00454CC8">
        <w:t>we</w:t>
      </w:r>
      <w:r>
        <w:t xml:space="preserve"> accept that 82 of the 93 augmentation projects, costing $</w:t>
      </w:r>
      <w:r w:rsidR="005E4E71">
        <w:t>80.6</w:t>
      </w:r>
      <w:r>
        <w:t xml:space="preserve"> million </w:t>
      </w:r>
      <w:r w:rsidR="00E65496" w:rsidRPr="0051486B">
        <w:t>($201</w:t>
      </w:r>
      <w:r w:rsidR="00E65496">
        <w:t>5</w:t>
      </w:r>
      <w:r w:rsidR="00E65496" w:rsidRPr="0051486B">
        <w:t>, unescalated direct costs, excluding overheads)</w:t>
      </w:r>
      <w:r w:rsidR="00E65496">
        <w:t xml:space="preserve"> </w:t>
      </w:r>
      <w:r>
        <w:t>are prudent and efficient</w:t>
      </w:r>
      <w:r w:rsidR="00E65496">
        <w:t xml:space="preserve"> and </w:t>
      </w:r>
      <w:r w:rsidR="00BE1154">
        <w:t xml:space="preserve">have </w:t>
      </w:r>
      <w:r w:rsidR="00E65496">
        <w:t xml:space="preserve">included the expenditure in </w:t>
      </w:r>
      <w:r w:rsidR="009043C1">
        <w:t xml:space="preserve">the </w:t>
      </w:r>
      <w:r w:rsidR="00E65496">
        <w:t>capex estimate</w:t>
      </w:r>
      <w:r>
        <w:t>.</w:t>
      </w:r>
      <w:r w:rsidR="00E65496">
        <w:rPr>
          <w:rStyle w:val="FootnoteReference"/>
        </w:rPr>
        <w:footnoteReference w:id="58"/>
      </w:r>
      <w:r>
        <w:t xml:space="preserve"> </w:t>
      </w:r>
      <w:r w:rsidR="00454CC8">
        <w:t>We</w:t>
      </w:r>
      <w:r w:rsidR="00E65496">
        <w:t xml:space="preserve"> consider that this capex </w:t>
      </w:r>
      <w:r w:rsidR="00E65496" w:rsidRPr="00F75FD3">
        <w:t>compl</w:t>
      </w:r>
      <w:r w:rsidR="00E65496">
        <w:t xml:space="preserve">ies with </w:t>
      </w:r>
      <w:r w:rsidR="00E65496" w:rsidRPr="00F75FD3">
        <w:t>r.</w:t>
      </w:r>
      <w:r w:rsidR="00E65496">
        <w:t xml:space="preserve"> </w:t>
      </w:r>
      <w:r w:rsidR="00E65496" w:rsidRPr="00F75FD3">
        <w:t>79</w:t>
      </w:r>
      <w:r w:rsidR="00E65496">
        <w:t>(1) of the NGR</w:t>
      </w:r>
      <w:r w:rsidR="00E65496" w:rsidRPr="00F75FD3">
        <w:t xml:space="preserve"> for the following reasons:</w:t>
      </w:r>
    </w:p>
    <w:p w:rsidR="00E65496" w:rsidRPr="00693004" w:rsidRDefault="00E65496" w:rsidP="00E65496">
      <w:pPr>
        <w:pStyle w:val="AERbulletlistfirststyle"/>
      </w:pPr>
      <w:r>
        <w:t>JGN</w:t>
      </w:r>
      <w:r w:rsidRPr="00693004">
        <w:t>'s proposed augmentation solutions are reasonable in light of forecast connections growth to address a decline in gas pressure along the constrained network areas.</w:t>
      </w:r>
      <w:r w:rsidRPr="00693004">
        <w:rPr>
          <w:rStyle w:val="FootnoteReference"/>
        </w:rPr>
        <w:footnoteReference w:id="59"/>
      </w:r>
    </w:p>
    <w:p w:rsidR="00E65496" w:rsidRDefault="005E4E71" w:rsidP="00E65496">
      <w:pPr>
        <w:pStyle w:val="AERbulletlistfirststyle"/>
      </w:pPr>
      <w:r>
        <w:t xml:space="preserve">JGN's </w:t>
      </w:r>
      <w:r w:rsidR="00E65496" w:rsidRPr="00F75FD3">
        <w:t>input costs of augmentation projects are within a reasonable range and reflect that of a prudent and efficient service provider</w:t>
      </w:r>
      <w:r w:rsidR="00E65496" w:rsidRPr="00693004">
        <w:t>.</w:t>
      </w:r>
      <w:r w:rsidR="00E65496" w:rsidRPr="00693004">
        <w:rPr>
          <w:rStyle w:val="FootnoteReference"/>
        </w:rPr>
        <w:footnoteReference w:id="60"/>
      </w:r>
    </w:p>
    <w:p w:rsidR="00F318AA" w:rsidRDefault="00F318AA" w:rsidP="00F318AA">
      <w:pPr>
        <w:pStyle w:val="AERbodytext"/>
      </w:pPr>
      <w:r>
        <w:lastRenderedPageBreak/>
        <w:t>These projects are summarised in</w:t>
      </w:r>
      <w:r w:rsidR="008D60EC">
        <w:t xml:space="preserve"> </w:t>
      </w:r>
      <w:r w:rsidR="008D60EC">
        <w:fldChar w:fldCharType="begin"/>
      </w:r>
      <w:r w:rsidR="008D60EC">
        <w:instrText xml:space="preserve"> REF _Ref401047773 \h </w:instrText>
      </w:r>
      <w:r w:rsidR="008D60EC">
        <w:fldChar w:fldCharType="separate"/>
      </w:r>
      <w:r w:rsidR="0029475D">
        <w:t xml:space="preserve">Table </w:t>
      </w:r>
      <w:r w:rsidR="0029475D">
        <w:rPr>
          <w:noProof/>
        </w:rPr>
        <w:t>6</w:t>
      </w:r>
      <w:r w:rsidR="0029475D">
        <w:noBreakHyphen/>
      </w:r>
      <w:r w:rsidR="0029475D">
        <w:rPr>
          <w:noProof/>
        </w:rPr>
        <w:t>11</w:t>
      </w:r>
      <w:r w:rsidR="008D60EC">
        <w:fldChar w:fldCharType="end"/>
      </w:r>
      <w:r>
        <w:t>.</w:t>
      </w:r>
    </w:p>
    <w:p w:rsidR="00F318AA" w:rsidRPr="00532784" w:rsidRDefault="00F318AA" w:rsidP="00F318AA">
      <w:pPr>
        <w:pStyle w:val="Caption"/>
        <w:rPr>
          <w:rStyle w:val="AERsuperscript"/>
        </w:rPr>
      </w:pPr>
      <w:bookmarkStart w:id="46" w:name="_Ref401047773"/>
      <w:r>
        <w:t xml:space="preserve">Table </w:t>
      </w:r>
      <w:fldSimple w:instr=" STYLEREF 1 \s ">
        <w:r w:rsidR="0029475D">
          <w:rPr>
            <w:noProof/>
          </w:rPr>
          <w:t>6</w:t>
        </w:r>
      </w:fldSimple>
      <w:r w:rsidR="009F7369">
        <w:noBreakHyphen/>
      </w:r>
      <w:fldSimple w:instr=" SEQ Table \* ARABIC \s 1 ">
        <w:r w:rsidR="0029475D">
          <w:rPr>
            <w:noProof/>
          </w:rPr>
          <w:t>11</w:t>
        </w:r>
      </w:fldSimple>
      <w:bookmarkEnd w:id="46"/>
      <w:r w:rsidRPr="00532784">
        <w:tab/>
      </w:r>
      <w:r>
        <w:t>A</w:t>
      </w:r>
      <w:r w:rsidRPr="00611C1A">
        <w:t xml:space="preserve">ugmentation capital expenditure </w:t>
      </w:r>
      <w:r>
        <w:t>includ</w:t>
      </w:r>
      <w:r w:rsidRPr="00611C1A">
        <w:t>ed</w:t>
      </w:r>
      <w:r>
        <w:t xml:space="preserve"> in AER alternative capex estimate</w:t>
      </w:r>
      <w:r w:rsidRPr="00532784">
        <w:t xml:space="preserve"> ($million, 2015)</w:t>
      </w:r>
      <w:r w:rsidRPr="00532784">
        <w:rPr>
          <w:rStyle w:val="AERsuperscript"/>
        </w:rPr>
        <w:t>(a)</w:t>
      </w:r>
    </w:p>
    <w:tbl>
      <w:tblPr>
        <w:tblStyle w:val="AERtable-numbers"/>
        <w:tblW w:w="8373" w:type="dxa"/>
        <w:tblLayout w:type="fixed"/>
        <w:tblLook w:val="0020" w:firstRow="1" w:lastRow="0" w:firstColumn="0" w:lastColumn="0" w:noHBand="0" w:noVBand="0"/>
      </w:tblPr>
      <w:tblGrid>
        <w:gridCol w:w="2399"/>
        <w:gridCol w:w="5103"/>
        <w:gridCol w:w="871"/>
      </w:tblGrid>
      <w:tr w:rsidR="00F318AA" w:rsidRPr="00627CFC" w:rsidTr="00A83DE4">
        <w:trPr>
          <w:cnfStyle w:val="100000000000" w:firstRow="1" w:lastRow="0" w:firstColumn="0" w:lastColumn="0" w:oddVBand="0" w:evenVBand="0" w:oddHBand="0" w:evenHBand="0" w:firstRowFirstColumn="0" w:firstRowLastColumn="0" w:lastRowFirstColumn="0" w:lastRowLastColumn="0"/>
          <w:trHeight w:val="171"/>
          <w:tblHeader/>
        </w:trPr>
        <w:tc>
          <w:tcPr>
            <w:tcW w:w="2399" w:type="dxa"/>
          </w:tcPr>
          <w:p w:rsidR="00F318AA" w:rsidRPr="00627CFC" w:rsidRDefault="00F318AA" w:rsidP="00F318AA"/>
        </w:tc>
        <w:tc>
          <w:tcPr>
            <w:tcW w:w="5103" w:type="dxa"/>
          </w:tcPr>
          <w:p w:rsidR="00F318AA" w:rsidRPr="00F318AA" w:rsidRDefault="00F318AA" w:rsidP="00F318AA">
            <w:r>
              <w:t>Project name</w:t>
            </w:r>
          </w:p>
        </w:tc>
        <w:tc>
          <w:tcPr>
            <w:tcW w:w="871" w:type="dxa"/>
          </w:tcPr>
          <w:p w:rsidR="00F318AA" w:rsidRPr="00F318AA" w:rsidRDefault="00F318AA" w:rsidP="00F318AA">
            <w:r w:rsidRPr="00627CFC">
              <w:t>Total</w:t>
            </w:r>
          </w:p>
        </w:tc>
      </w:tr>
      <w:tr w:rsidR="00947435" w:rsidRPr="00627CFC" w:rsidTr="00947435">
        <w:trPr>
          <w:trHeight w:val="179"/>
        </w:trPr>
        <w:tc>
          <w:tcPr>
            <w:tcW w:w="2399" w:type="dxa"/>
            <w:vAlign w:val="top"/>
          </w:tcPr>
          <w:p w:rsidR="00947435" w:rsidRPr="00947435" w:rsidRDefault="00947435" w:rsidP="00947435">
            <w:r w:rsidRPr="00947435">
              <w:t>Top ten projects by value</w:t>
            </w:r>
          </w:p>
        </w:tc>
        <w:tc>
          <w:tcPr>
            <w:tcW w:w="5103" w:type="dxa"/>
            <w:vAlign w:val="top"/>
          </w:tcPr>
          <w:p w:rsidR="00947435" w:rsidRPr="00947435" w:rsidRDefault="00947435" w:rsidP="00947435">
            <w:r w:rsidRPr="00947435">
              <w:t>Northern Primary Main Stages 1 to 2 and pig launcher land purchase</w:t>
            </w:r>
          </w:p>
        </w:tc>
        <w:tc>
          <w:tcPr>
            <w:tcW w:w="871" w:type="dxa"/>
            <w:vAlign w:val="top"/>
          </w:tcPr>
          <w:p w:rsidR="00947435" w:rsidRPr="00947435" w:rsidRDefault="00947435" w:rsidP="00947435"/>
        </w:tc>
      </w:tr>
      <w:tr w:rsidR="00947435" w:rsidRPr="00627CFC" w:rsidTr="00947435">
        <w:trPr>
          <w:cnfStyle w:val="000000010000" w:firstRow="0" w:lastRow="0" w:firstColumn="0" w:lastColumn="0" w:oddVBand="0" w:evenVBand="0" w:oddHBand="0" w:evenHBand="1" w:firstRowFirstColumn="0" w:firstRowLastColumn="0" w:lastRowFirstColumn="0" w:lastRowLastColumn="0"/>
          <w:trHeight w:val="179"/>
        </w:trPr>
        <w:tc>
          <w:tcPr>
            <w:tcW w:w="2399" w:type="dxa"/>
            <w:vAlign w:val="top"/>
          </w:tcPr>
          <w:p w:rsidR="00947435" w:rsidRPr="00947435" w:rsidRDefault="00947435" w:rsidP="00947435"/>
        </w:tc>
        <w:tc>
          <w:tcPr>
            <w:tcW w:w="5103" w:type="dxa"/>
            <w:vAlign w:val="top"/>
          </w:tcPr>
          <w:p w:rsidR="00947435" w:rsidRPr="00947435" w:rsidRDefault="00947435" w:rsidP="00947435">
            <w:r w:rsidRPr="00947435">
              <w:t>Rouse Hill Secondary Capacity Development (Riverstone) - Stage 3 and MAOP downgrade</w:t>
            </w:r>
          </w:p>
        </w:tc>
        <w:tc>
          <w:tcPr>
            <w:tcW w:w="871" w:type="dxa"/>
            <w:vAlign w:val="top"/>
          </w:tcPr>
          <w:p w:rsidR="00947435" w:rsidRPr="00947435" w:rsidRDefault="00947435" w:rsidP="00947435"/>
        </w:tc>
      </w:tr>
      <w:tr w:rsidR="00947435" w:rsidRPr="00627CFC" w:rsidTr="00947435">
        <w:trPr>
          <w:trHeight w:val="179"/>
        </w:trPr>
        <w:tc>
          <w:tcPr>
            <w:tcW w:w="2399" w:type="dxa"/>
            <w:vAlign w:val="top"/>
          </w:tcPr>
          <w:p w:rsidR="00947435" w:rsidRPr="00947435" w:rsidRDefault="00947435" w:rsidP="00947435"/>
        </w:tc>
        <w:tc>
          <w:tcPr>
            <w:tcW w:w="5103" w:type="dxa"/>
            <w:vAlign w:val="top"/>
          </w:tcPr>
          <w:p w:rsidR="00947435" w:rsidRPr="00947435" w:rsidRDefault="00947435" w:rsidP="00947435">
            <w:r w:rsidRPr="00947435">
              <w:t>Kotara CDP</w:t>
            </w:r>
          </w:p>
        </w:tc>
        <w:tc>
          <w:tcPr>
            <w:tcW w:w="871" w:type="dxa"/>
            <w:vAlign w:val="top"/>
          </w:tcPr>
          <w:p w:rsidR="00947435" w:rsidRPr="00947435" w:rsidRDefault="00947435" w:rsidP="00947435"/>
        </w:tc>
      </w:tr>
      <w:tr w:rsidR="00947435" w:rsidRPr="00627CFC" w:rsidTr="00947435">
        <w:trPr>
          <w:cnfStyle w:val="000000010000" w:firstRow="0" w:lastRow="0" w:firstColumn="0" w:lastColumn="0" w:oddVBand="0" w:evenVBand="0" w:oddHBand="0" w:evenHBand="1" w:firstRowFirstColumn="0" w:firstRowLastColumn="0" w:lastRowFirstColumn="0" w:lastRowLastColumn="0"/>
          <w:trHeight w:val="179"/>
        </w:trPr>
        <w:tc>
          <w:tcPr>
            <w:tcW w:w="2399" w:type="dxa"/>
            <w:vAlign w:val="top"/>
          </w:tcPr>
          <w:p w:rsidR="00947435" w:rsidRPr="00947435" w:rsidRDefault="00947435" w:rsidP="00947435"/>
        </w:tc>
        <w:tc>
          <w:tcPr>
            <w:tcW w:w="5103" w:type="dxa"/>
            <w:vAlign w:val="top"/>
          </w:tcPr>
          <w:p w:rsidR="00947435" w:rsidRPr="00947435" w:rsidRDefault="00947435" w:rsidP="00947435">
            <w:r w:rsidRPr="00947435">
              <w:t>Darlington to Alexandria secondary main</w:t>
            </w:r>
          </w:p>
        </w:tc>
        <w:tc>
          <w:tcPr>
            <w:tcW w:w="871" w:type="dxa"/>
            <w:vAlign w:val="top"/>
          </w:tcPr>
          <w:p w:rsidR="00947435" w:rsidRPr="00947435" w:rsidRDefault="00947435" w:rsidP="00947435"/>
        </w:tc>
      </w:tr>
      <w:tr w:rsidR="00947435" w:rsidRPr="00627CFC" w:rsidTr="00947435">
        <w:trPr>
          <w:trHeight w:val="179"/>
        </w:trPr>
        <w:tc>
          <w:tcPr>
            <w:tcW w:w="2399" w:type="dxa"/>
            <w:vAlign w:val="top"/>
          </w:tcPr>
          <w:p w:rsidR="00947435" w:rsidRPr="00947435" w:rsidRDefault="00947435" w:rsidP="00947435"/>
        </w:tc>
        <w:tc>
          <w:tcPr>
            <w:tcW w:w="5103" w:type="dxa"/>
            <w:vAlign w:val="top"/>
          </w:tcPr>
          <w:p w:rsidR="00947435" w:rsidRPr="00947435" w:rsidRDefault="00947435" w:rsidP="00947435">
            <w:r w:rsidRPr="00947435">
              <w:t>Pennant Hills Rd 350mm ST main Stages 1 to 3</w:t>
            </w:r>
          </w:p>
        </w:tc>
        <w:tc>
          <w:tcPr>
            <w:tcW w:w="871" w:type="dxa"/>
            <w:vAlign w:val="top"/>
          </w:tcPr>
          <w:p w:rsidR="00947435" w:rsidRPr="00947435" w:rsidRDefault="00947435" w:rsidP="00947435"/>
        </w:tc>
      </w:tr>
      <w:tr w:rsidR="00947435" w:rsidRPr="00627CFC" w:rsidTr="00947435">
        <w:trPr>
          <w:cnfStyle w:val="000000010000" w:firstRow="0" w:lastRow="0" w:firstColumn="0" w:lastColumn="0" w:oddVBand="0" w:evenVBand="0" w:oddHBand="0" w:evenHBand="1" w:firstRowFirstColumn="0" w:firstRowLastColumn="0" w:lastRowFirstColumn="0" w:lastRowLastColumn="0"/>
          <w:trHeight w:val="179"/>
        </w:trPr>
        <w:tc>
          <w:tcPr>
            <w:tcW w:w="2399" w:type="dxa"/>
            <w:vAlign w:val="top"/>
          </w:tcPr>
          <w:p w:rsidR="00947435" w:rsidRPr="00947435" w:rsidRDefault="00947435" w:rsidP="00947435"/>
        </w:tc>
        <w:tc>
          <w:tcPr>
            <w:tcW w:w="5103" w:type="dxa"/>
            <w:vAlign w:val="top"/>
          </w:tcPr>
          <w:p w:rsidR="00947435" w:rsidRPr="00947435" w:rsidRDefault="00947435" w:rsidP="00947435">
            <w:r w:rsidRPr="00947435">
              <w:t>Kembla Grange Secondary CDP</w:t>
            </w:r>
          </w:p>
        </w:tc>
        <w:tc>
          <w:tcPr>
            <w:tcW w:w="871" w:type="dxa"/>
            <w:vAlign w:val="top"/>
          </w:tcPr>
          <w:p w:rsidR="00947435" w:rsidRPr="00947435" w:rsidRDefault="00947435" w:rsidP="00947435"/>
        </w:tc>
      </w:tr>
      <w:tr w:rsidR="00947435" w:rsidRPr="00627CFC" w:rsidTr="00947435">
        <w:trPr>
          <w:trHeight w:val="179"/>
        </w:trPr>
        <w:tc>
          <w:tcPr>
            <w:tcW w:w="2399" w:type="dxa"/>
            <w:vAlign w:val="top"/>
          </w:tcPr>
          <w:p w:rsidR="00947435" w:rsidRPr="00947435" w:rsidRDefault="00947435" w:rsidP="00947435"/>
        </w:tc>
        <w:tc>
          <w:tcPr>
            <w:tcW w:w="5103" w:type="dxa"/>
            <w:vAlign w:val="top"/>
          </w:tcPr>
          <w:p w:rsidR="00947435" w:rsidRPr="00947435" w:rsidRDefault="00947435" w:rsidP="00947435">
            <w:r w:rsidRPr="00947435">
              <w:t>The Entrance Capacity Development Project Stage 3</w:t>
            </w:r>
          </w:p>
        </w:tc>
        <w:tc>
          <w:tcPr>
            <w:tcW w:w="871" w:type="dxa"/>
            <w:vAlign w:val="top"/>
          </w:tcPr>
          <w:p w:rsidR="00947435" w:rsidRPr="00947435" w:rsidRDefault="00947435" w:rsidP="00947435"/>
        </w:tc>
      </w:tr>
      <w:tr w:rsidR="00947435" w:rsidRPr="00627CFC" w:rsidTr="00947435">
        <w:trPr>
          <w:cnfStyle w:val="000000010000" w:firstRow="0" w:lastRow="0" w:firstColumn="0" w:lastColumn="0" w:oddVBand="0" w:evenVBand="0" w:oddHBand="0" w:evenHBand="1" w:firstRowFirstColumn="0" w:firstRowLastColumn="0" w:lastRowFirstColumn="0" w:lastRowLastColumn="0"/>
          <w:trHeight w:val="179"/>
        </w:trPr>
        <w:tc>
          <w:tcPr>
            <w:tcW w:w="2399" w:type="dxa"/>
            <w:vAlign w:val="top"/>
          </w:tcPr>
          <w:p w:rsidR="00947435" w:rsidRPr="00947435" w:rsidRDefault="00947435" w:rsidP="00947435"/>
        </w:tc>
        <w:tc>
          <w:tcPr>
            <w:tcW w:w="5103" w:type="dxa"/>
            <w:vAlign w:val="top"/>
          </w:tcPr>
          <w:p w:rsidR="00947435" w:rsidRPr="00947435" w:rsidRDefault="00947435" w:rsidP="00947435">
            <w:r w:rsidRPr="00947435">
              <w:t>Griffith (Yenda) CDP - Railway Crossing, secondary main and SRS</w:t>
            </w:r>
          </w:p>
        </w:tc>
        <w:tc>
          <w:tcPr>
            <w:tcW w:w="871" w:type="dxa"/>
            <w:vAlign w:val="top"/>
          </w:tcPr>
          <w:p w:rsidR="00947435" w:rsidRPr="00947435" w:rsidRDefault="00947435" w:rsidP="00947435"/>
        </w:tc>
      </w:tr>
      <w:tr w:rsidR="00947435" w:rsidRPr="00627CFC" w:rsidTr="00947435">
        <w:trPr>
          <w:trHeight w:val="179"/>
        </w:trPr>
        <w:tc>
          <w:tcPr>
            <w:tcW w:w="2399" w:type="dxa"/>
            <w:vAlign w:val="top"/>
          </w:tcPr>
          <w:p w:rsidR="00947435" w:rsidRPr="00947435" w:rsidRDefault="00947435" w:rsidP="00947435"/>
        </w:tc>
        <w:tc>
          <w:tcPr>
            <w:tcW w:w="5103" w:type="dxa"/>
            <w:vAlign w:val="top"/>
          </w:tcPr>
          <w:p w:rsidR="00947435" w:rsidRPr="00947435" w:rsidRDefault="00947435" w:rsidP="00947435">
            <w:r w:rsidRPr="00947435">
              <w:t>Belmont CDP (Redhead) (Secondary Extension) Stage 1</w:t>
            </w:r>
          </w:p>
        </w:tc>
        <w:tc>
          <w:tcPr>
            <w:tcW w:w="871" w:type="dxa"/>
            <w:vAlign w:val="top"/>
          </w:tcPr>
          <w:p w:rsidR="00947435" w:rsidRPr="00947435" w:rsidRDefault="00947435" w:rsidP="00947435"/>
        </w:tc>
      </w:tr>
      <w:tr w:rsidR="00947435" w:rsidRPr="00627CFC" w:rsidTr="00947435">
        <w:trPr>
          <w:cnfStyle w:val="000000010000" w:firstRow="0" w:lastRow="0" w:firstColumn="0" w:lastColumn="0" w:oddVBand="0" w:evenVBand="0" w:oddHBand="0" w:evenHBand="1" w:firstRowFirstColumn="0" w:firstRowLastColumn="0" w:lastRowFirstColumn="0" w:lastRowLastColumn="0"/>
          <w:trHeight w:val="179"/>
        </w:trPr>
        <w:tc>
          <w:tcPr>
            <w:tcW w:w="2399" w:type="dxa"/>
            <w:vAlign w:val="top"/>
          </w:tcPr>
          <w:p w:rsidR="00947435" w:rsidRPr="00947435" w:rsidRDefault="00947435" w:rsidP="00947435"/>
        </w:tc>
        <w:tc>
          <w:tcPr>
            <w:tcW w:w="5103" w:type="dxa"/>
            <w:vAlign w:val="top"/>
          </w:tcPr>
          <w:p w:rsidR="00947435" w:rsidRPr="00947435" w:rsidRDefault="00947435" w:rsidP="00947435">
            <w:r w:rsidRPr="00947435">
              <w:t xml:space="preserve">Calderwood Secondary CDP </w:t>
            </w:r>
          </w:p>
        </w:tc>
        <w:tc>
          <w:tcPr>
            <w:tcW w:w="871" w:type="dxa"/>
            <w:vAlign w:val="top"/>
          </w:tcPr>
          <w:p w:rsidR="00947435" w:rsidRPr="00947435" w:rsidRDefault="00947435" w:rsidP="00947435"/>
        </w:tc>
      </w:tr>
      <w:tr w:rsidR="00947435" w:rsidRPr="00627CFC" w:rsidTr="00947435">
        <w:trPr>
          <w:trHeight w:val="179"/>
        </w:trPr>
        <w:tc>
          <w:tcPr>
            <w:tcW w:w="2399" w:type="dxa"/>
            <w:vAlign w:val="top"/>
          </w:tcPr>
          <w:p w:rsidR="00947435" w:rsidRPr="00947435" w:rsidRDefault="00947435" w:rsidP="00947435"/>
        </w:tc>
        <w:tc>
          <w:tcPr>
            <w:tcW w:w="5103" w:type="dxa"/>
            <w:vAlign w:val="top"/>
          </w:tcPr>
          <w:p w:rsidR="00947435" w:rsidRPr="00947435" w:rsidRDefault="00947435" w:rsidP="00947435"/>
        </w:tc>
        <w:tc>
          <w:tcPr>
            <w:tcW w:w="871" w:type="dxa"/>
            <w:vAlign w:val="top"/>
          </w:tcPr>
          <w:p w:rsidR="00947435" w:rsidRPr="00947435" w:rsidRDefault="00947435" w:rsidP="00DA6667">
            <w:pPr>
              <w:pStyle w:val="AERtabletextright"/>
            </w:pPr>
            <w:r w:rsidRPr="00947435">
              <w:t xml:space="preserve">          49</w:t>
            </w:r>
            <w:r w:rsidR="00DA6667">
              <w:t>.</w:t>
            </w:r>
            <w:r w:rsidRPr="00947435">
              <w:t xml:space="preserve">6 </w:t>
            </w:r>
          </w:p>
        </w:tc>
      </w:tr>
      <w:tr w:rsidR="00947435" w:rsidRPr="00627CFC" w:rsidTr="00947435">
        <w:trPr>
          <w:cnfStyle w:val="000000010000" w:firstRow="0" w:lastRow="0" w:firstColumn="0" w:lastColumn="0" w:oddVBand="0" w:evenVBand="0" w:oddHBand="0" w:evenHBand="1" w:firstRowFirstColumn="0" w:firstRowLastColumn="0" w:lastRowFirstColumn="0" w:lastRowLastColumn="0"/>
          <w:trHeight w:val="179"/>
        </w:trPr>
        <w:tc>
          <w:tcPr>
            <w:tcW w:w="2399" w:type="dxa"/>
            <w:vAlign w:val="top"/>
          </w:tcPr>
          <w:p w:rsidR="00947435" w:rsidRPr="00947435" w:rsidRDefault="00947435" w:rsidP="00947435">
            <w:r w:rsidRPr="00947435">
              <w:t>Projects with a value between $0.5 and $1.6 million</w:t>
            </w:r>
          </w:p>
        </w:tc>
        <w:tc>
          <w:tcPr>
            <w:tcW w:w="5103" w:type="dxa"/>
            <w:vAlign w:val="top"/>
          </w:tcPr>
          <w:p w:rsidR="00947435" w:rsidRPr="00947435" w:rsidRDefault="00947435" w:rsidP="00947435">
            <w:pPr>
              <w:pStyle w:val="AERtabletextright"/>
            </w:pPr>
            <w:r w:rsidRPr="00947435">
              <w:t>21 projects</w:t>
            </w:r>
          </w:p>
        </w:tc>
        <w:tc>
          <w:tcPr>
            <w:tcW w:w="871" w:type="dxa"/>
            <w:vAlign w:val="top"/>
          </w:tcPr>
          <w:p w:rsidR="00947435" w:rsidRPr="00947435" w:rsidRDefault="00DA6667" w:rsidP="00DA6667">
            <w:pPr>
              <w:pStyle w:val="AERtabletextright"/>
            </w:pPr>
            <w:r>
              <w:t xml:space="preserve">          24.</w:t>
            </w:r>
            <w:r w:rsidR="00947435" w:rsidRPr="00947435">
              <w:t xml:space="preserve">2 </w:t>
            </w:r>
          </w:p>
        </w:tc>
      </w:tr>
      <w:tr w:rsidR="00947435" w:rsidRPr="00627CFC" w:rsidTr="00947435">
        <w:trPr>
          <w:trHeight w:val="179"/>
        </w:trPr>
        <w:tc>
          <w:tcPr>
            <w:tcW w:w="2399" w:type="dxa"/>
            <w:vAlign w:val="top"/>
          </w:tcPr>
          <w:p w:rsidR="00947435" w:rsidRPr="00947435" w:rsidRDefault="00947435" w:rsidP="00947435">
            <w:r w:rsidRPr="00947435">
              <w:t>Projects with a value between $0 and $0.5 million</w:t>
            </w:r>
          </w:p>
        </w:tc>
        <w:tc>
          <w:tcPr>
            <w:tcW w:w="5103" w:type="dxa"/>
            <w:vAlign w:val="top"/>
          </w:tcPr>
          <w:p w:rsidR="00947435" w:rsidRPr="00947435" w:rsidRDefault="00947435" w:rsidP="00947435">
            <w:pPr>
              <w:pStyle w:val="AERtabletextright"/>
            </w:pPr>
            <w:r w:rsidRPr="00947435">
              <w:t>44 projects</w:t>
            </w:r>
          </w:p>
        </w:tc>
        <w:tc>
          <w:tcPr>
            <w:tcW w:w="871" w:type="dxa"/>
            <w:vAlign w:val="top"/>
          </w:tcPr>
          <w:p w:rsidR="00947435" w:rsidRPr="00947435" w:rsidRDefault="00947435" w:rsidP="00DA6667">
            <w:pPr>
              <w:pStyle w:val="AERtabletextright"/>
            </w:pPr>
            <w:r w:rsidRPr="00947435">
              <w:t xml:space="preserve">            6</w:t>
            </w:r>
            <w:r w:rsidR="00DA6667">
              <w:t>.</w:t>
            </w:r>
            <w:r w:rsidRPr="00947435">
              <w:t xml:space="preserve">7 </w:t>
            </w:r>
          </w:p>
        </w:tc>
      </w:tr>
      <w:tr w:rsidR="00947435" w:rsidRPr="00627CFC" w:rsidTr="00947435">
        <w:trPr>
          <w:cnfStyle w:val="000000010000" w:firstRow="0" w:lastRow="0" w:firstColumn="0" w:lastColumn="0" w:oddVBand="0" w:evenVBand="0" w:oddHBand="0" w:evenHBand="1" w:firstRowFirstColumn="0" w:firstRowLastColumn="0" w:lastRowFirstColumn="0" w:lastRowLastColumn="0"/>
          <w:trHeight w:val="179"/>
        </w:trPr>
        <w:tc>
          <w:tcPr>
            <w:tcW w:w="2399" w:type="dxa"/>
            <w:vAlign w:val="top"/>
          </w:tcPr>
          <w:p w:rsidR="00947435" w:rsidRPr="00947435" w:rsidRDefault="00947435" w:rsidP="00947435"/>
        </w:tc>
        <w:tc>
          <w:tcPr>
            <w:tcW w:w="5103" w:type="dxa"/>
            <w:vAlign w:val="top"/>
          </w:tcPr>
          <w:p w:rsidR="00947435" w:rsidRPr="00947435" w:rsidRDefault="00947435" w:rsidP="00947435">
            <w:pPr>
              <w:pStyle w:val="AERtabletextright"/>
              <w:rPr>
                <w:rStyle w:val="AERtextbold"/>
              </w:rPr>
            </w:pPr>
            <w:r w:rsidRPr="00947435">
              <w:rPr>
                <w:rStyle w:val="AERtextbold"/>
              </w:rPr>
              <w:t>Total</w:t>
            </w:r>
          </w:p>
        </w:tc>
        <w:tc>
          <w:tcPr>
            <w:tcW w:w="871" w:type="dxa"/>
            <w:vAlign w:val="top"/>
          </w:tcPr>
          <w:p w:rsidR="00947435" w:rsidRPr="00DA6667" w:rsidRDefault="00947435" w:rsidP="00DA6667">
            <w:pPr>
              <w:pStyle w:val="AERtabletextright"/>
              <w:rPr>
                <w:rStyle w:val="AERtextbold"/>
              </w:rPr>
            </w:pPr>
            <w:r w:rsidRPr="00947435">
              <w:rPr>
                <w:rStyle w:val="AERtextbold"/>
              </w:rPr>
              <w:t xml:space="preserve">   </w:t>
            </w:r>
            <w:r w:rsidRPr="00DA6667">
              <w:rPr>
                <w:rStyle w:val="AERtextbold"/>
              </w:rPr>
              <w:t>80</w:t>
            </w:r>
            <w:r w:rsidR="00DA6667" w:rsidRPr="00DA6667">
              <w:rPr>
                <w:rStyle w:val="AERtextbold"/>
              </w:rPr>
              <w:t>.6</w:t>
            </w:r>
          </w:p>
        </w:tc>
      </w:tr>
    </w:tbl>
    <w:p w:rsidR="00F318AA" w:rsidRPr="00532784" w:rsidRDefault="00F318AA" w:rsidP="00F318AA">
      <w:pPr>
        <w:pStyle w:val="AERtablesource"/>
      </w:pPr>
      <w:r w:rsidRPr="00532784">
        <w:t>Source:</w:t>
      </w:r>
      <w:r w:rsidRPr="00532784">
        <w:tab/>
        <w:t>Sleeman Consulting, ;AER analysis.</w:t>
      </w:r>
    </w:p>
    <w:p w:rsidR="00F318AA" w:rsidRPr="00532784" w:rsidRDefault="00F318AA" w:rsidP="00F318AA">
      <w:pPr>
        <w:pStyle w:val="AERtablesource"/>
      </w:pPr>
      <w:r w:rsidRPr="00532784">
        <w:t>Notes:</w:t>
      </w:r>
      <w:r w:rsidRPr="00532784">
        <w:tab/>
        <w:t>(a) Direct costs excluding escalation and overheads.</w:t>
      </w:r>
    </w:p>
    <w:p w:rsidR="00F318AA" w:rsidRDefault="00F318AA" w:rsidP="00F318AA">
      <w:pPr>
        <w:pStyle w:val="AERbodytext"/>
      </w:pPr>
      <w:r>
        <w:t xml:space="preserve">Based on the advice of its consultant, Sleeman Consulting, </w:t>
      </w:r>
      <w:r w:rsidR="00454CC8">
        <w:t>we</w:t>
      </w:r>
      <w:r>
        <w:t xml:space="preserve"> consider that 11 of the 93 augmentation projects, costing $</w:t>
      </w:r>
      <w:r w:rsidR="00882D30">
        <w:t>8.1</w:t>
      </w:r>
      <w:r>
        <w:t xml:space="preserve"> million </w:t>
      </w:r>
      <w:r w:rsidR="00882D30" w:rsidRPr="0051486B">
        <w:t>($201</w:t>
      </w:r>
      <w:r w:rsidR="00882D30">
        <w:t>5</w:t>
      </w:r>
      <w:r w:rsidR="00882D30" w:rsidRPr="0051486B">
        <w:t>, unescalated direct costs, excluding overheads)</w:t>
      </w:r>
      <w:r w:rsidR="00882D30">
        <w:t xml:space="preserve"> </w:t>
      </w:r>
      <w:r>
        <w:t>are not prudent and efficient.</w:t>
      </w:r>
      <w:r w:rsidR="00611715">
        <w:rPr>
          <w:rStyle w:val="FootnoteReference"/>
        </w:rPr>
        <w:footnoteReference w:id="61"/>
      </w:r>
      <w:r>
        <w:t xml:space="preserve"> These projects are summarised in </w:t>
      </w:r>
      <w:r w:rsidR="00611715">
        <w:fldChar w:fldCharType="begin"/>
      </w:r>
      <w:r w:rsidR="00611715">
        <w:instrText xml:space="preserve"> REF  _Ref401489612 \* Lower \h  \* MERGEFORMAT </w:instrText>
      </w:r>
      <w:r w:rsidR="00611715">
        <w:fldChar w:fldCharType="separate"/>
      </w:r>
      <w:r w:rsidR="0029475D">
        <w:t xml:space="preserve">table </w:t>
      </w:r>
      <w:r w:rsidR="0029475D">
        <w:rPr>
          <w:noProof/>
        </w:rPr>
        <w:t>6</w:t>
      </w:r>
      <w:r w:rsidR="0029475D">
        <w:rPr>
          <w:noProof/>
        </w:rPr>
        <w:noBreakHyphen/>
        <w:t>12</w:t>
      </w:r>
      <w:r w:rsidR="00611715">
        <w:fldChar w:fldCharType="end"/>
      </w:r>
      <w:r w:rsidR="00E77A67">
        <w:t>.</w:t>
      </w:r>
    </w:p>
    <w:p w:rsidR="00F318AA" w:rsidRDefault="00BE1154" w:rsidP="00F318AA">
      <w:pPr>
        <w:pStyle w:val="AERbodytext"/>
      </w:pPr>
      <w:r>
        <w:lastRenderedPageBreak/>
        <w:t>We are not satisfied that t</w:t>
      </w:r>
      <w:r w:rsidR="00F318AA">
        <w:t xml:space="preserve">he Surrey Hills upgrade, Woolooware Rd upgrade, Haymarket (Parker St) upgrade, Sydney (Kent - Druitt St), Sydney (Park St) and Rockdale reinforcement work are </w:t>
      </w:r>
      <w:r>
        <w:t xml:space="preserve">conforming </w:t>
      </w:r>
      <w:r w:rsidR="00F318AA">
        <w:t xml:space="preserve">as </w:t>
      </w:r>
      <w:r w:rsidR="00E77A67">
        <w:t>JGN's</w:t>
      </w:r>
      <w:r w:rsidR="00F318AA">
        <w:t xml:space="preserve"> modelling does not show that pressure is expected to fall below the minimum required pressures. As there is not a capacity short fall </w:t>
      </w:r>
      <w:r>
        <w:t xml:space="preserve">we are not satisfied that </w:t>
      </w:r>
      <w:r w:rsidR="00F318AA">
        <w:t>the augmentation is justified.</w:t>
      </w:r>
      <w:r w:rsidR="00D91C3C">
        <w:rPr>
          <w:rStyle w:val="FootnoteReference"/>
        </w:rPr>
        <w:footnoteReference w:id="62"/>
      </w:r>
    </w:p>
    <w:p w:rsidR="00F318AA" w:rsidRDefault="00BE1154" w:rsidP="00F318AA">
      <w:pPr>
        <w:pStyle w:val="AERbodytext"/>
      </w:pPr>
      <w:r>
        <w:t>We are not satisfied that t</w:t>
      </w:r>
      <w:r w:rsidR="00F318AA">
        <w:t xml:space="preserve">he Hoxton Park (Yarrawa St) expansion is </w:t>
      </w:r>
      <w:r>
        <w:t xml:space="preserve">conforming </w:t>
      </w:r>
      <w:r w:rsidR="00F318AA">
        <w:t xml:space="preserve">as the augmentation is predicated on conditional demand growth, much of which is beyond 2020. </w:t>
      </w:r>
      <w:r>
        <w:t>Also</w:t>
      </w:r>
      <w:r w:rsidR="00F318AA">
        <w:t xml:space="preserve">, there is additional capacity available to meet demand growth via the Prestons/Edmondson Park expansion project. As the pressure is not expected to fall below the minimum required pressures </w:t>
      </w:r>
      <w:r>
        <w:t xml:space="preserve">we are not satisfied that the </w:t>
      </w:r>
      <w:r w:rsidR="00F318AA">
        <w:t xml:space="preserve">augmentation is </w:t>
      </w:r>
      <w:r>
        <w:t>conforming</w:t>
      </w:r>
      <w:r w:rsidR="00F318AA">
        <w:t>.</w:t>
      </w:r>
      <w:r w:rsidR="00D91C3C">
        <w:rPr>
          <w:rStyle w:val="FootnoteReference"/>
        </w:rPr>
        <w:footnoteReference w:id="63"/>
      </w:r>
    </w:p>
    <w:p w:rsidR="00F318AA" w:rsidRDefault="00BE1154" w:rsidP="00F318AA">
      <w:pPr>
        <w:pStyle w:val="AERbodytext"/>
      </w:pPr>
      <w:r>
        <w:t xml:space="preserve">We are not satisfied that the </w:t>
      </w:r>
      <w:r w:rsidR="00F318AA">
        <w:t xml:space="preserve">Kincumber capacity expansion is </w:t>
      </w:r>
      <w:r>
        <w:t xml:space="preserve">conforming </w:t>
      </w:r>
      <w:r w:rsidR="00F318AA">
        <w:t xml:space="preserve">as the augmentation was based on 2013 gas demand forecasts. Given reduced demand expectations a capacity shortfall is not expected and </w:t>
      </w:r>
      <w:r w:rsidR="000333E2">
        <w:t xml:space="preserve">we are not satisfied that the </w:t>
      </w:r>
      <w:r w:rsidR="00F318AA">
        <w:t xml:space="preserve">augmentation </w:t>
      </w:r>
      <w:r w:rsidR="000333E2">
        <w:t>will</w:t>
      </w:r>
      <w:r w:rsidR="00F318AA">
        <w:t xml:space="preserve"> be needed until after 2020.</w:t>
      </w:r>
      <w:r w:rsidR="003F3E3B">
        <w:rPr>
          <w:rStyle w:val="FootnoteReference"/>
        </w:rPr>
        <w:footnoteReference w:id="64"/>
      </w:r>
    </w:p>
    <w:p w:rsidR="00F318AA" w:rsidRDefault="00F318AA" w:rsidP="00F318AA">
      <w:pPr>
        <w:pStyle w:val="AERbodytext"/>
      </w:pPr>
      <w:r>
        <w:t xml:space="preserve">The Unanderra - Farmborough Heights extension is highly dependent upon continued growth in the Farmborough Heights area. Due to the uncertainty around the growth, </w:t>
      </w:r>
      <w:r w:rsidR="000333E2">
        <w:t xml:space="preserve">we are not satisfied </w:t>
      </w:r>
      <w:r>
        <w:t xml:space="preserve">that this augmentation will be required </w:t>
      </w:r>
      <w:r w:rsidR="000333E2">
        <w:t xml:space="preserve">until </w:t>
      </w:r>
      <w:r>
        <w:t>after 2020.</w:t>
      </w:r>
      <w:r w:rsidR="003F3E3B">
        <w:rPr>
          <w:rStyle w:val="FootnoteReference"/>
        </w:rPr>
        <w:footnoteReference w:id="65"/>
      </w:r>
      <w:r>
        <w:t xml:space="preserve"> </w:t>
      </w:r>
    </w:p>
    <w:p w:rsidR="00F318AA" w:rsidRDefault="003E6F39" w:rsidP="00F318AA">
      <w:pPr>
        <w:pStyle w:val="AERbodytext"/>
      </w:pPr>
      <w:r>
        <w:t>We are not satisfied that t</w:t>
      </w:r>
      <w:r w:rsidR="00F318AA">
        <w:t xml:space="preserve">he Alexandria Waterloo interconnection is justified as it is not scheduled for completion </w:t>
      </w:r>
      <w:r>
        <w:t xml:space="preserve">until </w:t>
      </w:r>
      <w:r w:rsidR="00F318AA">
        <w:t>2021.  Furthermore any capacity shortfall is likely to be met through the Darlington to Alexandria connection.</w:t>
      </w:r>
      <w:r w:rsidR="003F3E3B">
        <w:rPr>
          <w:rStyle w:val="FootnoteReference"/>
        </w:rPr>
        <w:footnoteReference w:id="66"/>
      </w:r>
      <w:r w:rsidR="00F318AA">
        <w:t xml:space="preserve"> </w:t>
      </w:r>
    </w:p>
    <w:p w:rsidR="00F318AA" w:rsidRDefault="003E6F39" w:rsidP="00F318AA">
      <w:pPr>
        <w:pStyle w:val="AERbodytext"/>
      </w:pPr>
      <w:r>
        <w:t>We are not satisfied that t</w:t>
      </w:r>
      <w:r w:rsidR="00F318AA">
        <w:t>he Bradbury stage 2 extension not justified as it is not scheduled for completion till 2021. Furthermore Bradbury stage 2 requires Bradbury stage 1 to be completed. Bradbury stage 1 is not scheduled to be completed till 2021. Therefore the augmentation is not required in the 2015-20 access arrangement period.</w:t>
      </w:r>
      <w:r w:rsidR="003F3E3B">
        <w:rPr>
          <w:rStyle w:val="FootnoteReference"/>
        </w:rPr>
        <w:footnoteReference w:id="67"/>
      </w:r>
      <w:r w:rsidR="00F318AA">
        <w:t xml:space="preserve"> </w:t>
      </w:r>
    </w:p>
    <w:p w:rsidR="00F318AA" w:rsidRPr="00611C1A" w:rsidRDefault="00611715" w:rsidP="003E7206">
      <w:pPr>
        <w:pStyle w:val="Caption"/>
        <w:rPr>
          <w:rStyle w:val="AERsuperscript"/>
        </w:rPr>
      </w:pPr>
      <w:bookmarkStart w:id="47" w:name="_Ref401489612"/>
      <w:r>
        <w:lastRenderedPageBreak/>
        <w:t xml:space="preserve">Table </w:t>
      </w:r>
      <w:fldSimple w:instr=" STYLEREF 1 \s ">
        <w:r w:rsidR="0029475D">
          <w:rPr>
            <w:noProof/>
          </w:rPr>
          <w:t>6</w:t>
        </w:r>
      </w:fldSimple>
      <w:r w:rsidR="009F7369">
        <w:noBreakHyphen/>
      </w:r>
      <w:fldSimple w:instr=" SEQ Table \* ARABIC \s 1 ">
        <w:r w:rsidR="0029475D">
          <w:rPr>
            <w:noProof/>
          </w:rPr>
          <w:t>12</w:t>
        </w:r>
      </w:fldSimple>
      <w:bookmarkEnd w:id="47"/>
      <w:r w:rsidR="00F318AA" w:rsidRPr="00611C1A">
        <w:tab/>
      </w:r>
      <w:r w:rsidR="00F318AA">
        <w:t>Augmentation capital expenditure not includ</w:t>
      </w:r>
      <w:r w:rsidR="00F318AA" w:rsidRPr="00611C1A">
        <w:t>ed</w:t>
      </w:r>
      <w:r w:rsidR="00F318AA">
        <w:t xml:space="preserve"> in AER alternative capex estimate</w:t>
      </w:r>
      <w:r w:rsidR="00F318AA" w:rsidRPr="00611C1A">
        <w:t xml:space="preserve"> ($million, 2015)</w:t>
      </w:r>
      <w:r w:rsidR="00F318AA" w:rsidRPr="00611C1A">
        <w:rPr>
          <w:rStyle w:val="AERsuperscript"/>
        </w:rPr>
        <w:t>(a)</w:t>
      </w:r>
    </w:p>
    <w:tbl>
      <w:tblPr>
        <w:tblStyle w:val="AERtable-numbers"/>
        <w:tblW w:w="5000" w:type="pct"/>
        <w:tblLook w:val="0020" w:firstRow="1" w:lastRow="0" w:firstColumn="0" w:lastColumn="0" w:noHBand="0" w:noVBand="0"/>
      </w:tblPr>
      <w:tblGrid>
        <w:gridCol w:w="6440"/>
        <w:gridCol w:w="2802"/>
      </w:tblGrid>
      <w:tr w:rsidR="00F318AA" w:rsidRPr="00627CFC" w:rsidTr="00A83DE4">
        <w:trPr>
          <w:cnfStyle w:val="100000000000" w:firstRow="1" w:lastRow="0" w:firstColumn="0" w:lastColumn="0" w:oddVBand="0" w:evenVBand="0" w:oddHBand="0" w:evenHBand="0" w:firstRowFirstColumn="0" w:firstRowLastColumn="0" w:lastRowFirstColumn="0" w:lastRowLastColumn="0"/>
          <w:trHeight w:val="171"/>
        </w:trPr>
        <w:tc>
          <w:tcPr>
            <w:tcW w:w="3484" w:type="pct"/>
          </w:tcPr>
          <w:p w:rsidR="00F318AA" w:rsidRPr="00F318AA" w:rsidRDefault="00F318AA" w:rsidP="003E7206">
            <w:pPr>
              <w:keepNext/>
            </w:pPr>
            <w:r>
              <w:t>Project name</w:t>
            </w:r>
          </w:p>
        </w:tc>
        <w:tc>
          <w:tcPr>
            <w:tcW w:w="1516" w:type="pct"/>
          </w:tcPr>
          <w:p w:rsidR="00F318AA" w:rsidRPr="00F318AA" w:rsidRDefault="00F318AA" w:rsidP="003E7206">
            <w:pPr>
              <w:keepNext/>
              <w:jc w:val="left"/>
            </w:pPr>
            <w:r w:rsidRPr="00627CFC">
              <w:t>Total</w:t>
            </w:r>
          </w:p>
        </w:tc>
      </w:tr>
      <w:tr w:rsidR="00F318AA" w:rsidRPr="00627CFC" w:rsidTr="00A83DE4">
        <w:trPr>
          <w:trHeight w:val="179"/>
        </w:trPr>
        <w:tc>
          <w:tcPr>
            <w:tcW w:w="3484" w:type="pct"/>
          </w:tcPr>
          <w:p w:rsidR="00F318AA" w:rsidRPr="00F318AA" w:rsidRDefault="00F318AA" w:rsidP="003E7206">
            <w:pPr>
              <w:keepNext/>
            </w:pPr>
            <w:r>
              <w:t>Surry Hills upgrade</w:t>
            </w:r>
          </w:p>
        </w:tc>
        <w:tc>
          <w:tcPr>
            <w:tcW w:w="1516" w:type="pct"/>
          </w:tcPr>
          <w:p w:rsidR="00F318AA" w:rsidRPr="00413233" w:rsidRDefault="00F318AA" w:rsidP="003E7206">
            <w:pPr>
              <w:keepNext/>
              <w:jc w:val="left"/>
            </w:pPr>
          </w:p>
        </w:tc>
      </w:tr>
      <w:tr w:rsidR="00F318AA" w:rsidRPr="00627CFC" w:rsidTr="00A83DE4">
        <w:trPr>
          <w:cnfStyle w:val="000000010000" w:firstRow="0" w:lastRow="0" w:firstColumn="0" w:lastColumn="0" w:oddVBand="0" w:evenVBand="0" w:oddHBand="0" w:evenHBand="1" w:firstRowFirstColumn="0" w:firstRowLastColumn="0" w:lastRowFirstColumn="0" w:lastRowLastColumn="0"/>
          <w:trHeight w:val="179"/>
        </w:trPr>
        <w:tc>
          <w:tcPr>
            <w:tcW w:w="3484" w:type="pct"/>
          </w:tcPr>
          <w:p w:rsidR="00F318AA" w:rsidRPr="00F318AA" w:rsidRDefault="00F318AA" w:rsidP="003E7206">
            <w:pPr>
              <w:keepNext/>
            </w:pPr>
            <w:r>
              <w:t>Woolooware (Woolooware Rd North)</w:t>
            </w:r>
          </w:p>
        </w:tc>
        <w:tc>
          <w:tcPr>
            <w:tcW w:w="1516" w:type="pct"/>
          </w:tcPr>
          <w:p w:rsidR="00F318AA" w:rsidRPr="00413233" w:rsidRDefault="00F318AA" w:rsidP="003E7206">
            <w:pPr>
              <w:keepNext/>
              <w:jc w:val="left"/>
            </w:pPr>
          </w:p>
        </w:tc>
      </w:tr>
      <w:tr w:rsidR="00F318AA" w:rsidRPr="00627CFC" w:rsidTr="00A83DE4">
        <w:trPr>
          <w:trHeight w:val="179"/>
        </w:trPr>
        <w:tc>
          <w:tcPr>
            <w:tcW w:w="3484" w:type="pct"/>
          </w:tcPr>
          <w:p w:rsidR="00F318AA" w:rsidRPr="00F318AA" w:rsidRDefault="00F318AA" w:rsidP="003E7206">
            <w:pPr>
              <w:keepNext/>
            </w:pPr>
            <w:r>
              <w:t>Hoxton Park (Yarrawa St)</w:t>
            </w:r>
          </w:p>
        </w:tc>
        <w:tc>
          <w:tcPr>
            <w:tcW w:w="1516" w:type="pct"/>
          </w:tcPr>
          <w:p w:rsidR="00F318AA" w:rsidRPr="00413233" w:rsidRDefault="00F318AA" w:rsidP="003E7206">
            <w:pPr>
              <w:keepNext/>
              <w:jc w:val="left"/>
            </w:pPr>
          </w:p>
        </w:tc>
      </w:tr>
      <w:tr w:rsidR="00F318AA" w:rsidRPr="00627CFC" w:rsidTr="00A83DE4">
        <w:trPr>
          <w:cnfStyle w:val="000000010000" w:firstRow="0" w:lastRow="0" w:firstColumn="0" w:lastColumn="0" w:oddVBand="0" w:evenVBand="0" w:oddHBand="0" w:evenHBand="1" w:firstRowFirstColumn="0" w:firstRowLastColumn="0" w:lastRowFirstColumn="0" w:lastRowLastColumn="0"/>
          <w:trHeight w:val="179"/>
        </w:trPr>
        <w:tc>
          <w:tcPr>
            <w:tcW w:w="3484" w:type="pct"/>
          </w:tcPr>
          <w:p w:rsidR="00F318AA" w:rsidRPr="00F318AA" w:rsidRDefault="00F318AA" w:rsidP="003E7206">
            <w:pPr>
              <w:keepNext/>
            </w:pPr>
            <w:r>
              <w:t>Haymarket (Parker St)</w:t>
            </w:r>
          </w:p>
        </w:tc>
        <w:tc>
          <w:tcPr>
            <w:tcW w:w="1516" w:type="pct"/>
          </w:tcPr>
          <w:p w:rsidR="00F318AA" w:rsidRPr="00413233" w:rsidRDefault="00F318AA" w:rsidP="003E7206">
            <w:pPr>
              <w:keepNext/>
              <w:jc w:val="left"/>
            </w:pPr>
          </w:p>
        </w:tc>
      </w:tr>
      <w:tr w:rsidR="00F318AA" w:rsidRPr="00627CFC" w:rsidTr="00A83DE4">
        <w:trPr>
          <w:trHeight w:val="179"/>
        </w:trPr>
        <w:tc>
          <w:tcPr>
            <w:tcW w:w="3484" w:type="pct"/>
          </w:tcPr>
          <w:p w:rsidR="00F318AA" w:rsidRPr="00F318AA" w:rsidRDefault="00F318AA" w:rsidP="003E7206">
            <w:pPr>
              <w:keepNext/>
            </w:pPr>
            <w:r>
              <w:t>Kincumber 210 kPa</w:t>
            </w:r>
          </w:p>
        </w:tc>
        <w:tc>
          <w:tcPr>
            <w:tcW w:w="1516" w:type="pct"/>
          </w:tcPr>
          <w:p w:rsidR="00F318AA" w:rsidRPr="00413233" w:rsidRDefault="00F318AA" w:rsidP="003E7206">
            <w:pPr>
              <w:keepNext/>
              <w:jc w:val="left"/>
            </w:pPr>
          </w:p>
        </w:tc>
      </w:tr>
      <w:tr w:rsidR="00F318AA" w:rsidRPr="00627CFC" w:rsidTr="00A83DE4">
        <w:trPr>
          <w:cnfStyle w:val="000000010000" w:firstRow="0" w:lastRow="0" w:firstColumn="0" w:lastColumn="0" w:oddVBand="0" w:evenVBand="0" w:oddHBand="0" w:evenHBand="1" w:firstRowFirstColumn="0" w:firstRowLastColumn="0" w:lastRowFirstColumn="0" w:lastRowLastColumn="0"/>
          <w:trHeight w:val="179"/>
        </w:trPr>
        <w:tc>
          <w:tcPr>
            <w:tcW w:w="3484" w:type="pct"/>
          </w:tcPr>
          <w:p w:rsidR="00F318AA" w:rsidRPr="00F318AA" w:rsidRDefault="00F318AA" w:rsidP="003E7206">
            <w:pPr>
              <w:keepNext/>
            </w:pPr>
            <w:r>
              <w:t>Sydney 7kPa (Kent St/Druitt St)</w:t>
            </w:r>
          </w:p>
        </w:tc>
        <w:tc>
          <w:tcPr>
            <w:tcW w:w="1516" w:type="pct"/>
          </w:tcPr>
          <w:p w:rsidR="00F318AA" w:rsidRPr="00413233" w:rsidRDefault="00F318AA" w:rsidP="003E7206">
            <w:pPr>
              <w:keepNext/>
              <w:jc w:val="left"/>
            </w:pPr>
          </w:p>
        </w:tc>
      </w:tr>
      <w:tr w:rsidR="00F318AA" w:rsidRPr="00627CFC" w:rsidTr="00A83DE4">
        <w:trPr>
          <w:trHeight w:val="179"/>
        </w:trPr>
        <w:tc>
          <w:tcPr>
            <w:tcW w:w="3484" w:type="pct"/>
          </w:tcPr>
          <w:p w:rsidR="00F318AA" w:rsidRPr="00F318AA" w:rsidRDefault="00F318AA" w:rsidP="003E7206">
            <w:pPr>
              <w:keepNext/>
            </w:pPr>
            <w:r>
              <w:t>Sydney 7kPa (Park St)</w:t>
            </w:r>
          </w:p>
        </w:tc>
        <w:tc>
          <w:tcPr>
            <w:tcW w:w="1516" w:type="pct"/>
          </w:tcPr>
          <w:p w:rsidR="00F318AA" w:rsidRPr="00413233" w:rsidRDefault="00F318AA" w:rsidP="003E7206">
            <w:pPr>
              <w:keepNext/>
              <w:jc w:val="left"/>
            </w:pPr>
          </w:p>
        </w:tc>
      </w:tr>
      <w:tr w:rsidR="00F318AA" w:rsidRPr="00627CFC" w:rsidTr="00A83DE4">
        <w:trPr>
          <w:cnfStyle w:val="000000010000" w:firstRow="0" w:lastRow="0" w:firstColumn="0" w:lastColumn="0" w:oddVBand="0" w:evenVBand="0" w:oddHBand="0" w:evenHBand="1" w:firstRowFirstColumn="0" w:firstRowLastColumn="0" w:lastRowFirstColumn="0" w:lastRowLastColumn="0"/>
          <w:trHeight w:val="179"/>
        </w:trPr>
        <w:tc>
          <w:tcPr>
            <w:tcW w:w="3484" w:type="pct"/>
          </w:tcPr>
          <w:p w:rsidR="00F318AA" w:rsidRPr="00F318AA" w:rsidRDefault="00F318AA" w:rsidP="003E7206">
            <w:pPr>
              <w:keepNext/>
            </w:pPr>
            <w:r>
              <w:t>Unanderra - Farmborough Hts</w:t>
            </w:r>
          </w:p>
        </w:tc>
        <w:tc>
          <w:tcPr>
            <w:tcW w:w="1516" w:type="pct"/>
          </w:tcPr>
          <w:p w:rsidR="00F318AA" w:rsidRPr="00413233" w:rsidRDefault="00F318AA" w:rsidP="003E7206">
            <w:pPr>
              <w:keepNext/>
              <w:jc w:val="left"/>
            </w:pPr>
          </w:p>
        </w:tc>
      </w:tr>
      <w:tr w:rsidR="00F318AA" w:rsidRPr="00627CFC" w:rsidTr="00A83DE4">
        <w:trPr>
          <w:trHeight w:val="179"/>
        </w:trPr>
        <w:tc>
          <w:tcPr>
            <w:tcW w:w="3484" w:type="pct"/>
          </w:tcPr>
          <w:p w:rsidR="00F318AA" w:rsidRPr="00F318AA" w:rsidRDefault="00F318AA" w:rsidP="003E7206">
            <w:pPr>
              <w:keepNext/>
            </w:pPr>
            <w:r>
              <w:t>Alexandria Waterloo Intercon.</w:t>
            </w:r>
          </w:p>
        </w:tc>
        <w:tc>
          <w:tcPr>
            <w:tcW w:w="1516" w:type="pct"/>
          </w:tcPr>
          <w:p w:rsidR="00F318AA" w:rsidRPr="00413233" w:rsidRDefault="00F318AA" w:rsidP="003E7206">
            <w:pPr>
              <w:keepNext/>
              <w:jc w:val="left"/>
            </w:pPr>
          </w:p>
        </w:tc>
      </w:tr>
      <w:tr w:rsidR="00F318AA" w:rsidRPr="00627CFC" w:rsidTr="00A83DE4">
        <w:trPr>
          <w:cnfStyle w:val="000000010000" w:firstRow="0" w:lastRow="0" w:firstColumn="0" w:lastColumn="0" w:oddVBand="0" w:evenVBand="0" w:oddHBand="0" w:evenHBand="1" w:firstRowFirstColumn="0" w:firstRowLastColumn="0" w:lastRowFirstColumn="0" w:lastRowLastColumn="0"/>
          <w:trHeight w:val="179"/>
        </w:trPr>
        <w:tc>
          <w:tcPr>
            <w:tcW w:w="3484" w:type="pct"/>
          </w:tcPr>
          <w:p w:rsidR="00F318AA" w:rsidRPr="00F318AA" w:rsidRDefault="00F318AA" w:rsidP="003E7206">
            <w:pPr>
              <w:keepNext/>
            </w:pPr>
            <w:r>
              <w:t>Bradbuy - Stage 2</w:t>
            </w:r>
          </w:p>
        </w:tc>
        <w:tc>
          <w:tcPr>
            <w:tcW w:w="1516" w:type="pct"/>
          </w:tcPr>
          <w:p w:rsidR="00F318AA" w:rsidRPr="00413233" w:rsidRDefault="00F318AA" w:rsidP="003E7206">
            <w:pPr>
              <w:keepNext/>
              <w:jc w:val="left"/>
            </w:pPr>
          </w:p>
        </w:tc>
      </w:tr>
      <w:tr w:rsidR="00F318AA" w:rsidRPr="00627CFC" w:rsidTr="00A83DE4">
        <w:trPr>
          <w:trHeight w:val="179"/>
        </w:trPr>
        <w:tc>
          <w:tcPr>
            <w:tcW w:w="3484" w:type="pct"/>
          </w:tcPr>
          <w:p w:rsidR="00F318AA" w:rsidRPr="00F318AA" w:rsidRDefault="00F318AA" w:rsidP="003E7206">
            <w:pPr>
              <w:keepNext/>
            </w:pPr>
            <w:r>
              <w:t>Rockdale (security of supply)</w:t>
            </w:r>
          </w:p>
        </w:tc>
        <w:tc>
          <w:tcPr>
            <w:tcW w:w="1516" w:type="pct"/>
          </w:tcPr>
          <w:p w:rsidR="00F318AA" w:rsidRPr="00413233" w:rsidRDefault="00F318AA" w:rsidP="003E7206">
            <w:pPr>
              <w:keepNext/>
              <w:jc w:val="left"/>
            </w:pPr>
          </w:p>
        </w:tc>
      </w:tr>
      <w:tr w:rsidR="00F318AA" w:rsidRPr="00627CFC" w:rsidTr="00A83DE4">
        <w:trPr>
          <w:cnfStyle w:val="000000010000" w:firstRow="0" w:lastRow="0" w:firstColumn="0" w:lastColumn="0" w:oddVBand="0" w:evenVBand="0" w:oddHBand="0" w:evenHBand="1" w:firstRowFirstColumn="0" w:firstRowLastColumn="0" w:lastRowFirstColumn="0" w:lastRowLastColumn="0"/>
          <w:trHeight w:val="179"/>
        </w:trPr>
        <w:tc>
          <w:tcPr>
            <w:tcW w:w="3484" w:type="pct"/>
          </w:tcPr>
          <w:p w:rsidR="00F318AA" w:rsidRPr="00F318AA" w:rsidRDefault="00F318AA" w:rsidP="003E7206">
            <w:pPr>
              <w:keepNext/>
              <w:rPr>
                <w:rStyle w:val="AERtextbold"/>
              </w:rPr>
            </w:pPr>
            <w:r>
              <w:rPr>
                <w:rStyle w:val="AERtextbold"/>
              </w:rPr>
              <w:t>Total</w:t>
            </w:r>
          </w:p>
        </w:tc>
        <w:tc>
          <w:tcPr>
            <w:tcW w:w="1516" w:type="pct"/>
          </w:tcPr>
          <w:p w:rsidR="00F318AA" w:rsidRPr="00F318AA" w:rsidRDefault="00F318AA" w:rsidP="003E7206">
            <w:pPr>
              <w:pStyle w:val="AERtabletextright"/>
              <w:keepNext/>
              <w:jc w:val="left"/>
              <w:rPr>
                <w:rStyle w:val="AERtextbold"/>
              </w:rPr>
            </w:pPr>
            <w:r w:rsidRPr="00413233">
              <w:rPr>
                <w:rStyle w:val="AERtextbold"/>
              </w:rPr>
              <w:t xml:space="preserve"> </w:t>
            </w:r>
            <w:r w:rsidR="003F3E3B">
              <w:rPr>
                <w:rStyle w:val="AERtextbold"/>
              </w:rPr>
              <w:t>8.1</w:t>
            </w:r>
          </w:p>
        </w:tc>
      </w:tr>
    </w:tbl>
    <w:p w:rsidR="00F318AA" w:rsidRPr="00611C1A" w:rsidRDefault="00F318AA" w:rsidP="003E7206">
      <w:pPr>
        <w:pStyle w:val="AERtablesource"/>
        <w:keepNext/>
      </w:pPr>
      <w:r w:rsidRPr="00611C1A">
        <w:t>Source:</w:t>
      </w:r>
      <w:r w:rsidRPr="00611C1A">
        <w:tab/>
      </w:r>
      <w:r>
        <w:t>Sleeman Consulting, ;AER analysis</w:t>
      </w:r>
      <w:r w:rsidRPr="00611C1A">
        <w:t>.</w:t>
      </w:r>
    </w:p>
    <w:p w:rsidR="00F318AA" w:rsidRPr="004B1714" w:rsidRDefault="00F318AA" w:rsidP="00F318AA">
      <w:pPr>
        <w:pStyle w:val="AERtablesource"/>
      </w:pPr>
      <w:r w:rsidRPr="00611C1A">
        <w:t>Notes:</w:t>
      </w:r>
      <w:r w:rsidRPr="00611C1A">
        <w:tab/>
        <w:t>(a) Direct costs excluding escalation and overheads.</w:t>
      </w:r>
    </w:p>
    <w:p w:rsidR="00275734" w:rsidRDefault="00275734" w:rsidP="00275734">
      <w:pPr>
        <w:pStyle w:val="HeadingBoldBlue"/>
      </w:pPr>
      <w:r w:rsidRPr="00275734">
        <w:t>Mains and service renewal</w:t>
      </w:r>
    </w:p>
    <w:p w:rsidR="005E29EE" w:rsidRPr="005E29EE" w:rsidRDefault="00517910" w:rsidP="005E29EE">
      <w:pPr>
        <w:pStyle w:val="AERbodytext"/>
      </w:pPr>
      <w:r>
        <w:rPr>
          <w:rStyle w:val="AERbody"/>
        </w:rPr>
        <w:t xml:space="preserve">Mains and service renewal expenditure is for replacement of </w:t>
      </w:r>
      <w:r w:rsidRPr="00517910">
        <w:rPr>
          <w:rStyle w:val="AERbody"/>
        </w:rPr>
        <w:t>low and medium pressure gas</w:t>
      </w:r>
      <w:r>
        <w:rPr>
          <w:rStyle w:val="AERbody"/>
        </w:rPr>
        <w:t xml:space="preserve"> mains </w:t>
      </w:r>
      <w:r w:rsidRPr="00517910">
        <w:rPr>
          <w:rStyle w:val="AERbody"/>
        </w:rPr>
        <w:t>as they are reaching the end of their economic life</w:t>
      </w:r>
      <w:r>
        <w:rPr>
          <w:rStyle w:val="AERbody"/>
        </w:rPr>
        <w:t>. Replacement may be required to maintain safety,</w:t>
      </w:r>
      <w:r w:rsidRPr="00517910">
        <w:rPr>
          <w:rStyle w:val="AERbody"/>
        </w:rPr>
        <w:t xml:space="preserve"> levels of reliability</w:t>
      </w:r>
      <w:r>
        <w:rPr>
          <w:rStyle w:val="AERbody"/>
        </w:rPr>
        <w:t xml:space="preserve"> and when the </w:t>
      </w:r>
      <w:r w:rsidR="00C443FC">
        <w:rPr>
          <w:rStyle w:val="AERbody"/>
        </w:rPr>
        <w:t xml:space="preserve">operating and maintenance </w:t>
      </w:r>
      <w:r>
        <w:rPr>
          <w:rStyle w:val="AERbody"/>
        </w:rPr>
        <w:t>costs</w:t>
      </w:r>
      <w:r w:rsidR="00C443FC">
        <w:rPr>
          <w:rStyle w:val="AERbody"/>
        </w:rPr>
        <w:t xml:space="preserve"> required for the mains or services are greater than the cost of replacement</w:t>
      </w:r>
      <w:r w:rsidRPr="00517910">
        <w:rPr>
          <w:rStyle w:val="AERbody"/>
        </w:rPr>
        <w:t>.</w:t>
      </w:r>
      <w:r w:rsidR="00580354">
        <w:rPr>
          <w:rStyle w:val="AERbody"/>
        </w:rPr>
        <w:t xml:space="preserve"> The </w:t>
      </w:r>
      <w:r w:rsidR="00580354" w:rsidRPr="00580354">
        <w:rPr>
          <w:rStyle w:val="AERbody"/>
        </w:rPr>
        <w:t>majority of renewal activity is planned</w:t>
      </w:r>
      <w:r w:rsidR="00580354">
        <w:rPr>
          <w:rStyle w:val="AERbody"/>
        </w:rPr>
        <w:t xml:space="preserve">. However there is also </w:t>
      </w:r>
      <w:r w:rsidR="00A17FBE">
        <w:rPr>
          <w:rStyle w:val="AERbody"/>
        </w:rPr>
        <w:t>a small amount of</w:t>
      </w:r>
      <w:r w:rsidR="00580354" w:rsidRPr="00580354">
        <w:rPr>
          <w:rStyle w:val="AERbody"/>
        </w:rPr>
        <w:t xml:space="preserve"> reactive </w:t>
      </w:r>
      <w:r w:rsidR="00580354">
        <w:rPr>
          <w:rStyle w:val="AERbody"/>
        </w:rPr>
        <w:t>or unplanned work</w:t>
      </w:r>
      <w:r w:rsidR="00A17FBE" w:rsidRPr="00A17FBE">
        <w:rPr>
          <w:rStyle w:val="AERbody"/>
        </w:rPr>
        <w:t xml:space="preserve"> that is required</w:t>
      </w:r>
      <w:r w:rsidR="00A17FBE">
        <w:rPr>
          <w:rStyle w:val="AERbody"/>
        </w:rPr>
        <w:t xml:space="preserve">. This is </w:t>
      </w:r>
      <w:r w:rsidR="00A17FBE" w:rsidRPr="00A17FBE">
        <w:t>typically</w:t>
      </w:r>
      <w:r w:rsidR="00A17FBE">
        <w:t xml:space="preserve"> for replacement</w:t>
      </w:r>
      <w:r w:rsidR="00A17FBE" w:rsidRPr="00A17FBE">
        <w:t xml:space="preserve"> of up to 250 m</w:t>
      </w:r>
      <w:r w:rsidR="00A17FBE">
        <w:t>etres</w:t>
      </w:r>
      <w:r w:rsidR="00A17FBE" w:rsidRPr="00A17FBE">
        <w:t xml:space="preserve"> of </w:t>
      </w:r>
      <w:r w:rsidR="00A17FBE">
        <w:t>mains</w:t>
      </w:r>
      <w:r w:rsidR="00A17FBE" w:rsidRPr="00A17FBE">
        <w:t xml:space="preserve"> or individual services</w:t>
      </w:r>
      <w:r w:rsidR="00580354">
        <w:rPr>
          <w:rStyle w:val="AERbody"/>
        </w:rPr>
        <w:t>.</w:t>
      </w:r>
      <w:r w:rsidR="008907A4">
        <w:rPr>
          <w:rStyle w:val="FootnoteReference"/>
        </w:rPr>
        <w:footnoteReference w:id="68"/>
      </w:r>
      <w:r w:rsidR="005E29EE" w:rsidRPr="005E29EE">
        <w:t xml:space="preserve"> </w:t>
      </w:r>
      <w:r w:rsidR="005E29EE">
        <w:t>We</w:t>
      </w:r>
      <w:r w:rsidR="005E29EE" w:rsidRPr="005E29EE">
        <w:t xml:space="preserve"> consider that mains and services renewal expenditure is justified under rules 79(2)(c)(i)—(iv), on the basis that the capex is required to maintain safety, reliability, to meet minimum pressure obligations, and to be able to meet existing levels of demand.</w:t>
      </w:r>
    </w:p>
    <w:p w:rsidR="000B5876" w:rsidRDefault="00517910" w:rsidP="00517910">
      <w:pPr>
        <w:pStyle w:val="AERbodytext"/>
      </w:pPr>
      <w:r w:rsidRPr="00517910">
        <w:rPr>
          <w:rStyle w:val="AERbody"/>
        </w:rPr>
        <w:t>We have included $</w:t>
      </w:r>
      <w:r w:rsidR="000B5876">
        <w:rPr>
          <w:rStyle w:val="AERbody"/>
        </w:rPr>
        <w:t>57.4</w:t>
      </w:r>
      <w:r w:rsidRPr="00517910">
        <w:rPr>
          <w:rStyle w:val="AERbody"/>
        </w:rPr>
        <w:t xml:space="preserve"> million ($2015, unescalated direct costs, excluding overheads) of </w:t>
      </w:r>
      <w:r w:rsidR="00C443FC">
        <w:rPr>
          <w:rStyle w:val="AERbody"/>
        </w:rPr>
        <w:t>mains and service</w:t>
      </w:r>
      <w:r w:rsidRPr="00517910">
        <w:rPr>
          <w:rStyle w:val="AERbody"/>
        </w:rPr>
        <w:t xml:space="preserve"> renewal expenditure in our capex forecast. </w:t>
      </w:r>
      <w:r w:rsidR="000B5876" w:rsidRPr="00B65FC5">
        <w:t xml:space="preserve">On the basis of advice provided by Sleeman </w:t>
      </w:r>
      <w:r w:rsidR="000B5876" w:rsidRPr="00B65FC5">
        <w:lastRenderedPageBreak/>
        <w:t xml:space="preserve">Consulting </w:t>
      </w:r>
      <w:r w:rsidR="000B5876">
        <w:t xml:space="preserve">we consider that this capex </w:t>
      </w:r>
      <w:r w:rsidR="000B5876" w:rsidRPr="00F75FD3">
        <w:t>compl</w:t>
      </w:r>
      <w:r w:rsidR="000B5876">
        <w:t xml:space="preserve">ies with </w:t>
      </w:r>
      <w:r w:rsidR="000B5876" w:rsidRPr="00F75FD3">
        <w:t>r.</w:t>
      </w:r>
      <w:r w:rsidR="000B5876">
        <w:t xml:space="preserve"> </w:t>
      </w:r>
      <w:r w:rsidR="000B5876" w:rsidRPr="00687DEA">
        <w:t>79(2)(c)(i)—(iv)</w:t>
      </w:r>
      <w:r w:rsidR="000B5876">
        <w:t xml:space="preserve"> of the NGR</w:t>
      </w:r>
      <w:r w:rsidR="000B5876" w:rsidRPr="00F75FD3">
        <w:t xml:space="preserve"> for the following reasons:</w:t>
      </w:r>
      <w:r w:rsidR="000B5876" w:rsidRPr="00B65FC5">
        <w:rPr>
          <w:rStyle w:val="FootnoteReference"/>
        </w:rPr>
        <w:footnoteReference w:id="69"/>
      </w:r>
    </w:p>
    <w:p w:rsidR="001C64AB" w:rsidRDefault="001C64AB" w:rsidP="001C64AB">
      <w:pPr>
        <w:pStyle w:val="AERbulletlistfirststyle"/>
      </w:pPr>
      <w:r>
        <w:t xml:space="preserve">Ten of the fifteen projects proposed </w:t>
      </w:r>
      <w:r w:rsidR="0003755D">
        <w:t xml:space="preserve">may </w:t>
      </w:r>
      <w:r>
        <w:t>potential</w:t>
      </w:r>
      <w:r w:rsidR="0003755D">
        <w:t>ly have</w:t>
      </w:r>
      <w:r>
        <w:t xml:space="preserve"> public safety </w:t>
      </w:r>
      <w:r w:rsidR="0003755D">
        <w:t>implication</w:t>
      </w:r>
      <w:r w:rsidR="00E77A67">
        <w:t>s</w:t>
      </w:r>
      <w:r w:rsidR="0003755D">
        <w:t xml:space="preserve"> if </w:t>
      </w:r>
      <w:r>
        <w:t>not completed</w:t>
      </w:r>
      <w:r w:rsidR="00053F49">
        <w:t xml:space="preserve"> in a timely fashion</w:t>
      </w:r>
      <w:r>
        <w:t>.</w:t>
      </w:r>
    </w:p>
    <w:p w:rsidR="001C64AB" w:rsidRDefault="00053F49" w:rsidP="001C64AB">
      <w:pPr>
        <w:pStyle w:val="AERbulletlistfirststyle"/>
      </w:pPr>
      <w:r>
        <w:t>The residual five projects proposed are justified as mains condition indicators show the need for replacement</w:t>
      </w:r>
      <w:r w:rsidR="0003755D">
        <w:t>. T</w:t>
      </w:r>
      <w:r>
        <w:t xml:space="preserve">hese projects are not as time critical as the ten mentioned above. However, </w:t>
      </w:r>
      <w:r w:rsidR="0003755D">
        <w:t xml:space="preserve">we are not satisfied that </w:t>
      </w:r>
      <w:r>
        <w:t xml:space="preserve">the </w:t>
      </w:r>
      <w:r w:rsidR="0003755D">
        <w:t xml:space="preserve">proposed costs for the </w:t>
      </w:r>
      <w:r>
        <w:t>Wollongong/Coniston</w:t>
      </w:r>
      <w:r w:rsidR="00E0112C">
        <w:t xml:space="preserve"> projects are efficient</w:t>
      </w:r>
      <w:r w:rsidR="0003755D">
        <w:t>,</w:t>
      </w:r>
      <w:r w:rsidR="00E0112C">
        <w:t xml:space="preserve"> as </w:t>
      </w:r>
      <w:r w:rsidR="0003755D">
        <w:t xml:space="preserve">they </w:t>
      </w:r>
      <w:r w:rsidR="00E0112C">
        <w:t>are considerably higher than comparable projects. We have reduced the amount included for these projects by fifteen per cent.</w:t>
      </w:r>
    </w:p>
    <w:p w:rsidR="005E29EE" w:rsidRDefault="005E29EE" w:rsidP="005E29EE">
      <w:pPr>
        <w:pStyle w:val="AERbodytext"/>
        <w:rPr>
          <w:rStyle w:val="AERbody"/>
        </w:rPr>
      </w:pPr>
      <w:r w:rsidRPr="005E29EE">
        <w:rPr>
          <w:rStyle w:val="AERbody"/>
        </w:rPr>
        <w:t>JGN proposed mains and services renewal capex of $58.2 million ($2015, unescalated direct costs, excluding overheads) for the 2015–20 access arrangement period. This amounts to approximately 5 per cent of JGN‘s proposed total capex forecast, in unescalated, direct terms. It represents a 147 per cent increase in expenditure compared with the current access arrangement period.</w:t>
      </w:r>
      <w:r>
        <w:rPr>
          <w:rStyle w:val="AERbody"/>
        </w:rPr>
        <w:t xml:space="preserve"> </w:t>
      </w:r>
    </w:p>
    <w:p w:rsidR="00517910" w:rsidRPr="00517910" w:rsidRDefault="005E29EE" w:rsidP="0003755D">
      <w:pPr>
        <w:pStyle w:val="AERbodytext"/>
        <w:rPr>
          <w:rStyle w:val="AERbody"/>
        </w:rPr>
      </w:pPr>
      <w:r>
        <w:rPr>
          <w:rStyle w:val="AERbody"/>
        </w:rPr>
        <w:t xml:space="preserve">We </w:t>
      </w:r>
      <w:r w:rsidR="0003755D">
        <w:rPr>
          <w:rStyle w:val="AERbody"/>
        </w:rPr>
        <w:t>are not satisfied</w:t>
      </w:r>
      <w:r>
        <w:rPr>
          <w:rStyle w:val="AERbody"/>
        </w:rPr>
        <w:t xml:space="preserve"> that JGN has justified this forecast</w:t>
      </w:r>
      <w:r w:rsidR="0003755D">
        <w:rPr>
          <w:rStyle w:val="AERbody"/>
        </w:rPr>
        <w:t>.</w:t>
      </w:r>
      <w:r>
        <w:rPr>
          <w:rStyle w:val="AERbody"/>
        </w:rPr>
        <w:t xml:space="preserve"> </w:t>
      </w:r>
      <w:r w:rsidR="0003755D">
        <w:rPr>
          <w:rStyle w:val="AERbody"/>
        </w:rPr>
        <w:t>T</w:t>
      </w:r>
      <w:r w:rsidR="000B5876">
        <w:rPr>
          <w:rStyle w:val="AERbody"/>
        </w:rPr>
        <w:t xml:space="preserve">he costs for the three Woolongong/Coniston rehabilitation project are higher than </w:t>
      </w:r>
      <w:r w:rsidR="0003755D">
        <w:rPr>
          <w:rStyle w:val="AERbody"/>
        </w:rPr>
        <w:t xml:space="preserve">those we are satisfied </w:t>
      </w:r>
      <w:r w:rsidR="000B5876">
        <w:rPr>
          <w:rStyle w:val="AERbody"/>
        </w:rPr>
        <w:t xml:space="preserve">a prudent </w:t>
      </w:r>
      <w:r w:rsidR="00A86AFF">
        <w:rPr>
          <w:rStyle w:val="AERbody"/>
        </w:rPr>
        <w:t>service provide</w:t>
      </w:r>
      <w:r w:rsidR="000B5876">
        <w:rPr>
          <w:rStyle w:val="AERbody"/>
        </w:rPr>
        <w:t xml:space="preserve">r </w:t>
      </w:r>
      <w:r w:rsidR="00A86AFF">
        <w:rPr>
          <w:rStyle w:val="AERbody"/>
        </w:rPr>
        <w:t xml:space="preserve">acting efficiently </w:t>
      </w:r>
      <w:r w:rsidR="000B5876">
        <w:rPr>
          <w:rStyle w:val="AERbody"/>
        </w:rPr>
        <w:t>would incur</w:t>
      </w:r>
      <w:r w:rsidR="00517910" w:rsidRPr="00517910">
        <w:rPr>
          <w:rStyle w:val="AERbody"/>
        </w:rPr>
        <w:t>.</w:t>
      </w:r>
      <w:r w:rsidR="00A86AFF">
        <w:rPr>
          <w:rStyle w:val="FootnoteReference"/>
        </w:rPr>
        <w:footnoteReference w:id="70"/>
      </w:r>
    </w:p>
    <w:p w:rsidR="00331E90" w:rsidRDefault="00331E90" w:rsidP="00887075">
      <w:pPr>
        <w:pStyle w:val="AERbodytext"/>
      </w:pPr>
      <w:r>
        <w:t>JGN submits that the increase in expenditure is due to two projects:</w:t>
      </w:r>
      <w:r w:rsidR="00AE15F7">
        <w:rPr>
          <w:rStyle w:val="FootnoteReference"/>
        </w:rPr>
        <w:footnoteReference w:id="71"/>
      </w:r>
    </w:p>
    <w:p w:rsidR="00331E90" w:rsidRDefault="00331E90" w:rsidP="00331E90">
      <w:pPr>
        <w:pStyle w:val="AERbulletlistfirststyle"/>
      </w:pPr>
      <w:r w:rsidRPr="00331E90">
        <w:t>Mt Druitt steel replacement program</w:t>
      </w:r>
      <w:r>
        <w:t>, where 10 km of steel m</w:t>
      </w:r>
      <w:r w:rsidR="00E77A67">
        <w:t>ain is proposed to be replaced</w:t>
      </w:r>
    </w:p>
    <w:p w:rsidR="00331E90" w:rsidRDefault="00331E90" w:rsidP="00331E90">
      <w:pPr>
        <w:pStyle w:val="AERbulletlistfirststyle"/>
      </w:pPr>
      <w:r w:rsidRPr="00331E90">
        <w:t>Penrith primary mains thin wall replacement</w:t>
      </w:r>
      <w:r>
        <w:t>, where under the</w:t>
      </w:r>
      <w:r w:rsidRPr="00331E90">
        <w:t xml:space="preserve"> existing high pressure</w:t>
      </w:r>
      <w:r>
        <w:t>, the</w:t>
      </w:r>
      <w:r w:rsidRPr="00331E90">
        <w:t xml:space="preserve"> thin wall pipe</w:t>
      </w:r>
      <w:r>
        <w:t xml:space="preserve"> </w:t>
      </w:r>
      <w:r w:rsidRPr="00331E90">
        <w:t>does not meet current integrity standards and must be replaced</w:t>
      </w:r>
      <w:r>
        <w:t>.</w:t>
      </w:r>
    </w:p>
    <w:p w:rsidR="00887075" w:rsidRPr="00887075" w:rsidRDefault="00887075" w:rsidP="00887075">
      <w:pPr>
        <w:pStyle w:val="AERbodytext"/>
      </w:pPr>
      <w:r>
        <w:t>JGN</w:t>
      </w:r>
      <w:r w:rsidR="00331E90">
        <w:t>'s proposed capex is</w:t>
      </w:r>
      <w:r>
        <w:t xml:space="preserve"> f</w:t>
      </w:r>
      <w:r w:rsidRPr="00887075">
        <w:t>orecast</w:t>
      </w:r>
      <w:r w:rsidR="00331E90">
        <w:t xml:space="preserve"> on the basis of</w:t>
      </w:r>
      <w:r w:rsidRPr="00887075">
        <w:t xml:space="preserve"> historical proposals and average unit rates from comparable recent projects and current contractor panel unit rates</w:t>
      </w:r>
      <w:r w:rsidR="00331E90">
        <w:t>.</w:t>
      </w:r>
      <w:r w:rsidR="00331E90">
        <w:rPr>
          <w:rStyle w:val="FootnoteReference"/>
        </w:rPr>
        <w:footnoteReference w:id="72"/>
      </w:r>
      <w:r w:rsidR="00331E90">
        <w:t xml:space="preserve"> JGN also included an allocation for reactive mains and services replacement</w:t>
      </w:r>
      <w:r w:rsidRPr="00887075">
        <w:t>.</w:t>
      </w:r>
      <w:r w:rsidR="00331E90">
        <w:t xml:space="preserve"> This was forecast on the basis of historical expenditure.</w:t>
      </w:r>
    </w:p>
    <w:p w:rsidR="00A86AFF" w:rsidRDefault="005E29EE" w:rsidP="00A86AFF">
      <w:pPr>
        <w:pStyle w:val="AERbodytext"/>
      </w:pPr>
      <w:r>
        <w:t>We</w:t>
      </w:r>
      <w:r w:rsidR="00A86AFF">
        <w:t xml:space="preserve"> assessed</w:t>
      </w:r>
      <w:r w:rsidR="00A86AFF" w:rsidRPr="00F75FD3">
        <w:t xml:space="preserve"> </w:t>
      </w:r>
      <w:r w:rsidR="00A86AFF">
        <w:t>JGN</w:t>
      </w:r>
      <w:r w:rsidR="00A86AFF" w:rsidRPr="00F75FD3">
        <w:t xml:space="preserve">'s </w:t>
      </w:r>
      <w:r w:rsidR="00A86AFF">
        <w:t>mains and services renewal</w:t>
      </w:r>
      <w:r w:rsidR="00A86AFF" w:rsidRPr="00F75FD3">
        <w:t xml:space="preserve"> projects by considering the timing of the proposed works, the c</w:t>
      </w:r>
      <w:r w:rsidR="00A86AFF">
        <w:t xml:space="preserve">ondition indicators set out in the opportunity briefs provided by JGN, the options available for replacement </w:t>
      </w:r>
      <w:r w:rsidR="00A86AFF" w:rsidRPr="00F75FD3">
        <w:t xml:space="preserve">and whether the input cost of each project represents the efficient, lowest sustainable cost. In undertaking this assessment </w:t>
      </w:r>
      <w:r>
        <w:t>we</w:t>
      </w:r>
      <w:r w:rsidR="00A86AFF" w:rsidRPr="00F75FD3">
        <w:t xml:space="preserve"> sought input from </w:t>
      </w:r>
      <w:r w:rsidR="0003755D">
        <w:t xml:space="preserve">our </w:t>
      </w:r>
      <w:r w:rsidR="00A86AFF">
        <w:t>engineering consultant</w:t>
      </w:r>
      <w:r w:rsidR="00A86AFF" w:rsidRPr="00F75FD3">
        <w:t xml:space="preserve">, examined the </w:t>
      </w:r>
      <w:r w:rsidR="00A86AFF">
        <w:t>opportunity brief</w:t>
      </w:r>
      <w:r w:rsidR="00A86AFF" w:rsidRPr="00F75FD3">
        <w:t xml:space="preserve">s and requested further information from </w:t>
      </w:r>
      <w:r w:rsidR="00A86AFF">
        <w:t>JGN</w:t>
      </w:r>
      <w:r w:rsidR="00A86AFF" w:rsidRPr="00F75FD3">
        <w:t>.</w:t>
      </w:r>
    </w:p>
    <w:p w:rsidR="00A86AFF" w:rsidRDefault="00A86AFF" w:rsidP="00A86AFF">
      <w:pPr>
        <w:pStyle w:val="AERbodytext"/>
      </w:pPr>
      <w:r>
        <w:t>In assessing the prudency and efficiency of the proposed projects, Sleeman Consulting considered</w:t>
      </w:r>
      <w:r w:rsidR="005E29EE">
        <w:t xml:space="preserve"> the</w:t>
      </w:r>
      <w:r>
        <w:t>:</w:t>
      </w:r>
      <w:r>
        <w:rPr>
          <w:rStyle w:val="FootnoteReference"/>
        </w:rPr>
        <w:footnoteReference w:id="73"/>
      </w:r>
    </w:p>
    <w:p w:rsidR="00A86AFF" w:rsidRDefault="00A86AFF" w:rsidP="00A86AFF">
      <w:pPr>
        <w:pStyle w:val="AERbulletlistfirststyle"/>
      </w:pPr>
      <w:r>
        <w:t>condition indicators demonstrating the requirement for the mains and services renewal</w:t>
      </w:r>
    </w:p>
    <w:p w:rsidR="00A86AFF" w:rsidRDefault="00A86AFF" w:rsidP="00A86AFF">
      <w:pPr>
        <w:pStyle w:val="AERbulletlistfirststyle"/>
      </w:pPr>
      <w:r>
        <w:lastRenderedPageBreak/>
        <w:t>alternative options available to address the issue</w:t>
      </w:r>
    </w:p>
    <w:p w:rsidR="00A86AFF" w:rsidRDefault="00A86AFF" w:rsidP="00A86AFF">
      <w:pPr>
        <w:pStyle w:val="AERbulletlistfirststyle"/>
      </w:pPr>
      <w:r>
        <w:t>prudency of the timing of the proposed replacement</w:t>
      </w:r>
    </w:p>
    <w:p w:rsidR="00A86AFF" w:rsidRDefault="00A86AFF" w:rsidP="00A86AFF">
      <w:pPr>
        <w:pStyle w:val="AERbulletlistfirststyle"/>
      </w:pPr>
      <w:r>
        <w:t>prudency and efficiency of the scale of the proposed replacement</w:t>
      </w:r>
    </w:p>
    <w:p w:rsidR="00A86AFF" w:rsidRDefault="00A86AFF" w:rsidP="00A86AFF">
      <w:pPr>
        <w:pStyle w:val="AERbulletlistfirststyle"/>
      </w:pPr>
      <w:r>
        <w:t>efficiency of the proposed project costs.</w:t>
      </w:r>
    </w:p>
    <w:p w:rsidR="00687DEA" w:rsidRDefault="00A86AFF" w:rsidP="00A86AFF">
      <w:pPr>
        <w:pStyle w:val="AERbodytext"/>
      </w:pPr>
      <w:r>
        <w:t xml:space="preserve">Based on the advice of Sleeman Consulting, </w:t>
      </w:r>
      <w:r w:rsidR="005E29EE">
        <w:t>we</w:t>
      </w:r>
      <w:r>
        <w:t xml:space="preserve"> </w:t>
      </w:r>
      <w:r w:rsidR="0003755D">
        <w:t>are satisfied</w:t>
      </w:r>
      <w:r>
        <w:t xml:space="preserve"> that 14 of the 15 mains and services renewal projects, costing $52.9 million </w:t>
      </w:r>
      <w:r w:rsidRPr="0051486B">
        <w:t>($201</w:t>
      </w:r>
      <w:r>
        <w:t>5</w:t>
      </w:r>
      <w:r w:rsidRPr="0051486B">
        <w:t>, unescalated direct costs, excluding overheads)</w:t>
      </w:r>
      <w:r>
        <w:t xml:space="preserve"> are prudent and efficient and has included the expenditure in its alternative capex estimate.</w:t>
      </w:r>
      <w:r>
        <w:rPr>
          <w:rStyle w:val="FootnoteReference"/>
        </w:rPr>
        <w:footnoteReference w:id="74"/>
      </w:r>
    </w:p>
    <w:p w:rsidR="00A86AFF" w:rsidRDefault="0003755D" w:rsidP="00A86AFF">
      <w:pPr>
        <w:pStyle w:val="AERbodytext"/>
      </w:pPr>
      <w:r>
        <w:t>W</w:t>
      </w:r>
      <w:r w:rsidR="00A86AFF">
        <w:t xml:space="preserve">hile the Wollongong/Coniston projects are prudent, we </w:t>
      </w:r>
      <w:r>
        <w:t xml:space="preserve">are not satisfied </w:t>
      </w:r>
      <w:r w:rsidR="00A86AFF">
        <w:t>that the project costs are efficient. This is because the costs are considerably higher than the costs of comparable projects being proposed. We have reduced the amount included for these projects by fifteen per cent</w:t>
      </w:r>
      <w:r w:rsidR="00E77A67">
        <w:t>, which brings the costs in line with that of other similar proposed works</w:t>
      </w:r>
      <w:r w:rsidR="00A86AFF">
        <w:t>.</w:t>
      </w:r>
    </w:p>
    <w:p w:rsidR="00A86AFF" w:rsidRDefault="00A86AFF" w:rsidP="00A86AFF">
      <w:pPr>
        <w:pStyle w:val="AERbodytext"/>
      </w:pPr>
      <w:r>
        <w:t xml:space="preserve">The total amount included in </w:t>
      </w:r>
      <w:r w:rsidR="007A7F27">
        <w:t xml:space="preserve">our alternative capex estimate is $57.4 million </w:t>
      </w:r>
      <w:r w:rsidR="007A7F27" w:rsidRPr="00517910">
        <w:rPr>
          <w:rStyle w:val="AERbody"/>
        </w:rPr>
        <w:t>($2015, unescalated direct costs, excluding overheads)</w:t>
      </w:r>
      <w:r w:rsidR="007A7F27">
        <w:t>.</w:t>
      </w:r>
    </w:p>
    <w:p w:rsidR="00275734" w:rsidRDefault="00275734" w:rsidP="00275734">
      <w:pPr>
        <w:pStyle w:val="HeadingBoldBlue"/>
      </w:pPr>
      <w:r w:rsidRPr="00275734">
        <w:t>Mines subsidence</w:t>
      </w:r>
    </w:p>
    <w:p w:rsidR="005E29EE" w:rsidRPr="005E29EE" w:rsidRDefault="00840B04" w:rsidP="005E29EE">
      <w:pPr>
        <w:pStyle w:val="AERbodytext"/>
      </w:pPr>
      <w:r w:rsidRPr="00840B04">
        <w:t>Expenditure in this category is required to manage and mitigate the effects on network assets of ground</w:t>
      </w:r>
      <w:r>
        <w:t xml:space="preserve"> </w:t>
      </w:r>
      <w:r w:rsidRPr="00840B04">
        <w:t>subsidence that can occur when mining takes place beneath or in the vicinity of those assets. It also includes</w:t>
      </w:r>
      <w:r>
        <w:t xml:space="preserve"> </w:t>
      </w:r>
      <w:r w:rsidRPr="00840B04">
        <w:t>the cost of monitoring the asset’s condition where subsidence is anticipated and the monitoring leads to capital</w:t>
      </w:r>
      <w:r>
        <w:t xml:space="preserve"> </w:t>
      </w:r>
      <w:r w:rsidRPr="00840B04">
        <w:t>works.</w:t>
      </w:r>
      <w:r w:rsidR="0001164D">
        <w:rPr>
          <w:rStyle w:val="FootnoteReference"/>
        </w:rPr>
        <w:footnoteReference w:id="75"/>
      </w:r>
      <w:r w:rsidR="005E29EE" w:rsidRPr="005E29EE">
        <w:t xml:space="preserve"> We </w:t>
      </w:r>
      <w:r w:rsidR="0003755D">
        <w:t>are satisfied</w:t>
      </w:r>
      <w:r w:rsidR="005E29EE" w:rsidRPr="005E29EE">
        <w:t xml:space="preserve"> that mines subsidence expenditure is justified under rules 79(2)(c)(i) and (ii) on the basis that it is necessary to maintain the safety and integrity of gas services.</w:t>
      </w:r>
    </w:p>
    <w:p w:rsidR="005E29EE" w:rsidRPr="005E29EE" w:rsidRDefault="00477CE0" w:rsidP="005E29EE">
      <w:pPr>
        <w:pStyle w:val="AERbodytext"/>
      </w:pPr>
      <w:r w:rsidRPr="00517910">
        <w:rPr>
          <w:rStyle w:val="AERbody"/>
        </w:rPr>
        <w:t xml:space="preserve">We have included </w:t>
      </w:r>
      <w:r w:rsidR="005A7F04">
        <w:rPr>
          <w:rStyle w:val="AERbody"/>
        </w:rPr>
        <w:t>JGN's proposed amount</w:t>
      </w:r>
      <w:r w:rsidRPr="00517910">
        <w:rPr>
          <w:rStyle w:val="AERbody"/>
        </w:rPr>
        <w:t xml:space="preserve"> of </w:t>
      </w:r>
      <w:r>
        <w:rPr>
          <w:rStyle w:val="AERbody"/>
        </w:rPr>
        <w:t>mines subsidence</w:t>
      </w:r>
      <w:r w:rsidRPr="00517910">
        <w:rPr>
          <w:rStyle w:val="AERbody"/>
        </w:rPr>
        <w:t xml:space="preserve"> expenditure</w:t>
      </w:r>
      <w:r w:rsidR="00544E52">
        <w:rPr>
          <w:rStyle w:val="AERbody"/>
        </w:rPr>
        <w:t xml:space="preserve"> </w:t>
      </w:r>
      <w:r w:rsidRPr="00517910">
        <w:rPr>
          <w:rStyle w:val="AERbody"/>
        </w:rPr>
        <w:t xml:space="preserve">in our capex forecast. </w:t>
      </w:r>
      <w:r w:rsidR="005E29EE" w:rsidRPr="005E29EE">
        <w:rPr>
          <w:rStyle w:val="AERbody"/>
        </w:rPr>
        <w:t>JGN's proposed mines subsidence capex is for monitoring and rehabilitation of gas pipelines in the vicinity of Mallaty Creek Mines</w:t>
      </w:r>
      <w:r w:rsidR="005E29EE" w:rsidRPr="005E29EE">
        <w:t xml:space="preserve"> </w:t>
      </w:r>
      <w:r w:rsidR="005E29EE" w:rsidRPr="005E29EE">
        <w:rPr>
          <w:rStyle w:val="AERbody"/>
        </w:rPr>
        <w:t>at Mallaty Creek, Appin.</w:t>
      </w:r>
    </w:p>
    <w:p w:rsidR="007F575B" w:rsidRDefault="007F575B" w:rsidP="005E29EE">
      <w:pPr>
        <w:pStyle w:val="AERbodytext"/>
      </w:pPr>
      <w:r>
        <w:t>JGN forecast m</w:t>
      </w:r>
      <w:r w:rsidRPr="000E544A">
        <w:t xml:space="preserve">ine subsidence expenditure </w:t>
      </w:r>
      <w:r>
        <w:t>on the basis of</w:t>
      </w:r>
      <w:r w:rsidRPr="000E544A">
        <w:t xml:space="preserve"> historical mine subsidence projects. The amounts</w:t>
      </w:r>
      <w:r>
        <w:t xml:space="preserve"> </w:t>
      </w:r>
      <w:r w:rsidRPr="000E544A">
        <w:t>forecast are an estimate of JGN’s share of the gross costs (the other shares being allocated to EGP and</w:t>
      </w:r>
      <w:r>
        <w:t xml:space="preserve"> </w:t>
      </w:r>
      <w:r w:rsidRPr="000E544A">
        <w:t>Gorodok) before recovery</w:t>
      </w:r>
      <w:r>
        <w:t xml:space="preserve"> of any costs</w:t>
      </w:r>
      <w:r w:rsidRPr="000E544A">
        <w:t xml:space="preserve"> from BHP Billiton or the Mine Subsidence Board. Those recoveries, when received,</w:t>
      </w:r>
      <w:r>
        <w:t xml:space="preserve"> </w:t>
      </w:r>
      <w:r w:rsidRPr="000E544A">
        <w:t>are treated as capital contributions.</w:t>
      </w:r>
      <w:r>
        <w:rPr>
          <w:rStyle w:val="FootnoteReference"/>
        </w:rPr>
        <w:footnoteReference w:id="76"/>
      </w:r>
    </w:p>
    <w:p w:rsidR="00B769FB" w:rsidRDefault="00477CE0" w:rsidP="005E29EE">
      <w:pPr>
        <w:pStyle w:val="AERbodytext"/>
        <w:rPr>
          <w:rStyle w:val="AERbody"/>
        </w:rPr>
      </w:pPr>
      <w:r w:rsidRPr="00517910">
        <w:rPr>
          <w:rStyle w:val="AERbody"/>
        </w:rPr>
        <w:t>We consider th</w:t>
      </w:r>
      <w:r w:rsidR="00F00437">
        <w:rPr>
          <w:rStyle w:val="AERbody"/>
        </w:rPr>
        <w:t xml:space="preserve">at JGN's proposed </w:t>
      </w:r>
      <w:r w:rsidR="007F575B">
        <w:rPr>
          <w:rStyle w:val="AERbody"/>
        </w:rPr>
        <w:t xml:space="preserve">gross </w:t>
      </w:r>
      <w:r w:rsidR="00F00437">
        <w:rPr>
          <w:rStyle w:val="AERbody"/>
        </w:rPr>
        <w:t>amount</w:t>
      </w:r>
      <w:r w:rsidR="007F575B">
        <w:rPr>
          <w:rStyle w:val="AERbody"/>
        </w:rPr>
        <w:t xml:space="preserve"> of mines subsidence expenditure</w:t>
      </w:r>
      <w:r w:rsidR="00F00437">
        <w:rPr>
          <w:rStyle w:val="AERbody"/>
        </w:rPr>
        <w:t xml:space="preserve"> </w:t>
      </w:r>
      <w:r w:rsidRPr="00517910">
        <w:rPr>
          <w:rStyle w:val="AERbody"/>
        </w:rPr>
        <w:t xml:space="preserve">is prudent and efficient </w:t>
      </w:r>
      <w:r w:rsidR="00544E52">
        <w:rPr>
          <w:rStyle w:val="AERbody"/>
        </w:rPr>
        <w:t>on the basis that mines subsidence expenditure is subject to third party scrutiny as it is substantially cost recovered</w:t>
      </w:r>
      <w:r w:rsidR="00751B1D">
        <w:rPr>
          <w:rStyle w:val="AERbody"/>
        </w:rPr>
        <w:t>.</w:t>
      </w:r>
      <w:r w:rsidR="007F575B">
        <w:rPr>
          <w:rStyle w:val="AERbody"/>
        </w:rPr>
        <w:t xml:space="preserve"> </w:t>
      </w:r>
      <w:r w:rsidR="007F575B">
        <w:t>On the basis of these costs being subject to scrutiny, we consider that these costs are prudent and efficient.</w:t>
      </w:r>
    </w:p>
    <w:p w:rsidR="00DE0580" w:rsidRPr="00275734" w:rsidRDefault="007F575B" w:rsidP="006559FC">
      <w:pPr>
        <w:pStyle w:val="AERbodytext"/>
      </w:pPr>
      <w:r>
        <w:t xml:space="preserve">As indicated, JGN recovers some of the mines expenditure it incurs from </w:t>
      </w:r>
      <w:r w:rsidRPr="000E544A">
        <w:t>BHP Billiton or the Mine Subsidence Board</w:t>
      </w:r>
      <w:r>
        <w:t xml:space="preserve">. We included an amount for capital contributions in our capex forecast. </w:t>
      </w:r>
      <w:r w:rsidR="00B769FB">
        <w:t xml:space="preserve">JGN calculated the capital contributions </w:t>
      </w:r>
      <w:r w:rsidR="00237670">
        <w:t xml:space="preserve">on the basis of historical costs which were </w:t>
      </w:r>
      <w:r w:rsidR="002F5E0E">
        <w:t xml:space="preserve">recovered </w:t>
      </w:r>
      <w:r w:rsidR="00237670">
        <w:t>from</w:t>
      </w:r>
      <w:r w:rsidR="002F5E0E">
        <w:t xml:space="preserve"> a third </w:t>
      </w:r>
      <w:r w:rsidR="002F5E0E">
        <w:lastRenderedPageBreak/>
        <w:t>party, that is</w:t>
      </w:r>
      <w:r>
        <w:t>,</w:t>
      </w:r>
      <w:r w:rsidR="002F5E0E">
        <w:t xml:space="preserve"> either </w:t>
      </w:r>
      <w:r w:rsidR="002F5E0E" w:rsidRPr="000E544A">
        <w:t>BHP Billiton or the Mine Subsidence Board</w:t>
      </w:r>
      <w:r w:rsidR="00237670">
        <w:t xml:space="preserve">. </w:t>
      </w:r>
      <w:r w:rsidR="006559FC">
        <w:t>JGN forecast a lower contribution rate than indicated by the 2005-15 contributions data. We have applied the 2005-15 contribution rate to the forecast mines subsidence expenditure.</w:t>
      </w:r>
    </w:p>
    <w:p w:rsidR="00275734" w:rsidRDefault="00275734" w:rsidP="00275734">
      <w:pPr>
        <w:pStyle w:val="HeadingBoldBlue"/>
      </w:pPr>
      <w:r w:rsidRPr="00275734">
        <w:t>Facilities renewal and upgrade</w:t>
      </w:r>
    </w:p>
    <w:p w:rsidR="00D024AF" w:rsidRPr="00D024AF" w:rsidRDefault="0091391D" w:rsidP="00D024AF">
      <w:pPr>
        <w:pStyle w:val="AERbodytext"/>
      </w:pPr>
      <w:r>
        <w:rPr>
          <w:rStyle w:val="AERbody"/>
        </w:rPr>
        <w:t>Facilities renewal and upgrade expenditure is required to renew or upgrade facilities that pose integrity, workplace health and safety, capacity, regulatory compliance or similar issues or have reached the end of their economic lives.</w:t>
      </w:r>
      <w:r w:rsidR="007B541B">
        <w:rPr>
          <w:rStyle w:val="FootnoteReference"/>
        </w:rPr>
        <w:footnoteReference w:id="77"/>
      </w:r>
      <w:r w:rsidR="00D024AF" w:rsidRPr="00D024AF">
        <w:t xml:space="preserve"> On the basis of advice provided by Sleeman Consulting</w:t>
      </w:r>
      <w:r w:rsidR="00D024AF" w:rsidRPr="00D024AF">
        <w:rPr>
          <w:rStyle w:val="FootnoteReference"/>
        </w:rPr>
        <w:footnoteReference w:id="78"/>
      </w:r>
      <w:r w:rsidR="00D024AF" w:rsidRPr="00D024AF">
        <w:t xml:space="preserve">, we </w:t>
      </w:r>
      <w:r w:rsidR="0003755D">
        <w:t>are satisfied</w:t>
      </w:r>
      <w:r w:rsidR="00D024AF" w:rsidRPr="00D024AF">
        <w:t xml:space="preserve"> that renewal and upgrade projects are justified under rules 79(2)(c)(i)—(iv). This is on the basis that the capex is required to maintain safety, reliability, to meet minimum pressure obligations, and to be able to meet existing levels of demand.</w:t>
      </w:r>
    </w:p>
    <w:p w:rsidR="0091391D" w:rsidRPr="00517910" w:rsidRDefault="0091391D" w:rsidP="00FC2047">
      <w:pPr>
        <w:pStyle w:val="AERbodytext"/>
        <w:numPr>
          <w:ilvl w:val="0"/>
          <w:numId w:val="0"/>
        </w:numPr>
        <w:rPr>
          <w:rStyle w:val="AERbody"/>
          <w:rFonts w:eastAsia="Calibri"/>
          <w:szCs w:val="20"/>
        </w:rPr>
      </w:pPr>
      <w:r w:rsidRPr="00517910">
        <w:rPr>
          <w:rStyle w:val="AERbody"/>
        </w:rPr>
        <w:t>We have included $</w:t>
      </w:r>
      <w:r w:rsidR="00367EBC">
        <w:rPr>
          <w:rStyle w:val="AERbody"/>
        </w:rPr>
        <w:t>9</w:t>
      </w:r>
      <w:r w:rsidR="00A571B0">
        <w:rPr>
          <w:rStyle w:val="AERbody"/>
        </w:rPr>
        <w:t>5</w:t>
      </w:r>
      <w:r w:rsidR="00367EBC">
        <w:rPr>
          <w:rStyle w:val="AERbody"/>
        </w:rPr>
        <w:t>.</w:t>
      </w:r>
      <w:r w:rsidR="00A571B0">
        <w:rPr>
          <w:rStyle w:val="AERbody"/>
        </w:rPr>
        <w:t>3</w:t>
      </w:r>
      <w:r w:rsidRPr="00517910">
        <w:rPr>
          <w:rStyle w:val="AERbody"/>
        </w:rPr>
        <w:t xml:space="preserve"> million ($2015, unescalated direct costs, excluding overheads) of </w:t>
      </w:r>
      <w:r>
        <w:rPr>
          <w:rStyle w:val="AERbody"/>
        </w:rPr>
        <w:t>facilities</w:t>
      </w:r>
      <w:r w:rsidRPr="00517910">
        <w:rPr>
          <w:rStyle w:val="AERbody"/>
        </w:rPr>
        <w:t xml:space="preserve"> renewal </w:t>
      </w:r>
      <w:r>
        <w:rPr>
          <w:rStyle w:val="AERbody"/>
        </w:rPr>
        <w:t xml:space="preserve">and upgrade </w:t>
      </w:r>
      <w:r w:rsidRPr="00517910">
        <w:rPr>
          <w:rStyle w:val="AERbody"/>
        </w:rPr>
        <w:t xml:space="preserve">expenditure in our alternative capex </w:t>
      </w:r>
      <w:r w:rsidR="00200C5E">
        <w:rPr>
          <w:rStyle w:val="AERbody"/>
        </w:rPr>
        <w:t>estimate</w:t>
      </w:r>
      <w:r w:rsidRPr="00517910">
        <w:rPr>
          <w:rStyle w:val="AERbody"/>
        </w:rPr>
        <w:t xml:space="preserve">. We </w:t>
      </w:r>
      <w:r w:rsidR="0003755D">
        <w:rPr>
          <w:rStyle w:val="AERbody"/>
        </w:rPr>
        <w:t>are not satisfied</w:t>
      </w:r>
      <w:r w:rsidR="0003755D" w:rsidRPr="00517910">
        <w:rPr>
          <w:rStyle w:val="AERbody"/>
        </w:rPr>
        <w:t xml:space="preserve"> </w:t>
      </w:r>
      <w:r w:rsidRPr="00517910">
        <w:rPr>
          <w:rStyle w:val="AERbody"/>
        </w:rPr>
        <w:t>that JGN's proposed amount of $</w:t>
      </w:r>
      <w:r>
        <w:rPr>
          <w:rStyle w:val="AERbody"/>
        </w:rPr>
        <w:t>1</w:t>
      </w:r>
      <w:r w:rsidRPr="00517910">
        <w:rPr>
          <w:rStyle w:val="AERbody"/>
        </w:rPr>
        <w:t>15</w:t>
      </w:r>
      <w:r>
        <w:rPr>
          <w:rStyle w:val="AERbody"/>
        </w:rPr>
        <w:t>.</w:t>
      </w:r>
      <w:r w:rsidRPr="00517910">
        <w:rPr>
          <w:rStyle w:val="AERbody"/>
        </w:rPr>
        <w:t xml:space="preserve">0 million ($2015, unescalated direct costs, excluding overheads) is prudent and efficient </w:t>
      </w:r>
      <w:r w:rsidR="00D024AF">
        <w:rPr>
          <w:rStyle w:val="AERbody"/>
        </w:rPr>
        <w:t xml:space="preserve">as </w:t>
      </w:r>
      <w:r w:rsidR="0003755D">
        <w:rPr>
          <w:rStyle w:val="AERbody"/>
        </w:rPr>
        <w:t xml:space="preserve">we were not satisfied that </w:t>
      </w:r>
      <w:r w:rsidR="00D024AF">
        <w:rPr>
          <w:rStyle w:val="AERbody"/>
        </w:rPr>
        <w:t>eight of the 90 projects were</w:t>
      </w:r>
      <w:r w:rsidR="00367EBC">
        <w:rPr>
          <w:rStyle w:val="AERbody"/>
        </w:rPr>
        <w:t xml:space="preserve"> justified</w:t>
      </w:r>
      <w:r w:rsidRPr="00517910">
        <w:rPr>
          <w:rStyle w:val="AERbody"/>
        </w:rPr>
        <w:t>.</w:t>
      </w:r>
    </w:p>
    <w:p w:rsidR="0091391D" w:rsidRPr="00517910" w:rsidRDefault="0091391D" w:rsidP="0091391D">
      <w:pPr>
        <w:pStyle w:val="AERbodytext"/>
        <w:rPr>
          <w:rStyle w:val="AERbody"/>
        </w:rPr>
      </w:pPr>
      <w:r w:rsidRPr="00517910">
        <w:rPr>
          <w:rStyle w:val="AERbody"/>
        </w:rPr>
        <w:t xml:space="preserve">JGN proposed </w:t>
      </w:r>
      <w:r>
        <w:rPr>
          <w:rStyle w:val="AERbody"/>
        </w:rPr>
        <w:t>facilities</w:t>
      </w:r>
      <w:r w:rsidRPr="00517910">
        <w:rPr>
          <w:rStyle w:val="AERbody"/>
        </w:rPr>
        <w:t xml:space="preserve"> renewal </w:t>
      </w:r>
      <w:r>
        <w:rPr>
          <w:rStyle w:val="AERbody"/>
        </w:rPr>
        <w:t xml:space="preserve">and upgrade </w:t>
      </w:r>
      <w:r w:rsidRPr="00517910">
        <w:rPr>
          <w:rStyle w:val="AERbody"/>
        </w:rPr>
        <w:t>capex of $</w:t>
      </w:r>
      <w:r>
        <w:rPr>
          <w:rStyle w:val="AERbody"/>
        </w:rPr>
        <w:t>11</w:t>
      </w:r>
      <w:r w:rsidRPr="00517910">
        <w:rPr>
          <w:rStyle w:val="AERbody"/>
        </w:rPr>
        <w:t>5</w:t>
      </w:r>
      <w:r>
        <w:rPr>
          <w:rStyle w:val="AERbody"/>
        </w:rPr>
        <w:t>.0</w:t>
      </w:r>
      <w:r w:rsidRPr="00517910">
        <w:rPr>
          <w:rStyle w:val="AERbody"/>
        </w:rPr>
        <w:t xml:space="preserve"> million ($2015, unescalated direct costs, excluding overheads) for the 2015–20 access arrangement period. This amounts to approximately </w:t>
      </w:r>
      <w:r>
        <w:rPr>
          <w:rStyle w:val="AERbody"/>
        </w:rPr>
        <w:t>11</w:t>
      </w:r>
      <w:r w:rsidRPr="00517910">
        <w:rPr>
          <w:rStyle w:val="AERbody"/>
        </w:rPr>
        <w:t xml:space="preserve"> per cent of JGN‘s proposed total capex forecast, in unescalated, direct terms. It represents a </w:t>
      </w:r>
      <w:r>
        <w:rPr>
          <w:rStyle w:val="AERbody"/>
        </w:rPr>
        <w:t>71</w:t>
      </w:r>
      <w:r w:rsidRPr="00517910">
        <w:rPr>
          <w:rStyle w:val="AERbody"/>
        </w:rPr>
        <w:t xml:space="preserve"> per cent increase in expenditure compared with the cur</w:t>
      </w:r>
      <w:r w:rsidR="00200C5E">
        <w:rPr>
          <w:rStyle w:val="AERbody"/>
        </w:rPr>
        <w:t>rent access arrangement period.</w:t>
      </w:r>
    </w:p>
    <w:p w:rsidR="0091391D" w:rsidRDefault="00D024AF" w:rsidP="0091391D">
      <w:pPr>
        <w:pStyle w:val="AERbodytext"/>
      </w:pPr>
      <w:r>
        <w:t>We</w:t>
      </w:r>
      <w:r w:rsidR="0091391D">
        <w:t xml:space="preserve"> assessed</w:t>
      </w:r>
      <w:r w:rsidR="0091391D" w:rsidRPr="00F75FD3">
        <w:t xml:space="preserve"> </w:t>
      </w:r>
      <w:r w:rsidR="0091391D">
        <w:t>JGN</w:t>
      </w:r>
      <w:r w:rsidR="0091391D" w:rsidRPr="00F75FD3">
        <w:t xml:space="preserve">'s </w:t>
      </w:r>
      <w:r w:rsidR="0091391D">
        <w:t>facilities and renewal upgrade</w:t>
      </w:r>
      <w:r w:rsidR="0091391D" w:rsidRPr="00F75FD3">
        <w:t xml:space="preserve"> projects by considering the</w:t>
      </w:r>
      <w:r w:rsidR="0091391D">
        <w:t xml:space="preserve"> requirement for the proposed works, the</w:t>
      </w:r>
      <w:r w:rsidR="0091391D" w:rsidRPr="00F75FD3">
        <w:t xml:space="preserve"> </w:t>
      </w:r>
      <w:r w:rsidR="0091391D">
        <w:t xml:space="preserve">scope and </w:t>
      </w:r>
      <w:r w:rsidR="0091391D" w:rsidRPr="00F75FD3">
        <w:t xml:space="preserve">timing of the proposed works, and whether the input cost of each project represents the efficient, lowest sustainable cost. </w:t>
      </w:r>
      <w:r w:rsidR="0091391D">
        <w:t xml:space="preserve">Based on the advice of Sleeman Consulting, </w:t>
      </w:r>
      <w:r>
        <w:t xml:space="preserve">we </w:t>
      </w:r>
      <w:r w:rsidR="0091391D">
        <w:t>accept that 82 of the 90 facilities renewal and upgrade projects, costing $</w:t>
      </w:r>
      <w:r w:rsidR="00367EBC">
        <w:t>9</w:t>
      </w:r>
      <w:r w:rsidR="00A571B0">
        <w:t>5</w:t>
      </w:r>
      <w:r w:rsidR="00367EBC">
        <w:t>.</w:t>
      </w:r>
      <w:r w:rsidR="00A571B0">
        <w:t>3</w:t>
      </w:r>
      <w:r w:rsidR="0091391D">
        <w:t xml:space="preserve"> million </w:t>
      </w:r>
      <w:r w:rsidR="00A571B0" w:rsidRPr="00517910">
        <w:rPr>
          <w:rStyle w:val="AERbody"/>
        </w:rPr>
        <w:t>($2015, unescalated direct costs, excluding overheads)</w:t>
      </w:r>
      <w:r w:rsidR="00A571B0">
        <w:rPr>
          <w:rStyle w:val="AERbody"/>
        </w:rPr>
        <w:t xml:space="preserve"> </w:t>
      </w:r>
      <w:r w:rsidR="0091391D">
        <w:t>are prudent and efficient.</w:t>
      </w:r>
      <w:r w:rsidR="00200C5E">
        <w:rPr>
          <w:rStyle w:val="FootnoteReference"/>
        </w:rPr>
        <w:footnoteReference w:id="79"/>
      </w:r>
      <w:r w:rsidR="0091391D">
        <w:t xml:space="preserve"> These projects are summarised in</w:t>
      </w:r>
      <w:r w:rsidR="008D60EC">
        <w:t xml:space="preserve"> </w:t>
      </w:r>
      <w:r w:rsidR="008D60EC">
        <w:fldChar w:fldCharType="begin"/>
      </w:r>
      <w:r w:rsidR="008D60EC">
        <w:instrText xml:space="preserve"> REF _Ref401490341 \h </w:instrText>
      </w:r>
      <w:r w:rsidR="008D60EC">
        <w:fldChar w:fldCharType="separate"/>
      </w:r>
      <w:r w:rsidR="0029475D">
        <w:t xml:space="preserve">Table </w:t>
      </w:r>
      <w:r w:rsidR="0029475D">
        <w:rPr>
          <w:noProof/>
        </w:rPr>
        <w:t>6</w:t>
      </w:r>
      <w:r w:rsidR="0029475D">
        <w:noBreakHyphen/>
      </w:r>
      <w:r w:rsidR="0029475D">
        <w:rPr>
          <w:noProof/>
        </w:rPr>
        <w:t>13</w:t>
      </w:r>
      <w:r w:rsidR="008D60EC">
        <w:fldChar w:fldCharType="end"/>
      </w:r>
      <w:r w:rsidR="0091391D">
        <w:t>.</w:t>
      </w:r>
    </w:p>
    <w:p w:rsidR="0091391D" w:rsidRPr="00532784" w:rsidRDefault="001320E4" w:rsidP="003E7206">
      <w:pPr>
        <w:pStyle w:val="Caption"/>
        <w:rPr>
          <w:rStyle w:val="AERsuperscript"/>
        </w:rPr>
      </w:pPr>
      <w:bookmarkStart w:id="48" w:name="_Ref401490341"/>
      <w:r>
        <w:lastRenderedPageBreak/>
        <w:t xml:space="preserve">Table </w:t>
      </w:r>
      <w:fldSimple w:instr=" STYLEREF 1 \s ">
        <w:r w:rsidR="0029475D">
          <w:rPr>
            <w:noProof/>
          </w:rPr>
          <w:t>6</w:t>
        </w:r>
      </w:fldSimple>
      <w:r w:rsidR="009F7369">
        <w:noBreakHyphen/>
      </w:r>
      <w:fldSimple w:instr=" SEQ Table \* ARABIC \s 1 ">
        <w:r w:rsidR="0029475D">
          <w:rPr>
            <w:noProof/>
          </w:rPr>
          <w:t>13</w:t>
        </w:r>
      </w:fldSimple>
      <w:bookmarkEnd w:id="48"/>
      <w:r w:rsidR="0091391D" w:rsidRPr="00532784">
        <w:tab/>
      </w:r>
      <w:r w:rsidR="0091391D">
        <w:t>Facilities renewal and upgrade</w:t>
      </w:r>
      <w:r w:rsidR="0091391D" w:rsidRPr="00611C1A">
        <w:t xml:space="preserve"> capital expenditure </w:t>
      </w:r>
      <w:r w:rsidR="0091391D">
        <w:t>includ</w:t>
      </w:r>
      <w:r w:rsidR="0091391D" w:rsidRPr="00611C1A">
        <w:t>ed</w:t>
      </w:r>
      <w:r w:rsidR="0091391D">
        <w:t xml:space="preserve"> in AER alternative capex estimate</w:t>
      </w:r>
      <w:r w:rsidR="0091391D" w:rsidRPr="00532784">
        <w:t xml:space="preserve"> ($million, 2015)</w:t>
      </w:r>
      <w:r w:rsidR="0091391D" w:rsidRPr="00532784">
        <w:rPr>
          <w:rStyle w:val="AERsuperscript"/>
        </w:rPr>
        <w:t>(a)</w:t>
      </w:r>
    </w:p>
    <w:tbl>
      <w:tblPr>
        <w:tblStyle w:val="AERtable-numbers"/>
        <w:tblW w:w="9242" w:type="dxa"/>
        <w:tblLayout w:type="fixed"/>
        <w:tblLook w:val="0020" w:firstRow="1" w:lastRow="0" w:firstColumn="0" w:lastColumn="0" w:noHBand="0" w:noVBand="0"/>
      </w:tblPr>
      <w:tblGrid>
        <w:gridCol w:w="2093"/>
        <w:gridCol w:w="1191"/>
        <w:gridCol w:w="1192"/>
        <w:gridCol w:w="1191"/>
        <w:gridCol w:w="1192"/>
        <w:gridCol w:w="1191"/>
        <w:gridCol w:w="1192"/>
      </w:tblGrid>
      <w:tr w:rsidR="00A571B0" w:rsidRPr="00627CFC" w:rsidTr="00A571B0">
        <w:trPr>
          <w:cnfStyle w:val="100000000000" w:firstRow="1" w:lastRow="0" w:firstColumn="0" w:lastColumn="0" w:oddVBand="0" w:evenVBand="0" w:oddHBand="0" w:evenHBand="0" w:firstRowFirstColumn="0" w:firstRowLastColumn="0" w:lastRowFirstColumn="0" w:lastRowLastColumn="0"/>
          <w:trHeight w:val="171"/>
        </w:trPr>
        <w:tc>
          <w:tcPr>
            <w:tcW w:w="2093" w:type="dxa"/>
          </w:tcPr>
          <w:p w:rsidR="00A571B0" w:rsidRPr="00627CFC" w:rsidRDefault="00A571B0" w:rsidP="003E7206">
            <w:pPr>
              <w:keepNext/>
            </w:pPr>
          </w:p>
        </w:tc>
        <w:tc>
          <w:tcPr>
            <w:tcW w:w="1191" w:type="dxa"/>
          </w:tcPr>
          <w:p w:rsidR="00A571B0" w:rsidRPr="0091391D" w:rsidRDefault="00A571B0" w:rsidP="003E7206">
            <w:pPr>
              <w:pStyle w:val="AERtabletextright"/>
              <w:keepNext/>
            </w:pPr>
            <w:r>
              <w:t>2015-16</w:t>
            </w:r>
          </w:p>
        </w:tc>
        <w:tc>
          <w:tcPr>
            <w:tcW w:w="1192" w:type="dxa"/>
          </w:tcPr>
          <w:p w:rsidR="00A571B0" w:rsidRPr="0091391D" w:rsidRDefault="00A571B0" w:rsidP="003E7206">
            <w:pPr>
              <w:pStyle w:val="AERtabletextright"/>
              <w:keepNext/>
            </w:pPr>
            <w:r>
              <w:t>2016-17</w:t>
            </w:r>
          </w:p>
        </w:tc>
        <w:tc>
          <w:tcPr>
            <w:tcW w:w="1191" w:type="dxa"/>
          </w:tcPr>
          <w:p w:rsidR="00A571B0" w:rsidRPr="00627CFC" w:rsidRDefault="00A571B0" w:rsidP="003E7206">
            <w:pPr>
              <w:pStyle w:val="AERtabletextright"/>
              <w:keepNext/>
            </w:pPr>
            <w:r>
              <w:t>2017-18</w:t>
            </w:r>
          </w:p>
        </w:tc>
        <w:tc>
          <w:tcPr>
            <w:tcW w:w="1192" w:type="dxa"/>
          </w:tcPr>
          <w:p w:rsidR="00A571B0" w:rsidRPr="00627CFC" w:rsidRDefault="00A571B0" w:rsidP="003E7206">
            <w:pPr>
              <w:pStyle w:val="AERtabletextright"/>
              <w:keepNext/>
            </w:pPr>
            <w:r>
              <w:t>2018-19</w:t>
            </w:r>
          </w:p>
        </w:tc>
        <w:tc>
          <w:tcPr>
            <w:tcW w:w="1191" w:type="dxa"/>
          </w:tcPr>
          <w:p w:rsidR="00A571B0" w:rsidRPr="00627CFC" w:rsidRDefault="00A571B0" w:rsidP="003E7206">
            <w:pPr>
              <w:pStyle w:val="AERtabletextright"/>
              <w:keepNext/>
            </w:pPr>
            <w:r>
              <w:t>2019-20</w:t>
            </w:r>
          </w:p>
        </w:tc>
        <w:tc>
          <w:tcPr>
            <w:tcW w:w="1192" w:type="dxa"/>
          </w:tcPr>
          <w:p w:rsidR="00A571B0" w:rsidRPr="00627CFC" w:rsidRDefault="00A571B0" w:rsidP="003E7206">
            <w:pPr>
              <w:pStyle w:val="AERtabletextright"/>
              <w:keepNext/>
            </w:pPr>
            <w:r w:rsidRPr="00627CFC">
              <w:t>Total</w:t>
            </w:r>
          </w:p>
        </w:tc>
      </w:tr>
      <w:tr w:rsidR="00827315" w:rsidRPr="00627CFC" w:rsidTr="00A571B0">
        <w:trPr>
          <w:trHeight w:val="179"/>
        </w:trPr>
        <w:tc>
          <w:tcPr>
            <w:tcW w:w="2093" w:type="dxa"/>
            <w:vAlign w:val="top"/>
          </w:tcPr>
          <w:p w:rsidR="00827315" w:rsidRPr="00827315" w:rsidRDefault="00827315" w:rsidP="003E7206">
            <w:pPr>
              <w:keepNext/>
            </w:pPr>
            <w:r w:rsidRPr="00827315">
              <w:t>Minor capital</w:t>
            </w:r>
          </w:p>
        </w:tc>
        <w:tc>
          <w:tcPr>
            <w:tcW w:w="1191" w:type="dxa"/>
            <w:vAlign w:val="top"/>
          </w:tcPr>
          <w:p w:rsidR="00827315" w:rsidRPr="00827315" w:rsidRDefault="00827315" w:rsidP="003E7206">
            <w:pPr>
              <w:pStyle w:val="AERtabletextright"/>
              <w:keepNext/>
            </w:pPr>
            <w:r w:rsidRPr="00827315">
              <w:t xml:space="preserve"> 2.5 </w:t>
            </w:r>
          </w:p>
        </w:tc>
        <w:tc>
          <w:tcPr>
            <w:tcW w:w="1192" w:type="dxa"/>
            <w:vAlign w:val="top"/>
          </w:tcPr>
          <w:p w:rsidR="00827315" w:rsidRPr="00827315" w:rsidRDefault="00827315" w:rsidP="003E7206">
            <w:pPr>
              <w:pStyle w:val="AERtabletextright"/>
              <w:keepNext/>
            </w:pPr>
            <w:r w:rsidRPr="00827315">
              <w:t xml:space="preserve"> 2.0 </w:t>
            </w:r>
          </w:p>
        </w:tc>
        <w:tc>
          <w:tcPr>
            <w:tcW w:w="1191" w:type="dxa"/>
            <w:vAlign w:val="top"/>
          </w:tcPr>
          <w:p w:rsidR="00827315" w:rsidRPr="00827315" w:rsidRDefault="00827315" w:rsidP="003E7206">
            <w:pPr>
              <w:pStyle w:val="AERtabletextright"/>
              <w:keepNext/>
            </w:pPr>
            <w:r w:rsidRPr="00827315">
              <w:t xml:space="preserve"> 2.4 </w:t>
            </w:r>
          </w:p>
        </w:tc>
        <w:tc>
          <w:tcPr>
            <w:tcW w:w="1192" w:type="dxa"/>
            <w:vAlign w:val="top"/>
          </w:tcPr>
          <w:p w:rsidR="00827315" w:rsidRPr="00827315" w:rsidRDefault="00827315" w:rsidP="003E7206">
            <w:pPr>
              <w:pStyle w:val="AERtabletextright"/>
              <w:keepNext/>
            </w:pPr>
            <w:r w:rsidRPr="00827315">
              <w:t xml:space="preserve"> 2.3 </w:t>
            </w:r>
          </w:p>
        </w:tc>
        <w:tc>
          <w:tcPr>
            <w:tcW w:w="1191" w:type="dxa"/>
            <w:vAlign w:val="top"/>
          </w:tcPr>
          <w:p w:rsidR="00827315" w:rsidRPr="00827315" w:rsidRDefault="00827315" w:rsidP="003E7206">
            <w:pPr>
              <w:pStyle w:val="AERtabletextright"/>
              <w:keepNext/>
            </w:pPr>
            <w:r w:rsidRPr="00827315">
              <w:t xml:space="preserve"> 1.6 </w:t>
            </w:r>
          </w:p>
        </w:tc>
        <w:tc>
          <w:tcPr>
            <w:tcW w:w="1192" w:type="dxa"/>
            <w:vAlign w:val="top"/>
          </w:tcPr>
          <w:p w:rsidR="00827315" w:rsidRPr="00827315" w:rsidRDefault="00827315" w:rsidP="003E7206">
            <w:pPr>
              <w:pStyle w:val="AERtabletextright"/>
              <w:keepNext/>
            </w:pPr>
            <w:r w:rsidRPr="00827315">
              <w:t xml:space="preserve"> 10.7 </w:t>
            </w:r>
          </w:p>
        </w:tc>
      </w:tr>
      <w:tr w:rsidR="00827315" w:rsidRPr="00627CFC" w:rsidTr="00A571B0">
        <w:trPr>
          <w:cnfStyle w:val="000000010000" w:firstRow="0" w:lastRow="0" w:firstColumn="0" w:lastColumn="0" w:oddVBand="0" w:evenVBand="0" w:oddHBand="0" w:evenHBand="1" w:firstRowFirstColumn="0" w:firstRowLastColumn="0" w:lastRowFirstColumn="0" w:lastRowLastColumn="0"/>
          <w:trHeight w:val="179"/>
        </w:trPr>
        <w:tc>
          <w:tcPr>
            <w:tcW w:w="2093" w:type="dxa"/>
            <w:vAlign w:val="top"/>
          </w:tcPr>
          <w:p w:rsidR="00827315" w:rsidRPr="00827315" w:rsidRDefault="00827315" w:rsidP="003E7206">
            <w:pPr>
              <w:keepNext/>
            </w:pPr>
            <w:r w:rsidRPr="00827315">
              <w:t>Trunk mains</w:t>
            </w:r>
          </w:p>
        </w:tc>
        <w:tc>
          <w:tcPr>
            <w:tcW w:w="1191" w:type="dxa"/>
            <w:vAlign w:val="top"/>
          </w:tcPr>
          <w:p w:rsidR="00827315" w:rsidRPr="00827315" w:rsidRDefault="00827315" w:rsidP="003E7206">
            <w:pPr>
              <w:pStyle w:val="AERtabletextright"/>
              <w:keepNext/>
            </w:pPr>
            <w:r w:rsidRPr="00827315">
              <w:t xml:space="preserve"> 4.4 </w:t>
            </w:r>
          </w:p>
        </w:tc>
        <w:tc>
          <w:tcPr>
            <w:tcW w:w="1192" w:type="dxa"/>
            <w:vAlign w:val="top"/>
          </w:tcPr>
          <w:p w:rsidR="00827315" w:rsidRPr="00827315" w:rsidRDefault="00827315" w:rsidP="003E7206">
            <w:pPr>
              <w:pStyle w:val="AERtabletextright"/>
              <w:keepNext/>
            </w:pPr>
            <w:r w:rsidRPr="00827315">
              <w:t xml:space="preserve"> 1.7 </w:t>
            </w:r>
          </w:p>
        </w:tc>
        <w:tc>
          <w:tcPr>
            <w:tcW w:w="1191" w:type="dxa"/>
            <w:vAlign w:val="top"/>
          </w:tcPr>
          <w:p w:rsidR="00827315" w:rsidRPr="00827315" w:rsidRDefault="00827315" w:rsidP="003E7206">
            <w:pPr>
              <w:pStyle w:val="AERtabletextright"/>
              <w:keepNext/>
            </w:pPr>
            <w:r w:rsidRPr="00827315">
              <w:t xml:space="preserve"> 2.4 </w:t>
            </w:r>
          </w:p>
        </w:tc>
        <w:tc>
          <w:tcPr>
            <w:tcW w:w="1192" w:type="dxa"/>
            <w:vAlign w:val="top"/>
          </w:tcPr>
          <w:p w:rsidR="00827315" w:rsidRPr="00827315" w:rsidRDefault="00827315" w:rsidP="003E7206">
            <w:pPr>
              <w:pStyle w:val="AERtabletextright"/>
              <w:keepNext/>
            </w:pPr>
            <w:r w:rsidRPr="00827315">
              <w:t xml:space="preserve"> 2.9 </w:t>
            </w:r>
          </w:p>
        </w:tc>
        <w:tc>
          <w:tcPr>
            <w:tcW w:w="1191" w:type="dxa"/>
            <w:vAlign w:val="top"/>
          </w:tcPr>
          <w:p w:rsidR="00827315" w:rsidRPr="00827315" w:rsidRDefault="00827315" w:rsidP="003E7206">
            <w:pPr>
              <w:pStyle w:val="AERtabletextright"/>
              <w:keepNext/>
            </w:pPr>
            <w:r w:rsidRPr="00827315">
              <w:t xml:space="preserve"> 1.7 </w:t>
            </w:r>
          </w:p>
        </w:tc>
        <w:tc>
          <w:tcPr>
            <w:tcW w:w="1192" w:type="dxa"/>
            <w:vAlign w:val="top"/>
          </w:tcPr>
          <w:p w:rsidR="00827315" w:rsidRPr="00827315" w:rsidRDefault="00827315" w:rsidP="003E7206">
            <w:pPr>
              <w:pStyle w:val="AERtabletextright"/>
              <w:keepNext/>
            </w:pPr>
            <w:r w:rsidRPr="00827315">
              <w:t xml:space="preserve"> 13.1 </w:t>
            </w:r>
          </w:p>
        </w:tc>
      </w:tr>
      <w:tr w:rsidR="00827315" w:rsidRPr="00627CFC" w:rsidTr="00A571B0">
        <w:trPr>
          <w:trHeight w:val="179"/>
        </w:trPr>
        <w:tc>
          <w:tcPr>
            <w:tcW w:w="2093" w:type="dxa"/>
            <w:vAlign w:val="top"/>
          </w:tcPr>
          <w:p w:rsidR="00827315" w:rsidRPr="00827315" w:rsidRDefault="00827315" w:rsidP="003E7206">
            <w:pPr>
              <w:keepNext/>
            </w:pPr>
            <w:r w:rsidRPr="00827315">
              <w:t>Trunk facilities</w:t>
            </w:r>
          </w:p>
        </w:tc>
        <w:tc>
          <w:tcPr>
            <w:tcW w:w="1191" w:type="dxa"/>
            <w:vAlign w:val="top"/>
          </w:tcPr>
          <w:p w:rsidR="00827315" w:rsidRPr="00827315" w:rsidRDefault="00827315" w:rsidP="003E7206">
            <w:pPr>
              <w:pStyle w:val="AERtabletextright"/>
              <w:keepNext/>
            </w:pPr>
            <w:r w:rsidRPr="00827315">
              <w:t xml:space="preserve"> 5.2 </w:t>
            </w:r>
          </w:p>
        </w:tc>
        <w:tc>
          <w:tcPr>
            <w:tcW w:w="1192" w:type="dxa"/>
            <w:vAlign w:val="top"/>
          </w:tcPr>
          <w:p w:rsidR="00827315" w:rsidRPr="00827315" w:rsidRDefault="00827315" w:rsidP="003E7206">
            <w:pPr>
              <w:pStyle w:val="AERtabletextright"/>
              <w:keepNext/>
            </w:pPr>
            <w:r w:rsidRPr="00827315">
              <w:t xml:space="preserve"> 4.1 </w:t>
            </w:r>
          </w:p>
        </w:tc>
        <w:tc>
          <w:tcPr>
            <w:tcW w:w="1191" w:type="dxa"/>
            <w:vAlign w:val="top"/>
          </w:tcPr>
          <w:p w:rsidR="00827315" w:rsidRPr="00827315" w:rsidRDefault="00827315" w:rsidP="003E7206">
            <w:pPr>
              <w:pStyle w:val="AERtabletextright"/>
              <w:keepNext/>
            </w:pPr>
            <w:r w:rsidRPr="00827315">
              <w:t xml:space="preserve"> 5.6 </w:t>
            </w:r>
          </w:p>
        </w:tc>
        <w:tc>
          <w:tcPr>
            <w:tcW w:w="1192" w:type="dxa"/>
            <w:vAlign w:val="top"/>
          </w:tcPr>
          <w:p w:rsidR="00827315" w:rsidRPr="00827315" w:rsidRDefault="00827315" w:rsidP="003E7206">
            <w:pPr>
              <w:pStyle w:val="AERtabletextright"/>
              <w:keepNext/>
            </w:pPr>
            <w:r w:rsidRPr="00827315">
              <w:t xml:space="preserve"> 7.7 </w:t>
            </w:r>
          </w:p>
        </w:tc>
        <w:tc>
          <w:tcPr>
            <w:tcW w:w="1191" w:type="dxa"/>
            <w:vAlign w:val="top"/>
          </w:tcPr>
          <w:p w:rsidR="00827315" w:rsidRPr="00827315" w:rsidRDefault="00827315" w:rsidP="003E7206">
            <w:pPr>
              <w:pStyle w:val="AERtabletextright"/>
              <w:keepNext/>
            </w:pPr>
            <w:r w:rsidRPr="00827315">
              <w:t xml:space="preserve"> 4.2 </w:t>
            </w:r>
          </w:p>
        </w:tc>
        <w:tc>
          <w:tcPr>
            <w:tcW w:w="1192" w:type="dxa"/>
            <w:vAlign w:val="top"/>
          </w:tcPr>
          <w:p w:rsidR="00827315" w:rsidRPr="00827315" w:rsidRDefault="00827315" w:rsidP="003E7206">
            <w:pPr>
              <w:pStyle w:val="AERtabletextright"/>
              <w:keepNext/>
            </w:pPr>
            <w:r w:rsidRPr="00827315">
              <w:t xml:space="preserve"> 26.8 </w:t>
            </w:r>
          </w:p>
        </w:tc>
      </w:tr>
      <w:tr w:rsidR="00827315" w:rsidRPr="00627CFC" w:rsidTr="00A571B0">
        <w:trPr>
          <w:cnfStyle w:val="000000010000" w:firstRow="0" w:lastRow="0" w:firstColumn="0" w:lastColumn="0" w:oddVBand="0" w:evenVBand="0" w:oddHBand="0" w:evenHBand="1" w:firstRowFirstColumn="0" w:firstRowLastColumn="0" w:lastRowFirstColumn="0" w:lastRowLastColumn="0"/>
          <w:trHeight w:val="179"/>
        </w:trPr>
        <w:tc>
          <w:tcPr>
            <w:tcW w:w="2093" w:type="dxa"/>
            <w:vAlign w:val="top"/>
          </w:tcPr>
          <w:p w:rsidR="00827315" w:rsidRPr="00827315" w:rsidRDefault="00827315" w:rsidP="003E7206">
            <w:pPr>
              <w:keepNext/>
            </w:pPr>
            <w:r w:rsidRPr="00827315">
              <w:t>Primary mains</w:t>
            </w:r>
          </w:p>
        </w:tc>
        <w:tc>
          <w:tcPr>
            <w:tcW w:w="1191" w:type="dxa"/>
            <w:vAlign w:val="top"/>
          </w:tcPr>
          <w:p w:rsidR="00827315" w:rsidRPr="00827315" w:rsidRDefault="00827315" w:rsidP="003E7206">
            <w:pPr>
              <w:pStyle w:val="AERtabletextright"/>
              <w:keepNext/>
            </w:pPr>
            <w:r w:rsidRPr="00827315">
              <w:t xml:space="preserve"> 4.1 </w:t>
            </w:r>
          </w:p>
        </w:tc>
        <w:tc>
          <w:tcPr>
            <w:tcW w:w="1192" w:type="dxa"/>
            <w:vAlign w:val="top"/>
          </w:tcPr>
          <w:p w:rsidR="00827315" w:rsidRPr="00827315" w:rsidRDefault="00827315" w:rsidP="003E7206">
            <w:pPr>
              <w:pStyle w:val="AERtabletextright"/>
              <w:keepNext/>
            </w:pPr>
            <w:r w:rsidRPr="00827315">
              <w:t xml:space="preserve"> 4.8 </w:t>
            </w:r>
          </w:p>
        </w:tc>
        <w:tc>
          <w:tcPr>
            <w:tcW w:w="1191" w:type="dxa"/>
            <w:vAlign w:val="top"/>
          </w:tcPr>
          <w:p w:rsidR="00827315" w:rsidRPr="00827315" w:rsidRDefault="00827315" w:rsidP="003E7206">
            <w:pPr>
              <w:pStyle w:val="AERtabletextright"/>
              <w:keepNext/>
            </w:pPr>
            <w:r w:rsidRPr="00827315">
              <w:t xml:space="preserve"> 5.6 </w:t>
            </w:r>
          </w:p>
        </w:tc>
        <w:tc>
          <w:tcPr>
            <w:tcW w:w="1192" w:type="dxa"/>
            <w:vAlign w:val="top"/>
          </w:tcPr>
          <w:p w:rsidR="00827315" w:rsidRPr="00827315" w:rsidRDefault="00827315" w:rsidP="003E7206">
            <w:pPr>
              <w:pStyle w:val="AERtabletextright"/>
              <w:keepNext/>
            </w:pPr>
            <w:r w:rsidRPr="00827315">
              <w:t xml:space="preserve"> 3.2 </w:t>
            </w:r>
          </w:p>
        </w:tc>
        <w:tc>
          <w:tcPr>
            <w:tcW w:w="1191" w:type="dxa"/>
            <w:vAlign w:val="top"/>
          </w:tcPr>
          <w:p w:rsidR="00827315" w:rsidRPr="00827315" w:rsidRDefault="00827315" w:rsidP="003E7206">
            <w:pPr>
              <w:pStyle w:val="AERtabletextright"/>
              <w:keepNext/>
            </w:pPr>
            <w:r w:rsidRPr="00827315">
              <w:t xml:space="preserve"> 3.1 </w:t>
            </w:r>
          </w:p>
        </w:tc>
        <w:tc>
          <w:tcPr>
            <w:tcW w:w="1192" w:type="dxa"/>
            <w:vAlign w:val="top"/>
          </w:tcPr>
          <w:p w:rsidR="00827315" w:rsidRPr="00827315" w:rsidRDefault="00827315" w:rsidP="003E7206">
            <w:pPr>
              <w:pStyle w:val="AERtabletextright"/>
              <w:keepNext/>
            </w:pPr>
            <w:r w:rsidRPr="00827315">
              <w:t xml:space="preserve"> 20.9 </w:t>
            </w:r>
          </w:p>
        </w:tc>
      </w:tr>
      <w:tr w:rsidR="00827315" w:rsidRPr="00627CFC" w:rsidTr="00A571B0">
        <w:trPr>
          <w:trHeight w:val="179"/>
        </w:trPr>
        <w:tc>
          <w:tcPr>
            <w:tcW w:w="2093" w:type="dxa"/>
            <w:vAlign w:val="top"/>
          </w:tcPr>
          <w:p w:rsidR="00827315" w:rsidRPr="00827315" w:rsidRDefault="00827315" w:rsidP="003E7206">
            <w:pPr>
              <w:keepNext/>
            </w:pPr>
            <w:r w:rsidRPr="00827315">
              <w:t>Primary facilities</w:t>
            </w:r>
          </w:p>
        </w:tc>
        <w:tc>
          <w:tcPr>
            <w:tcW w:w="1191" w:type="dxa"/>
            <w:vAlign w:val="top"/>
          </w:tcPr>
          <w:p w:rsidR="00827315" w:rsidRPr="00827315" w:rsidRDefault="00827315" w:rsidP="003E7206">
            <w:pPr>
              <w:pStyle w:val="AERtabletextright"/>
              <w:keepNext/>
            </w:pPr>
            <w:r w:rsidRPr="00827315">
              <w:t xml:space="preserve"> 3.4 </w:t>
            </w:r>
          </w:p>
        </w:tc>
        <w:tc>
          <w:tcPr>
            <w:tcW w:w="1192" w:type="dxa"/>
            <w:vAlign w:val="top"/>
          </w:tcPr>
          <w:p w:rsidR="00827315" w:rsidRPr="00827315" w:rsidRDefault="00827315" w:rsidP="003E7206">
            <w:pPr>
              <w:pStyle w:val="AERtabletextright"/>
              <w:keepNext/>
            </w:pPr>
            <w:r w:rsidRPr="00827315">
              <w:t xml:space="preserve"> 3.2 </w:t>
            </w:r>
          </w:p>
        </w:tc>
        <w:tc>
          <w:tcPr>
            <w:tcW w:w="1191" w:type="dxa"/>
            <w:vAlign w:val="top"/>
          </w:tcPr>
          <w:p w:rsidR="00827315" w:rsidRPr="00827315" w:rsidRDefault="00827315" w:rsidP="003E7206">
            <w:pPr>
              <w:pStyle w:val="AERtabletextright"/>
              <w:keepNext/>
            </w:pPr>
            <w:r w:rsidRPr="00827315">
              <w:t xml:space="preserve"> 1.0 </w:t>
            </w:r>
          </w:p>
        </w:tc>
        <w:tc>
          <w:tcPr>
            <w:tcW w:w="1192" w:type="dxa"/>
            <w:vAlign w:val="top"/>
          </w:tcPr>
          <w:p w:rsidR="00827315" w:rsidRPr="00827315" w:rsidRDefault="00827315" w:rsidP="003E7206">
            <w:pPr>
              <w:pStyle w:val="AERtabletextright"/>
              <w:keepNext/>
            </w:pPr>
            <w:r w:rsidRPr="00827315">
              <w:t xml:space="preserve"> 0.9 </w:t>
            </w:r>
          </w:p>
        </w:tc>
        <w:tc>
          <w:tcPr>
            <w:tcW w:w="1191" w:type="dxa"/>
            <w:vAlign w:val="top"/>
          </w:tcPr>
          <w:p w:rsidR="00827315" w:rsidRPr="00827315" w:rsidRDefault="00827315" w:rsidP="003E7206">
            <w:pPr>
              <w:pStyle w:val="AERtabletextright"/>
              <w:keepNext/>
            </w:pPr>
            <w:r w:rsidRPr="00827315">
              <w:t xml:space="preserve"> 2.1 </w:t>
            </w:r>
          </w:p>
        </w:tc>
        <w:tc>
          <w:tcPr>
            <w:tcW w:w="1192" w:type="dxa"/>
            <w:vAlign w:val="top"/>
          </w:tcPr>
          <w:p w:rsidR="00827315" w:rsidRPr="00827315" w:rsidRDefault="00827315" w:rsidP="003E7206">
            <w:pPr>
              <w:pStyle w:val="AERtabletextright"/>
              <w:keepNext/>
            </w:pPr>
            <w:r w:rsidRPr="00827315">
              <w:t xml:space="preserve"> 10.5 </w:t>
            </w:r>
          </w:p>
        </w:tc>
      </w:tr>
      <w:tr w:rsidR="00827315" w:rsidRPr="00627CFC" w:rsidTr="00A571B0">
        <w:trPr>
          <w:cnfStyle w:val="000000010000" w:firstRow="0" w:lastRow="0" w:firstColumn="0" w:lastColumn="0" w:oddVBand="0" w:evenVBand="0" w:oddHBand="0" w:evenHBand="1" w:firstRowFirstColumn="0" w:firstRowLastColumn="0" w:lastRowFirstColumn="0" w:lastRowLastColumn="0"/>
          <w:trHeight w:val="179"/>
        </w:trPr>
        <w:tc>
          <w:tcPr>
            <w:tcW w:w="2093" w:type="dxa"/>
            <w:vAlign w:val="top"/>
          </w:tcPr>
          <w:p w:rsidR="00827315" w:rsidRPr="00827315" w:rsidRDefault="00827315" w:rsidP="003E7206">
            <w:pPr>
              <w:keepNext/>
            </w:pPr>
            <w:r w:rsidRPr="00827315">
              <w:t>Secondary Mains and Services</w:t>
            </w:r>
          </w:p>
        </w:tc>
        <w:tc>
          <w:tcPr>
            <w:tcW w:w="1191" w:type="dxa"/>
            <w:vAlign w:val="top"/>
          </w:tcPr>
          <w:p w:rsidR="00827315" w:rsidRPr="00827315" w:rsidRDefault="00827315" w:rsidP="003E7206">
            <w:pPr>
              <w:pStyle w:val="AERtabletextright"/>
              <w:keepNext/>
            </w:pPr>
            <w:r w:rsidRPr="00827315">
              <w:t xml:space="preserve"> 2.7 </w:t>
            </w:r>
          </w:p>
        </w:tc>
        <w:tc>
          <w:tcPr>
            <w:tcW w:w="1192" w:type="dxa"/>
            <w:vAlign w:val="top"/>
          </w:tcPr>
          <w:p w:rsidR="00827315" w:rsidRPr="00827315" w:rsidRDefault="00827315" w:rsidP="003E7206">
            <w:pPr>
              <w:pStyle w:val="AERtabletextright"/>
              <w:keepNext/>
            </w:pPr>
            <w:r w:rsidRPr="00827315">
              <w:t xml:space="preserve"> 3.0 </w:t>
            </w:r>
          </w:p>
        </w:tc>
        <w:tc>
          <w:tcPr>
            <w:tcW w:w="1191" w:type="dxa"/>
            <w:vAlign w:val="top"/>
          </w:tcPr>
          <w:p w:rsidR="00827315" w:rsidRPr="00827315" w:rsidRDefault="00827315" w:rsidP="003E7206">
            <w:pPr>
              <w:pStyle w:val="AERtabletextright"/>
              <w:keepNext/>
            </w:pPr>
            <w:r w:rsidRPr="00827315">
              <w:t xml:space="preserve"> 2.6 </w:t>
            </w:r>
          </w:p>
        </w:tc>
        <w:tc>
          <w:tcPr>
            <w:tcW w:w="1192" w:type="dxa"/>
            <w:vAlign w:val="top"/>
          </w:tcPr>
          <w:p w:rsidR="00827315" w:rsidRPr="00827315" w:rsidRDefault="00827315" w:rsidP="003E7206">
            <w:pPr>
              <w:pStyle w:val="AERtabletextright"/>
              <w:keepNext/>
            </w:pPr>
            <w:r w:rsidRPr="00827315">
              <w:t xml:space="preserve"> 2.6 </w:t>
            </w:r>
          </w:p>
        </w:tc>
        <w:tc>
          <w:tcPr>
            <w:tcW w:w="1191" w:type="dxa"/>
            <w:vAlign w:val="top"/>
          </w:tcPr>
          <w:p w:rsidR="00827315" w:rsidRPr="00827315" w:rsidRDefault="00827315" w:rsidP="003E7206">
            <w:pPr>
              <w:pStyle w:val="AERtabletextright"/>
              <w:keepNext/>
            </w:pPr>
            <w:r w:rsidRPr="00827315">
              <w:t xml:space="preserve"> 2.3 </w:t>
            </w:r>
          </w:p>
        </w:tc>
        <w:tc>
          <w:tcPr>
            <w:tcW w:w="1192" w:type="dxa"/>
            <w:vAlign w:val="top"/>
          </w:tcPr>
          <w:p w:rsidR="00827315" w:rsidRPr="00827315" w:rsidRDefault="00827315" w:rsidP="003E7206">
            <w:pPr>
              <w:pStyle w:val="AERtabletextright"/>
              <w:keepNext/>
            </w:pPr>
            <w:r w:rsidRPr="00827315">
              <w:t xml:space="preserve"> 13.2 </w:t>
            </w:r>
          </w:p>
        </w:tc>
      </w:tr>
      <w:tr w:rsidR="00827315" w:rsidRPr="00627CFC" w:rsidTr="00A571B0">
        <w:trPr>
          <w:trHeight w:val="179"/>
        </w:trPr>
        <w:tc>
          <w:tcPr>
            <w:tcW w:w="2093" w:type="dxa"/>
            <w:vAlign w:val="top"/>
          </w:tcPr>
          <w:p w:rsidR="00827315" w:rsidRPr="00827315" w:rsidRDefault="00827315" w:rsidP="003E7206">
            <w:pPr>
              <w:keepNext/>
            </w:pPr>
            <w:r w:rsidRPr="00827315">
              <w:t>Total</w:t>
            </w:r>
          </w:p>
        </w:tc>
        <w:tc>
          <w:tcPr>
            <w:tcW w:w="1191" w:type="dxa"/>
            <w:vAlign w:val="top"/>
          </w:tcPr>
          <w:p w:rsidR="00827315" w:rsidRPr="00827315" w:rsidRDefault="00827315" w:rsidP="003E7206">
            <w:pPr>
              <w:pStyle w:val="AERtabletextright"/>
              <w:keepNext/>
            </w:pPr>
            <w:r w:rsidRPr="00827315">
              <w:t xml:space="preserve"> 22.3 </w:t>
            </w:r>
          </w:p>
        </w:tc>
        <w:tc>
          <w:tcPr>
            <w:tcW w:w="1192" w:type="dxa"/>
            <w:vAlign w:val="top"/>
          </w:tcPr>
          <w:p w:rsidR="00827315" w:rsidRPr="00827315" w:rsidRDefault="00827315" w:rsidP="003E7206">
            <w:pPr>
              <w:pStyle w:val="AERtabletextright"/>
              <w:keepNext/>
            </w:pPr>
            <w:r w:rsidRPr="00827315">
              <w:t xml:space="preserve"> 18.7 </w:t>
            </w:r>
          </w:p>
        </w:tc>
        <w:tc>
          <w:tcPr>
            <w:tcW w:w="1191" w:type="dxa"/>
            <w:vAlign w:val="top"/>
          </w:tcPr>
          <w:p w:rsidR="00827315" w:rsidRPr="00827315" w:rsidRDefault="00827315" w:rsidP="003E7206">
            <w:pPr>
              <w:pStyle w:val="AERtabletextright"/>
              <w:keepNext/>
            </w:pPr>
            <w:r w:rsidRPr="00827315">
              <w:t xml:space="preserve"> 19.7 </w:t>
            </w:r>
          </w:p>
        </w:tc>
        <w:tc>
          <w:tcPr>
            <w:tcW w:w="1192" w:type="dxa"/>
            <w:vAlign w:val="top"/>
          </w:tcPr>
          <w:p w:rsidR="00827315" w:rsidRPr="00827315" w:rsidRDefault="00827315" w:rsidP="003E7206">
            <w:pPr>
              <w:pStyle w:val="AERtabletextright"/>
              <w:keepNext/>
            </w:pPr>
            <w:r w:rsidRPr="00827315">
              <w:t xml:space="preserve"> 19.6 </w:t>
            </w:r>
          </w:p>
        </w:tc>
        <w:tc>
          <w:tcPr>
            <w:tcW w:w="1191" w:type="dxa"/>
            <w:vAlign w:val="top"/>
          </w:tcPr>
          <w:p w:rsidR="00827315" w:rsidRPr="00827315" w:rsidRDefault="00827315" w:rsidP="003E7206">
            <w:pPr>
              <w:pStyle w:val="AERtabletextright"/>
              <w:keepNext/>
            </w:pPr>
            <w:r w:rsidRPr="00827315">
              <w:t xml:space="preserve"> 15.0 </w:t>
            </w:r>
          </w:p>
        </w:tc>
        <w:tc>
          <w:tcPr>
            <w:tcW w:w="1192" w:type="dxa"/>
            <w:vAlign w:val="top"/>
          </w:tcPr>
          <w:p w:rsidR="00827315" w:rsidRPr="00827315" w:rsidRDefault="00827315" w:rsidP="003E7206">
            <w:pPr>
              <w:pStyle w:val="AERtabletextright"/>
              <w:keepNext/>
            </w:pPr>
            <w:r w:rsidRPr="00827315">
              <w:t xml:space="preserve"> 95.3 </w:t>
            </w:r>
          </w:p>
        </w:tc>
      </w:tr>
    </w:tbl>
    <w:p w:rsidR="0091391D" w:rsidRPr="00532784" w:rsidRDefault="0091391D" w:rsidP="003E7206">
      <w:pPr>
        <w:pStyle w:val="AERtablesource"/>
        <w:keepNext/>
      </w:pPr>
      <w:r w:rsidRPr="00532784">
        <w:t>Source:</w:t>
      </w:r>
      <w:r w:rsidRPr="00532784">
        <w:tab/>
        <w:t>Sleeman Consulting, ;AER analysis.</w:t>
      </w:r>
    </w:p>
    <w:p w:rsidR="0091391D" w:rsidRPr="00532784" w:rsidRDefault="0091391D" w:rsidP="0091391D">
      <w:pPr>
        <w:pStyle w:val="AERtablesource"/>
      </w:pPr>
      <w:r w:rsidRPr="00532784">
        <w:t>Notes:</w:t>
      </w:r>
      <w:r w:rsidRPr="00532784">
        <w:tab/>
        <w:t>(a) Direct costs excluding escalation and overheads.</w:t>
      </w:r>
    </w:p>
    <w:p w:rsidR="0091391D" w:rsidRDefault="0091391D" w:rsidP="0091391D">
      <w:pPr>
        <w:pStyle w:val="AERbodytext"/>
      </w:pPr>
      <w:r>
        <w:t xml:space="preserve">Based on the advice Sleeman Consulting, </w:t>
      </w:r>
      <w:r w:rsidR="00D024AF">
        <w:t>we</w:t>
      </w:r>
      <w:r>
        <w:t xml:space="preserve"> </w:t>
      </w:r>
      <w:r w:rsidR="00D47DF3">
        <w:t>are not satisfied</w:t>
      </w:r>
      <w:r>
        <w:t xml:space="preserve"> that 8 of the 90 augmentation projects, costing $</w:t>
      </w:r>
      <w:r w:rsidR="00367EBC">
        <w:t>14.7</w:t>
      </w:r>
      <w:r>
        <w:t xml:space="preserve"> million</w:t>
      </w:r>
      <w:r w:rsidR="00D47DF3">
        <w:t>,</w:t>
      </w:r>
      <w:r>
        <w:t xml:space="preserve"> are prudent and efficient.</w:t>
      </w:r>
      <w:r w:rsidR="00200C5E">
        <w:rPr>
          <w:rStyle w:val="FootnoteReference"/>
        </w:rPr>
        <w:footnoteReference w:id="80"/>
      </w:r>
      <w:r>
        <w:t xml:space="preserve"> These projects are summarised in</w:t>
      </w:r>
      <w:r w:rsidR="008D60EC">
        <w:t xml:space="preserve"> </w:t>
      </w:r>
      <w:r w:rsidR="008D60EC">
        <w:fldChar w:fldCharType="begin"/>
      </w:r>
      <w:r w:rsidR="008D60EC">
        <w:instrText xml:space="preserve"> REF _Ref401490526 \h </w:instrText>
      </w:r>
      <w:r w:rsidR="008D60EC">
        <w:fldChar w:fldCharType="separate"/>
      </w:r>
      <w:r w:rsidR="0029475D">
        <w:t xml:space="preserve">Table </w:t>
      </w:r>
      <w:r w:rsidR="0029475D">
        <w:rPr>
          <w:noProof/>
        </w:rPr>
        <w:t>6</w:t>
      </w:r>
      <w:r w:rsidR="0029475D">
        <w:noBreakHyphen/>
      </w:r>
      <w:r w:rsidR="0029475D">
        <w:rPr>
          <w:noProof/>
        </w:rPr>
        <w:t>14</w:t>
      </w:r>
      <w:r w:rsidR="008D60EC">
        <w:fldChar w:fldCharType="end"/>
      </w:r>
      <w:r w:rsidR="00200C5E">
        <w:t>.</w:t>
      </w:r>
    </w:p>
    <w:p w:rsidR="0091391D" w:rsidRDefault="0091391D" w:rsidP="0091391D">
      <w:pPr>
        <w:pStyle w:val="AERbodytext"/>
      </w:pPr>
      <w:r>
        <w:t xml:space="preserve">An increase in the operating pressure at the Newcastle end of JGN's Northern Trunk is the driver for six projects. However, </w:t>
      </w:r>
      <w:r w:rsidR="00D47DF3">
        <w:t xml:space="preserve">we are not satisfied that </w:t>
      </w:r>
      <w:r>
        <w:t xml:space="preserve">the installation of heaters </w:t>
      </w:r>
      <w:r w:rsidR="00367EBC">
        <w:t>is</w:t>
      </w:r>
      <w:r>
        <w:t xml:space="preserve"> justified as:</w:t>
      </w:r>
      <w:r w:rsidR="00200C5E">
        <w:rPr>
          <w:rStyle w:val="FootnoteReference"/>
        </w:rPr>
        <w:footnoteReference w:id="81"/>
      </w:r>
    </w:p>
    <w:p w:rsidR="0091391D" w:rsidRDefault="0091391D" w:rsidP="0091391D">
      <w:pPr>
        <w:pStyle w:val="AERbulletlistfirststyle"/>
      </w:pPr>
      <w:r>
        <w:t>Injection of gas from the LNG storage facility will not necessitate the installation of heaters</w:t>
      </w:r>
    </w:p>
    <w:p w:rsidR="0091391D" w:rsidRDefault="0091391D" w:rsidP="0091391D">
      <w:pPr>
        <w:pStyle w:val="AERbulletlistfirststyle"/>
      </w:pPr>
      <w:r>
        <w:t>It is unlikely that CSG project development approval will be granted in time to allow commitment and development of a CSG project, and subsequent delivery of material quantities of gas to Newcastle within the period to 2020.</w:t>
      </w:r>
    </w:p>
    <w:p w:rsidR="0091391D" w:rsidRPr="0091391D" w:rsidRDefault="00D47DF3" w:rsidP="00200C5E">
      <w:pPr>
        <w:pStyle w:val="AERbodytext"/>
      </w:pPr>
      <w:r>
        <w:t>We are not satisfied that a</w:t>
      </w:r>
      <w:r w:rsidR="0091391D">
        <w:t xml:space="preserve"> project to address an inappropriate mix of Australian and American standard equipment</w:t>
      </w:r>
      <w:r w:rsidR="0091391D" w:rsidRPr="0091391D">
        <w:t xml:space="preserve"> is justified</w:t>
      </w:r>
      <w:r>
        <w:t>. This is because</w:t>
      </w:r>
      <w:r w:rsidR="0091391D" w:rsidRPr="0091391D">
        <w:t xml:space="preserve"> the stations of concern </w:t>
      </w:r>
      <w:r>
        <w:t>can</w:t>
      </w:r>
      <w:r w:rsidR="0091391D" w:rsidRPr="0091391D">
        <w:t xml:space="preserve"> operate to comply with the standard of the lowest-rated component.</w:t>
      </w:r>
      <w:r w:rsidR="00200C5E">
        <w:rPr>
          <w:rStyle w:val="FootnoteReference"/>
        </w:rPr>
        <w:footnoteReference w:id="82"/>
      </w:r>
      <w:r w:rsidR="0091391D" w:rsidRPr="0091391D">
        <w:t xml:space="preserve"> </w:t>
      </w:r>
    </w:p>
    <w:p w:rsidR="0091391D" w:rsidRPr="0091391D" w:rsidRDefault="00D47DF3" w:rsidP="00200C5E">
      <w:pPr>
        <w:pStyle w:val="AERbodytext"/>
      </w:pPr>
      <w:r>
        <w:t>We are not satisfied that a</w:t>
      </w:r>
      <w:r w:rsidR="0091391D">
        <w:t xml:space="preserve"> project to investigate possible stress corrosion cracking (SCC) of the Wilton to Horsley Park Trunkline is justified as:</w:t>
      </w:r>
      <w:r w:rsidR="00200C5E">
        <w:rPr>
          <w:rStyle w:val="FootnoteReference"/>
        </w:rPr>
        <w:footnoteReference w:id="83"/>
      </w:r>
      <w:r w:rsidR="00200C5E">
        <w:t xml:space="preserve"> </w:t>
      </w:r>
    </w:p>
    <w:p w:rsidR="0091391D" w:rsidRDefault="0091391D" w:rsidP="0091391D">
      <w:pPr>
        <w:pStyle w:val="AERbulletlistfirststyle"/>
      </w:pPr>
      <w:r>
        <w:lastRenderedPageBreak/>
        <w:t>The conditions that converge to cause SCC are not prevalent on the Wilton to Horsley Park Trunkline</w:t>
      </w:r>
    </w:p>
    <w:p w:rsidR="0091391D" w:rsidRDefault="0091391D" w:rsidP="0091391D">
      <w:pPr>
        <w:pStyle w:val="AERbulletlistfirststyle"/>
      </w:pPr>
      <w:r>
        <w:t>The trunkline is scheduled to be inline inspected in 2014-15, which presents opportunity for SCC related investigations if required.</w:t>
      </w:r>
    </w:p>
    <w:p w:rsidR="0091391D" w:rsidRPr="00611C1A" w:rsidRDefault="00200C5E" w:rsidP="0091391D">
      <w:pPr>
        <w:pStyle w:val="Caption"/>
        <w:rPr>
          <w:rStyle w:val="AERsuperscript"/>
        </w:rPr>
      </w:pPr>
      <w:bookmarkStart w:id="49" w:name="_Ref401490526"/>
      <w:r>
        <w:t xml:space="preserve">Table </w:t>
      </w:r>
      <w:fldSimple w:instr=" STYLEREF 1 \s ">
        <w:r w:rsidR="0029475D">
          <w:rPr>
            <w:noProof/>
          </w:rPr>
          <w:t>6</w:t>
        </w:r>
      </w:fldSimple>
      <w:r w:rsidR="009F7369">
        <w:noBreakHyphen/>
      </w:r>
      <w:fldSimple w:instr=" SEQ Table \* ARABIC \s 1 ">
        <w:r w:rsidR="0029475D">
          <w:rPr>
            <w:noProof/>
          </w:rPr>
          <w:t>14</w:t>
        </w:r>
      </w:fldSimple>
      <w:bookmarkEnd w:id="49"/>
      <w:r w:rsidR="0091391D" w:rsidRPr="00611C1A">
        <w:tab/>
      </w:r>
      <w:r w:rsidR="0091391D">
        <w:t>Facilities renewal and upgrade</w:t>
      </w:r>
      <w:r w:rsidR="0091391D" w:rsidRPr="00611C1A">
        <w:t xml:space="preserve"> capital expenditure </w:t>
      </w:r>
      <w:r w:rsidR="0091391D">
        <w:t>not includ</w:t>
      </w:r>
      <w:r w:rsidR="0091391D" w:rsidRPr="00611C1A">
        <w:t>ed</w:t>
      </w:r>
      <w:r w:rsidR="0091391D">
        <w:t xml:space="preserve"> in AER alternative capex estimate</w:t>
      </w:r>
      <w:r w:rsidR="0091391D" w:rsidRPr="00611C1A">
        <w:t xml:space="preserve"> ($million, 2015)</w:t>
      </w:r>
      <w:r w:rsidR="0091391D" w:rsidRPr="00611C1A">
        <w:rPr>
          <w:rStyle w:val="AERsuperscript"/>
        </w:rPr>
        <w:t>(a)</w:t>
      </w:r>
    </w:p>
    <w:tbl>
      <w:tblPr>
        <w:tblStyle w:val="AERtable-numbers"/>
        <w:tblW w:w="8373" w:type="dxa"/>
        <w:tblLayout w:type="fixed"/>
        <w:tblLook w:val="0020" w:firstRow="1" w:lastRow="0" w:firstColumn="0" w:lastColumn="0" w:noHBand="0" w:noVBand="0"/>
      </w:tblPr>
      <w:tblGrid>
        <w:gridCol w:w="2791"/>
        <w:gridCol w:w="2791"/>
        <w:gridCol w:w="2791"/>
      </w:tblGrid>
      <w:tr w:rsidR="0091391D" w:rsidRPr="00627CFC" w:rsidTr="00B65FC5">
        <w:trPr>
          <w:cnfStyle w:val="100000000000" w:firstRow="1" w:lastRow="0" w:firstColumn="0" w:lastColumn="0" w:oddVBand="0" w:evenVBand="0" w:oddHBand="0" w:evenHBand="0" w:firstRowFirstColumn="0" w:firstRowLastColumn="0" w:lastRowFirstColumn="0" w:lastRowLastColumn="0"/>
          <w:trHeight w:val="171"/>
        </w:trPr>
        <w:tc>
          <w:tcPr>
            <w:tcW w:w="2791" w:type="dxa"/>
          </w:tcPr>
          <w:p w:rsidR="0091391D" w:rsidRPr="0091391D" w:rsidRDefault="0091391D" w:rsidP="0091391D">
            <w:r>
              <w:t>Facilities renewal and upgrade sub-category</w:t>
            </w:r>
          </w:p>
        </w:tc>
        <w:tc>
          <w:tcPr>
            <w:tcW w:w="2791" w:type="dxa"/>
          </w:tcPr>
          <w:p w:rsidR="0091391D" w:rsidRPr="0091391D" w:rsidRDefault="0091391D" w:rsidP="0091391D">
            <w:r>
              <w:t>Project name</w:t>
            </w:r>
          </w:p>
        </w:tc>
        <w:tc>
          <w:tcPr>
            <w:tcW w:w="2791" w:type="dxa"/>
          </w:tcPr>
          <w:p w:rsidR="0091391D" w:rsidRPr="0091391D" w:rsidRDefault="0091391D" w:rsidP="0091391D">
            <w:r w:rsidRPr="00627CFC">
              <w:t>Total</w:t>
            </w:r>
          </w:p>
        </w:tc>
      </w:tr>
      <w:tr w:rsidR="0091391D" w:rsidRPr="00627CFC" w:rsidTr="00B65FC5">
        <w:trPr>
          <w:trHeight w:val="179"/>
        </w:trPr>
        <w:tc>
          <w:tcPr>
            <w:tcW w:w="2791" w:type="dxa"/>
          </w:tcPr>
          <w:p w:rsidR="0091391D" w:rsidRPr="0091391D" w:rsidRDefault="0091391D" w:rsidP="0091391D">
            <w:r>
              <w:t>Minor capital</w:t>
            </w:r>
          </w:p>
        </w:tc>
        <w:tc>
          <w:tcPr>
            <w:tcW w:w="2791" w:type="dxa"/>
          </w:tcPr>
          <w:p w:rsidR="0091391D" w:rsidRPr="0091391D" w:rsidRDefault="0091391D" w:rsidP="0091391D">
            <w:r>
              <w:t>Zentec Designs</w:t>
            </w:r>
          </w:p>
        </w:tc>
        <w:tc>
          <w:tcPr>
            <w:tcW w:w="2791" w:type="dxa"/>
          </w:tcPr>
          <w:p w:rsidR="0091391D" w:rsidRPr="00413233" w:rsidRDefault="0091391D" w:rsidP="0091391D"/>
        </w:tc>
      </w:tr>
      <w:tr w:rsidR="0091391D" w:rsidRPr="00627CFC" w:rsidTr="00B65FC5">
        <w:trPr>
          <w:cnfStyle w:val="000000010000" w:firstRow="0" w:lastRow="0" w:firstColumn="0" w:lastColumn="0" w:oddVBand="0" w:evenVBand="0" w:oddHBand="0" w:evenHBand="1" w:firstRowFirstColumn="0" w:firstRowLastColumn="0" w:lastRowFirstColumn="0" w:lastRowLastColumn="0"/>
          <w:trHeight w:val="179"/>
        </w:trPr>
        <w:tc>
          <w:tcPr>
            <w:tcW w:w="2791" w:type="dxa"/>
          </w:tcPr>
          <w:p w:rsidR="0091391D" w:rsidRPr="0091391D" w:rsidRDefault="0091391D" w:rsidP="0091391D">
            <w:r>
              <w:t>Trunk mains</w:t>
            </w:r>
          </w:p>
        </w:tc>
        <w:tc>
          <w:tcPr>
            <w:tcW w:w="2791" w:type="dxa"/>
          </w:tcPr>
          <w:p w:rsidR="0091391D" w:rsidRPr="0091391D" w:rsidRDefault="0091391D" w:rsidP="0091391D">
            <w:r>
              <w:t>L1 Inline inspection and validation</w:t>
            </w:r>
          </w:p>
        </w:tc>
        <w:tc>
          <w:tcPr>
            <w:tcW w:w="2791" w:type="dxa"/>
          </w:tcPr>
          <w:p w:rsidR="0091391D" w:rsidRPr="00413233" w:rsidRDefault="0091391D" w:rsidP="0091391D"/>
        </w:tc>
      </w:tr>
      <w:tr w:rsidR="0091391D" w:rsidRPr="00627CFC" w:rsidTr="00B65FC5">
        <w:trPr>
          <w:trHeight w:val="179"/>
        </w:trPr>
        <w:tc>
          <w:tcPr>
            <w:tcW w:w="2791" w:type="dxa"/>
          </w:tcPr>
          <w:p w:rsidR="0091391D" w:rsidRPr="0091391D" w:rsidRDefault="0091391D" w:rsidP="0091391D">
            <w:r>
              <w:t>Trunk facilities</w:t>
            </w:r>
          </w:p>
        </w:tc>
        <w:tc>
          <w:tcPr>
            <w:tcW w:w="2791" w:type="dxa"/>
          </w:tcPr>
          <w:p w:rsidR="0091391D" w:rsidRPr="0091391D" w:rsidRDefault="0091391D" w:rsidP="0091391D">
            <w:r>
              <w:t>Hexham heater</w:t>
            </w:r>
          </w:p>
        </w:tc>
        <w:tc>
          <w:tcPr>
            <w:tcW w:w="2791" w:type="dxa"/>
          </w:tcPr>
          <w:p w:rsidR="0091391D" w:rsidRPr="00413233" w:rsidRDefault="0091391D" w:rsidP="0091391D"/>
        </w:tc>
      </w:tr>
      <w:tr w:rsidR="0091391D" w:rsidRPr="00627CFC" w:rsidTr="00B65FC5">
        <w:trPr>
          <w:cnfStyle w:val="000000010000" w:firstRow="0" w:lastRow="0" w:firstColumn="0" w:lastColumn="0" w:oddVBand="0" w:evenVBand="0" w:oddHBand="0" w:evenHBand="1" w:firstRowFirstColumn="0" w:firstRowLastColumn="0" w:lastRowFirstColumn="0" w:lastRowLastColumn="0"/>
          <w:trHeight w:val="179"/>
        </w:trPr>
        <w:tc>
          <w:tcPr>
            <w:tcW w:w="2791" w:type="dxa"/>
          </w:tcPr>
          <w:p w:rsidR="0091391D" w:rsidRPr="00C9158A" w:rsidRDefault="0091391D" w:rsidP="0091391D"/>
        </w:tc>
        <w:tc>
          <w:tcPr>
            <w:tcW w:w="2791" w:type="dxa"/>
          </w:tcPr>
          <w:p w:rsidR="0091391D" w:rsidRPr="0091391D" w:rsidRDefault="0091391D" w:rsidP="0091391D">
            <w:r>
              <w:t>Kooragang Island heater</w:t>
            </w:r>
          </w:p>
        </w:tc>
        <w:tc>
          <w:tcPr>
            <w:tcW w:w="2791" w:type="dxa"/>
          </w:tcPr>
          <w:p w:rsidR="0091391D" w:rsidRPr="00413233" w:rsidRDefault="0091391D" w:rsidP="0091391D"/>
        </w:tc>
      </w:tr>
      <w:tr w:rsidR="0091391D" w:rsidRPr="00627CFC" w:rsidTr="00B65FC5">
        <w:trPr>
          <w:trHeight w:val="179"/>
        </w:trPr>
        <w:tc>
          <w:tcPr>
            <w:tcW w:w="2791" w:type="dxa"/>
          </w:tcPr>
          <w:p w:rsidR="0091391D" w:rsidRPr="00C9158A" w:rsidRDefault="0091391D" w:rsidP="0091391D"/>
        </w:tc>
        <w:tc>
          <w:tcPr>
            <w:tcW w:w="2791" w:type="dxa"/>
          </w:tcPr>
          <w:p w:rsidR="0091391D" w:rsidRPr="0091391D" w:rsidRDefault="0091391D" w:rsidP="0091391D">
            <w:r>
              <w:t>Minmi heating (JGN ID 63)</w:t>
            </w:r>
          </w:p>
        </w:tc>
        <w:tc>
          <w:tcPr>
            <w:tcW w:w="2791" w:type="dxa"/>
          </w:tcPr>
          <w:p w:rsidR="0091391D" w:rsidRPr="00413233" w:rsidRDefault="0091391D" w:rsidP="0091391D"/>
        </w:tc>
      </w:tr>
      <w:tr w:rsidR="0091391D" w:rsidRPr="00627CFC" w:rsidTr="00B65FC5">
        <w:trPr>
          <w:cnfStyle w:val="000000010000" w:firstRow="0" w:lastRow="0" w:firstColumn="0" w:lastColumn="0" w:oddVBand="0" w:evenVBand="0" w:oddHBand="0" w:evenHBand="1" w:firstRowFirstColumn="0" w:firstRowLastColumn="0" w:lastRowFirstColumn="0" w:lastRowLastColumn="0"/>
          <w:trHeight w:val="179"/>
        </w:trPr>
        <w:tc>
          <w:tcPr>
            <w:tcW w:w="2791" w:type="dxa"/>
          </w:tcPr>
          <w:p w:rsidR="0091391D" w:rsidRPr="00C9158A" w:rsidRDefault="0091391D" w:rsidP="0091391D"/>
        </w:tc>
        <w:tc>
          <w:tcPr>
            <w:tcW w:w="2791" w:type="dxa"/>
          </w:tcPr>
          <w:p w:rsidR="0091391D" w:rsidRPr="0091391D" w:rsidRDefault="0091391D" w:rsidP="0091391D">
            <w:r>
              <w:t>Minmi heating (JGN ID 64)</w:t>
            </w:r>
          </w:p>
        </w:tc>
        <w:tc>
          <w:tcPr>
            <w:tcW w:w="2791" w:type="dxa"/>
          </w:tcPr>
          <w:p w:rsidR="0091391D" w:rsidRPr="00413233" w:rsidRDefault="0091391D" w:rsidP="0091391D"/>
        </w:tc>
      </w:tr>
      <w:tr w:rsidR="0091391D" w:rsidRPr="00627CFC" w:rsidTr="00B65FC5">
        <w:trPr>
          <w:trHeight w:val="179"/>
        </w:trPr>
        <w:tc>
          <w:tcPr>
            <w:tcW w:w="2791" w:type="dxa"/>
          </w:tcPr>
          <w:p w:rsidR="0091391D" w:rsidRPr="00C9158A" w:rsidRDefault="0091391D" w:rsidP="0091391D"/>
        </w:tc>
        <w:tc>
          <w:tcPr>
            <w:tcW w:w="2791" w:type="dxa"/>
          </w:tcPr>
          <w:p w:rsidR="0091391D" w:rsidRPr="0091391D" w:rsidRDefault="0091391D" w:rsidP="0091391D">
            <w:r>
              <w:t>Morriset heating</w:t>
            </w:r>
          </w:p>
        </w:tc>
        <w:tc>
          <w:tcPr>
            <w:tcW w:w="2791" w:type="dxa"/>
          </w:tcPr>
          <w:p w:rsidR="0091391D" w:rsidRPr="00413233" w:rsidRDefault="0091391D" w:rsidP="0091391D"/>
        </w:tc>
      </w:tr>
      <w:tr w:rsidR="0091391D" w:rsidRPr="00627CFC" w:rsidTr="00B65FC5">
        <w:trPr>
          <w:cnfStyle w:val="000000010000" w:firstRow="0" w:lastRow="0" w:firstColumn="0" w:lastColumn="0" w:oddVBand="0" w:evenVBand="0" w:oddHBand="0" w:evenHBand="1" w:firstRowFirstColumn="0" w:firstRowLastColumn="0" w:lastRowFirstColumn="0" w:lastRowLastColumn="0"/>
          <w:trHeight w:val="179"/>
        </w:trPr>
        <w:tc>
          <w:tcPr>
            <w:tcW w:w="2791" w:type="dxa"/>
          </w:tcPr>
          <w:p w:rsidR="0091391D" w:rsidRPr="00C9158A" w:rsidRDefault="0091391D" w:rsidP="0091391D"/>
        </w:tc>
        <w:tc>
          <w:tcPr>
            <w:tcW w:w="2791" w:type="dxa"/>
          </w:tcPr>
          <w:p w:rsidR="0091391D" w:rsidRPr="0091391D" w:rsidRDefault="0091391D" w:rsidP="0091391D">
            <w:r>
              <w:t>Wyee heating</w:t>
            </w:r>
          </w:p>
        </w:tc>
        <w:tc>
          <w:tcPr>
            <w:tcW w:w="2791" w:type="dxa"/>
          </w:tcPr>
          <w:p w:rsidR="0091391D" w:rsidRPr="00413233" w:rsidRDefault="0091391D" w:rsidP="0091391D"/>
        </w:tc>
      </w:tr>
      <w:tr w:rsidR="0091391D" w:rsidRPr="00627CFC" w:rsidTr="00B65FC5">
        <w:trPr>
          <w:trHeight w:val="179"/>
        </w:trPr>
        <w:tc>
          <w:tcPr>
            <w:tcW w:w="2791" w:type="dxa"/>
          </w:tcPr>
          <w:p w:rsidR="0091391D" w:rsidRDefault="0091391D" w:rsidP="0091391D">
            <w:pPr>
              <w:rPr>
                <w:rStyle w:val="AERtextbold"/>
              </w:rPr>
            </w:pPr>
          </w:p>
        </w:tc>
        <w:tc>
          <w:tcPr>
            <w:tcW w:w="2791" w:type="dxa"/>
          </w:tcPr>
          <w:p w:rsidR="0091391D" w:rsidRPr="0091391D" w:rsidRDefault="0091391D" w:rsidP="0091391D">
            <w:pPr>
              <w:rPr>
                <w:rStyle w:val="AERtextbold"/>
              </w:rPr>
            </w:pPr>
            <w:r>
              <w:rPr>
                <w:rStyle w:val="AERtextbold"/>
              </w:rPr>
              <w:t>Total</w:t>
            </w:r>
          </w:p>
        </w:tc>
        <w:tc>
          <w:tcPr>
            <w:tcW w:w="2791" w:type="dxa"/>
          </w:tcPr>
          <w:p w:rsidR="0091391D" w:rsidRPr="0091391D" w:rsidRDefault="0091391D" w:rsidP="00367EBC">
            <w:pPr>
              <w:pStyle w:val="AERtabletextright"/>
              <w:rPr>
                <w:rStyle w:val="AERtextbold"/>
              </w:rPr>
            </w:pPr>
            <w:r w:rsidRPr="00413233">
              <w:rPr>
                <w:rStyle w:val="AERtextbold"/>
              </w:rPr>
              <w:t xml:space="preserve"> </w:t>
            </w:r>
            <w:r w:rsidRPr="0091391D">
              <w:rPr>
                <w:rStyle w:val="AERtextbold"/>
              </w:rPr>
              <w:t>1</w:t>
            </w:r>
            <w:r w:rsidR="00367EBC">
              <w:rPr>
                <w:rStyle w:val="AERtextbold"/>
              </w:rPr>
              <w:t>4</w:t>
            </w:r>
            <w:r w:rsidRPr="0091391D">
              <w:rPr>
                <w:rStyle w:val="AERtextbold"/>
              </w:rPr>
              <w:t>.7</w:t>
            </w:r>
          </w:p>
        </w:tc>
      </w:tr>
    </w:tbl>
    <w:p w:rsidR="0091391D" w:rsidRPr="00611C1A" w:rsidRDefault="0091391D" w:rsidP="0091391D">
      <w:pPr>
        <w:pStyle w:val="AERtablesource"/>
      </w:pPr>
      <w:r w:rsidRPr="00611C1A">
        <w:t>Source:</w:t>
      </w:r>
      <w:r w:rsidRPr="00611C1A">
        <w:tab/>
      </w:r>
      <w:r>
        <w:t>Sleeman Consulting, ;AER analysis</w:t>
      </w:r>
      <w:r w:rsidRPr="00611C1A">
        <w:t>.</w:t>
      </w:r>
    </w:p>
    <w:p w:rsidR="0091391D" w:rsidRPr="004B1714" w:rsidRDefault="0091391D" w:rsidP="0091391D">
      <w:pPr>
        <w:pStyle w:val="AERtablesource"/>
      </w:pPr>
      <w:r w:rsidRPr="00611C1A">
        <w:t>Notes:</w:t>
      </w:r>
      <w:r w:rsidRPr="00611C1A">
        <w:tab/>
        <w:t>(a) Direct costs excluding escalation and overheads.</w:t>
      </w:r>
    </w:p>
    <w:p w:rsidR="00275734" w:rsidRPr="00275734" w:rsidRDefault="0091391D" w:rsidP="00275734">
      <w:pPr>
        <w:pStyle w:val="AERbodytext"/>
      </w:pPr>
      <w:r>
        <w:t>JGN allocated $</w:t>
      </w:r>
      <w:r w:rsidR="00BC4043">
        <w:t>5.6 million</w:t>
      </w:r>
      <w:r>
        <w:t xml:space="preserve"> </w:t>
      </w:r>
      <w:r w:rsidR="00BC4043" w:rsidRPr="001D1E87">
        <w:rPr>
          <w:rStyle w:val="AERbody"/>
        </w:rPr>
        <w:t xml:space="preserve">($2015, unescalated direct costs, excluding overheads) </w:t>
      </w:r>
      <w:r>
        <w:t>of planning costs to the facilities renewal and upgrade category.</w:t>
      </w:r>
      <w:r w:rsidR="00BC4043">
        <w:t xml:space="preserve"> We </w:t>
      </w:r>
      <w:r w:rsidR="00D47DF3">
        <w:t xml:space="preserve">are not satisfied </w:t>
      </w:r>
      <w:r w:rsidR="00BC4043">
        <w:t>that this is a direct cost incurred in relation to facilities renewal and upgrade. We consider that planning costs are an overhead. We have therefore considered this cost in the section on overheads.</w:t>
      </w:r>
      <w:r w:rsidR="00B36856">
        <w:t xml:space="preserve"> </w:t>
      </w:r>
    </w:p>
    <w:p w:rsidR="00275734" w:rsidRDefault="00275734" w:rsidP="00275734">
      <w:pPr>
        <w:pStyle w:val="HeadingBoldBlue"/>
      </w:pPr>
      <w:r w:rsidRPr="00275734">
        <w:t>SCADA</w:t>
      </w:r>
    </w:p>
    <w:p w:rsidR="00FC2047" w:rsidRDefault="009A5D89" w:rsidP="00FC2047">
      <w:pPr>
        <w:pStyle w:val="AERbodytext"/>
      </w:pPr>
      <w:r>
        <w:t xml:space="preserve">This capex category includes </w:t>
      </w:r>
      <w:r w:rsidRPr="00D024AF">
        <w:rPr>
          <w:rFonts w:eastAsia="Calibri"/>
        </w:rPr>
        <w:t>SCADA and network control hardware and IT.</w:t>
      </w:r>
      <w:r w:rsidR="00D024AF" w:rsidRPr="00D024AF">
        <w:rPr>
          <w:rFonts w:eastAsia="Calibri"/>
        </w:rPr>
        <w:t xml:space="preserve"> </w:t>
      </w:r>
      <w:r w:rsidR="001D1E87" w:rsidRPr="00D024AF">
        <w:rPr>
          <w:rFonts w:eastAsia="Calibri"/>
        </w:rPr>
        <w:t>SCADA systems are used to control and monitor station plant remotely via Remote Telemetry Units (RTUs). The monitoring includes instrumentation, pressure, temperature, flow, environmental monitoring and other event data.</w:t>
      </w:r>
      <w:r w:rsidR="00E124F5" w:rsidRPr="002F130C">
        <w:rPr>
          <w:rFonts w:eastAsia="Calibri"/>
        </w:rPr>
        <w:t xml:space="preserve"> </w:t>
      </w:r>
      <w:r w:rsidR="00E124F5" w:rsidRPr="004F02AC">
        <w:t>Facilities in this category monitor and control network assets, and contribute to the performance of core</w:t>
      </w:r>
      <w:r w:rsidR="00E124F5">
        <w:t xml:space="preserve"> </w:t>
      </w:r>
      <w:r w:rsidR="00E124F5" w:rsidRPr="004F02AC">
        <w:t>business functions including billing, gas despatch and distribution, and demand management.</w:t>
      </w:r>
      <w:r w:rsidR="00E124F5">
        <w:rPr>
          <w:rStyle w:val="FootnoteReference"/>
        </w:rPr>
        <w:footnoteReference w:id="84"/>
      </w:r>
      <w:r w:rsidR="00FC2047" w:rsidRPr="00FC2047">
        <w:t xml:space="preserve"> </w:t>
      </w:r>
    </w:p>
    <w:p w:rsidR="00FC2047" w:rsidRPr="001D1E87" w:rsidRDefault="00FC2047" w:rsidP="00FC2047">
      <w:pPr>
        <w:pStyle w:val="AERbodytext"/>
      </w:pPr>
      <w:r>
        <w:lastRenderedPageBreak/>
        <w:t>We</w:t>
      </w:r>
      <w:r w:rsidRPr="001D1E87">
        <w:t xml:space="preserve"> consider that </w:t>
      </w:r>
      <w:r>
        <w:t>SCADA</w:t>
      </w:r>
      <w:r w:rsidRPr="001D1E87">
        <w:t xml:space="preserve"> expenditure is justified under rules 79(2)(c)(i)—(iv), on the basis that the capex is required to maintain safety, reliability, to meet minimum pressure obligations, and to be able to meet existing levels of demand.</w:t>
      </w:r>
    </w:p>
    <w:p w:rsidR="001D1E87" w:rsidRPr="001D1E87" w:rsidRDefault="001D1E87" w:rsidP="001D1E87">
      <w:pPr>
        <w:pStyle w:val="AERbodytext"/>
        <w:rPr>
          <w:rStyle w:val="AERbody"/>
        </w:rPr>
      </w:pPr>
      <w:r w:rsidRPr="001D1E87">
        <w:rPr>
          <w:rStyle w:val="AERbody"/>
        </w:rPr>
        <w:t>We have included $</w:t>
      </w:r>
      <w:r w:rsidR="00E124F5">
        <w:rPr>
          <w:rStyle w:val="AERbody"/>
        </w:rPr>
        <w:t>3.2</w:t>
      </w:r>
      <w:r w:rsidRPr="001D1E87">
        <w:rPr>
          <w:rStyle w:val="AERbody"/>
        </w:rPr>
        <w:t xml:space="preserve"> million ($2015, unescalated direct costs, excluding overheads) of </w:t>
      </w:r>
      <w:r w:rsidR="00E124F5">
        <w:rPr>
          <w:rStyle w:val="AERbody"/>
        </w:rPr>
        <w:t>SCADA</w:t>
      </w:r>
      <w:r w:rsidRPr="001D1E87">
        <w:rPr>
          <w:rStyle w:val="AERbody"/>
        </w:rPr>
        <w:t xml:space="preserve"> expenditure in our capex forecast. We </w:t>
      </w:r>
      <w:r w:rsidR="00D47DF3">
        <w:rPr>
          <w:rStyle w:val="AERbody"/>
        </w:rPr>
        <w:t>are not satisfied</w:t>
      </w:r>
      <w:r w:rsidR="00D47DF3" w:rsidRPr="001D1E87">
        <w:rPr>
          <w:rStyle w:val="AERbody"/>
        </w:rPr>
        <w:t xml:space="preserve"> </w:t>
      </w:r>
      <w:r w:rsidRPr="001D1E87">
        <w:rPr>
          <w:rStyle w:val="AERbody"/>
        </w:rPr>
        <w:t>that JGN's proposed amount of $</w:t>
      </w:r>
      <w:r w:rsidR="000D576F">
        <w:rPr>
          <w:rStyle w:val="AERbody"/>
        </w:rPr>
        <w:t>9.7</w:t>
      </w:r>
      <w:r w:rsidRPr="001D1E87">
        <w:rPr>
          <w:rStyle w:val="AERbody"/>
        </w:rPr>
        <w:t xml:space="preserve"> million ($2015, unescalated direct costs, excluding overheads) is prudent and efficient because</w:t>
      </w:r>
      <w:r w:rsidR="00E124F5">
        <w:rPr>
          <w:rStyle w:val="AERbody"/>
        </w:rPr>
        <w:t xml:space="preserve"> we are not satisfied that the GENe SCADA projects are justified</w:t>
      </w:r>
      <w:r w:rsidRPr="001D1E87">
        <w:rPr>
          <w:rStyle w:val="AERbody"/>
        </w:rPr>
        <w:t>.</w:t>
      </w:r>
    </w:p>
    <w:p w:rsidR="001D1E87" w:rsidRDefault="001D1E87" w:rsidP="001D1E87">
      <w:pPr>
        <w:pStyle w:val="AERbodytext"/>
        <w:rPr>
          <w:rStyle w:val="AERbody"/>
        </w:rPr>
      </w:pPr>
      <w:r w:rsidRPr="001D1E87">
        <w:rPr>
          <w:rStyle w:val="AERbody"/>
        </w:rPr>
        <w:t xml:space="preserve">JGN proposed </w:t>
      </w:r>
      <w:r>
        <w:rPr>
          <w:rStyle w:val="AERbody"/>
        </w:rPr>
        <w:t>SCADA</w:t>
      </w:r>
      <w:r w:rsidRPr="001D1E87">
        <w:rPr>
          <w:rStyle w:val="AERbody"/>
        </w:rPr>
        <w:t xml:space="preserve"> capex of $</w:t>
      </w:r>
      <w:r>
        <w:rPr>
          <w:rStyle w:val="AERbody"/>
        </w:rPr>
        <w:t>9.7</w:t>
      </w:r>
      <w:r w:rsidRPr="001D1E87">
        <w:rPr>
          <w:rStyle w:val="AERbody"/>
        </w:rPr>
        <w:t xml:space="preserve"> million ($2015, unescalated direct costs, excluding overheads) for the 2015–20 access arrangement period. This amounts to approximately </w:t>
      </w:r>
      <w:r>
        <w:rPr>
          <w:rStyle w:val="AERbody"/>
        </w:rPr>
        <w:t>1</w:t>
      </w:r>
      <w:r w:rsidRPr="001D1E87">
        <w:rPr>
          <w:rStyle w:val="AERbody"/>
        </w:rPr>
        <w:t xml:space="preserve"> per cent of JGN‘s proposed total capex forecast, in unescalated, direct terms. It represents a 1</w:t>
      </w:r>
      <w:r>
        <w:rPr>
          <w:rStyle w:val="AERbody"/>
        </w:rPr>
        <w:t>80</w:t>
      </w:r>
      <w:r w:rsidRPr="001D1E87">
        <w:rPr>
          <w:rStyle w:val="AERbody"/>
        </w:rPr>
        <w:t xml:space="preserve"> per cent increase in expenditure compared with the cur</w:t>
      </w:r>
      <w:r w:rsidR="00044445">
        <w:rPr>
          <w:rStyle w:val="AERbody"/>
        </w:rPr>
        <w:t>rent access arrangement period.</w:t>
      </w:r>
    </w:p>
    <w:p w:rsidR="003A217D" w:rsidRPr="001D1E87" w:rsidRDefault="00D024AF" w:rsidP="00A06143">
      <w:pPr>
        <w:pStyle w:val="AERbodytext"/>
        <w:rPr>
          <w:rStyle w:val="AERbody"/>
        </w:rPr>
      </w:pPr>
      <w:r>
        <w:t>We</w:t>
      </w:r>
      <w:r w:rsidR="00A06143">
        <w:t xml:space="preserve"> assessed</w:t>
      </w:r>
      <w:r w:rsidR="00A06143" w:rsidRPr="00F75FD3">
        <w:t xml:space="preserve"> </w:t>
      </w:r>
      <w:r w:rsidR="00A06143">
        <w:t>JGN</w:t>
      </w:r>
      <w:r w:rsidR="00A06143" w:rsidRPr="00F75FD3">
        <w:t xml:space="preserve">'s </w:t>
      </w:r>
      <w:r w:rsidR="00A06143">
        <w:t>SCADA</w:t>
      </w:r>
      <w:r w:rsidR="00A06143" w:rsidRPr="00F75FD3">
        <w:t xml:space="preserve"> projects by considering the</w:t>
      </w:r>
      <w:r w:rsidR="00A06143">
        <w:t xml:space="preserve"> requirement for the proposed projects, the</w:t>
      </w:r>
      <w:r w:rsidR="00A06143" w:rsidRPr="00F75FD3">
        <w:t xml:space="preserve"> </w:t>
      </w:r>
      <w:r w:rsidR="00A06143">
        <w:t xml:space="preserve">scope and </w:t>
      </w:r>
      <w:r w:rsidR="00A06143" w:rsidRPr="00F75FD3">
        <w:t xml:space="preserve">timing of the proposed </w:t>
      </w:r>
      <w:r w:rsidR="00A06143">
        <w:t>project</w:t>
      </w:r>
      <w:r w:rsidR="00A06143" w:rsidRPr="00F75FD3">
        <w:t xml:space="preserve">s, and whether the input cost of each project represents the efficient, lowest sustainable cost. </w:t>
      </w:r>
      <w:r w:rsidR="00A06143">
        <w:t xml:space="preserve">Based on the advice Sleeman Consulting </w:t>
      </w:r>
      <w:r w:rsidR="000A0210">
        <w:t>we</w:t>
      </w:r>
      <w:r w:rsidR="00A06143">
        <w:t xml:space="preserve"> </w:t>
      </w:r>
      <w:r w:rsidR="00D47DF3">
        <w:t xml:space="preserve">are satisfied </w:t>
      </w:r>
      <w:r w:rsidR="00A06143">
        <w:t xml:space="preserve">that </w:t>
      </w:r>
      <w:r w:rsidR="00E124F5">
        <w:t>17</w:t>
      </w:r>
      <w:r w:rsidR="00A06143">
        <w:t xml:space="preserve"> of the </w:t>
      </w:r>
      <w:r w:rsidR="00E124F5">
        <w:t>1</w:t>
      </w:r>
      <w:r w:rsidR="00A06143">
        <w:t>9 SCADA projects, costing $</w:t>
      </w:r>
      <w:r w:rsidR="00E124F5">
        <w:t>3</w:t>
      </w:r>
      <w:r w:rsidR="00A06143">
        <w:t>.</w:t>
      </w:r>
      <w:r w:rsidR="00E124F5">
        <w:t>2</w:t>
      </w:r>
      <w:r w:rsidR="00A06143">
        <w:t xml:space="preserve"> million </w:t>
      </w:r>
      <w:r w:rsidR="00A06143" w:rsidRPr="00517910">
        <w:rPr>
          <w:rStyle w:val="AERbody"/>
        </w:rPr>
        <w:t>($2015, unescalated direct costs, excluding overheads)</w:t>
      </w:r>
      <w:r w:rsidR="00A06143">
        <w:rPr>
          <w:rStyle w:val="AERbody"/>
        </w:rPr>
        <w:t xml:space="preserve"> </w:t>
      </w:r>
      <w:r w:rsidR="00A06143">
        <w:t>are prudent and efficient.</w:t>
      </w:r>
      <w:r w:rsidR="00A06143">
        <w:rPr>
          <w:rStyle w:val="FootnoteReference"/>
        </w:rPr>
        <w:footnoteReference w:id="85"/>
      </w:r>
    </w:p>
    <w:p w:rsidR="00F420AE" w:rsidRDefault="00D024AF" w:rsidP="00F420AE">
      <w:pPr>
        <w:pStyle w:val="AERbodytext"/>
      </w:pPr>
      <w:r>
        <w:t>Further. b</w:t>
      </w:r>
      <w:r w:rsidR="00986019">
        <w:t>ased on the advice of Sleeman Consulting</w:t>
      </w:r>
      <w:r>
        <w:t xml:space="preserve"> we </w:t>
      </w:r>
      <w:r w:rsidR="00D47DF3">
        <w:t>are not satisfied</w:t>
      </w:r>
      <w:r>
        <w:t xml:space="preserve"> </w:t>
      </w:r>
      <w:r w:rsidR="00986019">
        <w:t>that 2 of the 19 SCADA projects, costing $6.5 million are prudent and efficient.</w:t>
      </w:r>
      <w:r w:rsidR="00986019">
        <w:rPr>
          <w:rStyle w:val="FootnoteReference"/>
        </w:rPr>
        <w:footnoteReference w:id="86"/>
      </w:r>
      <w:r w:rsidR="00986019">
        <w:t xml:space="preserve"> This is because JGN's justification for replacement of the GENe SCADA system is that the monitoring contract that it has with the supplier is due to expire in 2018. JGN submits that General Electric, which acquired GENe in 2010, may not offer ongoing support. Publicly available information does not support the </w:t>
      </w:r>
      <w:r w:rsidR="00D47DF3">
        <w:t xml:space="preserve">view </w:t>
      </w:r>
      <w:r w:rsidR="00986019">
        <w:t>that General Electric will no</w:t>
      </w:r>
      <w:r>
        <w:t xml:space="preserve"> </w:t>
      </w:r>
      <w:r w:rsidR="00986019">
        <w:t>longer support the GENe SCADA system. For this reason, we do not accept that the capex is justified.</w:t>
      </w:r>
      <w:r w:rsidR="00FC2047">
        <w:rPr>
          <w:rStyle w:val="FootnoteReference"/>
        </w:rPr>
        <w:footnoteReference w:id="87"/>
      </w:r>
    </w:p>
    <w:p w:rsidR="00986019" w:rsidRDefault="00986019" w:rsidP="00F420AE">
      <w:pPr>
        <w:pStyle w:val="AERbodytext"/>
      </w:pPr>
      <w:r>
        <w:t>We have therefore included $3.2 million in our alternative capex estimate.</w:t>
      </w:r>
    </w:p>
    <w:p w:rsidR="00275734" w:rsidRDefault="00275734" w:rsidP="00275734">
      <w:pPr>
        <w:pStyle w:val="HeadingBoldBlue"/>
      </w:pPr>
      <w:r w:rsidRPr="00275734">
        <w:t>Meter renewal and upgrade</w:t>
      </w:r>
    </w:p>
    <w:p w:rsidR="00217ED4" w:rsidRPr="00217ED4" w:rsidRDefault="0087125A" w:rsidP="00217ED4">
      <w:pPr>
        <w:pStyle w:val="AERbodytext"/>
      </w:pPr>
      <w:r w:rsidRPr="00D82935">
        <w:rPr>
          <w:rStyle w:val="AERbody"/>
        </w:rPr>
        <w:t>Meter re</w:t>
      </w:r>
      <w:r>
        <w:rPr>
          <w:rStyle w:val="AERbody"/>
        </w:rPr>
        <w:t>newal</w:t>
      </w:r>
      <w:r w:rsidRPr="00D82935">
        <w:rPr>
          <w:rStyle w:val="AERbody"/>
        </w:rPr>
        <w:t xml:space="preserve"> is an ongoing activity which is necessary to ensure that gas meters in the field are replaced when they fail to accurately read data. The </w:t>
      </w:r>
      <w:r w:rsidR="00B5174E">
        <w:rPr>
          <w:rStyle w:val="AERbody"/>
        </w:rPr>
        <w:t>NSW Gas Supply Act</w:t>
      </w:r>
      <w:r w:rsidRPr="00D82935">
        <w:rPr>
          <w:rStyle w:val="FootnoteReference"/>
        </w:rPr>
        <w:footnoteReference w:id="88"/>
      </w:r>
      <w:r w:rsidRPr="00D82935">
        <w:rPr>
          <w:rStyle w:val="AERbody"/>
        </w:rPr>
        <w:t xml:space="preserve"> requires that meters read customers' gas usage accurately within an acceptable error tolerance range. Gas meters are continually sampled and tested for accuracy. Based on sample test results, meter families</w:t>
      </w:r>
      <w:r w:rsidRPr="00D82935">
        <w:rPr>
          <w:rStyle w:val="FootnoteReference"/>
        </w:rPr>
        <w:footnoteReference w:id="89"/>
      </w:r>
      <w:r w:rsidRPr="00D82935">
        <w:rPr>
          <w:rStyle w:val="AERbody"/>
        </w:rPr>
        <w:t xml:space="preserve"> are allocated a life and a forecast replacement date. Sample testing is conducted in accordance with the in-service compliance standard.</w:t>
      </w:r>
      <w:r w:rsidRPr="00D82935">
        <w:rPr>
          <w:rStyle w:val="FootnoteReference"/>
        </w:rPr>
        <w:footnoteReference w:id="90"/>
      </w:r>
      <w:r w:rsidR="00217ED4" w:rsidRPr="00217ED4">
        <w:t xml:space="preserve"> We </w:t>
      </w:r>
      <w:r w:rsidR="00D47DF3">
        <w:t>are satisfied</w:t>
      </w:r>
      <w:r w:rsidR="00217ED4" w:rsidRPr="00217ED4">
        <w:t xml:space="preserve"> that meter renewal and upgrade capex complies with r. 79(2)(c)(ii) and (iii) of the NGR as it is required to maintain the integrity of gas services and meet the AS4944 regulatory requirements. </w:t>
      </w:r>
    </w:p>
    <w:p w:rsidR="00B36856" w:rsidRDefault="00B36856" w:rsidP="00DD5172">
      <w:pPr>
        <w:pStyle w:val="AERbodytext"/>
        <w:rPr>
          <w:rStyle w:val="AERbody"/>
        </w:rPr>
      </w:pPr>
      <w:r>
        <w:rPr>
          <w:rStyle w:val="AERbody"/>
        </w:rPr>
        <w:lastRenderedPageBreak/>
        <w:t>We have included $</w:t>
      </w:r>
      <w:r w:rsidR="00E753AC">
        <w:rPr>
          <w:rStyle w:val="AERbody"/>
        </w:rPr>
        <w:t>124.5</w:t>
      </w:r>
      <w:r>
        <w:rPr>
          <w:rStyle w:val="AERbody"/>
        </w:rPr>
        <w:t xml:space="preserve"> million </w:t>
      </w:r>
      <w:r w:rsidRPr="00DD5172">
        <w:rPr>
          <w:rStyle w:val="AERbody"/>
        </w:rPr>
        <w:t>($2015, unescalated direct costs, excluding overheads)</w:t>
      </w:r>
      <w:r>
        <w:rPr>
          <w:rStyle w:val="AERbody"/>
        </w:rPr>
        <w:t xml:space="preserve"> of meter renewal and upgrade expenditure in our alternative capex forecast. We </w:t>
      </w:r>
      <w:r w:rsidR="00D47DF3">
        <w:rPr>
          <w:rStyle w:val="AERbody"/>
        </w:rPr>
        <w:t xml:space="preserve">are not satisfied </w:t>
      </w:r>
      <w:r>
        <w:rPr>
          <w:rStyle w:val="AERbody"/>
        </w:rPr>
        <w:t xml:space="preserve">that JGN's proposed amount of $150.2 million </w:t>
      </w:r>
      <w:r w:rsidRPr="00DD5172">
        <w:rPr>
          <w:rStyle w:val="AERbody"/>
        </w:rPr>
        <w:t>($2015, unescalated direct costs, excluding overheads)</w:t>
      </w:r>
      <w:r>
        <w:rPr>
          <w:rStyle w:val="AERbody"/>
        </w:rPr>
        <w:t xml:space="preserve"> is prudent and efficient because</w:t>
      </w:r>
      <w:r w:rsidR="00435A51">
        <w:rPr>
          <w:rStyle w:val="AERbody"/>
        </w:rPr>
        <w:t xml:space="preserve"> JGN has proposed expenditure for meter replacements which </w:t>
      </w:r>
      <w:r w:rsidR="00D47DF3">
        <w:rPr>
          <w:rStyle w:val="AERbody"/>
        </w:rPr>
        <w:t xml:space="preserve">we </w:t>
      </w:r>
      <w:r w:rsidR="00435A51">
        <w:rPr>
          <w:rStyle w:val="AERbody"/>
        </w:rPr>
        <w:t xml:space="preserve">are not </w:t>
      </w:r>
      <w:r w:rsidR="00D47DF3">
        <w:rPr>
          <w:rStyle w:val="AERbody"/>
        </w:rPr>
        <w:t xml:space="preserve">satisfied are </w:t>
      </w:r>
      <w:r w:rsidR="00435A51">
        <w:rPr>
          <w:rStyle w:val="AERbody"/>
        </w:rPr>
        <w:t>justified.</w:t>
      </w:r>
    </w:p>
    <w:p w:rsidR="00DD5172" w:rsidRDefault="00DD5172" w:rsidP="00DD5172">
      <w:pPr>
        <w:pStyle w:val="AERbodytext"/>
        <w:rPr>
          <w:rStyle w:val="AERbody"/>
        </w:rPr>
      </w:pPr>
      <w:r w:rsidRPr="00DD5172">
        <w:rPr>
          <w:rStyle w:val="AERbody"/>
        </w:rPr>
        <w:t>JGN</w:t>
      </w:r>
      <w:r w:rsidR="00217ED4">
        <w:rPr>
          <w:rStyle w:val="AERbody"/>
        </w:rPr>
        <w:t xml:space="preserve">'s forecast of </w:t>
      </w:r>
      <w:r w:rsidRPr="00DD5172">
        <w:rPr>
          <w:rStyle w:val="AERbody"/>
        </w:rPr>
        <w:t>$</w:t>
      </w:r>
      <w:r>
        <w:rPr>
          <w:rStyle w:val="AERbody"/>
        </w:rPr>
        <w:t>150.2</w:t>
      </w:r>
      <w:r w:rsidRPr="00DD5172">
        <w:rPr>
          <w:rStyle w:val="AERbody"/>
        </w:rPr>
        <w:t xml:space="preserve"> million amounts to approximately 1</w:t>
      </w:r>
      <w:r>
        <w:rPr>
          <w:rStyle w:val="AERbody"/>
        </w:rPr>
        <w:t>4</w:t>
      </w:r>
      <w:r w:rsidRPr="00DD5172">
        <w:rPr>
          <w:rStyle w:val="AERbody"/>
        </w:rPr>
        <w:t xml:space="preserve"> per cent of JGN‘s proposed total capex forecast, in unescalated, direct terms. It represents a </w:t>
      </w:r>
      <w:r>
        <w:rPr>
          <w:rStyle w:val="AERbody"/>
        </w:rPr>
        <w:t>76</w:t>
      </w:r>
      <w:r w:rsidRPr="00DD5172">
        <w:rPr>
          <w:rStyle w:val="AERbody"/>
        </w:rPr>
        <w:t xml:space="preserve"> per cent increase in expenditure compared with the current access arrangement period. JGN's proposed </w:t>
      </w:r>
      <w:r>
        <w:rPr>
          <w:rStyle w:val="AERbody"/>
        </w:rPr>
        <w:t>meter renewal and upgrade</w:t>
      </w:r>
      <w:r w:rsidRPr="00DD5172">
        <w:rPr>
          <w:rStyle w:val="AERbody"/>
        </w:rPr>
        <w:t xml:space="preserve"> capex </w:t>
      </w:r>
      <w:r>
        <w:rPr>
          <w:rStyle w:val="AERbody"/>
        </w:rPr>
        <w:t>componen</w:t>
      </w:r>
      <w:r w:rsidRPr="00DD5172">
        <w:rPr>
          <w:rStyle w:val="AERbody"/>
        </w:rPr>
        <w:t>ts are listed in</w:t>
      </w:r>
      <w:r w:rsidR="008D60EC">
        <w:rPr>
          <w:rStyle w:val="AERbody"/>
        </w:rPr>
        <w:t xml:space="preserve"> </w:t>
      </w:r>
      <w:r w:rsidR="008D60EC">
        <w:rPr>
          <w:rStyle w:val="AERbody"/>
        </w:rPr>
        <w:fldChar w:fldCharType="begin"/>
      </w:r>
      <w:r w:rsidR="008D60EC">
        <w:rPr>
          <w:rStyle w:val="AERbody"/>
        </w:rPr>
        <w:instrText xml:space="preserve"> REF _Ref400616694 \h </w:instrText>
      </w:r>
      <w:r w:rsidR="008D60EC">
        <w:rPr>
          <w:rStyle w:val="AERbody"/>
        </w:rPr>
      </w:r>
      <w:r w:rsidR="008D60EC">
        <w:rPr>
          <w:rStyle w:val="AERbody"/>
        </w:rPr>
        <w:fldChar w:fldCharType="separate"/>
      </w:r>
      <w:r w:rsidR="0029475D">
        <w:t xml:space="preserve">Table </w:t>
      </w:r>
      <w:r w:rsidR="0029475D">
        <w:rPr>
          <w:noProof/>
        </w:rPr>
        <w:t>6</w:t>
      </w:r>
      <w:r w:rsidR="0029475D">
        <w:noBreakHyphen/>
      </w:r>
      <w:r w:rsidR="0029475D">
        <w:rPr>
          <w:noProof/>
        </w:rPr>
        <w:t>15</w:t>
      </w:r>
      <w:r w:rsidR="008D60EC">
        <w:rPr>
          <w:rStyle w:val="AERbody"/>
        </w:rPr>
        <w:fldChar w:fldCharType="end"/>
      </w:r>
      <w:r>
        <w:rPr>
          <w:rStyle w:val="AERbody"/>
        </w:rPr>
        <w:t>.</w:t>
      </w:r>
    </w:p>
    <w:p w:rsidR="00DD5172" w:rsidRDefault="00DD5172" w:rsidP="00DD5172">
      <w:pPr>
        <w:pStyle w:val="Caption"/>
        <w:rPr>
          <w:rStyle w:val="AERbody"/>
        </w:rPr>
      </w:pPr>
      <w:bookmarkStart w:id="50" w:name="_Ref400616694"/>
      <w:r>
        <w:t xml:space="preserve">Table </w:t>
      </w:r>
      <w:fldSimple w:instr=" STYLEREF 1 \s ">
        <w:r w:rsidR="0029475D">
          <w:rPr>
            <w:noProof/>
          </w:rPr>
          <w:t>6</w:t>
        </w:r>
      </w:fldSimple>
      <w:r w:rsidR="009F7369">
        <w:noBreakHyphen/>
      </w:r>
      <w:fldSimple w:instr=" SEQ Table \* ARABIC \s 1 ">
        <w:r w:rsidR="0029475D">
          <w:rPr>
            <w:noProof/>
          </w:rPr>
          <w:t>15</w:t>
        </w:r>
      </w:fldSimple>
      <w:bookmarkEnd w:id="50"/>
      <w:r>
        <w:tab/>
        <w:t>Elements of JGN's proposed meter renewal and updgrade capex</w:t>
      </w:r>
      <w:r w:rsidR="00FA08A3">
        <w:t xml:space="preserve"> ($m, 2015, unescalated, direct costs, excluding overheads)</w:t>
      </w:r>
      <w:r w:rsidR="00F70B05" w:rsidRPr="00F70B05">
        <w:rPr>
          <w:rStyle w:val="AERsuperscript"/>
        </w:rPr>
        <w:t xml:space="preserve"> </w:t>
      </w:r>
      <w:r w:rsidR="00F70B05">
        <w:rPr>
          <w:rStyle w:val="AERsuperscript"/>
        </w:rPr>
        <w:t>(</w:t>
      </w:r>
      <w:r w:rsidR="00F70B05" w:rsidRPr="00F70B05">
        <w:rPr>
          <w:rStyle w:val="AERsuperscript"/>
        </w:rPr>
        <w:t>a)</w:t>
      </w:r>
    </w:p>
    <w:tbl>
      <w:tblPr>
        <w:tblStyle w:val="AERtable-numbers"/>
        <w:tblW w:w="0" w:type="auto"/>
        <w:tblLook w:val="04A0" w:firstRow="1" w:lastRow="0" w:firstColumn="1" w:lastColumn="0" w:noHBand="0" w:noVBand="1"/>
      </w:tblPr>
      <w:tblGrid>
        <w:gridCol w:w="2399"/>
        <w:gridCol w:w="1140"/>
        <w:gridCol w:w="1141"/>
        <w:gridCol w:w="1140"/>
        <w:gridCol w:w="1141"/>
        <w:gridCol w:w="1140"/>
        <w:gridCol w:w="1141"/>
      </w:tblGrid>
      <w:tr w:rsidR="00515FB2" w:rsidTr="00E95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515FB2" w:rsidRPr="00515FB2" w:rsidRDefault="00515FB2" w:rsidP="00515FB2">
            <w:pPr>
              <w:pStyle w:val="AERbodytext"/>
              <w:rPr>
                <w:rStyle w:val="AERbody"/>
              </w:rPr>
            </w:pPr>
          </w:p>
        </w:tc>
        <w:tc>
          <w:tcPr>
            <w:tcW w:w="1140" w:type="dxa"/>
          </w:tcPr>
          <w:p w:rsidR="00515FB2" w:rsidRPr="00515FB2" w:rsidRDefault="00515FB2" w:rsidP="00E95655">
            <w:pPr>
              <w:pStyle w:val="AERtabletextright"/>
              <w:cnfStyle w:val="100000000000" w:firstRow="1" w:lastRow="0" w:firstColumn="0" w:lastColumn="0" w:oddVBand="0" w:evenVBand="0" w:oddHBand="0" w:evenHBand="0" w:firstRowFirstColumn="0" w:firstRowLastColumn="0" w:lastRowFirstColumn="0" w:lastRowLastColumn="0"/>
            </w:pPr>
            <w:r w:rsidRPr="00515FB2">
              <w:t>2015-16</w:t>
            </w:r>
          </w:p>
        </w:tc>
        <w:tc>
          <w:tcPr>
            <w:tcW w:w="1141" w:type="dxa"/>
          </w:tcPr>
          <w:p w:rsidR="00515FB2" w:rsidRPr="00515FB2" w:rsidRDefault="00515FB2" w:rsidP="00E95655">
            <w:pPr>
              <w:pStyle w:val="AERtabletextright"/>
              <w:cnfStyle w:val="100000000000" w:firstRow="1" w:lastRow="0" w:firstColumn="0" w:lastColumn="0" w:oddVBand="0" w:evenVBand="0" w:oddHBand="0" w:evenHBand="0" w:firstRowFirstColumn="0" w:firstRowLastColumn="0" w:lastRowFirstColumn="0" w:lastRowLastColumn="0"/>
            </w:pPr>
            <w:r w:rsidRPr="00515FB2">
              <w:t>2016-17</w:t>
            </w:r>
          </w:p>
        </w:tc>
        <w:tc>
          <w:tcPr>
            <w:tcW w:w="1140" w:type="dxa"/>
          </w:tcPr>
          <w:p w:rsidR="00515FB2" w:rsidRPr="00515FB2" w:rsidRDefault="00515FB2" w:rsidP="00E95655">
            <w:pPr>
              <w:pStyle w:val="AERtabletextright"/>
              <w:cnfStyle w:val="100000000000" w:firstRow="1" w:lastRow="0" w:firstColumn="0" w:lastColumn="0" w:oddVBand="0" w:evenVBand="0" w:oddHBand="0" w:evenHBand="0" w:firstRowFirstColumn="0" w:firstRowLastColumn="0" w:lastRowFirstColumn="0" w:lastRowLastColumn="0"/>
            </w:pPr>
            <w:r w:rsidRPr="00515FB2">
              <w:t>2017-18</w:t>
            </w:r>
          </w:p>
        </w:tc>
        <w:tc>
          <w:tcPr>
            <w:tcW w:w="1141" w:type="dxa"/>
          </w:tcPr>
          <w:p w:rsidR="00515FB2" w:rsidRPr="00515FB2" w:rsidRDefault="00515FB2" w:rsidP="00E95655">
            <w:pPr>
              <w:pStyle w:val="AERtabletextright"/>
              <w:cnfStyle w:val="100000000000" w:firstRow="1" w:lastRow="0" w:firstColumn="0" w:lastColumn="0" w:oddVBand="0" w:evenVBand="0" w:oddHBand="0" w:evenHBand="0" w:firstRowFirstColumn="0" w:firstRowLastColumn="0" w:lastRowFirstColumn="0" w:lastRowLastColumn="0"/>
            </w:pPr>
            <w:r w:rsidRPr="00515FB2">
              <w:t>2018-19</w:t>
            </w:r>
          </w:p>
        </w:tc>
        <w:tc>
          <w:tcPr>
            <w:tcW w:w="1140" w:type="dxa"/>
          </w:tcPr>
          <w:p w:rsidR="00515FB2" w:rsidRPr="00515FB2" w:rsidRDefault="00515FB2" w:rsidP="00E95655">
            <w:pPr>
              <w:pStyle w:val="AERtabletextright"/>
              <w:cnfStyle w:val="100000000000" w:firstRow="1" w:lastRow="0" w:firstColumn="0" w:lastColumn="0" w:oddVBand="0" w:evenVBand="0" w:oddHBand="0" w:evenHBand="0" w:firstRowFirstColumn="0" w:firstRowLastColumn="0" w:lastRowFirstColumn="0" w:lastRowLastColumn="0"/>
            </w:pPr>
            <w:r w:rsidRPr="00515FB2">
              <w:t>2019-20</w:t>
            </w:r>
          </w:p>
        </w:tc>
        <w:tc>
          <w:tcPr>
            <w:tcW w:w="1141" w:type="dxa"/>
          </w:tcPr>
          <w:p w:rsidR="00515FB2" w:rsidRPr="00515FB2" w:rsidRDefault="00515FB2" w:rsidP="00E95655">
            <w:pPr>
              <w:pStyle w:val="AERtabletextright"/>
              <w:cnfStyle w:val="100000000000" w:firstRow="1" w:lastRow="0" w:firstColumn="0" w:lastColumn="0" w:oddVBand="0" w:evenVBand="0" w:oddHBand="0" w:evenHBand="0" w:firstRowFirstColumn="0" w:firstRowLastColumn="0" w:lastRowFirstColumn="0" w:lastRowLastColumn="0"/>
            </w:pPr>
            <w:r w:rsidRPr="00515FB2">
              <w:t>Total</w:t>
            </w:r>
          </w:p>
        </w:tc>
      </w:tr>
      <w:tr w:rsidR="00435A51" w:rsidTr="000A1865">
        <w:tc>
          <w:tcPr>
            <w:cnfStyle w:val="001000000000" w:firstRow="0" w:lastRow="0" w:firstColumn="1" w:lastColumn="0" w:oddVBand="0" w:evenVBand="0" w:oddHBand="0" w:evenHBand="0" w:firstRowFirstColumn="0" w:firstRowLastColumn="0" w:lastRowFirstColumn="0" w:lastRowLastColumn="0"/>
            <w:tcW w:w="2399" w:type="dxa"/>
          </w:tcPr>
          <w:p w:rsidR="00435A51" w:rsidRPr="00435A51" w:rsidRDefault="00435A51" w:rsidP="00435A51">
            <w:r w:rsidRPr="00435A51">
              <w:t>I&amp;C gas meter upgrades</w:t>
            </w:r>
          </w:p>
        </w:tc>
        <w:tc>
          <w:tcPr>
            <w:tcW w:w="1140"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1.5 </w:t>
            </w:r>
          </w:p>
        </w:tc>
        <w:tc>
          <w:tcPr>
            <w:tcW w:w="1141"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1.5 </w:t>
            </w:r>
          </w:p>
        </w:tc>
        <w:tc>
          <w:tcPr>
            <w:tcW w:w="1140"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1.6 </w:t>
            </w:r>
          </w:p>
        </w:tc>
        <w:tc>
          <w:tcPr>
            <w:tcW w:w="1141"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1.6 </w:t>
            </w:r>
          </w:p>
        </w:tc>
        <w:tc>
          <w:tcPr>
            <w:tcW w:w="1140"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1.6 </w:t>
            </w:r>
          </w:p>
        </w:tc>
        <w:tc>
          <w:tcPr>
            <w:tcW w:w="1141"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7.7 </w:t>
            </w:r>
          </w:p>
        </w:tc>
      </w:tr>
      <w:tr w:rsidR="00435A51" w:rsidTr="000A1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435A51" w:rsidRPr="00435A51" w:rsidRDefault="00435A51" w:rsidP="00435A51">
            <w:r w:rsidRPr="00435A51">
              <w:t xml:space="preserve">I&amp;C gas meter replacement </w:t>
            </w:r>
            <w:r w:rsidRPr="00435A51">
              <w:rPr>
                <w:rStyle w:val="AERsuperscript"/>
              </w:rPr>
              <w:t>(b)</w:t>
            </w:r>
          </w:p>
        </w:tc>
        <w:tc>
          <w:tcPr>
            <w:tcW w:w="1140"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3.9 </w:t>
            </w:r>
          </w:p>
        </w:tc>
        <w:tc>
          <w:tcPr>
            <w:tcW w:w="1141"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4.2 </w:t>
            </w:r>
          </w:p>
        </w:tc>
        <w:tc>
          <w:tcPr>
            <w:tcW w:w="1140"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4.1 </w:t>
            </w:r>
          </w:p>
        </w:tc>
        <w:tc>
          <w:tcPr>
            <w:tcW w:w="1141"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3.7 </w:t>
            </w:r>
          </w:p>
        </w:tc>
        <w:tc>
          <w:tcPr>
            <w:tcW w:w="1140"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5.1 </w:t>
            </w:r>
          </w:p>
        </w:tc>
        <w:tc>
          <w:tcPr>
            <w:tcW w:w="1141"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20.9 </w:t>
            </w:r>
          </w:p>
        </w:tc>
      </w:tr>
      <w:tr w:rsidR="00435A51" w:rsidTr="000A1865">
        <w:tc>
          <w:tcPr>
            <w:cnfStyle w:val="001000000000" w:firstRow="0" w:lastRow="0" w:firstColumn="1" w:lastColumn="0" w:oddVBand="0" w:evenVBand="0" w:oddHBand="0" w:evenHBand="0" w:firstRowFirstColumn="0" w:firstRowLastColumn="0" w:lastRowFirstColumn="0" w:lastRowLastColumn="0"/>
            <w:tcW w:w="2399" w:type="dxa"/>
          </w:tcPr>
          <w:p w:rsidR="00435A51" w:rsidRPr="00435A51" w:rsidRDefault="00435A51" w:rsidP="00435A51">
            <w:r w:rsidRPr="00435A51">
              <w:t>Residential gas meter and regulator replacement</w:t>
            </w:r>
          </w:p>
        </w:tc>
        <w:tc>
          <w:tcPr>
            <w:tcW w:w="1140"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6.1</w:t>
            </w:r>
          </w:p>
        </w:tc>
        <w:tc>
          <w:tcPr>
            <w:tcW w:w="1141"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8.2</w:t>
            </w:r>
          </w:p>
        </w:tc>
        <w:tc>
          <w:tcPr>
            <w:tcW w:w="1140"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8.5</w:t>
            </w:r>
          </w:p>
        </w:tc>
        <w:tc>
          <w:tcPr>
            <w:tcW w:w="1141"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8.5</w:t>
            </w:r>
          </w:p>
        </w:tc>
        <w:tc>
          <w:tcPr>
            <w:tcW w:w="1140"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8.4</w:t>
            </w:r>
          </w:p>
        </w:tc>
        <w:tc>
          <w:tcPr>
            <w:tcW w:w="1141"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39.7</w:t>
            </w:r>
          </w:p>
        </w:tc>
      </w:tr>
      <w:tr w:rsidR="00435A51" w:rsidTr="000A1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435A51" w:rsidRPr="00435A51" w:rsidRDefault="00435A51" w:rsidP="00435A51">
            <w:r w:rsidRPr="00435A51">
              <w:t>Residential hot water meter replacement</w:t>
            </w:r>
          </w:p>
        </w:tc>
        <w:tc>
          <w:tcPr>
            <w:tcW w:w="1140"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10.3 </w:t>
            </w:r>
          </w:p>
        </w:tc>
        <w:tc>
          <w:tcPr>
            <w:tcW w:w="1141"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10.3 </w:t>
            </w:r>
          </w:p>
        </w:tc>
        <w:tc>
          <w:tcPr>
            <w:tcW w:w="1140"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10.3 </w:t>
            </w:r>
          </w:p>
        </w:tc>
        <w:tc>
          <w:tcPr>
            <w:tcW w:w="1141"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8.8 </w:t>
            </w:r>
          </w:p>
        </w:tc>
        <w:tc>
          <w:tcPr>
            <w:tcW w:w="1140"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4.5 </w:t>
            </w:r>
          </w:p>
        </w:tc>
        <w:tc>
          <w:tcPr>
            <w:tcW w:w="1141"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44.2 </w:t>
            </w:r>
          </w:p>
        </w:tc>
      </w:tr>
      <w:tr w:rsidR="00435A51" w:rsidTr="000A1865">
        <w:tc>
          <w:tcPr>
            <w:cnfStyle w:val="001000000000" w:firstRow="0" w:lastRow="0" w:firstColumn="1" w:lastColumn="0" w:oddVBand="0" w:evenVBand="0" w:oddHBand="0" w:evenHBand="0" w:firstRowFirstColumn="0" w:firstRowLastColumn="0" w:lastRowFirstColumn="0" w:lastRowLastColumn="0"/>
            <w:tcW w:w="2399" w:type="dxa"/>
          </w:tcPr>
          <w:p w:rsidR="00435A51" w:rsidRPr="00435A51" w:rsidRDefault="00435A51" w:rsidP="00435A51">
            <w:r w:rsidRPr="00435A51">
              <w:t xml:space="preserve">Replacement of Meter Data Logging equipment </w:t>
            </w:r>
            <w:r w:rsidRPr="00435A51">
              <w:rPr>
                <w:rStyle w:val="AERsuperscript"/>
              </w:rPr>
              <w:t>(c)</w:t>
            </w:r>
          </w:p>
        </w:tc>
        <w:tc>
          <w:tcPr>
            <w:tcW w:w="1140"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5.5 </w:t>
            </w:r>
          </w:p>
        </w:tc>
        <w:tc>
          <w:tcPr>
            <w:tcW w:w="1141"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4.7 </w:t>
            </w:r>
          </w:p>
        </w:tc>
        <w:tc>
          <w:tcPr>
            <w:tcW w:w="1140"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4.7 </w:t>
            </w:r>
          </w:p>
        </w:tc>
        <w:tc>
          <w:tcPr>
            <w:tcW w:w="1141"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4.6 </w:t>
            </w:r>
          </w:p>
        </w:tc>
        <w:tc>
          <w:tcPr>
            <w:tcW w:w="1140"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4.6 </w:t>
            </w:r>
          </w:p>
        </w:tc>
        <w:tc>
          <w:tcPr>
            <w:tcW w:w="1141"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24.2 </w:t>
            </w:r>
          </w:p>
        </w:tc>
      </w:tr>
      <w:tr w:rsidR="00435A51" w:rsidTr="000A1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435A51" w:rsidRPr="00435A51" w:rsidRDefault="00435A51" w:rsidP="00435A51">
            <w:r w:rsidRPr="00435A51">
              <w:t xml:space="preserve">Statistical sampling and testing of meters </w:t>
            </w:r>
            <w:r w:rsidRPr="00435A51">
              <w:rPr>
                <w:rStyle w:val="AERsuperscript"/>
              </w:rPr>
              <w:t>(d)</w:t>
            </w:r>
          </w:p>
        </w:tc>
        <w:tc>
          <w:tcPr>
            <w:tcW w:w="1140"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1.6</w:t>
            </w:r>
          </w:p>
        </w:tc>
        <w:tc>
          <w:tcPr>
            <w:tcW w:w="1141"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1.5</w:t>
            </w:r>
          </w:p>
        </w:tc>
        <w:tc>
          <w:tcPr>
            <w:tcW w:w="1140"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1.6</w:t>
            </w:r>
          </w:p>
        </w:tc>
        <w:tc>
          <w:tcPr>
            <w:tcW w:w="1141"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1.7</w:t>
            </w:r>
          </w:p>
        </w:tc>
        <w:tc>
          <w:tcPr>
            <w:tcW w:w="1140"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1.7</w:t>
            </w:r>
          </w:p>
        </w:tc>
        <w:tc>
          <w:tcPr>
            <w:tcW w:w="1141"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8.2</w:t>
            </w:r>
          </w:p>
        </w:tc>
      </w:tr>
      <w:tr w:rsidR="00435A51" w:rsidTr="000A1865">
        <w:tc>
          <w:tcPr>
            <w:cnfStyle w:val="001000000000" w:firstRow="0" w:lastRow="0" w:firstColumn="1" w:lastColumn="0" w:oddVBand="0" w:evenVBand="0" w:oddHBand="0" w:evenHBand="0" w:firstRowFirstColumn="0" w:firstRowLastColumn="0" w:lastRowFirstColumn="0" w:lastRowLastColumn="0"/>
            <w:tcW w:w="2399" w:type="dxa"/>
          </w:tcPr>
          <w:p w:rsidR="00435A51" w:rsidRPr="00435A51" w:rsidRDefault="00435A51" w:rsidP="00435A51">
            <w:r w:rsidRPr="00435A51">
              <w:t xml:space="preserve">Other </w:t>
            </w:r>
            <w:r w:rsidRPr="00435A51">
              <w:rPr>
                <w:rStyle w:val="AERsuperscript"/>
              </w:rPr>
              <w:t>(e)</w:t>
            </w:r>
          </w:p>
        </w:tc>
        <w:tc>
          <w:tcPr>
            <w:tcW w:w="1140"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0.9 </w:t>
            </w:r>
          </w:p>
        </w:tc>
        <w:tc>
          <w:tcPr>
            <w:tcW w:w="1141"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0.7 </w:t>
            </w:r>
          </w:p>
        </w:tc>
        <w:tc>
          <w:tcPr>
            <w:tcW w:w="1140"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0.8 </w:t>
            </w:r>
          </w:p>
        </w:tc>
        <w:tc>
          <w:tcPr>
            <w:tcW w:w="1141"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1.1 </w:t>
            </w:r>
          </w:p>
        </w:tc>
        <w:tc>
          <w:tcPr>
            <w:tcW w:w="1140"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1.6 </w:t>
            </w:r>
          </w:p>
        </w:tc>
        <w:tc>
          <w:tcPr>
            <w:tcW w:w="1141" w:type="dxa"/>
            <w:vAlign w:val="top"/>
          </w:tcPr>
          <w:p w:rsidR="00435A51" w:rsidRPr="00435A51" w:rsidRDefault="00435A51" w:rsidP="00435A51">
            <w:pPr>
              <w:pStyle w:val="AERtabletextright"/>
              <w:cnfStyle w:val="000000000000" w:firstRow="0" w:lastRow="0" w:firstColumn="0" w:lastColumn="0" w:oddVBand="0" w:evenVBand="0" w:oddHBand="0" w:evenHBand="0" w:firstRowFirstColumn="0" w:firstRowLastColumn="0" w:lastRowFirstColumn="0" w:lastRowLastColumn="0"/>
            </w:pPr>
            <w:r w:rsidRPr="00435A51">
              <w:t xml:space="preserve"> 5.0 </w:t>
            </w:r>
          </w:p>
        </w:tc>
      </w:tr>
      <w:tr w:rsidR="00435A51" w:rsidTr="000A1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435A51" w:rsidRPr="00435A51" w:rsidRDefault="00435A51" w:rsidP="00435A51">
            <w:r w:rsidRPr="00435A51">
              <w:t>Total</w:t>
            </w:r>
          </w:p>
        </w:tc>
        <w:tc>
          <w:tcPr>
            <w:tcW w:w="1140"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29.8 </w:t>
            </w:r>
          </w:p>
        </w:tc>
        <w:tc>
          <w:tcPr>
            <w:tcW w:w="1141"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31.1 </w:t>
            </w:r>
          </w:p>
        </w:tc>
        <w:tc>
          <w:tcPr>
            <w:tcW w:w="1140"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31.5 </w:t>
            </w:r>
          </w:p>
        </w:tc>
        <w:tc>
          <w:tcPr>
            <w:tcW w:w="1141"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30.0 </w:t>
            </w:r>
          </w:p>
        </w:tc>
        <w:tc>
          <w:tcPr>
            <w:tcW w:w="1140"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27.5 </w:t>
            </w:r>
          </w:p>
        </w:tc>
        <w:tc>
          <w:tcPr>
            <w:tcW w:w="1141" w:type="dxa"/>
            <w:vAlign w:val="top"/>
          </w:tcPr>
          <w:p w:rsidR="00435A51" w:rsidRPr="00435A51" w:rsidRDefault="00435A51" w:rsidP="00435A51">
            <w:pPr>
              <w:pStyle w:val="AERtabletextright"/>
              <w:cnfStyle w:val="000000010000" w:firstRow="0" w:lastRow="0" w:firstColumn="0" w:lastColumn="0" w:oddVBand="0" w:evenVBand="0" w:oddHBand="0" w:evenHBand="1" w:firstRowFirstColumn="0" w:firstRowLastColumn="0" w:lastRowFirstColumn="0" w:lastRowLastColumn="0"/>
            </w:pPr>
            <w:r w:rsidRPr="00435A51">
              <w:t xml:space="preserve"> 149.9 </w:t>
            </w:r>
          </w:p>
        </w:tc>
      </w:tr>
    </w:tbl>
    <w:p w:rsidR="00DD5172" w:rsidRDefault="00754FF8" w:rsidP="00754FF8">
      <w:pPr>
        <w:pStyle w:val="AERtablesource"/>
        <w:rPr>
          <w:rStyle w:val="AERbody"/>
        </w:rPr>
      </w:pPr>
      <w:r w:rsidRPr="00754FF8">
        <w:rPr>
          <w:rStyle w:val="AERbody"/>
          <w:sz w:val="16"/>
        </w:rPr>
        <w:t>Source:</w:t>
      </w:r>
      <w:r w:rsidR="00F70B05">
        <w:rPr>
          <w:rStyle w:val="AERbody"/>
        </w:rPr>
        <w:tab/>
      </w:r>
      <w:r w:rsidR="00C20637" w:rsidRPr="00F061DA">
        <w:t xml:space="preserve">JGN, </w:t>
      </w:r>
      <w:r w:rsidR="00C20637" w:rsidRPr="00F061DA">
        <w:rPr>
          <w:rStyle w:val="AERtextitalic"/>
        </w:rPr>
        <w:t xml:space="preserve">2015-20 Access Arrangement Information – </w:t>
      </w:r>
      <w:r w:rsidR="00C20637">
        <w:rPr>
          <w:rStyle w:val="AERtextitalic"/>
        </w:rPr>
        <w:t>Confidential</w:t>
      </w:r>
      <w:r w:rsidR="00C20637" w:rsidRPr="00F061DA">
        <w:t>, 30 June 2014,</w:t>
      </w:r>
      <w:r w:rsidR="00C20637">
        <w:t xml:space="preserve"> </w:t>
      </w:r>
      <w:r w:rsidR="00C20637" w:rsidRPr="00C20637">
        <w:t>Appendix 06.04 - JGN capex forecast model - CONFIDENTIAL.xlsb</w:t>
      </w:r>
    </w:p>
    <w:p w:rsidR="00F70B05" w:rsidRDefault="00F70B05" w:rsidP="00F70B05">
      <w:pPr>
        <w:pStyle w:val="AERtablesource"/>
      </w:pPr>
      <w:r>
        <w:t>Note:</w:t>
      </w:r>
      <w:r>
        <w:tab/>
        <w:t>(a) JGN's total meter renewal and upgrade capex reported in its Capex model does not equal the amount reported in the RIN.</w:t>
      </w:r>
    </w:p>
    <w:p w:rsidR="00F70B05" w:rsidRDefault="00F70B05" w:rsidP="00F70B05">
      <w:pPr>
        <w:pStyle w:val="AERtablesource"/>
      </w:pPr>
      <w:r>
        <w:tab/>
        <w:t>(b)</w:t>
      </w:r>
      <w:r w:rsidR="00C20637">
        <w:t xml:space="preserve"> This includes </w:t>
      </w:r>
      <w:r w:rsidR="00C20637" w:rsidRPr="00C20637">
        <w:t>replacement of aged I&amp;C Diaphragm gas meters &amp; &lt;15 kPa meter sets/regulators</w:t>
      </w:r>
      <w:r w:rsidR="00DC4098">
        <w:t xml:space="preserve">, </w:t>
      </w:r>
      <w:r w:rsidR="00DC4098" w:rsidRPr="00DC4098">
        <w:t>replacement &amp; testing of aged I&amp;C Rotary gas meters &amp; &lt;15 kPa</w:t>
      </w:r>
      <w:r w:rsidR="00DC4098">
        <w:t xml:space="preserve"> </w:t>
      </w:r>
      <w:r w:rsidR="00DC4098" w:rsidRPr="00DC4098">
        <w:t>meter sets/regulators</w:t>
      </w:r>
      <w:r w:rsidR="00DC4098">
        <w:t xml:space="preserve">, </w:t>
      </w:r>
      <w:r w:rsidR="00DC4098" w:rsidRPr="00DC4098">
        <w:t>replacement of aged I&amp;C Turbine gas meters (like for like</w:t>
      </w:r>
      <w:r w:rsidR="00DC4098">
        <w:t xml:space="preserve"> and downsizing</w:t>
      </w:r>
      <w:r w:rsidR="00DC4098" w:rsidRPr="00DC4098">
        <w:t>)</w:t>
      </w:r>
      <w:r w:rsidR="00DC4098">
        <w:t xml:space="preserve">, </w:t>
      </w:r>
      <w:r w:rsidR="00040408">
        <w:t>n</w:t>
      </w:r>
      <w:r w:rsidR="00040408" w:rsidRPr="00040408">
        <w:t>ew turbine meters to replace 35 year old meters</w:t>
      </w:r>
      <w:r w:rsidR="00040408">
        <w:t>.</w:t>
      </w:r>
    </w:p>
    <w:p w:rsidR="00040408" w:rsidRDefault="00040408" w:rsidP="00040408">
      <w:pPr>
        <w:pStyle w:val="AERtablesource"/>
      </w:pPr>
      <w:r>
        <w:tab/>
        <w:t>(c) This includes u</w:t>
      </w:r>
      <w:r w:rsidRPr="00040408">
        <w:t>pgrade of MDL modems due to NBN rollout</w:t>
      </w:r>
      <w:r>
        <w:t>.</w:t>
      </w:r>
    </w:p>
    <w:p w:rsidR="007F5F5F" w:rsidRDefault="007F5F5F" w:rsidP="007F5F5F">
      <w:pPr>
        <w:pStyle w:val="AERtablesource"/>
      </w:pPr>
      <w:r>
        <w:tab/>
        <w:t xml:space="preserve">(d) This includes </w:t>
      </w:r>
      <w:r w:rsidR="0014218F" w:rsidRPr="0014218F">
        <w:t xml:space="preserve">statistical sampling of aged I&amp;C Diaphragm </w:t>
      </w:r>
      <w:r w:rsidR="0014218F">
        <w:t xml:space="preserve">and residential </w:t>
      </w:r>
      <w:r w:rsidR="0014218F" w:rsidRPr="0014218F">
        <w:t>gas meters</w:t>
      </w:r>
      <w:r w:rsidR="0014218F">
        <w:t>, i</w:t>
      </w:r>
      <w:r w:rsidR="0014218F" w:rsidRPr="0014218F">
        <w:t>nspection and review of I&amp;C meters and regulators to determine the extent of required replacement (for planned programs) in the following year in order to facilitate efficient program delivery</w:t>
      </w:r>
      <w:r w:rsidR="0014218F">
        <w:t xml:space="preserve">, </w:t>
      </w:r>
      <w:r w:rsidR="0014218F" w:rsidRPr="0014218F">
        <w:t>quality assurance testing of new gas &amp; water meters &amp; regulators</w:t>
      </w:r>
      <w:r w:rsidR="0014218F">
        <w:t xml:space="preserve">, </w:t>
      </w:r>
      <w:r w:rsidR="001C7E71">
        <w:t>p</w:t>
      </w:r>
      <w:r w:rsidR="001C7E71" w:rsidRPr="001C7E71">
        <w:t>ost-failure analysis of products as part of management of lifecycle and to have early warning of any unexpected failure of families</w:t>
      </w:r>
      <w:r w:rsidR="0014218F" w:rsidRPr="0014218F">
        <w:t>.</w:t>
      </w:r>
    </w:p>
    <w:p w:rsidR="001C7E71" w:rsidRPr="001C7E71" w:rsidRDefault="001C7E71" w:rsidP="001C7E71">
      <w:pPr>
        <w:pStyle w:val="AERtablesource"/>
      </w:pPr>
      <w:r>
        <w:tab/>
        <w:t>(e)</w:t>
      </w:r>
      <w:r w:rsidR="005A2049">
        <w:t xml:space="preserve"> This includes </w:t>
      </w:r>
      <w:r w:rsidR="005A2049" w:rsidRPr="005A2049">
        <w:t>replacement of TRS gas meters</w:t>
      </w:r>
      <w:r w:rsidR="005A2049">
        <w:t xml:space="preserve">, </w:t>
      </w:r>
      <w:r w:rsidR="005A2049" w:rsidRPr="005A2049">
        <w:t xml:space="preserve">replacement of </w:t>
      </w:r>
      <w:r w:rsidR="00E02A36">
        <w:t xml:space="preserve">aged </w:t>
      </w:r>
      <w:r w:rsidR="005A2049" w:rsidRPr="005A2049">
        <w:t>Metreteks</w:t>
      </w:r>
      <w:r w:rsidR="005A2049">
        <w:t xml:space="preserve">, </w:t>
      </w:r>
      <w:r w:rsidR="00E02A36">
        <w:t xml:space="preserve">obsolete </w:t>
      </w:r>
      <w:r w:rsidR="005A2049">
        <w:t xml:space="preserve">Flow Computers, </w:t>
      </w:r>
      <w:r w:rsidR="00E02A36">
        <w:t xml:space="preserve">aged </w:t>
      </w:r>
      <w:r w:rsidR="005A2049">
        <w:t xml:space="preserve">Metretrek system, </w:t>
      </w:r>
      <w:r w:rsidR="00E02A36">
        <w:t xml:space="preserve">defective </w:t>
      </w:r>
      <w:r w:rsidR="00E02A36" w:rsidRPr="00E02A36">
        <w:t>Mercury/Metretek equipment</w:t>
      </w:r>
      <w:r w:rsidR="00E02A36">
        <w:t xml:space="preserve">, </w:t>
      </w:r>
      <w:r w:rsidR="00E02A36" w:rsidRPr="00E02A36">
        <w:t>replacement of Gas Chromatographs</w:t>
      </w:r>
      <w:r w:rsidR="00E02A36">
        <w:t xml:space="preserve">, </w:t>
      </w:r>
      <w:r w:rsidR="00513874" w:rsidRPr="00513874">
        <w:t>replacement of Dew Point Analysers</w:t>
      </w:r>
      <w:r w:rsidR="00513874">
        <w:t>.</w:t>
      </w:r>
    </w:p>
    <w:p w:rsidR="00AB75E9" w:rsidRDefault="00754FF8" w:rsidP="00DD5172">
      <w:pPr>
        <w:pStyle w:val="AERbodytext"/>
        <w:rPr>
          <w:rStyle w:val="AERbody"/>
        </w:rPr>
      </w:pPr>
      <w:r>
        <w:rPr>
          <w:rStyle w:val="AERbody"/>
        </w:rPr>
        <w:lastRenderedPageBreak/>
        <w:t>JGN attribute the increase in expenditure to</w:t>
      </w:r>
      <w:r w:rsidR="00AB75E9">
        <w:rPr>
          <w:rStyle w:val="AERbody"/>
        </w:rPr>
        <w:t>:</w:t>
      </w:r>
      <w:r w:rsidR="00AB75E9">
        <w:rPr>
          <w:rStyle w:val="FootnoteReference"/>
        </w:rPr>
        <w:footnoteReference w:id="91"/>
      </w:r>
    </w:p>
    <w:p w:rsidR="00AB75E9" w:rsidRDefault="00754FF8" w:rsidP="00AB75E9">
      <w:pPr>
        <w:pStyle w:val="AERbulletlistfirststyle"/>
        <w:rPr>
          <w:rStyle w:val="AERbody"/>
        </w:rPr>
      </w:pPr>
      <w:r>
        <w:rPr>
          <w:rStyle w:val="AERbody"/>
        </w:rPr>
        <w:t xml:space="preserve">a significant population of residential gas meters approaching </w:t>
      </w:r>
      <w:r w:rsidR="00AB75E9">
        <w:rPr>
          <w:rStyle w:val="AERbody"/>
        </w:rPr>
        <w:t>the end of its economic life and must be replaced during the 2015-20 access arrangement period</w:t>
      </w:r>
    </w:p>
    <w:p w:rsidR="004423CF" w:rsidRDefault="00AB75E9" w:rsidP="00AB75E9">
      <w:pPr>
        <w:pStyle w:val="AERbulletlistfirststyle"/>
        <w:rPr>
          <w:rStyle w:val="AERbody"/>
        </w:rPr>
      </w:pPr>
      <w:r>
        <w:rPr>
          <w:rStyle w:val="AERbody"/>
        </w:rPr>
        <w:t xml:space="preserve">certain types of residential hot water meters have been found to be failing prematurely and </w:t>
      </w:r>
      <w:r w:rsidR="004423CF">
        <w:rPr>
          <w:rStyle w:val="AERbody"/>
        </w:rPr>
        <w:t>are to</w:t>
      </w:r>
      <w:r>
        <w:rPr>
          <w:rStyle w:val="AERbody"/>
        </w:rPr>
        <w:t xml:space="preserve"> be replaced</w:t>
      </w:r>
      <w:r w:rsidR="004423CF">
        <w:rPr>
          <w:rStyle w:val="AERbody"/>
        </w:rPr>
        <w:t xml:space="preserve"> during the 2015-20 access arrangement period</w:t>
      </w:r>
    </w:p>
    <w:p w:rsidR="00754FF8" w:rsidRDefault="00F645DF" w:rsidP="00AB75E9">
      <w:pPr>
        <w:pStyle w:val="AERbulletlistfirststyle"/>
        <w:rPr>
          <w:rStyle w:val="AERbody"/>
        </w:rPr>
      </w:pPr>
      <w:r>
        <w:rPr>
          <w:rStyle w:val="AERbody"/>
        </w:rPr>
        <w:t>increased unit rates reflecting new contractual arrangements and real cost escalation</w:t>
      </w:r>
      <w:r w:rsidR="00AB75E9">
        <w:rPr>
          <w:rStyle w:val="AERbody"/>
        </w:rPr>
        <w:t xml:space="preserve">. </w:t>
      </w:r>
    </w:p>
    <w:p w:rsidR="00E7637A" w:rsidRDefault="00E7637A" w:rsidP="00E7637A">
      <w:pPr>
        <w:pStyle w:val="AERbodytext"/>
      </w:pPr>
      <w:r>
        <w:t xml:space="preserve">JGN </w:t>
      </w:r>
      <w:r w:rsidR="00E51BC8">
        <w:t>submitted that it</w:t>
      </w:r>
      <w:r>
        <w:t xml:space="preserve"> forecast the expenditure based on </w:t>
      </w:r>
      <w:r w:rsidRPr="00E7637A">
        <w:t xml:space="preserve">forecast volumes and unit rates. </w:t>
      </w:r>
      <w:r w:rsidR="00E51BC8">
        <w:t>It stated that t</w:t>
      </w:r>
      <w:r>
        <w:t>he f</w:t>
      </w:r>
      <w:r w:rsidRPr="00E7637A">
        <w:t>orecast unit rates are based on current</w:t>
      </w:r>
      <w:r>
        <w:t xml:space="preserve"> </w:t>
      </w:r>
      <w:r w:rsidRPr="00E7637A">
        <w:t>rates for purchase.</w:t>
      </w:r>
      <w:r w:rsidR="00840B04">
        <w:rPr>
          <w:rStyle w:val="FootnoteReference"/>
        </w:rPr>
        <w:footnoteReference w:id="92"/>
      </w:r>
    </w:p>
    <w:p w:rsidR="005D0A2B" w:rsidRDefault="00E51BC8" w:rsidP="00E7637A">
      <w:pPr>
        <w:pStyle w:val="AERbodytext"/>
      </w:pPr>
      <w:r>
        <w:t xml:space="preserve">JGN's capex forecast model </w:t>
      </w:r>
      <w:r w:rsidR="00F502D0">
        <w:t xml:space="preserve">only </w:t>
      </w:r>
      <w:r>
        <w:t xml:space="preserve">provided </w:t>
      </w:r>
      <w:r w:rsidR="007840F1">
        <w:t xml:space="preserve">four months of </w:t>
      </w:r>
      <w:r>
        <w:t>actual total capex</w:t>
      </w:r>
      <w:r w:rsidR="007840F1">
        <w:t>. It provided actual total capex</w:t>
      </w:r>
      <w:r>
        <w:t xml:space="preserve"> by </w:t>
      </w:r>
      <w:r w:rsidR="002E3864">
        <w:t>project</w:t>
      </w:r>
      <w:r>
        <w:t xml:space="preserve">, which did not </w:t>
      </w:r>
      <w:r w:rsidR="00853D35">
        <w:t xml:space="preserve">enable us to assess historical against forecast </w:t>
      </w:r>
      <w:r w:rsidR="00460F4B">
        <w:t>volumes</w:t>
      </w:r>
      <w:r w:rsidR="00F502D0">
        <w:t xml:space="preserve"> and</w:t>
      </w:r>
      <w:r w:rsidR="00460F4B">
        <w:t xml:space="preserve"> unit rates for </w:t>
      </w:r>
      <w:r w:rsidR="00F502D0">
        <w:t xml:space="preserve">the </w:t>
      </w:r>
      <w:r w:rsidR="002E3864">
        <w:t>meter</w:t>
      </w:r>
      <w:r w:rsidR="00853D35">
        <w:t xml:space="preserve"> alone</w:t>
      </w:r>
      <w:r w:rsidR="00F502D0">
        <w:t xml:space="preserve">, </w:t>
      </w:r>
      <w:r w:rsidR="00460F4B">
        <w:t>installation</w:t>
      </w:r>
      <w:r w:rsidR="00F502D0">
        <w:t xml:space="preserve"> cost</w:t>
      </w:r>
      <w:r w:rsidR="00853D35">
        <w:t>s</w:t>
      </w:r>
      <w:r w:rsidR="00F502D0">
        <w:t xml:space="preserve"> and any</w:t>
      </w:r>
      <w:r w:rsidR="00460F4B">
        <w:t xml:space="preserve"> other expenditure</w:t>
      </w:r>
      <w:r w:rsidR="00F502D0">
        <w:t xml:space="preserve"> (for example, warehousing costs)</w:t>
      </w:r>
      <w:r w:rsidR="00460F4B">
        <w:t xml:space="preserve">, as </w:t>
      </w:r>
      <w:r w:rsidR="00853D35">
        <w:t>requested by the AER</w:t>
      </w:r>
      <w:r>
        <w:t xml:space="preserve"> in the RIN templates.</w:t>
      </w:r>
      <w:r w:rsidR="00A14B4C">
        <w:rPr>
          <w:rStyle w:val="FootnoteReference"/>
        </w:rPr>
        <w:footnoteReference w:id="93"/>
      </w:r>
      <w:r>
        <w:t xml:space="preserve"> </w:t>
      </w:r>
    </w:p>
    <w:p w:rsidR="00E51BC8" w:rsidRDefault="00E51BC8" w:rsidP="00E7637A">
      <w:pPr>
        <w:pStyle w:val="AERbodytext"/>
      </w:pPr>
      <w:r>
        <w:t xml:space="preserve">JGN indicated that in compiling the RIN data it made assumptions </w:t>
      </w:r>
      <w:r w:rsidR="005D0A2B">
        <w:t>based on the metering program as a whole. Data from the 2013 financial year was used to calculate the meter, internal labour, contractor cost shares of the total cost. These shares were applied to all classes of meter renewals. JGN reported that th</w:t>
      </w:r>
      <w:r w:rsidR="00A14B4C">
        <w:t>e application of these calculated shares</w:t>
      </w:r>
      <w:r w:rsidR="005D0A2B">
        <w:t xml:space="preserve"> results in </w:t>
      </w:r>
      <w:r w:rsidR="00A14B4C">
        <w:t>overstatement of the component costs for some meter renewal classes and understatement for other classes.</w:t>
      </w:r>
      <w:r w:rsidR="00A14B4C">
        <w:rPr>
          <w:rStyle w:val="FootnoteReference"/>
        </w:rPr>
        <w:footnoteReference w:id="94"/>
      </w:r>
    </w:p>
    <w:p w:rsidR="00E51BC8" w:rsidRDefault="00E51BC8" w:rsidP="00E7637A">
      <w:pPr>
        <w:pStyle w:val="AERbodytext"/>
      </w:pPr>
      <w:r>
        <w:t xml:space="preserve">This meant that there was insufficient information for </w:t>
      </w:r>
      <w:r w:rsidR="00217ED4">
        <w:t>us</w:t>
      </w:r>
      <w:r>
        <w:t xml:space="preserve"> to be able to apply </w:t>
      </w:r>
      <w:r w:rsidR="00853D35">
        <w:t>to</w:t>
      </w:r>
      <w:r>
        <w:t xml:space="preserve"> compar</w:t>
      </w:r>
      <w:r w:rsidR="00853D35">
        <w:t>e</w:t>
      </w:r>
      <w:r>
        <w:t xml:space="preserve"> revealed unit rates and volumes against the forecast volumes and unit rates. </w:t>
      </w:r>
      <w:r w:rsidR="002D1B2C">
        <w:t xml:space="preserve">It also inhibited </w:t>
      </w:r>
      <w:r w:rsidR="00217ED4">
        <w:t>our ability t</w:t>
      </w:r>
      <w:r w:rsidR="002D1B2C">
        <w:t xml:space="preserve">o benchmark JGN's unit rates against those of the Victorian gas distribution businesses. </w:t>
      </w:r>
    </w:p>
    <w:p w:rsidR="00682425" w:rsidRDefault="002D1B2C" w:rsidP="00E7637A">
      <w:pPr>
        <w:pStyle w:val="AERbodytext"/>
      </w:pPr>
      <w:r>
        <w:t>We therefore requested that JGN provide</w:t>
      </w:r>
      <w:r w:rsidR="00460F4B">
        <w:t>,</w:t>
      </w:r>
      <w:r>
        <w:t xml:space="preserve"> </w:t>
      </w:r>
      <w:r w:rsidR="00460F4B">
        <w:t>for each of JGN's projects, the volume, meter and labour</w:t>
      </w:r>
      <w:r>
        <w:t xml:space="preserve"> unit rates so that we could </w:t>
      </w:r>
      <w:r w:rsidR="00460F4B">
        <w:t>assess</w:t>
      </w:r>
      <w:r>
        <w:t xml:space="preserve"> the proposed costs.</w:t>
      </w:r>
      <w:r>
        <w:rPr>
          <w:rStyle w:val="FootnoteReference"/>
        </w:rPr>
        <w:footnoteReference w:id="95"/>
      </w:r>
    </w:p>
    <w:p w:rsidR="00DD5172" w:rsidRDefault="00DD5172" w:rsidP="00E7637A">
      <w:pPr>
        <w:pStyle w:val="AERbodytext"/>
      </w:pPr>
      <w:r>
        <w:t>JGN</w:t>
      </w:r>
      <w:r w:rsidRPr="00DD5172">
        <w:t>'s meter re</w:t>
      </w:r>
      <w:r w:rsidR="00E23BD0">
        <w:t>newal and upgrade</w:t>
      </w:r>
      <w:r w:rsidRPr="00DD5172">
        <w:t xml:space="preserve"> program relates to both residential and industrial and commercial </w:t>
      </w:r>
      <w:r w:rsidR="00E23BD0">
        <w:t xml:space="preserve">gas </w:t>
      </w:r>
      <w:r w:rsidRPr="00DD5172">
        <w:t xml:space="preserve">meters and </w:t>
      </w:r>
      <w:r w:rsidR="00E23BD0">
        <w:t xml:space="preserve">residential water meters. JGN's meter renewal and upgrade program </w:t>
      </w:r>
      <w:r w:rsidRPr="00DD5172">
        <w:t>comprises the following sub components:</w:t>
      </w:r>
      <w:r>
        <w:rPr>
          <w:rStyle w:val="FootnoteReference"/>
        </w:rPr>
        <w:footnoteReference w:id="96"/>
      </w:r>
    </w:p>
    <w:p w:rsidR="00DD5172" w:rsidRPr="00DD5172" w:rsidRDefault="001C7FB8" w:rsidP="00DD5172">
      <w:pPr>
        <w:pStyle w:val="AERbulletlistfirststyle"/>
      </w:pPr>
      <w:r>
        <w:t xml:space="preserve">Aged </w:t>
      </w:r>
      <w:r w:rsidR="00DD5172" w:rsidRPr="00DD5172">
        <w:t xml:space="preserve">meter </w:t>
      </w:r>
      <w:r>
        <w:t>replacement</w:t>
      </w:r>
      <w:r w:rsidR="000425C5">
        <w:t xml:space="preserve"> </w:t>
      </w:r>
      <w:r w:rsidR="00DD5172" w:rsidRPr="00DD5172">
        <w:t>-</w:t>
      </w:r>
      <w:r w:rsidR="000425C5">
        <w:t xml:space="preserve"> </w:t>
      </w:r>
      <w:r w:rsidR="00DD5172" w:rsidRPr="00DD5172">
        <w:t>Meters at the end of their in-service compliance periods (i.e. useful life) are removed from the field and replaced with new or refurbished assets of similar capacity</w:t>
      </w:r>
    </w:p>
    <w:p w:rsidR="00DD5172" w:rsidRPr="00DD5172" w:rsidRDefault="001C7FB8" w:rsidP="00DD5172">
      <w:pPr>
        <w:pStyle w:val="AERbulletlistfirststyle"/>
      </w:pPr>
      <w:r>
        <w:t>Sampling of meters in the field</w:t>
      </w:r>
      <w:r w:rsidR="00DD5172" w:rsidRPr="00DD5172">
        <w:t xml:space="preserve"> - the test procedures allow for meter families to receive either a 1 year, 3 year or 5 year life extension depending upon test results </w:t>
      </w:r>
    </w:p>
    <w:p w:rsidR="00DD5172" w:rsidRPr="00DD5172" w:rsidRDefault="001C7FB8" w:rsidP="00DD5172">
      <w:pPr>
        <w:pStyle w:val="AERbulletlistfirststyle"/>
      </w:pPr>
      <w:r>
        <w:t>Defective meter replacement</w:t>
      </w:r>
      <w:r w:rsidR="00DD5172" w:rsidRPr="00DD5172">
        <w:t xml:space="preserve"> - </w:t>
      </w:r>
      <w:r>
        <w:t>JGN</w:t>
      </w:r>
      <w:r w:rsidR="00DD5172" w:rsidRPr="00DD5172">
        <w:t xml:space="preserve"> reactively replace meters that fail in operation</w:t>
      </w:r>
    </w:p>
    <w:p w:rsidR="00DD5172" w:rsidRPr="00DD5172" w:rsidRDefault="00DD5172" w:rsidP="00DD5172">
      <w:pPr>
        <w:pStyle w:val="AERbulletlistfirststyle"/>
      </w:pPr>
      <w:r w:rsidRPr="00DD5172">
        <w:t xml:space="preserve">Upgrades/downgrades of sites - </w:t>
      </w:r>
      <w:r w:rsidR="001C7FB8">
        <w:t>JGN</w:t>
      </w:r>
      <w:r w:rsidRPr="00DD5172">
        <w:t xml:space="preserve"> upgrades or downgrades a number of meters each year. </w:t>
      </w:r>
    </w:p>
    <w:p w:rsidR="001C7FB8" w:rsidRPr="00DD5172" w:rsidRDefault="00217ED4" w:rsidP="001C7FB8">
      <w:pPr>
        <w:pStyle w:val="AERbodytext"/>
      </w:pPr>
      <w:r>
        <w:lastRenderedPageBreak/>
        <w:t>We</w:t>
      </w:r>
      <w:r w:rsidR="001C7FB8" w:rsidRPr="00DD5172">
        <w:t xml:space="preserve"> considered the basis on which </w:t>
      </w:r>
      <w:r w:rsidR="001C7FB8">
        <w:t>JGN</w:t>
      </w:r>
      <w:r w:rsidR="001C7FB8" w:rsidRPr="00DD5172">
        <w:t xml:space="preserve"> arrived at its forecasts of the replacement volumes and the cost (on a unit rate basis) of removing and replacing the meters. Specifically, </w:t>
      </w:r>
      <w:r>
        <w:t>we</w:t>
      </w:r>
      <w:r w:rsidR="001C7FB8" w:rsidRPr="00DD5172">
        <w:t xml:space="preserve"> considered the: </w:t>
      </w:r>
    </w:p>
    <w:p w:rsidR="001C7FB8" w:rsidRPr="00DD5172" w:rsidRDefault="001C7FB8" w:rsidP="001C7FB8">
      <w:pPr>
        <w:pStyle w:val="AERbulletlistfirststyle"/>
      </w:pPr>
      <w:r w:rsidRPr="00DD5172">
        <w:t xml:space="preserve">Efficiency and prudency of the proposed meter replacement volumes by examining the age of the meters </w:t>
      </w:r>
      <w:r>
        <w:t>JGN</w:t>
      </w:r>
      <w:r w:rsidRPr="00DD5172">
        <w:t xml:space="preserve"> is proposing to remove and ensuring this is in a reasonable age range. </w:t>
      </w:r>
      <w:r w:rsidR="00217ED4">
        <w:t>We have</w:t>
      </w:r>
      <w:r w:rsidRPr="00DD5172">
        <w:t xml:space="preserve"> determined this reasonable range having regard to the initial life</w:t>
      </w:r>
      <w:r>
        <w:t xml:space="preserve"> expectancy</w:t>
      </w:r>
      <w:r w:rsidRPr="00DD5172">
        <w:t xml:space="preserve"> of meters and the availability of sampling and maintenance techniques to extend meter life beyond </w:t>
      </w:r>
      <w:r>
        <w:t>that life expectancy</w:t>
      </w:r>
      <w:r w:rsidRPr="00DD5172">
        <w:t>.</w:t>
      </w:r>
    </w:p>
    <w:p w:rsidR="001C7FB8" w:rsidRPr="00DD5172" w:rsidRDefault="001C7FB8" w:rsidP="001C7FB8">
      <w:pPr>
        <w:pStyle w:val="AERbulletlistfirststyle"/>
      </w:pPr>
      <w:r>
        <w:t>E</w:t>
      </w:r>
      <w:r w:rsidRPr="00DD5172">
        <w:t xml:space="preserve">fficient mix of using refurbished and new meters in meter replacement, and     </w:t>
      </w:r>
    </w:p>
    <w:p w:rsidR="001C7FB8" w:rsidRPr="00DD5172" w:rsidRDefault="001C7FB8" w:rsidP="001C7FB8">
      <w:pPr>
        <w:pStyle w:val="AERbulletlistfirststyle"/>
      </w:pPr>
      <w:r w:rsidRPr="00DD5172">
        <w:t>Efficiency of proposed unit rates of meters replaced as being reflective of the lowest sustainable input costs.</w:t>
      </w:r>
    </w:p>
    <w:p w:rsidR="000A1865" w:rsidRDefault="00217ED4" w:rsidP="000A1865">
      <w:pPr>
        <w:pStyle w:val="AERbodytext"/>
      </w:pPr>
      <w:r>
        <w:t>We</w:t>
      </w:r>
      <w:r w:rsidR="001C7FB8" w:rsidRPr="00DD5172">
        <w:t xml:space="preserve"> understand that meter replacement capex may be uneven in nature and so examined </w:t>
      </w:r>
      <w:r w:rsidR="001C7FB8">
        <w:t>JGN</w:t>
      </w:r>
      <w:r w:rsidR="001C7FB8" w:rsidRPr="00DD5172">
        <w:t xml:space="preserve">’s proposed cost build-up as-well as the historical level of capex. </w:t>
      </w:r>
      <w:r w:rsidR="000A1865">
        <w:t xml:space="preserve">Based on the advice of Sleeman Consulting, we accept that $124.5 million </w:t>
      </w:r>
      <w:r w:rsidR="000A1865" w:rsidRPr="00517910">
        <w:rPr>
          <w:rStyle w:val="AERbody"/>
        </w:rPr>
        <w:t>($2015, unescalated direct costs, excluding overheads)</w:t>
      </w:r>
      <w:r w:rsidR="000A1865">
        <w:rPr>
          <w:rStyle w:val="AERbody"/>
        </w:rPr>
        <w:t xml:space="preserve"> of metering renewal and </w:t>
      </w:r>
      <w:r w:rsidR="000A1865">
        <w:t>upgrade capex is prudent and efficient.</w:t>
      </w:r>
      <w:r w:rsidR="000A1865">
        <w:rPr>
          <w:rStyle w:val="FootnoteReference"/>
        </w:rPr>
        <w:footnoteReference w:id="97"/>
      </w:r>
      <w:r w:rsidR="00717CCB">
        <w:t xml:space="preserve"> This is because </w:t>
      </w:r>
      <w:r w:rsidR="000A1865">
        <w:t>JGN tests its residential and</w:t>
      </w:r>
      <w:r w:rsidR="000A1865" w:rsidRPr="000A1865">
        <w:t xml:space="preserve"> </w:t>
      </w:r>
      <w:r w:rsidR="000A1865">
        <w:t xml:space="preserve">I&amp;C diaphragm meters to discover whether life extensions are possible. It considers the economic efficiency of extension versus replacement when considering the options for replacing aged meters. </w:t>
      </w:r>
      <w:r w:rsidR="00717CCB">
        <w:t>We assess that JGN</w:t>
      </w:r>
      <w:r w:rsidR="000A1865">
        <w:t xml:space="preserve">'s approach to replacement of residential and I&amp;C diaphragm meters </w:t>
      </w:r>
      <w:r w:rsidR="00717CCB">
        <w:t>is prudent and efficient.</w:t>
      </w:r>
    </w:p>
    <w:p w:rsidR="00853D35" w:rsidRDefault="00790222" w:rsidP="00790222">
      <w:pPr>
        <w:pStyle w:val="AERbodytext"/>
      </w:pPr>
      <w:r>
        <w:t>Based on the advice of Sleeman Consulting</w:t>
      </w:r>
      <w:r w:rsidR="00217ED4">
        <w:t xml:space="preserve">, we </w:t>
      </w:r>
      <w:r w:rsidR="006A12DD">
        <w:t>are not satisfied</w:t>
      </w:r>
      <w:r w:rsidR="00217ED4">
        <w:t xml:space="preserve"> </w:t>
      </w:r>
      <w:r>
        <w:t xml:space="preserve">that 4 projects are justified and </w:t>
      </w:r>
      <w:r w:rsidR="006A12DD">
        <w:t xml:space="preserve">not satisfied that </w:t>
      </w:r>
      <w:r>
        <w:t>2 projects are efficient.</w:t>
      </w:r>
      <w:r w:rsidRPr="00790222">
        <w:rPr>
          <w:rStyle w:val="FootnoteReference"/>
        </w:rPr>
        <w:footnoteReference w:id="98"/>
      </w:r>
      <w:r>
        <w:t xml:space="preserve"> These projects account for $25.4 million </w:t>
      </w:r>
      <w:r w:rsidRPr="00517910">
        <w:rPr>
          <w:rStyle w:val="AERbody"/>
        </w:rPr>
        <w:t>($2015, unescalated direct costs, excluding overheads)</w:t>
      </w:r>
      <w:r>
        <w:rPr>
          <w:rStyle w:val="AERbody"/>
        </w:rPr>
        <w:t xml:space="preserve"> </w:t>
      </w:r>
      <w:r>
        <w:t xml:space="preserve">of expenditure which </w:t>
      </w:r>
      <w:r w:rsidR="00217ED4">
        <w:t>we have</w:t>
      </w:r>
      <w:r>
        <w:t xml:space="preserve"> not included in its alternative capex estimate. A further </w:t>
      </w:r>
      <w:r w:rsidR="00B871B4">
        <w:t>$</w:t>
      </w:r>
      <w:r>
        <w:t xml:space="preserve">0.3 million </w:t>
      </w:r>
      <w:r w:rsidRPr="00517910">
        <w:rPr>
          <w:rStyle w:val="AERbody"/>
        </w:rPr>
        <w:t>($2015, unescalated direct costs, excluding overheads)</w:t>
      </w:r>
      <w:r>
        <w:rPr>
          <w:rStyle w:val="AERbody"/>
        </w:rPr>
        <w:t xml:space="preserve"> </w:t>
      </w:r>
      <w:r>
        <w:t>is</w:t>
      </w:r>
      <w:r w:rsidR="00853D35">
        <w:t xml:space="preserve"> attributable to</w:t>
      </w:r>
      <w:r w:rsidR="009C0C32">
        <w:t xml:space="preserve"> </w:t>
      </w:r>
      <w:r w:rsidR="00853D35">
        <w:t>the</w:t>
      </w:r>
      <w:r w:rsidR="009C0C32">
        <w:t xml:space="preserve"> difference between the sum of the components of the metering build-up and the amount hard coded in the total capex</w:t>
      </w:r>
      <w:r w:rsidR="00853D35">
        <w:t xml:space="preserve"> in the RIN templates</w:t>
      </w:r>
      <w:r w:rsidR="009C0C32">
        <w:t xml:space="preserve">. As </w:t>
      </w:r>
      <w:r w:rsidR="006A12DD">
        <w:t xml:space="preserve">we are not satisfied that JGN has justified </w:t>
      </w:r>
      <w:r w:rsidR="009C0C32">
        <w:t xml:space="preserve">this amount </w:t>
      </w:r>
      <w:r w:rsidR="006A12DD">
        <w:t xml:space="preserve">we have </w:t>
      </w:r>
      <w:r>
        <w:t xml:space="preserve">not </w:t>
      </w:r>
      <w:r w:rsidR="009C0C32">
        <w:t xml:space="preserve">included </w:t>
      </w:r>
      <w:r w:rsidR="006A12DD">
        <w:t xml:space="preserve">it </w:t>
      </w:r>
      <w:r w:rsidR="009C0C32">
        <w:t xml:space="preserve">in our capex </w:t>
      </w:r>
      <w:r w:rsidR="00853D35">
        <w:t>forecast</w:t>
      </w:r>
      <w:r>
        <w:t>.</w:t>
      </w:r>
      <w:r w:rsidRPr="00790222">
        <w:t xml:space="preserve"> </w:t>
      </w:r>
    </w:p>
    <w:p w:rsidR="00E91B3D" w:rsidRDefault="00790222" w:rsidP="00790222">
      <w:pPr>
        <w:pStyle w:val="AERbodytext"/>
      </w:pPr>
      <w:r w:rsidRPr="00790222">
        <w:t>This is because</w:t>
      </w:r>
      <w:r w:rsidR="00E91B3D">
        <w:t>:</w:t>
      </w:r>
    </w:p>
    <w:p w:rsidR="00717CCB" w:rsidRDefault="00E91B3D" w:rsidP="00E91B3D">
      <w:pPr>
        <w:pStyle w:val="AERbulletlistfirststyle"/>
      </w:pPr>
      <w:r>
        <w:t>Replacement of defective I&amp;C meters</w:t>
      </w:r>
      <w:r w:rsidR="0059471C">
        <w:t xml:space="preserve"> - JGN has proposed a step up in meter replacements from an historical average of 0.8 per cent of the population, that is between 200 and 300 meters per year, to 0.9 per cent of the population (300 meters per year) between 2015-16 to 2017-18, then 1.2 per cent of the population (400 meters per year)</w:t>
      </w:r>
      <w:r w:rsidR="00BC429F">
        <w:t xml:space="preserve">. </w:t>
      </w:r>
      <w:r w:rsidR="006A12DD">
        <w:t xml:space="preserve">We are not satisfied that JGN has justified this </w:t>
      </w:r>
      <w:r w:rsidR="00BC429F">
        <w:t xml:space="preserve">step up in meter replacements. </w:t>
      </w:r>
      <w:r w:rsidR="00853D35">
        <w:t>In the absence of evidence to justify a departure from historical trends in the future, w</w:t>
      </w:r>
      <w:r w:rsidR="00BC429F">
        <w:t xml:space="preserve">e </w:t>
      </w:r>
      <w:r w:rsidR="006A12DD">
        <w:t xml:space="preserve">are satisfied </w:t>
      </w:r>
      <w:r w:rsidR="00BC429F">
        <w:t xml:space="preserve">that </w:t>
      </w:r>
      <w:r w:rsidR="006A12DD">
        <w:t xml:space="preserve">a better </w:t>
      </w:r>
      <w:r w:rsidR="00BC429F">
        <w:t xml:space="preserve">estimate is the revealed historical failure rate of 0.8 per cent of the meter population. On this basis we consider that </w:t>
      </w:r>
      <w:r w:rsidR="00E62BBC">
        <w:t xml:space="preserve">capex be included for replacement of </w:t>
      </w:r>
      <w:r w:rsidR="00774AC3">
        <w:t>30</w:t>
      </w:r>
      <w:r w:rsidR="00E62BBC">
        <w:t>5 meters</w:t>
      </w:r>
      <w:r w:rsidR="00774AC3">
        <w:t xml:space="preserve"> in 2015-16, increasing by 10 meters</w:t>
      </w:r>
      <w:r w:rsidR="00E62BBC">
        <w:t xml:space="preserve"> per year</w:t>
      </w:r>
      <w:r w:rsidR="00774AC3">
        <w:t xml:space="preserve"> to 345 meters in 2019-20</w:t>
      </w:r>
      <w:r w:rsidR="00E62BBC">
        <w:t>.</w:t>
      </w:r>
    </w:p>
    <w:p w:rsidR="00E62BBC" w:rsidRPr="006A12DD" w:rsidRDefault="00E62BBC" w:rsidP="0081761E">
      <w:pPr>
        <w:pStyle w:val="AERbulletlistfirststyle"/>
      </w:pPr>
      <w:r>
        <w:t>Replacement of Metretek devices and system - JGN provided information that</w:t>
      </w:r>
      <w:r w:rsidR="00A7763A">
        <w:t xml:space="preserve"> </w:t>
      </w:r>
      <w:r>
        <w:t>there are between 500 and 1050 Metretek devices installed in the JGN network</w:t>
      </w:r>
      <w:r w:rsidR="00A7763A">
        <w:t xml:space="preserve">, </w:t>
      </w:r>
      <w:r>
        <w:t>20 - 50 units fail each year</w:t>
      </w:r>
      <w:r w:rsidR="00A7763A">
        <w:t xml:space="preserve"> and t</w:t>
      </w:r>
      <w:r>
        <w:t>here are 650 call outs per year for minor failures.</w:t>
      </w:r>
      <w:r w:rsidR="00A7763A">
        <w:t xml:space="preserve"> </w:t>
      </w:r>
      <w:r w:rsidR="0081761E">
        <w:t>JGN</w:t>
      </w:r>
      <w:r w:rsidR="005223A5">
        <w:t xml:space="preserve"> </w:t>
      </w:r>
      <w:r w:rsidR="000F100E">
        <w:t xml:space="preserve">has provided for outright replacement of </w:t>
      </w:r>
      <w:r w:rsidR="000F100E">
        <w:lastRenderedPageBreak/>
        <w:t>all Metretek field devices and for ongoing call outs. JGN has also provided for replacement of the central Metretek data collection system in 2020</w:t>
      </w:r>
      <w:r w:rsidR="006A12DD">
        <w:t>. However, JGN</w:t>
      </w:r>
      <w:r w:rsidR="000F100E">
        <w:t xml:space="preserve"> has not yet identified a replacement or carried out economic analysis to justify the replacement. </w:t>
      </w:r>
      <w:r w:rsidR="000F100E" w:rsidRPr="006A12DD">
        <w:t>We assess that capex is only justified for the rep</w:t>
      </w:r>
      <w:r w:rsidR="005963AA" w:rsidRPr="006A12DD">
        <w:t>lacement of 60 modems per annum</w:t>
      </w:r>
      <w:r w:rsidR="000F100E" w:rsidRPr="006A12DD">
        <w:t>.</w:t>
      </w:r>
    </w:p>
    <w:p w:rsidR="00DD5172" w:rsidRPr="00275734" w:rsidRDefault="00942FA6" w:rsidP="00051DE3">
      <w:pPr>
        <w:pStyle w:val="AERbulletlistfirststyle"/>
      </w:pPr>
      <w:r>
        <w:t>Replacement of meter data loggers (MDLs) - JGN provided information that 100 MDLs fail per year. JGN has proposed to replace 150 defective</w:t>
      </w:r>
      <w:r w:rsidR="00E61E17">
        <w:t xml:space="preserve"> MDLs per year. We assess that replacement of 150 defective MDLs per year is prudent. JGN also provided for further replacement of</w:t>
      </w:r>
      <w:r>
        <w:t xml:space="preserve"> 200 faulty MDLs per year.</w:t>
      </w:r>
      <w:r w:rsidR="00E61E17">
        <w:t xml:space="preserve"> We assess that this is doubling up on the defective replacement provision, described above</w:t>
      </w:r>
      <w:r w:rsidR="001108D7">
        <w:t xml:space="preserve">, and have not included any capex for this in our </w:t>
      </w:r>
      <w:r w:rsidR="00853D35">
        <w:t>forecast</w:t>
      </w:r>
      <w:r w:rsidR="00E61E17">
        <w:t>. JGN</w:t>
      </w:r>
      <w:r>
        <w:t xml:space="preserve"> has also proposed outright replacement of 1,500 MDLs per year from 2015-16.</w:t>
      </w:r>
      <w:r w:rsidR="00B871B4">
        <w:t xml:space="preserve"> </w:t>
      </w:r>
      <w:r w:rsidR="006A12DD">
        <w:t xml:space="preserve">We are not satisfied that </w:t>
      </w:r>
      <w:r w:rsidR="00B871B4">
        <w:t xml:space="preserve">JGN has justified the outright replacement of all MDLs. Given a failure rate of 1 per cent per year and current repair expenditure of $300,000 per year, </w:t>
      </w:r>
      <w:r w:rsidR="001A5C0D">
        <w:t xml:space="preserve">we are not satisfied that </w:t>
      </w:r>
      <w:r w:rsidR="00B871B4">
        <w:t xml:space="preserve">expenditure in excess of $35 million for replacement of MDLs between 2015 and 2022 is economically efficient. We have therefore not included any capex for this in our </w:t>
      </w:r>
      <w:r w:rsidR="00853D35">
        <w:t>forecast</w:t>
      </w:r>
      <w:r w:rsidR="00B871B4">
        <w:t>.</w:t>
      </w:r>
    </w:p>
    <w:p w:rsidR="00275734" w:rsidRDefault="00275734" w:rsidP="00275734">
      <w:pPr>
        <w:pStyle w:val="HeadingBoldBlue"/>
      </w:pPr>
      <w:r w:rsidRPr="00275734">
        <w:t>Government authority work</w:t>
      </w:r>
    </w:p>
    <w:p w:rsidR="003F23E4" w:rsidRPr="003F23E4" w:rsidRDefault="0080667C" w:rsidP="003F23E4">
      <w:pPr>
        <w:pStyle w:val="AERbodytext"/>
      </w:pPr>
      <w:r>
        <w:t xml:space="preserve">Government authority work </w:t>
      </w:r>
      <w:r w:rsidR="00927678">
        <w:t xml:space="preserve">(GAW) </w:t>
      </w:r>
      <w:r>
        <w:t xml:space="preserve">is expenditure for relocating gas mains or facilities on government or private property. </w:t>
      </w:r>
      <w:r w:rsidR="003F23E4" w:rsidRPr="003F23E4">
        <w:t xml:space="preserve">We </w:t>
      </w:r>
      <w:r w:rsidR="001A5C0D">
        <w:t>are satisfied</w:t>
      </w:r>
      <w:r w:rsidR="001A5C0D" w:rsidRPr="003F23E4">
        <w:t xml:space="preserve"> </w:t>
      </w:r>
      <w:r w:rsidR="003F23E4" w:rsidRPr="003F23E4">
        <w:t>that GAW is justified on the basis of rule 79(2)(c)(iv), that is, to maintain the service provider's capacity to meet levels of demand for services existing at the time the capex is incurred.</w:t>
      </w:r>
    </w:p>
    <w:p w:rsidR="0080667C" w:rsidRDefault="0080667C" w:rsidP="0080667C">
      <w:pPr>
        <w:pStyle w:val="AERbodytext"/>
        <w:rPr>
          <w:rStyle w:val="AERbody"/>
        </w:rPr>
      </w:pPr>
      <w:r>
        <w:rPr>
          <w:rStyle w:val="AERbody"/>
        </w:rPr>
        <w:t>We have included $</w:t>
      </w:r>
      <w:r w:rsidR="00D64697">
        <w:rPr>
          <w:rStyle w:val="AERbody"/>
        </w:rPr>
        <w:t>1.8</w:t>
      </w:r>
      <w:r>
        <w:rPr>
          <w:rStyle w:val="AERbody"/>
        </w:rPr>
        <w:t xml:space="preserve"> million </w:t>
      </w:r>
      <w:r w:rsidRPr="00DD5172">
        <w:rPr>
          <w:rStyle w:val="AERbody"/>
        </w:rPr>
        <w:t xml:space="preserve">($2015, </w:t>
      </w:r>
      <w:r w:rsidR="00847A6C" w:rsidRPr="00847A6C">
        <w:rPr>
          <w:rStyle w:val="AERbody"/>
        </w:rPr>
        <w:t>unescalated direct costs, excluding overheads</w:t>
      </w:r>
      <w:r w:rsidRPr="00DD5172">
        <w:rPr>
          <w:rStyle w:val="AERbody"/>
        </w:rPr>
        <w:t>)</w:t>
      </w:r>
      <w:r>
        <w:rPr>
          <w:rStyle w:val="AERbody"/>
        </w:rPr>
        <w:t xml:space="preserve"> of </w:t>
      </w:r>
      <w:r w:rsidR="00927678">
        <w:rPr>
          <w:rStyle w:val="AERbody"/>
        </w:rPr>
        <w:t>GAW</w:t>
      </w:r>
      <w:r>
        <w:rPr>
          <w:rStyle w:val="AERbody"/>
        </w:rPr>
        <w:t xml:space="preserve"> expenditure in our capex forecast. We </w:t>
      </w:r>
      <w:r w:rsidR="001A5C0D">
        <w:rPr>
          <w:rStyle w:val="AERbody"/>
        </w:rPr>
        <w:t xml:space="preserve">are not satisfied </w:t>
      </w:r>
      <w:r>
        <w:rPr>
          <w:rStyle w:val="AERbody"/>
        </w:rPr>
        <w:t>that JGN's proposed amount of $</w:t>
      </w:r>
      <w:r w:rsidR="00927678">
        <w:rPr>
          <w:rStyle w:val="AERbody"/>
        </w:rPr>
        <w:t>2.5</w:t>
      </w:r>
      <w:r>
        <w:rPr>
          <w:rStyle w:val="AERbody"/>
        </w:rPr>
        <w:t xml:space="preserve"> million </w:t>
      </w:r>
      <w:r w:rsidRPr="00DD5172">
        <w:rPr>
          <w:rStyle w:val="AERbody"/>
        </w:rPr>
        <w:t>($2015, unescalated direct costs, excluding overheads)</w:t>
      </w:r>
      <w:r>
        <w:rPr>
          <w:rStyle w:val="AERbody"/>
        </w:rPr>
        <w:t xml:space="preserve"> is prudent and efficient because</w:t>
      </w:r>
      <w:r w:rsidR="00763728">
        <w:rPr>
          <w:rStyle w:val="AERbody"/>
        </w:rPr>
        <w:t xml:space="preserve"> </w:t>
      </w:r>
      <w:r w:rsidR="001A5C0D">
        <w:rPr>
          <w:rStyle w:val="AERbody"/>
        </w:rPr>
        <w:t xml:space="preserve">we are not satisfied that </w:t>
      </w:r>
      <w:r w:rsidR="00763728">
        <w:rPr>
          <w:rStyle w:val="AERbody"/>
        </w:rPr>
        <w:t>it is arrived at on a reasonable basis</w:t>
      </w:r>
      <w:r>
        <w:rPr>
          <w:rStyle w:val="AERbody"/>
        </w:rPr>
        <w:t>.</w:t>
      </w:r>
      <w:r w:rsidR="00763728">
        <w:rPr>
          <w:rStyle w:val="FootnoteReference"/>
        </w:rPr>
        <w:footnoteReference w:id="99"/>
      </w:r>
      <w:r w:rsidR="00763728">
        <w:rPr>
          <w:rStyle w:val="AERbody"/>
        </w:rPr>
        <w:t xml:space="preserve"> This is because JGN have applied</w:t>
      </w:r>
      <w:r w:rsidR="00991231">
        <w:rPr>
          <w:rStyle w:val="AERbody"/>
        </w:rPr>
        <w:t xml:space="preserve"> an upward trend in GAW costs but has not provided </w:t>
      </w:r>
      <w:r w:rsidR="001A5C0D">
        <w:rPr>
          <w:rStyle w:val="AERbody"/>
        </w:rPr>
        <w:t>reasons</w:t>
      </w:r>
      <w:r w:rsidR="00991231">
        <w:rPr>
          <w:rStyle w:val="AERbody"/>
        </w:rPr>
        <w:t xml:space="preserve"> for assuming that GAW is increasing over the 2016-20 access arrangement period.</w:t>
      </w:r>
    </w:p>
    <w:p w:rsidR="0080667C" w:rsidRDefault="0080667C" w:rsidP="0080667C">
      <w:pPr>
        <w:pStyle w:val="AERbodytext"/>
      </w:pPr>
      <w:r w:rsidRPr="00DD5172">
        <w:rPr>
          <w:rStyle w:val="AERbody"/>
        </w:rPr>
        <w:t xml:space="preserve">JGN proposed </w:t>
      </w:r>
      <w:r w:rsidR="00763728">
        <w:rPr>
          <w:rStyle w:val="AERbody"/>
        </w:rPr>
        <w:t>GAW</w:t>
      </w:r>
      <w:r w:rsidRPr="00DD5172">
        <w:rPr>
          <w:rStyle w:val="AERbody"/>
        </w:rPr>
        <w:t xml:space="preserve"> capex of $</w:t>
      </w:r>
      <w:r w:rsidR="00763728">
        <w:rPr>
          <w:rStyle w:val="AERbody"/>
        </w:rPr>
        <w:t>2.5</w:t>
      </w:r>
      <w:r w:rsidRPr="00DD5172">
        <w:rPr>
          <w:rStyle w:val="AERbody"/>
        </w:rPr>
        <w:t xml:space="preserve"> million ($2015, </w:t>
      </w:r>
      <w:r w:rsidR="00847A6C" w:rsidRPr="00847A6C">
        <w:rPr>
          <w:rStyle w:val="AERbody"/>
        </w:rPr>
        <w:t>unescalated direct costs, excluding overheads</w:t>
      </w:r>
      <w:r w:rsidRPr="00DD5172">
        <w:rPr>
          <w:rStyle w:val="AERbody"/>
        </w:rPr>
        <w:t xml:space="preserve">) for the 2015–20 access arrangement period. This amounts to approximately </w:t>
      </w:r>
      <w:r w:rsidR="00763728">
        <w:rPr>
          <w:rStyle w:val="AERbody"/>
        </w:rPr>
        <w:t>0.2</w:t>
      </w:r>
      <w:r w:rsidRPr="00DD5172">
        <w:rPr>
          <w:rStyle w:val="AERbody"/>
        </w:rPr>
        <w:t xml:space="preserve"> per cent of JGN‘s proposed total capex forecast, in unescalated, direct terms. It represents a </w:t>
      </w:r>
      <w:r w:rsidR="00763728">
        <w:rPr>
          <w:rStyle w:val="AERbody"/>
        </w:rPr>
        <w:t>56</w:t>
      </w:r>
      <w:r w:rsidRPr="00DD5172">
        <w:rPr>
          <w:rStyle w:val="AERbody"/>
        </w:rPr>
        <w:t xml:space="preserve"> per cent increase in expenditure compared with the current access arrangement period.</w:t>
      </w:r>
    </w:p>
    <w:p w:rsidR="0080667C" w:rsidRDefault="00DC4658" w:rsidP="0080667C">
      <w:pPr>
        <w:pStyle w:val="AERbodytext"/>
      </w:pPr>
      <w:r>
        <w:t>JGN submitted that w</w:t>
      </w:r>
      <w:r w:rsidR="0080667C" w:rsidRPr="0080667C">
        <w:t xml:space="preserve">here arrangements with the relevant authority or landowner do not provide JGN with a right guaranteeing the location of its assets, JGN is </w:t>
      </w:r>
      <w:r>
        <w:t>required</w:t>
      </w:r>
      <w:r w:rsidR="0080667C" w:rsidRPr="0080667C">
        <w:t xml:space="preserve"> to relocate them as required by the authority or landowner at </w:t>
      </w:r>
      <w:r>
        <w:t>JGN'</w:t>
      </w:r>
      <w:r w:rsidR="0080667C" w:rsidRPr="0080667C">
        <w:t xml:space="preserve">s expense. </w:t>
      </w:r>
      <w:r>
        <w:t>W</w:t>
      </w:r>
      <w:r w:rsidR="0080667C" w:rsidRPr="0080667C">
        <w:t>here JGN does have rights it recover</w:t>
      </w:r>
      <w:r>
        <w:t>s</w:t>
      </w:r>
      <w:r w:rsidR="0080667C" w:rsidRPr="0080667C">
        <w:t xml:space="preserve"> the cost of relocation from the authority or landowner.</w:t>
      </w:r>
      <w:r>
        <w:rPr>
          <w:rStyle w:val="FootnoteReference"/>
        </w:rPr>
        <w:footnoteReference w:id="100"/>
      </w:r>
    </w:p>
    <w:p w:rsidR="0080667C" w:rsidRDefault="00927678" w:rsidP="00927678">
      <w:pPr>
        <w:pStyle w:val="AERbodytext"/>
      </w:pPr>
      <w:r>
        <w:t>JGN state</w:t>
      </w:r>
      <w:r w:rsidR="001A5C0D">
        <w:t>s</w:t>
      </w:r>
      <w:r>
        <w:t xml:space="preserve"> that the t</w:t>
      </w:r>
      <w:r w:rsidRPr="00927678">
        <w:t>iming of relocations is dependent on the requirements of the relevant authority or landowner and is generally not predictable.</w:t>
      </w:r>
      <w:r>
        <w:rPr>
          <w:rStyle w:val="FootnoteReference"/>
        </w:rPr>
        <w:footnoteReference w:id="101"/>
      </w:r>
      <w:r>
        <w:t xml:space="preserve"> For this reason, its forecast of government authority work is on the basis of historical expenditure.</w:t>
      </w:r>
    </w:p>
    <w:p w:rsidR="00927678" w:rsidRDefault="00E54C24" w:rsidP="00927678">
      <w:pPr>
        <w:pStyle w:val="AERbodytext"/>
      </w:pPr>
      <w:r>
        <w:t>We</w:t>
      </w:r>
      <w:r w:rsidR="00927678">
        <w:t xml:space="preserve"> consider that this is a reasonable approach to forecasting this expenditure. </w:t>
      </w:r>
      <w:r w:rsidR="00763728">
        <w:t xml:space="preserve">However, given the unpredictability of the work, </w:t>
      </w:r>
      <w:r w:rsidR="003F23E4">
        <w:t>we</w:t>
      </w:r>
      <w:r w:rsidR="00927678">
        <w:t xml:space="preserve"> </w:t>
      </w:r>
      <w:r w:rsidR="00847A6C">
        <w:t>consider</w:t>
      </w:r>
      <w:r w:rsidR="00763728">
        <w:t xml:space="preserve"> that a longer time period</w:t>
      </w:r>
      <w:r w:rsidR="00847A6C">
        <w:t>, in particular a five year period,</w:t>
      </w:r>
      <w:r w:rsidR="00763728">
        <w:t xml:space="preserve"> is </w:t>
      </w:r>
      <w:r w:rsidR="00847A6C">
        <w:t xml:space="preserve">a </w:t>
      </w:r>
      <w:r w:rsidR="001A5C0D">
        <w:t>better</w:t>
      </w:r>
      <w:r w:rsidR="00847A6C">
        <w:t xml:space="preserve"> basis over which to derive a forecast for GAW. This period of time is sufficiently long to allow for </w:t>
      </w:r>
      <w:r w:rsidR="00847A6C">
        <w:lastRenderedPageBreak/>
        <w:t xml:space="preserve">the variation in expenditure to be captured in the estimate. We </w:t>
      </w:r>
      <w:r w:rsidR="001A5C0D">
        <w:t xml:space="preserve">are satisfied that </w:t>
      </w:r>
      <w:r w:rsidR="00847A6C">
        <w:t>not estimat</w:t>
      </w:r>
      <w:r w:rsidR="001A5C0D">
        <w:t>ing</w:t>
      </w:r>
      <w:r w:rsidR="00847A6C">
        <w:t xml:space="preserve"> the costs over a longer period </w:t>
      </w:r>
      <w:r w:rsidR="001A5C0D">
        <w:t xml:space="preserve">is appropriate, </w:t>
      </w:r>
      <w:r w:rsidR="00847A6C">
        <w:t>to enable the estimate to reflect reasonably current costs.</w:t>
      </w:r>
    </w:p>
    <w:p w:rsidR="00847A6C" w:rsidRDefault="00E54C24" w:rsidP="00927678">
      <w:pPr>
        <w:pStyle w:val="AERbodytext"/>
        <w:rPr>
          <w:rStyle w:val="AERbody"/>
        </w:rPr>
      </w:pPr>
      <w:r>
        <w:t xml:space="preserve">We </w:t>
      </w:r>
      <w:r w:rsidR="00847A6C">
        <w:t>used the most recent five years of actual GAW expenditure to calculate the annual average</w:t>
      </w:r>
      <w:r w:rsidR="000C3071">
        <w:t xml:space="preserve"> (see</w:t>
      </w:r>
      <w:r w:rsidR="008D60EC">
        <w:t xml:space="preserve"> </w:t>
      </w:r>
      <w:r w:rsidR="008D60EC">
        <w:fldChar w:fldCharType="begin"/>
      </w:r>
      <w:r w:rsidR="008D60EC">
        <w:instrText xml:space="preserve"> REF _Ref400994716 \h </w:instrText>
      </w:r>
      <w:r w:rsidR="008D60EC">
        <w:fldChar w:fldCharType="separate"/>
      </w:r>
      <w:r w:rsidR="0029475D">
        <w:t xml:space="preserve">Table </w:t>
      </w:r>
      <w:r w:rsidR="0029475D">
        <w:rPr>
          <w:noProof/>
        </w:rPr>
        <w:t>6</w:t>
      </w:r>
      <w:r w:rsidR="0029475D">
        <w:noBreakHyphen/>
      </w:r>
      <w:r w:rsidR="0029475D">
        <w:rPr>
          <w:noProof/>
        </w:rPr>
        <w:t>16</w:t>
      </w:r>
      <w:r w:rsidR="008D60EC">
        <w:fldChar w:fldCharType="end"/>
      </w:r>
      <w:r w:rsidR="000C3071">
        <w:t>)</w:t>
      </w:r>
      <w:r w:rsidR="00847A6C">
        <w:t xml:space="preserve">. </w:t>
      </w:r>
      <w:r w:rsidR="003F23E4">
        <w:t>We</w:t>
      </w:r>
      <w:r w:rsidR="00847A6C">
        <w:t xml:space="preserve"> used this average as its estimate of annual expenditure for the 2015-20 access arrangement period. </w:t>
      </w:r>
      <w:r w:rsidR="003F23E4">
        <w:t xml:space="preserve">We have </w:t>
      </w:r>
      <w:r w:rsidR="00847A6C">
        <w:t>has included GAW expenditure of $</w:t>
      </w:r>
      <w:r w:rsidR="00B94C44">
        <w:t>1.8</w:t>
      </w:r>
      <w:r w:rsidR="00847A6C">
        <w:t xml:space="preserve"> million </w:t>
      </w:r>
      <w:r w:rsidR="00847A6C" w:rsidRPr="00847A6C">
        <w:rPr>
          <w:rStyle w:val="AERbody"/>
        </w:rPr>
        <w:t>($2015, unescalated direct costs, excluding overheads)</w:t>
      </w:r>
      <w:r w:rsidR="00847A6C">
        <w:rPr>
          <w:rStyle w:val="AERbody"/>
        </w:rPr>
        <w:t xml:space="preserve"> in its alternative capex estimate.</w:t>
      </w:r>
    </w:p>
    <w:p w:rsidR="00CB0AE4" w:rsidRDefault="00CB0AE4" w:rsidP="00CB0AE4">
      <w:pPr>
        <w:pStyle w:val="Caption"/>
      </w:pPr>
      <w:bookmarkStart w:id="51" w:name="_Ref400994716"/>
      <w:r>
        <w:t xml:space="preserve">Table </w:t>
      </w:r>
      <w:fldSimple w:instr=" STYLEREF 1 \s ">
        <w:r w:rsidR="0029475D">
          <w:rPr>
            <w:noProof/>
          </w:rPr>
          <w:t>6</w:t>
        </w:r>
      </w:fldSimple>
      <w:r w:rsidR="009F7369">
        <w:noBreakHyphen/>
      </w:r>
      <w:fldSimple w:instr=" SEQ Table \* ARABIC \s 1 ">
        <w:r w:rsidR="0029475D">
          <w:rPr>
            <w:noProof/>
          </w:rPr>
          <w:t>16</w:t>
        </w:r>
      </w:fldSimple>
      <w:bookmarkEnd w:id="51"/>
      <w:r>
        <w:tab/>
        <w:t>AER estimate of GAW expenditure ($</w:t>
      </w:r>
      <w:r w:rsidR="00B94C44">
        <w:t>'000s</w:t>
      </w:r>
      <w:r>
        <w:t xml:space="preserve">, 2015 </w:t>
      </w:r>
      <w:r w:rsidRPr="00CB0AE4">
        <w:t>unescalated direct costs, excluding overheads</w:t>
      </w:r>
      <w:r>
        <w:t>)</w:t>
      </w:r>
    </w:p>
    <w:tbl>
      <w:tblPr>
        <w:tblStyle w:val="AERtable-numbers"/>
        <w:tblW w:w="9202" w:type="dxa"/>
        <w:tblLook w:val="04A0" w:firstRow="1" w:lastRow="0" w:firstColumn="1" w:lastColumn="0" w:noHBand="0" w:noVBand="1"/>
      </w:tblPr>
      <w:tblGrid>
        <w:gridCol w:w="2639"/>
        <w:gridCol w:w="1093"/>
        <w:gridCol w:w="1094"/>
        <w:gridCol w:w="1094"/>
        <w:gridCol w:w="1094"/>
        <w:gridCol w:w="1094"/>
        <w:gridCol w:w="1094"/>
      </w:tblGrid>
      <w:tr w:rsidR="00CB0AE4" w:rsidTr="008E1FE5">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0" w:type="auto"/>
          </w:tcPr>
          <w:p w:rsidR="00CB0AE4" w:rsidRPr="00CB0AE4" w:rsidRDefault="00CB0AE4" w:rsidP="00CB0AE4">
            <w:pPr>
              <w:pStyle w:val="AERbodytext"/>
            </w:pPr>
          </w:p>
        </w:tc>
        <w:tc>
          <w:tcPr>
            <w:tcW w:w="1093" w:type="dxa"/>
            <w:vAlign w:val="bottom"/>
          </w:tcPr>
          <w:p w:rsidR="00CB0AE4" w:rsidRPr="00CB0AE4" w:rsidRDefault="00CB0AE4" w:rsidP="008E1FE5">
            <w:pPr>
              <w:pStyle w:val="AERtabletextright"/>
              <w:cnfStyle w:val="100000000000" w:firstRow="1" w:lastRow="0" w:firstColumn="0" w:lastColumn="0" w:oddVBand="0" w:evenVBand="0" w:oddHBand="0" w:evenHBand="0" w:firstRowFirstColumn="0" w:firstRowLastColumn="0" w:lastRowFirstColumn="0" w:lastRowLastColumn="0"/>
              <w:rPr>
                <w:rFonts w:eastAsiaTheme="minorHAnsi"/>
              </w:rPr>
            </w:pPr>
            <w:r w:rsidRPr="00CB0AE4">
              <w:t>20</w:t>
            </w:r>
            <w:r w:rsidR="00B94C44">
              <w:t>08-09</w:t>
            </w:r>
          </w:p>
        </w:tc>
        <w:tc>
          <w:tcPr>
            <w:tcW w:w="1094" w:type="dxa"/>
            <w:vAlign w:val="bottom"/>
          </w:tcPr>
          <w:p w:rsidR="00CB0AE4" w:rsidRPr="00CB0AE4" w:rsidRDefault="00CB0AE4" w:rsidP="008E1FE5">
            <w:pPr>
              <w:pStyle w:val="AERtabletextright"/>
              <w:cnfStyle w:val="100000000000" w:firstRow="1" w:lastRow="0" w:firstColumn="0" w:lastColumn="0" w:oddVBand="0" w:evenVBand="0" w:oddHBand="0" w:evenHBand="0" w:firstRowFirstColumn="0" w:firstRowLastColumn="0" w:lastRowFirstColumn="0" w:lastRowLastColumn="0"/>
              <w:rPr>
                <w:rFonts w:eastAsiaTheme="minorHAnsi"/>
              </w:rPr>
            </w:pPr>
            <w:r w:rsidRPr="00CB0AE4">
              <w:t>20</w:t>
            </w:r>
            <w:r w:rsidR="00B94C44">
              <w:t>09</w:t>
            </w:r>
            <w:r w:rsidRPr="00CB0AE4">
              <w:t>-1</w:t>
            </w:r>
            <w:r w:rsidR="00B94C44">
              <w:t>0</w:t>
            </w:r>
          </w:p>
        </w:tc>
        <w:tc>
          <w:tcPr>
            <w:tcW w:w="1094" w:type="dxa"/>
            <w:vAlign w:val="bottom"/>
          </w:tcPr>
          <w:p w:rsidR="00CB0AE4" w:rsidRPr="00CB0AE4" w:rsidRDefault="00CB0AE4" w:rsidP="008E1FE5">
            <w:pPr>
              <w:pStyle w:val="AERtabletextright"/>
              <w:cnfStyle w:val="100000000000" w:firstRow="1" w:lastRow="0" w:firstColumn="0" w:lastColumn="0" w:oddVBand="0" w:evenVBand="0" w:oddHBand="0" w:evenHBand="0" w:firstRowFirstColumn="0" w:firstRowLastColumn="0" w:lastRowFirstColumn="0" w:lastRowLastColumn="0"/>
              <w:rPr>
                <w:rFonts w:eastAsiaTheme="minorHAnsi"/>
              </w:rPr>
            </w:pPr>
            <w:r w:rsidRPr="00CB0AE4">
              <w:t>201</w:t>
            </w:r>
            <w:r w:rsidR="00B94C44">
              <w:t>0</w:t>
            </w:r>
            <w:r w:rsidRPr="00CB0AE4">
              <w:t>-1</w:t>
            </w:r>
            <w:r w:rsidR="00B94C44">
              <w:t>1</w:t>
            </w:r>
          </w:p>
        </w:tc>
        <w:tc>
          <w:tcPr>
            <w:tcW w:w="1094" w:type="dxa"/>
            <w:vAlign w:val="bottom"/>
          </w:tcPr>
          <w:p w:rsidR="00CB0AE4" w:rsidRPr="00CB0AE4" w:rsidRDefault="00CB0AE4" w:rsidP="008E1FE5">
            <w:pPr>
              <w:pStyle w:val="AERtabletextright"/>
              <w:cnfStyle w:val="100000000000" w:firstRow="1" w:lastRow="0" w:firstColumn="0" w:lastColumn="0" w:oddVBand="0" w:evenVBand="0" w:oddHBand="0" w:evenHBand="0" w:firstRowFirstColumn="0" w:firstRowLastColumn="0" w:lastRowFirstColumn="0" w:lastRowLastColumn="0"/>
              <w:rPr>
                <w:rFonts w:eastAsiaTheme="minorHAnsi"/>
              </w:rPr>
            </w:pPr>
            <w:r w:rsidRPr="00CB0AE4">
              <w:t>201</w:t>
            </w:r>
            <w:r w:rsidR="00B94C44">
              <w:t>1</w:t>
            </w:r>
            <w:r w:rsidRPr="00CB0AE4">
              <w:t>-1</w:t>
            </w:r>
            <w:r w:rsidR="00B94C44">
              <w:t>2</w:t>
            </w:r>
          </w:p>
        </w:tc>
        <w:tc>
          <w:tcPr>
            <w:tcW w:w="1094" w:type="dxa"/>
            <w:vAlign w:val="bottom"/>
          </w:tcPr>
          <w:p w:rsidR="00CB0AE4" w:rsidRPr="00CB0AE4" w:rsidRDefault="00CB0AE4" w:rsidP="008E1FE5">
            <w:pPr>
              <w:pStyle w:val="AERtabletextright"/>
              <w:cnfStyle w:val="100000000000" w:firstRow="1" w:lastRow="0" w:firstColumn="0" w:lastColumn="0" w:oddVBand="0" w:evenVBand="0" w:oddHBand="0" w:evenHBand="0" w:firstRowFirstColumn="0" w:firstRowLastColumn="0" w:lastRowFirstColumn="0" w:lastRowLastColumn="0"/>
              <w:rPr>
                <w:rFonts w:eastAsiaTheme="minorHAnsi"/>
              </w:rPr>
            </w:pPr>
            <w:r w:rsidRPr="00CB0AE4">
              <w:t>201</w:t>
            </w:r>
            <w:r w:rsidR="00B94C44">
              <w:t>2</w:t>
            </w:r>
            <w:r w:rsidRPr="00CB0AE4">
              <w:t>-</w:t>
            </w:r>
            <w:r w:rsidR="00B94C44">
              <w:t>13</w:t>
            </w:r>
          </w:p>
        </w:tc>
        <w:tc>
          <w:tcPr>
            <w:tcW w:w="1094" w:type="dxa"/>
            <w:vAlign w:val="bottom"/>
          </w:tcPr>
          <w:p w:rsidR="00CB0AE4" w:rsidRPr="00CB0AE4" w:rsidRDefault="00CB0AE4" w:rsidP="008E1FE5">
            <w:pPr>
              <w:pStyle w:val="AERtabletextright"/>
              <w:cnfStyle w:val="100000000000" w:firstRow="1" w:lastRow="0" w:firstColumn="0" w:lastColumn="0" w:oddVBand="0" w:evenVBand="0" w:oddHBand="0" w:evenHBand="0" w:firstRowFirstColumn="0" w:firstRowLastColumn="0" w:lastRowFirstColumn="0" w:lastRowLastColumn="0"/>
              <w:rPr>
                <w:rFonts w:eastAsiaTheme="minorHAnsi"/>
              </w:rPr>
            </w:pPr>
            <w:r>
              <w:t>Annual average</w:t>
            </w:r>
          </w:p>
        </w:tc>
      </w:tr>
      <w:tr w:rsidR="00B94C44" w:rsidTr="008E1FE5">
        <w:trPr>
          <w:trHeight w:val="585"/>
        </w:trPr>
        <w:tc>
          <w:tcPr>
            <w:cnfStyle w:val="001000000000" w:firstRow="0" w:lastRow="0" w:firstColumn="1" w:lastColumn="0" w:oddVBand="0" w:evenVBand="0" w:oddHBand="0" w:evenHBand="0" w:firstRowFirstColumn="0" w:firstRowLastColumn="0" w:lastRowFirstColumn="0" w:lastRowLastColumn="0"/>
            <w:tcW w:w="0" w:type="auto"/>
          </w:tcPr>
          <w:p w:rsidR="00B94C44" w:rsidRPr="00B94C44" w:rsidRDefault="00B94C44" w:rsidP="00B94C44">
            <w:pPr>
              <w:pStyle w:val="AERbodytext"/>
            </w:pPr>
            <w:r w:rsidRPr="00B94C44">
              <w:t>Historical GAW expenditure</w:t>
            </w:r>
          </w:p>
        </w:tc>
        <w:tc>
          <w:tcPr>
            <w:tcW w:w="1093" w:type="dxa"/>
            <w:vAlign w:val="top"/>
          </w:tcPr>
          <w:p w:rsidR="00B94C44" w:rsidRPr="008E1FE5" w:rsidRDefault="00B94C44" w:rsidP="008E1FE5">
            <w:pPr>
              <w:pStyle w:val="AERtabletextright"/>
              <w:cnfStyle w:val="000000000000" w:firstRow="0" w:lastRow="0" w:firstColumn="0" w:lastColumn="0" w:oddVBand="0" w:evenVBand="0" w:oddHBand="0" w:evenHBand="0" w:firstRowFirstColumn="0" w:firstRowLastColumn="0" w:lastRowFirstColumn="0" w:lastRowLastColumn="0"/>
            </w:pPr>
            <w:r w:rsidRPr="008E1FE5">
              <w:t>677</w:t>
            </w:r>
          </w:p>
        </w:tc>
        <w:tc>
          <w:tcPr>
            <w:tcW w:w="1094" w:type="dxa"/>
            <w:vAlign w:val="top"/>
          </w:tcPr>
          <w:p w:rsidR="00B94C44" w:rsidRPr="008E1FE5" w:rsidRDefault="00B94C44" w:rsidP="008E1FE5">
            <w:pPr>
              <w:pStyle w:val="AERtabletextright"/>
              <w:cnfStyle w:val="000000000000" w:firstRow="0" w:lastRow="0" w:firstColumn="0" w:lastColumn="0" w:oddVBand="0" w:evenVBand="0" w:oddHBand="0" w:evenHBand="0" w:firstRowFirstColumn="0" w:firstRowLastColumn="0" w:lastRowFirstColumn="0" w:lastRowLastColumn="0"/>
            </w:pPr>
            <w:r w:rsidRPr="008E1FE5">
              <w:t>584</w:t>
            </w:r>
          </w:p>
        </w:tc>
        <w:tc>
          <w:tcPr>
            <w:tcW w:w="1094" w:type="dxa"/>
            <w:vAlign w:val="top"/>
          </w:tcPr>
          <w:p w:rsidR="00B94C44" w:rsidRPr="008E1FE5" w:rsidRDefault="00B94C44" w:rsidP="008E1FE5">
            <w:pPr>
              <w:pStyle w:val="AERtabletextright"/>
              <w:cnfStyle w:val="000000000000" w:firstRow="0" w:lastRow="0" w:firstColumn="0" w:lastColumn="0" w:oddVBand="0" w:evenVBand="0" w:oddHBand="0" w:evenHBand="0" w:firstRowFirstColumn="0" w:firstRowLastColumn="0" w:lastRowFirstColumn="0" w:lastRowLastColumn="0"/>
            </w:pPr>
            <w:r w:rsidRPr="008E1FE5">
              <w:t>117</w:t>
            </w:r>
          </w:p>
        </w:tc>
        <w:tc>
          <w:tcPr>
            <w:tcW w:w="1094" w:type="dxa"/>
            <w:vAlign w:val="top"/>
          </w:tcPr>
          <w:p w:rsidR="00B94C44" w:rsidRPr="008E1FE5" w:rsidRDefault="00B94C44" w:rsidP="008E1FE5">
            <w:pPr>
              <w:pStyle w:val="AERtabletextright"/>
              <w:cnfStyle w:val="000000000000" w:firstRow="0" w:lastRow="0" w:firstColumn="0" w:lastColumn="0" w:oddVBand="0" w:evenVBand="0" w:oddHBand="0" w:evenHBand="0" w:firstRowFirstColumn="0" w:firstRowLastColumn="0" w:lastRowFirstColumn="0" w:lastRowLastColumn="0"/>
            </w:pPr>
            <w:r w:rsidRPr="008E1FE5">
              <w:t>52</w:t>
            </w:r>
          </w:p>
        </w:tc>
        <w:tc>
          <w:tcPr>
            <w:tcW w:w="1094" w:type="dxa"/>
            <w:vAlign w:val="top"/>
          </w:tcPr>
          <w:p w:rsidR="00B94C44" w:rsidRPr="008E1FE5" w:rsidRDefault="00B94C44" w:rsidP="008E1FE5">
            <w:pPr>
              <w:pStyle w:val="AERtabletextright"/>
              <w:cnfStyle w:val="000000000000" w:firstRow="0" w:lastRow="0" w:firstColumn="0" w:lastColumn="0" w:oddVBand="0" w:evenVBand="0" w:oddHBand="0" w:evenHBand="0" w:firstRowFirstColumn="0" w:firstRowLastColumn="0" w:lastRowFirstColumn="0" w:lastRowLastColumn="0"/>
            </w:pPr>
            <w:r w:rsidRPr="008E1FE5">
              <w:t>382</w:t>
            </w:r>
          </w:p>
        </w:tc>
        <w:tc>
          <w:tcPr>
            <w:tcW w:w="1094" w:type="dxa"/>
          </w:tcPr>
          <w:p w:rsidR="00B94C44" w:rsidRPr="008E1FE5" w:rsidRDefault="00B94C44" w:rsidP="008E1FE5">
            <w:pPr>
              <w:pStyle w:val="AERtabletextright"/>
              <w:cnfStyle w:val="000000000000" w:firstRow="0" w:lastRow="0" w:firstColumn="0" w:lastColumn="0" w:oddVBand="0" w:evenVBand="0" w:oddHBand="0" w:evenHBand="0" w:firstRowFirstColumn="0" w:firstRowLastColumn="0" w:lastRowFirstColumn="0" w:lastRowLastColumn="0"/>
            </w:pPr>
            <w:r w:rsidRPr="008E1FE5">
              <w:t>363</w:t>
            </w:r>
          </w:p>
        </w:tc>
      </w:tr>
    </w:tbl>
    <w:p w:rsidR="00CB0AE4" w:rsidRPr="00CB0AE4" w:rsidRDefault="00CB0AE4" w:rsidP="00CB0AE4">
      <w:pPr>
        <w:pStyle w:val="AERtablesource"/>
      </w:pPr>
      <w:r>
        <w:t xml:space="preserve">Source: </w:t>
      </w:r>
      <w:r>
        <w:tab/>
      </w:r>
      <w:r w:rsidRPr="00CB0AE4">
        <w:t xml:space="preserve">JGN, </w:t>
      </w:r>
      <w:r w:rsidRPr="00CB0AE4">
        <w:rPr>
          <w:rStyle w:val="AERtextitalic"/>
        </w:rPr>
        <w:t>2015-20 Access Arrangement Information – Confidential</w:t>
      </w:r>
      <w:r w:rsidRPr="00CB0AE4">
        <w:t>, 30 June 2014, Appendix A to the AA RIN response - Regulatory templates (CONFIDENTIAL) [UPDATE].XLSM.</w:t>
      </w:r>
    </w:p>
    <w:p w:rsidR="004743DC" w:rsidRDefault="00991231" w:rsidP="00991231">
      <w:pPr>
        <w:pStyle w:val="AERbodytext"/>
      </w:pPr>
      <w:r>
        <w:t>We</w:t>
      </w:r>
      <w:r w:rsidR="004138BF">
        <w:t xml:space="preserve"> expect that the majority of </w:t>
      </w:r>
      <w:r w:rsidR="004743DC">
        <w:t>relocation work is fully cost recovered. JGN has not provided</w:t>
      </w:r>
      <w:r w:rsidR="003F23E4">
        <w:t xml:space="preserve"> </w:t>
      </w:r>
      <w:r w:rsidR="001A5C0D">
        <w:t xml:space="preserve">reasons as to why </w:t>
      </w:r>
      <w:r w:rsidR="003F23E4">
        <w:t xml:space="preserve">no </w:t>
      </w:r>
      <w:r w:rsidR="004743DC">
        <w:t>cost recovery of government authority work</w:t>
      </w:r>
      <w:r w:rsidR="003F23E4">
        <w:t xml:space="preserve"> has been included. </w:t>
      </w:r>
      <w:r w:rsidR="004743DC">
        <w:t>We note that the Victorian gas distribution businesses fully recovered this work.</w:t>
      </w:r>
      <w:r w:rsidR="004743DC">
        <w:rPr>
          <w:rStyle w:val="FootnoteReference"/>
        </w:rPr>
        <w:footnoteReference w:id="102"/>
      </w:r>
      <w:r w:rsidR="004743DC">
        <w:t xml:space="preserve"> On this basis we have included customer contributions which </w:t>
      </w:r>
      <w:r w:rsidR="003E6B69">
        <w:t>total</w:t>
      </w:r>
      <w:r w:rsidR="004743DC">
        <w:t>ly offset the GAW expenditure.</w:t>
      </w:r>
    </w:p>
    <w:p w:rsidR="00275734" w:rsidRDefault="00275734" w:rsidP="00275734">
      <w:pPr>
        <w:pStyle w:val="HeadingBoldBlue"/>
      </w:pPr>
      <w:r w:rsidRPr="00275734">
        <w:t>IT</w:t>
      </w:r>
    </w:p>
    <w:p w:rsidR="003F23E4" w:rsidRPr="003F23E4" w:rsidRDefault="009C33E8" w:rsidP="003F23E4">
      <w:pPr>
        <w:pStyle w:val="AERbodytext"/>
      </w:pPr>
      <w:r>
        <w:t xml:space="preserve">IT capex includes projects to maintain and develop IT capacity and deliver improved IT capabilities to support business operations, including to </w:t>
      </w:r>
      <w:r w:rsidR="003F23E4">
        <w:t xml:space="preserve">achieve </w:t>
      </w:r>
      <w:r>
        <w:t>compliance with regulatory obligations.</w:t>
      </w:r>
      <w:r w:rsidRPr="00FB2461">
        <w:t xml:space="preserve"> </w:t>
      </w:r>
      <w:r>
        <w:t>IT capex is required to support the operation of the network and associated business activities, such as billing an accounting.</w:t>
      </w:r>
      <w:r>
        <w:rPr>
          <w:rStyle w:val="FootnoteReference"/>
        </w:rPr>
        <w:footnoteReference w:id="103"/>
      </w:r>
      <w:r w:rsidR="003F23E4" w:rsidRPr="003F23E4">
        <w:t xml:space="preserve"> We </w:t>
      </w:r>
      <w:r w:rsidR="001A5C0D">
        <w:t>are satisfied</w:t>
      </w:r>
      <w:r w:rsidR="001A5C0D" w:rsidRPr="003F23E4">
        <w:t xml:space="preserve"> </w:t>
      </w:r>
      <w:r w:rsidR="003F23E4" w:rsidRPr="003F23E4">
        <w:t>that IT capex is justified on the basis of one or more of the sub-rules in rule 79(2)(c) of the NGR. IT capex may be necessary to meet a regulatory obligation, or to maintain the safety or integrity of services.</w:t>
      </w:r>
      <w:r w:rsidR="003F23E4" w:rsidRPr="003F23E4">
        <w:rPr>
          <w:rStyle w:val="FootnoteReference"/>
        </w:rPr>
        <w:footnoteReference w:id="104"/>
      </w:r>
    </w:p>
    <w:p w:rsidR="00853D35" w:rsidRDefault="009C33E8" w:rsidP="000003DE">
      <w:pPr>
        <w:pStyle w:val="AERbodytext"/>
      </w:pPr>
      <w:r>
        <w:rPr>
          <w:rStyle w:val="AERbody"/>
        </w:rPr>
        <w:t>We have included JGN's estimate of $</w:t>
      </w:r>
      <w:r w:rsidRPr="000003DE">
        <w:t>12</w:t>
      </w:r>
      <w:r w:rsidR="000003DE" w:rsidRPr="000003DE">
        <w:t>7</w:t>
      </w:r>
      <w:r w:rsidRPr="000003DE">
        <w:t>.9</w:t>
      </w:r>
      <w:r>
        <w:rPr>
          <w:rStyle w:val="AERbody"/>
        </w:rPr>
        <w:t xml:space="preserve"> million </w:t>
      </w:r>
      <w:r w:rsidRPr="00DD5172">
        <w:rPr>
          <w:rStyle w:val="AERbody"/>
        </w:rPr>
        <w:t>($2015, unescalated direct costs, excluding overheads)</w:t>
      </w:r>
      <w:r>
        <w:rPr>
          <w:rStyle w:val="AERbody"/>
        </w:rPr>
        <w:t xml:space="preserve"> for IT capex in our alternative capex forecast. We accept that JGN's forecast of this amount </w:t>
      </w:r>
      <w:r>
        <w:t xml:space="preserve">has been arrived at on a reasonable basis. </w:t>
      </w:r>
      <w:r w:rsidR="001A5C0D">
        <w:t>For the reasons below, we are satisfied that t</w:t>
      </w:r>
      <w:r>
        <w:t>he forecast capex is such as would be incurred by a prudent service provider acting efficiently.</w:t>
      </w:r>
      <w:r>
        <w:rPr>
          <w:rStyle w:val="FootnoteReference"/>
        </w:rPr>
        <w:footnoteReference w:id="105"/>
      </w:r>
      <w:r w:rsidR="001A5C0D" w:rsidDel="001A5C0D">
        <w:t xml:space="preserve"> </w:t>
      </w:r>
    </w:p>
    <w:p w:rsidR="00853D35" w:rsidRDefault="009C33E8" w:rsidP="000003DE">
      <w:pPr>
        <w:pStyle w:val="AERbodytext"/>
        <w:rPr>
          <w:rStyle w:val="AERbody"/>
        </w:rPr>
      </w:pPr>
      <w:r w:rsidRPr="00DD5172">
        <w:rPr>
          <w:rStyle w:val="AERbody"/>
        </w:rPr>
        <w:t xml:space="preserve">JGN proposed </w:t>
      </w:r>
      <w:r>
        <w:rPr>
          <w:rStyle w:val="AERbody"/>
        </w:rPr>
        <w:t>IT</w:t>
      </w:r>
      <w:r w:rsidRPr="00643043">
        <w:rPr>
          <w:rStyle w:val="AERbody"/>
        </w:rPr>
        <w:t xml:space="preserve"> capex of $</w:t>
      </w:r>
      <w:r w:rsidRPr="000003DE">
        <w:t>12</w:t>
      </w:r>
      <w:r w:rsidR="000003DE" w:rsidRPr="000003DE">
        <w:t>7</w:t>
      </w:r>
      <w:r w:rsidRPr="000003DE">
        <w:t>.9</w:t>
      </w:r>
      <w:r w:rsidRPr="00643043">
        <w:rPr>
          <w:rStyle w:val="AERbody"/>
        </w:rPr>
        <w:t xml:space="preserve"> million ($2015, unescalated direct costs, excluding overheads) for the 2015–</w:t>
      </w:r>
      <w:r>
        <w:rPr>
          <w:rStyle w:val="AERbody"/>
        </w:rPr>
        <w:t>20</w:t>
      </w:r>
      <w:r w:rsidRPr="00643043">
        <w:rPr>
          <w:rStyle w:val="AERbody"/>
        </w:rPr>
        <w:t>20 access arr</w:t>
      </w:r>
      <w:r>
        <w:rPr>
          <w:rStyle w:val="AERbody"/>
        </w:rPr>
        <w:t>angement period.</w:t>
      </w:r>
      <w:r>
        <w:rPr>
          <w:rStyle w:val="FootnoteReference"/>
        </w:rPr>
        <w:footnoteReference w:id="106"/>
      </w:r>
      <w:r>
        <w:rPr>
          <w:rStyle w:val="AERbody"/>
        </w:rPr>
        <w:t xml:space="preserve"> This is consistent with JGN's expenditure in this category in the 2010-2015 access arrangement period.</w:t>
      </w:r>
      <w:r>
        <w:rPr>
          <w:rStyle w:val="FootnoteReference"/>
        </w:rPr>
        <w:footnoteReference w:id="107"/>
      </w:r>
      <w:r>
        <w:rPr>
          <w:rStyle w:val="AERbody"/>
        </w:rPr>
        <w:t xml:space="preserve"> IT capex accounts for</w:t>
      </w:r>
      <w:r w:rsidRPr="00643043">
        <w:rPr>
          <w:rStyle w:val="AERbody"/>
        </w:rPr>
        <w:t xml:space="preserve"> </w:t>
      </w:r>
      <w:r w:rsidR="000003DE" w:rsidRPr="000003DE">
        <w:t>12</w:t>
      </w:r>
      <w:r w:rsidRPr="000003DE">
        <w:t> per cent</w:t>
      </w:r>
      <w:r w:rsidRPr="00643043">
        <w:rPr>
          <w:rStyle w:val="AERbody"/>
        </w:rPr>
        <w:t xml:space="preserve"> of JGN‘s proposed total capex forecast, in unescalated, </w:t>
      </w:r>
      <w:r>
        <w:rPr>
          <w:rStyle w:val="AERbody"/>
        </w:rPr>
        <w:t xml:space="preserve">direct terms. </w:t>
      </w:r>
    </w:p>
    <w:p w:rsidR="009C33E8" w:rsidRDefault="009C33E8" w:rsidP="000003DE">
      <w:pPr>
        <w:pStyle w:val="AERbodytext"/>
      </w:pPr>
      <w:r>
        <w:rPr>
          <w:rStyle w:val="AERbody"/>
        </w:rPr>
        <w:t>JGN identified the key projects within the IT capex forecast as:</w:t>
      </w:r>
      <w:r>
        <w:rPr>
          <w:rStyle w:val="FootnoteReference"/>
        </w:rPr>
        <w:footnoteReference w:id="108"/>
      </w:r>
    </w:p>
    <w:p w:rsidR="009C33E8" w:rsidRPr="00F32624" w:rsidRDefault="009C33E8" w:rsidP="009C33E8">
      <w:pPr>
        <w:pStyle w:val="AERbulletlistfirststyle"/>
      </w:pPr>
      <w:r w:rsidRPr="00F32624">
        <w:lastRenderedPageBreak/>
        <w:t>completing the GASS+ replacement project which will replace JGN’s le</w:t>
      </w:r>
      <w:r>
        <w:t xml:space="preserve">gacy asset and works management </w:t>
      </w:r>
      <w:r w:rsidRPr="00F32624">
        <w:t>system with a SAP-based system</w:t>
      </w:r>
    </w:p>
    <w:p w:rsidR="009C33E8" w:rsidRPr="00F32624" w:rsidRDefault="009C33E8" w:rsidP="009C33E8">
      <w:pPr>
        <w:pStyle w:val="AERbulletlistfirststyle"/>
      </w:pPr>
      <w:r w:rsidRPr="00F32624">
        <w:t>establishing new geographic information system (GIS) capabilities en</w:t>
      </w:r>
      <w:r>
        <w:t xml:space="preserve">compassing all land based asset </w:t>
      </w:r>
      <w:r w:rsidRPr="00F32624">
        <w:t>information, mapping, geographic and topographic information</w:t>
      </w:r>
    </w:p>
    <w:p w:rsidR="009C33E8" w:rsidRPr="00275734" w:rsidRDefault="009C33E8" w:rsidP="009C33E8">
      <w:pPr>
        <w:pStyle w:val="AERbulletlistfirststyle"/>
      </w:pPr>
      <w:r w:rsidRPr="00F32624">
        <w:t>introducing a field mobility solution which builds on the GIS and the works delivery capability provid</w:t>
      </w:r>
      <w:r>
        <w:t xml:space="preserve">ed by the </w:t>
      </w:r>
      <w:r w:rsidRPr="00F32624">
        <w:t>SAP gas system.</w:t>
      </w:r>
    </w:p>
    <w:p w:rsidR="009C33E8" w:rsidRDefault="009C33E8" w:rsidP="009C33E8">
      <w:pPr>
        <w:pStyle w:val="AERbodytext"/>
      </w:pPr>
      <w:r>
        <w:t>JGN's IT capex forecast is driven by a number of business needs identified by JGN, including the need to:</w:t>
      </w:r>
      <w:r>
        <w:rPr>
          <w:rStyle w:val="FootnoteReference"/>
        </w:rPr>
        <w:footnoteReference w:id="109"/>
      </w:r>
    </w:p>
    <w:p w:rsidR="009C33E8" w:rsidRPr="003C56FD" w:rsidRDefault="009C33E8" w:rsidP="009C33E8">
      <w:pPr>
        <w:pStyle w:val="AERbulletlistfirststyle"/>
      </w:pPr>
      <w:r>
        <w:t xml:space="preserve">sustain the </w:t>
      </w:r>
      <w:r w:rsidRPr="003C56FD">
        <w:t>asset b</w:t>
      </w:r>
      <w:r>
        <w:t>ase through upgrades, optimise asset performance and provide</w:t>
      </w:r>
      <w:r w:rsidRPr="003C56FD">
        <w:t xml:space="preserve"> for energy market growth </w:t>
      </w:r>
    </w:p>
    <w:p w:rsidR="009C33E8" w:rsidRPr="003C56FD" w:rsidRDefault="009C33E8" w:rsidP="009C33E8">
      <w:pPr>
        <w:pStyle w:val="AERbulletlistfirststyle"/>
      </w:pPr>
      <w:r>
        <w:t>implement</w:t>
      </w:r>
      <w:r w:rsidRPr="003C56FD">
        <w:t xml:space="preserve"> projects which were deferred from the </w:t>
      </w:r>
      <w:r>
        <w:t>2010-2015 access arrangement</w:t>
      </w:r>
      <w:r w:rsidRPr="003C56FD">
        <w:t xml:space="preserve"> per</w:t>
      </w:r>
      <w:r>
        <w:t>iod as a result of work required</w:t>
      </w:r>
      <w:r w:rsidRPr="003C56FD">
        <w:t xml:space="preserve"> to implement the Nati</w:t>
      </w:r>
      <w:r>
        <w:t>onal Energy Customer Framework</w:t>
      </w:r>
      <w:r w:rsidRPr="003C56FD">
        <w:t xml:space="preserve"> in NSW </w:t>
      </w:r>
    </w:p>
    <w:p w:rsidR="009C33E8" w:rsidRPr="003C56FD" w:rsidRDefault="009C33E8" w:rsidP="009C33E8">
      <w:pPr>
        <w:pStyle w:val="AERbulletlistfirststyle"/>
      </w:pPr>
      <w:r>
        <w:t>replace</w:t>
      </w:r>
      <w:r w:rsidRPr="003C56FD">
        <w:t xml:space="preserve"> systems that have come to the end of their useful life </w:t>
      </w:r>
    </w:p>
    <w:p w:rsidR="009C33E8" w:rsidRPr="003C56FD" w:rsidRDefault="009C33E8" w:rsidP="009C33E8">
      <w:pPr>
        <w:pStyle w:val="AERbulletlistfirststyle"/>
      </w:pPr>
      <w:r>
        <w:t>add</w:t>
      </w:r>
      <w:r w:rsidRPr="003C56FD">
        <w:t xml:space="preserve"> new s</w:t>
      </w:r>
      <w:r>
        <w:t>ystems and technologies to enhance</w:t>
      </w:r>
      <w:r w:rsidRPr="003C56FD">
        <w:t xml:space="preserve"> JGN</w:t>
      </w:r>
      <w:r>
        <w:t xml:space="preserve">'s </w:t>
      </w:r>
      <w:r w:rsidRPr="003C56FD">
        <w:t>capability</w:t>
      </w:r>
      <w:r>
        <w:t>, particularly</w:t>
      </w:r>
      <w:r w:rsidRPr="003C56FD">
        <w:t xml:space="preserve"> in the areas of geographic information systems, field mobility and business intelligence and analytics. </w:t>
      </w:r>
    </w:p>
    <w:p w:rsidR="009C33E8" w:rsidRDefault="009C33E8" w:rsidP="009C33E8">
      <w:pPr>
        <w:pStyle w:val="AERbodytext"/>
      </w:pPr>
      <w:r>
        <w:t>JGN's IT capex forecast is supported by its IT strategy and asset management plan. The IT strategy and asset management plan sets out JGN's IT strategy and governance arrangements, cost planning and forecasting methodology, and details of all projects included in the IT capital works program.</w:t>
      </w:r>
      <w:r>
        <w:rPr>
          <w:rStyle w:val="FootnoteReference"/>
        </w:rPr>
        <w:footnoteReference w:id="110"/>
      </w:r>
      <w:r>
        <w:t xml:space="preserve"> </w:t>
      </w:r>
    </w:p>
    <w:p w:rsidR="009C33E8" w:rsidRDefault="009C33E8" w:rsidP="009C33E8">
      <w:pPr>
        <w:pStyle w:val="AERbodytext"/>
      </w:pPr>
      <w:r>
        <w:t>JGN also submitted a series of project investment documents covering all proposed IT capex projects. The project investment documents set out the scope, business need and justification for the proposed IT capex projects, as well as other options and constraints considered and detailed project costs where available. On the basis of the information provided, we consider that JGN's IT capex forecast is consistent with its IT strategy and is appropriately justified with regard to JGN's business needs. We are therefore satisfied that the scope and nature of IT capex projects proposed is such as would be incurred by a prudent service provider.</w:t>
      </w:r>
    </w:p>
    <w:p w:rsidR="009C33E8" w:rsidRDefault="009C33E8" w:rsidP="009C33E8">
      <w:pPr>
        <w:pStyle w:val="AERbodytext"/>
      </w:pPr>
      <w:r>
        <w:t>JGN's cost estimates for IT capex projects are derived from a variety of sources, including competitive tender processes, estimates obtained from contractors or manufacturers, and actual historical costs for similar projects.</w:t>
      </w:r>
      <w:r>
        <w:rPr>
          <w:rStyle w:val="FootnoteReference"/>
        </w:rPr>
        <w:footnoteReference w:id="111"/>
      </w:r>
      <w:r>
        <w:t xml:space="preserve"> For example, the estimated costs for the major GASS+ replacement project have been derived directly from a competitive tender process. The cost estimates for the GIS project and IT infrastructure projects, which together account for approximately one third of JGN's proposed IT capex, are based on estimates obtained from contractors or manufacturers. On this basis, we are satisfied that JGN's estimate of IT capex costs has been arrived at on a reasonable basis and represents the best estimate possible in the circumstances.</w:t>
      </w:r>
      <w:r>
        <w:rPr>
          <w:rStyle w:val="FootnoteReference"/>
        </w:rPr>
        <w:footnoteReference w:id="112"/>
      </w:r>
    </w:p>
    <w:p w:rsidR="00275734" w:rsidRPr="00275734" w:rsidRDefault="009C33E8" w:rsidP="009C33E8">
      <w:pPr>
        <w:pStyle w:val="AERbodytext"/>
      </w:pPr>
      <w:r>
        <w:t xml:space="preserve">In summary, based on our review of the information submitted by JGN in support of its forecast IT capex, we are satisfied that the forecast capex is </w:t>
      </w:r>
      <w:r w:rsidRPr="001A73D7">
        <w:t xml:space="preserve">such as would be incurred by a prudent service provider acting efficiently, in accordance with accepted good industry practice, to achieve the lowest </w:t>
      </w:r>
      <w:r w:rsidRPr="001A73D7">
        <w:lastRenderedPageBreak/>
        <w:t>sustainable cost of providing services</w:t>
      </w:r>
      <w:r>
        <w:t>.</w:t>
      </w:r>
      <w:r>
        <w:rPr>
          <w:rStyle w:val="FootnoteReference"/>
        </w:rPr>
        <w:footnoteReference w:id="113"/>
      </w:r>
      <w:r>
        <w:t xml:space="preserve"> The various projects included in the forecast expenditure are variously necessary to meet regulatory obligations, or to maintain the safety or integrity of services.</w:t>
      </w:r>
      <w:r>
        <w:rPr>
          <w:rStyle w:val="FootnoteReference"/>
        </w:rPr>
        <w:footnoteReference w:id="114"/>
      </w:r>
    </w:p>
    <w:p w:rsidR="00275734" w:rsidRDefault="00275734" w:rsidP="00275734">
      <w:pPr>
        <w:pStyle w:val="HeadingBoldBlue"/>
      </w:pPr>
      <w:r w:rsidRPr="00275734">
        <w:t>Other - non-distribution</w:t>
      </w:r>
    </w:p>
    <w:p w:rsidR="003F23E4" w:rsidRPr="003F23E4" w:rsidRDefault="009C33E8" w:rsidP="003F23E4">
      <w:pPr>
        <w:pStyle w:val="AERbodytext"/>
      </w:pPr>
      <w:r>
        <w:t xml:space="preserve">This category includes expenditure for motor vehicles, property and other non-network capital items such as tools, furniture and office equipment. Non-network capex of this nature is required in order for JGN to efficiently manage and operate its network. </w:t>
      </w:r>
      <w:r w:rsidR="003F23E4" w:rsidRPr="003F23E4">
        <w:t xml:space="preserve">We </w:t>
      </w:r>
      <w:r w:rsidR="001A5C0D">
        <w:t>are satisfied</w:t>
      </w:r>
      <w:r w:rsidR="001A5C0D" w:rsidRPr="003F23E4">
        <w:t xml:space="preserve"> </w:t>
      </w:r>
      <w:r w:rsidR="003F23E4" w:rsidRPr="003F23E4">
        <w:t>that non-network capex is justified on the basis of rule 79(2)(c)(iv) of the NGR. It is necessary to maintain the service provider's capacity to meet levels of demand for services existing at the time the capex is incurred.</w:t>
      </w:r>
    </w:p>
    <w:p w:rsidR="009C33E8" w:rsidRDefault="009C33E8" w:rsidP="000003DE">
      <w:pPr>
        <w:pStyle w:val="AERbodytext"/>
      </w:pPr>
      <w:r>
        <w:rPr>
          <w:rStyle w:val="AERbody"/>
        </w:rPr>
        <w:t>We have included JGN's estimate of $</w:t>
      </w:r>
      <w:r w:rsidRPr="000003DE">
        <w:t>2</w:t>
      </w:r>
      <w:r w:rsidR="000003DE" w:rsidRPr="000003DE">
        <w:t>6</w:t>
      </w:r>
      <w:r w:rsidRPr="000003DE">
        <w:t>.</w:t>
      </w:r>
      <w:r w:rsidR="000003DE" w:rsidRPr="000003DE">
        <w:t>7</w:t>
      </w:r>
      <w:r>
        <w:rPr>
          <w:rStyle w:val="AERbody"/>
        </w:rPr>
        <w:t xml:space="preserve"> million </w:t>
      </w:r>
      <w:r w:rsidRPr="00DD5172">
        <w:rPr>
          <w:rStyle w:val="AERbody"/>
        </w:rPr>
        <w:t>($2015, unescalated direct costs, excluding overheads)</w:t>
      </w:r>
      <w:r>
        <w:rPr>
          <w:rStyle w:val="AERbody"/>
        </w:rPr>
        <w:t xml:space="preserve"> for other non-network capex in our capex forecast. </w:t>
      </w:r>
      <w:r w:rsidR="001A5C0D">
        <w:rPr>
          <w:rStyle w:val="AERbody"/>
        </w:rPr>
        <w:t xml:space="preserve">For the reasons below, we are satisfied </w:t>
      </w:r>
      <w:r>
        <w:rPr>
          <w:rStyle w:val="AERbody"/>
        </w:rPr>
        <w:t xml:space="preserve">that JGN's forecast of this amount </w:t>
      </w:r>
      <w:r>
        <w:t>has been arrived at on a reasonable basis. The forecast capex is such as would be incurred by a prudent service provider acting efficiently.</w:t>
      </w:r>
      <w:r>
        <w:rPr>
          <w:rStyle w:val="FootnoteReference"/>
        </w:rPr>
        <w:footnoteReference w:id="115"/>
      </w:r>
      <w:r>
        <w:t xml:space="preserve"> </w:t>
      </w:r>
    </w:p>
    <w:p w:rsidR="009C33E8" w:rsidRPr="009C33E8" w:rsidRDefault="009C33E8" w:rsidP="001A5C0D">
      <w:pPr>
        <w:pStyle w:val="AERbodytext"/>
      </w:pPr>
      <w:r w:rsidRPr="00DD5172">
        <w:rPr>
          <w:rStyle w:val="AERbody"/>
        </w:rPr>
        <w:t xml:space="preserve">JGN proposed </w:t>
      </w:r>
      <w:r w:rsidRPr="009C33E8">
        <w:rPr>
          <w:rStyle w:val="AERbody"/>
        </w:rPr>
        <w:t>other non-network capex of $</w:t>
      </w:r>
      <w:r w:rsidR="000003DE" w:rsidRPr="000003DE">
        <w:t>26.7</w:t>
      </w:r>
      <w:r w:rsidRPr="009C33E8">
        <w:rPr>
          <w:rStyle w:val="AERbody"/>
        </w:rPr>
        <w:t xml:space="preserve"> million ($2015, unescalated direct costs, excluding overheads) for the 2015–2020 access arrangement period. This accounts for 2.</w:t>
      </w:r>
      <w:r w:rsidR="002B5FE2">
        <w:rPr>
          <w:rStyle w:val="AERbody"/>
        </w:rPr>
        <w:t>5</w:t>
      </w:r>
      <w:r w:rsidRPr="009C33E8">
        <w:rPr>
          <w:rStyle w:val="AERbody"/>
        </w:rPr>
        <w:t xml:space="preserve"> per cent of JGN‘s proposed total capex forecast, in unescalated, direct terms. It represents a 70 per cent decrease in expenditure compared with the current access arrangement period.</w:t>
      </w:r>
    </w:p>
    <w:p w:rsidR="009C33E8" w:rsidRPr="009C33E8" w:rsidRDefault="009C33E8" w:rsidP="009C33E8">
      <w:pPr>
        <w:pStyle w:val="AERbodytext"/>
      </w:pPr>
      <w:r>
        <w:t xml:space="preserve">The main driver of JGN's forecast capex reduction in </w:t>
      </w:r>
      <w:r w:rsidRPr="009C33E8">
        <w:t>other non-network capex is a 90 per cent reduction in forecast property capex. This is due to JGN incurring significant one-off property costs for office and depot relocations in the 2010-2015 access arrangement period related to the expiry of existing lease arrangements.</w:t>
      </w:r>
      <w:r w:rsidRPr="009C33E8">
        <w:rPr>
          <w:rStyle w:val="FootnoteReference"/>
        </w:rPr>
        <w:footnoteReference w:id="116"/>
      </w:r>
      <w:r w:rsidRPr="009C33E8">
        <w:t xml:space="preserve"> Cost estimates for property capex projects are typically derived from competitive tender processes or historical costs for similar projects.</w:t>
      </w:r>
      <w:r w:rsidRPr="009C33E8">
        <w:rPr>
          <w:rStyle w:val="FootnoteReference"/>
        </w:rPr>
        <w:footnoteReference w:id="117"/>
      </w:r>
      <w:r w:rsidRPr="009C33E8">
        <w:t xml:space="preserve"> We </w:t>
      </w:r>
      <w:r w:rsidR="001A5C0D">
        <w:t>are satisfied that</w:t>
      </w:r>
      <w:r w:rsidR="001A5C0D" w:rsidRPr="009C33E8">
        <w:t xml:space="preserve"> </w:t>
      </w:r>
      <w:r w:rsidRPr="009C33E8">
        <w:t xml:space="preserve">this </w:t>
      </w:r>
      <w:r w:rsidR="001A5C0D">
        <w:t xml:space="preserve">is </w:t>
      </w:r>
      <w:r w:rsidRPr="009C33E8">
        <w:t>a reasonable basis for estimating property related costs.</w:t>
      </w:r>
    </w:p>
    <w:p w:rsidR="009C33E8" w:rsidRPr="009C33E8" w:rsidRDefault="009C33E8" w:rsidP="002B5FE2">
      <w:pPr>
        <w:pStyle w:val="AERbodytext"/>
      </w:pPr>
      <w:r>
        <w:t xml:space="preserve">Motor vehicles capex </w:t>
      </w:r>
      <w:r w:rsidRPr="009C33E8">
        <w:t>of $</w:t>
      </w:r>
      <w:r w:rsidRPr="002B5FE2">
        <w:t>16.</w:t>
      </w:r>
      <w:r w:rsidR="002B5FE2" w:rsidRPr="002B5FE2">
        <w:t>9</w:t>
      </w:r>
      <w:r w:rsidRPr="009C33E8">
        <w:t xml:space="preserve"> million </w:t>
      </w:r>
      <w:r w:rsidRPr="009C33E8">
        <w:rPr>
          <w:rStyle w:val="AERbody"/>
        </w:rPr>
        <w:t xml:space="preserve">($2015, unescalated direct costs, excluding overheads) </w:t>
      </w:r>
      <w:r w:rsidRPr="009C33E8">
        <w:t>represents the majority of JGN's forecast non-network capex. Capex for motor vehicles is forecast to reduce by 8 per cent in the 2015-2020 access arrangement period. This reflects the timing of vehicle replacements in accordance with the age profile of JGN's motor vehicle fleet.</w:t>
      </w:r>
      <w:r w:rsidRPr="009C33E8">
        <w:rPr>
          <w:rStyle w:val="FootnoteReference"/>
        </w:rPr>
        <w:footnoteReference w:id="118"/>
      </w:r>
      <w:r w:rsidRPr="009C33E8">
        <w:t xml:space="preserve"> JGN submitted that vehicles are replaced in accordance with good industry practice to achieve the lowest sustainable cost of vehicles operations. JGN's fleet management strategy has regard to the principles of fit for purpose vehicle selection, safety, mitigation of age related failures, and reducing operating costs.</w:t>
      </w:r>
      <w:r w:rsidRPr="009C33E8">
        <w:rPr>
          <w:rStyle w:val="FootnoteReference"/>
        </w:rPr>
        <w:footnoteReference w:id="119"/>
      </w:r>
      <w:r w:rsidRPr="009C33E8">
        <w:t xml:space="preserve"> Forecast costs are based on historical unit rates and estimates received from JGN's contracted fleet management provider.</w:t>
      </w:r>
      <w:r w:rsidRPr="009C33E8">
        <w:rPr>
          <w:rStyle w:val="FootnoteReference"/>
        </w:rPr>
        <w:footnoteReference w:id="120"/>
      </w:r>
      <w:r w:rsidRPr="009C33E8">
        <w:t xml:space="preserve"> </w:t>
      </w:r>
      <w:r w:rsidR="001A5C0D">
        <w:t>Therefore, w</w:t>
      </w:r>
      <w:r w:rsidR="001A5C0D" w:rsidRPr="009C33E8">
        <w:t xml:space="preserve">e </w:t>
      </w:r>
      <w:r w:rsidRPr="009C33E8">
        <w:t>are satisfied that JGN's estimate of motor vehicle costs has been arrived at on a reasonable basis and reflects capex which would be incurred by a prudent service provider acting efficiently.</w:t>
      </w:r>
    </w:p>
    <w:p w:rsidR="00076F86" w:rsidRPr="00076F86" w:rsidRDefault="009C33E8" w:rsidP="002B5FE2">
      <w:pPr>
        <w:pStyle w:val="AERbodytext"/>
      </w:pPr>
      <w:r>
        <w:t>JGN's forecast tools and equipment capex of $</w:t>
      </w:r>
      <w:r w:rsidRPr="002B5FE2">
        <w:rPr>
          <w:rStyle w:val="AERtexthighlight"/>
          <w:shd w:val="clear" w:color="auto" w:fill="auto"/>
        </w:rPr>
        <w:t>4.</w:t>
      </w:r>
      <w:r w:rsidR="002B5FE2" w:rsidRPr="002B5FE2">
        <w:rPr>
          <w:rStyle w:val="AERtexthighlight"/>
          <w:shd w:val="clear" w:color="auto" w:fill="auto"/>
        </w:rPr>
        <w:t>1</w:t>
      </w:r>
      <w:r>
        <w:t xml:space="preserve"> million </w:t>
      </w:r>
      <w:r w:rsidRPr="00643043">
        <w:rPr>
          <w:rStyle w:val="AERbody"/>
        </w:rPr>
        <w:t>($2015, unescalated direct costs, excluding overheads)</w:t>
      </w:r>
      <w:r>
        <w:rPr>
          <w:rStyle w:val="AERbody"/>
        </w:rPr>
        <w:t xml:space="preserve"> relates to the need to replace minor tools and pieces of equipment used by JGN's field personnel. JGN's cost estimate </w:t>
      </w:r>
      <w:r>
        <w:t>is based on historical expenditure profiles for these items.</w:t>
      </w:r>
      <w:r>
        <w:rPr>
          <w:rStyle w:val="FootnoteReference"/>
        </w:rPr>
        <w:footnoteReference w:id="121"/>
      </w:r>
      <w:r>
        <w:t xml:space="preserve"> Regulatory costs related to JGN's access arrangement and regulatory reporting obligations were </w:t>
      </w:r>
      <w:r>
        <w:lastRenderedPageBreak/>
        <w:t>formerly capitalised in this category, but will be treated as opex for the 2015-2020 access arrangement period.</w:t>
      </w:r>
      <w:r>
        <w:rPr>
          <w:rStyle w:val="FootnoteReference"/>
        </w:rPr>
        <w:footnoteReference w:id="122"/>
      </w:r>
      <w:r>
        <w:t xml:space="preserve"> As such, forecast tools and equipment capex has reduced by 80 per cent and represents a base level of expenditure on minor tools and equipment, reflective of historical expenditure in the last five years.</w:t>
      </w:r>
      <w:r>
        <w:rPr>
          <w:rStyle w:val="FootnoteReference"/>
        </w:rPr>
        <w:footnoteReference w:id="123"/>
      </w:r>
      <w:r>
        <w:t xml:space="preserve"> </w:t>
      </w:r>
      <w:r w:rsidR="001A5C0D">
        <w:t xml:space="preserve">Therefore, we </w:t>
      </w:r>
      <w:r>
        <w:t xml:space="preserve">are satisfied that JGN's forecast capex for tools and equipment is </w:t>
      </w:r>
      <w:r w:rsidRPr="00AD7F36">
        <w:t>such as would be incurred by a prudent service provider acting efficiently</w:t>
      </w:r>
      <w:r>
        <w:t>.</w:t>
      </w:r>
    </w:p>
    <w:p w:rsidR="00275734" w:rsidRDefault="00275734" w:rsidP="00275734">
      <w:pPr>
        <w:pStyle w:val="HeadingBoldBlue"/>
      </w:pPr>
      <w:r w:rsidRPr="00275734">
        <w:t>Overheads</w:t>
      </w:r>
    </w:p>
    <w:p w:rsidR="00275734" w:rsidRDefault="001D2957" w:rsidP="001D2957">
      <w:pPr>
        <w:pStyle w:val="AERbodytext"/>
      </w:pPr>
      <w:r w:rsidRPr="001D2957">
        <w:t>Overheads are costs which are not directly attributable to the distribution businesses output but are necessary to support the businesses operations. Examples of overhead costs include network planning, procurement and human resources.</w:t>
      </w:r>
    </w:p>
    <w:p w:rsidR="00A40D00" w:rsidRDefault="007952EC" w:rsidP="00652229">
      <w:pPr>
        <w:pStyle w:val="AERbodytext"/>
        <w:rPr>
          <w:rStyle w:val="AERbody"/>
        </w:rPr>
      </w:pPr>
      <w:r>
        <w:rPr>
          <w:rStyle w:val="AERbody"/>
        </w:rPr>
        <w:t>We have included $</w:t>
      </w:r>
      <w:r w:rsidR="00FE7B59">
        <w:rPr>
          <w:rStyle w:val="AERbody"/>
        </w:rPr>
        <w:t>109.</w:t>
      </w:r>
      <w:r w:rsidR="00C25314">
        <w:rPr>
          <w:rStyle w:val="AERbody"/>
        </w:rPr>
        <w:t>0</w:t>
      </w:r>
      <w:r>
        <w:rPr>
          <w:rStyle w:val="AERbody"/>
        </w:rPr>
        <w:t xml:space="preserve"> million </w:t>
      </w:r>
      <w:r w:rsidR="00652229">
        <w:rPr>
          <w:rStyle w:val="AERbody"/>
        </w:rPr>
        <w:t>($2015, escalated costs</w:t>
      </w:r>
      <w:r w:rsidRPr="00DD5172">
        <w:rPr>
          <w:rStyle w:val="AERbody"/>
        </w:rPr>
        <w:t>)</w:t>
      </w:r>
      <w:r>
        <w:rPr>
          <w:rStyle w:val="AERbody"/>
        </w:rPr>
        <w:t xml:space="preserve"> of </w:t>
      </w:r>
      <w:r w:rsidR="00FE7B59">
        <w:rPr>
          <w:rStyle w:val="AERbody"/>
        </w:rPr>
        <w:t xml:space="preserve">total </w:t>
      </w:r>
      <w:r>
        <w:rPr>
          <w:rStyle w:val="AERbody"/>
        </w:rPr>
        <w:t xml:space="preserve">overheads expenditure in our alternative capex forecast. We </w:t>
      </w:r>
      <w:r w:rsidR="001A5C0D">
        <w:rPr>
          <w:rStyle w:val="AERbody"/>
        </w:rPr>
        <w:t xml:space="preserve">are not satisfied </w:t>
      </w:r>
      <w:r>
        <w:rPr>
          <w:rStyle w:val="AERbody"/>
        </w:rPr>
        <w:t xml:space="preserve">that JGN's proposed amount of $144.4 million </w:t>
      </w:r>
      <w:r w:rsidRPr="00DD5172">
        <w:rPr>
          <w:rStyle w:val="AERbody"/>
        </w:rPr>
        <w:t>($2015, escalated costs)</w:t>
      </w:r>
      <w:r>
        <w:rPr>
          <w:rStyle w:val="AERbody"/>
        </w:rPr>
        <w:t xml:space="preserve"> is prudent and efficient</w:t>
      </w:r>
      <w:r w:rsidR="00652229">
        <w:rPr>
          <w:rStyle w:val="AERbody"/>
        </w:rPr>
        <w:t>.</w:t>
      </w:r>
      <w:r>
        <w:rPr>
          <w:rStyle w:val="AERbody"/>
        </w:rPr>
        <w:t xml:space="preserve"> </w:t>
      </w:r>
      <w:r w:rsidR="00652229">
        <w:rPr>
          <w:rStyle w:val="AERbody"/>
        </w:rPr>
        <w:t xml:space="preserve"> This is because </w:t>
      </w:r>
      <w:r w:rsidR="00A40D00">
        <w:rPr>
          <w:rStyle w:val="AERbody"/>
        </w:rPr>
        <w:t xml:space="preserve">we </w:t>
      </w:r>
      <w:r w:rsidR="00E33B10">
        <w:rPr>
          <w:rStyle w:val="AERbody"/>
        </w:rPr>
        <w:t xml:space="preserve">have </w:t>
      </w:r>
      <w:r w:rsidR="00A40D00">
        <w:rPr>
          <w:rStyle w:val="AERbody"/>
        </w:rPr>
        <w:t xml:space="preserve">applied our forecast opex rate of change in place of JGN's forecast opex rate of change. We also used </w:t>
      </w:r>
      <w:r w:rsidR="00F639E8">
        <w:rPr>
          <w:rStyle w:val="AERbody"/>
        </w:rPr>
        <w:t>the average of the 2012-13 and 2013-14 direct overheads in place of JGN's method of rolling forward the direct overhead share of total capex in 2012-13.</w:t>
      </w:r>
    </w:p>
    <w:p w:rsidR="00E33B10" w:rsidRDefault="00E33B10" w:rsidP="00E33B10">
      <w:pPr>
        <w:pStyle w:val="AERbodytext"/>
        <w:rPr>
          <w:rStyle w:val="AERbody"/>
        </w:rPr>
      </w:pPr>
      <w:r>
        <w:rPr>
          <w:rStyle w:val="AERbody"/>
        </w:rPr>
        <w:t xml:space="preserve">JGN's proposed amount of $144.4 million </w:t>
      </w:r>
      <w:r w:rsidRPr="00DD5172">
        <w:rPr>
          <w:rStyle w:val="AERbody"/>
        </w:rPr>
        <w:t xml:space="preserve">($2015, escalated </w:t>
      </w:r>
      <w:r>
        <w:rPr>
          <w:rStyle w:val="AERbody"/>
        </w:rPr>
        <w:t>costs</w:t>
      </w:r>
      <w:r w:rsidRPr="00DD5172">
        <w:rPr>
          <w:rStyle w:val="AERbody"/>
        </w:rPr>
        <w:t xml:space="preserve">) </w:t>
      </w:r>
      <w:r>
        <w:rPr>
          <w:rStyle w:val="AERbody"/>
        </w:rPr>
        <w:t>represents</w:t>
      </w:r>
      <w:r w:rsidRPr="00DD5172">
        <w:rPr>
          <w:rStyle w:val="AERbody"/>
        </w:rPr>
        <w:t xml:space="preserve"> 1</w:t>
      </w:r>
      <w:r>
        <w:rPr>
          <w:rStyle w:val="AERbody"/>
        </w:rPr>
        <w:t>3</w:t>
      </w:r>
      <w:r w:rsidRPr="00DD5172">
        <w:rPr>
          <w:rStyle w:val="AERbody"/>
        </w:rPr>
        <w:t xml:space="preserve"> per cent of JGN‘</w:t>
      </w:r>
      <w:r>
        <w:rPr>
          <w:rStyle w:val="AERbody"/>
        </w:rPr>
        <w:t>s proposed total capex forecast</w:t>
      </w:r>
      <w:r w:rsidRPr="00DD5172">
        <w:rPr>
          <w:rStyle w:val="AERbody"/>
        </w:rPr>
        <w:t xml:space="preserve">. It represents a </w:t>
      </w:r>
      <w:r>
        <w:rPr>
          <w:rStyle w:val="AERbody"/>
        </w:rPr>
        <w:t>23</w:t>
      </w:r>
      <w:r w:rsidRPr="00DD5172">
        <w:rPr>
          <w:rStyle w:val="AERbody"/>
        </w:rPr>
        <w:t xml:space="preserve"> per cent increase in expenditure compared with the current access arrangement period. </w:t>
      </w:r>
    </w:p>
    <w:p w:rsidR="00E33B10" w:rsidRDefault="00E33B10" w:rsidP="00E33B10">
      <w:pPr>
        <w:pStyle w:val="AERbodytext"/>
        <w:rPr>
          <w:rStyle w:val="AERbody"/>
        </w:rPr>
      </w:pPr>
      <w:r>
        <w:rPr>
          <w:rStyle w:val="AERbody"/>
        </w:rPr>
        <w:t xml:space="preserve">JGN did not set out the forecast method for its overhead expenditure in its proposal. </w:t>
      </w:r>
      <w:r w:rsidRPr="009112E9">
        <w:rPr>
          <w:rStyle w:val="AERbody"/>
        </w:rPr>
        <w:t>JGN</w:t>
      </w:r>
      <w:r>
        <w:rPr>
          <w:rStyle w:val="AERbody"/>
        </w:rPr>
        <w:t xml:space="preserve"> indicated that it</w:t>
      </w:r>
      <w:r w:rsidRPr="009112E9">
        <w:rPr>
          <w:rStyle w:val="AERbody"/>
        </w:rPr>
        <w:t xml:space="preserve">s treatment of overhead allocation and capitalisation is detailed in </w:t>
      </w:r>
      <w:r>
        <w:rPr>
          <w:rStyle w:val="AERbody"/>
        </w:rPr>
        <w:t>its</w:t>
      </w:r>
      <w:r w:rsidRPr="009112E9">
        <w:rPr>
          <w:rStyle w:val="AERbody"/>
        </w:rPr>
        <w:t xml:space="preserve"> A</w:t>
      </w:r>
      <w:r>
        <w:rPr>
          <w:rStyle w:val="AERbody"/>
        </w:rPr>
        <w:t xml:space="preserve">ccess </w:t>
      </w:r>
      <w:r w:rsidRPr="009112E9">
        <w:rPr>
          <w:rStyle w:val="AERbody"/>
        </w:rPr>
        <w:t>A</w:t>
      </w:r>
      <w:r>
        <w:rPr>
          <w:rStyle w:val="AERbody"/>
        </w:rPr>
        <w:t>rrangement</w:t>
      </w:r>
      <w:r w:rsidRPr="009112E9">
        <w:rPr>
          <w:rStyle w:val="AERbody"/>
        </w:rPr>
        <w:t xml:space="preserve"> RIN response.</w:t>
      </w:r>
      <w:r>
        <w:rPr>
          <w:rStyle w:val="FootnoteReference"/>
        </w:rPr>
        <w:footnoteReference w:id="124"/>
      </w:r>
      <w:r w:rsidRPr="009112E9">
        <w:rPr>
          <w:rStyle w:val="AERbody"/>
        </w:rPr>
        <w:t xml:space="preserve"> </w:t>
      </w:r>
      <w:r>
        <w:rPr>
          <w:rStyle w:val="AERbody"/>
        </w:rPr>
        <w:t>This consists of a category build-up of network and corporate overheads which totals $93.1 million ($2015, escalated costs</w:t>
      </w:r>
      <w:r w:rsidRPr="00DD5172">
        <w:rPr>
          <w:rStyle w:val="AERbody"/>
        </w:rPr>
        <w:t>)</w:t>
      </w:r>
      <w:r>
        <w:rPr>
          <w:rStyle w:val="AERbody"/>
        </w:rPr>
        <w:t>. However, JGN did not allocate this amount across its capex driver categories. JGN included an additional $51.3 million across its capex driver categories</w:t>
      </w:r>
      <w:r w:rsidR="008E5AEC">
        <w:rPr>
          <w:rStyle w:val="AERbody"/>
        </w:rPr>
        <w:t xml:space="preserve"> so that overheads totalled $144.4 </w:t>
      </w:r>
      <w:r w:rsidR="008E5AEC" w:rsidRPr="00DD5172">
        <w:rPr>
          <w:rStyle w:val="AERbody"/>
        </w:rPr>
        <w:t>million ($2015, escalated)</w:t>
      </w:r>
      <w:r>
        <w:rPr>
          <w:rStyle w:val="AERbody"/>
        </w:rPr>
        <w:t>.</w:t>
      </w:r>
    </w:p>
    <w:p w:rsidR="00217E59" w:rsidRDefault="002F130C" w:rsidP="00217E59">
      <w:pPr>
        <w:pStyle w:val="AERbodytext"/>
        <w:rPr>
          <w:rStyle w:val="AERbody"/>
        </w:rPr>
      </w:pPr>
      <w:r>
        <w:rPr>
          <w:rStyle w:val="AERbody"/>
        </w:rPr>
        <w:t xml:space="preserve">As we were concerned about the prospect of double counting, we </w:t>
      </w:r>
      <w:r w:rsidR="00E33B10">
        <w:rPr>
          <w:rStyle w:val="AERbody"/>
        </w:rPr>
        <w:t>requested that JGN explain th</w:t>
      </w:r>
      <w:r w:rsidR="008E5AEC">
        <w:rPr>
          <w:rStyle w:val="AERbody"/>
        </w:rPr>
        <w:t xml:space="preserve">e </w:t>
      </w:r>
      <w:r w:rsidR="009309FB">
        <w:rPr>
          <w:rStyle w:val="AERbody"/>
        </w:rPr>
        <w:t xml:space="preserve">difference </w:t>
      </w:r>
      <w:r w:rsidR="008E5AEC">
        <w:rPr>
          <w:rStyle w:val="AERbody"/>
        </w:rPr>
        <w:t xml:space="preserve">between the amounts in the overhead build up </w:t>
      </w:r>
      <w:r w:rsidR="009309FB">
        <w:rPr>
          <w:rStyle w:val="AERbody"/>
        </w:rPr>
        <w:t xml:space="preserve">and </w:t>
      </w:r>
      <w:r w:rsidR="008E5AEC">
        <w:rPr>
          <w:rStyle w:val="AERbody"/>
        </w:rPr>
        <w:t>the amount in the capex summary</w:t>
      </w:r>
      <w:r w:rsidR="00E33B10">
        <w:rPr>
          <w:rStyle w:val="AERbody"/>
        </w:rPr>
        <w:t>. JGN stated that t</w:t>
      </w:r>
      <w:r w:rsidR="008E5AEC">
        <w:rPr>
          <w:rStyle w:val="AERbody"/>
        </w:rPr>
        <w:t>his reflected direct overheads.</w:t>
      </w:r>
      <w:r w:rsidR="00217E59">
        <w:rPr>
          <w:rStyle w:val="AERbody"/>
        </w:rPr>
        <w:t xml:space="preserve"> JGN indicated that the direct overheads include</w:t>
      </w:r>
      <w:r w:rsidR="005F27BD">
        <w:rPr>
          <w:rStyle w:val="AERbody"/>
        </w:rPr>
        <w:t>s</w:t>
      </w:r>
      <w:r w:rsidR="00217E59">
        <w:rPr>
          <w:rStyle w:val="AERbody"/>
        </w:rPr>
        <w:t xml:space="preserve"> expenditure for:</w:t>
      </w:r>
      <w:r w:rsidR="00217E59">
        <w:rPr>
          <w:rStyle w:val="FootnoteReference"/>
        </w:rPr>
        <w:footnoteReference w:id="125"/>
      </w:r>
    </w:p>
    <w:p w:rsidR="00217E59" w:rsidRDefault="00217E59" w:rsidP="00217E59">
      <w:pPr>
        <w:pStyle w:val="AERquote"/>
        <w:rPr>
          <w:rStyle w:val="AERbody"/>
        </w:rPr>
      </w:pPr>
      <w:r w:rsidRPr="00217E59">
        <w:t>Property—represents an allocation of JGN’s property, rental and outgoing costs against capital and maintenance projects. Note that these property costs only relate to JGN’s operation-based sites such as logistics facilities and control rooms—they do not include corporate offices. JGN interpreted that  property costs fit within the AA RIN network overhead definition of “cost of providing network, control and management services that cannot be directly identified with specific operational activity”. Furthermore, ‘logistics’ is identified in the AA RIN network overhead definition as a project governance and related function.</w:t>
      </w:r>
    </w:p>
    <w:p w:rsidR="00217E59" w:rsidRPr="00217E59" w:rsidRDefault="00217E59" w:rsidP="00217E59">
      <w:pPr>
        <w:pStyle w:val="AERquote"/>
      </w:pPr>
      <w:r w:rsidRPr="00217E59">
        <w:t>Stores—represents JGN’s labour, property and material costs in operating its warehouses. We note that ‘stores’ is identified in the AA RIN network overhead definition as a project governance and related function.</w:t>
      </w:r>
    </w:p>
    <w:p w:rsidR="00E33B10" w:rsidRDefault="00217E59" w:rsidP="00217E59">
      <w:pPr>
        <w:pStyle w:val="AERquote"/>
        <w:rPr>
          <w:rStyle w:val="AERbody"/>
        </w:rPr>
      </w:pPr>
      <w:r w:rsidRPr="00217E59">
        <w:t>Non Labour—represents the residual costs (excluding labour, fleet, major equipment and property) within operation cost centres. Typical residual costs include (among others) office administration, telecommunications, travel and accommodation costs.</w:t>
      </w:r>
    </w:p>
    <w:p w:rsidR="002C3E47" w:rsidRDefault="00916713" w:rsidP="00E33B10">
      <w:pPr>
        <w:pStyle w:val="AERbodytext"/>
      </w:pPr>
      <w:r w:rsidRPr="00916713">
        <w:lastRenderedPageBreak/>
        <w:t>The AER requested that JGN provide a five year period of actuals (2008-13) against which it could assess the trend in forecast direct overheads. JGN provided 2013 and 2014 data</w:t>
      </w:r>
      <w:r w:rsidR="002C3E47">
        <w:t xml:space="preserve"> and stated that:</w:t>
      </w:r>
      <w:r w:rsidR="008B73BE">
        <w:rPr>
          <w:rStyle w:val="FootnoteReference"/>
        </w:rPr>
        <w:footnoteReference w:id="126"/>
      </w:r>
    </w:p>
    <w:p w:rsidR="008B73BE" w:rsidRDefault="008B73BE" w:rsidP="008B73BE">
      <w:pPr>
        <w:pStyle w:val="AERquote"/>
      </w:pPr>
      <w:r w:rsidRPr="008B73BE">
        <w:t>due to system limitations, JGN is only able to provide historical data for RY13 and RY14</w:t>
      </w:r>
      <w:r w:rsidR="00916713" w:rsidRPr="00916713">
        <w:t xml:space="preserve">. </w:t>
      </w:r>
    </w:p>
    <w:p w:rsidR="002F130C" w:rsidRDefault="00916713" w:rsidP="002F130C">
      <w:pPr>
        <w:pStyle w:val="AERbodytext"/>
        <w:rPr>
          <w:rStyle w:val="AERbody"/>
        </w:rPr>
      </w:pPr>
      <w:r w:rsidRPr="00916713">
        <w:t xml:space="preserve">The direct overheads increased by 17.5 per cent between 2013 and 2014. As the expenditure is not stable, it indicates that there is likely to be some variability in direct overheads. </w:t>
      </w:r>
      <w:r w:rsidR="002F130C">
        <w:t>We</w:t>
      </w:r>
      <w:r w:rsidRPr="00916713">
        <w:t xml:space="preserve"> consider that two years of actual data is not sufficient to assess the trend over the current period. </w:t>
      </w:r>
      <w:r w:rsidR="008B73BE">
        <w:rPr>
          <w:rStyle w:val="AERbody"/>
        </w:rPr>
        <w:t>It i</w:t>
      </w:r>
      <w:r w:rsidR="008B73BE" w:rsidRPr="008B73BE">
        <w:rPr>
          <w:rStyle w:val="AERbody"/>
        </w:rPr>
        <w:t>s important to ensure that the amount we include</w:t>
      </w:r>
      <w:r w:rsidR="008B73BE">
        <w:rPr>
          <w:rStyle w:val="AERbody"/>
        </w:rPr>
        <w:t xml:space="preserve"> in our alternative capex estimate</w:t>
      </w:r>
      <w:r w:rsidR="008B73BE" w:rsidRPr="008B73BE">
        <w:rPr>
          <w:rStyle w:val="AERbody"/>
        </w:rPr>
        <w:t xml:space="preserve"> is reflective of the average across the access arrangement period rather than a peak or trough in expenditure</w:t>
      </w:r>
      <w:r w:rsidR="009309FB">
        <w:rPr>
          <w:rStyle w:val="AERbody"/>
        </w:rPr>
        <w:t>. A peak or trough</w:t>
      </w:r>
      <w:r w:rsidR="009309FB" w:rsidRPr="008B73BE">
        <w:rPr>
          <w:rStyle w:val="AERbody"/>
        </w:rPr>
        <w:t xml:space="preserve"> </w:t>
      </w:r>
      <w:r w:rsidR="009309FB">
        <w:rPr>
          <w:rStyle w:val="AERbody"/>
        </w:rPr>
        <w:t>may</w:t>
      </w:r>
      <w:r w:rsidR="008B73BE" w:rsidRPr="008B73BE">
        <w:rPr>
          <w:rStyle w:val="AERbody"/>
        </w:rPr>
        <w:t xml:space="preserve"> over- or under- compensate the </w:t>
      </w:r>
      <w:r w:rsidR="009309FB">
        <w:rPr>
          <w:rStyle w:val="AERbody"/>
        </w:rPr>
        <w:t>service provider</w:t>
      </w:r>
      <w:r w:rsidR="008B73BE" w:rsidRPr="008B73BE">
        <w:rPr>
          <w:rStyle w:val="AERbody"/>
        </w:rPr>
        <w:t>. In order to be able to assess this we need a reasonable time series. We consider that five years of data is required to assess the trend.</w:t>
      </w:r>
      <w:r w:rsidR="002F130C">
        <w:rPr>
          <w:rStyle w:val="AERbody"/>
        </w:rPr>
        <w:t xml:space="preserve"> </w:t>
      </w:r>
      <w:r w:rsidR="00E33B10">
        <w:rPr>
          <w:rStyle w:val="AERbody"/>
        </w:rPr>
        <w:t>We consider that the actual historical direct overhead amounts should be identifiable for the last five years of actual data</w:t>
      </w:r>
      <w:r w:rsidR="002F130C">
        <w:rPr>
          <w:rStyle w:val="AERbody"/>
        </w:rPr>
        <w:t xml:space="preserve">. </w:t>
      </w:r>
    </w:p>
    <w:p w:rsidR="002F130C" w:rsidRPr="002F130C" w:rsidRDefault="002F130C" w:rsidP="002F130C">
      <w:pPr>
        <w:pStyle w:val="AERbodytext"/>
        <w:rPr>
          <w:rStyle w:val="AERbody"/>
        </w:rPr>
      </w:pPr>
      <w:r>
        <w:rPr>
          <w:rStyle w:val="AERbody"/>
        </w:rPr>
        <w:t xml:space="preserve">We would expect that JGN would be able to either provide a longer time series or some other form of data to enable us to assess the proposed forecast direct overheads in its revised proposal. Preferably this would be </w:t>
      </w:r>
      <w:r w:rsidRPr="002F130C">
        <w:rPr>
          <w:rStyle w:val="AERbody"/>
        </w:rPr>
        <w:t xml:space="preserve">on the same basis </w:t>
      </w:r>
      <w:r>
        <w:rPr>
          <w:rStyle w:val="AERbody"/>
        </w:rPr>
        <w:t xml:space="preserve">as </w:t>
      </w:r>
      <w:r w:rsidRPr="002F130C">
        <w:rPr>
          <w:rStyle w:val="AERbody"/>
        </w:rPr>
        <w:t>in the RIN templates</w:t>
      </w:r>
      <w:r>
        <w:rPr>
          <w:rStyle w:val="AERbody"/>
        </w:rPr>
        <w:t>.</w:t>
      </w:r>
      <w:r w:rsidRPr="002F130C">
        <w:rPr>
          <w:rStyle w:val="AERbody"/>
        </w:rPr>
        <w:t xml:space="preserve"> In particular, we </w:t>
      </w:r>
      <w:r>
        <w:rPr>
          <w:rStyle w:val="AERbody"/>
        </w:rPr>
        <w:t xml:space="preserve">would prefer to be able to assess </w:t>
      </w:r>
      <w:r w:rsidRPr="002F130C">
        <w:rPr>
          <w:rStyle w:val="AERbody"/>
        </w:rPr>
        <w:t>direct overheads, network and corporate overheads and related party margins consistently across the current and forecast period.</w:t>
      </w:r>
    </w:p>
    <w:p w:rsidR="00E33B10" w:rsidRDefault="00E33B10" w:rsidP="00E33B10">
      <w:pPr>
        <w:pStyle w:val="AERbodytext"/>
        <w:rPr>
          <w:rStyle w:val="AERbody"/>
        </w:rPr>
      </w:pPr>
      <w:r>
        <w:rPr>
          <w:rStyle w:val="AERbody"/>
        </w:rPr>
        <w:t>In recognition that JGN may have incurred direct overheads in addition to the network and corporate overheads identified, we have included a placeholder amount of expenditure based on the average of the 2012-13 and 2013-14 data provided. To this we have applied the opex rate of change, consistent with JGN's forecasting method of network and corporate overheads.</w:t>
      </w:r>
      <w:r w:rsidR="00485794">
        <w:rPr>
          <w:rStyle w:val="AERbody"/>
        </w:rPr>
        <w:t xml:space="preserve"> As we have used historical unit rates for connections, which include direct overheads, we have deducted the connection share of the capex over which overheads is applied (that is, all capex categories excluding </w:t>
      </w:r>
      <w:r w:rsidR="00485794" w:rsidRPr="00485794">
        <w:rPr>
          <w:rStyle w:val="AERbody"/>
        </w:rPr>
        <w:t>SCADA, IT and other non-distribution</w:t>
      </w:r>
      <w:r w:rsidR="00485794">
        <w:rPr>
          <w:rStyle w:val="AERbody"/>
        </w:rPr>
        <w:t>).</w:t>
      </w:r>
      <w:r w:rsidR="00FE7B59">
        <w:rPr>
          <w:rStyle w:val="FootnoteReference"/>
        </w:rPr>
        <w:footnoteReference w:id="127"/>
      </w:r>
      <w:r w:rsidR="004C4BE1">
        <w:rPr>
          <w:rStyle w:val="AERbody"/>
        </w:rPr>
        <w:t xml:space="preserve"> We have included $18.7 million </w:t>
      </w:r>
      <w:r w:rsidR="004C4BE1" w:rsidRPr="00EE59A9">
        <w:rPr>
          <w:rStyle w:val="AERbody"/>
        </w:rPr>
        <w:t>($2015, escalated)</w:t>
      </w:r>
      <w:r w:rsidR="004C4BE1">
        <w:rPr>
          <w:rStyle w:val="AERbody"/>
        </w:rPr>
        <w:t xml:space="preserve"> for direct overheads,</w:t>
      </w:r>
      <w:r w:rsidR="004C4BE1" w:rsidRPr="004C4BE1">
        <w:rPr>
          <w:rStyle w:val="AERbody"/>
        </w:rPr>
        <w:t xml:space="preserve"> </w:t>
      </w:r>
      <w:r w:rsidR="004C4BE1">
        <w:rPr>
          <w:rStyle w:val="AERbody"/>
        </w:rPr>
        <w:t>as a placeholder, in our alternative capex estimate.</w:t>
      </w:r>
      <w:r w:rsidR="002F130C">
        <w:rPr>
          <w:rStyle w:val="AERbody"/>
        </w:rPr>
        <w:t xml:space="preserve"> </w:t>
      </w:r>
    </w:p>
    <w:p w:rsidR="00E33B10" w:rsidRDefault="00E33B10" w:rsidP="00E33B10">
      <w:pPr>
        <w:pStyle w:val="AERbodytext"/>
        <w:rPr>
          <w:rStyle w:val="AERbody"/>
        </w:rPr>
      </w:pPr>
      <w:r>
        <w:rPr>
          <w:rStyle w:val="AERbody"/>
        </w:rPr>
        <w:t xml:space="preserve">JGN indicated that it forecast direct overheads by calculating the direct overhead share of total capex in 2012-13 and applied that to the forecast period. We </w:t>
      </w:r>
      <w:r w:rsidR="009309FB">
        <w:rPr>
          <w:rStyle w:val="AERbody"/>
        </w:rPr>
        <w:t xml:space="preserve">are </w:t>
      </w:r>
      <w:r>
        <w:rPr>
          <w:rStyle w:val="AERbody"/>
        </w:rPr>
        <w:t xml:space="preserve">not </w:t>
      </w:r>
      <w:r w:rsidR="009309FB">
        <w:rPr>
          <w:rStyle w:val="AERbody"/>
        </w:rPr>
        <w:t xml:space="preserve">satisfied </w:t>
      </w:r>
      <w:r>
        <w:rPr>
          <w:rStyle w:val="AERbody"/>
        </w:rPr>
        <w:t xml:space="preserve">that this method produces the best estimate possible in the circumstances. We consider that these costs are largely fixed. We do not consider that these costs (such as depot costs, warehousing costs) scale in proportion with direct capex. For this reason we have applied </w:t>
      </w:r>
      <w:r w:rsidR="00450058">
        <w:rPr>
          <w:rStyle w:val="AERbody"/>
        </w:rPr>
        <w:t>our</w:t>
      </w:r>
      <w:r>
        <w:rPr>
          <w:rStyle w:val="AERbody"/>
        </w:rPr>
        <w:t xml:space="preserve"> opex rate of change</w:t>
      </w:r>
      <w:r w:rsidR="007243CE">
        <w:rPr>
          <w:rStyle w:val="AERbody"/>
        </w:rPr>
        <w:t xml:space="preserve"> (see </w:t>
      </w:r>
      <w:r w:rsidR="00271818">
        <w:rPr>
          <w:rStyle w:val="AERbody"/>
        </w:rPr>
        <w:t>a</w:t>
      </w:r>
      <w:r w:rsidR="00210CB8">
        <w:rPr>
          <w:rStyle w:val="AERbody"/>
        </w:rPr>
        <w:t>ttachment 7</w:t>
      </w:r>
      <w:r w:rsidR="00271818">
        <w:rPr>
          <w:rStyle w:val="AERbody"/>
        </w:rPr>
        <w:t xml:space="preserve"> of this draft decision</w:t>
      </w:r>
      <w:r w:rsidR="00210CB8">
        <w:rPr>
          <w:rStyle w:val="AERbody"/>
        </w:rPr>
        <w:t xml:space="preserve"> (opex)</w:t>
      </w:r>
      <w:r w:rsidR="007243CE">
        <w:rPr>
          <w:rStyle w:val="AERbody"/>
        </w:rPr>
        <w:t>)</w:t>
      </w:r>
      <w:r>
        <w:rPr>
          <w:rStyle w:val="AERbody"/>
        </w:rPr>
        <w:t>. This is consistent with the forecasting method applied for network and corporate overheads.</w:t>
      </w:r>
    </w:p>
    <w:p w:rsidR="00E33B10" w:rsidRDefault="008B73BE" w:rsidP="00E33B10">
      <w:pPr>
        <w:pStyle w:val="AERbodytext"/>
        <w:numPr>
          <w:ilvl w:val="0"/>
          <w:numId w:val="0"/>
        </w:numPr>
        <w:rPr>
          <w:rStyle w:val="AERbody"/>
        </w:rPr>
      </w:pPr>
      <w:r>
        <w:rPr>
          <w:rStyle w:val="AERbody"/>
        </w:rPr>
        <w:t xml:space="preserve">In relation to the $93.1 million </w:t>
      </w:r>
      <w:r w:rsidR="00EE59A9" w:rsidRPr="00EE59A9">
        <w:rPr>
          <w:rStyle w:val="AERbody"/>
        </w:rPr>
        <w:t>($2015, escalated)</w:t>
      </w:r>
      <w:r w:rsidR="00EE59A9">
        <w:rPr>
          <w:rStyle w:val="AERbody"/>
        </w:rPr>
        <w:t xml:space="preserve"> </w:t>
      </w:r>
      <w:r>
        <w:rPr>
          <w:rStyle w:val="AERbody"/>
        </w:rPr>
        <w:t xml:space="preserve">proposed for network and corporate overheads, we accept the capex allocation of the base year amount of total overheads. </w:t>
      </w:r>
      <w:r w:rsidR="00281B7D">
        <w:rPr>
          <w:rStyle w:val="AERbody"/>
        </w:rPr>
        <w:t>The 2013-14 base year amount of capex overheads is $</w:t>
      </w:r>
      <w:r w:rsidR="00EE59A9">
        <w:rPr>
          <w:rStyle w:val="AERbody"/>
        </w:rPr>
        <w:t xml:space="preserve">18.3 million </w:t>
      </w:r>
      <w:r w:rsidR="00EE59A9" w:rsidRPr="00EE59A9">
        <w:rPr>
          <w:rStyle w:val="AERbody"/>
        </w:rPr>
        <w:t>($2015, escalated)</w:t>
      </w:r>
      <w:r w:rsidR="00EE59A9">
        <w:rPr>
          <w:rStyle w:val="AERbody"/>
        </w:rPr>
        <w:t>.</w:t>
      </w:r>
      <w:r w:rsidR="00281B7D">
        <w:rPr>
          <w:rStyle w:val="AERbody"/>
        </w:rPr>
        <w:t xml:space="preserve"> However, w</w:t>
      </w:r>
      <w:r w:rsidR="00281B7D" w:rsidRPr="00281B7D">
        <w:rPr>
          <w:rStyle w:val="AERbody"/>
        </w:rPr>
        <w:t>e have applied our forecast opex rate of change in place of JGN's forecast opex rate of change</w:t>
      </w:r>
      <w:r w:rsidR="00EE59A9">
        <w:rPr>
          <w:rStyle w:val="AERbody"/>
        </w:rPr>
        <w:t xml:space="preserve">. We have included an amount of $90.3 million </w:t>
      </w:r>
      <w:r w:rsidR="00EE59A9" w:rsidRPr="00EE59A9">
        <w:rPr>
          <w:rStyle w:val="AERbody"/>
        </w:rPr>
        <w:t>($2015, escalated)</w:t>
      </w:r>
      <w:r w:rsidR="00EE59A9">
        <w:rPr>
          <w:rStyle w:val="AERbody"/>
        </w:rPr>
        <w:t xml:space="preserve"> in our capex forecast for network and corporate overheads.</w:t>
      </w:r>
    </w:p>
    <w:p w:rsidR="00434814" w:rsidRDefault="00434814" w:rsidP="009112E9">
      <w:pPr>
        <w:pStyle w:val="AERbodytext"/>
        <w:rPr>
          <w:rStyle w:val="AERbody"/>
        </w:rPr>
      </w:pPr>
      <w:r>
        <w:rPr>
          <w:rStyle w:val="AERbody"/>
        </w:rPr>
        <w:t>JGN allocated overheads by applying the same overheads rate to all capex categories</w:t>
      </w:r>
      <w:r w:rsidR="00485794">
        <w:rPr>
          <w:rStyle w:val="AERbody"/>
        </w:rPr>
        <w:t xml:space="preserve"> </w:t>
      </w:r>
      <w:r w:rsidR="00485794" w:rsidRPr="00485794">
        <w:rPr>
          <w:rStyle w:val="AERbody"/>
        </w:rPr>
        <w:t>(excluding SCADA, IT and other non-distribution where no overheads are applied)</w:t>
      </w:r>
      <w:r>
        <w:rPr>
          <w:rStyle w:val="AERbody"/>
        </w:rPr>
        <w:t xml:space="preserve">. Consistent with this approach we have calculated the overheads rate for each year by dividing the overhead amount by the total of </w:t>
      </w:r>
      <w:r>
        <w:rPr>
          <w:rStyle w:val="AERbody"/>
        </w:rPr>
        <w:lastRenderedPageBreak/>
        <w:t>the escalated direct costs that we have included in our alternative capex estimate. These rates are set out in</w:t>
      </w:r>
      <w:r w:rsidR="008D60EC">
        <w:rPr>
          <w:rStyle w:val="AERbody"/>
        </w:rPr>
        <w:t xml:space="preserve"> </w:t>
      </w:r>
      <w:r w:rsidR="008D60EC">
        <w:rPr>
          <w:rStyle w:val="AERbody"/>
        </w:rPr>
        <w:fldChar w:fldCharType="begin"/>
      </w:r>
      <w:r w:rsidR="008D60EC">
        <w:rPr>
          <w:rStyle w:val="AERbody"/>
        </w:rPr>
        <w:instrText xml:space="preserve"> REF _Ref401672072 \h </w:instrText>
      </w:r>
      <w:r w:rsidR="008D60EC">
        <w:rPr>
          <w:rStyle w:val="AERbody"/>
        </w:rPr>
      </w:r>
      <w:r w:rsidR="008D60EC">
        <w:rPr>
          <w:rStyle w:val="AERbody"/>
        </w:rPr>
        <w:fldChar w:fldCharType="separate"/>
      </w:r>
      <w:r w:rsidR="0029475D">
        <w:t xml:space="preserve">Table </w:t>
      </w:r>
      <w:r w:rsidR="0029475D">
        <w:rPr>
          <w:noProof/>
        </w:rPr>
        <w:t>6</w:t>
      </w:r>
      <w:r w:rsidR="0029475D">
        <w:noBreakHyphen/>
      </w:r>
      <w:r w:rsidR="0029475D">
        <w:rPr>
          <w:noProof/>
        </w:rPr>
        <w:t>17</w:t>
      </w:r>
      <w:r w:rsidR="008D60EC">
        <w:rPr>
          <w:rStyle w:val="AERbody"/>
        </w:rPr>
        <w:fldChar w:fldCharType="end"/>
      </w:r>
      <w:r>
        <w:rPr>
          <w:rStyle w:val="AERbody"/>
        </w:rPr>
        <w:t>.</w:t>
      </w:r>
    </w:p>
    <w:p w:rsidR="00434814" w:rsidRDefault="00434814" w:rsidP="00434814">
      <w:pPr>
        <w:pStyle w:val="Caption"/>
        <w:rPr>
          <w:rStyle w:val="AERbody"/>
        </w:rPr>
      </w:pPr>
      <w:bookmarkStart w:id="52" w:name="_Ref401672072"/>
      <w:r>
        <w:t xml:space="preserve">Table </w:t>
      </w:r>
      <w:fldSimple w:instr=" STYLEREF 1 \s ">
        <w:r w:rsidR="0029475D">
          <w:rPr>
            <w:noProof/>
          </w:rPr>
          <w:t>6</w:t>
        </w:r>
      </w:fldSimple>
      <w:r w:rsidR="009F7369">
        <w:noBreakHyphen/>
      </w:r>
      <w:fldSimple w:instr=" SEQ Table \* ARABIC \s 1 ">
        <w:r w:rsidR="0029475D">
          <w:rPr>
            <w:noProof/>
          </w:rPr>
          <w:t>17</w:t>
        </w:r>
      </w:fldSimple>
      <w:bookmarkEnd w:id="52"/>
      <w:r>
        <w:tab/>
        <w:t>AER calculated overheads rates (per cent)</w:t>
      </w:r>
    </w:p>
    <w:tbl>
      <w:tblPr>
        <w:tblStyle w:val="AERtable-numbers"/>
        <w:tblW w:w="0" w:type="auto"/>
        <w:tblLook w:val="04A0" w:firstRow="1" w:lastRow="0" w:firstColumn="1" w:lastColumn="0" w:noHBand="0" w:noVBand="1"/>
      </w:tblPr>
      <w:tblGrid>
        <w:gridCol w:w="1540"/>
        <w:gridCol w:w="1540"/>
        <w:gridCol w:w="1540"/>
        <w:gridCol w:w="1540"/>
        <w:gridCol w:w="1541"/>
        <w:gridCol w:w="1541"/>
      </w:tblGrid>
      <w:tr w:rsidR="00434814" w:rsidTr="002571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434814" w:rsidRDefault="00434814" w:rsidP="00434814">
            <w:pPr>
              <w:pStyle w:val="AERbodytext"/>
              <w:rPr>
                <w:rStyle w:val="AERbody"/>
              </w:rPr>
            </w:pPr>
          </w:p>
        </w:tc>
        <w:tc>
          <w:tcPr>
            <w:tcW w:w="1540" w:type="dxa"/>
            <w:vAlign w:val="bottom"/>
          </w:tcPr>
          <w:p w:rsidR="00434814" w:rsidRPr="00434814" w:rsidRDefault="00434814" w:rsidP="00434814">
            <w:pPr>
              <w:pStyle w:val="AERtabletextright"/>
              <w:cnfStyle w:val="100000000000" w:firstRow="1" w:lastRow="0" w:firstColumn="0" w:lastColumn="0" w:oddVBand="0" w:evenVBand="0" w:oddHBand="0" w:evenHBand="0" w:firstRowFirstColumn="0" w:firstRowLastColumn="0" w:lastRowFirstColumn="0" w:lastRowLastColumn="0"/>
              <w:rPr>
                <w:rFonts w:eastAsiaTheme="minorHAnsi"/>
              </w:rPr>
            </w:pPr>
            <w:r w:rsidRPr="002E3864">
              <w:t>2015-16</w:t>
            </w:r>
          </w:p>
        </w:tc>
        <w:tc>
          <w:tcPr>
            <w:tcW w:w="1540" w:type="dxa"/>
            <w:vAlign w:val="bottom"/>
          </w:tcPr>
          <w:p w:rsidR="00434814" w:rsidRPr="00434814" w:rsidRDefault="00434814" w:rsidP="00434814">
            <w:pPr>
              <w:pStyle w:val="AERtabletextright"/>
              <w:cnfStyle w:val="100000000000" w:firstRow="1" w:lastRow="0" w:firstColumn="0" w:lastColumn="0" w:oddVBand="0" w:evenVBand="0" w:oddHBand="0" w:evenHBand="0" w:firstRowFirstColumn="0" w:firstRowLastColumn="0" w:lastRowFirstColumn="0" w:lastRowLastColumn="0"/>
              <w:rPr>
                <w:rFonts w:eastAsiaTheme="minorHAnsi"/>
              </w:rPr>
            </w:pPr>
            <w:r w:rsidRPr="002E3864">
              <w:t>2016-17</w:t>
            </w:r>
          </w:p>
        </w:tc>
        <w:tc>
          <w:tcPr>
            <w:tcW w:w="1540" w:type="dxa"/>
            <w:vAlign w:val="bottom"/>
          </w:tcPr>
          <w:p w:rsidR="00434814" w:rsidRPr="00434814" w:rsidRDefault="00434814" w:rsidP="00434814">
            <w:pPr>
              <w:pStyle w:val="AERtabletextright"/>
              <w:cnfStyle w:val="100000000000" w:firstRow="1" w:lastRow="0" w:firstColumn="0" w:lastColumn="0" w:oddVBand="0" w:evenVBand="0" w:oddHBand="0" w:evenHBand="0" w:firstRowFirstColumn="0" w:firstRowLastColumn="0" w:lastRowFirstColumn="0" w:lastRowLastColumn="0"/>
              <w:rPr>
                <w:rFonts w:eastAsiaTheme="minorHAnsi"/>
              </w:rPr>
            </w:pPr>
            <w:r w:rsidRPr="002E3864">
              <w:t>2017-18</w:t>
            </w:r>
          </w:p>
        </w:tc>
        <w:tc>
          <w:tcPr>
            <w:tcW w:w="1541" w:type="dxa"/>
            <w:vAlign w:val="bottom"/>
          </w:tcPr>
          <w:p w:rsidR="00434814" w:rsidRPr="00434814" w:rsidRDefault="00434814" w:rsidP="00434814">
            <w:pPr>
              <w:pStyle w:val="AERtabletextright"/>
              <w:cnfStyle w:val="100000000000" w:firstRow="1" w:lastRow="0" w:firstColumn="0" w:lastColumn="0" w:oddVBand="0" w:evenVBand="0" w:oddHBand="0" w:evenHBand="0" w:firstRowFirstColumn="0" w:firstRowLastColumn="0" w:lastRowFirstColumn="0" w:lastRowLastColumn="0"/>
              <w:rPr>
                <w:rFonts w:eastAsiaTheme="minorHAnsi"/>
              </w:rPr>
            </w:pPr>
            <w:r w:rsidRPr="002E3864">
              <w:t>2018-19</w:t>
            </w:r>
          </w:p>
        </w:tc>
        <w:tc>
          <w:tcPr>
            <w:tcW w:w="1541" w:type="dxa"/>
            <w:vAlign w:val="bottom"/>
          </w:tcPr>
          <w:p w:rsidR="00434814" w:rsidRPr="00434814" w:rsidRDefault="00434814" w:rsidP="00434814">
            <w:pPr>
              <w:pStyle w:val="AERtabletextright"/>
              <w:cnfStyle w:val="100000000000" w:firstRow="1" w:lastRow="0" w:firstColumn="0" w:lastColumn="0" w:oddVBand="0" w:evenVBand="0" w:oddHBand="0" w:evenHBand="0" w:firstRowFirstColumn="0" w:firstRowLastColumn="0" w:lastRowFirstColumn="0" w:lastRowLastColumn="0"/>
              <w:rPr>
                <w:rFonts w:eastAsiaTheme="minorHAnsi"/>
              </w:rPr>
            </w:pPr>
            <w:r w:rsidRPr="002E3864">
              <w:t>2019-20</w:t>
            </w:r>
          </w:p>
        </w:tc>
      </w:tr>
      <w:tr w:rsidR="00C25314" w:rsidTr="009B0BC2">
        <w:tc>
          <w:tcPr>
            <w:cnfStyle w:val="001000000000" w:firstRow="0" w:lastRow="0" w:firstColumn="1" w:lastColumn="0" w:oddVBand="0" w:evenVBand="0" w:oddHBand="0" w:evenHBand="0" w:firstRowFirstColumn="0" w:firstRowLastColumn="0" w:lastRowFirstColumn="0" w:lastRowLastColumn="0"/>
            <w:tcW w:w="1540" w:type="dxa"/>
          </w:tcPr>
          <w:p w:rsidR="00C25314" w:rsidRPr="00C25314" w:rsidRDefault="00C25314" w:rsidP="00C25314">
            <w:pPr>
              <w:pStyle w:val="AERbodytext"/>
              <w:rPr>
                <w:rStyle w:val="AERbody"/>
              </w:rPr>
            </w:pPr>
            <w:r w:rsidRPr="00C25314">
              <w:rPr>
                <w:rStyle w:val="AERbody"/>
              </w:rPr>
              <w:t>Overheads rate</w:t>
            </w:r>
          </w:p>
        </w:tc>
        <w:tc>
          <w:tcPr>
            <w:tcW w:w="1540" w:type="dxa"/>
            <w:vAlign w:val="top"/>
          </w:tcPr>
          <w:p w:rsidR="00C25314" w:rsidRPr="00C25314" w:rsidRDefault="00C25314" w:rsidP="00C25314">
            <w:pPr>
              <w:pStyle w:val="AERtabletextright"/>
              <w:cnfStyle w:val="000000000000" w:firstRow="0" w:lastRow="0" w:firstColumn="0" w:lastColumn="0" w:oddVBand="0" w:evenVBand="0" w:oddHBand="0" w:evenHBand="0" w:firstRowFirstColumn="0" w:firstRowLastColumn="0" w:lastRowFirstColumn="0" w:lastRowLastColumn="0"/>
            </w:pPr>
            <w:r w:rsidRPr="00C25314">
              <w:t>16%</w:t>
            </w:r>
          </w:p>
        </w:tc>
        <w:tc>
          <w:tcPr>
            <w:tcW w:w="1540" w:type="dxa"/>
            <w:vAlign w:val="top"/>
          </w:tcPr>
          <w:p w:rsidR="00C25314" w:rsidRPr="00C25314" w:rsidRDefault="00C25314" w:rsidP="00C25314">
            <w:pPr>
              <w:pStyle w:val="AERtabletextright"/>
              <w:cnfStyle w:val="000000000000" w:firstRow="0" w:lastRow="0" w:firstColumn="0" w:lastColumn="0" w:oddVBand="0" w:evenVBand="0" w:oddHBand="0" w:evenHBand="0" w:firstRowFirstColumn="0" w:firstRowLastColumn="0" w:lastRowFirstColumn="0" w:lastRowLastColumn="0"/>
            </w:pPr>
            <w:r w:rsidRPr="00C25314">
              <w:t>15%</w:t>
            </w:r>
          </w:p>
        </w:tc>
        <w:tc>
          <w:tcPr>
            <w:tcW w:w="1540" w:type="dxa"/>
            <w:vAlign w:val="top"/>
          </w:tcPr>
          <w:p w:rsidR="00C25314" w:rsidRPr="00C25314" w:rsidRDefault="00C25314" w:rsidP="00C25314">
            <w:pPr>
              <w:pStyle w:val="AERtabletextright"/>
              <w:cnfStyle w:val="000000000000" w:firstRow="0" w:lastRow="0" w:firstColumn="0" w:lastColumn="0" w:oddVBand="0" w:evenVBand="0" w:oddHBand="0" w:evenHBand="0" w:firstRowFirstColumn="0" w:firstRowLastColumn="0" w:lastRowFirstColumn="0" w:lastRowLastColumn="0"/>
            </w:pPr>
            <w:r w:rsidRPr="00C25314">
              <w:t>15%</w:t>
            </w:r>
          </w:p>
        </w:tc>
        <w:tc>
          <w:tcPr>
            <w:tcW w:w="1541" w:type="dxa"/>
            <w:vAlign w:val="top"/>
          </w:tcPr>
          <w:p w:rsidR="00C25314" w:rsidRPr="00C25314" w:rsidRDefault="00C25314" w:rsidP="00C25314">
            <w:pPr>
              <w:pStyle w:val="AERtabletextright"/>
              <w:cnfStyle w:val="000000000000" w:firstRow="0" w:lastRow="0" w:firstColumn="0" w:lastColumn="0" w:oddVBand="0" w:evenVBand="0" w:oddHBand="0" w:evenHBand="0" w:firstRowFirstColumn="0" w:firstRowLastColumn="0" w:lastRowFirstColumn="0" w:lastRowLastColumn="0"/>
            </w:pPr>
            <w:r w:rsidRPr="00C25314">
              <w:t>17%</w:t>
            </w:r>
          </w:p>
        </w:tc>
        <w:tc>
          <w:tcPr>
            <w:tcW w:w="1541" w:type="dxa"/>
            <w:vAlign w:val="top"/>
          </w:tcPr>
          <w:p w:rsidR="00C25314" w:rsidRPr="00C25314" w:rsidRDefault="00C25314" w:rsidP="00C25314">
            <w:pPr>
              <w:pStyle w:val="AERtabletextright"/>
              <w:cnfStyle w:val="000000000000" w:firstRow="0" w:lastRow="0" w:firstColumn="0" w:lastColumn="0" w:oddVBand="0" w:evenVBand="0" w:oddHBand="0" w:evenHBand="0" w:firstRowFirstColumn="0" w:firstRowLastColumn="0" w:lastRowFirstColumn="0" w:lastRowLastColumn="0"/>
            </w:pPr>
            <w:r w:rsidRPr="00C25314">
              <w:t>18%</w:t>
            </w:r>
          </w:p>
        </w:tc>
      </w:tr>
    </w:tbl>
    <w:p w:rsidR="00434814" w:rsidRPr="00434814" w:rsidRDefault="00434814" w:rsidP="00434814">
      <w:pPr>
        <w:pStyle w:val="AERtablesource"/>
        <w:rPr>
          <w:rStyle w:val="AERbody"/>
          <w:sz w:val="16"/>
        </w:rPr>
      </w:pPr>
      <w:r w:rsidRPr="00434814">
        <w:rPr>
          <w:rStyle w:val="AERbody"/>
          <w:sz w:val="16"/>
        </w:rPr>
        <w:t xml:space="preserve">Source: </w:t>
      </w:r>
      <w:r w:rsidR="003E7206">
        <w:rPr>
          <w:rStyle w:val="AERbody"/>
          <w:sz w:val="16"/>
        </w:rPr>
        <w:tab/>
      </w:r>
      <w:r w:rsidRPr="00434814">
        <w:rPr>
          <w:rStyle w:val="AERbody"/>
          <w:sz w:val="16"/>
        </w:rPr>
        <w:t>AER analysis.</w:t>
      </w:r>
    </w:p>
    <w:p w:rsidR="00BD1FF1" w:rsidRDefault="00BC4043" w:rsidP="007952EC">
      <w:pPr>
        <w:pStyle w:val="AERbodytext"/>
      </w:pPr>
      <w:r>
        <w:t xml:space="preserve">JGN allocated $5.6 million </w:t>
      </w:r>
      <w:r w:rsidRPr="001D1E87">
        <w:rPr>
          <w:rStyle w:val="AERbody"/>
        </w:rPr>
        <w:t xml:space="preserve">($2015, unescalated direct costs, excluding overheads) </w:t>
      </w:r>
      <w:r>
        <w:t xml:space="preserve">of planning costs to the facilities renewal and upgrade category. We </w:t>
      </w:r>
      <w:r w:rsidR="009309FB">
        <w:t>are not satisfied</w:t>
      </w:r>
      <w:r>
        <w:t xml:space="preserve"> that this is a direct cost incurred in relation to facilities renewal and upgrade. We consider that planning costs are an overhead. We have therefore considered this cost in the section on overheads.</w:t>
      </w:r>
      <w:r w:rsidR="006F77DE">
        <w:t xml:space="preserve"> </w:t>
      </w:r>
    </w:p>
    <w:p w:rsidR="001D2957" w:rsidRDefault="009309FB" w:rsidP="006F77DE">
      <w:pPr>
        <w:pStyle w:val="AERbodytext"/>
        <w:rPr>
          <w:rStyle w:val="AERbody"/>
        </w:rPr>
      </w:pPr>
      <w:r>
        <w:t xml:space="preserve">We are not satisfied that </w:t>
      </w:r>
      <w:r w:rsidR="006F77DE">
        <w:t xml:space="preserve">JGN </w:t>
      </w:r>
      <w:r>
        <w:t xml:space="preserve">has </w:t>
      </w:r>
      <w:r w:rsidR="006F77DE">
        <w:t>justif</w:t>
      </w:r>
      <w:r>
        <w:t>ied</w:t>
      </w:r>
      <w:r w:rsidR="006F77DE">
        <w:t xml:space="preserve"> </w:t>
      </w:r>
      <w:r>
        <w:t xml:space="preserve">its proposal to </w:t>
      </w:r>
      <w:r w:rsidR="006F77DE">
        <w:t xml:space="preserve">increase planning costs. </w:t>
      </w:r>
      <w:r w:rsidR="006F77DE">
        <w:rPr>
          <w:rStyle w:val="AERbody"/>
        </w:rPr>
        <w:t>In assessing the total proposed planning costs, that is, the amounts included in overheads plus the amounts proposed to be included in the f</w:t>
      </w:r>
      <w:r w:rsidR="00434814">
        <w:rPr>
          <w:rStyle w:val="AERbody"/>
        </w:rPr>
        <w:t>acil</w:t>
      </w:r>
      <w:r w:rsidR="006F77DE">
        <w:rPr>
          <w:rStyle w:val="AERbody"/>
        </w:rPr>
        <w:t>ities renewal and upgrade category, we considered the forecast trend in expenditure against the historical trend</w:t>
      </w:r>
      <w:r w:rsidR="00434814">
        <w:rPr>
          <w:rStyle w:val="AERbody"/>
        </w:rPr>
        <w:t xml:space="preserve"> (see</w:t>
      </w:r>
      <w:r w:rsidR="008D60EC">
        <w:rPr>
          <w:rStyle w:val="AERbody"/>
        </w:rPr>
        <w:t xml:space="preserve"> </w:t>
      </w:r>
      <w:r w:rsidR="008D60EC">
        <w:rPr>
          <w:rStyle w:val="AERbody"/>
        </w:rPr>
        <w:fldChar w:fldCharType="begin"/>
      </w:r>
      <w:r w:rsidR="008D60EC">
        <w:rPr>
          <w:rStyle w:val="AERbody"/>
        </w:rPr>
        <w:instrText xml:space="preserve"> REF _Ref404162012 \h </w:instrText>
      </w:r>
      <w:r w:rsidR="008D60EC">
        <w:rPr>
          <w:rStyle w:val="AERbody"/>
        </w:rPr>
      </w:r>
      <w:r w:rsidR="008D60EC">
        <w:rPr>
          <w:rStyle w:val="AERbody"/>
        </w:rPr>
        <w:fldChar w:fldCharType="separate"/>
      </w:r>
      <w:r w:rsidR="0029475D">
        <w:t xml:space="preserve">Figure </w:t>
      </w:r>
      <w:r w:rsidR="0029475D">
        <w:rPr>
          <w:noProof/>
        </w:rPr>
        <w:t>6</w:t>
      </w:r>
      <w:r w:rsidR="0029475D">
        <w:noBreakHyphen/>
      </w:r>
      <w:r w:rsidR="0029475D">
        <w:rPr>
          <w:noProof/>
        </w:rPr>
        <w:t>2</w:t>
      </w:r>
      <w:r w:rsidR="008D60EC">
        <w:rPr>
          <w:rStyle w:val="AERbody"/>
        </w:rPr>
        <w:fldChar w:fldCharType="end"/>
      </w:r>
      <w:r w:rsidR="00434814">
        <w:rPr>
          <w:rStyle w:val="AERbody"/>
        </w:rPr>
        <w:t>)</w:t>
      </w:r>
      <w:r w:rsidR="006F77DE">
        <w:rPr>
          <w:rStyle w:val="AERbody"/>
        </w:rPr>
        <w:t>.</w:t>
      </w:r>
      <w:r w:rsidR="004D24B6">
        <w:rPr>
          <w:rStyle w:val="AERbody"/>
        </w:rPr>
        <w:t xml:space="preserve"> Planning costs have been relatively stable over the 2007-13 period. JGN have forecast a 66 per cent step increase in planning costs. We consider that there are only incremental changes in the size and complexity of the JGN network. We </w:t>
      </w:r>
      <w:r w:rsidR="008C787B">
        <w:rPr>
          <w:rStyle w:val="AERbody"/>
        </w:rPr>
        <w:t xml:space="preserve">have no evidence available to us that suggests that there are </w:t>
      </w:r>
      <w:r w:rsidR="004D24B6">
        <w:rPr>
          <w:rStyle w:val="AERbody"/>
        </w:rPr>
        <w:t>any change</w:t>
      </w:r>
      <w:r>
        <w:rPr>
          <w:rStyle w:val="AERbody"/>
        </w:rPr>
        <w:t>s</w:t>
      </w:r>
      <w:r w:rsidR="004D24B6">
        <w:rPr>
          <w:rStyle w:val="AERbody"/>
        </w:rPr>
        <w:t xml:space="preserve"> in obligations which would impact </w:t>
      </w:r>
      <w:r w:rsidR="0076722E">
        <w:rPr>
          <w:rStyle w:val="AERbody"/>
        </w:rPr>
        <w:t xml:space="preserve">planning requirements. For these reasons we have not included the </w:t>
      </w:r>
      <w:r w:rsidR="003F5AF4">
        <w:rPr>
          <w:rStyle w:val="AERbody"/>
        </w:rPr>
        <w:t>step increase in forecast</w:t>
      </w:r>
      <w:r w:rsidR="0076722E">
        <w:rPr>
          <w:rStyle w:val="AERbody"/>
        </w:rPr>
        <w:t xml:space="preserve"> planning costs</w:t>
      </w:r>
      <w:r>
        <w:rPr>
          <w:rStyle w:val="AERbody"/>
        </w:rPr>
        <w:t>,</w:t>
      </w:r>
      <w:r w:rsidR="008C787B">
        <w:rPr>
          <w:rStyle w:val="AERbody"/>
        </w:rPr>
        <w:t xml:space="preserve"> which </w:t>
      </w:r>
      <w:r>
        <w:rPr>
          <w:rStyle w:val="AERbody"/>
        </w:rPr>
        <w:t xml:space="preserve">JGN </w:t>
      </w:r>
      <w:r w:rsidR="008C787B">
        <w:rPr>
          <w:rStyle w:val="AERbody"/>
        </w:rPr>
        <w:t>proposed</w:t>
      </w:r>
      <w:r w:rsidR="0076722E">
        <w:rPr>
          <w:rStyle w:val="AERbody"/>
        </w:rPr>
        <w:t xml:space="preserve"> to include in the facilities </w:t>
      </w:r>
      <w:r w:rsidR="008C787B">
        <w:rPr>
          <w:rStyle w:val="AERbody"/>
        </w:rPr>
        <w:t xml:space="preserve">renewal </w:t>
      </w:r>
      <w:r w:rsidR="0076722E">
        <w:rPr>
          <w:rStyle w:val="AERbody"/>
        </w:rPr>
        <w:t>and upgrade category.</w:t>
      </w:r>
      <w:r w:rsidR="004D24B6">
        <w:rPr>
          <w:rStyle w:val="AERbody"/>
        </w:rPr>
        <w:t xml:space="preserve">  </w:t>
      </w:r>
    </w:p>
    <w:p w:rsidR="00434814" w:rsidRDefault="008D60EC" w:rsidP="008D60EC">
      <w:pPr>
        <w:pStyle w:val="Caption"/>
      </w:pPr>
      <w:bookmarkStart w:id="53" w:name="_Ref404162012"/>
      <w:r>
        <w:t xml:space="preserve">Figure </w:t>
      </w:r>
      <w:fldSimple w:instr=" STYLEREF 1 \s ">
        <w:r w:rsidR="0029475D">
          <w:rPr>
            <w:noProof/>
          </w:rPr>
          <w:t>6</w:t>
        </w:r>
      </w:fldSimple>
      <w:r>
        <w:noBreakHyphen/>
      </w:r>
      <w:fldSimple w:instr=" SEQ Figure \* ARABIC \s 1 ">
        <w:r w:rsidR="0029475D">
          <w:rPr>
            <w:noProof/>
          </w:rPr>
          <w:t>2</w:t>
        </w:r>
      </w:fldSimple>
      <w:bookmarkEnd w:id="53"/>
      <w:r w:rsidR="00434814">
        <w:tab/>
        <w:t>JGN's proposed total planning costs ($million, real 2014-15)</w:t>
      </w:r>
    </w:p>
    <w:p w:rsidR="004D24B6" w:rsidRDefault="004D24B6" w:rsidP="00754001">
      <w:pPr>
        <w:pStyle w:val="AERtablesource"/>
      </w:pPr>
      <w:r w:rsidRPr="004D24B6">
        <w:rPr>
          <w:noProof/>
          <w:lang w:eastAsia="en-AU"/>
        </w:rPr>
        <w:drawing>
          <wp:inline distT="0" distB="0" distL="0" distR="0" wp14:anchorId="7186787C" wp14:editId="4EC933B1">
            <wp:extent cx="4580953" cy="3219048"/>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80953" cy="3219048"/>
                    </a:xfrm>
                    <a:prstGeom prst="rect">
                      <a:avLst/>
                    </a:prstGeom>
                  </pic:spPr>
                </pic:pic>
              </a:graphicData>
            </a:graphic>
          </wp:inline>
        </w:drawing>
      </w:r>
    </w:p>
    <w:p w:rsidR="00434814" w:rsidRPr="00434814" w:rsidRDefault="00434814" w:rsidP="00754001">
      <w:pPr>
        <w:pStyle w:val="AERtablesource"/>
      </w:pPr>
      <w:r>
        <w:t xml:space="preserve">Source: </w:t>
      </w:r>
      <w:r w:rsidR="00754001">
        <w:tab/>
      </w:r>
      <w:r w:rsidR="00754001" w:rsidRPr="00CB0AE4">
        <w:t xml:space="preserve">JGN, </w:t>
      </w:r>
      <w:r w:rsidR="00754001" w:rsidRPr="00CB0AE4">
        <w:rPr>
          <w:rStyle w:val="AERtextitalic"/>
        </w:rPr>
        <w:t>2015-20 Access Arrangement Information – Confidential</w:t>
      </w:r>
      <w:r w:rsidR="00754001" w:rsidRPr="00CB0AE4">
        <w:t>, 30 June 2014, Appendix A to the AA RIN response - Regulatory templates (CONFIDENTIAL) [UPDATE].XLSM.</w:t>
      </w:r>
    </w:p>
    <w:p w:rsidR="00800D85" w:rsidRPr="00800D85" w:rsidRDefault="00275734" w:rsidP="00275734">
      <w:pPr>
        <w:pStyle w:val="HeadingBoldBlue"/>
      </w:pPr>
      <w:r w:rsidRPr="00275734">
        <w:lastRenderedPageBreak/>
        <w:t>Related party margin</w:t>
      </w:r>
    </w:p>
    <w:p w:rsidR="00B21FF4" w:rsidRPr="00B21FF4" w:rsidRDefault="00B21FF4" w:rsidP="00B21FF4">
      <w:r w:rsidRPr="00B21FF4">
        <w:t>As discussed in 'Connections/Market expansion'</w:t>
      </w:r>
      <w:r>
        <w:t xml:space="preserve"> in </w:t>
      </w:r>
      <w:r w:rsidRPr="00B21FF4">
        <w:t xml:space="preserve">section </w:t>
      </w:r>
      <w:r>
        <w:fldChar w:fldCharType="begin"/>
      </w:r>
      <w:r>
        <w:instrText xml:space="preserve"> REF _Ref404336201 \r \h </w:instrText>
      </w:r>
      <w:r>
        <w:fldChar w:fldCharType="separate"/>
      </w:r>
      <w:r>
        <w:t>6.4.2</w:t>
      </w:r>
      <w:r>
        <w:fldChar w:fldCharType="end"/>
      </w:r>
      <w:r w:rsidRPr="00B21FF4">
        <w:t>, we do not consider that JGN justified the inclusion of a related party margin for the 2015-2020 access arrangement period.</w:t>
      </w:r>
    </w:p>
    <w:p w:rsidR="00B21FF4" w:rsidRPr="00B21FF4" w:rsidRDefault="00B21FF4" w:rsidP="00B21FF4">
      <w:pPr>
        <w:pStyle w:val="AERbodytext"/>
      </w:pPr>
      <w:r w:rsidRPr="00B21FF4">
        <w:t>We had approved a margin for the 2010-15 access arrangement on all capex categories excluding Mines subsidence, SCADA &amp; network control-IT and Other (non-distribution). During the previous period, Jemena Asset Management (JAM) managed JGN operations in return for a margin. For the coming 2015-2020 period, JGN has decided to restructure its arrangements, ceasing the JAM management agreement. JGN has split its network into a North and South region. It established new contracts for routine construction, repair and maintenance contracts for the Northern region after going out to open tender in October 2012.</w:t>
      </w:r>
      <w:r w:rsidRPr="00B21FF4">
        <w:rPr>
          <w:rStyle w:val="FootnoteReference"/>
        </w:rPr>
        <w:t xml:space="preserve"> </w:t>
      </w:r>
      <w:r w:rsidRPr="00B21FF4">
        <w:rPr>
          <w:rStyle w:val="FootnoteReference"/>
        </w:rPr>
        <w:footnoteReference w:id="128"/>
      </w:r>
      <w:r w:rsidRPr="00B21FF4">
        <w:rPr>
          <w:rStyle w:val="FootnoteReference"/>
        </w:rPr>
        <w:t xml:space="preserve"> </w:t>
      </w:r>
      <w:r w:rsidRPr="00B21FF4">
        <w:t>Zinfra, a subsidiary of the Jemena Group, and so for this purpose a related party to JGN, has been awarded JGN's Southern region.</w:t>
      </w:r>
      <w:r w:rsidRPr="00B21FF4">
        <w:rPr>
          <w:rStyle w:val="FootnoteReference"/>
        </w:rPr>
        <w:footnoteReference w:id="129"/>
      </w:r>
    </w:p>
    <w:p w:rsidR="00B21FF4" w:rsidRPr="00B21FF4" w:rsidRDefault="00B21FF4" w:rsidP="00B21FF4">
      <w:pPr>
        <w:pStyle w:val="AERbodytext"/>
      </w:pPr>
      <w:r w:rsidRPr="00B21FF4">
        <w:t>We reviewed the tender documents, the tender assessment and the decision to award the four contracts. We are satisfied that this was a competitive tender process. As it was a competitive tender price, we are satisfied that the unit rates established in the contracts reflect competitive unit rates prevailing in the market. On this basis we are satisfied that the unit rates drawn from these contracts which form the basis of estimates used in JGN's proposed capex are efficient.</w:t>
      </w:r>
      <w:r w:rsidRPr="00B21FF4">
        <w:rPr>
          <w:rStyle w:val="FootnoteReference"/>
        </w:rPr>
        <w:footnoteReference w:id="130"/>
      </w:r>
      <w:r w:rsidRPr="00B21FF4">
        <w:t xml:space="preserve"> JGN indicated that the awarded unit rates had increased compared with existing unit rates.</w:t>
      </w:r>
      <w:r w:rsidRPr="00B21FF4">
        <w:rPr>
          <w:rStyle w:val="FootnoteReference"/>
        </w:rPr>
        <w:footnoteReference w:id="131"/>
      </w:r>
      <w:r w:rsidRPr="00B21FF4">
        <w:t xml:space="preserve"> JGN attributed the cost increase to increased contractor compliance costs in meeting JGN's quality system and health and safety requirements.</w:t>
      </w:r>
      <w:r w:rsidRPr="00B21FF4">
        <w:rPr>
          <w:rStyle w:val="FootnoteReference"/>
        </w:rPr>
        <w:footnoteReference w:id="132"/>
      </w:r>
    </w:p>
    <w:p w:rsidR="00B21FF4" w:rsidRDefault="00B21FF4" w:rsidP="00B21FF4">
      <w:pPr>
        <w:pStyle w:val="AERbodytext"/>
      </w:pPr>
      <w:r w:rsidRPr="00B21FF4">
        <w:t>However, JGN has sought to apply a margin on market expansion/connections capex. JGN did not set out why a Zinfra margin is incurred or how the margin is calculated. So while we are satisfied the unit rated established in the contracts are efficient, we have not included the proposed margin on market expansion/connections capex. The amount forecast by JGN is contained in a confidential appendix to this draft decision.</w:t>
      </w:r>
    </w:p>
    <w:p w:rsidR="00E32FCA" w:rsidRDefault="00E32FCA" w:rsidP="00C707F9">
      <w:pPr>
        <w:pStyle w:val="Heading3"/>
      </w:pPr>
      <w:bookmarkStart w:id="54" w:name="_Toc404676551"/>
      <w:bookmarkStart w:id="55" w:name="_Toc404676601"/>
      <w:r>
        <w:t>Adjustments to labour and material escalation</w:t>
      </w:r>
      <w:bookmarkEnd w:id="54"/>
      <w:bookmarkEnd w:id="55"/>
    </w:p>
    <w:p w:rsidR="00E32FCA" w:rsidRPr="00E32FCA" w:rsidRDefault="00E32FCA" w:rsidP="00E32FCA">
      <w:pPr>
        <w:pStyle w:val="AERbodytext"/>
      </w:pPr>
      <w:r>
        <w:t>We have</w:t>
      </w:r>
      <w:r w:rsidRPr="002D30B0">
        <w:t xml:space="preserve"> revised down the labour and material escalation that was proposed by </w:t>
      </w:r>
      <w:r>
        <w:t>JGN</w:t>
      </w:r>
      <w:r w:rsidRPr="002D30B0">
        <w:t xml:space="preserve">. Internal and external labour escalation has been revised down. </w:t>
      </w:r>
      <w:r>
        <w:t xml:space="preserve">This is discussed in </w:t>
      </w:r>
      <w:r w:rsidR="00237797">
        <w:t xml:space="preserve">section 7.5.3 of </w:t>
      </w:r>
      <w:r>
        <w:t xml:space="preserve">attachment </w:t>
      </w:r>
      <w:r w:rsidR="0075157B">
        <w:t xml:space="preserve">7 (opex) of this draft decision. </w:t>
      </w:r>
      <w:r w:rsidRPr="002D30B0">
        <w:t>Materials escalation has been revised to nil real.</w:t>
      </w:r>
      <w:r>
        <w:t xml:space="preserve"> This is discussed in </w:t>
      </w:r>
      <w:r w:rsidR="00237797">
        <w:t>appendix section A.6</w:t>
      </w:r>
      <w:r w:rsidR="00237797">
        <w:fldChar w:fldCharType="begin"/>
      </w:r>
      <w:r w:rsidR="00237797">
        <w:instrText xml:space="preserve"> REF  _Ref404676881 \h \r  \* MERGEFORMAT </w:instrText>
      </w:r>
      <w:r w:rsidR="00237797">
        <w:fldChar w:fldCharType="end"/>
      </w:r>
      <w:r w:rsidR="00237797">
        <w:t xml:space="preserve"> of the capex attachment below</w:t>
      </w:r>
      <w:r>
        <w:t>.</w:t>
      </w:r>
    </w:p>
    <w:p w:rsidR="00C707F9" w:rsidRPr="00C707F9" w:rsidRDefault="00C707F9" w:rsidP="00A21D39">
      <w:pPr>
        <w:pStyle w:val="Heading2"/>
      </w:pPr>
      <w:bookmarkStart w:id="56" w:name="_Toc404676552"/>
      <w:bookmarkStart w:id="57" w:name="_Toc404676602"/>
      <w:r>
        <w:t>Revisions</w:t>
      </w:r>
      <w:bookmarkEnd w:id="56"/>
      <w:bookmarkEnd w:id="57"/>
    </w:p>
    <w:p w:rsidR="00C707F9" w:rsidRPr="003B0C20" w:rsidRDefault="00C707F9" w:rsidP="00C707F9">
      <w:pPr>
        <w:pStyle w:val="AERrevisionbox"/>
      </w:pPr>
      <w:r w:rsidRPr="00C707F9">
        <w:t xml:space="preserve">Revision </w:t>
      </w:r>
      <w:r w:rsidR="008D60EC">
        <w:t>6</w:t>
      </w:r>
      <w:r w:rsidR="009E4FBA">
        <w:t>.</w:t>
      </w:r>
      <w:r w:rsidRPr="00C707F9">
        <w:t>1:</w:t>
      </w:r>
      <w:r>
        <w:t xml:space="preserve"> </w:t>
      </w:r>
      <w:r w:rsidRPr="003B0C20">
        <w:t>Make all necessary amendments to reflect the AER’s draft decision on opening capital base for the access arrangement period, as set out in</w:t>
      </w:r>
      <w:r w:rsidR="002B7BD8">
        <w:t xml:space="preserve"> </w:t>
      </w:r>
      <w:r w:rsidR="002B7BD8">
        <w:fldChar w:fldCharType="begin"/>
      </w:r>
      <w:r w:rsidR="002B7BD8">
        <w:instrText xml:space="preserve"> REF  _Ref404334270 \* Lower \h  \* MERGEFORMAT </w:instrText>
      </w:r>
      <w:r w:rsidR="002B7BD8">
        <w:fldChar w:fldCharType="separate"/>
      </w:r>
      <w:r w:rsidR="002B7BD8">
        <w:t xml:space="preserve">table </w:t>
      </w:r>
      <w:r w:rsidR="002B7BD8">
        <w:rPr>
          <w:noProof/>
        </w:rPr>
        <w:t>6</w:t>
      </w:r>
      <w:r w:rsidR="002B7BD8">
        <w:noBreakHyphen/>
      </w:r>
      <w:r w:rsidR="002B7BD8">
        <w:rPr>
          <w:noProof/>
        </w:rPr>
        <w:t>1</w:t>
      </w:r>
      <w:r w:rsidR="002B7BD8">
        <w:fldChar w:fldCharType="end"/>
      </w:r>
      <w:r w:rsidRPr="003B0C20">
        <w:t>.</w:t>
      </w:r>
    </w:p>
    <w:p w:rsidR="00C707F9" w:rsidRPr="003B0C20" w:rsidRDefault="00C707F9" w:rsidP="00C707F9">
      <w:pPr>
        <w:pStyle w:val="AERrevisionbox"/>
      </w:pPr>
      <w:r w:rsidRPr="00C707F9">
        <w:t xml:space="preserve">Revision </w:t>
      </w:r>
      <w:r w:rsidR="008D60EC">
        <w:t>6</w:t>
      </w:r>
      <w:r w:rsidRPr="00C707F9">
        <w:t>.</w:t>
      </w:r>
      <w:r w:rsidR="00236A95">
        <w:t>2</w:t>
      </w:r>
      <w:r w:rsidRPr="00C707F9">
        <w:t>:</w:t>
      </w:r>
      <w:r>
        <w:t xml:space="preserve"> </w:t>
      </w:r>
      <w:r w:rsidRPr="003B0C20">
        <w:t xml:space="preserve">Make all necessary amendments to reflect the AER’s draft decision on forecast capex by asset class over the access arrangement period, as set out in </w:t>
      </w:r>
      <w:r w:rsidR="002B7BD8">
        <w:fldChar w:fldCharType="begin"/>
      </w:r>
      <w:r w:rsidR="002B7BD8">
        <w:instrText xml:space="preserve"> REF  _Ref404161318 \* Lower \h  \* MERGEFORMAT </w:instrText>
      </w:r>
      <w:r w:rsidR="002B7BD8">
        <w:fldChar w:fldCharType="separate"/>
      </w:r>
      <w:r w:rsidR="002B7BD8">
        <w:t xml:space="preserve">table </w:t>
      </w:r>
      <w:r w:rsidR="002B7BD8">
        <w:rPr>
          <w:noProof/>
        </w:rPr>
        <w:t>6</w:t>
      </w:r>
      <w:r w:rsidR="002B7BD8">
        <w:noBreakHyphen/>
      </w:r>
      <w:r w:rsidR="002B7BD8">
        <w:rPr>
          <w:noProof/>
        </w:rPr>
        <w:t>2</w:t>
      </w:r>
      <w:r w:rsidR="002B7BD8">
        <w:fldChar w:fldCharType="end"/>
      </w:r>
      <w:r w:rsidRPr="003B0C20">
        <w:t>.</w:t>
      </w:r>
    </w:p>
    <w:p w:rsidR="00064B85" w:rsidRDefault="00064B85">
      <w:pPr>
        <w:spacing w:after="0" w:line="240" w:lineRule="auto"/>
        <w:jc w:val="left"/>
        <w:rPr>
          <w:rFonts w:eastAsia="Times New Roman"/>
          <w:szCs w:val="24"/>
        </w:rPr>
      </w:pPr>
      <w:r>
        <w:br w:type="page"/>
      </w:r>
    </w:p>
    <w:p w:rsidR="00064B85" w:rsidRDefault="00064B85" w:rsidP="00064B85">
      <w:pPr>
        <w:pStyle w:val="Heading7"/>
      </w:pPr>
      <w:bookmarkStart w:id="58" w:name="_Toc404676603"/>
      <w:bookmarkStart w:id="59" w:name="_Toc390936289"/>
      <w:r>
        <w:lastRenderedPageBreak/>
        <w:t>Appendix: Real material cost escalation</w:t>
      </w:r>
      <w:bookmarkEnd w:id="58"/>
    </w:p>
    <w:p w:rsidR="00064B85" w:rsidRDefault="00064B85" w:rsidP="00064B85">
      <w:pPr>
        <w:pStyle w:val="AERbodytext"/>
      </w:pPr>
      <w:r w:rsidRPr="00E4650C">
        <w:t xml:space="preserve">Real </w:t>
      </w:r>
      <w:r>
        <w:t xml:space="preserve">material </w:t>
      </w:r>
      <w:r w:rsidRPr="00E4650C">
        <w:t xml:space="preserve">cost escalation is a method </w:t>
      </w:r>
      <w:r w:rsidRPr="0070452C">
        <w:t xml:space="preserve">for accounting for expected changes in the costs of key material inputs to forecast capex. </w:t>
      </w:r>
      <w:bookmarkStart w:id="60" w:name="_Toc334607976"/>
      <w:bookmarkStart w:id="61" w:name="_Toc335135603"/>
      <w:r w:rsidRPr="0070452C">
        <w:t xml:space="preserve">The materials input cost model submitted by </w:t>
      </w:r>
      <w:r>
        <w:t>JGN</w:t>
      </w:r>
      <w:r w:rsidRPr="0070452C">
        <w:t xml:space="preserve"> includes forecasts for changes in the prices of commodities such as aluminium, </w:t>
      </w:r>
      <w:r>
        <w:t xml:space="preserve">brass, concrete, plastic and </w:t>
      </w:r>
      <w:r w:rsidRPr="0070452C">
        <w:t xml:space="preserve">steel, rather than the prices of </w:t>
      </w:r>
      <w:r>
        <w:t xml:space="preserve">physical inputs </w:t>
      </w:r>
      <w:r w:rsidRPr="0070452C">
        <w:t xml:space="preserve">themselves (e.g., </w:t>
      </w:r>
      <w:r>
        <w:t>pipes and meters</w:t>
      </w:r>
      <w:r w:rsidRPr="0070452C">
        <w:t xml:space="preserve">) which are the inputs directly sourced by </w:t>
      </w:r>
      <w:r>
        <w:t>JGN</w:t>
      </w:r>
      <w:r w:rsidRPr="0070452C">
        <w:t xml:space="preserve"> in the</w:t>
      </w:r>
      <w:r w:rsidRPr="00CA6A4C">
        <w:t xml:space="preserve"> provision of its network services. </w:t>
      </w:r>
    </w:p>
    <w:p w:rsidR="00064B85" w:rsidRPr="004F4CB0" w:rsidRDefault="00064B85" w:rsidP="00064B85">
      <w:pPr>
        <w:pStyle w:val="Heading8"/>
      </w:pPr>
      <w:bookmarkStart w:id="62" w:name="_Toc404676604"/>
      <w:bookmarkEnd w:id="60"/>
      <w:bookmarkEnd w:id="61"/>
      <w:r>
        <w:t>Position</w:t>
      </w:r>
      <w:bookmarkEnd w:id="62"/>
    </w:p>
    <w:p w:rsidR="00064B85" w:rsidRPr="0064222C" w:rsidRDefault="00064B85" w:rsidP="00064B85">
      <w:pPr>
        <w:pStyle w:val="AERbodytext"/>
        <w:rPr>
          <w:rStyle w:val="AERbody"/>
        </w:rPr>
      </w:pPr>
      <w:r w:rsidRPr="00BF0C4A">
        <w:t>We are not satisfied that JGN's proposed real material cost escalators (</w:t>
      </w:r>
      <w:r>
        <w:t xml:space="preserve">leading to </w:t>
      </w:r>
      <w:r w:rsidRPr="00BF0C4A">
        <w:t>cost increases above CPI) are arrived at on a reasonable basis, and are the best forecast possible in the circumstances.</w:t>
      </w:r>
      <w:r w:rsidRPr="00BF0C4A">
        <w:rPr>
          <w:rStyle w:val="AERsuperscript"/>
        </w:rPr>
        <w:footnoteReference w:id="133"/>
      </w:r>
      <w:r w:rsidRPr="00BF0C4A">
        <w:t xml:space="preserve"> </w:t>
      </w:r>
      <w:r>
        <w:rPr>
          <w:rStyle w:val="AERbody"/>
        </w:rPr>
        <w:t>We therefore do not consider that the forecast capex meets the capital expenditure criteria of clause 79(1) of the NGR. Instead w</w:t>
      </w:r>
      <w:r w:rsidRPr="0064222C">
        <w:rPr>
          <w:rStyle w:val="AERbody"/>
        </w:rPr>
        <w:t xml:space="preserve">e </w:t>
      </w:r>
      <w:r>
        <w:rPr>
          <w:rStyle w:val="AERbody"/>
        </w:rPr>
        <w:t xml:space="preserve">consider that </w:t>
      </w:r>
      <w:r w:rsidRPr="00F519A1">
        <w:t xml:space="preserve">zero per cent real cost escalation </w:t>
      </w:r>
      <w:r>
        <w:t xml:space="preserve">is </w:t>
      </w:r>
      <w:r w:rsidRPr="00BF0C4A">
        <w:t>likely to more reasonably reflect a realistic expectation of the cost inputs required to achieve the capex criteria.</w:t>
      </w:r>
      <w:r w:rsidRPr="00BF0C4A">
        <w:rPr>
          <w:rStyle w:val="AERsuperscript"/>
        </w:rPr>
        <w:footnoteReference w:id="134"/>
      </w:r>
      <w:r w:rsidRPr="00BF0C4A">
        <w:t xml:space="preserve"> </w:t>
      </w:r>
      <w:r>
        <w:rPr>
          <w:rStyle w:val="AERbody"/>
        </w:rPr>
        <w:t xml:space="preserve"> </w:t>
      </w:r>
      <w:r>
        <w:t>We have arrived at this conclusion on the basis that</w:t>
      </w:r>
      <w:r w:rsidRPr="0064222C">
        <w:rPr>
          <w:rStyle w:val="AERbody"/>
        </w:rPr>
        <w:t>:</w:t>
      </w:r>
    </w:p>
    <w:p w:rsidR="00064B85" w:rsidRDefault="00064B85" w:rsidP="00064B85">
      <w:pPr>
        <w:pStyle w:val="AERbulletlistfirststyle"/>
      </w:pPr>
      <w:r w:rsidRPr="00851E2F">
        <w:t xml:space="preserve">the degree of the potential inaccuracy of </w:t>
      </w:r>
      <w:r>
        <w:t>commodities</w:t>
      </w:r>
      <w:r w:rsidRPr="00851E2F">
        <w:t xml:space="preserve"> forecasts is such that we consider that </w:t>
      </w:r>
      <w:r>
        <w:t>zero per cent real cost escalation</w:t>
      </w:r>
      <w:r w:rsidRPr="00851E2F">
        <w:t xml:space="preserve"> is likely to </w:t>
      </w:r>
      <w:r>
        <w:t xml:space="preserve">provide </w:t>
      </w:r>
      <w:r w:rsidRPr="00851E2F">
        <w:t xml:space="preserve">a </w:t>
      </w:r>
      <w:r>
        <w:t>more reliable</w:t>
      </w:r>
      <w:r w:rsidRPr="00851E2F">
        <w:t xml:space="preserve"> estimation for the price of input materials</w:t>
      </w:r>
      <w:r w:rsidRPr="00AE1C9D">
        <w:rPr>
          <w:rFonts w:eastAsia="Calibri"/>
        </w:rPr>
        <w:t xml:space="preserve"> </w:t>
      </w:r>
      <w:r w:rsidRPr="00AE1C9D">
        <w:t xml:space="preserve">used by </w:t>
      </w:r>
      <w:r>
        <w:t>JGN</w:t>
      </w:r>
      <w:r w:rsidRPr="00AE1C9D">
        <w:t xml:space="preserve"> to provide network services</w:t>
      </w:r>
    </w:p>
    <w:p w:rsidR="00064B85" w:rsidRPr="004074FB" w:rsidRDefault="00064B85" w:rsidP="00064B85">
      <w:pPr>
        <w:pStyle w:val="AERbulletlistfirststyle"/>
      </w:pPr>
      <w:r w:rsidRPr="004074FB">
        <w:t xml:space="preserve">there is </w:t>
      </w:r>
      <w:r>
        <w:t>little</w:t>
      </w:r>
      <w:r w:rsidRPr="004074FB">
        <w:t xml:space="preserve"> evidence to </w:t>
      </w:r>
      <w:r>
        <w:t>support</w:t>
      </w:r>
      <w:r w:rsidRPr="004074FB">
        <w:t xml:space="preserve"> how accurately </w:t>
      </w:r>
      <w:r>
        <w:t>JGN's</w:t>
      </w:r>
      <w:r w:rsidRPr="004074FB">
        <w:t xml:space="preserve"> materials escalation forecasts reasonably reflect changes in prices paid </w:t>
      </w:r>
      <w:r>
        <w:t xml:space="preserve">by JGN </w:t>
      </w:r>
      <w:r w:rsidRPr="004074FB">
        <w:t xml:space="preserve">for </w:t>
      </w:r>
      <w:r>
        <w:t xml:space="preserve">physical assets </w:t>
      </w:r>
      <w:r w:rsidRPr="004074FB">
        <w:t xml:space="preserve">in the past </w:t>
      </w:r>
      <w:r>
        <w:t>and by which we can</w:t>
      </w:r>
      <w:r w:rsidRPr="004074FB">
        <w:t xml:space="preserve"> assess the reliability and accuracy of its </w:t>
      </w:r>
      <w:r>
        <w:t xml:space="preserve">capex </w:t>
      </w:r>
      <w:r w:rsidRPr="004074FB">
        <w:t xml:space="preserve">forecast model. Without this supporting evidence, it is difficult to assess the accuracy and reliability of </w:t>
      </w:r>
      <w:r>
        <w:t>JGN's</w:t>
      </w:r>
      <w:r w:rsidRPr="004074FB">
        <w:t xml:space="preserve"> </w:t>
      </w:r>
      <w:r>
        <w:t xml:space="preserve">capex forecast </w:t>
      </w:r>
      <w:r w:rsidRPr="004074FB">
        <w:t xml:space="preserve"> model as a predictor of the prices of </w:t>
      </w:r>
      <w:r>
        <w:t>the assets</w:t>
      </w:r>
      <w:r w:rsidRPr="004074FB">
        <w:t xml:space="preserve"> used by </w:t>
      </w:r>
      <w:r>
        <w:t>JGN</w:t>
      </w:r>
      <w:r w:rsidRPr="004074FB">
        <w:t xml:space="preserve"> to provide network services, and</w:t>
      </w:r>
    </w:p>
    <w:p w:rsidR="00064B85" w:rsidRDefault="00064B85" w:rsidP="00064B85">
      <w:pPr>
        <w:pStyle w:val="AERbulletlistfirststyle"/>
      </w:pPr>
      <w:r>
        <w:t>JGN has not provided any supporting evidence to show that it has considered whether there may be</w:t>
      </w:r>
      <w:r w:rsidRPr="00AE1C9D">
        <w:t xml:space="preserve"> </w:t>
      </w:r>
      <w:r>
        <w:t>some</w:t>
      </w:r>
      <w:r w:rsidRPr="00AE1C9D">
        <w:t xml:space="preserve"> material exogenous factors that impact on the cost of </w:t>
      </w:r>
      <w:r>
        <w:t>physical inputs</w:t>
      </w:r>
      <w:r w:rsidRPr="00AE1C9D">
        <w:t xml:space="preserve"> that are not captured by the </w:t>
      </w:r>
      <w:r>
        <w:t>capex forecast</w:t>
      </w:r>
      <w:r w:rsidRPr="00AE1C9D">
        <w:t xml:space="preserve"> model used by </w:t>
      </w:r>
      <w:r>
        <w:t>JGN.</w:t>
      </w:r>
    </w:p>
    <w:p w:rsidR="00064B85" w:rsidRPr="00067083" w:rsidRDefault="00064B85" w:rsidP="00064B85">
      <w:pPr>
        <w:pStyle w:val="AERbodytext"/>
      </w:pPr>
      <w:r>
        <w:t>Our</w:t>
      </w:r>
      <w:r w:rsidRPr="00676FAD">
        <w:t xml:space="preserve"> </w:t>
      </w:r>
      <w:r w:rsidRPr="00067083">
        <w:t xml:space="preserve">approach to real materials cost escalation discussed above does not affect the </w:t>
      </w:r>
      <w:r>
        <w:t xml:space="preserve">proposed </w:t>
      </w:r>
      <w:r w:rsidRPr="00067083">
        <w:t xml:space="preserve">application of labour escalators </w:t>
      </w:r>
      <w:r>
        <w:t xml:space="preserve">by JGN </w:t>
      </w:r>
      <w:r w:rsidRPr="00067083">
        <w:t xml:space="preserve">which apply to </w:t>
      </w:r>
      <w:r>
        <w:t xml:space="preserve">its </w:t>
      </w:r>
      <w:r w:rsidRPr="00067083">
        <w:t xml:space="preserve">capital expenditure. We consider that labour cost escalation </w:t>
      </w:r>
      <w:r>
        <w:t xml:space="preserve">as proposed by JGN </w:t>
      </w:r>
      <w:r w:rsidRPr="00067083">
        <w:t>is likely to more reasonably reflect a realistic expectation of the cost inputs required to achieve the capex criteria</w:t>
      </w:r>
      <w:r>
        <w:t xml:space="preserve"> given these are direct inputs into the cost of providing network services</w:t>
      </w:r>
      <w:r w:rsidRPr="00067083">
        <w:t>.</w:t>
      </w:r>
      <w:r w:rsidRPr="00067083">
        <w:rPr>
          <w:rStyle w:val="AERsuperscript"/>
        </w:rPr>
        <w:footnoteReference w:id="135"/>
      </w:r>
      <w:r w:rsidRPr="00067083">
        <w:t xml:space="preserve"> </w:t>
      </w:r>
    </w:p>
    <w:p w:rsidR="00064B85" w:rsidRPr="0064222C" w:rsidRDefault="00064B85" w:rsidP="00064B85">
      <w:pPr>
        <w:pStyle w:val="Heading8"/>
      </w:pPr>
      <w:bookmarkStart w:id="63" w:name="_Toc326056440"/>
      <w:bookmarkStart w:id="64" w:name="_Toc365283285"/>
      <w:bookmarkStart w:id="65" w:name="_Toc404676605"/>
      <w:r>
        <w:t>JGN's</w:t>
      </w:r>
      <w:r w:rsidRPr="00062319">
        <w:t xml:space="preserve"> proposal</w:t>
      </w:r>
      <w:bookmarkEnd w:id="63"/>
      <w:bookmarkEnd w:id="64"/>
      <w:bookmarkEnd w:id="65"/>
    </w:p>
    <w:p w:rsidR="00064B85" w:rsidRPr="00341230" w:rsidRDefault="00064B85" w:rsidP="00064B85">
      <w:r>
        <w:t>JGN applied material and labour cost escalators to various asset classes in forecasting its capex for the 2015-20 period</w:t>
      </w:r>
      <w:r w:rsidRPr="00B03552">
        <w:t>.</w:t>
      </w:r>
      <w:r w:rsidRPr="0051219A">
        <w:rPr>
          <w:rStyle w:val="AERsuperscript"/>
        </w:rPr>
        <w:footnoteReference w:id="136"/>
      </w:r>
      <w:r>
        <w:t xml:space="preserve"> </w:t>
      </w:r>
      <w:r w:rsidRPr="00C8748B">
        <w:t xml:space="preserve">Real cost escalation indices for the following material cost drivers were calculated for </w:t>
      </w:r>
      <w:r>
        <w:t>JGN</w:t>
      </w:r>
      <w:r w:rsidRPr="00C8748B">
        <w:t xml:space="preserve"> by </w:t>
      </w:r>
      <w:r w:rsidRPr="00341230">
        <w:t>BIS Shrapnel</w:t>
      </w:r>
      <w:r w:rsidRPr="00341230">
        <w:rPr>
          <w:rStyle w:val="AERsuperscript"/>
        </w:rPr>
        <w:footnoteReference w:id="137"/>
      </w:r>
      <w:r w:rsidRPr="00341230">
        <w:t xml:space="preserve">: </w:t>
      </w:r>
    </w:p>
    <w:p w:rsidR="00064B85" w:rsidRPr="00341230" w:rsidRDefault="00064B85" w:rsidP="00064B85">
      <w:r w:rsidRPr="00341230">
        <w:t xml:space="preserve">• aluminium </w:t>
      </w:r>
    </w:p>
    <w:p w:rsidR="00064B85" w:rsidRPr="00341230" w:rsidRDefault="00064B85" w:rsidP="00064B85">
      <w:r w:rsidRPr="00341230">
        <w:t xml:space="preserve">• brass </w:t>
      </w:r>
    </w:p>
    <w:p w:rsidR="00064B85" w:rsidRPr="00341230" w:rsidRDefault="00064B85" w:rsidP="00064B85">
      <w:r w:rsidRPr="00341230">
        <w:lastRenderedPageBreak/>
        <w:t>• concrete</w:t>
      </w:r>
    </w:p>
    <w:p w:rsidR="00064B85" w:rsidRPr="00341230" w:rsidRDefault="00064B85" w:rsidP="00064B85">
      <w:r w:rsidRPr="00341230">
        <w:t>• plastic, and</w:t>
      </w:r>
    </w:p>
    <w:p w:rsidR="00064B85" w:rsidRPr="00341230" w:rsidRDefault="00064B85" w:rsidP="00064B85">
      <w:r w:rsidRPr="00341230">
        <w:t xml:space="preserve">• steel. </w:t>
      </w:r>
    </w:p>
    <w:p w:rsidR="00064B85" w:rsidRPr="00341230" w:rsidRDefault="00064B85" w:rsidP="00064B85">
      <w:r w:rsidRPr="00341230">
        <w:t>BIS Shrapnel commodity forecasts are converted into Australian dollars using its own in-house methodology based on three key drivers; commodity price forecasts, interest rate differentials between Australia and the United States and the VIX volatility index.</w:t>
      </w:r>
      <w:r w:rsidRPr="00341230">
        <w:rPr>
          <w:rStyle w:val="AERsuperscript"/>
        </w:rPr>
        <w:footnoteReference w:id="138"/>
      </w:r>
    </w:p>
    <w:p w:rsidR="00064B85" w:rsidRPr="00341230" w:rsidRDefault="00064B85" w:rsidP="00064B85">
      <w:r>
        <w:fldChar w:fldCharType="begin"/>
      </w:r>
      <w:r>
        <w:instrText xml:space="preserve"> REF _Ref404076337 \h </w:instrText>
      </w:r>
      <w:r>
        <w:fldChar w:fldCharType="separate"/>
      </w:r>
      <w:r w:rsidR="00D34515">
        <w:t xml:space="preserve">Table </w:t>
      </w:r>
      <w:r w:rsidR="00D34515">
        <w:rPr>
          <w:noProof/>
        </w:rPr>
        <w:t>A</w:t>
      </w:r>
      <w:r w:rsidR="00D34515">
        <w:t>.</w:t>
      </w:r>
      <w:r w:rsidR="00D34515">
        <w:rPr>
          <w:noProof/>
        </w:rPr>
        <w:t>1</w:t>
      </w:r>
      <w:r>
        <w:fldChar w:fldCharType="end"/>
      </w:r>
      <w:r>
        <w:t xml:space="preserve"> </w:t>
      </w:r>
      <w:r w:rsidRPr="00341230">
        <w:t>outlines JGN's real input materials escalation forecasts.</w:t>
      </w:r>
    </w:p>
    <w:p w:rsidR="00064B85" w:rsidRDefault="00064B85" w:rsidP="00064B85">
      <w:pPr>
        <w:pStyle w:val="Caption"/>
      </w:pPr>
      <w:bookmarkStart w:id="66" w:name="_Ref404076337"/>
      <w:r>
        <w:t xml:space="preserve">Table </w:t>
      </w:r>
      <w:fldSimple w:instr=" STYLEREF 7 \s ">
        <w:r w:rsidR="00D34515">
          <w:rPr>
            <w:noProof/>
          </w:rPr>
          <w:t>A</w:t>
        </w:r>
      </w:fldSimple>
      <w:r>
        <w:t>.</w:t>
      </w:r>
      <w:fldSimple w:instr=" SEQ Table \* ARABIC \s 7 ">
        <w:r w:rsidR="00D34515">
          <w:rPr>
            <w:noProof/>
          </w:rPr>
          <w:t>1</w:t>
        </w:r>
      </w:fldSimple>
      <w:bookmarkEnd w:id="66"/>
      <w:r w:rsidRPr="00341230">
        <w:tab/>
        <w:t>JGN's real materials cost escalation forecast—inputs (per cent)</w:t>
      </w:r>
    </w:p>
    <w:tbl>
      <w:tblPr>
        <w:tblStyle w:val="AERtable-numbers"/>
        <w:tblW w:w="0" w:type="auto"/>
        <w:tblLook w:val="04A0" w:firstRow="1" w:lastRow="0" w:firstColumn="1" w:lastColumn="0" w:noHBand="0" w:noVBand="1"/>
      </w:tblPr>
      <w:tblGrid>
        <w:gridCol w:w="1540"/>
        <w:gridCol w:w="1540"/>
        <w:gridCol w:w="1540"/>
        <w:gridCol w:w="1540"/>
        <w:gridCol w:w="1541"/>
        <w:gridCol w:w="1541"/>
      </w:tblGrid>
      <w:tr w:rsidR="00064B85" w:rsidRPr="003E7F76" w:rsidTr="00442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064B85" w:rsidRPr="00341230" w:rsidRDefault="00064B85" w:rsidP="0044225D">
            <w:pPr>
              <w:pStyle w:val="AERbodytext"/>
            </w:pPr>
          </w:p>
        </w:tc>
        <w:tc>
          <w:tcPr>
            <w:tcW w:w="1540" w:type="dxa"/>
          </w:tcPr>
          <w:p w:rsidR="00064B85" w:rsidRPr="00341230" w:rsidRDefault="00064B85" w:rsidP="0044225D">
            <w:pPr>
              <w:cnfStyle w:val="100000000000" w:firstRow="1" w:lastRow="0" w:firstColumn="0" w:lastColumn="0" w:oddVBand="0" w:evenVBand="0" w:oddHBand="0" w:evenHBand="0" w:firstRowFirstColumn="0" w:firstRowLastColumn="0" w:lastRowFirstColumn="0" w:lastRowLastColumn="0"/>
            </w:pPr>
            <w:r w:rsidRPr="003E7F76">
              <w:t>201</w:t>
            </w:r>
            <w:r w:rsidRPr="00341230">
              <w:t>5–16</w:t>
            </w:r>
          </w:p>
        </w:tc>
        <w:tc>
          <w:tcPr>
            <w:tcW w:w="1540" w:type="dxa"/>
          </w:tcPr>
          <w:p w:rsidR="00064B85" w:rsidRPr="00341230" w:rsidRDefault="00064B85" w:rsidP="0044225D">
            <w:pPr>
              <w:cnfStyle w:val="100000000000" w:firstRow="1" w:lastRow="0" w:firstColumn="0" w:lastColumn="0" w:oddVBand="0" w:evenVBand="0" w:oddHBand="0" w:evenHBand="0" w:firstRowFirstColumn="0" w:firstRowLastColumn="0" w:lastRowFirstColumn="0" w:lastRowLastColumn="0"/>
            </w:pPr>
            <w:r w:rsidRPr="003E7F76">
              <w:t>201</w:t>
            </w:r>
            <w:r w:rsidRPr="00341230">
              <w:t>6–17</w:t>
            </w:r>
          </w:p>
        </w:tc>
        <w:tc>
          <w:tcPr>
            <w:tcW w:w="1540" w:type="dxa"/>
          </w:tcPr>
          <w:p w:rsidR="00064B85" w:rsidRPr="00341230" w:rsidRDefault="00064B85" w:rsidP="0044225D">
            <w:pPr>
              <w:cnfStyle w:val="100000000000" w:firstRow="1" w:lastRow="0" w:firstColumn="0" w:lastColumn="0" w:oddVBand="0" w:evenVBand="0" w:oddHBand="0" w:evenHBand="0" w:firstRowFirstColumn="0" w:firstRowLastColumn="0" w:lastRowFirstColumn="0" w:lastRowLastColumn="0"/>
            </w:pPr>
            <w:r w:rsidRPr="003E7F76">
              <w:t>201</w:t>
            </w:r>
            <w:r w:rsidRPr="00341230">
              <w:t>7–18</w:t>
            </w:r>
          </w:p>
        </w:tc>
        <w:tc>
          <w:tcPr>
            <w:tcW w:w="1541" w:type="dxa"/>
          </w:tcPr>
          <w:p w:rsidR="00064B85" w:rsidRPr="00341230" w:rsidRDefault="00064B85" w:rsidP="0044225D">
            <w:pPr>
              <w:cnfStyle w:val="100000000000" w:firstRow="1" w:lastRow="0" w:firstColumn="0" w:lastColumn="0" w:oddVBand="0" w:evenVBand="0" w:oddHBand="0" w:evenHBand="0" w:firstRowFirstColumn="0" w:firstRowLastColumn="0" w:lastRowFirstColumn="0" w:lastRowLastColumn="0"/>
            </w:pPr>
            <w:r w:rsidRPr="003E7F76">
              <w:t>201</w:t>
            </w:r>
            <w:r w:rsidRPr="00341230">
              <w:t>8–19</w:t>
            </w:r>
          </w:p>
        </w:tc>
        <w:tc>
          <w:tcPr>
            <w:tcW w:w="1541" w:type="dxa"/>
          </w:tcPr>
          <w:p w:rsidR="00064B85" w:rsidRPr="00341230" w:rsidRDefault="00064B85" w:rsidP="0044225D">
            <w:pPr>
              <w:cnfStyle w:val="100000000000" w:firstRow="1" w:lastRow="0" w:firstColumn="0" w:lastColumn="0" w:oddVBand="0" w:evenVBand="0" w:oddHBand="0" w:evenHBand="0" w:firstRowFirstColumn="0" w:firstRowLastColumn="0" w:lastRowFirstColumn="0" w:lastRowLastColumn="0"/>
            </w:pPr>
            <w:r w:rsidRPr="003E7F76">
              <w:t>201</w:t>
            </w:r>
            <w:r w:rsidRPr="00341230">
              <w:t>9–20</w:t>
            </w:r>
          </w:p>
        </w:tc>
      </w:tr>
      <w:tr w:rsidR="00064B85" w:rsidRPr="003E7F76" w:rsidTr="0044225D">
        <w:tc>
          <w:tcPr>
            <w:cnfStyle w:val="001000000000" w:firstRow="0" w:lastRow="0" w:firstColumn="1" w:lastColumn="0" w:oddVBand="0" w:evenVBand="0" w:oddHBand="0" w:evenHBand="0" w:firstRowFirstColumn="0" w:firstRowLastColumn="0" w:lastRowFirstColumn="0" w:lastRowLastColumn="0"/>
            <w:tcW w:w="1540" w:type="dxa"/>
          </w:tcPr>
          <w:p w:rsidR="00064B85" w:rsidRPr="00341230" w:rsidRDefault="00064B85" w:rsidP="0044225D">
            <w:r w:rsidRPr="003E7F76">
              <w:t>Aluminium</w:t>
            </w:r>
          </w:p>
        </w:tc>
        <w:tc>
          <w:tcPr>
            <w:tcW w:w="1540"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5.56</w:t>
            </w:r>
          </w:p>
        </w:tc>
        <w:tc>
          <w:tcPr>
            <w:tcW w:w="1540"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3.86</w:t>
            </w:r>
          </w:p>
        </w:tc>
        <w:tc>
          <w:tcPr>
            <w:tcW w:w="1540"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11.00</w:t>
            </w:r>
          </w:p>
        </w:tc>
        <w:tc>
          <w:tcPr>
            <w:tcW w:w="1541"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-6.53</w:t>
            </w:r>
          </w:p>
        </w:tc>
        <w:tc>
          <w:tcPr>
            <w:tcW w:w="1541"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-2.44</w:t>
            </w:r>
          </w:p>
        </w:tc>
      </w:tr>
      <w:tr w:rsidR="00064B85" w:rsidRPr="003E7F76" w:rsidTr="004422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064B85" w:rsidRPr="00341230" w:rsidRDefault="00064B85" w:rsidP="0044225D">
            <w:r>
              <w:t>Brass</w:t>
            </w:r>
          </w:p>
        </w:tc>
        <w:tc>
          <w:tcPr>
            <w:tcW w:w="1540" w:type="dxa"/>
          </w:tcPr>
          <w:p w:rsidR="00064B85" w:rsidRPr="00341230" w:rsidRDefault="00064B85" w:rsidP="0044225D">
            <w:pPr>
              <w:cnfStyle w:val="000000010000" w:firstRow="0" w:lastRow="0" w:firstColumn="0" w:lastColumn="0" w:oddVBand="0" w:evenVBand="0" w:oddHBand="0" w:evenHBand="1" w:firstRowFirstColumn="0" w:firstRowLastColumn="0" w:lastRowFirstColumn="0" w:lastRowLastColumn="0"/>
            </w:pPr>
            <w:r>
              <w:t>1.94</w:t>
            </w:r>
          </w:p>
        </w:tc>
        <w:tc>
          <w:tcPr>
            <w:tcW w:w="1540" w:type="dxa"/>
          </w:tcPr>
          <w:p w:rsidR="00064B85" w:rsidRPr="00341230" w:rsidRDefault="00064B85" w:rsidP="0044225D">
            <w:pPr>
              <w:cnfStyle w:val="000000010000" w:firstRow="0" w:lastRow="0" w:firstColumn="0" w:lastColumn="0" w:oddVBand="0" w:evenVBand="0" w:oddHBand="0" w:evenHBand="1" w:firstRowFirstColumn="0" w:firstRowLastColumn="0" w:lastRowFirstColumn="0" w:lastRowLastColumn="0"/>
            </w:pPr>
            <w:r>
              <w:t>2.13</w:t>
            </w:r>
          </w:p>
        </w:tc>
        <w:tc>
          <w:tcPr>
            <w:tcW w:w="1540" w:type="dxa"/>
          </w:tcPr>
          <w:p w:rsidR="00064B85" w:rsidRPr="00341230" w:rsidRDefault="00064B85" w:rsidP="0044225D">
            <w:pPr>
              <w:cnfStyle w:val="000000010000" w:firstRow="0" w:lastRow="0" w:firstColumn="0" w:lastColumn="0" w:oddVBand="0" w:evenVBand="0" w:oddHBand="0" w:evenHBand="1" w:firstRowFirstColumn="0" w:firstRowLastColumn="0" w:lastRowFirstColumn="0" w:lastRowLastColumn="0"/>
            </w:pPr>
            <w:r>
              <w:t>9.53</w:t>
            </w:r>
          </w:p>
        </w:tc>
        <w:tc>
          <w:tcPr>
            <w:tcW w:w="1541" w:type="dxa"/>
          </w:tcPr>
          <w:p w:rsidR="00064B85" w:rsidRPr="00341230" w:rsidRDefault="00064B85" w:rsidP="0044225D">
            <w:pPr>
              <w:cnfStyle w:val="000000010000" w:firstRow="0" w:lastRow="0" w:firstColumn="0" w:lastColumn="0" w:oddVBand="0" w:evenVBand="0" w:oddHBand="0" w:evenHBand="1" w:firstRowFirstColumn="0" w:firstRowLastColumn="0" w:lastRowFirstColumn="0" w:lastRowLastColumn="0"/>
            </w:pPr>
            <w:r>
              <w:t>-8.84</w:t>
            </w:r>
          </w:p>
        </w:tc>
        <w:tc>
          <w:tcPr>
            <w:tcW w:w="1541" w:type="dxa"/>
          </w:tcPr>
          <w:p w:rsidR="00064B85" w:rsidRPr="00341230" w:rsidRDefault="00064B85" w:rsidP="0044225D">
            <w:pPr>
              <w:cnfStyle w:val="000000010000" w:firstRow="0" w:lastRow="0" w:firstColumn="0" w:lastColumn="0" w:oddVBand="0" w:evenVBand="0" w:oddHBand="0" w:evenHBand="1" w:firstRowFirstColumn="0" w:firstRowLastColumn="0" w:lastRowFirstColumn="0" w:lastRowLastColumn="0"/>
            </w:pPr>
            <w:r>
              <w:t>-5.31</w:t>
            </w:r>
          </w:p>
        </w:tc>
      </w:tr>
      <w:tr w:rsidR="00064B85" w:rsidRPr="003E7F76" w:rsidTr="0044225D">
        <w:tc>
          <w:tcPr>
            <w:cnfStyle w:val="001000000000" w:firstRow="0" w:lastRow="0" w:firstColumn="1" w:lastColumn="0" w:oddVBand="0" w:evenVBand="0" w:oddHBand="0" w:evenHBand="0" w:firstRowFirstColumn="0" w:firstRowLastColumn="0" w:lastRowFirstColumn="0" w:lastRowLastColumn="0"/>
            <w:tcW w:w="1540" w:type="dxa"/>
          </w:tcPr>
          <w:p w:rsidR="00064B85" w:rsidRPr="00341230" w:rsidRDefault="00064B85" w:rsidP="0044225D">
            <w:r w:rsidRPr="003E7F76">
              <w:t>Steel</w:t>
            </w:r>
          </w:p>
        </w:tc>
        <w:tc>
          <w:tcPr>
            <w:tcW w:w="1540"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0.98</w:t>
            </w:r>
          </w:p>
        </w:tc>
        <w:tc>
          <w:tcPr>
            <w:tcW w:w="1540"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-0.20</w:t>
            </w:r>
          </w:p>
        </w:tc>
        <w:tc>
          <w:tcPr>
            <w:tcW w:w="1540"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7</w:t>
            </w:r>
            <w:r w:rsidRPr="00341230">
              <w:t>.96</w:t>
            </w:r>
          </w:p>
        </w:tc>
        <w:tc>
          <w:tcPr>
            <w:tcW w:w="1541"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-8.87</w:t>
            </w:r>
          </w:p>
        </w:tc>
        <w:tc>
          <w:tcPr>
            <w:tcW w:w="1541"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-5.11</w:t>
            </w:r>
          </w:p>
        </w:tc>
      </w:tr>
      <w:tr w:rsidR="00064B85" w:rsidRPr="003E7F76" w:rsidTr="004422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064B85" w:rsidRPr="00341230" w:rsidRDefault="00064B85" w:rsidP="0044225D">
            <w:r>
              <w:t>Plastic</w:t>
            </w:r>
          </w:p>
        </w:tc>
        <w:tc>
          <w:tcPr>
            <w:tcW w:w="1540" w:type="dxa"/>
          </w:tcPr>
          <w:p w:rsidR="00064B85" w:rsidRPr="00341230" w:rsidRDefault="00064B85" w:rsidP="0044225D">
            <w:pPr>
              <w:cnfStyle w:val="000000010000" w:firstRow="0" w:lastRow="0" w:firstColumn="0" w:lastColumn="0" w:oddVBand="0" w:evenVBand="0" w:oddHBand="0" w:evenHBand="1" w:firstRowFirstColumn="0" w:firstRowLastColumn="0" w:lastRowFirstColumn="0" w:lastRowLastColumn="0"/>
            </w:pPr>
            <w:r>
              <w:t>-1.08</w:t>
            </w:r>
          </w:p>
        </w:tc>
        <w:tc>
          <w:tcPr>
            <w:tcW w:w="1540" w:type="dxa"/>
          </w:tcPr>
          <w:p w:rsidR="00064B85" w:rsidRPr="00341230" w:rsidRDefault="00064B85" w:rsidP="0044225D">
            <w:pPr>
              <w:cnfStyle w:val="000000010000" w:firstRow="0" w:lastRow="0" w:firstColumn="0" w:lastColumn="0" w:oddVBand="0" w:evenVBand="0" w:oddHBand="0" w:evenHBand="1" w:firstRowFirstColumn="0" w:firstRowLastColumn="0" w:lastRowFirstColumn="0" w:lastRowLastColumn="0"/>
            </w:pPr>
            <w:r>
              <w:t>-0.22</w:t>
            </w:r>
          </w:p>
        </w:tc>
        <w:tc>
          <w:tcPr>
            <w:tcW w:w="1540" w:type="dxa"/>
          </w:tcPr>
          <w:p w:rsidR="00064B85" w:rsidRPr="00341230" w:rsidRDefault="00064B85" w:rsidP="0044225D">
            <w:pPr>
              <w:cnfStyle w:val="000000010000" w:firstRow="0" w:lastRow="0" w:firstColumn="0" w:lastColumn="0" w:oddVBand="0" w:evenVBand="0" w:oddHBand="0" w:evenHBand="1" w:firstRowFirstColumn="0" w:firstRowLastColumn="0" w:lastRowFirstColumn="0" w:lastRowLastColumn="0"/>
            </w:pPr>
            <w:r>
              <w:t>6.49</w:t>
            </w:r>
          </w:p>
        </w:tc>
        <w:tc>
          <w:tcPr>
            <w:tcW w:w="1541" w:type="dxa"/>
          </w:tcPr>
          <w:p w:rsidR="00064B85" w:rsidRPr="00341230" w:rsidRDefault="00064B85" w:rsidP="0044225D">
            <w:pPr>
              <w:cnfStyle w:val="000000010000" w:firstRow="0" w:lastRow="0" w:firstColumn="0" w:lastColumn="0" w:oddVBand="0" w:evenVBand="0" w:oddHBand="0" w:evenHBand="1" w:firstRowFirstColumn="0" w:firstRowLastColumn="0" w:lastRowFirstColumn="0" w:lastRowLastColumn="0"/>
            </w:pPr>
            <w:r>
              <w:t>-6.21</w:t>
            </w:r>
          </w:p>
        </w:tc>
        <w:tc>
          <w:tcPr>
            <w:tcW w:w="1541" w:type="dxa"/>
          </w:tcPr>
          <w:p w:rsidR="00064B85" w:rsidRPr="00341230" w:rsidRDefault="00064B85" w:rsidP="0044225D">
            <w:pPr>
              <w:cnfStyle w:val="000000010000" w:firstRow="0" w:lastRow="0" w:firstColumn="0" w:lastColumn="0" w:oddVBand="0" w:evenVBand="0" w:oddHBand="0" w:evenHBand="1" w:firstRowFirstColumn="0" w:firstRowLastColumn="0" w:lastRowFirstColumn="0" w:lastRowLastColumn="0"/>
            </w:pPr>
            <w:r>
              <w:t>-3.56</w:t>
            </w:r>
          </w:p>
        </w:tc>
      </w:tr>
      <w:tr w:rsidR="00064B85" w:rsidRPr="003E7F76" w:rsidTr="0044225D">
        <w:tc>
          <w:tcPr>
            <w:cnfStyle w:val="001000000000" w:firstRow="0" w:lastRow="0" w:firstColumn="1" w:lastColumn="0" w:oddVBand="0" w:evenVBand="0" w:oddHBand="0" w:evenHBand="0" w:firstRowFirstColumn="0" w:firstRowLastColumn="0" w:lastRowFirstColumn="0" w:lastRowLastColumn="0"/>
            <w:tcW w:w="1540" w:type="dxa"/>
          </w:tcPr>
          <w:p w:rsidR="00064B85" w:rsidRPr="00341230" w:rsidRDefault="00064B85" w:rsidP="0044225D">
            <w:r>
              <w:t>Concrete</w:t>
            </w:r>
          </w:p>
        </w:tc>
        <w:tc>
          <w:tcPr>
            <w:tcW w:w="1540"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4.5</w:t>
            </w:r>
          </w:p>
        </w:tc>
        <w:tc>
          <w:tcPr>
            <w:tcW w:w="1540"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-0.5</w:t>
            </w:r>
          </w:p>
        </w:tc>
        <w:tc>
          <w:tcPr>
            <w:tcW w:w="1540"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-2.00</w:t>
            </w:r>
          </w:p>
        </w:tc>
        <w:tc>
          <w:tcPr>
            <w:tcW w:w="1541"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-1.10</w:t>
            </w:r>
          </w:p>
        </w:tc>
        <w:tc>
          <w:tcPr>
            <w:tcW w:w="1541" w:type="dxa"/>
          </w:tcPr>
          <w:p w:rsidR="00064B85" w:rsidRPr="00341230" w:rsidRDefault="00064B85" w:rsidP="0044225D">
            <w:pPr>
              <w:cnfStyle w:val="000000000000" w:firstRow="0" w:lastRow="0" w:firstColumn="0" w:lastColumn="0" w:oddVBand="0" w:evenVBand="0" w:oddHBand="0" w:evenHBand="0" w:firstRowFirstColumn="0" w:firstRowLastColumn="0" w:lastRowFirstColumn="0" w:lastRowLastColumn="0"/>
            </w:pPr>
            <w:r>
              <w:t>0.50</w:t>
            </w:r>
          </w:p>
        </w:tc>
      </w:tr>
    </w:tbl>
    <w:p w:rsidR="00064B85" w:rsidRPr="003E7F76" w:rsidRDefault="00064B85" w:rsidP="00064B85">
      <w:pPr>
        <w:pStyle w:val="AERtablesource"/>
      </w:pPr>
      <w:r w:rsidRPr="003E7F76">
        <w:t>Source:</w:t>
      </w:r>
      <w:r w:rsidRPr="003E7F76">
        <w:tab/>
      </w:r>
      <w:r>
        <w:t xml:space="preserve">JGN, </w:t>
      </w:r>
      <w:r>
        <w:rPr>
          <w:rStyle w:val="AERtextitalic"/>
        </w:rPr>
        <w:t>2015-20 Access Arrangement Information (Public)</w:t>
      </w:r>
      <w:r>
        <w:t>, 30 June 2014, p. 68.</w:t>
      </w:r>
    </w:p>
    <w:p w:rsidR="00064B85" w:rsidRPr="00341230" w:rsidRDefault="00064B85" w:rsidP="00064B85">
      <w:r w:rsidRPr="00341230">
        <w:t>JGN stated that the weight applied to each escalator in each distribution capex category was derived from an analysis of the actual split for JGN’s financial year ending 31 March 2013 in consultation with project managers and key personnel.</w:t>
      </w:r>
      <w:r w:rsidRPr="00712A76">
        <w:rPr>
          <w:rStyle w:val="AERsuperscript"/>
        </w:rPr>
        <w:footnoteReference w:id="139"/>
      </w:r>
    </w:p>
    <w:p w:rsidR="00064B85" w:rsidRPr="0064222C" w:rsidRDefault="00064B85" w:rsidP="00064B85">
      <w:pPr>
        <w:pStyle w:val="Heading8"/>
      </w:pPr>
      <w:bookmarkStart w:id="67" w:name="_Toc326056441"/>
      <w:bookmarkStart w:id="68" w:name="_Toc365283286"/>
      <w:bookmarkStart w:id="69" w:name="_Toc404676606"/>
      <w:r w:rsidRPr="00062319">
        <w:t>Assessment approach</w:t>
      </w:r>
      <w:bookmarkEnd w:id="67"/>
      <w:bookmarkEnd w:id="68"/>
      <w:bookmarkEnd w:id="69"/>
    </w:p>
    <w:p w:rsidR="00064B85" w:rsidRPr="00712A76" w:rsidRDefault="00064B85" w:rsidP="00064B85">
      <w:pPr>
        <w:numPr>
          <w:ilvl w:val="0"/>
          <w:numId w:val="6"/>
        </w:numPr>
      </w:pPr>
      <w:r w:rsidRPr="00712A76">
        <w:t>We assessed JGN's proposed real material cost escalators against the National Gas Rules (NGR) requirements. We must accept JGN's capex forecast if we are satisfied it reasonably reflects the capex criteria.</w:t>
      </w:r>
      <w:r w:rsidRPr="00712A76">
        <w:rPr>
          <w:rStyle w:val="AERsuperscript"/>
        </w:rPr>
        <w:footnoteReference w:id="140"/>
      </w:r>
      <w:r w:rsidRPr="00712A76">
        <w:t xml:space="preserve"> In particular, we must be satisfied that the forecast capital expenditure is such as would be incurred by a prudent service provider acting efficiently, in accordance with accepted good industry practice, to achieve the lowest sustainable cost of providing services.</w:t>
      </w:r>
      <w:r w:rsidRPr="00712A76">
        <w:rPr>
          <w:rStyle w:val="AERsuperscript"/>
        </w:rPr>
        <w:footnoteReference w:id="141"/>
      </w:r>
      <w:r w:rsidRPr="00712A76">
        <w:t xml:space="preserve"> </w:t>
      </w:r>
    </w:p>
    <w:p w:rsidR="00064B85" w:rsidRPr="00712A76" w:rsidRDefault="00064B85" w:rsidP="00064B85">
      <w:pPr>
        <w:rPr>
          <w:lang w:eastAsia="en-AU"/>
        </w:rPr>
      </w:pPr>
      <w:r w:rsidRPr="00712A76">
        <w:t>We have also considered the views expressed in our Expenditure Forecast Assessment Guideline (Expenditure Guideline) in respect to assessing the input price modelling approach to forecast materials cost.</w:t>
      </w:r>
      <w:r w:rsidRPr="00712A76">
        <w:rPr>
          <w:rStyle w:val="AERsuperscript"/>
        </w:rPr>
        <w:footnoteReference w:id="142"/>
      </w:r>
      <w:r w:rsidRPr="00712A76">
        <w:t xml:space="preserve"> Although the Expenditure Guideline </w:t>
      </w:r>
      <w:r w:rsidRPr="00712A76">
        <w:rPr>
          <w:lang w:eastAsia="en-AU"/>
        </w:rPr>
        <w:t xml:space="preserve">is intended to enhance the transparency of our decisions and accountability under the NER and </w:t>
      </w:r>
      <w:r w:rsidRPr="00712A76">
        <w:t>N</w:t>
      </w:r>
      <w:r w:rsidRPr="00712A76">
        <w:rPr>
          <w:lang w:eastAsia="en-AU"/>
        </w:rPr>
        <w:t>EL</w:t>
      </w:r>
      <w:r w:rsidRPr="00712A76">
        <w:t xml:space="preserve">, as well as </w:t>
      </w:r>
      <w:r w:rsidRPr="00712A76">
        <w:rPr>
          <w:lang w:eastAsia="en-AU"/>
        </w:rPr>
        <w:t>refine and improve existing techniques to ensure the capex and opex allowances we approve are efficient</w:t>
      </w:r>
      <w:r w:rsidRPr="00712A76">
        <w:t>, we consider that it is also relevant in our assessment of proposed expenditure b</w:t>
      </w:r>
      <w:r>
        <w:t>y</w:t>
      </w:r>
      <w:r w:rsidRPr="00712A76">
        <w:t xml:space="preserve"> gas service providers</w:t>
      </w:r>
      <w:r w:rsidRPr="00712A76">
        <w:rPr>
          <w:lang w:eastAsia="en-AU"/>
        </w:rPr>
        <w:t xml:space="preserve">. </w:t>
      </w:r>
    </w:p>
    <w:p w:rsidR="00064B85" w:rsidRPr="00712A76" w:rsidRDefault="00064B85" w:rsidP="00064B85">
      <w:pPr>
        <w:numPr>
          <w:ilvl w:val="0"/>
          <w:numId w:val="6"/>
        </w:numPr>
      </w:pPr>
      <w:r w:rsidRPr="00712A76">
        <w:lastRenderedPageBreak/>
        <w:t>In the Expenditure Guideline we stated that we had seen limited evidence to demonstrate that the commodity input weightings used by service providers to generate a forecast of the cost of material inputs have produced unbiased forecasts of the costs the service providers paid for manufactured materials.</w:t>
      </w:r>
      <w:r w:rsidRPr="00712A76">
        <w:rPr>
          <w:rStyle w:val="AERsuperscript"/>
        </w:rPr>
        <w:footnoteReference w:id="143"/>
      </w:r>
      <w:r w:rsidRPr="00712A76">
        <w:t xml:space="preserve"> We considered it important that such evidence be provided because the changes in the prices of manufactured materials are not solely influenced by the changes in the raw materials that are used.</w:t>
      </w:r>
      <w:r w:rsidRPr="00712A76">
        <w:rPr>
          <w:rStyle w:val="AERsuperscript"/>
        </w:rPr>
        <w:footnoteReference w:id="144"/>
      </w:r>
      <w:r w:rsidRPr="00712A76">
        <w:t xml:space="preserve"> Subsequently, the price of manufactured network materials may not be well correlated with raw material input costs. We expect service providers to demonstrate that their proposed approach to forecast manufactured material cost changes is likely to reasonably reflect changes in raw material input costs. </w:t>
      </w:r>
    </w:p>
    <w:p w:rsidR="00064B85" w:rsidRPr="00712A76" w:rsidRDefault="00064B85" w:rsidP="00064B85">
      <w:pPr>
        <w:numPr>
          <w:ilvl w:val="0"/>
          <w:numId w:val="6"/>
        </w:numPr>
      </w:pPr>
      <w:r w:rsidRPr="00712A76">
        <w:t>In our assessment of material cost escalation, we:</w:t>
      </w:r>
    </w:p>
    <w:p w:rsidR="00064B85" w:rsidRPr="00712A76" w:rsidRDefault="00064B85" w:rsidP="00064B85">
      <w:pPr>
        <w:pStyle w:val="AERbulletlistfirststyle"/>
      </w:pPr>
      <w:r w:rsidRPr="00712A76">
        <w:t>reviewed the BIS Shrapnel report commissioned by JGN</w:t>
      </w:r>
      <w:r w:rsidRPr="00712A76">
        <w:rPr>
          <w:rStyle w:val="AERsuperscript"/>
        </w:rPr>
        <w:footnoteReference w:id="145"/>
      </w:r>
    </w:p>
    <w:p w:rsidR="00064B85" w:rsidRPr="00712A76" w:rsidRDefault="00064B85" w:rsidP="00064B85">
      <w:pPr>
        <w:pStyle w:val="AERbulletlistfirststyle"/>
      </w:pPr>
      <w:r w:rsidRPr="00712A76">
        <w:t>reviewed the cost escalation model used by JGN; and</w:t>
      </w:r>
    </w:p>
    <w:p w:rsidR="00064B85" w:rsidRPr="00712A76" w:rsidRDefault="00064B85" w:rsidP="00064B85">
      <w:pPr>
        <w:pStyle w:val="AERbulletlistfirststyle"/>
      </w:pPr>
      <w:r w:rsidRPr="00712A76">
        <w:t>reviewed the approach to forecasting manufactured material costs in the context of gas service providers mitigating such costs and producing unbiased forecasts.</w:t>
      </w:r>
    </w:p>
    <w:p w:rsidR="00064B85" w:rsidRPr="00712A76" w:rsidRDefault="00064B85" w:rsidP="00064B85">
      <w:pPr>
        <w:numPr>
          <w:ilvl w:val="0"/>
          <w:numId w:val="6"/>
        </w:numPr>
      </w:pPr>
      <w:r w:rsidRPr="00712A76">
        <w:t>In forming our views, we also considered submissions by stakeholders. We received a submission from the Energy Markets Reform Forum (EMRF) which addressed materials escalation forecasts by JGN.</w:t>
      </w:r>
      <w:r w:rsidRPr="00712A76">
        <w:rPr>
          <w:rStyle w:val="AERsuperscript"/>
        </w:rPr>
        <w:footnoteReference w:id="146"/>
      </w:r>
      <w:r w:rsidRPr="00712A76">
        <w:t xml:space="preserve"> In its submission, the EMRF made the following statements in respect of materials escalation forecasts:</w:t>
      </w:r>
      <w:r w:rsidRPr="00712A76">
        <w:rPr>
          <w:rStyle w:val="AERsuperscript"/>
        </w:rPr>
        <w:footnoteReference w:id="147"/>
      </w:r>
    </w:p>
    <w:p w:rsidR="00064B85" w:rsidRPr="00712A76" w:rsidRDefault="00064B85" w:rsidP="00064B85">
      <w:pPr>
        <w:pStyle w:val="AERbulletlistfirststyle"/>
      </w:pPr>
      <w:r w:rsidRPr="00712A76">
        <w:t>the costs of key non-labour inputs such as steel, concrete, aluminium, copper and plastics are difficult to predict and can be quite volatile over a short period of time, and</w:t>
      </w:r>
    </w:p>
    <w:p w:rsidR="00064B85" w:rsidRPr="00712A76" w:rsidRDefault="00064B85" w:rsidP="00064B85">
      <w:pPr>
        <w:pStyle w:val="AERbulletlistfirststyle"/>
      </w:pPr>
      <w:r w:rsidRPr="00712A76">
        <w:t>it would expect the gas networks to undertake prudent hedging arrangements for currency and commodity prices given the volatility of the various internationally linked prices and the relative certainty of the networks demand for each of the products.</w:t>
      </w:r>
    </w:p>
    <w:p w:rsidR="00064B85" w:rsidRPr="0064222C" w:rsidRDefault="00064B85" w:rsidP="00064B85">
      <w:pPr>
        <w:pStyle w:val="Heading8"/>
      </w:pPr>
      <w:bookmarkStart w:id="70" w:name="_Toc404676607"/>
      <w:bookmarkStart w:id="71" w:name="_Toc326056442"/>
      <w:bookmarkStart w:id="72" w:name="_Toc365283287"/>
      <w:r w:rsidRPr="00062319">
        <w:t>Reasons</w:t>
      </w:r>
      <w:bookmarkEnd w:id="70"/>
      <w:r w:rsidRPr="00062319">
        <w:t xml:space="preserve"> </w:t>
      </w:r>
      <w:bookmarkEnd w:id="71"/>
      <w:bookmarkEnd w:id="72"/>
    </w:p>
    <w:p w:rsidR="00064B85" w:rsidRDefault="00064B85" w:rsidP="00064B85">
      <w:pPr>
        <w:pStyle w:val="AERbodytext"/>
      </w:pPr>
      <w:r>
        <w:t xml:space="preserve">We must be satisfied that a forecast is based on a sound and robust methodology in order to accept that JGN's proposed total capex </w:t>
      </w:r>
      <w:r w:rsidRPr="00475056">
        <w:t>reasonably reflect</w:t>
      </w:r>
      <w:r>
        <w:t>s</w:t>
      </w:r>
      <w:r w:rsidRPr="00475056">
        <w:t xml:space="preserve"> the capex criteria</w:t>
      </w:r>
      <w:r w:rsidRPr="007C20C8">
        <w:rPr>
          <w:rStyle w:val="AERsuperscript"/>
        </w:rPr>
        <w:footnoteReference w:id="148"/>
      </w:r>
      <w:r>
        <w:t xml:space="preserve"> and </w:t>
      </w:r>
      <w:r w:rsidRPr="000C3E74">
        <w:t>are arrived at on a reasonable basis, and are the best forecast possible in the circumstances.</w:t>
      </w:r>
      <w:r w:rsidRPr="000C3E74">
        <w:rPr>
          <w:rStyle w:val="AERsuperscript"/>
        </w:rPr>
        <w:footnoteReference w:id="149"/>
      </w:r>
      <w:r>
        <w:t xml:space="preserve"> In making our assessment, we do recognise that predicting future materials costs for gas service providers involves a degree of uncertainty. However, for the reasons set out below, we are not satisfied that the materials forecasts provided by JGN satisfy the requirements of the NGR. Accordingly, we have not accepted it as part of our substitute estimate in our draft decision on total forecast capex. W</w:t>
      </w:r>
      <w:r w:rsidRPr="00F519A1">
        <w:t xml:space="preserve">e </w:t>
      </w:r>
      <w:r>
        <w:t xml:space="preserve">are satisfied that </w:t>
      </w:r>
      <w:r w:rsidRPr="00F519A1">
        <w:t xml:space="preserve">zero per cent real cost escalation </w:t>
      </w:r>
      <w:r>
        <w:t>is reasonably likely to reflect the capex criteria and this has been taken into account into our substitute estimate</w:t>
      </w:r>
      <w:r w:rsidRPr="00233479">
        <w:t>.</w:t>
      </w:r>
    </w:p>
    <w:p w:rsidR="00064B85" w:rsidRPr="008F261E" w:rsidRDefault="00064B85" w:rsidP="00064B85">
      <w:pPr>
        <w:pStyle w:val="TOC1"/>
        <w:rPr>
          <w:rStyle w:val="AERtextitalic"/>
        </w:rPr>
      </w:pPr>
      <w:r w:rsidRPr="008F261E">
        <w:rPr>
          <w:rStyle w:val="AERtextitalic"/>
        </w:rPr>
        <w:t xml:space="preserve">Materials input cost model </w:t>
      </w:r>
    </w:p>
    <w:p w:rsidR="00064B85" w:rsidRDefault="00064B85" w:rsidP="00064B85">
      <w:pPr>
        <w:pStyle w:val="AERbodytext"/>
      </w:pPr>
      <w:r>
        <w:lastRenderedPageBreak/>
        <w:t>JGN's capex forecast</w:t>
      </w:r>
      <w:r w:rsidRPr="002D5837">
        <w:t xml:space="preserve"> model</w:t>
      </w:r>
      <w:r>
        <w:t xml:space="preserve"> does</w:t>
      </w:r>
      <w:r w:rsidRPr="002D5837">
        <w:t xml:space="preserve"> not demonstrate how and to what extent material inputs have affected the cost of </w:t>
      </w:r>
      <w:r>
        <w:t>inputs such as gas mains and meters</w:t>
      </w:r>
      <w:r w:rsidRPr="002D5837">
        <w:t xml:space="preserve">. </w:t>
      </w:r>
      <w:r>
        <w:t xml:space="preserve">In particular, there is no supporting evidence to substantiate how accurately JGN's materials escalation forecasts reasonably reflected changes in prices they paid for assets in the past to assess the reliability of forecast materials prices. </w:t>
      </w:r>
    </w:p>
    <w:p w:rsidR="00064B85" w:rsidRDefault="00064B85" w:rsidP="00064B85">
      <w:pPr>
        <w:pStyle w:val="AERbodytext"/>
      </w:pPr>
      <w:r>
        <w:t>In our Expenditure Guideline, we requested service providers should demonstrate that their proposed approach to forecast materials cost changes reasonably reflected the change in prices they paid for physical inputs in the past. JGN's</w:t>
      </w:r>
      <w:r w:rsidRPr="00C523C6">
        <w:t xml:space="preserve"> proposal do</w:t>
      </w:r>
      <w:r>
        <w:t>es</w:t>
      </w:r>
      <w:r w:rsidRPr="00C523C6">
        <w:t xml:space="preserve"> not include supporting data or information which demonstrates movements or interlink</w:t>
      </w:r>
      <w:r>
        <w:t>-</w:t>
      </w:r>
      <w:r w:rsidRPr="00C523C6">
        <w:t xml:space="preserve">ages between changes in the input prices of commodities and the prices </w:t>
      </w:r>
      <w:r>
        <w:t xml:space="preserve">JGN </w:t>
      </w:r>
      <w:r w:rsidRPr="00C523C6">
        <w:t xml:space="preserve">paid for </w:t>
      </w:r>
      <w:r>
        <w:t>physical inputs</w:t>
      </w:r>
      <w:r w:rsidRPr="00C523C6">
        <w:t xml:space="preserve">. </w:t>
      </w:r>
      <w:r>
        <w:t>JGN's capex forecast model</w:t>
      </w:r>
      <w:r w:rsidRPr="00C523C6">
        <w:t xml:space="preserve"> assume</w:t>
      </w:r>
      <w:r>
        <w:t>s</w:t>
      </w:r>
      <w:r w:rsidRPr="00C523C6">
        <w:t xml:space="preserve"> a weighting of commodity inputs for each asset class but do</w:t>
      </w:r>
      <w:r>
        <w:t>es</w:t>
      </w:r>
      <w:r w:rsidRPr="00C523C6">
        <w:t xml:space="preserve"> not provide information which explains the basis for the weightings or that the weightings applied have produced unbiased forecasts of the costs </w:t>
      </w:r>
      <w:r>
        <w:t>of JGN's assets</w:t>
      </w:r>
      <w:r w:rsidRPr="00C523C6">
        <w:t xml:space="preserve">. </w:t>
      </w:r>
      <w:r>
        <w:t xml:space="preserve">For these reasons, there is no basis on which we can conclude that the forecasts </w:t>
      </w:r>
      <w:r w:rsidRPr="00C523C6">
        <w:t>are reliable.</w:t>
      </w:r>
      <w:r>
        <w:t xml:space="preserve"> In summary, JGN has not</w:t>
      </w:r>
      <w:r w:rsidRPr="00C523C6">
        <w:t xml:space="preserve"> demonstrate</w:t>
      </w:r>
      <w:r>
        <w:t>d</w:t>
      </w:r>
      <w:r w:rsidRPr="00C523C6">
        <w:t xml:space="preserve"> that their proposed approach to forecast materials cost changes reasonably reflect</w:t>
      </w:r>
      <w:r>
        <w:t>s</w:t>
      </w:r>
      <w:r w:rsidRPr="00C523C6">
        <w:t xml:space="preserve"> the change in prices they paid for </w:t>
      </w:r>
      <w:r>
        <w:t>assets</w:t>
      </w:r>
      <w:r w:rsidRPr="00C523C6">
        <w:t xml:space="preserve"> in the past</w:t>
      </w:r>
      <w:r>
        <w:t xml:space="preserve">. </w:t>
      </w:r>
    </w:p>
    <w:p w:rsidR="00064B85" w:rsidRDefault="00064B85" w:rsidP="00064B85">
      <w:pPr>
        <w:pStyle w:val="TOC1"/>
        <w:rPr>
          <w:rStyle w:val="AERtextitalic"/>
        </w:rPr>
      </w:pPr>
      <w:r w:rsidRPr="002B08F0">
        <w:rPr>
          <w:rStyle w:val="AERtextitalic"/>
        </w:rPr>
        <w:t xml:space="preserve">Materials input cost model </w:t>
      </w:r>
      <w:r>
        <w:rPr>
          <w:rStyle w:val="AERtextitalic"/>
        </w:rPr>
        <w:t>f</w:t>
      </w:r>
      <w:r w:rsidRPr="002B08F0">
        <w:rPr>
          <w:rStyle w:val="AERtextitalic"/>
        </w:rPr>
        <w:t xml:space="preserve">orecasting </w:t>
      </w:r>
    </w:p>
    <w:p w:rsidR="00064B85" w:rsidRDefault="00064B85" w:rsidP="00064B85">
      <w:pPr>
        <w:pStyle w:val="AERbodytext"/>
      </w:pPr>
      <w:r>
        <w:t xml:space="preserve">JGN </w:t>
      </w:r>
      <w:r w:rsidRPr="00936037">
        <w:t>ha</w:t>
      </w:r>
      <w:r>
        <w:t>s</w:t>
      </w:r>
      <w:r w:rsidRPr="00936037">
        <w:t xml:space="preserve"> </w:t>
      </w:r>
      <w:r>
        <w:t>used its</w:t>
      </w:r>
      <w:r w:rsidRPr="00936037">
        <w:t xml:space="preserve"> consultant's report to estimate cost escalation factors in order to assist in forecasting future </w:t>
      </w:r>
      <w:r>
        <w:t xml:space="preserve">operating and </w:t>
      </w:r>
      <w:r w:rsidRPr="00936037">
        <w:t>capital expenditure. These cost escalation factors include commodity inputs in the case of capital expenditure. The consultant ha</w:t>
      </w:r>
      <w:r>
        <w:t>s</w:t>
      </w:r>
      <w:r w:rsidRPr="00936037">
        <w:t xml:space="preserve"> adopted a high level approach hypothesising a relationship between these commodity inputs and the physical assets purchased by </w:t>
      </w:r>
      <w:r>
        <w:t>JGN.</w:t>
      </w:r>
      <w:r w:rsidRPr="00936037">
        <w:t xml:space="preserve"> Neither the consultant's </w:t>
      </w:r>
      <w:r>
        <w:t>report n</w:t>
      </w:r>
      <w:r w:rsidRPr="00936037">
        <w:t xml:space="preserve">or </w:t>
      </w:r>
      <w:r>
        <w:t>JGN have</w:t>
      </w:r>
      <w:r w:rsidRPr="00936037">
        <w:t xml:space="preserve"> successfully attempted to explain or quantify this relationship, particular</w:t>
      </w:r>
      <w:r>
        <w:t>ly</w:t>
      </w:r>
      <w:r w:rsidRPr="00936037">
        <w:t xml:space="preserve"> in respect to movements in the prices between the commodity inputs and the physical assets and the derivation of commodity input weightings for each asset class. </w:t>
      </w:r>
    </w:p>
    <w:p w:rsidR="00064B85" w:rsidRDefault="00064B85" w:rsidP="00064B85">
      <w:pPr>
        <w:pStyle w:val="AERbodytext"/>
      </w:pPr>
      <w:r>
        <w:t>We recognise</w:t>
      </w:r>
      <w:r w:rsidRPr="00936037">
        <w:t xml:space="preserve"> that active trading or futures markets to forecast prices of assets such as </w:t>
      </w:r>
      <w:r>
        <w:t>pipes and meters</w:t>
      </w:r>
      <w:r w:rsidRPr="00936037">
        <w:t xml:space="preserve"> are not available</w:t>
      </w:r>
      <w:r>
        <w:t xml:space="preserve"> and that in order to forecast the prices of these assets a proxy forecasting method needs to be adopted. Nonetheless, that forecasting method must be reasonably reliable to estimate the prices of inputs used by service providers to provide network services. JGN has not provided any supporting information that indicates whether the forecasts have taken into account any </w:t>
      </w:r>
      <w:r w:rsidRPr="002D5837">
        <w:t xml:space="preserve">material exogenous factors which </w:t>
      </w:r>
      <w:r>
        <w:t xml:space="preserve">may </w:t>
      </w:r>
      <w:r w:rsidRPr="002D5837">
        <w:t xml:space="preserve">impact on </w:t>
      </w:r>
      <w:r>
        <w:t xml:space="preserve">the reliability of </w:t>
      </w:r>
      <w:r w:rsidRPr="002D5837">
        <w:t>material input costs.</w:t>
      </w:r>
      <w:r>
        <w:t xml:space="preserve"> Such factors may include changes in technologies which affect the weighting of commodity inputs, suppliers of the physical assets changing their sourcing for the commodity inputs, and the general volatility of exchange rates.</w:t>
      </w:r>
    </w:p>
    <w:p w:rsidR="00064B85" w:rsidRPr="00796FED" w:rsidRDefault="00064B85" w:rsidP="00064B85">
      <w:pPr>
        <w:pStyle w:val="TOC1"/>
        <w:rPr>
          <w:rStyle w:val="AERtextitalic"/>
        </w:rPr>
      </w:pPr>
      <w:r w:rsidRPr="00796FED">
        <w:rPr>
          <w:rStyle w:val="AERtextitalic"/>
        </w:rPr>
        <w:t>Materials input cost mitigation</w:t>
      </w:r>
    </w:p>
    <w:p w:rsidR="00064B85" w:rsidRPr="008F261E" w:rsidRDefault="00064B85" w:rsidP="00064B85">
      <w:pPr>
        <w:pStyle w:val="AERbodytext"/>
      </w:pPr>
      <w:r>
        <w:t>We consider that t</w:t>
      </w:r>
      <w:r w:rsidRPr="008F261E">
        <w:t>he</w:t>
      </w:r>
      <w:r>
        <w:t>re is potential for JGN to mitigate the magnitude</w:t>
      </w:r>
      <w:r w:rsidRPr="008F261E">
        <w:t xml:space="preserve"> of any overall input cost increase</w:t>
      </w:r>
      <w:r>
        <w:t xml:space="preserve">s. This could be achieved by: </w:t>
      </w:r>
    </w:p>
    <w:p w:rsidR="00064B85" w:rsidRDefault="00064B85" w:rsidP="00064B85">
      <w:pPr>
        <w:pStyle w:val="AERbulletlistfirststyle"/>
      </w:pPr>
      <w:r w:rsidRPr="008F261E">
        <w:t xml:space="preserve">potential </w:t>
      </w:r>
      <w:r>
        <w:t xml:space="preserve">commodity </w:t>
      </w:r>
      <w:r w:rsidRPr="008F261E">
        <w:t xml:space="preserve">input substitution by the </w:t>
      </w:r>
      <w:r>
        <w:t xml:space="preserve">gas service provider </w:t>
      </w:r>
      <w:r w:rsidRPr="008F261E">
        <w:t>and the suppl</w:t>
      </w:r>
      <w:r>
        <w:t xml:space="preserve">ier of the inputs. An increase in the price of one commodity input may result in input substitution to an appropriate level providing there are no technically fixed proportions between the inputs. Although there will likely be an increase in the cost of production for a given output level, the overall cost increase will be less than the weighted sum of the input cost increase using the initial input share weights due to substitution of the now relatively cheaper input for this relatively expensive input. </w:t>
      </w:r>
    </w:p>
    <w:p w:rsidR="00064B85" w:rsidRPr="00AF73C7" w:rsidRDefault="00064B85" w:rsidP="00064B85">
      <w:pPr>
        <w:pStyle w:val="AERbodytext"/>
        <w:rPr>
          <w:rStyle w:val="AERbody"/>
        </w:rPr>
      </w:pPr>
      <w:r w:rsidRPr="00AF73C7">
        <w:rPr>
          <w:rStyle w:val="AERbody"/>
        </w:rPr>
        <w:t xml:space="preserve">We are aware of input substitution occurring in the </w:t>
      </w:r>
      <w:r w:rsidRPr="009B04D8">
        <w:t>electricity i</w:t>
      </w:r>
      <w:r w:rsidRPr="00AF73C7">
        <w:rPr>
          <w:rStyle w:val="AERbody"/>
        </w:rPr>
        <w:t xml:space="preserve">ndustry during the late 1960's when copper prices increased, potentially impacting significantly on the cost of copper cables. </w:t>
      </w:r>
      <w:r w:rsidRPr="009B04D8">
        <w:t>Electricity</w:t>
      </w:r>
      <w:r w:rsidRPr="004D08A2">
        <w:rPr>
          <w:rStyle w:val="AERbody"/>
        </w:rPr>
        <w:t xml:space="preserve"> </w:t>
      </w:r>
      <w:r w:rsidRPr="00AF73C7">
        <w:rPr>
          <w:rStyle w:val="AERbody"/>
        </w:rPr>
        <w:t xml:space="preserve">service provider's cable costs were mitigated as relatively cheaper aluminium cables could be substituted for copper cables. </w:t>
      </w:r>
      <w:r>
        <w:rPr>
          <w:rStyle w:val="AERbody"/>
        </w:rPr>
        <w:t>We do</w:t>
      </w:r>
      <w:r w:rsidRPr="00AF73C7">
        <w:rPr>
          <w:rStyle w:val="AERbody"/>
        </w:rPr>
        <w:t xml:space="preserve"> however </w:t>
      </w:r>
      <w:r>
        <w:rPr>
          <w:rStyle w:val="AERbody"/>
        </w:rPr>
        <w:t>recognise</w:t>
      </w:r>
      <w:r w:rsidRPr="00AF73C7">
        <w:rPr>
          <w:rStyle w:val="AERbody"/>
        </w:rPr>
        <w:t xml:space="preserve"> that the principle of </w:t>
      </w:r>
      <w:r>
        <w:rPr>
          <w:rStyle w:val="AERbody"/>
        </w:rPr>
        <w:t xml:space="preserve">input substitutability </w:t>
      </w:r>
      <w:r>
        <w:rPr>
          <w:rStyle w:val="AERbody"/>
        </w:rPr>
        <w:lastRenderedPageBreak/>
        <w:t>cannot be applied to all inputs, at least in the short term,</w:t>
      </w:r>
      <w:r w:rsidRPr="00AF73C7">
        <w:rPr>
          <w:rStyle w:val="AERbody"/>
        </w:rPr>
        <w:t xml:space="preserve"> because there are technologies with which </w:t>
      </w:r>
      <w:r>
        <w:rPr>
          <w:rStyle w:val="AERbody"/>
        </w:rPr>
        <w:t xml:space="preserve">some </w:t>
      </w:r>
      <w:r w:rsidRPr="00AF73C7">
        <w:rPr>
          <w:rStyle w:val="AERbody"/>
        </w:rPr>
        <w:t xml:space="preserve">inputs are not substitutable. </w:t>
      </w:r>
      <w:r>
        <w:rPr>
          <w:rStyle w:val="AERbody"/>
        </w:rPr>
        <w:t xml:space="preserve">However, even in the short term there may be substitution possibilities between operating and capital expenditure, thereby potentially reducing the total expenditure requirements of a gas service provider </w:t>
      </w:r>
    </w:p>
    <w:p w:rsidR="00064B85" w:rsidRPr="008F261E" w:rsidRDefault="00064B85" w:rsidP="00064B85">
      <w:pPr>
        <w:pStyle w:val="AERbulletlistfirststyle"/>
      </w:pPr>
      <w:r w:rsidRPr="008F261E">
        <w:t xml:space="preserve">the substitution </w:t>
      </w:r>
      <w:r>
        <w:t>potential between opex and capex when the relative prices of operating and capital inputs change. For example, JGN has not demonstrated whether there are any opportunities to increase the level of opex (e.g. maintenance costs) for any of its asset classes in an environment of increasing material input costs</w:t>
      </w:r>
    </w:p>
    <w:p w:rsidR="00064B85" w:rsidRPr="008F261E" w:rsidRDefault="00064B85" w:rsidP="00064B85">
      <w:pPr>
        <w:pStyle w:val="AERbulletlistfirststyle"/>
      </w:pPr>
      <w:r w:rsidRPr="008F261E">
        <w:t xml:space="preserve">the scale of any operation change </w:t>
      </w:r>
      <w:r>
        <w:t xml:space="preserve">to the gas service provider's business </w:t>
      </w:r>
      <w:r w:rsidRPr="008F261E">
        <w:t xml:space="preserve">that may impact on </w:t>
      </w:r>
      <w:r>
        <w:t>its</w:t>
      </w:r>
      <w:r w:rsidRPr="008F261E">
        <w:t xml:space="preserve"> capex </w:t>
      </w:r>
      <w:r>
        <w:t xml:space="preserve">requirements, including an increase in </w:t>
      </w:r>
      <w:r w:rsidRPr="008F261E">
        <w:t>capex efficiency, and</w:t>
      </w:r>
    </w:p>
    <w:p w:rsidR="00064B85" w:rsidRDefault="00064B85" w:rsidP="00064B85">
      <w:pPr>
        <w:pStyle w:val="AERbulletlistfirststyle"/>
      </w:pPr>
      <w:r w:rsidRPr="00577B7E">
        <w:t xml:space="preserve">increases in productivity that have not been taken into account by </w:t>
      </w:r>
      <w:r>
        <w:t xml:space="preserve">JGN in forecasting </w:t>
      </w:r>
      <w:r w:rsidRPr="00577B7E">
        <w:t>its capex requirements.</w:t>
      </w:r>
    </w:p>
    <w:p w:rsidR="00064B85" w:rsidRPr="008F261E" w:rsidRDefault="00064B85" w:rsidP="00064B85">
      <w:pPr>
        <w:pStyle w:val="AERbodytext"/>
      </w:pPr>
      <w:r>
        <w:t>By d</w:t>
      </w:r>
      <w:r w:rsidRPr="009A0337">
        <w:t>iscounting the possibility of commodity input substitution throughout the 201</w:t>
      </w:r>
      <w:r>
        <w:t>5</w:t>
      </w:r>
      <w:r w:rsidRPr="009A0337">
        <w:t>-20</w:t>
      </w:r>
      <w:r>
        <w:t>20</w:t>
      </w:r>
      <w:r w:rsidRPr="009A0337">
        <w:t xml:space="preserve"> period</w:t>
      </w:r>
      <w:r>
        <w:t>, we consider that there is</w:t>
      </w:r>
      <w:r w:rsidRPr="009A0337">
        <w:t xml:space="preserve"> potential for an upward bias in estimating material input cost escalation by </w:t>
      </w:r>
      <w:r>
        <w:t>maintaining</w:t>
      </w:r>
      <w:r w:rsidRPr="009A0337">
        <w:t xml:space="preserve"> the base year cost commodity share we</w:t>
      </w:r>
      <w:r>
        <w:t>ights</w:t>
      </w:r>
      <w:r w:rsidRPr="009A0337">
        <w:t>.</w:t>
      </w:r>
    </w:p>
    <w:p w:rsidR="00064B85" w:rsidRPr="00577B7E" w:rsidRDefault="00064B85" w:rsidP="00064B85">
      <w:pPr>
        <w:pStyle w:val="TOC1"/>
        <w:rPr>
          <w:rStyle w:val="AERtextitalic"/>
        </w:rPr>
      </w:pPr>
      <w:r w:rsidRPr="00577B7E">
        <w:rPr>
          <w:rStyle w:val="AERtextitalic"/>
        </w:rPr>
        <w:t>Forecasting uncertainty</w:t>
      </w:r>
    </w:p>
    <w:p w:rsidR="00064B85" w:rsidRDefault="00064B85" w:rsidP="00064B85">
      <w:pPr>
        <w:pStyle w:val="AERbodytext"/>
        <w:numPr>
          <w:ilvl w:val="0"/>
          <w:numId w:val="0"/>
        </w:numPr>
      </w:pPr>
      <w:r w:rsidRPr="00F00E68">
        <w:t>The NGR requires that an gas service provider's forecast capital expenditure must be arrived at on a reasonable basis and must represent the best forecast or estimate possible in the circumstances.</w:t>
      </w:r>
      <w:r w:rsidRPr="00F00E68">
        <w:rPr>
          <w:rStyle w:val="AERsuperscript"/>
        </w:rPr>
        <w:footnoteReference w:id="150"/>
      </w:r>
      <w:r w:rsidRPr="00F00E68">
        <w:t xml:space="preserve"> </w:t>
      </w:r>
      <w:r>
        <w:t>We consider that there is likely to be significant uncertainty in forecasting commodity input price movements. The following factors have assisted us in forming this view:</w:t>
      </w:r>
    </w:p>
    <w:p w:rsidR="00064B85" w:rsidRPr="0099143B" w:rsidRDefault="00064B85" w:rsidP="00064B85">
      <w:pPr>
        <w:pStyle w:val="AERbulletlistfirststyle"/>
      </w:pPr>
      <w:r w:rsidRPr="005F4325">
        <w:t>recent studies which show that forecasts of crude oil spot prices based on futures prices do not provide a significant improvement compared to a ‘no-change’ forecast for most forecast horizons, and sometimes perform worse</w:t>
      </w:r>
      <w:r w:rsidRPr="0099143B">
        <w:rPr>
          <w:rStyle w:val="FootnoteReference"/>
        </w:rPr>
        <w:footnoteReference w:id="151"/>
      </w:r>
      <w:r w:rsidRPr="0099143B">
        <w:t xml:space="preserve"> </w:t>
      </w:r>
    </w:p>
    <w:p w:rsidR="00064B85" w:rsidRPr="0099143B" w:rsidRDefault="00064B85" w:rsidP="00064B85">
      <w:pPr>
        <w:pStyle w:val="AERbulletlistfirststyle"/>
      </w:pPr>
      <w:r w:rsidRPr="005F4325">
        <w:t>evidence</w:t>
      </w:r>
      <w:r w:rsidRPr="0099143B">
        <w:t xml:space="preserve"> in </w:t>
      </w:r>
      <w:r>
        <w:t xml:space="preserve">the </w:t>
      </w:r>
      <w:r w:rsidRPr="0099143B">
        <w:t>economic literature on the usefulness of commodities futures prices in forecasting spot prices is somewhat mixed</w:t>
      </w:r>
      <w:r>
        <w:t>.  Only for some commodities and for some forecast horizons do</w:t>
      </w:r>
      <w:r w:rsidRPr="0099143B">
        <w:t xml:space="preserve"> futures prices perform better than ‘no change’ forecast</w:t>
      </w:r>
      <w:r>
        <w:t>s;</w:t>
      </w:r>
      <w:r w:rsidRPr="0099143B">
        <w:rPr>
          <w:rStyle w:val="FootnoteReference"/>
        </w:rPr>
        <w:footnoteReference w:id="152"/>
      </w:r>
      <w:r w:rsidRPr="0099143B">
        <w:t xml:space="preserve"> and</w:t>
      </w:r>
    </w:p>
    <w:p w:rsidR="00064B85" w:rsidRDefault="00064B85" w:rsidP="00064B85">
      <w:pPr>
        <w:pStyle w:val="AERbulletlistfirststyle"/>
      </w:pPr>
      <w:r>
        <w:t xml:space="preserve">the difficulty in forecasting </w:t>
      </w:r>
      <w:r w:rsidRPr="005F4325">
        <w:t>nominal exchange rates (used to convert most materials which are priced in $US to $AUS)</w:t>
      </w:r>
      <w:r w:rsidRPr="0099143B">
        <w:t>. A review of the economic literature of exchange rate forecast models suggests a “no change” forecasting approach may be preferable to the forward exchange rate produced by these forecasting models</w:t>
      </w:r>
      <w:r>
        <w:t>.</w:t>
      </w:r>
      <w:r w:rsidRPr="0099143B">
        <w:rPr>
          <w:rStyle w:val="FootnoteReference"/>
        </w:rPr>
        <w:footnoteReference w:id="153"/>
      </w:r>
    </w:p>
    <w:p w:rsidR="00064B85" w:rsidRPr="00B94A3C" w:rsidRDefault="00064B85" w:rsidP="00064B85">
      <w:pPr>
        <w:pStyle w:val="TOC1"/>
        <w:rPr>
          <w:rStyle w:val="AERtextitalic"/>
        </w:rPr>
      </w:pPr>
      <w:r w:rsidRPr="00B94A3C">
        <w:rPr>
          <w:rStyle w:val="AERtextitalic"/>
        </w:rPr>
        <w:lastRenderedPageBreak/>
        <w:t>Strategic contracts with suppliers</w:t>
      </w:r>
    </w:p>
    <w:p w:rsidR="00064B85" w:rsidRDefault="00064B85" w:rsidP="00064B85">
      <w:pPr>
        <w:pStyle w:val="AERbodytext"/>
        <w:numPr>
          <w:ilvl w:val="0"/>
          <w:numId w:val="0"/>
        </w:numPr>
      </w:pPr>
      <w:r>
        <w:t>We consider that gas service providers can</w:t>
      </w:r>
      <w:r w:rsidRPr="00B94A3C">
        <w:t xml:space="preserve"> mitigate the risks associated with changes in material input costs by including hedging strategies or price escalation provisions in their contracts with suppliers of </w:t>
      </w:r>
      <w:r>
        <w:t>inputs</w:t>
      </w:r>
      <w:r w:rsidRPr="00B94A3C">
        <w:t xml:space="preserve"> (e.g. </w:t>
      </w:r>
      <w:r>
        <w:t xml:space="preserve">by </w:t>
      </w:r>
      <w:r w:rsidRPr="00B94A3C">
        <w:t xml:space="preserve">including fixed prices in long term contracts). We </w:t>
      </w:r>
      <w:r>
        <w:t xml:space="preserve">also </w:t>
      </w:r>
      <w:r w:rsidRPr="00B94A3C">
        <w:t xml:space="preserve">consider there is the potential for double counting where contract prices reflect this allocation of risk from the </w:t>
      </w:r>
      <w:r>
        <w:t>gas</w:t>
      </w:r>
      <w:r w:rsidRPr="00B94A3C">
        <w:t xml:space="preserve"> service provider to the supplier, where a real escalation is then factored into forecast capex.</w:t>
      </w:r>
      <w:r>
        <w:t xml:space="preserve"> In considering the substitution possibilities between operating and capital expenditure, we note that it is open to a gas service provider to mitigate the potential impact of escalating contract prices by transferring this risk, where possible, to its operating expenditure.</w:t>
      </w:r>
    </w:p>
    <w:p w:rsidR="00064B85" w:rsidRPr="00CC1664" w:rsidRDefault="00064B85" w:rsidP="00064B85">
      <w:pPr>
        <w:pStyle w:val="TOC1"/>
        <w:rPr>
          <w:rStyle w:val="AERtextitalic"/>
        </w:rPr>
      </w:pPr>
      <w:r w:rsidRPr="00CC1664">
        <w:rPr>
          <w:rStyle w:val="AERtextitalic"/>
        </w:rPr>
        <w:t>Cost based pric</w:t>
      </w:r>
      <w:r>
        <w:rPr>
          <w:rStyle w:val="AERtextitalic"/>
        </w:rPr>
        <w:t>e increases</w:t>
      </w:r>
    </w:p>
    <w:p w:rsidR="00064B85" w:rsidRDefault="00064B85" w:rsidP="00064B85">
      <w:pPr>
        <w:pStyle w:val="AERbodytext"/>
        <w:numPr>
          <w:ilvl w:val="0"/>
          <w:numId w:val="0"/>
        </w:numPr>
      </w:pPr>
      <w:r w:rsidRPr="005F4325">
        <w:t>Allowing individual material input costs that constitute cost escalation reflects more cost</w:t>
      </w:r>
      <w:r w:rsidRPr="00AA6467">
        <w:t xml:space="preserve"> based price increases. We consider this cost based approach reduces the incentives for </w:t>
      </w:r>
      <w:r>
        <w:t>gas</w:t>
      </w:r>
      <w:r w:rsidRPr="00AA6467">
        <w:t xml:space="preserve"> service providers to manage their capex efficiently, and may instead incentivise </w:t>
      </w:r>
      <w:r>
        <w:t>gas</w:t>
      </w:r>
      <w:r w:rsidRPr="00AA6467">
        <w:t xml:space="preserve"> service providers to over forecast their capex. </w:t>
      </w:r>
      <w:r w:rsidRPr="006507E4">
        <w:t>This is not consistent with the revenue and pricing principles in the NGL in respect of promoting efficient investment.</w:t>
      </w:r>
      <w:r w:rsidRPr="006507E4">
        <w:rPr>
          <w:rStyle w:val="AERsuperscript"/>
        </w:rPr>
        <w:footnoteReference w:id="154"/>
      </w:r>
      <w:r w:rsidRPr="006507E4">
        <w:t xml:space="preserve"> It is also not consistent with the requirements of the NGL respect of incentive</w:t>
      </w:r>
      <w:r>
        <w:t>s</w:t>
      </w:r>
      <w:r w:rsidRPr="006507E4">
        <w:t>.</w:t>
      </w:r>
      <w:r w:rsidRPr="006507E4">
        <w:rPr>
          <w:rStyle w:val="AERsuperscript"/>
        </w:rPr>
        <w:footnoteReference w:id="155"/>
      </w:r>
      <w:r w:rsidRPr="006507E4">
        <w:t xml:space="preserve"> </w:t>
      </w:r>
      <w:r>
        <w:t xml:space="preserve"> </w:t>
      </w:r>
    </w:p>
    <w:p w:rsidR="00064B85" w:rsidRPr="00DF0924" w:rsidRDefault="00064B85" w:rsidP="00064B85">
      <w:pPr>
        <w:pStyle w:val="TOC1"/>
        <w:rPr>
          <w:rStyle w:val="AERtextitalic"/>
        </w:rPr>
      </w:pPr>
      <w:r w:rsidRPr="00DF0924">
        <w:rPr>
          <w:rStyle w:val="AERtextitalic"/>
        </w:rPr>
        <w:t>Selection of commodity inputs</w:t>
      </w:r>
    </w:p>
    <w:p w:rsidR="00064B85" w:rsidRDefault="00064B85" w:rsidP="00064B85">
      <w:pPr>
        <w:pStyle w:val="AERbodytext"/>
        <w:numPr>
          <w:ilvl w:val="0"/>
          <w:numId w:val="0"/>
        </w:numPr>
      </w:pPr>
      <w:r w:rsidRPr="005F4325">
        <w:t xml:space="preserve">The </w:t>
      </w:r>
      <w:r w:rsidRPr="00DF0924">
        <w:t xml:space="preserve">limited number of material inputs </w:t>
      </w:r>
      <w:r>
        <w:t>included in JGN's material input escalation model</w:t>
      </w:r>
      <w:r w:rsidRPr="00DF0924">
        <w:t xml:space="preserve"> may not be representative of the full set of inputs or input choices </w:t>
      </w:r>
      <w:r>
        <w:t>impacting on changes in the prices of assets purchased by JGN.</w:t>
      </w:r>
      <w:r w:rsidRPr="00DF0924">
        <w:t xml:space="preserve"> </w:t>
      </w:r>
      <w:r>
        <w:t>JGN's capex forecast</w:t>
      </w:r>
      <w:r w:rsidRPr="00DF0924">
        <w:t xml:space="preserve"> model may </w:t>
      </w:r>
      <w:r>
        <w:t xml:space="preserve">also </w:t>
      </w:r>
      <w:r w:rsidRPr="00DF0924">
        <w:t xml:space="preserve">be biased </w:t>
      </w:r>
      <w:r>
        <w:t>to the extent that it may include a selective subset</w:t>
      </w:r>
      <w:r w:rsidRPr="00DF0924">
        <w:t xml:space="preserve"> of </w:t>
      </w:r>
      <w:r>
        <w:t>commodities</w:t>
      </w:r>
      <w:r w:rsidRPr="00DF0924">
        <w:t xml:space="preserve"> that are forecast to increase</w:t>
      </w:r>
      <w:r>
        <w:t xml:space="preserve"> in price during the </w:t>
      </w:r>
      <w:r w:rsidRPr="00B97CCE">
        <w:t>201</w:t>
      </w:r>
      <w:r>
        <w:t>5</w:t>
      </w:r>
      <w:r w:rsidRPr="00B97CCE">
        <w:t>-20</w:t>
      </w:r>
      <w:r>
        <w:t>20</w:t>
      </w:r>
      <w:r w:rsidRPr="00B97CCE">
        <w:t xml:space="preserve"> period</w:t>
      </w:r>
      <w:r w:rsidRPr="00DF0924">
        <w:t>.</w:t>
      </w:r>
    </w:p>
    <w:p w:rsidR="00064B85" w:rsidRPr="00570E43" w:rsidRDefault="00064B85" w:rsidP="00064B85">
      <w:pPr>
        <w:pStyle w:val="TOC1"/>
        <w:rPr>
          <w:rStyle w:val="AERtextitalic"/>
        </w:rPr>
      </w:pPr>
      <w:r w:rsidRPr="00570E43">
        <w:rPr>
          <w:rStyle w:val="AERtextitalic"/>
        </w:rPr>
        <w:t>Commodities boom</w:t>
      </w:r>
    </w:p>
    <w:p w:rsidR="00064B85" w:rsidRDefault="00064B85" w:rsidP="00064B85">
      <w:pPr>
        <w:pStyle w:val="AERbodytext"/>
        <w:numPr>
          <w:ilvl w:val="0"/>
          <w:numId w:val="0"/>
        </w:numPr>
      </w:pPr>
      <w:r w:rsidRPr="005F4325">
        <w:t>The relevance of material input cost escalation post the 2009 commodities boom</w:t>
      </w:r>
      <w:r w:rsidRPr="00570E43">
        <w:t xml:space="preserve"> experienced in Australia when material input cost escalators were included in determining the approved capex allowance for </w:t>
      </w:r>
      <w:r>
        <w:t>energy</w:t>
      </w:r>
      <w:r w:rsidRPr="00570E43">
        <w:t xml:space="preserve"> service providers. </w:t>
      </w:r>
      <w:r>
        <w:t xml:space="preserve">We consider that the impact of the commodities boom has subsided and as a consequence the justification for incorporating material cost escalation in determining forecast capex has also diminished. </w:t>
      </w:r>
    </w:p>
    <w:p w:rsidR="00064B85" w:rsidRDefault="00064B85" w:rsidP="00064B85">
      <w:pPr>
        <w:pStyle w:val="Heading8"/>
      </w:pPr>
      <w:bookmarkStart w:id="73" w:name="_Toc404676608"/>
      <w:r w:rsidRPr="003944EA">
        <w:t xml:space="preserve">Review of independent expert's </w:t>
      </w:r>
      <w:r>
        <w:t>reports</w:t>
      </w:r>
      <w:bookmarkEnd w:id="73"/>
    </w:p>
    <w:p w:rsidR="00064B85" w:rsidRDefault="00064B85" w:rsidP="00064B85">
      <w:pPr>
        <w:pStyle w:val="AERbodytext"/>
        <w:numPr>
          <w:ilvl w:val="0"/>
          <w:numId w:val="0"/>
        </w:numPr>
      </w:pPr>
      <w:r>
        <w:t xml:space="preserve">We have </w:t>
      </w:r>
      <w:r w:rsidRPr="00306611">
        <w:t>review</w:t>
      </w:r>
      <w:r>
        <w:t>ed</w:t>
      </w:r>
      <w:r w:rsidRPr="00306611">
        <w:t xml:space="preserve"> the </w:t>
      </w:r>
      <w:r>
        <w:t xml:space="preserve">BIS Shrapnel </w:t>
      </w:r>
      <w:r w:rsidRPr="00306611">
        <w:t xml:space="preserve">report </w:t>
      </w:r>
      <w:r>
        <w:t xml:space="preserve">commissioned by JGN. We consider that this review, along with our review of two other reports detailed below, provides further support for our position to not accept JGN's proposed materials cost escalation. </w:t>
      </w:r>
    </w:p>
    <w:p w:rsidR="00064B85" w:rsidRPr="0045587A" w:rsidRDefault="00064B85" w:rsidP="00064B85">
      <w:pPr>
        <w:rPr>
          <w:rStyle w:val="AERtextbolditalics"/>
        </w:rPr>
      </w:pPr>
      <w:r w:rsidRPr="0045587A">
        <w:rPr>
          <w:rStyle w:val="AERtextbolditalics"/>
        </w:rPr>
        <w:t>BIS Shrapnel report</w:t>
      </w:r>
    </w:p>
    <w:p w:rsidR="00064B85" w:rsidRPr="0045587A" w:rsidRDefault="00064B85" w:rsidP="00064B85">
      <w:pPr>
        <w:pStyle w:val="AERbulletlistfirststyle"/>
      </w:pPr>
      <w:r w:rsidRPr="0045587A">
        <w:t>BIS Shrapnel has forecast prices of gas service provider related materials to increase, in part due to movements in the exchange rate. BIS Shrapnel are forecasting the Australian dollar to fall to US$0.77 from mid-2016 to mid-2018</w:t>
      </w:r>
      <w:r w:rsidRPr="00814BB5">
        <w:rPr>
          <w:rStyle w:val="AERsuperscript"/>
        </w:rPr>
        <w:footnoteReference w:id="156"/>
      </w:r>
      <w:r w:rsidRPr="0045587A">
        <w:t>. This is significantly lower than the exchange rate forecasts by SKM of between US$0.91 to US$0.85 from 2014-15 to 2018-19.</w:t>
      </w:r>
      <w:r w:rsidRPr="00814BB5">
        <w:rPr>
          <w:rStyle w:val="AERsuperscript"/>
        </w:rPr>
        <w:footnoteReference w:id="157"/>
      </w:r>
      <w:r w:rsidRPr="0045587A">
        <w:t xml:space="preserve"> CEG did not </w:t>
      </w:r>
      <w:r w:rsidRPr="0045587A">
        <w:lastRenderedPageBreak/>
        <w:t>publish its exchange rate forecasts in its report but state that for the purposes of the report it sourced forward rates from Bloomberg until 2023.</w:t>
      </w:r>
      <w:r w:rsidRPr="00814BB5">
        <w:rPr>
          <w:rStyle w:val="AERsuperscript"/>
        </w:rPr>
        <w:footnoteReference w:id="158"/>
      </w:r>
      <w:r w:rsidRPr="0045587A">
        <w:t xml:space="preserve"> BIS Shrapnel stated that exchange rate forecasts are not authoritative over the long term.</w:t>
      </w:r>
      <w:r w:rsidRPr="00814BB5">
        <w:rPr>
          <w:rStyle w:val="AERsuperscript"/>
        </w:rPr>
        <w:footnoteReference w:id="159"/>
      </w:r>
      <w:r w:rsidRPr="0045587A">
        <w:t xml:space="preserve"> </w:t>
      </w:r>
    </w:p>
    <w:p w:rsidR="00064B85" w:rsidRPr="0045587A" w:rsidRDefault="00064B85" w:rsidP="00064B85">
      <w:pPr>
        <w:pStyle w:val="AERbodytextindent1"/>
      </w:pPr>
      <w:r w:rsidRPr="0045587A">
        <w:t>We consider the forecasting of foreign exchange movements during the next regulatory control period to be another example of the potential inaccuracy of modelling for material input cost escalation.</w:t>
      </w:r>
    </w:p>
    <w:p w:rsidR="00064B85" w:rsidRPr="00767916" w:rsidRDefault="00064B85" w:rsidP="00064B85">
      <w:pPr>
        <w:pStyle w:val="AERbulletlistfirststyle"/>
      </w:pPr>
      <w:r w:rsidRPr="0045587A">
        <w:t>In its forecast for general materials such as stationary, office furniture, electricity, water, fuel and rent, BIS Shrapnel assumed that across the range of these items, the average price increase would be similar to consumer price inflation and that the appropriate cost escalator for general materials is the CPI.</w:t>
      </w:r>
      <w:r w:rsidRPr="00767916">
        <w:rPr>
          <w:rStyle w:val="AERsuperscript"/>
        </w:rPr>
        <w:footnoteReference w:id="160"/>
      </w:r>
      <w:r w:rsidRPr="00767916">
        <w:rPr>
          <w:rStyle w:val="AERsuperscript"/>
        </w:rPr>
        <w:t xml:space="preserve"> </w:t>
      </w:r>
      <w:r w:rsidRPr="00767916">
        <w:t>This treatment of general business inputs supports our view that where we cannot be satisfied that a forecast of real cost escalation for a specific material input is robust, and cannot determine a robust alternative forecast, CPI is a reasonable estimate of growth for a broad range of input prices.</w:t>
      </w:r>
    </w:p>
    <w:p w:rsidR="00064B85" w:rsidRPr="00643ED7" w:rsidRDefault="00064B85" w:rsidP="00064B85">
      <w:pPr>
        <w:pStyle w:val="AERbodytext"/>
      </w:pPr>
      <w:r w:rsidRPr="00643ED7">
        <w:t xml:space="preserve">In addition to our review of the </w:t>
      </w:r>
      <w:r>
        <w:t xml:space="preserve">BIS Shrapnel </w:t>
      </w:r>
      <w:r w:rsidRPr="00643ED7">
        <w:t xml:space="preserve">Report, we have also received submissions from </w:t>
      </w:r>
      <w:r>
        <w:t>energy service providers</w:t>
      </w:r>
      <w:r w:rsidRPr="00643ED7">
        <w:t xml:space="preserve"> on other resets that are currently being undertaken. We have considered the relevance of those submissions to the issues raised by JGN in order to arrive at a position that takes into account all available information. Our views on these reports are set out below. Overall, both these reports lend further support to our position to not accept JGN's proposed materials cost escalation.</w:t>
      </w:r>
    </w:p>
    <w:p w:rsidR="00064B85" w:rsidRPr="00B40024" w:rsidRDefault="00064B85" w:rsidP="00064B85">
      <w:pPr>
        <w:pStyle w:val="TOC1"/>
        <w:rPr>
          <w:rStyle w:val="AERtextitalic"/>
        </w:rPr>
      </w:pPr>
      <w:r w:rsidRPr="00B40024">
        <w:rPr>
          <w:rStyle w:val="AERtextitalic"/>
        </w:rPr>
        <w:t>CE</w:t>
      </w:r>
      <w:r>
        <w:rPr>
          <w:rStyle w:val="AERtextitalic"/>
        </w:rPr>
        <w:t>G</w:t>
      </w:r>
      <w:r w:rsidRPr="00B40024">
        <w:rPr>
          <w:rStyle w:val="AERtextitalic"/>
        </w:rPr>
        <w:t xml:space="preserve"> report</w:t>
      </w:r>
    </w:p>
    <w:p w:rsidR="00064B85" w:rsidRDefault="00064B85" w:rsidP="00064B85">
      <w:pPr>
        <w:pStyle w:val="AERbulletlistfirststyle"/>
      </w:pPr>
      <w:r>
        <w:t xml:space="preserve">CEG acknowledge that </w:t>
      </w:r>
      <w:r w:rsidRPr="007004A0">
        <w:t>forecasts of general cost movements (e.g. consumer price index or producer</w:t>
      </w:r>
      <w:r>
        <w:t xml:space="preserve"> </w:t>
      </w:r>
      <w:r w:rsidRPr="007004A0">
        <w:t>price index) can be used to derive changes in the cost of other inputs used by</w:t>
      </w:r>
      <w:r>
        <w:t xml:space="preserve"> electricity service providers </w:t>
      </w:r>
      <w:r w:rsidRPr="007004A0">
        <w:t xml:space="preserve">or their suppliers </w:t>
      </w:r>
      <w:r>
        <w:t>separate from material inputs</w:t>
      </w:r>
      <w:r w:rsidRPr="007004A0">
        <w:t xml:space="preserve"> (e.g. energy costs and</w:t>
      </w:r>
      <w:r>
        <w:t xml:space="preserve"> </w:t>
      </w:r>
      <w:r w:rsidRPr="007004A0">
        <w:t>equipment leases etc.)</w:t>
      </w:r>
      <w:r>
        <w:t>.</w:t>
      </w:r>
      <w:r>
        <w:rPr>
          <w:rStyle w:val="FootnoteReference"/>
        </w:rPr>
        <w:footnoteReference w:id="161"/>
      </w:r>
      <w:r>
        <w:t xml:space="preserve"> This is consistent with the Post-tax Revenue Model (PTRM) which reflects at least in part movements in an electricity service provider's intermediary input costs.</w:t>
      </w:r>
    </w:p>
    <w:p w:rsidR="00064B85" w:rsidRDefault="00064B85" w:rsidP="00064B85">
      <w:pPr>
        <w:pStyle w:val="AERbulletlistfirststyle"/>
      </w:pPr>
      <w:r>
        <w:t xml:space="preserve">CEG acknowledge that </w:t>
      </w:r>
      <w:r w:rsidRPr="00534C3C">
        <w:t>futures prices will be very unlikely to exactly predict future spot prices</w:t>
      </w:r>
      <w:r>
        <w:t xml:space="preserve"> </w:t>
      </w:r>
      <w:r w:rsidRPr="00534C3C">
        <w:t>given that all manner of unexpected events can occur.</w:t>
      </w:r>
      <w:r>
        <w:rPr>
          <w:rStyle w:val="FootnoteReference"/>
        </w:rPr>
        <w:footnoteReference w:id="162"/>
      </w:r>
      <w:r>
        <w:t xml:space="preserve"> This is consistent with our view that </w:t>
      </w:r>
      <w:r w:rsidRPr="00534C3C">
        <w:t xml:space="preserve">there are likely to be a significant number of material exogenous factors that impact on the </w:t>
      </w:r>
      <w:r>
        <w:t>price</w:t>
      </w:r>
      <w:r w:rsidRPr="00534C3C">
        <w:t xml:space="preserve"> of </w:t>
      </w:r>
      <w:r>
        <w:t>assets</w:t>
      </w:r>
      <w:r w:rsidRPr="00534C3C">
        <w:t xml:space="preserve"> that are not captured by the </w:t>
      </w:r>
      <w:r>
        <w:t>capex forecast</w:t>
      </w:r>
      <w:r w:rsidRPr="00534C3C">
        <w:t xml:space="preserve"> model used by </w:t>
      </w:r>
      <w:r>
        <w:t>JGN.</w:t>
      </w:r>
    </w:p>
    <w:p w:rsidR="00064B85" w:rsidRDefault="00064B85" w:rsidP="00064B85">
      <w:pPr>
        <w:pStyle w:val="AERbulletlistfirststyle"/>
      </w:pPr>
      <w:r>
        <w:t>CEG provide the following quote from the International Monetary Fund (IMF) in respect of futures markets:</w:t>
      </w:r>
      <w:r>
        <w:rPr>
          <w:rStyle w:val="FootnoteReference"/>
        </w:rPr>
        <w:footnoteReference w:id="163"/>
      </w:r>
    </w:p>
    <w:p w:rsidR="00064B85" w:rsidRDefault="00064B85" w:rsidP="00064B85">
      <w:pPr>
        <w:pStyle w:val="AERquote"/>
      </w:pPr>
      <w:r w:rsidRPr="00C617C1">
        <w:t>While futures prices are not accurate predictors of future spot prices, they nevertheless reflect current beliefs of market participants about forthcoming price developments.</w:t>
      </w:r>
    </w:p>
    <w:p w:rsidR="00064B85" w:rsidRDefault="00064B85" w:rsidP="00064B85">
      <w:pPr>
        <w:pStyle w:val="AERbodytextindent1"/>
      </w:pPr>
      <w:r>
        <w:t xml:space="preserve">This </w:t>
      </w:r>
      <w:r w:rsidRPr="00C617C1">
        <w:t xml:space="preserve">supports </w:t>
      </w:r>
      <w:r>
        <w:t>our</w:t>
      </w:r>
      <w:r w:rsidRPr="00C617C1">
        <w:t xml:space="preserve"> view that there is a reasonable degree of uncertainty in the modelling of material input cost escalators to reliably and accurately estimate the prices of </w:t>
      </w:r>
      <w:r>
        <w:t>assets</w:t>
      </w:r>
      <w:r w:rsidRPr="00C617C1">
        <w:t xml:space="preserve"> used by NSPs to provide network services. Whilst the IMF may conclude that commodity futures prices </w:t>
      </w:r>
      <w:r w:rsidRPr="00C617C1">
        <w:lastRenderedPageBreak/>
        <w:t xml:space="preserve">reflect market beliefs on future prices, there is no </w:t>
      </w:r>
      <w:r>
        <w:t xml:space="preserve">support from the IMF that </w:t>
      </w:r>
      <w:r w:rsidRPr="00C617C1">
        <w:t xml:space="preserve">futures prices </w:t>
      </w:r>
      <w:r>
        <w:t>provide an accurate predictor of</w:t>
      </w:r>
      <w:r w:rsidRPr="00C617C1">
        <w:t xml:space="preserve"> future commodity prices.</w:t>
      </w:r>
    </w:p>
    <w:p w:rsidR="00064B85" w:rsidRPr="00B72E48" w:rsidRDefault="00064B85" w:rsidP="00064B85">
      <w:pPr>
        <w:pStyle w:val="AERbulletlistfirststyle"/>
      </w:pPr>
      <w:r w:rsidRPr="00B72E48">
        <w:t xml:space="preserve">Figures 1 and 2 of CEG’s report </w:t>
      </w:r>
      <w:r>
        <w:t xml:space="preserve">respectively </w:t>
      </w:r>
      <w:r w:rsidRPr="00B72E48">
        <w:t xml:space="preserve">show the variance between aluminium and copper </w:t>
      </w:r>
      <w:r>
        <w:t xml:space="preserve">prices </w:t>
      </w:r>
      <w:r w:rsidRPr="00B72E48">
        <w:t xml:space="preserve">predicted by the London Metals Exchange (LME) 3 month, 15 month and 27 month futures less actual prices between </w:t>
      </w:r>
      <w:r>
        <w:t xml:space="preserve">July </w:t>
      </w:r>
      <w:r w:rsidRPr="00B72E48">
        <w:t xml:space="preserve">1993 and </w:t>
      </w:r>
      <w:r>
        <w:t xml:space="preserve">December </w:t>
      </w:r>
      <w:r w:rsidRPr="00B72E48">
        <w:t>2013.</w:t>
      </w:r>
      <w:r>
        <w:rPr>
          <w:rStyle w:val="FootnoteReference"/>
        </w:rPr>
        <w:footnoteReference w:id="164"/>
      </w:r>
      <w:r w:rsidRPr="00B72E48">
        <w:t xml:space="preserve"> </w:t>
      </w:r>
      <w:r>
        <w:t xml:space="preserve">Analysis of this data shows that </w:t>
      </w:r>
      <w:r w:rsidRPr="00B72E48">
        <w:t xml:space="preserve">the longer the futures projection period, the less accurate </w:t>
      </w:r>
      <w:r>
        <w:t>are</w:t>
      </w:r>
      <w:r w:rsidRPr="00B72E48">
        <w:t xml:space="preserve"> LME futures </w:t>
      </w:r>
      <w:r>
        <w:t>in predicting actual commodity prices</w:t>
      </w:r>
      <w:r w:rsidRPr="00B72E48">
        <w:t xml:space="preserve">. Given the </w:t>
      </w:r>
      <w:r>
        <w:t xml:space="preserve">next </w:t>
      </w:r>
      <w:r w:rsidRPr="00B72E48">
        <w:t xml:space="preserve">regulatory control period </w:t>
      </w:r>
      <w:r>
        <w:t>covers a time span of 6</w:t>
      </w:r>
      <w:r w:rsidRPr="00B72E48">
        <w:t>0 months</w:t>
      </w:r>
      <w:r>
        <w:t xml:space="preserve"> we consider it reasonable to question the degree of </w:t>
      </w:r>
      <w:r w:rsidRPr="00B72E48">
        <w:t>accuracy of forecast futures commodity prices towards the end of th</w:t>
      </w:r>
      <w:r>
        <w:t xml:space="preserve">is </w:t>
      </w:r>
      <w:r w:rsidRPr="00B72E48">
        <w:t>period</w:t>
      </w:r>
      <w:r>
        <w:t>.</w:t>
      </w:r>
    </w:p>
    <w:p w:rsidR="00064B85" w:rsidRPr="00B72E48" w:rsidRDefault="00064B85" w:rsidP="00064B85">
      <w:pPr>
        <w:pStyle w:val="AERbodytextindent1"/>
      </w:pPr>
      <w:r>
        <w:t>Figures 1 and 2 also show that</w:t>
      </w:r>
      <w:r w:rsidRPr="00B72E48">
        <w:t xml:space="preserve"> futures forecasts </w:t>
      </w:r>
      <w:r>
        <w:t xml:space="preserve">have a greater tendency towards over-estimating of actual aluminium and copper prices </w:t>
      </w:r>
      <w:r w:rsidRPr="00B72E48">
        <w:t>over the 20 year period</w:t>
      </w:r>
      <w:r>
        <w:t xml:space="preserve"> (</w:t>
      </w:r>
      <w:r w:rsidRPr="00B72E48">
        <w:t>particularly for aluminium</w:t>
      </w:r>
      <w:r>
        <w:t>)</w:t>
      </w:r>
      <w:r w:rsidRPr="00B72E48">
        <w:t xml:space="preserve">. The </w:t>
      </w:r>
      <w:r>
        <w:t>greatest</w:t>
      </w:r>
      <w:r w:rsidRPr="00B72E48">
        <w:t xml:space="preserve"> forecast </w:t>
      </w:r>
      <w:r>
        <w:t>over-estimate</w:t>
      </w:r>
      <w:r w:rsidRPr="00B72E48">
        <w:t xml:space="preserve"> </w:t>
      </w:r>
      <w:r>
        <w:t xml:space="preserve">variance </w:t>
      </w:r>
      <w:r w:rsidRPr="00B72E48">
        <w:t xml:space="preserve">was about 100 per cent for aluminium and 130 per cent for copper. </w:t>
      </w:r>
      <w:r>
        <w:t>In contrast, t</w:t>
      </w:r>
      <w:r w:rsidRPr="00B72E48">
        <w:t xml:space="preserve">he greatest forecast </w:t>
      </w:r>
      <w:r>
        <w:t xml:space="preserve">under-estimate </w:t>
      </w:r>
      <w:r w:rsidRPr="00B72E48">
        <w:t xml:space="preserve">variance was about 44 per cent for aluminium and 70 per cent for copper. </w:t>
      </w:r>
    </w:p>
    <w:p w:rsidR="00064B85" w:rsidRDefault="00064B85" w:rsidP="00064B85">
      <w:pPr>
        <w:pStyle w:val="AERbulletlistfirststyle"/>
      </w:pPr>
      <w:r>
        <w:t>In respect of forecasting electricity service providers future costs, CEG stated that:</w:t>
      </w:r>
      <w:r>
        <w:rPr>
          <w:rStyle w:val="FootnoteReference"/>
        </w:rPr>
        <w:footnoteReference w:id="165"/>
      </w:r>
    </w:p>
    <w:p w:rsidR="00064B85" w:rsidRDefault="00064B85" w:rsidP="00064B85">
      <w:pPr>
        <w:pStyle w:val="AERquoteindent1"/>
      </w:pPr>
      <w:r w:rsidRPr="007F2DB1">
        <w:t>There is always a high degree of uncertainty associated with predicting the future. Although we consider that we have obtained the best possible estimates of the NSPs’ future costs at the present time, the actual magnitude of these costs at the time that they are incurred may well be considerably higher or lower than we have estimated in this report. This is a reflection of the fact that while futures prices and forecasts today may well be a very precise estimate of current expectations of the future, they are at best an imprecise estimate of future values.</w:t>
      </w:r>
    </w:p>
    <w:p w:rsidR="00064B85" w:rsidRPr="00C617C1" w:rsidRDefault="00064B85" w:rsidP="00064B85">
      <w:pPr>
        <w:pStyle w:val="AERbodytextindent1"/>
      </w:pPr>
      <w:r>
        <w:t>This statement again is consistent with our view about the degree of the precision and accuracy of futures prices in respect of predicting electricity service providers future input costs. CEG also highlights the (poor) predictive value of LME futures for actual aluminium prices.</w:t>
      </w:r>
      <w:r>
        <w:rPr>
          <w:rStyle w:val="FootnoteReference"/>
        </w:rPr>
        <w:footnoteReference w:id="166"/>
      </w:r>
      <w:r>
        <w:t xml:space="preserve"> </w:t>
      </w:r>
    </w:p>
    <w:p w:rsidR="00064B85" w:rsidRDefault="00064B85" w:rsidP="00064B85">
      <w:pPr>
        <w:pStyle w:val="AERbulletlistfirststyle"/>
      </w:pPr>
      <w:r w:rsidRPr="00AA49E7">
        <w:t xml:space="preserve">CEG </w:t>
      </w:r>
      <w:r>
        <w:t xml:space="preserve">also </w:t>
      </w:r>
      <w:r w:rsidRPr="00AA49E7">
        <w:t xml:space="preserve">acknowledge that its </w:t>
      </w:r>
      <w:r>
        <w:t>escalation of</w:t>
      </w:r>
      <w:r w:rsidRPr="00AA49E7">
        <w:t xml:space="preserve"> aluminium </w:t>
      </w:r>
      <w:r>
        <w:t xml:space="preserve">prices </w:t>
      </w:r>
      <w:r w:rsidRPr="00AA49E7">
        <w:t xml:space="preserve">are not necessarily the prices paid for aluminium equipment by manufacturers. </w:t>
      </w:r>
      <w:r>
        <w:t xml:space="preserve">As an example, </w:t>
      </w:r>
      <w:r w:rsidRPr="00AA49E7">
        <w:t xml:space="preserve">CEG </w:t>
      </w:r>
      <w:r>
        <w:t>referred to</w:t>
      </w:r>
      <w:r w:rsidRPr="00AA49E7">
        <w:t xml:space="preserve"> producers of electrical cable who purchase fabricated aluminium which has gone through further stages of production than the refined aluminium that is traded on the LME. CEG </w:t>
      </w:r>
      <w:r>
        <w:t xml:space="preserve">also stated </w:t>
      </w:r>
      <w:r w:rsidRPr="00AA49E7">
        <w:t xml:space="preserve">that </w:t>
      </w:r>
      <w:r>
        <w:t>aluminium</w:t>
      </w:r>
      <w:r w:rsidRPr="00AA49E7">
        <w:t xml:space="preserve"> price</w:t>
      </w:r>
      <w:r>
        <w:t>s</w:t>
      </w:r>
      <w:r w:rsidRPr="00AA49E7">
        <w:t xml:space="preserve"> can be expected to be influenced by refined aluminium prices but these prices cannot be expected to move together in a ‘one-for-one’ </w:t>
      </w:r>
      <w:r>
        <w:t>relationship</w:t>
      </w:r>
      <w:r w:rsidRPr="00AA49E7">
        <w:t>.</w:t>
      </w:r>
      <w:r>
        <w:rPr>
          <w:rStyle w:val="FootnoteReference"/>
        </w:rPr>
        <w:footnoteReference w:id="167"/>
      </w:r>
      <w:r w:rsidRPr="00AA49E7">
        <w:t xml:space="preserve"> </w:t>
      </w:r>
    </w:p>
    <w:p w:rsidR="00064B85" w:rsidRPr="00AA49E7" w:rsidRDefault="00064B85" w:rsidP="00064B85">
      <w:pPr>
        <w:pStyle w:val="AERbodytextindent1"/>
      </w:pPr>
      <w:r w:rsidRPr="00AA49E7">
        <w:t xml:space="preserve">GEG </w:t>
      </w:r>
      <w:r>
        <w:t>provided similar views for copper and steel futures. For copper, CEG stated that the prices quoted for copper are prices traded on the LME that meet the specifications of the LME but that there is not necessarily a 'one-for-one' relationship between these prices and the price paid for copper equipment by manufacturers.</w:t>
      </w:r>
      <w:r>
        <w:rPr>
          <w:rStyle w:val="FootnoteReference"/>
        </w:rPr>
        <w:footnoteReference w:id="168"/>
      </w:r>
      <w:r>
        <w:t xml:space="preserve"> For steel futures, CEG stated that the steel used by electricity service providers has been fabricated, and as such, embodies labour, capital and other inputs (e.g. energy) and acknowledges that there is not necessarily a 'one-for one' relationship between the mill gate steel and the steel used by electricity service providers.</w:t>
      </w:r>
      <w:r>
        <w:rPr>
          <w:rStyle w:val="FootnoteReference"/>
        </w:rPr>
        <w:footnoteReference w:id="169"/>
      </w:r>
      <w:r>
        <w:t xml:space="preserve"> </w:t>
      </w:r>
    </w:p>
    <w:p w:rsidR="00064B85" w:rsidRDefault="00064B85" w:rsidP="00064B85">
      <w:pPr>
        <w:pStyle w:val="AERbodytextindent1"/>
      </w:pPr>
      <w:r w:rsidRPr="00AA49E7">
        <w:t>Th</w:t>
      </w:r>
      <w:r>
        <w:t>ese statements by CEG support our view that</w:t>
      </w:r>
      <w:r w:rsidRPr="00AA49E7">
        <w:t xml:space="preserve"> the </w:t>
      </w:r>
      <w:r>
        <w:t xml:space="preserve">capex forecast </w:t>
      </w:r>
      <w:r w:rsidRPr="00AA49E7">
        <w:t xml:space="preserve">model used by </w:t>
      </w:r>
      <w:r>
        <w:t xml:space="preserve">JGN </w:t>
      </w:r>
      <w:r w:rsidRPr="00AA49E7">
        <w:t>ha</w:t>
      </w:r>
      <w:r>
        <w:t>s</w:t>
      </w:r>
      <w:r w:rsidRPr="00AA49E7">
        <w:t xml:space="preserve"> not demonstrated how and to what extent material inputs have affected the cost of intermediate </w:t>
      </w:r>
      <w:r w:rsidRPr="00AA49E7">
        <w:lastRenderedPageBreak/>
        <w:t xml:space="preserve">outputs. </w:t>
      </w:r>
      <w:r>
        <w:t>We note, as emphasised by CEG,</w:t>
      </w:r>
      <w:r w:rsidRPr="00AA49E7">
        <w:t xml:space="preserve"> there is likely to be significant value adding and processing of the raw material before the </w:t>
      </w:r>
      <w:r>
        <w:t>physical asset</w:t>
      </w:r>
      <w:r w:rsidRPr="00AA49E7">
        <w:t xml:space="preserve"> is purchased by </w:t>
      </w:r>
      <w:r>
        <w:t xml:space="preserve">JGN. </w:t>
      </w:r>
    </w:p>
    <w:p w:rsidR="00064B85" w:rsidRDefault="00064B85" w:rsidP="00064B85">
      <w:pPr>
        <w:pStyle w:val="AERbulletlistfirststyle"/>
      </w:pPr>
      <w:r>
        <w:t>CEG has provided data on historical indexed aluminium, copper, steel and crude oil actual (real) prices from July 2005 to December 2013 as well as forecast real prices from January 2014 to January 2021 which were used to determine its forecast escalation factors.</w:t>
      </w:r>
      <w:r>
        <w:rPr>
          <w:rStyle w:val="FootnoteReference"/>
        </w:rPr>
        <w:footnoteReference w:id="170"/>
      </w:r>
      <w:r>
        <w:t xml:space="preserve"> For all four commodities, the CEG forecast indexed real prices showed a trend of higher prices compared to the historical trend. Aluminium and crude oil exhibited the greatest trend variance. Copper and steel prices were forecast to remain relatively stable whist aluminium and crude oil prices were forecast to rise significantly compared to the historical trend.</w:t>
      </w:r>
    </w:p>
    <w:p w:rsidR="00064B85" w:rsidRDefault="00064B85" w:rsidP="00064B85">
      <w:pPr>
        <w:pStyle w:val="TOC1"/>
        <w:rPr>
          <w:rStyle w:val="AERtextitalic"/>
        </w:rPr>
      </w:pPr>
      <w:r w:rsidRPr="00225FCF">
        <w:rPr>
          <w:rStyle w:val="AERtextitalic"/>
        </w:rPr>
        <w:t>SKM report</w:t>
      </w:r>
    </w:p>
    <w:p w:rsidR="00064B85" w:rsidRPr="008D661C" w:rsidRDefault="00064B85" w:rsidP="00064B85">
      <w:pPr>
        <w:pStyle w:val="AERbulletlistfirststyle"/>
      </w:pPr>
      <w:r>
        <w:t>SKM caution that there are a variety of factors that could cause business conditions and results to differ materially from what is contained in its forward looking statements.</w:t>
      </w:r>
      <w:r>
        <w:rPr>
          <w:rStyle w:val="FootnoteReference"/>
        </w:rPr>
        <w:footnoteReference w:id="171"/>
      </w:r>
      <w:r>
        <w:t xml:space="preserve"> This is consistent with our view </w:t>
      </w:r>
      <w:r w:rsidRPr="008D661C">
        <w:t xml:space="preserve">that there are likely to be a significant number of material exogenous factors that impact on the cost of </w:t>
      </w:r>
      <w:r>
        <w:t>assets</w:t>
      </w:r>
      <w:r w:rsidRPr="008D661C">
        <w:t xml:space="preserve"> that are not captured by </w:t>
      </w:r>
      <w:r>
        <w:t>JGN's</w:t>
      </w:r>
      <w:r w:rsidRPr="008D661C">
        <w:t xml:space="preserve"> </w:t>
      </w:r>
      <w:r>
        <w:t>capex forecast</w:t>
      </w:r>
      <w:r w:rsidRPr="008D661C">
        <w:t xml:space="preserve"> model.</w:t>
      </w:r>
    </w:p>
    <w:p w:rsidR="00064B85" w:rsidRPr="008D661C" w:rsidRDefault="00064B85" w:rsidP="00064B85">
      <w:pPr>
        <w:pStyle w:val="AERbulletlistfirststyle"/>
      </w:pPr>
      <w:r>
        <w:t>SKM stated it used t</w:t>
      </w:r>
      <w:r w:rsidRPr="008D661C">
        <w:t xml:space="preserve">he Australian CPI to account for those materials or cost items </w:t>
      </w:r>
      <w:r>
        <w:t>for</w:t>
      </w:r>
      <w:r w:rsidRPr="008D661C">
        <w:t xml:space="preserve"> equipment whose price trend cannot be rationally or conclusively explained by the movement of commodities prices</w:t>
      </w:r>
      <w:r>
        <w:t>.</w:t>
      </w:r>
      <w:r>
        <w:rPr>
          <w:rStyle w:val="FootnoteReference"/>
        </w:rPr>
        <w:footnoteReference w:id="172"/>
      </w:r>
      <w:r w:rsidRPr="008D661C">
        <w:t xml:space="preserve"> </w:t>
      </w:r>
    </w:p>
    <w:p w:rsidR="00064B85" w:rsidRPr="008D661C" w:rsidRDefault="00064B85" w:rsidP="00064B85">
      <w:pPr>
        <w:pStyle w:val="AERbulletlistfirststyle"/>
      </w:pPr>
      <w:r>
        <w:t xml:space="preserve">In its modelling of the exchange rate, SKM has in part </w:t>
      </w:r>
      <w:r w:rsidRPr="008D661C">
        <w:t xml:space="preserve">adopted the longer term historical average of </w:t>
      </w:r>
      <w:r>
        <w:t>$</w:t>
      </w:r>
      <w:r w:rsidRPr="008D661C">
        <w:t>0.80 USD/AUD as the long term forecast going forward.</w:t>
      </w:r>
      <w:r>
        <w:rPr>
          <w:rStyle w:val="FootnoteReference"/>
        </w:rPr>
        <w:footnoteReference w:id="173"/>
      </w:r>
      <w:r w:rsidRPr="008D661C">
        <w:t xml:space="preserve"> This </w:t>
      </w:r>
      <w:r>
        <w:t>is consistent with our view</w:t>
      </w:r>
      <w:r w:rsidRPr="008D661C">
        <w:t xml:space="preserve"> that longer term historical commodity prices should be considered when reviewing and forecasting future prices</w:t>
      </w:r>
      <w:r>
        <w:t>. In general, we consider that long term historical data has a greater number of observations and as a consequence is a more reliable predictor of future prices than a data time series of fewer observations.</w:t>
      </w:r>
    </w:p>
    <w:p w:rsidR="00064B85" w:rsidRPr="008D661C" w:rsidRDefault="00064B85" w:rsidP="00064B85">
      <w:pPr>
        <w:pStyle w:val="AERbulletlistfirststyle"/>
      </w:pPr>
      <w:r>
        <w:t xml:space="preserve">SKM stated that the future price position </w:t>
      </w:r>
      <w:r w:rsidRPr="008D661C">
        <w:t>from the LME futures contracts for copper and aluminium are only available for three years out to December 2016 and that in order to estimate prices beyond this dat</w:t>
      </w:r>
      <w:r>
        <w:t>a</w:t>
      </w:r>
      <w:r w:rsidRPr="008D661C">
        <w:t xml:space="preserve"> point, it is necessary to revert to economic forecasts as the most robust source of future price expectations.</w:t>
      </w:r>
      <w:r>
        <w:rPr>
          <w:rStyle w:val="FootnoteReference"/>
        </w:rPr>
        <w:footnoteReference w:id="174"/>
      </w:r>
      <w:r w:rsidRPr="008D661C">
        <w:t xml:space="preserve"> SKM also state</w:t>
      </w:r>
      <w:r>
        <w:t>d</w:t>
      </w:r>
      <w:r w:rsidRPr="008D661C">
        <w:t xml:space="preserve"> that LME steel futures are still not yet sufficiently liquid to provide a robust price outlook</w:t>
      </w:r>
      <w:r>
        <w:t>.</w:t>
      </w:r>
      <w:r>
        <w:rPr>
          <w:rStyle w:val="FootnoteReference"/>
        </w:rPr>
        <w:footnoteReference w:id="175"/>
      </w:r>
    </w:p>
    <w:p w:rsidR="00064B85" w:rsidRDefault="00064B85" w:rsidP="00064B85">
      <w:pPr>
        <w:pStyle w:val="AERbulletlistfirststyle"/>
      </w:pPr>
      <w:r>
        <w:t xml:space="preserve">SKM stated that in respect to </w:t>
      </w:r>
      <w:r w:rsidRPr="008D661C">
        <w:t xml:space="preserve">the reliability of oil future contracts as a predictor of actual oil prices, futures markets solely are not a reliable predictor or robust foundation for future price forecasts. SKM </w:t>
      </w:r>
      <w:r>
        <w:t>also stated</w:t>
      </w:r>
      <w:r w:rsidRPr="008D661C">
        <w:t xml:space="preserve"> that future </w:t>
      </w:r>
      <w:r>
        <w:t xml:space="preserve">oil </w:t>
      </w:r>
      <w:r w:rsidRPr="008D661C">
        <w:t>contracts tend to follow the current spot price up and down, with a curve upwards or downwards reflecting current (short term) market sentiment.</w:t>
      </w:r>
      <w:r w:rsidRPr="0019772B">
        <w:rPr>
          <w:rStyle w:val="AERsuperscript"/>
        </w:rPr>
        <w:footnoteReference w:id="176"/>
      </w:r>
      <w:r w:rsidRPr="008D661C">
        <w:t xml:space="preserve"> SKM selected Consensus Economics forecasts as the best currently available outlook for oil prices throughout the duration of the </w:t>
      </w:r>
      <w:r>
        <w:t>next regulatory control period.</w:t>
      </w:r>
      <w:r>
        <w:rPr>
          <w:rStyle w:val="FootnoteReference"/>
        </w:rPr>
        <w:footnoteReference w:id="177"/>
      </w:r>
      <w:r w:rsidRPr="008D661C">
        <w:t xml:space="preserve"> The decision by SKM to adopt an economic forecast for oil </w:t>
      </w:r>
      <w:r>
        <w:t xml:space="preserve">rather than </w:t>
      </w:r>
      <w:r w:rsidRPr="008D661C">
        <w:t>using futures highlights the uncertainty surrounding the forecasting of commodity prices.</w:t>
      </w:r>
    </w:p>
    <w:p w:rsidR="00064B85" w:rsidRPr="00B840F2" w:rsidRDefault="00064B85" w:rsidP="00064B85">
      <w:pPr>
        <w:pStyle w:val="TOC1"/>
        <w:rPr>
          <w:rStyle w:val="AERtextitalic"/>
        </w:rPr>
      </w:pPr>
      <w:r w:rsidRPr="00B840F2">
        <w:rPr>
          <w:rStyle w:val="AERtextitalic"/>
        </w:rPr>
        <w:t xml:space="preserve">Comparison of </w:t>
      </w:r>
      <w:r>
        <w:rPr>
          <w:rStyle w:val="AERtextitalic"/>
        </w:rPr>
        <w:t>independent expert</w:t>
      </w:r>
      <w:r w:rsidRPr="00B840F2">
        <w:rPr>
          <w:rStyle w:val="AERtextitalic"/>
        </w:rPr>
        <w:t>'s cost escalation factors</w:t>
      </w:r>
    </w:p>
    <w:p w:rsidR="00064B85" w:rsidRDefault="00064B85" w:rsidP="00064B85">
      <w:pPr>
        <w:pStyle w:val="AERbodytext"/>
        <w:numPr>
          <w:ilvl w:val="0"/>
          <w:numId w:val="0"/>
        </w:numPr>
      </w:pPr>
      <w:r>
        <w:lastRenderedPageBreak/>
        <w:t xml:space="preserve">To illustrate the potential uncertainty in forecasting real material input costs, we have compared the material cost escalation forecasts derived by the consultants as shown in </w:t>
      </w:r>
      <w:r>
        <w:fldChar w:fldCharType="begin"/>
      </w:r>
      <w:r>
        <w:instrText xml:space="preserve"> REF _Ref404076397 \h </w:instrText>
      </w:r>
      <w:r>
        <w:fldChar w:fldCharType="separate"/>
      </w:r>
      <w:r w:rsidR="00A92442">
        <w:t xml:space="preserve">Table </w:t>
      </w:r>
      <w:r w:rsidR="00A92442">
        <w:rPr>
          <w:noProof/>
        </w:rPr>
        <w:t>A</w:t>
      </w:r>
      <w:r w:rsidR="00A92442">
        <w:t>.</w:t>
      </w:r>
      <w:r w:rsidR="00A92442">
        <w:rPr>
          <w:noProof/>
        </w:rPr>
        <w:t>2</w:t>
      </w:r>
      <w:r>
        <w:fldChar w:fldCharType="end"/>
      </w:r>
      <w:r>
        <w:t xml:space="preserve">. </w:t>
      </w:r>
    </w:p>
    <w:p w:rsidR="00064B85" w:rsidRPr="009F50DE" w:rsidRDefault="00064B85" w:rsidP="00064B85">
      <w:pPr>
        <w:pStyle w:val="Caption"/>
        <w:rPr>
          <w:rStyle w:val="AERtextbold"/>
        </w:rPr>
      </w:pPr>
      <w:bookmarkStart w:id="74" w:name="_Ref404076397"/>
      <w:r>
        <w:t xml:space="preserve">Table </w:t>
      </w:r>
      <w:fldSimple w:instr=" STYLEREF 7 \s ">
        <w:r w:rsidR="00A92442">
          <w:rPr>
            <w:noProof/>
          </w:rPr>
          <w:t>A</w:t>
        </w:r>
      </w:fldSimple>
      <w:r>
        <w:t>.</w:t>
      </w:r>
      <w:fldSimple w:instr=" SEQ Table \* ARABIC \s 7 ">
        <w:r w:rsidR="00A92442">
          <w:rPr>
            <w:noProof/>
          </w:rPr>
          <w:t>2</w:t>
        </w:r>
      </w:fldSimple>
      <w:bookmarkEnd w:id="74"/>
      <w:r>
        <w:tab/>
      </w:r>
      <w:r w:rsidRPr="009F50DE">
        <w:t>Real material input cost escalation forecasts ($ real 2012-13)</w:t>
      </w:r>
    </w:p>
    <w:tbl>
      <w:tblPr>
        <w:tblStyle w:val="AERtable-numbers"/>
        <w:tblW w:w="0" w:type="auto"/>
        <w:tblLook w:val="04A0" w:firstRow="1" w:lastRow="0" w:firstColumn="1" w:lastColumn="0" w:noHBand="0" w:noVBand="1"/>
      </w:tblPr>
      <w:tblGrid>
        <w:gridCol w:w="1540"/>
        <w:gridCol w:w="1540"/>
        <w:gridCol w:w="1540"/>
        <w:gridCol w:w="1540"/>
        <w:gridCol w:w="1541"/>
        <w:gridCol w:w="1541"/>
      </w:tblGrid>
      <w:tr w:rsidR="00064B85" w:rsidRPr="00720FB8" w:rsidTr="00442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064B85" w:rsidRPr="00720FB8" w:rsidRDefault="00064B85" w:rsidP="0044225D">
            <w:pPr>
              <w:pStyle w:val="AERbodytext"/>
            </w:pPr>
          </w:p>
        </w:tc>
        <w:tc>
          <w:tcPr>
            <w:tcW w:w="1540" w:type="dxa"/>
          </w:tcPr>
          <w:p w:rsidR="00064B85" w:rsidRPr="00720FB8" w:rsidRDefault="00064B85" w:rsidP="0044225D">
            <w:pPr>
              <w:pStyle w:val="AERbodytext"/>
              <w:cnfStyle w:val="100000000000" w:firstRow="1" w:lastRow="0" w:firstColumn="0" w:lastColumn="0" w:oddVBand="0" w:evenVBand="0" w:oddHBand="0" w:evenHBand="0" w:firstRowFirstColumn="0" w:firstRowLastColumn="0" w:lastRowFirstColumn="0" w:lastRowLastColumn="0"/>
            </w:pPr>
            <w:r w:rsidRPr="00720FB8">
              <w:t>201</w:t>
            </w:r>
            <w:r>
              <w:t>4</w:t>
            </w:r>
            <w:r w:rsidRPr="00720FB8">
              <w:t>–1</w:t>
            </w:r>
            <w:r>
              <w:t>5 (%)</w:t>
            </w:r>
          </w:p>
        </w:tc>
        <w:tc>
          <w:tcPr>
            <w:tcW w:w="1540" w:type="dxa"/>
          </w:tcPr>
          <w:p w:rsidR="00064B85" w:rsidRPr="00720FB8" w:rsidRDefault="00064B85" w:rsidP="0044225D">
            <w:pPr>
              <w:pStyle w:val="AERbodytext"/>
              <w:cnfStyle w:val="100000000000" w:firstRow="1" w:lastRow="0" w:firstColumn="0" w:lastColumn="0" w:oddVBand="0" w:evenVBand="0" w:oddHBand="0" w:evenHBand="0" w:firstRowFirstColumn="0" w:firstRowLastColumn="0" w:lastRowFirstColumn="0" w:lastRowLastColumn="0"/>
            </w:pPr>
            <w:r w:rsidRPr="00720FB8">
              <w:t>201</w:t>
            </w:r>
            <w:r>
              <w:t>5</w:t>
            </w:r>
            <w:r w:rsidRPr="00720FB8">
              <w:t>–1</w:t>
            </w:r>
            <w:r>
              <w:t>6 (%)</w:t>
            </w:r>
          </w:p>
        </w:tc>
        <w:tc>
          <w:tcPr>
            <w:tcW w:w="1540" w:type="dxa"/>
          </w:tcPr>
          <w:p w:rsidR="00064B85" w:rsidRPr="00720FB8" w:rsidRDefault="00064B85" w:rsidP="0044225D">
            <w:pPr>
              <w:pStyle w:val="AERbodytext"/>
              <w:cnfStyle w:val="100000000000" w:firstRow="1" w:lastRow="0" w:firstColumn="0" w:lastColumn="0" w:oddVBand="0" w:evenVBand="0" w:oddHBand="0" w:evenHBand="0" w:firstRowFirstColumn="0" w:firstRowLastColumn="0" w:lastRowFirstColumn="0" w:lastRowLastColumn="0"/>
            </w:pPr>
            <w:r w:rsidRPr="00720FB8">
              <w:t>201</w:t>
            </w:r>
            <w:r>
              <w:t>6</w:t>
            </w:r>
            <w:r w:rsidRPr="00720FB8">
              <w:t>–1</w:t>
            </w:r>
            <w:r>
              <w:t>7 (%)</w:t>
            </w:r>
          </w:p>
        </w:tc>
        <w:tc>
          <w:tcPr>
            <w:tcW w:w="1541" w:type="dxa"/>
          </w:tcPr>
          <w:p w:rsidR="00064B85" w:rsidRPr="00720FB8" w:rsidRDefault="00064B85" w:rsidP="0044225D">
            <w:pPr>
              <w:pStyle w:val="AERbodytext"/>
              <w:cnfStyle w:val="100000000000" w:firstRow="1" w:lastRow="0" w:firstColumn="0" w:lastColumn="0" w:oddVBand="0" w:evenVBand="0" w:oddHBand="0" w:evenHBand="0" w:firstRowFirstColumn="0" w:firstRowLastColumn="0" w:lastRowFirstColumn="0" w:lastRowLastColumn="0"/>
            </w:pPr>
            <w:r w:rsidRPr="00720FB8">
              <w:t>201</w:t>
            </w:r>
            <w:r>
              <w:t>7–18 (%)</w:t>
            </w:r>
          </w:p>
        </w:tc>
        <w:tc>
          <w:tcPr>
            <w:tcW w:w="1541" w:type="dxa"/>
          </w:tcPr>
          <w:p w:rsidR="00064B85" w:rsidRPr="00720FB8" w:rsidRDefault="00064B85" w:rsidP="0044225D">
            <w:pPr>
              <w:pStyle w:val="AERbodytext"/>
              <w:cnfStyle w:val="100000000000" w:firstRow="1" w:lastRow="0" w:firstColumn="0" w:lastColumn="0" w:oddVBand="0" w:evenVBand="0" w:oddHBand="0" w:evenHBand="0" w:firstRowFirstColumn="0" w:firstRowLastColumn="0" w:lastRowFirstColumn="0" w:lastRowLastColumn="0"/>
            </w:pPr>
            <w:r w:rsidRPr="00720FB8">
              <w:t>201</w:t>
            </w:r>
            <w:r>
              <w:t>8</w:t>
            </w:r>
            <w:r w:rsidRPr="00720FB8">
              <w:t>–1</w:t>
            </w:r>
            <w:r>
              <w:t>9 (%)</w:t>
            </w:r>
          </w:p>
        </w:tc>
      </w:tr>
      <w:tr w:rsidR="00064B85" w:rsidRPr="00720FB8" w:rsidTr="0044225D">
        <w:tc>
          <w:tcPr>
            <w:cnfStyle w:val="001000000000" w:firstRow="0" w:lastRow="0" w:firstColumn="1" w:lastColumn="0" w:oddVBand="0" w:evenVBand="0" w:oddHBand="0" w:evenHBand="0" w:firstRowFirstColumn="0" w:firstRowLastColumn="0" w:lastRowFirstColumn="0" w:lastRowLastColumn="0"/>
            <w:tcW w:w="1540" w:type="dxa"/>
          </w:tcPr>
          <w:p w:rsidR="00064B85" w:rsidRPr="00BA4850" w:rsidRDefault="00064B85" w:rsidP="0044225D">
            <w:pPr>
              <w:pStyle w:val="AERbodytext"/>
              <w:spacing w:before="0"/>
              <w:rPr>
                <w:rStyle w:val="AERtextbold"/>
              </w:rPr>
            </w:pPr>
            <w:r w:rsidRPr="00BA4850">
              <w:rPr>
                <w:rStyle w:val="AERtextbold"/>
              </w:rPr>
              <w:t>Aluminium</w:t>
            </w:r>
          </w:p>
          <w:p w:rsidR="00064B85" w:rsidRPr="00B44575" w:rsidRDefault="00064B85" w:rsidP="0044225D">
            <w:pPr>
              <w:pStyle w:val="AERbodytext"/>
              <w:rPr>
                <w:rStyle w:val="AERtextitalic"/>
              </w:rPr>
            </w:pPr>
            <w:r w:rsidRPr="00B44575">
              <w:rPr>
                <w:rStyle w:val="AERtextitalic"/>
              </w:rPr>
              <w:t>CEG</w:t>
            </w:r>
          </w:p>
          <w:p w:rsidR="00064B85" w:rsidRPr="00B44575" w:rsidRDefault="00064B85" w:rsidP="0044225D">
            <w:pPr>
              <w:pStyle w:val="AERbodytext"/>
              <w:rPr>
                <w:rStyle w:val="AERtextitalic"/>
              </w:rPr>
            </w:pPr>
            <w:r w:rsidRPr="00B44575">
              <w:rPr>
                <w:rStyle w:val="AERtextitalic"/>
              </w:rPr>
              <w:t>SKM</w:t>
            </w:r>
          </w:p>
          <w:p w:rsidR="00064B85" w:rsidRDefault="00064B85" w:rsidP="0044225D">
            <w:pPr>
              <w:pStyle w:val="AERbodytext"/>
              <w:rPr>
                <w:rStyle w:val="AERtextitalic"/>
              </w:rPr>
            </w:pPr>
            <w:r w:rsidRPr="00B44575">
              <w:rPr>
                <w:rStyle w:val="AERtextitalic"/>
              </w:rPr>
              <w:t>BIS Shrapne</w:t>
            </w:r>
            <w:r>
              <w:rPr>
                <w:rStyle w:val="AERtextitalic"/>
              </w:rPr>
              <w:t>l</w:t>
            </w:r>
          </w:p>
          <w:p w:rsidR="00064B85" w:rsidRPr="00B44575" w:rsidRDefault="00064B85" w:rsidP="0044225D">
            <w:pPr>
              <w:pStyle w:val="AERbodytext"/>
              <w:rPr>
                <w:rStyle w:val="AERtextitalic"/>
              </w:rPr>
            </w:pPr>
            <w:r>
              <w:rPr>
                <w:rStyle w:val="AERtextitalic"/>
              </w:rPr>
              <w:t>Range (low to high)</w:t>
            </w:r>
          </w:p>
        </w:tc>
        <w:tc>
          <w:tcPr>
            <w:tcW w:w="1540" w:type="dxa"/>
            <w:vAlign w:val="top"/>
          </w:tcPr>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4.2</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4.69</w:t>
            </w:r>
          </w:p>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1.4</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1.4 to 4.69</w:t>
            </w:r>
          </w:p>
        </w:tc>
        <w:tc>
          <w:tcPr>
            <w:tcW w:w="1540" w:type="dxa"/>
            <w:vAlign w:val="top"/>
          </w:tcPr>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5.8</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4.88</w:t>
            </w:r>
          </w:p>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5.6</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4.88 to 5.8</w:t>
            </w:r>
          </w:p>
        </w:tc>
        <w:tc>
          <w:tcPr>
            <w:tcW w:w="1540" w:type="dxa"/>
            <w:vAlign w:val="top"/>
          </w:tcPr>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5.0</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3.09</w:t>
            </w:r>
          </w:p>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3.9</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3.09 to 5.0</w:t>
            </w:r>
          </w:p>
        </w:tc>
        <w:tc>
          <w:tcPr>
            <w:tcW w:w="1541" w:type="dxa"/>
            <w:vAlign w:val="top"/>
          </w:tcPr>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4.2</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4.42</w:t>
            </w:r>
          </w:p>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11.0</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4.2 to 11.0</w:t>
            </w:r>
          </w:p>
        </w:tc>
        <w:tc>
          <w:tcPr>
            <w:tcW w:w="1541" w:type="dxa"/>
            <w:vAlign w:val="top"/>
          </w:tcPr>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3.6</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2.97</w:t>
            </w:r>
          </w:p>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-6.5</w:t>
            </w:r>
          </w:p>
          <w:p w:rsidR="00064B85" w:rsidRPr="00D42FEF" w:rsidRDefault="00064B85" w:rsidP="0044225D">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-6.5 to 3.6</w:t>
            </w:r>
          </w:p>
        </w:tc>
      </w:tr>
      <w:tr w:rsidR="00064B85" w:rsidRPr="00720FB8" w:rsidTr="004422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064B85" w:rsidRPr="00BA4850" w:rsidRDefault="00064B85" w:rsidP="0044225D">
            <w:pPr>
              <w:pStyle w:val="AERbodytext"/>
              <w:spacing w:before="0"/>
              <w:rPr>
                <w:rStyle w:val="AERtextbold"/>
              </w:rPr>
            </w:pPr>
            <w:r w:rsidRPr="00BA4850">
              <w:rPr>
                <w:rStyle w:val="AERtextbold"/>
              </w:rPr>
              <w:t>Copper</w:t>
            </w:r>
          </w:p>
          <w:p w:rsidR="00064B85" w:rsidRPr="00B44575" w:rsidRDefault="00064B85" w:rsidP="0044225D">
            <w:pPr>
              <w:pStyle w:val="AERbodytext"/>
              <w:rPr>
                <w:rStyle w:val="AERtextitalic"/>
              </w:rPr>
            </w:pPr>
            <w:r w:rsidRPr="00B44575">
              <w:rPr>
                <w:rStyle w:val="AERtextitalic"/>
              </w:rPr>
              <w:t>CEG</w:t>
            </w:r>
          </w:p>
          <w:p w:rsidR="00064B85" w:rsidRPr="00B44575" w:rsidRDefault="00064B85" w:rsidP="0044225D">
            <w:pPr>
              <w:pStyle w:val="AERbodytext"/>
              <w:rPr>
                <w:rStyle w:val="AERtextitalic"/>
              </w:rPr>
            </w:pPr>
            <w:r w:rsidRPr="00B44575">
              <w:rPr>
                <w:rStyle w:val="AERtextitalic"/>
              </w:rPr>
              <w:t>SKM</w:t>
            </w:r>
          </w:p>
          <w:p w:rsidR="00064B85" w:rsidRDefault="00064B85" w:rsidP="0044225D">
            <w:pPr>
              <w:pStyle w:val="AERbodytext"/>
              <w:rPr>
                <w:rStyle w:val="AERtextitalic"/>
              </w:rPr>
            </w:pPr>
            <w:r w:rsidRPr="00B44575">
              <w:rPr>
                <w:rStyle w:val="AERtextitalic"/>
              </w:rPr>
              <w:t>BIS Shrapnel</w:t>
            </w:r>
          </w:p>
          <w:p w:rsidR="00064B85" w:rsidRPr="00B44575" w:rsidRDefault="00064B85" w:rsidP="0044225D">
            <w:pPr>
              <w:pStyle w:val="AERbodytext"/>
              <w:rPr>
                <w:rStyle w:val="AERtextitalic"/>
              </w:rPr>
            </w:pPr>
            <w:r>
              <w:rPr>
                <w:rStyle w:val="AERtextitalic"/>
              </w:rPr>
              <w:t>Range (low to high)</w:t>
            </w:r>
          </w:p>
        </w:tc>
        <w:tc>
          <w:tcPr>
            <w:tcW w:w="1540" w:type="dxa"/>
            <w:vAlign w:val="top"/>
          </w:tcPr>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-0.9</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-0.17</w:t>
            </w:r>
          </w:p>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-0.9</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-0.9 to 0.17</w:t>
            </w:r>
          </w:p>
        </w:tc>
        <w:tc>
          <w:tcPr>
            <w:tcW w:w="1540" w:type="dxa"/>
            <w:vAlign w:val="top"/>
          </w:tcPr>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1.1</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0.17</w:t>
            </w:r>
          </w:p>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-1.5</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-1.5 to 1.1</w:t>
            </w:r>
          </w:p>
        </w:tc>
        <w:tc>
          <w:tcPr>
            <w:tcW w:w="1540" w:type="dxa"/>
            <w:vAlign w:val="top"/>
          </w:tcPr>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0.3</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-1.15</w:t>
            </w:r>
          </w:p>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0.3</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-1.15 to 0.3</w:t>
            </w:r>
          </w:p>
        </w:tc>
        <w:tc>
          <w:tcPr>
            <w:tcW w:w="1541" w:type="dxa"/>
            <w:vAlign w:val="top"/>
          </w:tcPr>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-0.3</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-0.16</w:t>
            </w:r>
          </w:p>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9.3</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-0.3 to 9.3</w:t>
            </w:r>
          </w:p>
        </w:tc>
        <w:tc>
          <w:tcPr>
            <w:tcW w:w="1541" w:type="dxa"/>
            <w:vAlign w:val="top"/>
          </w:tcPr>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-0.7</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-1.45</w:t>
            </w:r>
          </w:p>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-8.7</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-8.7 to -0.7</w:t>
            </w:r>
          </w:p>
        </w:tc>
      </w:tr>
      <w:tr w:rsidR="00064B85" w:rsidRPr="00720FB8" w:rsidTr="0044225D">
        <w:tc>
          <w:tcPr>
            <w:cnfStyle w:val="001000000000" w:firstRow="0" w:lastRow="0" w:firstColumn="1" w:lastColumn="0" w:oddVBand="0" w:evenVBand="0" w:oddHBand="0" w:evenHBand="0" w:firstRowFirstColumn="0" w:firstRowLastColumn="0" w:lastRowFirstColumn="0" w:lastRowLastColumn="0"/>
            <w:tcW w:w="1540" w:type="dxa"/>
          </w:tcPr>
          <w:p w:rsidR="00064B85" w:rsidRDefault="00064B85" w:rsidP="0044225D">
            <w:pPr>
              <w:pStyle w:val="AERbodytext"/>
              <w:spacing w:before="0"/>
            </w:pPr>
            <w:r w:rsidRPr="00BA4850">
              <w:rPr>
                <w:rStyle w:val="AERtextbold"/>
              </w:rPr>
              <w:t xml:space="preserve">Steel </w:t>
            </w:r>
          </w:p>
          <w:p w:rsidR="00064B85" w:rsidRPr="00B44575" w:rsidRDefault="00064B85" w:rsidP="0044225D">
            <w:pPr>
              <w:pStyle w:val="AERbodytext"/>
              <w:rPr>
                <w:rStyle w:val="AERtextitalic"/>
              </w:rPr>
            </w:pPr>
            <w:r w:rsidRPr="00B44575">
              <w:rPr>
                <w:rStyle w:val="AERtextitalic"/>
              </w:rPr>
              <w:t>CEG</w:t>
            </w:r>
          </w:p>
          <w:p w:rsidR="00064B85" w:rsidRPr="00B44575" w:rsidRDefault="00064B85" w:rsidP="0044225D">
            <w:pPr>
              <w:pStyle w:val="AERbodytext"/>
              <w:rPr>
                <w:rStyle w:val="AERtextitalic"/>
              </w:rPr>
            </w:pPr>
            <w:r w:rsidRPr="00B44575">
              <w:rPr>
                <w:rStyle w:val="AERtextitalic"/>
              </w:rPr>
              <w:t>SKM</w:t>
            </w:r>
          </w:p>
          <w:p w:rsidR="00064B85" w:rsidRPr="00682F58" w:rsidRDefault="00064B85" w:rsidP="0044225D">
            <w:pPr>
              <w:pStyle w:val="AERbodytext"/>
              <w:rPr>
                <w:rStyle w:val="AERsuperscript"/>
                <w:i/>
                <w:vertAlign w:val="baseline"/>
              </w:rPr>
            </w:pPr>
            <w:r w:rsidRPr="00B44575">
              <w:rPr>
                <w:rStyle w:val="AERtextitalic"/>
              </w:rPr>
              <w:t>BIS Shrapnel</w:t>
            </w:r>
            <w:r>
              <w:rPr>
                <w:rStyle w:val="AERsuperscript"/>
              </w:rPr>
              <w:t>1</w:t>
            </w:r>
          </w:p>
          <w:p w:rsidR="00064B85" w:rsidRPr="00B44575" w:rsidRDefault="00064B85" w:rsidP="0044225D">
            <w:pPr>
              <w:pStyle w:val="AERbodytext"/>
              <w:rPr>
                <w:rStyle w:val="AERtextitalic"/>
              </w:rPr>
            </w:pPr>
            <w:r>
              <w:rPr>
                <w:rStyle w:val="AERtextitalic"/>
              </w:rPr>
              <w:t>Range (low to high)</w:t>
            </w:r>
          </w:p>
        </w:tc>
        <w:tc>
          <w:tcPr>
            <w:tcW w:w="1540" w:type="dxa"/>
            <w:vAlign w:val="top"/>
          </w:tcPr>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0.6</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2.84</w:t>
            </w:r>
          </w:p>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5.1</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0.6 to 5.1</w:t>
            </w:r>
          </w:p>
        </w:tc>
        <w:tc>
          <w:tcPr>
            <w:tcW w:w="1540" w:type="dxa"/>
            <w:vAlign w:val="top"/>
          </w:tcPr>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3.2</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2.45</w:t>
            </w:r>
          </w:p>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1.0</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1.0 to 3.2</w:t>
            </w:r>
          </w:p>
        </w:tc>
        <w:tc>
          <w:tcPr>
            <w:tcW w:w="1540" w:type="dxa"/>
            <w:vAlign w:val="top"/>
          </w:tcPr>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0.6</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-0.35</w:t>
            </w:r>
          </w:p>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-0.2</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-0.35 to 0.6</w:t>
            </w:r>
          </w:p>
        </w:tc>
        <w:tc>
          <w:tcPr>
            <w:tcW w:w="1541" w:type="dxa"/>
            <w:vAlign w:val="top"/>
          </w:tcPr>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0.3</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0.38</w:t>
            </w:r>
          </w:p>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8.0</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0.3 to 8.0</w:t>
            </w:r>
          </w:p>
        </w:tc>
        <w:tc>
          <w:tcPr>
            <w:tcW w:w="1541" w:type="dxa"/>
            <w:vAlign w:val="top"/>
          </w:tcPr>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-0.1</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-1.11</w:t>
            </w:r>
          </w:p>
          <w:p w:rsidR="00064B85"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-8.9</w:t>
            </w:r>
          </w:p>
          <w:p w:rsidR="00064B85" w:rsidRPr="00D42FEF" w:rsidRDefault="00064B85" w:rsidP="0044225D">
            <w:pPr>
              <w:pStyle w:val="AERbodytext"/>
              <w:cnfStyle w:val="000000000000" w:firstRow="0" w:lastRow="0" w:firstColumn="0" w:lastColumn="0" w:oddVBand="0" w:evenVBand="0" w:oddHBand="0" w:evenHBand="0" w:firstRowFirstColumn="0" w:firstRowLastColumn="0" w:lastRowFirstColumn="0" w:lastRowLastColumn="0"/>
            </w:pPr>
            <w:r>
              <w:t>-0.1 to -8.9</w:t>
            </w:r>
          </w:p>
        </w:tc>
      </w:tr>
      <w:tr w:rsidR="00064B85" w:rsidRPr="00720FB8" w:rsidTr="004422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064B85" w:rsidRPr="001823B6" w:rsidRDefault="00064B85" w:rsidP="0044225D">
            <w:pPr>
              <w:pStyle w:val="AERbodytext"/>
              <w:spacing w:before="0"/>
              <w:rPr>
                <w:rStyle w:val="AERtextbold"/>
              </w:rPr>
            </w:pPr>
            <w:r w:rsidRPr="001823B6">
              <w:rPr>
                <w:rStyle w:val="AERtextbold"/>
              </w:rPr>
              <w:t xml:space="preserve">Oil </w:t>
            </w:r>
          </w:p>
          <w:p w:rsidR="00064B85" w:rsidRPr="00B44575" w:rsidRDefault="00064B85" w:rsidP="0044225D">
            <w:pPr>
              <w:pStyle w:val="AERbodytext"/>
              <w:rPr>
                <w:rStyle w:val="AERtextitalic"/>
              </w:rPr>
            </w:pPr>
            <w:r w:rsidRPr="00B44575">
              <w:rPr>
                <w:rStyle w:val="AERtextitalic"/>
              </w:rPr>
              <w:t>CEG</w:t>
            </w:r>
          </w:p>
          <w:p w:rsidR="00064B85" w:rsidRPr="00B44575" w:rsidRDefault="00064B85" w:rsidP="0044225D">
            <w:pPr>
              <w:pStyle w:val="AERbodytext"/>
              <w:rPr>
                <w:rStyle w:val="AERtextitalic"/>
              </w:rPr>
            </w:pPr>
            <w:r w:rsidRPr="00B44575">
              <w:rPr>
                <w:rStyle w:val="AERtextitalic"/>
              </w:rPr>
              <w:t>SKM</w:t>
            </w:r>
          </w:p>
          <w:p w:rsidR="00064B85" w:rsidRPr="00682F58" w:rsidRDefault="00064B85" w:rsidP="0044225D">
            <w:pPr>
              <w:pStyle w:val="AERbodytext"/>
              <w:rPr>
                <w:rStyle w:val="AERsuperscript"/>
                <w:i/>
                <w:vertAlign w:val="baseline"/>
              </w:rPr>
            </w:pPr>
            <w:r w:rsidRPr="00B44575">
              <w:rPr>
                <w:rStyle w:val="AERtextitalic"/>
              </w:rPr>
              <w:t>BIS Shrapnel</w:t>
            </w:r>
            <w:r>
              <w:rPr>
                <w:rStyle w:val="AERsuperscript"/>
              </w:rPr>
              <w:t>2</w:t>
            </w:r>
          </w:p>
          <w:p w:rsidR="00064B85" w:rsidRPr="00B44575" w:rsidRDefault="00064B85" w:rsidP="0044225D">
            <w:pPr>
              <w:pStyle w:val="AERbodytext"/>
              <w:rPr>
                <w:rStyle w:val="AERtextitalic"/>
              </w:rPr>
            </w:pPr>
            <w:r>
              <w:rPr>
                <w:rStyle w:val="AERtextitalic"/>
              </w:rPr>
              <w:t>Range (low to high)</w:t>
            </w:r>
          </w:p>
        </w:tc>
        <w:tc>
          <w:tcPr>
            <w:tcW w:w="1540" w:type="dxa"/>
            <w:vAlign w:val="top"/>
          </w:tcPr>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-0.5</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-5.11</w:t>
            </w:r>
          </w:p>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1.4</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-5.11 to 1.4</w:t>
            </w:r>
          </w:p>
        </w:tc>
        <w:tc>
          <w:tcPr>
            <w:tcW w:w="1540" w:type="dxa"/>
            <w:vAlign w:val="top"/>
          </w:tcPr>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2.8</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-0.79</w:t>
            </w:r>
          </w:p>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-1.1</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-1.1 to 2.8</w:t>
            </w:r>
          </w:p>
        </w:tc>
        <w:tc>
          <w:tcPr>
            <w:tcW w:w="1540" w:type="dxa"/>
            <w:vAlign w:val="top"/>
          </w:tcPr>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2.6</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0.74</w:t>
            </w:r>
          </w:p>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-0.2</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-0.2 to 2.6</w:t>
            </w:r>
          </w:p>
        </w:tc>
        <w:tc>
          <w:tcPr>
            <w:tcW w:w="1541" w:type="dxa"/>
            <w:vAlign w:val="top"/>
          </w:tcPr>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2.1</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1.85</w:t>
            </w:r>
          </w:p>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6.5</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1.85 to 6.5</w:t>
            </w:r>
          </w:p>
        </w:tc>
        <w:tc>
          <w:tcPr>
            <w:tcW w:w="1541" w:type="dxa"/>
            <w:vAlign w:val="top"/>
          </w:tcPr>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1.8</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0.51</w:t>
            </w:r>
          </w:p>
          <w:p w:rsidR="00064B85"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-6.2</w:t>
            </w:r>
          </w:p>
          <w:p w:rsidR="00064B85" w:rsidRPr="00D42FEF" w:rsidRDefault="00064B85" w:rsidP="0044225D">
            <w:pPr>
              <w:pStyle w:val="AERbodytext"/>
              <w:cnfStyle w:val="000000010000" w:firstRow="0" w:lastRow="0" w:firstColumn="0" w:lastColumn="0" w:oddVBand="0" w:evenVBand="0" w:oddHBand="0" w:evenHBand="1" w:firstRowFirstColumn="0" w:firstRowLastColumn="0" w:lastRowFirstColumn="0" w:lastRowLastColumn="0"/>
            </w:pPr>
            <w:r>
              <w:t>-6.2 to 1.8</w:t>
            </w:r>
          </w:p>
        </w:tc>
      </w:tr>
    </w:tbl>
    <w:p w:rsidR="00064B85" w:rsidRDefault="00064B85" w:rsidP="00064B85">
      <w:pPr>
        <w:pStyle w:val="AERtablesource"/>
      </w:pPr>
      <w:r w:rsidRPr="00720FB8">
        <w:t>Source:</w:t>
      </w:r>
      <w:r w:rsidRPr="00720FB8">
        <w:tab/>
      </w:r>
      <w:r>
        <w:t xml:space="preserve">CEG, </w:t>
      </w:r>
      <w:r w:rsidRPr="00F30906">
        <w:rPr>
          <w:rStyle w:val="AERtextitalic"/>
        </w:rPr>
        <w:t>Escalation factors affecting expenditure forecasts</w:t>
      </w:r>
      <w:r>
        <w:t xml:space="preserve">, December 2013, pp. 21, 24 and 27, 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xml:space="preserve">, 9 December 2013, p. 2 and BIS Shrapnel, </w:t>
      </w:r>
      <w:r w:rsidRPr="008D406C">
        <w:rPr>
          <w:rStyle w:val="AERtextitalic"/>
        </w:rPr>
        <w:t>Real Labour and Material Cost Escalation Forecasts to 2019/20 - Australia and New South Wales</w:t>
      </w:r>
      <w:r>
        <w:t>, April 2014, p. iii.</w:t>
      </w:r>
    </w:p>
    <w:p w:rsidR="00064B85" w:rsidRPr="001A021B" w:rsidRDefault="00064B85" w:rsidP="00064B85">
      <w:pPr>
        <w:pStyle w:val="AERtablesource"/>
      </w:pPr>
    </w:p>
    <w:p w:rsidR="00064B85" w:rsidRDefault="00064B85" w:rsidP="00064B85">
      <w:pPr>
        <w:pStyle w:val="AERtablesource"/>
      </w:pPr>
      <w:r>
        <w:rPr>
          <w:rStyle w:val="AERsuperscript"/>
        </w:rPr>
        <w:lastRenderedPageBreak/>
        <w:t xml:space="preserve">1 </w:t>
      </w:r>
      <w:r w:rsidRPr="00735F2C">
        <w:t>Asian market price as BIS Shrapnel believes the Asia market is more appropriate.</w:t>
      </w:r>
      <w:r>
        <w:rPr>
          <w:rStyle w:val="FootnoteReference"/>
        </w:rPr>
        <w:footnoteReference w:id="178"/>
      </w:r>
    </w:p>
    <w:p w:rsidR="00064B85" w:rsidRPr="00735F2C" w:rsidRDefault="00064B85" w:rsidP="00064B85">
      <w:pPr>
        <w:pStyle w:val="AERtabletextleft"/>
      </w:pPr>
      <w:r>
        <w:rPr>
          <w:rStyle w:val="AERsuperscript"/>
        </w:rPr>
        <w:t xml:space="preserve">2 </w:t>
      </w:r>
      <w:r w:rsidRPr="00735F2C">
        <w:t xml:space="preserve">BIS Shrapnel have forecast plastics prices based on price changes in Nylon-11 and HDPE (Polyethylene). BIS Shrapnel state </w:t>
      </w:r>
      <w:r>
        <w:t>t</w:t>
      </w:r>
      <w:r w:rsidRPr="00735F2C">
        <w:t>hat Castor Oil is the key raw material of Nylon-11 and because it does not have any historical data on Castor Oil, it has approximated Nylon-11 by using HDPE growth rates. HDPE (Polyethylene) prices are proxied by BIS Shrapnel using Manufacturing Wages, General Materials, and Thermoplastic Resin prices. BIS Shrapnel state that Thermoplastic Resin is primarily driven by Crude Oil.</w:t>
      </w:r>
      <w:r>
        <w:rPr>
          <w:rStyle w:val="FootnoteReference"/>
        </w:rPr>
        <w:footnoteReference w:id="179"/>
      </w:r>
    </w:p>
    <w:p w:rsidR="00064B85" w:rsidRDefault="00064B85" w:rsidP="00064B85">
      <w:pPr>
        <w:pStyle w:val="AERbodytext"/>
        <w:numPr>
          <w:ilvl w:val="0"/>
          <w:numId w:val="0"/>
        </w:numPr>
      </w:pPr>
      <w:r>
        <w:t xml:space="preserve">As </w:t>
      </w:r>
      <w:r>
        <w:fldChar w:fldCharType="begin"/>
      </w:r>
      <w:r>
        <w:instrText xml:space="preserve"> REF _Ref404076397 \h </w:instrText>
      </w:r>
      <w:r>
        <w:fldChar w:fldCharType="separate"/>
      </w:r>
      <w:r w:rsidR="00A92442">
        <w:t xml:space="preserve">Table </w:t>
      </w:r>
      <w:r w:rsidR="00A92442">
        <w:rPr>
          <w:noProof/>
        </w:rPr>
        <w:t>A</w:t>
      </w:r>
      <w:r w:rsidR="00A92442">
        <w:t>.</w:t>
      </w:r>
      <w:r w:rsidR="00A92442">
        <w:rPr>
          <w:noProof/>
        </w:rPr>
        <w:t>2</w:t>
      </w:r>
      <w:r>
        <w:fldChar w:fldCharType="end"/>
      </w:r>
      <w:r>
        <w:t xml:space="preserve"> shows, there is considerable variation between the consultant’s commodities escalation forecasts. The greatest margin of variation is 10.1 per cent for aluminium in 2018-19, where CEG has forecast a real price increase of 3.6 per cent and BIS Shrapnel a real price decrease of 6.5 per cent. BIS Shrapnel’s forecasts exhibit the greatest margin of variation but there also considerable variation between CEG and SKM’s forecasts. These forecast divergences between consultants further demonstrate </w:t>
      </w:r>
      <w:r w:rsidRPr="007B29FD">
        <w:t xml:space="preserve">the uncertainty in the modelling of material input cost escalators to reliably and accurately estimate the prices of intermediate outputs used by </w:t>
      </w:r>
      <w:r>
        <w:t>service providers</w:t>
      </w:r>
      <w:r w:rsidRPr="007B29FD">
        <w:t xml:space="preserve"> to provide network services.</w:t>
      </w:r>
      <w:r>
        <w:t xml:space="preserve"> This supports our view that JGN's </w:t>
      </w:r>
      <w:r>
        <w:rPr>
          <w:rStyle w:val="AERbody"/>
        </w:rPr>
        <w:t>forecast</w:t>
      </w:r>
      <w:r w:rsidRPr="00D434F1">
        <w:rPr>
          <w:rStyle w:val="AERbody"/>
        </w:rPr>
        <w:t xml:space="preserve"> real material cost escalators </w:t>
      </w:r>
      <w:r w:rsidRPr="003B6C74">
        <w:t xml:space="preserve">are </w:t>
      </w:r>
      <w:r>
        <w:t xml:space="preserve">not </w:t>
      </w:r>
      <w:r w:rsidRPr="003B6C74">
        <w:t xml:space="preserve">arrived at on a reasonable basis, and are </w:t>
      </w:r>
      <w:r>
        <w:t xml:space="preserve">not </w:t>
      </w:r>
      <w:r w:rsidRPr="003B6C74">
        <w:t>the best forecast possible in the circumstances</w:t>
      </w:r>
      <w:r w:rsidRPr="003B6C74">
        <w:rPr>
          <w:rStyle w:val="AERsuperscript"/>
        </w:rPr>
        <w:footnoteReference w:id="180"/>
      </w:r>
      <w:r w:rsidRPr="003B6C74">
        <w:t xml:space="preserve"> </w:t>
      </w:r>
      <w:r>
        <w:t xml:space="preserve">and do not </w:t>
      </w:r>
      <w:r>
        <w:rPr>
          <w:rStyle w:val="AERbody"/>
        </w:rPr>
        <w:t>meet the capital expenditure criteria</w:t>
      </w:r>
      <w:r w:rsidRPr="00D434F1">
        <w:rPr>
          <w:rStyle w:val="AERbody"/>
        </w:rPr>
        <w:t>.</w:t>
      </w:r>
      <w:r w:rsidRPr="00D434F1">
        <w:rPr>
          <w:rStyle w:val="AERsuperscript"/>
        </w:rPr>
        <w:footnoteReference w:id="181"/>
      </w:r>
    </w:p>
    <w:p w:rsidR="00064B85" w:rsidRDefault="00064B85" w:rsidP="00064B85">
      <w:pPr>
        <w:pStyle w:val="Heading8"/>
      </w:pPr>
      <w:bookmarkStart w:id="75" w:name="_Toc404676609"/>
      <w:bookmarkStart w:id="76" w:name="_Ref404676881"/>
      <w:r>
        <w:t>Conclusions on materials cost escalation</w:t>
      </w:r>
      <w:bookmarkEnd w:id="75"/>
      <w:bookmarkEnd w:id="76"/>
    </w:p>
    <w:p w:rsidR="00064B85" w:rsidRDefault="00064B85" w:rsidP="00064B85">
      <w:pPr>
        <w:pStyle w:val="AERbodytext"/>
        <w:numPr>
          <w:ilvl w:val="0"/>
          <w:numId w:val="0"/>
        </w:numPr>
      </w:pPr>
      <w:r>
        <w:t xml:space="preserve">We are not satisfied </w:t>
      </w:r>
      <w:r w:rsidRPr="00B102E1">
        <w:t xml:space="preserve">that </w:t>
      </w:r>
      <w:r>
        <w:t xml:space="preserve">JGN </w:t>
      </w:r>
      <w:r w:rsidRPr="00B102E1">
        <w:t>ha</w:t>
      </w:r>
      <w:r>
        <w:t>s</w:t>
      </w:r>
      <w:r w:rsidRPr="00B102E1">
        <w:t xml:space="preserve"> demonstrate</w:t>
      </w:r>
      <w:r>
        <w:t>d</w:t>
      </w:r>
      <w:r w:rsidRPr="00B102E1">
        <w:t xml:space="preserve"> that the weightings applied to the intermediate inputs have produced unbiased forecasts of the </w:t>
      </w:r>
      <w:r>
        <w:t>movement in the prices</w:t>
      </w:r>
      <w:r w:rsidRPr="00B102E1">
        <w:t xml:space="preserve"> </w:t>
      </w:r>
      <w:r>
        <w:t>it</w:t>
      </w:r>
      <w:r w:rsidRPr="00B102E1">
        <w:t xml:space="preserve"> </w:t>
      </w:r>
      <w:r>
        <w:t xml:space="preserve">expects to </w:t>
      </w:r>
      <w:r w:rsidRPr="00B102E1">
        <w:t>pay</w:t>
      </w:r>
      <w:r>
        <w:t xml:space="preserve"> </w:t>
      </w:r>
      <w:r w:rsidRPr="00B102E1">
        <w:t xml:space="preserve">for </w:t>
      </w:r>
      <w:r>
        <w:t>its physical assets</w:t>
      </w:r>
      <w:r w:rsidRPr="00B102E1">
        <w:t xml:space="preserve">. </w:t>
      </w:r>
      <w:r>
        <w:t xml:space="preserve">In particular, JGN </w:t>
      </w:r>
      <w:r w:rsidRPr="00B102E1">
        <w:t>ha</w:t>
      </w:r>
      <w:r>
        <w:t>s</w:t>
      </w:r>
      <w:r w:rsidRPr="00B102E1">
        <w:t xml:space="preserve"> not provided sufficient evidence to show that the changes in the prices of the </w:t>
      </w:r>
      <w:r>
        <w:t>assets</w:t>
      </w:r>
      <w:r w:rsidRPr="00B102E1">
        <w:t xml:space="preserve"> they purchase are highly correlated to changes in raw material inputs. </w:t>
      </w:r>
    </w:p>
    <w:p w:rsidR="00064B85" w:rsidRPr="0050035A" w:rsidRDefault="00064B85" w:rsidP="00064B85">
      <w:r w:rsidRPr="003558BD">
        <w:t>The consultant's reports to the service providers identified a number of factors which are consistent with our view that JGN's capex forecast model has not demonstrated how and to what extent material inputs are likely to affect the cost of intermediate outputs. BIS Shrapnel assumed that for general materials such as stationary, office furniture, electricity, water, fuel and rent the average price increase would be similar to consumer price inflation and that the appropriate cost escalator for general materials is the CPI.</w:t>
      </w:r>
      <w:r w:rsidRPr="003558BD">
        <w:rPr>
          <w:rStyle w:val="AERsuperscript"/>
        </w:rPr>
        <w:footnoteReference w:id="182"/>
      </w:r>
      <w:r w:rsidRPr="003558BD">
        <w:t xml:space="preserve"> CEG in its report stated that futures prices are unlikely to exactly predict future spot prices given that all manner of unexpected events can occur.</w:t>
      </w:r>
      <w:r w:rsidRPr="003558BD">
        <w:rPr>
          <w:rStyle w:val="AERsuperscript"/>
        </w:rPr>
        <w:footnoteReference w:id="183"/>
      </w:r>
      <w:r w:rsidRPr="003558BD">
        <w:t xml:space="preserve"> CEG also stated that while futures prices and forecasts today may well be a very precise estimate of current expectations of the future, they are at best an imprecise estimate of future values.</w:t>
      </w:r>
      <w:r w:rsidRPr="003558BD">
        <w:rPr>
          <w:rStyle w:val="AERsuperscript"/>
        </w:rPr>
        <w:footnoteReference w:id="184"/>
      </w:r>
      <w:r>
        <w:t xml:space="preserve"> </w:t>
      </w:r>
      <w:r w:rsidRPr="00EB43CA">
        <w:t xml:space="preserve">BIS Shrapnel </w:t>
      </w:r>
      <w:r>
        <w:t xml:space="preserve">also </w:t>
      </w:r>
      <w:r w:rsidRPr="00EB43CA">
        <w:t>stated that exchange rate forecasts are not authoritative over the long term.</w:t>
      </w:r>
      <w:r w:rsidRPr="00EB43CA">
        <w:rPr>
          <w:rStyle w:val="AERsuperscript"/>
        </w:rPr>
        <w:footnoteReference w:id="185"/>
      </w:r>
    </w:p>
    <w:p w:rsidR="00064B85" w:rsidRDefault="00064B85" w:rsidP="00064B85">
      <w:pPr>
        <w:pStyle w:val="AERbodytext"/>
        <w:numPr>
          <w:ilvl w:val="0"/>
          <w:numId w:val="0"/>
        </w:numPr>
      </w:pPr>
      <w:r>
        <w:t>R</w:t>
      </w:r>
      <w:r w:rsidRPr="0050035A">
        <w:t xml:space="preserve">ecent reviews of commodity price movements show mixed results for commodity price forecasts based on futures prices. </w:t>
      </w:r>
      <w:r>
        <w:t>Further</w:t>
      </w:r>
      <w:r w:rsidRPr="0050035A">
        <w:t>, nominal exchange rates are in general extremely difficult to forecast and based on the economic literature of a review of exchange rate forecast models, a “no change” forecasting approach may be preferable</w:t>
      </w:r>
      <w:r>
        <w:t>.</w:t>
      </w:r>
      <w:r w:rsidRPr="0050035A">
        <w:t xml:space="preserve"> </w:t>
      </w:r>
    </w:p>
    <w:p w:rsidR="00064B85" w:rsidRDefault="00064B85" w:rsidP="00064B85">
      <w:pPr>
        <w:pStyle w:val="AERbodytext"/>
      </w:pPr>
      <w:r w:rsidRPr="00DC670F">
        <w:lastRenderedPageBreak/>
        <w:t xml:space="preserve">It </w:t>
      </w:r>
      <w:r>
        <w:t xml:space="preserve">is our view that </w:t>
      </w:r>
      <w:r w:rsidRPr="00DC670F">
        <w:t xml:space="preserve">where </w:t>
      </w:r>
      <w:r>
        <w:t>we are not</w:t>
      </w:r>
      <w:r w:rsidRPr="00DC670F">
        <w:t xml:space="preserve"> satisfied that a forecast of real cost escalation for </w:t>
      </w:r>
      <w:r>
        <w:t>materials</w:t>
      </w:r>
      <w:r w:rsidRPr="00DC670F">
        <w:t xml:space="preserve"> is robust, and </w:t>
      </w:r>
      <w:r>
        <w:t xml:space="preserve">we </w:t>
      </w:r>
      <w:r w:rsidRPr="00DC670F">
        <w:t xml:space="preserve">cannot determine a robust alternative forecast, </w:t>
      </w:r>
      <w:r>
        <w:t xml:space="preserve">then real cost escalation should not be applied in determining a service provider's required capital expenditure. We accept that there is </w:t>
      </w:r>
      <w:r w:rsidRPr="006668C6">
        <w:t xml:space="preserve">uncertainty in estimating </w:t>
      </w:r>
      <w:r>
        <w:t xml:space="preserve">real cost </w:t>
      </w:r>
      <w:r w:rsidRPr="006668C6">
        <w:t xml:space="preserve">changes </w:t>
      </w:r>
      <w:r>
        <w:t xml:space="preserve">but we consider </w:t>
      </w:r>
      <w:r w:rsidRPr="00AC177C">
        <w:t xml:space="preserve">the degree of the potential inaccuracy of commodities forecasts is such that </w:t>
      </w:r>
      <w:r>
        <w:t xml:space="preserve">there should be no escalation </w:t>
      </w:r>
      <w:r w:rsidRPr="00AC177C">
        <w:t>for the price of input materials</w:t>
      </w:r>
      <w:r w:rsidRPr="00AC177C">
        <w:rPr>
          <w:rFonts w:eastAsia="Calibri"/>
        </w:rPr>
        <w:t xml:space="preserve"> </w:t>
      </w:r>
      <w:r w:rsidRPr="00AC177C">
        <w:t xml:space="preserve">used by </w:t>
      </w:r>
      <w:r>
        <w:t>JGN</w:t>
      </w:r>
      <w:r w:rsidRPr="00AC177C">
        <w:t xml:space="preserve"> to provide network services</w:t>
      </w:r>
      <w:r>
        <w:t>.</w:t>
      </w:r>
    </w:p>
    <w:p w:rsidR="00064B85" w:rsidRPr="003641EA" w:rsidRDefault="00064B85" w:rsidP="00064B85">
      <w:pPr>
        <w:pStyle w:val="AERbodytext"/>
      </w:pPr>
      <w:r>
        <w:t>In previous AER decisions, namely our Final Decisions for Envestra's Queensland and South Australian gas networks</w:t>
      </w:r>
      <w:r w:rsidRPr="003641EA">
        <w:t xml:space="preserve">, </w:t>
      </w:r>
      <w:r>
        <w:t>we</w:t>
      </w:r>
      <w:r w:rsidRPr="003641EA">
        <w:t xml:space="preserve"> </w:t>
      </w:r>
      <w:r>
        <w:t>took a similar approach. This was on the basis</w:t>
      </w:r>
      <w:r w:rsidRPr="003641EA">
        <w:t xml:space="preserve"> that </w:t>
      </w:r>
      <w:r>
        <w:t>as all of Envestra's real costs are escalated annually by CPI under its tariff variation mechanism, CPI must inform the AER's underlying assumptions about Envestra's overall input costs. Consistent with this, we applied zero real cost escalation and by default Envestra's input costs were escalated by CPI in the absence of a viable and robust alternative. Likewise, for JGN, we consider that in the absence of a well-founded materials cost escalation forecast, escalating real costs annually by the CPI is the better alternative that will contribute to a total forecast capex that reasonably reflects the capex criteria.</w:t>
      </w:r>
    </w:p>
    <w:p w:rsidR="00064B85" w:rsidRDefault="00064B85" w:rsidP="00064B85">
      <w:pPr>
        <w:pStyle w:val="AERbodytext"/>
      </w:pPr>
      <w:r>
        <w:rPr>
          <w:rStyle w:val="AERbody"/>
        </w:rPr>
        <w:t xml:space="preserve">The </w:t>
      </w:r>
      <w:r w:rsidRPr="008D661C">
        <w:t xml:space="preserve">CPI </w:t>
      </w:r>
      <w:r>
        <w:t xml:space="preserve">can be used </w:t>
      </w:r>
      <w:r w:rsidRPr="008D661C">
        <w:t xml:space="preserve">to account for </w:t>
      </w:r>
      <w:r>
        <w:t>the</w:t>
      </w:r>
      <w:r w:rsidRPr="008D661C">
        <w:t xml:space="preserve"> cost items </w:t>
      </w:r>
      <w:r>
        <w:t>for</w:t>
      </w:r>
      <w:r w:rsidRPr="008D661C">
        <w:t xml:space="preserve"> equipment whose price trend cannot be conclusively explained by the movement of commodities prices</w:t>
      </w:r>
      <w:r>
        <w:t>.</w:t>
      </w:r>
      <w:r w:rsidRPr="00851E2F">
        <w:t xml:space="preserve"> </w:t>
      </w:r>
      <w:r>
        <w:t>This approach is consistent with the revenue and pricing principles of the NGL which provide that a regulated network service provider should be provided with a reasonable opportunity to recover at least the efficient costs it incurs in providing direct control network services.</w:t>
      </w:r>
      <w:r>
        <w:rPr>
          <w:rStyle w:val="FootnoteReference"/>
        </w:rPr>
        <w:footnoteReference w:id="186"/>
      </w:r>
    </w:p>
    <w:p w:rsidR="00064B85" w:rsidRDefault="00064B85" w:rsidP="00064B85">
      <w:pPr>
        <w:pStyle w:val="Heading8"/>
      </w:pPr>
      <w:bookmarkStart w:id="77" w:name="_Toc404676610"/>
      <w:r>
        <w:t>Labour and construction escalators</w:t>
      </w:r>
      <w:bookmarkEnd w:id="77"/>
    </w:p>
    <w:p w:rsidR="00064B85" w:rsidRPr="002B17C5" w:rsidRDefault="00064B85" w:rsidP="00064B85">
      <w:pPr>
        <w:pStyle w:val="AERbodytext"/>
      </w:pPr>
      <w:r>
        <w:t xml:space="preserve">Our </w:t>
      </w:r>
      <w:r w:rsidRPr="002B17C5">
        <w:t xml:space="preserve">approach to real materials cost escalation does not affect the application of labour cost escalators, which will continue to apply to </w:t>
      </w:r>
      <w:r>
        <w:t>reference</w:t>
      </w:r>
      <w:r w:rsidRPr="002B17C5">
        <w:t xml:space="preserve"> services capital and operating expenditure. </w:t>
      </w:r>
    </w:p>
    <w:p w:rsidR="00064B85" w:rsidRPr="002B17C5" w:rsidRDefault="00064B85" w:rsidP="00064B85">
      <w:pPr>
        <w:pStyle w:val="AERbodytext"/>
      </w:pPr>
      <w:r>
        <w:t>We</w:t>
      </w:r>
      <w:r w:rsidRPr="002B17C5">
        <w:t xml:space="preserve"> consider that labour cost escalation more reasonably reflects a realistic expectation of the cost inputs required to achieve the capex objectives</w:t>
      </w:r>
      <w:r>
        <w:t>.</w:t>
      </w:r>
      <w:r>
        <w:rPr>
          <w:rStyle w:val="FootnoteReference"/>
        </w:rPr>
        <w:footnoteReference w:id="187"/>
      </w:r>
      <w:r w:rsidRPr="002B17C5">
        <w:t xml:space="preserve"> </w:t>
      </w:r>
      <w:r>
        <w:t>We</w:t>
      </w:r>
      <w:r w:rsidRPr="002B17C5">
        <w:t xml:space="preserve"> consider that real labour cost escalators can be more reliably and robustly forecast than material input cost escalators, in part because these are not intermediate inputs and productivity improvements </w:t>
      </w:r>
      <w:r>
        <w:t>have been</w:t>
      </w:r>
      <w:r w:rsidRPr="002B17C5">
        <w:t xml:space="preserve"> factored into the analysis</w:t>
      </w:r>
      <w:r>
        <w:t xml:space="preserve"> (refer to the opex attachment)</w:t>
      </w:r>
      <w:r w:rsidRPr="002B17C5">
        <w:t xml:space="preserve">. </w:t>
      </w:r>
    </w:p>
    <w:p w:rsidR="00C707F9" w:rsidRPr="00343857" w:rsidRDefault="00064B85" w:rsidP="00086FFA">
      <w:pPr>
        <w:pStyle w:val="AERbodytext"/>
        <w:numPr>
          <w:ilvl w:val="0"/>
          <w:numId w:val="0"/>
        </w:numPr>
      </w:pPr>
      <w:r>
        <w:t>Further details on our consideration of labour cost escalators are discussed in section 7.5.3 of this decision.</w:t>
      </w:r>
      <w:bookmarkEnd w:id="59"/>
    </w:p>
    <w:sectPr w:rsidR="00C707F9" w:rsidRPr="00343857" w:rsidSect="00DC1055">
      <w:footerReference w:type="even" r:id="rId13"/>
      <w:footerReference w:type="default" r:id="rId14"/>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25D" w:rsidRPr="00AB4345" w:rsidRDefault="0044225D" w:rsidP="00AB4345">
      <w:r>
        <w:separator/>
      </w:r>
    </w:p>
  </w:endnote>
  <w:endnote w:type="continuationSeparator" w:id="0">
    <w:p w:rsidR="0044225D" w:rsidRPr="00AB4345" w:rsidRDefault="0044225D"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44225D" w:rsidRPr="00824CC8" w:rsidRDefault="0044225D" w:rsidP="00824CC8">
        <w:pPr>
          <w:pStyle w:val="Footer"/>
        </w:pPr>
        <w:r w:rsidRPr="00824CC8">
          <w:fldChar w:fldCharType="begin"/>
        </w:r>
        <w:r w:rsidRPr="00824CC8">
          <w:instrText xml:space="preserve"> PAGE   \* MERGEFORMAT </w:instrText>
        </w:r>
        <w:r w:rsidRPr="00824CC8">
          <w:fldChar w:fldCharType="separate"/>
        </w:r>
        <w:r w:rsidR="00923ACA">
          <w:rPr>
            <w:noProof/>
          </w:rPr>
          <w:t>6-58</w:t>
        </w:r>
        <w:r w:rsidRPr="00824CC8">
          <w:fldChar w:fldCharType="end"/>
        </w:r>
        <w:r w:rsidRPr="00824CC8">
          <w:tab/>
        </w:r>
        <w:r>
          <w:rPr>
            <w:rStyle w:val="AERbody"/>
          </w:rPr>
          <w:t xml:space="preserve">Attachment 6 Capital expenditure </w:t>
        </w:r>
        <w:r w:rsidRPr="00824CC8">
          <w:rPr>
            <w:rStyle w:val="AERbody"/>
          </w:rPr>
          <w:t xml:space="preserve">| </w:t>
        </w:r>
        <w:r>
          <w:rPr>
            <w:rStyle w:val="AERbody"/>
          </w:rPr>
          <w:t>Jemena Gas Networks 2015-20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5D" w:rsidRPr="00824CC8" w:rsidRDefault="0044225D" w:rsidP="00824CC8">
    <w:pPr>
      <w:pStyle w:val="Footer"/>
      <w:rPr>
        <w:rStyle w:val="AERbody"/>
      </w:rPr>
    </w:pPr>
    <w:r>
      <w:rPr>
        <w:rStyle w:val="AERbody"/>
      </w:rPr>
      <w:t xml:space="preserve">Jemena Gas Networks 2015-20 </w:t>
    </w:r>
    <w:r w:rsidRPr="00210880">
      <w:rPr>
        <w:rStyle w:val="AERbody"/>
      </w:rPr>
      <w:t xml:space="preserve">| Attachment </w:t>
    </w:r>
    <w:r>
      <w:rPr>
        <w:rStyle w:val="AERbody"/>
      </w:rPr>
      <w:t>6 Capital expenditure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923ACA">
      <w:rPr>
        <w:rStyle w:val="AERbody"/>
        <w:noProof/>
      </w:rPr>
      <w:t>6-59</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25D" w:rsidRPr="00AB4345" w:rsidRDefault="0044225D" w:rsidP="00AB4345">
      <w:r>
        <w:separator/>
      </w:r>
    </w:p>
  </w:footnote>
  <w:footnote w:type="continuationSeparator" w:id="0">
    <w:p w:rsidR="0044225D" w:rsidRPr="00AB4345" w:rsidRDefault="0044225D" w:rsidP="00AB4345">
      <w:r>
        <w:continuationSeparator/>
      </w:r>
    </w:p>
  </w:footnote>
  <w:footnote w:id="1">
    <w:p w:rsidR="0044225D" w:rsidRDefault="0044225D" w:rsidP="00F745EE">
      <w:pPr>
        <w:pStyle w:val="FootnoteText"/>
      </w:pPr>
      <w:r>
        <w:rPr>
          <w:rStyle w:val="FootnoteReference"/>
        </w:rPr>
        <w:footnoteRef/>
      </w:r>
      <w:r>
        <w:t xml:space="preserve"> </w:t>
      </w:r>
      <w:r>
        <w:tab/>
        <w:t>NGR, r. 77(2)(b).</w:t>
      </w:r>
    </w:p>
  </w:footnote>
  <w:footnote w:id="2">
    <w:p w:rsidR="0044225D" w:rsidRDefault="0044225D" w:rsidP="00F745EE">
      <w:pPr>
        <w:pStyle w:val="FootnoteText"/>
      </w:pPr>
      <w:r>
        <w:rPr>
          <w:rStyle w:val="FootnoteReference"/>
        </w:rPr>
        <w:footnoteRef/>
      </w:r>
      <w:r>
        <w:t xml:space="preserve"> </w:t>
      </w:r>
      <w:r>
        <w:tab/>
        <w:t>NGR, r. 79.</w:t>
      </w:r>
    </w:p>
  </w:footnote>
  <w:footnote w:id="3">
    <w:p w:rsidR="0044225D" w:rsidRDefault="0044225D" w:rsidP="00F745EE">
      <w:pPr>
        <w:pStyle w:val="FootnoteText"/>
      </w:pPr>
      <w:r>
        <w:rPr>
          <w:rStyle w:val="FootnoteReference"/>
        </w:rPr>
        <w:footnoteRef/>
      </w:r>
      <w:r>
        <w:t xml:space="preserve"> </w:t>
      </w:r>
      <w:r>
        <w:tab/>
      </w:r>
      <w:r>
        <w:rPr>
          <w:rFonts w:eastAsia="Calibri"/>
        </w:rPr>
        <w:t>NGR, r. 74(2).</w:t>
      </w:r>
    </w:p>
  </w:footnote>
  <w:footnote w:id="4">
    <w:p w:rsidR="0044225D" w:rsidRDefault="0044225D" w:rsidP="00F745EE">
      <w:pPr>
        <w:pStyle w:val="FootnoteText"/>
      </w:pPr>
      <w:r>
        <w:rPr>
          <w:rStyle w:val="FootnoteReference"/>
        </w:rPr>
        <w:footnoteRef/>
      </w:r>
      <w:r>
        <w:t xml:space="preserve"> </w:t>
      </w:r>
      <w:r>
        <w:tab/>
        <w:t>NGR, r. 79(6).</w:t>
      </w:r>
    </w:p>
  </w:footnote>
  <w:footnote w:id="5">
    <w:p w:rsidR="0044225D" w:rsidRDefault="0044225D" w:rsidP="00F745EE">
      <w:pPr>
        <w:pStyle w:val="FootnoteText"/>
      </w:pPr>
      <w:r>
        <w:rPr>
          <w:rStyle w:val="FootnoteReference"/>
        </w:rPr>
        <w:footnoteRef/>
      </w:r>
      <w:r>
        <w:t xml:space="preserve"> </w:t>
      </w:r>
      <w:r>
        <w:tab/>
        <w:t>NGR, r. 40(2).</w:t>
      </w:r>
    </w:p>
  </w:footnote>
  <w:footnote w:id="6">
    <w:p w:rsidR="0044225D" w:rsidRDefault="0044225D" w:rsidP="00F745EE">
      <w:pPr>
        <w:pStyle w:val="FootnoteText"/>
        <w:rPr>
          <w:rFonts w:eastAsia="Calibri"/>
        </w:rPr>
      </w:pPr>
      <w:r>
        <w:rPr>
          <w:rStyle w:val="FootnoteReference"/>
        </w:rPr>
        <w:footnoteRef/>
      </w:r>
      <w:r>
        <w:t xml:space="preserve"> </w:t>
      </w:r>
      <w:r>
        <w:tab/>
      </w:r>
      <w:r>
        <w:rPr>
          <w:rFonts w:eastAsia="Calibri"/>
        </w:rPr>
        <w:t>For instance, r. 74 of the NGR requires estimates and forecasts to be made on a reasonable basis, amongst</w:t>
      </w:r>
    </w:p>
    <w:p w:rsidR="0044225D" w:rsidRDefault="0044225D" w:rsidP="00F745EE">
      <w:pPr>
        <w:pStyle w:val="FootnoteText"/>
      </w:pPr>
      <w:r>
        <w:rPr>
          <w:rFonts w:eastAsia="Calibri"/>
        </w:rPr>
        <w:tab/>
        <w:t>other things.</w:t>
      </w:r>
    </w:p>
  </w:footnote>
  <w:footnote w:id="7">
    <w:p w:rsidR="0044225D" w:rsidRDefault="0044225D" w:rsidP="00F745EE">
      <w:pPr>
        <w:pStyle w:val="FootnoteText"/>
      </w:pPr>
      <w:r>
        <w:rPr>
          <w:rStyle w:val="FootnoteReference"/>
        </w:rPr>
        <w:footnoteRef/>
      </w:r>
      <w:r>
        <w:t xml:space="preserve"> </w:t>
      </w:r>
      <w:r>
        <w:tab/>
      </w:r>
      <w:r>
        <w:rPr>
          <w:rFonts w:eastAsia="Calibri"/>
        </w:rPr>
        <w:t>NGL, s. 28(1).</w:t>
      </w:r>
    </w:p>
  </w:footnote>
  <w:footnote w:id="8">
    <w:p w:rsidR="0044225D" w:rsidRDefault="0044225D" w:rsidP="00F745EE">
      <w:pPr>
        <w:pStyle w:val="FootnoteText"/>
      </w:pPr>
      <w:r>
        <w:rPr>
          <w:rStyle w:val="FootnoteReference"/>
        </w:rPr>
        <w:footnoteRef/>
      </w:r>
      <w:r>
        <w:t xml:space="preserve"> </w:t>
      </w:r>
      <w:r>
        <w:tab/>
        <w:t>NGR, r. 77(2)(a).</w:t>
      </w:r>
    </w:p>
  </w:footnote>
  <w:footnote w:id="9">
    <w:p w:rsidR="0044225D" w:rsidRDefault="0044225D" w:rsidP="00F745EE">
      <w:pPr>
        <w:pStyle w:val="FootnoteText"/>
      </w:pPr>
      <w:r>
        <w:rPr>
          <w:rStyle w:val="FootnoteReference"/>
        </w:rPr>
        <w:footnoteRef/>
      </w:r>
      <w:r>
        <w:t xml:space="preserve"> </w:t>
      </w:r>
      <w:r>
        <w:tab/>
        <w:t>NGR, r. 79.</w:t>
      </w:r>
    </w:p>
  </w:footnote>
  <w:footnote w:id="10">
    <w:p w:rsidR="0044225D" w:rsidRDefault="0044225D" w:rsidP="00F745EE">
      <w:pPr>
        <w:pStyle w:val="FootnoteText"/>
      </w:pPr>
      <w:r>
        <w:rPr>
          <w:rStyle w:val="FootnoteReference"/>
        </w:rPr>
        <w:footnoteRef/>
      </w:r>
      <w:r>
        <w:t xml:space="preserve"> </w:t>
      </w:r>
      <w:r>
        <w:tab/>
        <w:t>NGR, r. 77(2)(b).</w:t>
      </w:r>
    </w:p>
  </w:footnote>
  <w:footnote w:id="11">
    <w:p w:rsidR="0044225D" w:rsidRDefault="0044225D" w:rsidP="00F745EE">
      <w:pPr>
        <w:pStyle w:val="FootnoteText"/>
      </w:pPr>
      <w:r>
        <w:rPr>
          <w:rStyle w:val="FootnoteReference"/>
        </w:rPr>
        <w:footnoteRef/>
      </w:r>
      <w:r>
        <w:t xml:space="preserve"> </w:t>
      </w:r>
      <w:r>
        <w:tab/>
        <w:t>NGR, r. 79 and r. 77(2)(b).</w:t>
      </w:r>
    </w:p>
  </w:footnote>
  <w:footnote w:id="12">
    <w:p w:rsidR="0044225D" w:rsidRDefault="0044225D" w:rsidP="00F745EE">
      <w:pPr>
        <w:pStyle w:val="FootnoteText"/>
      </w:pPr>
      <w:r>
        <w:rPr>
          <w:rStyle w:val="FootnoteReference"/>
        </w:rPr>
        <w:footnoteRef/>
      </w:r>
      <w:r>
        <w:t xml:space="preserve"> </w:t>
      </w:r>
      <w:r>
        <w:tab/>
        <w:t>NGR, r. 79.</w:t>
      </w:r>
    </w:p>
  </w:footnote>
  <w:footnote w:id="13">
    <w:p w:rsidR="0044225D" w:rsidRDefault="0044225D" w:rsidP="00F745EE">
      <w:pPr>
        <w:pStyle w:val="FootnoteText"/>
      </w:pPr>
      <w:r>
        <w:rPr>
          <w:rStyle w:val="FootnoteReference"/>
        </w:rPr>
        <w:footnoteRef/>
      </w:r>
      <w:r>
        <w:t xml:space="preserve"> </w:t>
      </w:r>
      <w:r>
        <w:tab/>
        <w:t xml:space="preserve">JGN, </w:t>
      </w:r>
      <w:r>
        <w:rPr>
          <w:rStyle w:val="AERtextitalic"/>
        </w:rPr>
        <w:t>2015-20 Access Arrangement Information</w:t>
      </w:r>
      <w:r>
        <w:t>, 30 June 2014.</w:t>
      </w:r>
    </w:p>
  </w:footnote>
  <w:footnote w:id="14">
    <w:p w:rsidR="0044225D" w:rsidRDefault="0044225D" w:rsidP="00F745EE">
      <w:pPr>
        <w:pStyle w:val="FootnoteText"/>
      </w:pPr>
      <w:r>
        <w:rPr>
          <w:rStyle w:val="FootnoteReference"/>
        </w:rPr>
        <w:footnoteRef/>
      </w:r>
      <w:r>
        <w:t xml:space="preserve"> </w:t>
      </w:r>
      <w:r>
        <w:tab/>
        <w:t xml:space="preserve">JGN, </w:t>
      </w:r>
      <w:r>
        <w:rPr>
          <w:rStyle w:val="AERtextitalic"/>
        </w:rPr>
        <w:t>2015-20 Access Arrangement Information</w:t>
      </w:r>
      <w:r>
        <w:t>, 30 June 2014</w:t>
      </w:r>
      <w:r>
        <w:rPr>
          <w:rStyle w:val="AERtextitalic"/>
        </w:rPr>
        <w:t>:</w:t>
      </w:r>
      <w:r>
        <w:t xml:space="preserve"> Appendices 6.1, 6.2, 6.3, 6.5, 6.6, 6.7, 6.8, 6.9</w:t>
      </w:r>
      <w:r>
        <w:rPr>
          <w:rStyle w:val="AERtextitalic"/>
        </w:rPr>
        <w:t>.</w:t>
      </w:r>
    </w:p>
  </w:footnote>
  <w:footnote w:id="15">
    <w:p w:rsidR="0044225D" w:rsidRDefault="0044225D" w:rsidP="00F745EE">
      <w:pPr>
        <w:pStyle w:val="FootnoteText"/>
      </w:pPr>
      <w:r>
        <w:rPr>
          <w:rStyle w:val="FootnoteReference"/>
        </w:rPr>
        <w:footnoteRef/>
      </w:r>
      <w:r>
        <w:t xml:space="preserve"> </w:t>
      </w:r>
      <w:r>
        <w:tab/>
        <w:t xml:space="preserve">JGN, </w:t>
      </w:r>
      <w:r>
        <w:rPr>
          <w:rStyle w:val="AERtextitalic"/>
        </w:rPr>
        <w:t>2015-20 Access Arrangement Information</w:t>
      </w:r>
      <w:r>
        <w:t>, 30 June 2014</w:t>
      </w:r>
      <w:r>
        <w:rPr>
          <w:rStyle w:val="AERtextitalic"/>
        </w:rPr>
        <w:t>:</w:t>
      </w:r>
      <w:r>
        <w:t xml:space="preserve"> </w:t>
      </w:r>
      <w:r>
        <w:rPr>
          <w:rStyle w:val="AERtextitalic"/>
        </w:rPr>
        <w:t>Appendix A to the AA RIN response - Regulatory templates (CONFIDENTIAL) [UPDATE].XLSM, Appendix B to the AA RIN response - Basis of preparation - CONFIDENTIAL.</w:t>
      </w:r>
    </w:p>
  </w:footnote>
  <w:footnote w:id="16">
    <w:p w:rsidR="0044225D" w:rsidRDefault="0044225D" w:rsidP="00F745EE">
      <w:pPr>
        <w:pStyle w:val="FootnoteText"/>
      </w:pPr>
      <w:r>
        <w:rPr>
          <w:rStyle w:val="FootnoteReference"/>
        </w:rPr>
        <w:footnoteRef/>
      </w:r>
      <w:r>
        <w:t xml:space="preserve"> </w:t>
      </w:r>
      <w:r>
        <w:tab/>
        <w:t xml:space="preserve">JGN, </w:t>
      </w:r>
      <w:r>
        <w:rPr>
          <w:rStyle w:val="AERtextitalic"/>
        </w:rPr>
        <w:t>2015-20 Access Arrangement Information</w:t>
      </w:r>
      <w:r>
        <w:t>, 30 June 2014.</w:t>
      </w:r>
    </w:p>
  </w:footnote>
  <w:footnote w:id="17">
    <w:p w:rsidR="0044225D" w:rsidRDefault="0044225D" w:rsidP="00F745EE">
      <w:pPr>
        <w:pStyle w:val="FootnoteText"/>
      </w:pPr>
      <w:r>
        <w:rPr>
          <w:rStyle w:val="FootnoteReference"/>
        </w:rPr>
        <w:footnoteRef/>
      </w:r>
      <w:r>
        <w:t xml:space="preserve"> </w:t>
      </w:r>
      <w:r>
        <w:tab/>
        <w:t xml:space="preserve">JGN, </w:t>
      </w:r>
      <w:r>
        <w:rPr>
          <w:rStyle w:val="AERtextitalic"/>
        </w:rPr>
        <w:t>2015-20 Access Arrangement Information</w:t>
      </w:r>
      <w:r>
        <w:t>, 30 June 2014: Appendix 9 Related party transactions, supporting documentation [CONFIDENTIAL].</w:t>
      </w:r>
    </w:p>
  </w:footnote>
  <w:footnote w:id="18">
    <w:p w:rsidR="0044225D" w:rsidRDefault="0044225D" w:rsidP="00F745EE">
      <w:pPr>
        <w:pStyle w:val="FootnoteText"/>
      </w:pPr>
      <w:r>
        <w:rPr>
          <w:rStyle w:val="FootnoteReference"/>
        </w:rPr>
        <w:footnoteRef/>
      </w:r>
      <w:r>
        <w:t xml:space="preserve"> </w:t>
      </w:r>
      <w:r>
        <w:tab/>
        <w:t xml:space="preserve">JGN, </w:t>
      </w:r>
      <w:r>
        <w:rPr>
          <w:rStyle w:val="AERtextitalic"/>
        </w:rPr>
        <w:t>2015-20 Access Arrangement Information</w:t>
      </w:r>
      <w:r>
        <w:t>, 30 June 2014, Appendix 6.4.</w:t>
      </w:r>
    </w:p>
  </w:footnote>
  <w:footnote w:id="19">
    <w:p w:rsidR="0044225D" w:rsidRDefault="0044225D" w:rsidP="000D0C7C">
      <w:pPr>
        <w:pStyle w:val="FootnoteText"/>
      </w:pPr>
      <w:r>
        <w:rPr>
          <w:rStyle w:val="FootnoteReference"/>
        </w:rPr>
        <w:footnoteRef/>
      </w:r>
      <w:r>
        <w:t xml:space="preserve"> </w:t>
      </w:r>
      <w:r>
        <w:tab/>
        <w:t xml:space="preserve">AER, </w:t>
      </w:r>
      <w:r w:rsidRPr="00963704">
        <w:rPr>
          <w:rStyle w:val="AERtextitalic"/>
        </w:rPr>
        <w:t>Better Regulation: Expenditure Forecast Assessment Guideline for Electricity Distribution</w:t>
      </w:r>
      <w:r>
        <w:t xml:space="preserve">, </w:t>
      </w:r>
      <w:r w:rsidRPr="000D0C7C">
        <w:t>November 2013</w:t>
      </w:r>
      <w:r>
        <w:t>, pp. 9-10.</w:t>
      </w:r>
    </w:p>
  </w:footnote>
  <w:footnote w:id="20">
    <w:p w:rsidR="0044225D" w:rsidRDefault="0044225D">
      <w:pPr>
        <w:pStyle w:val="FootnoteText"/>
      </w:pPr>
      <w:r>
        <w:rPr>
          <w:rStyle w:val="FootnoteReference"/>
        </w:rPr>
        <w:footnoteRef/>
      </w:r>
      <w:r>
        <w:t xml:space="preserve"> </w:t>
      </w:r>
      <w:r>
        <w:tab/>
        <w:t>NGR r. 71(1).</w:t>
      </w:r>
    </w:p>
  </w:footnote>
  <w:footnote w:id="21">
    <w:p w:rsidR="0044225D" w:rsidRDefault="0044225D" w:rsidP="00852D28">
      <w:pPr>
        <w:pStyle w:val="FootnoteText"/>
      </w:pPr>
      <w:r>
        <w:rPr>
          <w:rStyle w:val="FootnoteReference"/>
        </w:rPr>
        <w:footnoteRef/>
      </w:r>
      <w:r>
        <w:t xml:space="preserve"> </w:t>
      </w:r>
      <w:r>
        <w:tab/>
        <w:t>NGR r. 71(1).</w:t>
      </w:r>
    </w:p>
  </w:footnote>
  <w:footnote w:id="22">
    <w:p w:rsidR="0044225D" w:rsidRDefault="0044225D" w:rsidP="00F745EE">
      <w:pPr>
        <w:pStyle w:val="FootnoteText"/>
      </w:pPr>
      <w:r>
        <w:rPr>
          <w:rStyle w:val="FootnoteReference"/>
        </w:rPr>
        <w:footnoteRef/>
      </w:r>
      <w:r>
        <w:t xml:space="preserve"> </w:t>
      </w:r>
      <w:r>
        <w:tab/>
        <w:t xml:space="preserve">Sleeman Consulting, </w:t>
      </w:r>
      <w:r>
        <w:rPr>
          <w:rStyle w:val="AERtextitalic"/>
        </w:rPr>
        <w:t>Jemena Gas Networks 2015 Access Arrangement Submission, Review of Capex Forecasts for Capacity Development and Facilities Renewal and Replacement, Report to Australian Energy Regulator</w:t>
      </w:r>
      <w:r>
        <w:t>, September 2014;</w:t>
      </w:r>
    </w:p>
  </w:footnote>
  <w:footnote w:id="23">
    <w:p w:rsidR="0044225D" w:rsidRDefault="0044225D">
      <w:pPr>
        <w:pStyle w:val="FootnoteText"/>
      </w:pPr>
      <w:r>
        <w:rPr>
          <w:rStyle w:val="FootnoteReference"/>
        </w:rPr>
        <w:footnoteRef/>
      </w:r>
      <w:r>
        <w:t xml:space="preserve"> </w:t>
      </w:r>
      <w:r>
        <w:tab/>
        <w:t>Only the 2010-14 period comparison by category has been presented as the IPART decision was not made on the same category basis and was not in the same level of detail as the AER 2010-15 Access Arrangement Decision.</w:t>
      </w:r>
    </w:p>
  </w:footnote>
  <w:footnote w:id="24">
    <w:p w:rsidR="0044225D" w:rsidRDefault="0044225D">
      <w:pPr>
        <w:pStyle w:val="FootnoteText"/>
      </w:pPr>
      <w:r>
        <w:rPr>
          <w:rStyle w:val="FootnoteReference"/>
        </w:rPr>
        <w:footnoteRef/>
      </w:r>
      <w:r>
        <w:t xml:space="preserve"> </w:t>
      </w:r>
      <w:r>
        <w:tab/>
        <w:t>JGN, Revenue proposal, June 2014, p. 29.</w:t>
      </w:r>
    </w:p>
  </w:footnote>
  <w:footnote w:id="25">
    <w:p w:rsidR="0044225D" w:rsidRDefault="0044225D" w:rsidP="00572720">
      <w:pPr>
        <w:pStyle w:val="FootnoteText"/>
      </w:pPr>
      <w:r>
        <w:rPr>
          <w:rStyle w:val="FootnoteReference"/>
        </w:rPr>
        <w:footnoteRef/>
      </w:r>
      <w:r>
        <w:t xml:space="preserve"> </w:t>
      </w:r>
      <w:r>
        <w:tab/>
        <w:t>JGN, Revenue proposal, June 2014, p. 29.</w:t>
      </w:r>
    </w:p>
  </w:footnote>
  <w:footnote w:id="26">
    <w:p w:rsidR="0044225D" w:rsidRDefault="0044225D" w:rsidP="00591CAA">
      <w:pPr>
        <w:pStyle w:val="FootnoteText"/>
      </w:pPr>
      <w:r>
        <w:rPr>
          <w:rStyle w:val="FootnoteReference"/>
        </w:rPr>
        <w:footnoteRef/>
      </w:r>
      <w:r>
        <w:t xml:space="preserve"> </w:t>
      </w:r>
      <w:r>
        <w:tab/>
        <w:t>JGN, Revenue proposal, June 2014, p. 29.</w:t>
      </w:r>
    </w:p>
  </w:footnote>
  <w:footnote w:id="27">
    <w:p w:rsidR="0044225D" w:rsidRDefault="0044225D" w:rsidP="00591CAA">
      <w:pPr>
        <w:pStyle w:val="FootnoteText"/>
      </w:pPr>
      <w:r>
        <w:rPr>
          <w:rStyle w:val="FootnoteReference"/>
        </w:rPr>
        <w:footnoteRef/>
      </w:r>
      <w:r>
        <w:t xml:space="preserve"> </w:t>
      </w:r>
      <w:r>
        <w:tab/>
        <w:t>JGN, Revenue proposal, June 2014, p. 29.</w:t>
      </w:r>
    </w:p>
  </w:footnote>
  <w:footnote w:id="28">
    <w:p w:rsidR="0044225D" w:rsidRDefault="0044225D" w:rsidP="00591CAA">
      <w:pPr>
        <w:pStyle w:val="FootnoteText"/>
      </w:pPr>
      <w:r>
        <w:rPr>
          <w:rStyle w:val="FootnoteReference"/>
        </w:rPr>
        <w:footnoteRef/>
      </w:r>
      <w:r>
        <w:t xml:space="preserve"> </w:t>
      </w:r>
      <w:r>
        <w:tab/>
        <w:t>JGN, Revenue proposal, June 2014, p. 29.</w:t>
      </w:r>
    </w:p>
  </w:footnote>
  <w:footnote w:id="29">
    <w:p w:rsidR="0044225D" w:rsidRDefault="0044225D" w:rsidP="00343857">
      <w:pPr>
        <w:pStyle w:val="FootnoteText"/>
      </w:pPr>
      <w:r>
        <w:rPr>
          <w:rStyle w:val="FootnoteReference"/>
        </w:rPr>
        <w:footnoteRef/>
      </w:r>
      <w:r>
        <w:t xml:space="preserve"> </w:t>
      </w:r>
      <w:r>
        <w:tab/>
        <w:t>Origin Energy, Response to Jemena Gas Networks Access Arrangement - Initial Proposal 2015-20, August 2014, p. 9.</w:t>
      </w:r>
    </w:p>
  </w:footnote>
  <w:footnote w:id="30">
    <w:p w:rsidR="0044225D" w:rsidRDefault="0044225D" w:rsidP="00343857">
      <w:pPr>
        <w:pStyle w:val="FootnoteText"/>
      </w:pPr>
      <w:r>
        <w:rPr>
          <w:rStyle w:val="FootnoteReference"/>
        </w:rPr>
        <w:footnoteRef/>
      </w:r>
      <w:r>
        <w:t xml:space="preserve"> </w:t>
      </w:r>
      <w:r>
        <w:tab/>
        <w:t>JGN, Revenue proposal, June 2014, Att6.7 Forecast capital expenditure report, June 2014, p.38.</w:t>
      </w:r>
    </w:p>
  </w:footnote>
  <w:footnote w:id="31">
    <w:p w:rsidR="0044225D" w:rsidRDefault="0044225D">
      <w:pPr>
        <w:pStyle w:val="FootnoteText"/>
      </w:pPr>
      <w:r>
        <w:rPr>
          <w:rStyle w:val="FootnoteReference"/>
        </w:rPr>
        <w:footnoteRef/>
      </w:r>
      <w:r>
        <w:t xml:space="preserve"> </w:t>
      </w:r>
      <w:r>
        <w:tab/>
        <w:t>Delta Electricity, Jemena Gas Networks - Proposed 2015-2020 Access Arrangement, 22 August 2014, p. 2.</w:t>
      </w:r>
    </w:p>
  </w:footnote>
  <w:footnote w:id="32">
    <w:p w:rsidR="0044225D" w:rsidRDefault="0044225D" w:rsidP="00902ACC">
      <w:pPr>
        <w:pStyle w:val="FootnoteText"/>
      </w:pPr>
      <w:r>
        <w:rPr>
          <w:rStyle w:val="FootnoteReference"/>
        </w:rPr>
        <w:footnoteRef/>
      </w:r>
      <w:r>
        <w:t xml:space="preserve"> </w:t>
      </w:r>
      <w:r>
        <w:tab/>
        <w:t>Excluding AER adjustment for material and labour escalation.</w:t>
      </w:r>
    </w:p>
  </w:footnote>
  <w:footnote w:id="33">
    <w:p w:rsidR="0044225D" w:rsidRDefault="0044225D" w:rsidP="006A3F2D">
      <w:pPr>
        <w:pStyle w:val="FootnoteText"/>
      </w:pPr>
      <w:r>
        <w:rPr>
          <w:rStyle w:val="FootnoteReference"/>
        </w:rPr>
        <w:footnoteRef/>
      </w:r>
      <w:r>
        <w:t xml:space="preserve"> </w:t>
      </w:r>
      <w:r>
        <w:tab/>
        <w:t xml:space="preserve">JGN, </w:t>
      </w:r>
      <w:r w:rsidRPr="00390641">
        <w:rPr>
          <w:rStyle w:val="AERtextitalic"/>
        </w:rPr>
        <w:t>2015-20 Access Arrangement Information</w:t>
      </w:r>
      <w:r>
        <w:t xml:space="preserve">, June 2014, </w:t>
      </w:r>
      <w:r w:rsidRPr="00923933">
        <w:t>Appendix A to the AA RIN response - Regulatory templates (</w:t>
      </w:r>
      <w:r>
        <w:t>PUBLIC</w:t>
      </w:r>
      <w:r w:rsidRPr="00923933">
        <w:t>) [UPDATE].XLSM</w:t>
      </w:r>
      <w:r>
        <w:t>.</w:t>
      </w:r>
    </w:p>
  </w:footnote>
  <w:footnote w:id="34">
    <w:p w:rsidR="0044225D" w:rsidRDefault="0044225D" w:rsidP="006E7442">
      <w:pPr>
        <w:pStyle w:val="FootnoteText"/>
      </w:pPr>
      <w:r>
        <w:rPr>
          <w:rStyle w:val="FootnoteReference"/>
        </w:rPr>
        <w:footnoteRef/>
      </w:r>
      <w:r>
        <w:t xml:space="preserve"> </w:t>
      </w:r>
      <w:r>
        <w:tab/>
        <w:t xml:space="preserve">JGN, </w:t>
      </w:r>
      <w:r w:rsidRPr="00DD4387">
        <w:rPr>
          <w:rStyle w:val="AERtextitalic"/>
        </w:rPr>
        <w:t>2015-20 Access Arrangement Information – Public</w:t>
      </w:r>
      <w:r>
        <w:t xml:space="preserve">, </w:t>
      </w:r>
      <w:r w:rsidRPr="00DD4387">
        <w:t>30 June 2014</w:t>
      </w:r>
      <w:r>
        <w:t>, p. 44.</w:t>
      </w:r>
    </w:p>
  </w:footnote>
  <w:footnote w:id="35">
    <w:p w:rsidR="0044225D" w:rsidRDefault="0044225D">
      <w:pPr>
        <w:pStyle w:val="FootnoteText"/>
      </w:pPr>
      <w:r>
        <w:rPr>
          <w:rStyle w:val="FootnoteReference"/>
        </w:rPr>
        <w:footnoteRef/>
      </w:r>
      <w:r>
        <w:t xml:space="preserve"> </w:t>
      </w:r>
      <w:r>
        <w:tab/>
        <w:t>NGL, r. 74(2)(b).</w:t>
      </w:r>
    </w:p>
  </w:footnote>
  <w:footnote w:id="36">
    <w:p w:rsidR="0044225D" w:rsidRDefault="0044225D">
      <w:pPr>
        <w:pStyle w:val="FootnoteText"/>
      </w:pPr>
      <w:r>
        <w:rPr>
          <w:rStyle w:val="FootnoteReference"/>
        </w:rPr>
        <w:footnoteRef/>
      </w:r>
      <w:r>
        <w:t xml:space="preserve"> </w:t>
      </w:r>
      <w:r>
        <w:tab/>
        <w:t xml:space="preserve">JGN, </w:t>
      </w:r>
      <w:r w:rsidRPr="00390641">
        <w:rPr>
          <w:rStyle w:val="AERtextitalic"/>
        </w:rPr>
        <w:t>2015-20 Access Arrangement Information</w:t>
      </w:r>
      <w:r>
        <w:t xml:space="preserve">, June 2014, </w:t>
      </w:r>
      <w:r w:rsidRPr="002C327D">
        <w:t>Appendix 05.2 Core Energy model -  JGN demand and customer forecast - CONFIDENTIAL.xlsx</w:t>
      </w:r>
      <w:r>
        <w:t xml:space="preserve">; </w:t>
      </w:r>
      <w:r w:rsidRPr="002C327D">
        <w:t xml:space="preserve">Appendix 07.3 Operating expenditure step </w:t>
      </w:r>
      <w:r>
        <w:t>change report - CONFIDENTIAL, pp. 11–18.</w:t>
      </w:r>
    </w:p>
  </w:footnote>
  <w:footnote w:id="37">
    <w:p w:rsidR="0044225D" w:rsidRDefault="0044225D" w:rsidP="00C97BCC">
      <w:pPr>
        <w:pStyle w:val="FootnoteText"/>
      </w:pPr>
      <w:r>
        <w:rPr>
          <w:rStyle w:val="FootnoteReference"/>
        </w:rPr>
        <w:footnoteRef/>
      </w:r>
      <w:r>
        <w:t xml:space="preserve"> </w:t>
      </w:r>
      <w:r>
        <w:tab/>
      </w:r>
      <w:r w:rsidRPr="00B02D47">
        <w:t xml:space="preserve">JGN, </w:t>
      </w:r>
      <w:r w:rsidRPr="00B02D47">
        <w:rPr>
          <w:rStyle w:val="AERtextitalic"/>
        </w:rPr>
        <w:t>2015-20 Access Arrangement Information</w:t>
      </w:r>
      <w:r w:rsidRPr="00B02D47">
        <w:t>, June 2014,</w:t>
      </w:r>
      <w:r w:rsidRPr="00C97BCC">
        <w:t xml:space="preserve"> Appendix 6.7</w:t>
      </w:r>
      <w:r>
        <w:t xml:space="preserve"> </w:t>
      </w:r>
      <w:r w:rsidRPr="00C97BCC">
        <w:t>Forecast capital expenditure report</w:t>
      </w:r>
      <w:r>
        <w:t>, p. 17.</w:t>
      </w:r>
    </w:p>
  </w:footnote>
  <w:footnote w:id="38">
    <w:p w:rsidR="0044225D" w:rsidRDefault="0044225D">
      <w:pPr>
        <w:pStyle w:val="FootnoteText"/>
      </w:pPr>
      <w:r>
        <w:rPr>
          <w:rStyle w:val="FootnoteReference"/>
        </w:rPr>
        <w:footnoteRef/>
      </w:r>
      <w:r>
        <w:t xml:space="preserve"> </w:t>
      </w:r>
      <w:r>
        <w:tab/>
        <w:t xml:space="preserve">JGN, </w:t>
      </w:r>
      <w:r w:rsidRPr="00B02D47">
        <w:rPr>
          <w:rStyle w:val="AERtextitalic"/>
        </w:rPr>
        <w:t>2015-20 Access Arrangement Information</w:t>
      </w:r>
      <w:r w:rsidRPr="00B02D47">
        <w:t>, June 2014,</w:t>
      </w:r>
      <w:r w:rsidRPr="00C97BCC">
        <w:t xml:space="preserve"> Appendix 6.7</w:t>
      </w:r>
      <w:r>
        <w:t xml:space="preserve"> </w:t>
      </w:r>
      <w:r w:rsidRPr="00C97BCC">
        <w:t>Forecast capital expenditure report</w:t>
      </w:r>
      <w:r>
        <w:t>, p. 16.</w:t>
      </w:r>
    </w:p>
  </w:footnote>
  <w:footnote w:id="39">
    <w:p w:rsidR="0044225D" w:rsidRDefault="0044225D">
      <w:pPr>
        <w:pStyle w:val="FootnoteText"/>
      </w:pPr>
      <w:r>
        <w:rPr>
          <w:rStyle w:val="FootnoteReference"/>
        </w:rPr>
        <w:footnoteRef/>
      </w:r>
      <w:r>
        <w:t xml:space="preserve"> </w:t>
      </w:r>
      <w:r>
        <w:tab/>
        <w:t>AER, Information request 40 - connections, sent 12 October 2014.</w:t>
      </w:r>
    </w:p>
  </w:footnote>
  <w:footnote w:id="40">
    <w:p w:rsidR="0044225D" w:rsidRDefault="0044225D">
      <w:pPr>
        <w:pStyle w:val="FootnoteText"/>
      </w:pPr>
      <w:r>
        <w:rPr>
          <w:rStyle w:val="FootnoteReference"/>
        </w:rPr>
        <w:footnoteRef/>
      </w:r>
      <w:r>
        <w:t xml:space="preserve"> </w:t>
      </w:r>
      <w:r>
        <w:tab/>
        <w:t>JGN, Response to information request 40, received 22 October 2014, p. 2.</w:t>
      </w:r>
    </w:p>
  </w:footnote>
  <w:footnote w:id="41">
    <w:p w:rsidR="0044225D" w:rsidRDefault="0044225D">
      <w:pPr>
        <w:pStyle w:val="FootnoteText"/>
      </w:pPr>
      <w:r>
        <w:rPr>
          <w:rStyle w:val="FootnoteReference"/>
        </w:rPr>
        <w:footnoteRef/>
      </w:r>
      <w:r>
        <w:t xml:space="preserve"> </w:t>
      </w:r>
      <w:r>
        <w:tab/>
        <w:t>JGN, Response to information request 40, received 22 October 2014, p. 8.</w:t>
      </w:r>
    </w:p>
  </w:footnote>
  <w:footnote w:id="42">
    <w:p w:rsidR="0044225D" w:rsidRDefault="0044225D">
      <w:pPr>
        <w:pStyle w:val="FootnoteText"/>
      </w:pPr>
      <w:r>
        <w:rPr>
          <w:rStyle w:val="FootnoteReference"/>
        </w:rPr>
        <w:footnoteRef/>
      </w:r>
      <w:r>
        <w:t xml:space="preserve"> </w:t>
      </w:r>
      <w:r>
        <w:tab/>
        <w:t>JGN, Response to information request 40, received 22 October 2014, Note, p. 3; JGN, Response to information request 42, received 24 October 2014, Appendix A, p. A-3 and Appendix B, p. 4.</w:t>
      </w:r>
    </w:p>
  </w:footnote>
  <w:footnote w:id="43">
    <w:p w:rsidR="0044225D" w:rsidRDefault="0044225D">
      <w:pPr>
        <w:pStyle w:val="FootnoteText"/>
      </w:pPr>
      <w:r>
        <w:rPr>
          <w:rStyle w:val="FootnoteReference"/>
        </w:rPr>
        <w:footnoteRef/>
      </w:r>
      <w:r>
        <w:t xml:space="preserve"> </w:t>
      </w:r>
      <w:r>
        <w:tab/>
        <w:t xml:space="preserve">JGN, </w:t>
      </w:r>
      <w:r w:rsidRPr="00B02D47">
        <w:rPr>
          <w:rStyle w:val="AERtextitalic"/>
        </w:rPr>
        <w:t>2015-20 Access Arrangement Information</w:t>
      </w:r>
      <w:r w:rsidRPr="00B02D47">
        <w:t>, June 2014,</w:t>
      </w:r>
      <w:r w:rsidRPr="00C97BCC">
        <w:t xml:space="preserve"> Appendix 6.7</w:t>
      </w:r>
      <w:r>
        <w:t xml:space="preserve"> </w:t>
      </w:r>
      <w:r w:rsidRPr="00C97BCC">
        <w:t>Forecast capital expenditure report</w:t>
      </w:r>
      <w:r>
        <w:t>, p.14.</w:t>
      </w:r>
    </w:p>
  </w:footnote>
  <w:footnote w:id="44">
    <w:p w:rsidR="0044225D" w:rsidRDefault="0044225D">
      <w:pPr>
        <w:pStyle w:val="FootnoteText"/>
      </w:pPr>
      <w:r>
        <w:rPr>
          <w:rStyle w:val="FootnoteReference"/>
        </w:rPr>
        <w:footnoteRef/>
      </w:r>
      <w:r>
        <w:t xml:space="preserve"> </w:t>
      </w:r>
      <w:r>
        <w:tab/>
        <w:t xml:space="preserve">JGN, </w:t>
      </w:r>
      <w:r w:rsidRPr="00390641">
        <w:rPr>
          <w:rStyle w:val="AERtextitalic"/>
        </w:rPr>
        <w:t>2015-20 Access Arrangement Information</w:t>
      </w:r>
      <w:r>
        <w:t xml:space="preserve">, June 2014, </w:t>
      </w:r>
      <w:r w:rsidRPr="00923933">
        <w:t>Appendix A to the AA RIN response - Regulatory templates (CONFIDENTIAL) [UPDATE].XLSM</w:t>
      </w:r>
      <w:r>
        <w:t>.</w:t>
      </w:r>
    </w:p>
  </w:footnote>
  <w:footnote w:id="45">
    <w:p w:rsidR="0044225D" w:rsidRDefault="0044225D">
      <w:pPr>
        <w:pStyle w:val="FootnoteText"/>
      </w:pPr>
      <w:r>
        <w:rPr>
          <w:rStyle w:val="FootnoteReference"/>
        </w:rPr>
        <w:footnoteRef/>
      </w:r>
      <w:r>
        <w:t xml:space="preserve"> </w:t>
      </w:r>
      <w:r>
        <w:tab/>
        <w:t>JGN, Response to information request 40, received 22 October 2014, p.9</w:t>
      </w:r>
    </w:p>
  </w:footnote>
  <w:footnote w:id="46">
    <w:p w:rsidR="0044225D" w:rsidRDefault="0044225D">
      <w:pPr>
        <w:pStyle w:val="FootnoteText"/>
      </w:pPr>
      <w:r>
        <w:rPr>
          <w:rStyle w:val="FootnoteReference"/>
        </w:rPr>
        <w:footnoteRef/>
      </w:r>
      <w:r>
        <w:t xml:space="preserve"> </w:t>
      </w:r>
      <w:r>
        <w:tab/>
        <w:t xml:space="preserve">JGN, </w:t>
      </w:r>
      <w:r w:rsidRPr="00390641">
        <w:rPr>
          <w:rStyle w:val="AERtextitalic"/>
        </w:rPr>
        <w:t>2015-20 Access Arrangement Information</w:t>
      </w:r>
      <w:r>
        <w:t xml:space="preserve">, June 2014, </w:t>
      </w:r>
      <w:r w:rsidRPr="00923933">
        <w:t>Appendix A to the AA RIN response - Regulatory templates (CONFIDENTIAL) [UPDATE].XLSM</w:t>
      </w:r>
      <w:r>
        <w:t>.</w:t>
      </w:r>
    </w:p>
  </w:footnote>
  <w:footnote w:id="47">
    <w:p w:rsidR="0044225D" w:rsidRDefault="0044225D" w:rsidP="00EE0B47">
      <w:pPr>
        <w:pStyle w:val="FootnoteText"/>
      </w:pPr>
      <w:r>
        <w:rPr>
          <w:rStyle w:val="FootnoteReference"/>
        </w:rPr>
        <w:footnoteRef/>
      </w:r>
      <w:r>
        <w:t xml:space="preserve"> </w:t>
      </w:r>
      <w:r>
        <w:tab/>
        <w:t>JGN, Response to information request 42, received 24 October 2014, Appendix A, p. A-3.</w:t>
      </w:r>
    </w:p>
  </w:footnote>
  <w:footnote w:id="48">
    <w:p w:rsidR="0044225D" w:rsidRDefault="0044225D">
      <w:pPr>
        <w:pStyle w:val="FootnoteText"/>
      </w:pPr>
      <w:r>
        <w:rPr>
          <w:rStyle w:val="FootnoteReference"/>
        </w:rPr>
        <w:footnoteRef/>
      </w:r>
      <w:r>
        <w:t xml:space="preserve"> </w:t>
      </w:r>
      <w:r>
        <w:tab/>
        <w:t>JGN, Response to information request 42, received 24 October 2014, Appendix B, p. 4.</w:t>
      </w:r>
    </w:p>
  </w:footnote>
  <w:footnote w:id="49">
    <w:p w:rsidR="0044225D" w:rsidRDefault="0044225D">
      <w:pPr>
        <w:pStyle w:val="FootnoteText"/>
      </w:pPr>
      <w:r>
        <w:rPr>
          <w:rStyle w:val="FootnoteReference"/>
        </w:rPr>
        <w:footnoteRef/>
      </w:r>
      <w:r>
        <w:t xml:space="preserve"> </w:t>
      </w:r>
      <w:r>
        <w:tab/>
        <w:t xml:space="preserve">NGL, Part 12A, Part 21; JGN, </w:t>
      </w:r>
      <w:r w:rsidRPr="00390641">
        <w:rPr>
          <w:rStyle w:val="AERtextitalic"/>
        </w:rPr>
        <w:t>2015-20 Access Arrangement Information</w:t>
      </w:r>
      <w:r>
        <w:t>, June 2014: 2015 Access Arrangement, Schedule 4 Reference Service Agreement; JGN, 2015 Reference Service  Agreement, cl. 11.3(i) and (j).</w:t>
      </w:r>
    </w:p>
  </w:footnote>
  <w:footnote w:id="50">
    <w:p w:rsidR="0044225D" w:rsidRDefault="0044225D">
      <w:pPr>
        <w:pStyle w:val="FootnoteText"/>
      </w:pPr>
      <w:r>
        <w:rPr>
          <w:rStyle w:val="FootnoteReference"/>
        </w:rPr>
        <w:footnoteRef/>
      </w:r>
      <w:r>
        <w:t xml:space="preserve"> </w:t>
      </w:r>
      <w:r>
        <w:tab/>
        <w:t xml:space="preserve">JGN, </w:t>
      </w:r>
      <w:r w:rsidRPr="00390641">
        <w:rPr>
          <w:rStyle w:val="AERtextitalic"/>
        </w:rPr>
        <w:t>2015-20 Access Arrangement Information</w:t>
      </w:r>
      <w:r>
        <w:t xml:space="preserve">, June 2014, </w:t>
      </w:r>
      <w:r w:rsidRPr="00132966">
        <w:t>Appendix B to the AA RIN response - Basis of preparation - CONFIDENTIAL</w:t>
      </w:r>
      <w:r>
        <w:t>, p. 37.</w:t>
      </w:r>
    </w:p>
  </w:footnote>
  <w:footnote w:id="51">
    <w:p w:rsidR="0044225D" w:rsidRDefault="0044225D" w:rsidP="00B65FC5">
      <w:pPr>
        <w:pStyle w:val="FootnoteText"/>
      </w:pPr>
      <w:r>
        <w:rPr>
          <w:rStyle w:val="FootnoteReference"/>
        </w:rPr>
        <w:footnoteRef/>
      </w:r>
      <w:r w:rsidR="00250735">
        <w:t xml:space="preserve"> </w:t>
      </w:r>
      <w:r w:rsidR="00250735">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w:t>
      </w:r>
    </w:p>
  </w:footnote>
  <w:footnote w:id="52">
    <w:p w:rsidR="0044225D" w:rsidRDefault="0044225D" w:rsidP="00F318AA">
      <w:pPr>
        <w:pStyle w:val="FootnoteText"/>
      </w:pPr>
      <w:r>
        <w:rPr>
          <w:rStyle w:val="FootnoteReference"/>
        </w:rPr>
        <w:footnoteRef/>
      </w:r>
      <w:r>
        <w:t xml:space="preserve"> </w:t>
      </w:r>
      <w:r>
        <w:tab/>
        <w:t>The forecasts comply with NGR, r. 74 and the proposed capex is justifiable under NGR, r. 79(2)(c)(i)-(iii).</w:t>
      </w:r>
    </w:p>
  </w:footnote>
  <w:footnote w:id="53">
    <w:p w:rsidR="0044225D" w:rsidRDefault="0044225D" w:rsidP="00F318AA">
      <w:pPr>
        <w:pStyle w:val="FootnoteText"/>
      </w:pPr>
      <w:r>
        <w:rPr>
          <w:rStyle w:val="FootnoteReference"/>
        </w:rPr>
        <w:footnoteRef/>
      </w:r>
      <w:r>
        <w:t xml:space="preserve"> </w:t>
      </w:r>
      <w:r>
        <w:tab/>
        <w:t>The capex complies with NGR, r. 79(1)(a).</w:t>
      </w:r>
    </w:p>
  </w:footnote>
  <w:footnote w:id="54">
    <w:p w:rsidR="0044225D" w:rsidRDefault="0044225D" w:rsidP="00F318AA">
      <w:pPr>
        <w:pStyle w:val="FootnoteText"/>
      </w:pPr>
      <w:r>
        <w:rPr>
          <w:rStyle w:val="FootnoteReference"/>
        </w:rPr>
        <w:footnoteRef/>
      </w:r>
      <w:r>
        <w:t xml:space="preserve"> </w:t>
      </w:r>
      <w:r>
        <w:tab/>
        <w:t xml:space="preserve">JGN, </w:t>
      </w:r>
      <w:r w:rsidRPr="00390641">
        <w:rPr>
          <w:rStyle w:val="AERtextitalic"/>
        </w:rPr>
        <w:t>2015-20 Access Arrangement Information</w:t>
      </w:r>
      <w:r>
        <w:t xml:space="preserve">, June 2014, </w:t>
      </w:r>
      <w:r w:rsidRPr="00923933">
        <w:t>Appendix A to the AA RIN response - Regulatory templates (CONFIDENTIAL) [UPDATE].XLSM</w:t>
      </w:r>
      <w:r>
        <w:t>.</w:t>
      </w:r>
    </w:p>
  </w:footnote>
  <w:footnote w:id="55">
    <w:p w:rsidR="0044225D" w:rsidRDefault="0044225D">
      <w:pPr>
        <w:pStyle w:val="FootnoteText"/>
      </w:pPr>
      <w:r>
        <w:rPr>
          <w:rStyle w:val="FootnoteReference"/>
        </w:rPr>
        <w:footnoteRef/>
      </w:r>
      <w:r>
        <w:t xml:space="preserve"> </w:t>
      </w:r>
      <w:r>
        <w:tab/>
        <w:t xml:space="preserve">JGN, </w:t>
      </w:r>
      <w:r w:rsidRPr="00DD4387">
        <w:rPr>
          <w:rStyle w:val="AERtextitalic"/>
        </w:rPr>
        <w:t>2015-20 Access Arrangement Information – Public</w:t>
      </w:r>
      <w:r>
        <w:t xml:space="preserve">, </w:t>
      </w:r>
      <w:r w:rsidRPr="00DD4387">
        <w:t>30 June 2014</w:t>
      </w:r>
      <w:r>
        <w:t>, p. 55.</w:t>
      </w:r>
    </w:p>
  </w:footnote>
  <w:footnote w:id="56">
    <w:p w:rsidR="0044225D" w:rsidRDefault="0044225D">
      <w:pPr>
        <w:pStyle w:val="FootnoteText"/>
      </w:pPr>
      <w:r>
        <w:rPr>
          <w:rStyle w:val="FootnoteReference"/>
        </w:rPr>
        <w:footnoteRef/>
      </w:r>
      <w:r>
        <w:t xml:space="preserve"> </w:t>
      </w:r>
      <w:r>
        <w:tab/>
        <w:t>NGR, r. 79(1)(a).</w:t>
      </w:r>
    </w:p>
  </w:footnote>
  <w:footnote w:id="57">
    <w:p w:rsidR="0044225D" w:rsidRDefault="0044225D" w:rsidP="00AB20CB">
      <w:pPr>
        <w:pStyle w:val="FootnoteText"/>
      </w:pPr>
      <w:r>
        <w:rPr>
          <w:rStyle w:val="FootnoteReference"/>
        </w:rPr>
        <w:footnoteRef/>
      </w:r>
      <w:r w:rsidR="00250735">
        <w:t xml:space="preserve"> </w:t>
      </w:r>
      <w:r w:rsidR="00250735">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3–4.</w:t>
      </w:r>
    </w:p>
  </w:footnote>
  <w:footnote w:id="58">
    <w:p w:rsidR="0044225D" w:rsidRDefault="0044225D" w:rsidP="00AB20CB">
      <w:pPr>
        <w:pStyle w:val="FootnoteText"/>
      </w:pPr>
      <w:r>
        <w:rPr>
          <w:rStyle w:val="FootnoteReference"/>
        </w:rPr>
        <w:footnoteRef/>
      </w:r>
      <w:r w:rsidR="00250735">
        <w:t xml:space="preserve"> </w:t>
      </w:r>
      <w:r w:rsidR="00250735">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3–9.</w:t>
      </w:r>
    </w:p>
  </w:footnote>
  <w:footnote w:id="59">
    <w:p w:rsidR="0044225D" w:rsidRDefault="0044225D" w:rsidP="00E65496">
      <w:pPr>
        <w:pStyle w:val="FootnoteText"/>
      </w:pPr>
      <w:r>
        <w:rPr>
          <w:rStyle w:val="FootnoteReference"/>
        </w:rPr>
        <w:footnoteRef/>
      </w:r>
      <w:r>
        <w:t xml:space="preserve"> </w:t>
      </w:r>
      <w:r>
        <w:tab/>
        <w:t>The forecasts comply with NGR, r. 74 and the proposed capex is justifiable under NGR, r. 79(2)(iii).</w:t>
      </w:r>
    </w:p>
  </w:footnote>
  <w:footnote w:id="60">
    <w:p w:rsidR="0044225D" w:rsidRDefault="0044225D" w:rsidP="00E65496">
      <w:pPr>
        <w:pStyle w:val="FootnoteText"/>
      </w:pPr>
      <w:r>
        <w:rPr>
          <w:rStyle w:val="FootnoteReference"/>
        </w:rPr>
        <w:footnoteRef/>
      </w:r>
      <w:r>
        <w:t xml:space="preserve"> </w:t>
      </w:r>
      <w:r>
        <w:tab/>
        <w:t>The capex complies with NGR, r. 79(1)(a).</w:t>
      </w:r>
    </w:p>
  </w:footnote>
  <w:footnote w:id="61">
    <w:p w:rsidR="0044225D" w:rsidRDefault="0044225D">
      <w:pPr>
        <w:pStyle w:val="FootnoteText"/>
      </w:pPr>
      <w:r>
        <w:rPr>
          <w:rStyle w:val="FootnoteReference"/>
        </w:rPr>
        <w:footnoteRef/>
      </w:r>
      <w:r w:rsidR="00250735">
        <w:t xml:space="preserve"> </w:t>
      </w:r>
      <w:r w:rsidR="00250735">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3–9.</w:t>
      </w:r>
    </w:p>
  </w:footnote>
  <w:footnote w:id="62">
    <w:p w:rsidR="0044225D" w:rsidRDefault="0044225D">
      <w:pPr>
        <w:pStyle w:val="FootnoteText"/>
      </w:pPr>
      <w:r>
        <w:rPr>
          <w:rStyle w:val="FootnoteReference"/>
        </w:rPr>
        <w:footnoteRef/>
      </w:r>
      <w:r w:rsidR="00250735">
        <w:t xml:space="preserve"> </w:t>
      </w:r>
      <w:r w:rsidR="00250735">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6-7.</w:t>
      </w:r>
    </w:p>
  </w:footnote>
  <w:footnote w:id="63">
    <w:p w:rsidR="0044225D" w:rsidRDefault="0044225D">
      <w:pPr>
        <w:pStyle w:val="FootnoteText"/>
      </w:pPr>
      <w:r>
        <w:rPr>
          <w:rStyle w:val="FootnoteReference"/>
        </w:rPr>
        <w:footnoteRef/>
      </w:r>
      <w:r w:rsidR="00250735">
        <w:t xml:space="preserve"> </w:t>
      </w:r>
      <w:r w:rsidR="00250735">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 6.</w:t>
      </w:r>
    </w:p>
  </w:footnote>
  <w:footnote w:id="64">
    <w:p w:rsidR="0044225D" w:rsidRDefault="0044225D">
      <w:pPr>
        <w:pStyle w:val="FootnoteText"/>
      </w:pPr>
      <w:r>
        <w:rPr>
          <w:rStyle w:val="FootnoteReference"/>
        </w:rPr>
        <w:footnoteRef/>
      </w:r>
      <w:r>
        <w:t xml:space="preserve"> </w:t>
      </w:r>
      <w:r>
        <w:tab/>
        <w:t>Sl</w:t>
      </w:r>
      <w:r w:rsidR="00250735">
        <w:t xml:space="preserve">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 6.</w:t>
      </w:r>
    </w:p>
  </w:footnote>
  <w:footnote w:id="65">
    <w:p w:rsidR="0044225D" w:rsidRDefault="0044225D">
      <w:pPr>
        <w:pStyle w:val="FootnoteText"/>
      </w:pPr>
      <w:r>
        <w:rPr>
          <w:rStyle w:val="FootnoteReference"/>
        </w:rPr>
        <w:footnoteRef/>
      </w:r>
      <w:r w:rsidR="00250735">
        <w:t xml:space="preserve"> </w:t>
      </w:r>
      <w:r w:rsidR="00250735">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 7.</w:t>
      </w:r>
    </w:p>
  </w:footnote>
  <w:footnote w:id="66">
    <w:p w:rsidR="0044225D" w:rsidRDefault="0044225D">
      <w:pPr>
        <w:pStyle w:val="FootnoteText"/>
      </w:pPr>
      <w:r>
        <w:rPr>
          <w:rStyle w:val="FootnoteReference"/>
        </w:rPr>
        <w:footnoteRef/>
      </w:r>
      <w:r w:rsidR="00250735">
        <w:t xml:space="preserve"> </w:t>
      </w:r>
      <w:r w:rsidR="00250735">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 7.</w:t>
      </w:r>
    </w:p>
  </w:footnote>
  <w:footnote w:id="67">
    <w:p w:rsidR="0044225D" w:rsidRDefault="0044225D">
      <w:pPr>
        <w:pStyle w:val="FootnoteText"/>
      </w:pPr>
      <w:r>
        <w:rPr>
          <w:rStyle w:val="FootnoteReference"/>
        </w:rPr>
        <w:footnoteRef/>
      </w:r>
      <w:r w:rsidR="00250735">
        <w:t xml:space="preserve"> </w:t>
      </w:r>
      <w:r w:rsidR="00250735">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 7.</w:t>
      </w:r>
    </w:p>
  </w:footnote>
  <w:footnote w:id="68">
    <w:p w:rsidR="0044225D" w:rsidRDefault="0044225D">
      <w:pPr>
        <w:pStyle w:val="FootnoteText"/>
      </w:pPr>
      <w:r>
        <w:rPr>
          <w:rStyle w:val="FootnoteReference"/>
        </w:rPr>
        <w:footnoteRef/>
      </w:r>
      <w:r>
        <w:t xml:space="preserve"> </w:t>
      </w:r>
      <w:r>
        <w:tab/>
      </w:r>
      <w:r w:rsidRPr="00F061DA">
        <w:t xml:space="preserve">JGN, </w:t>
      </w:r>
      <w:r w:rsidRPr="00F061DA">
        <w:rPr>
          <w:rStyle w:val="AERtextitalic"/>
        </w:rPr>
        <w:t xml:space="preserve">2015-20 Access Arrangement Information – </w:t>
      </w:r>
      <w:r>
        <w:rPr>
          <w:rStyle w:val="AERtextitalic"/>
        </w:rPr>
        <w:t>Public,</w:t>
      </w:r>
      <w:r w:rsidRPr="00F061DA">
        <w:t xml:space="preserve"> 30 June 2014,</w:t>
      </w:r>
      <w:r>
        <w:t xml:space="preserve"> </w:t>
      </w:r>
      <w:r w:rsidRPr="008907A4">
        <w:t>Appendix 06.07 Forecast capital expenditure report - PUBLIC</w:t>
      </w:r>
      <w:r>
        <w:t>, p. 20.</w:t>
      </w:r>
    </w:p>
  </w:footnote>
  <w:footnote w:id="69">
    <w:p w:rsidR="0044225D" w:rsidRDefault="0044225D" w:rsidP="000B5876">
      <w:pPr>
        <w:pStyle w:val="FootnoteText"/>
      </w:pPr>
      <w:r>
        <w:rPr>
          <w:rStyle w:val="FootnoteReference"/>
        </w:rPr>
        <w:footnoteRef/>
      </w:r>
      <w:r w:rsidR="00250735">
        <w:t xml:space="preserve"> </w:t>
      </w:r>
      <w:r w:rsidR="00250735">
        <w:tab/>
        <w:t xml:space="preserve">Sleeman Consulting, </w:t>
      </w:r>
      <w:r w:rsidRPr="00A65031">
        <w:rPr>
          <w:rStyle w:val="AERtextitalic"/>
        </w:rPr>
        <w:t xml:space="preserve">Jemena Gas Networks 2015 Access Arrangement Submission, Review of Capex Forecasts </w:t>
      </w:r>
      <w:r>
        <w:rPr>
          <w:rStyle w:val="AERtextitalic"/>
        </w:rPr>
        <w:t>for Meter</w:t>
      </w:r>
      <w:r w:rsidRPr="00A65031">
        <w:rPr>
          <w:rStyle w:val="AERtextitalic"/>
        </w:rPr>
        <w:t xml:space="preserve"> Renewal and </w:t>
      </w:r>
      <w:r>
        <w:rPr>
          <w:rStyle w:val="AERtextitalic"/>
        </w:rPr>
        <w:t xml:space="preserve">Upgrade, Mains and Services </w:t>
      </w:r>
      <w:r w:rsidRPr="00A65031">
        <w:rPr>
          <w:rStyle w:val="AERtextitalic"/>
        </w:rPr>
        <w:t>Re</w:t>
      </w:r>
      <w:r>
        <w:rPr>
          <w:rStyle w:val="AERtextitalic"/>
        </w:rPr>
        <w:t>newal and SCADA</w:t>
      </w:r>
      <w:r w:rsidRPr="00A65031">
        <w:rPr>
          <w:rStyle w:val="AERtextitalic"/>
        </w:rPr>
        <w:t>, Report to Australian Energy Regulator</w:t>
      </w:r>
      <w:r>
        <w:t>, October 2014, p. 7.</w:t>
      </w:r>
    </w:p>
  </w:footnote>
  <w:footnote w:id="70">
    <w:p w:rsidR="0044225D" w:rsidRDefault="0044225D">
      <w:pPr>
        <w:pStyle w:val="FootnoteText"/>
      </w:pPr>
      <w:r>
        <w:rPr>
          <w:rStyle w:val="FootnoteReference"/>
        </w:rPr>
        <w:footnoteRef/>
      </w:r>
      <w:r>
        <w:t xml:space="preserve"> </w:t>
      </w:r>
      <w:r>
        <w:tab/>
        <w:t>NGL, r.79(1)(a).</w:t>
      </w:r>
    </w:p>
  </w:footnote>
  <w:footnote w:id="71">
    <w:p w:rsidR="0044225D" w:rsidRDefault="0044225D">
      <w:pPr>
        <w:pStyle w:val="FootnoteText"/>
      </w:pPr>
      <w:r>
        <w:rPr>
          <w:rStyle w:val="FootnoteReference"/>
        </w:rPr>
        <w:footnoteRef/>
      </w:r>
      <w:r>
        <w:t xml:space="preserve"> </w:t>
      </w:r>
      <w:r>
        <w:tab/>
      </w:r>
      <w:r w:rsidRPr="00AE15F7">
        <w:t xml:space="preserve">JGN, </w:t>
      </w:r>
      <w:r w:rsidRPr="00AE15F7">
        <w:rPr>
          <w:rStyle w:val="AERtextitalic"/>
        </w:rPr>
        <w:t>2015-20 Access Arrangement Information – Public,</w:t>
      </w:r>
      <w:r w:rsidRPr="00AE15F7">
        <w:t xml:space="preserve"> 30 June 2014, Appendix 06.07 Forecast capital expenditure report - PUBLIC, p. 2</w:t>
      </w:r>
      <w:r>
        <w:t>3</w:t>
      </w:r>
      <w:r w:rsidRPr="00AE15F7">
        <w:t>.</w:t>
      </w:r>
    </w:p>
  </w:footnote>
  <w:footnote w:id="72">
    <w:p w:rsidR="0044225D" w:rsidRDefault="0044225D">
      <w:pPr>
        <w:pStyle w:val="FootnoteText"/>
      </w:pPr>
      <w:r>
        <w:rPr>
          <w:rStyle w:val="FootnoteReference"/>
        </w:rPr>
        <w:footnoteRef/>
      </w:r>
      <w:r>
        <w:t xml:space="preserve"> </w:t>
      </w:r>
      <w:r>
        <w:tab/>
      </w:r>
      <w:r w:rsidRPr="00331E90">
        <w:t xml:space="preserve">JGN, </w:t>
      </w:r>
      <w:r w:rsidRPr="00331E90">
        <w:rPr>
          <w:rStyle w:val="AERtextitalic"/>
        </w:rPr>
        <w:t>2015-20 Access Arrangement Information – Public,</w:t>
      </w:r>
      <w:r w:rsidRPr="00331E90">
        <w:t xml:space="preserve"> 30 June 2014, Appendix 06.07 Forecast capital expenditure report - PUBLIC, p. 2</w:t>
      </w:r>
      <w:r>
        <w:t>2</w:t>
      </w:r>
      <w:r w:rsidRPr="00331E90">
        <w:t>.</w:t>
      </w:r>
    </w:p>
  </w:footnote>
  <w:footnote w:id="73">
    <w:p w:rsidR="0044225D" w:rsidRDefault="0044225D" w:rsidP="00A86AFF">
      <w:pPr>
        <w:pStyle w:val="FootnoteText"/>
      </w:pPr>
      <w:r>
        <w:rPr>
          <w:rStyle w:val="FootnoteReference"/>
        </w:rPr>
        <w:footnoteRef/>
      </w:r>
      <w:r w:rsidR="00250735">
        <w:t xml:space="preserve"> </w:t>
      </w:r>
      <w:r w:rsidR="00250735">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3–4.</w:t>
      </w:r>
    </w:p>
  </w:footnote>
  <w:footnote w:id="74">
    <w:p w:rsidR="0044225D" w:rsidRDefault="0044225D" w:rsidP="00A86AFF">
      <w:pPr>
        <w:pStyle w:val="FootnoteText"/>
      </w:pPr>
      <w:r>
        <w:rPr>
          <w:rStyle w:val="FootnoteReference"/>
        </w:rPr>
        <w:footnoteRef/>
      </w:r>
      <w:r w:rsidR="00250735">
        <w:t xml:space="preserve"> </w:t>
      </w:r>
      <w:r w:rsidR="00250735">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3-9.</w:t>
      </w:r>
    </w:p>
  </w:footnote>
  <w:footnote w:id="75">
    <w:p w:rsidR="0044225D" w:rsidRDefault="0044225D">
      <w:pPr>
        <w:pStyle w:val="FootnoteText"/>
      </w:pPr>
      <w:r>
        <w:rPr>
          <w:rStyle w:val="FootnoteReference"/>
        </w:rPr>
        <w:footnoteRef/>
      </w:r>
      <w:r>
        <w:t xml:space="preserve"> </w:t>
      </w:r>
      <w:r>
        <w:tab/>
      </w:r>
      <w:r w:rsidRPr="00331E90">
        <w:t xml:space="preserve">JGN, </w:t>
      </w:r>
      <w:r w:rsidRPr="00331E90">
        <w:rPr>
          <w:rStyle w:val="AERtextitalic"/>
        </w:rPr>
        <w:t>2015-20 Access Arrangement Information – Public,</w:t>
      </w:r>
      <w:r w:rsidRPr="00331E90">
        <w:t xml:space="preserve"> 30 June 2014, Appendix 06.07 Forecast capital expenditure report - PUBLIC, p. </w:t>
      </w:r>
      <w:r>
        <w:t>61</w:t>
      </w:r>
      <w:r w:rsidRPr="00331E90">
        <w:t>.</w:t>
      </w:r>
    </w:p>
  </w:footnote>
  <w:footnote w:id="76">
    <w:p w:rsidR="0044225D" w:rsidRDefault="0044225D"/>
  </w:footnote>
  <w:footnote w:id="77">
    <w:p w:rsidR="0044225D" w:rsidRDefault="0044225D">
      <w:pPr>
        <w:pStyle w:val="FootnoteText"/>
      </w:pPr>
      <w:r>
        <w:rPr>
          <w:rStyle w:val="FootnoteReference"/>
        </w:rPr>
        <w:footnoteRef/>
      </w:r>
      <w:r>
        <w:t xml:space="preserve"> </w:t>
      </w:r>
      <w:r>
        <w:tab/>
      </w:r>
      <w:r w:rsidRPr="00331E90">
        <w:t xml:space="preserve">JGN, </w:t>
      </w:r>
      <w:r w:rsidRPr="00331E90">
        <w:rPr>
          <w:rStyle w:val="AERtextitalic"/>
        </w:rPr>
        <w:t>2015-20 Access Arrangement Information – Public,</w:t>
      </w:r>
      <w:r w:rsidRPr="00331E90">
        <w:t xml:space="preserve"> 30 June 2014, Appendix 06.07 Forecast capital expenditure report - PUBLIC, </w:t>
      </w:r>
      <w:r>
        <w:t xml:space="preserve">para 240, </w:t>
      </w:r>
      <w:r w:rsidRPr="00331E90">
        <w:t xml:space="preserve">p. </w:t>
      </w:r>
      <w:r>
        <w:t>57</w:t>
      </w:r>
      <w:r w:rsidRPr="00331E90">
        <w:t>.</w:t>
      </w:r>
    </w:p>
  </w:footnote>
  <w:footnote w:id="78">
    <w:p w:rsidR="0044225D" w:rsidRDefault="0044225D" w:rsidP="00D024AF">
      <w:pPr>
        <w:pStyle w:val="FootnoteText"/>
      </w:pPr>
      <w:r>
        <w:rPr>
          <w:rStyle w:val="FootnoteReference"/>
        </w:rPr>
        <w:footnoteRef/>
      </w:r>
      <w:r>
        <w:t xml:space="preserve"> </w:t>
      </w:r>
      <w:r>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w:t>
      </w:r>
    </w:p>
  </w:footnote>
  <w:footnote w:id="79">
    <w:p w:rsidR="0044225D" w:rsidRDefault="0044225D">
      <w:pPr>
        <w:pStyle w:val="FootnoteText"/>
      </w:pPr>
      <w:r>
        <w:rPr>
          <w:rStyle w:val="FootnoteReference"/>
        </w:rPr>
        <w:footnoteRef/>
      </w:r>
      <w:r>
        <w:t xml:space="preserve"> </w:t>
      </w:r>
      <w:r>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10–15.</w:t>
      </w:r>
    </w:p>
  </w:footnote>
  <w:footnote w:id="80">
    <w:p w:rsidR="0044225D" w:rsidRDefault="0044225D">
      <w:pPr>
        <w:pStyle w:val="FootnoteText"/>
      </w:pPr>
      <w:r>
        <w:rPr>
          <w:rStyle w:val="FootnoteReference"/>
        </w:rPr>
        <w:footnoteRef/>
      </w:r>
      <w:r w:rsidR="00250735">
        <w:t xml:space="preserve"> </w:t>
      </w:r>
      <w:r w:rsidR="00250735">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15-16.</w:t>
      </w:r>
    </w:p>
  </w:footnote>
  <w:footnote w:id="81">
    <w:p w:rsidR="0044225D" w:rsidRDefault="0044225D">
      <w:pPr>
        <w:pStyle w:val="FootnoteText"/>
      </w:pPr>
      <w:r>
        <w:rPr>
          <w:rStyle w:val="FootnoteReference"/>
        </w:rPr>
        <w:footnoteRef/>
      </w:r>
      <w:r w:rsidR="00250735">
        <w:t xml:space="preserve"> </w:t>
      </w:r>
      <w:r w:rsidR="00250735">
        <w:tab/>
        <w:t>Sleeman Consulting,</w:t>
      </w:r>
      <w:r>
        <w:t xml:space="preserve">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15-16.</w:t>
      </w:r>
    </w:p>
  </w:footnote>
  <w:footnote w:id="82">
    <w:p w:rsidR="0044225D" w:rsidRDefault="0044225D">
      <w:pPr>
        <w:pStyle w:val="FootnoteText"/>
      </w:pPr>
      <w:r>
        <w:rPr>
          <w:rStyle w:val="FootnoteReference"/>
        </w:rPr>
        <w:footnoteRef/>
      </w:r>
      <w:r>
        <w:t xml:space="preserve"> </w:t>
      </w:r>
      <w:r>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 16.</w:t>
      </w:r>
    </w:p>
  </w:footnote>
  <w:footnote w:id="83">
    <w:p w:rsidR="0044225D" w:rsidRDefault="0044225D">
      <w:pPr>
        <w:pStyle w:val="FootnoteText"/>
      </w:pPr>
      <w:r>
        <w:rPr>
          <w:rStyle w:val="FootnoteReference"/>
        </w:rPr>
        <w:footnoteRef/>
      </w:r>
      <w:r>
        <w:t xml:space="preserve"> </w:t>
      </w:r>
      <w:r>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 16.</w:t>
      </w:r>
    </w:p>
  </w:footnote>
  <w:footnote w:id="84">
    <w:p w:rsidR="0044225D" w:rsidRDefault="0044225D">
      <w:pPr>
        <w:pStyle w:val="FootnoteText"/>
      </w:pPr>
      <w:r>
        <w:rPr>
          <w:rStyle w:val="FootnoteReference"/>
        </w:rPr>
        <w:footnoteRef/>
      </w:r>
      <w:r>
        <w:t xml:space="preserve"> </w:t>
      </w:r>
      <w:r>
        <w:tab/>
      </w:r>
      <w:r w:rsidRPr="00927678">
        <w:t xml:space="preserve">JGN, </w:t>
      </w:r>
      <w:r w:rsidRPr="00927678">
        <w:rPr>
          <w:rStyle w:val="AERtextitalic"/>
        </w:rPr>
        <w:t>2015-20 Access Arrangement Information – Public</w:t>
      </w:r>
      <w:r w:rsidRPr="00927678">
        <w:t>, 30 June 2014, Appendix 06.07 Forecast capital expenditure report - PUBLIC, p.</w:t>
      </w:r>
      <w:r>
        <w:t xml:space="preserve"> 64</w:t>
      </w:r>
      <w:r w:rsidRPr="00927678">
        <w:t>.</w:t>
      </w:r>
    </w:p>
  </w:footnote>
  <w:footnote w:id="85">
    <w:p w:rsidR="0044225D" w:rsidRDefault="0044225D" w:rsidP="00A06143">
      <w:pPr>
        <w:pStyle w:val="FootnoteText"/>
      </w:pPr>
      <w:r>
        <w:rPr>
          <w:rStyle w:val="FootnoteReference"/>
        </w:rPr>
        <w:footnoteRef/>
      </w:r>
      <w:r>
        <w:t xml:space="preserve"> </w:t>
      </w:r>
      <w:r>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10–15.</w:t>
      </w:r>
    </w:p>
  </w:footnote>
  <w:footnote w:id="86">
    <w:p w:rsidR="0044225D" w:rsidRDefault="0044225D" w:rsidP="00986019">
      <w:pPr>
        <w:pStyle w:val="FootnoteText"/>
      </w:pPr>
      <w:r>
        <w:rPr>
          <w:rStyle w:val="FootnoteReference"/>
        </w:rPr>
        <w:footnoteRef/>
      </w:r>
      <w:r>
        <w:t xml:space="preserve"> </w:t>
      </w:r>
      <w:r>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15–16.</w:t>
      </w:r>
    </w:p>
  </w:footnote>
  <w:footnote w:id="87">
    <w:p w:rsidR="0044225D" w:rsidRDefault="0044225D" w:rsidP="00FC2047">
      <w:pPr>
        <w:pStyle w:val="FootnoteText"/>
      </w:pPr>
      <w:r>
        <w:rPr>
          <w:rStyle w:val="FootnoteReference"/>
        </w:rPr>
        <w:footnoteRef/>
      </w:r>
      <w:r>
        <w:t xml:space="preserve"> </w:t>
      </w:r>
      <w:r>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15–16.</w:t>
      </w:r>
    </w:p>
  </w:footnote>
  <w:footnote w:id="88">
    <w:p w:rsidR="0044225D" w:rsidRDefault="0044225D" w:rsidP="0087125A">
      <w:pPr>
        <w:pStyle w:val="FootnoteText"/>
      </w:pPr>
      <w:r>
        <w:rPr>
          <w:rStyle w:val="FootnoteReference"/>
        </w:rPr>
        <w:footnoteRef/>
      </w:r>
      <w:r>
        <w:t xml:space="preserve"> </w:t>
      </w:r>
      <w:r>
        <w:tab/>
        <w:t xml:space="preserve">ESC, </w:t>
      </w:r>
      <w:r w:rsidRPr="00483140">
        <w:rPr>
          <w:rStyle w:val="AERtextitalic"/>
        </w:rPr>
        <w:t>Gas Distribution System Code (Version 9.0 effective from 1 January 2009)</w:t>
      </w:r>
      <w:r>
        <w:t>,</w:t>
      </w:r>
      <w:r w:rsidRPr="00B91BB7">
        <w:t xml:space="preserve"> 12 December 2008</w:t>
      </w:r>
      <w:r>
        <w:t>.</w:t>
      </w:r>
    </w:p>
  </w:footnote>
  <w:footnote w:id="89">
    <w:p w:rsidR="0044225D" w:rsidRDefault="0044225D" w:rsidP="0087125A">
      <w:pPr>
        <w:pStyle w:val="FootnoteText"/>
      </w:pPr>
      <w:r>
        <w:rPr>
          <w:rStyle w:val="FootnoteReference"/>
        </w:rPr>
        <w:footnoteRef/>
      </w:r>
      <w:r>
        <w:t xml:space="preserve"> </w:t>
      </w:r>
      <w:r>
        <w:tab/>
        <w:t>Groups of similar meters installed in the same year.</w:t>
      </w:r>
    </w:p>
  </w:footnote>
  <w:footnote w:id="90">
    <w:p w:rsidR="0044225D" w:rsidRDefault="0044225D" w:rsidP="0087125A">
      <w:pPr>
        <w:pStyle w:val="FootnoteText"/>
      </w:pPr>
      <w:r>
        <w:rPr>
          <w:rStyle w:val="FootnoteReference"/>
        </w:rPr>
        <w:footnoteRef/>
      </w:r>
      <w:r>
        <w:t xml:space="preserve"> </w:t>
      </w:r>
      <w:r>
        <w:tab/>
      </w:r>
      <w:r w:rsidRPr="008F6C09">
        <w:t xml:space="preserve">Services Australia/Services New Zealand, </w:t>
      </w:r>
      <w:r w:rsidRPr="008F6C09">
        <w:rPr>
          <w:rStyle w:val="AERtextitalic"/>
        </w:rPr>
        <w:t>Gas meters—In service compliance testing AS/NZS 4944:2006</w:t>
      </w:r>
      <w:r w:rsidRPr="008F6C09">
        <w:t>, May 2006</w:t>
      </w:r>
      <w:r>
        <w:t>.</w:t>
      </w:r>
    </w:p>
  </w:footnote>
  <w:footnote w:id="91">
    <w:p w:rsidR="0044225D" w:rsidRDefault="0044225D">
      <w:pPr>
        <w:pStyle w:val="FootnoteText"/>
      </w:pPr>
      <w:r>
        <w:rPr>
          <w:rStyle w:val="FootnoteReference"/>
        </w:rPr>
        <w:footnoteRef/>
      </w:r>
      <w:r>
        <w:t xml:space="preserve"> </w:t>
      </w:r>
      <w:r>
        <w:tab/>
      </w:r>
      <w:r w:rsidRPr="00F061DA">
        <w:t xml:space="preserve">JGN, </w:t>
      </w:r>
      <w:r w:rsidRPr="00F061DA">
        <w:rPr>
          <w:rStyle w:val="AERtextitalic"/>
        </w:rPr>
        <w:t>2015-20 Access Arrangement Information – Public</w:t>
      </w:r>
      <w:r w:rsidRPr="00F061DA">
        <w:t>, 30 June 2014, p. 60</w:t>
      </w:r>
      <w:r>
        <w:t xml:space="preserve">; </w:t>
      </w:r>
      <w:r w:rsidRPr="00927678">
        <w:t xml:space="preserve">JGN, </w:t>
      </w:r>
      <w:r w:rsidRPr="00927678">
        <w:rPr>
          <w:rStyle w:val="AERtextitalic"/>
        </w:rPr>
        <w:t>2015-20 Access Arrangement Information – Public</w:t>
      </w:r>
      <w:r w:rsidRPr="00927678">
        <w:t xml:space="preserve">, 30 June 2014, Appendix 06.07 Forecast capital expenditure report - PUBLIC, </w:t>
      </w:r>
      <w:r>
        <w:t>p</w:t>
      </w:r>
      <w:r w:rsidRPr="00927678">
        <w:t>p.</w:t>
      </w:r>
      <w:r>
        <w:t xml:space="preserve"> 28–30</w:t>
      </w:r>
      <w:r w:rsidRPr="00F061DA">
        <w:t>.</w:t>
      </w:r>
    </w:p>
  </w:footnote>
  <w:footnote w:id="92">
    <w:p w:rsidR="0044225D" w:rsidRDefault="0044225D">
      <w:pPr>
        <w:pStyle w:val="FootnoteText"/>
      </w:pPr>
      <w:r>
        <w:rPr>
          <w:rStyle w:val="FootnoteReference"/>
        </w:rPr>
        <w:footnoteRef/>
      </w:r>
      <w:r>
        <w:t xml:space="preserve"> </w:t>
      </w:r>
      <w:r>
        <w:tab/>
        <w:t xml:space="preserve">JGN, </w:t>
      </w:r>
      <w:r w:rsidRPr="00DD4387">
        <w:rPr>
          <w:rStyle w:val="AERtextitalic"/>
        </w:rPr>
        <w:t>2015-20 Access Arrangement Information – Public</w:t>
      </w:r>
      <w:r>
        <w:t xml:space="preserve">, </w:t>
      </w:r>
      <w:r w:rsidRPr="00DD4387">
        <w:t>30 June 2014</w:t>
      </w:r>
      <w:r>
        <w:t>, p. 60.</w:t>
      </w:r>
    </w:p>
  </w:footnote>
  <w:footnote w:id="93">
    <w:p w:rsidR="0044225D" w:rsidRDefault="0044225D">
      <w:pPr>
        <w:pStyle w:val="FootnoteText"/>
      </w:pPr>
      <w:r>
        <w:rPr>
          <w:rStyle w:val="FootnoteReference"/>
        </w:rPr>
        <w:footnoteRef/>
      </w:r>
      <w:r>
        <w:t xml:space="preserve"> </w:t>
      </w:r>
      <w:r>
        <w:tab/>
        <w:t xml:space="preserve">JGN, </w:t>
      </w:r>
      <w:r w:rsidRPr="00DD4387">
        <w:rPr>
          <w:rStyle w:val="AERtextitalic"/>
        </w:rPr>
        <w:t xml:space="preserve">2015-20 Access Arrangement Information – </w:t>
      </w:r>
      <w:r>
        <w:rPr>
          <w:rStyle w:val="AERtextitalic"/>
        </w:rPr>
        <w:t>Confidential</w:t>
      </w:r>
      <w:r>
        <w:t xml:space="preserve">, </w:t>
      </w:r>
      <w:r w:rsidRPr="00DD4387">
        <w:t>30 June 2014</w:t>
      </w:r>
      <w:r>
        <w:t xml:space="preserve">, </w:t>
      </w:r>
      <w:r w:rsidRPr="00A14B4C">
        <w:t>Appendix 06.04 - JGN capex forecast model - CONFIDENTIAL.xlsb</w:t>
      </w:r>
    </w:p>
  </w:footnote>
  <w:footnote w:id="94">
    <w:p w:rsidR="0044225D" w:rsidRDefault="0044225D">
      <w:pPr>
        <w:pStyle w:val="FootnoteText"/>
      </w:pPr>
      <w:r>
        <w:rPr>
          <w:rStyle w:val="FootnoteReference"/>
        </w:rPr>
        <w:footnoteRef/>
      </w:r>
      <w:r>
        <w:t xml:space="preserve"> </w:t>
      </w:r>
      <w:r>
        <w:tab/>
        <w:t>JGN, Response to AER Information Request 21 - metering, 8 September 2014, pp. 4–5.</w:t>
      </w:r>
    </w:p>
  </w:footnote>
  <w:footnote w:id="95">
    <w:p w:rsidR="0044225D" w:rsidRDefault="0044225D">
      <w:pPr>
        <w:pStyle w:val="FootnoteText"/>
      </w:pPr>
      <w:r>
        <w:rPr>
          <w:rStyle w:val="FootnoteReference"/>
        </w:rPr>
        <w:footnoteRef/>
      </w:r>
      <w:r>
        <w:t xml:space="preserve"> </w:t>
      </w:r>
      <w:r>
        <w:tab/>
        <w:t>AER, Information Request 38, sent 13 October 2014.</w:t>
      </w:r>
    </w:p>
  </w:footnote>
  <w:footnote w:id="96">
    <w:p w:rsidR="0044225D" w:rsidRDefault="0044225D">
      <w:pPr>
        <w:pStyle w:val="FootnoteText"/>
      </w:pPr>
      <w:r>
        <w:rPr>
          <w:rStyle w:val="FootnoteReference"/>
        </w:rPr>
        <w:footnoteRef/>
      </w:r>
      <w:r>
        <w:t xml:space="preserve"> </w:t>
      </w:r>
      <w:r>
        <w:tab/>
        <w:t xml:space="preserve">JGN, </w:t>
      </w:r>
      <w:r w:rsidRPr="00DD4387">
        <w:rPr>
          <w:rStyle w:val="AERtextitalic"/>
        </w:rPr>
        <w:t xml:space="preserve">2015-20 Access Arrangement Information – </w:t>
      </w:r>
      <w:r>
        <w:rPr>
          <w:rStyle w:val="AERtextitalic"/>
        </w:rPr>
        <w:t>Confidential</w:t>
      </w:r>
      <w:r>
        <w:t xml:space="preserve">, </w:t>
      </w:r>
      <w:r w:rsidRPr="00DD4387">
        <w:t>30 June 2014</w:t>
      </w:r>
      <w:r>
        <w:t>,</w:t>
      </w:r>
      <w:r w:rsidRPr="00C37FB6">
        <w:t xml:space="preserve"> Appendix A to the AA RIN response - Regulatory templates (CONFIDENTIAL) [UPDATE].XLSM</w:t>
      </w:r>
      <w:r>
        <w:t>.</w:t>
      </w:r>
    </w:p>
  </w:footnote>
  <w:footnote w:id="97">
    <w:p w:rsidR="0044225D" w:rsidRDefault="0044225D" w:rsidP="000A1865">
      <w:pPr>
        <w:pStyle w:val="FootnoteText"/>
      </w:pPr>
      <w:r>
        <w:rPr>
          <w:rStyle w:val="FootnoteReference"/>
        </w:rPr>
        <w:footnoteRef/>
      </w:r>
      <w:r>
        <w:t xml:space="preserve"> </w:t>
      </w:r>
      <w:r>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10–15.</w:t>
      </w:r>
    </w:p>
  </w:footnote>
  <w:footnote w:id="98">
    <w:p w:rsidR="0044225D" w:rsidRDefault="0044225D" w:rsidP="00790222">
      <w:pPr>
        <w:pStyle w:val="FootnoteText"/>
      </w:pPr>
      <w:r>
        <w:rPr>
          <w:rStyle w:val="FootnoteReference"/>
        </w:rPr>
        <w:footnoteRef/>
      </w:r>
      <w:r>
        <w:t xml:space="preserve"> </w:t>
      </w:r>
      <w:r>
        <w:tab/>
        <w:t xml:space="preserve">Sleeman Consulting, </w:t>
      </w:r>
      <w:r w:rsidRPr="00A65031">
        <w:rPr>
          <w:rStyle w:val="AERtextitalic"/>
        </w:rPr>
        <w:t>Jemena Gas Networks 2015 Access Arrangement Submission, Review of Capex Forecasts for C</w:t>
      </w:r>
      <w:r>
        <w:rPr>
          <w:rStyle w:val="AERtextitalic"/>
        </w:rPr>
        <w:t>a</w:t>
      </w:r>
      <w:r w:rsidRPr="00A65031">
        <w:rPr>
          <w:rStyle w:val="AERtextitalic"/>
        </w:rPr>
        <w:t>pacity Development and Facilities Renewal and Replacement, Report to Australian Energy Regulator</w:t>
      </w:r>
      <w:r>
        <w:t>, September 2014, pp. 15–16.</w:t>
      </w:r>
    </w:p>
  </w:footnote>
  <w:footnote w:id="99">
    <w:p w:rsidR="0044225D" w:rsidRDefault="0044225D">
      <w:pPr>
        <w:pStyle w:val="FootnoteText"/>
      </w:pPr>
      <w:r>
        <w:rPr>
          <w:rStyle w:val="FootnoteReference"/>
        </w:rPr>
        <w:footnoteRef/>
      </w:r>
      <w:r>
        <w:t xml:space="preserve"> </w:t>
      </w:r>
      <w:r>
        <w:tab/>
        <w:t>NGL, r.74(2)(a).</w:t>
      </w:r>
    </w:p>
  </w:footnote>
  <w:footnote w:id="100">
    <w:p w:rsidR="0044225D" w:rsidRDefault="0044225D">
      <w:pPr>
        <w:pStyle w:val="FootnoteText"/>
      </w:pPr>
      <w:r>
        <w:rPr>
          <w:rStyle w:val="FootnoteReference"/>
        </w:rPr>
        <w:footnoteRef/>
      </w:r>
      <w:r>
        <w:t xml:space="preserve"> </w:t>
      </w:r>
      <w:r>
        <w:tab/>
      </w:r>
      <w:r w:rsidRPr="00F061DA">
        <w:t xml:space="preserve">JGN, </w:t>
      </w:r>
      <w:r w:rsidRPr="00F061DA">
        <w:rPr>
          <w:rStyle w:val="AERtextitalic"/>
        </w:rPr>
        <w:t>2015-20 Access Arrangement Information – Public</w:t>
      </w:r>
      <w:r w:rsidRPr="00F061DA">
        <w:t>, 30 June 2014,</w:t>
      </w:r>
      <w:r>
        <w:t xml:space="preserve"> </w:t>
      </w:r>
      <w:r w:rsidRPr="00DC4658">
        <w:t>Appendix 06.07 Forecast capital</w:t>
      </w:r>
      <w:r>
        <w:t xml:space="preserve"> expenditure report - PUBLIC, p. 30.</w:t>
      </w:r>
    </w:p>
  </w:footnote>
  <w:footnote w:id="101">
    <w:p w:rsidR="0044225D" w:rsidRDefault="0044225D">
      <w:pPr>
        <w:pStyle w:val="FootnoteText"/>
      </w:pPr>
      <w:r>
        <w:rPr>
          <w:rStyle w:val="FootnoteReference"/>
        </w:rPr>
        <w:footnoteRef/>
      </w:r>
      <w:r>
        <w:t xml:space="preserve"> </w:t>
      </w:r>
      <w:r>
        <w:tab/>
      </w:r>
      <w:r w:rsidRPr="00927678">
        <w:t xml:space="preserve">JGN, </w:t>
      </w:r>
      <w:r w:rsidRPr="00927678">
        <w:rPr>
          <w:rStyle w:val="AERtextitalic"/>
        </w:rPr>
        <w:t>2015-20 Access Arrangement Information – Public</w:t>
      </w:r>
      <w:r w:rsidRPr="00927678">
        <w:t>, 30 June 2014, Appendix 06.07 Forecast capital expenditure report - PUBLIC, p.</w:t>
      </w:r>
      <w:r>
        <w:t xml:space="preserve"> 31</w:t>
      </w:r>
      <w:r w:rsidRPr="00927678">
        <w:t>.</w:t>
      </w:r>
    </w:p>
  </w:footnote>
  <w:footnote w:id="102">
    <w:p w:rsidR="0044225D" w:rsidRDefault="0044225D" w:rsidP="0044225D">
      <w:pPr>
        <w:pStyle w:val="FootnoteText"/>
      </w:pPr>
      <w:r>
        <w:rPr>
          <w:rStyle w:val="FootnoteReference"/>
        </w:rPr>
        <w:footnoteRef/>
      </w:r>
      <w:r>
        <w:t xml:space="preserve"> </w:t>
      </w:r>
      <w:r>
        <w:tab/>
        <w:t xml:space="preserve">See AER, </w:t>
      </w:r>
      <w:r w:rsidRPr="00BD2074">
        <w:rPr>
          <w:rStyle w:val="AERtextitalic"/>
        </w:rPr>
        <w:t>Access Arrangement draft decision: Multinet Gas (DB No.1) Pty Ltd, Multinet Gas (DB No.2) Pty Ltd</w:t>
      </w:r>
      <w:r>
        <w:t xml:space="preserve">, 2013–17 </w:t>
      </w:r>
    </w:p>
    <w:p w:rsidR="0044225D" w:rsidRDefault="0044225D" w:rsidP="00A840D7">
      <w:pPr>
        <w:pStyle w:val="FootnoteText"/>
      </w:pPr>
      <w:r>
        <w:tab/>
        <w:t>Part 2 Attachments, p.51</w:t>
      </w:r>
      <w:r w:rsidR="00BD2074">
        <w:t xml:space="preserve"> (recoverable works: Highett)</w:t>
      </w:r>
      <w:r>
        <w:t xml:space="preserve">; </w:t>
      </w:r>
      <w:r w:rsidR="00A840D7">
        <w:t xml:space="preserve">SP AusNet, </w:t>
      </w:r>
      <w:r w:rsidR="00A840D7" w:rsidRPr="00BD2074">
        <w:rPr>
          <w:rStyle w:val="AERtextitalic"/>
        </w:rPr>
        <w:t>2013-2017 Gas Access Arrangement Review – Access Arrangement Information</w:t>
      </w:r>
      <w:r w:rsidR="00580048">
        <w:t xml:space="preserve">, </w:t>
      </w:r>
      <w:r w:rsidR="00A840D7">
        <w:t>30 March 2012, p.101 (major alterations).</w:t>
      </w:r>
    </w:p>
  </w:footnote>
  <w:footnote w:id="103">
    <w:p w:rsidR="0044225D" w:rsidRDefault="0044225D" w:rsidP="009C33E8">
      <w:pPr>
        <w:pStyle w:val="FootnoteText"/>
      </w:pPr>
      <w:r>
        <w:rPr>
          <w:rStyle w:val="FootnoteReference"/>
        </w:rPr>
        <w:footnoteRef/>
      </w:r>
      <w:r>
        <w:t xml:space="preserve"> </w:t>
      </w:r>
      <w:r>
        <w:tab/>
      </w:r>
      <w:r w:rsidRPr="00927678">
        <w:t xml:space="preserve">JGN, </w:t>
      </w:r>
      <w:r w:rsidRPr="00927678">
        <w:rPr>
          <w:rStyle w:val="AERtextitalic"/>
        </w:rPr>
        <w:t>2015-20 Access Arrangement Information – Public</w:t>
      </w:r>
      <w:r w:rsidRPr="00927678">
        <w:t>, 30 June 2014</w:t>
      </w:r>
      <w:r>
        <w:t>, pp. 62-63.</w:t>
      </w:r>
    </w:p>
  </w:footnote>
  <w:footnote w:id="104">
    <w:p w:rsidR="0044225D" w:rsidRDefault="0044225D" w:rsidP="003F23E4">
      <w:pPr>
        <w:pStyle w:val="FootnoteText"/>
      </w:pPr>
      <w:r>
        <w:rPr>
          <w:rStyle w:val="FootnoteReference"/>
        </w:rPr>
        <w:footnoteRef/>
      </w:r>
      <w:r>
        <w:t xml:space="preserve"> </w:t>
      </w:r>
      <w:r>
        <w:tab/>
        <w:t>NGR, r. 79(2)(c).</w:t>
      </w:r>
    </w:p>
  </w:footnote>
  <w:footnote w:id="105">
    <w:p w:rsidR="0044225D" w:rsidRDefault="0044225D" w:rsidP="009C33E8">
      <w:pPr>
        <w:pStyle w:val="FootnoteText"/>
      </w:pPr>
      <w:r>
        <w:rPr>
          <w:rStyle w:val="FootnoteReference"/>
        </w:rPr>
        <w:footnoteRef/>
      </w:r>
      <w:r>
        <w:t xml:space="preserve"> </w:t>
      </w:r>
      <w:r>
        <w:tab/>
        <w:t>NGR, r. 74(2) and r. 79.</w:t>
      </w:r>
    </w:p>
  </w:footnote>
  <w:footnote w:id="106">
    <w:p w:rsidR="0044225D" w:rsidRDefault="0044225D" w:rsidP="009C33E8">
      <w:pPr>
        <w:pStyle w:val="FootnoteText"/>
      </w:pPr>
      <w:r>
        <w:rPr>
          <w:rStyle w:val="FootnoteReference"/>
        </w:rPr>
        <w:footnoteRef/>
      </w:r>
      <w:r>
        <w:t xml:space="preserve"> </w:t>
      </w:r>
      <w:r>
        <w:tab/>
        <w:t xml:space="preserve">JGN, </w:t>
      </w:r>
      <w:r w:rsidRPr="00E052FD">
        <w:rPr>
          <w:rStyle w:val="AERtextitalic"/>
        </w:rPr>
        <w:t>Appendix 6.3 - JGN IT Strategy and Asset Management Plan 2014/15 to 2019/20 - Public</w:t>
      </w:r>
      <w:r>
        <w:t>, 30 June 2014, p. 11.</w:t>
      </w:r>
    </w:p>
  </w:footnote>
  <w:footnote w:id="107">
    <w:p w:rsidR="0044225D" w:rsidRDefault="0044225D" w:rsidP="009C33E8">
      <w:pPr>
        <w:pStyle w:val="FootnoteText"/>
      </w:pPr>
      <w:r>
        <w:rPr>
          <w:rStyle w:val="FootnoteReference"/>
        </w:rPr>
        <w:footnoteRef/>
      </w:r>
      <w:r>
        <w:t xml:space="preserve"> </w:t>
      </w:r>
      <w:r>
        <w:tab/>
        <w:t xml:space="preserve">JGN, </w:t>
      </w:r>
      <w:r w:rsidRPr="007827CF">
        <w:rPr>
          <w:rStyle w:val="AERtextitalic"/>
        </w:rPr>
        <w:t xml:space="preserve">Appendix 6.7 - </w:t>
      </w:r>
      <w:r>
        <w:rPr>
          <w:rStyle w:val="AERtextitalic"/>
        </w:rPr>
        <w:t>Forecas</w:t>
      </w:r>
      <w:r w:rsidRPr="007827CF">
        <w:rPr>
          <w:rStyle w:val="AERtextitalic"/>
        </w:rPr>
        <w:t>t capital expenditure report - PUBLIC</w:t>
      </w:r>
      <w:r>
        <w:t>, 30 June 2014, p. 37.</w:t>
      </w:r>
    </w:p>
  </w:footnote>
  <w:footnote w:id="108">
    <w:p w:rsidR="0044225D" w:rsidRDefault="0044225D" w:rsidP="009C33E8">
      <w:pPr>
        <w:pStyle w:val="FootnoteText"/>
      </w:pPr>
      <w:r>
        <w:rPr>
          <w:rStyle w:val="FootnoteReference"/>
        </w:rPr>
        <w:footnoteRef/>
      </w:r>
      <w:r>
        <w:t xml:space="preserve"> </w:t>
      </w:r>
      <w:r>
        <w:tab/>
        <w:t xml:space="preserve">JGN, </w:t>
      </w:r>
      <w:r w:rsidRPr="00076F86">
        <w:rPr>
          <w:rStyle w:val="AERtextitalic"/>
        </w:rPr>
        <w:t>2015-20 Access Arrangement Information – Public</w:t>
      </w:r>
      <w:r w:rsidRPr="00076F86">
        <w:t>, 30 June 2014, p.</w:t>
      </w:r>
      <w:r>
        <w:t xml:space="preserve"> 47.</w:t>
      </w:r>
    </w:p>
  </w:footnote>
  <w:footnote w:id="109">
    <w:p w:rsidR="0044225D" w:rsidRDefault="0044225D" w:rsidP="009C33E8">
      <w:pPr>
        <w:pStyle w:val="FootnoteText"/>
      </w:pPr>
      <w:r>
        <w:rPr>
          <w:rStyle w:val="FootnoteReference"/>
        </w:rPr>
        <w:footnoteRef/>
      </w:r>
      <w:r>
        <w:t xml:space="preserve"> </w:t>
      </w:r>
      <w:r>
        <w:tab/>
        <w:t xml:space="preserve">JGN, </w:t>
      </w:r>
      <w:r w:rsidRPr="007827CF">
        <w:rPr>
          <w:rStyle w:val="AERtextitalic"/>
        </w:rPr>
        <w:t xml:space="preserve">Appendix 6.7 - </w:t>
      </w:r>
      <w:r>
        <w:rPr>
          <w:rStyle w:val="AERtextitalic"/>
        </w:rPr>
        <w:t>Forecas</w:t>
      </w:r>
      <w:r w:rsidRPr="007827CF">
        <w:rPr>
          <w:rStyle w:val="AERtextitalic"/>
        </w:rPr>
        <w:t>t capital expenditure report - PUBLIC</w:t>
      </w:r>
      <w:r>
        <w:t>, 30 June 2014, p. 38.</w:t>
      </w:r>
    </w:p>
  </w:footnote>
  <w:footnote w:id="110">
    <w:p w:rsidR="0044225D" w:rsidRDefault="0044225D" w:rsidP="009C33E8">
      <w:pPr>
        <w:pStyle w:val="FootnoteText"/>
      </w:pPr>
      <w:r>
        <w:rPr>
          <w:rStyle w:val="FootnoteReference"/>
        </w:rPr>
        <w:footnoteRef/>
      </w:r>
      <w:r>
        <w:t xml:space="preserve"> </w:t>
      </w:r>
      <w:r>
        <w:tab/>
        <w:t xml:space="preserve">JGN, </w:t>
      </w:r>
      <w:r w:rsidRPr="00E052FD">
        <w:rPr>
          <w:rStyle w:val="AERtextitalic"/>
        </w:rPr>
        <w:t>Appendix 6.3 - JGN IT Strategy and Asset Management Plan 2014/15 to 2019/20 - Public</w:t>
      </w:r>
      <w:r>
        <w:t>, 30 June 2014.</w:t>
      </w:r>
    </w:p>
  </w:footnote>
  <w:footnote w:id="111">
    <w:p w:rsidR="0044225D" w:rsidRDefault="0044225D" w:rsidP="009C33E8">
      <w:pPr>
        <w:pStyle w:val="FootnoteText"/>
      </w:pPr>
      <w:r>
        <w:rPr>
          <w:rStyle w:val="FootnoteReference"/>
        </w:rPr>
        <w:footnoteRef/>
      </w:r>
      <w:r>
        <w:t xml:space="preserve"> </w:t>
      </w:r>
      <w:r>
        <w:tab/>
        <w:t xml:space="preserve">JGN, </w:t>
      </w:r>
      <w:r w:rsidRPr="00E02CB1">
        <w:rPr>
          <w:rStyle w:val="AERtextitalic"/>
        </w:rPr>
        <w:t>RIN clauses 6.11, 6.13 and 6.14 - AA2015 - JGN Network Capex - PUBLIC</w:t>
      </w:r>
      <w:r>
        <w:t>, 30 June 2014.</w:t>
      </w:r>
    </w:p>
  </w:footnote>
  <w:footnote w:id="112">
    <w:p w:rsidR="0044225D" w:rsidRDefault="0044225D" w:rsidP="009C33E8">
      <w:pPr>
        <w:pStyle w:val="FootnoteText"/>
      </w:pPr>
      <w:r>
        <w:rPr>
          <w:rStyle w:val="FootnoteReference"/>
        </w:rPr>
        <w:footnoteRef/>
      </w:r>
      <w:r>
        <w:t xml:space="preserve"> </w:t>
      </w:r>
      <w:r>
        <w:tab/>
        <w:t>NGR, r. 74(2).</w:t>
      </w:r>
    </w:p>
  </w:footnote>
  <w:footnote w:id="113">
    <w:p w:rsidR="0044225D" w:rsidRDefault="0044225D" w:rsidP="009C33E8">
      <w:pPr>
        <w:pStyle w:val="FootnoteText"/>
      </w:pPr>
      <w:r>
        <w:rPr>
          <w:rStyle w:val="FootnoteReference"/>
        </w:rPr>
        <w:footnoteRef/>
      </w:r>
      <w:r>
        <w:t xml:space="preserve"> </w:t>
      </w:r>
      <w:r>
        <w:tab/>
        <w:t>NGR, r. 79(1)</w:t>
      </w:r>
    </w:p>
  </w:footnote>
  <w:footnote w:id="114">
    <w:p w:rsidR="0044225D" w:rsidRDefault="0044225D" w:rsidP="009C33E8">
      <w:pPr>
        <w:pStyle w:val="FootnoteText"/>
      </w:pPr>
      <w:r>
        <w:rPr>
          <w:rStyle w:val="FootnoteReference"/>
        </w:rPr>
        <w:footnoteRef/>
      </w:r>
      <w:r>
        <w:t xml:space="preserve"> </w:t>
      </w:r>
      <w:r>
        <w:tab/>
        <w:t>NGR, r. 79(2).</w:t>
      </w:r>
    </w:p>
  </w:footnote>
  <w:footnote w:id="115">
    <w:p w:rsidR="0044225D" w:rsidRDefault="0044225D" w:rsidP="009C33E8">
      <w:pPr>
        <w:pStyle w:val="FootnoteText"/>
      </w:pPr>
      <w:r>
        <w:rPr>
          <w:rStyle w:val="FootnoteReference"/>
        </w:rPr>
        <w:footnoteRef/>
      </w:r>
      <w:r>
        <w:t xml:space="preserve"> </w:t>
      </w:r>
      <w:r>
        <w:tab/>
        <w:t>NGR, r. 74(2) and r. 79.</w:t>
      </w:r>
    </w:p>
  </w:footnote>
  <w:footnote w:id="116">
    <w:p w:rsidR="0044225D" w:rsidRDefault="0044225D" w:rsidP="009C33E8">
      <w:pPr>
        <w:pStyle w:val="FootnoteText"/>
      </w:pPr>
      <w:r>
        <w:rPr>
          <w:rStyle w:val="FootnoteReference"/>
        </w:rPr>
        <w:footnoteRef/>
      </w:r>
      <w:r>
        <w:t xml:space="preserve"> </w:t>
      </w:r>
      <w:r>
        <w:tab/>
        <w:t xml:space="preserve">JGN, </w:t>
      </w:r>
      <w:r w:rsidRPr="00076F86">
        <w:rPr>
          <w:rStyle w:val="AERtextitalic"/>
        </w:rPr>
        <w:t>2015-20 Access Arrangement Information – Public</w:t>
      </w:r>
      <w:r w:rsidRPr="00076F86">
        <w:t>, 30 June 2014, p.</w:t>
      </w:r>
      <w:r>
        <w:t xml:space="preserve"> 65</w:t>
      </w:r>
      <w:r w:rsidRPr="00076F86">
        <w:t>.</w:t>
      </w:r>
    </w:p>
  </w:footnote>
  <w:footnote w:id="117">
    <w:p w:rsidR="0044225D" w:rsidRDefault="0044225D" w:rsidP="009C33E8">
      <w:pPr>
        <w:pStyle w:val="FootnoteText"/>
      </w:pPr>
      <w:r>
        <w:rPr>
          <w:rStyle w:val="FootnoteReference"/>
        </w:rPr>
        <w:footnoteRef/>
      </w:r>
      <w:r>
        <w:t xml:space="preserve"> </w:t>
      </w:r>
      <w:r>
        <w:tab/>
        <w:t xml:space="preserve">JGN, </w:t>
      </w:r>
      <w:r w:rsidRPr="00E02CB1">
        <w:rPr>
          <w:rStyle w:val="AERtextitalic"/>
        </w:rPr>
        <w:t>RIN clauses 6.11, 6.13 and 6.14 - AA2015 - JGN Network Capex - PUBLIC</w:t>
      </w:r>
      <w:r>
        <w:t>, 30 June 2014.</w:t>
      </w:r>
    </w:p>
  </w:footnote>
  <w:footnote w:id="118">
    <w:p w:rsidR="0044225D" w:rsidRDefault="0044225D" w:rsidP="009C33E8">
      <w:pPr>
        <w:pStyle w:val="FootnoteText"/>
      </w:pPr>
      <w:r>
        <w:rPr>
          <w:rStyle w:val="FootnoteReference"/>
        </w:rPr>
        <w:footnoteRef/>
      </w:r>
      <w:r>
        <w:t xml:space="preserve"> </w:t>
      </w:r>
      <w:r>
        <w:tab/>
        <w:t xml:space="preserve">JGN, </w:t>
      </w:r>
      <w:r w:rsidRPr="007827CF">
        <w:rPr>
          <w:rStyle w:val="AERtextitalic"/>
        </w:rPr>
        <w:t xml:space="preserve">Appendix 6.7 - </w:t>
      </w:r>
      <w:r>
        <w:rPr>
          <w:rStyle w:val="AERtextitalic"/>
        </w:rPr>
        <w:t>Forecas</w:t>
      </w:r>
      <w:r w:rsidRPr="007827CF">
        <w:rPr>
          <w:rStyle w:val="AERtextitalic"/>
        </w:rPr>
        <w:t>t capital expenditure report - PUBLIC</w:t>
      </w:r>
      <w:r>
        <w:t>, 30 June 2014, p. 43.</w:t>
      </w:r>
    </w:p>
  </w:footnote>
  <w:footnote w:id="119">
    <w:p w:rsidR="0044225D" w:rsidRDefault="0044225D" w:rsidP="009C33E8">
      <w:pPr>
        <w:pStyle w:val="FootnoteText"/>
      </w:pPr>
      <w:r>
        <w:rPr>
          <w:rStyle w:val="FootnoteReference"/>
        </w:rPr>
        <w:footnoteRef/>
      </w:r>
      <w:r>
        <w:t xml:space="preserve"> </w:t>
      </w:r>
      <w:r>
        <w:tab/>
        <w:t xml:space="preserve">JGN, </w:t>
      </w:r>
      <w:r w:rsidRPr="007827CF">
        <w:rPr>
          <w:rStyle w:val="AERtextitalic"/>
        </w:rPr>
        <w:t xml:space="preserve">Appendix 6.7 - </w:t>
      </w:r>
      <w:r>
        <w:rPr>
          <w:rStyle w:val="AERtextitalic"/>
        </w:rPr>
        <w:t>Forecas</w:t>
      </w:r>
      <w:r w:rsidRPr="007827CF">
        <w:rPr>
          <w:rStyle w:val="AERtextitalic"/>
        </w:rPr>
        <w:t>t capital expenditure report - PUBLIC</w:t>
      </w:r>
      <w:r>
        <w:t>, 30 June 2014, p. 42.</w:t>
      </w:r>
    </w:p>
  </w:footnote>
  <w:footnote w:id="120">
    <w:p w:rsidR="0044225D" w:rsidRDefault="0044225D" w:rsidP="009C33E8">
      <w:pPr>
        <w:pStyle w:val="FootnoteText"/>
      </w:pPr>
      <w:r>
        <w:rPr>
          <w:rStyle w:val="FootnoteReference"/>
        </w:rPr>
        <w:footnoteRef/>
      </w:r>
      <w:r>
        <w:t xml:space="preserve"> </w:t>
      </w:r>
      <w:r>
        <w:tab/>
        <w:t xml:space="preserve">JGN, </w:t>
      </w:r>
      <w:r w:rsidRPr="00E02CB1">
        <w:rPr>
          <w:rStyle w:val="AERtextitalic"/>
        </w:rPr>
        <w:t>RIN clauses 6.11, 6.13 and 6.14 - AA2015 - JGN Network Capex - PUBLIC</w:t>
      </w:r>
      <w:r>
        <w:t>, 30 June 2014.</w:t>
      </w:r>
    </w:p>
  </w:footnote>
  <w:footnote w:id="121">
    <w:p w:rsidR="0044225D" w:rsidRDefault="0044225D" w:rsidP="009C33E8">
      <w:pPr>
        <w:pStyle w:val="FootnoteText"/>
      </w:pPr>
      <w:r>
        <w:rPr>
          <w:rStyle w:val="FootnoteReference"/>
        </w:rPr>
        <w:footnoteRef/>
      </w:r>
      <w:r>
        <w:t xml:space="preserve"> </w:t>
      </w:r>
      <w:r>
        <w:tab/>
        <w:t xml:space="preserve">JGN, </w:t>
      </w:r>
      <w:r w:rsidRPr="007827CF">
        <w:rPr>
          <w:rStyle w:val="AERtextitalic"/>
        </w:rPr>
        <w:t xml:space="preserve">Appendix 6.7 - </w:t>
      </w:r>
      <w:r>
        <w:rPr>
          <w:rStyle w:val="AERtextitalic"/>
        </w:rPr>
        <w:t>Forecas</w:t>
      </w:r>
      <w:r w:rsidRPr="007827CF">
        <w:rPr>
          <w:rStyle w:val="AERtextitalic"/>
        </w:rPr>
        <w:t>t capital expenditure report - PUBLIC</w:t>
      </w:r>
      <w:r>
        <w:t>, 30 June 2014, p. 47.</w:t>
      </w:r>
    </w:p>
  </w:footnote>
  <w:footnote w:id="122">
    <w:p w:rsidR="0044225D" w:rsidRDefault="0044225D" w:rsidP="009C33E8">
      <w:pPr>
        <w:pStyle w:val="FootnoteText"/>
      </w:pPr>
      <w:r>
        <w:rPr>
          <w:rStyle w:val="FootnoteReference"/>
        </w:rPr>
        <w:footnoteRef/>
      </w:r>
      <w:r>
        <w:t xml:space="preserve"> </w:t>
      </w:r>
      <w:r>
        <w:tab/>
        <w:t xml:space="preserve">JGN, </w:t>
      </w:r>
      <w:r w:rsidRPr="007827CF">
        <w:rPr>
          <w:rStyle w:val="AERtextitalic"/>
        </w:rPr>
        <w:t xml:space="preserve">Appendix 6.7 - </w:t>
      </w:r>
      <w:r>
        <w:rPr>
          <w:rStyle w:val="AERtextitalic"/>
        </w:rPr>
        <w:t>Forecas</w:t>
      </w:r>
      <w:r w:rsidRPr="007827CF">
        <w:rPr>
          <w:rStyle w:val="AERtextitalic"/>
        </w:rPr>
        <w:t>t capital expenditure report - PUBLIC</w:t>
      </w:r>
      <w:r>
        <w:t>, 30 June 2014, p. 47.</w:t>
      </w:r>
    </w:p>
  </w:footnote>
  <w:footnote w:id="123">
    <w:p w:rsidR="0044225D" w:rsidRDefault="0044225D" w:rsidP="009C33E8">
      <w:pPr>
        <w:pStyle w:val="FootnoteText"/>
      </w:pPr>
      <w:r>
        <w:rPr>
          <w:rStyle w:val="FootnoteReference"/>
        </w:rPr>
        <w:footnoteRef/>
      </w:r>
      <w:r>
        <w:t xml:space="preserve"> </w:t>
      </w:r>
      <w:r>
        <w:tab/>
        <w:t xml:space="preserve">JGN, </w:t>
      </w:r>
      <w:r w:rsidRPr="007827CF">
        <w:rPr>
          <w:rStyle w:val="AERtextitalic"/>
        </w:rPr>
        <w:t xml:space="preserve">Appendix 6.7 - </w:t>
      </w:r>
      <w:r>
        <w:rPr>
          <w:rStyle w:val="AERtextitalic"/>
        </w:rPr>
        <w:t>Forecas</w:t>
      </w:r>
      <w:r w:rsidRPr="007827CF">
        <w:rPr>
          <w:rStyle w:val="AERtextitalic"/>
        </w:rPr>
        <w:t>t capital expenditure report - PUBLIC</w:t>
      </w:r>
      <w:r>
        <w:t>, 30 June 2014, p. 48.</w:t>
      </w:r>
    </w:p>
  </w:footnote>
  <w:footnote w:id="124">
    <w:p w:rsidR="0044225D" w:rsidRDefault="0044225D" w:rsidP="00E33B10">
      <w:pPr>
        <w:pStyle w:val="FootnoteText"/>
      </w:pPr>
      <w:r>
        <w:rPr>
          <w:rStyle w:val="FootnoteReference"/>
        </w:rPr>
        <w:footnoteRef/>
      </w:r>
      <w:r>
        <w:t xml:space="preserve"> </w:t>
      </w:r>
      <w:r>
        <w:tab/>
      </w:r>
      <w:r w:rsidRPr="00927678">
        <w:t xml:space="preserve">JGN, </w:t>
      </w:r>
      <w:r w:rsidRPr="00927678">
        <w:rPr>
          <w:rStyle w:val="AERtextitalic"/>
        </w:rPr>
        <w:t>2015-20 Access Arrangement Information – Public</w:t>
      </w:r>
      <w:r w:rsidRPr="00927678">
        <w:t>, 30 June 2014, Appendix 06.07 Forecast capital expenditure report - PUBLIC, p.</w:t>
      </w:r>
      <w:r>
        <w:t xml:space="preserve"> 51</w:t>
      </w:r>
      <w:r w:rsidRPr="00927678">
        <w:t>.</w:t>
      </w:r>
    </w:p>
  </w:footnote>
  <w:footnote w:id="125">
    <w:p w:rsidR="0044225D" w:rsidRDefault="0044225D">
      <w:pPr>
        <w:pStyle w:val="FootnoteText"/>
      </w:pPr>
      <w:r>
        <w:rPr>
          <w:rStyle w:val="FootnoteReference"/>
        </w:rPr>
        <w:footnoteRef/>
      </w:r>
      <w:r>
        <w:t xml:space="preserve"> </w:t>
      </w:r>
      <w:r>
        <w:tab/>
        <w:t>JGN, Response to Information request 39, received 20 October 2014, pp. 1–2.</w:t>
      </w:r>
    </w:p>
  </w:footnote>
  <w:footnote w:id="126">
    <w:p w:rsidR="0044225D" w:rsidRDefault="0044225D">
      <w:pPr>
        <w:pStyle w:val="FootnoteText"/>
      </w:pPr>
      <w:r>
        <w:rPr>
          <w:rStyle w:val="FootnoteReference"/>
        </w:rPr>
        <w:footnoteRef/>
      </w:r>
      <w:r>
        <w:t xml:space="preserve"> </w:t>
      </w:r>
      <w:r>
        <w:tab/>
        <w:t>JGN, Response to information request 43a, received 4 November 2014.</w:t>
      </w:r>
    </w:p>
  </w:footnote>
  <w:footnote w:id="127">
    <w:p w:rsidR="0044225D" w:rsidRDefault="0044225D">
      <w:pPr>
        <w:pStyle w:val="FootnoteText"/>
      </w:pPr>
      <w:r>
        <w:rPr>
          <w:rStyle w:val="FootnoteReference"/>
        </w:rPr>
        <w:footnoteRef/>
      </w:r>
      <w:r>
        <w:t xml:space="preserve"> </w:t>
      </w:r>
      <w:r>
        <w:tab/>
        <w:t>JGN, Response to information request 40, received 22 October 2014, p. 3, Note.</w:t>
      </w:r>
    </w:p>
  </w:footnote>
  <w:footnote w:id="128">
    <w:p w:rsidR="0044225D" w:rsidRDefault="0044225D" w:rsidP="00B21FF4">
      <w:pPr>
        <w:pStyle w:val="FootnoteText"/>
      </w:pPr>
      <w:r>
        <w:rPr>
          <w:rStyle w:val="FootnoteReference"/>
        </w:rPr>
        <w:footnoteRef/>
      </w:r>
      <w:r>
        <w:t xml:space="preserve"> </w:t>
      </w:r>
      <w:r>
        <w:tab/>
        <w:t xml:space="preserve">JGN, Access Arrangement Information, Attachment: </w:t>
      </w:r>
      <w:r w:rsidRPr="00D71986">
        <w:t>awarding of northern region cont.pdf</w:t>
      </w:r>
      <w:r>
        <w:t xml:space="preserve"> [CONFIDENTIAL], p. 4.</w:t>
      </w:r>
    </w:p>
  </w:footnote>
  <w:footnote w:id="129">
    <w:p w:rsidR="0044225D" w:rsidRDefault="0044225D" w:rsidP="00B21FF4">
      <w:pPr>
        <w:pStyle w:val="FootnoteText"/>
      </w:pPr>
      <w:r>
        <w:rPr>
          <w:rStyle w:val="FootnoteReference"/>
        </w:rPr>
        <w:footnoteRef/>
      </w:r>
      <w:r>
        <w:t xml:space="preserve"> </w:t>
      </w:r>
      <w:r>
        <w:tab/>
        <w:t xml:space="preserve">JGN, Access Arrangement Information, Attachment: </w:t>
      </w:r>
      <w:r w:rsidRPr="00D71986">
        <w:t>awarding of northern region cont.pdf</w:t>
      </w:r>
      <w:r>
        <w:t xml:space="preserve"> [CONFIDENTIAL], p. 3.</w:t>
      </w:r>
    </w:p>
  </w:footnote>
  <w:footnote w:id="130">
    <w:p w:rsidR="0044225D" w:rsidRDefault="0044225D" w:rsidP="00B21FF4">
      <w:pPr>
        <w:pStyle w:val="FootnoteText"/>
      </w:pPr>
      <w:r>
        <w:rPr>
          <w:rStyle w:val="FootnoteReference"/>
        </w:rPr>
        <w:footnoteRef/>
      </w:r>
      <w:r>
        <w:t xml:space="preserve"> </w:t>
      </w:r>
      <w:r>
        <w:tab/>
        <w:t>NGR, r. 71(1).</w:t>
      </w:r>
    </w:p>
  </w:footnote>
  <w:footnote w:id="131">
    <w:p w:rsidR="0044225D" w:rsidRDefault="0044225D" w:rsidP="00B21FF4">
      <w:pPr>
        <w:pStyle w:val="FootnoteText"/>
      </w:pPr>
      <w:r>
        <w:rPr>
          <w:rStyle w:val="FootnoteReference"/>
        </w:rPr>
        <w:footnoteRef/>
      </w:r>
      <w:r>
        <w:t xml:space="preserve"> </w:t>
      </w:r>
      <w:r>
        <w:tab/>
        <w:t xml:space="preserve">JGN, Access Arrangement Information, Attachment: </w:t>
      </w:r>
      <w:r w:rsidRPr="00D71986">
        <w:t>awarding of northern region cont.pdf</w:t>
      </w:r>
      <w:r>
        <w:t xml:space="preserve"> [CONFIDENTIAL], p. 7, para 5.3.</w:t>
      </w:r>
    </w:p>
  </w:footnote>
  <w:footnote w:id="132">
    <w:p w:rsidR="0044225D" w:rsidRDefault="0044225D" w:rsidP="00B21FF4">
      <w:pPr>
        <w:pStyle w:val="FootnoteText"/>
      </w:pPr>
      <w:r>
        <w:rPr>
          <w:rStyle w:val="FootnoteReference"/>
        </w:rPr>
        <w:footnoteRef/>
      </w:r>
      <w:r>
        <w:t xml:space="preserve"> </w:t>
      </w:r>
      <w:r>
        <w:tab/>
        <w:t xml:space="preserve">JGN, Access Arrangement Information, Attachment: </w:t>
      </w:r>
      <w:r w:rsidRPr="00D71986">
        <w:t>awarding of northern region cont.pdf</w:t>
      </w:r>
      <w:r>
        <w:t xml:space="preserve"> [CONFIDENTIAL], p. 7, para 5.4.</w:t>
      </w:r>
    </w:p>
  </w:footnote>
  <w:footnote w:id="133">
    <w:p w:rsidR="0044225D" w:rsidRDefault="0044225D" w:rsidP="00064B85">
      <w:pPr>
        <w:pStyle w:val="FootnoteText"/>
      </w:pPr>
      <w:r>
        <w:rPr>
          <w:rStyle w:val="FootnoteReference"/>
        </w:rPr>
        <w:footnoteRef/>
      </w:r>
      <w:r>
        <w:t xml:space="preserve"> </w:t>
      </w:r>
      <w:r>
        <w:tab/>
        <w:t>NGR, clause 74(2).</w:t>
      </w:r>
    </w:p>
  </w:footnote>
  <w:footnote w:id="134">
    <w:p w:rsidR="0044225D" w:rsidRDefault="0044225D" w:rsidP="00064B85">
      <w:pPr>
        <w:pStyle w:val="FootnoteText"/>
      </w:pPr>
      <w:r>
        <w:rPr>
          <w:rStyle w:val="FootnoteReference"/>
        </w:rPr>
        <w:footnoteRef/>
      </w:r>
      <w:r>
        <w:t xml:space="preserve"> </w:t>
      </w:r>
      <w:r>
        <w:tab/>
      </w:r>
      <w:r w:rsidRPr="00E416DD">
        <w:t>N</w:t>
      </w:r>
      <w:r>
        <w:t>G</w:t>
      </w:r>
      <w:r w:rsidRPr="00E416DD">
        <w:t xml:space="preserve">R, clause </w:t>
      </w:r>
      <w:r>
        <w:t>79</w:t>
      </w:r>
      <w:r w:rsidRPr="00E416DD">
        <w:t>.</w:t>
      </w:r>
    </w:p>
  </w:footnote>
  <w:footnote w:id="135">
    <w:p w:rsidR="0044225D" w:rsidRDefault="0044225D" w:rsidP="00064B85">
      <w:pPr>
        <w:pStyle w:val="FootnoteText"/>
      </w:pPr>
      <w:r>
        <w:rPr>
          <w:rStyle w:val="FootnoteReference"/>
        </w:rPr>
        <w:footnoteRef/>
      </w:r>
      <w:r>
        <w:t xml:space="preserve"> </w:t>
      </w:r>
      <w:r>
        <w:tab/>
        <w:t>NGR</w:t>
      </w:r>
      <w:r w:rsidRPr="00E416DD">
        <w:t xml:space="preserve">, clause </w:t>
      </w:r>
      <w:r>
        <w:t>79</w:t>
      </w:r>
      <w:r w:rsidRPr="00E416DD">
        <w:t>.</w:t>
      </w:r>
    </w:p>
  </w:footnote>
  <w:footnote w:id="136">
    <w:p w:rsidR="0044225D" w:rsidRDefault="0044225D" w:rsidP="00064B85">
      <w:pPr>
        <w:pStyle w:val="FootnoteText"/>
      </w:pPr>
      <w:r>
        <w:rPr>
          <w:rStyle w:val="FootnoteReference"/>
        </w:rPr>
        <w:footnoteRef/>
      </w:r>
      <w:r>
        <w:t xml:space="preserve"> </w:t>
      </w:r>
      <w:r>
        <w:tab/>
        <w:t xml:space="preserve">JGN, </w:t>
      </w:r>
      <w:r w:rsidRPr="00341230">
        <w:rPr>
          <w:rStyle w:val="AERtextitalic"/>
        </w:rPr>
        <w:t>2015-20 Access Arrangement Information (Public)</w:t>
      </w:r>
      <w:r>
        <w:t xml:space="preserve">, </w:t>
      </w:r>
      <w:r w:rsidRPr="00341230">
        <w:t>30 June 2014, p. 68.</w:t>
      </w:r>
    </w:p>
  </w:footnote>
  <w:footnote w:id="137">
    <w:p w:rsidR="0044225D" w:rsidRDefault="0044225D" w:rsidP="00064B85">
      <w:pPr>
        <w:pStyle w:val="FootnoteText"/>
      </w:pPr>
      <w:r>
        <w:rPr>
          <w:rStyle w:val="FootnoteReference"/>
        </w:rPr>
        <w:footnoteRef/>
      </w:r>
      <w:r>
        <w:t xml:space="preserve"> </w:t>
      </w:r>
      <w:r>
        <w:tab/>
        <w:t xml:space="preserve">JGN, </w:t>
      </w:r>
      <w:r w:rsidRPr="00DF27C5">
        <w:rPr>
          <w:rStyle w:val="AERtextitalic"/>
        </w:rPr>
        <w:t>Access Arrangement Proposal,</w:t>
      </w:r>
      <w:r>
        <w:t xml:space="preserve"> </w:t>
      </w:r>
      <w:r w:rsidRPr="00DF27C5">
        <w:rPr>
          <w:rStyle w:val="AERtextitalic"/>
        </w:rPr>
        <w:t>Appendix 6.10 BIS Shrapnel - Input cost escalation report</w:t>
      </w:r>
      <w:r>
        <w:t>, 4 June 2014.</w:t>
      </w:r>
    </w:p>
  </w:footnote>
  <w:footnote w:id="138">
    <w:p w:rsidR="0044225D" w:rsidRDefault="0044225D" w:rsidP="00064B85">
      <w:pPr>
        <w:pStyle w:val="FootnoteText"/>
      </w:pPr>
      <w:r>
        <w:rPr>
          <w:rStyle w:val="FootnoteReference"/>
        </w:rPr>
        <w:footnoteRef/>
      </w:r>
      <w:r>
        <w:t xml:space="preserve"> </w:t>
      </w:r>
      <w:r>
        <w:tab/>
        <w:t xml:space="preserve">JGN, </w:t>
      </w:r>
      <w:r w:rsidRPr="00DF27C5">
        <w:rPr>
          <w:rStyle w:val="AERtextitalic"/>
        </w:rPr>
        <w:t>Access Arrangement Proposal,</w:t>
      </w:r>
      <w:r>
        <w:t xml:space="preserve"> </w:t>
      </w:r>
      <w:r w:rsidRPr="00DF27C5">
        <w:rPr>
          <w:rStyle w:val="AERtextitalic"/>
        </w:rPr>
        <w:t>Appendix 6.10 BIS Shrapnel - Input cost escalation report</w:t>
      </w:r>
      <w:r>
        <w:t>, 4 June 2014, pp. A5-6.</w:t>
      </w:r>
    </w:p>
  </w:footnote>
  <w:footnote w:id="139">
    <w:p w:rsidR="0044225D" w:rsidRDefault="0044225D" w:rsidP="00064B85">
      <w:pPr>
        <w:pStyle w:val="FootnoteText"/>
      </w:pPr>
      <w:r>
        <w:rPr>
          <w:rStyle w:val="FootnoteReference"/>
        </w:rPr>
        <w:footnoteRef/>
      </w:r>
      <w:r>
        <w:t xml:space="preserve"> </w:t>
      </w:r>
      <w:r>
        <w:tab/>
        <w:t xml:space="preserve">JGN, </w:t>
      </w:r>
      <w:r>
        <w:rPr>
          <w:rStyle w:val="AERtextitalic"/>
        </w:rPr>
        <w:t>2015-20 Access Arrangement Information (Public)</w:t>
      </w:r>
      <w:r>
        <w:t>, 30 June 2014, p. 68.</w:t>
      </w:r>
    </w:p>
  </w:footnote>
  <w:footnote w:id="140">
    <w:p w:rsidR="0044225D" w:rsidRDefault="0044225D" w:rsidP="00064B85">
      <w:pPr>
        <w:pStyle w:val="FootnoteText"/>
      </w:pPr>
      <w:r>
        <w:rPr>
          <w:rStyle w:val="FootnoteReference"/>
        </w:rPr>
        <w:footnoteRef/>
      </w:r>
      <w:r>
        <w:t xml:space="preserve"> </w:t>
      </w:r>
      <w:r>
        <w:tab/>
        <w:t>NGR, clause 79(1).</w:t>
      </w:r>
    </w:p>
  </w:footnote>
  <w:footnote w:id="141">
    <w:p w:rsidR="0044225D" w:rsidRDefault="0044225D" w:rsidP="00064B85">
      <w:pPr>
        <w:pStyle w:val="FootnoteText"/>
      </w:pPr>
      <w:r>
        <w:rPr>
          <w:rStyle w:val="FootnoteReference"/>
        </w:rPr>
        <w:footnoteRef/>
      </w:r>
      <w:r>
        <w:t xml:space="preserve"> </w:t>
      </w:r>
      <w:r>
        <w:tab/>
        <w:t>NGR, clause 79(1)(a).</w:t>
      </w:r>
    </w:p>
  </w:footnote>
  <w:footnote w:id="142">
    <w:p w:rsidR="0044225D" w:rsidRDefault="0044225D" w:rsidP="00064B85">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w:t>
      </w:r>
      <w:r w:rsidRPr="005A517B">
        <w:rPr>
          <w:rStyle w:val="AERtextitalic"/>
        </w:rPr>
        <w:t xml:space="preserve"> Explanatory Statement Expenditure Forecast Assessment Guideline</w:t>
      </w:r>
      <w:r>
        <w:rPr>
          <w:rStyle w:val="AERtextitalic"/>
        </w:rPr>
        <w:t>,</w:t>
      </w:r>
      <w:r>
        <w:t xml:space="preserve"> </w:t>
      </w:r>
      <w:r w:rsidRPr="005A517B">
        <w:t>November 2013</w:t>
      </w:r>
      <w:r>
        <w:t>, pp. 50-51.</w:t>
      </w:r>
    </w:p>
  </w:footnote>
  <w:footnote w:id="143">
    <w:p w:rsidR="0044225D" w:rsidRDefault="0044225D" w:rsidP="00064B85">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 </w:t>
      </w:r>
      <w:r w:rsidRPr="005A517B">
        <w:rPr>
          <w:rStyle w:val="AERtextitalic"/>
        </w:rPr>
        <w:t>Explanatory Statement Expenditure Forecast Assessment Guideline</w:t>
      </w:r>
      <w:r>
        <w:t>, November 2013, p. 50.</w:t>
      </w:r>
    </w:p>
  </w:footnote>
  <w:footnote w:id="144">
    <w:p w:rsidR="0044225D" w:rsidRDefault="0044225D" w:rsidP="00064B85">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 </w:t>
      </w:r>
      <w:r w:rsidRPr="005A517B">
        <w:rPr>
          <w:rStyle w:val="AERtextitalic"/>
        </w:rPr>
        <w:t>Explanatory Statement Expenditure Forecast Assessment Guideline</w:t>
      </w:r>
      <w:r>
        <w:t>, November 2013, p. 50.</w:t>
      </w:r>
    </w:p>
  </w:footnote>
  <w:footnote w:id="145">
    <w:p w:rsidR="0044225D" w:rsidRDefault="0044225D" w:rsidP="00064B85">
      <w:pPr>
        <w:pStyle w:val="FootnoteText"/>
      </w:pPr>
      <w:r>
        <w:rPr>
          <w:rStyle w:val="FootnoteReference"/>
        </w:rPr>
        <w:footnoteRef/>
      </w:r>
      <w:r>
        <w:t xml:space="preserve"> </w:t>
      </w:r>
      <w:r>
        <w:tab/>
        <w:t xml:space="preserve">BIS Shrapnel, </w:t>
      </w:r>
      <w:r w:rsidRPr="00DF27C5">
        <w:rPr>
          <w:rStyle w:val="AERtextitalic"/>
        </w:rPr>
        <w:t>Input cost escalation report</w:t>
      </w:r>
      <w:r>
        <w:t>, 4 June 2014.</w:t>
      </w:r>
    </w:p>
  </w:footnote>
  <w:footnote w:id="146">
    <w:p w:rsidR="0044225D" w:rsidRDefault="0044225D" w:rsidP="00064B85">
      <w:pPr>
        <w:pStyle w:val="FootnoteText"/>
      </w:pPr>
      <w:r>
        <w:rPr>
          <w:rStyle w:val="FootnoteReference"/>
        </w:rPr>
        <w:footnoteRef/>
      </w:r>
      <w:r>
        <w:t xml:space="preserve"> </w:t>
      </w:r>
      <w:r>
        <w:tab/>
      </w:r>
      <w:r w:rsidRPr="00DA087E">
        <w:t>The Energy Markets Reform Forum</w:t>
      </w:r>
      <w:r>
        <w:t xml:space="preserve">, </w:t>
      </w:r>
      <w:r w:rsidRPr="0002756A">
        <w:rPr>
          <w:rStyle w:val="AERtextitalic"/>
        </w:rPr>
        <w:t>NSW Gas Distribution Revenue Reset Jemena Application</w:t>
      </w:r>
      <w:r>
        <w:rPr>
          <w:rStyle w:val="AERtextitalic"/>
        </w:rPr>
        <w:t xml:space="preserve"> -</w:t>
      </w:r>
      <w:r w:rsidRPr="0002756A">
        <w:rPr>
          <w:rStyle w:val="AERtextitalic"/>
        </w:rPr>
        <w:t xml:space="preserve"> A response by The Energy Markets Reform Forum</w:t>
      </w:r>
      <w:r>
        <w:rPr>
          <w:rStyle w:val="AERtextitalic"/>
        </w:rPr>
        <w:t>,</w:t>
      </w:r>
      <w:r w:rsidRPr="0002756A">
        <w:rPr>
          <w:rStyle w:val="AERtextitalic"/>
        </w:rPr>
        <w:t xml:space="preserve"> </w:t>
      </w:r>
      <w:r>
        <w:t>August</w:t>
      </w:r>
      <w:r w:rsidRPr="00DA087E">
        <w:t xml:space="preserve"> 2014</w:t>
      </w:r>
      <w:r>
        <w:t>, pp. 41-42.</w:t>
      </w:r>
    </w:p>
  </w:footnote>
  <w:footnote w:id="147">
    <w:p w:rsidR="0044225D" w:rsidRDefault="0044225D" w:rsidP="00064B85">
      <w:pPr>
        <w:pStyle w:val="FootnoteText"/>
      </w:pPr>
      <w:r>
        <w:rPr>
          <w:rStyle w:val="FootnoteReference"/>
        </w:rPr>
        <w:footnoteRef/>
      </w:r>
      <w:r>
        <w:t xml:space="preserve"> </w:t>
      </w:r>
      <w:r>
        <w:tab/>
      </w:r>
      <w:r w:rsidRPr="009D6978">
        <w:t xml:space="preserve">The Energy Markets Reform Forum, </w:t>
      </w:r>
      <w:r w:rsidRPr="005F4C72">
        <w:rPr>
          <w:rStyle w:val="AERtextitalic"/>
        </w:rPr>
        <w:t>NSW Electricity Distribution Revenue Reset</w:t>
      </w:r>
      <w:r w:rsidRPr="009D6978">
        <w:t xml:space="preserve"> - </w:t>
      </w:r>
      <w:r w:rsidRPr="0002756A">
        <w:rPr>
          <w:rStyle w:val="AERtextitalic"/>
        </w:rPr>
        <w:t xml:space="preserve">Applications from </w:t>
      </w:r>
      <w:r>
        <w:rPr>
          <w:rStyle w:val="AERtextitalic"/>
        </w:rPr>
        <w:t>JGN</w:t>
      </w:r>
      <w:r w:rsidRPr="0002756A">
        <w:rPr>
          <w:rStyle w:val="AERtextitalic"/>
        </w:rPr>
        <w:t>, Endeavour Energy and Essential Energy - A response</w:t>
      </w:r>
      <w:r w:rsidRPr="009D6978">
        <w:t>, July 2014</w:t>
      </w:r>
      <w:r>
        <w:t xml:space="preserve">, pp. 26-30 and </w:t>
      </w:r>
      <w:r w:rsidRPr="005F4C72">
        <w:rPr>
          <w:rStyle w:val="AERtextitalic"/>
        </w:rPr>
        <w:t>Appendix 1 - Five-year drop for commodities' prices</w:t>
      </w:r>
      <w:r w:rsidRPr="009D6978">
        <w:t>.</w:t>
      </w:r>
    </w:p>
  </w:footnote>
  <w:footnote w:id="148">
    <w:p w:rsidR="0044225D" w:rsidRDefault="0044225D" w:rsidP="00064B85">
      <w:pPr>
        <w:pStyle w:val="FootnoteText"/>
      </w:pPr>
      <w:r>
        <w:rPr>
          <w:rStyle w:val="FootnoteReference"/>
        </w:rPr>
        <w:footnoteRef/>
      </w:r>
      <w:r>
        <w:t xml:space="preserve"> </w:t>
      </w:r>
      <w:r>
        <w:tab/>
        <w:t>NGR, clause 79(1).</w:t>
      </w:r>
    </w:p>
  </w:footnote>
  <w:footnote w:id="149">
    <w:p w:rsidR="0044225D" w:rsidRDefault="0044225D" w:rsidP="00064B85">
      <w:pPr>
        <w:pStyle w:val="FootnoteText"/>
      </w:pPr>
      <w:r>
        <w:rPr>
          <w:rStyle w:val="FootnoteReference"/>
        </w:rPr>
        <w:footnoteRef/>
      </w:r>
      <w:r>
        <w:t xml:space="preserve"> </w:t>
      </w:r>
      <w:r>
        <w:tab/>
        <w:t>NGR, clause 74(2).</w:t>
      </w:r>
    </w:p>
  </w:footnote>
  <w:footnote w:id="150">
    <w:p w:rsidR="0044225D" w:rsidRDefault="0044225D" w:rsidP="00064B85">
      <w:pPr>
        <w:pStyle w:val="FootnoteText"/>
      </w:pPr>
      <w:r>
        <w:rPr>
          <w:rStyle w:val="FootnoteReference"/>
        </w:rPr>
        <w:footnoteRef/>
      </w:r>
      <w:r>
        <w:t xml:space="preserve"> </w:t>
      </w:r>
      <w:r>
        <w:tab/>
        <w:t>NGR, clause 74(2).</w:t>
      </w:r>
    </w:p>
  </w:footnote>
  <w:footnote w:id="151">
    <w:p w:rsidR="0044225D" w:rsidRDefault="0044225D" w:rsidP="00064B85">
      <w:pPr>
        <w:pStyle w:val="FootnoteText"/>
      </w:pPr>
      <w:r>
        <w:rPr>
          <w:rStyle w:val="FootnoteReference"/>
        </w:rPr>
        <w:footnoteRef/>
      </w:r>
      <w:r>
        <w:t xml:space="preserve"> </w:t>
      </w:r>
      <w:r>
        <w:tab/>
        <w:t xml:space="preserve">R. Alquist, L. Kilian, R. Vigfusson, </w:t>
      </w:r>
      <w:r w:rsidRPr="00285F99">
        <w:rPr>
          <w:i/>
        </w:rPr>
        <w:t>Forecasting the Price of Oil</w:t>
      </w:r>
      <w:r>
        <w:t xml:space="preserve">, Board of Governors of the Federal Reserve System, International Finance Discussion Papers, Number 1022, July 2011 (also published as Alquist, Ron, Lutz Kilian, and Robert J. Vigfusson, 2013, </w:t>
      </w:r>
      <w:r w:rsidRPr="00347401">
        <w:rPr>
          <w:i/>
        </w:rPr>
        <w:t>Forecasting the Price of Oil</w:t>
      </w:r>
      <w:r>
        <w:t>, in Handbook of Economic Forecasting, Vol. 2, ed. by Graham Elliott and Allan Timmermann (Amsterdam: North Holland), pp. 68-69 and pp. 427–508) and</w:t>
      </w:r>
      <w:r w:rsidRPr="00E63D8A">
        <w:t xml:space="preserve"> </w:t>
      </w:r>
      <w:r>
        <w:t xml:space="preserve">International Monetary Fund, </w:t>
      </w:r>
      <w:r w:rsidRPr="00053352">
        <w:rPr>
          <w:i/>
        </w:rPr>
        <w:t>World Economic Outlook — Recovery Strengthens, Remains Uneven</w:t>
      </w:r>
      <w:r>
        <w:t>, Washington, April 2014, pp. 25-31.</w:t>
      </w:r>
    </w:p>
  </w:footnote>
  <w:footnote w:id="152">
    <w:p w:rsidR="0044225D" w:rsidRDefault="0044225D" w:rsidP="00064B85">
      <w:pPr>
        <w:pStyle w:val="FootnoteText"/>
      </w:pPr>
      <w:r>
        <w:rPr>
          <w:rStyle w:val="FootnoteReference"/>
        </w:rPr>
        <w:footnoteRef/>
      </w:r>
      <w:r>
        <w:t xml:space="preserve"> </w:t>
      </w:r>
      <w:r>
        <w:tab/>
        <w:t xml:space="preserve">International Monetary Fund, </w:t>
      </w:r>
      <w:r w:rsidRPr="00053352">
        <w:rPr>
          <w:i/>
        </w:rPr>
        <w:t>World Economic Outlook — Recovery Strengthens, Remains Uneven</w:t>
      </w:r>
      <w:r>
        <w:t xml:space="preserve">, Washington, April 2014, p. 27, Chinn, Menzie D., and Olivier Coibion, </w:t>
      </w:r>
      <w:r w:rsidRPr="00201680">
        <w:rPr>
          <w:i/>
        </w:rPr>
        <w:t>The Predictive Content of Commodity Futures</w:t>
      </w:r>
      <w:r>
        <w:t xml:space="preserve">, Journal of Futures Markets, 2014, Volume 34, Issue 7, p. 19 and pp. 607-636 and T. Reeve, R. Vigfusson, </w:t>
      </w:r>
      <w:r>
        <w:rPr>
          <w:i/>
        </w:rPr>
        <w:t>Evaluating the Forecasting Performance of Commodity Futures Prices</w:t>
      </w:r>
      <w:r>
        <w:t xml:space="preserve">, Board of Governors of the Federal Reserve System, International Finance Discussion Papers, Number 1025, August 2011, pp. 1 and 10. </w:t>
      </w:r>
    </w:p>
  </w:footnote>
  <w:footnote w:id="153">
    <w:p w:rsidR="0044225D" w:rsidRDefault="0044225D" w:rsidP="00064B85">
      <w:pPr>
        <w:pStyle w:val="FootnoteText"/>
      </w:pPr>
      <w:r>
        <w:rPr>
          <w:rStyle w:val="FootnoteReference"/>
        </w:rPr>
        <w:footnoteRef/>
      </w:r>
      <w:r>
        <w:t xml:space="preserve"> </w:t>
      </w:r>
      <w:r>
        <w:tab/>
        <w:t xml:space="preserve">R. Meese, K. Rogoff, (1983), </w:t>
      </w:r>
      <w:r w:rsidRPr="008D6E7B">
        <w:rPr>
          <w:i/>
        </w:rPr>
        <w:t>Empirical exchange rate models of the seventies: do they fit out of sample?</w:t>
      </w:r>
      <w:r>
        <w:t xml:space="preserve">, Journal of International Economics, 14, B. Rossi, (2013), </w:t>
      </w:r>
      <w:r w:rsidRPr="009A2542">
        <w:rPr>
          <w:i/>
        </w:rPr>
        <w:t>Exchange rate predictability</w:t>
      </w:r>
      <w:r>
        <w:t xml:space="preserve">, Journal of Economic Literature, 51(4), E. Fama, (1984), </w:t>
      </w:r>
      <w:r w:rsidRPr="00165F22">
        <w:rPr>
          <w:i/>
        </w:rPr>
        <w:t>Forward and spot exchange rates</w:t>
      </w:r>
      <w:r>
        <w:t xml:space="preserve">, Journal of Monetary Economics, 14, K. Froot and R. Thaler, (1990), Anomalies: Foreign exchange, the Journal of Economic Perspectives, Vol. 4, No. 3, CEG, </w:t>
      </w:r>
      <w:r w:rsidRPr="00EC452F">
        <w:rPr>
          <w:i/>
        </w:rPr>
        <w:t>Escalation factors affecting expenditure forecasts</w:t>
      </w:r>
      <w:r>
        <w:t xml:space="preserve">, December 2013, and BIS Shrapnel, </w:t>
      </w:r>
      <w:r w:rsidRPr="00A5308C">
        <w:rPr>
          <w:i/>
        </w:rPr>
        <w:t>Real labour and material cost escalation forecasts to 2019/20, Australia and New South Wales</w:t>
      </w:r>
      <w:r>
        <w:t>, Final report, April 2014.</w:t>
      </w:r>
    </w:p>
  </w:footnote>
  <w:footnote w:id="154">
    <w:p w:rsidR="0044225D" w:rsidRDefault="0044225D" w:rsidP="00064B85">
      <w:pPr>
        <w:pStyle w:val="FootnoteText"/>
      </w:pPr>
      <w:r>
        <w:rPr>
          <w:rStyle w:val="FootnoteReference"/>
        </w:rPr>
        <w:footnoteRef/>
      </w:r>
      <w:r>
        <w:t xml:space="preserve"> </w:t>
      </w:r>
      <w:r>
        <w:tab/>
        <w:t>NGL, Division 2, clause 24.</w:t>
      </w:r>
    </w:p>
  </w:footnote>
  <w:footnote w:id="155">
    <w:p w:rsidR="0044225D" w:rsidRDefault="0044225D" w:rsidP="00064B85">
      <w:pPr>
        <w:pStyle w:val="FootnoteText"/>
      </w:pPr>
      <w:r>
        <w:rPr>
          <w:rStyle w:val="FootnoteReference"/>
        </w:rPr>
        <w:footnoteRef/>
      </w:r>
      <w:r>
        <w:t xml:space="preserve"> </w:t>
      </w:r>
      <w:r>
        <w:tab/>
        <w:t>NGL, Division 2, clause 24(3).</w:t>
      </w:r>
    </w:p>
  </w:footnote>
  <w:footnote w:id="156">
    <w:p w:rsidR="0044225D" w:rsidRDefault="0044225D" w:rsidP="00064B85">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6.</w:t>
      </w:r>
    </w:p>
  </w:footnote>
  <w:footnote w:id="157">
    <w:p w:rsidR="0044225D" w:rsidRDefault="0044225D" w:rsidP="00064B85">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10.</w:t>
      </w:r>
    </w:p>
  </w:footnote>
  <w:footnote w:id="158">
    <w:p w:rsidR="0044225D" w:rsidRDefault="0044225D" w:rsidP="00064B85">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9.</w:t>
      </w:r>
    </w:p>
  </w:footnote>
  <w:footnote w:id="159">
    <w:p w:rsidR="0044225D" w:rsidRDefault="0044225D" w:rsidP="00064B85">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A-7.</w:t>
      </w:r>
    </w:p>
  </w:footnote>
  <w:footnote w:id="160">
    <w:p w:rsidR="0044225D" w:rsidRDefault="0044225D" w:rsidP="00064B85">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48.</w:t>
      </w:r>
    </w:p>
  </w:footnote>
  <w:footnote w:id="161">
    <w:p w:rsidR="0044225D" w:rsidRDefault="0044225D" w:rsidP="00064B85">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 3.</w:t>
      </w:r>
    </w:p>
  </w:footnote>
  <w:footnote w:id="162">
    <w:p w:rsidR="0044225D" w:rsidRDefault="0044225D" w:rsidP="00064B85">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pp. 4-5.</w:t>
      </w:r>
    </w:p>
  </w:footnote>
  <w:footnote w:id="163">
    <w:p w:rsidR="0044225D" w:rsidRDefault="0044225D" w:rsidP="00064B85">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 5.</w:t>
      </w:r>
    </w:p>
  </w:footnote>
  <w:footnote w:id="164">
    <w:p w:rsidR="0044225D" w:rsidRDefault="0044225D" w:rsidP="00064B85">
      <w:pPr>
        <w:pStyle w:val="FootnoteText"/>
      </w:pPr>
      <w:r>
        <w:rPr>
          <w:rStyle w:val="FootnoteReference"/>
        </w:rPr>
        <w:footnoteRef/>
      </w:r>
      <w:r>
        <w:t xml:space="preserve"> </w:t>
      </w:r>
      <w:r>
        <w:tab/>
      </w:r>
      <w:r w:rsidRPr="00482F44">
        <w:t xml:space="preserve">CEG, </w:t>
      </w:r>
      <w:r w:rsidRPr="007F2DB1">
        <w:rPr>
          <w:rStyle w:val="AERtextitalic"/>
        </w:rPr>
        <w:t>Escalation factors affecting expenditure forecasts</w:t>
      </w:r>
      <w:r w:rsidRPr="00482F44">
        <w:t>, December 2013, p</w:t>
      </w:r>
      <w:r>
        <w:t>p</w:t>
      </w:r>
      <w:r w:rsidRPr="00482F44">
        <w:t>. 5</w:t>
      </w:r>
      <w:r>
        <w:t>-6</w:t>
      </w:r>
      <w:r w:rsidRPr="00482F44">
        <w:t>.</w:t>
      </w:r>
    </w:p>
  </w:footnote>
  <w:footnote w:id="165">
    <w:p w:rsidR="0044225D" w:rsidRDefault="0044225D" w:rsidP="00064B85">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13</w:t>
      </w:r>
      <w:r w:rsidRPr="007F2DB1">
        <w:t>.</w:t>
      </w:r>
    </w:p>
  </w:footnote>
  <w:footnote w:id="166">
    <w:p w:rsidR="0044225D" w:rsidRDefault="0044225D" w:rsidP="00064B85">
      <w:pPr>
        <w:pStyle w:val="FootnoteText"/>
      </w:pPr>
      <w:r>
        <w:rPr>
          <w:rStyle w:val="FootnoteReference"/>
        </w:rPr>
        <w:footnoteRef/>
      </w:r>
      <w:r>
        <w:t xml:space="preserve"> </w:t>
      </w:r>
      <w:r>
        <w:tab/>
        <w:t xml:space="preserve">CEG, </w:t>
      </w:r>
      <w:r w:rsidRPr="007F2DB1">
        <w:rPr>
          <w:rStyle w:val="AERtextitalic"/>
        </w:rPr>
        <w:t>Escalation factors affecting expenditure forecasts</w:t>
      </w:r>
      <w:r w:rsidRPr="007F2DB1">
        <w:t xml:space="preserve">, December 2013, p. </w:t>
      </w:r>
      <w:r>
        <w:t>5</w:t>
      </w:r>
      <w:r w:rsidRPr="007F2DB1">
        <w:t>.</w:t>
      </w:r>
    </w:p>
  </w:footnote>
  <w:footnote w:id="167">
    <w:p w:rsidR="0044225D" w:rsidRDefault="0044225D" w:rsidP="00064B85">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19</w:t>
      </w:r>
      <w:r w:rsidRPr="007F2DB1">
        <w:t>.</w:t>
      </w:r>
    </w:p>
  </w:footnote>
  <w:footnote w:id="168">
    <w:p w:rsidR="0044225D" w:rsidRDefault="0044225D" w:rsidP="00064B85">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19</w:t>
      </w:r>
      <w:r w:rsidRPr="007F2DB1">
        <w:t>.</w:t>
      </w:r>
    </w:p>
  </w:footnote>
  <w:footnote w:id="169">
    <w:p w:rsidR="0044225D" w:rsidRDefault="0044225D" w:rsidP="00064B85">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23</w:t>
      </w:r>
      <w:r w:rsidRPr="007F2DB1">
        <w:t>.</w:t>
      </w:r>
    </w:p>
  </w:footnote>
  <w:footnote w:id="170">
    <w:p w:rsidR="0044225D" w:rsidRDefault="0044225D" w:rsidP="00064B85">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December 2013</w:t>
      </w:r>
      <w:r>
        <w:t>, Figures 3, 4 and 5</w:t>
      </w:r>
      <w:r w:rsidRPr="007F2DB1">
        <w:t>, p</w:t>
      </w:r>
      <w:r>
        <w:t>p</w:t>
      </w:r>
      <w:r w:rsidRPr="007F2DB1">
        <w:t xml:space="preserve">. </w:t>
      </w:r>
      <w:r>
        <w:t>23, 25 and 28</w:t>
      </w:r>
      <w:r w:rsidRPr="007F2DB1">
        <w:t>.</w:t>
      </w:r>
    </w:p>
  </w:footnote>
  <w:footnote w:id="171">
    <w:p w:rsidR="0044225D" w:rsidRDefault="0044225D" w:rsidP="00064B85">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4.</w:t>
      </w:r>
    </w:p>
  </w:footnote>
  <w:footnote w:id="172">
    <w:p w:rsidR="0044225D" w:rsidRDefault="0044225D" w:rsidP="00064B85">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8.</w:t>
      </w:r>
    </w:p>
  </w:footnote>
  <w:footnote w:id="173">
    <w:p w:rsidR="0044225D" w:rsidRDefault="0044225D" w:rsidP="00064B85">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9.</w:t>
      </w:r>
    </w:p>
  </w:footnote>
  <w:footnote w:id="174">
    <w:p w:rsidR="0044225D" w:rsidRDefault="0044225D" w:rsidP="00064B85">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12.</w:t>
      </w:r>
    </w:p>
  </w:footnote>
  <w:footnote w:id="175">
    <w:p w:rsidR="0044225D" w:rsidRDefault="0044225D" w:rsidP="00064B85">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p.16.</w:t>
      </w:r>
    </w:p>
  </w:footnote>
  <w:footnote w:id="176">
    <w:p w:rsidR="0044225D" w:rsidRDefault="0044225D" w:rsidP="00064B85">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18.</w:t>
      </w:r>
    </w:p>
  </w:footnote>
  <w:footnote w:id="177">
    <w:p w:rsidR="0044225D" w:rsidRDefault="0044225D" w:rsidP="00064B85">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20.</w:t>
      </w:r>
    </w:p>
  </w:footnote>
  <w:footnote w:id="178">
    <w:p w:rsidR="0044225D" w:rsidRDefault="0044225D" w:rsidP="00064B85">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40.</w:t>
      </w:r>
    </w:p>
  </w:footnote>
  <w:footnote w:id="179">
    <w:p w:rsidR="0044225D" w:rsidRDefault="0044225D" w:rsidP="00064B85">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iii.</w:t>
      </w:r>
    </w:p>
  </w:footnote>
  <w:footnote w:id="180">
    <w:p w:rsidR="0044225D" w:rsidRDefault="0044225D" w:rsidP="00064B85">
      <w:pPr>
        <w:pStyle w:val="FootnoteText"/>
      </w:pPr>
      <w:r>
        <w:rPr>
          <w:rStyle w:val="FootnoteReference"/>
        </w:rPr>
        <w:footnoteRef/>
      </w:r>
      <w:r>
        <w:t xml:space="preserve"> </w:t>
      </w:r>
      <w:r>
        <w:tab/>
        <w:t>NGR, clause 74(2).</w:t>
      </w:r>
    </w:p>
  </w:footnote>
  <w:footnote w:id="181">
    <w:p w:rsidR="0044225D" w:rsidRDefault="0044225D" w:rsidP="00064B85">
      <w:pPr>
        <w:pStyle w:val="FootnoteText"/>
      </w:pPr>
      <w:r>
        <w:rPr>
          <w:rStyle w:val="FootnoteReference"/>
        </w:rPr>
        <w:footnoteRef/>
      </w:r>
      <w:r>
        <w:t xml:space="preserve"> </w:t>
      </w:r>
      <w:r>
        <w:tab/>
        <w:t>NGR, clause 79(1).</w:t>
      </w:r>
    </w:p>
  </w:footnote>
  <w:footnote w:id="182">
    <w:p w:rsidR="0044225D" w:rsidRDefault="0044225D" w:rsidP="00064B85">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48.</w:t>
      </w:r>
    </w:p>
  </w:footnote>
  <w:footnote w:id="183">
    <w:p w:rsidR="0044225D" w:rsidRDefault="0044225D" w:rsidP="00064B85">
      <w:pPr>
        <w:pStyle w:val="FootnoteText"/>
      </w:pPr>
      <w:r>
        <w:rPr>
          <w:rStyle w:val="FootnoteReference"/>
        </w:rPr>
        <w:footnoteRef/>
      </w:r>
      <w:r>
        <w:t xml:space="preserve"> </w:t>
      </w:r>
      <w:r>
        <w:tab/>
      </w:r>
      <w:r w:rsidRPr="00FF78C3">
        <w:t xml:space="preserve">CEG, </w:t>
      </w:r>
      <w:r w:rsidRPr="00FF78C3">
        <w:rPr>
          <w:rStyle w:val="AERtextitalic"/>
        </w:rPr>
        <w:t>Escalation factors affecting expenditure forecasts</w:t>
      </w:r>
      <w:r w:rsidRPr="00FF78C3">
        <w:t>, December 2013, pp. 4-5.</w:t>
      </w:r>
    </w:p>
  </w:footnote>
  <w:footnote w:id="184">
    <w:p w:rsidR="0044225D" w:rsidRDefault="0044225D" w:rsidP="00064B85">
      <w:pPr>
        <w:pStyle w:val="FootnoteText"/>
      </w:pPr>
      <w:r>
        <w:rPr>
          <w:rStyle w:val="FootnoteReference"/>
        </w:rPr>
        <w:footnoteRef/>
      </w:r>
      <w:r>
        <w:t xml:space="preserve"> </w:t>
      </w:r>
      <w:r>
        <w:tab/>
      </w:r>
      <w:r w:rsidRPr="00FF78C3">
        <w:t xml:space="preserve">CEG, </w:t>
      </w:r>
      <w:r w:rsidRPr="00FF78C3">
        <w:rPr>
          <w:rStyle w:val="AERtextitalic"/>
        </w:rPr>
        <w:t>Escalation factors affecting expenditure forecasts</w:t>
      </w:r>
      <w:r w:rsidRPr="00FF78C3">
        <w:t>, December 2013, p. 13.</w:t>
      </w:r>
    </w:p>
  </w:footnote>
  <w:footnote w:id="185">
    <w:p w:rsidR="0044225D" w:rsidRDefault="0044225D" w:rsidP="00064B85">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A-7.</w:t>
      </w:r>
    </w:p>
  </w:footnote>
  <w:footnote w:id="186">
    <w:p w:rsidR="0044225D" w:rsidRDefault="0044225D" w:rsidP="00064B85">
      <w:pPr>
        <w:pStyle w:val="FootnoteText"/>
      </w:pPr>
      <w:r>
        <w:rPr>
          <w:rStyle w:val="FootnoteReference"/>
        </w:rPr>
        <w:footnoteRef/>
      </w:r>
      <w:r>
        <w:t xml:space="preserve"> </w:t>
      </w:r>
      <w:r>
        <w:tab/>
        <w:t>NGL, Division 2, clause 24(2).</w:t>
      </w:r>
    </w:p>
  </w:footnote>
  <w:footnote w:id="187">
    <w:p w:rsidR="0044225D" w:rsidRDefault="0044225D" w:rsidP="00064B85">
      <w:pPr>
        <w:pStyle w:val="FootnoteText"/>
      </w:pPr>
      <w:r>
        <w:rPr>
          <w:rStyle w:val="FootnoteReference"/>
        </w:rPr>
        <w:footnoteRef/>
      </w:r>
      <w:r>
        <w:t xml:space="preserve"> </w:t>
      </w:r>
      <w:r>
        <w:tab/>
      </w:r>
      <w:r w:rsidRPr="00767916">
        <w:t>NGR, clause 79(1).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5BC"/>
    <w:multiLevelType w:val="hybridMultilevel"/>
    <w:tmpl w:val="1A1E5EA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nsid w:val="02E83E63"/>
    <w:multiLevelType w:val="multilevel"/>
    <w:tmpl w:val="950A1C52"/>
    <w:numStyleLink w:val="AERHeadings"/>
  </w:abstractNum>
  <w:abstractNum w:abstractNumId="2">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A3A6266"/>
    <w:multiLevelType w:val="multilevel"/>
    <w:tmpl w:val="A93864D8"/>
    <w:lvl w:ilvl="0">
      <w:start w:val="1"/>
      <w:numFmt w:val="bullet"/>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FE84FF5"/>
    <w:multiLevelType w:val="hybridMultilevel"/>
    <w:tmpl w:val="2C2AA3F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C320A4"/>
    <w:multiLevelType w:val="hybridMultilevel"/>
    <w:tmpl w:val="C8006450"/>
    <w:lvl w:ilvl="0" w:tplc="546AF5F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6"/>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3F74CB"/>
    <w:multiLevelType w:val="hybridMultilevel"/>
    <w:tmpl w:val="89C4D03A"/>
    <w:lvl w:ilvl="0" w:tplc="C90C7928">
      <w:start w:val="1"/>
      <w:numFmt w:val="decimal"/>
      <w:lvlText w:val="%1."/>
      <w:lvlJc w:val="left"/>
      <w:pPr>
        <w:ind w:left="360" w:hanging="360"/>
      </w:pPr>
      <w:rPr>
        <w:rFonts w:hint="default"/>
        <w:b w:val="0"/>
        <w:i w:val="0"/>
        <w:sz w:val="22"/>
      </w:rPr>
    </w:lvl>
    <w:lvl w:ilvl="1" w:tplc="0C090003">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3">
    <w:nsid w:val="48BB733B"/>
    <w:multiLevelType w:val="hybridMultilevel"/>
    <w:tmpl w:val="7BB2C34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C6B767B"/>
    <w:multiLevelType w:val="hybridMultilevel"/>
    <w:tmpl w:val="8B444DC4"/>
    <w:lvl w:ilvl="0" w:tplc="0C090005">
      <w:start w:val="1"/>
      <w:numFmt w:val="bullet"/>
      <w:lvlText w:val=""/>
      <w:lvlJc w:val="left"/>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1626CE8"/>
    <w:multiLevelType w:val="hybridMultilevel"/>
    <w:tmpl w:val="30F485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nsid w:val="5DC81188"/>
    <w:multiLevelType w:val="hybridMultilevel"/>
    <w:tmpl w:val="7038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5F6623E"/>
    <w:multiLevelType w:val="hybridMultilevel"/>
    <w:tmpl w:val="7D80EF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844594B"/>
    <w:multiLevelType w:val="hybridMultilevel"/>
    <w:tmpl w:val="ACE66A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nsid w:val="6A714985"/>
    <w:multiLevelType w:val="multilevel"/>
    <w:tmpl w:val="68E6D1E4"/>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7AAC6DD7"/>
    <w:multiLevelType w:val="multilevel"/>
    <w:tmpl w:val="950A1C52"/>
    <w:numStyleLink w:val="AERHeadings"/>
  </w:abstractNum>
  <w:abstractNum w:abstractNumId="22">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7"/>
  </w:num>
  <w:num w:numId="2">
    <w:abstractNumId w:val="11"/>
  </w:num>
  <w:num w:numId="3">
    <w:abstractNumId w:val="9"/>
  </w:num>
  <w:num w:numId="4">
    <w:abstractNumId w:val="22"/>
  </w:num>
  <w:num w:numId="5">
    <w:abstractNumId w:val="2"/>
  </w:num>
  <w:num w:numId="6">
    <w:abstractNumId w:val="15"/>
  </w:num>
  <w:num w:numId="7">
    <w:abstractNumId w:val="10"/>
  </w:num>
  <w:num w:numId="8">
    <w:abstractNumId w:val="21"/>
  </w:num>
  <w:num w:numId="9">
    <w:abstractNumId w:val="23"/>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3">
      <w:lvl w:ilvl="3">
        <w:start w:val="1"/>
        <w:numFmt w:val="decimal"/>
        <w:pStyle w:val="Heading3"/>
        <w:lvlText w:val="%2.%3.%4"/>
        <w:lvlJc w:val="left"/>
        <w:pPr>
          <w:tabs>
            <w:tab w:val="num" w:pos="0"/>
          </w:tabs>
          <w:ind w:left="0" w:hanging="851"/>
        </w:pPr>
        <w:rPr>
          <w:rFonts w:hint="default"/>
        </w:rPr>
      </w:lvl>
    </w:lvlOverride>
  </w:num>
  <w:num w:numId="22">
    <w:abstractNumId w:val="12"/>
    <w:lvlOverride w:ilvl="0">
      <w:startOverride w:val="1"/>
    </w:lvlOverride>
  </w:num>
  <w:num w:numId="23">
    <w:abstractNumId w:val="7"/>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4">
    <w:abstractNumId w:val="23"/>
  </w:num>
  <w:num w:numId="25">
    <w:abstractNumId w:val="19"/>
  </w:num>
  <w:num w:numId="26">
    <w:abstractNumId w:val="11"/>
  </w:num>
  <w:num w:numId="27">
    <w:abstractNumId w:val="2"/>
  </w:num>
  <w:num w:numId="28">
    <w:abstractNumId w:val="1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
  </w:num>
  <w:num w:numId="33">
    <w:abstractNumId w:val="20"/>
  </w:num>
  <w:num w:numId="34">
    <w:abstractNumId w:val="18"/>
  </w:num>
  <w:num w:numId="35">
    <w:abstractNumId w:val="6"/>
  </w:num>
  <w:num w:numId="36">
    <w:abstractNumId w:val="16"/>
  </w:num>
  <w:num w:numId="37">
    <w:abstractNumId w:val="0"/>
  </w:num>
  <w:num w:numId="38">
    <w:abstractNumId w:val="14"/>
  </w:num>
  <w:num w:numId="39">
    <w:abstractNumId w:val="5"/>
  </w:num>
  <w:num w:numId="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oNotDisplayPageBoundaries/>
  <w:documentProtection w:formatting="1" w:enforcement="0"/>
  <w:defaultTabStop w:val="720"/>
  <w:evenAndOddHeaders/>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docVars>
    <w:docVar w:name="currentname" w:val="C:\Documents and Settings\bshel\Local Settings\Temporary Internet Files\Content.Outlook\RDFBQRA7\141024 JGN - for Board 301014.docx"/>
  </w:docVars>
  <w:rsids>
    <w:rsidRoot w:val="000C052F"/>
    <w:rsid w:val="000003DE"/>
    <w:rsid w:val="00000711"/>
    <w:rsid w:val="00000B02"/>
    <w:rsid w:val="00001C21"/>
    <w:rsid w:val="000060AF"/>
    <w:rsid w:val="00007378"/>
    <w:rsid w:val="00011129"/>
    <w:rsid w:val="0001164D"/>
    <w:rsid w:val="000126FA"/>
    <w:rsid w:val="00015485"/>
    <w:rsid w:val="00017155"/>
    <w:rsid w:val="0002109E"/>
    <w:rsid w:val="00022606"/>
    <w:rsid w:val="00024BE8"/>
    <w:rsid w:val="00030809"/>
    <w:rsid w:val="000333E2"/>
    <w:rsid w:val="0003755D"/>
    <w:rsid w:val="00040408"/>
    <w:rsid w:val="00040599"/>
    <w:rsid w:val="00040749"/>
    <w:rsid w:val="000425C5"/>
    <w:rsid w:val="00044445"/>
    <w:rsid w:val="0004576C"/>
    <w:rsid w:val="00051586"/>
    <w:rsid w:val="00051DE3"/>
    <w:rsid w:val="00053F49"/>
    <w:rsid w:val="000545B2"/>
    <w:rsid w:val="000608EA"/>
    <w:rsid w:val="00063E62"/>
    <w:rsid w:val="00064B85"/>
    <w:rsid w:val="0006749A"/>
    <w:rsid w:val="00067A6E"/>
    <w:rsid w:val="00067C44"/>
    <w:rsid w:val="00071636"/>
    <w:rsid w:val="00071769"/>
    <w:rsid w:val="000730D9"/>
    <w:rsid w:val="00076F86"/>
    <w:rsid w:val="00086FFA"/>
    <w:rsid w:val="00087698"/>
    <w:rsid w:val="00092FB3"/>
    <w:rsid w:val="00096065"/>
    <w:rsid w:val="000A0210"/>
    <w:rsid w:val="000A0C59"/>
    <w:rsid w:val="000A1865"/>
    <w:rsid w:val="000A1CC2"/>
    <w:rsid w:val="000A5342"/>
    <w:rsid w:val="000B0C29"/>
    <w:rsid w:val="000B15CA"/>
    <w:rsid w:val="000B5876"/>
    <w:rsid w:val="000B58E4"/>
    <w:rsid w:val="000C052F"/>
    <w:rsid w:val="000C19E9"/>
    <w:rsid w:val="000C1F95"/>
    <w:rsid w:val="000C3071"/>
    <w:rsid w:val="000C3430"/>
    <w:rsid w:val="000C39BC"/>
    <w:rsid w:val="000D03C2"/>
    <w:rsid w:val="000D04B1"/>
    <w:rsid w:val="000D0C7C"/>
    <w:rsid w:val="000D250E"/>
    <w:rsid w:val="000D3964"/>
    <w:rsid w:val="000D401F"/>
    <w:rsid w:val="000D576F"/>
    <w:rsid w:val="000E160B"/>
    <w:rsid w:val="000E1A25"/>
    <w:rsid w:val="000E43FB"/>
    <w:rsid w:val="000E4498"/>
    <w:rsid w:val="000E4ECC"/>
    <w:rsid w:val="000E544A"/>
    <w:rsid w:val="000E552A"/>
    <w:rsid w:val="000E6418"/>
    <w:rsid w:val="000F07DF"/>
    <w:rsid w:val="000F100E"/>
    <w:rsid w:val="000F3011"/>
    <w:rsid w:val="000F3454"/>
    <w:rsid w:val="000F3A6A"/>
    <w:rsid w:val="000F72B3"/>
    <w:rsid w:val="001033B3"/>
    <w:rsid w:val="001042AE"/>
    <w:rsid w:val="00105636"/>
    <w:rsid w:val="001108D7"/>
    <w:rsid w:val="001167B3"/>
    <w:rsid w:val="001169CF"/>
    <w:rsid w:val="00122EDA"/>
    <w:rsid w:val="0013022D"/>
    <w:rsid w:val="00131396"/>
    <w:rsid w:val="001320E4"/>
    <w:rsid w:val="00132966"/>
    <w:rsid w:val="00133694"/>
    <w:rsid w:val="00133EAC"/>
    <w:rsid w:val="00134815"/>
    <w:rsid w:val="00135518"/>
    <w:rsid w:val="001370BA"/>
    <w:rsid w:val="0014218F"/>
    <w:rsid w:val="0014356D"/>
    <w:rsid w:val="00144370"/>
    <w:rsid w:val="00150172"/>
    <w:rsid w:val="00153185"/>
    <w:rsid w:val="001543D2"/>
    <w:rsid w:val="001626B8"/>
    <w:rsid w:val="001702E2"/>
    <w:rsid w:val="001708CC"/>
    <w:rsid w:val="00171022"/>
    <w:rsid w:val="001726DB"/>
    <w:rsid w:val="00174026"/>
    <w:rsid w:val="00175C58"/>
    <w:rsid w:val="00176750"/>
    <w:rsid w:val="0018498B"/>
    <w:rsid w:val="001856EE"/>
    <w:rsid w:val="00187D48"/>
    <w:rsid w:val="00194C3C"/>
    <w:rsid w:val="00196100"/>
    <w:rsid w:val="001A47F4"/>
    <w:rsid w:val="001A4F59"/>
    <w:rsid w:val="001A5C0D"/>
    <w:rsid w:val="001A6DC2"/>
    <w:rsid w:val="001A7021"/>
    <w:rsid w:val="001B49C3"/>
    <w:rsid w:val="001B56BD"/>
    <w:rsid w:val="001B56D0"/>
    <w:rsid w:val="001B6619"/>
    <w:rsid w:val="001C12E5"/>
    <w:rsid w:val="001C2797"/>
    <w:rsid w:val="001C3B7A"/>
    <w:rsid w:val="001C4667"/>
    <w:rsid w:val="001C5755"/>
    <w:rsid w:val="001C64AB"/>
    <w:rsid w:val="001C7A9D"/>
    <w:rsid w:val="001C7E71"/>
    <w:rsid w:val="001C7FB8"/>
    <w:rsid w:val="001D1E87"/>
    <w:rsid w:val="001D2957"/>
    <w:rsid w:val="001D320E"/>
    <w:rsid w:val="001E38E4"/>
    <w:rsid w:val="001E62E7"/>
    <w:rsid w:val="001E78B9"/>
    <w:rsid w:val="001F2866"/>
    <w:rsid w:val="001F5C4D"/>
    <w:rsid w:val="00200C5E"/>
    <w:rsid w:val="002023BB"/>
    <w:rsid w:val="002023C1"/>
    <w:rsid w:val="00204395"/>
    <w:rsid w:val="00205A3C"/>
    <w:rsid w:val="0020711E"/>
    <w:rsid w:val="00207CB5"/>
    <w:rsid w:val="00210880"/>
    <w:rsid w:val="00210CB8"/>
    <w:rsid w:val="00215B59"/>
    <w:rsid w:val="0021623D"/>
    <w:rsid w:val="002170F9"/>
    <w:rsid w:val="00217E59"/>
    <w:rsid w:val="00217ED4"/>
    <w:rsid w:val="002203A5"/>
    <w:rsid w:val="00221554"/>
    <w:rsid w:val="002246D3"/>
    <w:rsid w:val="002249F3"/>
    <w:rsid w:val="002257B9"/>
    <w:rsid w:val="002264EF"/>
    <w:rsid w:val="0023137D"/>
    <w:rsid w:val="0023411A"/>
    <w:rsid w:val="0023549C"/>
    <w:rsid w:val="00236A95"/>
    <w:rsid w:val="0023754A"/>
    <w:rsid w:val="002375EC"/>
    <w:rsid w:val="00237670"/>
    <w:rsid w:val="00237797"/>
    <w:rsid w:val="00244921"/>
    <w:rsid w:val="00250735"/>
    <w:rsid w:val="00253B6B"/>
    <w:rsid w:val="002560FC"/>
    <w:rsid w:val="002571D7"/>
    <w:rsid w:val="00260665"/>
    <w:rsid w:val="00266710"/>
    <w:rsid w:val="00271818"/>
    <w:rsid w:val="00275734"/>
    <w:rsid w:val="0027609E"/>
    <w:rsid w:val="00276A7F"/>
    <w:rsid w:val="00277388"/>
    <w:rsid w:val="002805B8"/>
    <w:rsid w:val="00280F28"/>
    <w:rsid w:val="002811D4"/>
    <w:rsid w:val="00281B7D"/>
    <w:rsid w:val="00282529"/>
    <w:rsid w:val="00282DD3"/>
    <w:rsid w:val="00283697"/>
    <w:rsid w:val="00285183"/>
    <w:rsid w:val="0029094B"/>
    <w:rsid w:val="002938CE"/>
    <w:rsid w:val="0029475D"/>
    <w:rsid w:val="00296316"/>
    <w:rsid w:val="002B04ED"/>
    <w:rsid w:val="002B5813"/>
    <w:rsid w:val="002B5FE2"/>
    <w:rsid w:val="002B6640"/>
    <w:rsid w:val="002B75A1"/>
    <w:rsid w:val="002B7BD8"/>
    <w:rsid w:val="002C17AB"/>
    <w:rsid w:val="002C1E8F"/>
    <w:rsid w:val="002C327D"/>
    <w:rsid w:val="002C3E47"/>
    <w:rsid w:val="002C58E1"/>
    <w:rsid w:val="002C6423"/>
    <w:rsid w:val="002C6526"/>
    <w:rsid w:val="002D1B2C"/>
    <w:rsid w:val="002D4FB8"/>
    <w:rsid w:val="002D61AC"/>
    <w:rsid w:val="002E3845"/>
    <w:rsid w:val="002E3864"/>
    <w:rsid w:val="002E4720"/>
    <w:rsid w:val="002E5F4A"/>
    <w:rsid w:val="002F0E16"/>
    <w:rsid w:val="002F130C"/>
    <w:rsid w:val="002F3E8D"/>
    <w:rsid w:val="002F5E0E"/>
    <w:rsid w:val="002F7888"/>
    <w:rsid w:val="003019EF"/>
    <w:rsid w:val="00303452"/>
    <w:rsid w:val="00305A10"/>
    <w:rsid w:val="00306402"/>
    <w:rsid w:val="00306489"/>
    <w:rsid w:val="00306D00"/>
    <w:rsid w:val="00311EE2"/>
    <w:rsid w:val="00313053"/>
    <w:rsid w:val="003153DD"/>
    <w:rsid w:val="00317771"/>
    <w:rsid w:val="003200F9"/>
    <w:rsid w:val="00326AF5"/>
    <w:rsid w:val="00331E90"/>
    <w:rsid w:val="003324F7"/>
    <w:rsid w:val="00333A31"/>
    <w:rsid w:val="00334F88"/>
    <w:rsid w:val="00336744"/>
    <w:rsid w:val="00336B42"/>
    <w:rsid w:val="00342838"/>
    <w:rsid w:val="00343857"/>
    <w:rsid w:val="00347D6F"/>
    <w:rsid w:val="00352761"/>
    <w:rsid w:val="00353CD0"/>
    <w:rsid w:val="00353D90"/>
    <w:rsid w:val="00360117"/>
    <w:rsid w:val="00361AD9"/>
    <w:rsid w:val="00362517"/>
    <w:rsid w:val="00367EBC"/>
    <w:rsid w:val="003707DB"/>
    <w:rsid w:val="00375AEC"/>
    <w:rsid w:val="00376236"/>
    <w:rsid w:val="0037652C"/>
    <w:rsid w:val="003800E4"/>
    <w:rsid w:val="00380FF5"/>
    <w:rsid w:val="00383873"/>
    <w:rsid w:val="00384FED"/>
    <w:rsid w:val="00386823"/>
    <w:rsid w:val="00386A1D"/>
    <w:rsid w:val="00390641"/>
    <w:rsid w:val="003923B6"/>
    <w:rsid w:val="00395951"/>
    <w:rsid w:val="003964D7"/>
    <w:rsid w:val="00397328"/>
    <w:rsid w:val="0039786A"/>
    <w:rsid w:val="003A02C7"/>
    <w:rsid w:val="003A0F14"/>
    <w:rsid w:val="003A217D"/>
    <w:rsid w:val="003A4BAC"/>
    <w:rsid w:val="003A52E3"/>
    <w:rsid w:val="003A6174"/>
    <w:rsid w:val="003A7C8A"/>
    <w:rsid w:val="003C2D3D"/>
    <w:rsid w:val="003C4848"/>
    <w:rsid w:val="003D614B"/>
    <w:rsid w:val="003D7015"/>
    <w:rsid w:val="003E1A9E"/>
    <w:rsid w:val="003E6B69"/>
    <w:rsid w:val="003E6F39"/>
    <w:rsid w:val="003E7206"/>
    <w:rsid w:val="003F23E4"/>
    <w:rsid w:val="003F3E3B"/>
    <w:rsid w:val="003F5226"/>
    <w:rsid w:val="003F5AF4"/>
    <w:rsid w:val="003F72EE"/>
    <w:rsid w:val="00400814"/>
    <w:rsid w:val="004030AB"/>
    <w:rsid w:val="00405BB8"/>
    <w:rsid w:val="00405CC5"/>
    <w:rsid w:val="0041181D"/>
    <w:rsid w:val="00412282"/>
    <w:rsid w:val="004138BF"/>
    <w:rsid w:val="004256BA"/>
    <w:rsid w:val="00426CFB"/>
    <w:rsid w:val="00431999"/>
    <w:rsid w:val="004322E0"/>
    <w:rsid w:val="00433475"/>
    <w:rsid w:val="00434814"/>
    <w:rsid w:val="00435682"/>
    <w:rsid w:val="00435A51"/>
    <w:rsid w:val="00436C61"/>
    <w:rsid w:val="0044225D"/>
    <w:rsid w:val="004423CF"/>
    <w:rsid w:val="00450058"/>
    <w:rsid w:val="00452054"/>
    <w:rsid w:val="00452FC5"/>
    <w:rsid w:val="00454CC8"/>
    <w:rsid w:val="00456081"/>
    <w:rsid w:val="00460F4B"/>
    <w:rsid w:val="00464F5D"/>
    <w:rsid w:val="00465807"/>
    <w:rsid w:val="00471E3D"/>
    <w:rsid w:val="0047287F"/>
    <w:rsid w:val="004743DC"/>
    <w:rsid w:val="00474FBD"/>
    <w:rsid w:val="0047602C"/>
    <w:rsid w:val="00477CE0"/>
    <w:rsid w:val="004811EB"/>
    <w:rsid w:val="00483003"/>
    <w:rsid w:val="00483FE0"/>
    <w:rsid w:val="0048450F"/>
    <w:rsid w:val="00485794"/>
    <w:rsid w:val="00486408"/>
    <w:rsid w:val="00491D7D"/>
    <w:rsid w:val="0049419B"/>
    <w:rsid w:val="004964DB"/>
    <w:rsid w:val="00497F62"/>
    <w:rsid w:val="004A179C"/>
    <w:rsid w:val="004A2EB2"/>
    <w:rsid w:val="004B19D1"/>
    <w:rsid w:val="004B6C23"/>
    <w:rsid w:val="004C115A"/>
    <w:rsid w:val="004C3F45"/>
    <w:rsid w:val="004C4BE1"/>
    <w:rsid w:val="004C556E"/>
    <w:rsid w:val="004C6B95"/>
    <w:rsid w:val="004D07A1"/>
    <w:rsid w:val="004D1CA8"/>
    <w:rsid w:val="004D24B6"/>
    <w:rsid w:val="004D2C47"/>
    <w:rsid w:val="004D5AF5"/>
    <w:rsid w:val="004E16E6"/>
    <w:rsid w:val="004E3CD2"/>
    <w:rsid w:val="004E3F4A"/>
    <w:rsid w:val="004E40EF"/>
    <w:rsid w:val="004E73F7"/>
    <w:rsid w:val="004E7F16"/>
    <w:rsid w:val="004F02AC"/>
    <w:rsid w:val="004F2B46"/>
    <w:rsid w:val="004F76A0"/>
    <w:rsid w:val="00500885"/>
    <w:rsid w:val="00500E7F"/>
    <w:rsid w:val="00505522"/>
    <w:rsid w:val="00506001"/>
    <w:rsid w:val="0050795B"/>
    <w:rsid w:val="00510278"/>
    <w:rsid w:val="0051172A"/>
    <w:rsid w:val="00513874"/>
    <w:rsid w:val="00515FB2"/>
    <w:rsid w:val="00517910"/>
    <w:rsid w:val="00520094"/>
    <w:rsid w:val="005202A4"/>
    <w:rsid w:val="00520DCB"/>
    <w:rsid w:val="0052179D"/>
    <w:rsid w:val="005223A5"/>
    <w:rsid w:val="00525326"/>
    <w:rsid w:val="00525604"/>
    <w:rsid w:val="00525C98"/>
    <w:rsid w:val="00527E19"/>
    <w:rsid w:val="00530C57"/>
    <w:rsid w:val="00533EA0"/>
    <w:rsid w:val="00536482"/>
    <w:rsid w:val="00537441"/>
    <w:rsid w:val="00537FC3"/>
    <w:rsid w:val="005410DA"/>
    <w:rsid w:val="00543FFF"/>
    <w:rsid w:val="00544E52"/>
    <w:rsid w:val="005456A9"/>
    <w:rsid w:val="005474F8"/>
    <w:rsid w:val="005478D3"/>
    <w:rsid w:val="00551A62"/>
    <w:rsid w:val="00553F2C"/>
    <w:rsid w:val="00554AF0"/>
    <w:rsid w:val="00555D52"/>
    <w:rsid w:val="005566D7"/>
    <w:rsid w:val="00561F7F"/>
    <w:rsid w:val="00566B35"/>
    <w:rsid w:val="00570544"/>
    <w:rsid w:val="00570784"/>
    <w:rsid w:val="00570CA7"/>
    <w:rsid w:val="00572720"/>
    <w:rsid w:val="005732CC"/>
    <w:rsid w:val="00575422"/>
    <w:rsid w:val="00580048"/>
    <w:rsid w:val="00580354"/>
    <w:rsid w:val="00583C27"/>
    <w:rsid w:val="00591CAA"/>
    <w:rsid w:val="005938C6"/>
    <w:rsid w:val="0059471C"/>
    <w:rsid w:val="005963AA"/>
    <w:rsid w:val="005A0431"/>
    <w:rsid w:val="005A1E0E"/>
    <w:rsid w:val="005A2049"/>
    <w:rsid w:val="005A25F8"/>
    <w:rsid w:val="005A3660"/>
    <w:rsid w:val="005A3745"/>
    <w:rsid w:val="005A6424"/>
    <w:rsid w:val="005A76D6"/>
    <w:rsid w:val="005A7F04"/>
    <w:rsid w:val="005B213A"/>
    <w:rsid w:val="005B2F34"/>
    <w:rsid w:val="005B3752"/>
    <w:rsid w:val="005B56B8"/>
    <w:rsid w:val="005B61C2"/>
    <w:rsid w:val="005C0953"/>
    <w:rsid w:val="005C10D4"/>
    <w:rsid w:val="005C2CC8"/>
    <w:rsid w:val="005C56FA"/>
    <w:rsid w:val="005D0A2B"/>
    <w:rsid w:val="005D1D58"/>
    <w:rsid w:val="005D26B7"/>
    <w:rsid w:val="005D4AA1"/>
    <w:rsid w:val="005D633B"/>
    <w:rsid w:val="005E012E"/>
    <w:rsid w:val="005E1F06"/>
    <w:rsid w:val="005E29EE"/>
    <w:rsid w:val="005E3C84"/>
    <w:rsid w:val="005E3E0C"/>
    <w:rsid w:val="005E4E71"/>
    <w:rsid w:val="005E54C6"/>
    <w:rsid w:val="005E6737"/>
    <w:rsid w:val="005F27BD"/>
    <w:rsid w:val="005F2BE0"/>
    <w:rsid w:val="0060146C"/>
    <w:rsid w:val="0060207D"/>
    <w:rsid w:val="006039F2"/>
    <w:rsid w:val="00603F89"/>
    <w:rsid w:val="00604C48"/>
    <w:rsid w:val="006061B0"/>
    <w:rsid w:val="0060732E"/>
    <w:rsid w:val="006076A9"/>
    <w:rsid w:val="00611715"/>
    <w:rsid w:val="00611C1A"/>
    <w:rsid w:val="00616D6E"/>
    <w:rsid w:val="00616F95"/>
    <w:rsid w:val="0062586A"/>
    <w:rsid w:val="00632AE0"/>
    <w:rsid w:val="00640563"/>
    <w:rsid w:val="006406EC"/>
    <w:rsid w:val="00640E0A"/>
    <w:rsid w:val="00642F6F"/>
    <w:rsid w:val="006457BC"/>
    <w:rsid w:val="0065125A"/>
    <w:rsid w:val="00652229"/>
    <w:rsid w:val="00654121"/>
    <w:rsid w:val="006544EA"/>
    <w:rsid w:val="006559FC"/>
    <w:rsid w:val="006602BE"/>
    <w:rsid w:val="0066569F"/>
    <w:rsid w:val="006661A3"/>
    <w:rsid w:val="00666FB0"/>
    <w:rsid w:val="0067211B"/>
    <w:rsid w:val="00677028"/>
    <w:rsid w:val="00677ACF"/>
    <w:rsid w:val="006811B8"/>
    <w:rsid w:val="00682425"/>
    <w:rsid w:val="006877E7"/>
    <w:rsid w:val="00687DEA"/>
    <w:rsid w:val="0069004B"/>
    <w:rsid w:val="006903D6"/>
    <w:rsid w:val="00690E1A"/>
    <w:rsid w:val="00693004"/>
    <w:rsid w:val="00694629"/>
    <w:rsid w:val="006A12DD"/>
    <w:rsid w:val="006A1780"/>
    <w:rsid w:val="006A1CB7"/>
    <w:rsid w:val="006A3F2D"/>
    <w:rsid w:val="006A3FA6"/>
    <w:rsid w:val="006A41D0"/>
    <w:rsid w:val="006A5D01"/>
    <w:rsid w:val="006B08EB"/>
    <w:rsid w:val="006B2C1C"/>
    <w:rsid w:val="006B404D"/>
    <w:rsid w:val="006B481F"/>
    <w:rsid w:val="006C29CA"/>
    <w:rsid w:val="006C6C3A"/>
    <w:rsid w:val="006D0CCD"/>
    <w:rsid w:val="006D1B3E"/>
    <w:rsid w:val="006D72E2"/>
    <w:rsid w:val="006E2006"/>
    <w:rsid w:val="006E501E"/>
    <w:rsid w:val="006E7442"/>
    <w:rsid w:val="006F638E"/>
    <w:rsid w:val="006F7399"/>
    <w:rsid w:val="006F77DE"/>
    <w:rsid w:val="00703E42"/>
    <w:rsid w:val="007056AB"/>
    <w:rsid w:val="007128A4"/>
    <w:rsid w:val="007129C6"/>
    <w:rsid w:val="00716770"/>
    <w:rsid w:val="00717CCB"/>
    <w:rsid w:val="007202F1"/>
    <w:rsid w:val="007243CE"/>
    <w:rsid w:val="00724445"/>
    <w:rsid w:val="00736035"/>
    <w:rsid w:val="007364AF"/>
    <w:rsid w:val="007368AD"/>
    <w:rsid w:val="007415F7"/>
    <w:rsid w:val="0074370B"/>
    <w:rsid w:val="00743BFC"/>
    <w:rsid w:val="00751365"/>
    <w:rsid w:val="0075157B"/>
    <w:rsid w:val="00751B1D"/>
    <w:rsid w:val="00751D2A"/>
    <w:rsid w:val="007533E2"/>
    <w:rsid w:val="007534E0"/>
    <w:rsid w:val="00753E51"/>
    <w:rsid w:val="00753E7C"/>
    <w:rsid w:val="00754001"/>
    <w:rsid w:val="00754AEF"/>
    <w:rsid w:val="00754FF8"/>
    <w:rsid w:val="00755095"/>
    <w:rsid w:val="00761B7D"/>
    <w:rsid w:val="00763728"/>
    <w:rsid w:val="007640C4"/>
    <w:rsid w:val="00765256"/>
    <w:rsid w:val="0076722E"/>
    <w:rsid w:val="00771721"/>
    <w:rsid w:val="00774AC3"/>
    <w:rsid w:val="007819B7"/>
    <w:rsid w:val="00782423"/>
    <w:rsid w:val="007840F1"/>
    <w:rsid w:val="00790222"/>
    <w:rsid w:val="007902A1"/>
    <w:rsid w:val="007917B0"/>
    <w:rsid w:val="00794319"/>
    <w:rsid w:val="007952EC"/>
    <w:rsid w:val="00796A07"/>
    <w:rsid w:val="00797100"/>
    <w:rsid w:val="007A2EAC"/>
    <w:rsid w:val="007A7F27"/>
    <w:rsid w:val="007B0BB0"/>
    <w:rsid w:val="007B541B"/>
    <w:rsid w:val="007B66AC"/>
    <w:rsid w:val="007C06E7"/>
    <w:rsid w:val="007C274F"/>
    <w:rsid w:val="007C45E8"/>
    <w:rsid w:val="007C74B0"/>
    <w:rsid w:val="007D5665"/>
    <w:rsid w:val="007E10B8"/>
    <w:rsid w:val="007E1639"/>
    <w:rsid w:val="007E66C4"/>
    <w:rsid w:val="007E68E6"/>
    <w:rsid w:val="007F10E3"/>
    <w:rsid w:val="007F2C0E"/>
    <w:rsid w:val="007F575B"/>
    <w:rsid w:val="007F5A95"/>
    <w:rsid w:val="007F5F5F"/>
    <w:rsid w:val="00800D85"/>
    <w:rsid w:val="0080174E"/>
    <w:rsid w:val="0080187F"/>
    <w:rsid w:val="0080296E"/>
    <w:rsid w:val="00804443"/>
    <w:rsid w:val="00804AEB"/>
    <w:rsid w:val="0080667C"/>
    <w:rsid w:val="00812B35"/>
    <w:rsid w:val="008140F9"/>
    <w:rsid w:val="0081761E"/>
    <w:rsid w:val="008246B3"/>
    <w:rsid w:val="00824CC8"/>
    <w:rsid w:val="00827315"/>
    <w:rsid w:val="008349A0"/>
    <w:rsid w:val="008368B6"/>
    <w:rsid w:val="00836D17"/>
    <w:rsid w:val="0084005F"/>
    <w:rsid w:val="00840A55"/>
    <w:rsid w:val="00840B04"/>
    <w:rsid w:val="00841E25"/>
    <w:rsid w:val="0084230B"/>
    <w:rsid w:val="008428A5"/>
    <w:rsid w:val="00842B66"/>
    <w:rsid w:val="0084378B"/>
    <w:rsid w:val="008438A1"/>
    <w:rsid w:val="00845758"/>
    <w:rsid w:val="008464CD"/>
    <w:rsid w:val="00847A6C"/>
    <w:rsid w:val="00850842"/>
    <w:rsid w:val="008515EE"/>
    <w:rsid w:val="00852D28"/>
    <w:rsid w:val="00853D35"/>
    <w:rsid w:val="00857F0E"/>
    <w:rsid w:val="00860E03"/>
    <w:rsid w:val="0086160E"/>
    <w:rsid w:val="00861BD4"/>
    <w:rsid w:val="00861C4E"/>
    <w:rsid w:val="00862319"/>
    <w:rsid w:val="00863A8C"/>
    <w:rsid w:val="00864802"/>
    <w:rsid w:val="00866D21"/>
    <w:rsid w:val="0087123E"/>
    <w:rsid w:val="0087125A"/>
    <w:rsid w:val="00871AC3"/>
    <w:rsid w:val="00872D85"/>
    <w:rsid w:val="008744FD"/>
    <w:rsid w:val="00874AF5"/>
    <w:rsid w:val="00874B81"/>
    <w:rsid w:val="00874D88"/>
    <w:rsid w:val="00876438"/>
    <w:rsid w:val="008770CD"/>
    <w:rsid w:val="0088209C"/>
    <w:rsid w:val="00882D30"/>
    <w:rsid w:val="00883385"/>
    <w:rsid w:val="00883DDA"/>
    <w:rsid w:val="0088519E"/>
    <w:rsid w:val="00886CFC"/>
    <w:rsid w:val="00887075"/>
    <w:rsid w:val="0088744B"/>
    <w:rsid w:val="008907A4"/>
    <w:rsid w:val="00890A06"/>
    <w:rsid w:val="00891FF9"/>
    <w:rsid w:val="00893367"/>
    <w:rsid w:val="00893A8A"/>
    <w:rsid w:val="00893D07"/>
    <w:rsid w:val="0089502F"/>
    <w:rsid w:val="008A5126"/>
    <w:rsid w:val="008B30E8"/>
    <w:rsid w:val="008B4932"/>
    <w:rsid w:val="008B4F6E"/>
    <w:rsid w:val="008B73BE"/>
    <w:rsid w:val="008B762E"/>
    <w:rsid w:val="008B7956"/>
    <w:rsid w:val="008C1F9E"/>
    <w:rsid w:val="008C3722"/>
    <w:rsid w:val="008C3B67"/>
    <w:rsid w:val="008C3F48"/>
    <w:rsid w:val="008C787B"/>
    <w:rsid w:val="008D137B"/>
    <w:rsid w:val="008D49B4"/>
    <w:rsid w:val="008D60EC"/>
    <w:rsid w:val="008D7084"/>
    <w:rsid w:val="008D7498"/>
    <w:rsid w:val="008E0142"/>
    <w:rsid w:val="008E1FE5"/>
    <w:rsid w:val="008E33E1"/>
    <w:rsid w:val="008E43EB"/>
    <w:rsid w:val="008E5AEC"/>
    <w:rsid w:val="008E7F71"/>
    <w:rsid w:val="008F6EAC"/>
    <w:rsid w:val="00900034"/>
    <w:rsid w:val="00902ACC"/>
    <w:rsid w:val="00903B08"/>
    <w:rsid w:val="009041EF"/>
    <w:rsid w:val="009043C1"/>
    <w:rsid w:val="009112E9"/>
    <w:rsid w:val="0091391D"/>
    <w:rsid w:val="00916713"/>
    <w:rsid w:val="0091715B"/>
    <w:rsid w:val="00923933"/>
    <w:rsid w:val="00923ACA"/>
    <w:rsid w:val="00926391"/>
    <w:rsid w:val="00927678"/>
    <w:rsid w:val="009309FB"/>
    <w:rsid w:val="00932E96"/>
    <w:rsid w:val="00933E63"/>
    <w:rsid w:val="00936389"/>
    <w:rsid w:val="00937169"/>
    <w:rsid w:val="00937496"/>
    <w:rsid w:val="00940470"/>
    <w:rsid w:val="009418E6"/>
    <w:rsid w:val="0094235F"/>
    <w:rsid w:val="0094279F"/>
    <w:rsid w:val="00942FA6"/>
    <w:rsid w:val="00946B98"/>
    <w:rsid w:val="00947435"/>
    <w:rsid w:val="0095052A"/>
    <w:rsid w:val="009516DF"/>
    <w:rsid w:val="00952244"/>
    <w:rsid w:val="00956724"/>
    <w:rsid w:val="00957164"/>
    <w:rsid w:val="009632D9"/>
    <w:rsid w:val="00963704"/>
    <w:rsid w:val="00963C2F"/>
    <w:rsid w:val="009658F0"/>
    <w:rsid w:val="009667FC"/>
    <w:rsid w:val="00967500"/>
    <w:rsid w:val="00971655"/>
    <w:rsid w:val="00971C63"/>
    <w:rsid w:val="00972175"/>
    <w:rsid w:val="00980D9B"/>
    <w:rsid w:val="009822D1"/>
    <w:rsid w:val="009830B7"/>
    <w:rsid w:val="00984CC5"/>
    <w:rsid w:val="00985A25"/>
    <w:rsid w:val="00986019"/>
    <w:rsid w:val="00987DFB"/>
    <w:rsid w:val="00991231"/>
    <w:rsid w:val="00993B29"/>
    <w:rsid w:val="00994D9F"/>
    <w:rsid w:val="009954CC"/>
    <w:rsid w:val="009A285D"/>
    <w:rsid w:val="009A2F59"/>
    <w:rsid w:val="009A46C2"/>
    <w:rsid w:val="009A4AE9"/>
    <w:rsid w:val="009A5D89"/>
    <w:rsid w:val="009B04D8"/>
    <w:rsid w:val="009B0BC2"/>
    <w:rsid w:val="009B18B5"/>
    <w:rsid w:val="009C0C32"/>
    <w:rsid w:val="009C2D4D"/>
    <w:rsid w:val="009C326D"/>
    <w:rsid w:val="009C33E8"/>
    <w:rsid w:val="009C4E8D"/>
    <w:rsid w:val="009C71D5"/>
    <w:rsid w:val="009D200F"/>
    <w:rsid w:val="009D57A0"/>
    <w:rsid w:val="009D6499"/>
    <w:rsid w:val="009E112C"/>
    <w:rsid w:val="009E240D"/>
    <w:rsid w:val="009E4FBA"/>
    <w:rsid w:val="009E6A61"/>
    <w:rsid w:val="009F0FFB"/>
    <w:rsid w:val="009F16ED"/>
    <w:rsid w:val="009F3EDD"/>
    <w:rsid w:val="009F7369"/>
    <w:rsid w:val="009F7CE4"/>
    <w:rsid w:val="009F7E1F"/>
    <w:rsid w:val="00A00ADB"/>
    <w:rsid w:val="00A03972"/>
    <w:rsid w:val="00A056A4"/>
    <w:rsid w:val="00A06143"/>
    <w:rsid w:val="00A11162"/>
    <w:rsid w:val="00A11C89"/>
    <w:rsid w:val="00A14B4C"/>
    <w:rsid w:val="00A15AA7"/>
    <w:rsid w:val="00A16DB5"/>
    <w:rsid w:val="00A17FBE"/>
    <w:rsid w:val="00A203C9"/>
    <w:rsid w:val="00A219A7"/>
    <w:rsid w:val="00A21D39"/>
    <w:rsid w:val="00A22027"/>
    <w:rsid w:val="00A26573"/>
    <w:rsid w:val="00A2715B"/>
    <w:rsid w:val="00A27469"/>
    <w:rsid w:val="00A3053C"/>
    <w:rsid w:val="00A32C75"/>
    <w:rsid w:val="00A35F18"/>
    <w:rsid w:val="00A40D00"/>
    <w:rsid w:val="00A40EAA"/>
    <w:rsid w:val="00A42690"/>
    <w:rsid w:val="00A43227"/>
    <w:rsid w:val="00A43BA7"/>
    <w:rsid w:val="00A44295"/>
    <w:rsid w:val="00A4447D"/>
    <w:rsid w:val="00A448EB"/>
    <w:rsid w:val="00A44F3E"/>
    <w:rsid w:val="00A46CCD"/>
    <w:rsid w:val="00A50A42"/>
    <w:rsid w:val="00A52FFD"/>
    <w:rsid w:val="00A56698"/>
    <w:rsid w:val="00A571B0"/>
    <w:rsid w:val="00A57D7B"/>
    <w:rsid w:val="00A60A2E"/>
    <w:rsid w:val="00A64641"/>
    <w:rsid w:val="00A648BE"/>
    <w:rsid w:val="00A65031"/>
    <w:rsid w:val="00A65133"/>
    <w:rsid w:val="00A652C5"/>
    <w:rsid w:val="00A67256"/>
    <w:rsid w:val="00A7098C"/>
    <w:rsid w:val="00A73B8C"/>
    <w:rsid w:val="00A74AEA"/>
    <w:rsid w:val="00A76366"/>
    <w:rsid w:val="00A7763A"/>
    <w:rsid w:val="00A83DE4"/>
    <w:rsid w:val="00A840D7"/>
    <w:rsid w:val="00A85C5A"/>
    <w:rsid w:val="00A86AFF"/>
    <w:rsid w:val="00A91109"/>
    <w:rsid w:val="00A92442"/>
    <w:rsid w:val="00A96A08"/>
    <w:rsid w:val="00AA0161"/>
    <w:rsid w:val="00AA0AC5"/>
    <w:rsid w:val="00AA203F"/>
    <w:rsid w:val="00AA3554"/>
    <w:rsid w:val="00AA4EB3"/>
    <w:rsid w:val="00AA4EE3"/>
    <w:rsid w:val="00AA51FA"/>
    <w:rsid w:val="00AA655F"/>
    <w:rsid w:val="00AB01EC"/>
    <w:rsid w:val="00AB0D6E"/>
    <w:rsid w:val="00AB1D08"/>
    <w:rsid w:val="00AB20CB"/>
    <w:rsid w:val="00AB3A65"/>
    <w:rsid w:val="00AB4345"/>
    <w:rsid w:val="00AB5817"/>
    <w:rsid w:val="00AB5BD7"/>
    <w:rsid w:val="00AB75E9"/>
    <w:rsid w:val="00AC0135"/>
    <w:rsid w:val="00AC070D"/>
    <w:rsid w:val="00AC1B94"/>
    <w:rsid w:val="00AD0616"/>
    <w:rsid w:val="00AD30D9"/>
    <w:rsid w:val="00AD34FF"/>
    <w:rsid w:val="00AD3A41"/>
    <w:rsid w:val="00AD4DE6"/>
    <w:rsid w:val="00AE08A8"/>
    <w:rsid w:val="00AE15F7"/>
    <w:rsid w:val="00AE33CF"/>
    <w:rsid w:val="00AE6DBC"/>
    <w:rsid w:val="00AF1B0F"/>
    <w:rsid w:val="00AF33C3"/>
    <w:rsid w:val="00AF3E95"/>
    <w:rsid w:val="00AF569A"/>
    <w:rsid w:val="00AF7C67"/>
    <w:rsid w:val="00B012BB"/>
    <w:rsid w:val="00B02D47"/>
    <w:rsid w:val="00B0387B"/>
    <w:rsid w:val="00B15FE9"/>
    <w:rsid w:val="00B16FCF"/>
    <w:rsid w:val="00B20129"/>
    <w:rsid w:val="00B20EA8"/>
    <w:rsid w:val="00B21FF4"/>
    <w:rsid w:val="00B22E31"/>
    <w:rsid w:val="00B23487"/>
    <w:rsid w:val="00B25066"/>
    <w:rsid w:val="00B26976"/>
    <w:rsid w:val="00B27F52"/>
    <w:rsid w:val="00B31188"/>
    <w:rsid w:val="00B34AC8"/>
    <w:rsid w:val="00B36856"/>
    <w:rsid w:val="00B41114"/>
    <w:rsid w:val="00B43093"/>
    <w:rsid w:val="00B458C9"/>
    <w:rsid w:val="00B45AB3"/>
    <w:rsid w:val="00B462A3"/>
    <w:rsid w:val="00B46D5B"/>
    <w:rsid w:val="00B4729E"/>
    <w:rsid w:val="00B5174E"/>
    <w:rsid w:val="00B51883"/>
    <w:rsid w:val="00B5506C"/>
    <w:rsid w:val="00B55F8B"/>
    <w:rsid w:val="00B60DB6"/>
    <w:rsid w:val="00B61FD4"/>
    <w:rsid w:val="00B62CD0"/>
    <w:rsid w:val="00B637BC"/>
    <w:rsid w:val="00B65FC5"/>
    <w:rsid w:val="00B674DB"/>
    <w:rsid w:val="00B7069F"/>
    <w:rsid w:val="00B70C60"/>
    <w:rsid w:val="00B71CE1"/>
    <w:rsid w:val="00B7544E"/>
    <w:rsid w:val="00B769FB"/>
    <w:rsid w:val="00B80580"/>
    <w:rsid w:val="00B82E8D"/>
    <w:rsid w:val="00B871B4"/>
    <w:rsid w:val="00B902C7"/>
    <w:rsid w:val="00B9264D"/>
    <w:rsid w:val="00B940A4"/>
    <w:rsid w:val="00B94C44"/>
    <w:rsid w:val="00B94D99"/>
    <w:rsid w:val="00BA386E"/>
    <w:rsid w:val="00BA4785"/>
    <w:rsid w:val="00BA5E80"/>
    <w:rsid w:val="00BB030D"/>
    <w:rsid w:val="00BB0734"/>
    <w:rsid w:val="00BB24F7"/>
    <w:rsid w:val="00BB38B8"/>
    <w:rsid w:val="00BB3FA1"/>
    <w:rsid w:val="00BB62BB"/>
    <w:rsid w:val="00BB797A"/>
    <w:rsid w:val="00BC05C5"/>
    <w:rsid w:val="00BC4043"/>
    <w:rsid w:val="00BC429F"/>
    <w:rsid w:val="00BC4A5D"/>
    <w:rsid w:val="00BC55C0"/>
    <w:rsid w:val="00BC72CA"/>
    <w:rsid w:val="00BD04BE"/>
    <w:rsid w:val="00BD1FF1"/>
    <w:rsid w:val="00BD2074"/>
    <w:rsid w:val="00BD22FD"/>
    <w:rsid w:val="00BD5286"/>
    <w:rsid w:val="00BD59B3"/>
    <w:rsid w:val="00BD5E35"/>
    <w:rsid w:val="00BD622D"/>
    <w:rsid w:val="00BE1154"/>
    <w:rsid w:val="00BE1CE9"/>
    <w:rsid w:val="00BE2F31"/>
    <w:rsid w:val="00BE3823"/>
    <w:rsid w:val="00BE5BD7"/>
    <w:rsid w:val="00BE60CB"/>
    <w:rsid w:val="00BE6F28"/>
    <w:rsid w:val="00BF1909"/>
    <w:rsid w:val="00BF29FA"/>
    <w:rsid w:val="00C03E43"/>
    <w:rsid w:val="00C04D2B"/>
    <w:rsid w:val="00C07573"/>
    <w:rsid w:val="00C108B3"/>
    <w:rsid w:val="00C10B73"/>
    <w:rsid w:val="00C124A6"/>
    <w:rsid w:val="00C12D94"/>
    <w:rsid w:val="00C15AD9"/>
    <w:rsid w:val="00C20637"/>
    <w:rsid w:val="00C20F82"/>
    <w:rsid w:val="00C23B7E"/>
    <w:rsid w:val="00C25314"/>
    <w:rsid w:val="00C27EB0"/>
    <w:rsid w:val="00C34ED2"/>
    <w:rsid w:val="00C35217"/>
    <w:rsid w:val="00C36CF2"/>
    <w:rsid w:val="00C37FB6"/>
    <w:rsid w:val="00C41A50"/>
    <w:rsid w:val="00C443FC"/>
    <w:rsid w:val="00C50C26"/>
    <w:rsid w:val="00C557F2"/>
    <w:rsid w:val="00C62972"/>
    <w:rsid w:val="00C629A3"/>
    <w:rsid w:val="00C667DA"/>
    <w:rsid w:val="00C707F9"/>
    <w:rsid w:val="00C70B59"/>
    <w:rsid w:val="00C737C5"/>
    <w:rsid w:val="00C777FF"/>
    <w:rsid w:val="00C800B7"/>
    <w:rsid w:val="00C81D29"/>
    <w:rsid w:val="00C83FD2"/>
    <w:rsid w:val="00C86B93"/>
    <w:rsid w:val="00C90B65"/>
    <w:rsid w:val="00C9628B"/>
    <w:rsid w:val="00C97BCC"/>
    <w:rsid w:val="00CA0B34"/>
    <w:rsid w:val="00CA131C"/>
    <w:rsid w:val="00CA2FED"/>
    <w:rsid w:val="00CA3540"/>
    <w:rsid w:val="00CA5DDC"/>
    <w:rsid w:val="00CA6DED"/>
    <w:rsid w:val="00CB0AE4"/>
    <w:rsid w:val="00CB1887"/>
    <w:rsid w:val="00CB68D7"/>
    <w:rsid w:val="00CC1A91"/>
    <w:rsid w:val="00CC1D4B"/>
    <w:rsid w:val="00CC49D4"/>
    <w:rsid w:val="00CC5CB7"/>
    <w:rsid w:val="00CC791E"/>
    <w:rsid w:val="00CC7D74"/>
    <w:rsid w:val="00CD0858"/>
    <w:rsid w:val="00CD7912"/>
    <w:rsid w:val="00CE11BC"/>
    <w:rsid w:val="00CE1E8F"/>
    <w:rsid w:val="00CE2DD1"/>
    <w:rsid w:val="00CE4568"/>
    <w:rsid w:val="00CE4E61"/>
    <w:rsid w:val="00CE6C73"/>
    <w:rsid w:val="00CE6F5A"/>
    <w:rsid w:val="00CF1358"/>
    <w:rsid w:val="00CF13FE"/>
    <w:rsid w:val="00CF2AD4"/>
    <w:rsid w:val="00CF42CF"/>
    <w:rsid w:val="00CF4771"/>
    <w:rsid w:val="00D00E71"/>
    <w:rsid w:val="00D01F86"/>
    <w:rsid w:val="00D024AF"/>
    <w:rsid w:val="00D0295A"/>
    <w:rsid w:val="00D102E9"/>
    <w:rsid w:val="00D109F1"/>
    <w:rsid w:val="00D1688F"/>
    <w:rsid w:val="00D2117F"/>
    <w:rsid w:val="00D25317"/>
    <w:rsid w:val="00D25978"/>
    <w:rsid w:val="00D270F8"/>
    <w:rsid w:val="00D34515"/>
    <w:rsid w:val="00D36F0F"/>
    <w:rsid w:val="00D46FC0"/>
    <w:rsid w:val="00D47DF3"/>
    <w:rsid w:val="00D5082B"/>
    <w:rsid w:val="00D51A58"/>
    <w:rsid w:val="00D61EF0"/>
    <w:rsid w:val="00D64652"/>
    <w:rsid w:val="00D64697"/>
    <w:rsid w:val="00D66E8B"/>
    <w:rsid w:val="00D67DC0"/>
    <w:rsid w:val="00D71986"/>
    <w:rsid w:val="00D73A53"/>
    <w:rsid w:val="00D74A64"/>
    <w:rsid w:val="00D81B53"/>
    <w:rsid w:val="00D848F6"/>
    <w:rsid w:val="00D84B74"/>
    <w:rsid w:val="00D85715"/>
    <w:rsid w:val="00D8706C"/>
    <w:rsid w:val="00D91C3C"/>
    <w:rsid w:val="00D92B15"/>
    <w:rsid w:val="00D9420A"/>
    <w:rsid w:val="00D95CC4"/>
    <w:rsid w:val="00D97B82"/>
    <w:rsid w:val="00DA4C62"/>
    <w:rsid w:val="00DA5B25"/>
    <w:rsid w:val="00DA6667"/>
    <w:rsid w:val="00DB49A9"/>
    <w:rsid w:val="00DB6A17"/>
    <w:rsid w:val="00DC0BAE"/>
    <w:rsid w:val="00DC1055"/>
    <w:rsid w:val="00DC1A91"/>
    <w:rsid w:val="00DC4098"/>
    <w:rsid w:val="00DC4658"/>
    <w:rsid w:val="00DC4CEE"/>
    <w:rsid w:val="00DC4D4C"/>
    <w:rsid w:val="00DC6C36"/>
    <w:rsid w:val="00DD18F5"/>
    <w:rsid w:val="00DD1D68"/>
    <w:rsid w:val="00DD4387"/>
    <w:rsid w:val="00DD4E84"/>
    <w:rsid w:val="00DD5172"/>
    <w:rsid w:val="00DD5520"/>
    <w:rsid w:val="00DD714D"/>
    <w:rsid w:val="00DE0580"/>
    <w:rsid w:val="00DE0F54"/>
    <w:rsid w:val="00DE11F4"/>
    <w:rsid w:val="00DE2063"/>
    <w:rsid w:val="00DE22F1"/>
    <w:rsid w:val="00DE29C1"/>
    <w:rsid w:val="00DE44F6"/>
    <w:rsid w:val="00DE6415"/>
    <w:rsid w:val="00DF16C2"/>
    <w:rsid w:val="00DF2134"/>
    <w:rsid w:val="00DF2747"/>
    <w:rsid w:val="00DF52C2"/>
    <w:rsid w:val="00DF72CB"/>
    <w:rsid w:val="00DF7E09"/>
    <w:rsid w:val="00E00F76"/>
    <w:rsid w:val="00E0112C"/>
    <w:rsid w:val="00E02332"/>
    <w:rsid w:val="00E02A36"/>
    <w:rsid w:val="00E07777"/>
    <w:rsid w:val="00E124F5"/>
    <w:rsid w:val="00E17590"/>
    <w:rsid w:val="00E209BF"/>
    <w:rsid w:val="00E21E75"/>
    <w:rsid w:val="00E23050"/>
    <w:rsid w:val="00E23BD0"/>
    <w:rsid w:val="00E23D6B"/>
    <w:rsid w:val="00E32FCA"/>
    <w:rsid w:val="00E33B10"/>
    <w:rsid w:val="00E41C0F"/>
    <w:rsid w:val="00E46096"/>
    <w:rsid w:val="00E47751"/>
    <w:rsid w:val="00E519DC"/>
    <w:rsid w:val="00E51BC8"/>
    <w:rsid w:val="00E5266F"/>
    <w:rsid w:val="00E54C24"/>
    <w:rsid w:val="00E5665A"/>
    <w:rsid w:val="00E61E17"/>
    <w:rsid w:val="00E62BBC"/>
    <w:rsid w:val="00E63329"/>
    <w:rsid w:val="00E65496"/>
    <w:rsid w:val="00E6571F"/>
    <w:rsid w:val="00E678B7"/>
    <w:rsid w:val="00E700C4"/>
    <w:rsid w:val="00E729C0"/>
    <w:rsid w:val="00E73797"/>
    <w:rsid w:val="00E753AC"/>
    <w:rsid w:val="00E7637A"/>
    <w:rsid w:val="00E763CC"/>
    <w:rsid w:val="00E768D1"/>
    <w:rsid w:val="00E77A67"/>
    <w:rsid w:val="00E807DA"/>
    <w:rsid w:val="00E82908"/>
    <w:rsid w:val="00E84E3A"/>
    <w:rsid w:val="00E84F0B"/>
    <w:rsid w:val="00E8551A"/>
    <w:rsid w:val="00E85552"/>
    <w:rsid w:val="00E8558C"/>
    <w:rsid w:val="00E91B3D"/>
    <w:rsid w:val="00E91F70"/>
    <w:rsid w:val="00E95655"/>
    <w:rsid w:val="00E96583"/>
    <w:rsid w:val="00EA05AF"/>
    <w:rsid w:val="00EA3527"/>
    <w:rsid w:val="00EB0E3D"/>
    <w:rsid w:val="00EB1790"/>
    <w:rsid w:val="00EB4339"/>
    <w:rsid w:val="00EB5CDF"/>
    <w:rsid w:val="00EC10C8"/>
    <w:rsid w:val="00EC43B9"/>
    <w:rsid w:val="00EC4E32"/>
    <w:rsid w:val="00EC6358"/>
    <w:rsid w:val="00ED0166"/>
    <w:rsid w:val="00ED0339"/>
    <w:rsid w:val="00ED0F86"/>
    <w:rsid w:val="00ED3403"/>
    <w:rsid w:val="00ED3596"/>
    <w:rsid w:val="00ED45A7"/>
    <w:rsid w:val="00ED4D69"/>
    <w:rsid w:val="00ED5ADD"/>
    <w:rsid w:val="00ED5C24"/>
    <w:rsid w:val="00ED6AEF"/>
    <w:rsid w:val="00EE0AA0"/>
    <w:rsid w:val="00EE0B47"/>
    <w:rsid w:val="00EE147F"/>
    <w:rsid w:val="00EE362F"/>
    <w:rsid w:val="00EE386B"/>
    <w:rsid w:val="00EE3D6A"/>
    <w:rsid w:val="00EE41C9"/>
    <w:rsid w:val="00EE59A9"/>
    <w:rsid w:val="00EE5D37"/>
    <w:rsid w:val="00EE71BA"/>
    <w:rsid w:val="00EE79F3"/>
    <w:rsid w:val="00EF0E19"/>
    <w:rsid w:val="00EF0EEB"/>
    <w:rsid w:val="00EF278E"/>
    <w:rsid w:val="00EF316A"/>
    <w:rsid w:val="00EF3ACD"/>
    <w:rsid w:val="00EF6C04"/>
    <w:rsid w:val="00F00437"/>
    <w:rsid w:val="00F01F56"/>
    <w:rsid w:val="00F061DA"/>
    <w:rsid w:val="00F114AE"/>
    <w:rsid w:val="00F14A11"/>
    <w:rsid w:val="00F318AA"/>
    <w:rsid w:val="00F31B3A"/>
    <w:rsid w:val="00F32624"/>
    <w:rsid w:val="00F35E5C"/>
    <w:rsid w:val="00F420AE"/>
    <w:rsid w:val="00F42870"/>
    <w:rsid w:val="00F43CA0"/>
    <w:rsid w:val="00F477EA"/>
    <w:rsid w:val="00F502D0"/>
    <w:rsid w:val="00F52DED"/>
    <w:rsid w:val="00F54216"/>
    <w:rsid w:val="00F55030"/>
    <w:rsid w:val="00F55FD6"/>
    <w:rsid w:val="00F57C64"/>
    <w:rsid w:val="00F61681"/>
    <w:rsid w:val="00F61A02"/>
    <w:rsid w:val="00F639E8"/>
    <w:rsid w:val="00F645DF"/>
    <w:rsid w:val="00F66866"/>
    <w:rsid w:val="00F67C85"/>
    <w:rsid w:val="00F7018E"/>
    <w:rsid w:val="00F70B05"/>
    <w:rsid w:val="00F745EE"/>
    <w:rsid w:val="00F7696F"/>
    <w:rsid w:val="00F771E5"/>
    <w:rsid w:val="00F77302"/>
    <w:rsid w:val="00F8209B"/>
    <w:rsid w:val="00F837C0"/>
    <w:rsid w:val="00F91B99"/>
    <w:rsid w:val="00F94807"/>
    <w:rsid w:val="00F9698F"/>
    <w:rsid w:val="00F9735E"/>
    <w:rsid w:val="00F97CD9"/>
    <w:rsid w:val="00F97CE7"/>
    <w:rsid w:val="00FA0576"/>
    <w:rsid w:val="00FA08A3"/>
    <w:rsid w:val="00FA139F"/>
    <w:rsid w:val="00FA4E72"/>
    <w:rsid w:val="00FA716F"/>
    <w:rsid w:val="00FB50B4"/>
    <w:rsid w:val="00FC2047"/>
    <w:rsid w:val="00FD2901"/>
    <w:rsid w:val="00FD4B97"/>
    <w:rsid w:val="00FE55EB"/>
    <w:rsid w:val="00FE740A"/>
    <w:rsid w:val="00FE7B59"/>
    <w:rsid w:val="00FF4EE4"/>
    <w:rsid w:val="00FF713D"/>
    <w:rsid w:val="00FF7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81B53"/>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7C06E7"/>
    <w:pPr>
      <w:tabs>
        <w:tab w:val="left" w:pos="1200"/>
        <w:tab w:val="right" w:leader="dot" w:pos="9016"/>
      </w:tabs>
      <w:spacing w:after="0"/>
      <w:ind w:left="400"/>
      <w:jc w:val="center"/>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47287F"/>
    <w:rPr>
      <w:lang w:eastAsia="en-US"/>
    </w:rPr>
  </w:style>
  <w:style w:type="paragraph" w:styleId="ListBullet">
    <w:name w:val="List Bullet"/>
    <w:basedOn w:val="Normal"/>
    <w:uiPriority w:val="99"/>
    <w:semiHidden/>
    <w:unhideWhenUsed/>
    <w:locked/>
    <w:rsid w:val="00064B85"/>
    <w:pPr>
      <w:numPr>
        <w:numId w:val="3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820">
      <w:bodyDiv w:val="1"/>
      <w:marLeft w:val="0"/>
      <w:marRight w:val="0"/>
      <w:marTop w:val="0"/>
      <w:marBottom w:val="0"/>
      <w:divBdr>
        <w:top w:val="none" w:sz="0" w:space="0" w:color="auto"/>
        <w:left w:val="none" w:sz="0" w:space="0" w:color="auto"/>
        <w:bottom w:val="none" w:sz="0" w:space="0" w:color="auto"/>
        <w:right w:val="none" w:sz="0" w:space="0" w:color="auto"/>
      </w:divBdr>
    </w:div>
    <w:div w:id="114954520">
      <w:bodyDiv w:val="1"/>
      <w:marLeft w:val="0"/>
      <w:marRight w:val="0"/>
      <w:marTop w:val="0"/>
      <w:marBottom w:val="0"/>
      <w:divBdr>
        <w:top w:val="none" w:sz="0" w:space="0" w:color="auto"/>
        <w:left w:val="none" w:sz="0" w:space="0" w:color="auto"/>
        <w:bottom w:val="none" w:sz="0" w:space="0" w:color="auto"/>
        <w:right w:val="none" w:sz="0" w:space="0" w:color="auto"/>
      </w:divBdr>
    </w:div>
    <w:div w:id="169680013">
      <w:bodyDiv w:val="1"/>
      <w:marLeft w:val="0"/>
      <w:marRight w:val="0"/>
      <w:marTop w:val="0"/>
      <w:marBottom w:val="0"/>
      <w:divBdr>
        <w:top w:val="none" w:sz="0" w:space="0" w:color="auto"/>
        <w:left w:val="none" w:sz="0" w:space="0" w:color="auto"/>
        <w:bottom w:val="none" w:sz="0" w:space="0" w:color="auto"/>
        <w:right w:val="none" w:sz="0" w:space="0" w:color="auto"/>
      </w:divBdr>
    </w:div>
    <w:div w:id="306857222">
      <w:bodyDiv w:val="1"/>
      <w:marLeft w:val="0"/>
      <w:marRight w:val="0"/>
      <w:marTop w:val="0"/>
      <w:marBottom w:val="0"/>
      <w:divBdr>
        <w:top w:val="none" w:sz="0" w:space="0" w:color="auto"/>
        <w:left w:val="none" w:sz="0" w:space="0" w:color="auto"/>
        <w:bottom w:val="none" w:sz="0" w:space="0" w:color="auto"/>
        <w:right w:val="none" w:sz="0" w:space="0" w:color="auto"/>
      </w:divBdr>
    </w:div>
    <w:div w:id="393625324">
      <w:bodyDiv w:val="1"/>
      <w:marLeft w:val="0"/>
      <w:marRight w:val="0"/>
      <w:marTop w:val="0"/>
      <w:marBottom w:val="0"/>
      <w:divBdr>
        <w:top w:val="none" w:sz="0" w:space="0" w:color="auto"/>
        <w:left w:val="none" w:sz="0" w:space="0" w:color="auto"/>
        <w:bottom w:val="none" w:sz="0" w:space="0" w:color="auto"/>
        <w:right w:val="none" w:sz="0" w:space="0" w:color="auto"/>
      </w:divBdr>
    </w:div>
    <w:div w:id="74160573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141194161">
      <w:bodyDiv w:val="1"/>
      <w:marLeft w:val="0"/>
      <w:marRight w:val="0"/>
      <w:marTop w:val="0"/>
      <w:marBottom w:val="0"/>
      <w:divBdr>
        <w:top w:val="none" w:sz="0" w:space="0" w:color="auto"/>
        <w:left w:val="none" w:sz="0" w:space="0" w:color="auto"/>
        <w:bottom w:val="none" w:sz="0" w:space="0" w:color="auto"/>
        <w:right w:val="none" w:sz="0" w:space="0" w:color="auto"/>
      </w:divBdr>
    </w:div>
    <w:div w:id="1540052541">
      <w:bodyDiv w:val="1"/>
      <w:marLeft w:val="0"/>
      <w:marRight w:val="0"/>
      <w:marTop w:val="0"/>
      <w:marBottom w:val="0"/>
      <w:divBdr>
        <w:top w:val="none" w:sz="0" w:space="0" w:color="auto"/>
        <w:left w:val="none" w:sz="0" w:space="0" w:color="auto"/>
        <w:bottom w:val="none" w:sz="0" w:space="0" w:color="auto"/>
        <w:right w:val="none" w:sz="0" w:space="0" w:color="auto"/>
      </w:divBdr>
    </w:div>
    <w:div w:id="1736736438">
      <w:bodyDiv w:val="1"/>
      <w:marLeft w:val="0"/>
      <w:marRight w:val="0"/>
      <w:marTop w:val="0"/>
      <w:marBottom w:val="0"/>
      <w:divBdr>
        <w:top w:val="none" w:sz="0" w:space="0" w:color="auto"/>
        <w:left w:val="none" w:sz="0" w:space="0" w:color="auto"/>
        <w:bottom w:val="none" w:sz="0" w:space="0" w:color="auto"/>
        <w:right w:val="none" w:sz="0" w:space="0" w:color="auto"/>
      </w:divBdr>
    </w:div>
    <w:div w:id="2019652776">
      <w:bodyDiv w:val="1"/>
      <w:marLeft w:val="0"/>
      <w:marRight w:val="0"/>
      <w:marTop w:val="0"/>
      <w:marBottom w:val="0"/>
      <w:divBdr>
        <w:top w:val="none" w:sz="0" w:space="0" w:color="auto"/>
        <w:left w:val="none" w:sz="0" w:space="0" w:color="auto"/>
        <w:bottom w:val="none" w:sz="0" w:space="0" w:color="auto"/>
        <w:right w:val="none" w:sz="0" w:space="0" w:color="auto"/>
      </w:divBdr>
    </w:div>
    <w:div w:id="20308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709F3A5B.dotm</Template>
  <TotalTime>0</TotalTime>
  <Pages>59</Pages>
  <Words>21105</Words>
  <Characters>120299</Characters>
  <Application>Microsoft Office Word</Application>
  <DocSecurity>0</DocSecurity>
  <Lines>1002</Lines>
  <Paragraphs>282</Paragraphs>
  <ScaleCrop>false</ScaleCrop>
  <Company/>
  <LinksUpToDate>false</LinksUpToDate>
  <CharactersWithSpaces>141122</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2014-11-26T04:07:00Z</dcterms:created>
  <dcterms:modified xsi:type="dcterms:W3CDTF">2014-11-26T04:08:00Z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8292447</vt:lpwstr>
  </property>
</Properties>
</file>