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E19" w:rsidRDefault="00EF0E19" w:rsidP="00EF0E19">
      <w:pPr>
        <w:pStyle w:val="AERtitle1"/>
      </w:pPr>
      <w:bookmarkStart w:id="0" w:name="_GoBack"/>
      <w:bookmarkEnd w:id="0"/>
      <w:r w:rsidRPr="00824CC8">
        <w:rPr>
          <w:noProof/>
        </w:rPr>
        <w:drawing>
          <wp:anchor distT="0" distB="0" distL="114300" distR="114300" simplePos="0" relativeHeight="251664384" behindDoc="1" locked="0" layoutInCell="1" allowOverlap="1" wp14:anchorId="567C241C" wp14:editId="73823A15">
            <wp:simplePos x="0" y="0"/>
            <wp:positionH relativeFrom="column">
              <wp:posOffset>-948513</wp:posOffset>
            </wp:positionH>
            <wp:positionV relativeFrom="paragraph">
              <wp:posOffset>-946298</wp:posOffset>
            </wp:positionV>
            <wp:extent cx="7657657" cy="10792047"/>
            <wp:effectExtent l="19050" t="0" r="443"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657" cy="10792047"/>
                    </a:xfrm>
                    <a:prstGeom prst="rect">
                      <a:avLst/>
                    </a:prstGeom>
                    <a:noFill/>
                    <a:ln w="9525">
                      <a:noFill/>
                      <a:miter lim="800000"/>
                      <a:headEnd/>
                      <a:tailEnd/>
                    </a:ln>
                  </pic:spPr>
                </pic:pic>
              </a:graphicData>
            </a:graphic>
          </wp:anchor>
        </w:drawing>
      </w:r>
    </w:p>
    <w:p w:rsidR="00EF0E19" w:rsidRDefault="00EF0E19" w:rsidP="00EF0E19">
      <w:pPr>
        <w:pStyle w:val="AERtitle1"/>
      </w:pPr>
    </w:p>
    <w:p w:rsidR="00EF0E19" w:rsidRDefault="00EF0E19" w:rsidP="00EF0E19">
      <w:pPr>
        <w:pStyle w:val="AERtitle1"/>
      </w:pPr>
    </w:p>
    <w:p w:rsidR="00EF0E19" w:rsidRDefault="00EF0E19" w:rsidP="00EF0E19">
      <w:pPr>
        <w:pStyle w:val="AERtitle1"/>
      </w:pPr>
    </w:p>
    <w:p w:rsidR="00EF0E19" w:rsidRDefault="00EF0E19" w:rsidP="00EF0E19">
      <w:pPr>
        <w:pStyle w:val="AERtitle1"/>
      </w:pPr>
    </w:p>
    <w:p w:rsidR="00EF0E19" w:rsidRDefault="00EF0E19" w:rsidP="00EF0E19">
      <w:pPr>
        <w:pStyle w:val="AERtitle1"/>
      </w:pPr>
      <w:r>
        <w:t xml:space="preserve">Draft </w:t>
      </w:r>
      <w:r w:rsidR="00525604">
        <w:t>decision</w:t>
      </w:r>
    </w:p>
    <w:p w:rsidR="00465C62" w:rsidRDefault="00E82908" w:rsidP="00EF0E19">
      <w:pPr>
        <w:pStyle w:val="AERtitle1"/>
      </w:pPr>
      <w:r>
        <w:t>Jemena Gas Networks</w:t>
      </w:r>
      <w:r w:rsidR="00465C62">
        <w:t xml:space="preserve"> </w:t>
      </w:r>
      <w:r w:rsidR="009429FF">
        <w:t>(NSW) Ltd</w:t>
      </w:r>
    </w:p>
    <w:p w:rsidR="007F06C1" w:rsidRDefault="00465C62" w:rsidP="00EF0E19">
      <w:pPr>
        <w:pStyle w:val="AERtitle1"/>
      </w:pPr>
      <w:r>
        <w:t>Access arrangement</w:t>
      </w:r>
      <w:r w:rsidR="009429FF">
        <w:t xml:space="preserve"> 2015–20</w:t>
      </w:r>
    </w:p>
    <w:p w:rsidR="007F06C1" w:rsidRDefault="007F06C1" w:rsidP="007F06C1">
      <w:pPr>
        <w:pStyle w:val="AERtitle1"/>
      </w:pPr>
    </w:p>
    <w:p w:rsidR="00EF0E19" w:rsidRDefault="007F06C1" w:rsidP="007F06C1">
      <w:pPr>
        <w:pStyle w:val="AERtitle1"/>
      </w:pPr>
      <w:r>
        <w:t xml:space="preserve">Attachment </w:t>
      </w:r>
      <w:r w:rsidR="005D0F54">
        <w:t>5</w:t>
      </w:r>
      <w:r>
        <w:t xml:space="preserve"> –</w:t>
      </w:r>
      <w:r w:rsidR="005D0F54">
        <w:t xml:space="preserve"> Regulatory depreciation</w:t>
      </w:r>
    </w:p>
    <w:p w:rsidR="00EF0E19" w:rsidRDefault="00EF0E19" w:rsidP="00EF0E19"/>
    <w:p w:rsidR="00EF0E19" w:rsidRPr="00F6235D" w:rsidRDefault="00EF0E19" w:rsidP="00EF0E19"/>
    <w:p w:rsidR="009429FF" w:rsidRDefault="009429FF" w:rsidP="00EF0E19">
      <w:pPr>
        <w:pStyle w:val="AERtitle2"/>
      </w:pPr>
    </w:p>
    <w:p w:rsidR="00EF0E19" w:rsidRPr="00F6235D" w:rsidRDefault="007F06C1" w:rsidP="00EF0E19">
      <w:pPr>
        <w:pStyle w:val="AERtitle2"/>
      </w:pPr>
      <w:r>
        <w:t>November</w:t>
      </w:r>
      <w:r w:rsidR="00525604">
        <w:t xml:space="preserve"> </w:t>
      </w:r>
      <w:r w:rsidR="00EF0E19">
        <w:t>20</w:t>
      </w:r>
      <w:r w:rsidR="00525604">
        <w:t>14</w:t>
      </w:r>
    </w:p>
    <w:p w:rsidR="00EF0E19" w:rsidRPr="00F6235D" w:rsidRDefault="00EF0E19" w:rsidP="00EF0E19">
      <w:r w:rsidRPr="00F6235D">
        <w:t xml:space="preserve"> </w:t>
      </w:r>
    </w:p>
    <w:p w:rsidR="00EF0E19" w:rsidRPr="00EF0E19" w:rsidRDefault="00EF0E19" w:rsidP="00EF0E19">
      <w:pPr>
        <w:rPr>
          <w:rStyle w:val="AERtextbold"/>
        </w:rPr>
      </w:pPr>
      <w:r>
        <w:rPr>
          <w:rStyle w:val="AERtextbold"/>
        </w:rPr>
        <w:br w:type="page"/>
      </w:r>
    </w:p>
    <w:p w:rsidR="00EF0E19" w:rsidRPr="008F1A4A" w:rsidRDefault="00EF0E19" w:rsidP="00F97CD9">
      <w:pPr>
        <w:pStyle w:val="AERbodytextnospace"/>
        <w:rPr>
          <w:rStyle w:val="AERtextbold"/>
        </w:rPr>
      </w:pPr>
      <w:r w:rsidRPr="008F1A4A">
        <w:rPr>
          <w:rStyle w:val="AERtextbold"/>
        </w:rPr>
        <w:lastRenderedPageBreak/>
        <w:t>© Commonwealth of Australia 201</w:t>
      </w:r>
      <w:r w:rsidR="00525604">
        <w:rPr>
          <w:rStyle w:val="AERtextbold"/>
        </w:rPr>
        <w:t>4</w:t>
      </w:r>
    </w:p>
    <w:p w:rsidR="008E43EB" w:rsidRDefault="00EF0E19" w:rsidP="008E43EB">
      <w:r w:rsidRPr="00F6235D">
        <w:t xml:space="preserve">This work is copyright. Apart from any use permitted by the Copyright Act 1968, </w:t>
      </w:r>
      <w:r w:rsidR="008E43EB" w:rsidRPr="008E43EB">
        <w:t>all material contained within this work is provided under a Creative Commons Attribution 3.0 Australia licence</w:t>
      </w:r>
      <w:r w:rsidR="008E43EB">
        <w:t xml:space="preserve"> </w:t>
      </w:r>
      <w:r w:rsidR="008E43EB" w:rsidRPr="008E43EB">
        <w:t>with the exception of:</w:t>
      </w:r>
    </w:p>
    <w:p w:rsidR="008E43EB" w:rsidRDefault="008E43EB" w:rsidP="008E43EB">
      <w:pPr>
        <w:pStyle w:val="AERbulletlistsecondstyle"/>
      </w:pPr>
      <w:r>
        <w:t>Commonwealth Coat of Arms</w:t>
      </w:r>
    </w:p>
    <w:p w:rsidR="008E43EB" w:rsidRDefault="008E43EB" w:rsidP="008E43EB">
      <w:pPr>
        <w:pStyle w:val="AERbulletlistsecondstyle"/>
      </w:pPr>
      <w:r>
        <w:t>the ACCC and AER logos</w:t>
      </w:r>
    </w:p>
    <w:p w:rsidR="008E43EB" w:rsidRPr="008E43EB" w:rsidRDefault="008E43EB" w:rsidP="008E43EB">
      <w:pPr>
        <w:pStyle w:val="AERbulletlistsecondstyle"/>
      </w:pPr>
      <w:r w:rsidRPr="008E43EB">
        <w:t>any illustration, diagram, photograph or graphic over which the Australian Competition and Consumer Commission does not hold copyright, but which may be part of or contained within this publication</w:t>
      </w:r>
    </w:p>
    <w:p w:rsidR="008E43EB" w:rsidRPr="008E43EB" w:rsidRDefault="008E43EB" w:rsidP="008E43EB">
      <w:pPr>
        <w:pStyle w:val="AERbodytext"/>
      </w:pPr>
      <w:r w:rsidRPr="008E43EB">
        <w:t>The details of the relevant licence conditions are available on the Creative Commons website, as is the full legal code for the CC BY 3.0 AU licence.</w:t>
      </w:r>
    </w:p>
    <w:p w:rsidR="008E43EB" w:rsidRPr="008E43EB" w:rsidRDefault="008E43EB" w:rsidP="008E43EB">
      <w:pPr>
        <w:pStyle w:val="AERbodytext"/>
      </w:pPr>
      <w:r w:rsidRPr="008E43EB">
        <w:t xml:space="preserve">Requests and inquiries concerning reproduction and rights should be addressed to the Director, Corporate Communications, ACCC, GPO Box 3131, Canberra ACT 2601, or </w:t>
      </w:r>
      <w:hyperlink r:id="rId9" w:history="1">
        <w:r w:rsidRPr="008E43EB">
          <w:rPr>
            <w:rStyle w:val="Hyperlink"/>
          </w:rPr>
          <w:t>publishing.unit@accc.gov.au</w:t>
        </w:r>
      </w:hyperlink>
      <w:r w:rsidRPr="008E43EB">
        <w:t xml:space="preserve"> .</w:t>
      </w:r>
    </w:p>
    <w:p w:rsidR="008E43EB" w:rsidRDefault="008E43EB" w:rsidP="008E43EB">
      <w:pPr>
        <w:pStyle w:val="AERbodytext"/>
      </w:pPr>
      <w:r w:rsidRPr="008E43EB">
        <w:t>Inquiries about this decision should be addressed to:</w:t>
      </w:r>
    </w:p>
    <w:p w:rsidR="00EF0E19" w:rsidRDefault="00EF0E19" w:rsidP="008E43EB">
      <w:pPr>
        <w:pStyle w:val="AERbodytext"/>
        <w:numPr>
          <w:ilvl w:val="0"/>
          <w:numId w:val="0"/>
        </w:numPr>
      </w:pPr>
      <w:r>
        <w:t>Australian Energy Regulator</w:t>
      </w:r>
    </w:p>
    <w:p w:rsidR="00EF0E19" w:rsidRDefault="00EF0E19" w:rsidP="00F97CD9">
      <w:pPr>
        <w:pStyle w:val="AERbodytextnospace"/>
      </w:pPr>
      <w:r>
        <w:t>GPO Box 520</w:t>
      </w:r>
    </w:p>
    <w:p w:rsidR="00EF0E19" w:rsidRDefault="00EF0E19" w:rsidP="00F97CD9">
      <w:pPr>
        <w:pStyle w:val="AERbodytextnospace"/>
      </w:pPr>
      <w:r>
        <w:t>Melbourne  Vic  3001</w:t>
      </w:r>
    </w:p>
    <w:p w:rsidR="00EF0E19" w:rsidRDefault="00EF0E19" w:rsidP="00F97CD9">
      <w:pPr>
        <w:pStyle w:val="AERbodytextnospace"/>
      </w:pPr>
      <w:r>
        <w:t>Tel: (03) 9290 1444</w:t>
      </w:r>
    </w:p>
    <w:p w:rsidR="00EF0E19" w:rsidRDefault="00EF0E19" w:rsidP="00F97CD9">
      <w:pPr>
        <w:pStyle w:val="AERbodytextnospace"/>
      </w:pPr>
      <w:r>
        <w:t>Fax: (03) 9290 1457</w:t>
      </w:r>
    </w:p>
    <w:p w:rsidR="00EF0E19" w:rsidRDefault="00EF0E19" w:rsidP="00F97CD9">
      <w:pPr>
        <w:pStyle w:val="AERbodytextnospace"/>
      </w:pPr>
      <w:r>
        <w:t xml:space="preserve">Email: </w:t>
      </w:r>
      <w:hyperlink r:id="rId10" w:history="1">
        <w:r w:rsidRPr="003E184A">
          <w:rPr>
            <w:rStyle w:val="Hyperlink"/>
          </w:rPr>
          <w:t>AERInquiry@aer.gov.au</w:t>
        </w:r>
      </w:hyperlink>
    </w:p>
    <w:p w:rsidR="00EF0E19" w:rsidRPr="008F1A4A" w:rsidRDefault="00EF0E19" w:rsidP="00EF0E19"/>
    <w:p w:rsidR="00EF0E19" w:rsidRDefault="00EF0E19" w:rsidP="00EF0E19">
      <w:r>
        <w:t xml:space="preserve">AER reference:   </w:t>
      </w:r>
      <w:r w:rsidR="005E445B">
        <w:t>51741</w:t>
      </w:r>
    </w:p>
    <w:p w:rsidR="003324F7" w:rsidRDefault="003324F7" w:rsidP="00525604">
      <w:pPr>
        <w:pStyle w:val="AERbodytext"/>
        <w:numPr>
          <w:ilvl w:val="0"/>
          <w:numId w:val="0"/>
        </w:numPr>
      </w:pPr>
    </w:p>
    <w:p w:rsidR="00525604" w:rsidRDefault="00525604" w:rsidP="00525604">
      <w:pPr>
        <w:pStyle w:val="AERbodytext"/>
        <w:numPr>
          <w:ilvl w:val="0"/>
          <w:numId w:val="0"/>
        </w:numPr>
      </w:pPr>
    </w:p>
    <w:p w:rsidR="00525604" w:rsidRDefault="00525604" w:rsidP="00525604">
      <w:pPr>
        <w:pStyle w:val="AERbodytext"/>
        <w:numPr>
          <w:ilvl w:val="0"/>
          <w:numId w:val="0"/>
        </w:numPr>
      </w:pPr>
    </w:p>
    <w:p w:rsidR="00525604" w:rsidRDefault="00525604" w:rsidP="00525604">
      <w:pPr>
        <w:pStyle w:val="AERbodytext"/>
        <w:numPr>
          <w:ilvl w:val="0"/>
          <w:numId w:val="0"/>
        </w:numPr>
      </w:pPr>
    </w:p>
    <w:p w:rsidR="00525604" w:rsidRDefault="00525604" w:rsidP="00525604">
      <w:pPr>
        <w:pStyle w:val="AERbodytext"/>
        <w:numPr>
          <w:ilvl w:val="0"/>
          <w:numId w:val="0"/>
        </w:numPr>
      </w:pPr>
    </w:p>
    <w:p w:rsidR="00525604" w:rsidRDefault="00525604" w:rsidP="00525604">
      <w:pPr>
        <w:pStyle w:val="AERbodytext"/>
        <w:numPr>
          <w:ilvl w:val="0"/>
          <w:numId w:val="0"/>
        </w:numPr>
      </w:pPr>
    </w:p>
    <w:p w:rsidR="00525604" w:rsidRDefault="00525604" w:rsidP="00525604">
      <w:pPr>
        <w:pStyle w:val="AERbodytext"/>
        <w:numPr>
          <w:ilvl w:val="0"/>
          <w:numId w:val="0"/>
        </w:numPr>
      </w:pPr>
    </w:p>
    <w:p w:rsidR="00525604" w:rsidRDefault="00525604" w:rsidP="00525604">
      <w:pPr>
        <w:pStyle w:val="AERbodytext"/>
        <w:numPr>
          <w:ilvl w:val="0"/>
          <w:numId w:val="0"/>
        </w:numPr>
      </w:pPr>
    </w:p>
    <w:p w:rsidR="00525604" w:rsidRDefault="00525604" w:rsidP="00525604">
      <w:pPr>
        <w:pStyle w:val="AERbodytext"/>
        <w:numPr>
          <w:ilvl w:val="0"/>
          <w:numId w:val="0"/>
        </w:numPr>
      </w:pPr>
    </w:p>
    <w:p w:rsidR="00525604" w:rsidRDefault="00525604" w:rsidP="00525604">
      <w:pPr>
        <w:pStyle w:val="AERbodytext"/>
        <w:numPr>
          <w:ilvl w:val="0"/>
          <w:numId w:val="0"/>
        </w:numPr>
      </w:pPr>
    </w:p>
    <w:p w:rsidR="001168DE" w:rsidRPr="00627323" w:rsidRDefault="001168DE" w:rsidP="001168DE">
      <w:pPr>
        <w:pStyle w:val="UnnumberedHeading"/>
        <w:numPr>
          <w:ilvl w:val="0"/>
          <w:numId w:val="8"/>
        </w:numPr>
        <w:rPr>
          <w:rStyle w:val="AERtextblue"/>
        </w:rPr>
      </w:pPr>
      <w:bookmarkStart w:id="1" w:name="_Toc404152781"/>
      <w:bookmarkStart w:id="2" w:name="_Toc404155792"/>
      <w:bookmarkStart w:id="3" w:name="_Toc404179407"/>
      <w:bookmarkStart w:id="4" w:name="_Toc404352991"/>
      <w:r w:rsidRPr="00627323">
        <w:rPr>
          <w:rStyle w:val="AERtextblue"/>
          <w:color w:val="E36C0A"/>
        </w:rPr>
        <w:lastRenderedPageBreak/>
        <w:t>Note</w:t>
      </w:r>
      <w:bookmarkEnd w:id="1"/>
      <w:bookmarkEnd w:id="2"/>
      <w:bookmarkEnd w:id="3"/>
      <w:bookmarkEnd w:id="4"/>
    </w:p>
    <w:p w:rsidR="001168DE" w:rsidRDefault="001168DE" w:rsidP="001168DE">
      <w:r>
        <w:t>This attachment forms part of the AER's draft decision on Jemena Gas Networks</w:t>
      </w:r>
      <w:r w:rsidR="0072442D">
        <w:t>'</w:t>
      </w:r>
      <w:r>
        <w:t xml:space="preserve"> 2015–20 access arrangement. It should be read with other parts of the draft decision.</w:t>
      </w:r>
    </w:p>
    <w:p w:rsidR="001168DE" w:rsidRDefault="001168DE" w:rsidP="001168DE">
      <w:r>
        <w:t>The draft decision includes the following documents:</w:t>
      </w:r>
    </w:p>
    <w:p w:rsidR="001168DE" w:rsidRDefault="001168DE" w:rsidP="001168DE">
      <w:r>
        <w:t>Overview</w:t>
      </w:r>
    </w:p>
    <w:p w:rsidR="001168DE" w:rsidRDefault="001168DE" w:rsidP="001168DE">
      <w:r>
        <w:t>Attachment 1 – services covered by the access arrangement</w:t>
      </w:r>
    </w:p>
    <w:p w:rsidR="001168DE" w:rsidRDefault="001168DE" w:rsidP="001168DE">
      <w:r>
        <w:t>Attachment 2 – capital base</w:t>
      </w:r>
    </w:p>
    <w:p w:rsidR="001168DE" w:rsidRDefault="001168DE" w:rsidP="001168DE">
      <w:r>
        <w:t>Attachment 3 – rate of return</w:t>
      </w:r>
    </w:p>
    <w:p w:rsidR="001168DE" w:rsidRDefault="001168DE" w:rsidP="001168DE">
      <w:r>
        <w:t>Attachment 4 – value of imputation credits</w:t>
      </w:r>
    </w:p>
    <w:p w:rsidR="001168DE" w:rsidRDefault="001168DE" w:rsidP="001168DE">
      <w:r>
        <w:t>Attachment 5 – regulatory depreciation</w:t>
      </w:r>
    </w:p>
    <w:p w:rsidR="001168DE" w:rsidRDefault="001168DE" w:rsidP="001168DE">
      <w:r>
        <w:t>Attachment 6 – capital expenditure</w:t>
      </w:r>
      <w:r w:rsidRPr="0012445F">
        <w:t xml:space="preserve"> </w:t>
      </w:r>
    </w:p>
    <w:p w:rsidR="001168DE" w:rsidRDefault="001168DE" w:rsidP="001168DE">
      <w:r>
        <w:t>Attachment 7 – operating expenditure</w:t>
      </w:r>
    </w:p>
    <w:p w:rsidR="001168DE" w:rsidRDefault="001168DE" w:rsidP="001168DE">
      <w:r>
        <w:t>Attachment 8 – corporate income tax</w:t>
      </w:r>
    </w:p>
    <w:p w:rsidR="0072442D" w:rsidRPr="0072442D" w:rsidRDefault="0072442D" w:rsidP="0072442D">
      <w:r w:rsidRPr="0072442D">
        <w:t>Attachment 9 – efficiency carryover mechanism</w:t>
      </w:r>
    </w:p>
    <w:p w:rsidR="001168DE" w:rsidRDefault="001168DE" w:rsidP="001168DE">
      <w:r w:rsidRPr="00DF268E">
        <w:t xml:space="preserve">Attachment </w:t>
      </w:r>
      <w:r>
        <w:t>10</w:t>
      </w:r>
      <w:r w:rsidRPr="00DF268E">
        <w:t xml:space="preserve"> –</w:t>
      </w:r>
      <w:r>
        <w:t xml:space="preserve"> reference tariff setting</w:t>
      </w:r>
    </w:p>
    <w:p w:rsidR="001168DE" w:rsidRDefault="001168DE" w:rsidP="001168DE">
      <w:r w:rsidRPr="00DF268E">
        <w:t>Attachment 1</w:t>
      </w:r>
      <w:r>
        <w:t>1 – reference tariff variation mechanism</w:t>
      </w:r>
    </w:p>
    <w:p w:rsidR="001168DE" w:rsidRDefault="001168DE" w:rsidP="001168DE">
      <w:r w:rsidRPr="00DF268E">
        <w:t>Attachment 1</w:t>
      </w:r>
      <w:r>
        <w:t>2</w:t>
      </w:r>
      <w:r w:rsidRPr="00DF268E">
        <w:t xml:space="preserve"> –</w:t>
      </w:r>
      <w:r>
        <w:t xml:space="preserve"> non-tariff components</w:t>
      </w:r>
    </w:p>
    <w:p w:rsidR="005E445B" w:rsidRPr="0012445F" w:rsidRDefault="00CD0967" w:rsidP="001168DE">
      <w:r>
        <w:t xml:space="preserve">Attachment 13 – demand </w:t>
      </w:r>
    </w:p>
    <w:p w:rsidR="00525604" w:rsidRDefault="00525604" w:rsidP="00525604">
      <w:pPr>
        <w:pStyle w:val="AERbodytext"/>
        <w:numPr>
          <w:ilvl w:val="0"/>
          <w:numId w:val="0"/>
        </w:numPr>
      </w:pPr>
    </w:p>
    <w:p w:rsidR="00525604" w:rsidRDefault="00525604" w:rsidP="00525604">
      <w:pPr>
        <w:pStyle w:val="AERbodytext"/>
        <w:numPr>
          <w:ilvl w:val="0"/>
          <w:numId w:val="0"/>
        </w:numPr>
      </w:pPr>
    </w:p>
    <w:p w:rsidR="00525604" w:rsidRDefault="00525604" w:rsidP="00525604">
      <w:pPr>
        <w:pStyle w:val="AERbodytext"/>
        <w:numPr>
          <w:ilvl w:val="0"/>
          <w:numId w:val="0"/>
        </w:numPr>
      </w:pPr>
    </w:p>
    <w:p w:rsidR="00F54216" w:rsidRDefault="00F54216" w:rsidP="00525604">
      <w:pPr>
        <w:pStyle w:val="AERbodytext"/>
        <w:numPr>
          <w:ilvl w:val="0"/>
          <w:numId w:val="0"/>
        </w:numPr>
      </w:pPr>
    </w:p>
    <w:p w:rsidR="00525604" w:rsidRDefault="00525604" w:rsidP="00525604">
      <w:pPr>
        <w:pStyle w:val="AERbodytext"/>
        <w:numPr>
          <w:ilvl w:val="0"/>
          <w:numId w:val="0"/>
        </w:numPr>
      </w:pPr>
    </w:p>
    <w:p w:rsidR="00525604" w:rsidRDefault="00525604" w:rsidP="00F54216">
      <w:pPr>
        <w:pStyle w:val="UnnumberedHeading"/>
      </w:pPr>
      <w:bookmarkStart w:id="5" w:name="_Toc404352992"/>
      <w:r>
        <w:lastRenderedPageBreak/>
        <w:t>Contents</w:t>
      </w:r>
      <w:bookmarkEnd w:id="5"/>
    </w:p>
    <w:sdt>
      <w:sdtPr>
        <w:rPr>
          <w:rFonts w:ascii="Gautami" w:eastAsia="Calibri" w:hAnsi="Gautami"/>
          <w:b w:val="0"/>
          <w:bCs w:val="0"/>
          <w:color w:val="auto"/>
          <w:sz w:val="20"/>
          <w:szCs w:val="20"/>
          <w:lang w:val="en-AU"/>
        </w:rPr>
        <w:id w:val="2131349066"/>
        <w:docPartObj>
          <w:docPartGallery w:val="Table of Contents"/>
          <w:docPartUnique/>
        </w:docPartObj>
      </w:sdtPr>
      <w:sdtEndPr/>
      <w:sdtContent>
        <w:p w:rsidR="0084378B" w:rsidRPr="0084378B" w:rsidRDefault="0084378B">
          <w:pPr>
            <w:pStyle w:val="TOCHeading"/>
          </w:pPr>
        </w:p>
        <w:p w:rsidR="00392659" w:rsidRDefault="0084378B">
          <w:pPr>
            <w:pStyle w:val="TOC1"/>
            <w:tabs>
              <w:tab w:val="right" w:leader="dot" w:pos="9016"/>
            </w:tabs>
            <w:rPr>
              <w:rFonts w:asciiTheme="minorHAnsi" w:eastAsiaTheme="minorEastAsia" w:hAnsiTheme="minorHAnsi" w:cstheme="minorBidi"/>
              <w:b w:val="0"/>
              <w:bCs w:val="0"/>
              <w:noProof/>
              <w:sz w:val="22"/>
              <w:szCs w:val="22"/>
              <w:lang w:eastAsia="en-AU"/>
            </w:rPr>
          </w:pPr>
          <w:r w:rsidRPr="0084378B">
            <w:fldChar w:fldCharType="begin"/>
          </w:r>
          <w:r w:rsidRPr="0084378B">
            <w:instrText xml:space="preserve"> TOC \o "1-3" \h \z \u </w:instrText>
          </w:r>
          <w:r w:rsidRPr="0084378B">
            <w:fldChar w:fldCharType="separate"/>
          </w:r>
          <w:hyperlink w:anchor="_Toc404352991" w:history="1">
            <w:r w:rsidR="00392659" w:rsidRPr="00CE4FE9">
              <w:rPr>
                <w:rStyle w:val="Hyperlink"/>
                <w:noProof/>
              </w:rPr>
              <w:t>Note</w:t>
            </w:r>
            <w:r w:rsidR="00392659">
              <w:rPr>
                <w:noProof/>
                <w:webHidden/>
              </w:rPr>
              <w:tab/>
            </w:r>
            <w:r w:rsidR="00392659">
              <w:rPr>
                <w:noProof/>
                <w:webHidden/>
              </w:rPr>
              <w:fldChar w:fldCharType="begin"/>
            </w:r>
            <w:r w:rsidR="00392659">
              <w:rPr>
                <w:noProof/>
                <w:webHidden/>
              </w:rPr>
              <w:instrText xml:space="preserve"> PAGEREF _Toc404352991 \h </w:instrText>
            </w:r>
            <w:r w:rsidR="00392659">
              <w:rPr>
                <w:noProof/>
                <w:webHidden/>
              </w:rPr>
            </w:r>
            <w:r w:rsidR="00392659">
              <w:rPr>
                <w:noProof/>
                <w:webHidden/>
              </w:rPr>
              <w:fldChar w:fldCharType="separate"/>
            </w:r>
            <w:r w:rsidR="00A85385">
              <w:rPr>
                <w:noProof/>
                <w:webHidden/>
              </w:rPr>
              <w:t>5-3</w:t>
            </w:r>
            <w:r w:rsidR="00392659">
              <w:rPr>
                <w:noProof/>
                <w:webHidden/>
              </w:rPr>
              <w:fldChar w:fldCharType="end"/>
            </w:r>
          </w:hyperlink>
        </w:p>
        <w:p w:rsidR="00392659" w:rsidRDefault="0027004F">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352992" w:history="1">
            <w:r w:rsidR="00392659" w:rsidRPr="00CE4FE9">
              <w:rPr>
                <w:rStyle w:val="Hyperlink"/>
                <w:noProof/>
              </w:rPr>
              <w:t>Contents</w:t>
            </w:r>
            <w:r w:rsidR="00392659">
              <w:rPr>
                <w:noProof/>
                <w:webHidden/>
              </w:rPr>
              <w:tab/>
            </w:r>
            <w:r w:rsidR="00392659">
              <w:rPr>
                <w:noProof/>
                <w:webHidden/>
              </w:rPr>
              <w:fldChar w:fldCharType="begin"/>
            </w:r>
            <w:r w:rsidR="00392659">
              <w:rPr>
                <w:noProof/>
                <w:webHidden/>
              </w:rPr>
              <w:instrText xml:space="preserve"> PAGEREF _Toc404352992 \h </w:instrText>
            </w:r>
            <w:r w:rsidR="00392659">
              <w:rPr>
                <w:noProof/>
                <w:webHidden/>
              </w:rPr>
            </w:r>
            <w:r w:rsidR="00392659">
              <w:rPr>
                <w:noProof/>
                <w:webHidden/>
              </w:rPr>
              <w:fldChar w:fldCharType="separate"/>
            </w:r>
            <w:r w:rsidR="00A85385">
              <w:rPr>
                <w:noProof/>
                <w:webHidden/>
              </w:rPr>
              <w:t>5-4</w:t>
            </w:r>
            <w:r w:rsidR="00392659">
              <w:rPr>
                <w:noProof/>
                <w:webHidden/>
              </w:rPr>
              <w:fldChar w:fldCharType="end"/>
            </w:r>
          </w:hyperlink>
        </w:p>
        <w:p w:rsidR="00392659" w:rsidRDefault="0027004F">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352993" w:history="1">
            <w:r w:rsidR="00392659" w:rsidRPr="00CE4FE9">
              <w:rPr>
                <w:rStyle w:val="Hyperlink"/>
                <w:noProof/>
              </w:rPr>
              <w:t>Shortened forms</w:t>
            </w:r>
            <w:r w:rsidR="00392659">
              <w:rPr>
                <w:noProof/>
                <w:webHidden/>
              </w:rPr>
              <w:tab/>
            </w:r>
            <w:r w:rsidR="00392659">
              <w:rPr>
                <w:noProof/>
                <w:webHidden/>
              </w:rPr>
              <w:fldChar w:fldCharType="begin"/>
            </w:r>
            <w:r w:rsidR="00392659">
              <w:rPr>
                <w:noProof/>
                <w:webHidden/>
              </w:rPr>
              <w:instrText xml:space="preserve"> PAGEREF _Toc404352993 \h </w:instrText>
            </w:r>
            <w:r w:rsidR="00392659">
              <w:rPr>
                <w:noProof/>
                <w:webHidden/>
              </w:rPr>
            </w:r>
            <w:r w:rsidR="00392659">
              <w:rPr>
                <w:noProof/>
                <w:webHidden/>
              </w:rPr>
              <w:fldChar w:fldCharType="separate"/>
            </w:r>
            <w:r w:rsidR="00A85385">
              <w:rPr>
                <w:noProof/>
                <w:webHidden/>
              </w:rPr>
              <w:t>5-5</w:t>
            </w:r>
            <w:r w:rsidR="00392659">
              <w:rPr>
                <w:noProof/>
                <w:webHidden/>
              </w:rPr>
              <w:fldChar w:fldCharType="end"/>
            </w:r>
          </w:hyperlink>
        </w:p>
        <w:p w:rsidR="00392659" w:rsidRDefault="0027004F">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352994" w:history="1">
            <w:r w:rsidR="00392659" w:rsidRPr="00CE4FE9">
              <w:rPr>
                <w:rStyle w:val="Hyperlink"/>
                <w:noProof/>
              </w:rPr>
              <w:t>5</w:t>
            </w:r>
            <w:r w:rsidR="00392659">
              <w:rPr>
                <w:rFonts w:asciiTheme="minorHAnsi" w:eastAsiaTheme="minorEastAsia" w:hAnsiTheme="minorHAnsi" w:cstheme="minorBidi"/>
                <w:b w:val="0"/>
                <w:bCs w:val="0"/>
                <w:noProof/>
                <w:sz w:val="22"/>
                <w:szCs w:val="22"/>
                <w:lang w:eastAsia="en-AU"/>
              </w:rPr>
              <w:tab/>
            </w:r>
            <w:r w:rsidR="00392659" w:rsidRPr="00CE4FE9">
              <w:rPr>
                <w:rStyle w:val="Hyperlink"/>
                <w:noProof/>
              </w:rPr>
              <w:t>Regulatory depreciation</w:t>
            </w:r>
            <w:r w:rsidR="00392659">
              <w:rPr>
                <w:noProof/>
                <w:webHidden/>
              </w:rPr>
              <w:tab/>
            </w:r>
            <w:r w:rsidR="00392659">
              <w:rPr>
                <w:noProof/>
                <w:webHidden/>
              </w:rPr>
              <w:fldChar w:fldCharType="begin"/>
            </w:r>
            <w:r w:rsidR="00392659">
              <w:rPr>
                <w:noProof/>
                <w:webHidden/>
              </w:rPr>
              <w:instrText xml:space="preserve"> PAGEREF _Toc404352994 \h </w:instrText>
            </w:r>
            <w:r w:rsidR="00392659">
              <w:rPr>
                <w:noProof/>
                <w:webHidden/>
              </w:rPr>
            </w:r>
            <w:r w:rsidR="00392659">
              <w:rPr>
                <w:noProof/>
                <w:webHidden/>
              </w:rPr>
              <w:fldChar w:fldCharType="separate"/>
            </w:r>
            <w:r w:rsidR="00A85385">
              <w:rPr>
                <w:noProof/>
                <w:webHidden/>
              </w:rPr>
              <w:t>5-7</w:t>
            </w:r>
            <w:r w:rsidR="00392659">
              <w:rPr>
                <w:noProof/>
                <w:webHidden/>
              </w:rPr>
              <w:fldChar w:fldCharType="end"/>
            </w:r>
          </w:hyperlink>
        </w:p>
        <w:p w:rsidR="00392659" w:rsidRDefault="0027004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352995" w:history="1">
            <w:r w:rsidR="00392659" w:rsidRPr="00CE4FE9">
              <w:rPr>
                <w:rStyle w:val="Hyperlink"/>
                <w:noProof/>
              </w:rPr>
              <w:t>5.1</w:t>
            </w:r>
            <w:r w:rsidR="00392659">
              <w:rPr>
                <w:rFonts w:asciiTheme="minorHAnsi" w:eastAsiaTheme="minorEastAsia" w:hAnsiTheme="minorHAnsi" w:cstheme="minorBidi"/>
                <w:iCs w:val="0"/>
                <w:noProof/>
                <w:sz w:val="22"/>
                <w:szCs w:val="22"/>
                <w:lang w:eastAsia="en-AU"/>
              </w:rPr>
              <w:tab/>
            </w:r>
            <w:r w:rsidR="00392659" w:rsidRPr="00CE4FE9">
              <w:rPr>
                <w:rStyle w:val="Hyperlink"/>
                <w:noProof/>
              </w:rPr>
              <w:t>Draft decision</w:t>
            </w:r>
            <w:r w:rsidR="00392659">
              <w:rPr>
                <w:noProof/>
                <w:webHidden/>
              </w:rPr>
              <w:tab/>
            </w:r>
            <w:r w:rsidR="00392659">
              <w:rPr>
                <w:noProof/>
                <w:webHidden/>
              </w:rPr>
              <w:fldChar w:fldCharType="begin"/>
            </w:r>
            <w:r w:rsidR="00392659">
              <w:rPr>
                <w:noProof/>
                <w:webHidden/>
              </w:rPr>
              <w:instrText xml:space="preserve"> PAGEREF _Toc404352995 \h </w:instrText>
            </w:r>
            <w:r w:rsidR="00392659">
              <w:rPr>
                <w:noProof/>
                <w:webHidden/>
              </w:rPr>
            </w:r>
            <w:r w:rsidR="00392659">
              <w:rPr>
                <w:noProof/>
                <w:webHidden/>
              </w:rPr>
              <w:fldChar w:fldCharType="separate"/>
            </w:r>
            <w:r w:rsidR="00A85385">
              <w:rPr>
                <w:noProof/>
                <w:webHidden/>
              </w:rPr>
              <w:t>5-7</w:t>
            </w:r>
            <w:r w:rsidR="00392659">
              <w:rPr>
                <w:noProof/>
                <w:webHidden/>
              </w:rPr>
              <w:fldChar w:fldCharType="end"/>
            </w:r>
          </w:hyperlink>
        </w:p>
        <w:p w:rsidR="00392659" w:rsidRDefault="0027004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352996" w:history="1">
            <w:r w:rsidR="00392659" w:rsidRPr="00CE4FE9">
              <w:rPr>
                <w:rStyle w:val="Hyperlink"/>
                <w:noProof/>
              </w:rPr>
              <w:t>5.2</w:t>
            </w:r>
            <w:r w:rsidR="00392659">
              <w:rPr>
                <w:rFonts w:asciiTheme="minorHAnsi" w:eastAsiaTheme="minorEastAsia" w:hAnsiTheme="minorHAnsi" w:cstheme="minorBidi"/>
                <w:iCs w:val="0"/>
                <w:noProof/>
                <w:sz w:val="22"/>
                <w:szCs w:val="22"/>
                <w:lang w:eastAsia="en-AU"/>
              </w:rPr>
              <w:tab/>
            </w:r>
            <w:r w:rsidR="00392659" w:rsidRPr="00CE4FE9">
              <w:rPr>
                <w:rStyle w:val="Hyperlink"/>
                <w:noProof/>
              </w:rPr>
              <w:t>JGN's proposal</w:t>
            </w:r>
            <w:r w:rsidR="00392659">
              <w:rPr>
                <w:noProof/>
                <w:webHidden/>
              </w:rPr>
              <w:tab/>
            </w:r>
            <w:r w:rsidR="00392659">
              <w:rPr>
                <w:noProof/>
                <w:webHidden/>
              </w:rPr>
              <w:fldChar w:fldCharType="begin"/>
            </w:r>
            <w:r w:rsidR="00392659">
              <w:rPr>
                <w:noProof/>
                <w:webHidden/>
              </w:rPr>
              <w:instrText xml:space="preserve"> PAGEREF _Toc404352996 \h </w:instrText>
            </w:r>
            <w:r w:rsidR="00392659">
              <w:rPr>
                <w:noProof/>
                <w:webHidden/>
              </w:rPr>
            </w:r>
            <w:r w:rsidR="00392659">
              <w:rPr>
                <w:noProof/>
                <w:webHidden/>
              </w:rPr>
              <w:fldChar w:fldCharType="separate"/>
            </w:r>
            <w:r w:rsidR="00A85385">
              <w:rPr>
                <w:noProof/>
                <w:webHidden/>
              </w:rPr>
              <w:t>5-8</w:t>
            </w:r>
            <w:r w:rsidR="00392659">
              <w:rPr>
                <w:noProof/>
                <w:webHidden/>
              </w:rPr>
              <w:fldChar w:fldCharType="end"/>
            </w:r>
          </w:hyperlink>
        </w:p>
        <w:p w:rsidR="00392659" w:rsidRDefault="0027004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352997" w:history="1">
            <w:r w:rsidR="00392659" w:rsidRPr="00CE4FE9">
              <w:rPr>
                <w:rStyle w:val="Hyperlink"/>
                <w:noProof/>
              </w:rPr>
              <w:t>5.3</w:t>
            </w:r>
            <w:r w:rsidR="00392659">
              <w:rPr>
                <w:rFonts w:asciiTheme="minorHAnsi" w:eastAsiaTheme="minorEastAsia" w:hAnsiTheme="minorHAnsi" w:cstheme="minorBidi"/>
                <w:iCs w:val="0"/>
                <w:noProof/>
                <w:sz w:val="22"/>
                <w:szCs w:val="22"/>
                <w:lang w:eastAsia="en-AU"/>
              </w:rPr>
              <w:tab/>
            </w:r>
            <w:r w:rsidR="00392659" w:rsidRPr="00CE4FE9">
              <w:rPr>
                <w:rStyle w:val="Hyperlink"/>
                <w:noProof/>
              </w:rPr>
              <w:t>Assessment approach</w:t>
            </w:r>
            <w:r w:rsidR="00392659">
              <w:rPr>
                <w:noProof/>
                <w:webHidden/>
              </w:rPr>
              <w:tab/>
            </w:r>
            <w:r w:rsidR="00392659">
              <w:rPr>
                <w:noProof/>
                <w:webHidden/>
              </w:rPr>
              <w:fldChar w:fldCharType="begin"/>
            </w:r>
            <w:r w:rsidR="00392659">
              <w:rPr>
                <w:noProof/>
                <w:webHidden/>
              </w:rPr>
              <w:instrText xml:space="preserve"> PAGEREF _Toc404352997 \h </w:instrText>
            </w:r>
            <w:r w:rsidR="00392659">
              <w:rPr>
                <w:noProof/>
                <w:webHidden/>
              </w:rPr>
            </w:r>
            <w:r w:rsidR="00392659">
              <w:rPr>
                <w:noProof/>
                <w:webHidden/>
              </w:rPr>
              <w:fldChar w:fldCharType="separate"/>
            </w:r>
            <w:r w:rsidR="00A85385">
              <w:rPr>
                <w:noProof/>
                <w:webHidden/>
              </w:rPr>
              <w:t>5-9</w:t>
            </w:r>
            <w:r w:rsidR="00392659">
              <w:rPr>
                <w:noProof/>
                <w:webHidden/>
              </w:rPr>
              <w:fldChar w:fldCharType="end"/>
            </w:r>
          </w:hyperlink>
        </w:p>
        <w:p w:rsidR="00392659" w:rsidRDefault="0027004F">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352998" w:history="1">
            <w:r w:rsidR="00392659" w:rsidRPr="00CE4FE9">
              <w:rPr>
                <w:rStyle w:val="Hyperlink"/>
                <w:noProof/>
              </w:rPr>
              <w:t>5.3.1</w:t>
            </w:r>
            <w:r w:rsidR="00392659">
              <w:rPr>
                <w:rFonts w:asciiTheme="minorHAnsi" w:eastAsiaTheme="minorEastAsia" w:hAnsiTheme="minorHAnsi" w:cstheme="minorBidi"/>
                <w:noProof/>
                <w:sz w:val="22"/>
                <w:szCs w:val="22"/>
                <w:lang w:eastAsia="en-AU"/>
              </w:rPr>
              <w:tab/>
            </w:r>
            <w:r w:rsidR="00392659" w:rsidRPr="00CE4FE9">
              <w:rPr>
                <w:rStyle w:val="Hyperlink"/>
                <w:noProof/>
              </w:rPr>
              <w:t>Interrelationships</w:t>
            </w:r>
            <w:r w:rsidR="00392659">
              <w:rPr>
                <w:noProof/>
                <w:webHidden/>
              </w:rPr>
              <w:tab/>
            </w:r>
            <w:r w:rsidR="00392659">
              <w:rPr>
                <w:noProof/>
                <w:webHidden/>
              </w:rPr>
              <w:fldChar w:fldCharType="begin"/>
            </w:r>
            <w:r w:rsidR="00392659">
              <w:rPr>
                <w:noProof/>
                <w:webHidden/>
              </w:rPr>
              <w:instrText xml:space="preserve"> PAGEREF _Toc404352998 \h </w:instrText>
            </w:r>
            <w:r w:rsidR="00392659">
              <w:rPr>
                <w:noProof/>
                <w:webHidden/>
              </w:rPr>
            </w:r>
            <w:r w:rsidR="00392659">
              <w:rPr>
                <w:noProof/>
                <w:webHidden/>
              </w:rPr>
              <w:fldChar w:fldCharType="separate"/>
            </w:r>
            <w:r w:rsidR="00A85385">
              <w:rPr>
                <w:noProof/>
                <w:webHidden/>
              </w:rPr>
              <w:t>5-11</w:t>
            </w:r>
            <w:r w:rsidR="00392659">
              <w:rPr>
                <w:noProof/>
                <w:webHidden/>
              </w:rPr>
              <w:fldChar w:fldCharType="end"/>
            </w:r>
          </w:hyperlink>
        </w:p>
        <w:p w:rsidR="00392659" w:rsidRDefault="0027004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352999" w:history="1">
            <w:r w:rsidR="00392659" w:rsidRPr="00CE4FE9">
              <w:rPr>
                <w:rStyle w:val="Hyperlink"/>
                <w:noProof/>
              </w:rPr>
              <w:t>5.4</w:t>
            </w:r>
            <w:r w:rsidR="00392659">
              <w:rPr>
                <w:rFonts w:asciiTheme="minorHAnsi" w:eastAsiaTheme="minorEastAsia" w:hAnsiTheme="minorHAnsi" w:cstheme="minorBidi"/>
                <w:iCs w:val="0"/>
                <w:noProof/>
                <w:sz w:val="22"/>
                <w:szCs w:val="22"/>
                <w:lang w:eastAsia="en-AU"/>
              </w:rPr>
              <w:tab/>
            </w:r>
            <w:r w:rsidR="00392659" w:rsidRPr="00CE4FE9">
              <w:rPr>
                <w:rStyle w:val="Hyperlink"/>
                <w:noProof/>
              </w:rPr>
              <w:t>Reasons for draft decision</w:t>
            </w:r>
            <w:r w:rsidR="00392659">
              <w:rPr>
                <w:noProof/>
                <w:webHidden/>
              </w:rPr>
              <w:tab/>
            </w:r>
            <w:r w:rsidR="00392659">
              <w:rPr>
                <w:noProof/>
                <w:webHidden/>
              </w:rPr>
              <w:fldChar w:fldCharType="begin"/>
            </w:r>
            <w:r w:rsidR="00392659">
              <w:rPr>
                <w:noProof/>
                <w:webHidden/>
              </w:rPr>
              <w:instrText xml:space="preserve"> PAGEREF _Toc404352999 \h </w:instrText>
            </w:r>
            <w:r w:rsidR="00392659">
              <w:rPr>
                <w:noProof/>
                <w:webHidden/>
              </w:rPr>
            </w:r>
            <w:r w:rsidR="00392659">
              <w:rPr>
                <w:noProof/>
                <w:webHidden/>
              </w:rPr>
              <w:fldChar w:fldCharType="separate"/>
            </w:r>
            <w:r w:rsidR="00A85385">
              <w:rPr>
                <w:noProof/>
                <w:webHidden/>
              </w:rPr>
              <w:t>5-12</w:t>
            </w:r>
            <w:r w:rsidR="00392659">
              <w:rPr>
                <w:noProof/>
                <w:webHidden/>
              </w:rPr>
              <w:fldChar w:fldCharType="end"/>
            </w:r>
          </w:hyperlink>
        </w:p>
        <w:p w:rsidR="00392659" w:rsidRDefault="0027004F">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353000" w:history="1">
            <w:r w:rsidR="00392659" w:rsidRPr="00CE4FE9">
              <w:rPr>
                <w:rStyle w:val="Hyperlink"/>
                <w:noProof/>
              </w:rPr>
              <w:t>5.4.1</w:t>
            </w:r>
            <w:r w:rsidR="00392659">
              <w:rPr>
                <w:rFonts w:asciiTheme="minorHAnsi" w:eastAsiaTheme="minorEastAsia" w:hAnsiTheme="minorHAnsi" w:cstheme="minorBidi"/>
                <w:noProof/>
                <w:sz w:val="22"/>
                <w:szCs w:val="22"/>
                <w:lang w:eastAsia="en-AU"/>
              </w:rPr>
              <w:tab/>
            </w:r>
            <w:r w:rsidR="00392659" w:rsidRPr="00CE4FE9">
              <w:rPr>
                <w:rStyle w:val="Hyperlink"/>
                <w:noProof/>
              </w:rPr>
              <w:t>Standard asset lives</w:t>
            </w:r>
            <w:r w:rsidR="00392659">
              <w:rPr>
                <w:noProof/>
                <w:webHidden/>
              </w:rPr>
              <w:tab/>
            </w:r>
            <w:r w:rsidR="00392659">
              <w:rPr>
                <w:noProof/>
                <w:webHidden/>
              </w:rPr>
              <w:fldChar w:fldCharType="begin"/>
            </w:r>
            <w:r w:rsidR="00392659">
              <w:rPr>
                <w:noProof/>
                <w:webHidden/>
              </w:rPr>
              <w:instrText xml:space="preserve"> PAGEREF _Toc404353000 \h </w:instrText>
            </w:r>
            <w:r w:rsidR="00392659">
              <w:rPr>
                <w:noProof/>
                <w:webHidden/>
              </w:rPr>
            </w:r>
            <w:r w:rsidR="00392659">
              <w:rPr>
                <w:noProof/>
                <w:webHidden/>
              </w:rPr>
              <w:fldChar w:fldCharType="separate"/>
            </w:r>
            <w:r w:rsidR="00A85385">
              <w:rPr>
                <w:noProof/>
                <w:webHidden/>
              </w:rPr>
              <w:t>5-14</w:t>
            </w:r>
            <w:r w:rsidR="00392659">
              <w:rPr>
                <w:noProof/>
                <w:webHidden/>
              </w:rPr>
              <w:fldChar w:fldCharType="end"/>
            </w:r>
          </w:hyperlink>
        </w:p>
        <w:p w:rsidR="00392659" w:rsidRDefault="0027004F">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353001" w:history="1">
            <w:r w:rsidR="00392659" w:rsidRPr="00CE4FE9">
              <w:rPr>
                <w:rStyle w:val="Hyperlink"/>
                <w:noProof/>
              </w:rPr>
              <w:t>5.4.2</w:t>
            </w:r>
            <w:r w:rsidR="00392659">
              <w:rPr>
                <w:rFonts w:asciiTheme="minorHAnsi" w:eastAsiaTheme="minorEastAsia" w:hAnsiTheme="minorHAnsi" w:cstheme="minorBidi"/>
                <w:noProof/>
                <w:sz w:val="22"/>
                <w:szCs w:val="22"/>
                <w:lang w:eastAsia="en-AU"/>
              </w:rPr>
              <w:tab/>
            </w:r>
            <w:r w:rsidR="00392659" w:rsidRPr="00CE4FE9">
              <w:rPr>
                <w:rStyle w:val="Hyperlink"/>
                <w:noProof/>
              </w:rPr>
              <w:t>Remaining asset lives</w:t>
            </w:r>
            <w:r w:rsidR="00392659">
              <w:rPr>
                <w:noProof/>
                <w:webHidden/>
              </w:rPr>
              <w:tab/>
            </w:r>
            <w:r w:rsidR="00392659">
              <w:rPr>
                <w:noProof/>
                <w:webHidden/>
              </w:rPr>
              <w:fldChar w:fldCharType="begin"/>
            </w:r>
            <w:r w:rsidR="00392659">
              <w:rPr>
                <w:noProof/>
                <w:webHidden/>
              </w:rPr>
              <w:instrText xml:space="preserve"> PAGEREF _Toc404353001 \h </w:instrText>
            </w:r>
            <w:r w:rsidR="00392659">
              <w:rPr>
                <w:noProof/>
                <w:webHidden/>
              </w:rPr>
            </w:r>
            <w:r w:rsidR="00392659">
              <w:rPr>
                <w:noProof/>
                <w:webHidden/>
              </w:rPr>
              <w:fldChar w:fldCharType="separate"/>
            </w:r>
            <w:r w:rsidR="00A85385">
              <w:rPr>
                <w:noProof/>
                <w:webHidden/>
              </w:rPr>
              <w:t>5-15</w:t>
            </w:r>
            <w:r w:rsidR="00392659">
              <w:rPr>
                <w:noProof/>
                <w:webHidden/>
              </w:rPr>
              <w:fldChar w:fldCharType="end"/>
            </w:r>
          </w:hyperlink>
        </w:p>
        <w:p w:rsidR="00392659" w:rsidRDefault="0027004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353002" w:history="1">
            <w:r w:rsidR="00392659" w:rsidRPr="00CE4FE9">
              <w:rPr>
                <w:rStyle w:val="Hyperlink"/>
                <w:noProof/>
              </w:rPr>
              <w:t>5.5</w:t>
            </w:r>
            <w:r w:rsidR="00392659">
              <w:rPr>
                <w:rFonts w:asciiTheme="minorHAnsi" w:eastAsiaTheme="minorEastAsia" w:hAnsiTheme="minorHAnsi" w:cstheme="minorBidi"/>
                <w:iCs w:val="0"/>
                <w:noProof/>
                <w:sz w:val="22"/>
                <w:szCs w:val="22"/>
                <w:lang w:eastAsia="en-AU"/>
              </w:rPr>
              <w:tab/>
            </w:r>
            <w:r w:rsidR="00392659" w:rsidRPr="00CE4FE9">
              <w:rPr>
                <w:rStyle w:val="Hyperlink"/>
                <w:noProof/>
              </w:rPr>
              <w:t>Revisions</w:t>
            </w:r>
            <w:r w:rsidR="00392659">
              <w:rPr>
                <w:noProof/>
                <w:webHidden/>
              </w:rPr>
              <w:tab/>
            </w:r>
            <w:r w:rsidR="00392659">
              <w:rPr>
                <w:noProof/>
                <w:webHidden/>
              </w:rPr>
              <w:fldChar w:fldCharType="begin"/>
            </w:r>
            <w:r w:rsidR="00392659">
              <w:rPr>
                <w:noProof/>
                <w:webHidden/>
              </w:rPr>
              <w:instrText xml:space="preserve"> PAGEREF _Toc404353002 \h </w:instrText>
            </w:r>
            <w:r w:rsidR="00392659">
              <w:rPr>
                <w:noProof/>
                <w:webHidden/>
              </w:rPr>
            </w:r>
            <w:r w:rsidR="00392659">
              <w:rPr>
                <w:noProof/>
                <w:webHidden/>
              </w:rPr>
              <w:fldChar w:fldCharType="separate"/>
            </w:r>
            <w:r w:rsidR="00A85385">
              <w:rPr>
                <w:noProof/>
                <w:webHidden/>
              </w:rPr>
              <w:t>5-18</w:t>
            </w:r>
            <w:r w:rsidR="00392659">
              <w:rPr>
                <w:noProof/>
                <w:webHidden/>
              </w:rPr>
              <w:fldChar w:fldCharType="end"/>
            </w:r>
          </w:hyperlink>
        </w:p>
        <w:p w:rsidR="0084378B" w:rsidRPr="0084378B" w:rsidRDefault="0084378B">
          <w:r w:rsidRPr="0084378B">
            <w:fldChar w:fldCharType="end"/>
          </w:r>
        </w:p>
      </w:sdtContent>
    </w:sdt>
    <w:p w:rsidR="00525604" w:rsidRDefault="00525604" w:rsidP="00525604">
      <w:pPr>
        <w:pStyle w:val="AERbodytext"/>
        <w:numPr>
          <w:ilvl w:val="0"/>
          <w:numId w:val="0"/>
        </w:numPr>
      </w:pPr>
    </w:p>
    <w:p w:rsidR="00525604" w:rsidRDefault="00525604" w:rsidP="00F54216">
      <w:pPr>
        <w:pStyle w:val="UnnumberedHeading"/>
      </w:pPr>
      <w:bookmarkStart w:id="6" w:name="_Toc404352993"/>
      <w:r>
        <w:lastRenderedPageBreak/>
        <w:t>Shortened forms</w:t>
      </w:r>
      <w:bookmarkEnd w:id="6"/>
    </w:p>
    <w:tbl>
      <w:tblPr>
        <w:tblStyle w:val="AERtable-numbers"/>
        <w:tblW w:w="0" w:type="auto"/>
        <w:tblLook w:val="04A0" w:firstRow="1" w:lastRow="0" w:firstColumn="1" w:lastColumn="0" w:noHBand="0" w:noVBand="1"/>
      </w:tblPr>
      <w:tblGrid>
        <w:gridCol w:w="4621"/>
        <w:gridCol w:w="4621"/>
      </w:tblGrid>
      <w:tr w:rsidR="000722CB" w:rsidTr="005E445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0722CB" w:rsidRDefault="000722CB" w:rsidP="000722CB">
            <w:pPr>
              <w:pStyle w:val="AERbodytext"/>
            </w:pPr>
            <w:r>
              <w:t>Shortened form</w:t>
            </w:r>
          </w:p>
        </w:tc>
        <w:tc>
          <w:tcPr>
            <w:tcW w:w="4621" w:type="dxa"/>
          </w:tcPr>
          <w:p w:rsidR="000722CB" w:rsidRDefault="000722CB" w:rsidP="000722CB">
            <w:pPr>
              <w:pStyle w:val="AERbodytext"/>
              <w:cnfStyle w:val="100000000000" w:firstRow="1" w:lastRow="0" w:firstColumn="0" w:lastColumn="0" w:oddVBand="0" w:evenVBand="0" w:oddHBand="0" w:evenHBand="0" w:firstRowFirstColumn="0" w:firstRowLastColumn="0" w:lastRowFirstColumn="0" w:lastRowLastColumn="0"/>
            </w:pPr>
            <w:r>
              <w:t>Extended form</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2010–15 access arrangement</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Access arrangement for JGN effective from 1 July 2010 to 30 June 2015 inclusive</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Pr="00E854E3" w:rsidRDefault="001168DE" w:rsidP="00CD1010">
            <w:pPr>
              <w:pStyle w:val="AERbodytext"/>
            </w:pPr>
            <w:r w:rsidRPr="00E854E3">
              <w:t>2010–15 access arrangement</w:t>
            </w:r>
            <w:r>
              <w:t xml:space="preserve"> period</w:t>
            </w:r>
          </w:p>
        </w:tc>
        <w:tc>
          <w:tcPr>
            <w:tcW w:w="4621" w:type="dxa"/>
          </w:tcPr>
          <w:p w:rsidR="001168DE" w:rsidRPr="00E854E3"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rsidRPr="00E854E3">
              <w:t>1 July 2010 to 30 June 2015 inclusive</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Pr="00E854E3" w:rsidRDefault="001168DE" w:rsidP="00CD1010">
            <w:pPr>
              <w:pStyle w:val="AERbodytext"/>
            </w:pPr>
            <w:r w:rsidRPr="00E854E3">
              <w:t>201</w:t>
            </w:r>
            <w:r>
              <w:t>5</w:t>
            </w:r>
            <w:r w:rsidRPr="00E854E3">
              <w:t>–</w:t>
            </w:r>
            <w:r>
              <w:t>20</w:t>
            </w:r>
            <w:r w:rsidRPr="00E854E3">
              <w:t xml:space="preserve"> access arrangement</w:t>
            </w:r>
          </w:p>
        </w:tc>
        <w:tc>
          <w:tcPr>
            <w:tcW w:w="4621" w:type="dxa"/>
          </w:tcPr>
          <w:p w:rsidR="001168DE" w:rsidRPr="00E854E3"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rsidRPr="00E854E3">
              <w:t>Access arrangement for JGN effective from 1 July 201</w:t>
            </w:r>
            <w:r>
              <w:t>5</w:t>
            </w:r>
            <w:r w:rsidRPr="00E854E3">
              <w:t xml:space="preserve"> to 30 June 20</w:t>
            </w:r>
            <w:r>
              <w:t>20</w:t>
            </w:r>
            <w:r w:rsidRPr="00E854E3">
              <w:t xml:space="preserve"> inclusive</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Pr="00E854E3" w:rsidRDefault="001168DE" w:rsidP="00CD1010">
            <w:pPr>
              <w:pStyle w:val="AERbodytext"/>
            </w:pPr>
            <w:r w:rsidRPr="00E854E3">
              <w:t>201</w:t>
            </w:r>
            <w:r>
              <w:t>5</w:t>
            </w:r>
            <w:r w:rsidRPr="00E854E3">
              <w:t>–</w:t>
            </w:r>
            <w:r>
              <w:t>20</w:t>
            </w:r>
            <w:r w:rsidRPr="00E854E3">
              <w:t xml:space="preserve"> access arrangement period</w:t>
            </w:r>
          </w:p>
        </w:tc>
        <w:tc>
          <w:tcPr>
            <w:tcW w:w="4621" w:type="dxa"/>
          </w:tcPr>
          <w:p w:rsidR="001168DE" w:rsidRPr="00E854E3"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rsidRPr="00E854E3">
              <w:t>1 July 201</w:t>
            </w:r>
            <w:r>
              <w:t>5</w:t>
            </w:r>
            <w:r w:rsidRPr="00E854E3">
              <w:t xml:space="preserve"> to 30 June 20</w:t>
            </w:r>
            <w:r>
              <w:t>20</w:t>
            </w:r>
            <w:r w:rsidRPr="00E854E3">
              <w:t xml:space="preserve"> inclusive</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Access arrangement information</w:t>
            </w:r>
          </w:p>
        </w:tc>
        <w:tc>
          <w:tcPr>
            <w:tcW w:w="4621" w:type="dxa"/>
          </w:tcPr>
          <w:p w:rsidR="001168DE" w:rsidRDefault="001168DE" w:rsidP="002C11A3">
            <w:pPr>
              <w:pStyle w:val="AERbodytext"/>
              <w:cnfStyle w:val="000000000000" w:firstRow="0" w:lastRow="0" w:firstColumn="0" w:lastColumn="0" w:oddVBand="0" w:evenVBand="0" w:oddHBand="0" w:evenHBand="0" w:firstRowFirstColumn="0" w:firstRowLastColumn="0" w:lastRowFirstColumn="0" w:lastRowLastColumn="0"/>
            </w:pPr>
            <w:r w:rsidRPr="00A41D43">
              <w:t xml:space="preserve">Jemena Gas Networks (NSW) Ltd, </w:t>
            </w:r>
            <w:r w:rsidRPr="00A41D43">
              <w:rPr>
                <w:rStyle w:val="AERtextitalic"/>
              </w:rPr>
              <w:t>Access Arrangement Informatio</w:t>
            </w:r>
            <w:r>
              <w:rPr>
                <w:rStyle w:val="AERtextitalic"/>
              </w:rPr>
              <w:t>n 2015–20</w:t>
            </w:r>
            <w:r w:rsidRPr="00A41D43">
              <w:t>, 30 June 2014</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Access arrangement proposal</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rsidRPr="00A41D43">
              <w:t xml:space="preserve">Jemena Gas Networks (NSW) Ltd,  </w:t>
            </w:r>
            <w:r w:rsidRPr="00A41D43">
              <w:rPr>
                <w:rStyle w:val="AERtextitalic"/>
              </w:rPr>
              <w:t>Access arrangement, JGN’s NSW gas distribution networks, 1 July 2015 – 30 June 2020</w:t>
            </w:r>
            <w:r w:rsidRPr="00A41D43">
              <w:t>, 30 June 2014</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AER</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Australian Energy Regulator</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capex</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capital expenditure</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CAPM</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capital asset pricing model</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CCP</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Consumer Challenge Panel</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Code</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National Third Party Access Code for Natural Gas Pipeline Systems</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CPI</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consumer price index</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DRP</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debt risk premium</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ERP</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equity risk premium</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JGN</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Jemena Gas Networks (NSW) Ltd (CAN 003 004 322)</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MRP</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market risk premium</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NGL</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national gas law</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NGO</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national gas objective</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NGR</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national gas rules</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lastRenderedPageBreak/>
              <w:t>opex</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operating expenditure</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PPI</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partial performance indicators</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PTRM</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post-tax revenue model</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RAB</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regulatory asset base</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RBA</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Reserve Bank of Australia</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Reference service agreement proposal</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rsidRPr="00A41D43">
              <w:t xml:space="preserve">Jemena Gas Networks (NSW) Ltd, </w:t>
            </w:r>
            <w:r w:rsidRPr="00A41D43">
              <w:rPr>
                <w:rStyle w:val="AERtextitalic"/>
              </w:rPr>
              <w:t>Reference Service Agreement, JGN’s NSW gas distribution networks</w:t>
            </w:r>
            <w:r w:rsidRPr="00A41D43">
              <w:t>, 30 June 2014</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RFM</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roll forward model</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RIN</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regulatory information notice</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RPP</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 xml:space="preserve">revenue </w:t>
            </w:r>
            <w:r w:rsidR="002C11A3">
              <w:t xml:space="preserve">and </w:t>
            </w:r>
            <w:r>
              <w:t>pricing principles</w:t>
            </w:r>
          </w:p>
        </w:tc>
      </w:tr>
      <w:tr w:rsidR="001168DE" w:rsidTr="005A733C">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SLCAPM</w:t>
            </w:r>
          </w:p>
        </w:tc>
        <w:tc>
          <w:tcPr>
            <w:tcW w:w="4621" w:type="dxa"/>
          </w:tcPr>
          <w:p w:rsidR="001168DE" w:rsidRDefault="001168DE" w:rsidP="00CD1010">
            <w:pPr>
              <w:pStyle w:val="AERbodytext"/>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1168DE" w:rsidTr="005A73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168DE" w:rsidRDefault="001168DE" w:rsidP="00CD1010">
            <w:pPr>
              <w:pStyle w:val="AERbodytext"/>
            </w:pPr>
            <w:r>
              <w:t>WACC</w:t>
            </w:r>
          </w:p>
        </w:tc>
        <w:tc>
          <w:tcPr>
            <w:tcW w:w="4621" w:type="dxa"/>
          </w:tcPr>
          <w:p w:rsidR="001168DE" w:rsidRDefault="001168DE" w:rsidP="00CD1010">
            <w:pPr>
              <w:pStyle w:val="AERbodytext"/>
              <w:cnfStyle w:val="000000010000" w:firstRow="0" w:lastRow="0" w:firstColumn="0" w:lastColumn="0" w:oddVBand="0" w:evenVBand="0" w:oddHBand="0" w:evenHBand="1" w:firstRowFirstColumn="0" w:firstRowLastColumn="0" w:lastRowFirstColumn="0" w:lastRowLastColumn="0"/>
            </w:pPr>
            <w:r>
              <w:t>weighted average cost of capital</w:t>
            </w:r>
          </w:p>
        </w:tc>
      </w:tr>
    </w:tbl>
    <w:p w:rsidR="00C557F2" w:rsidRPr="00C557F2" w:rsidRDefault="00C557F2" w:rsidP="00C557F2">
      <w:pPr>
        <w:pStyle w:val="AERbodytext"/>
      </w:pPr>
    </w:p>
    <w:p w:rsidR="008B4932" w:rsidRPr="008B4932" w:rsidRDefault="008B4932" w:rsidP="008B4932">
      <w:pPr>
        <w:pStyle w:val="AERbodytext"/>
        <w:numPr>
          <w:ilvl w:val="0"/>
          <w:numId w:val="0"/>
        </w:numPr>
      </w:pPr>
    </w:p>
    <w:p w:rsidR="00525604" w:rsidRPr="003E6299" w:rsidRDefault="005D0F54" w:rsidP="005D0F54">
      <w:pPr>
        <w:pStyle w:val="Heading1"/>
      </w:pPr>
      <w:bookmarkStart w:id="7" w:name="_Toc404352994"/>
      <w:r>
        <w:lastRenderedPageBreak/>
        <w:t>Regulatory depreciation</w:t>
      </w:r>
      <w:bookmarkEnd w:id="7"/>
      <w:r>
        <w:t xml:space="preserve"> </w:t>
      </w:r>
    </w:p>
    <w:p w:rsidR="005D0F54" w:rsidRPr="00CA36EA" w:rsidRDefault="005D0F54" w:rsidP="005D0F54">
      <w:pPr>
        <w:pStyle w:val="AERbodytext"/>
      </w:pPr>
      <w:r w:rsidRPr="00CA36EA">
        <w:t xml:space="preserve">When determining the total revenue for </w:t>
      </w:r>
      <w:r>
        <w:t>JGN</w:t>
      </w:r>
      <w:r w:rsidRPr="00CA36EA">
        <w:t xml:space="preserve">, </w:t>
      </w:r>
      <w:r>
        <w:t>we</w:t>
      </w:r>
      <w:r w:rsidRPr="00CA36EA">
        <w:t xml:space="preserve"> must decide on the depreciation for the projected capital base (</w:t>
      </w:r>
      <w:r>
        <w:t>otherwise referred to as</w:t>
      </w:r>
      <w:r w:rsidRPr="00CA36EA">
        <w:t xml:space="preserve"> </w:t>
      </w:r>
      <w:r>
        <w:t>'</w:t>
      </w:r>
      <w:r w:rsidRPr="00CA36EA">
        <w:t>return of capital</w:t>
      </w:r>
      <w:r>
        <w:t>'</w:t>
      </w:r>
      <w:r w:rsidRPr="00CA36EA">
        <w:t>).</w:t>
      </w:r>
      <w:r>
        <w:rPr>
          <w:rStyle w:val="FootnoteReference"/>
        </w:rPr>
        <w:footnoteReference w:id="1"/>
      </w:r>
      <w:r w:rsidRPr="00CA36EA">
        <w:t xml:space="preserve"> Regulatory depreciation is used to model the nominal asset values over the 201</w:t>
      </w:r>
      <w:r>
        <w:t>5</w:t>
      </w:r>
      <w:r w:rsidRPr="00CA36EA">
        <w:t>–</w:t>
      </w:r>
      <w:r>
        <w:t>20</w:t>
      </w:r>
      <w:r w:rsidRPr="00CA36EA">
        <w:t xml:space="preserve"> access arrangement period and the depreciation allowance in the total revenue requirement. </w:t>
      </w:r>
      <w:r>
        <w:t>Our</w:t>
      </w:r>
      <w:r w:rsidRPr="00CA36EA">
        <w:t xml:space="preserve"> draft decision on J</w:t>
      </w:r>
      <w:r>
        <w:t xml:space="preserve">GN's </w:t>
      </w:r>
      <w:r w:rsidRPr="00CA36EA">
        <w:t>annual regulatory depreciation allowance is outlined in this attachment.</w:t>
      </w:r>
      <w:r>
        <w:rPr>
          <w:rStyle w:val="FootnoteReference"/>
        </w:rPr>
        <w:footnoteReference w:id="2"/>
      </w:r>
      <w:r w:rsidRPr="00CA36EA">
        <w:t xml:space="preserve"> </w:t>
      </w:r>
      <w:r>
        <w:t>Our</w:t>
      </w:r>
      <w:r w:rsidRPr="00CA36EA">
        <w:t xml:space="preserve"> consideration of specific matters that affect the estimate of regulatory depreciation over the 201</w:t>
      </w:r>
      <w:r>
        <w:t>5–20</w:t>
      </w:r>
      <w:r w:rsidRPr="00CA36EA">
        <w:t xml:space="preserve"> access arrangement period is also outlined in this attachment. These include:</w:t>
      </w:r>
    </w:p>
    <w:p w:rsidR="005D0F54" w:rsidRPr="00CA36EA" w:rsidRDefault="005D0F54" w:rsidP="005D0F54">
      <w:pPr>
        <w:pStyle w:val="AERbulletlistfirststyle"/>
      </w:pPr>
      <w:r w:rsidRPr="00CA36EA">
        <w:t xml:space="preserve">the standard </w:t>
      </w:r>
      <w:r>
        <w:t>asset</w:t>
      </w:r>
      <w:r w:rsidRPr="00CA36EA">
        <w:t xml:space="preserve"> lives for depreciating new assets associated with forecast capex</w:t>
      </w:r>
      <w:r>
        <w:rPr>
          <w:rStyle w:val="FootnoteReference"/>
        </w:rPr>
        <w:footnoteReference w:id="3"/>
      </w:r>
    </w:p>
    <w:p w:rsidR="005D0F54" w:rsidRDefault="005D0F54" w:rsidP="005D0F54">
      <w:pPr>
        <w:pStyle w:val="AERbulletlistfirststyle"/>
      </w:pPr>
      <w:r w:rsidRPr="00CA36EA">
        <w:t xml:space="preserve">the remaining </w:t>
      </w:r>
      <w:r>
        <w:t>asset</w:t>
      </w:r>
      <w:r w:rsidRPr="00CA36EA">
        <w:t xml:space="preserve"> lives for depreciating existing assets in the opening capital base.</w:t>
      </w:r>
      <w:r>
        <w:rPr>
          <w:rStyle w:val="FootnoteReference"/>
        </w:rPr>
        <w:footnoteReference w:id="4"/>
      </w:r>
    </w:p>
    <w:p w:rsidR="005D0F54" w:rsidRDefault="005D0F54" w:rsidP="005D0F54">
      <w:pPr>
        <w:pStyle w:val="Heading2"/>
        <w:numPr>
          <w:ilvl w:val="2"/>
          <w:numId w:val="8"/>
        </w:numPr>
      </w:pPr>
      <w:bookmarkStart w:id="8" w:name="_Toc388623110"/>
      <w:bookmarkStart w:id="9" w:name="_Toc403391027"/>
      <w:bookmarkStart w:id="10" w:name="_Toc403391396"/>
      <w:bookmarkStart w:id="11" w:name="_Toc404352995"/>
      <w:r>
        <w:t>Draft decision</w:t>
      </w:r>
      <w:bookmarkEnd w:id="8"/>
      <w:bookmarkEnd w:id="9"/>
      <w:bookmarkEnd w:id="10"/>
      <w:bookmarkEnd w:id="11"/>
      <w:r>
        <w:t xml:space="preserve"> </w:t>
      </w:r>
    </w:p>
    <w:p w:rsidR="005D0F54" w:rsidRDefault="005D0F54" w:rsidP="005D0F54">
      <w:pPr>
        <w:pStyle w:val="AERbodytext"/>
      </w:pPr>
      <w:r>
        <w:t>We</w:t>
      </w:r>
      <w:r w:rsidRPr="00CA36EA">
        <w:t xml:space="preserve"> approve </w:t>
      </w:r>
      <w:r>
        <w:t>JGN's</w:t>
      </w:r>
      <w:r w:rsidRPr="00CA36EA">
        <w:t xml:space="preserve"> proposal to use the </w:t>
      </w:r>
      <w:r>
        <w:t xml:space="preserve">real </w:t>
      </w:r>
      <w:r w:rsidRPr="00CA36EA">
        <w:t>straight-line method to calculate the re</w:t>
      </w:r>
      <w:r>
        <w:t>gulatory depreciation allowance. With the exception of the 'Vehicles' asset class, we</w:t>
      </w:r>
      <w:r w:rsidRPr="00364FA0">
        <w:t xml:space="preserve"> approve J</w:t>
      </w:r>
      <w:r>
        <w:t>GN</w:t>
      </w:r>
      <w:r w:rsidRPr="00364FA0">
        <w:t xml:space="preserve">'s proposed standard </w:t>
      </w:r>
      <w:r>
        <w:t>asset</w:t>
      </w:r>
      <w:r w:rsidRPr="00364FA0">
        <w:t xml:space="preserve"> lives assigned to each of its asset classes for the 2015–20 access arrangement period. </w:t>
      </w:r>
      <w:r w:rsidRPr="00844F42">
        <w:t xml:space="preserve">For the </w:t>
      </w:r>
      <w:r>
        <w:t>'V</w:t>
      </w:r>
      <w:r w:rsidRPr="00844F42">
        <w:t>ehicles</w:t>
      </w:r>
      <w:r>
        <w:t>'</w:t>
      </w:r>
      <w:r w:rsidRPr="00844F42">
        <w:t xml:space="preserve"> asset class, we do not approve JGN's proposed standard </w:t>
      </w:r>
      <w:r>
        <w:t>asset</w:t>
      </w:r>
      <w:r w:rsidRPr="00844F42">
        <w:t xml:space="preserve"> life of </w:t>
      </w:r>
      <w:r>
        <w:t>four</w:t>
      </w:r>
      <w:r w:rsidRPr="00844F42">
        <w:t xml:space="preserve"> years, and instead require that this be set to </w:t>
      </w:r>
      <w:r>
        <w:t>six</w:t>
      </w:r>
      <w:r w:rsidRPr="00844F42">
        <w:t xml:space="preserve"> years. This is because </w:t>
      </w:r>
      <w:r>
        <w:t>six</w:t>
      </w:r>
      <w:r w:rsidRPr="00844F42">
        <w:t xml:space="preserve"> years reflect the weighted </w:t>
      </w:r>
      <w:r>
        <w:t xml:space="preserve">average life of the assets in this class and JGN's fleet management strategy (including as reflected in its forecast capex). We approve </w:t>
      </w:r>
      <w:r w:rsidRPr="00374AC3">
        <w:t xml:space="preserve">the remaining </w:t>
      </w:r>
      <w:r>
        <w:t xml:space="preserve">asset </w:t>
      </w:r>
      <w:r w:rsidRPr="00374AC3">
        <w:t xml:space="preserve">lives calculated using JGN’s </w:t>
      </w:r>
      <w:r>
        <w:t xml:space="preserve">proposed </w:t>
      </w:r>
      <w:r w:rsidRPr="00374AC3">
        <w:t>approach, noting that there have been minor updates to these values reflecting other aspects of our draft decision.</w:t>
      </w:r>
      <w:r>
        <w:rPr>
          <w:rStyle w:val="FootnoteReference"/>
        </w:rPr>
        <w:footnoteReference w:id="5"/>
      </w:r>
    </w:p>
    <w:p w:rsidR="005D0F54" w:rsidRPr="005D0F54" w:rsidRDefault="005D0F54" w:rsidP="005D0F54">
      <w:pPr>
        <w:pStyle w:val="AERbodytext"/>
        <w:rPr>
          <w:rStyle w:val="AERbody"/>
        </w:rPr>
      </w:pPr>
      <w:r>
        <w:t>We</w:t>
      </w:r>
      <w:r w:rsidRPr="00364FA0">
        <w:t xml:space="preserve"> do not approve </w:t>
      </w:r>
      <w:r>
        <w:t xml:space="preserve">the amount of </w:t>
      </w:r>
      <w:r w:rsidR="00B678F9">
        <w:t xml:space="preserve">the </w:t>
      </w:r>
      <w:r w:rsidRPr="00364FA0">
        <w:t>re</w:t>
      </w:r>
      <w:r>
        <w:t>gulatory depreciation allowance proposed by JGN</w:t>
      </w:r>
      <w:r w:rsidRPr="00364FA0">
        <w:t xml:space="preserve"> </w:t>
      </w:r>
      <w:r>
        <w:t xml:space="preserve">over </w:t>
      </w:r>
      <w:r w:rsidRPr="00364FA0">
        <w:t>the 201</w:t>
      </w:r>
      <w:r>
        <w:t>5</w:t>
      </w:r>
      <w:r w:rsidRPr="00364FA0">
        <w:t>–</w:t>
      </w:r>
      <w:r>
        <w:t>20</w:t>
      </w:r>
      <w:r w:rsidRPr="00364FA0">
        <w:t xml:space="preserve"> access arrangement period. </w:t>
      </w:r>
      <w:r>
        <w:t xml:space="preserve">Although the change to the standard </w:t>
      </w:r>
      <w:r w:rsidRPr="005D0F54">
        <w:rPr>
          <w:rStyle w:val="AERbody"/>
        </w:rPr>
        <w:t xml:space="preserve">asset life of the 'Vehicles' asset class is a factor, this is mainly because of our determinations on other components of JGN's proposal, which affect the regulatory depreciation allowance—for example, the forecast capex (attachment 6) and the opening capital base value (attachment 2). </w:t>
      </w:r>
    </w:p>
    <w:p w:rsidR="005D0F54" w:rsidRDefault="005D0F54" w:rsidP="005D0F54">
      <w:pPr>
        <w:pStyle w:val="AERbodytext"/>
      </w:pPr>
      <w:r w:rsidRPr="005D0F54">
        <w:rPr>
          <w:rStyle w:val="AERbody"/>
        </w:rPr>
        <w:t>Our draft decision on JGN's regulatory depreciation allowance is $424.9 million</w:t>
      </w:r>
      <w:r w:rsidRPr="00D50BFE">
        <w:t xml:space="preserve"> ($nominal) over the 201</w:t>
      </w:r>
      <w:r>
        <w:t>5</w:t>
      </w:r>
      <w:r w:rsidRPr="00D50BFE">
        <w:t>–</w:t>
      </w:r>
      <w:r>
        <w:t xml:space="preserve">20 access arrangement period as set out in </w:t>
      </w:r>
      <w:r>
        <w:fldChar w:fldCharType="begin"/>
      </w:r>
      <w:r>
        <w:instrText xml:space="preserve"> REF  _Ref398282397 \* Lower \h </w:instrText>
      </w:r>
      <w:r>
        <w:fldChar w:fldCharType="separate"/>
      </w:r>
      <w:r w:rsidR="00A85385">
        <w:t xml:space="preserve">table </w:t>
      </w:r>
      <w:r w:rsidR="00A85385">
        <w:rPr>
          <w:noProof/>
        </w:rPr>
        <w:t>5</w:t>
      </w:r>
      <w:r w:rsidR="00A85385">
        <w:noBreakHyphen/>
      </w:r>
      <w:r w:rsidR="00A85385">
        <w:rPr>
          <w:noProof/>
        </w:rPr>
        <w:t>1</w:t>
      </w:r>
      <w:r>
        <w:fldChar w:fldCharType="end"/>
      </w:r>
      <w:r>
        <w:t>.</w:t>
      </w:r>
    </w:p>
    <w:p w:rsidR="005D0F54" w:rsidRDefault="005D0F54" w:rsidP="005E445B">
      <w:pPr>
        <w:pStyle w:val="Caption"/>
      </w:pPr>
      <w:bookmarkStart w:id="12" w:name="_Ref398282397"/>
      <w:r>
        <w:t xml:space="preserve">Table </w:t>
      </w:r>
      <w:r w:rsidR="0027004F">
        <w:fldChar w:fldCharType="begin"/>
      </w:r>
      <w:r w:rsidR="0027004F">
        <w:instrText xml:space="preserve"> STYLEREF 1 \s </w:instrText>
      </w:r>
      <w:r w:rsidR="0027004F">
        <w:fldChar w:fldCharType="separate"/>
      </w:r>
      <w:r w:rsidR="00A85385">
        <w:rPr>
          <w:noProof/>
        </w:rPr>
        <w:t>5</w:t>
      </w:r>
      <w:r w:rsidR="0027004F">
        <w:rPr>
          <w:noProof/>
        </w:rPr>
        <w:fldChar w:fldCharType="end"/>
      </w:r>
      <w:r>
        <w:noBreakHyphen/>
      </w:r>
      <w:r w:rsidR="0027004F">
        <w:fldChar w:fldCharType="begin"/>
      </w:r>
      <w:r w:rsidR="0027004F">
        <w:instrText xml:space="preserve"> SEQ Table \* ARABIC \s 1 </w:instrText>
      </w:r>
      <w:r w:rsidR="0027004F">
        <w:fldChar w:fldCharType="separate"/>
      </w:r>
      <w:r w:rsidR="00A85385">
        <w:rPr>
          <w:noProof/>
        </w:rPr>
        <w:t>1</w:t>
      </w:r>
      <w:r w:rsidR="0027004F">
        <w:rPr>
          <w:noProof/>
        </w:rPr>
        <w:fldChar w:fldCharType="end"/>
      </w:r>
      <w:bookmarkEnd w:id="12"/>
      <w:r>
        <w:tab/>
        <w:t xml:space="preserve">AER's draft decision on JGN's regulatory depreciation allowance for the </w:t>
      </w:r>
      <w:r w:rsidR="00F93EDE">
        <w:br/>
      </w:r>
      <w:r>
        <w:t>2015–20 access arrangement period ($million, nominal)</w:t>
      </w:r>
    </w:p>
    <w:tbl>
      <w:tblPr>
        <w:tblStyle w:val="AERtable-numbers"/>
        <w:tblW w:w="9203" w:type="dxa"/>
        <w:tblLayout w:type="fixed"/>
        <w:tblLook w:val="04A0" w:firstRow="1" w:lastRow="0" w:firstColumn="1" w:lastColumn="0" w:noHBand="0" w:noVBand="1"/>
      </w:tblPr>
      <w:tblGrid>
        <w:gridCol w:w="2866"/>
        <w:gridCol w:w="1056"/>
        <w:gridCol w:w="1056"/>
        <w:gridCol w:w="1056"/>
        <w:gridCol w:w="1056"/>
        <w:gridCol w:w="1056"/>
        <w:gridCol w:w="1057"/>
      </w:tblGrid>
      <w:tr w:rsidR="005D0F54" w:rsidRPr="0018218B" w:rsidTr="002C11A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6" w:type="dxa"/>
            <w:noWrap/>
            <w:hideMark/>
          </w:tcPr>
          <w:p w:rsidR="005D0F54" w:rsidRPr="006F3C7A" w:rsidRDefault="005D0F54" w:rsidP="005E445B">
            <w:pPr>
              <w:pStyle w:val="AERtabletextleft"/>
              <w:keepNext/>
            </w:pPr>
          </w:p>
        </w:tc>
        <w:tc>
          <w:tcPr>
            <w:tcW w:w="1056" w:type="dxa"/>
            <w:noWrap/>
            <w:hideMark/>
          </w:tcPr>
          <w:p w:rsidR="005D0F54" w:rsidRPr="006F3C7A" w:rsidRDefault="005D0F54" w:rsidP="005E445B">
            <w:pPr>
              <w:pStyle w:val="AERtabletextleft"/>
              <w:keepNext/>
              <w:cnfStyle w:val="100000000000" w:firstRow="1" w:lastRow="0" w:firstColumn="0" w:lastColumn="0" w:oddVBand="0" w:evenVBand="0" w:oddHBand="0" w:evenHBand="0" w:firstRowFirstColumn="0" w:firstRowLastColumn="0" w:lastRowFirstColumn="0" w:lastRowLastColumn="0"/>
            </w:pPr>
            <w:r w:rsidRPr="006F3C7A">
              <w:t>2015–16</w:t>
            </w:r>
          </w:p>
        </w:tc>
        <w:tc>
          <w:tcPr>
            <w:tcW w:w="1056" w:type="dxa"/>
            <w:noWrap/>
            <w:hideMark/>
          </w:tcPr>
          <w:p w:rsidR="005D0F54" w:rsidRPr="006F3C7A" w:rsidRDefault="005D0F54" w:rsidP="005E445B">
            <w:pPr>
              <w:pStyle w:val="AERtabletextleft"/>
              <w:keepNext/>
              <w:cnfStyle w:val="100000000000" w:firstRow="1" w:lastRow="0" w:firstColumn="0" w:lastColumn="0" w:oddVBand="0" w:evenVBand="0" w:oddHBand="0" w:evenHBand="0" w:firstRowFirstColumn="0" w:firstRowLastColumn="0" w:lastRowFirstColumn="0" w:lastRowLastColumn="0"/>
            </w:pPr>
            <w:r w:rsidRPr="006F3C7A">
              <w:t>2016–17</w:t>
            </w:r>
          </w:p>
        </w:tc>
        <w:tc>
          <w:tcPr>
            <w:tcW w:w="1056" w:type="dxa"/>
            <w:noWrap/>
            <w:hideMark/>
          </w:tcPr>
          <w:p w:rsidR="005D0F54" w:rsidRPr="006F3C7A" w:rsidRDefault="005D0F54" w:rsidP="005E445B">
            <w:pPr>
              <w:pStyle w:val="AERtabletextleft"/>
              <w:keepNext/>
              <w:cnfStyle w:val="100000000000" w:firstRow="1" w:lastRow="0" w:firstColumn="0" w:lastColumn="0" w:oddVBand="0" w:evenVBand="0" w:oddHBand="0" w:evenHBand="0" w:firstRowFirstColumn="0" w:firstRowLastColumn="0" w:lastRowFirstColumn="0" w:lastRowLastColumn="0"/>
            </w:pPr>
            <w:r w:rsidRPr="006F3C7A">
              <w:t>2017–18</w:t>
            </w:r>
          </w:p>
        </w:tc>
        <w:tc>
          <w:tcPr>
            <w:tcW w:w="1056" w:type="dxa"/>
            <w:noWrap/>
            <w:hideMark/>
          </w:tcPr>
          <w:p w:rsidR="005D0F54" w:rsidRPr="006F3C7A" w:rsidRDefault="005D0F54" w:rsidP="005E445B">
            <w:pPr>
              <w:pStyle w:val="AERtabletextleft"/>
              <w:keepNext/>
              <w:cnfStyle w:val="100000000000" w:firstRow="1" w:lastRow="0" w:firstColumn="0" w:lastColumn="0" w:oddVBand="0" w:evenVBand="0" w:oddHBand="0" w:evenHBand="0" w:firstRowFirstColumn="0" w:firstRowLastColumn="0" w:lastRowFirstColumn="0" w:lastRowLastColumn="0"/>
            </w:pPr>
            <w:r w:rsidRPr="006F3C7A">
              <w:t>2018–19</w:t>
            </w:r>
          </w:p>
        </w:tc>
        <w:tc>
          <w:tcPr>
            <w:tcW w:w="1056" w:type="dxa"/>
            <w:noWrap/>
            <w:hideMark/>
          </w:tcPr>
          <w:p w:rsidR="005D0F54" w:rsidRPr="006F3C7A" w:rsidRDefault="005D0F54" w:rsidP="005E445B">
            <w:pPr>
              <w:pStyle w:val="AERtabletextleft"/>
              <w:keepNext/>
              <w:cnfStyle w:val="100000000000" w:firstRow="1" w:lastRow="0" w:firstColumn="0" w:lastColumn="0" w:oddVBand="0" w:evenVBand="0" w:oddHBand="0" w:evenHBand="0" w:firstRowFirstColumn="0" w:firstRowLastColumn="0" w:lastRowFirstColumn="0" w:lastRowLastColumn="0"/>
            </w:pPr>
            <w:r w:rsidRPr="006F3C7A">
              <w:t>2019–20</w:t>
            </w:r>
          </w:p>
        </w:tc>
        <w:tc>
          <w:tcPr>
            <w:tcW w:w="1057" w:type="dxa"/>
          </w:tcPr>
          <w:p w:rsidR="005D0F54" w:rsidRPr="006F3C7A" w:rsidRDefault="005D0F54" w:rsidP="005E445B">
            <w:pPr>
              <w:pStyle w:val="AERtabletextleft"/>
              <w:keepNext/>
              <w:cnfStyle w:val="100000000000" w:firstRow="1" w:lastRow="0" w:firstColumn="0" w:lastColumn="0" w:oddVBand="0" w:evenVBand="0" w:oddHBand="0" w:evenHBand="0" w:firstRowFirstColumn="0" w:firstRowLastColumn="0" w:lastRowFirstColumn="0" w:lastRowLastColumn="0"/>
            </w:pPr>
            <w:r>
              <w:t>Total</w:t>
            </w:r>
          </w:p>
        </w:tc>
      </w:tr>
      <w:tr w:rsidR="008310C7" w:rsidRPr="0018218B" w:rsidTr="008310C7">
        <w:trPr>
          <w:trHeight w:val="300"/>
        </w:trPr>
        <w:tc>
          <w:tcPr>
            <w:cnfStyle w:val="001000000000" w:firstRow="0" w:lastRow="0" w:firstColumn="1" w:lastColumn="0" w:oddVBand="0" w:evenVBand="0" w:oddHBand="0" w:evenHBand="0" w:firstRowFirstColumn="0" w:firstRowLastColumn="0" w:lastRowFirstColumn="0" w:lastRowLastColumn="0"/>
            <w:tcW w:w="2866" w:type="dxa"/>
            <w:noWrap/>
            <w:hideMark/>
          </w:tcPr>
          <w:p w:rsidR="008310C7" w:rsidRPr="008310C7" w:rsidRDefault="008310C7" w:rsidP="008310C7">
            <w:pPr>
              <w:pStyle w:val="AERtabletextleft"/>
            </w:pPr>
            <w:r w:rsidRPr="008310C7">
              <w:t>Straight-line depreciation</w:t>
            </w:r>
          </w:p>
        </w:tc>
        <w:tc>
          <w:tcPr>
            <w:tcW w:w="1056" w:type="dxa"/>
            <w:noWrap/>
          </w:tcPr>
          <w:p w:rsidR="008310C7" w:rsidRPr="008310C7" w:rsidRDefault="008310C7" w:rsidP="008310C7">
            <w:pPr>
              <w:pStyle w:val="AERtabletextleft"/>
              <w:cnfStyle w:val="000000000000" w:firstRow="0" w:lastRow="0" w:firstColumn="0" w:lastColumn="0" w:oddVBand="0" w:evenVBand="0" w:oddHBand="0" w:evenHBand="0" w:firstRowFirstColumn="0" w:firstRowLastColumn="0" w:lastRowFirstColumn="0" w:lastRowLastColumn="0"/>
            </w:pPr>
            <w:r w:rsidRPr="008310C7">
              <w:t>146.2</w:t>
            </w:r>
          </w:p>
        </w:tc>
        <w:tc>
          <w:tcPr>
            <w:tcW w:w="1056" w:type="dxa"/>
            <w:noWrap/>
          </w:tcPr>
          <w:p w:rsidR="008310C7" w:rsidRPr="008310C7" w:rsidRDefault="008310C7" w:rsidP="008310C7">
            <w:pPr>
              <w:pStyle w:val="AERtabletextleft"/>
              <w:cnfStyle w:val="000000000000" w:firstRow="0" w:lastRow="0" w:firstColumn="0" w:lastColumn="0" w:oddVBand="0" w:evenVBand="0" w:oddHBand="0" w:evenHBand="0" w:firstRowFirstColumn="0" w:firstRowLastColumn="0" w:lastRowFirstColumn="0" w:lastRowLastColumn="0"/>
            </w:pPr>
            <w:r w:rsidRPr="008310C7">
              <w:t>161.4</w:t>
            </w:r>
          </w:p>
        </w:tc>
        <w:tc>
          <w:tcPr>
            <w:tcW w:w="1056" w:type="dxa"/>
            <w:noWrap/>
          </w:tcPr>
          <w:p w:rsidR="008310C7" w:rsidRPr="008310C7" w:rsidRDefault="008310C7" w:rsidP="008310C7">
            <w:pPr>
              <w:pStyle w:val="AERtabletextleft"/>
              <w:cnfStyle w:val="000000000000" w:firstRow="0" w:lastRow="0" w:firstColumn="0" w:lastColumn="0" w:oddVBand="0" w:evenVBand="0" w:oddHBand="0" w:evenHBand="0" w:firstRowFirstColumn="0" w:firstRowLastColumn="0" w:lastRowFirstColumn="0" w:lastRowLastColumn="0"/>
            </w:pPr>
            <w:r w:rsidRPr="008310C7">
              <w:t>177.7</w:t>
            </w:r>
          </w:p>
        </w:tc>
        <w:tc>
          <w:tcPr>
            <w:tcW w:w="1056" w:type="dxa"/>
            <w:noWrap/>
          </w:tcPr>
          <w:p w:rsidR="008310C7" w:rsidRPr="008310C7" w:rsidRDefault="008310C7" w:rsidP="008310C7">
            <w:pPr>
              <w:pStyle w:val="AERtabletextleft"/>
              <w:cnfStyle w:val="000000000000" w:firstRow="0" w:lastRow="0" w:firstColumn="0" w:lastColumn="0" w:oddVBand="0" w:evenVBand="0" w:oddHBand="0" w:evenHBand="0" w:firstRowFirstColumn="0" w:firstRowLastColumn="0" w:lastRowFirstColumn="0" w:lastRowLastColumn="0"/>
            </w:pPr>
            <w:r w:rsidRPr="008310C7">
              <w:t>191.5</w:t>
            </w:r>
          </w:p>
        </w:tc>
        <w:tc>
          <w:tcPr>
            <w:tcW w:w="1056" w:type="dxa"/>
            <w:noWrap/>
          </w:tcPr>
          <w:p w:rsidR="008310C7" w:rsidRPr="008310C7" w:rsidRDefault="008310C7" w:rsidP="008310C7">
            <w:pPr>
              <w:pStyle w:val="AERtabletextleft"/>
              <w:cnfStyle w:val="000000000000" w:firstRow="0" w:lastRow="0" w:firstColumn="0" w:lastColumn="0" w:oddVBand="0" w:evenVBand="0" w:oddHBand="0" w:evenHBand="0" w:firstRowFirstColumn="0" w:firstRowLastColumn="0" w:lastRowFirstColumn="0" w:lastRowLastColumn="0"/>
            </w:pPr>
            <w:r w:rsidRPr="008310C7">
              <w:t>180.2</w:t>
            </w:r>
          </w:p>
        </w:tc>
        <w:tc>
          <w:tcPr>
            <w:tcW w:w="1057" w:type="dxa"/>
          </w:tcPr>
          <w:p w:rsidR="008310C7" w:rsidRPr="008310C7" w:rsidRDefault="008310C7" w:rsidP="008310C7">
            <w:pPr>
              <w:pStyle w:val="AERtabletextleft"/>
              <w:cnfStyle w:val="000000000000" w:firstRow="0" w:lastRow="0" w:firstColumn="0" w:lastColumn="0" w:oddVBand="0" w:evenVBand="0" w:oddHBand="0" w:evenHBand="0" w:firstRowFirstColumn="0" w:firstRowLastColumn="0" w:lastRowFirstColumn="0" w:lastRowLastColumn="0"/>
            </w:pPr>
            <w:r w:rsidRPr="008310C7">
              <w:t xml:space="preserve">857.0 </w:t>
            </w:r>
          </w:p>
        </w:tc>
      </w:tr>
      <w:tr w:rsidR="00B678F9" w:rsidRPr="0018218B" w:rsidTr="00B678F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6" w:type="dxa"/>
            <w:noWrap/>
          </w:tcPr>
          <w:p w:rsidR="00B678F9" w:rsidRPr="00B678F9" w:rsidRDefault="00B678F9" w:rsidP="00B678F9">
            <w:pPr>
              <w:pStyle w:val="AERtabletextleft"/>
            </w:pPr>
            <w:r w:rsidRPr="00F93EDE">
              <w:rPr>
                <w:rStyle w:val="AERtextitalic"/>
              </w:rPr>
              <w:t>Less:</w:t>
            </w:r>
            <w:r w:rsidRPr="00B678F9">
              <w:t xml:space="preserve"> indexation on capital base </w:t>
            </w:r>
          </w:p>
        </w:tc>
        <w:tc>
          <w:tcPr>
            <w:tcW w:w="1056" w:type="dxa"/>
            <w:noWrap/>
          </w:tcPr>
          <w:p w:rsidR="00B678F9" w:rsidRPr="00B678F9" w:rsidRDefault="00B678F9" w:rsidP="008310C7">
            <w:pPr>
              <w:pStyle w:val="AERtabletextleft"/>
              <w:cnfStyle w:val="000000010000" w:firstRow="0" w:lastRow="0" w:firstColumn="0" w:lastColumn="0" w:oddVBand="0" w:evenVBand="0" w:oddHBand="0" w:evenHBand="1" w:firstRowFirstColumn="0" w:firstRowLastColumn="0" w:lastRowFirstColumn="0" w:lastRowLastColumn="0"/>
            </w:pPr>
            <w:r w:rsidRPr="00B678F9">
              <w:t>80.2</w:t>
            </w:r>
          </w:p>
        </w:tc>
        <w:tc>
          <w:tcPr>
            <w:tcW w:w="1056" w:type="dxa"/>
            <w:noWrap/>
          </w:tcPr>
          <w:p w:rsidR="00B678F9" w:rsidRPr="00B678F9" w:rsidRDefault="00B678F9" w:rsidP="008310C7">
            <w:pPr>
              <w:pStyle w:val="AERtabletextleft"/>
              <w:cnfStyle w:val="000000010000" w:firstRow="0" w:lastRow="0" w:firstColumn="0" w:lastColumn="0" w:oddVBand="0" w:evenVBand="0" w:oddHBand="0" w:evenHBand="1" w:firstRowFirstColumn="0" w:firstRowLastColumn="0" w:lastRowFirstColumn="0" w:lastRowLastColumn="0"/>
            </w:pPr>
            <w:r w:rsidRPr="00B678F9">
              <w:t>83.6</w:t>
            </w:r>
          </w:p>
        </w:tc>
        <w:tc>
          <w:tcPr>
            <w:tcW w:w="1056" w:type="dxa"/>
            <w:noWrap/>
          </w:tcPr>
          <w:p w:rsidR="00B678F9" w:rsidRPr="00B678F9" w:rsidRDefault="00B678F9" w:rsidP="008310C7">
            <w:pPr>
              <w:pStyle w:val="AERtabletextleft"/>
              <w:cnfStyle w:val="000000010000" w:firstRow="0" w:lastRow="0" w:firstColumn="0" w:lastColumn="0" w:oddVBand="0" w:evenVBand="0" w:oddHBand="0" w:evenHBand="1" w:firstRowFirstColumn="0" w:firstRowLastColumn="0" w:lastRowFirstColumn="0" w:lastRowLastColumn="0"/>
            </w:pPr>
            <w:r w:rsidRPr="00B678F9">
              <w:t>86.9</w:t>
            </w:r>
          </w:p>
        </w:tc>
        <w:tc>
          <w:tcPr>
            <w:tcW w:w="1056" w:type="dxa"/>
            <w:noWrap/>
          </w:tcPr>
          <w:p w:rsidR="00B678F9" w:rsidRPr="00B678F9" w:rsidRDefault="00B678F9" w:rsidP="008310C7">
            <w:pPr>
              <w:pStyle w:val="AERtabletextleft"/>
              <w:cnfStyle w:val="000000010000" w:firstRow="0" w:lastRow="0" w:firstColumn="0" w:lastColumn="0" w:oddVBand="0" w:evenVBand="0" w:oddHBand="0" w:evenHBand="1" w:firstRowFirstColumn="0" w:firstRowLastColumn="0" w:lastRowFirstColumn="0" w:lastRowLastColumn="0"/>
            </w:pPr>
            <w:r w:rsidRPr="00B678F9">
              <w:t>89.7</w:t>
            </w:r>
          </w:p>
        </w:tc>
        <w:tc>
          <w:tcPr>
            <w:tcW w:w="1056" w:type="dxa"/>
            <w:noWrap/>
          </w:tcPr>
          <w:p w:rsidR="00B678F9" w:rsidRPr="00B678F9" w:rsidRDefault="00B678F9" w:rsidP="008310C7">
            <w:pPr>
              <w:pStyle w:val="AERtabletextleft"/>
              <w:cnfStyle w:val="000000010000" w:firstRow="0" w:lastRow="0" w:firstColumn="0" w:lastColumn="0" w:oddVBand="0" w:evenVBand="0" w:oddHBand="0" w:evenHBand="1" w:firstRowFirstColumn="0" w:firstRowLastColumn="0" w:lastRowFirstColumn="0" w:lastRowLastColumn="0"/>
            </w:pPr>
            <w:r w:rsidRPr="00B678F9">
              <w:t>91.7</w:t>
            </w:r>
          </w:p>
        </w:tc>
        <w:tc>
          <w:tcPr>
            <w:tcW w:w="1057" w:type="dxa"/>
          </w:tcPr>
          <w:p w:rsidR="00B678F9" w:rsidRPr="00B678F9" w:rsidRDefault="00B678F9" w:rsidP="008310C7">
            <w:pPr>
              <w:pStyle w:val="AERtabletextleft"/>
              <w:cnfStyle w:val="000000010000" w:firstRow="0" w:lastRow="0" w:firstColumn="0" w:lastColumn="0" w:oddVBand="0" w:evenVBand="0" w:oddHBand="0" w:evenHBand="1" w:firstRowFirstColumn="0" w:firstRowLastColumn="0" w:lastRowFirstColumn="0" w:lastRowLastColumn="0"/>
            </w:pPr>
            <w:r w:rsidRPr="00B678F9">
              <w:t>432.1</w:t>
            </w:r>
          </w:p>
        </w:tc>
      </w:tr>
      <w:tr w:rsidR="00B678F9" w:rsidRPr="00F93EDE" w:rsidTr="00B678F9">
        <w:trPr>
          <w:trHeight w:val="300"/>
        </w:trPr>
        <w:tc>
          <w:tcPr>
            <w:cnfStyle w:val="001000000000" w:firstRow="0" w:lastRow="0" w:firstColumn="1" w:lastColumn="0" w:oddVBand="0" w:evenVBand="0" w:oddHBand="0" w:evenHBand="0" w:firstRowFirstColumn="0" w:firstRowLastColumn="0" w:lastRowFirstColumn="0" w:lastRowLastColumn="0"/>
            <w:tcW w:w="2866" w:type="dxa"/>
            <w:noWrap/>
          </w:tcPr>
          <w:p w:rsidR="00B678F9" w:rsidRPr="00F93EDE" w:rsidRDefault="00B678F9" w:rsidP="00B678F9">
            <w:pPr>
              <w:pStyle w:val="AERtabletextleft"/>
              <w:rPr>
                <w:rStyle w:val="AERtextbold"/>
              </w:rPr>
            </w:pPr>
            <w:r w:rsidRPr="00F93EDE">
              <w:rPr>
                <w:rStyle w:val="AERtextbold"/>
              </w:rPr>
              <w:t>Regulatory depreciation</w:t>
            </w:r>
          </w:p>
        </w:tc>
        <w:tc>
          <w:tcPr>
            <w:tcW w:w="1056" w:type="dxa"/>
            <w:noWrap/>
          </w:tcPr>
          <w:p w:rsidR="00B678F9" w:rsidRPr="00F93EDE" w:rsidRDefault="00B678F9" w:rsidP="008310C7">
            <w:pPr>
              <w:pStyle w:val="AERtabletextleft"/>
              <w:cnfStyle w:val="000000000000" w:firstRow="0" w:lastRow="0" w:firstColumn="0" w:lastColumn="0" w:oddVBand="0" w:evenVBand="0" w:oddHBand="0" w:evenHBand="0" w:firstRowFirstColumn="0" w:firstRowLastColumn="0" w:lastRowFirstColumn="0" w:lastRowLastColumn="0"/>
              <w:rPr>
                <w:rStyle w:val="AERtextbold"/>
              </w:rPr>
            </w:pPr>
            <w:r w:rsidRPr="00F93EDE">
              <w:rPr>
                <w:rStyle w:val="AERtextbold"/>
              </w:rPr>
              <w:t>66.0</w:t>
            </w:r>
          </w:p>
        </w:tc>
        <w:tc>
          <w:tcPr>
            <w:tcW w:w="1056" w:type="dxa"/>
            <w:noWrap/>
          </w:tcPr>
          <w:p w:rsidR="00B678F9" w:rsidRPr="00F93EDE" w:rsidRDefault="00B678F9" w:rsidP="008310C7">
            <w:pPr>
              <w:pStyle w:val="AERtabletextleft"/>
              <w:cnfStyle w:val="000000000000" w:firstRow="0" w:lastRow="0" w:firstColumn="0" w:lastColumn="0" w:oddVBand="0" w:evenVBand="0" w:oddHBand="0" w:evenHBand="0" w:firstRowFirstColumn="0" w:firstRowLastColumn="0" w:lastRowFirstColumn="0" w:lastRowLastColumn="0"/>
              <w:rPr>
                <w:rStyle w:val="AERtextbold"/>
              </w:rPr>
            </w:pPr>
            <w:r w:rsidRPr="00F93EDE">
              <w:rPr>
                <w:rStyle w:val="AERtextbold"/>
              </w:rPr>
              <w:t>77.8</w:t>
            </w:r>
          </w:p>
        </w:tc>
        <w:tc>
          <w:tcPr>
            <w:tcW w:w="1056" w:type="dxa"/>
            <w:noWrap/>
          </w:tcPr>
          <w:p w:rsidR="00B678F9" w:rsidRPr="00F93EDE" w:rsidRDefault="00B678F9" w:rsidP="008310C7">
            <w:pPr>
              <w:pStyle w:val="AERtabletextleft"/>
              <w:cnfStyle w:val="000000000000" w:firstRow="0" w:lastRow="0" w:firstColumn="0" w:lastColumn="0" w:oddVBand="0" w:evenVBand="0" w:oddHBand="0" w:evenHBand="0" w:firstRowFirstColumn="0" w:firstRowLastColumn="0" w:lastRowFirstColumn="0" w:lastRowLastColumn="0"/>
              <w:rPr>
                <w:rStyle w:val="AERtextbold"/>
              </w:rPr>
            </w:pPr>
            <w:r w:rsidRPr="00F93EDE">
              <w:rPr>
                <w:rStyle w:val="AERtextbold"/>
              </w:rPr>
              <w:t>90.8</w:t>
            </w:r>
          </w:p>
        </w:tc>
        <w:tc>
          <w:tcPr>
            <w:tcW w:w="1056" w:type="dxa"/>
            <w:noWrap/>
          </w:tcPr>
          <w:p w:rsidR="00B678F9" w:rsidRPr="00F93EDE" w:rsidRDefault="00B678F9" w:rsidP="008310C7">
            <w:pPr>
              <w:pStyle w:val="AERtabletextleft"/>
              <w:cnfStyle w:val="000000000000" w:firstRow="0" w:lastRow="0" w:firstColumn="0" w:lastColumn="0" w:oddVBand="0" w:evenVBand="0" w:oddHBand="0" w:evenHBand="0" w:firstRowFirstColumn="0" w:firstRowLastColumn="0" w:lastRowFirstColumn="0" w:lastRowLastColumn="0"/>
              <w:rPr>
                <w:rStyle w:val="AERtextbold"/>
              </w:rPr>
            </w:pPr>
            <w:r w:rsidRPr="00F93EDE">
              <w:rPr>
                <w:rStyle w:val="AERtextbold"/>
              </w:rPr>
              <w:t>101.8</w:t>
            </w:r>
          </w:p>
        </w:tc>
        <w:tc>
          <w:tcPr>
            <w:tcW w:w="1056" w:type="dxa"/>
            <w:noWrap/>
          </w:tcPr>
          <w:p w:rsidR="00B678F9" w:rsidRPr="00F93EDE" w:rsidRDefault="00B678F9" w:rsidP="008310C7">
            <w:pPr>
              <w:pStyle w:val="AERtabletextleft"/>
              <w:cnfStyle w:val="000000000000" w:firstRow="0" w:lastRow="0" w:firstColumn="0" w:lastColumn="0" w:oddVBand="0" w:evenVBand="0" w:oddHBand="0" w:evenHBand="0" w:firstRowFirstColumn="0" w:firstRowLastColumn="0" w:lastRowFirstColumn="0" w:lastRowLastColumn="0"/>
              <w:rPr>
                <w:rStyle w:val="AERtextbold"/>
              </w:rPr>
            </w:pPr>
            <w:r w:rsidRPr="00F93EDE">
              <w:rPr>
                <w:rStyle w:val="AERtextbold"/>
              </w:rPr>
              <w:t>88.5</w:t>
            </w:r>
          </w:p>
        </w:tc>
        <w:tc>
          <w:tcPr>
            <w:tcW w:w="1057" w:type="dxa"/>
          </w:tcPr>
          <w:p w:rsidR="00B678F9" w:rsidRPr="00F93EDE" w:rsidRDefault="00B678F9" w:rsidP="008310C7">
            <w:pPr>
              <w:pStyle w:val="AERtabletextleft"/>
              <w:cnfStyle w:val="000000000000" w:firstRow="0" w:lastRow="0" w:firstColumn="0" w:lastColumn="0" w:oddVBand="0" w:evenVBand="0" w:oddHBand="0" w:evenHBand="0" w:firstRowFirstColumn="0" w:firstRowLastColumn="0" w:lastRowFirstColumn="0" w:lastRowLastColumn="0"/>
              <w:rPr>
                <w:rStyle w:val="AERtextbold"/>
              </w:rPr>
            </w:pPr>
            <w:r w:rsidRPr="00F93EDE">
              <w:rPr>
                <w:rStyle w:val="AERtextbold"/>
              </w:rPr>
              <w:t>424.9</w:t>
            </w:r>
          </w:p>
        </w:tc>
      </w:tr>
    </w:tbl>
    <w:p w:rsidR="005D0F54" w:rsidRPr="00D50BFE" w:rsidRDefault="005D0F54" w:rsidP="005E445B">
      <w:pPr>
        <w:pStyle w:val="AERtablesource"/>
        <w:keepNext/>
      </w:pPr>
      <w:r>
        <w:lastRenderedPageBreak/>
        <w:t xml:space="preserve">Source: </w:t>
      </w:r>
      <w:r>
        <w:tab/>
        <w:t xml:space="preserve">AER analysis </w:t>
      </w:r>
    </w:p>
    <w:p w:rsidR="005D0F54" w:rsidRDefault="005D0F54" w:rsidP="005D0F54">
      <w:pPr>
        <w:pStyle w:val="Heading2"/>
        <w:numPr>
          <w:ilvl w:val="2"/>
          <w:numId w:val="8"/>
        </w:numPr>
      </w:pPr>
      <w:bookmarkStart w:id="13" w:name="_Toc403391028"/>
      <w:bookmarkStart w:id="14" w:name="_Toc403391397"/>
      <w:bookmarkStart w:id="15" w:name="_Toc404352996"/>
      <w:bookmarkStart w:id="16" w:name="_Toc388623111"/>
      <w:r>
        <w:t>JGN's proposal</w:t>
      </w:r>
      <w:bookmarkEnd w:id="13"/>
      <w:bookmarkEnd w:id="14"/>
      <w:bookmarkEnd w:id="15"/>
    </w:p>
    <w:p w:rsidR="005D0F54" w:rsidRPr="00CA36EA" w:rsidRDefault="005D0F54" w:rsidP="005D0F54">
      <w:pPr>
        <w:pStyle w:val="AERbodytext"/>
      </w:pPr>
      <w:r w:rsidRPr="00CA36EA">
        <w:t>J</w:t>
      </w:r>
      <w:r>
        <w:t>GN proposed</w:t>
      </w:r>
      <w:r w:rsidRPr="00CA36EA">
        <w:t xml:space="preserve"> to determine the annual amount of regulatory depreciation for e</w:t>
      </w:r>
      <w:r>
        <w:t xml:space="preserve">ach asset class by applying the </w:t>
      </w:r>
      <w:r w:rsidRPr="00CA36EA">
        <w:t>real straight</w:t>
      </w:r>
      <w:r>
        <w:t>-</w:t>
      </w:r>
      <w:r w:rsidRPr="00CA36EA">
        <w:t>line depreciation method to the opening value of each asset class for each regulato</w:t>
      </w:r>
      <w:r>
        <w:t xml:space="preserve">ry </w:t>
      </w:r>
      <w:r w:rsidRPr="00CA36EA">
        <w:t>year. Real straight-line depreciation (as distinct from historical cost straight</w:t>
      </w:r>
      <w:r>
        <w:t xml:space="preserve"> </w:t>
      </w:r>
      <w:r w:rsidRPr="00CA36EA">
        <w:t>li</w:t>
      </w:r>
      <w:r>
        <w:t xml:space="preserve">ne) involves deducting the same </w:t>
      </w:r>
      <w:r w:rsidRPr="00CA36EA">
        <w:t>real amount of depreciation in each year of an asset’s life. This is consistent with:</w:t>
      </w:r>
    </w:p>
    <w:p w:rsidR="005D0F54" w:rsidRPr="00CA36EA" w:rsidRDefault="005D0F54" w:rsidP="005D0F54">
      <w:pPr>
        <w:pStyle w:val="AERbulletlistfirststyle"/>
      </w:pPr>
      <w:r w:rsidRPr="00CA36EA">
        <w:t>J</w:t>
      </w:r>
      <w:r>
        <w:t>GN's</w:t>
      </w:r>
      <w:r w:rsidRPr="00CA36EA">
        <w:t xml:space="preserve"> </w:t>
      </w:r>
      <w:r>
        <w:t>proposal</w:t>
      </w:r>
      <w:r w:rsidRPr="00CA36EA">
        <w:t xml:space="preserve"> to account for inflation by indexing the capital base</w:t>
      </w:r>
    </w:p>
    <w:p w:rsidR="005D0F54" w:rsidRPr="00CA36EA" w:rsidRDefault="005D0F54" w:rsidP="005D0F54">
      <w:pPr>
        <w:pStyle w:val="AERbulletlistfirststyle"/>
      </w:pPr>
      <w:r w:rsidRPr="00CA36EA">
        <w:t>the method contained in the AER’s published post tax revenue</w:t>
      </w:r>
      <w:r>
        <w:t xml:space="preserve"> model for electricity networks</w:t>
      </w:r>
      <w:r w:rsidRPr="00CA36EA">
        <w:t>.</w:t>
      </w:r>
    </w:p>
    <w:p w:rsidR="005D0F54" w:rsidRPr="00CA36EA" w:rsidRDefault="005D0F54" w:rsidP="005D0F54">
      <w:pPr>
        <w:pStyle w:val="AERbodytext"/>
      </w:pPr>
      <w:r w:rsidRPr="00CA36EA">
        <w:t>J</w:t>
      </w:r>
      <w:r>
        <w:t>GN</w:t>
      </w:r>
      <w:r w:rsidRPr="00CA36EA">
        <w:t xml:space="preserve">’s proposed depreciation for </w:t>
      </w:r>
      <w:r>
        <w:t>the</w:t>
      </w:r>
      <w:r w:rsidRPr="00CA36EA">
        <w:t xml:space="preserve"> 2015–20 access arrangement period is set out in</w:t>
      </w:r>
      <w:r>
        <w:t xml:space="preserve"> </w:t>
      </w:r>
      <w:r>
        <w:fldChar w:fldCharType="begin"/>
      </w:r>
      <w:r>
        <w:instrText xml:space="preserve"> REF  _Ref398892142 \* Lower \h </w:instrText>
      </w:r>
      <w:r>
        <w:fldChar w:fldCharType="separate"/>
      </w:r>
      <w:r w:rsidR="00A85385">
        <w:t xml:space="preserve">table </w:t>
      </w:r>
      <w:r w:rsidR="00A85385">
        <w:rPr>
          <w:noProof/>
        </w:rPr>
        <w:t>5</w:t>
      </w:r>
      <w:r w:rsidR="00A85385">
        <w:noBreakHyphen/>
      </w:r>
      <w:r w:rsidR="00A85385">
        <w:rPr>
          <w:noProof/>
        </w:rPr>
        <w:t>2</w:t>
      </w:r>
      <w:r>
        <w:fldChar w:fldCharType="end"/>
      </w:r>
      <w:r>
        <w:t>.</w:t>
      </w:r>
    </w:p>
    <w:p w:rsidR="005D0F54" w:rsidRPr="00F56E79" w:rsidRDefault="005D0F54" w:rsidP="005D0F54">
      <w:pPr>
        <w:pStyle w:val="Caption"/>
      </w:pPr>
      <w:bookmarkStart w:id="17" w:name="_Ref398892142"/>
      <w:r>
        <w:t xml:space="preserve">Table </w:t>
      </w:r>
      <w:r w:rsidR="0027004F">
        <w:fldChar w:fldCharType="begin"/>
      </w:r>
      <w:r w:rsidR="0027004F">
        <w:instrText xml:space="preserve"> S</w:instrText>
      </w:r>
      <w:r w:rsidR="0027004F">
        <w:instrText xml:space="preserve">TYLEREF 1 \s </w:instrText>
      </w:r>
      <w:r w:rsidR="0027004F">
        <w:fldChar w:fldCharType="separate"/>
      </w:r>
      <w:r w:rsidR="00A85385">
        <w:rPr>
          <w:noProof/>
        </w:rPr>
        <w:t>5</w:t>
      </w:r>
      <w:r w:rsidR="0027004F">
        <w:rPr>
          <w:noProof/>
        </w:rPr>
        <w:fldChar w:fldCharType="end"/>
      </w:r>
      <w:r>
        <w:noBreakHyphen/>
      </w:r>
      <w:r w:rsidR="0027004F">
        <w:fldChar w:fldCharType="begin"/>
      </w:r>
      <w:r w:rsidR="0027004F">
        <w:instrText xml:space="preserve"> SEQ Table \* ARABIC \s 1 </w:instrText>
      </w:r>
      <w:r w:rsidR="0027004F">
        <w:fldChar w:fldCharType="separate"/>
      </w:r>
      <w:r w:rsidR="00A85385">
        <w:rPr>
          <w:noProof/>
        </w:rPr>
        <w:t>2</w:t>
      </w:r>
      <w:r w:rsidR="0027004F">
        <w:rPr>
          <w:noProof/>
        </w:rPr>
        <w:fldChar w:fldCharType="end"/>
      </w:r>
      <w:bookmarkEnd w:id="17"/>
      <w:r>
        <w:tab/>
      </w:r>
      <w:r w:rsidRPr="00F56E79">
        <w:t xml:space="preserve">JGN's proposed </w:t>
      </w:r>
      <w:r>
        <w:t xml:space="preserve">regulatory </w:t>
      </w:r>
      <w:r w:rsidRPr="00F56E79">
        <w:t xml:space="preserve">depreciation for </w:t>
      </w:r>
      <w:r>
        <w:t xml:space="preserve">the </w:t>
      </w:r>
      <w:r w:rsidRPr="00F56E79">
        <w:t>2010–15 access arrangement period ($million, nominal)</w:t>
      </w:r>
    </w:p>
    <w:tbl>
      <w:tblPr>
        <w:tblStyle w:val="AERtable-numbers"/>
        <w:tblW w:w="9180" w:type="dxa"/>
        <w:tblLayout w:type="fixed"/>
        <w:tblLook w:val="04A0" w:firstRow="1" w:lastRow="0" w:firstColumn="1" w:lastColumn="0" w:noHBand="0" w:noVBand="1"/>
      </w:tblPr>
      <w:tblGrid>
        <w:gridCol w:w="2866"/>
        <w:gridCol w:w="1052"/>
        <w:gridCol w:w="1052"/>
        <w:gridCol w:w="1053"/>
        <w:gridCol w:w="1052"/>
        <w:gridCol w:w="1052"/>
        <w:gridCol w:w="1053"/>
      </w:tblGrid>
      <w:tr w:rsidR="005D0F54" w:rsidRPr="0018218B" w:rsidTr="002C11A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6" w:type="dxa"/>
            <w:noWrap/>
            <w:hideMark/>
          </w:tcPr>
          <w:p w:rsidR="005D0F54" w:rsidRPr="00F56E79" w:rsidRDefault="005D0F54" w:rsidP="002C11A3">
            <w:pPr>
              <w:pStyle w:val="AERtabletextleft"/>
            </w:pPr>
          </w:p>
        </w:tc>
        <w:tc>
          <w:tcPr>
            <w:tcW w:w="1052" w:type="dxa"/>
            <w:noWrap/>
            <w:hideMark/>
          </w:tcPr>
          <w:p w:rsidR="005D0F54" w:rsidRPr="00F56E79" w:rsidRDefault="005D0F54" w:rsidP="002C11A3">
            <w:pPr>
              <w:pStyle w:val="AERtabletextleft"/>
              <w:cnfStyle w:val="100000000000" w:firstRow="1" w:lastRow="0" w:firstColumn="0" w:lastColumn="0" w:oddVBand="0" w:evenVBand="0" w:oddHBand="0" w:evenHBand="0" w:firstRowFirstColumn="0" w:firstRowLastColumn="0" w:lastRowFirstColumn="0" w:lastRowLastColumn="0"/>
            </w:pPr>
            <w:r w:rsidRPr="00F56E79">
              <w:t>2015–16</w:t>
            </w:r>
          </w:p>
        </w:tc>
        <w:tc>
          <w:tcPr>
            <w:tcW w:w="1052" w:type="dxa"/>
            <w:noWrap/>
            <w:hideMark/>
          </w:tcPr>
          <w:p w:rsidR="005D0F54" w:rsidRPr="00F56E79" w:rsidRDefault="005D0F54" w:rsidP="002C11A3">
            <w:pPr>
              <w:pStyle w:val="AERtabletextleft"/>
              <w:cnfStyle w:val="100000000000" w:firstRow="1" w:lastRow="0" w:firstColumn="0" w:lastColumn="0" w:oddVBand="0" w:evenVBand="0" w:oddHBand="0" w:evenHBand="0" w:firstRowFirstColumn="0" w:firstRowLastColumn="0" w:lastRowFirstColumn="0" w:lastRowLastColumn="0"/>
            </w:pPr>
            <w:r w:rsidRPr="00F56E79">
              <w:t>2016–17</w:t>
            </w:r>
          </w:p>
        </w:tc>
        <w:tc>
          <w:tcPr>
            <w:tcW w:w="1053" w:type="dxa"/>
            <w:noWrap/>
            <w:hideMark/>
          </w:tcPr>
          <w:p w:rsidR="005D0F54" w:rsidRPr="00F56E79" w:rsidRDefault="005D0F54" w:rsidP="002C11A3">
            <w:pPr>
              <w:pStyle w:val="AERtabletextleft"/>
              <w:cnfStyle w:val="100000000000" w:firstRow="1" w:lastRow="0" w:firstColumn="0" w:lastColumn="0" w:oddVBand="0" w:evenVBand="0" w:oddHBand="0" w:evenHBand="0" w:firstRowFirstColumn="0" w:firstRowLastColumn="0" w:lastRowFirstColumn="0" w:lastRowLastColumn="0"/>
            </w:pPr>
            <w:r w:rsidRPr="00F56E79">
              <w:t>2017–18</w:t>
            </w:r>
          </w:p>
        </w:tc>
        <w:tc>
          <w:tcPr>
            <w:tcW w:w="1052" w:type="dxa"/>
            <w:noWrap/>
            <w:hideMark/>
          </w:tcPr>
          <w:p w:rsidR="005D0F54" w:rsidRPr="00F56E79" w:rsidRDefault="005D0F54" w:rsidP="002C11A3">
            <w:pPr>
              <w:pStyle w:val="AERtabletextleft"/>
              <w:cnfStyle w:val="100000000000" w:firstRow="1" w:lastRow="0" w:firstColumn="0" w:lastColumn="0" w:oddVBand="0" w:evenVBand="0" w:oddHBand="0" w:evenHBand="0" w:firstRowFirstColumn="0" w:firstRowLastColumn="0" w:lastRowFirstColumn="0" w:lastRowLastColumn="0"/>
            </w:pPr>
            <w:r w:rsidRPr="00F56E79">
              <w:t>2018–19</w:t>
            </w:r>
          </w:p>
        </w:tc>
        <w:tc>
          <w:tcPr>
            <w:tcW w:w="1052" w:type="dxa"/>
            <w:noWrap/>
            <w:hideMark/>
          </w:tcPr>
          <w:p w:rsidR="005D0F54" w:rsidRPr="00F56E79" w:rsidRDefault="005D0F54" w:rsidP="002C11A3">
            <w:pPr>
              <w:pStyle w:val="AERtabletextleft"/>
              <w:cnfStyle w:val="100000000000" w:firstRow="1" w:lastRow="0" w:firstColumn="0" w:lastColumn="0" w:oddVBand="0" w:evenVBand="0" w:oddHBand="0" w:evenHBand="0" w:firstRowFirstColumn="0" w:firstRowLastColumn="0" w:lastRowFirstColumn="0" w:lastRowLastColumn="0"/>
            </w:pPr>
            <w:r w:rsidRPr="00F56E79">
              <w:t>2019–20</w:t>
            </w:r>
          </w:p>
        </w:tc>
        <w:tc>
          <w:tcPr>
            <w:tcW w:w="1053" w:type="dxa"/>
          </w:tcPr>
          <w:p w:rsidR="005D0F54" w:rsidRPr="00F56E79" w:rsidRDefault="005D0F54" w:rsidP="002C11A3">
            <w:pPr>
              <w:pStyle w:val="AERtabletextleft"/>
              <w:cnfStyle w:val="100000000000" w:firstRow="1" w:lastRow="0" w:firstColumn="0" w:lastColumn="0" w:oddVBand="0" w:evenVBand="0" w:oddHBand="0" w:evenHBand="0" w:firstRowFirstColumn="0" w:firstRowLastColumn="0" w:lastRowFirstColumn="0" w:lastRowLastColumn="0"/>
            </w:pPr>
            <w:r>
              <w:t>Total</w:t>
            </w:r>
          </w:p>
        </w:tc>
      </w:tr>
      <w:tr w:rsidR="005D0F54" w:rsidRPr="0018218B" w:rsidTr="002C11A3">
        <w:trPr>
          <w:trHeight w:val="300"/>
        </w:trPr>
        <w:tc>
          <w:tcPr>
            <w:cnfStyle w:val="001000000000" w:firstRow="0" w:lastRow="0" w:firstColumn="1" w:lastColumn="0" w:oddVBand="0" w:evenVBand="0" w:oddHBand="0" w:evenHBand="0" w:firstRowFirstColumn="0" w:firstRowLastColumn="0" w:lastRowFirstColumn="0" w:lastRowLastColumn="0"/>
            <w:tcW w:w="2866" w:type="dxa"/>
            <w:noWrap/>
          </w:tcPr>
          <w:p w:rsidR="005D0F54" w:rsidRPr="009B77C6" w:rsidRDefault="005D0F54" w:rsidP="002C11A3">
            <w:pPr>
              <w:pStyle w:val="AERtabletextleft"/>
            </w:pPr>
            <w:r w:rsidRPr="009B77C6">
              <w:t>Straight-line depreciation</w:t>
            </w:r>
          </w:p>
        </w:tc>
        <w:tc>
          <w:tcPr>
            <w:tcW w:w="1052" w:type="dxa"/>
            <w:noWrap/>
          </w:tcPr>
          <w:p w:rsidR="005D0F54" w:rsidRPr="009B77C6" w:rsidRDefault="005D0F54" w:rsidP="008310C7">
            <w:pPr>
              <w:pStyle w:val="AERtabletextleft"/>
              <w:cnfStyle w:val="000000000000" w:firstRow="0" w:lastRow="0" w:firstColumn="0" w:lastColumn="0" w:oddVBand="0" w:evenVBand="0" w:oddHBand="0" w:evenHBand="0" w:firstRowFirstColumn="0" w:firstRowLastColumn="0" w:lastRowFirstColumn="0" w:lastRowLastColumn="0"/>
            </w:pPr>
            <w:r w:rsidRPr="009B77C6">
              <w:t>147.7</w:t>
            </w:r>
          </w:p>
        </w:tc>
        <w:tc>
          <w:tcPr>
            <w:tcW w:w="1052" w:type="dxa"/>
            <w:noWrap/>
          </w:tcPr>
          <w:p w:rsidR="005D0F54" w:rsidRPr="009B77C6" w:rsidRDefault="005D0F54" w:rsidP="008310C7">
            <w:pPr>
              <w:pStyle w:val="AERtabletextleft"/>
              <w:cnfStyle w:val="000000000000" w:firstRow="0" w:lastRow="0" w:firstColumn="0" w:lastColumn="0" w:oddVBand="0" w:evenVBand="0" w:oddHBand="0" w:evenHBand="0" w:firstRowFirstColumn="0" w:firstRowLastColumn="0" w:lastRowFirstColumn="0" w:lastRowLastColumn="0"/>
            </w:pPr>
            <w:r w:rsidRPr="009B77C6">
              <w:t>164.5</w:t>
            </w:r>
          </w:p>
        </w:tc>
        <w:tc>
          <w:tcPr>
            <w:tcW w:w="1053" w:type="dxa"/>
            <w:noWrap/>
          </w:tcPr>
          <w:p w:rsidR="005D0F54" w:rsidRPr="009B77C6" w:rsidRDefault="005D0F54" w:rsidP="008310C7">
            <w:pPr>
              <w:pStyle w:val="AERtabletextleft"/>
              <w:cnfStyle w:val="000000000000" w:firstRow="0" w:lastRow="0" w:firstColumn="0" w:lastColumn="0" w:oddVBand="0" w:evenVBand="0" w:oddHBand="0" w:evenHBand="0" w:firstRowFirstColumn="0" w:firstRowLastColumn="0" w:lastRowFirstColumn="0" w:lastRowLastColumn="0"/>
            </w:pPr>
            <w:r w:rsidRPr="009B77C6">
              <w:t>182.7</w:t>
            </w:r>
          </w:p>
        </w:tc>
        <w:tc>
          <w:tcPr>
            <w:tcW w:w="1052" w:type="dxa"/>
            <w:noWrap/>
          </w:tcPr>
          <w:p w:rsidR="005D0F54" w:rsidRPr="009B77C6" w:rsidRDefault="005D0F54" w:rsidP="008310C7">
            <w:pPr>
              <w:pStyle w:val="AERtabletextleft"/>
              <w:cnfStyle w:val="000000000000" w:firstRow="0" w:lastRow="0" w:firstColumn="0" w:lastColumn="0" w:oddVBand="0" w:evenVBand="0" w:oddHBand="0" w:evenHBand="0" w:firstRowFirstColumn="0" w:firstRowLastColumn="0" w:lastRowFirstColumn="0" w:lastRowLastColumn="0"/>
            </w:pPr>
            <w:r w:rsidRPr="009B77C6">
              <w:t>197.7</w:t>
            </w:r>
          </w:p>
        </w:tc>
        <w:tc>
          <w:tcPr>
            <w:tcW w:w="1052" w:type="dxa"/>
            <w:noWrap/>
          </w:tcPr>
          <w:p w:rsidR="005D0F54" w:rsidRPr="009B77C6" w:rsidRDefault="005D0F54" w:rsidP="008310C7">
            <w:pPr>
              <w:pStyle w:val="AERtabletextleft"/>
              <w:cnfStyle w:val="000000000000" w:firstRow="0" w:lastRow="0" w:firstColumn="0" w:lastColumn="0" w:oddVBand="0" w:evenVBand="0" w:oddHBand="0" w:evenHBand="0" w:firstRowFirstColumn="0" w:firstRowLastColumn="0" w:lastRowFirstColumn="0" w:lastRowLastColumn="0"/>
            </w:pPr>
            <w:r w:rsidRPr="009B77C6">
              <w:t>189.</w:t>
            </w:r>
            <w:r w:rsidR="008310C7">
              <w:t>3</w:t>
            </w:r>
          </w:p>
        </w:tc>
        <w:tc>
          <w:tcPr>
            <w:tcW w:w="1053" w:type="dxa"/>
          </w:tcPr>
          <w:p w:rsidR="005D0F54" w:rsidRPr="009B77C6" w:rsidRDefault="005D0F54" w:rsidP="008310C7">
            <w:pPr>
              <w:pStyle w:val="AERtabletextleft"/>
              <w:cnfStyle w:val="000000000000" w:firstRow="0" w:lastRow="0" w:firstColumn="0" w:lastColumn="0" w:oddVBand="0" w:evenVBand="0" w:oddHBand="0" w:evenHBand="0" w:firstRowFirstColumn="0" w:firstRowLastColumn="0" w:lastRowFirstColumn="0" w:lastRowLastColumn="0"/>
            </w:pPr>
            <w:r w:rsidRPr="009B77C6">
              <w:t>88</w:t>
            </w:r>
            <w:r w:rsidR="008310C7">
              <w:t>2</w:t>
            </w:r>
            <w:r w:rsidRPr="009B77C6">
              <w:t>.</w:t>
            </w:r>
            <w:r w:rsidR="008310C7">
              <w:t>0</w:t>
            </w:r>
          </w:p>
        </w:tc>
      </w:tr>
      <w:tr w:rsidR="005D0F54" w:rsidRPr="0018218B" w:rsidTr="002C11A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6" w:type="dxa"/>
            <w:noWrap/>
          </w:tcPr>
          <w:p w:rsidR="005D0F54" w:rsidRPr="009B77C6" w:rsidRDefault="005D0F54" w:rsidP="002C11A3">
            <w:pPr>
              <w:pStyle w:val="AERtabletextleft"/>
            </w:pPr>
            <w:r w:rsidRPr="00F93EDE">
              <w:rPr>
                <w:rStyle w:val="AERtextitalic"/>
              </w:rPr>
              <w:t>Less:</w:t>
            </w:r>
            <w:r w:rsidRPr="009B77C6">
              <w:t xml:space="preserve"> indexation on opening capital base and capex at the first half of the regulatory year</w:t>
            </w:r>
          </w:p>
        </w:tc>
        <w:tc>
          <w:tcPr>
            <w:tcW w:w="1052" w:type="dxa"/>
            <w:noWrap/>
          </w:tcPr>
          <w:p w:rsidR="005D0F54" w:rsidRPr="009B77C6" w:rsidRDefault="005D0F54" w:rsidP="008310C7">
            <w:pPr>
              <w:pStyle w:val="AERtabletextleft"/>
              <w:cnfStyle w:val="000000010000" w:firstRow="0" w:lastRow="0" w:firstColumn="0" w:lastColumn="0" w:oddVBand="0" w:evenVBand="0" w:oddHBand="0" w:evenHBand="1" w:firstRowFirstColumn="0" w:firstRowLastColumn="0" w:lastRowFirstColumn="0" w:lastRowLastColumn="0"/>
            </w:pPr>
            <w:r w:rsidRPr="009B77C6">
              <w:t>80.5</w:t>
            </w:r>
          </w:p>
        </w:tc>
        <w:tc>
          <w:tcPr>
            <w:tcW w:w="1052" w:type="dxa"/>
            <w:noWrap/>
          </w:tcPr>
          <w:p w:rsidR="005D0F54" w:rsidRPr="009B77C6" w:rsidRDefault="005D0F54" w:rsidP="008310C7">
            <w:pPr>
              <w:pStyle w:val="AERtabletextleft"/>
              <w:cnfStyle w:val="000000010000" w:firstRow="0" w:lastRow="0" w:firstColumn="0" w:lastColumn="0" w:oddVBand="0" w:evenVBand="0" w:oddHBand="0" w:evenHBand="1" w:firstRowFirstColumn="0" w:firstRowLastColumn="0" w:lastRowFirstColumn="0" w:lastRowLastColumn="0"/>
            </w:pPr>
            <w:r w:rsidRPr="009B77C6">
              <w:t>84.</w:t>
            </w:r>
            <w:r w:rsidR="008310C7">
              <w:t>9</w:t>
            </w:r>
          </w:p>
        </w:tc>
        <w:tc>
          <w:tcPr>
            <w:tcW w:w="1053" w:type="dxa"/>
            <w:noWrap/>
          </w:tcPr>
          <w:p w:rsidR="005D0F54" w:rsidRPr="009B77C6" w:rsidRDefault="005D0F54" w:rsidP="008310C7">
            <w:pPr>
              <w:pStyle w:val="AERtabletextleft"/>
              <w:cnfStyle w:val="000000010000" w:firstRow="0" w:lastRow="0" w:firstColumn="0" w:lastColumn="0" w:oddVBand="0" w:evenVBand="0" w:oddHBand="0" w:evenHBand="1" w:firstRowFirstColumn="0" w:firstRowLastColumn="0" w:lastRowFirstColumn="0" w:lastRowLastColumn="0"/>
            </w:pPr>
            <w:r w:rsidRPr="009B77C6">
              <w:t>89.2</w:t>
            </w:r>
          </w:p>
        </w:tc>
        <w:tc>
          <w:tcPr>
            <w:tcW w:w="1052" w:type="dxa"/>
            <w:noWrap/>
          </w:tcPr>
          <w:p w:rsidR="005D0F54" w:rsidRPr="009B77C6" w:rsidRDefault="005D0F54" w:rsidP="00251A46">
            <w:pPr>
              <w:pStyle w:val="AERtabletextleft"/>
              <w:cnfStyle w:val="000000010000" w:firstRow="0" w:lastRow="0" w:firstColumn="0" w:lastColumn="0" w:oddVBand="0" w:evenVBand="0" w:oddHBand="0" w:evenHBand="1" w:firstRowFirstColumn="0" w:firstRowLastColumn="0" w:lastRowFirstColumn="0" w:lastRowLastColumn="0"/>
            </w:pPr>
            <w:r w:rsidRPr="009B77C6">
              <w:t>93.</w:t>
            </w:r>
            <w:r w:rsidR="00251A46">
              <w:t>3</w:t>
            </w:r>
          </w:p>
        </w:tc>
        <w:tc>
          <w:tcPr>
            <w:tcW w:w="1052" w:type="dxa"/>
            <w:noWrap/>
          </w:tcPr>
          <w:p w:rsidR="005D0F54" w:rsidRPr="009B77C6" w:rsidRDefault="005D0F54" w:rsidP="00251A46">
            <w:pPr>
              <w:pStyle w:val="AERtabletextleft"/>
              <w:cnfStyle w:val="000000010000" w:firstRow="0" w:lastRow="0" w:firstColumn="0" w:lastColumn="0" w:oddVBand="0" w:evenVBand="0" w:oddHBand="0" w:evenHBand="1" w:firstRowFirstColumn="0" w:firstRowLastColumn="0" w:lastRowFirstColumn="0" w:lastRowLastColumn="0"/>
            </w:pPr>
            <w:r w:rsidRPr="009B77C6">
              <w:t>96.5</w:t>
            </w:r>
          </w:p>
        </w:tc>
        <w:tc>
          <w:tcPr>
            <w:tcW w:w="1053" w:type="dxa"/>
          </w:tcPr>
          <w:p w:rsidR="005D0F54" w:rsidRPr="009B77C6" w:rsidRDefault="005D0F54" w:rsidP="00251A46">
            <w:pPr>
              <w:pStyle w:val="AERtabletextleft"/>
              <w:cnfStyle w:val="000000010000" w:firstRow="0" w:lastRow="0" w:firstColumn="0" w:lastColumn="0" w:oddVBand="0" w:evenVBand="0" w:oddHBand="0" w:evenHBand="1" w:firstRowFirstColumn="0" w:firstRowLastColumn="0" w:lastRowFirstColumn="0" w:lastRowLastColumn="0"/>
            </w:pPr>
            <w:r w:rsidRPr="009B77C6">
              <w:t>444.</w:t>
            </w:r>
            <w:r w:rsidR="00251A46">
              <w:t>5</w:t>
            </w:r>
          </w:p>
        </w:tc>
      </w:tr>
      <w:tr w:rsidR="005D0F54" w:rsidRPr="00F93EDE" w:rsidTr="002C11A3">
        <w:trPr>
          <w:trHeight w:val="300"/>
        </w:trPr>
        <w:tc>
          <w:tcPr>
            <w:cnfStyle w:val="001000000000" w:firstRow="0" w:lastRow="0" w:firstColumn="1" w:lastColumn="0" w:oddVBand="0" w:evenVBand="0" w:oddHBand="0" w:evenHBand="0" w:firstRowFirstColumn="0" w:firstRowLastColumn="0" w:lastRowFirstColumn="0" w:lastRowLastColumn="0"/>
            <w:tcW w:w="2866" w:type="dxa"/>
            <w:noWrap/>
          </w:tcPr>
          <w:p w:rsidR="005D0F54" w:rsidRPr="00F93EDE" w:rsidRDefault="005D0F54" w:rsidP="002C11A3">
            <w:pPr>
              <w:pStyle w:val="AERtabletextleft"/>
              <w:rPr>
                <w:rStyle w:val="AERtextbold"/>
              </w:rPr>
            </w:pPr>
            <w:r w:rsidRPr="00F93EDE">
              <w:rPr>
                <w:rStyle w:val="AERtextbold"/>
              </w:rPr>
              <w:t>Regulatory depreciation</w:t>
            </w:r>
          </w:p>
        </w:tc>
        <w:tc>
          <w:tcPr>
            <w:tcW w:w="1052" w:type="dxa"/>
            <w:noWrap/>
          </w:tcPr>
          <w:p w:rsidR="005D0F54" w:rsidRPr="00F93EDE" w:rsidRDefault="005D0F54" w:rsidP="00251A46">
            <w:pPr>
              <w:pStyle w:val="AERtabletextleft"/>
              <w:cnfStyle w:val="000000000000" w:firstRow="0" w:lastRow="0" w:firstColumn="0" w:lastColumn="0" w:oddVBand="0" w:evenVBand="0" w:oddHBand="0" w:evenHBand="0" w:firstRowFirstColumn="0" w:firstRowLastColumn="0" w:lastRowFirstColumn="0" w:lastRowLastColumn="0"/>
              <w:rPr>
                <w:rStyle w:val="AERtextbold"/>
              </w:rPr>
            </w:pPr>
            <w:r w:rsidRPr="00F93EDE">
              <w:rPr>
                <w:rStyle w:val="AERtextbold"/>
              </w:rPr>
              <w:t>67.2</w:t>
            </w:r>
          </w:p>
        </w:tc>
        <w:tc>
          <w:tcPr>
            <w:tcW w:w="1052" w:type="dxa"/>
            <w:noWrap/>
          </w:tcPr>
          <w:p w:rsidR="005D0F54" w:rsidRPr="00F93EDE" w:rsidRDefault="005D0F54" w:rsidP="00251A46">
            <w:pPr>
              <w:pStyle w:val="AERtabletextleft"/>
              <w:cnfStyle w:val="000000000000" w:firstRow="0" w:lastRow="0" w:firstColumn="0" w:lastColumn="0" w:oddVBand="0" w:evenVBand="0" w:oddHBand="0" w:evenHBand="0" w:firstRowFirstColumn="0" w:firstRowLastColumn="0" w:lastRowFirstColumn="0" w:lastRowLastColumn="0"/>
              <w:rPr>
                <w:rStyle w:val="AERtextbold"/>
              </w:rPr>
            </w:pPr>
            <w:r w:rsidRPr="00F93EDE">
              <w:rPr>
                <w:rStyle w:val="AERtextbold"/>
              </w:rPr>
              <w:t>79.6</w:t>
            </w:r>
          </w:p>
        </w:tc>
        <w:tc>
          <w:tcPr>
            <w:tcW w:w="1053" w:type="dxa"/>
            <w:noWrap/>
          </w:tcPr>
          <w:p w:rsidR="005D0F54" w:rsidRPr="00F93EDE" w:rsidRDefault="005D0F54" w:rsidP="00251A46">
            <w:pPr>
              <w:pStyle w:val="AERtabletextleft"/>
              <w:cnfStyle w:val="000000000000" w:firstRow="0" w:lastRow="0" w:firstColumn="0" w:lastColumn="0" w:oddVBand="0" w:evenVBand="0" w:oddHBand="0" w:evenHBand="0" w:firstRowFirstColumn="0" w:firstRowLastColumn="0" w:lastRowFirstColumn="0" w:lastRowLastColumn="0"/>
              <w:rPr>
                <w:rStyle w:val="AERtextbold"/>
              </w:rPr>
            </w:pPr>
            <w:r w:rsidRPr="00F93EDE">
              <w:rPr>
                <w:rStyle w:val="AERtextbold"/>
              </w:rPr>
              <w:t>93.</w:t>
            </w:r>
            <w:r w:rsidR="00251A46" w:rsidRPr="00F93EDE">
              <w:rPr>
                <w:rStyle w:val="AERtextbold"/>
              </w:rPr>
              <w:t>5</w:t>
            </w:r>
          </w:p>
        </w:tc>
        <w:tc>
          <w:tcPr>
            <w:tcW w:w="1052" w:type="dxa"/>
            <w:noWrap/>
          </w:tcPr>
          <w:p w:rsidR="005D0F54" w:rsidRPr="00F93EDE" w:rsidRDefault="005D0F54" w:rsidP="00251A46">
            <w:pPr>
              <w:pStyle w:val="AERtabletextleft"/>
              <w:cnfStyle w:val="000000000000" w:firstRow="0" w:lastRow="0" w:firstColumn="0" w:lastColumn="0" w:oddVBand="0" w:evenVBand="0" w:oddHBand="0" w:evenHBand="0" w:firstRowFirstColumn="0" w:firstRowLastColumn="0" w:lastRowFirstColumn="0" w:lastRowLastColumn="0"/>
              <w:rPr>
                <w:rStyle w:val="AERtextbold"/>
              </w:rPr>
            </w:pPr>
            <w:r w:rsidRPr="00F93EDE">
              <w:rPr>
                <w:rStyle w:val="AERtextbold"/>
              </w:rPr>
              <w:t>104.</w:t>
            </w:r>
            <w:r w:rsidR="00251A46" w:rsidRPr="00F93EDE">
              <w:rPr>
                <w:rStyle w:val="AERtextbold"/>
              </w:rPr>
              <w:t>5</w:t>
            </w:r>
          </w:p>
        </w:tc>
        <w:tc>
          <w:tcPr>
            <w:tcW w:w="1052" w:type="dxa"/>
            <w:noWrap/>
          </w:tcPr>
          <w:p w:rsidR="005D0F54" w:rsidRPr="00F93EDE" w:rsidRDefault="005D0F54" w:rsidP="00251A46">
            <w:pPr>
              <w:pStyle w:val="AERtabletextleft"/>
              <w:cnfStyle w:val="000000000000" w:firstRow="0" w:lastRow="0" w:firstColumn="0" w:lastColumn="0" w:oddVBand="0" w:evenVBand="0" w:oddHBand="0" w:evenHBand="0" w:firstRowFirstColumn="0" w:firstRowLastColumn="0" w:lastRowFirstColumn="0" w:lastRowLastColumn="0"/>
              <w:rPr>
                <w:rStyle w:val="AERtextbold"/>
              </w:rPr>
            </w:pPr>
            <w:r w:rsidRPr="00F93EDE">
              <w:rPr>
                <w:rStyle w:val="AERtextbold"/>
              </w:rPr>
              <w:t>92.</w:t>
            </w:r>
            <w:r w:rsidR="00251A46" w:rsidRPr="00F93EDE">
              <w:rPr>
                <w:rStyle w:val="AERtextbold"/>
              </w:rPr>
              <w:t>8</w:t>
            </w:r>
          </w:p>
        </w:tc>
        <w:tc>
          <w:tcPr>
            <w:tcW w:w="1053" w:type="dxa"/>
          </w:tcPr>
          <w:p w:rsidR="005D0F54" w:rsidRPr="00F93EDE" w:rsidRDefault="005D0F54" w:rsidP="00251A46">
            <w:pPr>
              <w:pStyle w:val="AERtabletextleft"/>
              <w:cnfStyle w:val="000000000000" w:firstRow="0" w:lastRow="0" w:firstColumn="0" w:lastColumn="0" w:oddVBand="0" w:evenVBand="0" w:oddHBand="0" w:evenHBand="0" w:firstRowFirstColumn="0" w:firstRowLastColumn="0" w:lastRowFirstColumn="0" w:lastRowLastColumn="0"/>
              <w:rPr>
                <w:rStyle w:val="AERtextbold"/>
              </w:rPr>
            </w:pPr>
            <w:r w:rsidRPr="00F93EDE">
              <w:rPr>
                <w:rStyle w:val="AERtextbold"/>
              </w:rPr>
              <w:t>437.5</w:t>
            </w:r>
          </w:p>
        </w:tc>
      </w:tr>
    </w:tbl>
    <w:p w:rsidR="005D0F54" w:rsidRDefault="005D0F54" w:rsidP="005D0F54">
      <w:pPr>
        <w:pStyle w:val="AERtablesource"/>
      </w:pPr>
      <w:r w:rsidRPr="00F56E79">
        <w:rPr>
          <w:rFonts w:eastAsia="Calibri"/>
        </w:rPr>
        <w:t xml:space="preserve">Source: </w:t>
      </w:r>
      <w:r w:rsidRPr="00F56E79">
        <w:rPr>
          <w:rFonts w:eastAsia="Calibri"/>
        </w:rPr>
        <w:tab/>
      </w:r>
      <w:r w:rsidRPr="001A2042">
        <w:rPr>
          <w:rFonts w:eastAsia="Calibri"/>
        </w:rPr>
        <w:t>JGN</w:t>
      </w:r>
      <w:r w:rsidRPr="001A2042">
        <w:t xml:space="preserve">, </w:t>
      </w:r>
      <w:r w:rsidRPr="001A2042">
        <w:rPr>
          <w:rStyle w:val="AERtextitalic"/>
        </w:rPr>
        <w:t>Access arrangement proposal Appendix 12.1 Revenue model</w:t>
      </w:r>
      <w:r w:rsidRPr="001A2042">
        <w:t>, June 2014.</w:t>
      </w:r>
      <w:r>
        <w:t xml:space="preserve"> </w:t>
      </w:r>
    </w:p>
    <w:p w:rsidR="005D0F54" w:rsidRPr="001A2042" w:rsidRDefault="005D0F54" w:rsidP="005D0F54">
      <w:pPr>
        <w:pStyle w:val="AERtablesource"/>
        <w:rPr>
          <w:rFonts w:eastAsia="Calibri"/>
        </w:rPr>
      </w:pPr>
      <w:r>
        <w:tab/>
      </w:r>
      <w:r w:rsidRPr="001A2042">
        <w:t>AER analysis</w:t>
      </w:r>
    </w:p>
    <w:p w:rsidR="005D0F54" w:rsidRPr="00F56E79" w:rsidRDefault="005D0F54" w:rsidP="00A85385">
      <w:pPr>
        <w:pStyle w:val="AERbodytext"/>
      </w:pPr>
      <w:r>
        <w:t xml:space="preserve">JGN did not propose any new asset classes. </w:t>
      </w:r>
      <w:r w:rsidRPr="00F56E79">
        <w:t>JGN</w:t>
      </w:r>
      <w:r>
        <w:t>'s</w:t>
      </w:r>
      <w:r w:rsidRPr="00F56E79">
        <w:t xml:space="preserve"> </w:t>
      </w:r>
      <w:r>
        <w:t xml:space="preserve">proposed asset lives for its existing asset classes </w:t>
      </w:r>
      <w:r w:rsidRPr="00F56E79">
        <w:t xml:space="preserve">used </w:t>
      </w:r>
      <w:r>
        <w:t>for its</w:t>
      </w:r>
      <w:r w:rsidRPr="00F56E79">
        <w:t xml:space="preserve"> depreciation calculation</w:t>
      </w:r>
      <w:r>
        <w:t>s</w:t>
      </w:r>
      <w:r w:rsidRPr="00F56E79">
        <w:t xml:space="preserve"> are set out in </w:t>
      </w:r>
      <w:r w:rsidR="00A85385">
        <w:fldChar w:fldCharType="begin"/>
      </w:r>
      <w:r w:rsidR="00A85385">
        <w:instrText xml:space="preserve"> REF _Ref404704623 \h </w:instrText>
      </w:r>
      <w:r w:rsidR="00A85385">
        <w:fldChar w:fldCharType="separate"/>
      </w:r>
      <w:r w:rsidR="00A85385">
        <w:t xml:space="preserve">Table </w:t>
      </w:r>
      <w:r w:rsidR="00A85385">
        <w:rPr>
          <w:noProof/>
        </w:rPr>
        <w:t>5</w:t>
      </w:r>
      <w:r w:rsidR="00A85385">
        <w:noBreakHyphen/>
      </w:r>
      <w:r w:rsidR="00A85385">
        <w:rPr>
          <w:noProof/>
        </w:rPr>
        <w:t>3</w:t>
      </w:r>
      <w:r w:rsidR="00A85385">
        <w:fldChar w:fldCharType="end"/>
      </w:r>
      <w:r w:rsidR="00A85385">
        <w:t>.</w:t>
      </w:r>
    </w:p>
    <w:p w:rsidR="00F93EDE" w:rsidRDefault="00F93EDE" w:rsidP="00F93EDE">
      <w:pPr>
        <w:pStyle w:val="AERbodytext"/>
      </w:pPr>
      <w:bookmarkStart w:id="18" w:name="_Ref398276644"/>
      <w:r>
        <w:t>JGN stated that its proposed standard asset lives:</w:t>
      </w:r>
      <w:r>
        <w:rPr>
          <w:rStyle w:val="FootnoteReference"/>
        </w:rPr>
        <w:footnoteReference w:id="6"/>
      </w:r>
    </w:p>
    <w:p w:rsidR="00F93EDE" w:rsidRDefault="00F93EDE" w:rsidP="00F93EDE">
      <w:pPr>
        <w:pStyle w:val="AERbulletlistfirststyle"/>
      </w:pPr>
      <w:r>
        <w:t>are the same as those approved by the AER and used by JGN for the 2010–15 access arrangement period</w:t>
      </w:r>
    </w:p>
    <w:p w:rsidR="00F93EDE" w:rsidRPr="00642783" w:rsidRDefault="00F93EDE" w:rsidP="00F93EDE">
      <w:pPr>
        <w:pStyle w:val="AERbulletlistfirststyle"/>
      </w:pPr>
      <w:r>
        <w:t>are consistent with the design lives used by JGN in engineering evaluations.</w:t>
      </w:r>
    </w:p>
    <w:p w:rsidR="005D0F54" w:rsidRDefault="005D0F54" w:rsidP="005D0F54">
      <w:pPr>
        <w:pStyle w:val="Caption"/>
      </w:pPr>
      <w:bookmarkStart w:id="19" w:name="_Ref404704623"/>
      <w:r>
        <w:t xml:space="preserve">Table </w:t>
      </w:r>
      <w:r w:rsidR="0027004F">
        <w:fldChar w:fldCharType="begin"/>
      </w:r>
      <w:r w:rsidR="0027004F">
        <w:instrText xml:space="preserve"> STYLEREF 1 \s </w:instrText>
      </w:r>
      <w:r w:rsidR="0027004F">
        <w:fldChar w:fldCharType="separate"/>
      </w:r>
      <w:r w:rsidR="00A85385">
        <w:rPr>
          <w:noProof/>
        </w:rPr>
        <w:t>5</w:t>
      </w:r>
      <w:r w:rsidR="0027004F">
        <w:rPr>
          <w:noProof/>
        </w:rPr>
        <w:fldChar w:fldCharType="end"/>
      </w:r>
      <w:r>
        <w:noBreakHyphen/>
      </w:r>
      <w:r w:rsidR="0027004F">
        <w:fldChar w:fldCharType="begin"/>
      </w:r>
      <w:r w:rsidR="0027004F">
        <w:instrText xml:space="preserve"> SEQ Table \* ARABIC \s 1 </w:instrText>
      </w:r>
      <w:r w:rsidR="0027004F">
        <w:fldChar w:fldCharType="separate"/>
      </w:r>
      <w:r w:rsidR="00A85385">
        <w:rPr>
          <w:noProof/>
        </w:rPr>
        <w:t>3</w:t>
      </w:r>
      <w:r w:rsidR="0027004F">
        <w:rPr>
          <w:noProof/>
        </w:rPr>
        <w:fldChar w:fldCharType="end"/>
      </w:r>
      <w:bookmarkEnd w:id="18"/>
      <w:bookmarkEnd w:id="19"/>
      <w:r>
        <w:tab/>
        <w:t>JGN's proposed standard and remaining asset lives at 1 July 2015 (years)</w:t>
      </w:r>
    </w:p>
    <w:tbl>
      <w:tblPr>
        <w:tblStyle w:val="AERtable-numbers"/>
        <w:tblW w:w="9242" w:type="dxa"/>
        <w:tblLayout w:type="fixed"/>
        <w:tblLook w:val="04A0" w:firstRow="1" w:lastRow="0" w:firstColumn="1" w:lastColumn="0" w:noHBand="0" w:noVBand="1"/>
      </w:tblPr>
      <w:tblGrid>
        <w:gridCol w:w="4077"/>
        <w:gridCol w:w="2736"/>
        <w:gridCol w:w="2429"/>
      </w:tblGrid>
      <w:tr w:rsidR="005D0F54" w:rsidRPr="0018218B" w:rsidTr="005E445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4077" w:type="dxa"/>
            <w:noWrap/>
            <w:hideMark/>
          </w:tcPr>
          <w:p w:rsidR="005D0F54" w:rsidRPr="000E1E99" w:rsidRDefault="005D0F54" w:rsidP="002C11A3">
            <w:pPr>
              <w:pStyle w:val="AERtabletextleft"/>
            </w:pPr>
          </w:p>
        </w:tc>
        <w:tc>
          <w:tcPr>
            <w:tcW w:w="2736" w:type="dxa"/>
          </w:tcPr>
          <w:p w:rsidR="005D0F54" w:rsidRPr="00FF6B6C" w:rsidRDefault="005D0F54" w:rsidP="002C11A3">
            <w:pPr>
              <w:pStyle w:val="AERtabletextleft"/>
              <w:cnfStyle w:val="100000000000" w:firstRow="1" w:lastRow="0" w:firstColumn="0" w:lastColumn="0" w:oddVBand="0" w:evenVBand="0" w:oddHBand="0" w:evenHBand="0" w:firstRowFirstColumn="0" w:firstRowLastColumn="0" w:lastRowFirstColumn="0" w:lastRowLastColumn="0"/>
            </w:pPr>
            <w:r>
              <w:t>Standard</w:t>
            </w:r>
            <w:r w:rsidRPr="00FF6B6C">
              <w:t xml:space="preserve"> </w:t>
            </w:r>
            <w:r>
              <w:t>asset</w:t>
            </w:r>
            <w:r w:rsidRPr="00FF6B6C">
              <w:t xml:space="preserve"> li</w:t>
            </w:r>
            <w:r>
              <w:t>f</w:t>
            </w:r>
            <w:r w:rsidRPr="00FF6B6C">
              <w:t xml:space="preserve">e </w:t>
            </w:r>
          </w:p>
        </w:tc>
        <w:tc>
          <w:tcPr>
            <w:tcW w:w="2429" w:type="dxa"/>
          </w:tcPr>
          <w:p w:rsidR="005D0F54" w:rsidRPr="00FF6B6C" w:rsidRDefault="005D0F54" w:rsidP="002C11A3">
            <w:pPr>
              <w:pStyle w:val="AERtabletextleft"/>
              <w:cnfStyle w:val="100000000000" w:firstRow="1" w:lastRow="0" w:firstColumn="0" w:lastColumn="0" w:oddVBand="0" w:evenVBand="0" w:oddHBand="0" w:evenHBand="0" w:firstRowFirstColumn="0" w:firstRowLastColumn="0" w:lastRowFirstColumn="0" w:lastRowLastColumn="0"/>
            </w:pPr>
            <w:r>
              <w:t>Remaining asset life</w:t>
            </w:r>
          </w:p>
        </w:tc>
      </w:tr>
      <w:tr w:rsidR="00251A46" w:rsidRPr="0018218B" w:rsidTr="00251A46">
        <w:trPr>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251A46" w:rsidRPr="00251A46" w:rsidRDefault="00251A46" w:rsidP="00251A46">
            <w:pPr>
              <w:pStyle w:val="AERtabletextleft"/>
            </w:pPr>
            <w:r w:rsidRPr="00251A46">
              <w:t xml:space="preserve">Trunk Wilton-Sydney </w:t>
            </w:r>
          </w:p>
        </w:tc>
        <w:tc>
          <w:tcPr>
            <w:tcW w:w="2736" w:type="dxa"/>
          </w:tcPr>
          <w:p w:rsidR="00251A46" w:rsidRPr="00251A46" w:rsidRDefault="00251A46" w:rsidP="00251A46">
            <w:pPr>
              <w:pStyle w:val="AERtabletextleft"/>
              <w:cnfStyle w:val="000000000000" w:firstRow="0" w:lastRow="0" w:firstColumn="0" w:lastColumn="0" w:oddVBand="0" w:evenVBand="0" w:oddHBand="0" w:evenHBand="0" w:firstRowFirstColumn="0" w:firstRowLastColumn="0" w:lastRowFirstColumn="0" w:lastRowLastColumn="0"/>
            </w:pPr>
            <w:r w:rsidRPr="00251A46">
              <w:t>80</w:t>
            </w:r>
            <w:r>
              <w:t>.0</w:t>
            </w:r>
          </w:p>
        </w:tc>
        <w:tc>
          <w:tcPr>
            <w:tcW w:w="2429" w:type="dxa"/>
          </w:tcPr>
          <w:p w:rsidR="00251A46" w:rsidRPr="00251A46" w:rsidRDefault="00251A46" w:rsidP="00251A46">
            <w:pPr>
              <w:pStyle w:val="AERtabletextleft"/>
              <w:cnfStyle w:val="000000000000" w:firstRow="0" w:lastRow="0" w:firstColumn="0" w:lastColumn="0" w:oddVBand="0" w:evenVBand="0" w:oddHBand="0" w:evenHBand="0" w:firstRowFirstColumn="0" w:firstRowLastColumn="0" w:lastRowFirstColumn="0" w:lastRowLastColumn="0"/>
            </w:pPr>
            <w:r w:rsidRPr="00251A46">
              <w:t>38.1</w:t>
            </w:r>
          </w:p>
        </w:tc>
      </w:tr>
      <w:tr w:rsidR="00251A46" w:rsidRPr="0018218B" w:rsidTr="00251A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251A46" w:rsidRPr="00251A46" w:rsidRDefault="00251A46" w:rsidP="00251A46">
            <w:pPr>
              <w:pStyle w:val="AERtabletextleft"/>
            </w:pPr>
            <w:r w:rsidRPr="00251A46">
              <w:t xml:space="preserve">Trunk Sydney-Newcastle </w:t>
            </w:r>
          </w:p>
        </w:tc>
        <w:tc>
          <w:tcPr>
            <w:tcW w:w="2736" w:type="dxa"/>
          </w:tcPr>
          <w:p w:rsidR="00251A46" w:rsidRPr="00251A46" w:rsidRDefault="00251A46" w:rsidP="00251A46">
            <w:pPr>
              <w:pStyle w:val="AERtabletextleft"/>
              <w:cnfStyle w:val="000000010000" w:firstRow="0" w:lastRow="0" w:firstColumn="0" w:lastColumn="0" w:oddVBand="0" w:evenVBand="0" w:oddHBand="0" w:evenHBand="1" w:firstRowFirstColumn="0" w:firstRowLastColumn="0" w:lastRowFirstColumn="0" w:lastRowLastColumn="0"/>
            </w:pPr>
            <w:r w:rsidRPr="00251A46">
              <w:t>80</w:t>
            </w:r>
            <w:r>
              <w:t>.0</w:t>
            </w:r>
          </w:p>
        </w:tc>
        <w:tc>
          <w:tcPr>
            <w:tcW w:w="2429" w:type="dxa"/>
          </w:tcPr>
          <w:p w:rsidR="00251A46" w:rsidRPr="00251A46" w:rsidRDefault="00251A46" w:rsidP="00251A46">
            <w:pPr>
              <w:pStyle w:val="AERtabletextleft"/>
              <w:cnfStyle w:val="000000010000" w:firstRow="0" w:lastRow="0" w:firstColumn="0" w:lastColumn="0" w:oddVBand="0" w:evenVBand="0" w:oddHBand="0" w:evenHBand="1" w:firstRowFirstColumn="0" w:firstRowLastColumn="0" w:lastRowFirstColumn="0" w:lastRowLastColumn="0"/>
            </w:pPr>
            <w:r w:rsidRPr="00251A46">
              <w:t>45.0</w:t>
            </w:r>
          </w:p>
        </w:tc>
      </w:tr>
      <w:tr w:rsidR="00251A46" w:rsidRPr="0018218B" w:rsidTr="00251A46">
        <w:trPr>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251A46" w:rsidRPr="00251A46" w:rsidRDefault="00251A46" w:rsidP="00251A46">
            <w:pPr>
              <w:pStyle w:val="AERtabletextleft"/>
            </w:pPr>
            <w:r w:rsidRPr="00251A46">
              <w:t xml:space="preserve">Transmission pipeline  (Wilton-Wollongong) </w:t>
            </w:r>
          </w:p>
        </w:tc>
        <w:tc>
          <w:tcPr>
            <w:tcW w:w="2736" w:type="dxa"/>
          </w:tcPr>
          <w:p w:rsidR="00251A46" w:rsidRPr="00251A46" w:rsidRDefault="00251A46" w:rsidP="00251A46">
            <w:pPr>
              <w:pStyle w:val="AERtabletextleft"/>
              <w:cnfStyle w:val="000000000000" w:firstRow="0" w:lastRow="0" w:firstColumn="0" w:lastColumn="0" w:oddVBand="0" w:evenVBand="0" w:oddHBand="0" w:evenHBand="0" w:firstRowFirstColumn="0" w:firstRowLastColumn="0" w:lastRowFirstColumn="0" w:lastRowLastColumn="0"/>
            </w:pPr>
            <w:r w:rsidRPr="00251A46">
              <w:t>80</w:t>
            </w:r>
            <w:r>
              <w:t>.0</w:t>
            </w:r>
          </w:p>
        </w:tc>
        <w:tc>
          <w:tcPr>
            <w:tcW w:w="2429" w:type="dxa"/>
          </w:tcPr>
          <w:p w:rsidR="00251A46" w:rsidRPr="00251A46" w:rsidRDefault="00251A46" w:rsidP="00251A46">
            <w:pPr>
              <w:pStyle w:val="AERtabletextleft"/>
              <w:cnfStyle w:val="000000000000" w:firstRow="0" w:lastRow="0" w:firstColumn="0" w:lastColumn="0" w:oddVBand="0" w:evenVBand="0" w:oddHBand="0" w:evenHBand="0" w:firstRowFirstColumn="0" w:firstRowLastColumn="0" w:lastRowFirstColumn="0" w:lastRowLastColumn="0"/>
            </w:pPr>
            <w:r w:rsidRPr="00251A46">
              <w:t>37.9</w:t>
            </w:r>
          </w:p>
        </w:tc>
      </w:tr>
      <w:tr w:rsidR="00251A46" w:rsidRPr="0018218B" w:rsidTr="00251A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251A46" w:rsidRPr="00251A46" w:rsidRDefault="00251A46" w:rsidP="00251A46">
            <w:pPr>
              <w:pStyle w:val="AERtabletextleft"/>
            </w:pPr>
            <w:r w:rsidRPr="00251A46">
              <w:t xml:space="preserve">Contract meters </w:t>
            </w:r>
          </w:p>
        </w:tc>
        <w:tc>
          <w:tcPr>
            <w:tcW w:w="2736" w:type="dxa"/>
          </w:tcPr>
          <w:p w:rsidR="00251A46" w:rsidRPr="00251A46" w:rsidRDefault="00251A46" w:rsidP="00251A46">
            <w:pPr>
              <w:pStyle w:val="AERtabletextleft"/>
              <w:cnfStyle w:val="000000010000" w:firstRow="0" w:lastRow="0" w:firstColumn="0" w:lastColumn="0" w:oddVBand="0" w:evenVBand="0" w:oddHBand="0" w:evenHBand="1" w:firstRowFirstColumn="0" w:firstRowLastColumn="0" w:lastRowFirstColumn="0" w:lastRowLastColumn="0"/>
            </w:pPr>
            <w:r w:rsidRPr="00251A46">
              <w:t>20</w:t>
            </w:r>
            <w:r>
              <w:t>.0</w:t>
            </w:r>
          </w:p>
        </w:tc>
        <w:tc>
          <w:tcPr>
            <w:tcW w:w="2429" w:type="dxa"/>
          </w:tcPr>
          <w:p w:rsidR="00251A46" w:rsidRPr="00251A46" w:rsidRDefault="00251A46" w:rsidP="00251A46">
            <w:pPr>
              <w:pStyle w:val="AERtabletextleft"/>
              <w:cnfStyle w:val="000000010000" w:firstRow="0" w:lastRow="0" w:firstColumn="0" w:lastColumn="0" w:oddVBand="0" w:evenVBand="0" w:oddHBand="0" w:evenHBand="1" w:firstRowFirstColumn="0" w:firstRowLastColumn="0" w:lastRowFirstColumn="0" w:lastRowLastColumn="0"/>
            </w:pPr>
            <w:r w:rsidRPr="00251A46">
              <w:t>8.4</w:t>
            </w:r>
          </w:p>
        </w:tc>
      </w:tr>
      <w:tr w:rsidR="00251A46" w:rsidRPr="0018218B" w:rsidTr="00251A46">
        <w:trPr>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251A46" w:rsidRPr="00251A46" w:rsidRDefault="00251A46" w:rsidP="00251A46">
            <w:pPr>
              <w:pStyle w:val="AERtabletextleft"/>
            </w:pPr>
            <w:r w:rsidRPr="00251A46">
              <w:t xml:space="preserve">Fixed Plant - distribution </w:t>
            </w:r>
          </w:p>
        </w:tc>
        <w:tc>
          <w:tcPr>
            <w:tcW w:w="2736" w:type="dxa"/>
          </w:tcPr>
          <w:p w:rsidR="00251A46" w:rsidRPr="00251A46" w:rsidRDefault="00251A46" w:rsidP="00251A46">
            <w:pPr>
              <w:pStyle w:val="AERtabletextleft"/>
              <w:cnfStyle w:val="000000000000" w:firstRow="0" w:lastRow="0" w:firstColumn="0" w:lastColumn="0" w:oddVBand="0" w:evenVBand="0" w:oddHBand="0" w:evenHBand="0" w:firstRowFirstColumn="0" w:firstRowLastColumn="0" w:lastRowFirstColumn="0" w:lastRowLastColumn="0"/>
            </w:pPr>
            <w:r w:rsidRPr="00251A46">
              <w:t>50</w:t>
            </w:r>
            <w:r>
              <w:t>.0</w:t>
            </w:r>
          </w:p>
        </w:tc>
        <w:tc>
          <w:tcPr>
            <w:tcW w:w="2429" w:type="dxa"/>
          </w:tcPr>
          <w:p w:rsidR="00251A46" w:rsidRPr="00251A46" w:rsidRDefault="00251A46" w:rsidP="00251A46">
            <w:pPr>
              <w:pStyle w:val="AERtabletextleft"/>
              <w:cnfStyle w:val="000000000000" w:firstRow="0" w:lastRow="0" w:firstColumn="0" w:lastColumn="0" w:oddVBand="0" w:evenVBand="0" w:oddHBand="0" w:evenHBand="0" w:firstRowFirstColumn="0" w:firstRowLastColumn="0" w:lastRowFirstColumn="0" w:lastRowLastColumn="0"/>
            </w:pPr>
            <w:r w:rsidRPr="00251A46">
              <w:t>50.0</w:t>
            </w:r>
          </w:p>
        </w:tc>
      </w:tr>
      <w:tr w:rsidR="00251A46" w:rsidRPr="0018218B" w:rsidTr="00251A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251A46" w:rsidRPr="00251A46" w:rsidRDefault="00251A46" w:rsidP="00251A46">
            <w:pPr>
              <w:pStyle w:val="AERtabletextleft"/>
            </w:pPr>
            <w:r w:rsidRPr="00251A46">
              <w:t xml:space="preserve">HP mains </w:t>
            </w:r>
          </w:p>
        </w:tc>
        <w:tc>
          <w:tcPr>
            <w:tcW w:w="2736" w:type="dxa"/>
          </w:tcPr>
          <w:p w:rsidR="00251A46" w:rsidRPr="00251A46" w:rsidRDefault="00251A46" w:rsidP="00251A46">
            <w:pPr>
              <w:pStyle w:val="AERtabletextleft"/>
              <w:cnfStyle w:val="000000010000" w:firstRow="0" w:lastRow="0" w:firstColumn="0" w:lastColumn="0" w:oddVBand="0" w:evenVBand="0" w:oddHBand="0" w:evenHBand="1" w:firstRowFirstColumn="0" w:firstRowLastColumn="0" w:lastRowFirstColumn="0" w:lastRowLastColumn="0"/>
            </w:pPr>
            <w:r w:rsidRPr="00251A46">
              <w:t>80</w:t>
            </w:r>
            <w:r>
              <w:t>.0</w:t>
            </w:r>
          </w:p>
        </w:tc>
        <w:tc>
          <w:tcPr>
            <w:tcW w:w="2429" w:type="dxa"/>
          </w:tcPr>
          <w:p w:rsidR="00251A46" w:rsidRPr="00251A46" w:rsidRDefault="00251A46" w:rsidP="00251A46">
            <w:pPr>
              <w:pStyle w:val="AERtabletextleft"/>
              <w:cnfStyle w:val="000000010000" w:firstRow="0" w:lastRow="0" w:firstColumn="0" w:lastColumn="0" w:oddVBand="0" w:evenVBand="0" w:oddHBand="0" w:evenHBand="1" w:firstRowFirstColumn="0" w:firstRowLastColumn="0" w:lastRowFirstColumn="0" w:lastRowLastColumn="0"/>
            </w:pPr>
            <w:r w:rsidRPr="00251A46">
              <w:t>59.7</w:t>
            </w:r>
          </w:p>
        </w:tc>
      </w:tr>
      <w:tr w:rsidR="00251A46" w:rsidRPr="0018218B" w:rsidTr="00251A46">
        <w:trPr>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251A46" w:rsidRPr="00251A46" w:rsidRDefault="00251A46" w:rsidP="00251A46">
            <w:pPr>
              <w:pStyle w:val="AERtabletextleft"/>
            </w:pPr>
            <w:r w:rsidRPr="00251A46">
              <w:lastRenderedPageBreak/>
              <w:t xml:space="preserve">HP services </w:t>
            </w:r>
          </w:p>
        </w:tc>
        <w:tc>
          <w:tcPr>
            <w:tcW w:w="2736" w:type="dxa"/>
          </w:tcPr>
          <w:p w:rsidR="00251A46" w:rsidRPr="00251A46" w:rsidRDefault="00251A46" w:rsidP="00251A46">
            <w:pPr>
              <w:pStyle w:val="AERtabletextleft"/>
              <w:cnfStyle w:val="000000000000" w:firstRow="0" w:lastRow="0" w:firstColumn="0" w:lastColumn="0" w:oddVBand="0" w:evenVBand="0" w:oddHBand="0" w:evenHBand="0" w:firstRowFirstColumn="0" w:firstRowLastColumn="0" w:lastRowFirstColumn="0" w:lastRowLastColumn="0"/>
            </w:pPr>
            <w:r w:rsidRPr="00251A46">
              <w:t>50</w:t>
            </w:r>
            <w:r>
              <w:t>.0</w:t>
            </w:r>
          </w:p>
        </w:tc>
        <w:tc>
          <w:tcPr>
            <w:tcW w:w="2429" w:type="dxa"/>
          </w:tcPr>
          <w:p w:rsidR="00251A46" w:rsidRPr="00251A46" w:rsidRDefault="00251A46" w:rsidP="00251A46">
            <w:pPr>
              <w:pStyle w:val="AERtabletextleft"/>
              <w:cnfStyle w:val="000000000000" w:firstRow="0" w:lastRow="0" w:firstColumn="0" w:lastColumn="0" w:oddVBand="0" w:evenVBand="0" w:oddHBand="0" w:evenHBand="0" w:firstRowFirstColumn="0" w:firstRowLastColumn="0" w:lastRowFirstColumn="0" w:lastRowLastColumn="0"/>
            </w:pPr>
            <w:r w:rsidRPr="00251A46">
              <w:t>50.0</w:t>
            </w:r>
          </w:p>
        </w:tc>
      </w:tr>
      <w:tr w:rsidR="00251A46" w:rsidRPr="0018218B" w:rsidTr="00251A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251A46" w:rsidRPr="00251A46" w:rsidRDefault="00251A46" w:rsidP="00251A46">
            <w:pPr>
              <w:pStyle w:val="AERtabletextleft"/>
            </w:pPr>
            <w:r w:rsidRPr="00251A46">
              <w:t xml:space="preserve">MP mains </w:t>
            </w:r>
          </w:p>
        </w:tc>
        <w:tc>
          <w:tcPr>
            <w:tcW w:w="2736" w:type="dxa"/>
          </w:tcPr>
          <w:p w:rsidR="00251A46" w:rsidRPr="00251A46" w:rsidRDefault="00251A46" w:rsidP="00251A46">
            <w:pPr>
              <w:pStyle w:val="AERtabletextleft"/>
              <w:cnfStyle w:val="000000010000" w:firstRow="0" w:lastRow="0" w:firstColumn="0" w:lastColumn="0" w:oddVBand="0" w:evenVBand="0" w:oddHBand="0" w:evenHBand="1" w:firstRowFirstColumn="0" w:firstRowLastColumn="0" w:lastRowFirstColumn="0" w:lastRowLastColumn="0"/>
            </w:pPr>
            <w:r w:rsidRPr="00251A46">
              <w:t>50</w:t>
            </w:r>
            <w:r>
              <w:t>.0</w:t>
            </w:r>
          </w:p>
        </w:tc>
        <w:tc>
          <w:tcPr>
            <w:tcW w:w="2429" w:type="dxa"/>
          </w:tcPr>
          <w:p w:rsidR="00251A46" w:rsidRPr="00251A46" w:rsidRDefault="00251A46" w:rsidP="00251A46">
            <w:pPr>
              <w:pStyle w:val="AERtabletextleft"/>
              <w:cnfStyle w:val="000000010000" w:firstRow="0" w:lastRow="0" w:firstColumn="0" w:lastColumn="0" w:oddVBand="0" w:evenVBand="0" w:oddHBand="0" w:evenHBand="1" w:firstRowFirstColumn="0" w:firstRowLastColumn="0" w:lastRowFirstColumn="0" w:lastRowLastColumn="0"/>
            </w:pPr>
            <w:r w:rsidRPr="00251A46">
              <w:t>26.3</w:t>
            </w:r>
          </w:p>
        </w:tc>
      </w:tr>
      <w:tr w:rsidR="00251A46" w:rsidRPr="0018218B" w:rsidTr="00251A46">
        <w:trPr>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251A46" w:rsidRPr="00251A46" w:rsidRDefault="00251A46" w:rsidP="00251A46">
            <w:pPr>
              <w:pStyle w:val="AERtabletextleft"/>
            </w:pPr>
            <w:r w:rsidRPr="00251A46">
              <w:t xml:space="preserve">MP services </w:t>
            </w:r>
          </w:p>
        </w:tc>
        <w:tc>
          <w:tcPr>
            <w:tcW w:w="2736" w:type="dxa"/>
          </w:tcPr>
          <w:p w:rsidR="00251A46" w:rsidRPr="00251A46" w:rsidRDefault="00251A46" w:rsidP="00251A46">
            <w:pPr>
              <w:pStyle w:val="AERtabletextleft"/>
              <w:cnfStyle w:val="000000000000" w:firstRow="0" w:lastRow="0" w:firstColumn="0" w:lastColumn="0" w:oddVBand="0" w:evenVBand="0" w:oddHBand="0" w:evenHBand="0" w:firstRowFirstColumn="0" w:firstRowLastColumn="0" w:lastRowFirstColumn="0" w:lastRowLastColumn="0"/>
            </w:pPr>
            <w:r w:rsidRPr="00251A46">
              <w:t>50</w:t>
            </w:r>
            <w:r>
              <w:t>.0</w:t>
            </w:r>
          </w:p>
        </w:tc>
        <w:tc>
          <w:tcPr>
            <w:tcW w:w="2429" w:type="dxa"/>
          </w:tcPr>
          <w:p w:rsidR="00251A46" w:rsidRPr="00251A46" w:rsidRDefault="00251A46" w:rsidP="00251A46">
            <w:pPr>
              <w:pStyle w:val="AERtabletextleft"/>
              <w:cnfStyle w:val="000000000000" w:firstRow="0" w:lastRow="0" w:firstColumn="0" w:lastColumn="0" w:oddVBand="0" w:evenVBand="0" w:oddHBand="0" w:evenHBand="0" w:firstRowFirstColumn="0" w:firstRowLastColumn="0" w:lastRowFirstColumn="0" w:lastRowLastColumn="0"/>
            </w:pPr>
            <w:r w:rsidRPr="00251A46">
              <w:t>37.1</w:t>
            </w:r>
          </w:p>
        </w:tc>
      </w:tr>
      <w:tr w:rsidR="00251A46" w:rsidRPr="0018218B" w:rsidTr="00251A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251A46" w:rsidRPr="00251A46" w:rsidRDefault="00251A46" w:rsidP="00251A46">
            <w:pPr>
              <w:pStyle w:val="AERtabletextleft"/>
            </w:pPr>
            <w:r w:rsidRPr="00251A46">
              <w:t xml:space="preserve">Meter reading devices </w:t>
            </w:r>
          </w:p>
        </w:tc>
        <w:tc>
          <w:tcPr>
            <w:tcW w:w="2736" w:type="dxa"/>
          </w:tcPr>
          <w:p w:rsidR="00251A46" w:rsidRPr="00251A46" w:rsidRDefault="00251A46" w:rsidP="00251A46">
            <w:pPr>
              <w:pStyle w:val="AERtabletextleft"/>
              <w:cnfStyle w:val="000000010000" w:firstRow="0" w:lastRow="0" w:firstColumn="0" w:lastColumn="0" w:oddVBand="0" w:evenVBand="0" w:oddHBand="0" w:evenHBand="1" w:firstRowFirstColumn="0" w:firstRowLastColumn="0" w:lastRowFirstColumn="0" w:lastRowLastColumn="0"/>
            </w:pPr>
            <w:r w:rsidRPr="00251A46">
              <w:t>20</w:t>
            </w:r>
            <w:r>
              <w:t>.0</w:t>
            </w:r>
          </w:p>
        </w:tc>
        <w:tc>
          <w:tcPr>
            <w:tcW w:w="2429" w:type="dxa"/>
          </w:tcPr>
          <w:p w:rsidR="00251A46" w:rsidRPr="00251A46" w:rsidRDefault="00251A46" w:rsidP="00251A46">
            <w:pPr>
              <w:pStyle w:val="AERtabletextleft"/>
              <w:cnfStyle w:val="000000010000" w:firstRow="0" w:lastRow="0" w:firstColumn="0" w:lastColumn="0" w:oddVBand="0" w:evenVBand="0" w:oddHBand="0" w:evenHBand="1" w:firstRowFirstColumn="0" w:firstRowLastColumn="0" w:lastRowFirstColumn="0" w:lastRowLastColumn="0"/>
            </w:pPr>
            <w:r w:rsidRPr="00251A46">
              <w:t>20.0</w:t>
            </w:r>
          </w:p>
        </w:tc>
      </w:tr>
      <w:tr w:rsidR="00251A46" w:rsidRPr="0018218B" w:rsidTr="00251A46">
        <w:trPr>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251A46" w:rsidRPr="00251A46" w:rsidRDefault="00251A46" w:rsidP="00251A46">
            <w:pPr>
              <w:pStyle w:val="AERtabletextleft"/>
            </w:pPr>
            <w:r w:rsidRPr="00251A46">
              <w:t xml:space="preserve">Country POTS  </w:t>
            </w:r>
          </w:p>
        </w:tc>
        <w:tc>
          <w:tcPr>
            <w:tcW w:w="2736" w:type="dxa"/>
          </w:tcPr>
          <w:p w:rsidR="00251A46" w:rsidRPr="00251A46" w:rsidRDefault="00251A46" w:rsidP="00251A46">
            <w:pPr>
              <w:pStyle w:val="AERtabletextleft"/>
              <w:cnfStyle w:val="000000000000" w:firstRow="0" w:lastRow="0" w:firstColumn="0" w:lastColumn="0" w:oddVBand="0" w:evenVBand="0" w:oddHBand="0" w:evenHBand="0" w:firstRowFirstColumn="0" w:firstRowLastColumn="0" w:lastRowFirstColumn="0" w:lastRowLastColumn="0"/>
            </w:pPr>
            <w:r w:rsidRPr="00251A46">
              <w:t>50</w:t>
            </w:r>
            <w:r>
              <w:t>.0</w:t>
            </w:r>
          </w:p>
        </w:tc>
        <w:tc>
          <w:tcPr>
            <w:tcW w:w="2429" w:type="dxa"/>
          </w:tcPr>
          <w:p w:rsidR="00251A46" w:rsidRPr="00251A46" w:rsidRDefault="00251A46" w:rsidP="00251A46">
            <w:pPr>
              <w:pStyle w:val="AERtabletextleft"/>
              <w:cnfStyle w:val="000000000000" w:firstRow="0" w:lastRow="0" w:firstColumn="0" w:lastColumn="0" w:oddVBand="0" w:evenVBand="0" w:oddHBand="0" w:evenHBand="0" w:firstRowFirstColumn="0" w:firstRowLastColumn="0" w:lastRowFirstColumn="0" w:lastRowLastColumn="0"/>
            </w:pPr>
            <w:r w:rsidRPr="00251A46">
              <w:t>32.5</w:t>
            </w:r>
          </w:p>
        </w:tc>
      </w:tr>
      <w:tr w:rsidR="00251A46" w:rsidRPr="0018218B" w:rsidTr="00251A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251A46" w:rsidRPr="00251A46" w:rsidRDefault="00251A46" w:rsidP="00251A46">
            <w:pPr>
              <w:pStyle w:val="AERtabletextleft"/>
            </w:pPr>
            <w:r w:rsidRPr="00251A46">
              <w:t xml:space="preserve">Tariff meters </w:t>
            </w:r>
          </w:p>
        </w:tc>
        <w:tc>
          <w:tcPr>
            <w:tcW w:w="2736" w:type="dxa"/>
          </w:tcPr>
          <w:p w:rsidR="00251A46" w:rsidRPr="00251A46" w:rsidRDefault="00251A46" w:rsidP="00251A46">
            <w:pPr>
              <w:pStyle w:val="AERtabletextleft"/>
              <w:cnfStyle w:val="000000010000" w:firstRow="0" w:lastRow="0" w:firstColumn="0" w:lastColumn="0" w:oddVBand="0" w:evenVBand="0" w:oddHBand="0" w:evenHBand="1" w:firstRowFirstColumn="0" w:firstRowLastColumn="0" w:lastRowFirstColumn="0" w:lastRowLastColumn="0"/>
            </w:pPr>
            <w:r w:rsidRPr="00251A46">
              <w:t>20</w:t>
            </w:r>
            <w:r>
              <w:t>.0</w:t>
            </w:r>
          </w:p>
        </w:tc>
        <w:tc>
          <w:tcPr>
            <w:tcW w:w="2429" w:type="dxa"/>
          </w:tcPr>
          <w:p w:rsidR="00251A46" w:rsidRPr="00251A46" w:rsidRDefault="00251A46" w:rsidP="00251A46">
            <w:pPr>
              <w:pStyle w:val="AERtabletextleft"/>
              <w:cnfStyle w:val="000000010000" w:firstRow="0" w:lastRow="0" w:firstColumn="0" w:lastColumn="0" w:oddVBand="0" w:evenVBand="0" w:oddHBand="0" w:evenHBand="1" w:firstRowFirstColumn="0" w:firstRowLastColumn="0" w:lastRowFirstColumn="0" w:lastRowLastColumn="0"/>
            </w:pPr>
            <w:r w:rsidRPr="00251A46">
              <w:t>9.0</w:t>
            </w:r>
          </w:p>
        </w:tc>
      </w:tr>
      <w:tr w:rsidR="00251A46" w:rsidRPr="0018218B" w:rsidTr="00251A46">
        <w:trPr>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251A46" w:rsidRPr="00251A46" w:rsidRDefault="00251A46" w:rsidP="00251A46">
            <w:pPr>
              <w:pStyle w:val="AERtabletextleft"/>
            </w:pPr>
            <w:r w:rsidRPr="00251A46">
              <w:t>Buildings</w:t>
            </w:r>
          </w:p>
        </w:tc>
        <w:tc>
          <w:tcPr>
            <w:tcW w:w="2736" w:type="dxa"/>
          </w:tcPr>
          <w:p w:rsidR="00251A46" w:rsidRPr="00251A46" w:rsidRDefault="00251A46" w:rsidP="00251A46">
            <w:pPr>
              <w:pStyle w:val="AERtabletextleft"/>
              <w:cnfStyle w:val="000000000000" w:firstRow="0" w:lastRow="0" w:firstColumn="0" w:lastColumn="0" w:oddVBand="0" w:evenVBand="0" w:oddHBand="0" w:evenHBand="0" w:firstRowFirstColumn="0" w:firstRowLastColumn="0" w:lastRowFirstColumn="0" w:lastRowLastColumn="0"/>
            </w:pPr>
            <w:r w:rsidRPr="00251A46">
              <w:t>48</w:t>
            </w:r>
            <w:r>
              <w:t>.0</w:t>
            </w:r>
          </w:p>
        </w:tc>
        <w:tc>
          <w:tcPr>
            <w:tcW w:w="2429" w:type="dxa"/>
          </w:tcPr>
          <w:p w:rsidR="00251A46" w:rsidRPr="00251A46" w:rsidRDefault="00251A46" w:rsidP="00251A46">
            <w:pPr>
              <w:pStyle w:val="AERtabletextleft"/>
              <w:cnfStyle w:val="000000000000" w:firstRow="0" w:lastRow="0" w:firstColumn="0" w:lastColumn="0" w:oddVBand="0" w:evenVBand="0" w:oddHBand="0" w:evenHBand="0" w:firstRowFirstColumn="0" w:firstRowLastColumn="0" w:lastRowFirstColumn="0" w:lastRowLastColumn="0"/>
            </w:pPr>
            <w:r w:rsidRPr="00251A46">
              <w:t>48.0</w:t>
            </w:r>
          </w:p>
        </w:tc>
      </w:tr>
      <w:tr w:rsidR="00251A46" w:rsidRPr="0018218B" w:rsidTr="00251A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251A46" w:rsidRPr="00251A46" w:rsidRDefault="00251A46" w:rsidP="00251A46">
            <w:pPr>
              <w:pStyle w:val="AERtabletextleft"/>
            </w:pPr>
            <w:r w:rsidRPr="00251A46">
              <w:t xml:space="preserve">Computers </w:t>
            </w:r>
          </w:p>
        </w:tc>
        <w:tc>
          <w:tcPr>
            <w:tcW w:w="2736" w:type="dxa"/>
          </w:tcPr>
          <w:p w:rsidR="00251A46" w:rsidRPr="00251A46" w:rsidRDefault="00251A46" w:rsidP="00251A46">
            <w:pPr>
              <w:pStyle w:val="AERtabletextleft"/>
              <w:cnfStyle w:val="000000010000" w:firstRow="0" w:lastRow="0" w:firstColumn="0" w:lastColumn="0" w:oddVBand="0" w:evenVBand="0" w:oddHBand="0" w:evenHBand="1" w:firstRowFirstColumn="0" w:firstRowLastColumn="0" w:lastRowFirstColumn="0" w:lastRowLastColumn="0"/>
            </w:pPr>
            <w:r w:rsidRPr="00251A46">
              <w:t>5</w:t>
            </w:r>
            <w:r>
              <w:t>.0</w:t>
            </w:r>
          </w:p>
        </w:tc>
        <w:tc>
          <w:tcPr>
            <w:tcW w:w="2429" w:type="dxa"/>
          </w:tcPr>
          <w:p w:rsidR="00251A46" w:rsidRPr="00251A46" w:rsidRDefault="00251A46" w:rsidP="00251A46">
            <w:pPr>
              <w:pStyle w:val="AERtabletextleft"/>
              <w:cnfStyle w:val="000000010000" w:firstRow="0" w:lastRow="0" w:firstColumn="0" w:lastColumn="0" w:oddVBand="0" w:evenVBand="0" w:oddHBand="0" w:evenHBand="1" w:firstRowFirstColumn="0" w:firstRowLastColumn="0" w:lastRowFirstColumn="0" w:lastRowLastColumn="0"/>
            </w:pPr>
            <w:r w:rsidRPr="00251A46">
              <w:t>5.0</w:t>
            </w:r>
          </w:p>
        </w:tc>
      </w:tr>
      <w:tr w:rsidR="00251A46" w:rsidRPr="0018218B" w:rsidTr="00251A46">
        <w:trPr>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251A46" w:rsidRPr="00251A46" w:rsidRDefault="00251A46" w:rsidP="00251A46">
            <w:pPr>
              <w:pStyle w:val="AERtabletextleft"/>
            </w:pPr>
            <w:r w:rsidRPr="00251A46">
              <w:t xml:space="preserve">Software </w:t>
            </w:r>
          </w:p>
        </w:tc>
        <w:tc>
          <w:tcPr>
            <w:tcW w:w="2736" w:type="dxa"/>
          </w:tcPr>
          <w:p w:rsidR="00251A46" w:rsidRPr="00251A46" w:rsidRDefault="00251A46" w:rsidP="00251A46">
            <w:pPr>
              <w:pStyle w:val="AERtabletextleft"/>
              <w:cnfStyle w:val="000000000000" w:firstRow="0" w:lastRow="0" w:firstColumn="0" w:lastColumn="0" w:oddVBand="0" w:evenVBand="0" w:oddHBand="0" w:evenHBand="0" w:firstRowFirstColumn="0" w:firstRowLastColumn="0" w:lastRowFirstColumn="0" w:lastRowLastColumn="0"/>
            </w:pPr>
            <w:r w:rsidRPr="00251A46">
              <w:t>5</w:t>
            </w:r>
            <w:r>
              <w:t>.0</w:t>
            </w:r>
          </w:p>
        </w:tc>
        <w:tc>
          <w:tcPr>
            <w:tcW w:w="2429" w:type="dxa"/>
          </w:tcPr>
          <w:p w:rsidR="00251A46" w:rsidRPr="00251A46" w:rsidRDefault="00251A46" w:rsidP="00251A46">
            <w:pPr>
              <w:pStyle w:val="AERtabletextleft"/>
              <w:cnfStyle w:val="000000000000" w:firstRow="0" w:lastRow="0" w:firstColumn="0" w:lastColumn="0" w:oddVBand="0" w:evenVBand="0" w:oddHBand="0" w:evenHBand="0" w:firstRowFirstColumn="0" w:firstRowLastColumn="0" w:lastRowFirstColumn="0" w:lastRowLastColumn="0"/>
            </w:pPr>
            <w:r w:rsidRPr="00251A46">
              <w:t>4.1</w:t>
            </w:r>
          </w:p>
        </w:tc>
      </w:tr>
      <w:tr w:rsidR="00251A46" w:rsidRPr="0018218B" w:rsidTr="00251A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251A46" w:rsidRPr="00251A46" w:rsidRDefault="00251A46" w:rsidP="00251A46">
            <w:pPr>
              <w:pStyle w:val="AERtabletextleft"/>
            </w:pPr>
            <w:r w:rsidRPr="00251A46">
              <w:t xml:space="preserve">Fixed plant </w:t>
            </w:r>
          </w:p>
        </w:tc>
        <w:tc>
          <w:tcPr>
            <w:tcW w:w="2736" w:type="dxa"/>
          </w:tcPr>
          <w:p w:rsidR="00251A46" w:rsidRPr="00251A46" w:rsidRDefault="00251A46" w:rsidP="00251A46">
            <w:pPr>
              <w:pStyle w:val="AERtabletextleft"/>
              <w:cnfStyle w:val="000000010000" w:firstRow="0" w:lastRow="0" w:firstColumn="0" w:lastColumn="0" w:oddVBand="0" w:evenVBand="0" w:oddHBand="0" w:evenHBand="1" w:firstRowFirstColumn="0" w:firstRowLastColumn="0" w:lastRowFirstColumn="0" w:lastRowLastColumn="0"/>
            </w:pPr>
            <w:r w:rsidRPr="00251A46">
              <w:t>10</w:t>
            </w:r>
            <w:r>
              <w:t>.0</w:t>
            </w:r>
          </w:p>
        </w:tc>
        <w:tc>
          <w:tcPr>
            <w:tcW w:w="2429" w:type="dxa"/>
          </w:tcPr>
          <w:p w:rsidR="00251A46" w:rsidRPr="00251A46" w:rsidRDefault="00251A46" w:rsidP="00251A46">
            <w:pPr>
              <w:pStyle w:val="AERtabletextleft"/>
              <w:cnfStyle w:val="000000010000" w:firstRow="0" w:lastRow="0" w:firstColumn="0" w:lastColumn="0" w:oddVBand="0" w:evenVBand="0" w:oddHBand="0" w:evenHBand="1" w:firstRowFirstColumn="0" w:firstRowLastColumn="0" w:lastRowFirstColumn="0" w:lastRowLastColumn="0"/>
            </w:pPr>
            <w:r w:rsidRPr="00251A46">
              <w:t>9.4</w:t>
            </w:r>
          </w:p>
        </w:tc>
      </w:tr>
      <w:tr w:rsidR="00251A46" w:rsidRPr="0018218B" w:rsidTr="00251A46">
        <w:trPr>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251A46" w:rsidRPr="00251A46" w:rsidRDefault="00251A46" w:rsidP="00251A46">
            <w:pPr>
              <w:pStyle w:val="AERtabletextleft"/>
            </w:pPr>
            <w:r w:rsidRPr="00251A46">
              <w:t xml:space="preserve">Furniture </w:t>
            </w:r>
          </w:p>
        </w:tc>
        <w:tc>
          <w:tcPr>
            <w:tcW w:w="2736" w:type="dxa"/>
          </w:tcPr>
          <w:p w:rsidR="00251A46" w:rsidRPr="00251A46" w:rsidRDefault="00251A46" w:rsidP="00251A46">
            <w:pPr>
              <w:pStyle w:val="AERtabletextleft"/>
              <w:cnfStyle w:val="000000000000" w:firstRow="0" w:lastRow="0" w:firstColumn="0" w:lastColumn="0" w:oddVBand="0" w:evenVBand="0" w:oddHBand="0" w:evenHBand="0" w:firstRowFirstColumn="0" w:firstRowLastColumn="0" w:lastRowFirstColumn="0" w:lastRowLastColumn="0"/>
            </w:pPr>
            <w:r w:rsidRPr="00251A46">
              <w:t>10</w:t>
            </w:r>
            <w:r>
              <w:t>.0</w:t>
            </w:r>
          </w:p>
        </w:tc>
        <w:tc>
          <w:tcPr>
            <w:tcW w:w="2429" w:type="dxa"/>
          </w:tcPr>
          <w:p w:rsidR="00251A46" w:rsidRPr="00251A46" w:rsidRDefault="00251A46" w:rsidP="00251A46">
            <w:pPr>
              <w:pStyle w:val="AERtabletextleft"/>
              <w:cnfStyle w:val="000000000000" w:firstRow="0" w:lastRow="0" w:firstColumn="0" w:lastColumn="0" w:oddVBand="0" w:evenVBand="0" w:oddHBand="0" w:evenHBand="0" w:firstRowFirstColumn="0" w:firstRowLastColumn="0" w:lastRowFirstColumn="0" w:lastRowLastColumn="0"/>
            </w:pPr>
            <w:r w:rsidRPr="00251A46">
              <w:t>10.0</w:t>
            </w:r>
          </w:p>
        </w:tc>
      </w:tr>
      <w:tr w:rsidR="00251A46" w:rsidRPr="0018218B" w:rsidTr="00251A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251A46" w:rsidRPr="00251A46" w:rsidRDefault="00251A46" w:rsidP="00251A46">
            <w:pPr>
              <w:pStyle w:val="AERtabletextleft"/>
            </w:pPr>
            <w:r w:rsidRPr="00251A46">
              <w:t xml:space="preserve">Land </w:t>
            </w:r>
          </w:p>
        </w:tc>
        <w:tc>
          <w:tcPr>
            <w:tcW w:w="2736" w:type="dxa"/>
          </w:tcPr>
          <w:p w:rsidR="00251A46" w:rsidRPr="00251A46" w:rsidRDefault="00251A46" w:rsidP="00251A46">
            <w:pPr>
              <w:pStyle w:val="AERtabletextleft"/>
              <w:cnfStyle w:val="000000010000" w:firstRow="0" w:lastRow="0" w:firstColumn="0" w:lastColumn="0" w:oddVBand="0" w:evenVBand="0" w:oddHBand="0" w:evenHBand="1" w:firstRowFirstColumn="0" w:firstRowLastColumn="0" w:lastRowFirstColumn="0" w:lastRowLastColumn="0"/>
            </w:pPr>
            <w:r w:rsidRPr="00251A46">
              <w:t>n/a</w:t>
            </w:r>
          </w:p>
        </w:tc>
        <w:tc>
          <w:tcPr>
            <w:tcW w:w="2429" w:type="dxa"/>
          </w:tcPr>
          <w:p w:rsidR="00251A46" w:rsidRPr="00251A46" w:rsidRDefault="00251A46" w:rsidP="00251A46">
            <w:pPr>
              <w:pStyle w:val="AERtabletextleft"/>
              <w:cnfStyle w:val="000000010000" w:firstRow="0" w:lastRow="0" w:firstColumn="0" w:lastColumn="0" w:oddVBand="0" w:evenVBand="0" w:oddHBand="0" w:evenHBand="1" w:firstRowFirstColumn="0" w:firstRowLastColumn="0" w:lastRowFirstColumn="0" w:lastRowLastColumn="0"/>
            </w:pPr>
            <w:r>
              <w:t>n/a</w:t>
            </w:r>
          </w:p>
        </w:tc>
      </w:tr>
      <w:tr w:rsidR="00251A46" w:rsidRPr="0018218B" w:rsidTr="00251A46">
        <w:trPr>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251A46" w:rsidRPr="00251A46" w:rsidRDefault="00251A46" w:rsidP="00251A46">
            <w:pPr>
              <w:pStyle w:val="AERtabletextleft"/>
            </w:pPr>
            <w:r w:rsidRPr="00251A46">
              <w:t xml:space="preserve">Leasehold improvements </w:t>
            </w:r>
          </w:p>
        </w:tc>
        <w:tc>
          <w:tcPr>
            <w:tcW w:w="2736" w:type="dxa"/>
          </w:tcPr>
          <w:p w:rsidR="00251A46" w:rsidRPr="00251A46" w:rsidRDefault="00251A46" w:rsidP="00251A46">
            <w:pPr>
              <w:pStyle w:val="AERtabletextleft"/>
              <w:cnfStyle w:val="000000000000" w:firstRow="0" w:lastRow="0" w:firstColumn="0" w:lastColumn="0" w:oddVBand="0" w:evenVBand="0" w:oddHBand="0" w:evenHBand="0" w:firstRowFirstColumn="0" w:firstRowLastColumn="0" w:lastRowFirstColumn="0" w:lastRowLastColumn="0"/>
            </w:pPr>
            <w:r w:rsidRPr="00251A46">
              <w:t>10</w:t>
            </w:r>
            <w:r>
              <w:t>.0</w:t>
            </w:r>
          </w:p>
        </w:tc>
        <w:tc>
          <w:tcPr>
            <w:tcW w:w="2429" w:type="dxa"/>
          </w:tcPr>
          <w:p w:rsidR="00251A46" w:rsidRPr="00251A46" w:rsidRDefault="00251A46" w:rsidP="00251A46">
            <w:pPr>
              <w:pStyle w:val="AERtabletextleft"/>
              <w:cnfStyle w:val="000000000000" w:firstRow="0" w:lastRow="0" w:firstColumn="0" w:lastColumn="0" w:oddVBand="0" w:evenVBand="0" w:oddHBand="0" w:evenHBand="0" w:firstRowFirstColumn="0" w:firstRowLastColumn="0" w:lastRowFirstColumn="0" w:lastRowLastColumn="0"/>
            </w:pPr>
            <w:r w:rsidRPr="00251A46">
              <w:t>10.0</w:t>
            </w:r>
          </w:p>
        </w:tc>
      </w:tr>
      <w:tr w:rsidR="00251A46" w:rsidRPr="0018218B" w:rsidTr="00251A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251A46" w:rsidRPr="00251A46" w:rsidRDefault="00251A46" w:rsidP="00251A46">
            <w:pPr>
              <w:pStyle w:val="AERtabletextleft"/>
            </w:pPr>
            <w:r w:rsidRPr="00251A46">
              <w:t xml:space="preserve">Low value assets </w:t>
            </w:r>
          </w:p>
        </w:tc>
        <w:tc>
          <w:tcPr>
            <w:tcW w:w="2736" w:type="dxa"/>
          </w:tcPr>
          <w:p w:rsidR="00251A46" w:rsidRPr="00251A46" w:rsidRDefault="00251A46" w:rsidP="00251A46">
            <w:pPr>
              <w:pStyle w:val="AERtabletextleft"/>
              <w:cnfStyle w:val="000000010000" w:firstRow="0" w:lastRow="0" w:firstColumn="0" w:lastColumn="0" w:oddVBand="0" w:evenVBand="0" w:oddHBand="0" w:evenHBand="1" w:firstRowFirstColumn="0" w:firstRowLastColumn="0" w:lastRowFirstColumn="0" w:lastRowLastColumn="0"/>
            </w:pPr>
            <w:r w:rsidRPr="00251A46">
              <w:t>10</w:t>
            </w:r>
            <w:r>
              <w:t>.0</w:t>
            </w:r>
          </w:p>
        </w:tc>
        <w:tc>
          <w:tcPr>
            <w:tcW w:w="2429" w:type="dxa"/>
          </w:tcPr>
          <w:p w:rsidR="00251A46" w:rsidRPr="00251A46" w:rsidRDefault="00251A46" w:rsidP="00251A46">
            <w:pPr>
              <w:pStyle w:val="AERtabletextleft"/>
              <w:cnfStyle w:val="000000010000" w:firstRow="0" w:lastRow="0" w:firstColumn="0" w:lastColumn="0" w:oddVBand="0" w:evenVBand="0" w:oddHBand="0" w:evenHBand="1" w:firstRowFirstColumn="0" w:firstRowLastColumn="0" w:lastRowFirstColumn="0" w:lastRowLastColumn="0"/>
            </w:pPr>
            <w:r w:rsidRPr="00251A46">
              <w:t>10.0</w:t>
            </w:r>
          </w:p>
        </w:tc>
      </w:tr>
      <w:tr w:rsidR="00251A46" w:rsidRPr="0018218B" w:rsidTr="00251A46">
        <w:trPr>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251A46" w:rsidRPr="00251A46" w:rsidRDefault="00251A46" w:rsidP="00251A46">
            <w:pPr>
              <w:pStyle w:val="AERtabletextleft"/>
            </w:pPr>
            <w:r w:rsidRPr="00251A46">
              <w:t xml:space="preserve">Mobile plant </w:t>
            </w:r>
          </w:p>
        </w:tc>
        <w:tc>
          <w:tcPr>
            <w:tcW w:w="2736" w:type="dxa"/>
          </w:tcPr>
          <w:p w:rsidR="00251A46" w:rsidRPr="00251A46" w:rsidRDefault="00251A46" w:rsidP="00251A46">
            <w:pPr>
              <w:pStyle w:val="AERtabletextleft"/>
              <w:cnfStyle w:val="000000000000" w:firstRow="0" w:lastRow="0" w:firstColumn="0" w:lastColumn="0" w:oddVBand="0" w:evenVBand="0" w:oddHBand="0" w:evenHBand="0" w:firstRowFirstColumn="0" w:firstRowLastColumn="0" w:lastRowFirstColumn="0" w:lastRowLastColumn="0"/>
            </w:pPr>
            <w:r w:rsidRPr="00251A46">
              <w:t>10</w:t>
            </w:r>
            <w:r>
              <w:t>.0</w:t>
            </w:r>
          </w:p>
        </w:tc>
        <w:tc>
          <w:tcPr>
            <w:tcW w:w="2429" w:type="dxa"/>
          </w:tcPr>
          <w:p w:rsidR="00251A46" w:rsidRPr="00251A46" w:rsidRDefault="00251A46" w:rsidP="00251A46">
            <w:pPr>
              <w:pStyle w:val="AERtabletextleft"/>
              <w:cnfStyle w:val="000000000000" w:firstRow="0" w:lastRow="0" w:firstColumn="0" w:lastColumn="0" w:oddVBand="0" w:evenVBand="0" w:oddHBand="0" w:evenHBand="0" w:firstRowFirstColumn="0" w:firstRowLastColumn="0" w:lastRowFirstColumn="0" w:lastRowLastColumn="0"/>
            </w:pPr>
            <w:r w:rsidRPr="00251A46">
              <w:t>8.3</w:t>
            </w:r>
          </w:p>
        </w:tc>
      </w:tr>
      <w:tr w:rsidR="00251A46" w:rsidRPr="0018218B" w:rsidTr="00251A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251A46" w:rsidRPr="00251A46" w:rsidRDefault="00251A46" w:rsidP="00251A46">
            <w:pPr>
              <w:pStyle w:val="AERtabletextleft"/>
            </w:pPr>
            <w:r w:rsidRPr="00251A46">
              <w:t xml:space="preserve">Vehicles </w:t>
            </w:r>
          </w:p>
        </w:tc>
        <w:tc>
          <w:tcPr>
            <w:tcW w:w="2736" w:type="dxa"/>
          </w:tcPr>
          <w:p w:rsidR="00251A46" w:rsidRPr="00251A46" w:rsidRDefault="00251A46" w:rsidP="00251A46">
            <w:pPr>
              <w:pStyle w:val="AERtabletextleft"/>
              <w:cnfStyle w:val="000000010000" w:firstRow="0" w:lastRow="0" w:firstColumn="0" w:lastColumn="0" w:oddVBand="0" w:evenVBand="0" w:oddHBand="0" w:evenHBand="1" w:firstRowFirstColumn="0" w:firstRowLastColumn="0" w:lastRowFirstColumn="0" w:lastRowLastColumn="0"/>
            </w:pPr>
            <w:r w:rsidRPr="00251A46">
              <w:t>4</w:t>
            </w:r>
            <w:r>
              <w:t>.0</w:t>
            </w:r>
          </w:p>
        </w:tc>
        <w:tc>
          <w:tcPr>
            <w:tcW w:w="2429" w:type="dxa"/>
          </w:tcPr>
          <w:p w:rsidR="00251A46" w:rsidRPr="00251A46" w:rsidRDefault="00251A46" w:rsidP="00251A46">
            <w:pPr>
              <w:pStyle w:val="AERtabletextleft"/>
              <w:cnfStyle w:val="000000010000" w:firstRow="0" w:lastRow="0" w:firstColumn="0" w:lastColumn="0" w:oddVBand="0" w:evenVBand="0" w:oddHBand="0" w:evenHBand="1" w:firstRowFirstColumn="0" w:firstRowLastColumn="0" w:lastRowFirstColumn="0" w:lastRowLastColumn="0"/>
            </w:pPr>
            <w:r w:rsidRPr="00251A46">
              <w:t>3.1</w:t>
            </w:r>
          </w:p>
        </w:tc>
      </w:tr>
      <w:tr w:rsidR="00251A46" w:rsidRPr="0018218B" w:rsidTr="00251A46">
        <w:trPr>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251A46" w:rsidRPr="00251A46" w:rsidRDefault="00251A46" w:rsidP="00251A46">
            <w:pPr>
              <w:pStyle w:val="AERtabletextleft"/>
            </w:pPr>
            <w:r w:rsidRPr="00251A46">
              <w:t>Stock</w:t>
            </w:r>
            <w:r w:rsidRPr="00251A46">
              <w:rPr>
                <w:rStyle w:val="AERsuperscript"/>
              </w:rPr>
              <w:t>a</w:t>
            </w:r>
            <w:r w:rsidRPr="00251A46">
              <w:t xml:space="preserve"> </w:t>
            </w:r>
          </w:p>
        </w:tc>
        <w:tc>
          <w:tcPr>
            <w:tcW w:w="2736" w:type="dxa"/>
          </w:tcPr>
          <w:p w:rsidR="00251A46" w:rsidRPr="00251A46" w:rsidRDefault="00251A46" w:rsidP="00251A46">
            <w:pPr>
              <w:pStyle w:val="AERtabletextleft"/>
              <w:cnfStyle w:val="000000000000" w:firstRow="0" w:lastRow="0" w:firstColumn="0" w:lastColumn="0" w:oddVBand="0" w:evenVBand="0" w:oddHBand="0" w:evenHBand="0" w:firstRowFirstColumn="0" w:firstRowLastColumn="0" w:lastRowFirstColumn="0" w:lastRowLastColumn="0"/>
            </w:pPr>
            <w:r w:rsidRPr="00251A46">
              <w:t>1</w:t>
            </w:r>
            <w:r>
              <w:t>.0</w:t>
            </w:r>
          </w:p>
        </w:tc>
        <w:tc>
          <w:tcPr>
            <w:tcW w:w="2429" w:type="dxa"/>
          </w:tcPr>
          <w:p w:rsidR="00251A46" w:rsidRPr="00251A46" w:rsidRDefault="00251A46" w:rsidP="00251A46">
            <w:pPr>
              <w:pStyle w:val="AERtabletextleft"/>
              <w:cnfStyle w:val="000000000000" w:firstRow="0" w:lastRow="0" w:firstColumn="0" w:lastColumn="0" w:oddVBand="0" w:evenVBand="0" w:oddHBand="0" w:evenHBand="0" w:firstRowFirstColumn="0" w:firstRowLastColumn="0" w:lastRowFirstColumn="0" w:lastRowLastColumn="0"/>
            </w:pPr>
            <w:r w:rsidRPr="00251A46">
              <w:t>1.0</w:t>
            </w:r>
          </w:p>
        </w:tc>
      </w:tr>
      <w:tr w:rsidR="00251A46" w:rsidRPr="0018218B" w:rsidTr="00251A46">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77" w:type="dxa"/>
            <w:noWrap/>
            <w:hideMark/>
          </w:tcPr>
          <w:p w:rsidR="00251A46" w:rsidRPr="00251A46" w:rsidRDefault="00251A46" w:rsidP="00251A46">
            <w:pPr>
              <w:pStyle w:val="AERtabletextleft"/>
            </w:pPr>
            <w:r w:rsidRPr="00251A46">
              <w:t xml:space="preserve">Equity raising costs </w:t>
            </w:r>
          </w:p>
        </w:tc>
        <w:tc>
          <w:tcPr>
            <w:tcW w:w="2736" w:type="dxa"/>
          </w:tcPr>
          <w:p w:rsidR="00251A46" w:rsidRPr="00251A46" w:rsidRDefault="00251A46" w:rsidP="00251A46">
            <w:pPr>
              <w:pStyle w:val="AERtabletextleft"/>
              <w:cnfStyle w:val="000000010000" w:firstRow="0" w:lastRow="0" w:firstColumn="0" w:lastColumn="0" w:oddVBand="0" w:evenVBand="0" w:oddHBand="0" w:evenHBand="1" w:firstRowFirstColumn="0" w:firstRowLastColumn="0" w:lastRowFirstColumn="0" w:lastRowLastColumn="0"/>
            </w:pPr>
            <w:r w:rsidRPr="00251A46">
              <w:t>53.7</w:t>
            </w:r>
            <w:r w:rsidRPr="00251A46">
              <w:rPr>
                <w:rStyle w:val="AERsuperscript"/>
              </w:rPr>
              <w:t>b</w:t>
            </w:r>
          </w:p>
        </w:tc>
        <w:tc>
          <w:tcPr>
            <w:tcW w:w="2429" w:type="dxa"/>
          </w:tcPr>
          <w:p w:rsidR="00251A46" w:rsidRPr="00251A46" w:rsidRDefault="00251A46" w:rsidP="00251A46">
            <w:pPr>
              <w:pStyle w:val="AERtabletextleft"/>
              <w:cnfStyle w:val="000000010000" w:firstRow="0" w:lastRow="0" w:firstColumn="0" w:lastColumn="0" w:oddVBand="0" w:evenVBand="0" w:oddHBand="0" w:evenHBand="1" w:firstRowFirstColumn="0" w:firstRowLastColumn="0" w:lastRowFirstColumn="0" w:lastRowLastColumn="0"/>
            </w:pPr>
            <w:r w:rsidRPr="00251A46">
              <w:t>49.9</w:t>
            </w:r>
          </w:p>
        </w:tc>
      </w:tr>
    </w:tbl>
    <w:p w:rsidR="005D0F54" w:rsidRDefault="005D0F54" w:rsidP="005D0F54">
      <w:pPr>
        <w:pStyle w:val="AERtablesource"/>
        <w:rPr>
          <w:rFonts w:eastAsia="Calibri"/>
        </w:rPr>
      </w:pPr>
      <w:r>
        <w:rPr>
          <w:rFonts w:eastAsia="Calibri"/>
        </w:rPr>
        <w:t>S</w:t>
      </w:r>
      <w:r w:rsidRPr="00620397">
        <w:rPr>
          <w:rFonts w:eastAsia="Calibri"/>
        </w:rPr>
        <w:t xml:space="preserve">ource: </w:t>
      </w:r>
      <w:r w:rsidRPr="00620397">
        <w:rPr>
          <w:rFonts w:eastAsia="Calibri"/>
        </w:rPr>
        <w:tab/>
      </w:r>
      <w:r w:rsidRPr="007C6DD2">
        <w:t>JGN</w:t>
      </w:r>
      <w:r w:rsidRPr="00620397">
        <w:t xml:space="preserve">, </w:t>
      </w:r>
      <w:r w:rsidRPr="00620397">
        <w:rPr>
          <w:rStyle w:val="AERtextitalic"/>
        </w:rPr>
        <w:t>Access arrangement information</w:t>
      </w:r>
      <w:r w:rsidRPr="00620397">
        <w:t xml:space="preserve">, June 2014, Table </w:t>
      </w:r>
      <w:r>
        <w:t>8</w:t>
      </w:r>
      <w:r w:rsidRPr="00620397">
        <w:t>-</w:t>
      </w:r>
      <w:r>
        <w:t>13</w:t>
      </w:r>
      <w:r w:rsidRPr="00620397">
        <w:t xml:space="preserve">, p. </w:t>
      </w:r>
      <w:r>
        <w:t>87</w:t>
      </w:r>
      <w:r w:rsidRPr="00620397">
        <w:t>.</w:t>
      </w:r>
      <w:r w:rsidRPr="00FF6B6C">
        <w:rPr>
          <w:rFonts w:eastAsia="Calibri"/>
        </w:rPr>
        <w:t xml:space="preserve"> </w:t>
      </w:r>
    </w:p>
    <w:p w:rsidR="005D0F54" w:rsidRDefault="005D0F54" w:rsidP="005D0F54">
      <w:pPr>
        <w:pStyle w:val="AERtablesource"/>
      </w:pPr>
      <w:r>
        <w:rPr>
          <w:rFonts w:eastAsia="Calibri"/>
        </w:rPr>
        <w:tab/>
      </w:r>
      <w:r w:rsidRPr="007C6DD2">
        <w:t>JGN</w:t>
      </w:r>
      <w:r w:rsidRPr="00FF6B6C">
        <w:t xml:space="preserve">, </w:t>
      </w:r>
      <w:r w:rsidRPr="00FF6B6C">
        <w:rPr>
          <w:rStyle w:val="AERtextitalic"/>
        </w:rPr>
        <w:t>Access arrangement proposal Appendix 12.1 Revenue model</w:t>
      </w:r>
      <w:r w:rsidRPr="00FF6B6C">
        <w:t>, June 2014.</w:t>
      </w:r>
    </w:p>
    <w:p w:rsidR="005D0F54" w:rsidRPr="00941B83" w:rsidRDefault="005D0F54" w:rsidP="005D0F54">
      <w:pPr>
        <w:pStyle w:val="AERtablesource"/>
      </w:pPr>
      <w:r w:rsidRPr="00941B83">
        <w:t>a</w:t>
      </w:r>
      <w:r w:rsidRPr="00941B83">
        <w:tab/>
        <w:t xml:space="preserve">The 'Stock' asset class is not </w:t>
      </w:r>
      <w:r>
        <w:t>separately listed</w:t>
      </w:r>
      <w:r w:rsidRPr="00941B83">
        <w:t xml:space="preserve"> in JGN's access arrangement information, but is present in JGN's models in order to handle legacy residual assets in this class. There is no </w:t>
      </w:r>
      <w:r>
        <w:t xml:space="preserve">forecast </w:t>
      </w:r>
      <w:r w:rsidRPr="00941B83">
        <w:t xml:space="preserve">capex </w:t>
      </w:r>
      <w:r>
        <w:t>allocated to</w:t>
      </w:r>
      <w:r w:rsidRPr="00941B83">
        <w:t xml:space="preserve"> this </w:t>
      </w:r>
      <w:r>
        <w:t xml:space="preserve">asset </w:t>
      </w:r>
      <w:r w:rsidRPr="00941B83">
        <w:t>class during the 2015–20 access arrangement period.</w:t>
      </w:r>
    </w:p>
    <w:p w:rsidR="005D0F54" w:rsidRPr="00941B83" w:rsidRDefault="005D0F54" w:rsidP="005D0F54">
      <w:pPr>
        <w:pStyle w:val="AERtablesource"/>
      </w:pPr>
      <w:r w:rsidRPr="00941B83">
        <w:t>b</w:t>
      </w:r>
      <w:r w:rsidRPr="00941B83">
        <w:tab/>
        <w:t xml:space="preserve">The standard </w:t>
      </w:r>
      <w:r>
        <w:t>asset</w:t>
      </w:r>
      <w:r w:rsidRPr="00941B83">
        <w:t xml:space="preserve"> life for the 'Equity raising costs' asset class reflects the weighted average standard </w:t>
      </w:r>
      <w:r>
        <w:t xml:space="preserve">asset </w:t>
      </w:r>
      <w:r w:rsidRPr="00941B83">
        <w:t xml:space="preserve">life of the opening </w:t>
      </w:r>
      <w:r>
        <w:t>capital</w:t>
      </w:r>
      <w:r w:rsidRPr="00941B83">
        <w:t xml:space="preserve"> base at the time of the 2010 access arrangement decision. There is no forecast capex </w:t>
      </w:r>
      <w:r>
        <w:t>allocated to</w:t>
      </w:r>
      <w:r w:rsidRPr="00941B83">
        <w:t xml:space="preserve"> this </w:t>
      </w:r>
      <w:r>
        <w:t xml:space="preserve">asset </w:t>
      </w:r>
      <w:r w:rsidRPr="00941B83">
        <w:t>class during the 2015–20 access arrangement</w:t>
      </w:r>
      <w:r>
        <w:t xml:space="preserve">. </w:t>
      </w:r>
    </w:p>
    <w:p w:rsidR="005D0F54" w:rsidRDefault="005D0F54" w:rsidP="005D0F54">
      <w:pPr>
        <w:pStyle w:val="Heading2"/>
        <w:numPr>
          <w:ilvl w:val="2"/>
          <w:numId w:val="8"/>
        </w:numPr>
      </w:pPr>
      <w:bookmarkStart w:id="20" w:name="_Toc403391029"/>
      <w:bookmarkStart w:id="21" w:name="_Toc403391398"/>
      <w:bookmarkStart w:id="22" w:name="_Toc404352997"/>
      <w:r>
        <w:t>Assessment approach</w:t>
      </w:r>
      <w:bookmarkEnd w:id="20"/>
      <w:bookmarkEnd w:id="21"/>
      <w:bookmarkEnd w:id="22"/>
    </w:p>
    <w:p w:rsidR="005D0F54" w:rsidRPr="00471C48" w:rsidRDefault="005D0F54" w:rsidP="005D0F54">
      <w:pPr>
        <w:pStyle w:val="AERbodytext"/>
        <w:rPr>
          <w:rFonts w:eastAsia="Calibri"/>
        </w:rPr>
      </w:pPr>
      <w:r w:rsidRPr="00471C48">
        <w:t xml:space="preserve">In its access arrangement proposal, </w:t>
      </w:r>
      <w:r>
        <w:t>JGN</w:t>
      </w:r>
      <w:r w:rsidRPr="00471C48">
        <w:t xml:space="preserve"> must provide a forecast of depreciation for the 201</w:t>
      </w:r>
      <w:r>
        <w:t>5</w:t>
      </w:r>
      <w:r w:rsidRPr="00471C48">
        <w:t>–</w:t>
      </w:r>
      <w:r>
        <w:t>20</w:t>
      </w:r>
      <w:r w:rsidRPr="00471C48">
        <w:t xml:space="preserve"> access arrangement period, including a demonstration of how the forecast is derived on the basis of the proposed depreciation method.</w:t>
      </w:r>
      <w:r w:rsidRPr="00471C48">
        <w:rPr>
          <w:rStyle w:val="FootnoteReference"/>
        </w:rPr>
        <w:footnoteReference w:id="7"/>
      </w:r>
      <w:r w:rsidRPr="00471C48">
        <w:t xml:space="preserve"> </w:t>
      </w:r>
      <w:r w:rsidRPr="00471C48">
        <w:rPr>
          <w:rFonts w:eastAsia="Calibri"/>
        </w:rPr>
        <w:t>The depreciation schedule sets out the basis on which the pipeline assets constituting the capital base are to be depreciated for the purpose of determining a reference tariff. The depreciation schedule may consist of a number of separate schedules, each relating to a particular asset or class of asset.</w:t>
      </w:r>
      <w:r w:rsidRPr="00471C48">
        <w:rPr>
          <w:rStyle w:val="FootnoteReference"/>
          <w:rFonts w:eastAsia="Calibri"/>
        </w:rPr>
        <w:footnoteReference w:id="8"/>
      </w:r>
      <w:r w:rsidRPr="00471C48">
        <w:rPr>
          <w:rFonts w:eastAsia="Calibri"/>
        </w:rPr>
        <w:t xml:space="preserve"> In making a decision on the proposed depreciation schedule, </w:t>
      </w:r>
      <w:r>
        <w:rPr>
          <w:rFonts w:eastAsia="Calibri"/>
        </w:rPr>
        <w:t>we</w:t>
      </w:r>
      <w:r w:rsidRPr="00471C48">
        <w:rPr>
          <w:rFonts w:eastAsia="Calibri"/>
        </w:rPr>
        <w:t xml:space="preserve"> assess the compliance of the proposed depreciation schedule with the depreciation </w:t>
      </w:r>
      <w:r w:rsidRPr="00471C48">
        <w:rPr>
          <w:rFonts w:eastAsia="Calibri"/>
        </w:rPr>
        <w:lastRenderedPageBreak/>
        <w:t>criteria set out in the NG</w:t>
      </w:r>
      <w:r w:rsidRPr="00471C48">
        <w:rPr>
          <w:rStyle w:val="AERbody"/>
          <w:rFonts w:eastAsia="Calibri"/>
        </w:rPr>
        <w:t>R.</w:t>
      </w:r>
      <w:r w:rsidRPr="00471C48">
        <w:rPr>
          <w:rStyle w:val="FootnoteReference"/>
          <w:rFonts w:eastAsia="Calibri"/>
        </w:rPr>
        <w:footnoteReference w:id="9"/>
      </w:r>
      <w:r w:rsidRPr="00471C48">
        <w:rPr>
          <w:rStyle w:val="AERbody"/>
          <w:rFonts w:eastAsia="Calibri"/>
        </w:rPr>
        <w:t xml:space="preserve"> </w:t>
      </w:r>
      <w:r>
        <w:t>We</w:t>
      </w:r>
      <w:r w:rsidRPr="00471C48">
        <w:t xml:space="preserve"> must also take into account the NGO and the revenue and pricing principles.</w:t>
      </w:r>
      <w:r w:rsidRPr="00471C48">
        <w:rPr>
          <w:rStyle w:val="FootnoteReference"/>
        </w:rPr>
        <w:footnoteReference w:id="10"/>
      </w:r>
    </w:p>
    <w:p w:rsidR="005D0F54" w:rsidRPr="00471C48" w:rsidRDefault="005D0F54" w:rsidP="005D0F54">
      <w:pPr>
        <w:pStyle w:val="AERbodytext"/>
        <w:rPr>
          <w:rStyle w:val="AERbody"/>
        </w:rPr>
      </w:pPr>
      <w:r>
        <w:rPr>
          <w:rStyle w:val="AERbody"/>
        </w:rPr>
        <w:t xml:space="preserve">Our </w:t>
      </w:r>
      <w:r w:rsidRPr="00471C48">
        <w:rPr>
          <w:rStyle w:val="AERbody"/>
        </w:rPr>
        <w:t>discretion under the depreciation criteria is limited.</w:t>
      </w:r>
      <w:r w:rsidRPr="00471C48">
        <w:rPr>
          <w:rStyle w:val="FootnoteReference"/>
        </w:rPr>
        <w:footnoteReference w:id="11"/>
      </w:r>
      <w:r w:rsidRPr="00471C48">
        <w:rPr>
          <w:rStyle w:val="AERbody"/>
        </w:rPr>
        <w:t xml:space="preserve"> The depreciation criteria state that </w:t>
      </w:r>
      <w:r w:rsidRPr="00471C48">
        <w:t>the depreciation schedule should be designed:</w:t>
      </w:r>
    </w:p>
    <w:p w:rsidR="005D0F54" w:rsidRPr="00471C48" w:rsidRDefault="005D0F54" w:rsidP="005D0F54">
      <w:pPr>
        <w:pStyle w:val="AERbulletlistfirststyle"/>
      </w:pPr>
      <w:r w:rsidRPr="00471C48">
        <w:t>so that reference tariffs will vary, over time, in a way that promotes efficient growth in the market for reference services</w:t>
      </w:r>
      <w:r w:rsidRPr="00471C48">
        <w:rPr>
          <w:rStyle w:val="FootnoteReference"/>
        </w:rPr>
        <w:footnoteReference w:id="12"/>
      </w:r>
    </w:p>
    <w:p w:rsidR="005D0F54" w:rsidRPr="00471C48" w:rsidRDefault="005D0F54" w:rsidP="005D0F54">
      <w:pPr>
        <w:pStyle w:val="AERbulletlistfirststyle"/>
      </w:pPr>
      <w:r w:rsidRPr="00471C48">
        <w:t>so that each asset or group of assets is depreciated over the economic life of that asset or group of assets</w:t>
      </w:r>
      <w:r w:rsidRPr="00471C48">
        <w:rPr>
          <w:rStyle w:val="FootnoteReference"/>
        </w:rPr>
        <w:footnoteReference w:id="13"/>
      </w:r>
    </w:p>
    <w:p w:rsidR="005D0F54" w:rsidRPr="00471C48" w:rsidRDefault="005D0F54" w:rsidP="005D0F54">
      <w:pPr>
        <w:pStyle w:val="AERbulletlistfirststyle"/>
      </w:pPr>
      <w:r w:rsidRPr="00471C48">
        <w:t>so as to allow, as far as reasonably practicable, for adjustment reflecting changes in the expected economic life of a particular asset, or a particular group of assets</w:t>
      </w:r>
      <w:r w:rsidRPr="00471C48">
        <w:rPr>
          <w:rStyle w:val="FootnoteReference"/>
        </w:rPr>
        <w:footnoteReference w:id="14"/>
      </w:r>
    </w:p>
    <w:p w:rsidR="005D0F54" w:rsidRPr="00471C48" w:rsidRDefault="005D0F54" w:rsidP="005D0F54">
      <w:pPr>
        <w:pStyle w:val="AERbulletlistfirststyle"/>
      </w:pPr>
      <w:r w:rsidRPr="00471C48">
        <w:t>so that (subject to the rules about capital redundancy), an asset is depreciated only once</w:t>
      </w:r>
      <w:r w:rsidRPr="00471C48">
        <w:rPr>
          <w:rStyle w:val="FootnoteReference"/>
        </w:rPr>
        <w:footnoteReference w:id="15"/>
      </w:r>
      <w:r w:rsidRPr="00471C48">
        <w:t xml:space="preserve"> </w:t>
      </w:r>
    </w:p>
    <w:p w:rsidR="005D0F54" w:rsidRPr="00471C48" w:rsidRDefault="005D0F54" w:rsidP="005D0F54">
      <w:pPr>
        <w:pStyle w:val="AERbulletlistfirststyle"/>
      </w:pPr>
      <w:r w:rsidRPr="00471C48">
        <w:t>so as to allow for the service provider's reasonable needs for cash flow to meet financing, non-capital and other costs</w:t>
      </w:r>
      <w:r w:rsidRPr="00471C48">
        <w:rPr>
          <w:rStyle w:val="FootnoteReference"/>
        </w:rPr>
        <w:footnoteReference w:id="16"/>
      </w:r>
    </w:p>
    <w:p w:rsidR="005D0F54" w:rsidRPr="00471C48" w:rsidRDefault="005D0F54" w:rsidP="005D0F54">
      <w:pPr>
        <w:pStyle w:val="AERbodytext"/>
        <w:rPr>
          <w:rStyle w:val="AERbody"/>
        </w:rPr>
      </w:pPr>
      <w:r w:rsidRPr="00471C48">
        <w:t>The depreciation criteria also</w:t>
      </w:r>
      <w:r w:rsidRPr="00471C48">
        <w:rPr>
          <w:rFonts w:eastAsia="Calibri"/>
        </w:rPr>
        <w:t xml:space="preserve"> state that to comply with the rule regarding efficient growth in the market for reference services, a substantial amount of depreciation may be deferred.</w:t>
      </w:r>
      <w:r w:rsidRPr="00471C48">
        <w:rPr>
          <w:rStyle w:val="FootnoteReference"/>
          <w:rFonts w:eastAsia="Calibri"/>
        </w:rPr>
        <w:footnoteReference w:id="17"/>
      </w:r>
    </w:p>
    <w:p w:rsidR="005D0F54" w:rsidRPr="00471C48" w:rsidRDefault="005D0F54" w:rsidP="005D0F54">
      <w:pPr>
        <w:pStyle w:val="AERbodytext"/>
      </w:pPr>
      <w:r>
        <w:t>The r</w:t>
      </w:r>
      <w:r w:rsidRPr="00471C48">
        <w:t xml:space="preserve">egulatory depreciation allowance is the net total of the </w:t>
      </w:r>
      <w:r>
        <w:t xml:space="preserve">real </w:t>
      </w:r>
      <w:r w:rsidRPr="00471C48">
        <w:t xml:space="preserve">straight-line depreciation (negative) and the annual inflation indexation (positive) on the projected capital base. </w:t>
      </w:r>
      <w:r>
        <w:t>Our</w:t>
      </w:r>
      <w:r w:rsidRPr="00471C48">
        <w:t xml:space="preserve"> </w:t>
      </w:r>
      <w:r>
        <w:t>standard approach is to employ a</w:t>
      </w:r>
      <w:r w:rsidRPr="00471C48">
        <w:t xml:space="preserve"> straight-line method </w:t>
      </w:r>
      <w:r>
        <w:t>for calculating depreciation. We</w:t>
      </w:r>
      <w:r w:rsidRPr="00471C48">
        <w:t xml:space="preserve"> consider that the straight-line method satisfies the </w:t>
      </w:r>
      <w:r>
        <w:t xml:space="preserve">NGR's </w:t>
      </w:r>
      <w:r w:rsidRPr="00471C48">
        <w:t>depreciation criteria.</w:t>
      </w:r>
      <w:r w:rsidRPr="00471C48">
        <w:rPr>
          <w:rStyle w:val="FootnoteReference"/>
        </w:rPr>
        <w:footnoteReference w:id="18"/>
      </w:r>
      <w:r w:rsidRPr="00471C48">
        <w:t xml:space="preserve"> This is because the straight-line method smooths changes in the reference tariffs, promotes efficient growth of the market, allows assets to be depreciated only once and over its economic life, and allows for a service provider's reasonable needs for cash flow. </w:t>
      </w:r>
    </w:p>
    <w:p w:rsidR="005D0F54" w:rsidRPr="00471C48" w:rsidRDefault="005D0F54" w:rsidP="005D0F54">
      <w:pPr>
        <w:pStyle w:val="AERbodytext"/>
      </w:pPr>
      <w:r w:rsidRPr="00471C48">
        <w:t xml:space="preserve">In assessing </w:t>
      </w:r>
      <w:r>
        <w:t>JGN's</w:t>
      </w:r>
      <w:r w:rsidRPr="00471C48">
        <w:t xml:space="preserve"> proposed regulatory depreciation allowance, </w:t>
      </w:r>
      <w:r>
        <w:t>we</w:t>
      </w:r>
      <w:r w:rsidRPr="00471C48">
        <w:t xml:space="preserve"> ha</w:t>
      </w:r>
      <w:r>
        <w:t>ve</w:t>
      </w:r>
      <w:r w:rsidRPr="00471C48">
        <w:t xml:space="preserve"> analysed </w:t>
      </w:r>
      <w:r>
        <w:t>JGN's</w:t>
      </w:r>
      <w:r w:rsidRPr="00471C48">
        <w:t xml:space="preserve"> proposed </w:t>
      </w:r>
      <w:r>
        <w:t xml:space="preserve">inputs to its revenue model </w:t>
      </w:r>
      <w:r w:rsidRPr="00471C48">
        <w:t>for calculating depreciation. These inputs include:</w:t>
      </w:r>
    </w:p>
    <w:p w:rsidR="005D0F54" w:rsidRPr="00471C48" w:rsidRDefault="005D0F54" w:rsidP="005D0F54">
      <w:pPr>
        <w:pStyle w:val="AERbulletlistfirststyle"/>
      </w:pPr>
      <w:r w:rsidRPr="00471C48">
        <w:t xml:space="preserve">the opening capital base as at 1 </w:t>
      </w:r>
      <w:r>
        <w:t>July</w:t>
      </w:r>
      <w:r w:rsidRPr="00471C48">
        <w:t xml:space="preserve"> 201</w:t>
      </w:r>
      <w:r>
        <w:t>5</w:t>
      </w:r>
      <w:r w:rsidRPr="00471C48">
        <w:t xml:space="preserve"> </w:t>
      </w:r>
    </w:p>
    <w:p w:rsidR="005D0F54" w:rsidRPr="00471C48" w:rsidRDefault="005D0F54" w:rsidP="005D0F54">
      <w:pPr>
        <w:pStyle w:val="AERbulletlistfirststyle"/>
      </w:pPr>
      <w:r w:rsidRPr="00471C48">
        <w:t>the forecast net capex in the 201</w:t>
      </w:r>
      <w:r>
        <w:t>5</w:t>
      </w:r>
      <w:r w:rsidRPr="00471C48">
        <w:t>–</w:t>
      </w:r>
      <w:r>
        <w:t>20</w:t>
      </w:r>
      <w:r w:rsidRPr="00471C48">
        <w:t xml:space="preserve"> access arrangement period</w:t>
      </w:r>
    </w:p>
    <w:p w:rsidR="005D0F54" w:rsidRPr="00471C48" w:rsidRDefault="005D0F54" w:rsidP="005D0F54">
      <w:pPr>
        <w:pStyle w:val="AERbulletlistfirststyle"/>
      </w:pPr>
      <w:r w:rsidRPr="00471C48">
        <w:t>the forecast inflation rate for the 201</w:t>
      </w:r>
      <w:r>
        <w:t>5</w:t>
      </w:r>
      <w:r w:rsidRPr="00471C48">
        <w:t>–</w:t>
      </w:r>
      <w:r>
        <w:t>20</w:t>
      </w:r>
      <w:r w:rsidRPr="00471C48">
        <w:t xml:space="preserve"> access arrangement period</w:t>
      </w:r>
    </w:p>
    <w:p w:rsidR="005D0F54" w:rsidRPr="00471C48" w:rsidRDefault="005D0F54" w:rsidP="005D0F54">
      <w:pPr>
        <w:pStyle w:val="AERbulletlistfirststyle"/>
      </w:pPr>
      <w:r w:rsidRPr="00471C48">
        <w:lastRenderedPageBreak/>
        <w:t xml:space="preserve">the standard </w:t>
      </w:r>
      <w:r>
        <w:t>asset</w:t>
      </w:r>
      <w:r w:rsidRPr="00471C48">
        <w:t xml:space="preserve"> life for each asset class—used for calculating the depreciation of new assets associated with forecast net capex in the 20</w:t>
      </w:r>
      <w:r>
        <w:t>15</w:t>
      </w:r>
      <w:r w:rsidRPr="00471C48">
        <w:t>–</w:t>
      </w:r>
      <w:r>
        <w:t>20</w:t>
      </w:r>
      <w:r w:rsidRPr="00471C48">
        <w:t xml:space="preserve"> access arrangement period</w:t>
      </w:r>
    </w:p>
    <w:p w:rsidR="005D0F54" w:rsidRPr="00471C48" w:rsidRDefault="005D0F54" w:rsidP="005D0F54">
      <w:pPr>
        <w:pStyle w:val="AERbulletlistfirststyle"/>
      </w:pPr>
      <w:r w:rsidRPr="00471C48">
        <w:t xml:space="preserve">the remaining </w:t>
      </w:r>
      <w:r>
        <w:t>asset</w:t>
      </w:r>
      <w:r w:rsidRPr="00471C48">
        <w:t xml:space="preserve"> life for each asset class—used for calculating the depreciation of existing assets associated with the open</w:t>
      </w:r>
      <w:r>
        <w:t>ing capital base as at 1 July</w:t>
      </w:r>
      <w:r w:rsidRPr="00471C48">
        <w:t xml:space="preserve"> 20</w:t>
      </w:r>
      <w:r>
        <w:t>15</w:t>
      </w:r>
      <w:r w:rsidRPr="00471C48">
        <w:t>.</w:t>
      </w:r>
    </w:p>
    <w:p w:rsidR="005D0F54" w:rsidRPr="00471C48" w:rsidRDefault="005D0F54" w:rsidP="005D0F54">
      <w:pPr>
        <w:pStyle w:val="AERbodytext"/>
      </w:pPr>
      <w:r>
        <w:t xml:space="preserve">Our </w:t>
      </w:r>
      <w:r w:rsidRPr="00471C48">
        <w:t xml:space="preserve">determinations affecting the first three inputs in the above list are discussed elsewhere: opening </w:t>
      </w:r>
      <w:r w:rsidRPr="005E445B">
        <w:t>capital base (attachment 2), forecast net capex (attachment 6) and forecast inflation (attachment 3).</w:t>
      </w:r>
      <w:r w:rsidRPr="00471C48">
        <w:t xml:space="preserve"> </w:t>
      </w:r>
      <w:r>
        <w:t xml:space="preserve">Our </w:t>
      </w:r>
      <w:r w:rsidRPr="00471C48">
        <w:t xml:space="preserve">decision on the required amendments to </w:t>
      </w:r>
      <w:r>
        <w:t>JGN's</w:t>
      </w:r>
      <w:r w:rsidRPr="00471C48">
        <w:t xml:space="preserve"> proposed regulatory depreciation allowance reflects </w:t>
      </w:r>
      <w:r>
        <w:t>our</w:t>
      </w:r>
      <w:r w:rsidRPr="00471C48">
        <w:t xml:space="preserve"> determinations on these building block components. </w:t>
      </w:r>
      <w:r>
        <w:t xml:space="preserve">Our </w:t>
      </w:r>
      <w:r w:rsidRPr="00471C48">
        <w:t>assessment approach on the remaining two inputs in the above list is set out below.</w:t>
      </w:r>
    </w:p>
    <w:p w:rsidR="005D0F54" w:rsidRDefault="005D0F54" w:rsidP="005D0F54">
      <w:pPr>
        <w:pStyle w:val="AERbodytext"/>
      </w:pPr>
      <w:r w:rsidRPr="00471C48">
        <w:t xml:space="preserve">In general, </w:t>
      </w:r>
      <w:r>
        <w:t>we</w:t>
      </w:r>
      <w:r w:rsidRPr="00471C48">
        <w:t xml:space="preserve"> consider that consistency in the standard </w:t>
      </w:r>
      <w:r>
        <w:t>asset</w:t>
      </w:r>
      <w:r w:rsidRPr="00471C48">
        <w:t xml:space="preserve"> life for each asset class across access arrangement periods will allow reference tariffs to vary smoothly over time. This will promote efficient growth in the market for reference services.</w:t>
      </w:r>
      <w:r w:rsidRPr="00471C48">
        <w:rPr>
          <w:rStyle w:val="FootnoteReference"/>
        </w:rPr>
        <w:footnoteReference w:id="19"/>
      </w:r>
      <w:r w:rsidRPr="00471C48">
        <w:t xml:space="preserve"> </w:t>
      </w:r>
      <w:r>
        <w:t>Our</w:t>
      </w:r>
      <w:r w:rsidRPr="00471C48">
        <w:t xml:space="preserve"> standard method for determining the remaining </w:t>
      </w:r>
      <w:r>
        <w:t>asset</w:t>
      </w:r>
      <w:r w:rsidRPr="00471C48">
        <w:t xml:space="preserve"> lives is the weighted average method.</w:t>
      </w:r>
      <w:r>
        <w:rPr>
          <w:rStyle w:val="FootnoteReference"/>
        </w:rPr>
        <w:footnoteReference w:id="20"/>
      </w:r>
      <w:r w:rsidRPr="00471C48">
        <w:t xml:space="preserve"> The weighted average method rolls forward the remaining </w:t>
      </w:r>
      <w:r>
        <w:t>asset</w:t>
      </w:r>
      <w:r w:rsidRPr="00471C48">
        <w:t xml:space="preserve"> life for an asset class from the beginning of the earlier access arrangement period. This approach reflects the mix of assets within that asset class, when they were acquired over that period (or if they were existing assets at the beginning), and the remaining value of those assets (used as a weight) at the end of the period.</w:t>
      </w:r>
      <w:r>
        <w:rPr>
          <w:rStyle w:val="FootnoteReference"/>
        </w:rPr>
        <w:footnoteReference w:id="21"/>
      </w:r>
      <w:r w:rsidRPr="00471C48">
        <w:t xml:space="preserve"> </w:t>
      </w:r>
      <w:r>
        <w:t>We</w:t>
      </w:r>
      <w:r w:rsidRPr="00471C48">
        <w:t xml:space="preserve"> will assess the outcomes of other approaches against the outcomes of this standard approach.</w:t>
      </w:r>
    </w:p>
    <w:p w:rsidR="005D0F54" w:rsidRDefault="005D0F54" w:rsidP="005D0F54">
      <w:pPr>
        <w:pStyle w:val="Heading3"/>
        <w:numPr>
          <w:ilvl w:val="3"/>
          <w:numId w:val="8"/>
        </w:numPr>
      </w:pPr>
      <w:bookmarkStart w:id="23" w:name="_Toc403391030"/>
      <w:bookmarkStart w:id="24" w:name="_Toc403391399"/>
      <w:bookmarkStart w:id="25" w:name="_Toc404352998"/>
      <w:r>
        <w:t>Interrelationships</w:t>
      </w:r>
      <w:bookmarkEnd w:id="23"/>
      <w:bookmarkEnd w:id="24"/>
      <w:bookmarkEnd w:id="25"/>
    </w:p>
    <w:p w:rsidR="005D0F54" w:rsidRPr="00D57689" w:rsidRDefault="005D0F54" w:rsidP="005D0F54">
      <w:pPr>
        <w:pStyle w:val="AERbodytext"/>
      </w:pPr>
      <w:r w:rsidRPr="00D57689">
        <w:t>The regulatory depreciation allowance is a building block component of the annual building block revenue requirement.</w:t>
      </w:r>
      <w:r w:rsidRPr="00D57689">
        <w:rPr>
          <w:rStyle w:val="FootnoteReference"/>
        </w:rPr>
        <w:footnoteReference w:id="22"/>
      </w:r>
      <w:r w:rsidRPr="00D57689">
        <w:t xml:space="preserve"> Higher (or quicker) depreciation leads to higher revenues over the regulatory control period. It also causes the </w:t>
      </w:r>
      <w:r>
        <w:t xml:space="preserve">capital base </w:t>
      </w:r>
      <w:r w:rsidRPr="00D57689">
        <w:t xml:space="preserve">to reduce more quickly (assuming no further capex). This reduces the return on capital allowance, although this impact is usually secondary to the increased depreciation allowance. </w:t>
      </w:r>
    </w:p>
    <w:p w:rsidR="005D0F54" w:rsidRPr="00D57689" w:rsidRDefault="005D0F54" w:rsidP="005D0F54">
      <w:pPr>
        <w:pStyle w:val="AERbodytext"/>
      </w:pPr>
      <w:r w:rsidRPr="00D57689">
        <w:t xml:space="preserve">Ultimately, however, a </w:t>
      </w:r>
      <w:r>
        <w:t>service provider</w:t>
      </w:r>
      <w:r w:rsidRPr="00D57689">
        <w:t xml:space="preserve"> can only recover the capex it has incurred on assets once. The depreciation allowance therefore reflects how quickly the </w:t>
      </w:r>
      <w:r>
        <w:t>capital base</w:t>
      </w:r>
      <w:r w:rsidRPr="00D57689">
        <w:t xml:space="preserve"> is being recovered and is based on the remaining and standard </w:t>
      </w:r>
      <w:r>
        <w:t>asset</w:t>
      </w:r>
      <w:r w:rsidRPr="00D57689">
        <w:t xml:space="preserve"> lives used in the depreciation calculation. </w:t>
      </w:r>
    </w:p>
    <w:p w:rsidR="005D0F54" w:rsidRPr="00D57689" w:rsidRDefault="005D0F54" w:rsidP="005D0F54">
      <w:pPr>
        <w:pStyle w:val="AERbodytext"/>
      </w:pPr>
      <w:r w:rsidRPr="00D57689">
        <w:t xml:space="preserve">The depreciation allowance also depends on the level of the opening </w:t>
      </w:r>
      <w:r>
        <w:t>capital base</w:t>
      </w:r>
      <w:r w:rsidRPr="00D57689">
        <w:t xml:space="preserve"> and the forecast capex. Any increase in these factors also increases the depreciation allowance. </w:t>
      </w:r>
    </w:p>
    <w:p w:rsidR="005D0F54" w:rsidRPr="00D57689" w:rsidRDefault="005D0F54" w:rsidP="005D0F54">
      <w:pPr>
        <w:pStyle w:val="AERbodytext"/>
      </w:pPr>
      <w:r w:rsidRPr="00D57689">
        <w:t>To prevent double counting of inflation through the</w:t>
      </w:r>
      <w:r>
        <w:t xml:space="preserve"> rate of return</w:t>
      </w:r>
      <w:r w:rsidRPr="00D57689">
        <w:t xml:space="preserve"> and </w:t>
      </w:r>
      <w:r>
        <w:t>capital base</w:t>
      </w:r>
      <w:r w:rsidRPr="00D57689">
        <w:t xml:space="preserve">, the regulatory depreciation allowance also has an offsetting reduction for indexation of the </w:t>
      </w:r>
      <w:r>
        <w:t>capital base.</w:t>
      </w:r>
      <w:r w:rsidRPr="00D57689">
        <w:rPr>
          <w:rStyle w:val="FootnoteReference"/>
        </w:rPr>
        <w:footnoteReference w:id="23"/>
      </w:r>
      <w:r w:rsidRPr="00D57689">
        <w:t xml:space="preserve"> Factors that affect forecast inflation and/or the size of the </w:t>
      </w:r>
      <w:r>
        <w:t xml:space="preserve">capital base </w:t>
      </w:r>
      <w:r w:rsidRPr="00D57689">
        <w:t xml:space="preserve">will therefore affect the size of this indexation adjustment. </w:t>
      </w:r>
    </w:p>
    <w:p w:rsidR="005D0F54" w:rsidRPr="00D639D1" w:rsidRDefault="005D0F54" w:rsidP="005D0F54">
      <w:pPr>
        <w:pStyle w:val="AERbodytext"/>
        <w:rPr>
          <w:rStyle w:val="AERbody"/>
        </w:rPr>
      </w:pPr>
      <w:r w:rsidRPr="001A2042">
        <w:rPr>
          <w:rStyle w:val="AERtexthighlight"/>
          <w:shd w:val="clear" w:color="auto" w:fill="auto"/>
        </w:rPr>
        <w:lastRenderedPageBreak/>
        <w:t>The relative size of the inflation and straight-line depreciation and their impact on the capital base using JGN's proposal is shown in</w:t>
      </w:r>
      <w:r w:rsidRPr="00D639D1">
        <w:rPr>
          <w:rStyle w:val="AERbody"/>
        </w:rPr>
        <w:t xml:space="preserve"> attachment 2. A ten per cent increase in the straight-line depreciation causes revenues to increase by about </w:t>
      </w:r>
      <w:r w:rsidR="00251A46">
        <w:rPr>
          <w:rStyle w:val="AERbody"/>
        </w:rPr>
        <w:t>1.5 </w:t>
      </w:r>
      <w:r w:rsidRPr="00D639D1">
        <w:rPr>
          <w:rStyle w:val="AERbody"/>
        </w:rPr>
        <w:t>per cent.</w:t>
      </w:r>
    </w:p>
    <w:p w:rsidR="005D0F54" w:rsidRPr="00EF33EA" w:rsidRDefault="005D0F54" w:rsidP="00EF33EA">
      <w:pPr>
        <w:pStyle w:val="Heading2"/>
        <w:rPr>
          <w:rStyle w:val="AERbody"/>
          <w:color w:val="E36C0A"/>
          <w:sz w:val="28"/>
        </w:rPr>
      </w:pPr>
      <w:bookmarkStart w:id="26" w:name="_Toc403391031"/>
      <w:bookmarkStart w:id="27" w:name="_Toc403391400"/>
      <w:bookmarkStart w:id="28" w:name="_Toc404352999"/>
      <w:r w:rsidRPr="00EF33EA">
        <w:rPr>
          <w:rStyle w:val="AERbody"/>
          <w:color w:val="E36C0A"/>
          <w:sz w:val="28"/>
        </w:rPr>
        <w:t>Reasons for draft decision</w:t>
      </w:r>
      <w:bookmarkEnd w:id="26"/>
      <w:bookmarkEnd w:id="27"/>
      <w:bookmarkEnd w:id="28"/>
      <w:r w:rsidRPr="00EF33EA">
        <w:rPr>
          <w:rStyle w:val="AERbody"/>
          <w:color w:val="E36C0A"/>
          <w:sz w:val="28"/>
        </w:rPr>
        <w:t xml:space="preserve"> </w:t>
      </w:r>
      <w:bookmarkEnd w:id="16"/>
    </w:p>
    <w:p w:rsidR="005D0F54" w:rsidRPr="00D639D1" w:rsidRDefault="005D0F54" w:rsidP="005D0F54">
      <w:pPr>
        <w:pStyle w:val="AERbodytext"/>
        <w:rPr>
          <w:rStyle w:val="AERbody"/>
        </w:rPr>
      </w:pPr>
      <w:r w:rsidRPr="00D639D1">
        <w:rPr>
          <w:rStyle w:val="AERbody"/>
        </w:rPr>
        <w:t>We do not approve JGN's proposed regulatory depreciation allowance of $437.5 million ($nominal) for the 2015–20 access arrangement period.</w:t>
      </w:r>
      <w:r w:rsidRPr="00251A46">
        <w:rPr>
          <w:rStyle w:val="AERsuperscript"/>
        </w:rPr>
        <w:footnoteReference w:id="24"/>
      </w:r>
      <w:r w:rsidRPr="00D639D1">
        <w:rPr>
          <w:rStyle w:val="AERbody"/>
        </w:rPr>
        <w:t xml:space="preserve"> Our draft decision on JGN's regulatory depreciation allowance is $424.9 million ($nominal) over the 2015–20 access arrangement period, a reduction of $12.6 million ($nominal) or 2.9 per cent compared to the proposed amount. This is mainly due to:  </w:t>
      </w:r>
    </w:p>
    <w:p w:rsidR="005D0F54" w:rsidRPr="00D639D1" w:rsidRDefault="005D0F54" w:rsidP="005D0F54">
      <w:pPr>
        <w:pStyle w:val="AERbulletlistfirststyle"/>
        <w:rPr>
          <w:rStyle w:val="AERbody"/>
        </w:rPr>
      </w:pPr>
      <w:r w:rsidRPr="00D639D1">
        <w:rPr>
          <w:rStyle w:val="AERbody"/>
        </w:rPr>
        <w:t>Reduction of JGN's forecast net capex by $2</w:t>
      </w:r>
      <w:r w:rsidR="00D20CC4">
        <w:rPr>
          <w:rStyle w:val="AERbody"/>
        </w:rPr>
        <w:t>1</w:t>
      </w:r>
      <w:r w:rsidRPr="00D639D1">
        <w:rPr>
          <w:rStyle w:val="AERbody"/>
        </w:rPr>
        <w:t xml:space="preserve">1.4 million ($real 2015) or 18.7 per cent. Our detailed assessment of the proposed forecast capex allowance is set out in attachment 6. </w:t>
      </w:r>
    </w:p>
    <w:p w:rsidR="005D0F54" w:rsidRPr="00D639D1" w:rsidRDefault="005D0F54" w:rsidP="005D0F54">
      <w:pPr>
        <w:pStyle w:val="AERbulletlistfirststyle"/>
        <w:rPr>
          <w:rStyle w:val="AERbody"/>
        </w:rPr>
      </w:pPr>
      <w:r w:rsidRPr="00D639D1">
        <w:rPr>
          <w:rStyle w:val="AERbody"/>
        </w:rPr>
        <w:t>Reduction of the opening capital base as of 1 July 2015 by $1.6 million ($nominal). Our detailed assessment of the proposed opening capital base is set out in attachment 2.</w:t>
      </w:r>
    </w:p>
    <w:p w:rsidR="005D0F54" w:rsidRPr="00D639D1" w:rsidRDefault="005D0F54" w:rsidP="005D0F54">
      <w:pPr>
        <w:pStyle w:val="AERbulletlistfirststyle"/>
        <w:rPr>
          <w:rStyle w:val="AERbody"/>
        </w:rPr>
      </w:pPr>
      <w:r w:rsidRPr="00D639D1">
        <w:rPr>
          <w:rStyle w:val="AERbody"/>
        </w:rPr>
        <w:t>Update to the forecast inflation proposed by for the 2015–20 access arrangement period. Our assessment of JGN's proposed forecast inflation is set out in attachment 3.</w:t>
      </w:r>
    </w:p>
    <w:p w:rsidR="005D0F54" w:rsidRDefault="005D0F54" w:rsidP="005D0F54">
      <w:pPr>
        <w:pStyle w:val="AERbodytext"/>
      </w:pPr>
      <w:r w:rsidRPr="00D639D1">
        <w:rPr>
          <w:rStyle w:val="AERbody"/>
        </w:rPr>
        <w:t>With the exception of the 'Vehicles' asset class, we approve JGN's proposed standard asset lives assigned to each of its asset classes for the 2015–20 access arrangement</w:t>
      </w:r>
      <w:r w:rsidRPr="00620397">
        <w:t xml:space="preserve"> period</w:t>
      </w:r>
      <w:r>
        <w:t>.</w:t>
      </w:r>
      <w:r>
        <w:rPr>
          <w:rStyle w:val="FootnoteReference"/>
        </w:rPr>
        <w:footnoteReference w:id="25"/>
      </w:r>
      <w:r>
        <w:t xml:space="preserve"> For the 'Vehicles' asset class, we do not approve JGN's proposed standard asset life of four years, and instead require that this be set to six years.</w:t>
      </w:r>
    </w:p>
    <w:p w:rsidR="005D0F54" w:rsidRDefault="005D0F54" w:rsidP="005D0F54">
      <w:pPr>
        <w:pStyle w:val="AERbodytext"/>
      </w:pPr>
      <w:r w:rsidRPr="006733E6">
        <w:t xml:space="preserve">We approve the remaining </w:t>
      </w:r>
      <w:r>
        <w:t xml:space="preserve">asset </w:t>
      </w:r>
      <w:r w:rsidRPr="006733E6">
        <w:t xml:space="preserve">lives </w:t>
      </w:r>
      <w:r>
        <w:t xml:space="preserve">(as at 1 July 2015) </w:t>
      </w:r>
      <w:r w:rsidRPr="006733E6">
        <w:t>calculated using JGN’s approach, noting that there have been minor updates to these values reflecting other aspects of our draft decision</w:t>
      </w:r>
      <w:r>
        <w:t>.</w:t>
      </w:r>
      <w:r>
        <w:rPr>
          <w:rStyle w:val="FootnoteReference"/>
        </w:rPr>
        <w:footnoteReference w:id="26"/>
      </w:r>
    </w:p>
    <w:p w:rsidR="00A85385" w:rsidRDefault="00A85385">
      <w:pPr>
        <w:spacing w:after="0" w:line="240" w:lineRule="auto"/>
        <w:jc w:val="left"/>
        <w:rPr>
          <w:rFonts w:eastAsia="Times New Roman"/>
          <w:szCs w:val="24"/>
        </w:rPr>
      </w:pPr>
      <w:r>
        <w:br w:type="page"/>
      </w:r>
    </w:p>
    <w:p w:rsidR="005D0F54" w:rsidRPr="009D5ECB" w:rsidRDefault="005D0F54" w:rsidP="005D0F54">
      <w:pPr>
        <w:pStyle w:val="AERbodytext"/>
      </w:pPr>
      <w:r>
        <w:lastRenderedPageBreak/>
        <w:fldChar w:fldCharType="begin"/>
      </w:r>
      <w:r>
        <w:instrText xml:space="preserve"> REF _Ref398283146 \h </w:instrText>
      </w:r>
      <w:r>
        <w:fldChar w:fldCharType="separate"/>
      </w:r>
      <w:r w:rsidR="00A85385" w:rsidRPr="009D5ECB">
        <w:t xml:space="preserve">Table </w:t>
      </w:r>
      <w:r w:rsidR="00A85385">
        <w:rPr>
          <w:noProof/>
        </w:rPr>
        <w:t>5</w:t>
      </w:r>
      <w:r w:rsidR="00A85385">
        <w:noBreakHyphen/>
      </w:r>
      <w:r w:rsidR="00A85385">
        <w:rPr>
          <w:noProof/>
        </w:rPr>
        <w:t>4</w:t>
      </w:r>
      <w:r>
        <w:fldChar w:fldCharType="end"/>
      </w:r>
      <w:r>
        <w:t xml:space="preserve"> s</w:t>
      </w:r>
      <w:r w:rsidRPr="009D5ECB">
        <w:t xml:space="preserve">ets out our draft decision on the </w:t>
      </w:r>
      <w:r>
        <w:t xml:space="preserve">standard and </w:t>
      </w:r>
      <w:r w:rsidRPr="009D5ECB">
        <w:t xml:space="preserve">remaining </w:t>
      </w:r>
      <w:r>
        <w:t>asset</w:t>
      </w:r>
      <w:r w:rsidRPr="009D5ECB">
        <w:t xml:space="preserve"> lives </w:t>
      </w:r>
      <w:r w:rsidRPr="009D5ECB">
        <w:rPr>
          <w:rStyle w:val="AERbody"/>
        </w:rPr>
        <w:t>as at 1 July 201</w:t>
      </w:r>
      <w:r>
        <w:rPr>
          <w:rStyle w:val="AERbody"/>
        </w:rPr>
        <w:t>5</w:t>
      </w:r>
      <w:r w:rsidRPr="009D5ECB">
        <w:rPr>
          <w:rStyle w:val="AERbody"/>
        </w:rPr>
        <w:t xml:space="preserve"> for </w:t>
      </w:r>
      <w:r>
        <w:rPr>
          <w:rStyle w:val="AERbody"/>
        </w:rPr>
        <w:t>JGN</w:t>
      </w:r>
      <w:r w:rsidRPr="009D5ECB">
        <w:t>.</w:t>
      </w:r>
    </w:p>
    <w:p w:rsidR="005D0F54" w:rsidRDefault="005D0F54" w:rsidP="005D0F54">
      <w:pPr>
        <w:pStyle w:val="Caption"/>
      </w:pPr>
      <w:bookmarkStart w:id="29" w:name="_Ref398283146"/>
      <w:r w:rsidRPr="009D5ECB">
        <w:t xml:space="preserve">Table </w:t>
      </w:r>
      <w:r w:rsidR="0027004F">
        <w:fldChar w:fldCharType="begin"/>
      </w:r>
      <w:r w:rsidR="0027004F">
        <w:instrText xml:space="preserve"> STYLEREF 1 \s </w:instrText>
      </w:r>
      <w:r w:rsidR="0027004F">
        <w:fldChar w:fldCharType="separate"/>
      </w:r>
      <w:r w:rsidR="00A85385">
        <w:rPr>
          <w:noProof/>
        </w:rPr>
        <w:t>5</w:t>
      </w:r>
      <w:r w:rsidR="0027004F">
        <w:rPr>
          <w:noProof/>
        </w:rPr>
        <w:fldChar w:fldCharType="end"/>
      </w:r>
      <w:r>
        <w:noBreakHyphen/>
      </w:r>
      <w:r w:rsidR="0027004F">
        <w:fldChar w:fldCharType="begin"/>
      </w:r>
      <w:r w:rsidR="0027004F">
        <w:instrText xml:space="preserve"> SEQ Table \* ARABIC \s 1 </w:instrText>
      </w:r>
      <w:r w:rsidR="0027004F">
        <w:fldChar w:fldCharType="separate"/>
      </w:r>
      <w:r w:rsidR="00A85385">
        <w:rPr>
          <w:noProof/>
        </w:rPr>
        <w:t>4</w:t>
      </w:r>
      <w:r w:rsidR="0027004F">
        <w:rPr>
          <w:noProof/>
        </w:rPr>
        <w:fldChar w:fldCharType="end"/>
      </w:r>
      <w:bookmarkEnd w:id="29"/>
      <w:r w:rsidRPr="009D5ECB">
        <w:tab/>
        <w:t xml:space="preserve">AER's draft decision on </w:t>
      </w:r>
      <w:r>
        <w:t>JGN's</w:t>
      </w:r>
      <w:r w:rsidRPr="009D5ECB">
        <w:t xml:space="preserve"> </w:t>
      </w:r>
      <w:r>
        <w:t xml:space="preserve">standard and </w:t>
      </w:r>
      <w:r w:rsidRPr="009D5ECB">
        <w:t xml:space="preserve">remaining </w:t>
      </w:r>
      <w:r>
        <w:t>asset</w:t>
      </w:r>
      <w:r w:rsidRPr="009D5ECB">
        <w:t xml:space="preserve"> lives as at 1</w:t>
      </w:r>
      <w:r>
        <w:t> </w:t>
      </w:r>
      <w:r w:rsidRPr="009D5ECB">
        <w:t>July 201</w:t>
      </w:r>
      <w:r>
        <w:t>5</w:t>
      </w:r>
      <w:r w:rsidRPr="009D5ECB">
        <w:t xml:space="preserve"> (years)</w:t>
      </w:r>
    </w:p>
    <w:tbl>
      <w:tblPr>
        <w:tblStyle w:val="AERtable-numbers"/>
        <w:tblW w:w="9180" w:type="dxa"/>
        <w:tblLayout w:type="fixed"/>
        <w:tblLook w:val="04A0" w:firstRow="1" w:lastRow="0" w:firstColumn="1" w:lastColumn="0" w:noHBand="0" w:noVBand="1"/>
      </w:tblPr>
      <w:tblGrid>
        <w:gridCol w:w="4100"/>
        <w:gridCol w:w="2693"/>
        <w:gridCol w:w="2387"/>
      </w:tblGrid>
      <w:tr w:rsidR="005D0F54" w:rsidRPr="0018218B" w:rsidTr="005E445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4100" w:type="dxa"/>
            <w:noWrap/>
            <w:hideMark/>
          </w:tcPr>
          <w:p w:rsidR="005D0F54" w:rsidRPr="000E1E99" w:rsidRDefault="005D0F54" w:rsidP="002C11A3">
            <w:pPr>
              <w:pStyle w:val="AERtabletextleft"/>
            </w:pPr>
          </w:p>
        </w:tc>
        <w:tc>
          <w:tcPr>
            <w:tcW w:w="2693" w:type="dxa"/>
          </w:tcPr>
          <w:p w:rsidR="005D0F54" w:rsidRPr="000E1E99" w:rsidRDefault="005D0F54" w:rsidP="002C11A3">
            <w:pPr>
              <w:pStyle w:val="AERtabletextleft"/>
              <w:cnfStyle w:val="100000000000" w:firstRow="1" w:lastRow="0" w:firstColumn="0" w:lastColumn="0" w:oddVBand="0" w:evenVBand="0" w:oddHBand="0" w:evenHBand="0" w:firstRowFirstColumn="0" w:firstRowLastColumn="0" w:lastRowFirstColumn="0" w:lastRowLastColumn="0"/>
            </w:pPr>
            <w:r>
              <w:t>Standard</w:t>
            </w:r>
            <w:r w:rsidRPr="000E1E99">
              <w:t xml:space="preserve"> </w:t>
            </w:r>
            <w:r>
              <w:t>asset</w:t>
            </w:r>
            <w:r w:rsidRPr="000E1E99">
              <w:t xml:space="preserve"> li</w:t>
            </w:r>
            <w:r>
              <w:t>fe</w:t>
            </w:r>
            <w:r w:rsidRPr="000E1E99">
              <w:t xml:space="preserve"> </w:t>
            </w:r>
          </w:p>
        </w:tc>
        <w:tc>
          <w:tcPr>
            <w:tcW w:w="2387" w:type="dxa"/>
          </w:tcPr>
          <w:p w:rsidR="005D0F54" w:rsidRPr="000E1E99" w:rsidRDefault="005D0F54" w:rsidP="002C11A3">
            <w:pPr>
              <w:pStyle w:val="AERtabletextleft"/>
              <w:cnfStyle w:val="100000000000" w:firstRow="1" w:lastRow="0" w:firstColumn="0" w:lastColumn="0" w:oddVBand="0" w:evenVBand="0" w:oddHBand="0" w:evenHBand="0" w:firstRowFirstColumn="0" w:firstRowLastColumn="0" w:lastRowFirstColumn="0" w:lastRowLastColumn="0"/>
            </w:pPr>
            <w:r>
              <w:t>Remaining asset life</w:t>
            </w:r>
          </w:p>
        </w:tc>
      </w:tr>
      <w:tr w:rsidR="00D20CC4" w:rsidRPr="0018218B" w:rsidTr="00D20CC4">
        <w:trPr>
          <w:trHeight w:val="300"/>
        </w:trPr>
        <w:tc>
          <w:tcPr>
            <w:cnfStyle w:val="001000000000" w:firstRow="0" w:lastRow="0" w:firstColumn="1" w:lastColumn="0" w:oddVBand="0" w:evenVBand="0" w:oddHBand="0" w:evenHBand="0" w:firstRowFirstColumn="0" w:firstRowLastColumn="0" w:lastRowFirstColumn="0" w:lastRowLastColumn="0"/>
            <w:tcW w:w="4100" w:type="dxa"/>
            <w:noWrap/>
            <w:hideMark/>
          </w:tcPr>
          <w:p w:rsidR="00D20CC4" w:rsidRPr="00D20CC4" w:rsidRDefault="00D20CC4" w:rsidP="00D20CC4">
            <w:pPr>
              <w:pStyle w:val="AERtabletextleft"/>
            </w:pPr>
            <w:r w:rsidRPr="00D20CC4">
              <w:t xml:space="preserve">Trunk Wilton-Sydney </w:t>
            </w:r>
          </w:p>
        </w:tc>
        <w:tc>
          <w:tcPr>
            <w:tcW w:w="2693" w:type="dxa"/>
          </w:tcPr>
          <w:p w:rsidR="00D20CC4" w:rsidRPr="00D20CC4" w:rsidRDefault="00D20CC4" w:rsidP="00D20CC4">
            <w:pPr>
              <w:pStyle w:val="AERtabletextleft"/>
              <w:cnfStyle w:val="000000000000" w:firstRow="0" w:lastRow="0" w:firstColumn="0" w:lastColumn="0" w:oddVBand="0" w:evenVBand="0" w:oddHBand="0" w:evenHBand="0" w:firstRowFirstColumn="0" w:firstRowLastColumn="0" w:lastRowFirstColumn="0" w:lastRowLastColumn="0"/>
            </w:pPr>
            <w:r w:rsidRPr="00D20CC4">
              <w:t>80.0</w:t>
            </w:r>
          </w:p>
        </w:tc>
        <w:tc>
          <w:tcPr>
            <w:tcW w:w="2387" w:type="dxa"/>
            <w:vAlign w:val="bottom"/>
          </w:tcPr>
          <w:p w:rsidR="00D20CC4" w:rsidRPr="00D20CC4" w:rsidRDefault="00D20CC4" w:rsidP="00D20CC4">
            <w:pPr>
              <w:pStyle w:val="AERtabletextleft"/>
              <w:cnfStyle w:val="000000000000" w:firstRow="0" w:lastRow="0" w:firstColumn="0" w:lastColumn="0" w:oddVBand="0" w:evenVBand="0" w:oddHBand="0" w:evenHBand="0" w:firstRowFirstColumn="0" w:firstRowLastColumn="0" w:lastRowFirstColumn="0" w:lastRowLastColumn="0"/>
            </w:pPr>
            <w:r w:rsidRPr="00D20CC4">
              <w:t>38.5</w:t>
            </w:r>
          </w:p>
        </w:tc>
      </w:tr>
      <w:tr w:rsidR="00D20CC4" w:rsidRPr="0018218B" w:rsidTr="00D20CC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0" w:type="dxa"/>
            <w:noWrap/>
            <w:hideMark/>
          </w:tcPr>
          <w:p w:rsidR="00D20CC4" w:rsidRPr="00D20CC4" w:rsidRDefault="00D20CC4" w:rsidP="00D20CC4">
            <w:pPr>
              <w:pStyle w:val="AERtabletextleft"/>
            </w:pPr>
            <w:r w:rsidRPr="00D20CC4">
              <w:t xml:space="preserve">Trunk Sydney-Newcastle </w:t>
            </w:r>
          </w:p>
        </w:tc>
        <w:tc>
          <w:tcPr>
            <w:tcW w:w="2693" w:type="dxa"/>
          </w:tcPr>
          <w:p w:rsidR="00D20CC4" w:rsidRPr="00D20CC4" w:rsidRDefault="00D20CC4" w:rsidP="00D20CC4">
            <w:pPr>
              <w:pStyle w:val="AERtabletextleft"/>
              <w:cnfStyle w:val="000000010000" w:firstRow="0" w:lastRow="0" w:firstColumn="0" w:lastColumn="0" w:oddVBand="0" w:evenVBand="0" w:oddHBand="0" w:evenHBand="1" w:firstRowFirstColumn="0" w:firstRowLastColumn="0" w:lastRowFirstColumn="0" w:lastRowLastColumn="0"/>
            </w:pPr>
            <w:r w:rsidRPr="00D20CC4">
              <w:t>80.0</w:t>
            </w:r>
          </w:p>
        </w:tc>
        <w:tc>
          <w:tcPr>
            <w:tcW w:w="2387" w:type="dxa"/>
            <w:vAlign w:val="bottom"/>
          </w:tcPr>
          <w:p w:rsidR="00D20CC4" w:rsidRPr="00D20CC4" w:rsidRDefault="00D20CC4" w:rsidP="00D20CC4">
            <w:pPr>
              <w:pStyle w:val="AERtabletextleft"/>
              <w:cnfStyle w:val="000000010000" w:firstRow="0" w:lastRow="0" w:firstColumn="0" w:lastColumn="0" w:oddVBand="0" w:evenVBand="0" w:oddHBand="0" w:evenHBand="1" w:firstRowFirstColumn="0" w:firstRowLastColumn="0" w:lastRowFirstColumn="0" w:lastRowLastColumn="0"/>
            </w:pPr>
            <w:r w:rsidRPr="00D20CC4">
              <w:t>45.3</w:t>
            </w:r>
          </w:p>
        </w:tc>
      </w:tr>
      <w:tr w:rsidR="00D20CC4" w:rsidRPr="0018218B" w:rsidTr="00D20CC4">
        <w:trPr>
          <w:trHeight w:val="300"/>
        </w:trPr>
        <w:tc>
          <w:tcPr>
            <w:cnfStyle w:val="001000000000" w:firstRow="0" w:lastRow="0" w:firstColumn="1" w:lastColumn="0" w:oddVBand="0" w:evenVBand="0" w:oddHBand="0" w:evenHBand="0" w:firstRowFirstColumn="0" w:firstRowLastColumn="0" w:lastRowFirstColumn="0" w:lastRowLastColumn="0"/>
            <w:tcW w:w="4100" w:type="dxa"/>
            <w:noWrap/>
            <w:hideMark/>
          </w:tcPr>
          <w:p w:rsidR="00D20CC4" w:rsidRPr="00D20CC4" w:rsidRDefault="00D20CC4" w:rsidP="00D20CC4">
            <w:pPr>
              <w:pStyle w:val="AERtabletextleft"/>
            </w:pPr>
            <w:r w:rsidRPr="00D20CC4">
              <w:t xml:space="preserve">Transmission pipeline  (Wilton-Wollongong) </w:t>
            </w:r>
          </w:p>
        </w:tc>
        <w:tc>
          <w:tcPr>
            <w:tcW w:w="2693" w:type="dxa"/>
          </w:tcPr>
          <w:p w:rsidR="00D20CC4" w:rsidRPr="00D20CC4" w:rsidRDefault="00D20CC4" w:rsidP="00D20CC4">
            <w:pPr>
              <w:pStyle w:val="AERtabletextleft"/>
              <w:cnfStyle w:val="000000000000" w:firstRow="0" w:lastRow="0" w:firstColumn="0" w:lastColumn="0" w:oddVBand="0" w:evenVBand="0" w:oddHBand="0" w:evenHBand="0" w:firstRowFirstColumn="0" w:firstRowLastColumn="0" w:lastRowFirstColumn="0" w:lastRowLastColumn="0"/>
            </w:pPr>
            <w:r w:rsidRPr="00D20CC4">
              <w:t>80.0</w:t>
            </w:r>
          </w:p>
        </w:tc>
        <w:tc>
          <w:tcPr>
            <w:tcW w:w="2387" w:type="dxa"/>
            <w:vAlign w:val="bottom"/>
          </w:tcPr>
          <w:p w:rsidR="00D20CC4" w:rsidRPr="00D20CC4" w:rsidRDefault="00D20CC4" w:rsidP="00D20CC4">
            <w:pPr>
              <w:pStyle w:val="AERtabletextleft"/>
              <w:cnfStyle w:val="000000000000" w:firstRow="0" w:lastRow="0" w:firstColumn="0" w:lastColumn="0" w:oddVBand="0" w:evenVBand="0" w:oddHBand="0" w:evenHBand="0" w:firstRowFirstColumn="0" w:firstRowLastColumn="0" w:lastRowFirstColumn="0" w:lastRowLastColumn="0"/>
            </w:pPr>
            <w:r w:rsidRPr="00D20CC4">
              <w:t>37.9</w:t>
            </w:r>
          </w:p>
        </w:tc>
      </w:tr>
      <w:tr w:rsidR="00D20CC4" w:rsidRPr="0018218B" w:rsidTr="00D20CC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0" w:type="dxa"/>
            <w:noWrap/>
            <w:hideMark/>
          </w:tcPr>
          <w:p w:rsidR="00D20CC4" w:rsidRPr="00D20CC4" w:rsidRDefault="00D20CC4" w:rsidP="00D20CC4">
            <w:pPr>
              <w:pStyle w:val="AERtabletextleft"/>
            </w:pPr>
            <w:r w:rsidRPr="00D20CC4">
              <w:t xml:space="preserve">Contract meters </w:t>
            </w:r>
          </w:p>
        </w:tc>
        <w:tc>
          <w:tcPr>
            <w:tcW w:w="2693" w:type="dxa"/>
          </w:tcPr>
          <w:p w:rsidR="00D20CC4" w:rsidRPr="00D20CC4" w:rsidRDefault="00D20CC4" w:rsidP="00D20CC4">
            <w:pPr>
              <w:pStyle w:val="AERtabletextleft"/>
              <w:cnfStyle w:val="000000010000" w:firstRow="0" w:lastRow="0" w:firstColumn="0" w:lastColumn="0" w:oddVBand="0" w:evenVBand="0" w:oddHBand="0" w:evenHBand="1" w:firstRowFirstColumn="0" w:firstRowLastColumn="0" w:lastRowFirstColumn="0" w:lastRowLastColumn="0"/>
            </w:pPr>
            <w:r w:rsidRPr="00D20CC4">
              <w:t>20.0</w:t>
            </w:r>
          </w:p>
        </w:tc>
        <w:tc>
          <w:tcPr>
            <w:tcW w:w="2387" w:type="dxa"/>
            <w:vAlign w:val="bottom"/>
          </w:tcPr>
          <w:p w:rsidR="00D20CC4" w:rsidRPr="00D20CC4" w:rsidRDefault="00D20CC4" w:rsidP="00D20CC4">
            <w:pPr>
              <w:pStyle w:val="AERtabletextleft"/>
              <w:cnfStyle w:val="000000010000" w:firstRow="0" w:lastRow="0" w:firstColumn="0" w:lastColumn="0" w:oddVBand="0" w:evenVBand="0" w:oddHBand="0" w:evenHBand="1" w:firstRowFirstColumn="0" w:firstRowLastColumn="0" w:lastRowFirstColumn="0" w:lastRowLastColumn="0"/>
            </w:pPr>
            <w:r w:rsidRPr="00D20CC4">
              <w:t>8.4</w:t>
            </w:r>
          </w:p>
        </w:tc>
      </w:tr>
      <w:tr w:rsidR="00D20CC4" w:rsidRPr="0018218B" w:rsidTr="00D20CC4">
        <w:trPr>
          <w:trHeight w:val="300"/>
        </w:trPr>
        <w:tc>
          <w:tcPr>
            <w:cnfStyle w:val="001000000000" w:firstRow="0" w:lastRow="0" w:firstColumn="1" w:lastColumn="0" w:oddVBand="0" w:evenVBand="0" w:oddHBand="0" w:evenHBand="0" w:firstRowFirstColumn="0" w:firstRowLastColumn="0" w:lastRowFirstColumn="0" w:lastRowLastColumn="0"/>
            <w:tcW w:w="4100" w:type="dxa"/>
            <w:noWrap/>
            <w:hideMark/>
          </w:tcPr>
          <w:p w:rsidR="00D20CC4" w:rsidRPr="00D20CC4" w:rsidRDefault="00D20CC4" w:rsidP="00D20CC4">
            <w:pPr>
              <w:pStyle w:val="AERtabletextleft"/>
            </w:pPr>
            <w:r w:rsidRPr="00D20CC4">
              <w:t xml:space="preserve">Fixed Plant - distribution </w:t>
            </w:r>
          </w:p>
        </w:tc>
        <w:tc>
          <w:tcPr>
            <w:tcW w:w="2693" w:type="dxa"/>
          </w:tcPr>
          <w:p w:rsidR="00D20CC4" w:rsidRPr="00D20CC4" w:rsidRDefault="00D20CC4" w:rsidP="00D20CC4">
            <w:pPr>
              <w:pStyle w:val="AERtabletextleft"/>
              <w:cnfStyle w:val="000000000000" w:firstRow="0" w:lastRow="0" w:firstColumn="0" w:lastColumn="0" w:oddVBand="0" w:evenVBand="0" w:oddHBand="0" w:evenHBand="0" w:firstRowFirstColumn="0" w:firstRowLastColumn="0" w:lastRowFirstColumn="0" w:lastRowLastColumn="0"/>
            </w:pPr>
            <w:r w:rsidRPr="00D20CC4">
              <w:t>50.0</w:t>
            </w:r>
          </w:p>
        </w:tc>
        <w:tc>
          <w:tcPr>
            <w:tcW w:w="2387" w:type="dxa"/>
            <w:vAlign w:val="bottom"/>
          </w:tcPr>
          <w:p w:rsidR="00D20CC4" w:rsidRPr="00D20CC4" w:rsidRDefault="00D20CC4" w:rsidP="00D20CC4">
            <w:pPr>
              <w:pStyle w:val="AERtabletextleft"/>
              <w:cnfStyle w:val="000000000000" w:firstRow="0" w:lastRow="0" w:firstColumn="0" w:lastColumn="0" w:oddVBand="0" w:evenVBand="0" w:oddHBand="0" w:evenHBand="0" w:firstRowFirstColumn="0" w:firstRowLastColumn="0" w:lastRowFirstColumn="0" w:lastRowLastColumn="0"/>
            </w:pPr>
            <w:r w:rsidRPr="00D20CC4">
              <w:t>50.0</w:t>
            </w:r>
          </w:p>
        </w:tc>
      </w:tr>
      <w:tr w:rsidR="00D20CC4" w:rsidRPr="0018218B" w:rsidTr="00D20CC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0" w:type="dxa"/>
            <w:noWrap/>
            <w:hideMark/>
          </w:tcPr>
          <w:p w:rsidR="00D20CC4" w:rsidRPr="00D20CC4" w:rsidRDefault="00D20CC4" w:rsidP="00D20CC4">
            <w:pPr>
              <w:pStyle w:val="AERtabletextleft"/>
            </w:pPr>
            <w:r w:rsidRPr="00D20CC4">
              <w:t xml:space="preserve">HP mains </w:t>
            </w:r>
          </w:p>
        </w:tc>
        <w:tc>
          <w:tcPr>
            <w:tcW w:w="2693" w:type="dxa"/>
          </w:tcPr>
          <w:p w:rsidR="00D20CC4" w:rsidRPr="00D20CC4" w:rsidRDefault="00D20CC4" w:rsidP="00D20CC4">
            <w:pPr>
              <w:pStyle w:val="AERtabletextleft"/>
              <w:cnfStyle w:val="000000010000" w:firstRow="0" w:lastRow="0" w:firstColumn="0" w:lastColumn="0" w:oddVBand="0" w:evenVBand="0" w:oddHBand="0" w:evenHBand="1" w:firstRowFirstColumn="0" w:firstRowLastColumn="0" w:lastRowFirstColumn="0" w:lastRowLastColumn="0"/>
            </w:pPr>
            <w:r w:rsidRPr="00D20CC4">
              <w:t>80.0</w:t>
            </w:r>
          </w:p>
        </w:tc>
        <w:tc>
          <w:tcPr>
            <w:tcW w:w="2387" w:type="dxa"/>
            <w:vAlign w:val="bottom"/>
          </w:tcPr>
          <w:p w:rsidR="00D20CC4" w:rsidRPr="00D20CC4" w:rsidRDefault="00D20CC4" w:rsidP="00D20CC4">
            <w:pPr>
              <w:pStyle w:val="AERtabletextleft"/>
              <w:cnfStyle w:val="000000010000" w:firstRow="0" w:lastRow="0" w:firstColumn="0" w:lastColumn="0" w:oddVBand="0" w:evenVBand="0" w:oddHBand="0" w:evenHBand="1" w:firstRowFirstColumn="0" w:firstRowLastColumn="0" w:lastRowFirstColumn="0" w:lastRowLastColumn="0"/>
            </w:pPr>
            <w:r w:rsidRPr="00D20CC4">
              <w:t>59.8</w:t>
            </w:r>
          </w:p>
        </w:tc>
      </w:tr>
      <w:tr w:rsidR="00D20CC4" w:rsidRPr="0018218B" w:rsidTr="00D20CC4">
        <w:trPr>
          <w:trHeight w:val="300"/>
        </w:trPr>
        <w:tc>
          <w:tcPr>
            <w:cnfStyle w:val="001000000000" w:firstRow="0" w:lastRow="0" w:firstColumn="1" w:lastColumn="0" w:oddVBand="0" w:evenVBand="0" w:oddHBand="0" w:evenHBand="0" w:firstRowFirstColumn="0" w:firstRowLastColumn="0" w:lastRowFirstColumn="0" w:lastRowLastColumn="0"/>
            <w:tcW w:w="4100" w:type="dxa"/>
            <w:noWrap/>
            <w:hideMark/>
          </w:tcPr>
          <w:p w:rsidR="00D20CC4" w:rsidRPr="00D20CC4" w:rsidRDefault="00D20CC4" w:rsidP="00D20CC4">
            <w:pPr>
              <w:pStyle w:val="AERtabletextleft"/>
            </w:pPr>
            <w:r w:rsidRPr="00D20CC4">
              <w:t xml:space="preserve">HP services </w:t>
            </w:r>
          </w:p>
        </w:tc>
        <w:tc>
          <w:tcPr>
            <w:tcW w:w="2693" w:type="dxa"/>
          </w:tcPr>
          <w:p w:rsidR="00D20CC4" w:rsidRPr="00D20CC4" w:rsidRDefault="00D20CC4" w:rsidP="00D20CC4">
            <w:pPr>
              <w:pStyle w:val="AERtabletextleft"/>
              <w:cnfStyle w:val="000000000000" w:firstRow="0" w:lastRow="0" w:firstColumn="0" w:lastColumn="0" w:oddVBand="0" w:evenVBand="0" w:oddHBand="0" w:evenHBand="0" w:firstRowFirstColumn="0" w:firstRowLastColumn="0" w:lastRowFirstColumn="0" w:lastRowLastColumn="0"/>
            </w:pPr>
            <w:r w:rsidRPr="00D20CC4">
              <w:t>50.0</w:t>
            </w:r>
          </w:p>
        </w:tc>
        <w:tc>
          <w:tcPr>
            <w:tcW w:w="2387" w:type="dxa"/>
            <w:vAlign w:val="bottom"/>
          </w:tcPr>
          <w:p w:rsidR="00D20CC4" w:rsidRPr="00D20CC4" w:rsidRDefault="00D20CC4" w:rsidP="00D20CC4">
            <w:pPr>
              <w:pStyle w:val="AERtabletextleft"/>
              <w:cnfStyle w:val="000000000000" w:firstRow="0" w:lastRow="0" w:firstColumn="0" w:lastColumn="0" w:oddVBand="0" w:evenVBand="0" w:oddHBand="0" w:evenHBand="0" w:firstRowFirstColumn="0" w:firstRowLastColumn="0" w:lastRowFirstColumn="0" w:lastRowLastColumn="0"/>
            </w:pPr>
            <w:r w:rsidRPr="00D20CC4">
              <w:t>50.0</w:t>
            </w:r>
          </w:p>
        </w:tc>
      </w:tr>
      <w:tr w:rsidR="00D20CC4" w:rsidRPr="0018218B" w:rsidTr="00D20CC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0" w:type="dxa"/>
            <w:noWrap/>
            <w:hideMark/>
          </w:tcPr>
          <w:p w:rsidR="00D20CC4" w:rsidRPr="00D20CC4" w:rsidRDefault="00D20CC4" w:rsidP="00D20CC4">
            <w:pPr>
              <w:pStyle w:val="AERtabletextleft"/>
            </w:pPr>
            <w:r w:rsidRPr="00D20CC4">
              <w:t xml:space="preserve">MP mains </w:t>
            </w:r>
          </w:p>
        </w:tc>
        <w:tc>
          <w:tcPr>
            <w:tcW w:w="2693" w:type="dxa"/>
          </w:tcPr>
          <w:p w:rsidR="00D20CC4" w:rsidRPr="00D20CC4" w:rsidRDefault="00D20CC4" w:rsidP="00D20CC4">
            <w:pPr>
              <w:pStyle w:val="AERtabletextleft"/>
              <w:cnfStyle w:val="000000010000" w:firstRow="0" w:lastRow="0" w:firstColumn="0" w:lastColumn="0" w:oddVBand="0" w:evenVBand="0" w:oddHBand="0" w:evenHBand="1" w:firstRowFirstColumn="0" w:firstRowLastColumn="0" w:lastRowFirstColumn="0" w:lastRowLastColumn="0"/>
            </w:pPr>
            <w:r w:rsidRPr="00D20CC4">
              <w:t>50.0</w:t>
            </w:r>
          </w:p>
        </w:tc>
        <w:tc>
          <w:tcPr>
            <w:tcW w:w="2387" w:type="dxa"/>
            <w:vAlign w:val="bottom"/>
          </w:tcPr>
          <w:p w:rsidR="00D20CC4" w:rsidRPr="00D20CC4" w:rsidRDefault="00D20CC4" w:rsidP="00D20CC4">
            <w:pPr>
              <w:pStyle w:val="AERtabletextleft"/>
              <w:cnfStyle w:val="000000010000" w:firstRow="0" w:lastRow="0" w:firstColumn="0" w:lastColumn="0" w:oddVBand="0" w:evenVBand="0" w:oddHBand="0" w:evenHBand="1" w:firstRowFirstColumn="0" w:firstRowLastColumn="0" w:lastRowFirstColumn="0" w:lastRowLastColumn="0"/>
            </w:pPr>
            <w:r w:rsidRPr="00D20CC4">
              <w:t>26.3</w:t>
            </w:r>
          </w:p>
        </w:tc>
      </w:tr>
      <w:tr w:rsidR="00D20CC4" w:rsidRPr="0018218B" w:rsidTr="00D20CC4">
        <w:trPr>
          <w:trHeight w:val="300"/>
        </w:trPr>
        <w:tc>
          <w:tcPr>
            <w:cnfStyle w:val="001000000000" w:firstRow="0" w:lastRow="0" w:firstColumn="1" w:lastColumn="0" w:oddVBand="0" w:evenVBand="0" w:oddHBand="0" w:evenHBand="0" w:firstRowFirstColumn="0" w:firstRowLastColumn="0" w:lastRowFirstColumn="0" w:lastRowLastColumn="0"/>
            <w:tcW w:w="4100" w:type="dxa"/>
            <w:noWrap/>
            <w:hideMark/>
          </w:tcPr>
          <w:p w:rsidR="00D20CC4" w:rsidRPr="00D20CC4" w:rsidRDefault="00D20CC4" w:rsidP="00D20CC4">
            <w:pPr>
              <w:pStyle w:val="AERtabletextleft"/>
            </w:pPr>
            <w:r w:rsidRPr="00D20CC4">
              <w:t xml:space="preserve">MP services </w:t>
            </w:r>
          </w:p>
        </w:tc>
        <w:tc>
          <w:tcPr>
            <w:tcW w:w="2693" w:type="dxa"/>
          </w:tcPr>
          <w:p w:rsidR="00D20CC4" w:rsidRPr="00D20CC4" w:rsidRDefault="00D20CC4" w:rsidP="00D20CC4">
            <w:pPr>
              <w:pStyle w:val="AERtabletextleft"/>
              <w:cnfStyle w:val="000000000000" w:firstRow="0" w:lastRow="0" w:firstColumn="0" w:lastColumn="0" w:oddVBand="0" w:evenVBand="0" w:oddHBand="0" w:evenHBand="0" w:firstRowFirstColumn="0" w:firstRowLastColumn="0" w:lastRowFirstColumn="0" w:lastRowLastColumn="0"/>
            </w:pPr>
            <w:r w:rsidRPr="00D20CC4">
              <w:t>50.0</w:t>
            </w:r>
          </w:p>
        </w:tc>
        <w:tc>
          <w:tcPr>
            <w:tcW w:w="2387" w:type="dxa"/>
            <w:vAlign w:val="bottom"/>
          </w:tcPr>
          <w:p w:rsidR="00D20CC4" w:rsidRPr="00D20CC4" w:rsidRDefault="00D20CC4" w:rsidP="00D20CC4">
            <w:pPr>
              <w:pStyle w:val="AERtabletextleft"/>
              <w:cnfStyle w:val="000000000000" w:firstRow="0" w:lastRow="0" w:firstColumn="0" w:lastColumn="0" w:oddVBand="0" w:evenVBand="0" w:oddHBand="0" w:evenHBand="0" w:firstRowFirstColumn="0" w:firstRowLastColumn="0" w:lastRowFirstColumn="0" w:lastRowLastColumn="0"/>
            </w:pPr>
            <w:r w:rsidRPr="00D20CC4">
              <w:t>37.1</w:t>
            </w:r>
          </w:p>
        </w:tc>
      </w:tr>
      <w:tr w:rsidR="00D20CC4" w:rsidRPr="0018218B" w:rsidTr="00D20CC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0" w:type="dxa"/>
            <w:noWrap/>
            <w:hideMark/>
          </w:tcPr>
          <w:p w:rsidR="00D20CC4" w:rsidRPr="00D20CC4" w:rsidRDefault="00D20CC4" w:rsidP="00D20CC4">
            <w:pPr>
              <w:pStyle w:val="AERtabletextleft"/>
            </w:pPr>
            <w:r w:rsidRPr="00D20CC4">
              <w:t xml:space="preserve">Meter reading devices </w:t>
            </w:r>
          </w:p>
        </w:tc>
        <w:tc>
          <w:tcPr>
            <w:tcW w:w="2693" w:type="dxa"/>
          </w:tcPr>
          <w:p w:rsidR="00D20CC4" w:rsidRPr="00D20CC4" w:rsidRDefault="00D20CC4" w:rsidP="00D20CC4">
            <w:pPr>
              <w:pStyle w:val="AERtabletextleft"/>
              <w:cnfStyle w:val="000000010000" w:firstRow="0" w:lastRow="0" w:firstColumn="0" w:lastColumn="0" w:oddVBand="0" w:evenVBand="0" w:oddHBand="0" w:evenHBand="1" w:firstRowFirstColumn="0" w:firstRowLastColumn="0" w:lastRowFirstColumn="0" w:lastRowLastColumn="0"/>
            </w:pPr>
            <w:r w:rsidRPr="00D20CC4">
              <w:t>20.0</w:t>
            </w:r>
          </w:p>
        </w:tc>
        <w:tc>
          <w:tcPr>
            <w:tcW w:w="2387" w:type="dxa"/>
            <w:vAlign w:val="bottom"/>
          </w:tcPr>
          <w:p w:rsidR="00D20CC4" w:rsidRPr="00D20CC4" w:rsidRDefault="00D20CC4" w:rsidP="00D20CC4">
            <w:pPr>
              <w:pStyle w:val="AERtabletextleft"/>
              <w:cnfStyle w:val="000000010000" w:firstRow="0" w:lastRow="0" w:firstColumn="0" w:lastColumn="0" w:oddVBand="0" w:evenVBand="0" w:oddHBand="0" w:evenHBand="1" w:firstRowFirstColumn="0" w:firstRowLastColumn="0" w:lastRowFirstColumn="0" w:lastRowLastColumn="0"/>
            </w:pPr>
            <w:r w:rsidRPr="00D20CC4">
              <w:t>20.0</w:t>
            </w:r>
          </w:p>
        </w:tc>
      </w:tr>
      <w:tr w:rsidR="00D20CC4" w:rsidRPr="0018218B" w:rsidTr="00D20CC4">
        <w:trPr>
          <w:trHeight w:val="300"/>
        </w:trPr>
        <w:tc>
          <w:tcPr>
            <w:cnfStyle w:val="001000000000" w:firstRow="0" w:lastRow="0" w:firstColumn="1" w:lastColumn="0" w:oddVBand="0" w:evenVBand="0" w:oddHBand="0" w:evenHBand="0" w:firstRowFirstColumn="0" w:firstRowLastColumn="0" w:lastRowFirstColumn="0" w:lastRowLastColumn="0"/>
            <w:tcW w:w="4100" w:type="dxa"/>
            <w:noWrap/>
            <w:hideMark/>
          </w:tcPr>
          <w:p w:rsidR="00D20CC4" w:rsidRPr="00D20CC4" w:rsidRDefault="00D20CC4" w:rsidP="00D20CC4">
            <w:pPr>
              <w:pStyle w:val="AERtabletextleft"/>
            </w:pPr>
            <w:r w:rsidRPr="00D20CC4">
              <w:t xml:space="preserve">Country POTS  </w:t>
            </w:r>
          </w:p>
        </w:tc>
        <w:tc>
          <w:tcPr>
            <w:tcW w:w="2693" w:type="dxa"/>
          </w:tcPr>
          <w:p w:rsidR="00D20CC4" w:rsidRPr="00D20CC4" w:rsidRDefault="00D20CC4" w:rsidP="00D20CC4">
            <w:pPr>
              <w:pStyle w:val="AERtabletextleft"/>
              <w:cnfStyle w:val="000000000000" w:firstRow="0" w:lastRow="0" w:firstColumn="0" w:lastColumn="0" w:oddVBand="0" w:evenVBand="0" w:oddHBand="0" w:evenHBand="0" w:firstRowFirstColumn="0" w:firstRowLastColumn="0" w:lastRowFirstColumn="0" w:lastRowLastColumn="0"/>
            </w:pPr>
            <w:r w:rsidRPr="00D20CC4">
              <w:t>50.0</w:t>
            </w:r>
          </w:p>
        </w:tc>
        <w:tc>
          <w:tcPr>
            <w:tcW w:w="2387" w:type="dxa"/>
            <w:vAlign w:val="bottom"/>
          </w:tcPr>
          <w:p w:rsidR="00D20CC4" w:rsidRPr="00D20CC4" w:rsidRDefault="00D20CC4" w:rsidP="00D20CC4">
            <w:pPr>
              <w:pStyle w:val="AERtabletextleft"/>
              <w:cnfStyle w:val="000000000000" w:firstRow="0" w:lastRow="0" w:firstColumn="0" w:lastColumn="0" w:oddVBand="0" w:evenVBand="0" w:oddHBand="0" w:evenHBand="0" w:firstRowFirstColumn="0" w:firstRowLastColumn="0" w:lastRowFirstColumn="0" w:lastRowLastColumn="0"/>
            </w:pPr>
            <w:r w:rsidRPr="00D20CC4">
              <w:t>33.0</w:t>
            </w:r>
          </w:p>
        </w:tc>
      </w:tr>
      <w:tr w:rsidR="00D20CC4" w:rsidRPr="0018218B" w:rsidTr="00D20CC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0" w:type="dxa"/>
            <w:noWrap/>
            <w:hideMark/>
          </w:tcPr>
          <w:p w:rsidR="00D20CC4" w:rsidRPr="00D20CC4" w:rsidRDefault="00D20CC4" w:rsidP="00D20CC4">
            <w:pPr>
              <w:pStyle w:val="AERtabletextleft"/>
            </w:pPr>
            <w:r w:rsidRPr="00D20CC4">
              <w:t xml:space="preserve">Tariff meters </w:t>
            </w:r>
          </w:p>
        </w:tc>
        <w:tc>
          <w:tcPr>
            <w:tcW w:w="2693" w:type="dxa"/>
          </w:tcPr>
          <w:p w:rsidR="00D20CC4" w:rsidRPr="00D20CC4" w:rsidRDefault="00D20CC4" w:rsidP="00D20CC4">
            <w:pPr>
              <w:pStyle w:val="AERtabletextleft"/>
              <w:cnfStyle w:val="000000010000" w:firstRow="0" w:lastRow="0" w:firstColumn="0" w:lastColumn="0" w:oddVBand="0" w:evenVBand="0" w:oddHBand="0" w:evenHBand="1" w:firstRowFirstColumn="0" w:firstRowLastColumn="0" w:lastRowFirstColumn="0" w:lastRowLastColumn="0"/>
            </w:pPr>
            <w:r w:rsidRPr="00D20CC4">
              <w:t>20.0</w:t>
            </w:r>
          </w:p>
        </w:tc>
        <w:tc>
          <w:tcPr>
            <w:tcW w:w="2387" w:type="dxa"/>
            <w:vAlign w:val="bottom"/>
          </w:tcPr>
          <w:p w:rsidR="00D20CC4" w:rsidRPr="00D20CC4" w:rsidRDefault="00D20CC4" w:rsidP="00D20CC4">
            <w:pPr>
              <w:pStyle w:val="AERtabletextleft"/>
              <w:cnfStyle w:val="000000010000" w:firstRow="0" w:lastRow="0" w:firstColumn="0" w:lastColumn="0" w:oddVBand="0" w:evenVBand="0" w:oddHBand="0" w:evenHBand="1" w:firstRowFirstColumn="0" w:firstRowLastColumn="0" w:lastRowFirstColumn="0" w:lastRowLastColumn="0"/>
            </w:pPr>
            <w:r w:rsidRPr="00D20CC4">
              <w:t>9.1</w:t>
            </w:r>
          </w:p>
        </w:tc>
      </w:tr>
      <w:tr w:rsidR="00D20CC4" w:rsidRPr="0018218B" w:rsidTr="00D20CC4">
        <w:trPr>
          <w:trHeight w:val="300"/>
        </w:trPr>
        <w:tc>
          <w:tcPr>
            <w:cnfStyle w:val="001000000000" w:firstRow="0" w:lastRow="0" w:firstColumn="1" w:lastColumn="0" w:oddVBand="0" w:evenVBand="0" w:oddHBand="0" w:evenHBand="0" w:firstRowFirstColumn="0" w:firstRowLastColumn="0" w:lastRowFirstColumn="0" w:lastRowLastColumn="0"/>
            <w:tcW w:w="4100" w:type="dxa"/>
            <w:noWrap/>
            <w:hideMark/>
          </w:tcPr>
          <w:p w:rsidR="00D20CC4" w:rsidRPr="00D20CC4" w:rsidRDefault="00D20CC4" w:rsidP="00D20CC4">
            <w:pPr>
              <w:pStyle w:val="AERtabletextleft"/>
            </w:pPr>
            <w:r w:rsidRPr="00D20CC4">
              <w:t xml:space="preserve">Building  </w:t>
            </w:r>
          </w:p>
        </w:tc>
        <w:tc>
          <w:tcPr>
            <w:tcW w:w="2693" w:type="dxa"/>
          </w:tcPr>
          <w:p w:rsidR="00D20CC4" w:rsidRPr="00D20CC4" w:rsidRDefault="00D20CC4" w:rsidP="00D20CC4">
            <w:pPr>
              <w:pStyle w:val="AERtabletextleft"/>
              <w:cnfStyle w:val="000000000000" w:firstRow="0" w:lastRow="0" w:firstColumn="0" w:lastColumn="0" w:oddVBand="0" w:evenVBand="0" w:oddHBand="0" w:evenHBand="0" w:firstRowFirstColumn="0" w:firstRowLastColumn="0" w:lastRowFirstColumn="0" w:lastRowLastColumn="0"/>
            </w:pPr>
            <w:r w:rsidRPr="00D20CC4">
              <w:t>48.0</w:t>
            </w:r>
          </w:p>
        </w:tc>
        <w:tc>
          <w:tcPr>
            <w:tcW w:w="2387" w:type="dxa"/>
            <w:vAlign w:val="bottom"/>
          </w:tcPr>
          <w:p w:rsidR="00D20CC4" w:rsidRPr="00D20CC4" w:rsidRDefault="00D20CC4" w:rsidP="00D20CC4">
            <w:pPr>
              <w:pStyle w:val="AERtabletextleft"/>
              <w:cnfStyle w:val="000000000000" w:firstRow="0" w:lastRow="0" w:firstColumn="0" w:lastColumn="0" w:oddVBand="0" w:evenVBand="0" w:oddHBand="0" w:evenHBand="0" w:firstRowFirstColumn="0" w:firstRowLastColumn="0" w:lastRowFirstColumn="0" w:lastRowLastColumn="0"/>
            </w:pPr>
            <w:r w:rsidRPr="00D20CC4">
              <w:t>48.0</w:t>
            </w:r>
          </w:p>
        </w:tc>
      </w:tr>
      <w:tr w:rsidR="00D20CC4" w:rsidRPr="0018218B" w:rsidTr="00D20CC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0" w:type="dxa"/>
            <w:noWrap/>
            <w:hideMark/>
          </w:tcPr>
          <w:p w:rsidR="00D20CC4" w:rsidRPr="00D20CC4" w:rsidRDefault="00D20CC4" w:rsidP="00D20CC4">
            <w:pPr>
              <w:pStyle w:val="AERtabletextleft"/>
            </w:pPr>
            <w:r w:rsidRPr="00D20CC4">
              <w:t xml:space="preserve">Computers </w:t>
            </w:r>
          </w:p>
        </w:tc>
        <w:tc>
          <w:tcPr>
            <w:tcW w:w="2693" w:type="dxa"/>
          </w:tcPr>
          <w:p w:rsidR="00D20CC4" w:rsidRPr="00D20CC4" w:rsidRDefault="00D20CC4" w:rsidP="00D20CC4">
            <w:pPr>
              <w:pStyle w:val="AERtabletextleft"/>
              <w:cnfStyle w:val="000000010000" w:firstRow="0" w:lastRow="0" w:firstColumn="0" w:lastColumn="0" w:oddVBand="0" w:evenVBand="0" w:oddHBand="0" w:evenHBand="1" w:firstRowFirstColumn="0" w:firstRowLastColumn="0" w:lastRowFirstColumn="0" w:lastRowLastColumn="0"/>
            </w:pPr>
            <w:r w:rsidRPr="00D20CC4">
              <w:t>5.0</w:t>
            </w:r>
          </w:p>
        </w:tc>
        <w:tc>
          <w:tcPr>
            <w:tcW w:w="2387" w:type="dxa"/>
            <w:vAlign w:val="bottom"/>
          </w:tcPr>
          <w:p w:rsidR="00D20CC4" w:rsidRPr="00D20CC4" w:rsidRDefault="00D20CC4" w:rsidP="00D20CC4">
            <w:pPr>
              <w:pStyle w:val="AERtabletextleft"/>
              <w:cnfStyle w:val="000000010000" w:firstRow="0" w:lastRow="0" w:firstColumn="0" w:lastColumn="0" w:oddVBand="0" w:evenVBand="0" w:oddHBand="0" w:evenHBand="1" w:firstRowFirstColumn="0" w:firstRowLastColumn="0" w:lastRowFirstColumn="0" w:lastRowLastColumn="0"/>
            </w:pPr>
            <w:r w:rsidRPr="00D20CC4">
              <w:t>5.0</w:t>
            </w:r>
          </w:p>
        </w:tc>
      </w:tr>
      <w:tr w:rsidR="00D20CC4" w:rsidRPr="0018218B" w:rsidTr="00D20CC4">
        <w:trPr>
          <w:trHeight w:val="300"/>
        </w:trPr>
        <w:tc>
          <w:tcPr>
            <w:cnfStyle w:val="001000000000" w:firstRow="0" w:lastRow="0" w:firstColumn="1" w:lastColumn="0" w:oddVBand="0" w:evenVBand="0" w:oddHBand="0" w:evenHBand="0" w:firstRowFirstColumn="0" w:firstRowLastColumn="0" w:lastRowFirstColumn="0" w:lastRowLastColumn="0"/>
            <w:tcW w:w="4100" w:type="dxa"/>
            <w:noWrap/>
            <w:hideMark/>
          </w:tcPr>
          <w:p w:rsidR="00D20CC4" w:rsidRPr="00D20CC4" w:rsidRDefault="00D20CC4" w:rsidP="00D20CC4">
            <w:pPr>
              <w:pStyle w:val="AERtabletextleft"/>
            </w:pPr>
            <w:r w:rsidRPr="00D20CC4">
              <w:t xml:space="preserve">Software </w:t>
            </w:r>
          </w:p>
        </w:tc>
        <w:tc>
          <w:tcPr>
            <w:tcW w:w="2693" w:type="dxa"/>
          </w:tcPr>
          <w:p w:rsidR="00D20CC4" w:rsidRPr="00D20CC4" w:rsidRDefault="00D20CC4" w:rsidP="00D20CC4">
            <w:pPr>
              <w:pStyle w:val="AERtabletextleft"/>
              <w:cnfStyle w:val="000000000000" w:firstRow="0" w:lastRow="0" w:firstColumn="0" w:lastColumn="0" w:oddVBand="0" w:evenVBand="0" w:oddHBand="0" w:evenHBand="0" w:firstRowFirstColumn="0" w:firstRowLastColumn="0" w:lastRowFirstColumn="0" w:lastRowLastColumn="0"/>
            </w:pPr>
            <w:r w:rsidRPr="00D20CC4">
              <w:t>5.0</w:t>
            </w:r>
          </w:p>
        </w:tc>
        <w:tc>
          <w:tcPr>
            <w:tcW w:w="2387" w:type="dxa"/>
            <w:vAlign w:val="bottom"/>
          </w:tcPr>
          <w:p w:rsidR="00D20CC4" w:rsidRPr="00D20CC4" w:rsidRDefault="00D20CC4" w:rsidP="00D20CC4">
            <w:pPr>
              <w:pStyle w:val="AERtabletextleft"/>
              <w:cnfStyle w:val="000000000000" w:firstRow="0" w:lastRow="0" w:firstColumn="0" w:lastColumn="0" w:oddVBand="0" w:evenVBand="0" w:oddHBand="0" w:evenHBand="0" w:firstRowFirstColumn="0" w:firstRowLastColumn="0" w:lastRowFirstColumn="0" w:lastRowLastColumn="0"/>
            </w:pPr>
            <w:r w:rsidRPr="00D20CC4">
              <w:t>4.1</w:t>
            </w:r>
          </w:p>
        </w:tc>
      </w:tr>
      <w:tr w:rsidR="00D20CC4" w:rsidRPr="0018218B" w:rsidTr="00D20CC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0" w:type="dxa"/>
            <w:noWrap/>
            <w:hideMark/>
          </w:tcPr>
          <w:p w:rsidR="00D20CC4" w:rsidRPr="00D20CC4" w:rsidRDefault="00D20CC4" w:rsidP="00D20CC4">
            <w:pPr>
              <w:pStyle w:val="AERtabletextleft"/>
            </w:pPr>
            <w:r w:rsidRPr="00D20CC4">
              <w:t xml:space="preserve">Fixed plant </w:t>
            </w:r>
          </w:p>
        </w:tc>
        <w:tc>
          <w:tcPr>
            <w:tcW w:w="2693" w:type="dxa"/>
          </w:tcPr>
          <w:p w:rsidR="00D20CC4" w:rsidRPr="00D20CC4" w:rsidRDefault="00D20CC4" w:rsidP="00D20CC4">
            <w:pPr>
              <w:pStyle w:val="AERtabletextleft"/>
              <w:cnfStyle w:val="000000010000" w:firstRow="0" w:lastRow="0" w:firstColumn="0" w:lastColumn="0" w:oddVBand="0" w:evenVBand="0" w:oddHBand="0" w:evenHBand="1" w:firstRowFirstColumn="0" w:firstRowLastColumn="0" w:lastRowFirstColumn="0" w:lastRowLastColumn="0"/>
            </w:pPr>
            <w:r w:rsidRPr="00D20CC4">
              <w:t>10.0</w:t>
            </w:r>
          </w:p>
        </w:tc>
        <w:tc>
          <w:tcPr>
            <w:tcW w:w="2387" w:type="dxa"/>
            <w:vAlign w:val="bottom"/>
          </w:tcPr>
          <w:p w:rsidR="00D20CC4" w:rsidRPr="00D20CC4" w:rsidRDefault="00D20CC4" w:rsidP="00D20CC4">
            <w:pPr>
              <w:pStyle w:val="AERtabletextleft"/>
              <w:cnfStyle w:val="000000010000" w:firstRow="0" w:lastRow="0" w:firstColumn="0" w:lastColumn="0" w:oddVBand="0" w:evenVBand="0" w:oddHBand="0" w:evenHBand="1" w:firstRowFirstColumn="0" w:firstRowLastColumn="0" w:lastRowFirstColumn="0" w:lastRowLastColumn="0"/>
            </w:pPr>
            <w:r w:rsidRPr="00D20CC4">
              <w:t>9.3</w:t>
            </w:r>
          </w:p>
        </w:tc>
      </w:tr>
      <w:tr w:rsidR="00D20CC4" w:rsidRPr="0018218B" w:rsidTr="00D20CC4">
        <w:trPr>
          <w:trHeight w:val="300"/>
        </w:trPr>
        <w:tc>
          <w:tcPr>
            <w:cnfStyle w:val="001000000000" w:firstRow="0" w:lastRow="0" w:firstColumn="1" w:lastColumn="0" w:oddVBand="0" w:evenVBand="0" w:oddHBand="0" w:evenHBand="0" w:firstRowFirstColumn="0" w:firstRowLastColumn="0" w:lastRowFirstColumn="0" w:lastRowLastColumn="0"/>
            <w:tcW w:w="4100" w:type="dxa"/>
            <w:noWrap/>
            <w:hideMark/>
          </w:tcPr>
          <w:p w:rsidR="00D20CC4" w:rsidRPr="00D20CC4" w:rsidRDefault="00D20CC4" w:rsidP="00D20CC4">
            <w:pPr>
              <w:pStyle w:val="AERtabletextleft"/>
            </w:pPr>
            <w:r w:rsidRPr="00D20CC4">
              <w:t xml:space="preserve">Furniture </w:t>
            </w:r>
          </w:p>
        </w:tc>
        <w:tc>
          <w:tcPr>
            <w:tcW w:w="2693" w:type="dxa"/>
          </w:tcPr>
          <w:p w:rsidR="00D20CC4" w:rsidRPr="00D20CC4" w:rsidRDefault="00D20CC4" w:rsidP="00D20CC4">
            <w:pPr>
              <w:pStyle w:val="AERtabletextleft"/>
              <w:cnfStyle w:val="000000000000" w:firstRow="0" w:lastRow="0" w:firstColumn="0" w:lastColumn="0" w:oddVBand="0" w:evenVBand="0" w:oddHBand="0" w:evenHBand="0" w:firstRowFirstColumn="0" w:firstRowLastColumn="0" w:lastRowFirstColumn="0" w:lastRowLastColumn="0"/>
            </w:pPr>
            <w:r w:rsidRPr="00D20CC4">
              <w:t>10.0</w:t>
            </w:r>
          </w:p>
        </w:tc>
        <w:tc>
          <w:tcPr>
            <w:tcW w:w="2387" w:type="dxa"/>
            <w:vAlign w:val="bottom"/>
          </w:tcPr>
          <w:p w:rsidR="00D20CC4" w:rsidRPr="00D20CC4" w:rsidRDefault="00D20CC4" w:rsidP="00D20CC4">
            <w:pPr>
              <w:pStyle w:val="AERtabletextleft"/>
              <w:cnfStyle w:val="000000000000" w:firstRow="0" w:lastRow="0" w:firstColumn="0" w:lastColumn="0" w:oddVBand="0" w:evenVBand="0" w:oddHBand="0" w:evenHBand="0" w:firstRowFirstColumn="0" w:firstRowLastColumn="0" w:lastRowFirstColumn="0" w:lastRowLastColumn="0"/>
            </w:pPr>
            <w:r w:rsidRPr="00D20CC4">
              <w:t>10.0</w:t>
            </w:r>
          </w:p>
        </w:tc>
      </w:tr>
      <w:tr w:rsidR="00D20CC4" w:rsidRPr="0018218B" w:rsidTr="00D20CC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0" w:type="dxa"/>
            <w:noWrap/>
            <w:hideMark/>
          </w:tcPr>
          <w:p w:rsidR="00D20CC4" w:rsidRPr="00D20CC4" w:rsidRDefault="00D20CC4" w:rsidP="00D20CC4">
            <w:pPr>
              <w:pStyle w:val="AERtabletextleft"/>
            </w:pPr>
            <w:r w:rsidRPr="00D20CC4">
              <w:t xml:space="preserve">Land </w:t>
            </w:r>
          </w:p>
        </w:tc>
        <w:tc>
          <w:tcPr>
            <w:tcW w:w="2693" w:type="dxa"/>
          </w:tcPr>
          <w:p w:rsidR="00D20CC4" w:rsidRPr="00D20CC4" w:rsidRDefault="00D20CC4" w:rsidP="00D20CC4">
            <w:pPr>
              <w:pStyle w:val="AERtabletextleft"/>
              <w:cnfStyle w:val="000000010000" w:firstRow="0" w:lastRow="0" w:firstColumn="0" w:lastColumn="0" w:oddVBand="0" w:evenVBand="0" w:oddHBand="0" w:evenHBand="1" w:firstRowFirstColumn="0" w:firstRowLastColumn="0" w:lastRowFirstColumn="0" w:lastRowLastColumn="0"/>
            </w:pPr>
            <w:r w:rsidRPr="00D20CC4">
              <w:t>n/a</w:t>
            </w:r>
          </w:p>
        </w:tc>
        <w:tc>
          <w:tcPr>
            <w:tcW w:w="2387" w:type="dxa"/>
            <w:vAlign w:val="bottom"/>
          </w:tcPr>
          <w:p w:rsidR="00D20CC4" w:rsidRPr="00D20CC4" w:rsidRDefault="00950C29" w:rsidP="00D20CC4">
            <w:pPr>
              <w:pStyle w:val="AERtabletextleft"/>
              <w:cnfStyle w:val="000000010000" w:firstRow="0" w:lastRow="0" w:firstColumn="0" w:lastColumn="0" w:oddVBand="0" w:evenVBand="0" w:oddHBand="0" w:evenHBand="1" w:firstRowFirstColumn="0" w:firstRowLastColumn="0" w:lastRowFirstColumn="0" w:lastRowLastColumn="0"/>
            </w:pPr>
            <w:r>
              <w:t>n/a</w:t>
            </w:r>
          </w:p>
        </w:tc>
      </w:tr>
      <w:tr w:rsidR="00D20CC4" w:rsidRPr="0018218B" w:rsidTr="00D20CC4">
        <w:trPr>
          <w:trHeight w:val="300"/>
        </w:trPr>
        <w:tc>
          <w:tcPr>
            <w:cnfStyle w:val="001000000000" w:firstRow="0" w:lastRow="0" w:firstColumn="1" w:lastColumn="0" w:oddVBand="0" w:evenVBand="0" w:oddHBand="0" w:evenHBand="0" w:firstRowFirstColumn="0" w:firstRowLastColumn="0" w:lastRowFirstColumn="0" w:lastRowLastColumn="0"/>
            <w:tcW w:w="4100" w:type="dxa"/>
            <w:noWrap/>
            <w:hideMark/>
          </w:tcPr>
          <w:p w:rsidR="00D20CC4" w:rsidRPr="00D20CC4" w:rsidRDefault="00D20CC4" w:rsidP="00D20CC4">
            <w:pPr>
              <w:pStyle w:val="AERtabletextleft"/>
            </w:pPr>
            <w:r w:rsidRPr="00D20CC4">
              <w:t xml:space="preserve">Leasehold improvements </w:t>
            </w:r>
          </w:p>
        </w:tc>
        <w:tc>
          <w:tcPr>
            <w:tcW w:w="2693" w:type="dxa"/>
          </w:tcPr>
          <w:p w:rsidR="00D20CC4" w:rsidRPr="00D20CC4" w:rsidRDefault="00D20CC4" w:rsidP="00D20CC4">
            <w:pPr>
              <w:pStyle w:val="AERtabletextleft"/>
              <w:cnfStyle w:val="000000000000" w:firstRow="0" w:lastRow="0" w:firstColumn="0" w:lastColumn="0" w:oddVBand="0" w:evenVBand="0" w:oddHBand="0" w:evenHBand="0" w:firstRowFirstColumn="0" w:firstRowLastColumn="0" w:lastRowFirstColumn="0" w:lastRowLastColumn="0"/>
            </w:pPr>
            <w:r w:rsidRPr="00D20CC4">
              <w:t>10.0</w:t>
            </w:r>
          </w:p>
        </w:tc>
        <w:tc>
          <w:tcPr>
            <w:tcW w:w="2387" w:type="dxa"/>
            <w:vAlign w:val="bottom"/>
          </w:tcPr>
          <w:p w:rsidR="00D20CC4" w:rsidRPr="00D20CC4" w:rsidRDefault="00D20CC4" w:rsidP="00D20CC4">
            <w:pPr>
              <w:pStyle w:val="AERtabletextleft"/>
              <w:cnfStyle w:val="000000000000" w:firstRow="0" w:lastRow="0" w:firstColumn="0" w:lastColumn="0" w:oddVBand="0" w:evenVBand="0" w:oddHBand="0" w:evenHBand="0" w:firstRowFirstColumn="0" w:firstRowLastColumn="0" w:lastRowFirstColumn="0" w:lastRowLastColumn="0"/>
            </w:pPr>
            <w:r w:rsidRPr="00D20CC4">
              <w:t>10.0</w:t>
            </w:r>
          </w:p>
        </w:tc>
      </w:tr>
      <w:tr w:rsidR="00D20CC4" w:rsidRPr="0018218B" w:rsidTr="00D20CC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0" w:type="dxa"/>
            <w:noWrap/>
            <w:hideMark/>
          </w:tcPr>
          <w:p w:rsidR="00D20CC4" w:rsidRPr="00D20CC4" w:rsidRDefault="00D20CC4" w:rsidP="00D20CC4">
            <w:pPr>
              <w:pStyle w:val="AERtabletextleft"/>
            </w:pPr>
            <w:r w:rsidRPr="00D20CC4">
              <w:t xml:space="preserve">Low value assets </w:t>
            </w:r>
          </w:p>
        </w:tc>
        <w:tc>
          <w:tcPr>
            <w:tcW w:w="2693" w:type="dxa"/>
          </w:tcPr>
          <w:p w:rsidR="00D20CC4" w:rsidRPr="00D20CC4" w:rsidRDefault="00D20CC4" w:rsidP="00D20CC4">
            <w:pPr>
              <w:pStyle w:val="AERtabletextleft"/>
              <w:cnfStyle w:val="000000010000" w:firstRow="0" w:lastRow="0" w:firstColumn="0" w:lastColumn="0" w:oddVBand="0" w:evenVBand="0" w:oddHBand="0" w:evenHBand="1" w:firstRowFirstColumn="0" w:firstRowLastColumn="0" w:lastRowFirstColumn="0" w:lastRowLastColumn="0"/>
            </w:pPr>
            <w:r w:rsidRPr="00D20CC4">
              <w:t>10.0</w:t>
            </w:r>
          </w:p>
        </w:tc>
        <w:tc>
          <w:tcPr>
            <w:tcW w:w="2387" w:type="dxa"/>
            <w:vAlign w:val="bottom"/>
          </w:tcPr>
          <w:p w:rsidR="00D20CC4" w:rsidRPr="00D20CC4" w:rsidRDefault="00D20CC4" w:rsidP="00D20CC4">
            <w:pPr>
              <w:pStyle w:val="AERtabletextleft"/>
              <w:cnfStyle w:val="000000010000" w:firstRow="0" w:lastRow="0" w:firstColumn="0" w:lastColumn="0" w:oddVBand="0" w:evenVBand="0" w:oddHBand="0" w:evenHBand="1" w:firstRowFirstColumn="0" w:firstRowLastColumn="0" w:lastRowFirstColumn="0" w:lastRowLastColumn="0"/>
            </w:pPr>
            <w:r w:rsidRPr="00D20CC4">
              <w:t>10.0</w:t>
            </w:r>
          </w:p>
        </w:tc>
      </w:tr>
      <w:tr w:rsidR="00D20CC4" w:rsidRPr="0018218B" w:rsidTr="00D20CC4">
        <w:trPr>
          <w:trHeight w:val="300"/>
        </w:trPr>
        <w:tc>
          <w:tcPr>
            <w:cnfStyle w:val="001000000000" w:firstRow="0" w:lastRow="0" w:firstColumn="1" w:lastColumn="0" w:oddVBand="0" w:evenVBand="0" w:oddHBand="0" w:evenHBand="0" w:firstRowFirstColumn="0" w:firstRowLastColumn="0" w:lastRowFirstColumn="0" w:lastRowLastColumn="0"/>
            <w:tcW w:w="4100" w:type="dxa"/>
            <w:noWrap/>
            <w:hideMark/>
          </w:tcPr>
          <w:p w:rsidR="00D20CC4" w:rsidRPr="00D20CC4" w:rsidRDefault="00D20CC4" w:rsidP="00D20CC4">
            <w:pPr>
              <w:pStyle w:val="AERtabletextleft"/>
            </w:pPr>
            <w:r w:rsidRPr="00D20CC4">
              <w:t xml:space="preserve">Mobile plant </w:t>
            </w:r>
          </w:p>
        </w:tc>
        <w:tc>
          <w:tcPr>
            <w:tcW w:w="2693" w:type="dxa"/>
          </w:tcPr>
          <w:p w:rsidR="00D20CC4" w:rsidRPr="00D20CC4" w:rsidRDefault="00D20CC4" w:rsidP="00D20CC4">
            <w:pPr>
              <w:pStyle w:val="AERtabletextleft"/>
              <w:cnfStyle w:val="000000000000" w:firstRow="0" w:lastRow="0" w:firstColumn="0" w:lastColumn="0" w:oddVBand="0" w:evenVBand="0" w:oddHBand="0" w:evenHBand="0" w:firstRowFirstColumn="0" w:firstRowLastColumn="0" w:lastRowFirstColumn="0" w:lastRowLastColumn="0"/>
            </w:pPr>
            <w:r w:rsidRPr="00D20CC4">
              <w:t>10.0</w:t>
            </w:r>
          </w:p>
        </w:tc>
        <w:tc>
          <w:tcPr>
            <w:tcW w:w="2387" w:type="dxa"/>
            <w:vAlign w:val="bottom"/>
          </w:tcPr>
          <w:p w:rsidR="00D20CC4" w:rsidRPr="00D20CC4" w:rsidRDefault="00D20CC4" w:rsidP="00D20CC4">
            <w:pPr>
              <w:pStyle w:val="AERtabletextleft"/>
              <w:cnfStyle w:val="000000000000" w:firstRow="0" w:lastRow="0" w:firstColumn="0" w:lastColumn="0" w:oddVBand="0" w:evenVBand="0" w:oddHBand="0" w:evenHBand="0" w:firstRowFirstColumn="0" w:firstRowLastColumn="0" w:lastRowFirstColumn="0" w:lastRowLastColumn="0"/>
            </w:pPr>
            <w:r w:rsidRPr="00D20CC4">
              <w:t>8.4</w:t>
            </w:r>
          </w:p>
        </w:tc>
      </w:tr>
      <w:tr w:rsidR="00D20CC4" w:rsidRPr="0018218B" w:rsidTr="00D20CC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0" w:type="dxa"/>
            <w:noWrap/>
            <w:hideMark/>
          </w:tcPr>
          <w:p w:rsidR="00D20CC4" w:rsidRPr="00D20CC4" w:rsidRDefault="00D20CC4" w:rsidP="00D20CC4">
            <w:pPr>
              <w:pStyle w:val="AERtabletextleft"/>
            </w:pPr>
            <w:r w:rsidRPr="00D20CC4">
              <w:t>Vehicles</w:t>
            </w:r>
          </w:p>
        </w:tc>
        <w:tc>
          <w:tcPr>
            <w:tcW w:w="2693" w:type="dxa"/>
          </w:tcPr>
          <w:p w:rsidR="00D20CC4" w:rsidRPr="00D20CC4" w:rsidRDefault="00D20CC4" w:rsidP="00D20CC4">
            <w:pPr>
              <w:pStyle w:val="AERtabletextleft"/>
              <w:cnfStyle w:val="000000010000" w:firstRow="0" w:lastRow="0" w:firstColumn="0" w:lastColumn="0" w:oddVBand="0" w:evenVBand="0" w:oddHBand="0" w:evenHBand="1" w:firstRowFirstColumn="0" w:firstRowLastColumn="0" w:lastRowFirstColumn="0" w:lastRowLastColumn="0"/>
            </w:pPr>
            <w:r w:rsidRPr="00D20CC4">
              <w:t>6.0</w:t>
            </w:r>
          </w:p>
        </w:tc>
        <w:tc>
          <w:tcPr>
            <w:tcW w:w="2387" w:type="dxa"/>
            <w:vAlign w:val="bottom"/>
          </w:tcPr>
          <w:p w:rsidR="00D20CC4" w:rsidRPr="00D20CC4" w:rsidRDefault="00D20CC4" w:rsidP="00D20CC4">
            <w:pPr>
              <w:pStyle w:val="AERtabletextleft"/>
              <w:cnfStyle w:val="000000010000" w:firstRow="0" w:lastRow="0" w:firstColumn="0" w:lastColumn="0" w:oddVBand="0" w:evenVBand="0" w:oddHBand="0" w:evenHBand="1" w:firstRowFirstColumn="0" w:firstRowLastColumn="0" w:lastRowFirstColumn="0" w:lastRowLastColumn="0"/>
            </w:pPr>
            <w:r w:rsidRPr="00D20CC4">
              <w:t>3.3</w:t>
            </w:r>
          </w:p>
        </w:tc>
      </w:tr>
      <w:tr w:rsidR="00D20CC4" w:rsidRPr="0018218B" w:rsidTr="00D20CC4">
        <w:trPr>
          <w:trHeight w:val="300"/>
        </w:trPr>
        <w:tc>
          <w:tcPr>
            <w:cnfStyle w:val="001000000000" w:firstRow="0" w:lastRow="0" w:firstColumn="1" w:lastColumn="0" w:oddVBand="0" w:evenVBand="0" w:oddHBand="0" w:evenHBand="0" w:firstRowFirstColumn="0" w:firstRowLastColumn="0" w:lastRowFirstColumn="0" w:lastRowLastColumn="0"/>
            <w:tcW w:w="4100" w:type="dxa"/>
            <w:noWrap/>
            <w:hideMark/>
          </w:tcPr>
          <w:p w:rsidR="00D20CC4" w:rsidRPr="00D20CC4" w:rsidRDefault="00D20CC4" w:rsidP="00D20CC4">
            <w:pPr>
              <w:pStyle w:val="AERtabletextleft"/>
            </w:pPr>
            <w:r w:rsidRPr="00D20CC4">
              <w:t>Stock</w:t>
            </w:r>
            <w:r w:rsidRPr="00D20CC4">
              <w:rPr>
                <w:rStyle w:val="AERsuperscript"/>
              </w:rPr>
              <w:t>a</w:t>
            </w:r>
          </w:p>
        </w:tc>
        <w:tc>
          <w:tcPr>
            <w:tcW w:w="2693" w:type="dxa"/>
          </w:tcPr>
          <w:p w:rsidR="00D20CC4" w:rsidRPr="00D20CC4" w:rsidRDefault="00D20CC4" w:rsidP="00D20CC4">
            <w:pPr>
              <w:pStyle w:val="AERtabletextleft"/>
              <w:cnfStyle w:val="000000000000" w:firstRow="0" w:lastRow="0" w:firstColumn="0" w:lastColumn="0" w:oddVBand="0" w:evenVBand="0" w:oddHBand="0" w:evenHBand="0" w:firstRowFirstColumn="0" w:firstRowLastColumn="0" w:lastRowFirstColumn="0" w:lastRowLastColumn="0"/>
            </w:pPr>
            <w:r w:rsidRPr="00D20CC4">
              <w:t>1.0</w:t>
            </w:r>
          </w:p>
        </w:tc>
        <w:tc>
          <w:tcPr>
            <w:tcW w:w="2387" w:type="dxa"/>
            <w:vAlign w:val="bottom"/>
          </w:tcPr>
          <w:p w:rsidR="00D20CC4" w:rsidRPr="00D20CC4" w:rsidRDefault="00D20CC4" w:rsidP="00D20CC4">
            <w:pPr>
              <w:pStyle w:val="AERtabletextleft"/>
              <w:cnfStyle w:val="000000000000" w:firstRow="0" w:lastRow="0" w:firstColumn="0" w:lastColumn="0" w:oddVBand="0" w:evenVBand="0" w:oddHBand="0" w:evenHBand="0" w:firstRowFirstColumn="0" w:firstRowLastColumn="0" w:lastRowFirstColumn="0" w:lastRowLastColumn="0"/>
            </w:pPr>
            <w:r w:rsidRPr="00D20CC4">
              <w:t>1.0</w:t>
            </w:r>
          </w:p>
        </w:tc>
      </w:tr>
      <w:tr w:rsidR="00D20CC4" w:rsidRPr="0018218B" w:rsidTr="00D20CC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0" w:type="dxa"/>
            <w:noWrap/>
            <w:hideMark/>
          </w:tcPr>
          <w:p w:rsidR="00D20CC4" w:rsidRPr="00D20CC4" w:rsidRDefault="00D20CC4" w:rsidP="00D20CC4">
            <w:pPr>
              <w:pStyle w:val="AERtabletextleft"/>
            </w:pPr>
            <w:r w:rsidRPr="00D20CC4">
              <w:t>Equity raising costs</w:t>
            </w:r>
          </w:p>
        </w:tc>
        <w:tc>
          <w:tcPr>
            <w:tcW w:w="2693" w:type="dxa"/>
          </w:tcPr>
          <w:p w:rsidR="00D20CC4" w:rsidRPr="00D20CC4" w:rsidRDefault="00D20CC4" w:rsidP="00D20CC4">
            <w:pPr>
              <w:pStyle w:val="AERtabletextleft"/>
              <w:cnfStyle w:val="000000010000" w:firstRow="0" w:lastRow="0" w:firstColumn="0" w:lastColumn="0" w:oddVBand="0" w:evenVBand="0" w:oddHBand="0" w:evenHBand="1" w:firstRowFirstColumn="0" w:firstRowLastColumn="0" w:lastRowFirstColumn="0" w:lastRowLastColumn="0"/>
            </w:pPr>
            <w:r w:rsidRPr="00D20CC4">
              <w:t>53.7</w:t>
            </w:r>
            <w:r w:rsidRPr="00D20CC4">
              <w:rPr>
                <w:rStyle w:val="AERsuperscript"/>
              </w:rPr>
              <w:t>b</w:t>
            </w:r>
          </w:p>
        </w:tc>
        <w:tc>
          <w:tcPr>
            <w:tcW w:w="2387" w:type="dxa"/>
            <w:vAlign w:val="bottom"/>
          </w:tcPr>
          <w:p w:rsidR="00D20CC4" w:rsidRPr="00D20CC4" w:rsidRDefault="00D20CC4" w:rsidP="00D20CC4">
            <w:pPr>
              <w:pStyle w:val="AERtabletextleft"/>
              <w:cnfStyle w:val="000000010000" w:firstRow="0" w:lastRow="0" w:firstColumn="0" w:lastColumn="0" w:oddVBand="0" w:evenVBand="0" w:oddHBand="0" w:evenHBand="1" w:firstRowFirstColumn="0" w:firstRowLastColumn="0" w:lastRowFirstColumn="0" w:lastRowLastColumn="0"/>
            </w:pPr>
            <w:r w:rsidRPr="00D20CC4">
              <w:t>49.9</w:t>
            </w:r>
          </w:p>
        </w:tc>
      </w:tr>
    </w:tbl>
    <w:p w:rsidR="005D0F54" w:rsidRPr="009D5ECB" w:rsidRDefault="005D0F54" w:rsidP="005D0F54">
      <w:pPr>
        <w:pStyle w:val="AERtablesource"/>
      </w:pPr>
      <w:r w:rsidRPr="009D5ECB">
        <w:t>Source:</w:t>
      </w:r>
      <w:r w:rsidRPr="009D5ECB">
        <w:tab/>
        <w:t xml:space="preserve">AER analysis. </w:t>
      </w:r>
    </w:p>
    <w:p w:rsidR="005D0F54" w:rsidRDefault="005D0F54" w:rsidP="005D0F54">
      <w:pPr>
        <w:pStyle w:val="AERtablesource"/>
      </w:pPr>
      <w:r w:rsidRPr="009D5ECB">
        <w:t xml:space="preserve">n/a: </w:t>
      </w:r>
      <w:r w:rsidRPr="009D5ECB">
        <w:tab/>
        <w:t>not applicable</w:t>
      </w:r>
      <w:r>
        <w:t xml:space="preserve"> (since land does not depreciate).</w:t>
      </w:r>
    </w:p>
    <w:p w:rsidR="005D0F54" w:rsidRDefault="005D0F54" w:rsidP="005D0F54">
      <w:pPr>
        <w:pStyle w:val="AERtablesource"/>
      </w:pPr>
      <w:r>
        <w:t>a</w:t>
      </w:r>
      <w:r>
        <w:tab/>
        <w:t>The 'Stock' asset class is included in order to handle legacy residual assets in this class. There is no forecast capex allocated to this asset class during the 2015–20 access arrangement period.</w:t>
      </w:r>
    </w:p>
    <w:p w:rsidR="005D0F54" w:rsidRPr="009D5ECB" w:rsidRDefault="005D0F54" w:rsidP="005D0F54">
      <w:pPr>
        <w:pStyle w:val="AERtablesource"/>
      </w:pPr>
      <w:r>
        <w:t>b</w:t>
      </w:r>
      <w:r>
        <w:tab/>
        <w:t>There is no forecast capex allocated to the 'Equity raising costs' asset class during the 2015–20 access arrangement, so the standard asset life does not affect total revenue.</w:t>
      </w:r>
    </w:p>
    <w:p w:rsidR="005D0F54" w:rsidRPr="00136E52" w:rsidRDefault="005D0F54" w:rsidP="005D0F54">
      <w:pPr>
        <w:pStyle w:val="Heading3"/>
        <w:numPr>
          <w:ilvl w:val="3"/>
          <w:numId w:val="8"/>
        </w:numPr>
      </w:pPr>
      <w:bookmarkStart w:id="30" w:name="_Toc403391032"/>
      <w:bookmarkStart w:id="31" w:name="_Toc403391401"/>
      <w:bookmarkStart w:id="32" w:name="_Toc404353000"/>
      <w:r w:rsidRPr="00136E52">
        <w:lastRenderedPageBreak/>
        <w:t xml:space="preserve">Standard </w:t>
      </w:r>
      <w:r>
        <w:t>asset</w:t>
      </w:r>
      <w:r w:rsidRPr="00136E52">
        <w:t xml:space="preserve"> lives</w:t>
      </w:r>
      <w:bookmarkEnd w:id="30"/>
      <w:bookmarkEnd w:id="31"/>
      <w:bookmarkEnd w:id="32"/>
      <w:r w:rsidRPr="00136E52">
        <w:t xml:space="preserve"> </w:t>
      </w:r>
    </w:p>
    <w:p w:rsidR="005D0F54" w:rsidRPr="00136E52" w:rsidRDefault="005D0F54" w:rsidP="005D0F54">
      <w:pPr>
        <w:pStyle w:val="AERbodytext"/>
      </w:pPr>
      <w:r>
        <w:t>With the exception of the 'Vehicles' asset class, w</w:t>
      </w:r>
      <w:r w:rsidRPr="00136E52">
        <w:t xml:space="preserve">e accept </w:t>
      </w:r>
      <w:r>
        <w:t>JGN's</w:t>
      </w:r>
      <w:r w:rsidRPr="00136E52">
        <w:t xml:space="preserve"> proposed standard </w:t>
      </w:r>
      <w:r>
        <w:t>asset</w:t>
      </w:r>
      <w:r w:rsidRPr="00136E52">
        <w:t xml:space="preserve"> lives for its existing asset classes, because they are:</w:t>
      </w:r>
    </w:p>
    <w:p w:rsidR="005D0F54" w:rsidRPr="00136E52" w:rsidRDefault="005D0F54" w:rsidP="005D0F54">
      <w:pPr>
        <w:pStyle w:val="AERbulletlistfirststyle"/>
      </w:pPr>
      <w:r w:rsidRPr="00136E52">
        <w:t xml:space="preserve">consistent with our approved standard </w:t>
      </w:r>
      <w:r>
        <w:t>asset</w:t>
      </w:r>
      <w:r w:rsidRPr="00136E52">
        <w:t xml:space="preserve"> lives for the </w:t>
      </w:r>
      <w:r>
        <w:t>2010</w:t>
      </w:r>
      <w:r w:rsidRPr="00136E52">
        <w:t>–1</w:t>
      </w:r>
      <w:r>
        <w:t>5</w:t>
      </w:r>
      <w:r w:rsidRPr="00136E52">
        <w:t xml:space="preserve"> regulatory control period</w:t>
      </w:r>
      <w:r>
        <w:rPr>
          <w:rStyle w:val="FootnoteReference"/>
        </w:rPr>
        <w:footnoteReference w:id="27"/>
      </w:r>
    </w:p>
    <w:p w:rsidR="005D0F54" w:rsidRDefault="005D0F54" w:rsidP="005D0F54">
      <w:pPr>
        <w:pStyle w:val="AERbulletlistfirststyle"/>
      </w:pPr>
      <w:r w:rsidRPr="00136E52">
        <w:t xml:space="preserve">comparable with the standard </w:t>
      </w:r>
      <w:r>
        <w:t>asset</w:t>
      </w:r>
      <w:r w:rsidRPr="00136E52">
        <w:t xml:space="preserve"> lives approved in our recent determinations for other </w:t>
      </w:r>
      <w:r>
        <w:t>gas distribution service providers</w:t>
      </w:r>
      <w:r w:rsidRPr="00136E52">
        <w:t>.</w:t>
      </w:r>
      <w:r>
        <w:rPr>
          <w:rStyle w:val="FootnoteReference"/>
        </w:rPr>
        <w:footnoteReference w:id="28"/>
      </w:r>
    </w:p>
    <w:p w:rsidR="005D0F54" w:rsidRDefault="005D0F54" w:rsidP="005D0F54">
      <w:pPr>
        <w:pStyle w:val="AERbodytext"/>
      </w:pPr>
      <w:r>
        <w:t>However, when we compared JGN's proposed standard asset life for the 'Vehicles' asset class against the equivalent asset class used in other AER regulatory determinations, the proposed life differs from the observed benchmark. Outside of JGN, the average standard asset life is eight years, with a range from six years to ten years.</w:t>
      </w:r>
      <w:r>
        <w:rPr>
          <w:rStyle w:val="FootnoteReference"/>
        </w:rPr>
        <w:footnoteReference w:id="29"/>
      </w:r>
      <w:r>
        <w:t xml:space="preserve"> This assessment included all recent decisions for electricity and gas network service providers, and so was a broad comparison only.</w:t>
      </w:r>
      <w:r w:rsidRPr="002A6A6F">
        <w:t xml:space="preserve"> </w:t>
      </w:r>
      <w:r>
        <w:t>Accordingly, we asked JGN for further reasons on its proposed four year standard asset life.</w:t>
      </w:r>
      <w:r>
        <w:rPr>
          <w:rStyle w:val="FootnoteReference"/>
        </w:rPr>
        <w:footnoteReference w:id="30"/>
      </w:r>
    </w:p>
    <w:p w:rsidR="005D0F54" w:rsidRDefault="005D0F54" w:rsidP="005D0F54">
      <w:pPr>
        <w:pStyle w:val="AERbodytext"/>
      </w:pPr>
      <w:r>
        <w:t>In response, JGN submitted that while there was evidence supporting a range between four and six years for its 'Vehicles' asset class, a standard asset life of five years should be applied (an increase from its proposal of four years).</w:t>
      </w:r>
      <w:r>
        <w:rPr>
          <w:rStyle w:val="FootnoteReference"/>
        </w:rPr>
        <w:footnoteReference w:id="31"/>
      </w:r>
      <w:r>
        <w:t xml:space="preserve"> This is because five years aligned with the design life of the most common vehicle type in the asset class—light commercial vehicles—and there were corresponding five-yearly peaks in its 'Vehicles' forecast capex. However, JGN also disclosed that the weighted average standard life for the 'Vehicles' asset class was approximately 6.08 years.</w:t>
      </w:r>
      <w:r>
        <w:rPr>
          <w:rStyle w:val="FootnoteReference"/>
        </w:rPr>
        <w:footnoteReference w:id="32"/>
      </w:r>
    </w:p>
    <w:p w:rsidR="005D0F54" w:rsidRDefault="005D0F54" w:rsidP="005D0F54">
      <w:pPr>
        <w:pStyle w:val="AERbodytext"/>
      </w:pPr>
      <w:r>
        <w:t>JGN's 'Vehicles' asset class includes five different vehicle types—heavy commercial vehicles, light commercial vehicles, passenger vehicles, plant(forklifts) and trailers. The design life varies by type, between four years (passenger vehicles) and 15 years (trailers), although usage is also relevant (for instance, kilometres travelled). We do not agree with JGN's submission that the 'most common' design life (that is, the median calculated on a per-unit basis) should be used to establish the average life for that class. We consider that this approach ignores the rest of the vehicle types and their relative values. The relevant life is the weighted average design life (weighted by value) across the entire asset class, which is approximately six years.</w:t>
      </w:r>
      <w:r>
        <w:rPr>
          <w:rStyle w:val="FootnoteReference"/>
        </w:rPr>
        <w:footnoteReference w:id="33"/>
      </w:r>
    </w:p>
    <w:p w:rsidR="005D0F54" w:rsidRDefault="005D0F54" w:rsidP="005D0F54">
      <w:pPr>
        <w:pStyle w:val="AERbodytext"/>
      </w:pPr>
      <w:r>
        <w:lastRenderedPageBreak/>
        <w:t>Further, JGN's forecast capex program (based on its fleet management strategy) already reflects the design life of each different type of vehicles.</w:t>
      </w:r>
      <w:r>
        <w:rPr>
          <w:rStyle w:val="FootnoteReference"/>
        </w:rPr>
        <w:footnoteReference w:id="34"/>
      </w:r>
      <w:r>
        <w:t xml:space="preserve"> Hence, setting a standard asset life of five years (or four years) would not be consistent with JGN's forecast capex program.</w:t>
      </w:r>
      <w:r>
        <w:rPr>
          <w:rStyle w:val="FootnoteReference"/>
        </w:rPr>
        <w:footnoteReference w:id="35"/>
      </w:r>
    </w:p>
    <w:p w:rsidR="005D0F54" w:rsidRDefault="005D0F54" w:rsidP="005D0F54">
      <w:pPr>
        <w:pStyle w:val="AERbodytext"/>
      </w:pPr>
      <w:r>
        <w:t>Accordingly, we require that the standard asset life for the 'Vehicles' asset class be set at six years to ensure that the asset class is depreciated over the economic life of the asset.</w:t>
      </w:r>
      <w:r>
        <w:rPr>
          <w:rStyle w:val="FootnoteReference"/>
        </w:rPr>
        <w:footnoteReference w:id="36"/>
      </w:r>
      <w:r>
        <w:t xml:space="preserve"> We note the six year standard asset life also brings JGN into the observed range for comparable asset classes across other electricity and gas service providers.</w:t>
      </w:r>
    </w:p>
    <w:p w:rsidR="005D0F54" w:rsidRPr="00350754" w:rsidRDefault="005D0F54" w:rsidP="005D0F54">
      <w:pPr>
        <w:pStyle w:val="AERbodytext"/>
      </w:pPr>
      <w:r>
        <w:t>With the change to the 'Vehicles' asset class, w</w:t>
      </w:r>
      <w:r w:rsidRPr="00F909C7">
        <w:t xml:space="preserve">e are satisfied the proposed standard </w:t>
      </w:r>
      <w:r>
        <w:t>asset</w:t>
      </w:r>
      <w:r w:rsidRPr="00F909C7">
        <w:t xml:space="preserve"> lives reflect </w:t>
      </w:r>
      <w:r>
        <w:t xml:space="preserve">the requirements of rule 89(1) of the </w:t>
      </w:r>
      <w:r w:rsidRPr="00F909C7">
        <w:t>NGR</w:t>
      </w:r>
      <w:r>
        <w:t xml:space="preserve">. </w:t>
      </w:r>
      <w:r w:rsidRPr="00350754">
        <w:fldChar w:fldCharType="begin"/>
      </w:r>
      <w:r w:rsidRPr="00350754">
        <w:instrText xml:space="preserve"> REF _Ref398283146 \h </w:instrText>
      </w:r>
      <w:r w:rsidRPr="00350754">
        <w:fldChar w:fldCharType="separate"/>
      </w:r>
      <w:r w:rsidR="00A85385" w:rsidRPr="009D5ECB">
        <w:t xml:space="preserve">Table </w:t>
      </w:r>
      <w:r w:rsidR="00A85385">
        <w:rPr>
          <w:noProof/>
        </w:rPr>
        <w:t>5</w:t>
      </w:r>
      <w:r w:rsidR="00A85385">
        <w:noBreakHyphen/>
      </w:r>
      <w:r w:rsidR="00A85385">
        <w:rPr>
          <w:noProof/>
        </w:rPr>
        <w:t>4</w:t>
      </w:r>
      <w:r w:rsidRPr="00350754">
        <w:fldChar w:fldCharType="end"/>
      </w:r>
      <w:r>
        <w:t xml:space="preserve"> </w:t>
      </w:r>
      <w:r w:rsidRPr="00350754">
        <w:t xml:space="preserve">sets out our draft decision on the standard </w:t>
      </w:r>
      <w:r>
        <w:t>asset lives</w:t>
      </w:r>
      <w:r w:rsidRPr="00350754">
        <w:rPr>
          <w:rStyle w:val="AERbody"/>
        </w:rPr>
        <w:t xml:space="preserve"> for JGN</w:t>
      </w:r>
      <w:r w:rsidRPr="00350754">
        <w:t>.</w:t>
      </w:r>
    </w:p>
    <w:p w:rsidR="005D0F54" w:rsidRDefault="005D0F54" w:rsidP="005D0F54">
      <w:pPr>
        <w:pStyle w:val="Heading3"/>
        <w:numPr>
          <w:ilvl w:val="3"/>
          <w:numId w:val="8"/>
        </w:numPr>
      </w:pPr>
      <w:bookmarkStart w:id="33" w:name="_Toc403391033"/>
      <w:bookmarkStart w:id="34" w:name="_Toc403391402"/>
      <w:bookmarkStart w:id="35" w:name="_Toc404353001"/>
      <w:r w:rsidRPr="009D5ECB">
        <w:t xml:space="preserve">Remaining </w:t>
      </w:r>
      <w:r>
        <w:t>asset</w:t>
      </w:r>
      <w:r w:rsidRPr="009D5ECB">
        <w:t xml:space="preserve"> lives</w:t>
      </w:r>
      <w:bookmarkEnd w:id="33"/>
      <w:bookmarkEnd w:id="34"/>
      <w:bookmarkEnd w:id="35"/>
    </w:p>
    <w:p w:rsidR="005D0F54" w:rsidRDefault="005D0F54" w:rsidP="005D0F54">
      <w:pPr>
        <w:pStyle w:val="AERbodytext"/>
      </w:pPr>
      <w:r w:rsidRPr="006733E6">
        <w:t xml:space="preserve">We approve the remaining </w:t>
      </w:r>
      <w:r>
        <w:t xml:space="preserve">asset </w:t>
      </w:r>
      <w:r w:rsidRPr="006733E6">
        <w:t xml:space="preserve">lives calculated using JGN’s </w:t>
      </w:r>
      <w:r>
        <w:t xml:space="preserve">proposed </w:t>
      </w:r>
      <w:r w:rsidRPr="006733E6">
        <w:t xml:space="preserve">approach. We have concerns about </w:t>
      </w:r>
      <w:r>
        <w:t xml:space="preserve">several </w:t>
      </w:r>
      <w:r w:rsidRPr="006733E6">
        <w:t xml:space="preserve">aspects of JGN’s calculation method. However, with regard to </w:t>
      </w:r>
      <w:r>
        <w:t xml:space="preserve">the overall effect on </w:t>
      </w:r>
      <w:r w:rsidRPr="006733E6">
        <w:t xml:space="preserve">total revenue, we do not consider there is a material difference between JGN’s method and an approach that </w:t>
      </w:r>
      <w:r>
        <w:t xml:space="preserve">adjusted </w:t>
      </w:r>
      <w:r w:rsidRPr="006733E6">
        <w:t xml:space="preserve">all </w:t>
      </w:r>
      <w:r>
        <w:t xml:space="preserve">the contentious </w:t>
      </w:r>
      <w:r w:rsidRPr="006733E6">
        <w:t>aspects</w:t>
      </w:r>
      <w:r>
        <w:t xml:space="preserve"> (as per the AER's standard approach)</w:t>
      </w:r>
      <w:r w:rsidRPr="006733E6">
        <w:t>.</w:t>
      </w:r>
      <w:r>
        <w:t xml:space="preserve"> In view of this immaterial difference, we have applied JGN's proposed approach,</w:t>
      </w:r>
      <w:r w:rsidRPr="00F85328">
        <w:t xml:space="preserve"> noting that there have been minor updates to these values reflecting other aspects of our draft decision</w:t>
      </w:r>
      <w:r>
        <w:t>.</w:t>
      </w:r>
    </w:p>
    <w:p w:rsidR="005D0F54" w:rsidRDefault="005D0F54" w:rsidP="005D0F54">
      <w:pPr>
        <w:pStyle w:val="AERbodytext"/>
      </w:pPr>
      <w:r w:rsidRPr="00372484">
        <w:t xml:space="preserve">The method </w:t>
      </w:r>
      <w:r>
        <w:t>proposed</w:t>
      </w:r>
      <w:r w:rsidRPr="00372484">
        <w:t xml:space="preserve"> by JGN to establish the remaining </w:t>
      </w:r>
      <w:r>
        <w:t>asset</w:t>
      </w:r>
      <w:r w:rsidRPr="00372484">
        <w:t xml:space="preserve"> lives differs from</w:t>
      </w:r>
      <w:r>
        <w:t xml:space="preserve"> </w:t>
      </w:r>
      <w:r w:rsidRPr="00372484">
        <w:t xml:space="preserve">the method used </w:t>
      </w:r>
      <w:r>
        <w:t xml:space="preserve">in </w:t>
      </w:r>
      <w:r w:rsidRPr="00372484">
        <w:t>JGN</w:t>
      </w:r>
      <w:r>
        <w:t xml:space="preserve">'s </w:t>
      </w:r>
      <w:r w:rsidRPr="00372484">
        <w:t xml:space="preserve">previous access arrangement. </w:t>
      </w:r>
      <w:r>
        <w:t>It also differs from the AER's standard (and preferred) method. To assess the materiality of these differences, we considered how each method of calculating the remaining asset lives would affect total revenue (unsmoothed) across the 2015–20 access arrangement period, and the closing capital base at 30 June 2020.</w:t>
      </w:r>
      <w:r w:rsidRPr="00E76C1E">
        <w:t xml:space="preserve"> This assessment is complicated because, in general, changing the remaining </w:t>
      </w:r>
      <w:r>
        <w:t>asset</w:t>
      </w:r>
      <w:r w:rsidRPr="00E76C1E">
        <w:t xml:space="preserve"> lives results in opposite effects on revenue in the current period and revenue in subsequent periods.</w:t>
      </w:r>
      <w:r w:rsidRPr="00E76C1E">
        <w:rPr>
          <w:rStyle w:val="FootnoteReference"/>
        </w:rPr>
        <w:footnoteReference w:id="37"/>
      </w:r>
      <w:r w:rsidRPr="00E76C1E">
        <w:t xml:space="preserve"> For example, an increase in the remaining </w:t>
      </w:r>
      <w:r>
        <w:t>asset</w:t>
      </w:r>
      <w:r w:rsidRPr="00E76C1E">
        <w:t xml:space="preserve"> lives at 1 July 2015 will decrease the depreciation allowance and so decrease revenue in the </w:t>
      </w:r>
      <w:r w:rsidR="00F93EDE">
        <w:br/>
      </w:r>
      <w:r w:rsidRPr="00E76C1E">
        <w:t>2015–20 access arrangement period.</w:t>
      </w:r>
      <w:r w:rsidRPr="00E76C1E">
        <w:rPr>
          <w:rStyle w:val="FootnoteReference"/>
        </w:rPr>
        <w:footnoteReference w:id="38"/>
      </w:r>
      <w:r w:rsidRPr="00E76C1E">
        <w:t xml:space="preserve"> However, the 2020 closing capital base will increase (since there has been less depreciation) and therefore </w:t>
      </w:r>
      <w:r>
        <w:t xml:space="preserve">all else being equal </w:t>
      </w:r>
      <w:r w:rsidRPr="00E76C1E">
        <w:t>there will be an increase in revenue in the 2020–25 access arrangement period (and later periods too).</w:t>
      </w:r>
      <w:r>
        <w:t xml:space="preserve"> With that background, the effects of changing the method for determining remaining asset lives are as follows:</w:t>
      </w:r>
      <w:r w:rsidR="00950C29">
        <w:rPr>
          <w:rStyle w:val="FootnoteReference"/>
        </w:rPr>
        <w:footnoteReference w:id="39"/>
      </w:r>
    </w:p>
    <w:p w:rsidR="005D0F54" w:rsidRDefault="005D0F54" w:rsidP="005D0F54">
      <w:pPr>
        <w:pStyle w:val="AERbulletlistfirststyle"/>
      </w:pPr>
      <w:r>
        <w:t>Applying the method used in JGN's 2010–15 access arrangement would (all else equal) decrease revenue across the 2015–20 access arrangement period by $16.1 million ($real 2015), a reduction of 0.6 per cent. However, the closing capital base at 30 June 2020 would increase by $10.2 million ($real 2015) or 0.3 per cent.</w:t>
      </w:r>
    </w:p>
    <w:p w:rsidR="005D0F54" w:rsidRPr="00372484" w:rsidRDefault="005D0F54" w:rsidP="005D0F54">
      <w:pPr>
        <w:pStyle w:val="AERbulletlistfirststyle"/>
      </w:pPr>
      <w:r>
        <w:t>Applying the AER's standard method would (all else equal) decrease revenue across the 2015–20 access arrangement by $51.1 million (real $2015), a reduction of 1.9 per cent. However, the closing capital base at 30 June 2020 would increase by $42.7 million (real $2015) or 1.3 per cent.</w:t>
      </w:r>
    </w:p>
    <w:p w:rsidR="005D0F54" w:rsidRDefault="005D0F54" w:rsidP="005D0F54">
      <w:pPr>
        <w:pStyle w:val="AERbodytext"/>
      </w:pPr>
      <w:r>
        <w:lastRenderedPageBreak/>
        <w:t>On balance, we do not consider that these are material differences</w:t>
      </w:r>
      <w:r w:rsidRPr="00507058">
        <w:t>.</w:t>
      </w:r>
      <w:r>
        <w:t xml:space="preserve"> For the purposes of this draft decision, in applying </w:t>
      </w:r>
      <w:r w:rsidRPr="00372484">
        <w:t xml:space="preserve">JGN's method </w:t>
      </w:r>
      <w:r>
        <w:t>to calculate the remaining asset lives, we have updated the remaining asset lives as at 1 July 2015 to reflect our adjustment</w:t>
      </w:r>
      <w:r w:rsidRPr="00372484">
        <w:t xml:space="preserve"> to the opening capital base (detail</w:t>
      </w:r>
      <w:r>
        <w:t xml:space="preserve">ed </w:t>
      </w:r>
      <w:r w:rsidRPr="005E445B">
        <w:t>in attachment 2). This is because the capital base values are inputs for calculating the remaining</w:t>
      </w:r>
      <w:r w:rsidRPr="00F344F8">
        <w:t xml:space="preserve"> </w:t>
      </w:r>
      <w:r>
        <w:t>asset</w:t>
      </w:r>
      <w:r w:rsidRPr="00F344F8">
        <w:t xml:space="preserve"> lives in </w:t>
      </w:r>
      <w:r>
        <w:t>JGN's roll forward model</w:t>
      </w:r>
      <w:r w:rsidRPr="00372484">
        <w:t>.</w:t>
      </w:r>
      <w:r>
        <w:t xml:space="preserve"> Similarly, for the final decision we</w:t>
      </w:r>
      <w:r w:rsidRPr="008914BF">
        <w:t xml:space="preserve"> </w:t>
      </w:r>
      <w:r>
        <w:t>will</w:t>
      </w:r>
      <w:r w:rsidRPr="008914BF">
        <w:t xml:space="preserve"> recalculate </w:t>
      </w:r>
      <w:r>
        <w:t>JGN's</w:t>
      </w:r>
      <w:r w:rsidRPr="008914BF">
        <w:t xml:space="preserve"> remaining </w:t>
      </w:r>
      <w:r>
        <w:t xml:space="preserve">asset </w:t>
      </w:r>
      <w:r w:rsidRPr="008914BF">
        <w:t>lives</w:t>
      </w:r>
      <w:r>
        <w:t xml:space="preserve"> as at 1 July 2015 based on JGN's method and any other updated inputs.</w:t>
      </w:r>
      <w:r w:rsidRPr="008914BF">
        <w:t xml:space="preserve"> </w:t>
      </w:r>
      <w:r>
        <w:t>In particular, this will include replacing the estimated 2013–14 capex estimate with actual conforming capex, and revisions to the estimate of 2014–15 capex.</w:t>
      </w:r>
    </w:p>
    <w:p w:rsidR="005D0F54" w:rsidRPr="00350754" w:rsidRDefault="005D0F54" w:rsidP="005D0F54">
      <w:pPr>
        <w:pStyle w:val="AERbodytext"/>
      </w:pPr>
      <w:r w:rsidRPr="00350754">
        <w:fldChar w:fldCharType="begin"/>
      </w:r>
      <w:r w:rsidRPr="00350754">
        <w:instrText xml:space="preserve"> REF _Ref398283146 \h </w:instrText>
      </w:r>
      <w:r w:rsidRPr="00350754">
        <w:fldChar w:fldCharType="separate"/>
      </w:r>
      <w:r w:rsidR="00A85385" w:rsidRPr="009D5ECB">
        <w:t xml:space="preserve">Table </w:t>
      </w:r>
      <w:r w:rsidR="00A85385">
        <w:rPr>
          <w:noProof/>
        </w:rPr>
        <w:t>5</w:t>
      </w:r>
      <w:r w:rsidR="00A85385">
        <w:noBreakHyphen/>
      </w:r>
      <w:r w:rsidR="00A85385">
        <w:rPr>
          <w:noProof/>
        </w:rPr>
        <w:t>4</w:t>
      </w:r>
      <w:r w:rsidRPr="00350754">
        <w:fldChar w:fldCharType="end"/>
      </w:r>
      <w:r>
        <w:t xml:space="preserve"> </w:t>
      </w:r>
      <w:r w:rsidRPr="00350754">
        <w:t xml:space="preserve">sets out our draft decision on the remaining </w:t>
      </w:r>
      <w:r>
        <w:t>asset</w:t>
      </w:r>
      <w:r w:rsidRPr="00350754">
        <w:t xml:space="preserve"> lives </w:t>
      </w:r>
      <w:r w:rsidRPr="00350754">
        <w:rPr>
          <w:rStyle w:val="AERbody"/>
        </w:rPr>
        <w:t>as at 1 July 2015 for JGN</w:t>
      </w:r>
      <w:r w:rsidRPr="00350754">
        <w:t>.</w:t>
      </w:r>
    </w:p>
    <w:p w:rsidR="005D0F54" w:rsidRDefault="005D0F54" w:rsidP="005D0F54">
      <w:pPr>
        <w:pStyle w:val="HeadingBoldBlue"/>
      </w:pPr>
      <w:r>
        <w:t>Approaches to estimating remaining asset lives</w:t>
      </w:r>
    </w:p>
    <w:p w:rsidR="005D0F54" w:rsidRDefault="005D0F54" w:rsidP="005D0F54">
      <w:pPr>
        <w:pStyle w:val="AERbodytext"/>
      </w:pPr>
      <w:r>
        <w:t>The only way to calculate remaining asset lives without any error is to track every single asset individually. However, this would entail a large administrative overhead (including for the regulator) and is impractical. Hence, similar assets (including similar assets commissioned in different years) are grouped into asset classes.</w:t>
      </w:r>
    </w:p>
    <w:p w:rsidR="005D0F54" w:rsidRDefault="005D0F54" w:rsidP="005D0F54">
      <w:pPr>
        <w:pStyle w:val="AERbodytext"/>
      </w:pPr>
      <w:r>
        <w:t xml:space="preserve">However, no approach to calculating the remaining asset life of an asset class is perfect. </w:t>
      </w:r>
      <w:r w:rsidRPr="005B60DF">
        <w:t>Some information is necessarily lost when assets are comb</w:t>
      </w:r>
      <w:r>
        <w:t>ined into a single asset class or when new assets are added to that asset class over time. Hence, we focus on the materiality of distortions arising from methods used to calculate remaining asset lives, relative to the 'true' remaining asset lives had the aggregation not occurred.</w:t>
      </w:r>
    </w:p>
    <w:p w:rsidR="005D0F54" w:rsidRDefault="005D0F54" w:rsidP="005D0F54">
      <w:pPr>
        <w:pStyle w:val="AERbodytext"/>
      </w:pPr>
      <w:r w:rsidRPr="00E76C1E">
        <w:t xml:space="preserve">The core of JGN's method is the 'accounting approximation' of the remaining </w:t>
      </w:r>
      <w:r>
        <w:t xml:space="preserve">asset </w:t>
      </w:r>
      <w:r w:rsidRPr="00E76C1E">
        <w:t>life for each asset class</w:t>
      </w:r>
      <w:r>
        <w:t>, which can be expressed as:</w:t>
      </w:r>
    </w:p>
    <w:p w:rsidR="005D0F54" w:rsidRDefault="005D0F54" w:rsidP="005D0F54">
      <w:pPr>
        <w:pStyle w:val="AERbodytextcentre"/>
      </w:pPr>
      <m:oMath>
        <m:r>
          <w:rPr>
            <w:rFonts w:ascii="Cambria Math" w:hAnsi="Cambria Math"/>
          </w:rPr>
          <m:t>Asset value</m:t>
        </m:r>
        <m:r>
          <m:rPr>
            <m:sty m:val="p"/>
          </m:rPr>
          <w:rPr>
            <w:rFonts w:ascii="Cambria Math" w:hAnsi="Cambria Math"/>
          </w:rPr>
          <m:t>÷</m:t>
        </m:r>
        <m:r>
          <w:rPr>
            <w:rFonts w:ascii="Cambria Math" w:hAnsi="Cambria Math"/>
          </w:rPr>
          <m:t>Yearly depreciation</m:t>
        </m:r>
        <m:r>
          <m:rPr>
            <m:sty m:val="p"/>
          </m:rPr>
          <w:rPr>
            <w:rFonts w:ascii="Cambria Math" w:hAnsi="Cambria Math"/>
          </w:rPr>
          <m:t>=</m:t>
        </m:r>
        <m:r>
          <w:rPr>
            <w:rFonts w:ascii="Cambria Math" w:hAnsi="Cambria Math"/>
          </w:rPr>
          <m:t>Remaining</m:t>
        </m:r>
        <m:r>
          <m:rPr>
            <m:sty m:val="p"/>
          </m:rPr>
          <w:rPr>
            <w:rFonts w:ascii="Cambria Math" w:hAnsi="Cambria Math"/>
          </w:rPr>
          <m:t xml:space="preserve"> </m:t>
        </m:r>
        <m:r>
          <w:rPr>
            <w:rFonts w:ascii="Cambria Math" w:hAnsi="Cambria Math"/>
          </w:rPr>
          <m:t>life</m:t>
        </m:r>
      </m:oMath>
    </w:p>
    <w:p w:rsidR="005D0F54" w:rsidRPr="001E5DAE" w:rsidRDefault="005D0F54" w:rsidP="005D0F54">
      <w:pPr>
        <w:pStyle w:val="AERbodytext"/>
      </w:pPr>
      <w:r>
        <w:t xml:space="preserve">For example, if the asset value was $10 million, and the yearly depreciation was $2 million, the calculated remaining life is five years (10 </w:t>
      </w:r>
      <w:r>
        <w:rPr>
          <w:rFonts w:cs="Gautami"/>
        </w:rPr>
        <w:t>÷</w:t>
      </w:r>
      <w:r>
        <w:t xml:space="preserve"> 2). In JGN's implementation, the asset value is the closing capital base at 30 June 2015 for each asset class. The yearly depreciation is the regulatory depreciation allowance for 2014–15 for each asset class, which itself is </w:t>
      </w:r>
      <w:r w:rsidR="00950C29">
        <w:t xml:space="preserve">based on </w:t>
      </w:r>
      <w:r>
        <w:t>the approved forecast depreciation from the 2010 access arrangement decision.</w:t>
      </w:r>
      <w:r>
        <w:rPr>
          <w:rStyle w:val="FootnoteReference"/>
        </w:rPr>
        <w:footnoteReference w:id="40"/>
      </w:r>
      <w:r>
        <w:t xml:space="preserve"> After this 'accounting approximation', JGN then performs a number of </w:t>
      </w:r>
      <w:r w:rsidRPr="001E5DAE">
        <w:t>additional adjustments</w:t>
      </w:r>
      <w:r>
        <w:t>.</w:t>
      </w:r>
      <w:r>
        <w:rPr>
          <w:rStyle w:val="FootnoteReference"/>
        </w:rPr>
        <w:footnoteReference w:id="41"/>
      </w:r>
      <w:r>
        <w:t xml:space="preserve"> However, these are not the primary source of our concern as they do not have significant impact </w:t>
      </w:r>
      <w:r w:rsidR="00950C29">
        <w:t xml:space="preserve">on </w:t>
      </w:r>
      <w:r>
        <w:t>the final values and so are not discussed in further detail.</w:t>
      </w:r>
    </w:p>
    <w:p w:rsidR="005D0F54" w:rsidRDefault="005D0F54" w:rsidP="005D0F54">
      <w:pPr>
        <w:pStyle w:val="AERbodytext"/>
      </w:pPr>
      <w:r>
        <w:t xml:space="preserve">This proposed approach differs from that used in JGN's 2010–15 access arrangement. The key difference is that the measure of yearly depreciation used in the accounting approximation </w:t>
      </w:r>
      <w:r w:rsidR="00950C29">
        <w:t xml:space="preserve">in the access arrangement </w:t>
      </w:r>
      <w:r>
        <w:t>was (implied) actual depreciation, not forecast depreciation.</w:t>
      </w:r>
    </w:p>
    <w:p w:rsidR="005D0F54" w:rsidRDefault="005D0F54" w:rsidP="005D0F54">
      <w:pPr>
        <w:pStyle w:val="AERbodytext"/>
      </w:pPr>
      <w:r>
        <w:t xml:space="preserve">This proposed approach also differs from the AER's standard weighted average approach, as included in our RFM template for electricity transmission networks. Under this approach, the AER calculates the remaining asset life for existing assets (which will be the remaining asset life as at the start of the access arrangement period less five years) and new capex by year of expenditure (which </w:t>
      </w:r>
      <w:r>
        <w:lastRenderedPageBreak/>
        <w:t>will be the standard life less the number of years since the capex was incurred). It then takes a weighted average of these remaining lives, where the weight is the closing value of each asset category.</w:t>
      </w:r>
    </w:p>
    <w:p w:rsidR="005D0F54" w:rsidRDefault="005D0F54" w:rsidP="005D0F54">
      <w:pPr>
        <w:pStyle w:val="HeadingBoldBlue"/>
      </w:pPr>
      <w:r>
        <w:t>Concerns with JGN's approach</w:t>
      </w:r>
    </w:p>
    <w:p w:rsidR="005D0F54" w:rsidRDefault="005D0F54" w:rsidP="005D0F54">
      <w:pPr>
        <w:pStyle w:val="AERbodytext"/>
      </w:pPr>
      <w:r>
        <w:t>Our major concern with JGN's method is the use of accounting approximation instead of the AER's weighted average approach.</w:t>
      </w:r>
      <w:r>
        <w:rPr>
          <w:rStyle w:val="FootnoteReference"/>
        </w:rPr>
        <w:footnoteReference w:id="42"/>
      </w:r>
      <w:r>
        <w:t xml:space="preserve"> Our secondary concern </w:t>
      </w:r>
      <w:r w:rsidRPr="000369F5">
        <w:t>relates to JGN's use of forecast depreciation within the accounting approximation</w:t>
      </w:r>
      <w:r>
        <w:t xml:space="preserve"> method.</w:t>
      </w:r>
      <w:r>
        <w:rPr>
          <w:rStyle w:val="FootnoteReference"/>
        </w:rPr>
        <w:footnoteReference w:id="43"/>
      </w:r>
    </w:p>
    <w:p w:rsidR="005D0F54" w:rsidRDefault="005D0F54" w:rsidP="005D0F54">
      <w:pPr>
        <w:pStyle w:val="AERbodytext"/>
      </w:pPr>
      <w:r>
        <w:t xml:space="preserve">Broadly speaking, if there </w:t>
      </w:r>
      <w:r w:rsidR="00950C29">
        <w:t xml:space="preserve">are </w:t>
      </w:r>
      <w:r>
        <w:t xml:space="preserve">both existing assets and new capex in an asset class during the access arrangement period, the accounting approximation approach will systematically underestimate the remaining asset life. This applies to JGN's 2010 approach as well as the proposal for the 2015–20 access arrangement. </w:t>
      </w:r>
    </w:p>
    <w:p w:rsidR="005D0F54" w:rsidRPr="00E76C1E" w:rsidRDefault="005D0F54" w:rsidP="005D0F54">
      <w:pPr>
        <w:pStyle w:val="AERbodytext"/>
      </w:pPr>
      <w:r>
        <w:t>To understand the cause of this underestimation, note that the final year depreciation (used to divide the asset value) will include depreciation arising from both the older asset and the newer asset. At some point in the future, the older asset will be completely depreciated; but the newer asset will not. If the remaining asset lives for the individual assets were preserved, at this point yearly depreciation would decrease to reflect only the depreciation arising from the newer asset. However, the accounting approximation assumes that depreciation continues at the same level as the final year until all assets are completely depreciated. Hence, the overall remaining asset life will be underestimated—that is, it will be closer to the remaining life of the older asset than would be reasonable based on their relative asset values.</w:t>
      </w:r>
      <w:r>
        <w:rPr>
          <w:rStyle w:val="FootnoteReference"/>
        </w:rPr>
        <w:footnoteReference w:id="44"/>
      </w:r>
    </w:p>
    <w:p w:rsidR="005D0F54" w:rsidRDefault="005D0F54" w:rsidP="005D0F54">
      <w:pPr>
        <w:pStyle w:val="AERbodytext"/>
      </w:pPr>
      <w:r>
        <w:t>In contrast, our weighted average approach will produce an overall remaining asset life that lies between the remaining asset life of the older and newer assets, in proportion to their relative values.</w:t>
      </w:r>
    </w:p>
    <w:p w:rsidR="005D0F54" w:rsidRDefault="005D0F54" w:rsidP="005D0F54">
      <w:pPr>
        <w:pStyle w:val="AERbodytext"/>
      </w:pPr>
      <w:r>
        <w:t>Applying just this part of the AER's standard method would (all else equal) decrease revenue across the 2015–20 access arrangement by $50.5 million (real $2015), a reduction of 1.8 per cent. However, the closing capital base at 30 June 2020 would increase by $42.5 million (real $2015) or 1.3 per cent.</w:t>
      </w:r>
    </w:p>
    <w:p w:rsidR="005D0F54" w:rsidRDefault="005D0F54" w:rsidP="005D0F54">
      <w:pPr>
        <w:pStyle w:val="AERbodytext"/>
      </w:pPr>
      <w:r>
        <w:t>Our secondary concern relates to JGN's use of forecast depreciation within the accounting approximation. We consider that if the accounting approximation approach is to be used, implied actual depreciation should be used (as in JGN's 2010 access arrangement proposal) instead of JGN's current approach. Use of forecast depreciation may result in either overestimation or underestimation of the remaining asset life for a given asset class, depending on the difference between forecast capex and actual capex for that particular class incurred during the access arrangement period.</w:t>
      </w:r>
    </w:p>
    <w:p w:rsidR="005D0F54" w:rsidRDefault="005D0F54" w:rsidP="005D0F54">
      <w:pPr>
        <w:pStyle w:val="AERbodytext"/>
      </w:pPr>
      <w:r>
        <w:t xml:space="preserve">To understand the cause of this difference, consider that the asset value (the numerator) under the accounting approximation approach is the closing capital base, which reflects actual capex as per the capital base roll forward approach. If yearly depreciation (the denominator) is set using forecast depreciation, this value reflects forecast capex not actual capex. This inconsistency means that where there is a difference between forecast capex and actual capex, the accounting approximation will produce an estimate that does not reflect the economic life of the asset class. If forecast capex is </w:t>
      </w:r>
      <w:r>
        <w:lastRenderedPageBreak/>
        <w:t>above actual capex, the approach will underestimate the remaining asset life. Conversely, if actual capex is above forecast capex, the approach will overestimate the remaining asset life.</w:t>
      </w:r>
    </w:p>
    <w:p w:rsidR="005D0F54" w:rsidRDefault="005D0F54" w:rsidP="005D0F54">
      <w:pPr>
        <w:pStyle w:val="AERbodytext"/>
      </w:pPr>
      <w:r>
        <w:t xml:space="preserve">This concern remains even where the decision has been made to use depreciation based on forecast capex (not actual capex) to roll forward the capital base, as is the case for JGN. Here, the closing capital base will reflected forecast depreciation and actual capex; but the effect of actual capex predominates over the indirect effect of forecast capex (through forecast depreciation). The use of forecast depreciation in the roll forward provides a capex incentive within the access arrangement period. It is not intended to affect the estimate of remaining lives for future depreciation purposes so that they no longer reflect the economic lives of the underlying assets—but this is the direct effect if forecast depreciation is used under the accounting approximation approach. In contrast, using implied actual deprecation will adjust the rate of yearly depreciation for the asset so that it depreciates fully over its original economic life. Accordingly, we do not consider that the decision to use depreciation based on forecast capex to roll forward the capital base also entails a requirement to use forecast depreciation under the accounting approximation approach. </w:t>
      </w:r>
    </w:p>
    <w:p w:rsidR="005D0F54" w:rsidRDefault="005D0F54" w:rsidP="005D0F54">
      <w:pPr>
        <w:pStyle w:val="AERbodytext"/>
      </w:pPr>
      <w:r>
        <w:t>Applying just this adjustment to JGN's accounting approximation approach would (all else equal) decrease revenue across the 2015–20 access arrangement by $14.8 million (real $2015), a reduction of 0.5 per cent. However, the closing capital base at 30 June 2020 would increase by $9.6 million (real $2015) or 0.3 per cent.</w:t>
      </w:r>
    </w:p>
    <w:p w:rsidR="005D0F54" w:rsidRPr="00CF5ECE" w:rsidRDefault="005D0F54" w:rsidP="005D0F54">
      <w:pPr>
        <w:pStyle w:val="Heading2"/>
        <w:numPr>
          <w:ilvl w:val="2"/>
          <w:numId w:val="8"/>
        </w:numPr>
      </w:pPr>
      <w:bookmarkStart w:id="36" w:name="_Toc403391034"/>
      <w:bookmarkStart w:id="37" w:name="_Toc403391403"/>
      <w:bookmarkStart w:id="38" w:name="_Toc404353002"/>
      <w:r w:rsidRPr="00CF5ECE">
        <w:t>Revisions</w:t>
      </w:r>
      <w:bookmarkEnd w:id="36"/>
      <w:bookmarkEnd w:id="37"/>
      <w:bookmarkEnd w:id="38"/>
    </w:p>
    <w:p w:rsidR="005D0F54" w:rsidRPr="00CF5ECE" w:rsidRDefault="005D0F54" w:rsidP="005D0F54">
      <w:pPr>
        <w:pStyle w:val="AERbodytext"/>
      </w:pPr>
      <w:r w:rsidRPr="00CF5ECE">
        <w:t>The AER requires the following revisions to make the access arrangement proposal acceptable:</w:t>
      </w:r>
    </w:p>
    <w:p w:rsidR="005D0F54" w:rsidRPr="006F3C7A" w:rsidRDefault="005D0F54" w:rsidP="005D0F54">
      <w:pPr>
        <w:pStyle w:val="AERrevisionbox"/>
        <w:rPr>
          <w:rFonts w:eastAsia="Calibri"/>
        </w:rPr>
      </w:pPr>
      <w:r w:rsidRPr="00CF5ECE">
        <w:rPr>
          <w:rStyle w:val="AERtextbold"/>
          <w:rFonts w:eastAsia="Calibri"/>
        </w:rPr>
        <w:t>Revision</w:t>
      </w:r>
      <w:r>
        <w:rPr>
          <w:rStyle w:val="AERtextbold"/>
          <w:rFonts w:eastAsia="Calibri"/>
        </w:rPr>
        <w:t xml:space="preserve"> 5.1</w:t>
      </w:r>
      <w:r w:rsidRPr="006F3C7A">
        <w:rPr>
          <w:rFonts w:eastAsia="Calibri"/>
        </w:rPr>
        <w:t xml:space="preserve"> Make all necessary amendments to reflect the AER's draft decision on the pro</w:t>
      </w:r>
      <w:r>
        <w:rPr>
          <w:rFonts w:eastAsia="Calibri"/>
        </w:rPr>
        <w:t>posed forecast regulatory depreciation allowance</w:t>
      </w:r>
      <w:r w:rsidRPr="006F3C7A">
        <w:rPr>
          <w:rFonts w:eastAsia="Calibri"/>
        </w:rPr>
        <w:t xml:space="preserve"> for the 2015–20 access arrangement period, as set out in </w:t>
      </w:r>
      <w:r>
        <w:rPr>
          <w:rFonts w:eastAsia="Calibri"/>
        </w:rPr>
        <w:fldChar w:fldCharType="begin"/>
      </w:r>
      <w:r>
        <w:rPr>
          <w:rFonts w:eastAsia="Calibri"/>
        </w:rPr>
        <w:instrText xml:space="preserve"> REF  _Ref398282397 \* Lower \h </w:instrText>
      </w:r>
      <w:r>
        <w:rPr>
          <w:rFonts w:eastAsia="Calibri"/>
        </w:rPr>
      </w:r>
      <w:r>
        <w:rPr>
          <w:rFonts w:eastAsia="Calibri"/>
        </w:rPr>
        <w:fldChar w:fldCharType="separate"/>
      </w:r>
      <w:r w:rsidR="00A85385">
        <w:t xml:space="preserve">table </w:t>
      </w:r>
      <w:r w:rsidR="00A85385">
        <w:rPr>
          <w:noProof/>
        </w:rPr>
        <w:t>5</w:t>
      </w:r>
      <w:r w:rsidR="00A85385">
        <w:noBreakHyphen/>
      </w:r>
      <w:r w:rsidR="00A85385">
        <w:rPr>
          <w:noProof/>
        </w:rPr>
        <w:t>1</w:t>
      </w:r>
      <w:r>
        <w:rPr>
          <w:rFonts w:eastAsia="Calibri"/>
        </w:rPr>
        <w:fldChar w:fldCharType="end"/>
      </w:r>
      <w:r>
        <w:rPr>
          <w:rFonts w:eastAsia="Calibri"/>
        </w:rPr>
        <w:t>.</w:t>
      </w:r>
    </w:p>
    <w:p w:rsidR="005D0F54" w:rsidRPr="00E65988" w:rsidRDefault="005D0F54" w:rsidP="005D0F54">
      <w:pPr>
        <w:pStyle w:val="AERrevisionbox"/>
        <w:rPr>
          <w:rFonts w:eastAsia="Calibri"/>
        </w:rPr>
      </w:pPr>
      <w:r w:rsidRPr="006F3C7A">
        <w:rPr>
          <w:rStyle w:val="AERtextbold"/>
          <w:rFonts w:eastAsia="Calibri"/>
        </w:rPr>
        <w:t xml:space="preserve">Revision </w:t>
      </w:r>
      <w:r>
        <w:rPr>
          <w:rStyle w:val="AERtextbold"/>
          <w:rFonts w:eastAsia="Calibri"/>
        </w:rPr>
        <w:t>5</w:t>
      </w:r>
      <w:r w:rsidRPr="006F3C7A">
        <w:rPr>
          <w:rStyle w:val="AERtextbold"/>
          <w:rFonts w:eastAsia="Calibri"/>
        </w:rPr>
        <w:t>.</w:t>
      </w:r>
      <w:r>
        <w:rPr>
          <w:rStyle w:val="AERtextbold"/>
          <w:rFonts w:eastAsia="Calibri"/>
        </w:rPr>
        <w:t>2</w:t>
      </w:r>
      <w:r w:rsidRPr="006F3C7A">
        <w:rPr>
          <w:rFonts w:eastAsia="Calibri"/>
        </w:rPr>
        <w:t xml:space="preserve"> Make all necessary amendments to reflect the AER's draft decision on the</w:t>
      </w:r>
      <w:r w:rsidRPr="000342D7">
        <w:t xml:space="preserve"> standard and remaining </w:t>
      </w:r>
      <w:r>
        <w:t>asset</w:t>
      </w:r>
      <w:r w:rsidRPr="000342D7">
        <w:t xml:space="preserve"> lives </w:t>
      </w:r>
      <w:r w:rsidRPr="000342D7">
        <w:rPr>
          <w:rStyle w:val="AERbody"/>
        </w:rPr>
        <w:t>as at 1 July 2015</w:t>
      </w:r>
      <w:r w:rsidRPr="006F3C7A">
        <w:rPr>
          <w:rFonts w:eastAsia="Calibri"/>
        </w:rPr>
        <w:t xml:space="preserve">, as set out in </w:t>
      </w:r>
      <w:r>
        <w:rPr>
          <w:rFonts w:eastAsia="Calibri"/>
        </w:rPr>
        <w:fldChar w:fldCharType="begin"/>
      </w:r>
      <w:r>
        <w:rPr>
          <w:rFonts w:eastAsia="Calibri"/>
        </w:rPr>
        <w:instrText xml:space="preserve"> REF  _Ref398283146 \* Lower \h </w:instrText>
      </w:r>
      <w:r>
        <w:rPr>
          <w:rFonts w:eastAsia="Calibri"/>
        </w:rPr>
      </w:r>
      <w:r>
        <w:rPr>
          <w:rFonts w:eastAsia="Calibri"/>
        </w:rPr>
        <w:fldChar w:fldCharType="separate"/>
      </w:r>
      <w:r w:rsidR="00A85385" w:rsidRPr="009D5ECB">
        <w:t xml:space="preserve">table </w:t>
      </w:r>
      <w:r w:rsidR="00A85385">
        <w:rPr>
          <w:noProof/>
        </w:rPr>
        <w:t>5</w:t>
      </w:r>
      <w:r w:rsidR="00A85385">
        <w:noBreakHyphen/>
      </w:r>
      <w:r w:rsidR="00A85385">
        <w:rPr>
          <w:noProof/>
        </w:rPr>
        <w:t>4</w:t>
      </w:r>
      <w:r>
        <w:rPr>
          <w:rFonts w:eastAsia="Calibri"/>
        </w:rPr>
        <w:fldChar w:fldCharType="end"/>
      </w:r>
      <w:r>
        <w:rPr>
          <w:rFonts w:eastAsia="Calibri"/>
        </w:rPr>
        <w:t>.</w:t>
      </w:r>
    </w:p>
    <w:p w:rsidR="00F674AC" w:rsidRDefault="00F674AC" w:rsidP="00F674AC">
      <w:pPr>
        <w:pStyle w:val="AERbodytext"/>
      </w:pPr>
    </w:p>
    <w:sectPr w:rsidR="00F674AC" w:rsidSect="003D1269">
      <w:footerReference w:type="even" r:id="rId11"/>
      <w:footerReference w:type="default" r:id="rId12"/>
      <w:pgSz w:w="11906" w:h="16838"/>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1A3" w:rsidRPr="00AB4345" w:rsidRDefault="002C11A3" w:rsidP="00AB4345">
      <w:r>
        <w:separator/>
      </w:r>
    </w:p>
  </w:endnote>
  <w:endnote w:type="continuationSeparator" w:id="0">
    <w:p w:rsidR="002C11A3" w:rsidRPr="00AB4345" w:rsidRDefault="002C11A3"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2C11A3" w:rsidRPr="00824CC8" w:rsidRDefault="002C11A3" w:rsidP="00824CC8">
        <w:pPr>
          <w:pStyle w:val="Footer"/>
        </w:pPr>
        <w:r w:rsidRPr="00824CC8">
          <w:fldChar w:fldCharType="begin"/>
        </w:r>
        <w:r w:rsidRPr="00824CC8">
          <w:instrText xml:space="preserve"> PAGE   \* MERGEFORMAT </w:instrText>
        </w:r>
        <w:r w:rsidRPr="00824CC8">
          <w:fldChar w:fldCharType="separate"/>
        </w:r>
        <w:r w:rsidR="0027004F">
          <w:rPr>
            <w:noProof/>
          </w:rPr>
          <w:t>5-18</w:t>
        </w:r>
        <w:r w:rsidRPr="00824CC8">
          <w:fldChar w:fldCharType="end"/>
        </w:r>
        <w:r w:rsidRPr="00824CC8">
          <w:tab/>
        </w:r>
        <w:r w:rsidR="00F93EDE">
          <w:t xml:space="preserve">                                      </w:t>
        </w:r>
        <w:r w:rsidRPr="00824CC8">
          <w:rPr>
            <w:rStyle w:val="AERbody"/>
          </w:rPr>
          <w:t xml:space="preserve">Attachment </w:t>
        </w:r>
        <w:r>
          <w:rPr>
            <w:rStyle w:val="AERbody"/>
          </w:rPr>
          <w:t xml:space="preserve">5 Regulatory depreciation </w:t>
        </w:r>
        <w:r w:rsidRPr="00824CC8">
          <w:rPr>
            <w:rStyle w:val="AERbody"/>
          </w:rPr>
          <w:t xml:space="preserve">| </w:t>
        </w:r>
        <w:r>
          <w:rPr>
            <w:rStyle w:val="AERbody"/>
          </w:rPr>
          <w:t>Jemena Gas Networks 2015–20</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1A3" w:rsidRPr="00824CC8" w:rsidRDefault="002C11A3" w:rsidP="00824CC8">
    <w:pPr>
      <w:pStyle w:val="Footer"/>
      <w:rPr>
        <w:rStyle w:val="AERbody"/>
      </w:rPr>
    </w:pPr>
    <w:r>
      <w:rPr>
        <w:rStyle w:val="AERbody"/>
      </w:rPr>
      <w:t>Jemena Gas Networks 2015–20</w:t>
    </w:r>
    <w:r w:rsidRPr="00210880">
      <w:rPr>
        <w:rStyle w:val="AERbody"/>
      </w:rPr>
      <w:t xml:space="preserve"> | </w:t>
    </w:r>
    <w:r w:rsidRPr="00824CC8">
      <w:rPr>
        <w:rStyle w:val="AERbody"/>
      </w:rPr>
      <w:t xml:space="preserve">Attachment </w:t>
    </w:r>
    <w:r>
      <w:rPr>
        <w:rStyle w:val="AERbody"/>
      </w:rPr>
      <w:t>5 Regulatory depreciation</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27004F">
      <w:rPr>
        <w:rStyle w:val="AERbody"/>
        <w:noProof/>
      </w:rPr>
      <w:t>5-17</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1A3" w:rsidRPr="00AB4345" w:rsidRDefault="002C11A3" w:rsidP="00AB4345">
      <w:r>
        <w:separator/>
      </w:r>
    </w:p>
  </w:footnote>
  <w:footnote w:type="continuationSeparator" w:id="0">
    <w:p w:rsidR="002C11A3" w:rsidRPr="00AB4345" w:rsidRDefault="002C11A3" w:rsidP="00AB4345">
      <w:r>
        <w:continuationSeparator/>
      </w:r>
    </w:p>
  </w:footnote>
  <w:footnote w:id="1">
    <w:p w:rsidR="002C11A3" w:rsidRDefault="002C11A3" w:rsidP="005D0F54">
      <w:pPr>
        <w:pStyle w:val="FootnoteText"/>
      </w:pPr>
      <w:r>
        <w:rPr>
          <w:rStyle w:val="FootnoteReference"/>
        </w:rPr>
        <w:footnoteRef/>
      </w:r>
      <w:r>
        <w:t xml:space="preserve"> </w:t>
      </w:r>
      <w:r>
        <w:tab/>
        <w:t>NGR, r. 76(b).</w:t>
      </w:r>
    </w:p>
  </w:footnote>
  <w:footnote w:id="2">
    <w:p w:rsidR="002C11A3" w:rsidRDefault="002C11A3" w:rsidP="005D0F54">
      <w:pPr>
        <w:pStyle w:val="FootnoteText"/>
      </w:pPr>
      <w:r>
        <w:rPr>
          <w:rStyle w:val="FootnoteReference"/>
        </w:rPr>
        <w:footnoteRef/>
      </w:r>
      <w:r>
        <w:t xml:space="preserve"> </w:t>
      </w:r>
      <w:r>
        <w:tab/>
        <w:t>Regulatory depreciation allowance is the net total</w:t>
      </w:r>
      <w:r w:rsidRPr="003A447F">
        <w:t xml:space="preserve"> of the straight-line depreciation (negative) and the annual inflation indexation (positive) on the projected capital base</w:t>
      </w:r>
      <w:r>
        <w:t>.</w:t>
      </w:r>
    </w:p>
  </w:footnote>
  <w:footnote w:id="3">
    <w:p w:rsidR="002C11A3" w:rsidRDefault="002C11A3" w:rsidP="005D0F54">
      <w:pPr>
        <w:pStyle w:val="FootnoteText"/>
      </w:pPr>
      <w:r>
        <w:rPr>
          <w:rStyle w:val="FootnoteReference"/>
        </w:rPr>
        <w:footnoteRef/>
      </w:r>
      <w:r>
        <w:t xml:space="preserve"> </w:t>
      </w:r>
      <w:r>
        <w:tab/>
        <w:t xml:space="preserve">The term 'standard asset life' is also referred to as </w:t>
      </w:r>
      <w:r w:rsidRPr="003B3083">
        <w:t xml:space="preserve">'standard </w:t>
      </w:r>
      <w:r>
        <w:t xml:space="preserve">economic </w:t>
      </w:r>
      <w:r w:rsidRPr="003B3083">
        <w:t xml:space="preserve">life', </w:t>
      </w:r>
      <w:r>
        <w:t>'standard life', asset life or (in the JGN proposal) 'economic asset life'.</w:t>
      </w:r>
    </w:p>
  </w:footnote>
  <w:footnote w:id="4">
    <w:p w:rsidR="002C11A3" w:rsidRDefault="002C11A3" w:rsidP="005D0F54">
      <w:pPr>
        <w:pStyle w:val="FootnoteText"/>
      </w:pPr>
      <w:r>
        <w:rPr>
          <w:rStyle w:val="FootnoteReference"/>
        </w:rPr>
        <w:footnoteRef/>
      </w:r>
      <w:r>
        <w:t xml:space="preserve"> </w:t>
      </w:r>
      <w:r>
        <w:tab/>
        <w:t xml:space="preserve">The term 'remaining asset life' is also referred to as 'remaining economic life' or 'remaining life'. </w:t>
      </w:r>
    </w:p>
  </w:footnote>
  <w:footnote w:id="5">
    <w:p w:rsidR="002C11A3" w:rsidRDefault="002C11A3" w:rsidP="005D0F54">
      <w:pPr>
        <w:pStyle w:val="FootnoteText"/>
      </w:pPr>
      <w:r>
        <w:rPr>
          <w:rStyle w:val="FootnoteReference"/>
        </w:rPr>
        <w:footnoteRef/>
      </w:r>
      <w:r>
        <w:t xml:space="preserve"> </w:t>
      </w:r>
      <w:r>
        <w:tab/>
        <w:t>For the final decision we</w:t>
      </w:r>
      <w:r w:rsidRPr="008914BF">
        <w:t xml:space="preserve"> </w:t>
      </w:r>
      <w:r>
        <w:t>will</w:t>
      </w:r>
      <w:r w:rsidRPr="008914BF">
        <w:t xml:space="preserve"> recalculate </w:t>
      </w:r>
      <w:r>
        <w:t>JGN's</w:t>
      </w:r>
      <w:r w:rsidRPr="008914BF">
        <w:t xml:space="preserve"> remaining </w:t>
      </w:r>
      <w:r>
        <w:t xml:space="preserve">economic </w:t>
      </w:r>
      <w:r w:rsidRPr="008914BF">
        <w:t>lives</w:t>
      </w:r>
      <w:r>
        <w:t xml:space="preserve"> based on JGN's method and any updated inputs (in particular, replacing the 2013–14 capex estimate with actual conforming capex).</w:t>
      </w:r>
    </w:p>
  </w:footnote>
  <w:footnote w:id="6">
    <w:p w:rsidR="00F93EDE" w:rsidRDefault="00F93EDE" w:rsidP="00F93EDE">
      <w:pPr>
        <w:pStyle w:val="FootnoteText"/>
      </w:pPr>
      <w:r>
        <w:rPr>
          <w:rStyle w:val="FootnoteReference"/>
        </w:rPr>
        <w:footnoteRef/>
      </w:r>
      <w:r>
        <w:t xml:space="preserve"> </w:t>
      </w:r>
      <w:r>
        <w:tab/>
        <w:t xml:space="preserve">JGN, </w:t>
      </w:r>
      <w:r w:rsidRPr="00D639D1">
        <w:rPr>
          <w:rStyle w:val="AERtextitalic"/>
        </w:rPr>
        <w:t>2015–20</w:t>
      </w:r>
      <w:r>
        <w:t xml:space="preserve"> </w:t>
      </w:r>
      <w:r w:rsidRPr="006D5605">
        <w:rPr>
          <w:rStyle w:val="AERtextitalic"/>
        </w:rPr>
        <w:t>Access arrangement information</w:t>
      </w:r>
      <w:r>
        <w:t>, June 2014, p. 88 (paragraph 358).</w:t>
      </w:r>
    </w:p>
  </w:footnote>
  <w:footnote w:id="7">
    <w:p w:rsidR="002C11A3" w:rsidRDefault="002C11A3" w:rsidP="005D0F54">
      <w:pPr>
        <w:pStyle w:val="FootnoteText"/>
      </w:pPr>
      <w:r>
        <w:rPr>
          <w:rStyle w:val="FootnoteReference"/>
        </w:rPr>
        <w:footnoteRef/>
      </w:r>
      <w:r>
        <w:t xml:space="preserve"> </w:t>
      </w:r>
      <w:r>
        <w:tab/>
        <w:t xml:space="preserve">NGR, r. 72(1)(c)(ii). </w:t>
      </w:r>
    </w:p>
  </w:footnote>
  <w:footnote w:id="8">
    <w:p w:rsidR="002C11A3" w:rsidRDefault="002C11A3" w:rsidP="005D0F54">
      <w:pPr>
        <w:pStyle w:val="FootnoteText"/>
      </w:pPr>
      <w:r>
        <w:rPr>
          <w:rStyle w:val="FootnoteReference"/>
        </w:rPr>
        <w:footnoteRef/>
      </w:r>
      <w:r>
        <w:t xml:space="preserve"> </w:t>
      </w:r>
      <w:r>
        <w:tab/>
      </w:r>
      <w:r w:rsidRPr="00CE74A3">
        <w:rPr>
          <w:rFonts w:eastAsia="Calibri"/>
        </w:rPr>
        <w:t>NGR, rr. 88(1) and 88(2).</w:t>
      </w:r>
    </w:p>
  </w:footnote>
  <w:footnote w:id="9">
    <w:p w:rsidR="002C11A3" w:rsidRDefault="002C11A3" w:rsidP="005D0F54">
      <w:pPr>
        <w:pStyle w:val="FootnoteText"/>
      </w:pPr>
      <w:r>
        <w:rPr>
          <w:rStyle w:val="FootnoteReference"/>
        </w:rPr>
        <w:footnoteRef/>
      </w:r>
      <w:r>
        <w:t xml:space="preserve"> </w:t>
      </w:r>
      <w:r>
        <w:tab/>
        <w:t>NGR, r. 89.</w:t>
      </w:r>
    </w:p>
  </w:footnote>
  <w:footnote w:id="10">
    <w:p w:rsidR="002C11A3" w:rsidRDefault="002C11A3" w:rsidP="005D0F54">
      <w:pPr>
        <w:pStyle w:val="FootnoteText"/>
      </w:pPr>
      <w:r>
        <w:rPr>
          <w:rStyle w:val="FootnoteReference"/>
        </w:rPr>
        <w:footnoteRef/>
      </w:r>
      <w:r>
        <w:t xml:space="preserve"> </w:t>
      </w:r>
      <w:r>
        <w:tab/>
        <w:t>NGL, s</w:t>
      </w:r>
      <w:r w:rsidRPr="006127F2">
        <w:rPr>
          <w:rFonts w:eastAsia="Calibri"/>
        </w:rPr>
        <w:t xml:space="preserve"> 28; NGR r. 100(1). The NGO is set out in NGL, s. 23. The revenue and pricing principles are set out in NGL, s.</w:t>
      </w:r>
      <w:r>
        <w:rPr>
          <w:rFonts w:eastAsia="Calibri"/>
        </w:rPr>
        <w:t> </w:t>
      </w:r>
      <w:r w:rsidRPr="006127F2">
        <w:rPr>
          <w:rFonts w:eastAsia="Calibri"/>
        </w:rPr>
        <w:t>24.</w:t>
      </w:r>
    </w:p>
  </w:footnote>
  <w:footnote w:id="11">
    <w:p w:rsidR="002C11A3" w:rsidRDefault="002C11A3" w:rsidP="005D0F54">
      <w:pPr>
        <w:pStyle w:val="FootnoteText"/>
      </w:pPr>
      <w:r>
        <w:rPr>
          <w:rStyle w:val="FootnoteReference"/>
        </w:rPr>
        <w:footnoteRef/>
      </w:r>
      <w:r>
        <w:t xml:space="preserve"> </w:t>
      </w:r>
      <w:r>
        <w:tab/>
      </w:r>
      <w:r w:rsidRPr="001E0177">
        <w:t xml:space="preserve">NGR, </w:t>
      </w:r>
      <w:r>
        <w:t>rr.</w:t>
      </w:r>
      <w:r w:rsidRPr="001E0177">
        <w:t xml:space="preserve"> 89(3) and 40(2). </w:t>
      </w:r>
      <w:r>
        <w:t xml:space="preserve">The example provided in r. 40(2) states: </w:t>
      </w:r>
      <w:r w:rsidRPr="001E0177">
        <w:t>The AER has limited discretion under r</w:t>
      </w:r>
      <w:r>
        <w:t>.</w:t>
      </w:r>
      <w:r w:rsidRPr="001E0177">
        <w:t xml:space="preserve"> 89. </w:t>
      </w:r>
      <w:r>
        <w:t>R</w:t>
      </w:r>
      <w:r w:rsidRPr="001E0177">
        <w:t>ule</w:t>
      </w:r>
      <w:r>
        <w:t xml:space="preserve"> 89</w:t>
      </w:r>
      <w:r w:rsidRPr="001E0177">
        <w:t xml:space="preserve"> governs the design of a depreciation schedule. In dealing with a full access arrangement submitted for its approval, the AER cannot, in its draft decision, insist on change to an aspect of a depreciation schedule governed by r</w:t>
      </w:r>
      <w:r>
        <w:t>.</w:t>
      </w:r>
      <w:r w:rsidRPr="001E0177">
        <w:t xml:space="preserve"> 89 unless the AER considers </w:t>
      </w:r>
      <w:r>
        <w:t xml:space="preserve">the </w:t>
      </w:r>
      <w:r w:rsidRPr="001E0177">
        <w:t>change</w:t>
      </w:r>
      <w:r>
        <w:t xml:space="preserve"> is</w:t>
      </w:r>
      <w:r w:rsidRPr="001E0177">
        <w:t xml:space="preserve"> necessary to correct non-compliance with a provision of the Law or an inconsistency between the </w:t>
      </w:r>
      <w:r>
        <w:t xml:space="preserve">depreciation </w:t>
      </w:r>
      <w:r w:rsidRPr="001E0177">
        <w:t>schedule and the applicable criteria. Even though the AER might consider change desirable to achieve more complete conformity between the</w:t>
      </w:r>
      <w:r>
        <w:t xml:space="preserve"> depreciation</w:t>
      </w:r>
      <w:r w:rsidRPr="001E0177">
        <w:t xml:space="preserve"> schedule and the principles and objectives of the Law, it would not be entitled to give effect to that view in the decision making process</w:t>
      </w:r>
      <w:r>
        <w:t xml:space="preserve">. </w:t>
      </w:r>
    </w:p>
  </w:footnote>
  <w:footnote w:id="12">
    <w:p w:rsidR="002C11A3" w:rsidRDefault="002C11A3" w:rsidP="005D0F54">
      <w:pPr>
        <w:pStyle w:val="FootnoteText"/>
      </w:pPr>
      <w:r>
        <w:rPr>
          <w:rStyle w:val="FootnoteReference"/>
        </w:rPr>
        <w:footnoteRef/>
      </w:r>
      <w:r>
        <w:t xml:space="preserve"> </w:t>
      </w:r>
      <w:r>
        <w:tab/>
        <w:t>NGR, r. 89(1)(a).</w:t>
      </w:r>
    </w:p>
  </w:footnote>
  <w:footnote w:id="13">
    <w:p w:rsidR="002C11A3" w:rsidRDefault="002C11A3" w:rsidP="005D0F54">
      <w:pPr>
        <w:pStyle w:val="FootnoteText"/>
      </w:pPr>
      <w:r>
        <w:rPr>
          <w:rStyle w:val="FootnoteReference"/>
        </w:rPr>
        <w:footnoteRef/>
      </w:r>
      <w:r>
        <w:t xml:space="preserve"> </w:t>
      </w:r>
      <w:r>
        <w:tab/>
        <w:t>NGR, r. 89(1)(b).</w:t>
      </w:r>
    </w:p>
  </w:footnote>
  <w:footnote w:id="14">
    <w:p w:rsidR="002C11A3" w:rsidRDefault="002C11A3" w:rsidP="005D0F54">
      <w:pPr>
        <w:pStyle w:val="FootnoteText"/>
      </w:pPr>
      <w:r>
        <w:rPr>
          <w:rStyle w:val="FootnoteReference"/>
        </w:rPr>
        <w:footnoteRef/>
      </w:r>
      <w:r>
        <w:t xml:space="preserve"> </w:t>
      </w:r>
      <w:r>
        <w:tab/>
        <w:t>NGR, r. 89(1)(c).</w:t>
      </w:r>
    </w:p>
  </w:footnote>
  <w:footnote w:id="15">
    <w:p w:rsidR="002C11A3" w:rsidRDefault="002C11A3" w:rsidP="005D0F54">
      <w:pPr>
        <w:pStyle w:val="FootnoteText"/>
      </w:pPr>
      <w:r>
        <w:rPr>
          <w:rStyle w:val="FootnoteReference"/>
        </w:rPr>
        <w:footnoteRef/>
      </w:r>
      <w:r>
        <w:t xml:space="preserve"> </w:t>
      </w:r>
      <w:r>
        <w:tab/>
        <w:t>NGR, r. 89(1)(d).</w:t>
      </w:r>
    </w:p>
  </w:footnote>
  <w:footnote w:id="16">
    <w:p w:rsidR="002C11A3" w:rsidRDefault="002C11A3" w:rsidP="005D0F54">
      <w:pPr>
        <w:pStyle w:val="FootnoteText"/>
      </w:pPr>
      <w:r>
        <w:rPr>
          <w:rStyle w:val="FootnoteReference"/>
        </w:rPr>
        <w:footnoteRef/>
      </w:r>
      <w:r>
        <w:t xml:space="preserve"> </w:t>
      </w:r>
      <w:r>
        <w:tab/>
        <w:t>NGR, r. 89(1)(e).</w:t>
      </w:r>
    </w:p>
  </w:footnote>
  <w:footnote w:id="17">
    <w:p w:rsidR="002C11A3" w:rsidRDefault="002C11A3" w:rsidP="005D0F54">
      <w:pPr>
        <w:pStyle w:val="FootnoteText"/>
      </w:pPr>
      <w:r>
        <w:rPr>
          <w:rStyle w:val="FootnoteReference"/>
        </w:rPr>
        <w:footnoteRef/>
      </w:r>
      <w:r>
        <w:t xml:space="preserve"> </w:t>
      </w:r>
      <w:r>
        <w:tab/>
        <w:t xml:space="preserve">NGR, r. 89(2). </w:t>
      </w:r>
    </w:p>
  </w:footnote>
  <w:footnote w:id="18">
    <w:p w:rsidR="002C11A3" w:rsidRDefault="002C11A3" w:rsidP="005D0F54">
      <w:pPr>
        <w:pStyle w:val="FootnoteText"/>
      </w:pPr>
      <w:r>
        <w:rPr>
          <w:rStyle w:val="FootnoteReference"/>
        </w:rPr>
        <w:footnoteRef/>
      </w:r>
      <w:r>
        <w:t xml:space="preserve"> </w:t>
      </w:r>
      <w:r>
        <w:tab/>
        <w:t>NGR, r. 89.</w:t>
      </w:r>
    </w:p>
  </w:footnote>
  <w:footnote w:id="19">
    <w:p w:rsidR="002C11A3" w:rsidRDefault="002C11A3" w:rsidP="005D0F54">
      <w:pPr>
        <w:pStyle w:val="FootnoteText"/>
      </w:pPr>
      <w:r>
        <w:rPr>
          <w:rStyle w:val="FootnoteReference"/>
        </w:rPr>
        <w:footnoteRef/>
      </w:r>
      <w:r>
        <w:t xml:space="preserve"> </w:t>
      </w:r>
      <w:r>
        <w:tab/>
        <w:t>NGR, r. 89(1)(a).</w:t>
      </w:r>
    </w:p>
  </w:footnote>
  <w:footnote w:id="20">
    <w:p w:rsidR="002C11A3" w:rsidRDefault="002C11A3" w:rsidP="005D0F54">
      <w:pPr>
        <w:pStyle w:val="FootnoteText"/>
      </w:pPr>
      <w:r>
        <w:rPr>
          <w:rStyle w:val="FootnoteReference"/>
        </w:rPr>
        <w:footnoteRef/>
      </w:r>
      <w:r>
        <w:t xml:space="preserve"> </w:t>
      </w:r>
      <w:r>
        <w:tab/>
      </w:r>
      <w:r w:rsidRPr="00B406D4">
        <w:t xml:space="preserve">We consider this depreciation method to be a generally superior approach. The reasons are outlined in our decision on the roll forward model for electricity transmission network service providers. See AER, </w:t>
      </w:r>
      <w:r w:rsidRPr="008948ED">
        <w:rPr>
          <w:rStyle w:val="AERtextitalic"/>
        </w:rPr>
        <w:t>Explanatory statement, Proposed amendment, Electricity transmission network service providers, Roll forward model</w:t>
      </w:r>
      <w:r w:rsidRPr="00B406D4">
        <w:t>, August 2010, pp. 5–6.</w:t>
      </w:r>
    </w:p>
  </w:footnote>
  <w:footnote w:id="21">
    <w:p w:rsidR="002C11A3" w:rsidRDefault="002C11A3" w:rsidP="005D0F54">
      <w:pPr>
        <w:pStyle w:val="FootnoteText"/>
      </w:pPr>
      <w:r>
        <w:rPr>
          <w:rStyle w:val="FootnoteReference"/>
        </w:rPr>
        <w:footnoteRef/>
      </w:r>
      <w:r>
        <w:t xml:space="preserve"> </w:t>
      </w:r>
      <w:r>
        <w:tab/>
      </w:r>
      <w:r w:rsidRPr="00C06BD9">
        <w:t xml:space="preserve">See AER, </w:t>
      </w:r>
      <w:r w:rsidRPr="006F329C">
        <w:rPr>
          <w:rStyle w:val="AERtextitalic"/>
        </w:rPr>
        <w:t>Final decision - amended transmission roll forward model</w:t>
      </w:r>
      <w:r w:rsidRPr="00C06BD9">
        <w:t>, December 2010, pp. 5–6 for further explanation.</w:t>
      </w:r>
    </w:p>
  </w:footnote>
  <w:footnote w:id="22">
    <w:p w:rsidR="002C11A3" w:rsidRDefault="002C11A3" w:rsidP="005D0F54">
      <w:pPr>
        <w:pStyle w:val="FootnoteText"/>
      </w:pPr>
      <w:r>
        <w:rPr>
          <w:rStyle w:val="FootnoteReference"/>
        </w:rPr>
        <w:footnoteRef/>
      </w:r>
      <w:r>
        <w:t xml:space="preserve"> </w:t>
      </w:r>
      <w:r>
        <w:tab/>
        <w:t>Under our standard approach,</w:t>
      </w:r>
      <w:r w:rsidRPr="00847540">
        <w:t xml:space="preserve"> the distinction is made between straight-line depreciation and regulatory depreciation. The difference being that regulatory depreciation is the straight-line depreciation minus the indexation adjustment.</w:t>
      </w:r>
    </w:p>
  </w:footnote>
  <w:footnote w:id="23">
    <w:p w:rsidR="002C11A3" w:rsidRDefault="002C11A3" w:rsidP="005D0F54">
      <w:pPr>
        <w:pStyle w:val="FootnoteText"/>
      </w:pPr>
      <w:r>
        <w:rPr>
          <w:rStyle w:val="FootnoteReference"/>
        </w:rPr>
        <w:footnoteRef/>
      </w:r>
      <w:r>
        <w:t xml:space="preserve"> </w:t>
      </w:r>
      <w:r>
        <w:tab/>
      </w:r>
      <w:r w:rsidRPr="00847540">
        <w:t xml:space="preserve">If the </w:t>
      </w:r>
      <w:r>
        <w:t>economic</w:t>
      </w:r>
      <w:r w:rsidRPr="00847540">
        <w:t xml:space="preserve"> lives are extremely long, such that the straight-line depreciation rate is lower than the inflation rate, then negative regulatory depreciation can emerge. The indexation adjustment is greater than the straight-line depreciation in such circumstances.</w:t>
      </w:r>
    </w:p>
  </w:footnote>
  <w:footnote w:id="24">
    <w:p w:rsidR="002C11A3" w:rsidRDefault="002C11A3" w:rsidP="005D0F54">
      <w:pPr>
        <w:pStyle w:val="FootnoteText"/>
      </w:pPr>
      <w:r>
        <w:rPr>
          <w:rStyle w:val="FootnoteReference"/>
        </w:rPr>
        <w:footnoteRef/>
      </w:r>
      <w:r>
        <w:t xml:space="preserve"> </w:t>
      </w:r>
      <w:r>
        <w:tab/>
        <w:t xml:space="preserve">JGN's proposed regulatory depreciation allowance is set out in its total revenue chapter (table 12–1, $404.2 million in $real 2014–15, which converts to $437.5 million in nominal terms). In JGN's capital base chapter, JGN presents 'forecast depreciation' of $882.0 million ($nominal). This is the proposed straight–line depreciation before inflation indexation, as per the top line of </w:t>
      </w:r>
      <w:r>
        <w:fldChar w:fldCharType="begin"/>
      </w:r>
      <w:r>
        <w:instrText xml:space="preserve"> REF _Ref398892142 \h </w:instrText>
      </w:r>
      <w:r>
        <w:fldChar w:fldCharType="separate"/>
      </w:r>
      <w:r w:rsidR="00A85385">
        <w:t xml:space="preserve">Table </w:t>
      </w:r>
      <w:r w:rsidR="00A85385">
        <w:rPr>
          <w:noProof/>
        </w:rPr>
        <w:t>5</w:t>
      </w:r>
      <w:r w:rsidR="00A85385">
        <w:noBreakHyphen/>
      </w:r>
      <w:r w:rsidR="00A85385">
        <w:rPr>
          <w:noProof/>
        </w:rPr>
        <w:t>2</w:t>
      </w:r>
      <w:r>
        <w:fldChar w:fldCharType="end"/>
      </w:r>
      <w:r>
        <w:t xml:space="preserve"> in this attachment. JGN, </w:t>
      </w:r>
      <w:r w:rsidRPr="004010FF">
        <w:rPr>
          <w:rStyle w:val="AERtextitalic"/>
        </w:rPr>
        <w:t>Access arrangement information</w:t>
      </w:r>
      <w:r>
        <w:t>, June 2014, pp. 86, 103.</w:t>
      </w:r>
    </w:p>
  </w:footnote>
  <w:footnote w:id="25">
    <w:p w:rsidR="002C11A3" w:rsidRDefault="002C11A3" w:rsidP="005D0F54">
      <w:pPr>
        <w:pStyle w:val="FootnoteText"/>
      </w:pPr>
      <w:r>
        <w:rPr>
          <w:rStyle w:val="FootnoteReference"/>
        </w:rPr>
        <w:footnoteRef/>
      </w:r>
      <w:r>
        <w:t xml:space="preserve"> </w:t>
      </w:r>
      <w:r>
        <w:tab/>
        <w:t>We have accepted JGN's proposed standard asset life for the 'Equity raising costs' asset class because there is no forecast capex allocated to this asset class and so it has no impact on total revenue. However, if this were to change in the final decision we would update the standard asset life using the same underlying method - the weighted average standard asset life of the opening capital base.</w:t>
      </w:r>
    </w:p>
  </w:footnote>
  <w:footnote w:id="26">
    <w:p w:rsidR="002C11A3" w:rsidRDefault="002C11A3" w:rsidP="005D0F54">
      <w:pPr>
        <w:pStyle w:val="FootnoteText"/>
      </w:pPr>
      <w:r>
        <w:rPr>
          <w:rStyle w:val="FootnoteReference"/>
        </w:rPr>
        <w:footnoteRef/>
      </w:r>
      <w:r>
        <w:t xml:space="preserve"> </w:t>
      </w:r>
      <w:r>
        <w:tab/>
        <w:t>For the final decision we</w:t>
      </w:r>
      <w:r w:rsidRPr="008914BF">
        <w:t xml:space="preserve"> </w:t>
      </w:r>
      <w:r>
        <w:t>will</w:t>
      </w:r>
      <w:r w:rsidRPr="008914BF">
        <w:t xml:space="preserve"> recalculate </w:t>
      </w:r>
      <w:r>
        <w:t>JGN's</w:t>
      </w:r>
      <w:r w:rsidRPr="008914BF">
        <w:t xml:space="preserve"> remaining </w:t>
      </w:r>
      <w:r>
        <w:t xml:space="preserve">asset </w:t>
      </w:r>
      <w:r w:rsidRPr="008914BF">
        <w:t>lives</w:t>
      </w:r>
      <w:r>
        <w:t xml:space="preserve"> as at 1 July 2015 based on JGN's method and any updated inputs.</w:t>
      </w:r>
      <w:r w:rsidRPr="008914BF">
        <w:t xml:space="preserve"> </w:t>
      </w:r>
      <w:r>
        <w:t xml:space="preserve">In particular, for </w:t>
      </w:r>
      <w:r w:rsidRPr="008914BF">
        <w:t xml:space="preserve">this draft decision the roll forward of </w:t>
      </w:r>
      <w:r>
        <w:t xml:space="preserve">JGN's capital base </w:t>
      </w:r>
      <w:r w:rsidRPr="008914BF">
        <w:t xml:space="preserve">includes </w:t>
      </w:r>
      <w:r>
        <w:t>estimated</w:t>
      </w:r>
      <w:r w:rsidRPr="008914BF">
        <w:t xml:space="preserve"> capex</w:t>
      </w:r>
      <w:r>
        <w:t xml:space="preserve"> amounts</w:t>
      </w:r>
      <w:r w:rsidRPr="008914BF">
        <w:t xml:space="preserve"> for </w:t>
      </w:r>
      <w:r>
        <w:t>2013–14 and 2014–5. For the final decision, w</w:t>
      </w:r>
      <w:r w:rsidRPr="00516A5D">
        <w:t>e will update the</w:t>
      </w:r>
      <w:r>
        <w:t xml:space="preserve">se values to reflect 2013–14 actual conforming capex and any revisions (reflecting newly available information) to 2014–15 estimated capex. These capex amounts are used to calculate the closing capital base as at 30 June 2015, which affects the calculation of </w:t>
      </w:r>
      <w:r w:rsidRPr="008914BF">
        <w:t xml:space="preserve">remaining </w:t>
      </w:r>
      <w:r>
        <w:t xml:space="preserve">asset </w:t>
      </w:r>
      <w:r w:rsidRPr="008914BF">
        <w:t>lives</w:t>
      </w:r>
      <w:r>
        <w:t xml:space="preserve"> under JGN's approach</w:t>
      </w:r>
      <w:r w:rsidRPr="008914BF">
        <w:t>.</w:t>
      </w:r>
    </w:p>
  </w:footnote>
  <w:footnote w:id="27">
    <w:p w:rsidR="002C11A3" w:rsidRDefault="002C11A3" w:rsidP="005D0F54">
      <w:pPr>
        <w:pStyle w:val="FootnoteText"/>
      </w:pPr>
      <w:r>
        <w:rPr>
          <w:rStyle w:val="FootnoteReference"/>
        </w:rPr>
        <w:footnoteRef/>
      </w:r>
      <w:r>
        <w:t xml:space="preserve"> </w:t>
      </w:r>
      <w:r>
        <w:tab/>
        <w:t>For the 'Equity raising costs' asset class, JGN's proposed standard asset life reflects the weighted average standard asset</w:t>
      </w:r>
      <w:r w:rsidRPr="003B3083">
        <w:t xml:space="preserve"> </w:t>
      </w:r>
      <w:r>
        <w:t xml:space="preserve">life of the opening capital base at the time of the 2010 access arrangement decision. Since there is no forecast capex allocated to this asset class, the standard asset life has no impact on total revenue and so </w:t>
      </w:r>
      <w:r w:rsidRPr="00CB6043">
        <w:t xml:space="preserve">we have </w:t>
      </w:r>
      <w:r>
        <w:t>accepted the JGN proposal</w:t>
      </w:r>
      <w:r w:rsidRPr="00CB6043">
        <w:t xml:space="preserve">. </w:t>
      </w:r>
      <w:r>
        <w:t>The forecast of equity raising costs is dependent on complex interactions between many other aspects of the decision, and JGN adopts the standard AER approach to modelling the requirement for equity raising costs (if any). I</w:t>
      </w:r>
      <w:r w:rsidRPr="00CB6043">
        <w:t xml:space="preserve">f </w:t>
      </w:r>
      <w:r>
        <w:t xml:space="preserve">the </w:t>
      </w:r>
      <w:r w:rsidRPr="00CB6043">
        <w:t>final decision</w:t>
      </w:r>
      <w:r>
        <w:t xml:space="preserve"> did include forecast equity raising costs in this asset class, </w:t>
      </w:r>
      <w:r w:rsidRPr="00CB6043">
        <w:t>we would upd</w:t>
      </w:r>
      <w:r>
        <w:t xml:space="preserve">ate the standard asset life </w:t>
      </w:r>
      <w:r w:rsidRPr="00CB6043">
        <w:t xml:space="preserve">using the same methodology </w:t>
      </w:r>
      <w:r>
        <w:t>–</w:t>
      </w:r>
      <w:r w:rsidRPr="00CB6043">
        <w:t xml:space="preserve"> the weighted average standard life of the opening </w:t>
      </w:r>
      <w:r>
        <w:t>capital</w:t>
      </w:r>
      <w:r w:rsidRPr="00CB6043">
        <w:t xml:space="preserve"> base.</w:t>
      </w:r>
    </w:p>
  </w:footnote>
  <w:footnote w:id="28">
    <w:p w:rsidR="002C11A3" w:rsidRDefault="002C11A3" w:rsidP="005D0F54">
      <w:pPr>
        <w:pStyle w:val="FootnoteText"/>
      </w:pPr>
      <w:r>
        <w:rPr>
          <w:rStyle w:val="FootnoteReference"/>
        </w:rPr>
        <w:footnoteRef/>
      </w:r>
      <w:r>
        <w:t xml:space="preserve"> </w:t>
      </w:r>
      <w:r>
        <w:tab/>
        <w:t xml:space="preserve">AER, </w:t>
      </w:r>
      <w:r>
        <w:rPr>
          <w:rStyle w:val="AERtextitalic"/>
          <w:rFonts w:eastAsia="Calibri"/>
        </w:rPr>
        <w:t>Draft</w:t>
      </w:r>
      <w:r w:rsidRPr="00D014D9">
        <w:rPr>
          <w:rStyle w:val="AERtextitalic"/>
          <w:rFonts w:eastAsia="Calibri"/>
        </w:rPr>
        <w:t xml:space="preserve"> decision: Envestra (Victoria) access arrangement proposal 2013–17 Part2: Attachments</w:t>
      </w:r>
      <w:r w:rsidRPr="00D014D9">
        <w:rPr>
          <w:rFonts w:eastAsia="Calibri"/>
        </w:rPr>
        <w:t xml:space="preserve">, </w:t>
      </w:r>
      <w:r>
        <w:rPr>
          <w:rFonts w:eastAsia="Calibri"/>
        </w:rPr>
        <w:t>September</w:t>
      </w:r>
      <w:r w:rsidRPr="00D014D9">
        <w:rPr>
          <w:rFonts w:eastAsia="Calibri"/>
        </w:rPr>
        <w:t xml:space="preserve"> 201</w:t>
      </w:r>
      <w:r>
        <w:rPr>
          <w:rFonts w:eastAsia="Calibri"/>
        </w:rPr>
        <w:t>2</w:t>
      </w:r>
      <w:r w:rsidRPr="00D014D9">
        <w:rPr>
          <w:rFonts w:eastAsia="Calibri"/>
        </w:rPr>
        <w:t>, p.</w:t>
      </w:r>
      <w:r>
        <w:rPr>
          <w:rFonts w:eastAsia="Calibri"/>
        </w:rPr>
        <w:t> 158</w:t>
      </w:r>
      <w:r w:rsidRPr="00D014D9">
        <w:rPr>
          <w:rFonts w:eastAsia="Calibri"/>
        </w:rPr>
        <w:t xml:space="preserve">; AER, </w:t>
      </w:r>
      <w:r>
        <w:rPr>
          <w:rStyle w:val="AERtextitalic"/>
          <w:rFonts w:eastAsia="Calibri"/>
        </w:rPr>
        <w:t>Draft</w:t>
      </w:r>
      <w:r w:rsidRPr="00D014D9">
        <w:rPr>
          <w:rStyle w:val="AERtextitalic"/>
          <w:rFonts w:eastAsia="Calibri"/>
        </w:rPr>
        <w:t xml:space="preserve"> decision: AusNet (SP AusNet) arrangement proposal 2013–17 Part2: Attachments</w:t>
      </w:r>
      <w:r w:rsidRPr="00D014D9">
        <w:rPr>
          <w:rFonts w:eastAsia="Calibri"/>
        </w:rPr>
        <w:t xml:space="preserve">, </w:t>
      </w:r>
      <w:r>
        <w:rPr>
          <w:rFonts w:eastAsia="Calibri"/>
        </w:rPr>
        <w:t>September</w:t>
      </w:r>
      <w:r w:rsidRPr="00D014D9">
        <w:rPr>
          <w:rFonts w:eastAsia="Calibri"/>
        </w:rPr>
        <w:t xml:space="preserve"> 201</w:t>
      </w:r>
      <w:r>
        <w:rPr>
          <w:rFonts w:eastAsia="Calibri"/>
        </w:rPr>
        <w:t>2</w:t>
      </w:r>
      <w:r w:rsidRPr="00D014D9">
        <w:rPr>
          <w:rFonts w:eastAsia="Calibri"/>
        </w:rPr>
        <w:t>, p.</w:t>
      </w:r>
      <w:r>
        <w:rPr>
          <w:rFonts w:eastAsia="Calibri"/>
        </w:rPr>
        <w:t> 134</w:t>
      </w:r>
      <w:r w:rsidRPr="00D014D9">
        <w:rPr>
          <w:rFonts w:eastAsia="Calibri"/>
        </w:rPr>
        <w:t>; AER,</w:t>
      </w:r>
      <w:r>
        <w:rPr>
          <w:rStyle w:val="AERtextitalic"/>
          <w:rFonts w:eastAsia="Calibri"/>
        </w:rPr>
        <w:t xml:space="preserve"> Draft</w:t>
      </w:r>
      <w:r w:rsidRPr="00D014D9">
        <w:rPr>
          <w:rStyle w:val="AERtextitalic"/>
          <w:rFonts w:eastAsia="Calibri"/>
        </w:rPr>
        <w:t xml:space="preserve"> decision: Multi</w:t>
      </w:r>
      <w:r>
        <w:rPr>
          <w:rStyle w:val="AERtextitalic"/>
          <w:rFonts w:eastAsia="Calibri"/>
        </w:rPr>
        <w:t>n</w:t>
      </w:r>
      <w:r w:rsidRPr="00D014D9">
        <w:rPr>
          <w:rStyle w:val="AERtextitalic"/>
          <w:rFonts w:eastAsia="Calibri"/>
        </w:rPr>
        <w:t>et Gas arrangement proposal 2013–17</w:t>
      </w:r>
      <w:r w:rsidRPr="00D014D9">
        <w:rPr>
          <w:rFonts w:eastAsia="Calibri"/>
        </w:rPr>
        <w:t xml:space="preserve">, </w:t>
      </w:r>
      <w:r>
        <w:rPr>
          <w:rFonts w:eastAsia="Calibri"/>
        </w:rPr>
        <w:t>September</w:t>
      </w:r>
      <w:r w:rsidRPr="00D014D9">
        <w:rPr>
          <w:rFonts w:eastAsia="Calibri"/>
        </w:rPr>
        <w:t xml:space="preserve"> 201</w:t>
      </w:r>
      <w:r>
        <w:rPr>
          <w:rFonts w:eastAsia="Calibri"/>
        </w:rPr>
        <w:t>2</w:t>
      </w:r>
      <w:r w:rsidRPr="00D014D9">
        <w:rPr>
          <w:rFonts w:eastAsia="Calibri"/>
        </w:rPr>
        <w:t xml:space="preserve">, p. </w:t>
      </w:r>
      <w:r>
        <w:rPr>
          <w:rFonts w:eastAsia="Calibri"/>
        </w:rPr>
        <w:t>1</w:t>
      </w:r>
      <w:r w:rsidRPr="00D014D9">
        <w:rPr>
          <w:rFonts w:eastAsia="Calibri"/>
        </w:rPr>
        <w:t>2</w:t>
      </w:r>
      <w:r>
        <w:rPr>
          <w:rFonts w:eastAsia="Calibri"/>
        </w:rPr>
        <w:t>6</w:t>
      </w:r>
      <w:r w:rsidRPr="00D014D9">
        <w:rPr>
          <w:rFonts w:eastAsia="Calibri"/>
        </w:rPr>
        <w:t>.</w:t>
      </w:r>
    </w:p>
  </w:footnote>
  <w:footnote w:id="29">
    <w:p w:rsidR="002C11A3" w:rsidRDefault="002C11A3" w:rsidP="005D0F54">
      <w:pPr>
        <w:pStyle w:val="FootnoteText"/>
      </w:pPr>
      <w:r>
        <w:rPr>
          <w:rStyle w:val="FootnoteReference"/>
        </w:rPr>
        <w:footnoteRef/>
      </w:r>
      <w:r>
        <w:t xml:space="preserve"> </w:t>
      </w:r>
      <w:r>
        <w:tab/>
        <w:t>Not all service providers use such an asset breakdown. The observed standard economic lives for the 'Vehicles' or 'Motor Vehicles' asset class is 6 years (Aurora), 7 years (ActewAGL, Powerlink), 8 years (Endeavour Energy, Essential Energy), 9 years (Energex), and 10 years (Ausgrid, Ergon Energy).</w:t>
      </w:r>
    </w:p>
  </w:footnote>
  <w:footnote w:id="30">
    <w:p w:rsidR="002C11A3" w:rsidRDefault="002C11A3" w:rsidP="005D0F54">
      <w:pPr>
        <w:pStyle w:val="FootnoteText"/>
      </w:pPr>
      <w:r>
        <w:rPr>
          <w:rStyle w:val="FootnoteReference"/>
        </w:rPr>
        <w:footnoteRef/>
      </w:r>
      <w:r>
        <w:t xml:space="preserve"> </w:t>
      </w:r>
      <w:r>
        <w:tab/>
        <w:t xml:space="preserve">AER, </w:t>
      </w:r>
      <w:r w:rsidRPr="004A1ABD">
        <w:rPr>
          <w:rStyle w:val="AERtextitalic"/>
        </w:rPr>
        <w:t>Email re: AER JGN 037 Information request - Standard asset life of Vehicles asset class</w:t>
      </w:r>
      <w:r>
        <w:t>, 8 October 2014.</w:t>
      </w:r>
    </w:p>
  </w:footnote>
  <w:footnote w:id="31">
    <w:p w:rsidR="002C11A3" w:rsidRDefault="002C11A3" w:rsidP="005D0F54">
      <w:pPr>
        <w:pStyle w:val="FootnoteText"/>
      </w:pPr>
      <w:r>
        <w:rPr>
          <w:rStyle w:val="FootnoteReference"/>
        </w:rPr>
        <w:footnoteRef/>
      </w:r>
      <w:r>
        <w:t xml:space="preserve"> </w:t>
      </w:r>
      <w:r>
        <w:tab/>
        <w:t xml:space="preserve">JGN, </w:t>
      </w:r>
      <w:r w:rsidRPr="004A1ABD">
        <w:rPr>
          <w:rStyle w:val="AERtextitalic"/>
        </w:rPr>
        <w:t>Email re: RE: AER JGN 037 Information request - Standard asset life of Vehicles asset class</w:t>
      </w:r>
      <w:r>
        <w:t>, 10 October 2014.</w:t>
      </w:r>
    </w:p>
  </w:footnote>
  <w:footnote w:id="32">
    <w:p w:rsidR="002C11A3" w:rsidRDefault="002C11A3" w:rsidP="005D0F54">
      <w:pPr>
        <w:pStyle w:val="FootnoteText"/>
      </w:pPr>
      <w:r>
        <w:rPr>
          <w:rStyle w:val="FootnoteReference"/>
        </w:rPr>
        <w:footnoteRef/>
      </w:r>
      <w:r>
        <w:t xml:space="preserve"> </w:t>
      </w:r>
      <w:r>
        <w:tab/>
        <w:t xml:space="preserve">JGN, </w:t>
      </w:r>
      <w:r w:rsidRPr="004A1ABD">
        <w:rPr>
          <w:rStyle w:val="AERtextitalic"/>
        </w:rPr>
        <w:t>Email re: RE: AER JGN 037 Information request - Standard asset life of Vehicles asset class</w:t>
      </w:r>
      <w:r>
        <w:t>, 10 October 2014.</w:t>
      </w:r>
    </w:p>
  </w:footnote>
  <w:footnote w:id="33">
    <w:p w:rsidR="002C11A3" w:rsidRDefault="002C11A3" w:rsidP="005D0F54">
      <w:pPr>
        <w:pStyle w:val="FootnoteText"/>
      </w:pPr>
      <w:r>
        <w:rPr>
          <w:rStyle w:val="FootnoteReference"/>
        </w:rPr>
        <w:footnoteRef/>
      </w:r>
      <w:r>
        <w:t xml:space="preserve"> </w:t>
      </w:r>
      <w:r>
        <w:tab/>
        <w:t>This weighted average is above five years primarily because the heavy commercial vehicles have a relatively long design life (9-10 years) and a high per-unit value.</w:t>
      </w:r>
    </w:p>
  </w:footnote>
  <w:footnote w:id="34">
    <w:p w:rsidR="002C11A3" w:rsidRDefault="002C11A3" w:rsidP="005D0F54">
      <w:pPr>
        <w:pStyle w:val="FootnoteText"/>
      </w:pPr>
      <w:r>
        <w:rPr>
          <w:rStyle w:val="FootnoteReference"/>
        </w:rPr>
        <w:footnoteRef/>
      </w:r>
      <w:r>
        <w:t xml:space="preserve"> </w:t>
      </w:r>
      <w:r>
        <w:tab/>
        <w:t xml:space="preserve">That is, the five yearly replacement capex cycle referenced by JGN for light commercial vehicles does not reflect the capex cycle for the entire asset class. JGN, </w:t>
      </w:r>
      <w:r w:rsidRPr="004A1ABD">
        <w:rPr>
          <w:rStyle w:val="AERtextitalic"/>
        </w:rPr>
        <w:t>2015–20 Access arrangement information, Appendix 06.07—Forecast capital expenditure report</w:t>
      </w:r>
      <w:r>
        <w:t>, 30 June 2014, pp. 41–42 (paragraphs 154, 158).</w:t>
      </w:r>
    </w:p>
  </w:footnote>
  <w:footnote w:id="35">
    <w:p w:rsidR="002C11A3" w:rsidRDefault="002C11A3" w:rsidP="005D0F54">
      <w:pPr>
        <w:pStyle w:val="FootnoteText"/>
      </w:pPr>
      <w:r>
        <w:rPr>
          <w:rStyle w:val="FootnoteReference"/>
        </w:rPr>
        <w:footnoteRef/>
      </w:r>
      <w:r>
        <w:t xml:space="preserve"> </w:t>
      </w:r>
      <w:r>
        <w:tab/>
        <w:t>The forecast capex program also includes consideration of disposals, which occur at the end of the design life and are minimal in any case (proposed at five per cent of outgoings).</w:t>
      </w:r>
    </w:p>
  </w:footnote>
  <w:footnote w:id="36">
    <w:p w:rsidR="002C11A3" w:rsidRDefault="002C11A3" w:rsidP="005D0F54">
      <w:pPr>
        <w:pStyle w:val="FootnoteText"/>
      </w:pPr>
      <w:r>
        <w:rPr>
          <w:rStyle w:val="FootnoteReference"/>
        </w:rPr>
        <w:footnoteRef/>
      </w:r>
      <w:r>
        <w:t xml:space="preserve"> </w:t>
      </w:r>
      <w:r>
        <w:tab/>
        <w:t>NGR, r. 89(1)(b).</w:t>
      </w:r>
    </w:p>
  </w:footnote>
  <w:footnote w:id="37">
    <w:p w:rsidR="002C11A3" w:rsidRDefault="002C11A3" w:rsidP="005D0F54">
      <w:pPr>
        <w:pStyle w:val="FootnoteText"/>
      </w:pPr>
      <w:r>
        <w:rPr>
          <w:rStyle w:val="FootnoteReference"/>
        </w:rPr>
        <w:footnoteRef/>
      </w:r>
      <w:r>
        <w:t xml:space="preserve"> </w:t>
      </w:r>
      <w:r>
        <w:tab/>
        <w:t>This statement does not imply that the effects will be equal; but simply that they act in offsetting directions.</w:t>
      </w:r>
    </w:p>
  </w:footnote>
  <w:footnote w:id="38">
    <w:p w:rsidR="002C11A3" w:rsidRDefault="002C11A3" w:rsidP="005D0F54">
      <w:pPr>
        <w:pStyle w:val="FootnoteText"/>
      </w:pPr>
      <w:r>
        <w:rPr>
          <w:rStyle w:val="FootnoteReference"/>
        </w:rPr>
        <w:footnoteRef/>
      </w:r>
      <w:r>
        <w:t xml:space="preserve"> </w:t>
      </w:r>
      <w:r>
        <w:tab/>
        <w:t>There are other, secondary effects. For instance, the decrease in 2015–20 depreciation will cause a (smaller) increase in the return on capital building block during the 2015–20 access arrangement period.</w:t>
      </w:r>
    </w:p>
  </w:footnote>
  <w:footnote w:id="39">
    <w:p w:rsidR="00950C29" w:rsidRDefault="00950C29">
      <w:pPr>
        <w:pStyle w:val="FootnoteText"/>
      </w:pPr>
      <w:r>
        <w:rPr>
          <w:rStyle w:val="FootnoteReference"/>
        </w:rPr>
        <w:footnoteRef/>
      </w:r>
      <w:r>
        <w:t xml:space="preserve"> </w:t>
      </w:r>
      <w:r>
        <w:tab/>
        <w:t>These calculations are based on JGN's original proposal, not the AER's draft decision position.</w:t>
      </w:r>
    </w:p>
  </w:footnote>
  <w:footnote w:id="40">
    <w:p w:rsidR="002C11A3" w:rsidRDefault="002C11A3" w:rsidP="005D0F54">
      <w:pPr>
        <w:pStyle w:val="FootnoteText"/>
      </w:pPr>
      <w:r>
        <w:rPr>
          <w:rStyle w:val="FootnoteReference"/>
        </w:rPr>
        <w:footnoteRef/>
      </w:r>
      <w:r>
        <w:t xml:space="preserve"> </w:t>
      </w:r>
      <w:r>
        <w:tab/>
        <w:t>The choice between using forecast or actual capex for calculating depreciation is locked in at the preceding access arrangement decision. See NGR r. 90.</w:t>
      </w:r>
    </w:p>
  </w:footnote>
  <w:footnote w:id="41">
    <w:p w:rsidR="002C11A3" w:rsidRDefault="002C11A3" w:rsidP="005D0F54">
      <w:pPr>
        <w:pStyle w:val="FootnoteText"/>
      </w:pPr>
      <w:r>
        <w:rPr>
          <w:rStyle w:val="FootnoteReference"/>
        </w:rPr>
        <w:footnoteRef/>
      </w:r>
      <w:r>
        <w:t xml:space="preserve"> </w:t>
      </w:r>
      <w:r>
        <w:tab/>
        <w:t>Briefly, JGN adjusts (i) for new capex added to the capital base at the end of 2014–15; (ii) for the difference between estimated and actual net capex in 2009–10, which is also added to the capital base at the end of 2014–15; and (iii) to constrain the final estimate to be less than or equal to the standard asset life.</w:t>
      </w:r>
    </w:p>
  </w:footnote>
  <w:footnote w:id="42">
    <w:p w:rsidR="002C11A3" w:rsidRDefault="002C11A3" w:rsidP="005D0F54">
      <w:pPr>
        <w:pStyle w:val="FootnoteText"/>
      </w:pPr>
      <w:r>
        <w:rPr>
          <w:rStyle w:val="FootnoteReference"/>
        </w:rPr>
        <w:footnoteRef/>
      </w:r>
      <w:r>
        <w:t xml:space="preserve"> </w:t>
      </w:r>
      <w:r>
        <w:tab/>
        <w:t>This concern mirrors our concern with ActewAGL's 'real depreciation' approach to estimating remaining lives, which shares the same key method as JGN's 'accounting approximation' approach.</w:t>
      </w:r>
    </w:p>
  </w:footnote>
  <w:footnote w:id="43">
    <w:p w:rsidR="002C11A3" w:rsidRDefault="002C11A3" w:rsidP="005D0F54">
      <w:pPr>
        <w:pStyle w:val="FootnoteText"/>
      </w:pPr>
      <w:r>
        <w:rPr>
          <w:rStyle w:val="FootnoteReference"/>
        </w:rPr>
        <w:footnoteRef/>
      </w:r>
      <w:r>
        <w:t xml:space="preserve"> </w:t>
      </w:r>
      <w:r>
        <w:tab/>
        <w:t>Our final concern relates to the adjustment of remaining asset lives for the difference between 2009–10 estimated and actual capex.</w:t>
      </w:r>
    </w:p>
  </w:footnote>
  <w:footnote w:id="44">
    <w:p w:rsidR="002C11A3" w:rsidRDefault="002C11A3" w:rsidP="005D0F54">
      <w:pPr>
        <w:pStyle w:val="FootnoteText"/>
      </w:pPr>
      <w:r>
        <w:rPr>
          <w:rStyle w:val="FootnoteReference"/>
        </w:rPr>
        <w:footnoteRef/>
      </w:r>
      <w:r>
        <w:t xml:space="preserve"> </w:t>
      </w:r>
      <w:r>
        <w:tab/>
        <w:t xml:space="preserve">That is, the accounting approximation approach is effectively a weighted average of the older asset remaining life and the newer asset remaining life, where the weights reflect the depreciation amounts in the final year. In contrast, under our standard approach, the weights reflect the closing values of the </w:t>
      </w:r>
      <w:r w:rsidR="00950C29">
        <w:t xml:space="preserve">older </w:t>
      </w:r>
      <w:r>
        <w:t xml:space="preserve">and </w:t>
      </w:r>
      <w:r w:rsidR="00950C29">
        <w:t xml:space="preserve">newer </w:t>
      </w:r>
      <w:r>
        <w:t>assets.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2">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5"/>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
    <w:nsid w:val="301B31FF"/>
    <w:multiLevelType w:val="multilevel"/>
    <w:tmpl w:val="6B1233F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8">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62BF0570"/>
    <w:multiLevelType w:val="hybridMultilevel"/>
    <w:tmpl w:val="2C38EE7E"/>
    <w:styleLink w:val="1ai"/>
    <w:lvl w:ilvl="0" w:tplc="605E865A">
      <w:start w:val="1"/>
      <w:numFmt w:val="bullet"/>
      <w:lvlText w:val=""/>
      <w:lvlJc w:val="left"/>
      <w:pPr>
        <w:tabs>
          <w:tab w:val="num" w:pos="870"/>
        </w:tabs>
        <w:ind w:left="870" w:hanging="360"/>
      </w:pPr>
      <w:rPr>
        <w:rFonts w:ascii="Wingdings" w:hAnsi="Wingdings" w:hint="default"/>
        <w:color w:val="auto"/>
        <w:sz w:val="16"/>
        <w:szCs w:val="16"/>
      </w:rPr>
    </w:lvl>
    <w:lvl w:ilvl="1" w:tplc="FFFFFFFF" w:tentative="1">
      <w:start w:val="1"/>
      <w:numFmt w:val="bullet"/>
      <w:lvlText w:val="o"/>
      <w:lvlJc w:val="left"/>
      <w:pPr>
        <w:tabs>
          <w:tab w:val="num" w:pos="1590"/>
        </w:tabs>
        <w:ind w:left="1590" w:hanging="360"/>
      </w:pPr>
      <w:rPr>
        <w:rFonts w:ascii="Courier New" w:hAnsi="Courier New" w:cs="Courier New" w:hint="default"/>
      </w:rPr>
    </w:lvl>
    <w:lvl w:ilvl="2" w:tplc="FFFFFFFF" w:tentative="1">
      <w:start w:val="1"/>
      <w:numFmt w:val="bullet"/>
      <w:lvlText w:val=""/>
      <w:lvlJc w:val="left"/>
      <w:pPr>
        <w:tabs>
          <w:tab w:val="num" w:pos="2310"/>
        </w:tabs>
        <w:ind w:left="2310" w:hanging="360"/>
      </w:pPr>
      <w:rPr>
        <w:rFonts w:ascii="Wingdings" w:hAnsi="Wingdings" w:hint="default"/>
      </w:rPr>
    </w:lvl>
    <w:lvl w:ilvl="3" w:tplc="FFFFFFFF" w:tentative="1">
      <w:start w:val="1"/>
      <w:numFmt w:val="bullet"/>
      <w:lvlText w:val=""/>
      <w:lvlJc w:val="left"/>
      <w:pPr>
        <w:tabs>
          <w:tab w:val="num" w:pos="3030"/>
        </w:tabs>
        <w:ind w:left="3030" w:hanging="360"/>
      </w:pPr>
      <w:rPr>
        <w:rFonts w:ascii="Symbol" w:hAnsi="Symbol" w:hint="default"/>
      </w:rPr>
    </w:lvl>
    <w:lvl w:ilvl="4" w:tplc="FFFFFFFF" w:tentative="1">
      <w:start w:val="1"/>
      <w:numFmt w:val="bullet"/>
      <w:lvlText w:val="o"/>
      <w:lvlJc w:val="left"/>
      <w:pPr>
        <w:tabs>
          <w:tab w:val="num" w:pos="3750"/>
        </w:tabs>
        <w:ind w:left="3750" w:hanging="360"/>
      </w:pPr>
      <w:rPr>
        <w:rFonts w:ascii="Courier New" w:hAnsi="Courier New" w:cs="Courier New" w:hint="default"/>
      </w:rPr>
    </w:lvl>
    <w:lvl w:ilvl="5" w:tplc="FFFFFFFF" w:tentative="1">
      <w:start w:val="1"/>
      <w:numFmt w:val="bullet"/>
      <w:lvlText w:val=""/>
      <w:lvlJc w:val="left"/>
      <w:pPr>
        <w:tabs>
          <w:tab w:val="num" w:pos="4470"/>
        </w:tabs>
        <w:ind w:left="4470" w:hanging="360"/>
      </w:pPr>
      <w:rPr>
        <w:rFonts w:ascii="Wingdings" w:hAnsi="Wingdings" w:hint="default"/>
      </w:rPr>
    </w:lvl>
    <w:lvl w:ilvl="6" w:tplc="FFFFFFFF" w:tentative="1">
      <w:start w:val="1"/>
      <w:numFmt w:val="bullet"/>
      <w:lvlText w:val=""/>
      <w:lvlJc w:val="left"/>
      <w:pPr>
        <w:tabs>
          <w:tab w:val="num" w:pos="5190"/>
        </w:tabs>
        <w:ind w:left="5190" w:hanging="360"/>
      </w:pPr>
      <w:rPr>
        <w:rFonts w:ascii="Symbol" w:hAnsi="Symbol" w:hint="default"/>
      </w:rPr>
    </w:lvl>
    <w:lvl w:ilvl="7" w:tplc="FFFFFFFF" w:tentative="1">
      <w:start w:val="1"/>
      <w:numFmt w:val="bullet"/>
      <w:lvlText w:val="o"/>
      <w:lvlJc w:val="left"/>
      <w:pPr>
        <w:tabs>
          <w:tab w:val="num" w:pos="5910"/>
        </w:tabs>
        <w:ind w:left="5910" w:hanging="360"/>
      </w:pPr>
      <w:rPr>
        <w:rFonts w:ascii="Courier New" w:hAnsi="Courier New" w:cs="Courier New" w:hint="default"/>
      </w:rPr>
    </w:lvl>
    <w:lvl w:ilvl="8" w:tplc="FFFFFFFF" w:tentative="1">
      <w:start w:val="1"/>
      <w:numFmt w:val="bullet"/>
      <w:lvlText w:val=""/>
      <w:lvlJc w:val="left"/>
      <w:pPr>
        <w:tabs>
          <w:tab w:val="num" w:pos="6630"/>
        </w:tabs>
        <w:ind w:left="6630" w:hanging="360"/>
      </w:pPr>
      <w:rPr>
        <w:rFonts w:ascii="Wingdings" w:hAnsi="Wingdings" w:hint="default"/>
      </w:rPr>
    </w:lvl>
  </w:abstractNum>
  <w:abstractNum w:abstractNumId="10">
    <w:nsid w:val="7AAC6DD7"/>
    <w:multiLevelType w:val="multilevel"/>
    <w:tmpl w:val="950A1C52"/>
    <w:numStyleLink w:val="AERHeadings"/>
  </w:abstractNum>
  <w:abstractNum w:abstractNumId="11">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AEF67FF"/>
    <w:multiLevelType w:val="multilevel"/>
    <w:tmpl w:val="E1F4D8C6"/>
    <w:lvl w:ilvl="0">
      <w:start w:val="1"/>
      <w:numFmt w:val="bullet"/>
      <w:lvlText w:val=""/>
      <w:lvlJc w:val="left"/>
      <w:pPr>
        <w:tabs>
          <w:tab w:val="num" w:pos="1071"/>
        </w:tabs>
        <w:ind w:left="1071" w:hanging="357"/>
      </w:pPr>
      <w:rPr>
        <w:rFonts w:ascii="Wingdings" w:hAnsi="Wingdings" w:hint="default"/>
        <w:sz w:val="28"/>
      </w:rPr>
    </w:lvl>
    <w:lvl w:ilvl="1">
      <w:start w:val="1"/>
      <w:numFmt w:val="bullet"/>
      <w:lvlText w:val=""/>
      <w:lvlJc w:val="left"/>
      <w:pPr>
        <w:tabs>
          <w:tab w:val="num" w:pos="2154"/>
        </w:tabs>
        <w:ind w:left="2154" w:hanging="360"/>
      </w:pPr>
      <w:rPr>
        <w:rFonts w:ascii="Wingdings" w:hAnsi="Wingdings" w:hint="default"/>
      </w:rPr>
    </w:lvl>
    <w:lvl w:ilvl="2">
      <w:start w:val="1"/>
      <w:numFmt w:val="bullet"/>
      <w:lvlText w:val="—"/>
      <w:lvlJc w:val="left"/>
      <w:pPr>
        <w:tabs>
          <w:tab w:val="num" w:pos="2874"/>
        </w:tabs>
        <w:ind w:left="2874" w:hanging="360"/>
      </w:pPr>
      <w:rPr>
        <w:rFonts w:ascii="Times New Roman" w:hAnsi="Times New Roman" w:cs="Times New Roman" w:hint="default"/>
      </w:rPr>
    </w:lvl>
    <w:lvl w:ilvl="3">
      <w:start w:val="1"/>
      <w:numFmt w:val="bullet"/>
      <w:lvlText w:val=""/>
      <w:lvlJc w:val="left"/>
      <w:pPr>
        <w:tabs>
          <w:tab w:val="num" w:pos="3594"/>
        </w:tabs>
        <w:ind w:left="3594" w:hanging="360"/>
      </w:pPr>
      <w:rPr>
        <w:rFonts w:ascii="Symbol" w:hAnsi="Symbol" w:hint="default"/>
      </w:rPr>
    </w:lvl>
    <w:lvl w:ilvl="4">
      <w:start w:val="1"/>
      <w:numFmt w:val="bullet"/>
      <w:lvlText w:val="o"/>
      <w:lvlJc w:val="left"/>
      <w:pPr>
        <w:tabs>
          <w:tab w:val="num" w:pos="4314"/>
        </w:tabs>
        <w:ind w:left="4314" w:hanging="360"/>
      </w:pPr>
      <w:rPr>
        <w:rFonts w:ascii="Courier New" w:hAnsi="Courier New" w:cs="Courier New" w:hint="default"/>
      </w:rPr>
    </w:lvl>
    <w:lvl w:ilvl="5">
      <w:start w:val="1"/>
      <w:numFmt w:val="bullet"/>
      <w:lvlText w:val=""/>
      <w:lvlJc w:val="left"/>
      <w:pPr>
        <w:tabs>
          <w:tab w:val="num" w:pos="5034"/>
        </w:tabs>
        <w:ind w:left="5034" w:hanging="360"/>
      </w:pPr>
      <w:rPr>
        <w:rFonts w:ascii="Wingdings" w:hAnsi="Wingdings" w:hint="default"/>
      </w:rPr>
    </w:lvl>
    <w:lvl w:ilvl="6">
      <w:start w:val="1"/>
      <w:numFmt w:val="bullet"/>
      <w:lvlText w:val=""/>
      <w:lvlJc w:val="left"/>
      <w:pPr>
        <w:tabs>
          <w:tab w:val="num" w:pos="5754"/>
        </w:tabs>
        <w:ind w:left="5754" w:hanging="360"/>
      </w:pPr>
      <w:rPr>
        <w:rFonts w:ascii="Symbol" w:hAnsi="Symbol" w:hint="default"/>
      </w:rPr>
    </w:lvl>
    <w:lvl w:ilvl="7">
      <w:start w:val="1"/>
      <w:numFmt w:val="bullet"/>
      <w:lvlText w:val="o"/>
      <w:lvlJc w:val="left"/>
      <w:pPr>
        <w:tabs>
          <w:tab w:val="num" w:pos="6474"/>
        </w:tabs>
        <w:ind w:left="6474" w:hanging="360"/>
      </w:pPr>
      <w:rPr>
        <w:rFonts w:ascii="Courier New" w:hAnsi="Courier New" w:cs="Courier New" w:hint="default"/>
      </w:rPr>
    </w:lvl>
    <w:lvl w:ilvl="8">
      <w:start w:val="1"/>
      <w:numFmt w:val="bullet"/>
      <w:lvlText w:val=""/>
      <w:lvlJc w:val="left"/>
      <w:pPr>
        <w:tabs>
          <w:tab w:val="num" w:pos="7194"/>
        </w:tabs>
        <w:ind w:left="7194" w:hanging="360"/>
      </w:pPr>
      <w:rPr>
        <w:rFonts w:ascii="Wingdings" w:hAnsi="Wingdings" w:hint="default"/>
      </w:rPr>
    </w:lvl>
  </w:abstractNum>
  <w:num w:numId="1">
    <w:abstractNumId w:val="2"/>
  </w:num>
  <w:num w:numId="2">
    <w:abstractNumId w:val="6"/>
  </w:num>
  <w:num w:numId="3">
    <w:abstractNumId w:val="4"/>
  </w:num>
  <w:num w:numId="4">
    <w:abstractNumId w:val="11"/>
  </w:num>
  <w:num w:numId="5">
    <w:abstractNumId w:val="0"/>
  </w:num>
  <w:num w:numId="6">
    <w:abstractNumId w:val="8"/>
  </w:num>
  <w:num w:numId="7">
    <w:abstractNumId w:val="5"/>
  </w:num>
  <w:num w:numId="8">
    <w:abstractNumId w:val="10"/>
  </w:num>
  <w:num w:numId="9">
    <w:abstractNumId w:val="7"/>
    <w:lvlOverride w:ilvl="0">
      <w:startOverride w:val="1"/>
    </w:lvlOverride>
  </w:num>
  <w:num w:numId="10">
    <w:abstractNumId w:val="6"/>
  </w:num>
  <w:num w:numId="11">
    <w:abstractNumId w:val="10"/>
  </w:num>
  <w:num w:numId="12">
    <w:abstractNumId w:val="10"/>
  </w:num>
  <w:num w:numId="13">
    <w:abstractNumId w:val="10"/>
  </w:num>
  <w:num w:numId="14">
    <w:abstractNumId w:val="10"/>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2"/>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5"/>
        <w:numFmt w:val="decimal"/>
        <w:pStyle w:val="Heading1"/>
        <w:lvlText w:val="%1%2"/>
        <w:lvlJc w:val="left"/>
        <w:pPr>
          <w:tabs>
            <w:tab w:val="num" w:pos="0"/>
          </w:tabs>
          <w:ind w:left="0" w:hanging="851"/>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3">
    <w:abstractNumId w:val="1"/>
  </w:num>
  <w:num w:numId="24">
    <w:abstractNumId w:val="10"/>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removePersonalInformation/>
  <w:removeDateAndTime/>
  <w:documentProtection w:formatting="1" w:enforcement="1" w:cryptProviderType="rsaFull" w:cryptAlgorithmClass="hash" w:cryptAlgorithmType="typeAny" w:cryptAlgorithmSid="4" w:cryptSpinCount="100000" w:hash="dELImqbliRARzINFdRgiI2Ndttw=" w:salt="VMaULwTLYvwCAwpMM7xXHA=="/>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6724\AER14 8388  Jemena Gas 2014 - capital base  - AER draft decision - capital base(2).DOCX"/>
  </w:docVars>
  <w:rsids>
    <w:rsidRoot w:val="000C052F"/>
    <w:rsid w:val="0000077D"/>
    <w:rsid w:val="00011129"/>
    <w:rsid w:val="00022493"/>
    <w:rsid w:val="00022606"/>
    <w:rsid w:val="00040599"/>
    <w:rsid w:val="00040749"/>
    <w:rsid w:val="00060877"/>
    <w:rsid w:val="00067A6E"/>
    <w:rsid w:val="000722CB"/>
    <w:rsid w:val="00091E13"/>
    <w:rsid w:val="00093E0D"/>
    <w:rsid w:val="000A1730"/>
    <w:rsid w:val="000A1CC2"/>
    <w:rsid w:val="000A333F"/>
    <w:rsid w:val="000A5342"/>
    <w:rsid w:val="000B0C71"/>
    <w:rsid w:val="000B15CA"/>
    <w:rsid w:val="000C052F"/>
    <w:rsid w:val="000C2CC6"/>
    <w:rsid w:val="000C3430"/>
    <w:rsid w:val="000C5F5D"/>
    <w:rsid w:val="000C6D71"/>
    <w:rsid w:val="000D03C2"/>
    <w:rsid w:val="000D04B1"/>
    <w:rsid w:val="000D1496"/>
    <w:rsid w:val="000D401F"/>
    <w:rsid w:val="000E1A25"/>
    <w:rsid w:val="000E6418"/>
    <w:rsid w:val="000E689D"/>
    <w:rsid w:val="000F3A6A"/>
    <w:rsid w:val="001033B3"/>
    <w:rsid w:val="00105636"/>
    <w:rsid w:val="00106F84"/>
    <w:rsid w:val="00111B01"/>
    <w:rsid w:val="001168DE"/>
    <w:rsid w:val="001215CC"/>
    <w:rsid w:val="00121FBC"/>
    <w:rsid w:val="0013022D"/>
    <w:rsid w:val="00142E50"/>
    <w:rsid w:val="00147A4A"/>
    <w:rsid w:val="001543D2"/>
    <w:rsid w:val="0016609B"/>
    <w:rsid w:val="001708CC"/>
    <w:rsid w:val="00174026"/>
    <w:rsid w:val="001836BF"/>
    <w:rsid w:val="001856EE"/>
    <w:rsid w:val="0018578C"/>
    <w:rsid w:val="00194744"/>
    <w:rsid w:val="00194C3C"/>
    <w:rsid w:val="00196100"/>
    <w:rsid w:val="001B6619"/>
    <w:rsid w:val="001C12E5"/>
    <w:rsid w:val="001D0C6B"/>
    <w:rsid w:val="001F2038"/>
    <w:rsid w:val="001F5BE2"/>
    <w:rsid w:val="001F67AF"/>
    <w:rsid w:val="00201D22"/>
    <w:rsid w:val="002023C1"/>
    <w:rsid w:val="0020711E"/>
    <w:rsid w:val="00210880"/>
    <w:rsid w:val="00212B7E"/>
    <w:rsid w:val="00213992"/>
    <w:rsid w:val="002242A6"/>
    <w:rsid w:val="002257B9"/>
    <w:rsid w:val="0022766D"/>
    <w:rsid w:val="0023137D"/>
    <w:rsid w:val="00251A46"/>
    <w:rsid w:val="00266710"/>
    <w:rsid w:val="0027004F"/>
    <w:rsid w:val="00271281"/>
    <w:rsid w:val="00274E61"/>
    <w:rsid w:val="002805B8"/>
    <w:rsid w:val="00291950"/>
    <w:rsid w:val="00292632"/>
    <w:rsid w:val="002938CE"/>
    <w:rsid w:val="00296327"/>
    <w:rsid w:val="002B5813"/>
    <w:rsid w:val="002B6640"/>
    <w:rsid w:val="002C11A3"/>
    <w:rsid w:val="002D61AC"/>
    <w:rsid w:val="002E4720"/>
    <w:rsid w:val="00303452"/>
    <w:rsid w:val="00305716"/>
    <w:rsid w:val="00311EE2"/>
    <w:rsid w:val="003153DD"/>
    <w:rsid w:val="0031732A"/>
    <w:rsid w:val="003324F7"/>
    <w:rsid w:val="00334F88"/>
    <w:rsid w:val="0033654C"/>
    <w:rsid w:val="0034264C"/>
    <w:rsid w:val="00351732"/>
    <w:rsid w:val="00352941"/>
    <w:rsid w:val="0035558A"/>
    <w:rsid w:val="003668AB"/>
    <w:rsid w:val="003676B7"/>
    <w:rsid w:val="003707DB"/>
    <w:rsid w:val="003719B5"/>
    <w:rsid w:val="00375AEC"/>
    <w:rsid w:val="00376236"/>
    <w:rsid w:val="0037652C"/>
    <w:rsid w:val="003800E4"/>
    <w:rsid w:val="00380FF5"/>
    <w:rsid w:val="003841CE"/>
    <w:rsid w:val="00384D85"/>
    <w:rsid w:val="00391596"/>
    <w:rsid w:val="00392659"/>
    <w:rsid w:val="003A4BAC"/>
    <w:rsid w:val="003A6174"/>
    <w:rsid w:val="003A7C8A"/>
    <w:rsid w:val="003A7EE5"/>
    <w:rsid w:val="003B6BFA"/>
    <w:rsid w:val="003C0C81"/>
    <w:rsid w:val="003D1269"/>
    <w:rsid w:val="003E411D"/>
    <w:rsid w:val="003E6299"/>
    <w:rsid w:val="003F55FC"/>
    <w:rsid w:val="004005EB"/>
    <w:rsid w:val="004030AB"/>
    <w:rsid w:val="00404222"/>
    <w:rsid w:val="00404EAB"/>
    <w:rsid w:val="00410517"/>
    <w:rsid w:val="00412282"/>
    <w:rsid w:val="004256BA"/>
    <w:rsid w:val="00431999"/>
    <w:rsid w:val="00433475"/>
    <w:rsid w:val="00435682"/>
    <w:rsid w:val="00436C61"/>
    <w:rsid w:val="00456081"/>
    <w:rsid w:val="00464F5D"/>
    <w:rsid w:val="00465C62"/>
    <w:rsid w:val="0046605D"/>
    <w:rsid w:val="004708F5"/>
    <w:rsid w:val="00474FBD"/>
    <w:rsid w:val="0047790E"/>
    <w:rsid w:val="00491D7D"/>
    <w:rsid w:val="004964DB"/>
    <w:rsid w:val="004C115A"/>
    <w:rsid w:val="004C3F45"/>
    <w:rsid w:val="004D2E88"/>
    <w:rsid w:val="004D3B47"/>
    <w:rsid w:val="004D3FDE"/>
    <w:rsid w:val="004E40EF"/>
    <w:rsid w:val="004E73F7"/>
    <w:rsid w:val="004F0195"/>
    <w:rsid w:val="004F76A0"/>
    <w:rsid w:val="00500E7F"/>
    <w:rsid w:val="00501919"/>
    <w:rsid w:val="00510278"/>
    <w:rsid w:val="00512D17"/>
    <w:rsid w:val="00520094"/>
    <w:rsid w:val="0052179D"/>
    <w:rsid w:val="00525604"/>
    <w:rsid w:val="005311F1"/>
    <w:rsid w:val="005456A9"/>
    <w:rsid w:val="00555D52"/>
    <w:rsid w:val="005566D7"/>
    <w:rsid w:val="00561F7F"/>
    <w:rsid w:val="00564677"/>
    <w:rsid w:val="00566B35"/>
    <w:rsid w:val="005715BC"/>
    <w:rsid w:val="005732CC"/>
    <w:rsid w:val="00575422"/>
    <w:rsid w:val="005938C6"/>
    <w:rsid w:val="005A0431"/>
    <w:rsid w:val="005A733C"/>
    <w:rsid w:val="005B2DD0"/>
    <w:rsid w:val="005B3752"/>
    <w:rsid w:val="005B61C2"/>
    <w:rsid w:val="005C5D3E"/>
    <w:rsid w:val="005D0F54"/>
    <w:rsid w:val="005D1F46"/>
    <w:rsid w:val="005D26B7"/>
    <w:rsid w:val="005D4AA1"/>
    <w:rsid w:val="005D594C"/>
    <w:rsid w:val="005E3E0C"/>
    <w:rsid w:val="005E445B"/>
    <w:rsid w:val="005E56FE"/>
    <w:rsid w:val="0060146C"/>
    <w:rsid w:val="0060207D"/>
    <w:rsid w:val="006039F2"/>
    <w:rsid w:val="006049FB"/>
    <w:rsid w:val="006061B0"/>
    <w:rsid w:val="0060732E"/>
    <w:rsid w:val="006076A9"/>
    <w:rsid w:val="00614D8E"/>
    <w:rsid w:val="00622AE3"/>
    <w:rsid w:val="00631FB9"/>
    <w:rsid w:val="006346A7"/>
    <w:rsid w:val="00635671"/>
    <w:rsid w:val="0065014D"/>
    <w:rsid w:val="0065125A"/>
    <w:rsid w:val="006544EA"/>
    <w:rsid w:val="0066569F"/>
    <w:rsid w:val="00665CAE"/>
    <w:rsid w:val="00666F46"/>
    <w:rsid w:val="00681367"/>
    <w:rsid w:val="0069004B"/>
    <w:rsid w:val="006962A0"/>
    <w:rsid w:val="006B08EB"/>
    <w:rsid w:val="006B319B"/>
    <w:rsid w:val="006B481F"/>
    <w:rsid w:val="006C10BB"/>
    <w:rsid w:val="006D7DC9"/>
    <w:rsid w:val="006F638E"/>
    <w:rsid w:val="00703E42"/>
    <w:rsid w:val="00705F01"/>
    <w:rsid w:val="00713058"/>
    <w:rsid w:val="0072442D"/>
    <w:rsid w:val="007335FD"/>
    <w:rsid w:val="007368AD"/>
    <w:rsid w:val="00751D2A"/>
    <w:rsid w:val="00754DC8"/>
    <w:rsid w:val="00755095"/>
    <w:rsid w:val="007550E1"/>
    <w:rsid w:val="00791A4B"/>
    <w:rsid w:val="00791A78"/>
    <w:rsid w:val="00796A07"/>
    <w:rsid w:val="007B0BB0"/>
    <w:rsid w:val="007B3B61"/>
    <w:rsid w:val="007B5D8B"/>
    <w:rsid w:val="007C3B99"/>
    <w:rsid w:val="007C5E48"/>
    <w:rsid w:val="007D1665"/>
    <w:rsid w:val="007E1B95"/>
    <w:rsid w:val="007F06C1"/>
    <w:rsid w:val="007F10E3"/>
    <w:rsid w:val="007F212D"/>
    <w:rsid w:val="007F2C0E"/>
    <w:rsid w:val="007F6B32"/>
    <w:rsid w:val="00804AEB"/>
    <w:rsid w:val="008216A9"/>
    <w:rsid w:val="00824CC8"/>
    <w:rsid w:val="008310C7"/>
    <w:rsid w:val="00831491"/>
    <w:rsid w:val="00836D17"/>
    <w:rsid w:val="00840A55"/>
    <w:rsid w:val="00841E25"/>
    <w:rsid w:val="0084378B"/>
    <w:rsid w:val="008464CD"/>
    <w:rsid w:val="008515EE"/>
    <w:rsid w:val="0085249B"/>
    <w:rsid w:val="00854AEE"/>
    <w:rsid w:val="0085593A"/>
    <w:rsid w:val="0086160E"/>
    <w:rsid w:val="00861C4E"/>
    <w:rsid w:val="00866D21"/>
    <w:rsid w:val="00872448"/>
    <w:rsid w:val="00872D85"/>
    <w:rsid w:val="00880D0C"/>
    <w:rsid w:val="00883DDA"/>
    <w:rsid w:val="00883F67"/>
    <w:rsid w:val="00891FF9"/>
    <w:rsid w:val="00893367"/>
    <w:rsid w:val="00893D07"/>
    <w:rsid w:val="008B262C"/>
    <w:rsid w:val="008B3194"/>
    <w:rsid w:val="008B4932"/>
    <w:rsid w:val="008B7956"/>
    <w:rsid w:val="008C3722"/>
    <w:rsid w:val="008C3B67"/>
    <w:rsid w:val="008C3F48"/>
    <w:rsid w:val="008D1473"/>
    <w:rsid w:val="008D49B4"/>
    <w:rsid w:val="008D7498"/>
    <w:rsid w:val="008E43EB"/>
    <w:rsid w:val="008E630D"/>
    <w:rsid w:val="00920432"/>
    <w:rsid w:val="00927984"/>
    <w:rsid w:val="00932E96"/>
    <w:rsid w:val="00933484"/>
    <w:rsid w:val="009418E6"/>
    <w:rsid w:val="0094235F"/>
    <w:rsid w:val="0094279F"/>
    <w:rsid w:val="009429FF"/>
    <w:rsid w:val="00946B98"/>
    <w:rsid w:val="0095052A"/>
    <w:rsid w:val="00950C29"/>
    <w:rsid w:val="009516DF"/>
    <w:rsid w:val="00957F1D"/>
    <w:rsid w:val="00963AFA"/>
    <w:rsid w:val="009658F0"/>
    <w:rsid w:val="00971655"/>
    <w:rsid w:val="00971C63"/>
    <w:rsid w:val="00972175"/>
    <w:rsid w:val="0097658F"/>
    <w:rsid w:val="00980D9B"/>
    <w:rsid w:val="00983C6C"/>
    <w:rsid w:val="00985A25"/>
    <w:rsid w:val="009A4AE9"/>
    <w:rsid w:val="009A73F2"/>
    <w:rsid w:val="009C17AC"/>
    <w:rsid w:val="009C71D5"/>
    <w:rsid w:val="009D013F"/>
    <w:rsid w:val="009D02E8"/>
    <w:rsid w:val="009D5F52"/>
    <w:rsid w:val="009E0833"/>
    <w:rsid w:val="009F6E3A"/>
    <w:rsid w:val="009F7CE4"/>
    <w:rsid w:val="00A03483"/>
    <w:rsid w:val="00A036EE"/>
    <w:rsid w:val="00A11162"/>
    <w:rsid w:val="00A1253E"/>
    <w:rsid w:val="00A3053C"/>
    <w:rsid w:val="00A37F0F"/>
    <w:rsid w:val="00A43227"/>
    <w:rsid w:val="00A46CCD"/>
    <w:rsid w:val="00A5047C"/>
    <w:rsid w:val="00A62D21"/>
    <w:rsid w:val="00A65133"/>
    <w:rsid w:val="00A652C5"/>
    <w:rsid w:val="00A73A0F"/>
    <w:rsid w:val="00A7774C"/>
    <w:rsid w:val="00A831F6"/>
    <w:rsid w:val="00A85385"/>
    <w:rsid w:val="00A85C5A"/>
    <w:rsid w:val="00A9309D"/>
    <w:rsid w:val="00A96A08"/>
    <w:rsid w:val="00AA0161"/>
    <w:rsid w:val="00AA4CC1"/>
    <w:rsid w:val="00AB1D08"/>
    <w:rsid w:val="00AB3BE9"/>
    <w:rsid w:val="00AB4345"/>
    <w:rsid w:val="00AB472F"/>
    <w:rsid w:val="00AB5BD7"/>
    <w:rsid w:val="00AC0135"/>
    <w:rsid w:val="00AC070D"/>
    <w:rsid w:val="00AC1B94"/>
    <w:rsid w:val="00AC48A1"/>
    <w:rsid w:val="00AD0616"/>
    <w:rsid w:val="00AD34FF"/>
    <w:rsid w:val="00AD4DE6"/>
    <w:rsid w:val="00AE6DBC"/>
    <w:rsid w:val="00AE7BE2"/>
    <w:rsid w:val="00AE7C53"/>
    <w:rsid w:val="00AF3E95"/>
    <w:rsid w:val="00AF7C67"/>
    <w:rsid w:val="00B14C33"/>
    <w:rsid w:val="00B15FE9"/>
    <w:rsid w:val="00B2004B"/>
    <w:rsid w:val="00B2412C"/>
    <w:rsid w:val="00B26B38"/>
    <w:rsid w:val="00B36C53"/>
    <w:rsid w:val="00B44BC6"/>
    <w:rsid w:val="00B51883"/>
    <w:rsid w:val="00B60D45"/>
    <w:rsid w:val="00B61FD4"/>
    <w:rsid w:val="00B62AFF"/>
    <w:rsid w:val="00B674DB"/>
    <w:rsid w:val="00B678F9"/>
    <w:rsid w:val="00B82E8D"/>
    <w:rsid w:val="00B8622C"/>
    <w:rsid w:val="00B9264D"/>
    <w:rsid w:val="00B94D99"/>
    <w:rsid w:val="00BB3FA1"/>
    <w:rsid w:val="00BB62BB"/>
    <w:rsid w:val="00BB6419"/>
    <w:rsid w:val="00BC05C5"/>
    <w:rsid w:val="00BC4779"/>
    <w:rsid w:val="00BC57A6"/>
    <w:rsid w:val="00BC5B1F"/>
    <w:rsid w:val="00BD04BE"/>
    <w:rsid w:val="00BD203B"/>
    <w:rsid w:val="00BD2A5A"/>
    <w:rsid w:val="00BE6F28"/>
    <w:rsid w:val="00BF1CAF"/>
    <w:rsid w:val="00BF29FA"/>
    <w:rsid w:val="00C03E5F"/>
    <w:rsid w:val="00C04D2B"/>
    <w:rsid w:val="00C122F8"/>
    <w:rsid w:val="00C1324E"/>
    <w:rsid w:val="00C21585"/>
    <w:rsid w:val="00C272B4"/>
    <w:rsid w:val="00C277B2"/>
    <w:rsid w:val="00C557F2"/>
    <w:rsid w:val="00C737C5"/>
    <w:rsid w:val="00C85F9A"/>
    <w:rsid w:val="00C90B93"/>
    <w:rsid w:val="00C91879"/>
    <w:rsid w:val="00CA0B34"/>
    <w:rsid w:val="00CA3540"/>
    <w:rsid w:val="00CA6DED"/>
    <w:rsid w:val="00CC49D4"/>
    <w:rsid w:val="00CD0967"/>
    <w:rsid w:val="00CD1010"/>
    <w:rsid w:val="00CE00A3"/>
    <w:rsid w:val="00CE6F5A"/>
    <w:rsid w:val="00CF2AD4"/>
    <w:rsid w:val="00CF42CF"/>
    <w:rsid w:val="00CF6994"/>
    <w:rsid w:val="00D04377"/>
    <w:rsid w:val="00D102E9"/>
    <w:rsid w:val="00D14AA4"/>
    <w:rsid w:val="00D1688F"/>
    <w:rsid w:val="00D20390"/>
    <w:rsid w:val="00D20CC4"/>
    <w:rsid w:val="00D2117F"/>
    <w:rsid w:val="00D21A6A"/>
    <w:rsid w:val="00D25317"/>
    <w:rsid w:val="00D31E37"/>
    <w:rsid w:val="00D470CA"/>
    <w:rsid w:val="00D603A4"/>
    <w:rsid w:val="00D60821"/>
    <w:rsid w:val="00D62997"/>
    <w:rsid w:val="00D639D1"/>
    <w:rsid w:val="00D66E8B"/>
    <w:rsid w:val="00D81B53"/>
    <w:rsid w:val="00D82184"/>
    <w:rsid w:val="00D834B7"/>
    <w:rsid w:val="00D85715"/>
    <w:rsid w:val="00D85B90"/>
    <w:rsid w:val="00D85DF1"/>
    <w:rsid w:val="00D8706C"/>
    <w:rsid w:val="00DA4C62"/>
    <w:rsid w:val="00DA76E6"/>
    <w:rsid w:val="00DA7967"/>
    <w:rsid w:val="00DB6A17"/>
    <w:rsid w:val="00DD4E84"/>
    <w:rsid w:val="00DD5520"/>
    <w:rsid w:val="00DE22F1"/>
    <w:rsid w:val="00DF16C2"/>
    <w:rsid w:val="00E00F76"/>
    <w:rsid w:val="00E21E75"/>
    <w:rsid w:val="00E244E4"/>
    <w:rsid w:val="00E30377"/>
    <w:rsid w:val="00E41CD5"/>
    <w:rsid w:val="00E47128"/>
    <w:rsid w:val="00E519DC"/>
    <w:rsid w:val="00E649AC"/>
    <w:rsid w:val="00E6571F"/>
    <w:rsid w:val="00E807DA"/>
    <w:rsid w:val="00E82908"/>
    <w:rsid w:val="00E84E3A"/>
    <w:rsid w:val="00E868CF"/>
    <w:rsid w:val="00E902E6"/>
    <w:rsid w:val="00E91F70"/>
    <w:rsid w:val="00E95DF8"/>
    <w:rsid w:val="00E97CFD"/>
    <w:rsid w:val="00EA05AF"/>
    <w:rsid w:val="00EA5036"/>
    <w:rsid w:val="00EA50CD"/>
    <w:rsid w:val="00EB5CDF"/>
    <w:rsid w:val="00EC43B9"/>
    <w:rsid w:val="00ED08EA"/>
    <w:rsid w:val="00ED4963"/>
    <w:rsid w:val="00ED4D69"/>
    <w:rsid w:val="00ED6FB9"/>
    <w:rsid w:val="00EE0E2F"/>
    <w:rsid w:val="00EE362F"/>
    <w:rsid w:val="00EF0E19"/>
    <w:rsid w:val="00EF33EA"/>
    <w:rsid w:val="00F01C9D"/>
    <w:rsid w:val="00F05478"/>
    <w:rsid w:val="00F06EA7"/>
    <w:rsid w:val="00F114AE"/>
    <w:rsid w:val="00F27FD7"/>
    <w:rsid w:val="00F43CA0"/>
    <w:rsid w:val="00F54216"/>
    <w:rsid w:val="00F55030"/>
    <w:rsid w:val="00F636D6"/>
    <w:rsid w:val="00F63E70"/>
    <w:rsid w:val="00F66FFC"/>
    <w:rsid w:val="00F674AC"/>
    <w:rsid w:val="00F7696F"/>
    <w:rsid w:val="00F8209B"/>
    <w:rsid w:val="00F93EDE"/>
    <w:rsid w:val="00F97CD9"/>
    <w:rsid w:val="00FA0576"/>
    <w:rsid w:val="00FB4C7F"/>
    <w:rsid w:val="00FB50B4"/>
    <w:rsid w:val="00FD4B97"/>
    <w:rsid w:val="00FE5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uiPriority="0"/>
    <w:lsdException w:name="footer" w:locked="0" w:uiPriority="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qFormat="1"/>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qFormat="1"/>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uiPriority="0"/>
    <w:lsdException w:name="No List" w:locked="0"/>
    <w:lsdException w:name="Outline List 3" w:locked="0"/>
    <w:lsdException w:name="Balloon Text" w:uiPriority="0"/>
    <w:lsdException w:name="Table Grid" w:locked="0" w:semiHidden="0" w:uiPriority="0" w:unhideWhenUsed="0"/>
    <w:lsdException w:name="Placeholder Text" w:locked="0"/>
    <w:lsdException w:name="No Spacing" w:locked="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D81B53"/>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15"/>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1"/>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6"/>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2"/>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3800E4"/>
    <w:rPr>
      <w:vertAlign w:val="superscript"/>
    </w:rPr>
  </w:style>
  <w:style w:type="paragraph" w:styleId="Header">
    <w:name w:val="header"/>
    <w:basedOn w:val="Normal"/>
    <w:link w:val="HeaderChar"/>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aliases w:val="ACCC Table"/>
    <w:basedOn w:val="TableNormal"/>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6"/>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qFormat/>
    <w:rsid w:val="00AF3E95"/>
    <w:rPr>
      <w:color w:val="0000FF"/>
      <w:u w:val="single"/>
    </w:rPr>
  </w:style>
  <w:style w:type="paragraph" w:styleId="BalloonText">
    <w:name w:val="Balloon Text"/>
    <w:basedOn w:val="Normal"/>
    <w:link w:val="BalloonTextChar"/>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EndnoteText">
    <w:name w:val="endnote text"/>
    <w:basedOn w:val="Normal"/>
    <w:link w:val="EndnoteTextChar"/>
    <w:uiPriority w:val="99"/>
    <w:semiHidden/>
    <w:unhideWhenUsed/>
    <w:rsid w:val="00D20390"/>
    <w:pPr>
      <w:spacing w:after="0" w:line="240" w:lineRule="auto"/>
    </w:pPr>
  </w:style>
  <w:style w:type="character" w:customStyle="1" w:styleId="EndnoteTextChar">
    <w:name w:val="Endnote Text Char"/>
    <w:basedOn w:val="DefaultParagraphFont"/>
    <w:link w:val="EndnoteText"/>
    <w:uiPriority w:val="99"/>
    <w:semiHidden/>
    <w:rsid w:val="00D20390"/>
    <w:rPr>
      <w:lang w:eastAsia="en-US"/>
    </w:rPr>
  </w:style>
  <w:style w:type="character" w:styleId="EndnoteReference">
    <w:name w:val="endnote reference"/>
    <w:basedOn w:val="DefaultParagraphFont"/>
    <w:uiPriority w:val="99"/>
    <w:semiHidden/>
    <w:unhideWhenUsed/>
    <w:rsid w:val="00D20390"/>
    <w:rPr>
      <w:vertAlign w:val="superscript"/>
    </w:rPr>
  </w:style>
  <w:style w:type="paragraph" w:styleId="Title">
    <w:name w:val="Title"/>
    <w:next w:val="Subtitle"/>
    <w:link w:val="TitleChar"/>
    <w:uiPriority w:val="10"/>
    <w:qFormat/>
    <w:rsid w:val="00D85B90"/>
    <w:pPr>
      <w:spacing w:before="2400" w:after="1920"/>
      <w:jc w:val="center"/>
    </w:pPr>
    <w:rPr>
      <w:rFonts w:ascii="Arial" w:eastAsia="Times New Roman" w:hAnsi="Arial" w:cs="Arial"/>
      <w:b/>
      <w:bCs/>
      <w:kern w:val="28"/>
      <w:sz w:val="36"/>
      <w:szCs w:val="32"/>
      <w:lang w:eastAsia="en-US"/>
    </w:rPr>
  </w:style>
  <w:style w:type="character" w:customStyle="1" w:styleId="TitleChar">
    <w:name w:val="Title Char"/>
    <w:basedOn w:val="DefaultParagraphFont"/>
    <w:link w:val="Title"/>
    <w:uiPriority w:val="10"/>
    <w:rsid w:val="00D85B90"/>
    <w:rPr>
      <w:rFonts w:ascii="Arial" w:eastAsia="Times New Roman" w:hAnsi="Arial" w:cs="Arial"/>
      <w:b/>
      <w:bCs/>
      <w:kern w:val="28"/>
      <w:sz w:val="36"/>
      <w:szCs w:val="32"/>
      <w:lang w:eastAsia="en-US"/>
    </w:rPr>
  </w:style>
  <w:style w:type="paragraph" w:styleId="Subtitle">
    <w:name w:val="Subtitle"/>
    <w:link w:val="SubtitleChar"/>
    <w:uiPriority w:val="11"/>
    <w:qFormat/>
    <w:rsid w:val="00D85B90"/>
    <w:pPr>
      <w:spacing w:after="60"/>
      <w:jc w:val="center"/>
      <w:outlineLvl w:val="1"/>
    </w:pPr>
    <w:rPr>
      <w:rFonts w:ascii="Arial" w:eastAsia="Times New Roman" w:hAnsi="Arial" w:cs="Arial"/>
      <w:sz w:val="28"/>
      <w:szCs w:val="24"/>
      <w:lang w:eastAsia="en-US"/>
    </w:rPr>
  </w:style>
  <w:style w:type="character" w:customStyle="1" w:styleId="SubtitleChar">
    <w:name w:val="Subtitle Char"/>
    <w:basedOn w:val="DefaultParagraphFont"/>
    <w:link w:val="Subtitle"/>
    <w:uiPriority w:val="11"/>
    <w:rsid w:val="00D85B90"/>
    <w:rPr>
      <w:rFonts w:ascii="Arial" w:eastAsia="Times New Roman" w:hAnsi="Arial" w:cs="Arial"/>
      <w:sz w:val="28"/>
      <w:szCs w:val="24"/>
      <w:lang w:eastAsia="en-US"/>
    </w:rPr>
  </w:style>
  <w:style w:type="paragraph" w:styleId="Revision">
    <w:name w:val="Revision"/>
    <w:hidden/>
    <w:uiPriority w:val="99"/>
    <w:semiHidden/>
    <w:rsid w:val="00F674AC"/>
    <w:rPr>
      <w:rFonts w:eastAsia="Times New Roman"/>
      <w:szCs w:val="24"/>
    </w:rPr>
  </w:style>
  <w:style w:type="numbering" w:styleId="1ai">
    <w:name w:val="Outline List 1"/>
    <w:basedOn w:val="NoList"/>
    <w:uiPriority w:val="99"/>
    <w:semiHidden/>
    <w:unhideWhenUsed/>
    <w:locked/>
    <w:rsid w:val="00F674AC"/>
    <w:pPr>
      <w:numPr>
        <w:numId w:val="17"/>
      </w:numPr>
    </w:pPr>
  </w:style>
  <w:style w:type="paragraph" w:styleId="Quote">
    <w:name w:val="Quote"/>
    <w:basedOn w:val="Normal"/>
    <w:next w:val="Normal"/>
    <w:link w:val="QuoteChar"/>
    <w:uiPriority w:val="29"/>
    <w:qFormat/>
    <w:rsid w:val="00F674AC"/>
    <w:pPr>
      <w:spacing w:after="0" w:line="240" w:lineRule="auto"/>
      <w:jc w:val="left"/>
    </w:pPr>
    <w:rPr>
      <w:rFonts w:ascii="Times New Roman" w:eastAsia="Times New Roman" w:hAnsi="Times New Roman"/>
      <w:i/>
      <w:iCs/>
      <w:color w:val="000000"/>
      <w:sz w:val="24"/>
      <w:szCs w:val="24"/>
      <w:lang w:eastAsia="en-AU"/>
    </w:rPr>
  </w:style>
  <w:style w:type="character" w:customStyle="1" w:styleId="QuoteChar">
    <w:name w:val="Quote Char"/>
    <w:basedOn w:val="DefaultParagraphFont"/>
    <w:link w:val="Quote"/>
    <w:uiPriority w:val="29"/>
    <w:rsid w:val="00F674AC"/>
    <w:rPr>
      <w:rFonts w:ascii="Times New Roman" w:eastAsia="Times New Roman" w:hAnsi="Times New Roman"/>
      <w:i/>
      <w:iCs/>
      <w:color w:val="000000"/>
      <w:sz w:val="24"/>
      <w:szCs w:val="24"/>
    </w:rPr>
  </w:style>
  <w:style w:type="paragraph" w:styleId="NoSpacing">
    <w:name w:val="No Spacing"/>
    <w:uiPriority w:val="1"/>
    <w:qFormat/>
    <w:rsid w:val="00F674AC"/>
    <w:pPr>
      <w:jc w:val="both"/>
    </w:pPr>
    <w:rPr>
      <w:rFonts w:eastAsia="Times New Roman"/>
      <w:szCs w:val="24"/>
    </w:rPr>
  </w:style>
  <w:style w:type="character" w:styleId="FollowedHyperlink">
    <w:name w:val="FollowedHyperlink"/>
    <w:basedOn w:val="DefaultParagraphFont"/>
    <w:uiPriority w:val="99"/>
    <w:semiHidden/>
    <w:unhideWhenUsed/>
    <w:rsid w:val="00F674AC"/>
    <w:rPr>
      <w:color w:val="800080"/>
      <w:u w:val="single"/>
    </w:rPr>
  </w:style>
  <w:style w:type="paragraph" w:styleId="DocumentMap">
    <w:name w:val="Document Map"/>
    <w:basedOn w:val="Normal"/>
    <w:link w:val="DocumentMapChar"/>
    <w:uiPriority w:val="99"/>
    <w:semiHidden/>
    <w:unhideWhenUsed/>
    <w:rsid w:val="00F674AC"/>
    <w:pPr>
      <w:spacing w:after="0" w:line="240" w:lineRule="auto"/>
      <w:jc w:val="left"/>
    </w:pPr>
    <w:rPr>
      <w:rFonts w:ascii="Tahoma" w:eastAsia="Times New Roman" w:hAnsi="Tahoma" w:cs="Tahoma"/>
      <w:sz w:val="16"/>
      <w:szCs w:val="16"/>
      <w:lang w:eastAsia="en-AU"/>
    </w:rPr>
  </w:style>
  <w:style w:type="character" w:customStyle="1" w:styleId="DocumentMapChar">
    <w:name w:val="Document Map Char"/>
    <w:basedOn w:val="DefaultParagraphFont"/>
    <w:link w:val="DocumentMap"/>
    <w:uiPriority w:val="99"/>
    <w:semiHidden/>
    <w:rsid w:val="00F674AC"/>
    <w:rPr>
      <w:rFonts w:ascii="Tahoma" w:eastAsia="Times New Roman" w:hAnsi="Tahoma" w:cs="Tahoma"/>
      <w:sz w:val="16"/>
      <w:szCs w:val="16"/>
    </w:rPr>
  </w:style>
  <w:style w:type="paragraph" w:styleId="ListBullet">
    <w:name w:val="List Bullet"/>
    <w:basedOn w:val="Normal"/>
    <w:uiPriority w:val="99"/>
    <w:semiHidden/>
    <w:unhideWhenUsed/>
    <w:locked/>
    <w:rsid w:val="00F674AC"/>
    <w:pPr>
      <w:tabs>
        <w:tab w:val="num" w:pos="0"/>
      </w:tabs>
      <w:spacing w:after="0" w:line="240" w:lineRule="auto"/>
      <w:contextualSpacing/>
      <w:jc w:val="left"/>
    </w:pPr>
    <w:rPr>
      <w:rFonts w:ascii="Times New Roman" w:eastAsia="Times New Roman" w:hAnsi="Times New Roman"/>
      <w:sz w:val="24"/>
      <w:szCs w:val="24"/>
      <w:lang w:eastAsia="en-AU"/>
    </w:rPr>
  </w:style>
  <w:style w:type="character" w:styleId="IntenseReference">
    <w:name w:val="Intense Reference"/>
    <w:uiPriority w:val="32"/>
    <w:qFormat/>
    <w:rsid w:val="00F674AC"/>
    <w:rPr>
      <w:smallCaps/>
      <w:spacing w:val="5"/>
      <w:u w:val="single"/>
    </w:rPr>
  </w:style>
  <w:style w:type="character" w:styleId="PlaceholderText">
    <w:name w:val="Placeholder Text"/>
    <w:basedOn w:val="DefaultParagraphFont"/>
    <w:uiPriority w:val="99"/>
    <w:unhideWhenUsed/>
    <w:rsid w:val="00F674A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1"/>
      </w:numPr>
    </w:pPr>
  </w:style>
  <w:style w:type="numbering" w:customStyle="1" w:styleId="Heading1Char">
    <w:name w:val="OldAERheadings"/>
    <w:pPr>
      <w:numPr>
        <w:numId w:val="7"/>
      </w:numPr>
    </w:pPr>
  </w:style>
  <w:style w:type="numbering" w:customStyle="1" w:styleId="Heading2Char">
    <w:name w:val="AERnumberedlist"/>
    <w:pPr>
      <w:numPr>
        <w:numId w:val="6"/>
      </w:numPr>
    </w:pPr>
  </w:style>
  <w:style w:type="numbering" w:customStyle="1" w:styleId="Heading3Char">
    <w:name w:val="1ai"/>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54520">
      <w:bodyDiv w:val="1"/>
      <w:marLeft w:val="0"/>
      <w:marRight w:val="0"/>
      <w:marTop w:val="0"/>
      <w:marBottom w:val="0"/>
      <w:divBdr>
        <w:top w:val="none" w:sz="0" w:space="0" w:color="auto"/>
        <w:left w:val="none" w:sz="0" w:space="0" w:color="auto"/>
        <w:bottom w:val="none" w:sz="0" w:space="0" w:color="auto"/>
        <w:right w:val="none" w:sz="0" w:space="0" w:color="auto"/>
      </w:divBdr>
    </w:div>
    <w:div w:id="160050697">
      <w:bodyDiv w:val="1"/>
      <w:marLeft w:val="0"/>
      <w:marRight w:val="0"/>
      <w:marTop w:val="0"/>
      <w:marBottom w:val="0"/>
      <w:divBdr>
        <w:top w:val="none" w:sz="0" w:space="0" w:color="auto"/>
        <w:left w:val="none" w:sz="0" w:space="0" w:color="auto"/>
        <w:bottom w:val="none" w:sz="0" w:space="0" w:color="auto"/>
        <w:right w:val="none" w:sz="0" w:space="0" w:color="auto"/>
      </w:divBdr>
    </w:div>
    <w:div w:id="306857222">
      <w:bodyDiv w:val="1"/>
      <w:marLeft w:val="0"/>
      <w:marRight w:val="0"/>
      <w:marTop w:val="0"/>
      <w:marBottom w:val="0"/>
      <w:divBdr>
        <w:top w:val="none" w:sz="0" w:space="0" w:color="auto"/>
        <w:left w:val="none" w:sz="0" w:space="0" w:color="auto"/>
        <w:bottom w:val="none" w:sz="0" w:space="0" w:color="auto"/>
        <w:right w:val="none" w:sz="0" w:space="0" w:color="auto"/>
      </w:divBdr>
    </w:div>
    <w:div w:id="741605736">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361979677">
      <w:bodyDiv w:val="1"/>
      <w:marLeft w:val="0"/>
      <w:marRight w:val="0"/>
      <w:marTop w:val="0"/>
      <w:marBottom w:val="0"/>
      <w:divBdr>
        <w:top w:val="none" w:sz="0" w:space="0" w:color="auto"/>
        <w:left w:val="none" w:sz="0" w:space="0" w:color="auto"/>
        <w:bottom w:val="none" w:sz="0" w:space="0" w:color="auto"/>
        <w:right w:val="none" w:sz="0" w:space="0" w:color="auto"/>
      </w:divBdr>
    </w:div>
    <w:div w:id="1540052541">
      <w:bodyDiv w:val="1"/>
      <w:marLeft w:val="0"/>
      <w:marRight w:val="0"/>
      <w:marTop w:val="0"/>
      <w:marBottom w:val="0"/>
      <w:divBdr>
        <w:top w:val="none" w:sz="0" w:space="0" w:color="auto"/>
        <w:left w:val="none" w:sz="0" w:space="0" w:color="auto"/>
        <w:bottom w:val="none" w:sz="0" w:space="0" w:color="auto"/>
        <w:right w:val="none" w:sz="0" w:space="0" w:color="auto"/>
      </w:divBdr>
    </w:div>
    <w:div w:id="201965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ERInquiry@aer.gov.au" TargetMode="External"/><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9D0F296E.dotm</Template>
  <TotalTime>0</TotalTime>
  <Pages>18</Pages>
  <Words>5038</Words>
  <Characters>28717</Characters>
  <Application>Microsoft Office Word</Application>
  <DocSecurity>0</DocSecurity>
  <Lines>239</Lines>
  <Paragraphs>67</Paragraphs>
  <ScaleCrop>false</ScaleCrop>
  <Company/>
  <LinksUpToDate>false</LinksUpToDate>
  <CharactersWithSpaces>33688</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2014-11-26T04:07:00Z</dcterms:created>
  <dcterms:modified xsi:type="dcterms:W3CDTF">2014-11-26T04:07:00Z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8308308</vt:lpwstr>
  </property>
</Properties>
</file>