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567C241C" wp14:editId="73823A15">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465C62" w:rsidRDefault="00E82908" w:rsidP="00EF0E19">
      <w:pPr>
        <w:pStyle w:val="AERtitle1"/>
      </w:pPr>
      <w:r>
        <w:t>Jemena Gas Networks</w:t>
      </w:r>
      <w:r w:rsidR="00465C62">
        <w:t xml:space="preserve"> </w:t>
      </w:r>
      <w:r w:rsidR="009429FF">
        <w:t>(NSW) Ltd</w:t>
      </w:r>
    </w:p>
    <w:p w:rsidR="007F06C1" w:rsidRDefault="00465C62" w:rsidP="00EF0E19">
      <w:pPr>
        <w:pStyle w:val="AERtitle1"/>
      </w:pPr>
      <w:r>
        <w:t>Access arrangement</w:t>
      </w:r>
      <w:r w:rsidR="009429FF">
        <w:t xml:space="preserve"> 2015–20</w:t>
      </w:r>
    </w:p>
    <w:p w:rsidR="007F06C1" w:rsidRDefault="007F06C1" w:rsidP="007F06C1">
      <w:pPr>
        <w:pStyle w:val="AERtitle1"/>
      </w:pPr>
    </w:p>
    <w:p w:rsidR="00EF0E19" w:rsidRDefault="007F06C1" w:rsidP="007F06C1">
      <w:pPr>
        <w:pStyle w:val="AERtitle1"/>
      </w:pPr>
      <w:r>
        <w:t xml:space="preserve">Attachment </w:t>
      </w:r>
      <w:r w:rsidR="00D740F6">
        <w:t>9</w:t>
      </w:r>
      <w:r>
        <w:t xml:space="preserve"> –</w:t>
      </w:r>
      <w:r w:rsidR="005D0F54">
        <w:t xml:space="preserve"> </w:t>
      </w:r>
      <w:r w:rsidR="00D740F6">
        <w:t>Efficiency carryover mechanism</w:t>
      </w:r>
    </w:p>
    <w:p w:rsidR="00EF0E19" w:rsidRDefault="00EF0E19" w:rsidP="00EF0E19"/>
    <w:p w:rsidR="00EF0E19" w:rsidRPr="00F6235D" w:rsidRDefault="00EF0E19" w:rsidP="00EF0E19"/>
    <w:p w:rsidR="009429FF" w:rsidRDefault="009429FF" w:rsidP="00EF0E19">
      <w:pPr>
        <w:pStyle w:val="AERtitle2"/>
      </w:pPr>
    </w:p>
    <w:p w:rsidR="00EF0E19" w:rsidRPr="00F6235D" w:rsidRDefault="007F06C1"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2863C6">
        <w:t>51741</w:t>
      </w:r>
    </w:p>
    <w:p w:rsidR="003324F7" w:rsidRDefault="003324F7"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1168DE" w:rsidRPr="00627323" w:rsidRDefault="001168DE" w:rsidP="001168DE">
      <w:pPr>
        <w:pStyle w:val="UnnumberedHeading"/>
        <w:numPr>
          <w:ilvl w:val="0"/>
          <w:numId w:val="8"/>
        </w:numPr>
        <w:rPr>
          <w:rStyle w:val="AERtextblue"/>
        </w:rPr>
      </w:pPr>
      <w:bookmarkStart w:id="1" w:name="_Toc404152781"/>
      <w:bookmarkStart w:id="2" w:name="_Toc404155792"/>
      <w:bookmarkStart w:id="3" w:name="_Toc404183788"/>
      <w:bookmarkStart w:id="4" w:name="_Toc404753725"/>
      <w:r w:rsidRPr="00627323">
        <w:rPr>
          <w:rStyle w:val="AERtextblue"/>
          <w:color w:val="E36C0A"/>
        </w:rPr>
        <w:lastRenderedPageBreak/>
        <w:t>Note</w:t>
      </w:r>
      <w:bookmarkEnd w:id="1"/>
      <w:bookmarkEnd w:id="2"/>
      <w:bookmarkEnd w:id="3"/>
      <w:bookmarkEnd w:id="4"/>
    </w:p>
    <w:p w:rsidR="001168DE" w:rsidRDefault="001168DE" w:rsidP="001168DE">
      <w:r>
        <w:t>This attachment forms part of the AER's draft</w:t>
      </w:r>
      <w:r w:rsidR="00D73237">
        <w:t xml:space="preserve"> decision on Jemena Gas Network</w:t>
      </w:r>
      <w:r>
        <w:t>s</w:t>
      </w:r>
      <w:r w:rsidR="00D73237">
        <w:t>’</w:t>
      </w:r>
      <w:r>
        <w:t xml:space="preserve"> 2015–20 access arrangement. It should be read with other parts of the draft decision.</w:t>
      </w:r>
    </w:p>
    <w:p w:rsidR="001168DE" w:rsidRDefault="001168DE" w:rsidP="001168DE">
      <w:r>
        <w:t>The draft decision includes the following documents:</w:t>
      </w:r>
    </w:p>
    <w:p w:rsidR="001168DE" w:rsidRDefault="001168DE" w:rsidP="001168DE">
      <w:r>
        <w:t>Overview</w:t>
      </w:r>
    </w:p>
    <w:p w:rsidR="001168DE" w:rsidRDefault="001168DE" w:rsidP="001168DE">
      <w:r>
        <w:t>Attachment 1 – services covered by the access arrangement</w:t>
      </w:r>
    </w:p>
    <w:p w:rsidR="001168DE" w:rsidRDefault="001168DE" w:rsidP="001168DE">
      <w:r>
        <w:t>Attachment 2 – capital base</w:t>
      </w:r>
    </w:p>
    <w:p w:rsidR="001168DE" w:rsidRDefault="001168DE" w:rsidP="001168DE">
      <w:r>
        <w:t>Attachment 3 – rate of return</w:t>
      </w:r>
    </w:p>
    <w:p w:rsidR="001168DE" w:rsidRDefault="001168DE" w:rsidP="001168DE">
      <w:r>
        <w:t>Attachment 4 – value of imputation credits</w:t>
      </w:r>
    </w:p>
    <w:p w:rsidR="001168DE" w:rsidRDefault="001168DE" w:rsidP="001168DE">
      <w:r>
        <w:t>Attachment 5 – regulatory depreciation</w:t>
      </w:r>
    </w:p>
    <w:p w:rsidR="001168DE" w:rsidRDefault="001168DE" w:rsidP="001168DE">
      <w:r>
        <w:t>Attachment 6 – capital expenditure</w:t>
      </w:r>
      <w:r w:rsidRPr="0012445F">
        <w:t xml:space="preserve"> </w:t>
      </w:r>
    </w:p>
    <w:p w:rsidR="001168DE" w:rsidRDefault="001168DE" w:rsidP="001168DE">
      <w:r>
        <w:t>Attachment 7 – operating expenditure</w:t>
      </w:r>
    </w:p>
    <w:p w:rsidR="001168DE" w:rsidRDefault="001168DE" w:rsidP="001168DE">
      <w:r>
        <w:t>Attachment 8 – corporate income tax</w:t>
      </w:r>
    </w:p>
    <w:p w:rsidR="00B3458E" w:rsidRDefault="00B3458E" w:rsidP="00B3458E">
      <w:r>
        <w:t>Attachment 9 – efficiency carryover mechanism</w:t>
      </w:r>
    </w:p>
    <w:p w:rsidR="001168DE" w:rsidRDefault="001168DE" w:rsidP="001168DE">
      <w:r w:rsidRPr="00DF268E">
        <w:t xml:space="preserve">Attachment </w:t>
      </w:r>
      <w:r>
        <w:t>10</w:t>
      </w:r>
      <w:r w:rsidRPr="00DF268E">
        <w:t xml:space="preserve"> –</w:t>
      </w:r>
      <w:r>
        <w:t xml:space="preserve"> reference tariff setting</w:t>
      </w:r>
    </w:p>
    <w:p w:rsidR="001168DE" w:rsidRDefault="001168DE" w:rsidP="001168DE">
      <w:r w:rsidRPr="00DF268E">
        <w:t>Attachment 1</w:t>
      </w:r>
      <w:r>
        <w:t>1 – reference tariff variation mechanism</w:t>
      </w:r>
    </w:p>
    <w:p w:rsidR="001168DE" w:rsidRDefault="001168DE" w:rsidP="001168DE">
      <w:r w:rsidRPr="00DF268E">
        <w:t>Attachment 1</w:t>
      </w:r>
      <w:r>
        <w:t>2</w:t>
      </w:r>
      <w:r w:rsidRPr="00DF268E">
        <w:t xml:space="preserve"> –</w:t>
      </w:r>
      <w:r>
        <w:t xml:space="preserve"> non-tariff components</w:t>
      </w:r>
    </w:p>
    <w:p w:rsidR="002863C6" w:rsidRPr="0012445F" w:rsidRDefault="002863C6" w:rsidP="001168DE">
      <w:r>
        <w:t>Attachment 13 – demand</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5" w:name="_Toc404753726"/>
      <w:r>
        <w:lastRenderedPageBreak/>
        <w:t>Contents</w:t>
      </w:r>
      <w:bookmarkEnd w:id="5"/>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84378B" w:rsidRPr="0084378B" w:rsidRDefault="0084378B">
          <w:pPr>
            <w:pStyle w:val="TOCHeading"/>
          </w:pPr>
        </w:p>
        <w:p w:rsidR="002D2D19" w:rsidRDefault="001B26DC">
          <w:pPr>
            <w:pStyle w:val="TOC1"/>
            <w:tabs>
              <w:tab w:val="right" w:leader="dot" w:pos="9016"/>
            </w:tabs>
            <w:rPr>
              <w:rFonts w:asciiTheme="minorHAnsi" w:eastAsiaTheme="minorEastAsia" w:hAnsiTheme="minorHAnsi" w:cstheme="minorBidi"/>
              <w:b w:val="0"/>
              <w:bCs w:val="0"/>
              <w:noProof/>
              <w:sz w:val="22"/>
              <w:szCs w:val="22"/>
              <w:lang w:eastAsia="en-AU"/>
            </w:rPr>
          </w:pPr>
          <w:r>
            <w:rPr>
              <w:b w:val="0"/>
              <w:bCs w:val="0"/>
            </w:rPr>
            <w:fldChar w:fldCharType="begin"/>
          </w:r>
          <w:r>
            <w:rPr>
              <w:b w:val="0"/>
              <w:bCs w:val="0"/>
            </w:rPr>
            <w:instrText xml:space="preserve"> TOC \o "1-3" \h \z \u \t "Heading 7,1,Heading 8,2,Heading 9,3" </w:instrText>
          </w:r>
          <w:r>
            <w:rPr>
              <w:b w:val="0"/>
              <w:bCs w:val="0"/>
            </w:rPr>
            <w:fldChar w:fldCharType="separate"/>
          </w:r>
          <w:hyperlink w:anchor="_Toc404753725" w:history="1">
            <w:r w:rsidR="002D2D19" w:rsidRPr="008E4F63">
              <w:rPr>
                <w:rStyle w:val="Hyperlink"/>
                <w:noProof/>
              </w:rPr>
              <w:t>Note</w:t>
            </w:r>
            <w:r w:rsidR="002D2D19">
              <w:rPr>
                <w:noProof/>
                <w:webHidden/>
              </w:rPr>
              <w:tab/>
            </w:r>
            <w:r w:rsidR="002D2D19">
              <w:rPr>
                <w:noProof/>
                <w:webHidden/>
              </w:rPr>
              <w:fldChar w:fldCharType="begin"/>
            </w:r>
            <w:r w:rsidR="002D2D19">
              <w:rPr>
                <w:noProof/>
                <w:webHidden/>
              </w:rPr>
              <w:instrText xml:space="preserve"> PAGEREF _Toc404753725 \h </w:instrText>
            </w:r>
            <w:r w:rsidR="002D2D19">
              <w:rPr>
                <w:noProof/>
                <w:webHidden/>
              </w:rPr>
            </w:r>
            <w:r w:rsidR="002D2D19">
              <w:rPr>
                <w:noProof/>
                <w:webHidden/>
              </w:rPr>
              <w:fldChar w:fldCharType="separate"/>
            </w:r>
            <w:r w:rsidR="002D2D19">
              <w:rPr>
                <w:noProof/>
                <w:webHidden/>
              </w:rPr>
              <w:t>9-3</w:t>
            </w:r>
            <w:r w:rsidR="002D2D19">
              <w:rPr>
                <w:noProof/>
                <w:webHidden/>
              </w:rPr>
              <w:fldChar w:fldCharType="end"/>
            </w:r>
          </w:hyperlink>
        </w:p>
        <w:p w:rsidR="002D2D19" w:rsidRDefault="00975F5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3726" w:history="1">
            <w:r w:rsidR="002D2D19" w:rsidRPr="008E4F63">
              <w:rPr>
                <w:rStyle w:val="Hyperlink"/>
                <w:noProof/>
              </w:rPr>
              <w:t>Contents</w:t>
            </w:r>
            <w:r w:rsidR="002D2D19">
              <w:rPr>
                <w:noProof/>
                <w:webHidden/>
              </w:rPr>
              <w:tab/>
            </w:r>
            <w:r w:rsidR="002D2D19">
              <w:rPr>
                <w:noProof/>
                <w:webHidden/>
              </w:rPr>
              <w:fldChar w:fldCharType="begin"/>
            </w:r>
            <w:r w:rsidR="002D2D19">
              <w:rPr>
                <w:noProof/>
                <w:webHidden/>
              </w:rPr>
              <w:instrText xml:space="preserve"> PAGEREF _Toc404753726 \h </w:instrText>
            </w:r>
            <w:r w:rsidR="002D2D19">
              <w:rPr>
                <w:noProof/>
                <w:webHidden/>
              </w:rPr>
            </w:r>
            <w:r w:rsidR="002D2D19">
              <w:rPr>
                <w:noProof/>
                <w:webHidden/>
              </w:rPr>
              <w:fldChar w:fldCharType="separate"/>
            </w:r>
            <w:r w:rsidR="002D2D19">
              <w:rPr>
                <w:noProof/>
                <w:webHidden/>
              </w:rPr>
              <w:t>9-4</w:t>
            </w:r>
            <w:r w:rsidR="002D2D19">
              <w:rPr>
                <w:noProof/>
                <w:webHidden/>
              </w:rPr>
              <w:fldChar w:fldCharType="end"/>
            </w:r>
          </w:hyperlink>
        </w:p>
        <w:p w:rsidR="002D2D19" w:rsidRDefault="00975F5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3727" w:history="1">
            <w:r w:rsidR="002D2D19" w:rsidRPr="008E4F63">
              <w:rPr>
                <w:rStyle w:val="Hyperlink"/>
                <w:noProof/>
              </w:rPr>
              <w:t>Shortened forms</w:t>
            </w:r>
            <w:r w:rsidR="002D2D19">
              <w:rPr>
                <w:noProof/>
                <w:webHidden/>
              </w:rPr>
              <w:tab/>
            </w:r>
            <w:r w:rsidR="002D2D19">
              <w:rPr>
                <w:noProof/>
                <w:webHidden/>
              </w:rPr>
              <w:fldChar w:fldCharType="begin"/>
            </w:r>
            <w:r w:rsidR="002D2D19">
              <w:rPr>
                <w:noProof/>
                <w:webHidden/>
              </w:rPr>
              <w:instrText xml:space="preserve"> PAGEREF _Toc404753727 \h </w:instrText>
            </w:r>
            <w:r w:rsidR="002D2D19">
              <w:rPr>
                <w:noProof/>
                <w:webHidden/>
              </w:rPr>
            </w:r>
            <w:r w:rsidR="002D2D19">
              <w:rPr>
                <w:noProof/>
                <w:webHidden/>
              </w:rPr>
              <w:fldChar w:fldCharType="separate"/>
            </w:r>
            <w:r w:rsidR="002D2D19">
              <w:rPr>
                <w:noProof/>
                <w:webHidden/>
              </w:rPr>
              <w:t>9-5</w:t>
            </w:r>
            <w:r w:rsidR="002D2D19">
              <w:rPr>
                <w:noProof/>
                <w:webHidden/>
              </w:rPr>
              <w:fldChar w:fldCharType="end"/>
            </w:r>
          </w:hyperlink>
        </w:p>
        <w:p w:rsidR="002D2D19" w:rsidRDefault="00975F5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3728" w:history="1">
            <w:r w:rsidR="002D2D19" w:rsidRPr="008E4F63">
              <w:rPr>
                <w:rStyle w:val="Hyperlink"/>
                <w:noProof/>
              </w:rPr>
              <w:t>9</w:t>
            </w:r>
            <w:r w:rsidR="002D2D19">
              <w:rPr>
                <w:rFonts w:asciiTheme="minorHAnsi" w:eastAsiaTheme="minorEastAsia" w:hAnsiTheme="minorHAnsi" w:cstheme="minorBidi"/>
                <w:b w:val="0"/>
                <w:bCs w:val="0"/>
                <w:noProof/>
                <w:sz w:val="22"/>
                <w:szCs w:val="22"/>
                <w:lang w:eastAsia="en-AU"/>
              </w:rPr>
              <w:tab/>
            </w:r>
            <w:r w:rsidR="002D2D19" w:rsidRPr="008E4F63">
              <w:rPr>
                <w:rStyle w:val="Hyperlink"/>
                <w:noProof/>
              </w:rPr>
              <w:t>Efficiency carryover mechanism</w:t>
            </w:r>
            <w:r w:rsidR="002D2D19">
              <w:rPr>
                <w:noProof/>
                <w:webHidden/>
              </w:rPr>
              <w:tab/>
            </w:r>
            <w:r w:rsidR="002D2D19">
              <w:rPr>
                <w:noProof/>
                <w:webHidden/>
              </w:rPr>
              <w:fldChar w:fldCharType="begin"/>
            </w:r>
            <w:r w:rsidR="002D2D19">
              <w:rPr>
                <w:noProof/>
                <w:webHidden/>
              </w:rPr>
              <w:instrText xml:space="preserve"> PAGEREF _Toc404753728 \h </w:instrText>
            </w:r>
            <w:r w:rsidR="002D2D19">
              <w:rPr>
                <w:noProof/>
                <w:webHidden/>
              </w:rPr>
            </w:r>
            <w:r w:rsidR="002D2D19">
              <w:rPr>
                <w:noProof/>
                <w:webHidden/>
              </w:rPr>
              <w:fldChar w:fldCharType="separate"/>
            </w:r>
            <w:r w:rsidR="002D2D19">
              <w:rPr>
                <w:noProof/>
                <w:webHidden/>
              </w:rPr>
              <w:t>9-7</w:t>
            </w:r>
            <w:r w:rsidR="002D2D19">
              <w:rPr>
                <w:noProof/>
                <w:webHidden/>
              </w:rPr>
              <w:fldChar w:fldCharType="end"/>
            </w:r>
          </w:hyperlink>
        </w:p>
        <w:p w:rsidR="002D2D19" w:rsidRDefault="00975F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3729" w:history="1">
            <w:r w:rsidR="002D2D19" w:rsidRPr="008E4F63">
              <w:rPr>
                <w:rStyle w:val="Hyperlink"/>
                <w:noProof/>
              </w:rPr>
              <w:t>9.1</w:t>
            </w:r>
            <w:r w:rsidR="002D2D19">
              <w:rPr>
                <w:rFonts w:asciiTheme="minorHAnsi" w:eastAsiaTheme="minorEastAsia" w:hAnsiTheme="minorHAnsi" w:cstheme="minorBidi"/>
                <w:iCs w:val="0"/>
                <w:noProof/>
                <w:sz w:val="22"/>
                <w:szCs w:val="22"/>
                <w:lang w:eastAsia="en-AU"/>
              </w:rPr>
              <w:tab/>
            </w:r>
            <w:r w:rsidR="002D2D19" w:rsidRPr="008E4F63">
              <w:rPr>
                <w:rStyle w:val="Hyperlink"/>
                <w:noProof/>
              </w:rPr>
              <w:t>Draft decision</w:t>
            </w:r>
            <w:r w:rsidR="002D2D19">
              <w:rPr>
                <w:noProof/>
                <w:webHidden/>
              </w:rPr>
              <w:tab/>
            </w:r>
            <w:r w:rsidR="002D2D19">
              <w:rPr>
                <w:noProof/>
                <w:webHidden/>
              </w:rPr>
              <w:fldChar w:fldCharType="begin"/>
            </w:r>
            <w:r w:rsidR="002D2D19">
              <w:rPr>
                <w:noProof/>
                <w:webHidden/>
              </w:rPr>
              <w:instrText xml:space="preserve"> PAGEREF _Toc404753729 \h </w:instrText>
            </w:r>
            <w:r w:rsidR="002D2D19">
              <w:rPr>
                <w:noProof/>
                <w:webHidden/>
              </w:rPr>
            </w:r>
            <w:r w:rsidR="002D2D19">
              <w:rPr>
                <w:noProof/>
                <w:webHidden/>
              </w:rPr>
              <w:fldChar w:fldCharType="separate"/>
            </w:r>
            <w:r w:rsidR="002D2D19">
              <w:rPr>
                <w:noProof/>
                <w:webHidden/>
              </w:rPr>
              <w:t>9-7</w:t>
            </w:r>
            <w:r w:rsidR="002D2D19">
              <w:rPr>
                <w:noProof/>
                <w:webHidden/>
              </w:rPr>
              <w:fldChar w:fldCharType="end"/>
            </w:r>
          </w:hyperlink>
        </w:p>
        <w:p w:rsidR="002D2D19" w:rsidRDefault="00975F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3730" w:history="1">
            <w:r w:rsidR="002D2D19" w:rsidRPr="008E4F63">
              <w:rPr>
                <w:rStyle w:val="Hyperlink"/>
                <w:noProof/>
              </w:rPr>
              <w:t>9.2</w:t>
            </w:r>
            <w:r w:rsidR="002D2D19">
              <w:rPr>
                <w:rFonts w:asciiTheme="minorHAnsi" w:eastAsiaTheme="minorEastAsia" w:hAnsiTheme="minorHAnsi" w:cstheme="minorBidi"/>
                <w:iCs w:val="0"/>
                <w:noProof/>
                <w:sz w:val="22"/>
                <w:szCs w:val="22"/>
                <w:lang w:eastAsia="en-AU"/>
              </w:rPr>
              <w:tab/>
            </w:r>
            <w:r w:rsidR="002D2D19" w:rsidRPr="008E4F63">
              <w:rPr>
                <w:rStyle w:val="Hyperlink"/>
                <w:noProof/>
              </w:rPr>
              <w:t>Proposal</w:t>
            </w:r>
            <w:r w:rsidR="002D2D19">
              <w:rPr>
                <w:noProof/>
                <w:webHidden/>
              </w:rPr>
              <w:tab/>
            </w:r>
            <w:r w:rsidR="002D2D19">
              <w:rPr>
                <w:noProof/>
                <w:webHidden/>
              </w:rPr>
              <w:fldChar w:fldCharType="begin"/>
            </w:r>
            <w:r w:rsidR="002D2D19">
              <w:rPr>
                <w:noProof/>
                <w:webHidden/>
              </w:rPr>
              <w:instrText xml:space="preserve"> PAGEREF _Toc404753730 \h </w:instrText>
            </w:r>
            <w:r w:rsidR="002D2D19">
              <w:rPr>
                <w:noProof/>
                <w:webHidden/>
              </w:rPr>
            </w:r>
            <w:r w:rsidR="002D2D19">
              <w:rPr>
                <w:noProof/>
                <w:webHidden/>
              </w:rPr>
              <w:fldChar w:fldCharType="separate"/>
            </w:r>
            <w:r w:rsidR="002D2D19">
              <w:rPr>
                <w:noProof/>
                <w:webHidden/>
              </w:rPr>
              <w:t>9-8</w:t>
            </w:r>
            <w:r w:rsidR="002D2D19">
              <w:rPr>
                <w:noProof/>
                <w:webHidden/>
              </w:rPr>
              <w:fldChar w:fldCharType="end"/>
            </w:r>
          </w:hyperlink>
        </w:p>
        <w:p w:rsidR="002D2D19" w:rsidRDefault="00975F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3731" w:history="1">
            <w:r w:rsidR="002D2D19" w:rsidRPr="008E4F63">
              <w:rPr>
                <w:rStyle w:val="Hyperlink"/>
                <w:noProof/>
              </w:rPr>
              <w:t>9.3</w:t>
            </w:r>
            <w:r w:rsidR="002D2D19">
              <w:rPr>
                <w:rFonts w:asciiTheme="minorHAnsi" w:eastAsiaTheme="minorEastAsia" w:hAnsiTheme="minorHAnsi" w:cstheme="minorBidi"/>
                <w:iCs w:val="0"/>
                <w:noProof/>
                <w:sz w:val="22"/>
                <w:szCs w:val="22"/>
                <w:lang w:eastAsia="en-AU"/>
              </w:rPr>
              <w:tab/>
            </w:r>
            <w:r w:rsidR="002D2D19" w:rsidRPr="008E4F63">
              <w:rPr>
                <w:rStyle w:val="Hyperlink"/>
                <w:noProof/>
              </w:rPr>
              <w:t>Assessment approach</w:t>
            </w:r>
            <w:r w:rsidR="002D2D19">
              <w:rPr>
                <w:noProof/>
                <w:webHidden/>
              </w:rPr>
              <w:tab/>
            </w:r>
            <w:r w:rsidR="002D2D19">
              <w:rPr>
                <w:noProof/>
                <w:webHidden/>
              </w:rPr>
              <w:fldChar w:fldCharType="begin"/>
            </w:r>
            <w:r w:rsidR="002D2D19">
              <w:rPr>
                <w:noProof/>
                <w:webHidden/>
              </w:rPr>
              <w:instrText xml:space="preserve"> PAGEREF _Toc404753731 \h </w:instrText>
            </w:r>
            <w:r w:rsidR="002D2D19">
              <w:rPr>
                <w:noProof/>
                <w:webHidden/>
              </w:rPr>
            </w:r>
            <w:r w:rsidR="002D2D19">
              <w:rPr>
                <w:noProof/>
                <w:webHidden/>
              </w:rPr>
              <w:fldChar w:fldCharType="separate"/>
            </w:r>
            <w:r w:rsidR="002D2D19">
              <w:rPr>
                <w:noProof/>
                <w:webHidden/>
              </w:rPr>
              <w:t>9-9</w:t>
            </w:r>
            <w:r w:rsidR="002D2D19">
              <w:rPr>
                <w:noProof/>
                <w:webHidden/>
              </w:rPr>
              <w:fldChar w:fldCharType="end"/>
            </w:r>
          </w:hyperlink>
        </w:p>
        <w:p w:rsidR="002D2D19" w:rsidRDefault="00975F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3732" w:history="1">
            <w:r w:rsidR="002D2D19" w:rsidRPr="008E4F63">
              <w:rPr>
                <w:rStyle w:val="Hyperlink"/>
                <w:noProof/>
              </w:rPr>
              <w:t>9.4</w:t>
            </w:r>
            <w:r w:rsidR="002D2D19">
              <w:rPr>
                <w:rFonts w:asciiTheme="minorHAnsi" w:eastAsiaTheme="minorEastAsia" w:hAnsiTheme="minorHAnsi" w:cstheme="minorBidi"/>
                <w:iCs w:val="0"/>
                <w:noProof/>
                <w:sz w:val="22"/>
                <w:szCs w:val="22"/>
                <w:lang w:eastAsia="en-AU"/>
              </w:rPr>
              <w:tab/>
            </w:r>
            <w:r w:rsidR="002D2D19" w:rsidRPr="008E4F63">
              <w:rPr>
                <w:rStyle w:val="Hyperlink"/>
                <w:noProof/>
              </w:rPr>
              <w:t>Reasons for draft decision</w:t>
            </w:r>
            <w:r w:rsidR="002D2D19">
              <w:rPr>
                <w:noProof/>
                <w:webHidden/>
              </w:rPr>
              <w:tab/>
            </w:r>
            <w:r w:rsidR="002D2D19">
              <w:rPr>
                <w:noProof/>
                <w:webHidden/>
              </w:rPr>
              <w:fldChar w:fldCharType="begin"/>
            </w:r>
            <w:r w:rsidR="002D2D19">
              <w:rPr>
                <w:noProof/>
                <w:webHidden/>
              </w:rPr>
              <w:instrText xml:space="preserve"> PAGEREF _Toc404753732 \h </w:instrText>
            </w:r>
            <w:r w:rsidR="002D2D19">
              <w:rPr>
                <w:noProof/>
                <w:webHidden/>
              </w:rPr>
            </w:r>
            <w:r w:rsidR="002D2D19">
              <w:rPr>
                <w:noProof/>
                <w:webHidden/>
              </w:rPr>
              <w:fldChar w:fldCharType="separate"/>
            </w:r>
            <w:r w:rsidR="002D2D19">
              <w:rPr>
                <w:noProof/>
                <w:webHidden/>
              </w:rPr>
              <w:t>9-9</w:t>
            </w:r>
            <w:r w:rsidR="002D2D19">
              <w:rPr>
                <w:noProof/>
                <w:webHidden/>
              </w:rPr>
              <w:fldChar w:fldCharType="end"/>
            </w:r>
          </w:hyperlink>
        </w:p>
        <w:p w:rsidR="002D2D19" w:rsidRDefault="00975F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3733" w:history="1">
            <w:r w:rsidR="002D2D19" w:rsidRPr="008E4F63">
              <w:rPr>
                <w:rStyle w:val="Hyperlink"/>
                <w:noProof/>
              </w:rPr>
              <w:t>9.5</w:t>
            </w:r>
            <w:r w:rsidR="002D2D19">
              <w:rPr>
                <w:rFonts w:asciiTheme="minorHAnsi" w:eastAsiaTheme="minorEastAsia" w:hAnsiTheme="minorHAnsi" w:cstheme="minorBidi"/>
                <w:iCs w:val="0"/>
                <w:noProof/>
                <w:sz w:val="22"/>
                <w:szCs w:val="22"/>
                <w:lang w:eastAsia="en-AU"/>
              </w:rPr>
              <w:tab/>
            </w:r>
            <w:r w:rsidR="002D2D19" w:rsidRPr="008E4F63">
              <w:rPr>
                <w:rStyle w:val="Hyperlink"/>
                <w:noProof/>
              </w:rPr>
              <w:t>Revisions to JGN's proposed EBSS</w:t>
            </w:r>
            <w:r w:rsidR="002D2D19">
              <w:rPr>
                <w:noProof/>
                <w:webHidden/>
              </w:rPr>
              <w:tab/>
            </w:r>
            <w:r w:rsidR="002D2D19">
              <w:rPr>
                <w:noProof/>
                <w:webHidden/>
              </w:rPr>
              <w:fldChar w:fldCharType="begin"/>
            </w:r>
            <w:r w:rsidR="002D2D19">
              <w:rPr>
                <w:noProof/>
                <w:webHidden/>
              </w:rPr>
              <w:instrText xml:space="preserve"> PAGEREF _Toc404753733 \h </w:instrText>
            </w:r>
            <w:r w:rsidR="002D2D19">
              <w:rPr>
                <w:noProof/>
                <w:webHidden/>
              </w:rPr>
            </w:r>
            <w:r w:rsidR="002D2D19">
              <w:rPr>
                <w:noProof/>
                <w:webHidden/>
              </w:rPr>
              <w:fldChar w:fldCharType="separate"/>
            </w:r>
            <w:r w:rsidR="002D2D19">
              <w:rPr>
                <w:noProof/>
                <w:webHidden/>
              </w:rPr>
              <w:t>9-12</w:t>
            </w:r>
            <w:r w:rsidR="002D2D19">
              <w:rPr>
                <w:noProof/>
                <w:webHidden/>
              </w:rPr>
              <w:fldChar w:fldCharType="end"/>
            </w:r>
          </w:hyperlink>
        </w:p>
        <w:p w:rsidR="0084378B" w:rsidRPr="0084378B" w:rsidRDefault="001B26DC">
          <w:r>
            <w:rPr>
              <w:b/>
              <w:bCs/>
            </w:rPr>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6" w:name="_Toc404753727"/>
      <w:r>
        <w:lastRenderedPageBreak/>
        <w:t>Shortened forms</w:t>
      </w:r>
      <w:bookmarkEnd w:id="6"/>
    </w:p>
    <w:tbl>
      <w:tblPr>
        <w:tblStyle w:val="AERtable-numbers"/>
        <w:tblW w:w="0" w:type="auto"/>
        <w:tblLook w:val="04A0" w:firstRow="1" w:lastRow="0" w:firstColumn="1" w:lastColumn="0" w:noHBand="0" w:noVBand="1"/>
      </w:tblPr>
      <w:tblGrid>
        <w:gridCol w:w="4621"/>
        <w:gridCol w:w="4621"/>
      </w:tblGrid>
      <w:tr w:rsidR="000722CB" w:rsidTr="00286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722CB" w:rsidRDefault="000722CB" w:rsidP="000722CB">
            <w:pPr>
              <w:pStyle w:val="AERbodytext"/>
            </w:pPr>
            <w:r>
              <w:t>Shortened form</w:t>
            </w:r>
          </w:p>
        </w:tc>
        <w:tc>
          <w:tcPr>
            <w:tcW w:w="4621" w:type="dxa"/>
          </w:tcPr>
          <w:p w:rsidR="000722CB" w:rsidRDefault="000722CB" w:rsidP="000722C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2010–15 access arrangement</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2010–15 access arrangement</w:t>
            </w:r>
            <w:r>
              <w:t xml:space="preserve">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w:t>
            </w:r>
          </w:p>
        </w:tc>
        <w:tc>
          <w:tcPr>
            <w:tcW w:w="4621" w:type="dxa"/>
          </w:tcPr>
          <w:p w:rsidR="001168DE" w:rsidRPr="00E854E3"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information</w:t>
            </w:r>
          </w:p>
        </w:tc>
        <w:tc>
          <w:tcPr>
            <w:tcW w:w="4621" w:type="dxa"/>
          </w:tcPr>
          <w:p w:rsidR="001168DE" w:rsidRDefault="001168DE" w:rsidP="003F3E38">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proposal</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AER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CCP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Code</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CPI</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DRP</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ERP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JGN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MRP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NGO</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lastRenderedPageBreak/>
              <w:t>opex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PPI</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PTRM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RAB</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RBA</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Reference service agreement proposal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RFM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RIN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RPP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3F3E38">
              <w:t xml:space="preserve">and </w:t>
            </w:r>
            <w:r>
              <w:t>pricing principles</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SLCAPM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WACC</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Pr="008B4932" w:rsidRDefault="008B4932" w:rsidP="008B4932">
      <w:pPr>
        <w:pStyle w:val="AERbodytext"/>
        <w:numPr>
          <w:ilvl w:val="0"/>
          <w:numId w:val="0"/>
        </w:numPr>
      </w:pPr>
    </w:p>
    <w:p w:rsidR="00525604" w:rsidRPr="003E6299" w:rsidRDefault="003F3E38" w:rsidP="00D740F6">
      <w:pPr>
        <w:pStyle w:val="Heading1"/>
      </w:pPr>
      <w:bookmarkStart w:id="7" w:name="_Toc404753728"/>
      <w:r>
        <w:lastRenderedPageBreak/>
        <w:t>Efficiency carryover mechanism</w:t>
      </w:r>
      <w:bookmarkEnd w:id="7"/>
      <w:r w:rsidR="005D0F54">
        <w:t xml:space="preserve"> </w:t>
      </w:r>
    </w:p>
    <w:p w:rsidR="00D740F6" w:rsidRDefault="00D740F6" w:rsidP="00D740F6">
      <w:pPr>
        <w:pStyle w:val="AERbodytext"/>
      </w:pPr>
      <w:bookmarkStart w:id="8" w:name="_Toc388623123"/>
      <w:r>
        <w:t>An efficiency carryover mechanism provides an additional incentive for service providers to pursue efficiency improvements in opex.</w:t>
      </w:r>
    </w:p>
    <w:p w:rsidR="00D740F6" w:rsidRDefault="00D740F6" w:rsidP="00D740F6">
      <w:pPr>
        <w:pStyle w:val="AERbodytext"/>
      </w:pPr>
      <w:r>
        <w:t>It is often used as part of</w:t>
      </w:r>
      <w:r w:rsidRPr="0095175F">
        <w:t xml:space="preserve"> incentive regulation. Because opex is largely recurrent and predictable, opex in one period is generally a good indicator of opex in the next period. </w:t>
      </w:r>
      <w:r>
        <w:t>Where a service provider is relatively efficient, w</w:t>
      </w:r>
      <w:r w:rsidRPr="0095175F">
        <w:t xml:space="preserve">e </w:t>
      </w:r>
      <w:r>
        <w:t>use the</w:t>
      </w:r>
      <w:r w:rsidRPr="0095175F">
        <w:t xml:space="preserve"> actual opex </w:t>
      </w:r>
      <w:r>
        <w:t xml:space="preserve">it </w:t>
      </w:r>
      <w:r w:rsidRPr="0095175F">
        <w:t xml:space="preserve">incurred in a chosen base year of the </w:t>
      </w:r>
      <w:r>
        <w:t>access arrangement</w:t>
      </w:r>
      <w:r w:rsidRPr="0095175F">
        <w:t xml:space="preserve"> period to forecast </w:t>
      </w:r>
      <w:r>
        <w:t xml:space="preserve">its </w:t>
      </w:r>
      <w:r w:rsidRPr="0095175F">
        <w:t xml:space="preserve">opex for the next </w:t>
      </w:r>
      <w:r>
        <w:t>access arrangement</w:t>
      </w:r>
      <w:r w:rsidRPr="0095175F">
        <w:t xml:space="preserve"> period. </w:t>
      </w:r>
    </w:p>
    <w:p w:rsidR="00D740F6" w:rsidRDefault="00D740F6" w:rsidP="00D740F6">
      <w:pPr>
        <w:pStyle w:val="AERbodytext"/>
      </w:pPr>
      <w:r w:rsidRPr="0095175F">
        <w:t xml:space="preserve">To encourage </w:t>
      </w:r>
      <w:r>
        <w:t>a service provider</w:t>
      </w:r>
      <w:r w:rsidRPr="0095175F">
        <w:t xml:space="preserve"> to become more efficient</w:t>
      </w:r>
      <w:r>
        <w:t>,</w:t>
      </w:r>
      <w:r w:rsidRPr="0095175F">
        <w:t xml:space="preserve"> </w:t>
      </w:r>
      <w:r>
        <w:t>it is allowed to keep any difference between its approved forecast and its actual opex within an access arrangement period</w:t>
      </w:r>
      <w:r w:rsidRPr="0095175F">
        <w:t xml:space="preserve">. </w:t>
      </w:r>
      <w:r>
        <w:t xml:space="preserve">We typically supplement this by applying an efficiency carryover mechanism which provides a service provider with an additional reward for reductions in opex it makes and additional penalties for increases in opex. In total, these rewards and penalties work together to </w:t>
      </w:r>
      <w:r w:rsidRPr="00A86CDD">
        <w:t xml:space="preserve">provide a constant incentive </w:t>
      </w:r>
      <w:r>
        <w:t>for a service provider to</w:t>
      </w:r>
      <w:r w:rsidRPr="00A86CDD">
        <w:t xml:space="preserve"> pursue efficiency gains over </w:t>
      </w:r>
      <w:r>
        <w:t>the</w:t>
      </w:r>
      <w:r w:rsidRPr="00A86CDD">
        <w:t xml:space="preserve"> </w:t>
      </w:r>
      <w:r>
        <w:t>access arrangement</w:t>
      </w:r>
      <w:r w:rsidRPr="00A86CDD">
        <w:t xml:space="preserve"> period.</w:t>
      </w:r>
      <w:r w:rsidRPr="0028525B">
        <w:t xml:space="preserve"> </w:t>
      </w:r>
      <w:r>
        <w:t>An efficiency carryover mechanism also discourages a service provider from incurring opex in the expected base year in order to receive a higher opex allowance in the following access arrangement period.</w:t>
      </w:r>
      <w:r>
        <w:rPr>
          <w:rStyle w:val="FootnoteReference"/>
        </w:rPr>
        <w:footnoteReference w:id="1"/>
      </w:r>
      <w:r>
        <w:t xml:space="preserve"> </w:t>
      </w:r>
    </w:p>
    <w:p w:rsidR="00D740F6" w:rsidRDefault="00D740F6" w:rsidP="00D740F6">
      <w:pPr>
        <w:pStyle w:val="AERbodytext"/>
      </w:pPr>
      <w:r>
        <w:t>When a service provider is rewarded for making efficiency gains, c</w:t>
      </w:r>
      <w:r w:rsidRPr="0095175F">
        <w:t xml:space="preserve">onsumers benefit through lower prices in the next </w:t>
      </w:r>
      <w:r>
        <w:t>access arrangement</w:t>
      </w:r>
      <w:r w:rsidRPr="0095175F">
        <w:t xml:space="preserve"> period</w:t>
      </w:r>
      <w:r>
        <w:t>. This is because</w:t>
      </w:r>
      <w:r w:rsidRPr="0095175F">
        <w:t xml:space="preserve"> forecast opex in the next </w:t>
      </w:r>
      <w:r>
        <w:t>access arrangement</w:t>
      </w:r>
      <w:r w:rsidRPr="0095175F">
        <w:t xml:space="preserve"> period will reflect the </w:t>
      </w:r>
      <w:r>
        <w:t>service provider's</w:t>
      </w:r>
      <w:r w:rsidRPr="0095175F">
        <w:t xml:space="preserve"> lower level of opex in the current </w:t>
      </w:r>
      <w:r>
        <w:t>access arrangement</w:t>
      </w:r>
      <w:r w:rsidRPr="0095175F">
        <w:t xml:space="preserve"> period</w:t>
      </w:r>
      <w:r>
        <w:t>. As a result,</w:t>
      </w:r>
      <w:r w:rsidRPr="0095175F">
        <w:t xml:space="preserve"> reg</w:t>
      </w:r>
      <w:r>
        <w:t xml:space="preserve">ulated prices will be lower. </w:t>
      </w:r>
    </w:p>
    <w:p w:rsidR="00D740F6" w:rsidRDefault="00D740F6" w:rsidP="00D740F6">
      <w:pPr>
        <w:pStyle w:val="AERbodytext"/>
      </w:pPr>
      <w:r w:rsidRPr="00C74B8B">
        <w:rPr>
          <w:rStyle w:val="AERbody"/>
        </w:rPr>
        <w:t xml:space="preserve">JGN proposed we apply an efficiency </w:t>
      </w:r>
      <w:r>
        <w:rPr>
          <w:rStyle w:val="AERbody"/>
        </w:rPr>
        <w:t>carryover mechanism</w:t>
      </w:r>
      <w:r w:rsidRPr="00C74B8B">
        <w:rPr>
          <w:rStyle w:val="AERbody"/>
        </w:rPr>
        <w:t xml:space="preserve"> to it in the 2015–20 access arrangement </w:t>
      </w:r>
      <w:proofErr w:type="gramStart"/>
      <w:r w:rsidRPr="00C74B8B">
        <w:rPr>
          <w:rStyle w:val="AERbody"/>
        </w:rPr>
        <w:t>period</w:t>
      </w:r>
      <w:proofErr w:type="gramEnd"/>
      <w:r w:rsidRPr="00C74B8B">
        <w:rPr>
          <w:rStyle w:val="AERbody"/>
        </w:rPr>
        <w:t xml:space="preserve">. </w:t>
      </w:r>
      <w:r>
        <w:t>An efficiency carryover mechanism did not apply to JGN during the 2010–15</w:t>
      </w:r>
      <w:r w:rsidRPr="00135689">
        <w:t xml:space="preserve"> </w:t>
      </w:r>
      <w:r>
        <w:t>access arrangement</w:t>
      </w:r>
      <w:r w:rsidRPr="00135689">
        <w:t xml:space="preserve"> </w:t>
      </w:r>
      <w:proofErr w:type="gramStart"/>
      <w:r w:rsidRPr="00135689">
        <w:t>period</w:t>
      </w:r>
      <w:proofErr w:type="gramEnd"/>
      <w:r>
        <w:t xml:space="preserve">. </w:t>
      </w:r>
    </w:p>
    <w:p w:rsidR="00D740F6" w:rsidRDefault="00D740F6" w:rsidP="00D740F6">
      <w:pPr>
        <w:pStyle w:val="Heading2"/>
        <w:numPr>
          <w:ilvl w:val="2"/>
          <w:numId w:val="8"/>
        </w:numPr>
      </w:pPr>
      <w:bookmarkStart w:id="9" w:name="_Toc404753729"/>
      <w:r w:rsidRPr="00B64598">
        <w:t>Draft decision</w:t>
      </w:r>
      <w:bookmarkEnd w:id="9"/>
    </w:p>
    <w:p w:rsidR="00D740F6" w:rsidRDefault="00D740F6" w:rsidP="00D740F6">
      <w:pPr>
        <w:pStyle w:val="AERbodytext"/>
        <w:rPr>
          <w:rStyle w:val="AERbody"/>
        </w:rPr>
      </w:pPr>
      <w:bookmarkStart w:id="10" w:name="_Ref387739438"/>
      <w:r>
        <w:rPr>
          <w:rStyle w:val="AERbody"/>
        </w:rPr>
        <w:t>Our draft decision is to</w:t>
      </w:r>
      <w:r w:rsidRPr="003D3E38">
        <w:rPr>
          <w:rStyle w:val="AERbody"/>
        </w:rPr>
        <w:t xml:space="preserve"> approve the application of an </w:t>
      </w:r>
      <w:r>
        <w:rPr>
          <w:rStyle w:val="AERbody"/>
        </w:rPr>
        <w:t>efficiency carryover mechanism</w:t>
      </w:r>
      <w:r w:rsidRPr="003D3E38">
        <w:rPr>
          <w:rStyle w:val="AERbody"/>
        </w:rPr>
        <w:t xml:space="preserve"> to JGN in</w:t>
      </w:r>
      <w:r>
        <w:rPr>
          <w:rStyle w:val="AERbody"/>
        </w:rPr>
        <w:t xml:space="preserve"> the 2015–20 access arrangement. The mechanism we propose to apply is outlined in our proposed access arrangement for JGN.</w:t>
      </w:r>
    </w:p>
    <w:p w:rsidR="00D740F6" w:rsidRDefault="00D740F6" w:rsidP="00D740F6">
      <w:pPr>
        <w:pStyle w:val="AERbodytext"/>
      </w:pPr>
      <w:r>
        <w:t xml:space="preserve">In applying </w:t>
      </w:r>
      <w:r w:rsidRPr="00BD4587">
        <w:t xml:space="preserve">the </w:t>
      </w:r>
      <w:r>
        <w:t>efficiency carryover mechanism</w:t>
      </w:r>
      <w:r w:rsidRPr="00BD4587">
        <w:t xml:space="preserve"> to </w:t>
      </w:r>
      <w:r>
        <w:t>JGN in the 2015–20</w:t>
      </w:r>
      <w:r w:rsidRPr="00BD4587">
        <w:t xml:space="preserve"> </w:t>
      </w:r>
      <w:r>
        <w:t>access arrangement</w:t>
      </w:r>
      <w:r w:rsidRPr="00BD4587">
        <w:t xml:space="preserve"> period we </w:t>
      </w:r>
      <w:r>
        <w:t>propose to:</w:t>
      </w:r>
    </w:p>
    <w:p w:rsidR="00D740F6" w:rsidRDefault="00D740F6" w:rsidP="00D740F6">
      <w:pPr>
        <w:pStyle w:val="AERbulletlistfirststyle"/>
        <w:rPr>
          <w:rStyle w:val="AERbody"/>
        </w:rPr>
      </w:pPr>
      <w:proofErr w:type="gramStart"/>
      <w:r w:rsidRPr="00BD4587">
        <w:t>exclude</w:t>
      </w:r>
      <w:proofErr w:type="gramEnd"/>
      <w:r w:rsidRPr="00BD4587">
        <w:t xml:space="preserve"> </w:t>
      </w:r>
      <w:r w:rsidRPr="00A46C2C">
        <w:rPr>
          <w:rStyle w:val="AERbody"/>
        </w:rPr>
        <w:t>UAG costs</w:t>
      </w:r>
      <w:r>
        <w:rPr>
          <w:rStyle w:val="AERbody"/>
        </w:rPr>
        <w:t xml:space="preserve">, licence fee costs, carbon costs, </w:t>
      </w:r>
      <w:r w:rsidRPr="00A46C2C">
        <w:rPr>
          <w:rStyle w:val="AERbody"/>
        </w:rPr>
        <w:t xml:space="preserve">the cost of any relevant tax change </w:t>
      </w:r>
      <w:r>
        <w:rPr>
          <w:rStyle w:val="AERbody"/>
        </w:rPr>
        <w:t xml:space="preserve">and </w:t>
      </w:r>
      <w:r w:rsidRPr="00FB7ED6">
        <w:t>debt raising costs</w:t>
      </w:r>
      <w:r>
        <w:t xml:space="preserve">. </w:t>
      </w:r>
      <w:r w:rsidRPr="00A46C2C">
        <w:rPr>
          <w:rStyle w:val="AERbody"/>
        </w:rPr>
        <w:t>Consistent with the electricity network efficiency benefit</w:t>
      </w:r>
      <w:r>
        <w:rPr>
          <w:rStyle w:val="AERbody"/>
        </w:rPr>
        <w:t xml:space="preserve"> sharing</w:t>
      </w:r>
      <w:r w:rsidRPr="00A46C2C">
        <w:rPr>
          <w:rStyle w:val="AERbody"/>
        </w:rPr>
        <w:t xml:space="preserve"> scheme,</w:t>
      </w:r>
      <w:r w:rsidRPr="00DE1367">
        <w:rPr>
          <w:rStyle w:val="FootnoteReference"/>
        </w:rPr>
        <w:footnoteReference w:id="2"/>
      </w:r>
      <w:r w:rsidRPr="00A46C2C">
        <w:rPr>
          <w:rStyle w:val="AERbody"/>
        </w:rPr>
        <w:t xml:space="preserve"> we </w:t>
      </w:r>
      <w:r>
        <w:rPr>
          <w:rStyle w:val="AERbody"/>
        </w:rPr>
        <w:t xml:space="preserve">also propose to </w:t>
      </w:r>
      <w:r w:rsidRPr="00A46C2C">
        <w:rPr>
          <w:rStyle w:val="AERbody"/>
        </w:rPr>
        <w:t>maintain discretion to exclude cost categories that are not forecast using a single year revealed cost approach in the access arrang</w:t>
      </w:r>
      <w:r>
        <w:rPr>
          <w:rStyle w:val="AERbody"/>
        </w:rPr>
        <w:t>ement period commencing in 2020</w:t>
      </w:r>
    </w:p>
    <w:p w:rsidR="00D740F6" w:rsidRDefault="00D740F6" w:rsidP="00D740F6">
      <w:pPr>
        <w:pStyle w:val="AERbulletlistfirststyle"/>
        <w:rPr>
          <w:rStyle w:val="AERbody"/>
        </w:rPr>
      </w:pPr>
      <w:r>
        <w:rPr>
          <w:rStyle w:val="AERbody"/>
        </w:rPr>
        <w:t>adjust JGN's opex forecast to account for determined pass through amounts</w:t>
      </w:r>
    </w:p>
    <w:p w:rsidR="00D740F6" w:rsidRDefault="00D740F6" w:rsidP="00D740F6">
      <w:pPr>
        <w:pStyle w:val="AERbulletlistfirststyle"/>
        <w:rPr>
          <w:rStyle w:val="AERbody"/>
        </w:rPr>
      </w:pPr>
      <w:proofErr w:type="gramStart"/>
      <w:r>
        <w:rPr>
          <w:rStyle w:val="AERbody"/>
        </w:rPr>
        <w:t>adjust</w:t>
      </w:r>
      <w:proofErr w:type="gramEnd"/>
      <w:r>
        <w:rPr>
          <w:rStyle w:val="AERbody"/>
        </w:rPr>
        <w:t xml:space="preserve"> JGN's opex forecast to account for any capitalisation policy changes.</w:t>
      </w:r>
    </w:p>
    <w:p w:rsidR="00D740F6" w:rsidRDefault="00D740F6" w:rsidP="00D740F6">
      <w:pPr>
        <w:pStyle w:val="AERbodytext"/>
      </w:pPr>
      <w:r>
        <w:lastRenderedPageBreak/>
        <w:fldChar w:fldCharType="begin"/>
      </w:r>
      <w:r>
        <w:instrText xml:space="preserve"> REF _Ref404183715 \h </w:instrText>
      </w:r>
      <w:r>
        <w:fldChar w:fldCharType="separate"/>
      </w:r>
      <w:r w:rsidR="002D2D19">
        <w:t xml:space="preserve">Table </w:t>
      </w:r>
      <w:r w:rsidR="002D2D19">
        <w:rPr>
          <w:noProof/>
        </w:rPr>
        <w:t>9</w:t>
      </w:r>
      <w:r w:rsidR="002D2D19">
        <w:noBreakHyphen/>
      </w:r>
      <w:r w:rsidR="002D2D19">
        <w:rPr>
          <w:noProof/>
        </w:rPr>
        <w:t>1</w:t>
      </w:r>
      <w:r>
        <w:fldChar w:fldCharType="end"/>
      </w:r>
      <w:r>
        <w:t xml:space="preserve"> illustrates</w:t>
      </w:r>
      <w:r w:rsidRPr="00BD4587">
        <w:t xml:space="preserve"> the total opex forecasts we </w:t>
      </w:r>
      <w:r>
        <w:t xml:space="preserve">expect we </w:t>
      </w:r>
      <w:r w:rsidRPr="00BD4587">
        <w:t xml:space="preserve">will use to calculate efficiency </w:t>
      </w:r>
      <w:r>
        <w:t>gains and losses for the 2015–20</w:t>
      </w:r>
      <w:r w:rsidRPr="00BD4587">
        <w:t xml:space="preserve"> </w:t>
      </w:r>
      <w:r>
        <w:t>access arrangement</w:t>
      </w:r>
      <w:r w:rsidRPr="00BD4587">
        <w:t xml:space="preserve"> period</w:t>
      </w:r>
      <w:r>
        <w:t xml:space="preserve">. </w:t>
      </w:r>
    </w:p>
    <w:p w:rsidR="00D740F6" w:rsidRPr="003F5EF6" w:rsidRDefault="00D740F6" w:rsidP="00D740F6">
      <w:pPr>
        <w:pStyle w:val="Caption"/>
      </w:pPr>
      <w:bookmarkStart w:id="11" w:name="_Ref404183715"/>
      <w:r>
        <w:t xml:space="preserve">Table </w:t>
      </w:r>
      <w:fldSimple w:instr=" STYLEREF 1 \s ">
        <w:r w:rsidR="002D2D19">
          <w:rPr>
            <w:noProof/>
          </w:rPr>
          <w:t>9</w:t>
        </w:r>
      </w:fldSimple>
      <w:r>
        <w:noBreakHyphen/>
      </w:r>
      <w:fldSimple w:instr=" SEQ Table \* ARABIC \s 1 ">
        <w:r w:rsidR="002D2D19">
          <w:rPr>
            <w:noProof/>
          </w:rPr>
          <w:t>1</w:t>
        </w:r>
      </w:fldSimple>
      <w:bookmarkEnd w:id="11"/>
      <w:r>
        <w:tab/>
        <w:t xml:space="preserve">Draft decision on JGN's forecast opex for the efficiency carryover mechanism </w:t>
      </w:r>
      <w:r>
        <w:br/>
        <w:t>($ million, 2014–15)</w:t>
      </w:r>
    </w:p>
    <w:tbl>
      <w:tblPr>
        <w:tblStyle w:val="AERtable-numbers"/>
        <w:tblW w:w="5000" w:type="pct"/>
        <w:tblLook w:val="04A0" w:firstRow="1" w:lastRow="0" w:firstColumn="1" w:lastColumn="0" w:noHBand="0" w:noVBand="1"/>
      </w:tblPr>
      <w:tblGrid>
        <w:gridCol w:w="2762"/>
        <w:gridCol w:w="1296"/>
        <w:gridCol w:w="1296"/>
        <w:gridCol w:w="1296"/>
        <w:gridCol w:w="1296"/>
        <w:gridCol w:w="1296"/>
      </w:tblGrid>
      <w:tr w:rsidR="00D740F6" w:rsidTr="005E4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rsidR="00D740F6" w:rsidRDefault="00D740F6" w:rsidP="005E4AC0">
            <w:pPr>
              <w:pStyle w:val="AERtabletextleft"/>
            </w:pPr>
          </w:p>
        </w:tc>
        <w:tc>
          <w:tcPr>
            <w:tcW w:w="701" w:type="pct"/>
          </w:tcPr>
          <w:p w:rsidR="00D740F6" w:rsidRPr="003F5EF6"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701" w:type="pct"/>
          </w:tcPr>
          <w:p w:rsidR="00D740F6" w:rsidRPr="003F5EF6"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701" w:type="pct"/>
          </w:tcPr>
          <w:p w:rsidR="00D740F6" w:rsidRPr="003F5EF6"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701" w:type="pct"/>
          </w:tcPr>
          <w:p w:rsidR="00D740F6" w:rsidRPr="003F5EF6"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701" w:type="pct"/>
          </w:tcPr>
          <w:p w:rsidR="00D740F6"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2019-20</w:t>
            </w:r>
          </w:p>
        </w:tc>
      </w:tr>
      <w:tr w:rsidR="00D740F6" w:rsidTr="005E4AC0">
        <w:tc>
          <w:tcPr>
            <w:cnfStyle w:val="001000000000" w:firstRow="0" w:lastRow="0" w:firstColumn="1" w:lastColumn="0" w:oddVBand="0" w:evenVBand="0" w:oddHBand="0" w:evenHBand="0" w:firstRowFirstColumn="0" w:firstRowLastColumn="0" w:lastRowFirstColumn="0" w:lastRowLastColumn="0"/>
            <w:tcW w:w="1494" w:type="pct"/>
          </w:tcPr>
          <w:p w:rsidR="00D740F6" w:rsidRPr="009D671E" w:rsidRDefault="00D740F6" w:rsidP="005E4AC0">
            <w:pPr>
              <w:pStyle w:val="AERtabletextleft"/>
            </w:pPr>
            <w:r>
              <w:t xml:space="preserve">Approved forecast opex for </w:t>
            </w:r>
            <w:r w:rsidRPr="009D671E">
              <w:t>carryover mechanism</w:t>
            </w:r>
          </w:p>
        </w:tc>
        <w:tc>
          <w:tcPr>
            <w:tcW w:w="701" w:type="pct"/>
          </w:tcPr>
          <w:p w:rsidR="00D740F6" w:rsidRPr="009D671E"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134.5</w:t>
            </w:r>
          </w:p>
        </w:tc>
        <w:tc>
          <w:tcPr>
            <w:tcW w:w="701" w:type="pct"/>
          </w:tcPr>
          <w:p w:rsidR="00D740F6" w:rsidRPr="009D671E"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133.8</w:t>
            </w:r>
          </w:p>
        </w:tc>
        <w:tc>
          <w:tcPr>
            <w:tcW w:w="701" w:type="pct"/>
          </w:tcPr>
          <w:p w:rsidR="00D740F6" w:rsidRPr="009D671E"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134.6</w:t>
            </w:r>
          </w:p>
        </w:tc>
        <w:tc>
          <w:tcPr>
            <w:tcW w:w="701" w:type="pct"/>
          </w:tcPr>
          <w:p w:rsidR="00D740F6" w:rsidRPr="009D671E"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139.0</w:t>
            </w:r>
          </w:p>
        </w:tc>
        <w:tc>
          <w:tcPr>
            <w:tcW w:w="701" w:type="pct"/>
          </w:tcPr>
          <w:p w:rsidR="00D740F6" w:rsidRPr="009D671E"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137.8</w:t>
            </w:r>
          </w:p>
        </w:tc>
      </w:tr>
    </w:tbl>
    <w:bookmarkEnd w:id="10"/>
    <w:p w:rsidR="00D740F6" w:rsidRDefault="00D740F6" w:rsidP="00D740F6">
      <w:pPr>
        <w:pStyle w:val="AERtablesource"/>
      </w:pPr>
      <w:r>
        <w:t>Source</w:t>
      </w:r>
      <w:r>
        <w:tab/>
        <w:t>AER analysis</w:t>
      </w:r>
    </w:p>
    <w:p w:rsidR="00D740F6" w:rsidRDefault="00D740F6" w:rsidP="00D740F6">
      <w:pPr>
        <w:pStyle w:val="Heading2"/>
        <w:numPr>
          <w:ilvl w:val="2"/>
          <w:numId w:val="8"/>
        </w:numPr>
      </w:pPr>
      <w:bookmarkStart w:id="12" w:name="_Toc404753730"/>
      <w:r>
        <w:t>Proposal</w:t>
      </w:r>
      <w:bookmarkEnd w:id="12"/>
    </w:p>
    <w:p w:rsidR="00D740F6" w:rsidRDefault="00D740F6" w:rsidP="00D740F6">
      <w:pPr>
        <w:rPr>
          <w:rStyle w:val="AERbody"/>
        </w:rPr>
      </w:pPr>
      <w:r w:rsidRPr="00C74B8B">
        <w:rPr>
          <w:rStyle w:val="AERbody"/>
        </w:rPr>
        <w:t xml:space="preserve">JGN proposed we apply an </w:t>
      </w:r>
      <w:r>
        <w:rPr>
          <w:rStyle w:val="AERbody"/>
        </w:rPr>
        <w:t>efficiency carryover mechanism</w:t>
      </w:r>
      <w:r w:rsidRPr="00C74B8B">
        <w:rPr>
          <w:rStyle w:val="AERbody"/>
        </w:rPr>
        <w:t xml:space="preserve"> to it in the 2015–20 access arrangement </w:t>
      </w:r>
      <w:proofErr w:type="gramStart"/>
      <w:r w:rsidRPr="00C74B8B">
        <w:rPr>
          <w:rStyle w:val="AERbody"/>
        </w:rPr>
        <w:t>period</w:t>
      </w:r>
      <w:proofErr w:type="gramEnd"/>
      <w:r>
        <w:rPr>
          <w:rStyle w:val="AERbody"/>
        </w:rPr>
        <w:t>.</w:t>
      </w:r>
      <w:r>
        <w:rPr>
          <w:rStyle w:val="FootnoteReference"/>
        </w:rPr>
        <w:footnoteReference w:id="3"/>
      </w:r>
      <w:r>
        <w:rPr>
          <w:rStyle w:val="AERbody"/>
        </w:rPr>
        <w:t xml:space="preserve"> The structure of the scheme it proposed is broadly the same as the scheme we apply to electricity service providers. The features of the mechanism JGN proposed are:</w:t>
      </w:r>
    </w:p>
    <w:p w:rsidR="00D740F6" w:rsidRDefault="00D740F6" w:rsidP="00D740F6">
      <w:pPr>
        <w:pStyle w:val="AERbulletlistfirststyle"/>
        <w:rPr>
          <w:rStyle w:val="AERbody"/>
        </w:rPr>
      </w:pPr>
      <w:r>
        <w:rPr>
          <w:rStyle w:val="AERbody"/>
        </w:rPr>
        <w:t>JGN will keep the benefit (or will incur the cost) of delivering actual opex lower (higher) than forecast opex in each year of an access arrangement period</w:t>
      </w:r>
    </w:p>
    <w:p w:rsidR="00D740F6" w:rsidRDefault="00D740F6" w:rsidP="00D740F6">
      <w:pPr>
        <w:pStyle w:val="AERbulletlistfirststyle"/>
        <w:rPr>
          <w:rStyle w:val="AERbody"/>
        </w:rPr>
      </w:pPr>
      <w:r>
        <w:rPr>
          <w:rStyle w:val="AERbody"/>
        </w:rPr>
        <w:t>the mechanism carries forward JGN's incremental efficiency gains for the length of the carryover period</w:t>
      </w:r>
    </w:p>
    <w:p w:rsidR="00D740F6" w:rsidRDefault="00D740F6" w:rsidP="00D740F6">
      <w:pPr>
        <w:pStyle w:val="AERbulletlistfirststyle"/>
        <w:rPr>
          <w:rStyle w:val="AERbody"/>
        </w:rPr>
      </w:pPr>
      <w:r>
        <w:rPr>
          <w:rStyle w:val="AERbody"/>
        </w:rPr>
        <w:t>the carryover period length is five years</w:t>
      </w:r>
    </w:p>
    <w:p w:rsidR="00D740F6" w:rsidRDefault="00D740F6" w:rsidP="00D740F6">
      <w:pPr>
        <w:pStyle w:val="AERbulletlistfirststyle"/>
        <w:rPr>
          <w:rStyle w:val="AERbody"/>
        </w:rPr>
      </w:pPr>
      <w:proofErr w:type="gramStart"/>
      <w:r>
        <w:rPr>
          <w:rStyle w:val="AERbody"/>
        </w:rPr>
        <w:t>the</w:t>
      </w:r>
      <w:proofErr w:type="gramEnd"/>
      <w:r>
        <w:rPr>
          <w:rStyle w:val="AERbody"/>
        </w:rPr>
        <w:t xml:space="preserve"> carryover amounts will be an additional 'building block' when setting JGN's reference service revenue for the access arrangement period commencing 1 July 2020.</w:t>
      </w:r>
      <w:r>
        <w:rPr>
          <w:rStyle w:val="FootnoteReference"/>
        </w:rPr>
        <w:footnoteReference w:id="4"/>
      </w:r>
    </w:p>
    <w:p w:rsidR="00D740F6" w:rsidRDefault="00D740F6" w:rsidP="00D740F6">
      <w:pPr>
        <w:rPr>
          <w:rStyle w:val="AERbody"/>
        </w:rPr>
      </w:pPr>
      <w:r>
        <w:rPr>
          <w:rStyle w:val="AERbody"/>
        </w:rPr>
        <w:t>JGN proposed the following costs will be excluded for the operation of the efficiency carryover mechanism:</w:t>
      </w:r>
    </w:p>
    <w:p w:rsidR="00D740F6" w:rsidRDefault="00D740F6" w:rsidP="00D740F6">
      <w:pPr>
        <w:pStyle w:val="AERbulletlistfirststyle"/>
        <w:rPr>
          <w:rStyle w:val="AERbody"/>
        </w:rPr>
      </w:pPr>
      <w:r>
        <w:rPr>
          <w:rStyle w:val="AERbody"/>
        </w:rPr>
        <w:t>determined pass through amounts</w:t>
      </w:r>
    </w:p>
    <w:p w:rsidR="00D740F6" w:rsidRDefault="00D740F6" w:rsidP="00D740F6">
      <w:pPr>
        <w:pStyle w:val="AERbulletlistfirststyle"/>
        <w:rPr>
          <w:rStyle w:val="AERbody"/>
        </w:rPr>
      </w:pPr>
      <w:r>
        <w:rPr>
          <w:rStyle w:val="AERbody"/>
        </w:rPr>
        <w:t>UAG costs</w:t>
      </w:r>
    </w:p>
    <w:p w:rsidR="00D740F6" w:rsidRDefault="00D740F6" w:rsidP="00D740F6">
      <w:pPr>
        <w:pStyle w:val="AERbulletlistfirststyle"/>
        <w:rPr>
          <w:rStyle w:val="AERbody"/>
        </w:rPr>
      </w:pPr>
      <w:r>
        <w:rPr>
          <w:rStyle w:val="AERbody"/>
        </w:rPr>
        <w:t>licence fee costs</w:t>
      </w:r>
    </w:p>
    <w:p w:rsidR="00D740F6" w:rsidRDefault="00D740F6" w:rsidP="00D740F6">
      <w:pPr>
        <w:pStyle w:val="AERbulletlistfirststyle"/>
        <w:rPr>
          <w:rStyle w:val="AERbody"/>
        </w:rPr>
      </w:pPr>
      <w:r>
        <w:rPr>
          <w:rStyle w:val="AERbody"/>
        </w:rPr>
        <w:t>debt raising costs</w:t>
      </w:r>
    </w:p>
    <w:p w:rsidR="00D740F6" w:rsidRDefault="00D740F6" w:rsidP="00D740F6">
      <w:pPr>
        <w:pStyle w:val="AERbulletlistfirststyle"/>
        <w:rPr>
          <w:rStyle w:val="AERbody"/>
        </w:rPr>
      </w:pPr>
      <w:r>
        <w:rPr>
          <w:rStyle w:val="AERbody"/>
        </w:rPr>
        <w:t>carbon costs</w:t>
      </w:r>
    </w:p>
    <w:p w:rsidR="00D740F6" w:rsidRDefault="00D740F6" w:rsidP="00D740F6">
      <w:pPr>
        <w:pStyle w:val="AERbulletlistfirststyle"/>
        <w:rPr>
          <w:rStyle w:val="AERbody"/>
        </w:rPr>
      </w:pPr>
      <w:r>
        <w:rPr>
          <w:rStyle w:val="AERbody"/>
        </w:rPr>
        <w:t>the cost of any relevant tax</w:t>
      </w:r>
    </w:p>
    <w:p w:rsidR="00D740F6" w:rsidRDefault="00D740F6" w:rsidP="00D740F6">
      <w:pPr>
        <w:pStyle w:val="AERbulletlistfirststyle"/>
        <w:rPr>
          <w:rStyle w:val="AERbody"/>
        </w:rPr>
      </w:pPr>
      <w:proofErr w:type="gramStart"/>
      <w:r>
        <w:rPr>
          <w:rStyle w:val="AERbody"/>
        </w:rPr>
        <w:t>any</w:t>
      </w:r>
      <w:proofErr w:type="gramEnd"/>
      <w:r>
        <w:rPr>
          <w:rStyle w:val="AERbody"/>
        </w:rPr>
        <w:t xml:space="preserve"> other activity that JGN and the AER agree to exclude.</w:t>
      </w:r>
      <w:r>
        <w:rPr>
          <w:rStyle w:val="FootnoteReference"/>
        </w:rPr>
        <w:footnoteReference w:id="5"/>
      </w:r>
    </w:p>
    <w:p w:rsidR="00D740F6" w:rsidRDefault="00D740F6" w:rsidP="00D740F6">
      <w:pPr>
        <w:pStyle w:val="AERbodytext"/>
        <w:rPr>
          <w:rStyle w:val="AERbody"/>
        </w:rPr>
      </w:pPr>
      <w:r>
        <w:rPr>
          <w:rStyle w:val="AERbody"/>
        </w:rPr>
        <w:t>JGN also proposed that the efficiency carryover mechanism takes into account any change in the scale of its activities and any changes to its capitalisation policy.</w:t>
      </w:r>
    </w:p>
    <w:p w:rsidR="00D740F6" w:rsidRPr="0003113F" w:rsidRDefault="00D740F6" w:rsidP="00D740F6">
      <w:pPr>
        <w:pStyle w:val="AERbodytext"/>
        <w:rPr>
          <w:rStyle w:val="AERbody"/>
        </w:rPr>
      </w:pPr>
      <w:r w:rsidRPr="00A46C2C">
        <w:rPr>
          <w:rStyle w:val="AERbody"/>
        </w:rPr>
        <w:lastRenderedPageBreak/>
        <w:t xml:space="preserve">The operation of the </w:t>
      </w:r>
      <w:r>
        <w:rPr>
          <w:rStyle w:val="AERbody"/>
        </w:rPr>
        <w:t>efficiency carryover mechanism</w:t>
      </w:r>
      <w:r w:rsidRPr="00A46C2C">
        <w:rPr>
          <w:rStyle w:val="AERbody"/>
        </w:rPr>
        <w:t xml:space="preserve"> is expressed in a proposed fixed principle set out in clause 12 of the 2015–20 access arrangement </w:t>
      </w:r>
      <w:proofErr w:type="gramStart"/>
      <w:r w:rsidRPr="00A46C2C">
        <w:rPr>
          <w:rStyle w:val="AERbody"/>
        </w:rPr>
        <w:t>proposal</w:t>
      </w:r>
      <w:proofErr w:type="gramEnd"/>
      <w:r w:rsidRPr="00A46C2C">
        <w:rPr>
          <w:rStyle w:val="AERbody"/>
        </w:rPr>
        <w:t>.</w:t>
      </w:r>
      <w:r w:rsidRPr="00A46C2C">
        <w:rPr>
          <w:rStyle w:val="FootnoteReference"/>
        </w:rPr>
        <w:footnoteReference w:id="6"/>
      </w:r>
    </w:p>
    <w:p w:rsidR="00D740F6" w:rsidRDefault="00D740F6" w:rsidP="00D740F6">
      <w:pPr>
        <w:pStyle w:val="Heading2"/>
        <w:numPr>
          <w:ilvl w:val="2"/>
          <w:numId w:val="8"/>
        </w:numPr>
      </w:pPr>
      <w:bookmarkStart w:id="13" w:name="_Toc404753731"/>
      <w:r>
        <w:t>A</w:t>
      </w:r>
      <w:r w:rsidRPr="00B64598">
        <w:t>ssessment approach</w:t>
      </w:r>
      <w:bookmarkEnd w:id="13"/>
    </w:p>
    <w:p w:rsidR="00D740F6" w:rsidRDefault="00D740F6" w:rsidP="00D740F6">
      <w:pPr>
        <w:rPr>
          <w:rStyle w:val="AERbody"/>
        </w:rPr>
      </w:pPr>
      <w:r>
        <w:rPr>
          <w:rStyle w:val="AERbody"/>
        </w:rPr>
        <w:t>An efficiency carryover mechanism is a form of incentive mechanism.</w:t>
      </w:r>
      <w:r w:rsidRPr="002F3B05">
        <w:rPr>
          <w:rStyle w:val="AERbody"/>
        </w:rPr>
        <w:t xml:space="preserve"> A full access arrangement may include (and the AER may require it to include) one or more incentive mechanisms to encourage efficiency in the provision of services by the service provider.</w:t>
      </w:r>
      <w:r>
        <w:rPr>
          <w:rStyle w:val="FootnoteReference"/>
        </w:rPr>
        <w:footnoteReference w:id="7"/>
      </w:r>
      <w:r w:rsidRPr="002F3B05">
        <w:rPr>
          <w:rStyle w:val="AERbody"/>
        </w:rPr>
        <w:t xml:space="preserve"> An incentive mechanism must be consistent with the revenue and pricing principles.</w:t>
      </w:r>
      <w:r>
        <w:rPr>
          <w:rStyle w:val="FootnoteReference"/>
        </w:rPr>
        <w:footnoteReference w:id="8"/>
      </w:r>
    </w:p>
    <w:p w:rsidR="00D740F6" w:rsidRDefault="00D740F6" w:rsidP="00D740F6">
      <w:pPr>
        <w:rPr>
          <w:rStyle w:val="AERbody"/>
        </w:rPr>
      </w:pPr>
      <w:r>
        <w:rPr>
          <w:rStyle w:val="AERbody"/>
        </w:rPr>
        <w:t>We consider the following revenue and pricing principle is most relevant for assessing JGN's proposed efficiency carryover mechanism.</w:t>
      </w:r>
    </w:p>
    <w:p w:rsidR="00D740F6" w:rsidRPr="00123D14" w:rsidRDefault="00D740F6" w:rsidP="00D740F6">
      <w:pPr>
        <w:pStyle w:val="AERquote"/>
      </w:pPr>
      <w:r w:rsidRPr="00123D14">
        <w:t>A service provider should be provided with effective incentives in order to promote</w:t>
      </w:r>
      <w:r>
        <w:t xml:space="preserve"> </w:t>
      </w:r>
      <w:r w:rsidRPr="00123D14">
        <w:t>economic efficiency with respect to reference services the service provider provides.</w:t>
      </w:r>
    </w:p>
    <w:p w:rsidR="00D740F6" w:rsidRPr="00123D14" w:rsidRDefault="00D740F6" w:rsidP="00D740F6">
      <w:pPr>
        <w:pStyle w:val="AERquote"/>
      </w:pPr>
      <w:r w:rsidRPr="00123D14">
        <w:t>The economic efficiency that should be promoted includes—</w:t>
      </w:r>
    </w:p>
    <w:p w:rsidR="00D740F6" w:rsidRPr="00123D14" w:rsidRDefault="00D740F6" w:rsidP="00D740F6">
      <w:pPr>
        <w:pStyle w:val="AERquote"/>
      </w:pPr>
      <w:r w:rsidRPr="00123D14">
        <w:t xml:space="preserve">(a) </w:t>
      </w:r>
      <w:proofErr w:type="gramStart"/>
      <w:r w:rsidRPr="00123D14">
        <w:t>efficient</w:t>
      </w:r>
      <w:proofErr w:type="gramEnd"/>
      <w:r w:rsidRPr="00123D14">
        <w:t xml:space="preserve"> investment in, or in connection with, a pipeline with which the</w:t>
      </w:r>
      <w:r>
        <w:t xml:space="preserve"> </w:t>
      </w:r>
      <w:r w:rsidRPr="00123D14">
        <w:t>service provider provides reference services; and</w:t>
      </w:r>
    </w:p>
    <w:p w:rsidR="00D740F6" w:rsidRPr="00123D14" w:rsidRDefault="00D740F6" w:rsidP="00D740F6">
      <w:pPr>
        <w:pStyle w:val="AERquote"/>
      </w:pPr>
      <w:r w:rsidRPr="00123D14">
        <w:t xml:space="preserve">(b) </w:t>
      </w:r>
      <w:proofErr w:type="gramStart"/>
      <w:r w:rsidRPr="00123D14">
        <w:t>the</w:t>
      </w:r>
      <w:proofErr w:type="gramEnd"/>
      <w:r w:rsidRPr="00123D14">
        <w:t xml:space="preserve"> efficient provision of pipeline services; and</w:t>
      </w:r>
    </w:p>
    <w:p w:rsidR="00D740F6" w:rsidRDefault="00D740F6" w:rsidP="00D740F6">
      <w:pPr>
        <w:pStyle w:val="AERquote"/>
      </w:pPr>
      <w:r w:rsidRPr="00123D14">
        <w:t xml:space="preserve">(c) </w:t>
      </w:r>
      <w:proofErr w:type="gramStart"/>
      <w:r w:rsidRPr="00123D14">
        <w:t>the</w:t>
      </w:r>
      <w:proofErr w:type="gramEnd"/>
      <w:r w:rsidRPr="00123D14">
        <w:t xml:space="preserve"> efficient use of the pipeline.</w:t>
      </w:r>
      <w:r>
        <w:rPr>
          <w:rStyle w:val="FootnoteReference"/>
        </w:rPr>
        <w:footnoteReference w:id="9"/>
      </w:r>
    </w:p>
    <w:p w:rsidR="00D740F6" w:rsidRDefault="00D740F6" w:rsidP="00D740F6">
      <w:pPr>
        <w:pStyle w:val="Heading2"/>
        <w:numPr>
          <w:ilvl w:val="2"/>
          <w:numId w:val="8"/>
        </w:numPr>
      </w:pPr>
      <w:bookmarkStart w:id="14" w:name="_Toc404753732"/>
      <w:r w:rsidRPr="00B64598">
        <w:t>Reasons for draft decision</w:t>
      </w:r>
      <w:bookmarkEnd w:id="14"/>
    </w:p>
    <w:p w:rsidR="00D740F6" w:rsidRDefault="00D740F6" w:rsidP="00D740F6">
      <w:pPr>
        <w:rPr>
          <w:rStyle w:val="AERbody"/>
        </w:rPr>
      </w:pPr>
      <w:r w:rsidRPr="003D3E38">
        <w:rPr>
          <w:rStyle w:val="AERbody"/>
        </w:rPr>
        <w:t xml:space="preserve">We approve the application of an </w:t>
      </w:r>
      <w:r>
        <w:rPr>
          <w:rStyle w:val="AERbody"/>
        </w:rPr>
        <w:t>efficiency carryover mechanism</w:t>
      </w:r>
      <w:r w:rsidRPr="003D3E38">
        <w:rPr>
          <w:rStyle w:val="AERbody"/>
        </w:rPr>
        <w:t xml:space="preserve"> to JGN in the 2015–20 access arrangement</w:t>
      </w:r>
      <w:r>
        <w:rPr>
          <w:rStyle w:val="AERbody"/>
        </w:rPr>
        <w:t>. Without such a mechanism:</w:t>
      </w:r>
    </w:p>
    <w:p w:rsidR="00D740F6" w:rsidRPr="00C74B8B" w:rsidRDefault="00D740F6" w:rsidP="00D740F6">
      <w:pPr>
        <w:pStyle w:val="AERbulletlistfirststyle"/>
        <w:rPr>
          <w:rStyle w:val="AERbody"/>
        </w:rPr>
      </w:pPr>
      <w:r w:rsidRPr="00C74B8B">
        <w:rPr>
          <w:rStyle w:val="AERbody"/>
        </w:rPr>
        <w:t>JGN would have an incentive to increase opex in the expected 'base year' to increase its forecast opex allowance for the following access arrangement period. Because our preferred approach</w:t>
      </w:r>
      <w:r>
        <w:rPr>
          <w:rStyle w:val="AERbody"/>
        </w:rPr>
        <w:t xml:space="preserve"> typically</w:t>
      </w:r>
      <w:r w:rsidRPr="00C74B8B">
        <w:rPr>
          <w:rStyle w:val="AERbody"/>
        </w:rPr>
        <w:t xml:space="preserve"> is to base forecast opex on the actual opex incurred in the base year, an increase in expenditure in the base year would result in an increased opex forecast for five years. </w:t>
      </w:r>
    </w:p>
    <w:p w:rsidR="00D740F6" w:rsidRDefault="00D740F6" w:rsidP="00D740F6">
      <w:pPr>
        <w:pStyle w:val="AERbulletlistfirststyle"/>
        <w:rPr>
          <w:rStyle w:val="AERbody"/>
        </w:rPr>
      </w:pPr>
      <w:r w:rsidRPr="00C74B8B">
        <w:rPr>
          <w:rStyle w:val="AERbody"/>
        </w:rPr>
        <w:t>JGN's incentive to reduce its opex declines as the regulatory control period progresses. JGN would have an incentive to defer efficiency gains until after the base year so it can retain the benefits of doing so for longer because they w</w:t>
      </w:r>
      <w:r>
        <w:rPr>
          <w:rStyle w:val="AERbody"/>
        </w:rPr>
        <w:t>ould not</w:t>
      </w:r>
      <w:r w:rsidRPr="00C74B8B">
        <w:rPr>
          <w:rStyle w:val="AERbody"/>
        </w:rPr>
        <w:t xml:space="preserve"> be reflected in the opex forecasts for the following period.</w:t>
      </w:r>
    </w:p>
    <w:p w:rsidR="00D740F6" w:rsidRDefault="00D740F6" w:rsidP="00D740F6">
      <w:pPr>
        <w:rPr>
          <w:rStyle w:val="AERbody"/>
        </w:rPr>
      </w:pPr>
      <w:r>
        <w:rPr>
          <w:rStyle w:val="AERbody"/>
        </w:rPr>
        <w:t>For these reasons, consistent with the revenue and pricing principles, we consider an efficiency carryover mechanism is needed to promote the efficient provision of pipeline services.</w:t>
      </w:r>
    </w:p>
    <w:p w:rsidR="00D740F6" w:rsidRPr="00A83C09" w:rsidRDefault="00D740F6" w:rsidP="00D740F6">
      <w:pPr>
        <w:rPr>
          <w:rStyle w:val="AERbody"/>
        </w:rPr>
      </w:pPr>
      <w:r>
        <w:rPr>
          <w:rStyle w:val="AERbody"/>
        </w:rPr>
        <w:t xml:space="preserve">We mostly agree with JGN's proposed adjustments and exclusions. However we propose some modifications. The adjustments and exclusions we propose are outlined below. </w:t>
      </w:r>
    </w:p>
    <w:p w:rsidR="00D740F6" w:rsidRPr="008F1181" w:rsidRDefault="00D740F6" w:rsidP="00D740F6">
      <w:pPr>
        <w:pStyle w:val="HeadingBoldBlue"/>
      </w:pPr>
      <w:r w:rsidRPr="008F1181">
        <w:t>Adjustments to forecast or actual opex when calculating carryover amounts</w:t>
      </w:r>
    </w:p>
    <w:p w:rsidR="00D740F6" w:rsidRPr="009166F2" w:rsidRDefault="00D740F6" w:rsidP="00D740F6">
      <w:pPr>
        <w:rPr>
          <w:rStyle w:val="AERbody"/>
        </w:rPr>
      </w:pPr>
      <w:r>
        <w:rPr>
          <w:rStyle w:val="AERbody"/>
        </w:rPr>
        <w:t xml:space="preserve">JGN proposed forecast or actual opex should be adjusted to account </w:t>
      </w:r>
      <w:r w:rsidRPr="00052A6E">
        <w:rPr>
          <w:rStyle w:val="AERbody"/>
        </w:rPr>
        <w:t xml:space="preserve">for </w:t>
      </w:r>
      <w:r>
        <w:rPr>
          <w:rStyle w:val="AERbody"/>
        </w:rPr>
        <w:t xml:space="preserve">excluded cost categories, </w:t>
      </w:r>
      <w:r w:rsidRPr="00052A6E">
        <w:rPr>
          <w:rStyle w:val="AERbody"/>
        </w:rPr>
        <w:t xml:space="preserve">demand growth and changes in </w:t>
      </w:r>
      <w:r>
        <w:rPr>
          <w:rStyle w:val="AERbody"/>
        </w:rPr>
        <w:t xml:space="preserve">its </w:t>
      </w:r>
      <w:r w:rsidRPr="00052A6E">
        <w:rPr>
          <w:rStyle w:val="AERbody"/>
        </w:rPr>
        <w:t>capitalisation policy</w:t>
      </w:r>
      <w:r>
        <w:rPr>
          <w:rStyle w:val="AERbody"/>
        </w:rPr>
        <w:t>. We agree with most but not all of the proposed excluded cost categories and adjustments.</w:t>
      </w:r>
    </w:p>
    <w:p w:rsidR="00D740F6" w:rsidRPr="008F1181" w:rsidRDefault="00D740F6" w:rsidP="00D740F6">
      <w:pPr>
        <w:pStyle w:val="HeadingBoldItalic"/>
        <w:rPr>
          <w:rStyle w:val="AERtextbold"/>
        </w:rPr>
      </w:pPr>
      <w:r w:rsidRPr="008F1181">
        <w:rPr>
          <w:rStyle w:val="AERtextbold"/>
        </w:rPr>
        <w:lastRenderedPageBreak/>
        <w:t>Debt raising costs</w:t>
      </w:r>
    </w:p>
    <w:p w:rsidR="00D740F6" w:rsidRDefault="00D740F6" w:rsidP="00D740F6">
      <w:pPr>
        <w:pStyle w:val="AERbodytext"/>
        <w:rPr>
          <w:rStyle w:val="AERbody"/>
        </w:rPr>
      </w:pPr>
      <w:r w:rsidRPr="00184988">
        <w:rPr>
          <w:rStyle w:val="AERbody"/>
        </w:rPr>
        <w:t>We agree debt raising costs should be excluded from the efficiency carryover mechanism</w:t>
      </w:r>
      <w:r>
        <w:rPr>
          <w:rStyle w:val="AERbody"/>
        </w:rPr>
        <w:t>. The efficiency carryover mechanism is designed to work in conjunction with a single year revealed expenditure forecasting approach.</w:t>
      </w:r>
      <w:r>
        <w:rPr>
          <w:rStyle w:val="FootnoteReference"/>
        </w:rPr>
        <w:footnoteReference w:id="10"/>
      </w:r>
      <w:r>
        <w:rPr>
          <w:rStyle w:val="AERbody"/>
        </w:rPr>
        <w:t xml:space="preserve"> If a service provider reduces its opex in one period, consumers pay for efficiency carryover amounts in the next period but receive the benefits through a lower opex forecast. Where we use this forecasting approach for opex, the benefits of to consumers of a lower opex forecast will always outweigh the efficiency carryover payments it will pay for. </w:t>
      </w:r>
    </w:p>
    <w:p w:rsidR="00D740F6" w:rsidRDefault="00D740F6" w:rsidP="00D740F6">
      <w:pPr>
        <w:pStyle w:val="AERbodytext"/>
        <w:rPr>
          <w:rStyle w:val="AERbody"/>
        </w:rPr>
      </w:pPr>
      <w:r>
        <w:rPr>
          <w:rStyle w:val="AERbody"/>
        </w:rPr>
        <w:t>Where a different forecasting approach is used, there is a risk that consumers will not benefit. For instance as discussed in attachment 7 we forecast debt raising costs using a benchmark. If JGN reduces its actual debt raising costs in an access arrangement period and we applied the efficiency carryover mechanism, consumers will end up paying for efficiency carryover amounts but will not receive the benefits of a lower opex forecast.</w:t>
      </w:r>
    </w:p>
    <w:p w:rsidR="00D740F6" w:rsidRPr="008F1181" w:rsidRDefault="00D740F6" w:rsidP="00D740F6">
      <w:pPr>
        <w:pStyle w:val="HeadingBoldItalic"/>
        <w:rPr>
          <w:rStyle w:val="AERtextbold"/>
        </w:rPr>
      </w:pPr>
      <w:r w:rsidRPr="008F1181">
        <w:rPr>
          <w:rStyle w:val="AERtextbold"/>
        </w:rPr>
        <w:t>Costs subject to the tariff variation mechanism</w:t>
      </w:r>
    </w:p>
    <w:p w:rsidR="00D740F6" w:rsidRDefault="00D740F6" w:rsidP="00D740F6">
      <w:pPr>
        <w:pStyle w:val="AERbodytext"/>
        <w:rPr>
          <w:rStyle w:val="AERbody"/>
        </w:rPr>
      </w:pPr>
      <w:r w:rsidRPr="00184988">
        <w:rPr>
          <w:rStyle w:val="AERbody"/>
        </w:rPr>
        <w:t>We also agree UAG costs, licence fee costs</w:t>
      </w:r>
      <w:r>
        <w:rPr>
          <w:rStyle w:val="AERbody"/>
        </w:rPr>
        <w:t>, carbon costs</w:t>
      </w:r>
      <w:r w:rsidRPr="00184988">
        <w:rPr>
          <w:rStyle w:val="AERbody"/>
        </w:rPr>
        <w:t xml:space="preserve"> and the cost of any relevant tax changes should be excluded from the operation of the efficiency carryover mechanism. </w:t>
      </w:r>
      <w:r>
        <w:rPr>
          <w:rStyle w:val="AERbody"/>
        </w:rPr>
        <w:t>Changes in these costs during the access arrangement period are subject to true-ups through the tariff variation mechanism. As the tariff variation mechanism is designed to pass through changes in these costs to consumers, these categories of costs are incompatible with an efficiency carryover mechanism.</w:t>
      </w:r>
    </w:p>
    <w:p w:rsidR="00D740F6" w:rsidRPr="008F1181" w:rsidRDefault="00D740F6" w:rsidP="00D740F6">
      <w:pPr>
        <w:pStyle w:val="HeadingBoldItalic"/>
        <w:rPr>
          <w:rStyle w:val="AERtextbold"/>
        </w:rPr>
      </w:pPr>
      <w:r>
        <w:rPr>
          <w:rStyle w:val="AERtextbold"/>
        </w:rPr>
        <w:t>Determined</w:t>
      </w:r>
      <w:r w:rsidRPr="008F1181">
        <w:rPr>
          <w:rStyle w:val="AERtextbold"/>
        </w:rPr>
        <w:t xml:space="preserve"> pass through amounts</w:t>
      </w:r>
    </w:p>
    <w:p w:rsidR="00D740F6" w:rsidRDefault="00D740F6" w:rsidP="00D740F6">
      <w:pPr>
        <w:pStyle w:val="AERbodytext"/>
        <w:rPr>
          <w:rStyle w:val="AERbody"/>
        </w:rPr>
      </w:pPr>
      <w:r>
        <w:t>W</w:t>
      </w:r>
      <w:r w:rsidRPr="00FB79F9">
        <w:t xml:space="preserve">e </w:t>
      </w:r>
      <w:r>
        <w:t>may</w:t>
      </w:r>
      <w:r w:rsidRPr="00FB79F9">
        <w:t xml:space="preserve"> adjust </w:t>
      </w:r>
      <w:r>
        <w:t>target</w:t>
      </w:r>
      <w:r w:rsidRPr="00FB79F9">
        <w:t xml:space="preserve"> opex to add </w:t>
      </w:r>
      <w:r>
        <w:t xml:space="preserve">or </w:t>
      </w:r>
      <w:r w:rsidRPr="00FB79F9">
        <w:t xml:space="preserve">subtract </w:t>
      </w:r>
      <w:r>
        <w:t>determined</w:t>
      </w:r>
      <w:r w:rsidRPr="00FB79F9">
        <w:t xml:space="preserve"> pass through amounts</w:t>
      </w:r>
      <w:r>
        <w:rPr>
          <w:rStyle w:val="AERbody"/>
        </w:rPr>
        <w:t>.</w:t>
      </w:r>
      <w:r w:rsidRPr="00A46C2C">
        <w:rPr>
          <w:rStyle w:val="AERbody"/>
        </w:rPr>
        <w:t xml:space="preserve"> </w:t>
      </w:r>
      <w:r>
        <w:rPr>
          <w:rStyle w:val="AERbody"/>
        </w:rPr>
        <w:t xml:space="preserve">It is our preference to add (or subtract) these pass through amounts to forecast opex rather than adjust actual opex to remove the passed through amount. We consider that adjusting the opex forecast ex post rather than removing the costs from actual opex is the most straightforward way to apply the efficiency carryover mechanism when accounting for changes to a service provider's forecast opex. </w:t>
      </w:r>
    </w:p>
    <w:p w:rsidR="00D740F6" w:rsidRDefault="00D740F6" w:rsidP="00D740F6">
      <w:pPr>
        <w:pStyle w:val="AERbodytext"/>
        <w:rPr>
          <w:rStyle w:val="AERbody"/>
        </w:rPr>
      </w:pPr>
      <w:r>
        <w:rPr>
          <w:rStyle w:val="AERbody"/>
        </w:rPr>
        <w:t>Where some of the costs that are passed through are yet to be incurred, adjusting the target rather than excluding them from the efficiency carryover mechanism will also ensure that JGN still has an incentive to reduce these costs.</w:t>
      </w:r>
    </w:p>
    <w:p w:rsidR="00D740F6" w:rsidRPr="008F1181" w:rsidRDefault="00D740F6" w:rsidP="00D740F6">
      <w:pPr>
        <w:pStyle w:val="HeadingBoldItalic"/>
        <w:rPr>
          <w:rStyle w:val="AERtextbold"/>
        </w:rPr>
      </w:pPr>
      <w:r w:rsidRPr="008F1181">
        <w:rPr>
          <w:rStyle w:val="AERtextbold"/>
        </w:rPr>
        <w:t xml:space="preserve">Other </w:t>
      </w:r>
      <w:r>
        <w:rPr>
          <w:rStyle w:val="AERtextbold"/>
        </w:rPr>
        <w:t>exclusions</w:t>
      </w:r>
      <w:r w:rsidRPr="008F1181">
        <w:rPr>
          <w:rStyle w:val="AERtextbold"/>
        </w:rPr>
        <w:t xml:space="preserve"> </w:t>
      </w:r>
    </w:p>
    <w:p w:rsidR="00D740F6" w:rsidRDefault="00D740F6" w:rsidP="00D740F6">
      <w:pPr>
        <w:rPr>
          <w:rStyle w:val="AERbody"/>
        </w:rPr>
      </w:pPr>
      <w:r w:rsidRPr="00A46C2C">
        <w:rPr>
          <w:rStyle w:val="AERbody"/>
        </w:rPr>
        <w:t xml:space="preserve">We do not </w:t>
      </w:r>
      <w:r>
        <w:rPr>
          <w:rStyle w:val="AERbody"/>
        </w:rPr>
        <w:t>approve</w:t>
      </w:r>
      <w:r w:rsidRPr="00A46C2C">
        <w:rPr>
          <w:rStyle w:val="AERbody"/>
        </w:rPr>
        <w:t xml:space="preserve"> </w:t>
      </w:r>
      <w:r>
        <w:rPr>
          <w:rStyle w:val="AERbody"/>
        </w:rPr>
        <w:t>clause 12.1(h</w:t>
      </w:r>
      <w:proofErr w:type="gramStart"/>
      <w:r>
        <w:rPr>
          <w:rStyle w:val="AERbody"/>
        </w:rPr>
        <w:t>)(</w:t>
      </w:r>
      <w:proofErr w:type="gramEnd"/>
      <w:r>
        <w:rPr>
          <w:rStyle w:val="AERbody"/>
        </w:rPr>
        <w:t xml:space="preserve">vii) </w:t>
      </w:r>
      <w:r w:rsidRPr="00A46C2C">
        <w:rPr>
          <w:rStyle w:val="AERbody"/>
        </w:rPr>
        <w:t xml:space="preserve">that </w:t>
      </w:r>
      <w:r>
        <w:rPr>
          <w:rStyle w:val="AERbody"/>
        </w:rPr>
        <w:t>states "</w:t>
      </w:r>
      <w:r w:rsidRPr="00A46C2C">
        <w:rPr>
          <w:rStyle w:val="AERbody"/>
        </w:rPr>
        <w:t>any other activity that JGN and the AER agree to exclude from the operation of the incentive mechanism</w:t>
      </w:r>
      <w:r>
        <w:rPr>
          <w:rStyle w:val="AERbody"/>
        </w:rPr>
        <w:t>".</w:t>
      </w:r>
      <w:r w:rsidRPr="00A46C2C">
        <w:rPr>
          <w:rStyle w:val="AERbody"/>
        </w:rPr>
        <w:t xml:space="preserve"> </w:t>
      </w:r>
      <w:r>
        <w:rPr>
          <w:rStyle w:val="AERbody"/>
        </w:rPr>
        <w:t xml:space="preserve">We do not approve this clause because </w:t>
      </w:r>
      <w:r w:rsidRPr="00A46C2C">
        <w:rPr>
          <w:rStyle w:val="AERbody"/>
        </w:rPr>
        <w:t xml:space="preserve">JGN would have an incentive to </w:t>
      </w:r>
      <w:r>
        <w:rPr>
          <w:rStyle w:val="AERbody"/>
        </w:rPr>
        <w:t xml:space="preserve">agree to exclude from the operation of the efficiency carryover mechanism, only </w:t>
      </w:r>
      <w:r w:rsidRPr="00A46C2C">
        <w:rPr>
          <w:rStyle w:val="AERbody"/>
        </w:rPr>
        <w:t>those activities in its favour.</w:t>
      </w:r>
    </w:p>
    <w:p w:rsidR="00D740F6" w:rsidRDefault="00D740F6" w:rsidP="00D740F6">
      <w:pPr>
        <w:rPr>
          <w:rStyle w:val="AERbody"/>
        </w:rPr>
      </w:pPr>
      <w:r>
        <w:rPr>
          <w:rStyle w:val="AERbody"/>
        </w:rPr>
        <w:t>However, we consider we need some discretion to exclude costs from the EBSS.</w:t>
      </w:r>
      <w:r w:rsidRPr="00A46C2C">
        <w:rPr>
          <w:rStyle w:val="AERbody"/>
        </w:rPr>
        <w:t xml:space="preserve"> </w:t>
      </w:r>
      <w:r>
        <w:rPr>
          <w:rStyle w:val="AERbody"/>
        </w:rPr>
        <w:t xml:space="preserve">We consider this is required where a category of opex is not </w:t>
      </w:r>
      <w:r w:rsidRPr="00A46C2C">
        <w:rPr>
          <w:rStyle w:val="AERbody"/>
        </w:rPr>
        <w:t xml:space="preserve">forecast using a single year revealed cost approach in the access arrangement period commencing in 2020. We will only </w:t>
      </w:r>
      <w:r>
        <w:rPr>
          <w:rStyle w:val="AERbody"/>
        </w:rPr>
        <w:t xml:space="preserve">make such </w:t>
      </w:r>
      <w:proofErr w:type="gramStart"/>
      <w:r>
        <w:rPr>
          <w:rStyle w:val="AERbody"/>
        </w:rPr>
        <w:t>an exclusion</w:t>
      </w:r>
      <w:proofErr w:type="gramEnd"/>
      <w:r>
        <w:rPr>
          <w:rStyle w:val="AERbody"/>
        </w:rPr>
        <w:t xml:space="preserve"> </w:t>
      </w:r>
      <w:r w:rsidRPr="00A46C2C">
        <w:rPr>
          <w:rStyle w:val="AERbody"/>
        </w:rPr>
        <w:t>when</w:t>
      </w:r>
      <w:r>
        <w:rPr>
          <w:rStyle w:val="AERbody"/>
        </w:rPr>
        <w:t xml:space="preserve"> </w:t>
      </w:r>
      <w:r w:rsidRPr="00A46C2C">
        <w:rPr>
          <w:rStyle w:val="AERbody"/>
        </w:rPr>
        <w:t xml:space="preserve">we are satisfied </w:t>
      </w:r>
      <w:r>
        <w:rPr>
          <w:rStyle w:val="AERbody"/>
        </w:rPr>
        <w:t xml:space="preserve">that JGN's </w:t>
      </w:r>
      <w:r w:rsidRPr="00A46C2C">
        <w:rPr>
          <w:rStyle w:val="AERbody"/>
        </w:rPr>
        <w:t xml:space="preserve">consumers would not benefit from </w:t>
      </w:r>
      <w:r>
        <w:rPr>
          <w:rStyle w:val="AERbody"/>
        </w:rPr>
        <w:t>applying the efficiency carryover mechanism to that category of costs</w:t>
      </w:r>
      <w:r w:rsidRPr="00A46C2C">
        <w:rPr>
          <w:rStyle w:val="AERbody"/>
        </w:rPr>
        <w:t>.</w:t>
      </w:r>
      <w:r>
        <w:rPr>
          <w:rStyle w:val="AERbody"/>
        </w:rPr>
        <w:t xml:space="preserve"> This approach is </w:t>
      </w:r>
      <w:r w:rsidRPr="00A46C2C">
        <w:rPr>
          <w:rStyle w:val="AERbody"/>
        </w:rPr>
        <w:t>consistent with the</w:t>
      </w:r>
      <w:r>
        <w:rPr>
          <w:rStyle w:val="AERbody"/>
        </w:rPr>
        <w:t xml:space="preserve"> discretion we have to adjust the carryover amounts in</w:t>
      </w:r>
      <w:r w:rsidRPr="00A46C2C">
        <w:rPr>
          <w:rStyle w:val="AERbody"/>
        </w:rPr>
        <w:t xml:space="preserve"> </w:t>
      </w:r>
      <w:r>
        <w:rPr>
          <w:rStyle w:val="AERbody"/>
        </w:rPr>
        <w:t xml:space="preserve">our </w:t>
      </w:r>
      <w:r w:rsidRPr="00A46C2C">
        <w:rPr>
          <w:rStyle w:val="AERbody"/>
        </w:rPr>
        <w:t xml:space="preserve">electricity network efficiency benefit </w:t>
      </w:r>
      <w:r>
        <w:rPr>
          <w:rStyle w:val="AERbody"/>
        </w:rPr>
        <w:t xml:space="preserve">sharing </w:t>
      </w:r>
      <w:r w:rsidRPr="00A46C2C">
        <w:rPr>
          <w:rStyle w:val="AERbody"/>
        </w:rPr>
        <w:t>scheme</w:t>
      </w:r>
      <w:r>
        <w:rPr>
          <w:rStyle w:val="AERbody"/>
        </w:rPr>
        <w:t>.</w:t>
      </w:r>
      <w:r w:rsidRPr="00DE1367">
        <w:rPr>
          <w:rStyle w:val="FootnoteReference"/>
        </w:rPr>
        <w:footnoteReference w:id="11"/>
      </w:r>
    </w:p>
    <w:p w:rsidR="00D740F6" w:rsidRDefault="00D740F6" w:rsidP="00D740F6">
      <w:pPr>
        <w:pStyle w:val="AERbodytext"/>
        <w:numPr>
          <w:ilvl w:val="0"/>
          <w:numId w:val="0"/>
        </w:numPr>
        <w:rPr>
          <w:rStyle w:val="AERbody"/>
        </w:rPr>
      </w:pPr>
      <w:r>
        <w:rPr>
          <w:rStyle w:val="AERbody"/>
        </w:rPr>
        <w:lastRenderedPageBreak/>
        <w:t>Normally when a service provider reduces its opex in an access arrangement period, consumers receive the benefits in the next period through a lower opex forecast. However in some circumstances consumers may not benefit. For instance it may be prudent for a service provider to defer opex from one access arrangement period to the next period. If this is the case a service provider could receive an efficiency carryover benefit but it may need higher forecast opex in the next period. Where JGN reduces its opex in the 2015–20 access arrangement period and accrues an efficiency carryover benefit in the access arrangement period beginning in 2020</w:t>
      </w:r>
      <w:r w:rsidRPr="003F2404">
        <w:rPr>
          <w:rStyle w:val="AERbody"/>
        </w:rPr>
        <w:t xml:space="preserve"> </w:t>
      </w:r>
      <w:r>
        <w:rPr>
          <w:rStyle w:val="AERbody"/>
        </w:rPr>
        <w:t xml:space="preserve">we want to be satisfied that JGN's </w:t>
      </w:r>
      <w:proofErr w:type="gramStart"/>
      <w:r>
        <w:rPr>
          <w:rStyle w:val="AERbody"/>
        </w:rPr>
        <w:t>consumers</w:t>
      </w:r>
      <w:proofErr w:type="gramEnd"/>
      <w:r>
        <w:rPr>
          <w:rStyle w:val="AERbody"/>
        </w:rPr>
        <w:t xml:space="preserve"> benefit. This is achieved by maintaining a limited discretion to exclude some costs when calculating the carryover amounts.</w:t>
      </w:r>
    </w:p>
    <w:p w:rsidR="00D740F6" w:rsidRPr="008F1181" w:rsidRDefault="00D740F6" w:rsidP="00D740F6">
      <w:pPr>
        <w:pStyle w:val="HeadingBoldItalic"/>
        <w:rPr>
          <w:rStyle w:val="AERtextbold"/>
        </w:rPr>
      </w:pPr>
      <w:r w:rsidRPr="008F1181">
        <w:rPr>
          <w:rStyle w:val="AERtextbold"/>
        </w:rPr>
        <w:t>Adjustments for demand growth</w:t>
      </w:r>
      <w:r>
        <w:rPr>
          <w:rStyle w:val="AERtextbold"/>
        </w:rPr>
        <w:t xml:space="preserve"> and changes in capitalisation policy</w:t>
      </w:r>
    </w:p>
    <w:p w:rsidR="00D740F6" w:rsidRDefault="00D740F6" w:rsidP="00D740F6">
      <w:pPr>
        <w:pStyle w:val="AERbodytext"/>
        <w:rPr>
          <w:rStyle w:val="AERbody"/>
        </w:rPr>
      </w:pPr>
      <w:r>
        <w:rPr>
          <w:rStyle w:val="AERbody"/>
        </w:rPr>
        <w:t xml:space="preserve">We do not approve JGN's proposal that the calculation of the carryover amounts will take into account any change in demand growth. </w:t>
      </w:r>
    </w:p>
    <w:p w:rsidR="00D740F6" w:rsidRDefault="00D740F6" w:rsidP="00D740F6">
      <w:pPr>
        <w:pStyle w:val="AERbodytext"/>
        <w:rPr>
          <w:rStyle w:val="AERbody"/>
        </w:rPr>
      </w:pPr>
      <w:r>
        <w:rPr>
          <w:rStyle w:val="AERbody"/>
        </w:rPr>
        <w:t xml:space="preserve">When we forecast opex we already apply a </w:t>
      </w:r>
      <w:r w:rsidRPr="001D7FB6">
        <w:t>forecast annual rate of chan</w:t>
      </w:r>
      <w:r>
        <w:t>ge (see attachment 7)</w:t>
      </w:r>
      <w:r w:rsidRPr="001D7FB6">
        <w:t>. The annual rate of change accounts for forecast changes in output levels</w:t>
      </w:r>
      <w:r>
        <w:rPr>
          <w:rStyle w:val="AERbody"/>
        </w:rPr>
        <w:t>. The risk that this forecast is too high or too low is symmetrical and we consider it should be shared between JGN and its customers through the operations of the efficiency carryover mechanism in the same way other forecasting risks are shared. We consider it is unnecessarily complex to adjust forecast opex ex-post where demand does not equate with expectations.</w:t>
      </w:r>
      <w:r w:rsidRPr="006A3273">
        <w:rPr>
          <w:rStyle w:val="AERbody"/>
        </w:rPr>
        <w:t xml:space="preserve"> </w:t>
      </w:r>
    </w:p>
    <w:p w:rsidR="00D740F6" w:rsidRDefault="00D740F6" w:rsidP="00D740F6">
      <w:pPr>
        <w:pStyle w:val="AERbodytext"/>
        <w:rPr>
          <w:rStyle w:val="AERbody"/>
        </w:rPr>
      </w:pPr>
      <w:r>
        <w:rPr>
          <w:rStyle w:val="AERbody"/>
        </w:rPr>
        <w:t>Consequently, w</w:t>
      </w:r>
      <w:r w:rsidRPr="00A46C2C">
        <w:rPr>
          <w:rStyle w:val="AERbody"/>
        </w:rPr>
        <w:t xml:space="preserve">e do not </w:t>
      </w:r>
      <w:r w:rsidRPr="009A46D2">
        <w:rPr>
          <w:rStyle w:val="AERbody"/>
        </w:rPr>
        <w:t xml:space="preserve">approve </w:t>
      </w:r>
      <w:r>
        <w:rPr>
          <w:rStyle w:val="AERbody"/>
        </w:rPr>
        <w:t>that part of clause 12.1(</w:t>
      </w:r>
      <w:proofErr w:type="spellStart"/>
      <w:r>
        <w:rPr>
          <w:rStyle w:val="AERbody"/>
        </w:rPr>
        <w:t>i</w:t>
      </w:r>
      <w:proofErr w:type="spellEnd"/>
      <w:r>
        <w:rPr>
          <w:rStyle w:val="AERbody"/>
        </w:rPr>
        <w:t xml:space="preserve">) that states "with the following exception:" and </w:t>
      </w:r>
      <w:r w:rsidRPr="009A46D2">
        <w:rPr>
          <w:rStyle w:val="AERbody"/>
        </w:rPr>
        <w:t xml:space="preserve">clause </w:t>
      </w:r>
      <w:r>
        <w:rPr>
          <w:rStyle w:val="AERbody"/>
        </w:rPr>
        <w:t>12.1(</w:t>
      </w:r>
      <w:proofErr w:type="spellStart"/>
      <w:r>
        <w:rPr>
          <w:rStyle w:val="AERbody"/>
        </w:rPr>
        <w:t>i</w:t>
      </w:r>
      <w:proofErr w:type="spellEnd"/>
      <w:r>
        <w:rPr>
          <w:rStyle w:val="AERbody"/>
        </w:rPr>
        <w:t>)(</w:t>
      </w:r>
      <w:proofErr w:type="spellStart"/>
      <w:r>
        <w:rPr>
          <w:rStyle w:val="AERbody"/>
        </w:rPr>
        <w:t>i</w:t>
      </w:r>
      <w:proofErr w:type="spellEnd"/>
      <w:r>
        <w:rPr>
          <w:rStyle w:val="AERbody"/>
        </w:rPr>
        <w:t>)</w:t>
      </w:r>
      <w:r w:rsidRPr="009A46D2">
        <w:rPr>
          <w:rStyle w:val="AERbody"/>
        </w:rPr>
        <w:t xml:space="preserve"> </w:t>
      </w:r>
      <w:r>
        <w:rPr>
          <w:rStyle w:val="AERbody"/>
        </w:rPr>
        <w:t>that</w:t>
      </w:r>
      <w:r w:rsidRPr="009A46D2">
        <w:rPr>
          <w:rStyle w:val="AERbody"/>
        </w:rPr>
        <w:t xml:space="preserve"> states </w:t>
      </w:r>
      <w:r>
        <w:rPr>
          <w:rStyle w:val="AERbody"/>
        </w:rPr>
        <w:t>"the carryover of cost-related incremental efficiency gains will be calculated in a manner that takes account of any change in the scale of the activities which form the basis of the determination of the original benchmarks. The operating expenditure benchmarks will be adjusted consistent with the way in which the benchmark was determined".</w:t>
      </w:r>
      <w:r>
        <w:rPr>
          <w:rStyle w:val="FootnoteReference"/>
        </w:rPr>
        <w:footnoteReference w:id="12"/>
      </w:r>
    </w:p>
    <w:p w:rsidR="00D740F6" w:rsidRDefault="00D740F6" w:rsidP="00D740F6">
      <w:pPr>
        <w:pStyle w:val="AERbodytext"/>
        <w:numPr>
          <w:ilvl w:val="0"/>
          <w:numId w:val="0"/>
        </w:numPr>
        <w:rPr>
          <w:rStyle w:val="AERbody"/>
        </w:rPr>
      </w:pPr>
      <w:r>
        <w:rPr>
          <w:rStyle w:val="AERbody"/>
        </w:rPr>
        <w:t xml:space="preserve">We agree with JGN that the efficiency carryover mechanism should take into account any changes in its capitalisation policy. </w:t>
      </w:r>
    </w:p>
    <w:p w:rsidR="00D740F6" w:rsidRDefault="00D740F6" w:rsidP="00D740F6">
      <w:pPr>
        <w:pStyle w:val="AERbodytext"/>
      </w:pPr>
      <w:r>
        <w:rPr>
          <w:rStyle w:val="AERbody"/>
        </w:rPr>
        <w:fldChar w:fldCharType="begin"/>
      </w:r>
      <w:r>
        <w:rPr>
          <w:rStyle w:val="AERbody"/>
        </w:rPr>
        <w:instrText xml:space="preserve"> REF _Ref401830814 \h </w:instrText>
      </w:r>
      <w:r>
        <w:rPr>
          <w:rStyle w:val="AERbody"/>
        </w:rPr>
      </w:r>
      <w:r>
        <w:rPr>
          <w:rStyle w:val="AERbody"/>
        </w:rPr>
        <w:fldChar w:fldCharType="separate"/>
      </w:r>
      <w:r w:rsidR="002D2D19">
        <w:t xml:space="preserve">Table </w:t>
      </w:r>
      <w:r w:rsidR="002D2D19">
        <w:rPr>
          <w:noProof/>
        </w:rPr>
        <w:t>9</w:t>
      </w:r>
      <w:r w:rsidR="002D2D19">
        <w:noBreakHyphen/>
      </w:r>
      <w:r w:rsidR="002D2D19">
        <w:rPr>
          <w:noProof/>
        </w:rPr>
        <w:t>2</w:t>
      </w:r>
      <w:r>
        <w:rPr>
          <w:rStyle w:val="AERbody"/>
        </w:rPr>
        <w:fldChar w:fldCharType="end"/>
      </w:r>
      <w:r>
        <w:rPr>
          <w:rStyle w:val="AERbody"/>
        </w:rPr>
        <w:t xml:space="preserve"> </w:t>
      </w:r>
      <w:r>
        <w:t>sets</w:t>
      </w:r>
      <w:r w:rsidRPr="006F6CCB">
        <w:t xml:space="preserve"> out our draft decision on </w:t>
      </w:r>
      <w:r>
        <w:t>JGN's</w:t>
      </w:r>
      <w:r w:rsidRPr="006F6CCB">
        <w:t xml:space="preserve"> target opex for the </w:t>
      </w:r>
      <w:r>
        <w:t xml:space="preserve">efficiency carryover mechanism </w:t>
      </w:r>
      <w:r w:rsidRPr="006F6CCB">
        <w:t xml:space="preserve">(total opex less excluded categories), against which we will calculate efficiency gains </w:t>
      </w:r>
      <w:r>
        <w:t xml:space="preserve">and losses </w:t>
      </w:r>
      <w:r w:rsidRPr="006F6CCB">
        <w:t xml:space="preserve">in </w:t>
      </w:r>
      <w:r>
        <w:t>the 2015–20 access arrangement</w:t>
      </w:r>
      <w:r w:rsidRPr="00BD4587">
        <w:t xml:space="preserve"> period</w:t>
      </w:r>
      <w:r>
        <w:t>.</w:t>
      </w:r>
    </w:p>
    <w:p w:rsidR="00D740F6" w:rsidRDefault="00D740F6" w:rsidP="00D740F6">
      <w:pPr>
        <w:pStyle w:val="Caption"/>
      </w:pPr>
      <w:bookmarkStart w:id="15" w:name="_Ref401830814"/>
      <w:r>
        <w:t xml:space="preserve">Table </w:t>
      </w:r>
      <w:fldSimple w:instr=" STYLEREF 1 \s ">
        <w:r w:rsidR="002D2D19">
          <w:rPr>
            <w:noProof/>
          </w:rPr>
          <w:t>9</w:t>
        </w:r>
      </w:fldSimple>
      <w:r>
        <w:noBreakHyphen/>
      </w:r>
      <w:fldSimple w:instr=" SEQ Table \* ARABIC \s 1 ">
        <w:r w:rsidR="002D2D19">
          <w:rPr>
            <w:noProof/>
          </w:rPr>
          <w:t>2</w:t>
        </w:r>
      </w:fldSimple>
      <w:bookmarkEnd w:id="15"/>
      <w:r>
        <w:tab/>
        <w:t>Draft decision on JGN's forecast opex for the calculation of efficiency gains and losses ($ million, 2014–15)</w:t>
      </w:r>
      <w:r>
        <w:tab/>
      </w:r>
    </w:p>
    <w:tbl>
      <w:tblPr>
        <w:tblStyle w:val="AERtable-numbers"/>
        <w:tblW w:w="5000" w:type="pct"/>
        <w:tblLook w:val="04A0" w:firstRow="1" w:lastRow="0" w:firstColumn="1" w:lastColumn="0" w:noHBand="0" w:noVBand="1"/>
      </w:tblPr>
      <w:tblGrid>
        <w:gridCol w:w="3144"/>
        <w:gridCol w:w="1220"/>
        <w:gridCol w:w="1220"/>
        <w:gridCol w:w="1220"/>
        <w:gridCol w:w="1220"/>
        <w:gridCol w:w="1218"/>
      </w:tblGrid>
      <w:tr w:rsidR="00D740F6" w:rsidTr="005E4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D740F6" w:rsidRDefault="00D740F6" w:rsidP="005E4AC0">
            <w:pPr>
              <w:pStyle w:val="AERtabletextleft"/>
            </w:pPr>
          </w:p>
        </w:tc>
        <w:tc>
          <w:tcPr>
            <w:tcW w:w="660" w:type="pct"/>
          </w:tcPr>
          <w:p w:rsidR="00D740F6" w:rsidRPr="00C26819"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60" w:type="pct"/>
          </w:tcPr>
          <w:p w:rsidR="00D740F6" w:rsidRPr="00C26819"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60" w:type="pct"/>
          </w:tcPr>
          <w:p w:rsidR="00D740F6" w:rsidRPr="00C26819"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60" w:type="pct"/>
          </w:tcPr>
          <w:p w:rsidR="00D740F6" w:rsidRPr="00C26819"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w:t>
            </w:r>
            <w:r w:rsidRPr="00C26819">
              <w:t>8-19</w:t>
            </w:r>
          </w:p>
        </w:tc>
        <w:tc>
          <w:tcPr>
            <w:tcW w:w="659" w:type="pct"/>
          </w:tcPr>
          <w:p w:rsidR="00D740F6" w:rsidRPr="00C26819" w:rsidRDefault="00D740F6" w:rsidP="005E4AC0">
            <w:pPr>
              <w:pStyle w:val="AERtabletextright"/>
              <w:cnfStyle w:val="100000000000" w:firstRow="1" w:lastRow="0" w:firstColumn="0" w:lastColumn="0" w:oddVBand="0" w:evenVBand="0" w:oddHBand="0" w:evenHBand="0" w:firstRowFirstColumn="0" w:firstRowLastColumn="0" w:lastRowFirstColumn="0" w:lastRowLastColumn="0"/>
            </w:pPr>
            <w:r>
              <w:t>2019-20</w:t>
            </w:r>
          </w:p>
        </w:tc>
      </w:tr>
      <w:tr w:rsidR="00D740F6" w:rsidTr="005E4AC0">
        <w:tc>
          <w:tcPr>
            <w:cnfStyle w:val="001000000000" w:firstRow="0" w:lastRow="0" w:firstColumn="1" w:lastColumn="0" w:oddVBand="0" w:evenVBand="0" w:oddHBand="0" w:evenHBand="0" w:firstRowFirstColumn="0" w:firstRowLastColumn="0" w:lastRowFirstColumn="0" w:lastRowLastColumn="0"/>
            <w:tcW w:w="1701" w:type="pct"/>
          </w:tcPr>
          <w:p w:rsidR="00D740F6" w:rsidRPr="00C26819" w:rsidRDefault="00D740F6" w:rsidP="005E4AC0">
            <w:pPr>
              <w:pStyle w:val="AERtabletextleft"/>
            </w:pPr>
            <w:r>
              <w:t>Forecast opex</w:t>
            </w:r>
            <w:r>
              <w:rPr>
                <w:rStyle w:val="FootnoteReference"/>
              </w:rPr>
              <w:footnoteReference w:id="13"/>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154.4</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153.8</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154.6</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159.0</w:t>
            </w:r>
          </w:p>
        </w:tc>
        <w:tc>
          <w:tcPr>
            <w:tcW w:w="659"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157.8</w:t>
            </w:r>
          </w:p>
        </w:tc>
      </w:tr>
      <w:tr w:rsidR="00D740F6" w:rsidTr="005E4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D740F6" w:rsidRPr="00C26819" w:rsidRDefault="00D740F6" w:rsidP="005E4AC0">
            <w:pPr>
              <w:pStyle w:val="AERtabletextleft"/>
            </w:pPr>
            <w:r>
              <w:t>Forecast UAG costs</w:t>
            </w:r>
            <w:r w:rsidRPr="00C26819">
              <w:t xml:space="preserve"> </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15.8</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15.8</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15.8</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15.8</w:t>
            </w:r>
          </w:p>
        </w:tc>
        <w:tc>
          <w:tcPr>
            <w:tcW w:w="659"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15.9</w:t>
            </w:r>
          </w:p>
        </w:tc>
      </w:tr>
      <w:tr w:rsidR="00D740F6" w:rsidTr="005E4AC0">
        <w:tc>
          <w:tcPr>
            <w:cnfStyle w:val="001000000000" w:firstRow="0" w:lastRow="0" w:firstColumn="1" w:lastColumn="0" w:oddVBand="0" w:evenVBand="0" w:oddHBand="0" w:evenHBand="0" w:firstRowFirstColumn="0" w:firstRowLastColumn="0" w:lastRowFirstColumn="0" w:lastRowLastColumn="0"/>
            <w:tcW w:w="1701" w:type="pct"/>
          </w:tcPr>
          <w:p w:rsidR="00D740F6" w:rsidRPr="00C26819" w:rsidRDefault="00D740F6" w:rsidP="005E4AC0">
            <w:pPr>
              <w:pStyle w:val="AERtabletextleft"/>
            </w:pPr>
            <w:r>
              <w:t>Forecast licence fee costs</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4.2</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4.2</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4.2</w:t>
            </w:r>
          </w:p>
        </w:tc>
        <w:tc>
          <w:tcPr>
            <w:tcW w:w="660"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4.2</w:t>
            </w:r>
          </w:p>
        </w:tc>
        <w:tc>
          <w:tcPr>
            <w:tcW w:w="659" w:type="pct"/>
          </w:tcPr>
          <w:p w:rsidR="00D740F6" w:rsidRDefault="00D740F6" w:rsidP="005E4AC0">
            <w:pPr>
              <w:pStyle w:val="AERtabletextright"/>
              <w:cnfStyle w:val="000000000000" w:firstRow="0" w:lastRow="0" w:firstColumn="0" w:lastColumn="0" w:oddVBand="0" w:evenVBand="0" w:oddHBand="0" w:evenHBand="0" w:firstRowFirstColumn="0" w:firstRowLastColumn="0" w:lastRowFirstColumn="0" w:lastRowLastColumn="0"/>
            </w:pPr>
            <w:r>
              <w:t>4.2</w:t>
            </w:r>
          </w:p>
        </w:tc>
      </w:tr>
      <w:tr w:rsidR="00D740F6" w:rsidTr="005E4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D740F6" w:rsidRPr="00C26819" w:rsidRDefault="00D740F6" w:rsidP="005E4AC0">
            <w:pPr>
              <w:pStyle w:val="AERtabletextleft"/>
            </w:pPr>
            <w:r w:rsidRPr="002D3524">
              <w:rPr>
                <w:rStyle w:val="AERtextbold"/>
              </w:rPr>
              <w:t xml:space="preserve">Forecast opex for </w:t>
            </w:r>
            <w:r w:rsidRPr="00C26819">
              <w:rPr>
                <w:rStyle w:val="AERtextbold"/>
              </w:rPr>
              <w:t xml:space="preserve">the </w:t>
            </w:r>
            <w:r>
              <w:rPr>
                <w:rStyle w:val="AERtextbold"/>
              </w:rPr>
              <w:t xml:space="preserve">efficiency </w:t>
            </w:r>
            <w:r w:rsidRPr="00C26819">
              <w:rPr>
                <w:rStyle w:val="AERtextbold"/>
              </w:rPr>
              <w:t>carryover mechanism</w:t>
            </w:r>
            <w:r w:rsidRPr="00C26819">
              <w:t xml:space="preserve"> </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134.5</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133.8</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134.6</w:t>
            </w:r>
          </w:p>
        </w:tc>
        <w:tc>
          <w:tcPr>
            <w:tcW w:w="660"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139.0</w:t>
            </w:r>
          </w:p>
        </w:tc>
        <w:tc>
          <w:tcPr>
            <w:tcW w:w="659" w:type="pct"/>
          </w:tcPr>
          <w:p w:rsidR="00D740F6" w:rsidRDefault="00D740F6" w:rsidP="005E4AC0">
            <w:pPr>
              <w:pStyle w:val="AERtabletextright"/>
              <w:cnfStyle w:val="000000010000" w:firstRow="0" w:lastRow="0" w:firstColumn="0" w:lastColumn="0" w:oddVBand="0" w:evenVBand="0" w:oddHBand="0" w:evenHBand="1" w:firstRowFirstColumn="0" w:firstRowLastColumn="0" w:lastRowFirstColumn="0" w:lastRowLastColumn="0"/>
            </w:pPr>
            <w:r>
              <w:t>137.8</w:t>
            </w:r>
          </w:p>
        </w:tc>
      </w:tr>
    </w:tbl>
    <w:p w:rsidR="00D740F6" w:rsidRPr="006A3273" w:rsidRDefault="00D740F6" w:rsidP="00D740F6">
      <w:pPr>
        <w:pStyle w:val="Heading2"/>
        <w:numPr>
          <w:ilvl w:val="2"/>
          <w:numId w:val="8"/>
        </w:numPr>
        <w:rPr>
          <w:rStyle w:val="AERtextbold"/>
          <w:b/>
        </w:rPr>
      </w:pPr>
      <w:bookmarkStart w:id="16" w:name="_Toc404753733"/>
      <w:r w:rsidRPr="006A3273">
        <w:rPr>
          <w:rStyle w:val="AERtextbold"/>
          <w:b/>
        </w:rPr>
        <w:lastRenderedPageBreak/>
        <w:t xml:space="preserve">Revisions to JGN's </w:t>
      </w:r>
      <w:r>
        <w:rPr>
          <w:rStyle w:val="AERtextbold"/>
        </w:rPr>
        <w:t>p</w:t>
      </w:r>
      <w:r w:rsidRPr="006A3273">
        <w:rPr>
          <w:rStyle w:val="AERtextbold"/>
          <w:b/>
        </w:rPr>
        <w:t>roposed EBSS</w:t>
      </w:r>
      <w:bookmarkEnd w:id="16"/>
    </w:p>
    <w:p w:rsidR="00D740F6" w:rsidRPr="004D355B" w:rsidRDefault="00D740F6" w:rsidP="00D740F6">
      <w:pPr>
        <w:pStyle w:val="AERbodytext"/>
      </w:pPr>
      <w:r w:rsidRPr="004D355B">
        <w:t xml:space="preserve">For the reasons above, we require JGN to revise the proposed </w:t>
      </w:r>
      <w:r>
        <w:t>access arrangement</w:t>
      </w:r>
      <w:r w:rsidRPr="004D355B">
        <w:t xml:space="preserve"> as follows:</w:t>
      </w:r>
    </w:p>
    <w:p w:rsidR="00D740F6" w:rsidRPr="008F1181" w:rsidRDefault="00D740F6" w:rsidP="00D740F6">
      <w:pPr>
        <w:pStyle w:val="AERrevisionbox"/>
      </w:pPr>
      <w:r w:rsidRPr="008F1181">
        <w:rPr>
          <w:rStyle w:val="AERtextbold"/>
        </w:rPr>
        <w:t xml:space="preserve">Revision </w:t>
      </w:r>
      <w:r>
        <w:rPr>
          <w:rStyle w:val="AERtextbold"/>
        </w:rPr>
        <w:t>9.</w:t>
      </w:r>
      <w:r w:rsidRPr="008F1181">
        <w:rPr>
          <w:rStyle w:val="AERtextbold"/>
        </w:rPr>
        <w:t>1:</w:t>
      </w:r>
      <w:r w:rsidRPr="008F1181">
        <w:t xml:space="preserve"> Amend clause 12.1(h) so that it reads:</w:t>
      </w:r>
    </w:p>
    <w:p w:rsidR="00D740F6" w:rsidRPr="008F1181" w:rsidRDefault="00D740F6" w:rsidP="00D740F6">
      <w:pPr>
        <w:pStyle w:val="AERrevisionbox"/>
      </w:pPr>
      <w:r w:rsidRPr="008F1181">
        <w:t>The following costs will be excluded from the operation of the efficiency carryover mechanism:</w:t>
      </w:r>
    </w:p>
    <w:p w:rsidR="00D740F6" w:rsidRPr="008F1181" w:rsidRDefault="00D740F6" w:rsidP="00D740F6">
      <w:pPr>
        <w:pStyle w:val="AERrevisionbox"/>
      </w:pPr>
      <w:r w:rsidRPr="008F1181">
        <w:t xml:space="preserve">   (</w:t>
      </w:r>
      <w:proofErr w:type="spellStart"/>
      <w:r w:rsidRPr="008F1181">
        <w:t>i</w:t>
      </w:r>
      <w:proofErr w:type="spellEnd"/>
      <w:r w:rsidRPr="008F1181">
        <w:t>) UAG costs;</w:t>
      </w:r>
    </w:p>
    <w:p w:rsidR="00D740F6" w:rsidRPr="008F1181" w:rsidRDefault="00D740F6" w:rsidP="00D740F6">
      <w:pPr>
        <w:pStyle w:val="AERrevisionbox"/>
      </w:pPr>
      <w:r w:rsidRPr="008F1181">
        <w:t xml:space="preserve">   (ii) licence fee costs;</w:t>
      </w:r>
    </w:p>
    <w:p w:rsidR="00D740F6" w:rsidRPr="008F1181" w:rsidRDefault="00D740F6" w:rsidP="00D740F6">
      <w:pPr>
        <w:pStyle w:val="AERrevisionbox"/>
      </w:pPr>
      <w:r w:rsidRPr="008F1181">
        <w:t xml:space="preserve">   (iii) debt raising costs;</w:t>
      </w:r>
    </w:p>
    <w:p w:rsidR="00D740F6" w:rsidRPr="008F1181" w:rsidRDefault="00D740F6" w:rsidP="00D740F6">
      <w:pPr>
        <w:pStyle w:val="AERrevisionbox"/>
      </w:pPr>
      <w:r w:rsidRPr="008F1181">
        <w:t xml:space="preserve">   (iv) carbon costs;</w:t>
      </w:r>
    </w:p>
    <w:p w:rsidR="00D740F6" w:rsidRPr="008F1181" w:rsidRDefault="00D740F6" w:rsidP="00D740F6">
      <w:pPr>
        <w:pStyle w:val="AERrevisionbox"/>
      </w:pPr>
      <w:r w:rsidRPr="008F1181">
        <w:t xml:space="preserve">   (v) the cost of any relevant tax; and</w:t>
      </w:r>
    </w:p>
    <w:p w:rsidR="00D740F6" w:rsidRPr="008F1181" w:rsidRDefault="00D740F6" w:rsidP="00D740F6">
      <w:pPr>
        <w:pStyle w:val="AERrevisionbox"/>
      </w:pPr>
      <w:r w:rsidRPr="008F1181">
        <w:t xml:space="preserve">   (vi) </w:t>
      </w:r>
      <w:proofErr w:type="gramStart"/>
      <w:r w:rsidRPr="008F1181">
        <w:t>any</w:t>
      </w:r>
      <w:proofErr w:type="gramEnd"/>
      <w:r w:rsidRPr="008F1181">
        <w:t xml:space="preserve"> cost category the AER decides to exclude from the operation of the efficiency carryover mechanism that is not forecast using a single year revealed cost approach in the access arrangement period commencing in 2020. The AER will only do this when </w:t>
      </w:r>
      <w:r>
        <w:t>it is</w:t>
      </w:r>
      <w:r w:rsidRPr="008F1181">
        <w:t xml:space="preserve"> satisfied that JGN's consumers would not benefit from applying the efficiency carryover mechanism to that category of costs.</w:t>
      </w:r>
    </w:p>
    <w:p w:rsidR="00D740F6" w:rsidRPr="008F1181" w:rsidRDefault="00D740F6" w:rsidP="00D740F6">
      <w:pPr>
        <w:pStyle w:val="AERrevisionbox"/>
      </w:pPr>
      <w:r w:rsidRPr="008F1181">
        <w:rPr>
          <w:rStyle w:val="AERtextbold"/>
        </w:rPr>
        <w:t xml:space="preserve">Revision </w:t>
      </w:r>
      <w:r>
        <w:rPr>
          <w:rStyle w:val="AERtextbold"/>
        </w:rPr>
        <w:t>9.</w:t>
      </w:r>
      <w:r w:rsidRPr="008F1181">
        <w:rPr>
          <w:rStyle w:val="AERtextbold"/>
        </w:rPr>
        <w:t xml:space="preserve">2: </w:t>
      </w:r>
      <w:r w:rsidRPr="008F1181">
        <w:t>Amend clause 12.1(</w:t>
      </w:r>
      <w:proofErr w:type="spellStart"/>
      <w:r w:rsidRPr="008F1181">
        <w:t>i</w:t>
      </w:r>
      <w:proofErr w:type="spellEnd"/>
      <w:r w:rsidRPr="008F1181">
        <w:t>) as follows:</w:t>
      </w:r>
    </w:p>
    <w:p w:rsidR="00D740F6" w:rsidRPr="008F1181" w:rsidRDefault="00D740F6" w:rsidP="00D740F6">
      <w:pPr>
        <w:pStyle w:val="AERrevisionbox"/>
      </w:pPr>
      <w:r w:rsidRPr="008F1181">
        <w:t xml:space="preserve">Delete the text "with the following exception:" </w:t>
      </w:r>
    </w:p>
    <w:p w:rsidR="00D740F6" w:rsidRPr="008F1181" w:rsidRDefault="00D740F6" w:rsidP="00D740F6">
      <w:pPr>
        <w:pStyle w:val="AERrevisionbox"/>
      </w:pPr>
      <w:proofErr w:type="gramStart"/>
      <w:r w:rsidRPr="008F1181">
        <w:t>and</w:t>
      </w:r>
      <w:proofErr w:type="gramEnd"/>
      <w:r w:rsidRPr="008F1181">
        <w:t xml:space="preserve"> replace with the text "adjusted for any approved pass through amounts</w:t>
      </w:r>
      <w:r>
        <w:t>."</w:t>
      </w:r>
    </w:p>
    <w:p w:rsidR="00D740F6" w:rsidRPr="008F1181" w:rsidRDefault="00D740F6" w:rsidP="00D740F6">
      <w:pPr>
        <w:pStyle w:val="AERrevisionbox"/>
      </w:pPr>
      <w:r w:rsidRPr="008F1181">
        <w:t>Delete clause 12.1(</w:t>
      </w:r>
      <w:proofErr w:type="spellStart"/>
      <w:r w:rsidRPr="008F1181">
        <w:t>i</w:t>
      </w:r>
      <w:proofErr w:type="spellEnd"/>
      <w:r w:rsidRPr="008F1181">
        <w:t>)(</w:t>
      </w:r>
      <w:proofErr w:type="spellStart"/>
      <w:r w:rsidRPr="008F1181">
        <w:t>i</w:t>
      </w:r>
      <w:proofErr w:type="spellEnd"/>
      <w:r w:rsidRPr="008F1181">
        <w:t>) which s</w:t>
      </w:r>
      <w:r>
        <w:t>tates</w:t>
      </w:r>
      <w:r w:rsidRPr="008F1181">
        <w:t>:</w:t>
      </w:r>
    </w:p>
    <w:p w:rsidR="00D740F6" w:rsidRDefault="00D740F6" w:rsidP="00D740F6">
      <w:pPr>
        <w:pStyle w:val="AERrevisionbox"/>
      </w:pPr>
      <w:r w:rsidRPr="008F1181">
        <w:t>"</w:t>
      </w:r>
      <w:proofErr w:type="gramStart"/>
      <w:r w:rsidRPr="008F1181">
        <w:t>the</w:t>
      </w:r>
      <w:proofErr w:type="gramEnd"/>
      <w:r w:rsidRPr="008F1181">
        <w:t xml:space="preserve"> carryover of cost-related incremental efficiency gains will be calculated in a manner that takes account of any change in the scale of the activities which form the basis of the determination of the original benchmarks. The operating expenditure benchmarks will be adjusted consistent with the way in which the benchmark was determined:"</w:t>
      </w:r>
    </w:p>
    <w:p w:rsidR="00D740F6" w:rsidRPr="008F1181" w:rsidRDefault="00D740F6" w:rsidP="00D740F6">
      <w:pPr>
        <w:pStyle w:val="AERrevisionbox"/>
      </w:pPr>
      <w:r w:rsidRPr="008F1181">
        <w:rPr>
          <w:rStyle w:val="AERtextbold"/>
        </w:rPr>
        <w:t xml:space="preserve">Revision </w:t>
      </w:r>
      <w:r>
        <w:rPr>
          <w:rStyle w:val="AERtextbold"/>
        </w:rPr>
        <w:t>9.</w:t>
      </w:r>
      <w:r w:rsidRPr="008F1181">
        <w:rPr>
          <w:rStyle w:val="AERtextbold"/>
        </w:rPr>
        <w:t>3:</w:t>
      </w:r>
      <w:r w:rsidRPr="008F1181">
        <w:t xml:space="preserve"> Delete the table in clause 12.1(</w:t>
      </w:r>
      <w:proofErr w:type="spellStart"/>
      <w:r w:rsidRPr="008F1181">
        <w:t>i</w:t>
      </w:r>
      <w:proofErr w:type="spellEnd"/>
      <w:r w:rsidRPr="008F1181">
        <w:t xml:space="preserve">) and replace with </w:t>
      </w:r>
      <w:r>
        <w:fldChar w:fldCharType="begin"/>
      </w:r>
      <w:r>
        <w:instrText xml:space="preserve"> REF _Ref401830814 \h </w:instrText>
      </w:r>
      <w:r>
        <w:fldChar w:fldCharType="separate"/>
      </w:r>
      <w:r w:rsidR="002D2D19">
        <w:t xml:space="preserve">Table </w:t>
      </w:r>
      <w:r w:rsidR="002D2D19">
        <w:rPr>
          <w:noProof/>
        </w:rPr>
        <w:t>9</w:t>
      </w:r>
      <w:r w:rsidR="002D2D19">
        <w:noBreakHyphen/>
      </w:r>
      <w:r w:rsidR="002D2D19">
        <w:rPr>
          <w:noProof/>
        </w:rPr>
        <w:t>2</w:t>
      </w:r>
      <w:r>
        <w:fldChar w:fldCharType="end"/>
      </w:r>
      <w:r w:rsidRPr="008F1181">
        <w:t>.</w:t>
      </w:r>
    </w:p>
    <w:bookmarkEnd w:id="8"/>
    <w:sectPr w:rsidR="00D740F6" w:rsidRPr="008F1181" w:rsidSect="003D126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DC" w:rsidRPr="00AB4345" w:rsidRDefault="001B26DC" w:rsidP="00AB4345">
      <w:r>
        <w:separator/>
      </w:r>
    </w:p>
  </w:endnote>
  <w:endnote w:type="continuationSeparator" w:id="0">
    <w:p w:rsidR="001B26DC" w:rsidRPr="00AB4345" w:rsidRDefault="001B26D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1B26DC" w:rsidRPr="00824CC8" w:rsidRDefault="001B26DC" w:rsidP="00824CC8">
        <w:pPr>
          <w:pStyle w:val="Footer"/>
        </w:pPr>
        <w:r w:rsidRPr="00824CC8">
          <w:fldChar w:fldCharType="begin"/>
        </w:r>
        <w:r w:rsidRPr="00824CC8">
          <w:instrText xml:space="preserve"> PAGE   \* MERGEFORMAT </w:instrText>
        </w:r>
        <w:r w:rsidRPr="00824CC8">
          <w:fldChar w:fldCharType="separate"/>
        </w:r>
        <w:r w:rsidR="00975F54">
          <w:rPr>
            <w:noProof/>
          </w:rPr>
          <w:t>9-12</w:t>
        </w:r>
        <w:r w:rsidRPr="00824CC8">
          <w:fldChar w:fldCharType="end"/>
        </w:r>
        <w:r w:rsidRPr="00824CC8">
          <w:tab/>
        </w:r>
        <w:r w:rsidRPr="00824CC8">
          <w:rPr>
            <w:rStyle w:val="AERbody"/>
          </w:rPr>
          <w:t>Attachment</w:t>
        </w:r>
        <w:r w:rsidR="0075370E">
          <w:rPr>
            <w:rStyle w:val="AERbody"/>
          </w:rPr>
          <w:t xml:space="preserve"> </w:t>
        </w:r>
        <w:r w:rsidR="00D740F6">
          <w:rPr>
            <w:rStyle w:val="AERbody"/>
          </w:rPr>
          <w:t xml:space="preserve">9 Efficiency carryover mechanism </w:t>
        </w:r>
        <w:r w:rsidRPr="00824CC8">
          <w:rPr>
            <w:rStyle w:val="AERbody"/>
          </w:rPr>
          <w:t xml:space="preserve">|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824CC8" w:rsidRDefault="001B26DC" w:rsidP="00824CC8">
    <w:pPr>
      <w:pStyle w:val="Footer"/>
      <w:rPr>
        <w:rStyle w:val="AERbody"/>
      </w:rPr>
    </w:pPr>
    <w:r>
      <w:rPr>
        <w:rStyle w:val="AERbody"/>
      </w:rPr>
      <w:t>Jemena Gas Networks 2015–20</w:t>
    </w:r>
    <w:r w:rsidRPr="00210880">
      <w:rPr>
        <w:rStyle w:val="AERbody"/>
      </w:rPr>
      <w:t xml:space="preserve"> | </w:t>
    </w:r>
    <w:r w:rsidRPr="00824CC8">
      <w:rPr>
        <w:rStyle w:val="AERbody"/>
      </w:rPr>
      <w:t xml:space="preserve">Attachment </w:t>
    </w:r>
    <w:r w:rsidR="00D740F6">
      <w:rPr>
        <w:rStyle w:val="AERbody"/>
      </w:rPr>
      <w:t>9 Efficiency carryover mechanism</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75F54">
      <w:rPr>
        <w:rStyle w:val="AERbody"/>
        <w:noProof/>
      </w:rPr>
      <w:t>9-11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DC" w:rsidRPr="00AB4345" w:rsidRDefault="001B26DC" w:rsidP="00AB4345">
      <w:r>
        <w:separator/>
      </w:r>
    </w:p>
  </w:footnote>
  <w:footnote w:type="continuationSeparator" w:id="0">
    <w:p w:rsidR="001B26DC" w:rsidRPr="00AB4345" w:rsidRDefault="001B26DC" w:rsidP="00AB4345">
      <w:r>
        <w:continuationSeparator/>
      </w:r>
    </w:p>
  </w:footnote>
  <w:footnote w:id="1">
    <w:p w:rsidR="00D740F6" w:rsidRDefault="00D740F6" w:rsidP="00D740F6">
      <w:pPr>
        <w:pStyle w:val="FootnoteText"/>
      </w:pPr>
      <w:r>
        <w:rPr>
          <w:rStyle w:val="FootnoteReference"/>
        </w:rPr>
        <w:footnoteRef/>
      </w:r>
      <w:r>
        <w:t xml:space="preserve"> </w:t>
      </w:r>
      <w:r>
        <w:tab/>
        <w:t xml:space="preserve">The efficiency carryover mechanism we apply to gas service providers is broadly the same as the Efficiency Benefit Sharing Scheme we apply to electricity network service providers. For further information explaining the reasons why we apply such a scheme see AER, </w:t>
      </w:r>
      <w:r w:rsidRPr="006B0300">
        <w:rPr>
          <w:rStyle w:val="AERtextitalic"/>
        </w:rPr>
        <w:t xml:space="preserve">Efficiency </w:t>
      </w:r>
      <w:r>
        <w:rPr>
          <w:rStyle w:val="AERtextitalic"/>
        </w:rPr>
        <w:t>b</w:t>
      </w:r>
      <w:r w:rsidRPr="006B0300">
        <w:rPr>
          <w:rStyle w:val="AERtextitalic"/>
        </w:rPr>
        <w:t xml:space="preserve">enefit </w:t>
      </w:r>
      <w:r>
        <w:rPr>
          <w:rStyle w:val="AERtextitalic"/>
        </w:rPr>
        <w:t>s</w:t>
      </w:r>
      <w:r w:rsidRPr="006B0300">
        <w:rPr>
          <w:rStyle w:val="AERtextitalic"/>
        </w:rPr>
        <w:t xml:space="preserve">haring </w:t>
      </w:r>
      <w:r>
        <w:rPr>
          <w:rStyle w:val="AERtextitalic"/>
        </w:rPr>
        <w:t>s</w:t>
      </w:r>
      <w:r w:rsidRPr="006B0300">
        <w:rPr>
          <w:rStyle w:val="AERtextitalic"/>
        </w:rPr>
        <w:t xml:space="preserve">cheme - </w:t>
      </w:r>
      <w:r>
        <w:rPr>
          <w:rStyle w:val="AERtextitalic"/>
        </w:rPr>
        <w:t>e</w:t>
      </w:r>
      <w:r w:rsidRPr="006B0300">
        <w:rPr>
          <w:rStyle w:val="AERtextitalic"/>
        </w:rPr>
        <w:t xml:space="preserve">xplanatory </w:t>
      </w:r>
      <w:r>
        <w:rPr>
          <w:rStyle w:val="AERtextitalic"/>
        </w:rPr>
        <w:t>s</w:t>
      </w:r>
      <w:r w:rsidRPr="006B0300">
        <w:rPr>
          <w:rStyle w:val="AERtextitalic"/>
        </w:rPr>
        <w:t>tatement</w:t>
      </w:r>
      <w:r>
        <w:t>, November 2013.</w:t>
      </w:r>
    </w:p>
  </w:footnote>
  <w:footnote w:id="2">
    <w:p w:rsidR="00D740F6" w:rsidRDefault="00D740F6" w:rsidP="00D740F6">
      <w:pPr>
        <w:pStyle w:val="FootnoteText"/>
      </w:pPr>
      <w:r>
        <w:rPr>
          <w:rStyle w:val="FootnoteReference"/>
        </w:rPr>
        <w:footnoteRef/>
      </w:r>
      <w:r>
        <w:t xml:space="preserve"> </w:t>
      </w:r>
      <w:r>
        <w:tab/>
      </w:r>
      <w:proofErr w:type="gramStart"/>
      <w:r>
        <w:t xml:space="preserve">AER, </w:t>
      </w:r>
      <w:r w:rsidRPr="00F80ADF">
        <w:rPr>
          <w:rStyle w:val="AERtextitalic"/>
        </w:rPr>
        <w:t>Efficiency benefit sharing scheme for electricity network service providers</w:t>
      </w:r>
      <w:r>
        <w:t>, November 2013, p. 7.</w:t>
      </w:r>
      <w:proofErr w:type="gramEnd"/>
    </w:p>
  </w:footnote>
  <w:footnote w:id="3">
    <w:p w:rsidR="00D740F6" w:rsidRDefault="00D740F6" w:rsidP="00D740F6">
      <w:pPr>
        <w:pStyle w:val="FootnoteText"/>
      </w:pPr>
      <w:r>
        <w:rPr>
          <w:rStyle w:val="FootnoteReference"/>
        </w:rPr>
        <w:footnoteRef/>
      </w:r>
      <w:r>
        <w:t xml:space="preserve"> </w:t>
      </w:r>
      <w:r>
        <w:tab/>
      </w:r>
      <w:r w:rsidRPr="00123D14">
        <w:t>JGN used the term Efficiency Benefit Sharing Scheme (EBSS)</w:t>
      </w:r>
      <w:r w:rsidRPr="00EC451F">
        <w:t xml:space="preserve">. </w:t>
      </w:r>
      <w:r w:rsidRPr="002F3B05">
        <w:rPr>
          <w:rStyle w:val="AERbody"/>
          <w:sz w:val="16"/>
        </w:rPr>
        <w:t>The term efficiency benefit sharing scheme is defined under the National Electricity Rules (NER). We prefer to use the term efficiency carryover mechanism instead</w:t>
      </w:r>
      <w:r>
        <w:rPr>
          <w:rStyle w:val="AERbody"/>
        </w:rPr>
        <w:t>.</w:t>
      </w:r>
      <w:r w:rsidRPr="00123D14">
        <w:t xml:space="preserve"> </w:t>
      </w:r>
    </w:p>
  </w:footnote>
  <w:footnote w:id="4">
    <w:p w:rsidR="00D740F6" w:rsidRDefault="00D740F6" w:rsidP="00D740F6">
      <w:pPr>
        <w:pStyle w:val="FootnoteText"/>
      </w:pPr>
      <w:r>
        <w:rPr>
          <w:rStyle w:val="FootnoteReference"/>
        </w:rPr>
        <w:footnoteRef/>
      </w:r>
      <w:r>
        <w:t xml:space="preserve"> </w:t>
      </w:r>
      <w:r>
        <w:tab/>
      </w:r>
      <w:proofErr w:type="gramStart"/>
      <w:r>
        <w:t xml:space="preserve">JGN, </w:t>
      </w:r>
      <w:r w:rsidRPr="005F1E24">
        <w:rPr>
          <w:rStyle w:val="AERtextitalic"/>
        </w:rPr>
        <w:t xml:space="preserve">Access arrangement </w:t>
      </w:r>
      <w:r>
        <w:rPr>
          <w:rStyle w:val="AERtextitalic"/>
        </w:rPr>
        <w:t>information</w:t>
      </w:r>
      <w:r>
        <w:t>, s, 11.1, paragraph 431, p. 102.</w:t>
      </w:r>
      <w:proofErr w:type="gramEnd"/>
    </w:p>
  </w:footnote>
  <w:footnote w:id="5">
    <w:p w:rsidR="00D740F6" w:rsidRDefault="00D740F6" w:rsidP="00D740F6">
      <w:pPr>
        <w:pStyle w:val="FootnoteText"/>
      </w:pPr>
      <w:r>
        <w:rPr>
          <w:rStyle w:val="FootnoteReference"/>
        </w:rPr>
        <w:footnoteRef/>
      </w:r>
      <w:r>
        <w:t xml:space="preserve"> </w:t>
      </w:r>
      <w:r>
        <w:tab/>
        <w:t xml:space="preserve">JGN, </w:t>
      </w:r>
      <w:r w:rsidRPr="005F1E24">
        <w:rPr>
          <w:rStyle w:val="AERtextitalic"/>
        </w:rPr>
        <w:t>Access arrangement proposal</w:t>
      </w:r>
      <w:r>
        <w:t>, clause 12.1(h</w:t>
      </w:r>
      <w:proofErr w:type="gramStart"/>
      <w:r>
        <w:t>)(</w:t>
      </w:r>
      <w:proofErr w:type="spellStart"/>
      <w:proofErr w:type="gramEnd"/>
      <w:r>
        <w:t>i</w:t>
      </w:r>
      <w:proofErr w:type="spellEnd"/>
      <w:r>
        <w:t>-vii), p. 33.</w:t>
      </w:r>
    </w:p>
  </w:footnote>
  <w:footnote w:id="6">
    <w:p w:rsidR="00D740F6" w:rsidRDefault="00D740F6" w:rsidP="00D740F6">
      <w:pPr>
        <w:pStyle w:val="FootnoteText"/>
      </w:pPr>
      <w:r>
        <w:rPr>
          <w:rStyle w:val="FootnoteReference"/>
        </w:rPr>
        <w:footnoteRef/>
      </w:r>
      <w:r>
        <w:t xml:space="preserve"> </w:t>
      </w:r>
      <w:r>
        <w:tab/>
      </w:r>
      <w:proofErr w:type="gramStart"/>
      <w:r>
        <w:t xml:space="preserve">JGN, </w:t>
      </w:r>
      <w:r w:rsidRPr="005F1E24">
        <w:rPr>
          <w:rStyle w:val="AERtextitalic"/>
        </w:rPr>
        <w:t>Access arrangement proposal</w:t>
      </w:r>
      <w:r>
        <w:t>, clause 12.1, pp. 32-4.</w:t>
      </w:r>
      <w:proofErr w:type="gramEnd"/>
    </w:p>
  </w:footnote>
  <w:footnote w:id="7">
    <w:p w:rsidR="00D740F6" w:rsidRDefault="00D740F6" w:rsidP="00D740F6">
      <w:pPr>
        <w:pStyle w:val="FootnoteText"/>
      </w:pPr>
      <w:r>
        <w:rPr>
          <w:rStyle w:val="FootnoteReference"/>
        </w:rPr>
        <w:footnoteRef/>
      </w:r>
      <w:r>
        <w:t xml:space="preserve"> </w:t>
      </w:r>
      <w:r>
        <w:tab/>
      </w:r>
      <w:proofErr w:type="gramStart"/>
      <w:r>
        <w:t>NGR, r. 98(1).</w:t>
      </w:r>
      <w:proofErr w:type="gramEnd"/>
    </w:p>
  </w:footnote>
  <w:footnote w:id="8">
    <w:p w:rsidR="00D740F6" w:rsidRDefault="00D740F6" w:rsidP="00D740F6">
      <w:pPr>
        <w:pStyle w:val="FootnoteText"/>
      </w:pPr>
      <w:r>
        <w:rPr>
          <w:rStyle w:val="FootnoteReference"/>
        </w:rPr>
        <w:footnoteRef/>
      </w:r>
      <w:r>
        <w:t xml:space="preserve"> </w:t>
      </w:r>
      <w:r>
        <w:tab/>
      </w:r>
      <w:proofErr w:type="gramStart"/>
      <w:r>
        <w:t>NGR, r. 98(3).</w:t>
      </w:r>
      <w:proofErr w:type="gramEnd"/>
    </w:p>
  </w:footnote>
  <w:footnote w:id="9">
    <w:p w:rsidR="00D740F6" w:rsidRDefault="00D740F6" w:rsidP="00D740F6">
      <w:pPr>
        <w:pStyle w:val="FootnoteText"/>
      </w:pPr>
      <w:r>
        <w:rPr>
          <w:rStyle w:val="FootnoteReference"/>
        </w:rPr>
        <w:footnoteRef/>
      </w:r>
      <w:r>
        <w:t xml:space="preserve"> </w:t>
      </w:r>
      <w:r>
        <w:tab/>
      </w:r>
      <w:proofErr w:type="gramStart"/>
      <w:r>
        <w:t>NGL, s. 24(3).</w:t>
      </w:r>
      <w:proofErr w:type="gramEnd"/>
    </w:p>
  </w:footnote>
  <w:footnote w:id="10">
    <w:p w:rsidR="00D740F6" w:rsidRDefault="00D740F6" w:rsidP="00D740F6">
      <w:pPr>
        <w:pStyle w:val="FootnoteText"/>
      </w:pPr>
      <w:r>
        <w:rPr>
          <w:rStyle w:val="FootnoteReference"/>
        </w:rPr>
        <w:footnoteRef/>
      </w:r>
      <w:r>
        <w:t xml:space="preserve"> </w:t>
      </w:r>
      <w:r>
        <w:tab/>
        <w:t xml:space="preserve">For further information about why this is the </w:t>
      </w:r>
      <w:proofErr w:type="gramStart"/>
      <w:r>
        <w:t>case see</w:t>
      </w:r>
      <w:proofErr w:type="gramEnd"/>
      <w:r>
        <w:t xml:space="preserve"> AER, </w:t>
      </w:r>
      <w:r w:rsidRPr="006B0300">
        <w:rPr>
          <w:rStyle w:val="AERtextitalic"/>
        </w:rPr>
        <w:t>Efficiency Benefit Sharing Scheme - Explanatory Statement</w:t>
      </w:r>
      <w:r>
        <w:t>, November 2013.</w:t>
      </w:r>
    </w:p>
  </w:footnote>
  <w:footnote w:id="11">
    <w:p w:rsidR="00D740F6" w:rsidRDefault="00D740F6" w:rsidP="00D740F6">
      <w:pPr>
        <w:pStyle w:val="FootnoteText"/>
      </w:pPr>
      <w:r>
        <w:rPr>
          <w:rStyle w:val="FootnoteReference"/>
        </w:rPr>
        <w:footnoteRef/>
      </w:r>
      <w:r>
        <w:t xml:space="preserve"> </w:t>
      </w:r>
      <w:r>
        <w:tab/>
      </w:r>
      <w:proofErr w:type="gramStart"/>
      <w:r>
        <w:t xml:space="preserve">AER, </w:t>
      </w:r>
      <w:r w:rsidRPr="00F80ADF">
        <w:rPr>
          <w:rStyle w:val="AERtextitalic"/>
        </w:rPr>
        <w:t>Efficiency benefit sharing scheme for electricity network service providers</w:t>
      </w:r>
      <w:r>
        <w:t>, November 2013, p. 7.</w:t>
      </w:r>
      <w:proofErr w:type="gramEnd"/>
    </w:p>
  </w:footnote>
  <w:footnote w:id="12">
    <w:p w:rsidR="00D740F6" w:rsidRDefault="00D740F6" w:rsidP="00D740F6">
      <w:pPr>
        <w:pStyle w:val="FootnoteText"/>
      </w:pPr>
      <w:r>
        <w:rPr>
          <w:rStyle w:val="FootnoteReference"/>
        </w:rPr>
        <w:footnoteRef/>
      </w:r>
      <w:r>
        <w:t xml:space="preserve"> </w:t>
      </w:r>
      <w:r>
        <w:tab/>
        <w:t xml:space="preserve">JGN, </w:t>
      </w:r>
      <w:r w:rsidRPr="005F1E24">
        <w:rPr>
          <w:rStyle w:val="AERtextitalic"/>
        </w:rPr>
        <w:t>Access arrangement proposal</w:t>
      </w:r>
      <w:r>
        <w:t>, clause 12.1(</w:t>
      </w:r>
      <w:proofErr w:type="spellStart"/>
      <w:r>
        <w:t>i</w:t>
      </w:r>
      <w:proofErr w:type="spellEnd"/>
      <w:proofErr w:type="gramStart"/>
      <w:r>
        <w:t>)(</w:t>
      </w:r>
      <w:proofErr w:type="spellStart"/>
      <w:proofErr w:type="gramEnd"/>
      <w:r>
        <w:t>i</w:t>
      </w:r>
      <w:proofErr w:type="spellEnd"/>
      <w:r>
        <w:t>), p. 34.</w:t>
      </w:r>
    </w:p>
  </w:footnote>
  <w:footnote w:id="13">
    <w:p w:rsidR="00D740F6" w:rsidRDefault="00D740F6" w:rsidP="00D740F6">
      <w:pPr>
        <w:pStyle w:val="FootnoteText"/>
      </w:pPr>
      <w:r>
        <w:rPr>
          <w:rStyle w:val="FootnoteReference"/>
        </w:rPr>
        <w:footnoteRef/>
      </w:r>
      <w:r>
        <w:t xml:space="preserve"> </w:t>
      </w:r>
      <w:r>
        <w:tab/>
      </w:r>
      <w:proofErr w:type="gramStart"/>
      <w:r>
        <w:t>Excluding debt raising costs.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233428C7"/>
    <w:multiLevelType w:val="multilevel"/>
    <w:tmpl w:val="39D4CB02"/>
    <w:numStyleLink w:val="AERnumberedlist"/>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9"/>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2BF0570"/>
    <w:multiLevelType w:val="hybridMultilevel"/>
    <w:tmpl w:val="2C38EE7E"/>
    <w:styleLink w:val="1ai"/>
    <w:lvl w:ilvl="0" w:tplc="605E865A">
      <w:start w:val="1"/>
      <w:numFmt w:val="bullet"/>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AAC6DD7"/>
    <w:multiLevelType w:val="multilevel"/>
    <w:tmpl w:val="950A1C52"/>
    <w:numStyleLink w:val="AERHeadings"/>
  </w:abstractNum>
  <w:abstractNum w:abstractNumId="1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3"/>
  </w:num>
  <w:num w:numId="2">
    <w:abstractNumId w:val="7"/>
  </w:num>
  <w:num w:numId="3">
    <w:abstractNumId w:val="5"/>
  </w:num>
  <w:num w:numId="4">
    <w:abstractNumId w:val="13"/>
  </w:num>
  <w:num w:numId="5">
    <w:abstractNumId w:val="0"/>
  </w:num>
  <w:num w:numId="6">
    <w:abstractNumId w:val="9"/>
  </w:num>
  <w:num w:numId="7">
    <w:abstractNumId w:val="6"/>
  </w:num>
  <w:num w:numId="8">
    <w:abstractNumId w:val="12"/>
  </w:num>
  <w:num w:numId="9">
    <w:abstractNumId w:val="8"/>
    <w:lvlOverride w:ilvl="0">
      <w:startOverride w:val="1"/>
    </w:lvlOverride>
  </w:num>
  <w:num w:numId="10">
    <w:abstractNumId w:val="7"/>
  </w:num>
  <w:num w:numId="11">
    <w:abstractNumId w:val="12"/>
  </w:num>
  <w:num w:numId="12">
    <w:abstractNumId w:val="12"/>
  </w:num>
  <w:num w:numId="13">
    <w:abstractNumId w:val="12"/>
  </w:num>
  <w:num w:numId="14">
    <w:abstractNumId w:val="12"/>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5"/>
        <w:numFmt w:val="decimal"/>
        <w:pStyle w:val="Heading1"/>
        <w:lvlText w:val="%1%2"/>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num>
  <w:num w:numId="24">
    <w:abstractNumId w:val="1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7">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404\AER14 8394  Jemena Gas 2014 - other corporate income tax - AER draft decision - corporate income tax.DOCX"/>
  </w:docVars>
  <w:rsids>
    <w:rsidRoot w:val="000C052F"/>
    <w:rsid w:val="0000077D"/>
    <w:rsid w:val="00011129"/>
    <w:rsid w:val="00022493"/>
    <w:rsid w:val="00022606"/>
    <w:rsid w:val="00040599"/>
    <w:rsid w:val="00040749"/>
    <w:rsid w:val="00060877"/>
    <w:rsid w:val="00067A6E"/>
    <w:rsid w:val="000722CB"/>
    <w:rsid w:val="00091E13"/>
    <w:rsid w:val="00093E0D"/>
    <w:rsid w:val="000A1730"/>
    <w:rsid w:val="000A1CC2"/>
    <w:rsid w:val="000A333F"/>
    <w:rsid w:val="000A5342"/>
    <w:rsid w:val="000B0C71"/>
    <w:rsid w:val="000B15CA"/>
    <w:rsid w:val="000C052F"/>
    <w:rsid w:val="000C2CC6"/>
    <w:rsid w:val="000C3430"/>
    <w:rsid w:val="000C5F5D"/>
    <w:rsid w:val="000C6D71"/>
    <w:rsid w:val="000D03C2"/>
    <w:rsid w:val="000D04B1"/>
    <w:rsid w:val="000D1496"/>
    <w:rsid w:val="000D401F"/>
    <w:rsid w:val="000E1A25"/>
    <w:rsid w:val="000E6418"/>
    <w:rsid w:val="000E689D"/>
    <w:rsid w:val="000F3A6A"/>
    <w:rsid w:val="001033B3"/>
    <w:rsid w:val="00105636"/>
    <w:rsid w:val="00106F84"/>
    <w:rsid w:val="00111B01"/>
    <w:rsid w:val="001168DE"/>
    <w:rsid w:val="001215CC"/>
    <w:rsid w:val="00121FBC"/>
    <w:rsid w:val="0013022D"/>
    <w:rsid w:val="00142E50"/>
    <w:rsid w:val="00147A4A"/>
    <w:rsid w:val="001543D2"/>
    <w:rsid w:val="001708CC"/>
    <w:rsid w:val="00174026"/>
    <w:rsid w:val="001836BF"/>
    <w:rsid w:val="001856EE"/>
    <w:rsid w:val="0018578C"/>
    <w:rsid w:val="00194744"/>
    <w:rsid w:val="00194C3C"/>
    <w:rsid w:val="00196100"/>
    <w:rsid w:val="001B26DC"/>
    <w:rsid w:val="001B6619"/>
    <w:rsid w:val="001C12E5"/>
    <w:rsid w:val="001D0C6B"/>
    <w:rsid w:val="001F2038"/>
    <w:rsid w:val="001F5BE2"/>
    <w:rsid w:val="001F67AF"/>
    <w:rsid w:val="00201D22"/>
    <w:rsid w:val="002023C1"/>
    <w:rsid w:val="0020711E"/>
    <w:rsid w:val="00210880"/>
    <w:rsid w:val="00212B7E"/>
    <w:rsid w:val="00213992"/>
    <w:rsid w:val="002242A6"/>
    <w:rsid w:val="002257B9"/>
    <w:rsid w:val="0022766D"/>
    <w:rsid w:val="0023137D"/>
    <w:rsid w:val="00266710"/>
    <w:rsid w:val="00271281"/>
    <w:rsid w:val="00274E61"/>
    <w:rsid w:val="002805B8"/>
    <w:rsid w:val="002863C6"/>
    <w:rsid w:val="00291950"/>
    <w:rsid w:val="002938CE"/>
    <w:rsid w:val="00296327"/>
    <w:rsid w:val="002B5813"/>
    <w:rsid w:val="002B6640"/>
    <w:rsid w:val="002D2D19"/>
    <w:rsid w:val="002D61AC"/>
    <w:rsid w:val="002E4720"/>
    <w:rsid w:val="00303452"/>
    <w:rsid w:val="00305716"/>
    <w:rsid w:val="00311EE2"/>
    <w:rsid w:val="003153DD"/>
    <w:rsid w:val="0031732A"/>
    <w:rsid w:val="003302B9"/>
    <w:rsid w:val="003324F7"/>
    <w:rsid w:val="00334F88"/>
    <w:rsid w:val="0033654C"/>
    <w:rsid w:val="0034264C"/>
    <w:rsid w:val="00351732"/>
    <w:rsid w:val="00352941"/>
    <w:rsid w:val="0035558A"/>
    <w:rsid w:val="003668AB"/>
    <w:rsid w:val="003676B7"/>
    <w:rsid w:val="003707DB"/>
    <w:rsid w:val="003719B5"/>
    <w:rsid w:val="00375AEC"/>
    <w:rsid w:val="00376236"/>
    <w:rsid w:val="0037652C"/>
    <w:rsid w:val="003800E4"/>
    <w:rsid w:val="00380FF5"/>
    <w:rsid w:val="003841CE"/>
    <w:rsid w:val="00384D85"/>
    <w:rsid w:val="00391596"/>
    <w:rsid w:val="003A4BAC"/>
    <w:rsid w:val="003A6174"/>
    <w:rsid w:val="003A7C8A"/>
    <w:rsid w:val="003A7EE5"/>
    <w:rsid w:val="003B6BFA"/>
    <w:rsid w:val="003C0C81"/>
    <w:rsid w:val="003D1269"/>
    <w:rsid w:val="003E411D"/>
    <w:rsid w:val="003E6299"/>
    <w:rsid w:val="003F3E38"/>
    <w:rsid w:val="003F55FC"/>
    <w:rsid w:val="004005EB"/>
    <w:rsid w:val="004030AB"/>
    <w:rsid w:val="00404222"/>
    <w:rsid w:val="00404EAB"/>
    <w:rsid w:val="00410517"/>
    <w:rsid w:val="00412282"/>
    <w:rsid w:val="004256BA"/>
    <w:rsid w:val="00431999"/>
    <w:rsid w:val="00433475"/>
    <w:rsid w:val="00435682"/>
    <w:rsid w:val="00436C61"/>
    <w:rsid w:val="00456081"/>
    <w:rsid w:val="00464F5D"/>
    <w:rsid w:val="00465C62"/>
    <w:rsid w:val="0046605D"/>
    <w:rsid w:val="004708F5"/>
    <w:rsid w:val="00474FBD"/>
    <w:rsid w:val="0047790E"/>
    <w:rsid w:val="00491D7D"/>
    <w:rsid w:val="004964DB"/>
    <w:rsid w:val="004C115A"/>
    <w:rsid w:val="004C3F45"/>
    <w:rsid w:val="004D2E88"/>
    <w:rsid w:val="004D3B47"/>
    <w:rsid w:val="004D3FDE"/>
    <w:rsid w:val="004E40EF"/>
    <w:rsid w:val="004E73F7"/>
    <w:rsid w:val="004F0195"/>
    <w:rsid w:val="004F76A0"/>
    <w:rsid w:val="00500E7F"/>
    <w:rsid w:val="00501919"/>
    <w:rsid w:val="00510278"/>
    <w:rsid w:val="00512D17"/>
    <w:rsid w:val="00520094"/>
    <w:rsid w:val="0052179D"/>
    <w:rsid w:val="00525604"/>
    <w:rsid w:val="005311F1"/>
    <w:rsid w:val="005456A9"/>
    <w:rsid w:val="00555D52"/>
    <w:rsid w:val="005566D7"/>
    <w:rsid w:val="00561F7F"/>
    <w:rsid w:val="00564677"/>
    <w:rsid w:val="00566B35"/>
    <w:rsid w:val="005715BC"/>
    <w:rsid w:val="005732CC"/>
    <w:rsid w:val="00575422"/>
    <w:rsid w:val="005938C6"/>
    <w:rsid w:val="005A0431"/>
    <w:rsid w:val="005A733C"/>
    <w:rsid w:val="005B2DD0"/>
    <w:rsid w:val="005B3752"/>
    <w:rsid w:val="005B61C2"/>
    <w:rsid w:val="005C5D3E"/>
    <w:rsid w:val="005D0F54"/>
    <w:rsid w:val="005D1F46"/>
    <w:rsid w:val="005D26B7"/>
    <w:rsid w:val="005D4AA1"/>
    <w:rsid w:val="005D594C"/>
    <w:rsid w:val="005E3E0C"/>
    <w:rsid w:val="005E56FE"/>
    <w:rsid w:val="0060146C"/>
    <w:rsid w:val="0060207D"/>
    <w:rsid w:val="006039F2"/>
    <w:rsid w:val="006049FB"/>
    <w:rsid w:val="006061B0"/>
    <w:rsid w:val="0060732E"/>
    <w:rsid w:val="006076A9"/>
    <w:rsid w:val="00614D8E"/>
    <w:rsid w:val="00622AE3"/>
    <w:rsid w:val="006346A7"/>
    <w:rsid w:val="00635671"/>
    <w:rsid w:val="0065014D"/>
    <w:rsid w:val="0065125A"/>
    <w:rsid w:val="006544EA"/>
    <w:rsid w:val="0066569F"/>
    <w:rsid w:val="00665CAE"/>
    <w:rsid w:val="00666F46"/>
    <w:rsid w:val="00681367"/>
    <w:rsid w:val="0069004B"/>
    <w:rsid w:val="006962A0"/>
    <w:rsid w:val="006B08EB"/>
    <w:rsid w:val="006B319B"/>
    <w:rsid w:val="006B481F"/>
    <w:rsid w:val="006C10BB"/>
    <w:rsid w:val="006D7DC9"/>
    <w:rsid w:val="006F638E"/>
    <w:rsid w:val="00703E42"/>
    <w:rsid w:val="00705F01"/>
    <w:rsid w:val="00713058"/>
    <w:rsid w:val="007335FD"/>
    <w:rsid w:val="007368AD"/>
    <w:rsid w:val="00751D2A"/>
    <w:rsid w:val="0075370E"/>
    <w:rsid w:val="00754DC8"/>
    <w:rsid w:val="00755095"/>
    <w:rsid w:val="007550E1"/>
    <w:rsid w:val="00791A78"/>
    <w:rsid w:val="00796A07"/>
    <w:rsid w:val="007B0BB0"/>
    <w:rsid w:val="007B3B61"/>
    <w:rsid w:val="007B5D8B"/>
    <w:rsid w:val="007C3B99"/>
    <w:rsid w:val="007C5E48"/>
    <w:rsid w:val="007D1665"/>
    <w:rsid w:val="007E1B95"/>
    <w:rsid w:val="007F06C1"/>
    <w:rsid w:val="007F10E3"/>
    <w:rsid w:val="007F212D"/>
    <w:rsid w:val="007F2C0E"/>
    <w:rsid w:val="007F6B32"/>
    <w:rsid w:val="00804AEB"/>
    <w:rsid w:val="008216A9"/>
    <w:rsid w:val="00824CC8"/>
    <w:rsid w:val="00831491"/>
    <w:rsid w:val="00836D17"/>
    <w:rsid w:val="00840A55"/>
    <w:rsid w:val="00841E25"/>
    <w:rsid w:val="0084378B"/>
    <w:rsid w:val="008464CD"/>
    <w:rsid w:val="008515EE"/>
    <w:rsid w:val="0085249B"/>
    <w:rsid w:val="00854AEE"/>
    <w:rsid w:val="0085593A"/>
    <w:rsid w:val="0086160E"/>
    <w:rsid w:val="00861C4E"/>
    <w:rsid w:val="00866D21"/>
    <w:rsid w:val="00872448"/>
    <w:rsid w:val="00872D85"/>
    <w:rsid w:val="00880D0C"/>
    <w:rsid w:val="00883DDA"/>
    <w:rsid w:val="00883F67"/>
    <w:rsid w:val="008841DB"/>
    <w:rsid w:val="00891FF9"/>
    <w:rsid w:val="00893367"/>
    <w:rsid w:val="00893D07"/>
    <w:rsid w:val="008B262C"/>
    <w:rsid w:val="008B3194"/>
    <w:rsid w:val="008B4932"/>
    <w:rsid w:val="008B7956"/>
    <w:rsid w:val="008C3722"/>
    <w:rsid w:val="008C3B67"/>
    <w:rsid w:val="008C3F48"/>
    <w:rsid w:val="008D1473"/>
    <w:rsid w:val="008D2B51"/>
    <w:rsid w:val="008D49B4"/>
    <w:rsid w:val="008D7498"/>
    <w:rsid w:val="008E43EB"/>
    <w:rsid w:val="008E630D"/>
    <w:rsid w:val="00920432"/>
    <w:rsid w:val="00927984"/>
    <w:rsid w:val="00932E96"/>
    <w:rsid w:val="00933484"/>
    <w:rsid w:val="009418E6"/>
    <w:rsid w:val="0094235F"/>
    <w:rsid w:val="0094279F"/>
    <w:rsid w:val="009429FF"/>
    <w:rsid w:val="00943B93"/>
    <w:rsid w:val="00946B98"/>
    <w:rsid w:val="0095052A"/>
    <w:rsid w:val="009516DF"/>
    <w:rsid w:val="00957F1D"/>
    <w:rsid w:val="00963AFA"/>
    <w:rsid w:val="009658F0"/>
    <w:rsid w:val="00971655"/>
    <w:rsid w:val="00971C63"/>
    <w:rsid w:val="00972175"/>
    <w:rsid w:val="00975F54"/>
    <w:rsid w:val="0097658F"/>
    <w:rsid w:val="00980D9B"/>
    <w:rsid w:val="00983C6C"/>
    <w:rsid w:val="00985A25"/>
    <w:rsid w:val="009A4AE9"/>
    <w:rsid w:val="009A73F2"/>
    <w:rsid w:val="009C17AC"/>
    <w:rsid w:val="009C71D5"/>
    <w:rsid w:val="009D013F"/>
    <w:rsid w:val="009D02E8"/>
    <w:rsid w:val="009D5F52"/>
    <w:rsid w:val="009E0833"/>
    <w:rsid w:val="009F6E3A"/>
    <w:rsid w:val="009F7CE4"/>
    <w:rsid w:val="00A03483"/>
    <w:rsid w:val="00A036EE"/>
    <w:rsid w:val="00A11162"/>
    <w:rsid w:val="00A1253E"/>
    <w:rsid w:val="00A3053C"/>
    <w:rsid w:val="00A37F0F"/>
    <w:rsid w:val="00A43227"/>
    <w:rsid w:val="00A46CCD"/>
    <w:rsid w:val="00A5047C"/>
    <w:rsid w:val="00A62D21"/>
    <w:rsid w:val="00A65133"/>
    <w:rsid w:val="00A652C5"/>
    <w:rsid w:val="00A73A0F"/>
    <w:rsid w:val="00A7774C"/>
    <w:rsid w:val="00A831F6"/>
    <w:rsid w:val="00A85C5A"/>
    <w:rsid w:val="00A9309D"/>
    <w:rsid w:val="00A96A08"/>
    <w:rsid w:val="00AA0161"/>
    <w:rsid w:val="00AA4CC1"/>
    <w:rsid w:val="00AB1D08"/>
    <w:rsid w:val="00AB3BE9"/>
    <w:rsid w:val="00AB4345"/>
    <w:rsid w:val="00AB472F"/>
    <w:rsid w:val="00AB5BD7"/>
    <w:rsid w:val="00AC0135"/>
    <w:rsid w:val="00AC070D"/>
    <w:rsid w:val="00AC1B94"/>
    <w:rsid w:val="00AC48A1"/>
    <w:rsid w:val="00AD0616"/>
    <w:rsid w:val="00AD34FF"/>
    <w:rsid w:val="00AD4DE6"/>
    <w:rsid w:val="00AE6DBC"/>
    <w:rsid w:val="00AE7BE2"/>
    <w:rsid w:val="00AE7C53"/>
    <w:rsid w:val="00AF3E95"/>
    <w:rsid w:val="00AF7C67"/>
    <w:rsid w:val="00B14C33"/>
    <w:rsid w:val="00B15FE9"/>
    <w:rsid w:val="00B2004B"/>
    <w:rsid w:val="00B2412C"/>
    <w:rsid w:val="00B26B38"/>
    <w:rsid w:val="00B3458E"/>
    <w:rsid w:val="00B36C53"/>
    <w:rsid w:val="00B44BC6"/>
    <w:rsid w:val="00B51883"/>
    <w:rsid w:val="00B60D45"/>
    <w:rsid w:val="00B61FD4"/>
    <w:rsid w:val="00B62AFF"/>
    <w:rsid w:val="00B674DB"/>
    <w:rsid w:val="00B82E8D"/>
    <w:rsid w:val="00B8622C"/>
    <w:rsid w:val="00B9264D"/>
    <w:rsid w:val="00B94D99"/>
    <w:rsid w:val="00BB3FA1"/>
    <w:rsid w:val="00BB62BB"/>
    <w:rsid w:val="00BB6419"/>
    <w:rsid w:val="00BC05C5"/>
    <w:rsid w:val="00BC4779"/>
    <w:rsid w:val="00BC57A6"/>
    <w:rsid w:val="00BC5B1F"/>
    <w:rsid w:val="00BD04BE"/>
    <w:rsid w:val="00BD203B"/>
    <w:rsid w:val="00BD2A5A"/>
    <w:rsid w:val="00BE6F28"/>
    <w:rsid w:val="00BF1CAF"/>
    <w:rsid w:val="00BF29FA"/>
    <w:rsid w:val="00C03E5F"/>
    <w:rsid w:val="00C04D2B"/>
    <w:rsid w:val="00C122F8"/>
    <w:rsid w:val="00C1324E"/>
    <w:rsid w:val="00C21585"/>
    <w:rsid w:val="00C272B4"/>
    <w:rsid w:val="00C277B2"/>
    <w:rsid w:val="00C557F2"/>
    <w:rsid w:val="00C737C5"/>
    <w:rsid w:val="00C85F9A"/>
    <w:rsid w:val="00C90B93"/>
    <w:rsid w:val="00C91879"/>
    <w:rsid w:val="00CA0B34"/>
    <w:rsid w:val="00CA3540"/>
    <w:rsid w:val="00CA6DED"/>
    <w:rsid w:val="00CC49D4"/>
    <w:rsid w:val="00CD1010"/>
    <w:rsid w:val="00CE00A3"/>
    <w:rsid w:val="00CE6F5A"/>
    <w:rsid w:val="00CF2AD4"/>
    <w:rsid w:val="00CF42CF"/>
    <w:rsid w:val="00CF6994"/>
    <w:rsid w:val="00D04377"/>
    <w:rsid w:val="00D102E9"/>
    <w:rsid w:val="00D14AA4"/>
    <w:rsid w:val="00D1688F"/>
    <w:rsid w:val="00D20390"/>
    <w:rsid w:val="00D2117F"/>
    <w:rsid w:val="00D21A6A"/>
    <w:rsid w:val="00D25317"/>
    <w:rsid w:val="00D31E37"/>
    <w:rsid w:val="00D470CA"/>
    <w:rsid w:val="00D603A4"/>
    <w:rsid w:val="00D60821"/>
    <w:rsid w:val="00D62997"/>
    <w:rsid w:val="00D66E8B"/>
    <w:rsid w:val="00D73237"/>
    <w:rsid w:val="00D740F6"/>
    <w:rsid w:val="00D81B53"/>
    <w:rsid w:val="00D82184"/>
    <w:rsid w:val="00D834B7"/>
    <w:rsid w:val="00D85715"/>
    <w:rsid w:val="00D85B90"/>
    <w:rsid w:val="00D85DF1"/>
    <w:rsid w:val="00D8706C"/>
    <w:rsid w:val="00DA4C62"/>
    <w:rsid w:val="00DA76E6"/>
    <w:rsid w:val="00DA7967"/>
    <w:rsid w:val="00DB6A17"/>
    <w:rsid w:val="00DD4E84"/>
    <w:rsid w:val="00DD5520"/>
    <w:rsid w:val="00DE22F1"/>
    <w:rsid w:val="00DF16C2"/>
    <w:rsid w:val="00E00F76"/>
    <w:rsid w:val="00E21E75"/>
    <w:rsid w:val="00E244E4"/>
    <w:rsid w:val="00E30377"/>
    <w:rsid w:val="00E41CD5"/>
    <w:rsid w:val="00E47128"/>
    <w:rsid w:val="00E519DC"/>
    <w:rsid w:val="00E649AC"/>
    <w:rsid w:val="00E6571F"/>
    <w:rsid w:val="00E807DA"/>
    <w:rsid w:val="00E82908"/>
    <w:rsid w:val="00E833E2"/>
    <w:rsid w:val="00E84E3A"/>
    <w:rsid w:val="00E868CF"/>
    <w:rsid w:val="00E902E6"/>
    <w:rsid w:val="00E91F70"/>
    <w:rsid w:val="00E95DF8"/>
    <w:rsid w:val="00E97CFD"/>
    <w:rsid w:val="00EA05AF"/>
    <w:rsid w:val="00EA5036"/>
    <w:rsid w:val="00EA50CD"/>
    <w:rsid w:val="00EB5CDF"/>
    <w:rsid w:val="00EC43B9"/>
    <w:rsid w:val="00ED08EA"/>
    <w:rsid w:val="00ED4963"/>
    <w:rsid w:val="00ED4D69"/>
    <w:rsid w:val="00ED6FB9"/>
    <w:rsid w:val="00EE0E2F"/>
    <w:rsid w:val="00EE362F"/>
    <w:rsid w:val="00EF0E19"/>
    <w:rsid w:val="00F01C9D"/>
    <w:rsid w:val="00F05478"/>
    <w:rsid w:val="00F06EA7"/>
    <w:rsid w:val="00F114AE"/>
    <w:rsid w:val="00F27FD7"/>
    <w:rsid w:val="00F43CA0"/>
    <w:rsid w:val="00F54216"/>
    <w:rsid w:val="00F55030"/>
    <w:rsid w:val="00F636D6"/>
    <w:rsid w:val="00F63E70"/>
    <w:rsid w:val="00F66FFC"/>
    <w:rsid w:val="00F674AC"/>
    <w:rsid w:val="00F7696F"/>
    <w:rsid w:val="00F8209B"/>
    <w:rsid w:val="00F97CD9"/>
    <w:rsid w:val="00FA0576"/>
    <w:rsid w:val="00FB4C7F"/>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5"/>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D20390"/>
    <w:pPr>
      <w:spacing w:after="0" w:line="240" w:lineRule="auto"/>
    </w:pPr>
  </w:style>
  <w:style w:type="character" w:customStyle="1" w:styleId="EndnoteTextChar">
    <w:name w:val="Endnote Text Char"/>
    <w:basedOn w:val="DefaultParagraphFont"/>
    <w:link w:val="EndnoteText"/>
    <w:uiPriority w:val="99"/>
    <w:semiHidden/>
    <w:rsid w:val="00D20390"/>
    <w:rPr>
      <w:lang w:eastAsia="en-US"/>
    </w:rPr>
  </w:style>
  <w:style w:type="character" w:styleId="EndnoteReference">
    <w:name w:val="endnote reference"/>
    <w:basedOn w:val="DefaultParagraphFont"/>
    <w:uiPriority w:val="99"/>
    <w:semiHidden/>
    <w:unhideWhenUsed/>
    <w:rsid w:val="00D20390"/>
    <w:rPr>
      <w:vertAlign w:val="superscript"/>
    </w:rPr>
  </w:style>
  <w:style w:type="paragraph" w:styleId="Title">
    <w:name w:val="Title"/>
    <w:next w:val="Subtitle"/>
    <w:link w:val="TitleChar"/>
    <w:uiPriority w:val="10"/>
    <w:qFormat/>
    <w:rsid w:val="00D85B90"/>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uiPriority w:val="10"/>
    <w:rsid w:val="00D85B90"/>
    <w:rPr>
      <w:rFonts w:ascii="Arial" w:eastAsia="Times New Roman" w:hAnsi="Arial" w:cs="Arial"/>
      <w:b/>
      <w:bCs/>
      <w:kern w:val="28"/>
      <w:sz w:val="36"/>
      <w:szCs w:val="32"/>
      <w:lang w:eastAsia="en-US"/>
    </w:rPr>
  </w:style>
  <w:style w:type="paragraph" w:styleId="Subtitle">
    <w:name w:val="Subtitle"/>
    <w:link w:val="SubtitleChar"/>
    <w:uiPriority w:val="11"/>
    <w:qFormat/>
    <w:rsid w:val="00D85B90"/>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uiPriority w:val="11"/>
    <w:rsid w:val="00D85B90"/>
    <w:rPr>
      <w:rFonts w:ascii="Arial" w:eastAsia="Times New Roman" w:hAnsi="Arial" w:cs="Arial"/>
      <w:sz w:val="28"/>
      <w:szCs w:val="24"/>
      <w:lang w:eastAsia="en-US"/>
    </w:rPr>
  </w:style>
  <w:style w:type="paragraph" w:styleId="Revision">
    <w:name w:val="Revision"/>
    <w:hidden/>
    <w:uiPriority w:val="99"/>
    <w:semiHidden/>
    <w:rsid w:val="00F674AC"/>
    <w:rPr>
      <w:rFonts w:eastAsia="Times New Roman"/>
      <w:szCs w:val="24"/>
    </w:rPr>
  </w:style>
  <w:style w:type="numbering" w:styleId="1ai">
    <w:name w:val="Outline List 1"/>
    <w:basedOn w:val="NoList"/>
    <w:uiPriority w:val="99"/>
    <w:semiHidden/>
    <w:unhideWhenUsed/>
    <w:locked/>
    <w:rsid w:val="00F674AC"/>
    <w:pPr>
      <w:numPr>
        <w:numId w:val="17"/>
      </w:numPr>
    </w:pPr>
  </w:style>
  <w:style w:type="paragraph" w:styleId="Quote">
    <w:name w:val="Quote"/>
    <w:basedOn w:val="Normal"/>
    <w:next w:val="Normal"/>
    <w:link w:val="QuoteChar"/>
    <w:uiPriority w:val="29"/>
    <w:qFormat/>
    <w:rsid w:val="00F674AC"/>
    <w:pPr>
      <w:spacing w:after="0" w:line="240" w:lineRule="auto"/>
      <w:jc w:val="left"/>
    </w:pPr>
    <w:rPr>
      <w:rFonts w:ascii="Times New Roman" w:eastAsia="Times New Roman" w:hAnsi="Times New Roman"/>
      <w:i/>
      <w:iCs/>
      <w:color w:val="000000"/>
      <w:sz w:val="24"/>
      <w:szCs w:val="24"/>
      <w:lang w:eastAsia="en-AU"/>
    </w:rPr>
  </w:style>
  <w:style w:type="character" w:customStyle="1" w:styleId="QuoteChar">
    <w:name w:val="Quote Char"/>
    <w:basedOn w:val="DefaultParagraphFont"/>
    <w:link w:val="Quote"/>
    <w:uiPriority w:val="29"/>
    <w:rsid w:val="00F674AC"/>
    <w:rPr>
      <w:rFonts w:ascii="Times New Roman" w:eastAsia="Times New Roman" w:hAnsi="Times New Roman"/>
      <w:i/>
      <w:iCs/>
      <w:color w:val="000000"/>
      <w:sz w:val="24"/>
      <w:szCs w:val="24"/>
    </w:rPr>
  </w:style>
  <w:style w:type="paragraph" w:styleId="NoSpacing">
    <w:name w:val="No Spacing"/>
    <w:uiPriority w:val="1"/>
    <w:qFormat/>
    <w:rsid w:val="00F674AC"/>
    <w:pPr>
      <w:jc w:val="both"/>
    </w:pPr>
    <w:rPr>
      <w:rFonts w:eastAsia="Times New Roman"/>
      <w:szCs w:val="24"/>
    </w:rPr>
  </w:style>
  <w:style w:type="character" w:styleId="FollowedHyperlink">
    <w:name w:val="FollowedHyperlink"/>
    <w:basedOn w:val="DefaultParagraphFont"/>
    <w:uiPriority w:val="99"/>
    <w:semiHidden/>
    <w:unhideWhenUsed/>
    <w:rsid w:val="00F674AC"/>
    <w:rPr>
      <w:color w:val="800080"/>
      <w:u w:val="single"/>
    </w:rPr>
  </w:style>
  <w:style w:type="paragraph" w:styleId="DocumentMap">
    <w:name w:val="Document Map"/>
    <w:basedOn w:val="Normal"/>
    <w:link w:val="DocumentMapChar"/>
    <w:uiPriority w:val="99"/>
    <w:semiHidden/>
    <w:unhideWhenUsed/>
    <w:rsid w:val="00F674AC"/>
    <w:pPr>
      <w:spacing w:after="0" w:line="240" w:lineRule="auto"/>
      <w:jc w:val="left"/>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F674AC"/>
    <w:rPr>
      <w:rFonts w:ascii="Tahoma" w:eastAsia="Times New Roman" w:hAnsi="Tahoma" w:cs="Tahoma"/>
      <w:sz w:val="16"/>
      <w:szCs w:val="16"/>
    </w:rPr>
  </w:style>
  <w:style w:type="paragraph" w:styleId="ListBullet">
    <w:name w:val="List Bullet"/>
    <w:basedOn w:val="Normal"/>
    <w:uiPriority w:val="99"/>
    <w:semiHidden/>
    <w:unhideWhenUsed/>
    <w:locked/>
    <w:rsid w:val="00F674AC"/>
    <w:pPr>
      <w:tabs>
        <w:tab w:val="num" w:pos="0"/>
      </w:tabs>
      <w:spacing w:after="0" w:line="240" w:lineRule="auto"/>
      <w:contextualSpacing/>
      <w:jc w:val="left"/>
    </w:pPr>
    <w:rPr>
      <w:rFonts w:ascii="Times New Roman" w:eastAsia="Times New Roman" w:hAnsi="Times New Roman"/>
      <w:sz w:val="24"/>
      <w:szCs w:val="24"/>
      <w:lang w:eastAsia="en-AU"/>
    </w:rPr>
  </w:style>
  <w:style w:type="character" w:styleId="IntenseReference">
    <w:name w:val="Intense Reference"/>
    <w:uiPriority w:val="32"/>
    <w:qFormat/>
    <w:rsid w:val="00F674AC"/>
    <w:rPr>
      <w:smallCaps/>
      <w:spacing w:val="5"/>
      <w:u w:val="single"/>
    </w:rPr>
  </w:style>
  <w:style w:type="character" w:styleId="PlaceholderText">
    <w:name w:val="Placeholder Text"/>
    <w:basedOn w:val="DefaultParagraphFont"/>
    <w:uiPriority w:val="99"/>
    <w:unhideWhenUsed/>
    <w:rsid w:val="00F674AC"/>
    <w:rPr>
      <w:color w:val="808080"/>
    </w:rPr>
  </w:style>
  <w:style w:type="paragraph" w:styleId="ListNumber2">
    <w:name w:val="List Number 2"/>
    <w:basedOn w:val="Normal"/>
    <w:uiPriority w:val="99"/>
    <w:semiHidden/>
    <w:unhideWhenUsed/>
    <w:locked/>
    <w:rsid w:val="001B26DC"/>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 w:type="numbering" w:customStyle="1" w:styleId="Heading3Char">
    <w:name w:val="1ai"/>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1979677">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63AEBAD8.dotm</Template>
  <TotalTime>0</TotalTime>
  <Pages>12</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2014-11-26T04:09:00Z</dcterms:created>
  <dcterms:modified xsi:type="dcterms:W3CDTF">2014-11-26T04:09:00Z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8308361</vt:lpwstr>
  </property>
</Properties>
</file>