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364" w:rsidRDefault="009E3364" w:rsidP="00290C63">
      <w:pPr>
        <w:rPr>
          <w:rFonts w:eastAsiaTheme="majorEastAsia" w:cstheme="majorBidi"/>
          <w:noProof/>
          <w:sz w:val="36"/>
          <w:szCs w:val="36"/>
          <w:lang w:eastAsia="en-AU"/>
        </w:rPr>
      </w:pPr>
      <w:r w:rsidRPr="009E3364">
        <w:rPr>
          <w:noProof/>
          <w:lang w:eastAsia="en-AU"/>
        </w:rPr>
        <w:drawing>
          <wp:anchor distT="0" distB="0" distL="114300" distR="114300" simplePos="0" relativeHeight="251661312" behindDoc="1" locked="0" layoutInCell="1" allowOverlap="1" wp14:anchorId="7B76818D" wp14:editId="0C550639">
            <wp:simplePos x="0" y="0"/>
            <wp:positionH relativeFrom="column">
              <wp:posOffset>-1105535</wp:posOffset>
            </wp:positionH>
            <wp:positionV relativeFrom="paragraph">
              <wp:posOffset>-952887</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4DC5FE5" wp14:editId="0557ADF6">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6124E1">
            <w:t>DRAFT</w:t>
          </w:r>
          <w:r w:rsidR="00DA4752">
            <w:t xml:space="preserve"> DECISION</w:t>
          </w:r>
        </w:p>
        <w:p w:rsidR="00415F31" w:rsidRDefault="006124E1" w:rsidP="008F07A3">
          <w:pPr>
            <w:pStyle w:val="ReportSubtitle"/>
          </w:pPr>
          <w:r>
            <w:t>Roma to Brisbane</w:t>
          </w:r>
          <w:r w:rsidR="00A06085">
            <w:t xml:space="preserve"> </w:t>
          </w:r>
          <w:r w:rsidR="0033548E">
            <w:t>Gas Pipeline</w:t>
          </w:r>
          <w:r w:rsidR="00CF2C05">
            <w:br/>
            <w:t>Access Arrangement</w:t>
          </w:r>
        </w:p>
        <w:p w:rsidR="000A6C7B" w:rsidRDefault="005D31FF" w:rsidP="008F07A3">
          <w:pPr>
            <w:pStyle w:val="ReportSubtitle"/>
          </w:pPr>
          <w:r>
            <w:t xml:space="preserve">2017 </w:t>
          </w:r>
          <w:r w:rsidR="00DA4752">
            <w:t xml:space="preserve">to </w:t>
          </w:r>
          <w:r w:rsidR="00CA211F">
            <w:t>2022</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301F1F">
            <w:t>10</w:t>
          </w:r>
          <w:r w:rsidR="00DA4752">
            <w:t xml:space="preserve"> </w:t>
          </w:r>
          <w:r w:rsidR="00415F31">
            <w:rPr>
              <w:rFonts w:cs="Arial"/>
            </w:rPr>
            <w:t>–</w:t>
          </w:r>
          <w:r w:rsidR="00DA4752">
            <w:t xml:space="preserve"> </w:t>
          </w:r>
          <w:r w:rsidR="00301F1F">
            <w:t>Reference tariff setting</w:t>
          </w:r>
        </w:p>
        <w:p w:rsidR="000A6C7B" w:rsidRPr="00327A1E" w:rsidRDefault="00FF2721" w:rsidP="00327A1E">
          <w:pPr>
            <w:pStyle w:val="ReportDate"/>
          </w:pPr>
          <w:r>
            <w:t xml:space="preserve">July </w:t>
          </w:r>
          <w:r w:rsidR="00A2303E">
            <w:t>201</w:t>
          </w:r>
          <w:r w:rsidR="009E3364">
            <w:t>7</w:t>
          </w:r>
        </w:p>
      </w:sdtContent>
    </w:sdt>
    <w:p w:rsidR="00327A1E" w:rsidRPr="00290C63" w:rsidRDefault="00327A1E" w:rsidP="00290C63">
      <w:r>
        <w:br w:type="page"/>
      </w:r>
    </w:p>
    <w:p w:rsidR="000A6C7B" w:rsidRDefault="006E117C" w:rsidP="00961A4A">
      <w:pPr>
        <w:pStyle w:val="Copyright"/>
      </w:pPr>
      <w:r>
        <w:lastRenderedPageBreak/>
        <w:t>© Commonwealth of Australia 201</w:t>
      </w:r>
      <w:r w:rsidR="009E3364">
        <w:t>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rsidRPr="00D01EDD">
        <w:rPr>
          <w:sz w:val="20"/>
          <w:szCs w:val="20"/>
        </w:rPr>
        <w:t>the</w:t>
      </w:r>
      <w:r>
        <w:t xml:space="preserv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 xml:space="preserve">Tel: </w:t>
      </w:r>
      <w:r w:rsidR="00FF2721">
        <w:t>1300 585 165</w:t>
      </w:r>
    </w:p>
    <w:p w:rsidR="00B9562D" w:rsidRDefault="000A6C7B" w:rsidP="00B9562D">
      <w:pPr>
        <w:pStyle w:val="Copyright"/>
      </w:pPr>
      <w:r>
        <w:t xml:space="preserve">Email: </w:t>
      </w:r>
      <w:hyperlink r:id="rId12"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86852065"/>
      <w:r>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7707C9">
        <w:t>draft</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33548E">
        <w:t xml:space="preserve">the </w:t>
      </w:r>
      <w:r w:rsidR="007707C9">
        <w:t>Roma to Brisbane</w:t>
      </w:r>
      <w:r w:rsidR="0033548E">
        <w:t xml:space="preserve"> Gas Pipeline for </w:t>
      </w:r>
      <w:r w:rsidR="005D31FF">
        <w:t>2017</w:t>
      </w:r>
      <w:r w:rsidR="00415F31" w:rsidRPr="00D904FA">
        <w:t>–</w:t>
      </w:r>
      <w:r w:rsidR="00CA211F">
        <w:t>22</w:t>
      </w:r>
      <w:r w:rsidR="00415F31">
        <w:t xml:space="preserve">. It should be read with </w:t>
      </w:r>
      <w:r w:rsidR="005C0A7F">
        <w:t xml:space="preserve">all </w:t>
      </w:r>
      <w:r w:rsidR="00415F31">
        <w:t xml:space="preserve">other parts of the </w:t>
      </w:r>
      <w:r w:rsidR="007707C9">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7707C9">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86852066"/>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7539C0"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86852065" w:history="1">
            <w:r w:rsidR="007539C0" w:rsidRPr="00C82993">
              <w:rPr>
                <w:rStyle w:val="Hyperlink"/>
              </w:rPr>
              <w:t>Note</w:t>
            </w:r>
            <w:r w:rsidR="007539C0">
              <w:rPr>
                <w:webHidden/>
              </w:rPr>
              <w:tab/>
            </w:r>
            <w:r w:rsidR="007539C0">
              <w:rPr>
                <w:webHidden/>
              </w:rPr>
              <w:fldChar w:fldCharType="begin"/>
            </w:r>
            <w:r w:rsidR="007539C0">
              <w:rPr>
                <w:webHidden/>
              </w:rPr>
              <w:instrText xml:space="preserve"> PAGEREF _Toc486852065 \h </w:instrText>
            </w:r>
            <w:r w:rsidR="007539C0">
              <w:rPr>
                <w:webHidden/>
              </w:rPr>
            </w:r>
            <w:r w:rsidR="007539C0">
              <w:rPr>
                <w:webHidden/>
              </w:rPr>
              <w:fldChar w:fldCharType="separate"/>
            </w:r>
            <w:r w:rsidR="00CD1954">
              <w:rPr>
                <w:webHidden/>
              </w:rPr>
              <w:t>10-2</w:t>
            </w:r>
            <w:r w:rsidR="007539C0">
              <w:rPr>
                <w:webHidden/>
              </w:rPr>
              <w:fldChar w:fldCharType="end"/>
            </w:r>
          </w:hyperlink>
        </w:p>
        <w:p w:rsidR="007539C0" w:rsidRDefault="007539C0">
          <w:pPr>
            <w:pStyle w:val="TOC1"/>
            <w:rPr>
              <w:rFonts w:asciiTheme="minorHAnsi" w:eastAsiaTheme="minorEastAsia" w:hAnsiTheme="minorHAnsi"/>
              <w:b w:val="0"/>
              <w:color w:val="auto"/>
              <w:sz w:val="22"/>
              <w:lang w:val="en-AU" w:eastAsia="en-AU"/>
            </w:rPr>
          </w:pPr>
          <w:hyperlink w:anchor="_Toc486852066" w:history="1">
            <w:r w:rsidRPr="00C82993">
              <w:rPr>
                <w:rStyle w:val="Hyperlink"/>
              </w:rPr>
              <w:t>Contents</w:t>
            </w:r>
            <w:r>
              <w:rPr>
                <w:webHidden/>
              </w:rPr>
              <w:tab/>
            </w:r>
            <w:r>
              <w:rPr>
                <w:webHidden/>
              </w:rPr>
              <w:fldChar w:fldCharType="begin"/>
            </w:r>
            <w:r>
              <w:rPr>
                <w:webHidden/>
              </w:rPr>
              <w:instrText xml:space="preserve"> PAGEREF _Toc486852066 \h </w:instrText>
            </w:r>
            <w:r>
              <w:rPr>
                <w:webHidden/>
              </w:rPr>
            </w:r>
            <w:r>
              <w:rPr>
                <w:webHidden/>
              </w:rPr>
              <w:fldChar w:fldCharType="separate"/>
            </w:r>
            <w:r w:rsidR="00CD1954">
              <w:rPr>
                <w:webHidden/>
              </w:rPr>
              <w:t>10-3</w:t>
            </w:r>
            <w:r>
              <w:rPr>
                <w:webHidden/>
              </w:rPr>
              <w:fldChar w:fldCharType="end"/>
            </w:r>
          </w:hyperlink>
        </w:p>
        <w:p w:rsidR="007539C0" w:rsidRDefault="007539C0">
          <w:pPr>
            <w:pStyle w:val="TOC1"/>
            <w:rPr>
              <w:rFonts w:asciiTheme="minorHAnsi" w:eastAsiaTheme="minorEastAsia" w:hAnsiTheme="minorHAnsi"/>
              <w:b w:val="0"/>
              <w:color w:val="auto"/>
              <w:sz w:val="22"/>
              <w:lang w:val="en-AU" w:eastAsia="en-AU"/>
            </w:rPr>
          </w:pPr>
          <w:hyperlink w:anchor="_Toc486852067" w:history="1">
            <w:r w:rsidRPr="00C82993">
              <w:rPr>
                <w:rStyle w:val="Hyperlink"/>
              </w:rPr>
              <w:t>Shortened forms</w:t>
            </w:r>
            <w:r>
              <w:rPr>
                <w:webHidden/>
              </w:rPr>
              <w:tab/>
            </w:r>
            <w:r>
              <w:rPr>
                <w:webHidden/>
              </w:rPr>
              <w:fldChar w:fldCharType="begin"/>
            </w:r>
            <w:r>
              <w:rPr>
                <w:webHidden/>
              </w:rPr>
              <w:instrText xml:space="preserve"> PAGEREF _Toc486852067 \h </w:instrText>
            </w:r>
            <w:r>
              <w:rPr>
                <w:webHidden/>
              </w:rPr>
            </w:r>
            <w:r>
              <w:rPr>
                <w:webHidden/>
              </w:rPr>
              <w:fldChar w:fldCharType="separate"/>
            </w:r>
            <w:r w:rsidR="00CD1954">
              <w:rPr>
                <w:webHidden/>
              </w:rPr>
              <w:t>10-4</w:t>
            </w:r>
            <w:r>
              <w:rPr>
                <w:webHidden/>
              </w:rPr>
              <w:fldChar w:fldCharType="end"/>
            </w:r>
          </w:hyperlink>
        </w:p>
        <w:p w:rsidR="007539C0" w:rsidRDefault="007539C0">
          <w:pPr>
            <w:pStyle w:val="TOC1"/>
            <w:rPr>
              <w:rFonts w:asciiTheme="minorHAnsi" w:eastAsiaTheme="minorEastAsia" w:hAnsiTheme="minorHAnsi"/>
              <w:b w:val="0"/>
              <w:color w:val="auto"/>
              <w:sz w:val="22"/>
              <w:lang w:val="en-AU" w:eastAsia="en-AU"/>
            </w:rPr>
          </w:pPr>
          <w:hyperlink w:anchor="_Toc486852068" w:history="1">
            <w:r w:rsidRPr="00C82993">
              <w:rPr>
                <w:rStyle w:val="Hyperlink"/>
              </w:rPr>
              <w:t>10</w:t>
            </w:r>
            <w:r>
              <w:rPr>
                <w:rFonts w:asciiTheme="minorHAnsi" w:eastAsiaTheme="minorEastAsia" w:hAnsiTheme="minorHAnsi"/>
                <w:b w:val="0"/>
                <w:color w:val="auto"/>
                <w:sz w:val="22"/>
                <w:lang w:val="en-AU" w:eastAsia="en-AU"/>
              </w:rPr>
              <w:tab/>
            </w:r>
            <w:r w:rsidRPr="00C82993">
              <w:rPr>
                <w:rStyle w:val="Hyperlink"/>
              </w:rPr>
              <w:t>Reference tariff setting</w:t>
            </w:r>
            <w:r>
              <w:rPr>
                <w:webHidden/>
              </w:rPr>
              <w:tab/>
            </w:r>
            <w:r>
              <w:rPr>
                <w:webHidden/>
              </w:rPr>
              <w:fldChar w:fldCharType="begin"/>
            </w:r>
            <w:r>
              <w:rPr>
                <w:webHidden/>
              </w:rPr>
              <w:instrText xml:space="preserve"> PAGEREF _Toc486852068 \h </w:instrText>
            </w:r>
            <w:r>
              <w:rPr>
                <w:webHidden/>
              </w:rPr>
            </w:r>
            <w:r>
              <w:rPr>
                <w:webHidden/>
              </w:rPr>
              <w:fldChar w:fldCharType="separate"/>
            </w:r>
            <w:r w:rsidR="00CD1954">
              <w:rPr>
                <w:webHidden/>
              </w:rPr>
              <w:t>10-5</w:t>
            </w:r>
            <w:r>
              <w:rPr>
                <w:webHidden/>
              </w:rPr>
              <w:fldChar w:fldCharType="end"/>
            </w:r>
          </w:hyperlink>
        </w:p>
        <w:p w:rsidR="007539C0" w:rsidRDefault="007539C0">
          <w:pPr>
            <w:pStyle w:val="TOC2"/>
            <w:tabs>
              <w:tab w:val="left" w:pos="1276"/>
            </w:tabs>
            <w:rPr>
              <w:rFonts w:asciiTheme="minorHAnsi" w:eastAsiaTheme="minorEastAsia" w:hAnsiTheme="minorHAnsi"/>
              <w:b w:val="0"/>
              <w:color w:val="auto"/>
              <w:sz w:val="22"/>
              <w:lang w:eastAsia="en-AU"/>
            </w:rPr>
          </w:pPr>
          <w:hyperlink w:anchor="_Toc486852069" w:history="1">
            <w:r w:rsidRPr="00C82993">
              <w:rPr>
                <w:rStyle w:val="Hyperlink"/>
              </w:rPr>
              <w:t>10.1</w:t>
            </w:r>
            <w:r>
              <w:rPr>
                <w:rFonts w:asciiTheme="minorHAnsi" w:eastAsiaTheme="minorEastAsia" w:hAnsiTheme="minorHAnsi"/>
                <w:b w:val="0"/>
                <w:color w:val="auto"/>
                <w:sz w:val="22"/>
                <w:lang w:eastAsia="en-AU"/>
              </w:rPr>
              <w:tab/>
            </w:r>
            <w:r w:rsidRPr="00C82993">
              <w:rPr>
                <w:rStyle w:val="Hyperlink"/>
              </w:rPr>
              <w:t>Draft decision</w:t>
            </w:r>
            <w:r>
              <w:rPr>
                <w:webHidden/>
              </w:rPr>
              <w:tab/>
            </w:r>
            <w:r>
              <w:rPr>
                <w:webHidden/>
              </w:rPr>
              <w:fldChar w:fldCharType="begin"/>
            </w:r>
            <w:r>
              <w:rPr>
                <w:webHidden/>
              </w:rPr>
              <w:instrText xml:space="preserve"> PAGEREF _Toc486852069 \h </w:instrText>
            </w:r>
            <w:r>
              <w:rPr>
                <w:webHidden/>
              </w:rPr>
            </w:r>
            <w:r>
              <w:rPr>
                <w:webHidden/>
              </w:rPr>
              <w:fldChar w:fldCharType="separate"/>
            </w:r>
            <w:r w:rsidR="00CD1954">
              <w:rPr>
                <w:webHidden/>
              </w:rPr>
              <w:t>10-5</w:t>
            </w:r>
            <w:r>
              <w:rPr>
                <w:webHidden/>
              </w:rPr>
              <w:fldChar w:fldCharType="end"/>
            </w:r>
          </w:hyperlink>
        </w:p>
        <w:p w:rsidR="007539C0" w:rsidRDefault="007539C0">
          <w:pPr>
            <w:pStyle w:val="TOC2"/>
            <w:tabs>
              <w:tab w:val="left" w:pos="1276"/>
            </w:tabs>
            <w:rPr>
              <w:rFonts w:asciiTheme="minorHAnsi" w:eastAsiaTheme="minorEastAsia" w:hAnsiTheme="minorHAnsi"/>
              <w:b w:val="0"/>
              <w:color w:val="auto"/>
              <w:sz w:val="22"/>
              <w:lang w:eastAsia="en-AU"/>
            </w:rPr>
          </w:pPr>
          <w:hyperlink w:anchor="_Toc486852070" w:history="1">
            <w:r w:rsidRPr="00C82993">
              <w:rPr>
                <w:rStyle w:val="Hyperlink"/>
              </w:rPr>
              <w:t>10.2</w:t>
            </w:r>
            <w:r>
              <w:rPr>
                <w:rFonts w:asciiTheme="minorHAnsi" w:eastAsiaTheme="minorEastAsia" w:hAnsiTheme="minorHAnsi"/>
                <w:b w:val="0"/>
                <w:color w:val="auto"/>
                <w:sz w:val="22"/>
                <w:lang w:eastAsia="en-AU"/>
              </w:rPr>
              <w:tab/>
            </w:r>
            <w:r w:rsidRPr="00C82993">
              <w:rPr>
                <w:rStyle w:val="Hyperlink"/>
              </w:rPr>
              <w:t>Proposal</w:t>
            </w:r>
            <w:r>
              <w:rPr>
                <w:webHidden/>
              </w:rPr>
              <w:tab/>
            </w:r>
            <w:r>
              <w:rPr>
                <w:webHidden/>
              </w:rPr>
              <w:fldChar w:fldCharType="begin"/>
            </w:r>
            <w:r>
              <w:rPr>
                <w:webHidden/>
              </w:rPr>
              <w:instrText xml:space="preserve"> PAGEREF _Toc486852070 \h </w:instrText>
            </w:r>
            <w:r>
              <w:rPr>
                <w:webHidden/>
              </w:rPr>
            </w:r>
            <w:r>
              <w:rPr>
                <w:webHidden/>
              </w:rPr>
              <w:fldChar w:fldCharType="separate"/>
            </w:r>
            <w:r w:rsidR="00CD1954">
              <w:rPr>
                <w:webHidden/>
              </w:rPr>
              <w:t>10-5</w:t>
            </w:r>
            <w:r>
              <w:rPr>
                <w:webHidden/>
              </w:rPr>
              <w:fldChar w:fldCharType="end"/>
            </w:r>
          </w:hyperlink>
        </w:p>
        <w:p w:rsidR="007539C0" w:rsidRDefault="007539C0">
          <w:pPr>
            <w:pStyle w:val="TOC2"/>
            <w:tabs>
              <w:tab w:val="left" w:pos="1276"/>
            </w:tabs>
            <w:rPr>
              <w:rFonts w:asciiTheme="minorHAnsi" w:eastAsiaTheme="minorEastAsia" w:hAnsiTheme="minorHAnsi"/>
              <w:b w:val="0"/>
              <w:color w:val="auto"/>
              <w:sz w:val="22"/>
              <w:lang w:eastAsia="en-AU"/>
            </w:rPr>
          </w:pPr>
          <w:hyperlink w:anchor="_Toc486852071" w:history="1">
            <w:r w:rsidRPr="00C82993">
              <w:rPr>
                <w:rStyle w:val="Hyperlink"/>
              </w:rPr>
              <w:t>10.3</w:t>
            </w:r>
            <w:r>
              <w:rPr>
                <w:rFonts w:asciiTheme="minorHAnsi" w:eastAsiaTheme="minorEastAsia" w:hAnsiTheme="minorHAnsi"/>
                <w:b w:val="0"/>
                <w:color w:val="auto"/>
                <w:sz w:val="22"/>
                <w:lang w:eastAsia="en-AU"/>
              </w:rPr>
              <w:tab/>
            </w:r>
            <w:r w:rsidRPr="00C82993">
              <w:rPr>
                <w:rStyle w:val="Hyperlink"/>
              </w:rPr>
              <w:t>AER’s assessment approach</w:t>
            </w:r>
            <w:r>
              <w:rPr>
                <w:webHidden/>
              </w:rPr>
              <w:tab/>
            </w:r>
            <w:r>
              <w:rPr>
                <w:webHidden/>
              </w:rPr>
              <w:fldChar w:fldCharType="begin"/>
            </w:r>
            <w:r>
              <w:rPr>
                <w:webHidden/>
              </w:rPr>
              <w:instrText xml:space="preserve"> PAGEREF _Toc486852071 \h </w:instrText>
            </w:r>
            <w:r>
              <w:rPr>
                <w:webHidden/>
              </w:rPr>
            </w:r>
            <w:r>
              <w:rPr>
                <w:webHidden/>
              </w:rPr>
              <w:fldChar w:fldCharType="separate"/>
            </w:r>
            <w:r w:rsidR="00CD1954">
              <w:rPr>
                <w:webHidden/>
              </w:rPr>
              <w:t>10-6</w:t>
            </w:r>
            <w:r>
              <w:rPr>
                <w:webHidden/>
              </w:rPr>
              <w:fldChar w:fldCharType="end"/>
            </w:r>
          </w:hyperlink>
        </w:p>
        <w:p w:rsidR="007539C0" w:rsidRDefault="007539C0">
          <w:pPr>
            <w:pStyle w:val="TOC2"/>
            <w:tabs>
              <w:tab w:val="left" w:pos="1276"/>
            </w:tabs>
            <w:rPr>
              <w:rFonts w:asciiTheme="minorHAnsi" w:eastAsiaTheme="minorEastAsia" w:hAnsiTheme="minorHAnsi"/>
              <w:b w:val="0"/>
              <w:color w:val="auto"/>
              <w:sz w:val="22"/>
              <w:lang w:eastAsia="en-AU"/>
            </w:rPr>
          </w:pPr>
          <w:hyperlink w:anchor="_Toc486852072" w:history="1">
            <w:r w:rsidRPr="00C82993">
              <w:rPr>
                <w:rStyle w:val="Hyperlink"/>
              </w:rPr>
              <w:t>10.4</w:t>
            </w:r>
            <w:r>
              <w:rPr>
                <w:rFonts w:asciiTheme="minorHAnsi" w:eastAsiaTheme="minorEastAsia" w:hAnsiTheme="minorHAnsi"/>
                <w:b w:val="0"/>
                <w:color w:val="auto"/>
                <w:sz w:val="22"/>
                <w:lang w:eastAsia="en-AU"/>
              </w:rPr>
              <w:tab/>
            </w:r>
            <w:r w:rsidRPr="00C82993">
              <w:rPr>
                <w:rStyle w:val="Hyperlink"/>
              </w:rPr>
              <w:t>Reasons for draft decision</w:t>
            </w:r>
            <w:r>
              <w:rPr>
                <w:webHidden/>
              </w:rPr>
              <w:tab/>
            </w:r>
            <w:r>
              <w:rPr>
                <w:webHidden/>
              </w:rPr>
              <w:fldChar w:fldCharType="begin"/>
            </w:r>
            <w:r>
              <w:rPr>
                <w:webHidden/>
              </w:rPr>
              <w:instrText xml:space="preserve"> PAGEREF _Toc486852072 \h </w:instrText>
            </w:r>
            <w:r>
              <w:rPr>
                <w:webHidden/>
              </w:rPr>
            </w:r>
            <w:r>
              <w:rPr>
                <w:webHidden/>
              </w:rPr>
              <w:fldChar w:fldCharType="separate"/>
            </w:r>
            <w:r w:rsidR="00CD1954">
              <w:rPr>
                <w:webHidden/>
              </w:rPr>
              <w:t>10-7</w:t>
            </w:r>
            <w:r>
              <w:rPr>
                <w:webHidden/>
              </w:rPr>
              <w:fldChar w:fldCharType="end"/>
            </w:r>
          </w:hyperlink>
        </w:p>
        <w:p w:rsidR="007539C0" w:rsidRDefault="007539C0">
          <w:pPr>
            <w:pStyle w:val="TOC3"/>
            <w:rPr>
              <w:rFonts w:asciiTheme="minorHAnsi" w:eastAsiaTheme="minorEastAsia" w:hAnsiTheme="minorHAnsi"/>
              <w:lang w:eastAsia="en-AU"/>
            </w:rPr>
          </w:pPr>
          <w:hyperlink w:anchor="_Toc486852073" w:history="1">
            <w:r w:rsidRPr="00C82993">
              <w:rPr>
                <w:rStyle w:val="Hyperlink"/>
              </w:rPr>
              <w:t>10.4.1</w:t>
            </w:r>
            <w:r>
              <w:rPr>
                <w:rFonts w:asciiTheme="minorHAnsi" w:eastAsiaTheme="minorEastAsia" w:hAnsiTheme="minorHAnsi"/>
                <w:lang w:eastAsia="en-AU"/>
              </w:rPr>
              <w:tab/>
            </w:r>
            <w:r w:rsidRPr="00C82993">
              <w:rPr>
                <w:rStyle w:val="Hyperlink"/>
              </w:rPr>
              <w:t>LTFS reference tariff</w:t>
            </w:r>
            <w:r>
              <w:rPr>
                <w:webHidden/>
              </w:rPr>
              <w:tab/>
            </w:r>
            <w:r>
              <w:rPr>
                <w:webHidden/>
              </w:rPr>
              <w:fldChar w:fldCharType="begin"/>
            </w:r>
            <w:r>
              <w:rPr>
                <w:webHidden/>
              </w:rPr>
              <w:instrText xml:space="preserve"> PAGEREF _Toc486852073 \h </w:instrText>
            </w:r>
            <w:r>
              <w:rPr>
                <w:webHidden/>
              </w:rPr>
            </w:r>
            <w:r>
              <w:rPr>
                <w:webHidden/>
              </w:rPr>
              <w:fldChar w:fldCharType="separate"/>
            </w:r>
            <w:r w:rsidR="00CD1954">
              <w:rPr>
                <w:webHidden/>
              </w:rPr>
              <w:t>10-8</w:t>
            </w:r>
            <w:r>
              <w:rPr>
                <w:webHidden/>
              </w:rPr>
              <w:fldChar w:fldCharType="end"/>
            </w:r>
          </w:hyperlink>
        </w:p>
        <w:p w:rsidR="007539C0" w:rsidRDefault="007539C0">
          <w:pPr>
            <w:pStyle w:val="TOC3"/>
            <w:rPr>
              <w:rFonts w:asciiTheme="minorHAnsi" w:eastAsiaTheme="minorEastAsia" w:hAnsiTheme="minorHAnsi"/>
              <w:lang w:eastAsia="en-AU"/>
            </w:rPr>
          </w:pPr>
          <w:hyperlink w:anchor="_Toc486852074" w:history="1">
            <w:r w:rsidRPr="00C82993">
              <w:rPr>
                <w:rStyle w:val="Hyperlink"/>
              </w:rPr>
              <w:t>10.4.2</w:t>
            </w:r>
            <w:r>
              <w:rPr>
                <w:rFonts w:asciiTheme="minorHAnsi" w:eastAsiaTheme="minorEastAsia" w:hAnsiTheme="minorHAnsi"/>
                <w:lang w:eastAsia="en-AU"/>
              </w:rPr>
              <w:tab/>
            </w:r>
            <w:r w:rsidRPr="00C82993">
              <w:rPr>
                <w:rStyle w:val="Hyperlink"/>
              </w:rPr>
              <w:t>Rebateable services</w:t>
            </w:r>
            <w:r>
              <w:rPr>
                <w:webHidden/>
              </w:rPr>
              <w:tab/>
            </w:r>
            <w:r>
              <w:rPr>
                <w:webHidden/>
              </w:rPr>
              <w:fldChar w:fldCharType="begin"/>
            </w:r>
            <w:r>
              <w:rPr>
                <w:webHidden/>
              </w:rPr>
              <w:instrText xml:space="preserve"> PAGEREF _Toc486852074 \h </w:instrText>
            </w:r>
            <w:r>
              <w:rPr>
                <w:webHidden/>
              </w:rPr>
            </w:r>
            <w:r>
              <w:rPr>
                <w:webHidden/>
              </w:rPr>
              <w:fldChar w:fldCharType="separate"/>
            </w:r>
            <w:r w:rsidR="00CD1954">
              <w:rPr>
                <w:webHidden/>
              </w:rPr>
              <w:t>10-14</w:t>
            </w:r>
            <w:r>
              <w:rPr>
                <w:webHidden/>
              </w:rPr>
              <w:fldChar w:fldCharType="end"/>
            </w:r>
          </w:hyperlink>
        </w:p>
        <w:p w:rsidR="007539C0" w:rsidRDefault="007539C0">
          <w:pPr>
            <w:pStyle w:val="TOC2"/>
            <w:tabs>
              <w:tab w:val="left" w:pos="1276"/>
            </w:tabs>
            <w:rPr>
              <w:rFonts w:asciiTheme="minorHAnsi" w:eastAsiaTheme="minorEastAsia" w:hAnsiTheme="minorHAnsi"/>
              <w:b w:val="0"/>
              <w:color w:val="auto"/>
              <w:sz w:val="22"/>
              <w:lang w:eastAsia="en-AU"/>
            </w:rPr>
          </w:pPr>
          <w:hyperlink w:anchor="_Toc486852075" w:history="1">
            <w:r w:rsidRPr="00C82993">
              <w:rPr>
                <w:rStyle w:val="Hyperlink"/>
              </w:rPr>
              <w:t>10.5</w:t>
            </w:r>
            <w:r>
              <w:rPr>
                <w:rFonts w:asciiTheme="minorHAnsi" w:eastAsiaTheme="minorEastAsia" w:hAnsiTheme="minorHAnsi"/>
                <w:b w:val="0"/>
                <w:color w:val="auto"/>
                <w:sz w:val="22"/>
                <w:lang w:eastAsia="en-AU"/>
              </w:rPr>
              <w:tab/>
            </w:r>
            <w:r w:rsidRPr="00C82993">
              <w:rPr>
                <w:rStyle w:val="Hyperlink"/>
              </w:rPr>
              <w:t>Revisions</w:t>
            </w:r>
            <w:r>
              <w:rPr>
                <w:webHidden/>
              </w:rPr>
              <w:tab/>
            </w:r>
            <w:r>
              <w:rPr>
                <w:webHidden/>
              </w:rPr>
              <w:fldChar w:fldCharType="begin"/>
            </w:r>
            <w:r>
              <w:rPr>
                <w:webHidden/>
              </w:rPr>
              <w:instrText xml:space="preserve"> PAGEREF _Toc486852075 \h </w:instrText>
            </w:r>
            <w:r>
              <w:rPr>
                <w:webHidden/>
              </w:rPr>
            </w:r>
            <w:r>
              <w:rPr>
                <w:webHidden/>
              </w:rPr>
              <w:fldChar w:fldCharType="separate"/>
            </w:r>
            <w:r w:rsidR="00CD1954">
              <w:rPr>
                <w:webHidden/>
              </w:rPr>
              <w:t>10-0</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7" w:name="_Toc404700925"/>
      <w:bookmarkStart w:id="8" w:name="_Toc486852067"/>
      <w:r>
        <w:t>Shortened forms</w:t>
      </w:r>
      <w:bookmarkEnd w:id="7"/>
      <w:bookmarkEnd w:id="8"/>
    </w:p>
    <w:tbl>
      <w:tblPr>
        <w:tblStyle w:val="AERtable-numbers"/>
        <w:tblW w:w="0" w:type="auto"/>
        <w:tblLook w:val="04A0" w:firstRow="1" w:lastRow="0" w:firstColumn="1" w:lastColumn="0" w:noHBand="0" w:noVBand="1"/>
      </w:tblPr>
      <w:tblGrid>
        <w:gridCol w:w="3652"/>
        <w:gridCol w:w="5041"/>
      </w:tblGrid>
      <w:tr w:rsidR="00FF2721" w:rsidTr="00FF27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Shortened form</w:t>
            </w:r>
          </w:p>
        </w:tc>
        <w:tc>
          <w:tcPr>
            <w:tcW w:w="5041" w:type="dxa"/>
          </w:tcPr>
          <w:p w:rsidR="00FF2721" w:rsidRDefault="00FF2721" w:rsidP="00040D04">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FF2721" w:rsidTr="00FF2721">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AER</w:t>
            </w:r>
          </w:p>
        </w:tc>
        <w:tc>
          <w:tcPr>
            <w:tcW w:w="5041" w:type="dxa"/>
          </w:tcPr>
          <w:p w:rsidR="00FF2721" w:rsidRDefault="00FF2721" w:rsidP="00040D04">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FF2721" w:rsidTr="00FF27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ATO</w:t>
            </w:r>
          </w:p>
        </w:tc>
        <w:tc>
          <w:tcPr>
            <w:tcW w:w="5041" w:type="dxa"/>
          </w:tcPr>
          <w:p w:rsidR="00FF2721" w:rsidRPr="00B4195F" w:rsidRDefault="00FF2721" w:rsidP="00040D04">
            <w:pPr>
              <w:cnfStyle w:val="000000010000" w:firstRow="0" w:lastRow="0" w:firstColumn="0" w:lastColumn="0" w:oddVBand="0" w:evenVBand="0" w:oddHBand="0" w:evenHBand="1" w:firstRowFirstColumn="0" w:firstRowLastColumn="0" w:lastRowFirstColumn="0" w:lastRowLastColumn="0"/>
            </w:pPr>
            <w:r>
              <w:t>Australian Tax Office</w:t>
            </w:r>
          </w:p>
        </w:tc>
      </w:tr>
      <w:tr w:rsidR="00FF2721" w:rsidTr="00FF2721">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capex</w:t>
            </w:r>
          </w:p>
        </w:tc>
        <w:tc>
          <w:tcPr>
            <w:tcW w:w="5041" w:type="dxa"/>
          </w:tcPr>
          <w:p w:rsidR="00FF2721" w:rsidRDefault="00FF2721" w:rsidP="00040D04">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FF2721" w:rsidTr="00FF27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CAPM</w:t>
            </w:r>
          </w:p>
        </w:tc>
        <w:tc>
          <w:tcPr>
            <w:tcW w:w="5041" w:type="dxa"/>
          </w:tcPr>
          <w:p w:rsidR="00FF2721" w:rsidRDefault="00FF2721" w:rsidP="00040D04">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FF2721" w:rsidTr="00FF2721">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CPI</w:t>
            </w:r>
          </w:p>
        </w:tc>
        <w:tc>
          <w:tcPr>
            <w:tcW w:w="5041" w:type="dxa"/>
          </w:tcPr>
          <w:p w:rsidR="00FF2721" w:rsidRDefault="00FF2721" w:rsidP="00040D04">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FF2721" w:rsidTr="00FF27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DRP</w:t>
            </w:r>
          </w:p>
        </w:tc>
        <w:tc>
          <w:tcPr>
            <w:tcW w:w="5041" w:type="dxa"/>
          </w:tcPr>
          <w:p w:rsidR="00FF2721" w:rsidRDefault="00FF2721" w:rsidP="00040D04">
            <w:pPr>
              <w:numPr>
                <w:ilvl w:val="0"/>
                <w:numId w:val="24"/>
              </w:numPr>
              <w:cnfStyle w:val="000000010000" w:firstRow="0" w:lastRow="0" w:firstColumn="0" w:lastColumn="0" w:oddVBand="0" w:evenVBand="0" w:oddHBand="0" w:evenHBand="1" w:firstRowFirstColumn="0" w:firstRowLastColumn="0" w:lastRowFirstColumn="0" w:lastRowLastColumn="0"/>
            </w:pPr>
            <w:r>
              <w:t>debt risk premium</w:t>
            </w:r>
          </w:p>
        </w:tc>
      </w:tr>
      <w:tr w:rsidR="00FF2721" w:rsidTr="00FF2721">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ECM</w:t>
            </w:r>
          </w:p>
        </w:tc>
        <w:tc>
          <w:tcPr>
            <w:tcW w:w="5041" w:type="dxa"/>
          </w:tcPr>
          <w:p w:rsidR="00FF2721" w:rsidRPr="00B4195F" w:rsidRDefault="00FF2721" w:rsidP="00040D04">
            <w:pPr>
              <w:cnfStyle w:val="000000000000" w:firstRow="0" w:lastRow="0" w:firstColumn="0" w:lastColumn="0" w:oddVBand="0" w:evenVBand="0" w:oddHBand="0" w:evenHBand="0" w:firstRowFirstColumn="0" w:firstRowLastColumn="0" w:lastRowFirstColumn="0" w:lastRowLastColumn="0"/>
            </w:pPr>
            <w:r>
              <w:t>(Opex) Efficiency Carryover Mechanism</w:t>
            </w:r>
          </w:p>
        </w:tc>
      </w:tr>
      <w:tr w:rsidR="00FF2721" w:rsidTr="00FF27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ERP</w:t>
            </w:r>
          </w:p>
        </w:tc>
        <w:tc>
          <w:tcPr>
            <w:tcW w:w="5041" w:type="dxa"/>
          </w:tcPr>
          <w:p w:rsidR="00FF2721" w:rsidRDefault="00FF2721" w:rsidP="00040D04">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FF2721" w:rsidTr="00FF2721">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Expenditure Guideline</w:t>
            </w:r>
          </w:p>
        </w:tc>
        <w:tc>
          <w:tcPr>
            <w:tcW w:w="5041" w:type="dxa"/>
          </w:tcPr>
          <w:p w:rsidR="00FF2721" w:rsidRPr="00B4195F" w:rsidRDefault="00FF2721" w:rsidP="00040D04">
            <w:pPr>
              <w:cnfStyle w:val="000000000000" w:firstRow="0" w:lastRow="0" w:firstColumn="0" w:lastColumn="0" w:oddVBand="0" w:evenVBand="0" w:oddHBand="0" w:evenHBand="0" w:firstRowFirstColumn="0" w:firstRowLastColumn="0" w:lastRowFirstColumn="0" w:lastRowLastColumn="0"/>
            </w:pPr>
            <w:r>
              <w:t xml:space="preserve">Expenditure Forecast </w:t>
            </w:r>
            <w:r w:rsidRPr="00B4195F">
              <w:t>Assessment Guideline</w:t>
            </w:r>
          </w:p>
        </w:tc>
      </w:tr>
      <w:tr w:rsidR="00FF2721" w:rsidTr="00FF27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gamma</w:t>
            </w:r>
          </w:p>
        </w:tc>
        <w:tc>
          <w:tcPr>
            <w:tcW w:w="5041" w:type="dxa"/>
          </w:tcPr>
          <w:p w:rsidR="00FF2721" w:rsidRPr="00B4195F" w:rsidRDefault="00FF2721" w:rsidP="00040D04">
            <w:pPr>
              <w:cnfStyle w:val="000000010000" w:firstRow="0" w:lastRow="0" w:firstColumn="0" w:lastColumn="0" w:oddVBand="0" w:evenVBand="0" w:oddHBand="0" w:evenHBand="1" w:firstRowFirstColumn="0" w:firstRowLastColumn="0" w:lastRowFirstColumn="0" w:lastRowLastColumn="0"/>
            </w:pPr>
            <w:r>
              <w:t>Value of Imputation Credits</w:t>
            </w:r>
          </w:p>
        </w:tc>
      </w:tr>
      <w:tr w:rsidR="00FF2721" w:rsidTr="00FF2721">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MRP</w:t>
            </w:r>
          </w:p>
        </w:tc>
        <w:tc>
          <w:tcPr>
            <w:tcW w:w="5041" w:type="dxa"/>
          </w:tcPr>
          <w:p w:rsidR="00FF2721" w:rsidRDefault="00FF2721" w:rsidP="00040D04">
            <w:pPr>
              <w:numPr>
                <w:ilvl w:val="0"/>
                <w:numId w:val="24"/>
              </w:numPr>
              <w:cnfStyle w:val="000000000000" w:firstRow="0" w:lastRow="0" w:firstColumn="0" w:lastColumn="0" w:oddVBand="0" w:evenVBand="0" w:oddHBand="0" w:evenHBand="0" w:firstRowFirstColumn="0" w:firstRowLastColumn="0" w:lastRowFirstColumn="0" w:lastRowLastColumn="0"/>
            </w:pPr>
            <w:r>
              <w:t>market risk premium</w:t>
            </w:r>
          </w:p>
        </w:tc>
      </w:tr>
      <w:tr w:rsidR="00FF2721" w:rsidTr="00FF27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NGL</w:t>
            </w:r>
          </w:p>
        </w:tc>
        <w:tc>
          <w:tcPr>
            <w:tcW w:w="5041" w:type="dxa"/>
          </w:tcPr>
          <w:p w:rsidR="00FF2721" w:rsidRDefault="00FF2721" w:rsidP="00040D04">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FF2721" w:rsidTr="00FF2721">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NGO</w:t>
            </w:r>
          </w:p>
        </w:tc>
        <w:tc>
          <w:tcPr>
            <w:tcW w:w="5041" w:type="dxa"/>
          </w:tcPr>
          <w:p w:rsidR="00FF2721" w:rsidRDefault="00FF2721" w:rsidP="00040D04">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FF2721" w:rsidTr="00FF27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NGR</w:t>
            </w:r>
          </w:p>
        </w:tc>
        <w:tc>
          <w:tcPr>
            <w:tcW w:w="5041" w:type="dxa"/>
          </w:tcPr>
          <w:p w:rsidR="00FF2721" w:rsidRDefault="00FF2721" w:rsidP="00040D04">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FF2721" w:rsidTr="00FF2721">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NPV</w:t>
            </w:r>
          </w:p>
        </w:tc>
        <w:tc>
          <w:tcPr>
            <w:tcW w:w="5041" w:type="dxa"/>
          </w:tcPr>
          <w:p w:rsidR="00FF2721" w:rsidRPr="00B4195F" w:rsidRDefault="00FF2721" w:rsidP="00040D04">
            <w:pPr>
              <w:cnfStyle w:val="000000000000" w:firstRow="0" w:lastRow="0" w:firstColumn="0" w:lastColumn="0" w:oddVBand="0" w:evenVBand="0" w:oddHBand="0" w:evenHBand="0" w:firstRowFirstColumn="0" w:firstRowLastColumn="0" w:lastRowFirstColumn="0" w:lastRowLastColumn="0"/>
            </w:pPr>
            <w:r>
              <w:t>net present value</w:t>
            </w:r>
          </w:p>
        </w:tc>
      </w:tr>
      <w:tr w:rsidR="00FF2721" w:rsidTr="00FF27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opex</w:t>
            </w:r>
          </w:p>
        </w:tc>
        <w:tc>
          <w:tcPr>
            <w:tcW w:w="5041" w:type="dxa"/>
          </w:tcPr>
          <w:p w:rsidR="00FF2721" w:rsidRDefault="00FF2721" w:rsidP="00040D04">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FF2721" w:rsidTr="00FF2721">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PTRM</w:t>
            </w:r>
          </w:p>
        </w:tc>
        <w:tc>
          <w:tcPr>
            <w:tcW w:w="5041" w:type="dxa"/>
          </w:tcPr>
          <w:p w:rsidR="00FF2721" w:rsidRDefault="00FF2721" w:rsidP="00040D04">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FF2721" w:rsidTr="00FF27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RBA</w:t>
            </w:r>
          </w:p>
        </w:tc>
        <w:tc>
          <w:tcPr>
            <w:tcW w:w="5041" w:type="dxa"/>
          </w:tcPr>
          <w:p w:rsidR="00FF2721" w:rsidRDefault="00FF2721" w:rsidP="00040D04">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FF2721" w:rsidTr="00FF2721">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RFM</w:t>
            </w:r>
          </w:p>
        </w:tc>
        <w:tc>
          <w:tcPr>
            <w:tcW w:w="5041" w:type="dxa"/>
          </w:tcPr>
          <w:p w:rsidR="00FF2721" w:rsidRDefault="00FF2721" w:rsidP="00040D04">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FF2721" w:rsidTr="00FF27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RIN</w:t>
            </w:r>
          </w:p>
        </w:tc>
        <w:tc>
          <w:tcPr>
            <w:tcW w:w="5041" w:type="dxa"/>
          </w:tcPr>
          <w:p w:rsidR="00FF2721" w:rsidRDefault="00FF2721" w:rsidP="00040D04">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FF2721" w:rsidTr="00FF2721">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RPP</w:t>
            </w:r>
          </w:p>
        </w:tc>
        <w:tc>
          <w:tcPr>
            <w:tcW w:w="5041" w:type="dxa"/>
          </w:tcPr>
          <w:p w:rsidR="00FF2721" w:rsidRDefault="00FF2721" w:rsidP="00040D04">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FF2721" w:rsidTr="00FF27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SLCAPM</w:t>
            </w:r>
          </w:p>
        </w:tc>
        <w:tc>
          <w:tcPr>
            <w:tcW w:w="5041" w:type="dxa"/>
          </w:tcPr>
          <w:p w:rsidR="00FF2721" w:rsidRDefault="00FF2721" w:rsidP="00040D04">
            <w:pPr>
              <w:numPr>
                <w:ilvl w:val="0"/>
                <w:numId w:val="24"/>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FF2721" w:rsidTr="00FF2721">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STTM</w:t>
            </w:r>
          </w:p>
        </w:tc>
        <w:tc>
          <w:tcPr>
            <w:tcW w:w="5041" w:type="dxa"/>
          </w:tcPr>
          <w:p w:rsidR="00FF2721" w:rsidRPr="00B4195F" w:rsidRDefault="00FF2721" w:rsidP="00040D04">
            <w:pPr>
              <w:cnfStyle w:val="000000000000" w:firstRow="0" w:lastRow="0" w:firstColumn="0" w:lastColumn="0" w:oddVBand="0" w:evenVBand="0" w:oddHBand="0" w:evenHBand="0" w:firstRowFirstColumn="0" w:firstRowLastColumn="0" w:lastRowFirstColumn="0" w:lastRowLastColumn="0"/>
            </w:pPr>
            <w:r>
              <w:t>Short Term Trading Market</w:t>
            </w:r>
          </w:p>
        </w:tc>
      </w:tr>
      <w:tr w:rsidR="00FF2721" w:rsidTr="00FF27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TAB</w:t>
            </w:r>
          </w:p>
        </w:tc>
        <w:tc>
          <w:tcPr>
            <w:tcW w:w="5041" w:type="dxa"/>
          </w:tcPr>
          <w:p w:rsidR="00FF2721" w:rsidRPr="00B4195F" w:rsidRDefault="00FF2721" w:rsidP="00040D04">
            <w:pPr>
              <w:cnfStyle w:val="000000010000" w:firstRow="0" w:lastRow="0" w:firstColumn="0" w:lastColumn="0" w:oddVBand="0" w:evenVBand="0" w:oddHBand="0" w:evenHBand="1" w:firstRowFirstColumn="0" w:firstRowLastColumn="0" w:lastRowFirstColumn="0" w:lastRowLastColumn="0"/>
            </w:pPr>
            <w:r>
              <w:t>Tax asset base</w:t>
            </w:r>
          </w:p>
        </w:tc>
      </w:tr>
      <w:tr w:rsidR="00FF2721" w:rsidTr="00FF2721">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UAFG</w:t>
            </w:r>
          </w:p>
        </w:tc>
        <w:tc>
          <w:tcPr>
            <w:tcW w:w="5041" w:type="dxa"/>
          </w:tcPr>
          <w:p w:rsidR="00FF2721" w:rsidRPr="00B4195F" w:rsidRDefault="00FF2721" w:rsidP="00040D04">
            <w:pPr>
              <w:cnfStyle w:val="000000000000" w:firstRow="0" w:lastRow="0" w:firstColumn="0" w:lastColumn="0" w:oddVBand="0" w:evenVBand="0" w:oddHBand="0" w:evenHBand="0" w:firstRowFirstColumn="0" w:firstRowLastColumn="0" w:lastRowFirstColumn="0" w:lastRowLastColumn="0"/>
            </w:pPr>
            <w:r>
              <w:t>Unaccounted for gas</w:t>
            </w:r>
          </w:p>
        </w:tc>
      </w:tr>
      <w:tr w:rsidR="00FF2721" w:rsidTr="00FF27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WACC</w:t>
            </w:r>
          </w:p>
        </w:tc>
        <w:tc>
          <w:tcPr>
            <w:tcW w:w="5041" w:type="dxa"/>
          </w:tcPr>
          <w:p w:rsidR="00FF2721" w:rsidRDefault="00FF2721" w:rsidP="00040D04">
            <w:pPr>
              <w:numPr>
                <w:ilvl w:val="0"/>
                <w:numId w:val="24"/>
              </w:numPr>
              <w:cnfStyle w:val="000000010000" w:firstRow="0" w:lastRow="0" w:firstColumn="0" w:lastColumn="0" w:oddVBand="0" w:evenVBand="0" w:oddHBand="0" w:evenHBand="1" w:firstRowFirstColumn="0" w:firstRowLastColumn="0" w:lastRowFirstColumn="0" w:lastRowLastColumn="0"/>
            </w:pPr>
            <w:r>
              <w:t>weighted average cost of capital</w:t>
            </w:r>
          </w:p>
        </w:tc>
      </w:tr>
      <w:tr w:rsidR="00FF2721" w:rsidTr="00FF2721">
        <w:tc>
          <w:tcPr>
            <w:cnfStyle w:val="001000000000" w:firstRow="0" w:lastRow="0" w:firstColumn="1" w:lastColumn="0" w:oddVBand="0" w:evenVBand="0" w:oddHBand="0" w:evenHBand="0" w:firstRowFirstColumn="0" w:firstRowLastColumn="0" w:lastRowFirstColumn="0" w:lastRowLastColumn="0"/>
            <w:tcW w:w="3652" w:type="dxa"/>
          </w:tcPr>
          <w:p w:rsidR="00FF2721" w:rsidRDefault="00FF2721" w:rsidP="00040D04">
            <w:pPr>
              <w:numPr>
                <w:ilvl w:val="0"/>
                <w:numId w:val="24"/>
              </w:numPr>
            </w:pPr>
            <w:r>
              <w:t>WPI</w:t>
            </w:r>
          </w:p>
        </w:tc>
        <w:tc>
          <w:tcPr>
            <w:tcW w:w="5041" w:type="dxa"/>
          </w:tcPr>
          <w:p w:rsidR="00FF2721" w:rsidRPr="00B4195F" w:rsidRDefault="00FF2721" w:rsidP="00040D04">
            <w:pPr>
              <w:cnfStyle w:val="000000000000" w:firstRow="0" w:lastRow="0" w:firstColumn="0" w:lastColumn="0" w:oddVBand="0" w:evenVBand="0" w:oddHBand="0" w:evenHBand="0" w:firstRowFirstColumn="0" w:firstRowLastColumn="0" w:lastRowFirstColumn="0" w:lastRowLastColumn="0"/>
            </w:pPr>
            <w:r>
              <w:t>Wage Price Index</w:t>
            </w:r>
          </w:p>
        </w:tc>
      </w:tr>
    </w:tbl>
    <w:p w:rsidR="00DE563D" w:rsidRDefault="009D2B38" w:rsidP="00301F1F">
      <w:pPr>
        <w:pStyle w:val="Heading1"/>
      </w:pPr>
      <w:bookmarkStart w:id="9" w:name="_Toc486852068"/>
      <w:r>
        <w:t xml:space="preserve">Reference tariff </w:t>
      </w:r>
      <w:r w:rsidR="00CF598F">
        <w:t>setting</w:t>
      </w:r>
      <w:bookmarkEnd w:id="9"/>
    </w:p>
    <w:p w:rsidR="00FA7B7E" w:rsidRPr="00FA7B7E" w:rsidRDefault="00FA7B7E" w:rsidP="00FA7B7E">
      <w:r w:rsidRPr="00FA7B7E">
        <w:t>This attachment outlines our assessment of the reference tariffs proposed by</w:t>
      </w:r>
      <w:r>
        <w:t xml:space="preserve"> AP</w:t>
      </w:r>
      <w:r w:rsidR="00D2502B">
        <w:t>TPPL</w:t>
      </w:r>
      <w:r>
        <w:t xml:space="preserve"> for the Roma to Brisbane Pipeline </w:t>
      </w:r>
      <w:r w:rsidR="000508A4">
        <w:t xml:space="preserve">(RBP) </w:t>
      </w:r>
      <w:r w:rsidRPr="00FA7B7E">
        <w:t>against the requirements of the National Gas Rules</w:t>
      </w:r>
      <w:r w:rsidR="000508A4">
        <w:t xml:space="preserve"> (NGR)</w:t>
      </w:r>
      <w:r w:rsidRPr="00FA7B7E">
        <w:t>. Our assessment focuses on the structure of reference tariffs and takes into account the revenue and pricing principles</w:t>
      </w:r>
      <w:r w:rsidR="000508A4">
        <w:t xml:space="preserve"> (RPPs)</w:t>
      </w:r>
      <w:r w:rsidRPr="00FA7B7E">
        <w:t>.</w:t>
      </w:r>
      <w:r>
        <w:rPr>
          <w:rStyle w:val="FootnoteReference"/>
        </w:rPr>
        <w:footnoteReference w:id="1"/>
      </w:r>
    </w:p>
    <w:p w:rsidR="00A2303E" w:rsidRDefault="006124E1" w:rsidP="00A2303E">
      <w:pPr>
        <w:pStyle w:val="Heading2"/>
      </w:pPr>
      <w:bookmarkStart w:id="10" w:name="_Toc408404320"/>
      <w:bookmarkStart w:id="11" w:name="_Toc419366913"/>
      <w:bookmarkStart w:id="12" w:name="_Toc486852069"/>
      <w:r>
        <w:t>Draft</w:t>
      </w:r>
      <w:r w:rsidR="00A2303E" w:rsidRPr="0074565D">
        <w:t xml:space="preserve"> decision</w:t>
      </w:r>
      <w:bookmarkEnd w:id="10"/>
      <w:bookmarkEnd w:id="11"/>
      <w:bookmarkEnd w:id="12"/>
    </w:p>
    <w:p w:rsidR="00F0068F" w:rsidRDefault="00F0068F" w:rsidP="00F0068F">
      <w:r>
        <w:t>Our draft decision on APTPPL’s reference tariff proposal can be summarised as follows:</w:t>
      </w:r>
    </w:p>
    <w:p w:rsidR="00F0068F" w:rsidRDefault="00F0068F" w:rsidP="00F0068F">
      <w:pPr>
        <w:pStyle w:val="AERbulletlistfirststyle"/>
      </w:pPr>
      <w:r w:rsidRPr="002D62D9">
        <w:rPr>
          <w:b/>
        </w:rPr>
        <w:t>L</w:t>
      </w:r>
      <w:r>
        <w:rPr>
          <w:b/>
        </w:rPr>
        <w:t>ong Term Firm Service (L</w:t>
      </w:r>
      <w:r w:rsidRPr="002D62D9">
        <w:rPr>
          <w:b/>
        </w:rPr>
        <w:t>TFS</w:t>
      </w:r>
      <w:r>
        <w:rPr>
          <w:b/>
        </w:rPr>
        <w:t>)</w:t>
      </w:r>
      <w:r w:rsidRPr="002D62D9">
        <w:rPr>
          <w:b/>
        </w:rPr>
        <w:t xml:space="preserve"> reference tariff:</w:t>
      </w:r>
      <w:r>
        <w:t xml:space="preserve"> We accept APTPPL’s proposal to maintain the postage stamp tariff structure, but require the LTFS reference tariff to be amended to reflect our draft decisions on APTPPL’s proposed revenue allowance, revenue smoothing factor, demand forecasts and adjustment from the 2016-17 tariff variation.</w:t>
      </w:r>
    </w:p>
    <w:p w:rsidR="00F0068F" w:rsidRDefault="00F0068F" w:rsidP="00F0068F">
      <w:pPr>
        <w:pStyle w:val="AERbulletlistfirststyle"/>
      </w:pPr>
      <w:r>
        <w:rPr>
          <w:b/>
        </w:rPr>
        <w:t xml:space="preserve">Short Term Firm Service (STFS) </w:t>
      </w:r>
      <w:r w:rsidRPr="002D62D9">
        <w:rPr>
          <w:b/>
        </w:rPr>
        <w:t>reference tariff:</w:t>
      </w:r>
      <w:r>
        <w:t xml:space="preserve"> Consistent with our decision not to approve APTPPL’s proposal to define the STFS as a reference service, the access arrangement will not specify a reference tariff for this service. The price of this service will instead be determined through negotiations with APTPPL, with arbitration available as a backstop if negotiations fail.</w:t>
      </w:r>
      <w:r>
        <w:rPr>
          <w:rStyle w:val="FootnoteReference"/>
        </w:rPr>
        <w:footnoteReference w:id="2"/>
      </w:r>
      <w:r>
        <w:t xml:space="preserve">  </w:t>
      </w:r>
    </w:p>
    <w:p w:rsidR="00F0068F" w:rsidRDefault="00F0068F" w:rsidP="00F0068F">
      <w:r>
        <w:t xml:space="preserve">To give effect to this draft decision a number of amendments will need to be made to APTPPL’s proposed access arrangement. </w:t>
      </w:r>
    </w:p>
    <w:p w:rsidR="00F0068F" w:rsidRDefault="00F0068F" w:rsidP="00F0068F">
      <w:r>
        <w:t xml:space="preserve">Further amendments will also be required to give effect to our draft decision to define the following services as rebateable services (see Attachment 1): </w:t>
      </w:r>
    </w:p>
    <w:p w:rsidR="00F0068F" w:rsidRDefault="00F0068F" w:rsidP="00F0068F">
      <w:pPr>
        <w:pStyle w:val="AERbulletlistfirststyle"/>
      </w:pPr>
      <w:r>
        <w:rPr>
          <w:b/>
        </w:rPr>
        <w:t>P</w:t>
      </w:r>
      <w:r w:rsidRPr="00F0068F">
        <w:rPr>
          <w:b/>
        </w:rPr>
        <w:t xml:space="preserve">ark and loan services (firm and interruptible): </w:t>
      </w:r>
      <w:r>
        <w:t>Our draft decision is to require APTPPL to rebate 90 per cent of the revenue it earns from the provision of these services to shippers</w:t>
      </w:r>
    </w:p>
    <w:p w:rsidR="00F0068F" w:rsidRDefault="00F0068F" w:rsidP="00F0068F">
      <w:pPr>
        <w:pStyle w:val="AERbulletlistfirststyle"/>
      </w:pPr>
      <w:r w:rsidRPr="00F0068F">
        <w:rPr>
          <w:b/>
        </w:rPr>
        <w:t>In-pipe trading and capacity trading services</w:t>
      </w:r>
      <w:r>
        <w:rPr>
          <w:b/>
        </w:rPr>
        <w:t xml:space="preserve">: </w:t>
      </w:r>
      <w:r w:rsidRPr="00F0068F">
        <w:t>Our</w:t>
      </w:r>
      <w:r>
        <w:t xml:space="preserve"> draft decision is to require APTPPL to rebate 70 per cent of the revenue it earns from the provision of these two services to shippers.</w:t>
      </w:r>
    </w:p>
    <w:p w:rsidR="00FA7B7E" w:rsidRPr="00FA7B7E" w:rsidRDefault="00C7569A" w:rsidP="00FA7B7E">
      <w:r>
        <w:t>The</w:t>
      </w:r>
      <w:r w:rsidR="00FA7B7E">
        <w:t xml:space="preserve"> reasons for </w:t>
      </w:r>
      <w:r>
        <w:t xml:space="preserve">our </w:t>
      </w:r>
      <w:r w:rsidR="00FA7B7E">
        <w:t xml:space="preserve">draft decision are set out </w:t>
      </w:r>
      <w:r w:rsidR="003E6214">
        <w:t xml:space="preserve">in section </w:t>
      </w:r>
      <w:r w:rsidR="003E6214">
        <w:fldChar w:fldCharType="begin"/>
      </w:r>
      <w:r w:rsidR="003E6214">
        <w:instrText xml:space="preserve"> REF _Ref476827868 \r \h </w:instrText>
      </w:r>
      <w:r w:rsidR="003E6214">
        <w:fldChar w:fldCharType="separate"/>
      </w:r>
      <w:r w:rsidR="00CD1954">
        <w:t>10.4</w:t>
      </w:r>
      <w:r w:rsidR="003E6214">
        <w:fldChar w:fldCharType="end"/>
      </w:r>
      <w:r w:rsidR="00FA7B7E">
        <w:t>.</w:t>
      </w:r>
    </w:p>
    <w:p w:rsidR="00A2303E" w:rsidRDefault="006124E1" w:rsidP="00A2303E">
      <w:pPr>
        <w:pStyle w:val="Heading2"/>
      </w:pPr>
      <w:bookmarkStart w:id="13" w:name="_Toc419366914"/>
      <w:bookmarkStart w:id="14" w:name="_Toc486852070"/>
      <w:r>
        <w:t>P</w:t>
      </w:r>
      <w:r w:rsidR="00A2303E">
        <w:t>roposal</w:t>
      </w:r>
      <w:bookmarkEnd w:id="13"/>
      <w:bookmarkEnd w:id="14"/>
    </w:p>
    <w:p w:rsidR="00552CC4" w:rsidRDefault="00552CC4" w:rsidP="00FA7B7E">
      <w:r>
        <w:t xml:space="preserve">In keeping with its proposal to define the LTFS and STFS as reference services (see Attachment 1), </w:t>
      </w:r>
      <w:r w:rsidR="00FA7B7E">
        <w:t>AP</w:t>
      </w:r>
      <w:r w:rsidR="00D2502B">
        <w:t>TPPL</w:t>
      </w:r>
      <w:r w:rsidR="00FA7B7E">
        <w:t xml:space="preserve"> </w:t>
      </w:r>
      <w:r>
        <w:t xml:space="preserve">has </w:t>
      </w:r>
      <w:r w:rsidR="00F2602D">
        <w:t>proposed</w:t>
      </w:r>
      <w:r w:rsidR="003009F7">
        <w:t xml:space="preserve"> </w:t>
      </w:r>
      <w:r>
        <w:t xml:space="preserve">separate </w:t>
      </w:r>
      <w:r w:rsidR="003009F7">
        <w:t>reference tariff</w:t>
      </w:r>
      <w:r>
        <w:t>s for these two services</w:t>
      </w:r>
      <w:r w:rsidR="00C9552C">
        <w:t>, both of which are capacity based charges</w:t>
      </w:r>
      <w:r w:rsidR="00C9552C">
        <w:rPr>
          <w:rStyle w:val="FootnoteReference"/>
        </w:rPr>
        <w:footnoteReference w:id="3"/>
      </w:r>
      <w:r w:rsidR="00C9552C">
        <w:t xml:space="preserve"> and assume a postage stamp tariff structure</w:t>
      </w:r>
      <w:r w:rsidR="003009F7">
        <w:t>.</w:t>
      </w:r>
      <w:r>
        <w:t xml:space="preserve"> </w:t>
      </w:r>
      <w:r w:rsidR="003009F7">
        <w:t xml:space="preserve">Specifically, </w:t>
      </w:r>
      <w:r>
        <w:t>APTPPL has proposed to charge:</w:t>
      </w:r>
    </w:p>
    <w:p w:rsidR="00552CC4" w:rsidRDefault="00C9552C" w:rsidP="00DE7E41">
      <w:pPr>
        <w:pStyle w:val="AERbulletlistfirststyle"/>
      </w:pPr>
      <w:r>
        <w:t xml:space="preserve">LTFS </w:t>
      </w:r>
      <w:r w:rsidR="00584E24">
        <w:t xml:space="preserve">users </w:t>
      </w:r>
      <w:r w:rsidR="00552CC4">
        <w:t>a tariff of $0.6944/GJ of MDQ</w:t>
      </w:r>
      <w:r w:rsidR="00584E24">
        <w:t>/day</w:t>
      </w:r>
      <w:r w:rsidR="00552CC4">
        <w:t xml:space="preserve"> </w:t>
      </w:r>
      <w:r w:rsidR="00584E24">
        <w:t xml:space="preserve">commencing 1 July 2017, with tariffs in subsequent years calculated by applying </w:t>
      </w:r>
      <w:r w:rsidR="009637E8">
        <w:t>the reference tariff variation mechanism outlined in Attachment 11</w:t>
      </w:r>
    </w:p>
    <w:p w:rsidR="00C9552C" w:rsidRDefault="00C9552C" w:rsidP="00DE7E41">
      <w:pPr>
        <w:pStyle w:val="AERbulletlistfirststyle"/>
      </w:pPr>
      <w:r>
        <w:t xml:space="preserve">STFS </w:t>
      </w:r>
      <w:r w:rsidR="00584E24">
        <w:t>users 1.66 times the LTFS tariff</w:t>
      </w:r>
      <w:r w:rsidR="00766266">
        <w:t>, which in 2017</w:t>
      </w:r>
      <w:r w:rsidR="009D065A">
        <w:t>–</w:t>
      </w:r>
      <w:r w:rsidR="00766266">
        <w:t>18 is</w:t>
      </w:r>
      <w:r w:rsidR="00584E24">
        <w:t xml:space="preserve"> </w:t>
      </w:r>
      <w:r w:rsidR="00766266">
        <w:t xml:space="preserve">equivalent to </w:t>
      </w:r>
      <w:r w:rsidR="00584E24">
        <w:t xml:space="preserve">$1.1527/GJ of MDQ/day. </w:t>
      </w:r>
      <w:r w:rsidR="00766266">
        <w:t>T</w:t>
      </w:r>
      <w:r w:rsidR="00584E24">
        <w:t xml:space="preserve">he </w:t>
      </w:r>
      <w:r w:rsidR="009637E8">
        <w:t xml:space="preserve">1.66 multiplier </w:t>
      </w:r>
      <w:r w:rsidR="00F72A0D">
        <w:t xml:space="preserve">is based on the reciprocal of the forecast composite load factor for the RBP (60.2 per cent) </w:t>
      </w:r>
      <w:r w:rsidR="009637E8">
        <w:t xml:space="preserve">in </w:t>
      </w:r>
      <w:r w:rsidR="00F72A0D">
        <w:t>2017</w:t>
      </w:r>
      <w:r w:rsidR="009D065A">
        <w:t>–</w:t>
      </w:r>
      <w:r w:rsidR="00F72A0D">
        <w:t>22 access arrangement period (i.e. [1/60.2] x 100 =1</w:t>
      </w:r>
      <w:r w:rsidR="009637E8">
        <w:t>.</w:t>
      </w:r>
      <w:r w:rsidR="00F72A0D">
        <w:t>66)</w:t>
      </w:r>
      <w:r w:rsidR="003C5C81">
        <w:rPr>
          <w:rStyle w:val="FootnoteReference"/>
        </w:rPr>
        <w:footnoteReference w:id="4"/>
      </w:r>
      <w:r w:rsidR="00766266">
        <w:t xml:space="preserve"> and according to APTPPL is required to ensure that the charge payable under the STFS is comparable to the capacity charge that would be payable under a LTFS.</w:t>
      </w:r>
      <w:r w:rsidR="00766266">
        <w:rPr>
          <w:rStyle w:val="FootnoteReference"/>
        </w:rPr>
        <w:footnoteReference w:id="5"/>
      </w:r>
    </w:p>
    <w:p w:rsidR="00A54AE1" w:rsidRDefault="00766266" w:rsidP="008A704D">
      <w:r>
        <w:t xml:space="preserve">APTPPL’s proposed reference tariffs reflect its </w:t>
      </w:r>
      <w:r w:rsidR="00F0068F">
        <w:t xml:space="preserve">position on its </w:t>
      </w:r>
      <w:r>
        <w:t>revenue allowance</w:t>
      </w:r>
      <w:r w:rsidR="00F0068F">
        <w:t>, revenue smoothing factor</w:t>
      </w:r>
      <w:r>
        <w:t xml:space="preserve"> and demand forecasts for the 201</w:t>
      </w:r>
      <w:r w:rsidR="009D065A">
        <w:t>7–</w:t>
      </w:r>
      <w:r w:rsidR="002778AD">
        <w:t>22 access arrangement period.</w:t>
      </w:r>
      <w:r>
        <w:t xml:space="preserve"> It also reflects the correction of </w:t>
      </w:r>
      <w:r w:rsidR="00A54AE1">
        <w:t xml:space="preserve">an arithmetic error </w:t>
      </w:r>
      <w:r>
        <w:t xml:space="preserve">that was made </w:t>
      </w:r>
      <w:r w:rsidR="00A54AE1">
        <w:t xml:space="preserve">in its 2016–17 tariff variation. The tariff was adjusted by the consumer price index </w:t>
      </w:r>
      <w:r w:rsidR="00925D15">
        <w:t xml:space="preserve">only; </w:t>
      </w:r>
      <w:r w:rsidR="009428CF">
        <w:t>but</w:t>
      </w:r>
      <w:r w:rsidR="00A54AE1">
        <w:t xml:space="preserve"> </w:t>
      </w:r>
      <w:r w:rsidR="00925D15">
        <w:t xml:space="preserve">it should </w:t>
      </w:r>
      <w:r w:rsidR="00A54AE1">
        <w:t>also</w:t>
      </w:r>
      <w:r w:rsidR="00925D15">
        <w:t xml:space="preserve"> have been amended by</w:t>
      </w:r>
      <w:r w:rsidR="00610B3D">
        <w:t xml:space="preserve"> the X-factor for that year</w:t>
      </w:r>
      <w:r w:rsidR="00A54AE1">
        <w:t xml:space="preserve"> and so APTPPL under recovered its allowed revenues</w:t>
      </w:r>
      <w:r w:rsidR="00925D15">
        <w:t xml:space="preserve"> in 2016–17</w:t>
      </w:r>
      <w:r w:rsidR="00A54AE1">
        <w:t>.</w:t>
      </w:r>
      <w:r w:rsidR="006B0D80">
        <w:rPr>
          <w:rStyle w:val="FootnoteReference"/>
        </w:rPr>
        <w:footnoteReference w:id="6"/>
      </w:r>
      <w:r w:rsidR="00A54AE1">
        <w:t xml:space="preserve"> </w:t>
      </w:r>
    </w:p>
    <w:p w:rsidR="00A2303E" w:rsidRDefault="00A2303E" w:rsidP="00A2303E">
      <w:pPr>
        <w:pStyle w:val="Heading2"/>
      </w:pPr>
      <w:bookmarkStart w:id="15" w:name="_Toc408404322"/>
      <w:bookmarkStart w:id="16" w:name="_Toc419366915"/>
      <w:bookmarkStart w:id="17" w:name="_Toc486852071"/>
      <w:r w:rsidRPr="0074565D">
        <w:t>AER’s assessment approach</w:t>
      </w:r>
      <w:bookmarkEnd w:id="15"/>
      <w:bookmarkEnd w:id="16"/>
      <w:bookmarkEnd w:id="17"/>
    </w:p>
    <w:p w:rsidR="00F2602D" w:rsidRPr="00F2602D" w:rsidRDefault="00F2602D" w:rsidP="00F2602D">
      <w:r w:rsidRPr="00F2602D">
        <w:t>In an access arrangement, a service provider is required to specify for each reference service the reference tariff and the proposed approach to the setting reference tariffs.</w:t>
      </w:r>
      <w:r>
        <w:rPr>
          <w:rStyle w:val="FootnoteReference"/>
        </w:rPr>
        <w:footnoteReference w:id="7"/>
      </w:r>
      <w:r w:rsidRPr="00F2602D">
        <w:t xml:space="preserve"> This is done by:</w:t>
      </w:r>
    </w:p>
    <w:p w:rsidR="00F2602D" w:rsidRDefault="00F2602D" w:rsidP="00F2602D">
      <w:pPr>
        <w:pStyle w:val="AERbulletlistfirststyle"/>
      </w:pPr>
      <w:r w:rsidRPr="00F2602D">
        <w:t>explaining how revenues and costs are allocated, including the relationship between costs and tariffs</w:t>
      </w:r>
      <w:r>
        <w:rPr>
          <w:rStyle w:val="FootnoteReference"/>
        </w:rPr>
        <w:footnoteReference w:id="8"/>
      </w:r>
    </w:p>
    <w:p w:rsidR="00B97092" w:rsidRPr="00F2602D" w:rsidRDefault="00B97092" w:rsidP="00F2602D">
      <w:pPr>
        <w:pStyle w:val="AERbulletlistfirststyle"/>
      </w:pPr>
      <w:r w:rsidRPr="00B97092">
        <w:t>explaining how the tariffs have been designed to generate the portion of referable total revenue from each reference service and from each user, or class of users</w:t>
      </w:r>
      <w:r>
        <w:rPr>
          <w:rStyle w:val="FootnoteReference"/>
        </w:rPr>
        <w:footnoteReference w:id="9"/>
      </w:r>
    </w:p>
    <w:p w:rsidR="00F2602D" w:rsidRDefault="00F2602D" w:rsidP="00F2602D">
      <w:pPr>
        <w:pStyle w:val="AERbulletlistfirststyle"/>
      </w:pPr>
      <w:r w:rsidRPr="00F2602D">
        <w:t>explaining and describing any pricing principles it employed.</w:t>
      </w:r>
      <w:r>
        <w:rPr>
          <w:rStyle w:val="FootnoteReference"/>
        </w:rPr>
        <w:footnoteReference w:id="10"/>
      </w:r>
    </w:p>
    <w:p w:rsidR="00F2602D" w:rsidRDefault="00F2602D" w:rsidP="00F2602D">
      <w:r w:rsidRPr="00F2602D">
        <w:t xml:space="preserve">We are required </w:t>
      </w:r>
      <w:r w:rsidR="00E10F82">
        <w:t xml:space="preserve">by the NGR </w:t>
      </w:r>
      <w:r w:rsidRPr="00F2602D">
        <w:t xml:space="preserve">to assess </w:t>
      </w:r>
      <w:r w:rsidR="00D2502B">
        <w:t>APTPPL's</w:t>
      </w:r>
      <w:r w:rsidR="00D2502B" w:rsidRPr="00F2602D">
        <w:t xml:space="preserve"> </w:t>
      </w:r>
      <w:r w:rsidRPr="00F2602D">
        <w:t xml:space="preserve">proposed reference tariffs. Where we do not accept them, we must determine the initial reference tariffs to apply </w:t>
      </w:r>
      <w:r w:rsidR="0002084C">
        <w:t xml:space="preserve">to </w:t>
      </w:r>
      <w:r w:rsidRPr="00F2602D">
        <w:t>each reference service.</w:t>
      </w:r>
    </w:p>
    <w:p w:rsidR="0002084C" w:rsidRDefault="00F2602D" w:rsidP="00DE7E41">
      <w:r w:rsidRPr="00F2602D">
        <w:t xml:space="preserve">In </w:t>
      </w:r>
      <w:r w:rsidR="0002084C">
        <w:t xml:space="preserve">carrying out our </w:t>
      </w:r>
      <w:r w:rsidRPr="00F2602D">
        <w:t xml:space="preserve">assessment of </w:t>
      </w:r>
      <w:r w:rsidR="0002084C">
        <w:t xml:space="preserve">APTPPL’s proposal, we have had regard to: </w:t>
      </w:r>
    </w:p>
    <w:p w:rsidR="00F2602D" w:rsidRPr="00F2602D" w:rsidRDefault="0002084C" w:rsidP="008A704D">
      <w:pPr>
        <w:pStyle w:val="AERbulletlistfirststyle"/>
      </w:pPr>
      <w:r>
        <w:t>APTPPL’s proposed access arrangement and other supporting material provided by APTPPL</w:t>
      </w:r>
      <w:r w:rsidR="00C7569A">
        <w:t>.</w:t>
      </w:r>
      <w:r w:rsidR="00FB526D">
        <w:rPr>
          <w:rStyle w:val="FootnoteReference"/>
        </w:rPr>
        <w:footnoteReference w:id="11"/>
      </w:r>
      <w:r w:rsidRPr="00DE7E41">
        <w:rPr>
          <w:vertAlign w:val="superscript"/>
        </w:rPr>
        <w:t>,</w:t>
      </w:r>
      <w:r>
        <w:rPr>
          <w:rStyle w:val="FootnoteReference"/>
        </w:rPr>
        <w:footnoteReference w:id="12"/>
      </w:r>
      <w:r>
        <w:rPr>
          <w:vertAlign w:val="superscript"/>
        </w:rPr>
        <w:t>,</w:t>
      </w:r>
      <w:r>
        <w:rPr>
          <w:rStyle w:val="FootnoteReference"/>
        </w:rPr>
        <w:footnoteReference w:id="13"/>
      </w:r>
    </w:p>
    <w:p w:rsidR="00E10F82" w:rsidRDefault="00C7569A" w:rsidP="00DE7E41">
      <w:pPr>
        <w:pStyle w:val="AERbulletlistfirststyle"/>
      </w:pPr>
      <w:r>
        <w:t>S</w:t>
      </w:r>
      <w:r w:rsidR="00E10F82">
        <w:t xml:space="preserve">takeholder </w:t>
      </w:r>
      <w:r w:rsidR="00F2602D" w:rsidRPr="00F2602D">
        <w:t>submissions</w:t>
      </w:r>
      <w:r w:rsidR="00E10F82">
        <w:t xml:space="preserve">, which </w:t>
      </w:r>
      <w:r>
        <w:t>as noted in Attachment 1</w:t>
      </w:r>
      <w:r w:rsidR="007A60F9">
        <w:t>,</w:t>
      </w:r>
      <w:r>
        <w:t xml:space="preserve"> </w:t>
      </w:r>
      <w:r w:rsidR="00E10F82">
        <w:t>raised some concerns about:</w:t>
      </w:r>
    </w:p>
    <w:p w:rsidR="00E10F82" w:rsidRDefault="00E10F82" w:rsidP="00DE7E41">
      <w:pPr>
        <w:pStyle w:val="AERbulletlistsecondstyle"/>
      </w:pPr>
      <w:r>
        <w:t xml:space="preserve">APTPPL’s proposal </w:t>
      </w:r>
      <w:r w:rsidR="00FF2721">
        <w:t xml:space="preserve">to </w:t>
      </w:r>
      <w:r>
        <w:t xml:space="preserve">maintain the </w:t>
      </w:r>
      <w:r w:rsidRPr="00DF6747">
        <w:t>postage stamp tariff structure</w:t>
      </w:r>
      <w:r>
        <w:rPr>
          <w:rStyle w:val="FootnoteReference"/>
        </w:rPr>
        <w:footnoteReference w:id="14"/>
      </w:r>
    </w:p>
    <w:p w:rsidR="00E10F82" w:rsidRPr="008A704D" w:rsidRDefault="00E10F82" w:rsidP="00DE7E41">
      <w:pPr>
        <w:pStyle w:val="AERbulletlistsecondstyle"/>
        <w:rPr>
          <w:rFonts w:cs="Times New Roman"/>
        </w:rPr>
      </w:pPr>
      <w:r>
        <w:t xml:space="preserve">the 166 per cent </w:t>
      </w:r>
      <w:r w:rsidRPr="00DF6747">
        <w:t xml:space="preserve">premium </w:t>
      </w:r>
      <w:r>
        <w:t xml:space="preserve">that </w:t>
      </w:r>
      <w:r w:rsidRPr="00DF6747">
        <w:t>APTPPL proposes to charge for the STFS</w:t>
      </w:r>
      <w:r w:rsidR="00C7569A">
        <w:rPr>
          <w:rStyle w:val="FootnoteReference"/>
        </w:rPr>
        <w:footnoteReference w:id="15"/>
      </w:r>
    </w:p>
    <w:p w:rsidR="00E10F82" w:rsidRDefault="00C7569A" w:rsidP="00DE7E41">
      <w:pPr>
        <w:pStyle w:val="AERbulletlistfirststyle"/>
      </w:pPr>
      <w:r>
        <w:rPr>
          <w:rFonts w:cstheme="minorBidi"/>
        </w:rPr>
        <w:t>O</w:t>
      </w:r>
      <w:r w:rsidR="00E10F82">
        <w:t>ur draft decisions on the specification of reference services (see Attachment 1), APTPPL’s revenue allowance (see Attachments 2-9)</w:t>
      </w:r>
      <w:r w:rsidR="00C31259">
        <w:t>,</w:t>
      </w:r>
      <w:r w:rsidR="00E10F82">
        <w:t xml:space="preserve"> </w:t>
      </w:r>
      <w:r w:rsidR="00D266D7">
        <w:t>revenue smoothing factor (Overview)</w:t>
      </w:r>
      <w:r w:rsidR="00FF2721">
        <w:t xml:space="preserve"> and</w:t>
      </w:r>
      <w:r w:rsidR="00D266D7">
        <w:t xml:space="preserve"> </w:t>
      </w:r>
      <w:r w:rsidR="00E10F82">
        <w:t>demand forecasts (see Attachment 13</w:t>
      </w:r>
      <w:r w:rsidR="00E02076">
        <w:t>)</w:t>
      </w:r>
      <w:r>
        <w:t>.</w:t>
      </w:r>
    </w:p>
    <w:p w:rsidR="00E10F82" w:rsidRDefault="00C7569A" w:rsidP="00DE7E41">
      <w:pPr>
        <w:pStyle w:val="AERbulletlistfirststyle"/>
      </w:pPr>
      <w:r>
        <w:t>T</w:t>
      </w:r>
      <w:r w:rsidR="00E10F82">
        <w:t xml:space="preserve">he advice we </w:t>
      </w:r>
      <w:r w:rsidR="009D065A">
        <w:t>provided APTPPL during the 2016–</w:t>
      </w:r>
      <w:r w:rsidR="00E10F82">
        <w:t>17 tariff variation process that it could apply to have the unrecovered amount (approximately $1.6 million) included in its revenue allowance in the 2017–22 access arrangement period.</w:t>
      </w:r>
      <w:r w:rsidR="00E10F82">
        <w:rPr>
          <w:rStyle w:val="FootnoteReference"/>
        </w:rPr>
        <w:footnoteReference w:id="16"/>
      </w:r>
    </w:p>
    <w:p w:rsidR="0002084C" w:rsidRPr="00F2602D" w:rsidRDefault="00E10F82" w:rsidP="0002084C">
      <w:r>
        <w:t xml:space="preserve">We have also </w:t>
      </w:r>
      <w:r w:rsidR="0002084C">
        <w:t xml:space="preserve">considered the </w:t>
      </w:r>
      <w:r w:rsidR="00F0068F">
        <w:t>conditions c</w:t>
      </w:r>
      <w:r w:rsidR="0002084C">
        <w:t xml:space="preserve">urrently </w:t>
      </w:r>
      <w:r w:rsidR="00F0068F">
        <w:t xml:space="preserve">prevailing in </w:t>
      </w:r>
      <w:r w:rsidR="0002084C">
        <w:t xml:space="preserve">the </w:t>
      </w:r>
      <w:r w:rsidR="00F0068F">
        <w:t xml:space="preserve">east coast </w:t>
      </w:r>
      <w:r w:rsidR="0002084C">
        <w:t xml:space="preserve">gas market and the effect our decision on reference tariffs could have on market participants </w:t>
      </w:r>
      <w:r>
        <w:t xml:space="preserve">in this </w:t>
      </w:r>
      <w:r w:rsidR="00F0068F">
        <w:t xml:space="preserve">challenging environment </w:t>
      </w:r>
      <w:r>
        <w:t>(see Attachment 1, section 1.4.2 for more detail)</w:t>
      </w:r>
      <w:r w:rsidR="0002084C">
        <w:t>.</w:t>
      </w:r>
    </w:p>
    <w:p w:rsidR="00A2303E" w:rsidRDefault="00A2303E" w:rsidP="00A2303E">
      <w:pPr>
        <w:pStyle w:val="Heading2"/>
      </w:pPr>
      <w:bookmarkStart w:id="18" w:name="_Toc408404324"/>
      <w:bookmarkStart w:id="19" w:name="_Toc419366917"/>
      <w:bookmarkStart w:id="20" w:name="_Ref476827868"/>
      <w:bookmarkStart w:id="21" w:name="_Toc486852072"/>
      <w:r w:rsidRPr="0074565D">
        <w:t xml:space="preserve">Reasons for </w:t>
      </w:r>
      <w:r w:rsidR="00E33B83">
        <w:t>draft</w:t>
      </w:r>
      <w:r w:rsidR="00E33B83" w:rsidRPr="0074565D">
        <w:t xml:space="preserve"> </w:t>
      </w:r>
      <w:r w:rsidRPr="0074565D">
        <w:t>decision</w:t>
      </w:r>
      <w:bookmarkEnd w:id="18"/>
      <w:bookmarkEnd w:id="19"/>
      <w:bookmarkEnd w:id="20"/>
      <w:bookmarkEnd w:id="21"/>
      <w:r w:rsidRPr="0074565D">
        <w:t xml:space="preserve"> </w:t>
      </w:r>
    </w:p>
    <w:p w:rsidR="00E10F82" w:rsidRDefault="00C31259" w:rsidP="00E10F82">
      <w:r>
        <w:t>Having considered APTPPL’</w:t>
      </w:r>
      <w:r w:rsidR="007A60F9">
        <w:t>s proposed reference tariffs</w:t>
      </w:r>
      <w:r>
        <w:t>, the issues raised by stakeholders, our draft decisions on other aspects of APTPPL’s proposal and the relevant provisions in the NGR and NGL, o</w:t>
      </w:r>
      <w:r w:rsidR="00E10F82">
        <w:t>ur draft decision is</w:t>
      </w:r>
      <w:r>
        <w:t xml:space="preserve"> as follows</w:t>
      </w:r>
      <w:r w:rsidR="00E10F82">
        <w:t>:</w:t>
      </w:r>
    </w:p>
    <w:p w:rsidR="007A60F9" w:rsidRPr="00DE7E41" w:rsidRDefault="007A60F9" w:rsidP="00DE7E41">
      <w:pPr>
        <w:pStyle w:val="AERbulletlistfirststyle"/>
      </w:pPr>
      <w:r>
        <w:rPr>
          <w:b/>
        </w:rPr>
        <w:t xml:space="preserve">Reference tariffs: </w:t>
      </w:r>
    </w:p>
    <w:p w:rsidR="007A60F9" w:rsidRDefault="00C31259" w:rsidP="00DE7E41">
      <w:pPr>
        <w:pStyle w:val="AERbulletlistsecondstyle"/>
        <w:ind w:left="714"/>
      </w:pPr>
      <w:r w:rsidRPr="00DE7E41">
        <w:rPr>
          <w:b/>
        </w:rPr>
        <w:t>LTFS reference tariff:</w:t>
      </w:r>
      <w:r>
        <w:t xml:space="preserve"> </w:t>
      </w:r>
      <w:r w:rsidR="00D266D7">
        <w:t xml:space="preserve">Our draft decision is to </w:t>
      </w:r>
      <w:r>
        <w:t xml:space="preserve">accept APTPPL’s proposal to maintain the postage stamp tariff structure, but require the LTFS reference tariff to be amended to reflect our draft decisions on APTPPL’s proposed revenue allowance, </w:t>
      </w:r>
      <w:r w:rsidR="00D266D7">
        <w:t xml:space="preserve">revenue smoothing factor, </w:t>
      </w:r>
      <w:r>
        <w:t>demand forecasts and adjustment from the 2016-17 tariff variation.</w:t>
      </w:r>
    </w:p>
    <w:p w:rsidR="00C31259" w:rsidRDefault="00C31259" w:rsidP="00DE7E41">
      <w:pPr>
        <w:pStyle w:val="AERbulletlistsecondstyle"/>
        <w:ind w:left="714"/>
      </w:pPr>
      <w:r w:rsidRPr="00DE7E41">
        <w:rPr>
          <w:b/>
        </w:rPr>
        <w:t>STFS reference tariff:</w:t>
      </w:r>
      <w:r>
        <w:t xml:space="preserve"> </w:t>
      </w:r>
      <w:r w:rsidR="00D266D7">
        <w:t xml:space="preserve">In keeping with our decision not to approve the specification of the </w:t>
      </w:r>
      <w:r>
        <w:t>STFS as a reference service</w:t>
      </w:r>
      <w:r w:rsidR="00D266D7">
        <w:t xml:space="preserve">, the </w:t>
      </w:r>
      <w:r>
        <w:t xml:space="preserve">access arrangement will not </w:t>
      </w:r>
      <w:r w:rsidR="00D266D7">
        <w:t xml:space="preserve">include </w:t>
      </w:r>
      <w:r>
        <w:t>a reference tariff for this service. The price of this service will instead be determined through negotiations with APTPPL, with arbitration available as a backstop if negotiations fail.</w:t>
      </w:r>
      <w:r>
        <w:rPr>
          <w:rStyle w:val="FootnoteReference"/>
        </w:rPr>
        <w:footnoteReference w:id="17"/>
      </w:r>
      <w:r>
        <w:t xml:space="preserve">  </w:t>
      </w:r>
    </w:p>
    <w:p w:rsidR="007A60F9" w:rsidRPr="002D62D9" w:rsidRDefault="007A60F9" w:rsidP="007A60F9">
      <w:pPr>
        <w:pStyle w:val="AERbulletlistfirststyle"/>
      </w:pPr>
      <w:r>
        <w:rPr>
          <w:b/>
        </w:rPr>
        <w:t xml:space="preserve">Rebateable services: </w:t>
      </w:r>
    </w:p>
    <w:p w:rsidR="00795BE7" w:rsidRDefault="00795BE7" w:rsidP="00DE7E41">
      <w:pPr>
        <w:pStyle w:val="AERbulletlistsecondstyle"/>
        <w:ind w:left="714"/>
      </w:pPr>
      <w:r w:rsidRPr="00DE7E41">
        <w:rPr>
          <w:b/>
        </w:rPr>
        <w:t>Park and loan services (firm and interruptible):</w:t>
      </w:r>
      <w:r>
        <w:t xml:space="preserve"> Our draft decision is to require APTPPL to rebate 90 per cent of the revenue it earns from the provision of </w:t>
      </w:r>
      <w:r w:rsidR="00F0068F">
        <w:t xml:space="preserve">these </w:t>
      </w:r>
      <w:r>
        <w:t>service</w:t>
      </w:r>
      <w:r w:rsidR="00F0068F">
        <w:t>s</w:t>
      </w:r>
      <w:r>
        <w:t xml:space="preserve"> to shippers.</w:t>
      </w:r>
    </w:p>
    <w:p w:rsidR="00795BE7" w:rsidRDefault="00795BE7" w:rsidP="00DE7E41">
      <w:pPr>
        <w:pStyle w:val="AERbulletlistsecondstyle"/>
        <w:ind w:left="714"/>
      </w:pPr>
      <w:r w:rsidRPr="00DE7E41">
        <w:rPr>
          <w:b/>
        </w:rPr>
        <w:t>In-pipe trading and capacity trading services:</w:t>
      </w:r>
      <w:r>
        <w:t xml:space="preserve"> Our draft decision is to require APTPPL to rebate 70 per cent of the revenue it earns from the provision of these services to shippers.</w:t>
      </w:r>
    </w:p>
    <w:p w:rsidR="00C31259" w:rsidRDefault="00C31259" w:rsidP="00F2602D">
      <w:r>
        <w:t xml:space="preserve">Further detail on </w:t>
      </w:r>
      <w:r w:rsidR="006615A2">
        <w:t xml:space="preserve">how we have come to our position on the </w:t>
      </w:r>
      <w:r w:rsidR="00795BE7">
        <w:t xml:space="preserve">LTFS reference tariff and rebateable services </w:t>
      </w:r>
      <w:r w:rsidR="006615A2">
        <w:t>is provided below.</w:t>
      </w:r>
    </w:p>
    <w:p w:rsidR="00E10F82" w:rsidRPr="008A704D" w:rsidRDefault="00795BE7" w:rsidP="00DE7E41">
      <w:pPr>
        <w:pStyle w:val="Heading3"/>
      </w:pPr>
      <w:bookmarkStart w:id="22" w:name="_Toc486852073"/>
      <w:r w:rsidRPr="008A704D">
        <w:t xml:space="preserve">LTFS reference </w:t>
      </w:r>
      <w:r>
        <w:t>tariff</w:t>
      </w:r>
      <w:bookmarkEnd w:id="22"/>
    </w:p>
    <w:p w:rsidR="008A0A4B" w:rsidRDefault="008A0A4B" w:rsidP="008A0A4B">
      <w:r>
        <w:t xml:space="preserve">Under APTPPL's proposal, users of the LTFS would pay the same reference tariff irrespective </w:t>
      </w:r>
      <w:r>
        <w:rPr>
          <w:rStyle w:val="AERbody"/>
        </w:rPr>
        <w:t>of the distance the gas is transported</w:t>
      </w:r>
      <w:r>
        <w:t>. Shell raised some concerns about this in its submission and suggested that consideration be given to "segmenting" the pipeline to provide better "alignment across usage, cost allocation and pricing".</w:t>
      </w:r>
      <w:r>
        <w:rPr>
          <w:rStyle w:val="FootnoteReference"/>
        </w:rPr>
        <w:footnoteReference w:id="18"/>
      </w:r>
      <w:r>
        <w:t xml:space="preserve"> </w:t>
      </w:r>
      <w:r w:rsidR="00EA62DF">
        <w:t>Similar concerns were also raised by other stakeholders in the last two access arrangement reviews.</w:t>
      </w:r>
    </w:p>
    <w:p w:rsidR="008A0A4B" w:rsidRDefault="008A0A4B" w:rsidP="008A0A4B">
      <w:r>
        <w:t xml:space="preserve">The postage stamp service </w:t>
      </w:r>
      <w:r w:rsidR="00083B1B">
        <w:t xml:space="preserve">on the RBP </w:t>
      </w:r>
      <w:r>
        <w:t>was originally approved by the ACCC for the 2006</w:t>
      </w:r>
      <w:r w:rsidR="009D065A">
        <w:t>–</w:t>
      </w:r>
      <w:r>
        <w:t>11 access arrangement period. At the time of this decision the RBP was operating close to full capacity. There was therefore a concern that if distance based charges were implemented and this resulted in increased demand for shorter haul services, then it could reduce APTPPL's capacity to transport gas longer distances and may not result in an overall increase in the utilisation of the pipeline.</w:t>
      </w:r>
      <w:r>
        <w:rPr>
          <w:rStyle w:val="FootnoteReference"/>
        </w:rPr>
        <w:footnoteReference w:id="19"/>
      </w:r>
      <w:r>
        <w:t xml:space="preserve"> </w:t>
      </w:r>
    </w:p>
    <w:p w:rsidR="008A0A4B" w:rsidRDefault="008A0A4B" w:rsidP="008A0A4B">
      <w:r>
        <w:rPr>
          <w:rStyle w:val="AERbody"/>
        </w:rPr>
        <w:t xml:space="preserve">While the ACCC accepted APTPPL's proposed service and tariff, it </w:t>
      </w:r>
      <w:r>
        <w:t xml:space="preserve">foreshadowed the possibility of moving to a zonal or distance based service and tariff in future periods. In doing so, the ACCC noted that </w:t>
      </w:r>
      <w:r>
        <w:rPr>
          <w:rStyle w:val="AERbody"/>
        </w:rPr>
        <w:t xml:space="preserve">there may be a case that </w:t>
      </w:r>
      <w:r w:rsidRPr="00F27316">
        <w:t>users with loads west of Brisbane should</w:t>
      </w:r>
      <w:r>
        <w:t xml:space="preserve"> not have to </w:t>
      </w:r>
      <w:r w:rsidRPr="00F27316">
        <w:t>pay for looping in the Brisbane area and that a zone based tariff might</w:t>
      </w:r>
      <w:r>
        <w:t xml:space="preserve"> </w:t>
      </w:r>
      <w:r w:rsidRPr="00F27316">
        <w:t xml:space="preserve">be </w:t>
      </w:r>
      <w:r>
        <w:t xml:space="preserve">more </w:t>
      </w:r>
      <w:r w:rsidRPr="00F27316">
        <w:t>appropriate.</w:t>
      </w:r>
      <w:r w:rsidRPr="00314725">
        <w:rPr>
          <w:rStyle w:val="FootnoteReference"/>
        </w:rPr>
        <w:t xml:space="preserve"> </w:t>
      </w:r>
      <w:r>
        <w:rPr>
          <w:rStyle w:val="FootnoteReference"/>
        </w:rPr>
        <w:footnoteReference w:id="20"/>
      </w:r>
      <w:r w:rsidRPr="00F27316">
        <w:t xml:space="preserve"> </w:t>
      </w:r>
    </w:p>
    <w:p w:rsidR="008A0A4B" w:rsidRDefault="009D065A" w:rsidP="008A0A4B">
      <w:r>
        <w:t>At the time the 2012–</w:t>
      </w:r>
      <w:r w:rsidR="008A0A4B">
        <w:t>17 access arrangement was reviewed by the AER, the RBP was also expected to operate at or close to full capacity over the period. We therefore approved the maintenance of the postage stamp reference service.</w:t>
      </w:r>
      <w:r w:rsidR="008A0A4B">
        <w:rPr>
          <w:rStyle w:val="FootnoteReference"/>
        </w:rPr>
        <w:footnoteReference w:id="21"/>
      </w:r>
    </w:p>
    <w:p w:rsidR="008A0A4B" w:rsidRDefault="008A0A4B" w:rsidP="008A0A4B">
      <w:r>
        <w:t>In the period following these decisions, there has been a substantial reduction in the demand for transportation services on the RBP and looking forward over the next access arrangement period the pipeline is expected to be operating well below its nameplate capacity.</w:t>
      </w:r>
      <w:r w:rsidRPr="000E7BE5">
        <w:rPr>
          <w:rStyle w:val="FootnoteReference"/>
        </w:rPr>
        <w:footnoteReference w:id="22"/>
      </w:r>
      <w:r>
        <w:t xml:space="preserve"> The rationale that was previously relied upon to support the use of a postage stamp service has therefore diminished considerably.  It is relevant therefore to consider whether: </w:t>
      </w:r>
    </w:p>
    <w:p w:rsidR="008A0A4B" w:rsidRDefault="008A0A4B" w:rsidP="008A0A4B">
      <w:pPr>
        <w:pStyle w:val="AERbulletlistfirststyle"/>
        <w:ind w:left="357" w:hanging="357"/>
      </w:pPr>
      <w:r>
        <w:t>the postage stamp service should be retained in the upcomi</w:t>
      </w:r>
      <w:r w:rsidR="00AE34E0">
        <w:t>ng access arrangement period</w:t>
      </w:r>
    </w:p>
    <w:p w:rsidR="008A0A4B" w:rsidRDefault="008A0A4B" w:rsidP="008A0A4B">
      <w:pPr>
        <w:pStyle w:val="AERbulletlistfirststyle"/>
        <w:ind w:left="357" w:hanging="357"/>
      </w:pPr>
      <w:r>
        <w:t xml:space="preserve">a more cost reflective locational based service should be introduced </w:t>
      </w:r>
      <w:r w:rsidR="00AE34E0">
        <w:t>now</w:t>
      </w:r>
      <w:r>
        <w:t xml:space="preserve"> given the increasing demand for part-haul services on the RBP.</w:t>
      </w:r>
      <w:r>
        <w:rPr>
          <w:rStyle w:val="FootnoteReference"/>
        </w:rPr>
        <w:footnoteReference w:id="23"/>
      </w:r>
    </w:p>
    <w:p w:rsidR="008A0A4B" w:rsidRDefault="008A0A4B" w:rsidP="008A0A4B">
      <w:r>
        <w:t xml:space="preserve">In principle, if the cost of servicing customers differs over a geographic area, then the use of a postage stamp tariff can give rise to efficiency losses, because the uniform nature of the prices means that tariffs are not cost reflective and as a consequence the tariffs may not provide: </w:t>
      </w:r>
    </w:p>
    <w:p w:rsidR="008A0A4B" w:rsidRDefault="008A0A4B" w:rsidP="008A0A4B">
      <w:pPr>
        <w:pStyle w:val="AERbulletlistfirststyle"/>
        <w:ind w:left="357" w:hanging="357"/>
      </w:pPr>
      <w:r>
        <w:t>users with the signals they require to make efficient decisions abo</w:t>
      </w:r>
      <w:r w:rsidR="00AE34E0">
        <w:t>ut their use of the pipeline</w:t>
      </w:r>
    </w:p>
    <w:p w:rsidR="008A0A4B" w:rsidRDefault="008A0A4B" w:rsidP="008A0A4B">
      <w:pPr>
        <w:pStyle w:val="AERbulletlistfirststyle"/>
        <w:ind w:left="357" w:hanging="357"/>
      </w:pPr>
      <w:r>
        <w:t xml:space="preserve">users and the asset owner with the locational signals they require to make efficient operational and investment decisions. </w:t>
      </w:r>
    </w:p>
    <w:p w:rsidR="008A0A4B" w:rsidRDefault="008A0A4B" w:rsidP="008A0A4B">
      <w:r>
        <w:t xml:space="preserve">The postage stamp approach can also result in users who only transport gas over a small distance, cross-subsidising users that transport gas over longer distances. </w:t>
      </w:r>
    </w:p>
    <w:p w:rsidR="008A0A4B" w:rsidRDefault="00CF269D" w:rsidP="008A0A4B">
      <w:r>
        <w:t xml:space="preserve">While </w:t>
      </w:r>
      <w:r w:rsidR="008A0A4B">
        <w:t xml:space="preserve">there </w:t>
      </w:r>
      <w:r w:rsidR="004C7BE2">
        <w:t>is</w:t>
      </w:r>
      <w:r w:rsidR="008A0A4B">
        <w:t xml:space="preserve"> a number of efficiency benefits associated with locational services, a movement from postage stamp tariffs to locational tariffs </w:t>
      </w:r>
      <w:r>
        <w:t xml:space="preserve">may </w:t>
      </w:r>
      <w:r w:rsidR="008A0A4B">
        <w:t xml:space="preserve">result in a significant price shock for some shippers, which </w:t>
      </w:r>
      <w:r w:rsidR="002B217F">
        <w:t>could add to the financial pressures that some shippers are facing and</w:t>
      </w:r>
      <w:r w:rsidR="006B78CB">
        <w:t xml:space="preserve"> trigger further reductions in demand</w:t>
      </w:r>
      <w:r w:rsidR="008A0A4B">
        <w:t xml:space="preserve">. </w:t>
      </w:r>
      <w:r>
        <w:t>T</w:t>
      </w:r>
      <w:r w:rsidR="008A0A4B">
        <w:t xml:space="preserve">he efficiency benefits associated with locational services must </w:t>
      </w:r>
      <w:r>
        <w:t xml:space="preserve">therefore </w:t>
      </w:r>
      <w:r w:rsidR="008A0A4B">
        <w:t xml:space="preserve">be carefully weighed up against the impact that its introduction could have on </w:t>
      </w:r>
      <w:r w:rsidR="00E3109D">
        <w:t>users in both the short and the longer term</w:t>
      </w:r>
      <w:r w:rsidR="008A0A4B">
        <w:t>.</w:t>
      </w:r>
    </w:p>
    <w:p w:rsidR="00EA62DF" w:rsidRDefault="008A0A4B" w:rsidP="008A0A4B">
      <w:r>
        <w:t xml:space="preserve">It is with these issues in mind that we have considered whether a movement to a more </w:t>
      </w:r>
      <w:r w:rsidR="00EA62DF">
        <w:t xml:space="preserve">cost reflective part-haul (zonal) tariff </w:t>
      </w:r>
      <w:r>
        <w:t xml:space="preserve">would be appropriate at this point in time. </w:t>
      </w:r>
    </w:p>
    <w:p w:rsidR="008A0A4B" w:rsidRPr="008A704D" w:rsidRDefault="00EA62DF" w:rsidP="008A0A4B">
      <w:r>
        <w:t xml:space="preserve">To inform our consideration of this issue, </w:t>
      </w:r>
      <w:r w:rsidR="008A0A4B">
        <w:t xml:space="preserve">we </w:t>
      </w:r>
      <w:r>
        <w:t>examined the effect that the delineation of the following zonal options would have on tariffs</w:t>
      </w:r>
      <w:r w:rsidR="008A0A4B" w:rsidRPr="008A704D">
        <w:t>:</w:t>
      </w:r>
    </w:p>
    <w:p w:rsidR="008A0A4B" w:rsidRPr="008A704D" w:rsidRDefault="008A0A4B" w:rsidP="008A0A4B">
      <w:pPr>
        <w:pStyle w:val="AERbulletlistfirststyle"/>
        <w:ind w:hanging="357"/>
      </w:pPr>
      <w:r w:rsidRPr="008A704D">
        <w:t>Option 1</w:t>
      </w:r>
      <w:r w:rsidR="00EA62DF">
        <w:t xml:space="preserve"> (three zones)</w:t>
      </w:r>
      <w:r w:rsidRPr="008A704D">
        <w:t xml:space="preserve">: Wallumbilla to Kogan, Kogan to Dalby and Dalby to Brisbane. </w:t>
      </w:r>
    </w:p>
    <w:p w:rsidR="008A0A4B" w:rsidRPr="008A704D" w:rsidRDefault="008A0A4B" w:rsidP="008A0A4B">
      <w:pPr>
        <w:pStyle w:val="AERbulletlistfirststyle"/>
        <w:ind w:hanging="357"/>
      </w:pPr>
      <w:r w:rsidRPr="008A704D">
        <w:t>Option 2</w:t>
      </w:r>
      <w:r w:rsidR="00EA62DF">
        <w:t xml:space="preserve"> (two zones)</w:t>
      </w:r>
      <w:r w:rsidRPr="008A704D">
        <w:t>: Wallumbilla to Dalby and Dalby to Brisbane.</w:t>
      </w:r>
    </w:p>
    <w:p w:rsidR="008A0A4B" w:rsidRPr="008A704D" w:rsidRDefault="008A0A4B" w:rsidP="008A0A4B">
      <w:pPr>
        <w:pStyle w:val="AERbulletlistfirststyle"/>
        <w:ind w:hanging="357"/>
      </w:pPr>
      <w:r w:rsidRPr="008A704D">
        <w:t>Option 3</w:t>
      </w:r>
      <w:r w:rsidR="00EA62DF">
        <w:t xml:space="preserve"> (two zones)</w:t>
      </w:r>
      <w:r w:rsidRPr="008A704D">
        <w:t xml:space="preserve">: Wallumbilla to Kogan and Kogan to Brisbane. </w:t>
      </w:r>
    </w:p>
    <w:p w:rsidR="008A0A4B" w:rsidRPr="008A704D" w:rsidRDefault="008A0A4B" w:rsidP="008A0A4B">
      <w:r w:rsidRPr="008A704D">
        <w:t>To calculate the tariffs that would be payable in each of these zones, we have assumed that costs are proportional to the length of each zone, calculated from the end point distances of each zone</w:t>
      </w:r>
      <w:r w:rsidR="00D266D7">
        <w:t xml:space="preserve"> (see</w:t>
      </w:r>
      <w:r w:rsidR="00FF2721">
        <w:t xml:space="preserve"> </w:t>
      </w:r>
      <w:r w:rsidR="00FF2721">
        <w:fldChar w:fldCharType="begin"/>
      </w:r>
      <w:r w:rsidR="00FF2721">
        <w:instrText xml:space="preserve"> REF _Ref485991640 \h </w:instrText>
      </w:r>
      <w:r w:rsidR="00FF2721">
        <w:fldChar w:fldCharType="separate"/>
      </w:r>
      <w:r w:rsidR="00CD1954">
        <w:t xml:space="preserve">Table </w:t>
      </w:r>
      <w:r w:rsidR="00CD1954">
        <w:rPr>
          <w:noProof/>
        </w:rPr>
        <w:t>10</w:t>
      </w:r>
      <w:r w:rsidR="00CD1954">
        <w:noBreakHyphen/>
      </w:r>
      <w:r w:rsidR="00CD1954">
        <w:rPr>
          <w:noProof/>
        </w:rPr>
        <w:t>1</w:t>
      </w:r>
      <w:r w:rsidR="00FF2721">
        <w:fldChar w:fldCharType="end"/>
      </w:r>
      <w:r w:rsidR="00D266D7">
        <w:t>)</w:t>
      </w:r>
      <w:r w:rsidRPr="008A704D">
        <w:t xml:space="preserve">. </w:t>
      </w:r>
      <w:r w:rsidR="00462A6E">
        <w:t xml:space="preserve">In our view, this is a reasonable assumption to make given the pipeline value constitutes the majority of APTPPL’s revenue requirement and its costs are relatively uniform across the length of the RBP. The use of this approach is also </w:t>
      </w:r>
      <w:r w:rsidR="002B217F">
        <w:t>consistent with the approach the Economic Regulatory Authority (ERA) has used when setting zonal tariffs on the Dampier to Bunbury Natural Gas Pipeline in Western Australia.</w:t>
      </w:r>
      <w:r w:rsidR="002B217F">
        <w:rPr>
          <w:rStyle w:val="FootnoteReference"/>
        </w:rPr>
        <w:footnoteReference w:id="24"/>
      </w:r>
      <w:r w:rsidR="002B217F">
        <w:t xml:space="preserve"> </w:t>
      </w:r>
    </w:p>
    <w:p w:rsidR="00D266D7" w:rsidRDefault="009D065A" w:rsidP="009D065A">
      <w:pPr>
        <w:pStyle w:val="Caption"/>
      </w:pPr>
      <w:bookmarkStart w:id="24" w:name="_Ref485991640"/>
      <w:r>
        <w:t xml:space="preserve">Table </w:t>
      </w:r>
      <w:fldSimple w:instr=" STYLEREF 1 \s ">
        <w:r w:rsidR="00CD1954">
          <w:rPr>
            <w:noProof/>
          </w:rPr>
          <w:t>10</w:t>
        </w:r>
      </w:fldSimple>
      <w:r>
        <w:noBreakHyphen/>
      </w:r>
      <w:fldSimple w:instr=" SEQ Table \* ARABIC \s 1 ">
        <w:r w:rsidR="00CD1954">
          <w:rPr>
            <w:noProof/>
          </w:rPr>
          <w:t>1</w:t>
        </w:r>
      </w:fldSimple>
      <w:bookmarkEnd w:id="24"/>
      <w:r w:rsidR="00D266D7">
        <w:rPr>
          <w:noProof/>
        </w:rPr>
        <w:t>:</w:t>
      </w:r>
      <w:r w:rsidR="00D266D7">
        <w:t xml:space="preserve"> Zonal cost allocations</w:t>
      </w:r>
    </w:p>
    <w:tbl>
      <w:tblPr>
        <w:tblStyle w:val="AERtable-numbers"/>
        <w:tblW w:w="0" w:type="auto"/>
        <w:tblLook w:val="04A0" w:firstRow="1" w:lastRow="0" w:firstColumn="1" w:lastColumn="0" w:noHBand="0" w:noVBand="1"/>
      </w:tblPr>
      <w:tblGrid>
        <w:gridCol w:w="2173"/>
        <w:gridCol w:w="2173"/>
        <w:gridCol w:w="2173"/>
        <w:gridCol w:w="2174"/>
      </w:tblGrid>
      <w:tr w:rsidR="00D266D7" w:rsidTr="00DE7E41">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173" w:type="dxa"/>
          </w:tcPr>
          <w:p w:rsidR="00D266D7" w:rsidRDefault="00D266D7" w:rsidP="00F0068F">
            <w:pPr>
              <w:pStyle w:val="AERtabletextleft"/>
            </w:pPr>
            <w:r>
              <w:t>Zone</w:t>
            </w:r>
          </w:p>
        </w:tc>
        <w:tc>
          <w:tcPr>
            <w:tcW w:w="2173" w:type="dxa"/>
          </w:tcPr>
          <w:p w:rsidR="00D266D7" w:rsidRDefault="00D266D7" w:rsidP="00DE7E41">
            <w:pPr>
              <w:pStyle w:val="AERtabletextleft"/>
              <w:jc w:val="center"/>
              <w:cnfStyle w:val="100000000000" w:firstRow="1" w:lastRow="0" w:firstColumn="0" w:lastColumn="0" w:oddVBand="0" w:evenVBand="0" w:oddHBand="0" w:evenHBand="0" w:firstRowFirstColumn="0" w:firstRowLastColumn="0" w:lastRowFirstColumn="0" w:lastRowLastColumn="0"/>
              <w:rPr>
                <w:b w:val="0"/>
                <w:color w:val="auto"/>
                <w:lang w:eastAsia="en-US"/>
              </w:rPr>
            </w:pPr>
            <w:r>
              <w:t>End point, Km</w:t>
            </w:r>
          </w:p>
        </w:tc>
        <w:tc>
          <w:tcPr>
            <w:tcW w:w="2173" w:type="dxa"/>
          </w:tcPr>
          <w:p w:rsidR="00D266D7" w:rsidRDefault="00D266D7" w:rsidP="00DE7E41">
            <w:pPr>
              <w:pStyle w:val="AERtabletextleft"/>
              <w:jc w:val="center"/>
              <w:cnfStyle w:val="100000000000" w:firstRow="1" w:lastRow="0" w:firstColumn="0" w:lastColumn="0" w:oddVBand="0" w:evenVBand="0" w:oddHBand="0" w:evenHBand="0" w:firstRowFirstColumn="0" w:firstRowLastColumn="0" w:lastRowFirstColumn="0" w:lastRowLastColumn="0"/>
              <w:rPr>
                <w:b w:val="0"/>
                <w:color w:val="auto"/>
                <w:lang w:eastAsia="en-US"/>
              </w:rPr>
            </w:pPr>
            <w:r>
              <w:t>Zone Length, km</w:t>
            </w:r>
          </w:p>
        </w:tc>
        <w:tc>
          <w:tcPr>
            <w:tcW w:w="2174" w:type="dxa"/>
          </w:tcPr>
          <w:p w:rsidR="00D266D7" w:rsidRDefault="00D266D7" w:rsidP="00DE7E41">
            <w:pPr>
              <w:pStyle w:val="AERtabletextleft"/>
              <w:jc w:val="center"/>
              <w:cnfStyle w:val="100000000000" w:firstRow="1" w:lastRow="0" w:firstColumn="0" w:lastColumn="0" w:oddVBand="0" w:evenVBand="0" w:oddHBand="0" w:evenHBand="0" w:firstRowFirstColumn="0" w:firstRowLastColumn="0" w:lastRowFirstColumn="0" w:lastRowLastColumn="0"/>
              <w:rPr>
                <w:b w:val="0"/>
                <w:color w:val="auto"/>
                <w:lang w:eastAsia="en-US"/>
              </w:rPr>
            </w:pPr>
            <w:r>
              <w:t xml:space="preserve">Cost allocation </w:t>
            </w:r>
            <w:r>
              <w:br/>
              <w:t>(per cent)</w:t>
            </w:r>
          </w:p>
        </w:tc>
      </w:tr>
      <w:tr w:rsidR="00D266D7" w:rsidTr="00F0068F">
        <w:tc>
          <w:tcPr>
            <w:cnfStyle w:val="001000000000" w:firstRow="0" w:lastRow="0" w:firstColumn="1" w:lastColumn="0" w:oddVBand="0" w:evenVBand="0" w:oddHBand="0" w:evenHBand="0" w:firstRowFirstColumn="0" w:firstRowLastColumn="0" w:lastRowFirstColumn="0" w:lastRowLastColumn="0"/>
            <w:tcW w:w="2173" w:type="dxa"/>
          </w:tcPr>
          <w:p w:rsidR="00D266D7" w:rsidRDefault="00D266D7" w:rsidP="00F0068F">
            <w:pPr>
              <w:pStyle w:val="AERtabletextleft"/>
            </w:pPr>
            <w:r>
              <w:t>Wallumbilla-Kogan</w:t>
            </w:r>
          </w:p>
        </w:tc>
        <w:tc>
          <w:tcPr>
            <w:tcW w:w="2173" w:type="dxa"/>
          </w:tcPr>
          <w:p w:rsidR="00D266D7" w:rsidRPr="009C4CFA" w:rsidRDefault="00D266D7" w:rsidP="00DE7E41">
            <w:pPr>
              <w:pStyle w:val="AERtabletextleft"/>
              <w:jc w:val="center"/>
              <w:cnfStyle w:val="000000000000" w:firstRow="0" w:lastRow="0" w:firstColumn="0" w:lastColumn="0" w:oddVBand="0" w:evenVBand="0" w:oddHBand="0" w:evenHBand="0" w:firstRowFirstColumn="0" w:firstRowLastColumn="0" w:lastRowFirstColumn="0" w:lastRowLastColumn="0"/>
              <w:rPr>
                <w:lang w:eastAsia="en-US"/>
              </w:rPr>
            </w:pPr>
            <w:r w:rsidRPr="009C4CFA">
              <w:t>183</w:t>
            </w:r>
          </w:p>
        </w:tc>
        <w:tc>
          <w:tcPr>
            <w:tcW w:w="2173" w:type="dxa"/>
          </w:tcPr>
          <w:p w:rsidR="00D266D7" w:rsidRDefault="00D266D7" w:rsidP="00DE7E41">
            <w:pPr>
              <w:pStyle w:val="AERtabletextleft"/>
              <w:jc w:val="center"/>
              <w:cnfStyle w:val="000000000000" w:firstRow="0" w:lastRow="0" w:firstColumn="0" w:lastColumn="0" w:oddVBand="0" w:evenVBand="0" w:oddHBand="0" w:evenHBand="0" w:firstRowFirstColumn="0" w:firstRowLastColumn="0" w:lastRowFirstColumn="0" w:lastRowLastColumn="0"/>
              <w:rPr>
                <w:lang w:eastAsia="en-US"/>
              </w:rPr>
            </w:pPr>
            <w:r>
              <w:t>183</w:t>
            </w:r>
          </w:p>
        </w:tc>
        <w:tc>
          <w:tcPr>
            <w:tcW w:w="2174" w:type="dxa"/>
          </w:tcPr>
          <w:p w:rsidR="00D266D7" w:rsidRDefault="00D266D7" w:rsidP="00DE7E41">
            <w:pPr>
              <w:pStyle w:val="AERtabletextleft"/>
              <w:jc w:val="center"/>
              <w:cnfStyle w:val="000000000000" w:firstRow="0" w:lastRow="0" w:firstColumn="0" w:lastColumn="0" w:oddVBand="0" w:evenVBand="0" w:oddHBand="0" w:evenHBand="0" w:firstRowFirstColumn="0" w:firstRowLastColumn="0" w:lastRowFirstColumn="0" w:lastRowLastColumn="0"/>
              <w:rPr>
                <w:lang w:eastAsia="en-US"/>
              </w:rPr>
            </w:pPr>
            <w:r>
              <w:t>42</w:t>
            </w:r>
          </w:p>
        </w:tc>
      </w:tr>
      <w:tr w:rsidR="00D266D7" w:rsidTr="00F006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D266D7" w:rsidRDefault="00D266D7" w:rsidP="00F0068F">
            <w:pPr>
              <w:pStyle w:val="AERtabletextleft"/>
            </w:pPr>
            <w:r>
              <w:t>Kogan-Dalby</w:t>
            </w:r>
          </w:p>
        </w:tc>
        <w:tc>
          <w:tcPr>
            <w:tcW w:w="2173" w:type="dxa"/>
          </w:tcPr>
          <w:p w:rsidR="00D266D7" w:rsidRPr="009C4CFA" w:rsidRDefault="00D266D7" w:rsidP="00DE7E41">
            <w:pPr>
              <w:pStyle w:val="AERtabletextleft"/>
              <w:jc w:val="center"/>
              <w:cnfStyle w:val="000000010000" w:firstRow="0" w:lastRow="0" w:firstColumn="0" w:lastColumn="0" w:oddVBand="0" w:evenVBand="0" w:oddHBand="0" w:evenHBand="1" w:firstRowFirstColumn="0" w:firstRowLastColumn="0" w:lastRowFirstColumn="0" w:lastRowLastColumn="0"/>
              <w:rPr>
                <w:lang w:eastAsia="en-US"/>
              </w:rPr>
            </w:pPr>
            <w:r w:rsidRPr="009C4CFA">
              <w:t>332</w:t>
            </w:r>
          </w:p>
        </w:tc>
        <w:tc>
          <w:tcPr>
            <w:tcW w:w="2173" w:type="dxa"/>
          </w:tcPr>
          <w:p w:rsidR="00D266D7" w:rsidRDefault="00D266D7" w:rsidP="00DE7E41">
            <w:pPr>
              <w:pStyle w:val="AERtabletextleft"/>
              <w:jc w:val="center"/>
              <w:cnfStyle w:val="000000010000" w:firstRow="0" w:lastRow="0" w:firstColumn="0" w:lastColumn="0" w:oddVBand="0" w:evenVBand="0" w:oddHBand="0" w:evenHBand="1" w:firstRowFirstColumn="0" w:firstRowLastColumn="0" w:lastRowFirstColumn="0" w:lastRowLastColumn="0"/>
              <w:rPr>
                <w:lang w:eastAsia="en-US"/>
              </w:rPr>
            </w:pPr>
            <w:r>
              <w:t>139</w:t>
            </w:r>
          </w:p>
        </w:tc>
        <w:tc>
          <w:tcPr>
            <w:tcW w:w="2174" w:type="dxa"/>
          </w:tcPr>
          <w:p w:rsidR="00D266D7" w:rsidRDefault="00D266D7" w:rsidP="00DE7E41">
            <w:pPr>
              <w:pStyle w:val="AERtabletextleft"/>
              <w:jc w:val="center"/>
              <w:cnfStyle w:val="000000010000" w:firstRow="0" w:lastRow="0" w:firstColumn="0" w:lastColumn="0" w:oddVBand="0" w:evenVBand="0" w:oddHBand="0" w:evenHBand="1" w:firstRowFirstColumn="0" w:firstRowLastColumn="0" w:lastRowFirstColumn="0" w:lastRowLastColumn="0"/>
              <w:rPr>
                <w:lang w:eastAsia="en-US"/>
              </w:rPr>
            </w:pPr>
            <w:r>
              <w:t>32</w:t>
            </w:r>
          </w:p>
        </w:tc>
      </w:tr>
      <w:tr w:rsidR="00D266D7" w:rsidTr="00F0068F">
        <w:tc>
          <w:tcPr>
            <w:cnfStyle w:val="001000000000" w:firstRow="0" w:lastRow="0" w:firstColumn="1" w:lastColumn="0" w:oddVBand="0" w:evenVBand="0" w:oddHBand="0" w:evenHBand="0" w:firstRowFirstColumn="0" w:firstRowLastColumn="0" w:lastRowFirstColumn="0" w:lastRowLastColumn="0"/>
            <w:tcW w:w="2173" w:type="dxa"/>
          </w:tcPr>
          <w:p w:rsidR="00D266D7" w:rsidRDefault="00D266D7" w:rsidP="00F0068F">
            <w:pPr>
              <w:pStyle w:val="AERtabletextleft"/>
            </w:pPr>
            <w:r>
              <w:t>Dalby-Brisbane</w:t>
            </w:r>
          </w:p>
        </w:tc>
        <w:tc>
          <w:tcPr>
            <w:tcW w:w="2173" w:type="dxa"/>
          </w:tcPr>
          <w:p w:rsidR="00D266D7" w:rsidRPr="009C4CFA" w:rsidRDefault="00D266D7" w:rsidP="00DE7E41">
            <w:pPr>
              <w:pStyle w:val="AERtabletextleft"/>
              <w:jc w:val="center"/>
              <w:cnfStyle w:val="000000000000" w:firstRow="0" w:lastRow="0" w:firstColumn="0" w:lastColumn="0" w:oddVBand="0" w:evenVBand="0" w:oddHBand="0" w:evenHBand="0" w:firstRowFirstColumn="0" w:firstRowLastColumn="0" w:lastRowFirstColumn="0" w:lastRowLastColumn="0"/>
              <w:rPr>
                <w:lang w:eastAsia="en-US"/>
              </w:rPr>
            </w:pPr>
            <w:r w:rsidRPr="009C4CFA">
              <w:t>427</w:t>
            </w:r>
          </w:p>
        </w:tc>
        <w:tc>
          <w:tcPr>
            <w:tcW w:w="2173" w:type="dxa"/>
          </w:tcPr>
          <w:p w:rsidR="00D266D7" w:rsidRDefault="00D266D7" w:rsidP="00DE7E41">
            <w:pPr>
              <w:pStyle w:val="AERtabletextleft"/>
              <w:jc w:val="center"/>
              <w:cnfStyle w:val="000000000000" w:firstRow="0" w:lastRow="0" w:firstColumn="0" w:lastColumn="0" w:oddVBand="0" w:evenVBand="0" w:oddHBand="0" w:evenHBand="0" w:firstRowFirstColumn="0" w:firstRowLastColumn="0" w:lastRowFirstColumn="0" w:lastRowLastColumn="0"/>
              <w:rPr>
                <w:lang w:eastAsia="en-US"/>
              </w:rPr>
            </w:pPr>
            <w:r>
              <w:t>115</w:t>
            </w:r>
          </w:p>
        </w:tc>
        <w:tc>
          <w:tcPr>
            <w:tcW w:w="2174" w:type="dxa"/>
          </w:tcPr>
          <w:p w:rsidR="00D266D7" w:rsidRDefault="00D266D7" w:rsidP="00DE7E41">
            <w:pPr>
              <w:pStyle w:val="AERtabletextleft"/>
              <w:jc w:val="center"/>
              <w:cnfStyle w:val="000000000000" w:firstRow="0" w:lastRow="0" w:firstColumn="0" w:lastColumn="0" w:oddVBand="0" w:evenVBand="0" w:oddHBand="0" w:evenHBand="0" w:firstRowFirstColumn="0" w:firstRowLastColumn="0" w:lastRowFirstColumn="0" w:lastRowLastColumn="0"/>
              <w:rPr>
                <w:lang w:eastAsia="en-US"/>
              </w:rPr>
            </w:pPr>
            <w:r>
              <w:t>26</w:t>
            </w:r>
          </w:p>
        </w:tc>
      </w:tr>
    </w:tbl>
    <w:bookmarkStart w:id="25" w:name="_Ref482031567"/>
    <w:p w:rsidR="0092174F" w:rsidRDefault="00FF2721" w:rsidP="00EA62DF">
      <w:r>
        <w:fldChar w:fldCharType="begin"/>
      </w:r>
      <w:r>
        <w:instrText xml:space="preserve"> REF _Ref485991658 \h </w:instrText>
      </w:r>
      <w:r>
        <w:fldChar w:fldCharType="separate"/>
      </w:r>
      <w:r w:rsidR="00CD1954">
        <w:t xml:space="preserve">Table </w:t>
      </w:r>
      <w:r w:rsidR="00CD1954">
        <w:rPr>
          <w:noProof/>
        </w:rPr>
        <w:t>10</w:t>
      </w:r>
      <w:r w:rsidR="00CD1954">
        <w:noBreakHyphen/>
      </w:r>
      <w:r w:rsidR="00CD1954">
        <w:rPr>
          <w:noProof/>
        </w:rPr>
        <w:t>2</w:t>
      </w:r>
      <w:r>
        <w:fldChar w:fldCharType="end"/>
      </w:r>
      <w:r w:rsidR="00EA62DF">
        <w:t xml:space="preserve"> </w:t>
      </w:r>
      <w:r w:rsidR="00EA62DF" w:rsidRPr="008A704D">
        <w:t xml:space="preserve">sets out the tariffs that would be payable for the LTFS under each of these options </w:t>
      </w:r>
      <w:r w:rsidR="00EA62DF">
        <w:t xml:space="preserve">in the </w:t>
      </w:r>
      <w:r w:rsidR="00EA62DF" w:rsidRPr="008A704D">
        <w:t>access arrangement period</w:t>
      </w:r>
      <w:r w:rsidR="00EA62DF">
        <w:t xml:space="preserve"> and also sets out the tariff that would be payable if the postage stamp tariff structure was maintained</w:t>
      </w:r>
      <w:r w:rsidR="0092174F">
        <w:t>.</w:t>
      </w:r>
    </w:p>
    <w:p w:rsidR="00EA62DF" w:rsidRPr="00EA62DF" w:rsidRDefault="0092174F" w:rsidP="00EA62DF">
      <w:pPr>
        <w:rPr>
          <w:rStyle w:val="AERbody"/>
        </w:rPr>
      </w:pPr>
      <w:r>
        <w:t>The</w:t>
      </w:r>
      <w:r w:rsidR="00EA62DF">
        <w:t xml:space="preserve"> tariffs in</w:t>
      </w:r>
      <w:r w:rsidR="00FF2721">
        <w:t xml:space="preserve"> </w:t>
      </w:r>
      <w:r w:rsidR="00FF2721">
        <w:fldChar w:fldCharType="begin"/>
      </w:r>
      <w:r w:rsidR="00FF2721">
        <w:instrText xml:space="preserve"> REF _Ref485991658 \h </w:instrText>
      </w:r>
      <w:r w:rsidR="00FF2721">
        <w:fldChar w:fldCharType="separate"/>
      </w:r>
      <w:r w:rsidR="00CD1954">
        <w:t xml:space="preserve">Table </w:t>
      </w:r>
      <w:r w:rsidR="00CD1954">
        <w:rPr>
          <w:noProof/>
        </w:rPr>
        <w:t>10</w:t>
      </w:r>
      <w:r w:rsidR="00CD1954">
        <w:noBreakHyphen/>
      </w:r>
      <w:r w:rsidR="00CD1954">
        <w:rPr>
          <w:noProof/>
        </w:rPr>
        <w:t>2</w:t>
      </w:r>
      <w:r w:rsidR="00FF2721">
        <w:fldChar w:fldCharType="end"/>
      </w:r>
      <w:r w:rsidR="00EA62DF">
        <w:t xml:space="preserve"> </w:t>
      </w:r>
      <w:r w:rsidR="00EA62DF" w:rsidRPr="008A704D">
        <w:t>have been calculated using our dra</w:t>
      </w:r>
      <w:r w:rsidR="00EA62DF">
        <w:t>ft decision</w:t>
      </w:r>
      <w:r w:rsidR="004C7BE2">
        <w:t xml:space="preserve"> input</w:t>
      </w:r>
      <w:r w:rsidR="00EA62DF">
        <w:t>s on APTPPL’s proposed revenue allowance, revenue smoothing factor</w:t>
      </w:r>
      <w:r w:rsidR="00E02076">
        <w:t xml:space="preserve"> and</w:t>
      </w:r>
      <w:r w:rsidR="00EA62DF">
        <w:t xml:space="preserve"> demand f</w:t>
      </w:r>
      <w:r>
        <w:t xml:space="preserve">orecasts. </w:t>
      </w:r>
      <w:r w:rsidR="00EA62DF">
        <w:t>The tariffs appearing in this table are not therefore directly comparable with APTPPL’s proposal.</w:t>
      </w:r>
    </w:p>
    <w:p w:rsidR="00D266D7" w:rsidRDefault="009D065A" w:rsidP="009D065A">
      <w:pPr>
        <w:pStyle w:val="Caption"/>
      </w:pPr>
      <w:bookmarkStart w:id="26" w:name="_Ref485991658"/>
      <w:bookmarkEnd w:id="25"/>
      <w:r>
        <w:t xml:space="preserve">Table </w:t>
      </w:r>
      <w:fldSimple w:instr=" STYLEREF 1 \s ">
        <w:r w:rsidR="00CD1954">
          <w:rPr>
            <w:noProof/>
          </w:rPr>
          <w:t>10</w:t>
        </w:r>
      </w:fldSimple>
      <w:r>
        <w:noBreakHyphen/>
      </w:r>
      <w:fldSimple w:instr=" SEQ Table \* ARABIC \s 1 ">
        <w:r w:rsidR="00CD1954">
          <w:rPr>
            <w:noProof/>
          </w:rPr>
          <w:t>2</w:t>
        </w:r>
      </w:fldSimple>
      <w:bookmarkEnd w:id="26"/>
      <w:r w:rsidR="00D266D7">
        <w:rPr>
          <w:noProof/>
        </w:rPr>
        <w:t>:</w:t>
      </w:r>
      <w:r w:rsidR="00D266D7">
        <w:t xml:space="preserve"> </w:t>
      </w:r>
      <w:r w:rsidR="00E12A59">
        <w:t>Postage stamp vs part-haul (zonal) tariffs ($/GJ of MDQ/day)</w:t>
      </w:r>
    </w:p>
    <w:tbl>
      <w:tblPr>
        <w:tblStyle w:val="AERtable-numbers"/>
        <w:tblW w:w="5000" w:type="pct"/>
        <w:tblLook w:val="04A0" w:firstRow="1" w:lastRow="0" w:firstColumn="1" w:lastColumn="0" w:noHBand="0" w:noVBand="1"/>
      </w:tblPr>
      <w:tblGrid>
        <w:gridCol w:w="2674"/>
        <w:gridCol w:w="1136"/>
        <w:gridCol w:w="1293"/>
        <w:gridCol w:w="1183"/>
        <w:gridCol w:w="1204"/>
        <w:gridCol w:w="1203"/>
      </w:tblGrid>
      <w:tr w:rsidR="00E12A59" w:rsidRPr="00E12A59" w:rsidTr="00DE7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dxa"/>
          </w:tcPr>
          <w:p w:rsidR="00E12A59" w:rsidRPr="008A704D" w:rsidRDefault="00E12A59" w:rsidP="00DE7E41">
            <w:pPr>
              <w:pStyle w:val="AERtabletextleft"/>
              <w:keepNext/>
              <w:jc w:val="center"/>
              <w:rPr>
                <w:b w:val="0"/>
                <w:color w:val="auto"/>
                <w:lang w:eastAsia="en-US"/>
              </w:rPr>
            </w:pPr>
          </w:p>
        </w:tc>
        <w:tc>
          <w:tcPr>
            <w:tcW w:w="1136" w:type="dxa"/>
          </w:tcPr>
          <w:p w:rsidR="00E12A59" w:rsidRPr="008A704D" w:rsidRDefault="00E12A59" w:rsidP="00DE7E41">
            <w:pPr>
              <w:pStyle w:val="AERtabletextleft"/>
              <w:keepNext/>
              <w:jc w:val="center"/>
              <w:cnfStyle w:val="100000000000" w:firstRow="1" w:lastRow="0" w:firstColumn="0" w:lastColumn="0" w:oddVBand="0" w:evenVBand="0" w:oddHBand="0" w:evenHBand="0" w:firstRowFirstColumn="0" w:firstRowLastColumn="0" w:lastRowFirstColumn="0" w:lastRowLastColumn="0"/>
              <w:rPr>
                <w:b w:val="0"/>
                <w:color w:val="auto"/>
                <w:lang w:eastAsia="en-US"/>
              </w:rPr>
            </w:pPr>
            <w:r w:rsidRPr="00E12A59">
              <w:rPr>
                <w:rFonts w:cs="Arial"/>
                <w:bCs/>
                <w:sz w:val="18"/>
                <w:szCs w:val="18"/>
              </w:rPr>
              <w:t>2017-18</w:t>
            </w:r>
          </w:p>
        </w:tc>
        <w:tc>
          <w:tcPr>
            <w:tcW w:w="1293" w:type="dxa"/>
          </w:tcPr>
          <w:p w:rsidR="00E12A59" w:rsidRPr="008A704D" w:rsidRDefault="00E12A59" w:rsidP="00DE7E41">
            <w:pPr>
              <w:pStyle w:val="AERtabletextleft"/>
              <w:keepNext/>
              <w:jc w:val="center"/>
              <w:cnfStyle w:val="100000000000" w:firstRow="1" w:lastRow="0" w:firstColumn="0" w:lastColumn="0" w:oddVBand="0" w:evenVBand="0" w:oddHBand="0" w:evenHBand="0" w:firstRowFirstColumn="0" w:firstRowLastColumn="0" w:lastRowFirstColumn="0" w:lastRowLastColumn="0"/>
              <w:rPr>
                <w:b w:val="0"/>
                <w:color w:val="auto"/>
                <w:lang w:eastAsia="en-US"/>
              </w:rPr>
            </w:pPr>
            <w:r w:rsidRPr="00E12A59">
              <w:rPr>
                <w:rFonts w:cs="Arial"/>
                <w:bCs/>
                <w:sz w:val="18"/>
                <w:szCs w:val="18"/>
              </w:rPr>
              <w:t>2018-19</w:t>
            </w:r>
          </w:p>
        </w:tc>
        <w:tc>
          <w:tcPr>
            <w:tcW w:w="1183" w:type="dxa"/>
          </w:tcPr>
          <w:p w:rsidR="00E12A59" w:rsidRPr="008A704D" w:rsidRDefault="00E12A59" w:rsidP="00DE7E41">
            <w:pPr>
              <w:pStyle w:val="AERtabletextleft"/>
              <w:keepNext/>
              <w:jc w:val="center"/>
              <w:cnfStyle w:val="100000000000" w:firstRow="1" w:lastRow="0" w:firstColumn="0" w:lastColumn="0" w:oddVBand="0" w:evenVBand="0" w:oddHBand="0" w:evenHBand="0" w:firstRowFirstColumn="0" w:firstRowLastColumn="0" w:lastRowFirstColumn="0" w:lastRowLastColumn="0"/>
              <w:rPr>
                <w:b w:val="0"/>
                <w:color w:val="auto"/>
                <w:lang w:eastAsia="en-US"/>
              </w:rPr>
            </w:pPr>
            <w:r w:rsidRPr="00E12A59">
              <w:rPr>
                <w:rFonts w:cs="Arial"/>
                <w:bCs/>
                <w:sz w:val="18"/>
                <w:szCs w:val="18"/>
              </w:rPr>
              <w:t>2019-20</w:t>
            </w:r>
          </w:p>
        </w:tc>
        <w:tc>
          <w:tcPr>
            <w:tcW w:w="1204" w:type="dxa"/>
          </w:tcPr>
          <w:p w:rsidR="00E12A59" w:rsidRPr="008A704D" w:rsidRDefault="00E12A59" w:rsidP="00DE7E41">
            <w:pPr>
              <w:pStyle w:val="AERtabletextleft"/>
              <w:keepNext/>
              <w:ind w:right="35"/>
              <w:jc w:val="center"/>
              <w:cnfStyle w:val="100000000000" w:firstRow="1" w:lastRow="0" w:firstColumn="0" w:lastColumn="0" w:oddVBand="0" w:evenVBand="0" w:oddHBand="0" w:evenHBand="0" w:firstRowFirstColumn="0" w:firstRowLastColumn="0" w:lastRowFirstColumn="0" w:lastRowLastColumn="0"/>
              <w:rPr>
                <w:b w:val="0"/>
                <w:color w:val="auto"/>
                <w:lang w:eastAsia="en-US"/>
              </w:rPr>
            </w:pPr>
            <w:r w:rsidRPr="00E12A59">
              <w:rPr>
                <w:rFonts w:cs="Arial"/>
                <w:bCs/>
                <w:sz w:val="18"/>
                <w:szCs w:val="18"/>
              </w:rPr>
              <w:t>2020-21</w:t>
            </w:r>
          </w:p>
        </w:tc>
        <w:tc>
          <w:tcPr>
            <w:tcW w:w="1203" w:type="dxa"/>
          </w:tcPr>
          <w:p w:rsidR="00E12A59" w:rsidRPr="008A704D" w:rsidRDefault="00E12A59" w:rsidP="00DE7E41">
            <w:pPr>
              <w:pStyle w:val="AERtabletextleft"/>
              <w:keepNext/>
              <w:jc w:val="center"/>
              <w:cnfStyle w:val="100000000000" w:firstRow="1" w:lastRow="0" w:firstColumn="0" w:lastColumn="0" w:oddVBand="0" w:evenVBand="0" w:oddHBand="0" w:evenHBand="0" w:firstRowFirstColumn="0" w:firstRowLastColumn="0" w:lastRowFirstColumn="0" w:lastRowLastColumn="0"/>
              <w:rPr>
                <w:b w:val="0"/>
                <w:color w:val="auto"/>
                <w:lang w:eastAsia="en-US"/>
              </w:rPr>
            </w:pPr>
            <w:r w:rsidRPr="00E12A59">
              <w:rPr>
                <w:rFonts w:cs="Arial"/>
                <w:bCs/>
                <w:sz w:val="18"/>
                <w:szCs w:val="18"/>
              </w:rPr>
              <w:t>2021-22</w:t>
            </w:r>
          </w:p>
        </w:tc>
      </w:tr>
      <w:tr w:rsidR="00E12A59" w:rsidRPr="00E12A59" w:rsidTr="00DE7E41">
        <w:tc>
          <w:tcPr>
            <w:cnfStyle w:val="001000000000" w:firstRow="0" w:lastRow="0" w:firstColumn="1" w:lastColumn="0" w:oddVBand="0" w:evenVBand="0" w:oddHBand="0" w:evenHBand="0" w:firstRowFirstColumn="0" w:firstRowLastColumn="0" w:lastRowFirstColumn="0" w:lastRowLastColumn="0"/>
            <w:tcW w:w="8693" w:type="dxa"/>
            <w:gridSpan w:val="6"/>
          </w:tcPr>
          <w:p w:rsidR="00E12A59" w:rsidRPr="00DE7E41" w:rsidRDefault="00E12A59" w:rsidP="00DE7E41">
            <w:pPr>
              <w:pStyle w:val="AERtabletextleft"/>
              <w:keepNext/>
              <w:jc w:val="center"/>
              <w:rPr>
                <w:b/>
              </w:rPr>
            </w:pPr>
            <w:r w:rsidRPr="00DE7E41">
              <w:rPr>
                <w:b/>
              </w:rPr>
              <w:t>Postage Stamp Tariff</w:t>
            </w:r>
          </w:p>
        </w:tc>
      </w:tr>
      <w:tr w:rsidR="00E12A59" w:rsidTr="00DE7E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dxa"/>
          </w:tcPr>
          <w:p w:rsidR="00E12A59" w:rsidRDefault="00E12A59" w:rsidP="00DE7E41">
            <w:pPr>
              <w:pStyle w:val="AERtabletextleft"/>
              <w:keepNext/>
              <w:rPr>
                <w:lang w:eastAsia="en-US"/>
              </w:rPr>
            </w:pPr>
            <w:r>
              <w:t>Wallumbilla to Brisbane</w:t>
            </w:r>
          </w:p>
        </w:tc>
        <w:tc>
          <w:tcPr>
            <w:tcW w:w="1136" w:type="dxa"/>
          </w:tcPr>
          <w:p w:rsidR="00E12A59" w:rsidRDefault="00E12A59" w:rsidP="00CA644A">
            <w:pPr>
              <w:pStyle w:val="AERtabletextleft"/>
              <w:keepNext/>
              <w:jc w:val="center"/>
              <w:cnfStyle w:val="000000010000" w:firstRow="0" w:lastRow="0" w:firstColumn="0" w:lastColumn="0" w:oddVBand="0" w:evenVBand="0" w:oddHBand="0" w:evenHBand="1" w:firstRowFirstColumn="0" w:firstRowLastColumn="0" w:lastRowFirstColumn="0" w:lastRowLastColumn="0"/>
              <w:rPr>
                <w:lang w:eastAsia="en-US"/>
              </w:rPr>
            </w:pPr>
            <w:r>
              <w:rPr>
                <w:rFonts w:cs="Arial"/>
                <w:sz w:val="18"/>
                <w:szCs w:val="18"/>
              </w:rPr>
              <w:t>$0.</w:t>
            </w:r>
            <w:r w:rsidR="00CA644A">
              <w:rPr>
                <w:rFonts w:cs="Arial"/>
                <w:sz w:val="18"/>
                <w:szCs w:val="18"/>
              </w:rPr>
              <w:t>6843</w:t>
            </w:r>
          </w:p>
        </w:tc>
        <w:tc>
          <w:tcPr>
            <w:tcW w:w="1293" w:type="dxa"/>
          </w:tcPr>
          <w:p w:rsidR="00E12A59" w:rsidRDefault="00E12A59" w:rsidP="00CA644A">
            <w:pPr>
              <w:pStyle w:val="AERtabletextleft"/>
              <w:keepNext/>
              <w:jc w:val="center"/>
              <w:cnfStyle w:val="000000010000" w:firstRow="0" w:lastRow="0" w:firstColumn="0" w:lastColumn="0" w:oddVBand="0" w:evenVBand="0" w:oddHBand="0" w:evenHBand="1" w:firstRowFirstColumn="0" w:firstRowLastColumn="0" w:lastRowFirstColumn="0" w:lastRowLastColumn="0"/>
              <w:rPr>
                <w:lang w:eastAsia="en-US"/>
              </w:rPr>
            </w:pPr>
            <w:r>
              <w:rPr>
                <w:rFonts w:cs="Arial"/>
                <w:sz w:val="18"/>
                <w:szCs w:val="18"/>
              </w:rPr>
              <w:t>$0.</w:t>
            </w:r>
            <w:r w:rsidR="00CA644A">
              <w:rPr>
                <w:rFonts w:cs="Arial"/>
                <w:sz w:val="18"/>
                <w:szCs w:val="18"/>
              </w:rPr>
              <w:t>7007</w:t>
            </w:r>
          </w:p>
        </w:tc>
        <w:tc>
          <w:tcPr>
            <w:tcW w:w="1183" w:type="dxa"/>
          </w:tcPr>
          <w:p w:rsidR="00E12A59" w:rsidRDefault="00E12A59" w:rsidP="00CA644A">
            <w:pPr>
              <w:pStyle w:val="AERtabletextleft"/>
              <w:keepNext/>
              <w:jc w:val="center"/>
              <w:cnfStyle w:val="000000010000" w:firstRow="0" w:lastRow="0" w:firstColumn="0" w:lastColumn="0" w:oddVBand="0" w:evenVBand="0" w:oddHBand="0" w:evenHBand="1" w:firstRowFirstColumn="0" w:firstRowLastColumn="0" w:lastRowFirstColumn="0" w:lastRowLastColumn="0"/>
              <w:rPr>
                <w:lang w:eastAsia="en-US"/>
              </w:rPr>
            </w:pPr>
            <w:r>
              <w:rPr>
                <w:rFonts w:cs="Arial"/>
                <w:sz w:val="18"/>
                <w:szCs w:val="18"/>
              </w:rPr>
              <w:t>$0.</w:t>
            </w:r>
            <w:r w:rsidR="00CA644A">
              <w:rPr>
                <w:rFonts w:cs="Arial"/>
                <w:sz w:val="18"/>
                <w:szCs w:val="18"/>
              </w:rPr>
              <w:t>7176</w:t>
            </w:r>
          </w:p>
        </w:tc>
        <w:tc>
          <w:tcPr>
            <w:tcW w:w="1204" w:type="dxa"/>
          </w:tcPr>
          <w:p w:rsidR="00E12A59" w:rsidRDefault="00E12A59" w:rsidP="00CA644A">
            <w:pPr>
              <w:pStyle w:val="AERtabletextleft"/>
              <w:keepNext/>
              <w:jc w:val="center"/>
              <w:cnfStyle w:val="000000010000" w:firstRow="0" w:lastRow="0" w:firstColumn="0" w:lastColumn="0" w:oddVBand="0" w:evenVBand="0" w:oddHBand="0" w:evenHBand="1" w:firstRowFirstColumn="0" w:firstRowLastColumn="0" w:lastRowFirstColumn="0" w:lastRowLastColumn="0"/>
              <w:rPr>
                <w:lang w:eastAsia="en-US"/>
              </w:rPr>
            </w:pPr>
            <w:r>
              <w:rPr>
                <w:rFonts w:cs="Arial"/>
                <w:sz w:val="18"/>
                <w:szCs w:val="18"/>
              </w:rPr>
              <w:t>$0.</w:t>
            </w:r>
            <w:r w:rsidR="00CA644A">
              <w:rPr>
                <w:rFonts w:cs="Arial"/>
                <w:sz w:val="18"/>
                <w:szCs w:val="18"/>
              </w:rPr>
              <w:t>7131</w:t>
            </w:r>
          </w:p>
        </w:tc>
        <w:tc>
          <w:tcPr>
            <w:tcW w:w="1203" w:type="dxa"/>
          </w:tcPr>
          <w:p w:rsidR="00E12A59" w:rsidRDefault="00E12A59" w:rsidP="00CA644A">
            <w:pPr>
              <w:pStyle w:val="AERtabletextleft"/>
              <w:keepNext/>
              <w:jc w:val="center"/>
              <w:cnfStyle w:val="000000010000" w:firstRow="0" w:lastRow="0" w:firstColumn="0" w:lastColumn="0" w:oddVBand="0" w:evenVBand="0" w:oddHBand="0" w:evenHBand="1" w:firstRowFirstColumn="0" w:firstRowLastColumn="0" w:lastRowFirstColumn="0" w:lastRowLastColumn="0"/>
              <w:rPr>
                <w:lang w:eastAsia="en-US"/>
              </w:rPr>
            </w:pPr>
            <w:r>
              <w:rPr>
                <w:rFonts w:cs="Arial"/>
                <w:sz w:val="18"/>
                <w:szCs w:val="18"/>
              </w:rPr>
              <w:t>$0.</w:t>
            </w:r>
            <w:r w:rsidR="00CA644A">
              <w:rPr>
                <w:rFonts w:cs="Arial"/>
                <w:sz w:val="18"/>
                <w:szCs w:val="18"/>
              </w:rPr>
              <w:t>6794</w:t>
            </w:r>
          </w:p>
        </w:tc>
      </w:tr>
      <w:tr w:rsidR="00E12A59" w:rsidRPr="00E12A59" w:rsidTr="00DE7E41">
        <w:tc>
          <w:tcPr>
            <w:cnfStyle w:val="001000000000" w:firstRow="0" w:lastRow="0" w:firstColumn="1" w:lastColumn="0" w:oddVBand="0" w:evenVBand="0" w:oddHBand="0" w:evenHBand="0" w:firstRowFirstColumn="0" w:firstRowLastColumn="0" w:lastRowFirstColumn="0" w:lastRowLastColumn="0"/>
            <w:tcW w:w="8693" w:type="dxa"/>
            <w:gridSpan w:val="6"/>
          </w:tcPr>
          <w:p w:rsidR="00E12A59" w:rsidRPr="00DE7E41" w:rsidRDefault="00E12A59" w:rsidP="00DE7E41">
            <w:pPr>
              <w:pStyle w:val="AERtabletextleft"/>
              <w:keepNext/>
              <w:jc w:val="center"/>
              <w:rPr>
                <w:b/>
              </w:rPr>
            </w:pPr>
            <w:r w:rsidRPr="00DE7E41">
              <w:rPr>
                <w:b/>
              </w:rPr>
              <w:t>Option 1</w:t>
            </w:r>
          </w:p>
        </w:tc>
      </w:tr>
      <w:tr w:rsidR="00E12A59" w:rsidTr="00DE7E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dxa"/>
            <w:vAlign w:val="bottom"/>
          </w:tcPr>
          <w:p w:rsidR="00E12A59" w:rsidRDefault="00E12A59" w:rsidP="00DE7E41">
            <w:pPr>
              <w:pStyle w:val="AERtabletextleft"/>
              <w:keepNext/>
              <w:rPr>
                <w:lang w:eastAsia="en-US"/>
              </w:rPr>
            </w:pPr>
            <w:r>
              <w:rPr>
                <w:rFonts w:cs="Arial"/>
                <w:color w:val="000000"/>
                <w:sz w:val="18"/>
                <w:szCs w:val="18"/>
              </w:rPr>
              <w:t>Wallumbilla to Kogan North</w:t>
            </w:r>
          </w:p>
        </w:tc>
        <w:tc>
          <w:tcPr>
            <w:tcW w:w="1136" w:type="dxa"/>
          </w:tcPr>
          <w:p w:rsidR="00E12A59" w:rsidRDefault="00E12A59" w:rsidP="001C585B">
            <w:pPr>
              <w:pStyle w:val="AERtabletextleft"/>
              <w:keepNext/>
              <w:jc w:val="center"/>
              <w:cnfStyle w:val="000000010000" w:firstRow="0" w:lastRow="0" w:firstColumn="0" w:lastColumn="0" w:oddVBand="0" w:evenVBand="0" w:oddHBand="0" w:evenHBand="1" w:firstRowFirstColumn="0" w:firstRowLastColumn="0" w:lastRowFirstColumn="0" w:lastRowLastColumn="0"/>
              <w:rPr>
                <w:lang w:eastAsia="en-US"/>
              </w:rPr>
            </w:pPr>
            <w:r>
              <w:rPr>
                <w:rFonts w:cs="Arial"/>
                <w:sz w:val="18"/>
                <w:szCs w:val="18"/>
              </w:rPr>
              <w:t>$0.</w:t>
            </w:r>
            <w:r w:rsidR="001C585B">
              <w:rPr>
                <w:rFonts w:cs="Arial"/>
                <w:sz w:val="18"/>
                <w:szCs w:val="18"/>
              </w:rPr>
              <w:t>2882</w:t>
            </w:r>
          </w:p>
        </w:tc>
        <w:tc>
          <w:tcPr>
            <w:tcW w:w="1293" w:type="dxa"/>
          </w:tcPr>
          <w:p w:rsidR="00E12A59" w:rsidRDefault="00E12A59" w:rsidP="001C585B">
            <w:pPr>
              <w:pStyle w:val="AERtabletextleft"/>
              <w:keepNext/>
              <w:jc w:val="center"/>
              <w:cnfStyle w:val="000000010000" w:firstRow="0" w:lastRow="0" w:firstColumn="0" w:lastColumn="0" w:oddVBand="0" w:evenVBand="0" w:oddHBand="0" w:evenHBand="1" w:firstRowFirstColumn="0" w:firstRowLastColumn="0" w:lastRowFirstColumn="0" w:lastRowLastColumn="0"/>
              <w:rPr>
                <w:lang w:eastAsia="en-US"/>
              </w:rPr>
            </w:pPr>
            <w:r>
              <w:rPr>
                <w:rFonts w:cs="Arial"/>
                <w:sz w:val="18"/>
                <w:szCs w:val="18"/>
              </w:rPr>
              <w:t>$0.</w:t>
            </w:r>
            <w:r w:rsidR="001C585B">
              <w:rPr>
                <w:rFonts w:cs="Arial"/>
                <w:sz w:val="18"/>
                <w:szCs w:val="18"/>
              </w:rPr>
              <w:t>2951</w:t>
            </w:r>
          </w:p>
        </w:tc>
        <w:tc>
          <w:tcPr>
            <w:tcW w:w="1183" w:type="dxa"/>
          </w:tcPr>
          <w:p w:rsidR="00E12A59" w:rsidRDefault="00E12A59" w:rsidP="001C585B">
            <w:pPr>
              <w:pStyle w:val="AERtabletextleft"/>
              <w:keepNext/>
              <w:jc w:val="center"/>
              <w:cnfStyle w:val="000000010000" w:firstRow="0" w:lastRow="0" w:firstColumn="0" w:lastColumn="0" w:oddVBand="0" w:evenVBand="0" w:oddHBand="0" w:evenHBand="1" w:firstRowFirstColumn="0" w:firstRowLastColumn="0" w:lastRowFirstColumn="0" w:lastRowLastColumn="0"/>
              <w:rPr>
                <w:lang w:eastAsia="en-US"/>
              </w:rPr>
            </w:pPr>
            <w:r>
              <w:rPr>
                <w:rFonts w:cs="Arial"/>
                <w:sz w:val="18"/>
                <w:szCs w:val="18"/>
              </w:rPr>
              <w:t>$0.</w:t>
            </w:r>
            <w:r w:rsidR="001C585B">
              <w:rPr>
                <w:rFonts w:cs="Arial"/>
                <w:sz w:val="18"/>
                <w:szCs w:val="18"/>
              </w:rPr>
              <w:t>3022</w:t>
            </w:r>
          </w:p>
        </w:tc>
        <w:tc>
          <w:tcPr>
            <w:tcW w:w="1204" w:type="dxa"/>
          </w:tcPr>
          <w:p w:rsidR="00E12A59" w:rsidRDefault="00E12A59" w:rsidP="001C585B">
            <w:pPr>
              <w:pStyle w:val="AERtabletextleft"/>
              <w:keepNext/>
              <w:jc w:val="center"/>
              <w:cnfStyle w:val="000000010000" w:firstRow="0" w:lastRow="0" w:firstColumn="0" w:lastColumn="0" w:oddVBand="0" w:evenVBand="0" w:oddHBand="0" w:evenHBand="1" w:firstRowFirstColumn="0" w:firstRowLastColumn="0" w:lastRowFirstColumn="0" w:lastRowLastColumn="0"/>
              <w:rPr>
                <w:lang w:eastAsia="en-US"/>
              </w:rPr>
            </w:pPr>
            <w:r>
              <w:rPr>
                <w:rFonts w:cs="Arial"/>
                <w:sz w:val="18"/>
                <w:szCs w:val="18"/>
              </w:rPr>
              <w:t>$0.</w:t>
            </w:r>
            <w:r w:rsidR="001C585B">
              <w:rPr>
                <w:rFonts w:cs="Arial"/>
                <w:sz w:val="18"/>
                <w:szCs w:val="18"/>
              </w:rPr>
              <w:t>3003</w:t>
            </w:r>
          </w:p>
        </w:tc>
        <w:tc>
          <w:tcPr>
            <w:tcW w:w="1203" w:type="dxa"/>
          </w:tcPr>
          <w:p w:rsidR="00E12A59" w:rsidRDefault="00E12A59" w:rsidP="001C585B">
            <w:pPr>
              <w:pStyle w:val="AERtabletextleft"/>
              <w:keepNext/>
              <w:jc w:val="center"/>
              <w:cnfStyle w:val="000000010000" w:firstRow="0" w:lastRow="0" w:firstColumn="0" w:lastColumn="0" w:oddVBand="0" w:evenVBand="0" w:oddHBand="0" w:evenHBand="1" w:firstRowFirstColumn="0" w:firstRowLastColumn="0" w:lastRowFirstColumn="0" w:lastRowLastColumn="0"/>
              <w:rPr>
                <w:lang w:eastAsia="en-US"/>
              </w:rPr>
            </w:pPr>
            <w:r>
              <w:rPr>
                <w:rFonts w:cs="Arial"/>
                <w:sz w:val="18"/>
                <w:szCs w:val="18"/>
              </w:rPr>
              <w:t>$0.</w:t>
            </w:r>
            <w:r w:rsidR="001C585B">
              <w:rPr>
                <w:rFonts w:cs="Arial"/>
                <w:sz w:val="18"/>
                <w:szCs w:val="18"/>
              </w:rPr>
              <w:t>2861</w:t>
            </w:r>
          </w:p>
        </w:tc>
      </w:tr>
      <w:tr w:rsidR="00E12A59" w:rsidTr="00DE7E41">
        <w:tc>
          <w:tcPr>
            <w:cnfStyle w:val="001000000000" w:firstRow="0" w:lastRow="0" w:firstColumn="1" w:lastColumn="0" w:oddVBand="0" w:evenVBand="0" w:oddHBand="0" w:evenHBand="0" w:firstRowFirstColumn="0" w:firstRowLastColumn="0" w:lastRowFirstColumn="0" w:lastRowLastColumn="0"/>
            <w:tcW w:w="2674" w:type="dxa"/>
            <w:vAlign w:val="bottom"/>
          </w:tcPr>
          <w:p w:rsidR="00E12A59" w:rsidRDefault="00E12A59" w:rsidP="00DE7E41">
            <w:pPr>
              <w:pStyle w:val="AERtabletextleft"/>
              <w:keepNext/>
              <w:rPr>
                <w:b/>
                <w:bCs/>
                <w:lang w:eastAsia="en-US"/>
              </w:rPr>
            </w:pPr>
            <w:r>
              <w:rPr>
                <w:rFonts w:cs="Arial"/>
                <w:color w:val="000000"/>
                <w:sz w:val="18"/>
                <w:szCs w:val="18"/>
              </w:rPr>
              <w:t>Wallumbilla to Dalby</w:t>
            </w:r>
          </w:p>
        </w:tc>
        <w:tc>
          <w:tcPr>
            <w:tcW w:w="1136" w:type="dxa"/>
          </w:tcPr>
          <w:p w:rsidR="00E12A59" w:rsidRDefault="00E12A59" w:rsidP="001C585B">
            <w:pPr>
              <w:pStyle w:val="AERtabletextleft"/>
              <w:keepNext/>
              <w:jc w:val="center"/>
              <w:cnfStyle w:val="000000000000" w:firstRow="0" w:lastRow="0" w:firstColumn="0" w:lastColumn="0" w:oddVBand="0" w:evenVBand="0" w:oddHBand="0" w:evenHBand="0" w:firstRowFirstColumn="0" w:firstRowLastColumn="0" w:lastRowFirstColumn="0" w:lastRowLastColumn="0"/>
              <w:rPr>
                <w:lang w:eastAsia="en-US"/>
              </w:rPr>
            </w:pPr>
            <w:r>
              <w:rPr>
                <w:rFonts w:cs="Arial"/>
                <w:sz w:val="18"/>
                <w:szCs w:val="18"/>
              </w:rPr>
              <w:t>$0.</w:t>
            </w:r>
            <w:r w:rsidR="001C585B">
              <w:rPr>
                <w:rFonts w:cs="Arial"/>
                <w:sz w:val="18"/>
                <w:szCs w:val="18"/>
              </w:rPr>
              <w:t>6589</w:t>
            </w:r>
          </w:p>
        </w:tc>
        <w:tc>
          <w:tcPr>
            <w:tcW w:w="1293" w:type="dxa"/>
          </w:tcPr>
          <w:p w:rsidR="00E12A59" w:rsidRDefault="00E12A59" w:rsidP="001C585B">
            <w:pPr>
              <w:pStyle w:val="AERtabletextleft"/>
              <w:keepNext/>
              <w:jc w:val="center"/>
              <w:cnfStyle w:val="000000000000" w:firstRow="0" w:lastRow="0" w:firstColumn="0" w:lastColumn="0" w:oddVBand="0" w:evenVBand="0" w:oddHBand="0" w:evenHBand="0" w:firstRowFirstColumn="0" w:firstRowLastColumn="0" w:lastRowFirstColumn="0" w:lastRowLastColumn="0"/>
              <w:rPr>
                <w:lang w:eastAsia="en-US"/>
              </w:rPr>
            </w:pPr>
            <w:r>
              <w:rPr>
                <w:rFonts w:cs="Arial"/>
                <w:sz w:val="18"/>
                <w:szCs w:val="18"/>
              </w:rPr>
              <w:t>$0.</w:t>
            </w:r>
            <w:r w:rsidR="001C585B">
              <w:rPr>
                <w:rFonts w:cs="Arial"/>
                <w:sz w:val="18"/>
                <w:szCs w:val="18"/>
              </w:rPr>
              <w:t>6748</w:t>
            </w:r>
          </w:p>
        </w:tc>
        <w:tc>
          <w:tcPr>
            <w:tcW w:w="1183" w:type="dxa"/>
          </w:tcPr>
          <w:p w:rsidR="00E12A59" w:rsidRDefault="00E12A59" w:rsidP="001C585B">
            <w:pPr>
              <w:pStyle w:val="AERtabletextleft"/>
              <w:keepNext/>
              <w:jc w:val="center"/>
              <w:cnfStyle w:val="000000000000" w:firstRow="0" w:lastRow="0" w:firstColumn="0" w:lastColumn="0" w:oddVBand="0" w:evenVBand="0" w:oddHBand="0" w:evenHBand="0" w:firstRowFirstColumn="0" w:firstRowLastColumn="0" w:lastRowFirstColumn="0" w:lastRowLastColumn="0"/>
              <w:rPr>
                <w:lang w:eastAsia="en-US"/>
              </w:rPr>
            </w:pPr>
            <w:r>
              <w:rPr>
                <w:rFonts w:cs="Arial"/>
                <w:sz w:val="18"/>
                <w:szCs w:val="18"/>
              </w:rPr>
              <w:t>$0.</w:t>
            </w:r>
            <w:r w:rsidR="001C585B">
              <w:rPr>
                <w:rFonts w:cs="Arial"/>
                <w:sz w:val="18"/>
                <w:szCs w:val="18"/>
              </w:rPr>
              <w:t>6910</w:t>
            </w:r>
          </w:p>
        </w:tc>
        <w:tc>
          <w:tcPr>
            <w:tcW w:w="1204" w:type="dxa"/>
          </w:tcPr>
          <w:p w:rsidR="00E12A59" w:rsidRDefault="00E12A59" w:rsidP="001C585B">
            <w:pPr>
              <w:pStyle w:val="AERtabletextleft"/>
              <w:keepNext/>
              <w:jc w:val="center"/>
              <w:cnfStyle w:val="000000000000" w:firstRow="0" w:lastRow="0" w:firstColumn="0" w:lastColumn="0" w:oddVBand="0" w:evenVBand="0" w:oddHBand="0" w:evenHBand="0" w:firstRowFirstColumn="0" w:firstRowLastColumn="0" w:lastRowFirstColumn="0" w:lastRowLastColumn="0"/>
              <w:rPr>
                <w:lang w:eastAsia="en-US"/>
              </w:rPr>
            </w:pPr>
            <w:r>
              <w:rPr>
                <w:rFonts w:cs="Arial"/>
                <w:sz w:val="18"/>
                <w:szCs w:val="18"/>
              </w:rPr>
              <w:t>$0.</w:t>
            </w:r>
            <w:r w:rsidR="001C585B">
              <w:rPr>
                <w:rFonts w:cs="Arial"/>
                <w:sz w:val="18"/>
                <w:szCs w:val="18"/>
              </w:rPr>
              <w:t>6867</w:t>
            </w:r>
          </w:p>
        </w:tc>
        <w:tc>
          <w:tcPr>
            <w:tcW w:w="1203" w:type="dxa"/>
          </w:tcPr>
          <w:p w:rsidR="00E12A59" w:rsidRDefault="00E12A59" w:rsidP="001C585B">
            <w:pPr>
              <w:pStyle w:val="AERtabletextleft"/>
              <w:keepNext/>
              <w:jc w:val="center"/>
              <w:cnfStyle w:val="000000000000" w:firstRow="0" w:lastRow="0" w:firstColumn="0" w:lastColumn="0" w:oddVBand="0" w:evenVBand="0" w:oddHBand="0" w:evenHBand="0" w:firstRowFirstColumn="0" w:firstRowLastColumn="0" w:lastRowFirstColumn="0" w:lastRowLastColumn="0"/>
              <w:rPr>
                <w:lang w:eastAsia="en-US"/>
              </w:rPr>
            </w:pPr>
            <w:r>
              <w:rPr>
                <w:rFonts w:cs="Arial"/>
                <w:sz w:val="18"/>
                <w:szCs w:val="18"/>
              </w:rPr>
              <w:t>$0.</w:t>
            </w:r>
            <w:r w:rsidR="001C585B">
              <w:rPr>
                <w:rFonts w:cs="Arial"/>
                <w:sz w:val="18"/>
                <w:szCs w:val="18"/>
              </w:rPr>
              <w:t>6542</w:t>
            </w:r>
          </w:p>
        </w:tc>
      </w:tr>
      <w:tr w:rsidR="00E12A59" w:rsidTr="00DE7E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dxa"/>
            <w:vAlign w:val="bottom"/>
          </w:tcPr>
          <w:p w:rsidR="00E12A59" w:rsidRDefault="00E12A59" w:rsidP="00DE7E41">
            <w:pPr>
              <w:pStyle w:val="AERtabletextleft"/>
              <w:keepNext/>
              <w:rPr>
                <w:b/>
                <w:bCs/>
                <w:lang w:eastAsia="en-US"/>
              </w:rPr>
            </w:pPr>
            <w:r>
              <w:rPr>
                <w:rFonts w:cs="Arial"/>
                <w:color w:val="000000"/>
                <w:sz w:val="18"/>
                <w:szCs w:val="18"/>
              </w:rPr>
              <w:t>Wallumbilla to Brisbane</w:t>
            </w:r>
          </w:p>
        </w:tc>
        <w:tc>
          <w:tcPr>
            <w:tcW w:w="1136" w:type="dxa"/>
          </w:tcPr>
          <w:p w:rsidR="00E12A59" w:rsidRDefault="00E12A59" w:rsidP="001C585B">
            <w:pPr>
              <w:pStyle w:val="AERtabletextleft"/>
              <w:keepNext/>
              <w:jc w:val="center"/>
              <w:cnfStyle w:val="000000010000" w:firstRow="0" w:lastRow="0" w:firstColumn="0" w:lastColumn="0" w:oddVBand="0" w:evenVBand="0" w:oddHBand="0" w:evenHBand="1" w:firstRowFirstColumn="0" w:firstRowLastColumn="0" w:lastRowFirstColumn="0" w:lastRowLastColumn="0"/>
              <w:rPr>
                <w:lang w:eastAsia="en-US"/>
              </w:rPr>
            </w:pPr>
            <w:r>
              <w:rPr>
                <w:rFonts w:cs="Arial"/>
                <w:sz w:val="18"/>
                <w:szCs w:val="18"/>
              </w:rPr>
              <w:t>$1.</w:t>
            </w:r>
            <w:r w:rsidR="001C585B">
              <w:rPr>
                <w:rFonts w:cs="Arial"/>
                <w:sz w:val="18"/>
                <w:szCs w:val="18"/>
              </w:rPr>
              <w:t>0163</w:t>
            </w:r>
          </w:p>
        </w:tc>
        <w:tc>
          <w:tcPr>
            <w:tcW w:w="1293" w:type="dxa"/>
          </w:tcPr>
          <w:p w:rsidR="00E12A59" w:rsidRDefault="00E12A59" w:rsidP="001C585B">
            <w:pPr>
              <w:pStyle w:val="AERtabletextleft"/>
              <w:keepNext/>
              <w:jc w:val="center"/>
              <w:cnfStyle w:val="000000010000" w:firstRow="0" w:lastRow="0" w:firstColumn="0" w:lastColumn="0" w:oddVBand="0" w:evenVBand="0" w:oddHBand="0" w:evenHBand="1" w:firstRowFirstColumn="0" w:firstRowLastColumn="0" w:lastRowFirstColumn="0" w:lastRowLastColumn="0"/>
              <w:rPr>
                <w:lang w:eastAsia="en-US"/>
              </w:rPr>
            </w:pPr>
            <w:r>
              <w:rPr>
                <w:rFonts w:cs="Arial"/>
                <w:sz w:val="18"/>
                <w:szCs w:val="18"/>
              </w:rPr>
              <w:t>$1.</w:t>
            </w:r>
            <w:r w:rsidR="001C585B">
              <w:rPr>
                <w:rFonts w:cs="Arial"/>
                <w:sz w:val="18"/>
                <w:szCs w:val="18"/>
              </w:rPr>
              <w:t>0407</w:t>
            </w:r>
          </w:p>
        </w:tc>
        <w:tc>
          <w:tcPr>
            <w:tcW w:w="1183" w:type="dxa"/>
          </w:tcPr>
          <w:p w:rsidR="00E12A59" w:rsidRDefault="00E12A59" w:rsidP="001C585B">
            <w:pPr>
              <w:pStyle w:val="AERtabletextleft"/>
              <w:keepNext/>
              <w:jc w:val="center"/>
              <w:cnfStyle w:val="000000010000" w:firstRow="0" w:lastRow="0" w:firstColumn="0" w:lastColumn="0" w:oddVBand="0" w:evenVBand="0" w:oddHBand="0" w:evenHBand="1" w:firstRowFirstColumn="0" w:firstRowLastColumn="0" w:lastRowFirstColumn="0" w:lastRowLastColumn="0"/>
              <w:rPr>
                <w:lang w:eastAsia="en-US"/>
              </w:rPr>
            </w:pPr>
            <w:r>
              <w:rPr>
                <w:rFonts w:cs="Arial"/>
                <w:sz w:val="18"/>
                <w:szCs w:val="18"/>
              </w:rPr>
              <w:t>$1.</w:t>
            </w:r>
            <w:r w:rsidR="001C585B">
              <w:rPr>
                <w:rFonts w:cs="Arial"/>
                <w:sz w:val="18"/>
                <w:szCs w:val="18"/>
              </w:rPr>
              <w:t>0657</w:t>
            </w:r>
          </w:p>
        </w:tc>
        <w:tc>
          <w:tcPr>
            <w:tcW w:w="1204" w:type="dxa"/>
          </w:tcPr>
          <w:p w:rsidR="00E12A59" w:rsidRDefault="00E12A59" w:rsidP="001C585B">
            <w:pPr>
              <w:pStyle w:val="AERtabletextleft"/>
              <w:keepNext/>
              <w:jc w:val="center"/>
              <w:cnfStyle w:val="000000010000" w:firstRow="0" w:lastRow="0" w:firstColumn="0" w:lastColumn="0" w:oddVBand="0" w:evenVBand="0" w:oddHBand="0" w:evenHBand="1" w:firstRowFirstColumn="0" w:firstRowLastColumn="0" w:lastRowFirstColumn="0" w:lastRowLastColumn="0"/>
              <w:rPr>
                <w:lang w:eastAsia="en-US"/>
              </w:rPr>
            </w:pPr>
            <w:r>
              <w:rPr>
                <w:rFonts w:cs="Arial"/>
                <w:sz w:val="18"/>
                <w:szCs w:val="18"/>
              </w:rPr>
              <w:t>$1.</w:t>
            </w:r>
            <w:r w:rsidR="001C585B">
              <w:rPr>
                <w:rFonts w:cs="Arial"/>
                <w:sz w:val="18"/>
                <w:szCs w:val="18"/>
              </w:rPr>
              <w:t>0590</w:t>
            </w:r>
          </w:p>
        </w:tc>
        <w:tc>
          <w:tcPr>
            <w:tcW w:w="1203" w:type="dxa"/>
          </w:tcPr>
          <w:p w:rsidR="00E12A59" w:rsidRDefault="00E12A59" w:rsidP="001C585B">
            <w:pPr>
              <w:pStyle w:val="AERtabletextleft"/>
              <w:keepNext/>
              <w:jc w:val="center"/>
              <w:cnfStyle w:val="000000010000" w:firstRow="0" w:lastRow="0" w:firstColumn="0" w:lastColumn="0" w:oddVBand="0" w:evenVBand="0" w:oddHBand="0" w:evenHBand="1" w:firstRowFirstColumn="0" w:firstRowLastColumn="0" w:lastRowFirstColumn="0" w:lastRowLastColumn="0"/>
              <w:rPr>
                <w:lang w:eastAsia="en-US"/>
              </w:rPr>
            </w:pPr>
            <w:r>
              <w:rPr>
                <w:rFonts w:cs="Arial"/>
                <w:sz w:val="18"/>
                <w:szCs w:val="18"/>
              </w:rPr>
              <w:t>$1.</w:t>
            </w:r>
            <w:r w:rsidR="001C585B">
              <w:rPr>
                <w:rFonts w:cs="Arial"/>
                <w:sz w:val="18"/>
                <w:szCs w:val="18"/>
              </w:rPr>
              <w:t>0090</w:t>
            </w:r>
          </w:p>
        </w:tc>
      </w:tr>
      <w:tr w:rsidR="00E12A59" w:rsidRPr="00E12A59" w:rsidTr="00DE7E41">
        <w:tc>
          <w:tcPr>
            <w:cnfStyle w:val="001000000000" w:firstRow="0" w:lastRow="0" w:firstColumn="1" w:lastColumn="0" w:oddVBand="0" w:evenVBand="0" w:oddHBand="0" w:evenHBand="0" w:firstRowFirstColumn="0" w:firstRowLastColumn="0" w:lastRowFirstColumn="0" w:lastRowLastColumn="0"/>
            <w:tcW w:w="8693" w:type="dxa"/>
            <w:gridSpan w:val="6"/>
          </w:tcPr>
          <w:p w:rsidR="00E12A59" w:rsidRPr="00DE7E41" w:rsidRDefault="00E12A59" w:rsidP="00DE7E41">
            <w:pPr>
              <w:pStyle w:val="AERtabletextleft"/>
              <w:keepNext/>
              <w:jc w:val="center"/>
              <w:rPr>
                <w:b/>
              </w:rPr>
            </w:pPr>
            <w:r w:rsidRPr="00DE7E41">
              <w:rPr>
                <w:b/>
              </w:rPr>
              <w:t>Option 2</w:t>
            </w:r>
          </w:p>
        </w:tc>
      </w:tr>
      <w:tr w:rsidR="00E12A59" w:rsidTr="00DE7E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dxa"/>
            <w:vAlign w:val="bottom"/>
          </w:tcPr>
          <w:p w:rsidR="00E12A59" w:rsidRDefault="00E12A59" w:rsidP="00DE7E41">
            <w:pPr>
              <w:pStyle w:val="AERtabletextleft"/>
              <w:keepNext/>
              <w:rPr>
                <w:lang w:eastAsia="en-US"/>
              </w:rPr>
            </w:pPr>
            <w:r>
              <w:rPr>
                <w:rFonts w:cs="Arial"/>
                <w:color w:val="000000"/>
                <w:sz w:val="18"/>
                <w:szCs w:val="18"/>
              </w:rPr>
              <w:t>Wallumbilla to Dalby</w:t>
            </w:r>
          </w:p>
        </w:tc>
        <w:tc>
          <w:tcPr>
            <w:tcW w:w="1136" w:type="dxa"/>
          </w:tcPr>
          <w:p w:rsidR="00E12A59" w:rsidRDefault="00E12A59" w:rsidP="001C585B">
            <w:pPr>
              <w:pStyle w:val="AERtabletextleft"/>
              <w:keepNext/>
              <w:jc w:val="center"/>
              <w:cnfStyle w:val="000000010000" w:firstRow="0" w:lastRow="0" w:firstColumn="0" w:lastColumn="0" w:oddVBand="0" w:evenVBand="0" w:oddHBand="0" w:evenHBand="1" w:firstRowFirstColumn="0" w:firstRowLastColumn="0" w:lastRowFirstColumn="0" w:lastRowLastColumn="0"/>
              <w:rPr>
                <w:lang w:eastAsia="en-US"/>
              </w:rPr>
            </w:pPr>
            <w:r>
              <w:rPr>
                <w:rFonts w:cs="Arial"/>
                <w:sz w:val="18"/>
                <w:szCs w:val="18"/>
              </w:rPr>
              <w:t>$0.</w:t>
            </w:r>
            <w:r w:rsidR="001C585B">
              <w:rPr>
                <w:rFonts w:cs="Arial"/>
                <w:sz w:val="18"/>
                <w:szCs w:val="18"/>
              </w:rPr>
              <w:t>5070</w:t>
            </w:r>
          </w:p>
        </w:tc>
        <w:tc>
          <w:tcPr>
            <w:tcW w:w="1293" w:type="dxa"/>
          </w:tcPr>
          <w:p w:rsidR="00E12A59" w:rsidRDefault="00E12A59" w:rsidP="001C585B">
            <w:pPr>
              <w:pStyle w:val="AERtabletextleft"/>
              <w:keepNext/>
              <w:jc w:val="center"/>
              <w:cnfStyle w:val="000000010000" w:firstRow="0" w:lastRow="0" w:firstColumn="0" w:lastColumn="0" w:oddVBand="0" w:evenVBand="0" w:oddHBand="0" w:evenHBand="1" w:firstRowFirstColumn="0" w:firstRowLastColumn="0" w:lastRowFirstColumn="0" w:lastRowLastColumn="0"/>
              <w:rPr>
                <w:lang w:eastAsia="en-US"/>
              </w:rPr>
            </w:pPr>
            <w:r>
              <w:rPr>
                <w:rFonts w:cs="Arial"/>
                <w:sz w:val="18"/>
                <w:szCs w:val="18"/>
              </w:rPr>
              <w:t>$0.</w:t>
            </w:r>
            <w:r w:rsidR="001C585B">
              <w:rPr>
                <w:rFonts w:cs="Arial"/>
                <w:sz w:val="18"/>
                <w:szCs w:val="18"/>
              </w:rPr>
              <w:t>5192</w:t>
            </w:r>
          </w:p>
        </w:tc>
        <w:tc>
          <w:tcPr>
            <w:tcW w:w="1183" w:type="dxa"/>
          </w:tcPr>
          <w:p w:rsidR="00E12A59" w:rsidRDefault="00E12A59" w:rsidP="001C585B">
            <w:pPr>
              <w:pStyle w:val="AERtabletextleft"/>
              <w:keepNext/>
              <w:jc w:val="center"/>
              <w:cnfStyle w:val="000000010000" w:firstRow="0" w:lastRow="0" w:firstColumn="0" w:lastColumn="0" w:oddVBand="0" w:evenVBand="0" w:oddHBand="0" w:evenHBand="1" w:firstRowFirstColumn="0" w:firstRowLastColumn="0" w:lastRowFirstColumn="0" w:lastRowLastColumn="0"/>
              <w:rPr>
                <w:lang w:eastAsia="en-US"/>
              </w:rPr>
            </w:pPr>
            <w:r>
              <w:rPr>
                <w:rFonts w:cs="Arial"/>
                <w:sz w:val="18"/>
                <w:szCs w:val="18"/>
              </w:rPr>
              <w:t>$0.</w:t>
            </w:r>
            <w:r w:rsidR="001C585B">
              <w:rPr>
                <w:rFonts w:cs="Arial"/>
                <w:sz w:val="18"/>
                <w:szCs w:val="18"/>
              </w:rPr>
              <w:t>5317</w:t>
            </w:r>
          </w:p>
        </w:tc>
        <w:tc>
          <w:tcPr>
            <w:tcW w:w="1204" w:type="dxa"/>
          </w:tcPr>
          <w:p w:rsidR="00E12A59" w:rsidRDefault="00E12A59" w:rsidP="001C585B">
            <w:pPr>
              <w:pStyle w:val="AERtabletextleft"/>
              <w:keepNext/>
              <w:jc w:val="center"/>
              <w:cnfStyle w:val="000000010000" w:firstRow="0" w:lastRow="0" w:firstColumn="0" w:lastColumn="0" w:oddVBand="0" w:evenVBand="0" w:oddHBand="0" w:evenHBand="1" w:firstRowFirstColumn="0" w:firstRowLastColumn="0" w:lastRowFirstColumn="0" w:lastRowLastColumn="0"/>
              <w:rPr>
                <w:lang w:eastAsia="en-US"/>
              </w:rPr>
            </w:pPr>
            <w:r>
              <w:rPr>
                <w:rFonts w:cs="Arial"/>
                <w:sz w:val="18"/>
                <w:szCs w:val="18"/>
              </w:rPr>
              <w:t>$0.</w:t>
            </w:r>
            <w:r w:rsidR="001C585B">
              <w:rPr>
                <w:rFonts w:cs="Arial"/>
                <w:sz w:val="18"/>
                <w:szCs w:val="18"/>
              </w:rPr>
              <w:t>5284</w:t>
            </w:r>
          </w:p>
        </w:tc>
        <w:tc>
          <w:tcPr>
            <w:tcW w:w="1203" w:type="dxa"/>
          </w:tcPr>
          <w:p w:rsidR="00E12A59" w:rsidRDefault="00E12A59" w:rsidP="001C585B">
            <w:pPr>
              <w:pStyle w:val="AERtabletextleft"/>
              <w:keepNext/>
              <w:jc w:val="center"/>
              <w:cnfStyle w:val="000000010000" w:firstRow="0" w:lastRow="0" w:firstColumn="0" w:lastColumn="0" w:oddVBand="0" w:evenVBand="0" w:oddHBand="0" w:evenHBand="1" w:firstRowFirstColumn="0" w:firstRowLastColumn="0" w:lastRowFirstColumn="0" w:lastRowLastColumn="0"/>
              <w:rPr>
                <w:lang w:eastAsia="en-US"/>
              </w:rPr>
            </w:pPr>
            <w:r>
              <w:rPr>
                <w:rFonts w:cs="Arial"/>
                <w:sz w:val="18"/>
                <w:szCs w:val="18"/>
              </w:rPr>
              <w:t>$0.</w:t>
            </w:r>
            <w:r w:rsidR="001C585B">
              <w:rPr>
                <w:rFonts w:cs="Arial"/>
                <w:sz w:val="18"/>
                <w:szCs w:val="18"/>
              </w:rPr>
              <w:t>5034</w:t>
            </w:r>
          </w:p>
        </w:tc>
      </w:tr>
      <w:tr w:rsidR="00E12A59" w:rsidTr="00DE7E41">
        <w:tc>
          <w:tcPr>
            <w:cnfStyle w:val="001000000000" w:firstRow="0" w:lastRow="0" w:firstColumn="1" w:lastColumn="0" w:oddVBand="0" w:evenVBand="0" w:oddHBand="0" w:evenHBand="0" w:firstRowFirstColumn="0" w:firstRowLastColumn="0" w:lastRowFirstColumn="0" w:lastRowLastColumn="0"/>
            <w:tcW w:w="2674" w:type="dxa"/>
            <w:vAlign w:val="bottom"/>
          </w:tcPr>
          <w:p w:rsidR="00E12A59" w:rsidRDefault="00E12A59" w:rsidP="00DE7E41">
            <w:pPr>
              <w:pStyle w:val="AERtabletextleft"/>
              <w:keepNext/>
              <w:rPr>
                <w:b/>
                <w:bCs/>
                <w:lang w:eastAsia="en-US"/>
              </w:rPr>
            </w:pPr>
            <w:r>
              <w:rPr>
                <w:rFonts w:cs="Arial"/>
                <w:color w:val="000000"/>
                <w:sz w:val="18"/>
                <w:szCs w:val="18"/>
              </w:rPr>
              <w:t>Wallumbilla to Brisbane</w:t>
            </w:r>
          </w:p>
        </w:tc>
        <w:tc>
          <w:tcPr>
            <w:tcW w:w="1136" w:type="dxa"/>
          </w:tcPr>
          <w:p w:rsidR="00E12A59" w:rsidRDefault="00E12A59" w:rsidP="001C585B">
            <w:pPr>
              <w:pStyle w:val="AERtabletextleft"/>
              <w:keepNext/>
              <w:jc w:val="center"/>
              <w:cnfStyle w:val="000000000000" w:firstRow="0" w:lastRow="0" w:firstColumn="0" w:lastColumn="0" w:oddVBand="0" w:evenVBand="0" w:oddHBand="0" w:evenHBand="0" w:firstRowFirstColumn="0" w:firstRowLastColumn="0" w:lastRowFirstColumn="0" w:lastRowLastColumn="0"/>
              <w:rPr>
                <w:lang w:eastAsia="en-US"/>
              </w:rPr>
            </w:pPr>
            <w:r>
              <w:rPr>
                <w:rFonts w:cs="Arial"/>
                <w:sz w:val="18"/>
                <w:szCs w:val="18"/>
              </w:rPr>
              <w:t>$0.</w:t>
            </w:r>
            <w:r w:rsidR="001C585B">
              <w:rPr>
                <w:rFonts w:cs="Arial"/>
                <w:sz w:val="18"/>
                <w:szCs w:val="18"/>
              </w:rPr>
              <w:t>8644</w:t>
            </w:r>
          </w:p>
        </w:tc>
        <w:tc>
          <w:tcPr>
            <w:tcW w:w="1293" w:type="dxa"/>
          </w:tcPr>
          <w:p w:rsidR="00E12A59" w:rsidRDefault="00E12A59" w:rsidP="001C585B">
            <w:pPr>
              <w:pStyle w:val="AERtabletextleft"/>
              <w:keepNext/>
              <w:jc w:val="center"/>
              <w:cnfStyle w:val="000000000000" w:firstRow="0" w:lastRow="0" w:firstColumn="0" w:lastColumn="0" w:oddVBand="0" w:evenVBand="0" w:oddHBand="0" w:evenHBand="0" w:firstRowFirstColumn="0" w:firstRowLastColumn="0" w:lastRowFirstColumn="0" w:lastRowLastColumn="0"/>
              <w:rPr>
                <w:lang w:eastAsia="en-US"/>
              </w:rPr>
            </w:pPr>
            <w:r>
              <w:rPr>
                <w:rFonts w:cs="Arial"/>
                <w:sz w:val="18"/>
                <w:szCs w:val="18"/>
              </w:rPr>
              <w:t>$0.</w:t>
            </w:r>
            <w:r w:rsidR="001C585B">
              <w:rPr>
                <w:rFonts w:cs="Arial"/>
                <w:sz w:val="18"/>
                <w:szCs w:val="18"/>
              </w:rPr>
              <w:t>8851</w:t>
            </w:r>
          </w:p>
        </w:tc>
        <w:tc>
          <w:tcPr>
            <w:tcW w:w="1183" w:type="dxa"/>
          </w:tcPr>
          <w:p w:rsidR="00E12A59" w:rsidRDefault="00E12A59" w:rsidP="001C585B">
            <w:pPr>
              <w:pStyle w:val="AERtabletextleft"/>
              <w:keepNext/>
              <w:jc w:val="center"/>
              <w:cnfStyle w:val="000000000000" w:firstRow="0" w:lastRow="0" w:firstColumn="0" w:lastColumn="0" w:oddVBand="0" w:evenVBand="0" w:oddHBand="0" w:evenHBand="0" w:firstRowFirstColumn="0" w:firstRowLastColumn="0" w:lastRowFirstColumn="0" w:lastRowLastColumn="0"/>
              <w:rPr>
                <w:lang w:eastAsia="en-US"/>
              </w:rPr>
            </w:pPr>
            <w:r>
              <w:rPr>
                <w:rFonts w:cs="Arial"/>
                <w:sz w:val="18"/>
                <w:szCs w:val="18"/>
              </w:rPr>
              <w:t>$0.</w:t>
            </w:r>
            <w:r w:rsidR="001C585B">
              <w:rPr>
                <w:rFonts w:cs="Arial"/>
                <w:sz w:val="18"/>
                <w:szCs w:val="18"/>
              </w:rPr>
              <w:t>9064</w:t>
            </w:r>
          </w:p>
        </w:tc>
        <w:tc>
          <w:tcPr>
            <w:tcW w:w="1204" w:type="dxa"/>
          </w:tcPr>
          <w:p w:rsidR="00E12A59" w:rsidRDefault="00E12A59" w:rsidP="001C585B">
            <w:pPr>
              <w:pStyle w:val="AERtabletextleft"/>
              <w:keepNext/>
              <w:jc w:val="center"/>
              <w:cnfStyle w:val="000000000000" w:firstRow="0" w:lastRow="0" w:firstColumn="0" w:lastColumn="0" w:oddVBand="0" w:evenVBand="0" w:oddHBand="0" w:evenHBand="0" w:firstRowFirstColumn="0" w:firstRowLastColumn="0" w:lastRowFirstColumn="0" w:lastRowLastColumn="0"/>
              <w:rPr>
                <w:lang w:eastAsia="en-US"/>
              </w:rPr>
            </w:pPr>
            <w:r>
              <w:rPr>
                <w:rFonts w:cs="Arial"/>
                <w:sz w:val="18"/>
                <w:szCs w:val="18"/>
              </w:rPr>
              <w:t>$0.</w:t>
            </w:r>
            <w:r w:rsidR="001C585B">
              <w:rPr>
                <w:rFonts w:cs="Arial"/>
                <w:sz w:val="18"/>
                <w:szCs w:val="18"/>
              </w:rPr>
              <w:t>9007</w:t>
            </w:r>
          </w:p>
        </w:tc>
        <w:tc>
          <w:tcPr>
            <w:tcW w:w="1203" w:type="dxa"/>
          </w:tcPr>
          <w:p w:rsidR="00E12A59" w:rsidRDefault="00E12A59" w:rsidP="001C585B">
            <w:pPr>
              <w:pStyle w:val="AERtabletextleft"/>
              <w:keepNext/>
              <w:jc w:val="center"/>
              <w:cnfStyle w:val="000000000000" w:firstRow="0" w:lastRow="0" w:firstColumn="0" w:lastColumn="0" w:oddVBand="0" w:evenVBand="0" w:oddHBand="0" w:evenHBand="0" w:firstRowFirstColumn="0" w:firstRowLastColumn="0" w:lastRowFirstColumn="0" w:lastRowLastColumn="0"/>
              <w:rPr>
                <w:lang w:eastAsia="en-US"/>
              </w:rPr>
            </w:pPr>
            <w:r>
              <w:rPr>
                <w:rFonts w:cs="Arial"/>
                <w:sz w:val="18"/>
                <w:szCs w:val="18"/>
              </w:rPr>
              <w:t>$0.</w:t>
            </w:r>
            <w:r w:rsidR="001C585B">
              <w:rPr>
                <w:rFonts w:cs="Arial"/>
                <w:sz w:val="18"/>
                <w:szCs w:val="18"/>
              </w:rPr>
              <w:t>8582</w:t>
            </w:r>
          </w:p>
        </w:tc>
      </w:tr>
      <w:tr w:rsidR="00E12A59" w:rsidTr="00DE7E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gridSpan w:val="6"/>
          </w:tcPr>
          <w:p w:rsidR="00E12A59" w:rsidRPr="00DE7E41" w:rsidRDefault="00E12A59" w:rsidP="00DE7E41">
            <w:pPr>
              <w:pStyle w:val="AERtabletextleft"/>
              <w:keepNext/>
              <w:jc w:val="center"/>
              <w:rPr>
                <w:b/>
              </w:rPr>
            </w:pPr>
            <w:r w:rsidRPr="00DE7E41">
              <w:rPr>
                <w:b/>
              </w:rPr>
              <w:t>Option 3</w:t>
            </w:r>
          </w:p>
        </w:tc>
      </w:tr>
      <w:tr w:rsidR="00E12A59" w:rsidTr="00DE7E41">
        <w:tc>
          <w:tcPr>
            <w:cnfStyle w:val="001000000000" w:firstRow="0" w:lastRow="0" w:firstColumn="1" w:lastColumn="0" w:oddVBand="0" w:evenVBand="0" w:oddHBand="0" w:evenHBand="0" w:firstRowFirstColumn="0" w:firstRowLastColumn="0" w:lastRowFirstColumn="0" w:lastRowLastColumn="0"/>
            <w:tcW w:w="2674" w:type="dxa"/>
            <w:vAlign w:val="bottom"/>
          </w:tcPr>
          <w:p w:rsidR="00E12A59" w:rsidRDefault="00E12A59" w:rsidP="00DE7E41">
            <w:pPr>
              <w:pStyle w:val="AERtabletextleft"/>
              <w:keepNext/>
              <w:rPr>
                <w:lang w:eastAsia="en-US"/>
              </w:rPr>
            </w:pPr>
            <w:r>
              <w:rPr>
                <w:rFonts w:cs="Arial"/>
                <w:color w:val="000000"/>
                <w:sz w:val="18"/>
                <w:szCs w:val="18"/>
              </w:rPr>
              <w:t>Wallumbilla to Kogan North</w:t>
            </w:r>
          </w:p>
        </w:tc>
        <w:tc>
          <w:tcPr>
            <w:tcW w:w="1136" w:type="dxa"/>
          </w:tcPr>
          <w:p w:rsidR="00E12A59" w:rsidRDefault="00E12A59" w:rsidP="001C585B">
            <w:pPr>
              <w:pStyle w:val="AERtabletextleft"/>
              <w:keepNext/>
              <w:jc w:val="center"/>
              <w:cnfStyle w:val="000000000000" w:firstRow="0" w:lastRow="0" w:firstColumn="0" w:lastColumn="0" w:oddVBand="0" w:evenVBand="0" w:oddHBand="0" w:evenHBand="0" w:firstRowFirstColumn="0" w:firstRowLastColumn="0" w:lastRowFirstColumn="0" w:lastRowLastColumn="0"/>
              <w:rPr>
                <w:lang w:eastAsia="en-US"/>
              </w:rPr>
            </w:pPr>
            <w:r>
              <w:rPr>
                <w:rFonts w:cs="Arial"/>
                <w:sz w:val="18"/>
                <w:szCs w:val="18"/>
              </w:rPr>
              <w:t>$0.</w:t>
            </w:r>
            <w:r w:rsidR="001C585B">
              <w:rPr>
                <w:rFonts w:cs="Arial"/>
                <w:sz w:val="18"/>
                <w:szCs w:val="18"/>
              </w:rPr>
              <w:t>2882</w:t>
            </w:r>
          </w:p>
        </w:tc>
        <w:tc>
          <w:tcPr>
            <w:tcW w:w="1293" w:type="dxa"/>
          </w:tcPr>
          <w:p w:rsidR="00E12A59" w:rsidRDefault="00E12A59" w:rsidP="001C585B">
            <w:pPr>
              <w:pStyle w:val="AERtabletextleft"/>
              <w:keepNext/>
              <w:jc w:val="center"/>
              <w:cnfStyle w:val="000000000000" w:firstRow="0" w:lastRow="0" w:firstColumn="0" w:lastColumn="0" w:oddVBand="0" w:evenVBand="0" w:oddHBand="0" w:evenHBand="0" w:firstRowFirstColumn="0" w:firstRowLastColumn="0" w:lastRowFirstColumn="0" w:lastRowLastColumn="0"/>
              <w:rPr>
                <w:lang w:eastAsia="en-US"/>
              </w:rPr>
            </w:pPr>
            <w:r>
              <w:rPr>
                <w:rFonts w:cs="Arial"/>
                <w:sz w:val="18"/>
                <w:szCs w:val="18"/>
              </w:rPr>
              <w:t>$0.</w:t>
            </w:r>
            <w:r w:rsidR="001C585B">
              <w:rPr>
                <w:rFonts w:cs="Arial"/>
                <w:sz w:val="18"/>
                <w:szCs w:val="18"/>
              </w:rPr>
              <w:t>2951</w:t>
            </w:r>
          </w:p>
        </w:tc>
        <w:tc>
          <w:tcPr>
            <w:tcW w:w="1183" w:type="dxa"/>
          </w:tcPr>
          <w:p w:rsidR="00E12A59" w:rsidRDefault="00E12A59" w:rsidP="001C585B">
            <w:pPr>
              <w:pStyle w:val="AERtabletextleft"/>
              <w:keepNext/>
              <w:jc w:val="center"/>
              <w:cnfStyle w:val="000000000000" w:firstRow="0" w:lastRow="0" w:firstColumn="0" w:lastColumn="0" w:oddVBand="0" w:evenVBand="0" w:oddHBand="0" w:evenHBand="0" w:firstRowFirstColumn="0" w:firstRowLastColumn="0" w:lastRowFirstColumn="0" w:lastRowLastColumn="0"/>
              <w:rPr>
                <w:lang w:eastAsia="en-US"/>
              </w:rPr>
            </w:pPr>
            <w:r>
              <w:rPr>
                <w:rFonts w:cs="Arial"/>
                <w:sz w:val="18"/>
                <w:szCs w:val="18"/>
              </w:rPr>
              <w:t>$0.</w:t>
            </w:r>
            <w:r w:rsidR="001C585B">
              <w:rPr>
                <w:rFonts w:cs="Arial"/>
                <w:sz w:val="18"/>
                <w:szCs w:val="18"/>
              </w:rPr>
              <w:t>3022</w:t>
            </w:r>
          </w:p>
        </w:tc>
        <w:tc>
          <w:tcPr>
            <w:tcW w:w="1204" w:type="dxa"/>
          </w:tcPr>
          <w:p w:rsidR="00E12A59" w:rsidRDefault="00E12A59" w:rsidP="001C585B">
            <w:pPr>
              <w:pStyle w:val="AERtabletextleft"/>
              <w:keepNext/>
              <w:jc w:val="center"/>
              <w:cnfStyle w:val="000000000000" w:firstRow="0" w:lastRow="0" w:firstColumn="0" w:lastColumn="0" w:oddVBand="0" w:evenVBand="0" w:oddHBand="0" w:evenHBand="0" w:firstRowFirstColumn="0" w:firstRowLastColumn="0" w:lastRowFirstColumn="0" w:lastRowLastColumn="0"/>
              <w:rPr>
                <w:lang w:eastAsia="en-US"/>
              </w:rPr>
            </w:pPr>
            <w:r>
              <w:rPr>
                <w:rFonts w:cs="Arial"/>
                <w:sz w:val="18"/>
                <w:szCs w:val="18"/>
              </w:rPr>
              <w:t>$0.</w:t>
            </w:r>
            <w:r w:rsidR="001C585B">
              <w:rPr>
                <w:rFonts w:cs="Arial"/>
                <w:sz w:val="18"/>
                <w:szCs w:val="18"/>
              </w:rPr>
              <w:t>3003</w:t>
            </w:r>
          </w:p>
        </w:tc>
        <w:tc>
          <w:tcPr>
            <w:tcW w:w="1203" w:type="dxa"/>
          </w:tcPr>
          <w:p w:rsidR="00E12A59" w:rsidRDefault="00E12A59" w:rsidP="001C585B">
            <w:pPr>
              <w:pStyle w:val="AERtabletextleft"/>
              <w:keepNext/>
              <w:jc w:val="center"/>
              <w:cnfStyle w:val="000000000000" w:firstRow="0" w:lastRow="0" w:firstColumn="0" w:lastColumn="0" w:oddVBand="0" w:evenVBand="0" w:oddHBand="0" w:evenHBand="0" w:firstRowFirstColumn="0" w:firstRowLastColumn="0" w:lastRowFirstColumn="0" w:lastRowLastColumn="0"/>
              <w:rPr>
                <w:lang w:eastAsia="en-US"/>
              </w:rPr>
            </w:pPr>
            <w:r>
              <w:rPr>
                <w:rFonts w:cs="Arial"/>
                <w:sz w:val="18"/>
                <w:szCs w:val="18"/>
              </w:rPr>
              <w:t>$0.</w:t>
            </w:r>
            <w:r w:rsidR="001C585B">
              <w:rPr>
                <w:rFonts w:cs="Arial"/>
                <w:sz w:val="18"/>
                <w:szCs w:val="18"/>
              </w:rPr>
              <w:t>2861</w:t>
            </w:r>
          </w:p>
        </w:tc>
      </w:tr>
      <w:tr w:rsidR="00DE7E41" w:rsidTr="00DE7E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dxa"/>
            <w:vAlign w:val="bottom"/>
          </w:tcPr>
          <w:p w:rsidR="00DE7E41" w:rsidRDefault="00DE7E41" w:rsidP="00DE7E41">
            <w:pPr>
              <w:pStyle w:val="AERtabletextleft"/>
              <w:rPr>
                <w:b/>
                <w:bCs/>
                <w:lang w:eastAsia="en-US"/>
              </w:rPr>
            </w:pPr>
            <w:r>
              <w:rPr>
                <w:rFonts w:cs="Arial"/>
                <w:color w:val="000000"/>
                <w:sz w:val="18"/>
                <w:szCs w:val="18"/>
              </w:rPr>
              <w:t>Wallumbilla to Brisbane</w:t>
            </w:r>
          </w:p>
        </w:tc>
        <w:tc>
          <w:tcPr>
            <w:tcW w:w="1136" w:type="dxa"/>
          </w:tcPr>
          <w:p w:rsidR="00DE7E41" w:rsidRDefault="00DE7E41" w:rsidP="001C585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r w:rsidR="001C585B">
              <w:rPr>
                <w:rFonts w:cs="Arial"/>
                <w:sz w:val="18"/>
                <w:szCs w:val="18"/>
              </w:rPr>
              <w:t>0</w:t>
            </w:r>
            <w:r>
              <w:rPr>
                <w:rFonts w:cs="Arial"/>
                <w:sz w:val="18"/>
                <w:szCs w:val="18"/>
              </w:rPr>
              <w:t>.</w:t>
            </w:r>
            <w:r w:rsidR="001C585B">
              <w:rPr>
                <w:rFonts w:cs="Arial"/>
                <w:sz w:val="18"/>
                <w:szCs w:val="18"/>
              </w:rPr>
              <w:t>9657</w:t>
            </w:r>
          </w:p>
        </w:tc>
        <w:tc>
          <w:tcPr>
            <w:tcW w:w="1293" w:type="dxa"/>
          </w:tcPr>
          <w:p w:rsidR="00DE7E41" w:rsidRDefault="00DE7E41" w:rsidP="001C585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r w:rsidR="001C585B">
              <w:rPr>
                <w:rFonts w:cs="Arial"/>
                <w:sz w:val="18"/>
                <w:szCs w:val="18"/>
              </w:rPr>
              <w:t>0</w:t>
            </w:r>
            <w:r>
              <w:rPr>
                <w:rFonts w:cs="Arial"/>
                <w:sz w:val="18"/>
                <w:szCs w:val="18"/>
              </w:rPr>
              <w:t>.</w:t>
            </w:r>
            <w:r w:rsidR="001C585B">
              <w:rPr>
                <w:rFonts w:cs="Arial"/>
                <w:sz w:val="18"/>
                <w:szCs w:val="18"/>
              </w:rPr>
              <w:t>9889</w:t>
            </w:r>
          </w:p>
        </w:tc>
        <w:tc>
          <w:tcPr>
            <w:tcW w:w="1183" w:type="dxa"/>
          </w:tcPr>
          <w:p w:rsidR="00DE7E41" w:rsidRDefault="00DE7E41" w:rsidP="001C585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w:t>
            </w:r>
            <w:r w:rsidR="001C585B">
              <w:rPr>
                <w:rFonts w:cs="Arial"/>
                <w:sz w:val="18"/>
                <w:szCs w:val="18"/>
              </w:rPr>
              <w:t>0126</w:t>
            </w:r>
          </w:p>
        </w:tc>
        <w:tc>
          <w:tcPr>
            <w:tcW w:w="1204" w:type="dxa"/>
          </w:tcPr>
          <w:p w:rsidR="00DE7E41" w:rsidRDefault="00DE7E41" w:rsidP="001C585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r w:rsidR="001C585B">
              <w:rPr>
                <w:rFonts w:cs="Arial"/>
                <w:sz w:val="18"/>
                <w:szCs w:val="18"/>
              </w:rPr>
              <w:t>1</w:t>
            </w:r>
            <w:r>
              <w:rPr>
                <w:rFonts w:cs="Arial"/>
                <w:sz w:val="18"/>
                <w:szCs w:val="18"/>
              </w:rPr>
              <w:t>.</w:t>
            </w:r>
            <w:r w:rsidR="001C585B">
              <w:rPr>
                <w:rFonts w:cs="Arial"/>
                <w:sz w:val="18"/>
                <w:szCs w:val="18"/>
              </w:rPr>
              <w:t>0063</w:t>
            </w:r>
          </w:p>
        </w:tc>
        <w:tc>
          <w:tcPr>
            <w:tcW w:w="1203" w:type="dxa"/>
          </w:tcPr>
          <w:p w:rsidR="00DE7E41" w:rsidRDefault="00DE7E41" w:rsidP="001C585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$0.</w:t>
            </w:r>
            <w:r w:rsidR="001C585B">
              <w:rPr>
                <w:rFonts w:cs="Arial"/>
                <w:sz w:val="18"/>
                <w:szCs w:val="18"/>
              </w:rPr>
              <w:t>9588</w:t>
            </w:r>
          </w:p>
        </w:tc>
      </w:tr>
    </w:tbl>
    <w:p w:rsidR="00D266D7" w:rsidRDefault="00D266D7" w:rsidP="00D266D7">
      <w:pPr>
        <w:pStyle w:val="AERtablesource"/>
      </w:pPr>
      <w:r>
        <w:t xml:space="preserve">Source: AER </w:t>
      </w:r>
      <w:r w:rsidR="00E12A59">
        <w:t>analysis</w:t>
      </w:r>
    </w:p>
    <w:p w:rsidR="00EA62DF" w:rsidRDefault="00C91822" w:rsidP="00EA62DF">
      <w:r>
        <w:t>As</w:t>
      </w:r>
      <w:r w:rsidR="00FF2721">
        <w:t xml:space="preserve"> </w:t>
      </w:r>
      <w:r w:rsidR="00FF2721">
        <w:fldChar w:fldCharType="begin"/>
      </w:r>
      <w:r w:rsidR="00FF2721">
        <w:instrText xml:space="preserve"> REF _Ref485991658 \h </w:instrText>
      </w:r>
      <w:r w:rsidR="00FF2721">
        <w:fldChar w:fldCharType="separate"/>
      </w:r>
      <w:r w:rsidR="00CD1954">
        <w:t xml:space="preserve">Table </w:t>
      </w:r>
      <w:r w:rsidR="00CD1954">
        <w:rPr>
          <w:noProof/>
        </w:rPr>
        <w:t>10</w:t>
      </w:r>
      <w:r w:rsidR="00CD1954">
        <w:noBreakHyphen/>
      </w:r>
      <w:r w:rsidR="00CD1954">
        <w:rPr>
          <w:noProof/>
        </w:rPr>
        <w:t>2</w:t>
      </w:r>
      <w:r w:rsidR="00FF2721">
        <w:fldChar w:fldCharType="end"/>
      </w:r>
      <w:r>
        <w:t xml:space="preserve"> </w:t>
      </w:r>
      <w:r w:rsidR="00047EFD">
        <w:t>highlights</w:t>
      </w:r>
      <w:r w:rsidR="00EA62DF">
        <w:t>, all of the part-haul (zonal) options result in:</w:t>
      </w:r>
    </w:p>
    <w:p w:rsidR="00EA62DF" w:rsidRPr="00384454" w:rsidRDefault="00EA62DF" w:rsidP="00EA62DF">
      <w:pPr>
        <w:numPr>
          <w:ilvl w:val="0"/>
          <w:numId w:val="35"/>
        </w:numPr>
        <w:spacing w:before="120" w:after="200" w:line="240" w:lineRule="auto"/>
        <w:ind w:left="357" w:hanging="357"/>
        <w:outlineLvl w:val="7"/>
      </w:pPr>
      <w:r w:rsidRPr="00384454">
        <w:t xml:space="preserve">higher tariffs in </w:t>
      </w:r>
      <w:r w:rsidR="005727EC">
        <w:t xml:space="preserve">the </w:t>
      </w:r>
      <w:r w:rsidRPr="00384454">
        <w:t xml:space="preserve">Brisbane </w:t>
      </w:r>
      <w:r w:rsidR="005727EC">
        <w:t xml:space="preserve">zone </w:t>
      </w:r>
      <w:r w:rsidRPr="00384454">
        <w:t>than would occur under the postage stamp approach, with Option 1 resulting in the greatest increase (</w:t>
      </w:r>
      <w:r>
        <w:t>4</w:t>
      </w:r>
      <w:r w:rsidR="00817084">
        <w:t>9</w:t>
      </w:r>
      <w:r w:rsidR="0092174F">
        <w:t xml:space="preserve"> per cent</w:t>
      </w:r>
      <w:r w:rsidRPr="00384454">
        <w:t>), followed by Option 3 (</w:t>
      </w:r>
      <w:r>
        <w:t>4</w:t>
      </w:r>
      <w:r w:rsidR="00817084">
        <w:t>1</w:t>
      </w:r>
      <w:r w:rsidR="0092174F">
        <w:t xml:space="preserve"> per cent</w:t>
      </w:r>
      <w:r w:rsidRPr="00384454">
        <w:t>) and Option 2 (</w:t>
      </w:r>
      <w:r w:rsidR="00817084">
        <w:t xml:space="preserve">26 </w:t>
      </w:r>
      <w:r w:rsidR="0092174F">
        <w:t>per cent</w:t>
      </w:r>
      <w:r w:rsidRPr="00384454">
        <w:t>)</w:t>
      </w:r>
      <w:r w:rsidR="009D065A">
        <w:t>.</w:t>
      </w:r>
    </w:p>
    <w:p w:rsidR="00EA62DF" w:rsidRPr="00384454" w:rsidRDefault="00EA62DF" w:rsidP="00EA62DF">
      <w:pPr>
        <w:numPr>
          <w:ilvl w:val="0"/>
          <w:numId w:val="35"/>
        </w:numPr>
        <w:spacing w:before="120" w:after="200" w:line="240" w:lineRule="auto"/>
        <w:ind w:left="357" w:hanging="357"/>
        <w:outlineLvl w:val="7"/>
      </w:pPr>
      <w:r>
        <w:t xml:space="preserve">lower tariffs </w:t>
      </w:r>
      <w:r w:rsidR="005727EC">
        <w:t xml:space="preserve">in the </w:t>
      </w:r>
      <w:r w:rsidRPr="00693A7D">
        <w:t xml:space="preserve">Wallumbilla </w:t>
      </w:r>
      <w:r w:rsidR="005727EC">
        <w:t xml:space="preserve">to </w:t>
      </w:r>
      <w:r w:rsidRPr="00693A7D">
        <w:t>Kogan</w:t>
      </w:r>
      <w:r>
        <w:t>/</w:t>
      </w:r>
      <w:r w:rsidRPr="00693A7D">
        <w:t>Dalby</w:t>
      </w:r>
      <w:r>
        <w:t xml:space="preserve"> </w:t>
      </w:r>
      <w:r w:rsidR="005727EC">
        <w:t xml:space="preserve">zones </w:t>
      </w:r>
      <w:r>
        <w:t xml:space="preserve">than would occur under the postage stamp approach, with </w:t>
      </w:r>
      <w:r w:rsidRPr="00693A7D">
        <w:t>Options 1 and 3</w:t>
      </w:r>
      <w:r>
        <w:t xml:space="preserve"> resulting in the greatest reduction (58</w:t>
      </w:r>
      <w:r w:rsidR="0092174F">
        <w:t xml:space="preserve"> per cent</w:t>
      </w:r>
      <w:r>
        <w:t>) followed by Option 2 (26</w:t>
      </w:r>
      <w:r w:rsidR="0092174F">
        <w:t xml:space="preserve"> per cent</w:t>
      </w:r>
      <w:r>
        <w:t>)</w:t>
      </w:r>
      <w:r w:rsidRPr="00693A7D">
        <w:t xml:space="preserve">. </w:t>
      </w:r>
    </w:p>
    <w:p w:rsidR="003E1042" w:rsidRDefault="005727EC" w:rsidP="00EA62DF">
      <w:r>
        <w:t xml:space="preserve">Any decision to retain the postage stamp tariff </w:t>
      </w:r>
      <w:r w:rsidR="0092174F">
        <w:t>structure</w:t>
      </w:r>
      <w:r>
        <w:t xml:space="preserve"> or to move to a more cost reflective tariff structure will therefore create winners and losers.</w:t>
      </w:r>
      <w:r w:rsidR="00683C48">
        <w:t xml:space="preserve"> </w:t>
      </w:r>
    </w:p>
    <w:p w:rsidR="00CC7EC1" w:rsidRDefault="006B78CB" w:rsidP="00F2602D">
      <w:r>
        <w:t xml:space="preserve">In this case, the movement to </w:t>
      </w:r>
      <w:r w:rsidR="002F000F" w:rsidRPr="0075698B">
        <w:t>part-haul (</w:t>
      </w:r>
      <w:r w:rsidR="00881E6D" w:rsidRPr="0075698B">
        <w:t>zonal</w:t>
      </w:r>
      <w:r w:rsidR="002F000F" w:rsidRPr="0075698B">
        <w:t>)</w:t>
      </w:r>
      <w:r w:rsidR="00881E6D" w:rsidRPr="0075698B">
        <w:t xml:space="preserve"> based tariff</w:t>
      </w:r>
      <w:r>
        <w:t>s</w:t>
      </w:r>
      <w:r w:rsidR="00881E6D" w:rsidRPr="0075698B">
        <w:t xml:space="preserve"> </w:t>
      </w:r>
      <w:r w:rsidR="002F000F" w:rsidRPr="0075698B">
        <w:t>would benefit those users that only need to use the Wallumbilla to Kogan/Dalby section of the pipeline, which includes</w:t>
      </w:r>
      <w:r w:rsidR="00CC7EC1">
        <w:t>:</w:t>
      </w:r>
      <w:r w:rsidR="002F000F" w:rsidRPr="0075698B">
        <w:t xml:space="preserve"> </w:t>
      </w:r>
    </w:p>
    <w:p w:rsidR="00CC7EC1" w:rsidRDefault="002F000F" w:rsidP="00CC7EC1">
      <w:pPr>
        <w:pStyle w:val="AERbulletlistfirststyle"/>
      </w:pPr>
      <w:r w:rsidRPr="0075698B">
        <w:t>the Braemar power station</w:t>
      </w:r>
    </w:p>
    <w:p w:rsidR="00CC7EC1" w:rsidRDefault="006B78CB" w:rsidP="00CC7EC1">
      <w:pPr>
        <w:pStyle w:val="AERbulletlistfirststyle"/>
      </w:pPr>
      <w:r>
        <w:t xml:space="preserve">industrial customers, gas fired generators and other </w:t>
      </w:r>
      <w:r w:rsidR="002F000F" w:rsidRPr="0075698B">
        <w:t>domestic customers located in other areas of Queensland and south eastern Australia that source gas from the Wallumbilla to Kogan region</w:t>
      </w:r>
      <w:r w:rsidR="0075698B" w:rsidRPr="0075698B">
        <w:t xml:space="preserve"> directly or via the Wallumbilla Gas Supply Hub (GSH)</w:t>
      </w:r>
      <w:r w:rsidR="002F000F" w:rsidRPr="0075698B">
        <w:t xml:space="preserve"> </w:t>
      </w:r>
    </w:p>
    <w:p w:rsidR="00CC7EC1" w:rsidRDefault="0075698B" w:rsidP="00CC7EC1">
      <w:pPr>
        <w:pStyle w:val="AERbulletlistfirststyle"/>
      </w:pPr>
      <w:r w:rsidRPr="0075698B">
        <w:t xml:space="preserve">some </w:t>
      </w:r>
      <w:r w:rsidR="002F000F" w:rsidRPr="0075698B">
        <w:t>LNG proponents</w:t>
      </w:r>
      <w:r w:rsidR="003C312C">
        <w:t xml:space="preserve"> who source gas from the </w:t>
      </w:r>
      <w:r w:rsidR="004D05AF">
        <w:t xml:space="preserve">Wallumbilla to Kogan region either directly or indirectly via the GSH. </w:t>
      </w:r>
    </w:p>
    <w:p w:rsidR="00E3109D" w:rsidRDefault="00E3109D" w:rsidP="00E3109D">
      <w:r>
        <w:t xml:space="preserve">From an economic efficiency perspective, part-haul (zonal) tariffs would also: </w:t>
      </w:r>
    </w:p>
    <w:p w:rsidR="00E3109D" w:rsidRDefault="00E3109D" w:rsidP="00EA7E67">
      <w:pPr>
        <w:pStyle w:val="AERbulletlistfirststyle"/>
      </w:pPr>
      <w:r>
        <w:t xml:space="preserve">be </w:t>
      </w:r>
      <w:r w:rsidRPr="0075698B">
        <w:t>more consistent with the efficiency principles embodied in the RPPs</w:t>
      </w:r>
      <w:r>
        <w:t xml:space="preserve"> (i.e. it </w:t>
      </w:r>
      <w:r w:rsidRPr="0075698B">
        <w:t>should provide a better signal of the costs of using pipeline services and promote the efficient use of, investment in, and provision of service</w:t>
      </w:r>
      <w:r>
        <w:t>s)</w:t>
      </w:r>
      <w:r w:rsidRPr="0075698B">
        <w:rPr>
          <w:rStyle w:val="FootnoteReference"/>
        </w:rPr>
        <w:footnoteReference w:id="25"/>
      </w:r>
      <w:r w:rsidRPr="0075698B">
        <w:t xml:space="preserve"> </w:t>
      </w:r>
    </w:p>
    <w:p w:rsidR="00E3109D" w:rsidRPr="0075698B" w:rsidRDefault="00E3109D" w:rsidP="00EA7E67">
      <w:pPr>
        <w:pStyle w:val="AERbulletlistfirststyle"/>
      </w:pPr>
      <w:r w:rsidRPr="0075698B">
        <w:t>promote liquidity in the Wallumbilla Gas Supply Hub (GSH) (consistent with the COAG Energy Council’s reform agenda)</w:t>
      </w:r>
      <w:r>
        <w:t xml:space="preserve"> by reducing the financial barriers to gas produced in the Wallumbilla to Kogan region flowing to the GSH and, in so doing, </w:t>
      </w:r>
      <w:r w:rsidRPr="0075698B">
        <w:t xml:space="preserve">enable gas to be transported to those areas where its value in use is highest. </w:t>
      </w:r>
    </w:p>
    <w:p w:rsidR="00683C48" w:rsidRDefault="00E3109D" w:rsidP="00E31CDF">
      <w:r>
        <w:t xml:space="preserve">While there are a number of efficiency benefits associated with part-haul (zonal) tariffs, </w:t>
      </w:r>
      <w:r w:rsidR="00E31CDF">
        <w:t xml:space="preserve">these </w:t>
      </w:r>
      <w:r w:rsidR="002F000F" w:rsidRPr="0075698B">
        <w:t>benefits must</w:t>
      </w:r>
      <w:r w:rsidR="00CC7EC1">
        <w:t xml:space="preserve"> </w:t>
      </w:r>
      <w:r w:rsidR="002F000F" w:rsidRPr="0075698B">
        <w:t xml:space="preserve">be carefully weighed against the effect that </w:t>
      </w:r>
      <w:r w:rsidR="0075698B" w:rsidRPr="0075698B">
        <w:t xml:space="preserve">a </w:t>
      </w:r>
      <w:r w:rsidR="002F000F" w:rsidRPr="0075698B">
        <w:t xml:space="preserve">movement to </w:t>
      </w:r>
      <w:r w:rsidR="0075698B" w:rsidRPr="0075698B">
        <w:t>this tariff structure</w:t>
      </w:r>
      <w:r w:rsidR="002F000F" w:rsidRPr="0075698B">
        <w:t xml:space="preserve"> could have on industrial customers and other users in the Brisbane region</w:t>
      </w:r>
      <w:r w:rsidR="00E31CDF">
        <w:t xml:space="preserve"> that would be affected by the change</w:t>
      </w:r>
      <w:r w:rsidR="0075698B" w:rsidRPr="0075698B">
        <w:t>, particularly given this is still the main source of demand for the pipeline.</w:t>
      </w:r>
    </w:p>
    <w:p w:rsidR="002E2DA0" w:rsidRDefault="0075698B" w:rsidP="002E2DA0">
      <w:r w:rsidRPr="0075698B">
        <w:t xml:space="preserve">If </w:t>
      </w:r>
      <w:r w:rsidR="00CC7EC1">
        <w:t xml:space="preserve">the pricing pressures </w:t>
      </w:r>
      <w:r w:rsidRPr="0075698B">
        <w:t xml:space="preserve">in the east coast gas market were not as </w:t>
      </w:r>
      <w:r w:rsidR="00CC7EC1">
        <w:t xml:space="preserve">significant </w:t>
      </w:r>
      <w:r w:rsidRPr="0075698B">
        <w:t xml:space="preserve">as they currently are, then we would feel more confident </w:t>
      </w:r>
      <w:r w:rsidR="00263EA6">
        <w:t xml:space="preserve">to move to a part-haul tariff. </w:t>
      </w:r>
      <w:r w:rsidRPr="0075698B">
        <w:t>We are</w:t>
      </w:r>
      <w:r w:rsidR="00E47294">
        <w:t>,</w:t>
      </w:r>
      <w:r w:rsidRPr="0075698B">
        <w:t xml:space="preserve"> however, concerned that increasing transportation charges to Brisbane by </w:t>
      </w:r>
      <w:r w:rsidR="00683C48">
        <w:t xml:space="preserve">a significant margin </w:t>
      </w:r>
      <w:r w:rsidRPr="0075698B">
        <w:t xml:space="preserve">at this point in time </w:t>
      </w:r>
      <w:r w:rsidR="00E31CDF">
        <w:t xml:space="preserve">could place additional financial pressure on some shippers </w:t>
      </w:r>
      <w:r w:rsidR="00E31CDF" w:rsidRPr="006B78CB">
        <w:t>located in the Brisbane region</w:t>
      </w:r>
      <w:r w:rsidR="00E31CDF">
        <w:rPr>
          <w:rStyle w:val="FootnoteReference"/>
        </w:rPr>
        <w:footnoteReference w:id="26"/>
      </w:r>
      <w:r w:rsidR="00E31CDF" w:rsidRPr="006B78CB">
        <w:t xml:space="preserve"> </w:t>
      </w:r>
      <w:r w:rsidR="00E31CDF">
        <w:t xml:space="preserve">and exacerbate what is already a financially challenging environment for many gas users. </w:t>
      </w:r>
      <w:r w:rsidR="00E47294">
        <w:t xml:space="preserve">If this was to </w:t>
      </w:r>
      <w:r w:rsidRPr="0075698B">
        <w:t xml:space="preserve">trigger </w:t>
      </w:r>
      <w:r w:rsidR="00683C48">
        <w:t>further</w:t>
      </w:r>
      <w:r w:rsidR="00683C48" w:rsidRPr="0075698B">
        <w:t xml:space="preserve"> </w:t>
      </w:r>
      <w:r w:rsidR="00E31CDF">
        <w:t>reductions</w:t>
      </w:r>
      <w:r w:rsidR="00683C48">
        <w:t xml:space="preserve"> in </w:t>
      </w:r>
      <w:r w:rsidR="00E47294">
        <w:t xml:space="preserve">the </w:t>
      </w:r>
      <w:r w:rsidRPr="0075698B">
        <w:t>demand</w:t>
      </w:r>
      <w:r w:rsidR="00E47294">
        <w:t xml:space="preserve"> for the services provided by the RBP, then </w:t>
      </w:r>
      <w:r w:rsidR="002E2DA0">
        <w:t xml:space="preserve">it could have </w:t>
      </w:r>
      <w:r w:rsidR="00E47294">
        <w:t xml:space="preserve">longer term consequences for consumers of natural gas </w:t>
      </w:r>
      <w:r w:rsidR="002E2DA0">
        <w:t xml:space="preserve">that continue to be supplied by the pipeline (i.e. because the cost of operating the pipeline will be spread over a smaller demand base) </w:t>
      </w:r>
      <w:r w:rsidR="00E47294">
        <w:t xml:space="preserve">and the efficient use of the pipeline, contrary to the NGO. </w:t>
      </w:r>
    </w:p>
    <w:p w:rsidR="0099472C" w:rsidRPr="002E2DA0" w:rsidRDefault="0099472C" w:rsidP="00CC7EC1">
      <w:r w:rsidRPr="002E2DA0">
        <w:t>Having regard to the matters outlined above and the challenges currently facing the east coast gas market, our draft decision is to allow the postage stamp tariff structure to be retained in the upcom</w:t>
      </w:r>
      <w:r w:rsidR="00263EA6" w:rsidRPr="002E2DA0">
        <w:t xml:space="preserve">ing access arrangement period. </w:t>
      </w:r>
      <w:r w:rsidR="003C312C" w:rsidRPr="002E2DA0">
        <w:t>However, t</w:t>
      </w:r>
      <w:r w:rsidRPr="002E2DA0">
        <w:t xml:space="preserve">his draft decision </w:t>
      </w:r>
      <w:r w:rsidR="00E233A3" w:rsidRPr="002E2DA0">
        <w:t>is finely</w:t>
      </w:r>
      <w:r w:rsidRPr="002E2DA0">
        <w:t xml:space="preserve"> balanced</w:t>
      </w:r>
      <w:r w:rsidR="002E2DA0">
        <w:t xml:space="preserve"> and </w:t>
      </w:r>
      <w:r w:rsidR="00E233A3" w:rsidRPr="00EA7E67">
        <w:t xml:space="preserve">we are interested </w:t>
      </w:r>
      <w:r w:rsidR="002E2DA0">
        <w:t xml:space="preserve">in </w:t>
      </w:r>
      <w:r w:rsidR="00E233A3" w:rsidRPr="00EA7E67">
        <w:t>hear</w:t>
      </w:r>
      <w:r w:rsidR="002E2DA0">
        <w:t xml:space="preserve">ing </w:t>
      </w:r>
      <w:r w:rsidR="00E233A3" w:rsidRPr="002E2DA0">
        <w:t>stakeholders</w:t>
      </w:r>
      <w:r w:rsidR="002E2DA0">
        <w:t>’ views</w:t>
      </w:r>
      <w:r w:rsidR="00E233A3" w:rsidRPr="002E2DA0">
        <w:t xml:space="preserve"> </w:t>
      </w:r>
      <w:r w:rsidR="00E233A3" w:rsidRPr="00EA7E67">
        <w:t xml:space="preserve">on this issue and the </w:t>
      </w:r>
      <w:r w:rsidR="002E2DA0">
        <w:t xml:space="preserve">tariff </w:t>
      </w:r>
      <w:r w:rsidR="00E233A3" w:rsidRPr="00EA7E67">
        <w:t>options set out in</w:t>
      </w:r>
      <w:r w:rsidR="00FF2721">
        <w:t xml:space="preserve"> </w:t>
      </w:r>
      <w:r w:rsidR="00FF2721">
        <w:fldChar w:fldCharType="begin"/>
      </w:r>
      <w:r w:rsidR="00FF2721">
        <w:instrText xml:space="preserve"> REF _Ref485991658 \h </w:instrText>
      </w:r>
      <w:r w:rsidR="00FF2721">
        <w:fldChar w:fldCharType="separate"/>
      </w:r>
      <w:r w:rsidR="00CD1954">
        <w:t xml:space="preserve">Table </w:t>
      </w:r>
      <w:r w:rsidR="00CD1954">
        <w:rPr>
          <w:noProof/>
        </w:rPr>
        <w:t>10</w:t>
      </w:r>
      <w:r w:rsidR="00CD1954">
        <w:noBreakHyphen/>
      </w:r>
      <w:r w:rsidR="00CD1954">
        <w:rPr>
          <w:noProof/>
        </w:rPr>
        <w:t>2</w:t>
      </w:r>
      <w:r w:rsidR="00FF2721">
        <w:fldChar w:fldCharType="end"/>
      </w:r>
      <w:r w:rsidR="00E233A3" w:rsidRPr="00EA7E67">
        <w:t xml:space="preserve"> </w:t>
      </w:r>
      <w:r w:rsidR="00E233A3" w:rsidRPr="002E2DA0">
        <w:t>before we make a final determination.</w:t>
      </w:r>
    </w:p>
    <w:p w:rsidR="00AC0E1B" w:rsidRPr="00DE7E41" w:rsidRDefault="00AC0E1B" w:rsidP="00DE7E41">
      <w:pPr>
        <w:pStyle w:val="Heading5"/>
        <w:keepNext/>
        <w:numPr>
          <w:ilvl w:val="0"/>
          <w:numId w:val="0"/>
        </w:numPr>
        <w:ind w:left="1009" w:hanging="1009"/>
        <w:rPr>
          <w:rStyle w:val="Strong"/>
        </w:rPr>
      </w:pPr>
      <w:r w:rsidRPr="00DE7E41">
        <w:rPr>
          <w:rStyle w:val="Strong"/>
          <w:b/>
          <w:color w:val="auto"/>
        </w:rPr>
        <w:t>Adjustment to tariffs for past calculation error</w:t>
      </w:r>
    </w:p>
    <w:p w:rsidR="00554311" w:rsidRDefault="00554311" w:rsidP="00F2602D">
      <w:r>
        <w:t xml:space="preserve">During the </w:t>
      </w:r>
      <w:r w:rsidR="00AC0E1B">
        <w:t xml:space="preserve">2016–17 </w:t>
      </w:r>
      <w:r>
        <w:t xml:space="preserve">reference tariff variation process </w:t>
      </w:r>
      <w:r w:rsidR="00AC0E1B">
        <w:t>a calculation error</w:t>
      </w:r>
      <w:r>
        <w:t xml:space="preserve"> was made</w:t>
      </w:r>
      <w:r w:rsidR="00AC0E1B">
        <w:t xml:space="preserve">, </w:t>
      </w:r>
      <w:r>
        <w:t xml:space="preserve">which resulted in the </w:t>
      </w:r>
      <w:r w:rsidR="00AC0E1B">
        <w:t>tariff</w:t>
      </w:r>
      <w:r>
        <w:t>s</w:t>
      </w:r>
      <w:r w:rsidR="00AC0E1B">
        <w:t xml:space="preserve"> from the previous year </w:t>
      </w:r>
      <w:r>
        <w:t xml:space="preserve">being </w:t>
      </w:r>
      <w:r w:rsidR="00AC0E1B">
        <w:t xml:space="preserve">adjusted by the </w:t>
      </w:r>
      <w:r>
        <w:t>C</w:t>
      </w:r>
      <w:r w:rsidR="00AC0E1B">
        <w:t xml:space="preserve">onsumer </w:t>
      </w:r>
      <w:r>
        <w:t>P</w:t>
      </w:r>
      <w:r w:rsidR="00AC0E1B">
        <w:t xml:space="preserve">rice </w:t>
      </w:r>
      <w:r>
        <w:t>I</w:t>
      </w:r>
      <w:r w:rsidR="00AC0E1B">
        <w:t xml:space="preserve">ndex </w:t>
      </w:r>
      <w:r>
        <w:t xml:space="preserve">only </w:t>
      </w:r>
      <w:r w:rsidR="00AC0E1B">
        <w:t xml:space="preserve">and not the X factor. This </w:t>
      </w:r>
      <w:r>
        <w:t xml:space="preserve">error </w:t>
      </w:r>
      <w:r w:rsidR="00AC0E1B">
        <w:t xml:space="preserve">resulted in </w:t>
      </w:r>
      <w:r>
        <w:t xml:space="preserve">APTPPL under recovering approximately </w:t>
      </w:r>
      <w:r w:rsidR="00AC0E1B">
        <w:t xml:space="preserve">$1.6 million </w:t>
      </w:r>
      <w:r w:rsidR="009D065A">
        <w:t>in revenue in 2016–</w:t>
      </w:r>
      <w:r>
        <w:t>17</w:t>
      </w:r>
      <w:r w:rsidR="00AC0E1B">
        <w:t xml:space="preserve">. </w:t>
      </w:r>
    </w:p>
    <w:p w:rsidR="009F7A6A" w:rsidRDefault="00AC0E1B" w:rsidP="00F2602D">
      <w:r>
        <w:t>In July 2016</w:t>
      </w:r>
      <w:r w:rsidR="009F7A6A">
        <w:t xml:space="preserve"> APTPPL s</w:t>
      </w:r>
      <w:r>
        <w:t>ought AER permission to adjust its tariffs immediately to correct for this clerical error.</w:t>
      </w:r>
      <w:r w:rsidR="00554311">
        <w:rPr>
          <w:rStyle w:val="FootnoteReference"/>
        </w:rPr>
        <w:footnoteReference w:id="27"/>
      </w:r>
      <w:r>
        <w:t xml:space="preserve"> </w:t>
      </w:r>
      <w:r w:rsidR="009F7A6A">
        <w:t xml:space="preserve">We advised APTPPL that it should seek to account for </w:t>
      </w:r>
      <w:r w:rsidR="00202C7C">
        <w:t xml:space="preserve">this </w:t>
      </w:r>
      <w:r w:rsidR="009F7A6A">
        <w:t>c</w:t>
      </w:r>
      <w:r w:rsidR="00202C7C">
        <w:t>l</w:t>
      </w:r>
      <w:r w:rsidR="009F7A6A">
        <w:t>erical error by adjusting proposed revenue in its proposed 2017–22 access arrangement</w:t>
      </w:r>
      <w:r w:rsidR="00263EA6">
        <w:t>. This was</w:t>
      </w:r>
      <w:r w:rsidR="007F32AE">
        <w:t xml:space="preserve"> </w:t>
      </w:r>
      <w:r w:rsidR="009F7A6A">
        <w:t xml:space="preserve">because the 2012–17 access arrangement only permitted a change to subsequent tariffs once approval was granted. Thus, we considered that 2016–17 tariffs could not be changed. Furthermore, as that regulatory year was already underway, we </w:t>
      </w:r>
      <w:r w:rsidR="007F32AE">
        <w:t xml:space="preserve">considered </w:t>
      </w:r>
      <w:r w:rsidR="009F7A6A">
        <w:t>a better approach was to adjust a future year's tariff to avoid confusi</w:t>
      </w:r>
      <w:r w:rsidR="007F32AE">
        <w:t>ng</w:t>
      </w:r>
      <w:r w:rsidR="009F7A6A">
        <w:t xml:space="preserve"> users.</w:t>
      </w:r>
      <w:r w:rsidR="009F7A6A">
        <w:rPr>
          <w:rStyle w:val="FootnoteReference"/>
        </w:rPr>
        <w:footnoteReference w:id="28"/>
      </w:r>
    </w:p>
    <w:p w:rsidR="009F7A6A" w:rsidRDefault="009F7A6A" w:rsidP="00F2602D">
      <w:r>
        <w:t>We accept that a misc</w:t>
      </w:r>
      <w:r w:rsidR="00202C7C">
        <w:t xml:space="preserve">alculation </w:t>
      </w:r>
      <w:r>
        <w:t xml:space="preserve">did occur during the 2016–17 tariff </w:t>
      </w:r>
      <w:r w:rsidR="007F32AE">
        <w:t xml:space="preserve">variation </w:t>
      </w:r>
      <w:r w:rsidR="00C91822">
        <w:t>process</w:t>
      </w:r>
      <w:r>
        <w:t xml:space="preserve">. We have therefore allocated the under recovered revenue into the </w:t>
      </w:r>
      <w:r w:rsidR="000B4497">
        <w:t>2017–</w:t>
      </w:r>
      <w:r w:rsidR="007F32AE">
        <w:t>18 revenue allowance</w:t>
      </w:r>
      <w:r>
        <w:t xml:space="preserve">. </w:t>
      </w:r>
      <w:r w:rsidR="007F32AE">
        <w:t>Our draft decision on the LTFS reference tariff reflects the effect of this adjustment.</w:t>
      </w:r>
    </w:p>
    <w:p w:rsidR="00C94082" w:rsidRPr="004D481E" w:rsidRDefault="00C94082" w:rsidP="00F2602D">
      <w:pPr>
        <w:rPr>
          <w:rStyle w:val="Strong"/>
        </w:rPr>
      </w:pPr>
      <w:r w:rsidRPr="004D481E">
        <w:rPr>
          <w:rStyle w:val="Strong"/>
        </w:rPr>
        <w:t>Revenue reconciliation factor</w:t>
      </w:r>
    </w:p>
    <w:p w:rsidR="00C94082" w:rsidRDefault="00C94082" w:rsidP="00F2602D">
      <w:r>
        <w:t xml:space="preserve">In APTPPL’s proposal, the LTFS reference tariff multiplied by the forecast demand would reconcile against smoothed revenue in each year of the 2017–22 access arrangement period. To perform the same reconciliation in our draft decision requires the use of a revenue reconciliation factor (RRF). This RRF reflects the combined revenue impact of certain commercial </w:t>
      </w:r>
      <w:r w:rsidR="00275DCF">
        <w:t>i</w:t>
      </w:r>
      <w:r>
        <w:t xml:space="preserve">n confidence </w:t>
      </w:r>
      <w:r w:rsidR="009D065A">
        <w:t>factors not</w:t>
      </w:r>
      <w:r w:rsidR="00E54381">
        <w:t xml:space="preserve"> otherwise described in this public attachment.</w:t>
      </w:r>
      <w:r w:rsidR="00E54381">
        <w:rPr>
          <w:rStyle w:val="FootnoteReference"/>
        </w:rPr>
        <w:footnoteReference w:id="29"/>
      </w:r>
      <w:r w:rsidR="00E54381">
        <w:t xml:space="preserve"> </w:t>
      </w:r>
      <w:r w:rsidR="00FF2721">
        <w:fldChar w:fldCharType="begin"/>
      </w:r>
      <w:r w:rsidR="00FF2721">
        <w:instrText xml:space="preserve"> REF _Ref485991765 \h </w:instrText>
      </w:r>
      <w:r w:rsidR="00FF2721">
        <w:fldChar w:fldCharType="separate"/>
      </w:r>
      <w:r w:rsidR="00CD1954">
        <w:t xml:space="preserve">Table </w:t>
      </w:r>
      <w:r w:rsidR="00CD1954">
        <w:rPr>
          <w:noProof/>
        </w:rPr>
        <w:t>10</w:t>
      </w:r>
      <w:r w:rsidR="00CD1954">
        <w:noBreakHyphen/>
      </w:r>
      <w:r w:rsidR="00CD1954">
        <w:rPr>
          <w:noProof/>
        </w:rPr>
        <w:t>3</w:t>
      </w:r>
      <w:r w:rsidR="00FF2721">
        <w:fldChar w:fldCharType="end"/>
      </w:r>
      <w:r w:rsidR="007E119B">
        <w:t xml:space="preserve"> </w:t>
      </w:r>
      <w:r w:rsidR="00E54381">
        <w:t xml:space="preserve">shows the approved draft decision tariffs, forecast demand and RRF used to derive the smoothed revenue for each year of the 2017–22 access arrangement </w:t>
      </w:r>
      <w:proofErr w:type="gramStart"/>
      <w:r w:rsidR="00E54381">
        <w:t>period</w:t>
      </w:r>
      <w:proofErr w:type="gramEnd"/>
      <w:r w:rsidR="00E54381">
        <w:t>.</w:t>
      </w:r>
    </w:p>
    <w:p w:rsidR="008D7960" w:rsidRDefault="008D7960" w:rsidP="008D7960">
      <w:pPr>
        <w:pStyle w:val="Caption"/>
      </w:pPr>
      <w:bookmarkStart w:id="27" w:name="_Ref485991765"/>
      <w:r>
        <w:t xml:space="preserve">Table </w:t>
      </w:r>
      <w:fldSimple w:instr=" STYLEREF 1 \s ">
        <w:r w:rsidR="00CD1954">
          <w:rPr>
            <w:noProof/>
          </w:rPr>
          <w:t>10</w:t>
        </w:r>
      </w:fldSimple>
      <w:r w:rsidR="009D065A">
        <w:noBreakHyphen/>
      </w:r>
      <w:fldSimple w:instr=" SEQ Table \* ARABIC \s 1 ">
        <w:r w:rsidR="00CD1954">
          <w:rPr>
            <w:noProof/>
          </w:rPr>
          <w:t>3</w:t>
        </w:r>
      </w:fldSimple>
      <w:bookmarkEnd w:id="27"/>
      <w:r>
        <w:t>:</w:t>
      </w:r>
      <w:r>
        <w:tab/>
        <w:t>Reconciliation of revenues, reference tariffs and demand (nominal)</w:t>
      </w:r>
    </w:p>
    <w:tbl>
      <w:tblPr>
        <w:tblStyle w:val="AERtable-numbers"/>
        <w:tblW w:w="0" w:type="auto"/>
        <w:tblLook w:val="04A0" w:firstRow="1" w:lastRow="0" w:firstColumn="1" w:lastColumn="0" w:noHBand="0" w:noVBand="1"/>
      </w:tblPr>
      <w:tblGrid>
        <w:gridCol w:w="3085"/>
        <w:gridCol w:w="1134"/>
        <w:gridCol w:w="1134"/>
        <w:gridCol w:w="1134"/>
        <w:gridCol w:w="1134"/>
        <w:gridCol w:w="1072"/>
      </w:tblGrid>
      <w:tr w:rsidR="00E54381" w:rsidTr="008D79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E54381" w:rsidRDefault="00E54381" w:rsidP="00F2602D"/>
        </w:tc>
        <w:tc>
          <w:tcPr>
            <w:tcW w:w="1134" w:type="dxa"/>
          </w:tcPr>
          <w:p w:rsidR="00E54381" w:rsidRPr="008D7960" w:rsidRDefault="00E54381" w:rsidP="008D7960">
            <w:pPr>
              <w:pStyle w:val="AERtabletextright"/>
              <w:cnfStyle w:val="100000000000" w:firstRow="1" w:lastRow="0" w:firstColumn="0" w:lastColumn="0" w:oddVBand="0" w:evenVBand="0" w:oddHBand="0" w:evenHBand="0" w:firstRowFirstColumn="0" w:firstRowLastColumn="0" w:lastRowFirstColumn="0" w:lastRowLastColumn="0"/>
              <w:rPr>
                <w:rStyle w:val="AERtextsize8"/>
              </w:rPr>
            </w:pPr>
            <w:r w:rsidRPr="008D7960">
              <w:rPr>
                <w:rStyle w:val="AERtextsize8"/>
              </w:rPr>
              <w:t>2017–18</w:t>
            </w:r>
          </w:p>
        </w:tc>
        <w:tc>
          <w:tcPr>
            <w:tcW w:w="1134" w:type="dxa"/>
          </w:tcPr>
          <w:p w:rsidR="00E54381" w:rsidRPr="008D7960" w:rsidRDefault="00E54381" w:rsidP="008D7960">
            <w:pPr>
              <w:pStyle w:val="AERtabletextright"/>
              <w:cnfStyle w:val="100000000000" w:firstRow="1" w:lastRow="0" w:firstColumn="0" w:lastColumn="0" w:oddVBand="0" w:evenVBand="0" w:oddHBand="0" w:evenHBand="0" w:firstRowFirstColumn="0" w:firstRowLastColumn="0" w:lastRowFirstColumn="0" w:lastRowLastColumn="0"/>
              <w:rPr>
                <w:rStyle w:val="AERtextsize8"/>
              </w:rPr>
            </w:pPr>
            <w:r w:rsidRPr="008D7960">
              <w:rPr>
                <w:rStyle w:val="AERtextsize8"/>
              </w:rPr>
              <w:t>2018–19</w:t>
            </w:r>
          </w:p>
        </w:tc>
        <w:tc>
          <w:tcPr>
            <w:tcW w:w="1134" w:type="dxa"/>
          </w:tcPr>
          <w:p w:rsidR="00E54381" w:rsidRPr="008D7960" w:rsidRDefault="00E54381" w:rsidP="008D7960">
            <w:pPr>
              <w:pStyle w:val="AERtabletextright"/>
              <w:cnfStyle w:val="100000000000" w:firstRow="1" w:lastRow="0" w:firstColumn="0" w:lastColumn="0" w:oddVBand="0" w:evenVBand="0" w:oddHBand="0" w:evenHBand="0" w:firstRowFirstColumn="0" w:firstRowLastColumn="0" w:lastRowFirstColumn="0" w:lastRowLastColumn="0"/>
              <w:rPr>
                <w:rStyle w:val="AERtextsize8"/>
              </w:rPr>
            </w:pPr>
            <w:r w:rsidRPr="008D7960">
              <w:rPr>
                <w:rStyle w:val="AERtextsize8"/>
              </w:rPr>
              <w:t>2019–20</w:t>
            </w:r>
          </w:p>
        </w:tc>
        <w:tc>
          <w:tcPr>
            <w:tcW w:w="1134" w:type="dxa"/>
          </w:tcPr>
          <w:p w:rsidR="00E54381" w:rsidRPr="008D7960" w:rsidRDefault="00E54381" w:rsidP="008D7960">
            <w:pPr>
              <w:pStyle w:val="AERtabletextright"/>
              <w:cnfStyle w:val="100000000000" w:firstRow="1" w:lastRow="0" w:firstColumn="0" w:lastColumn="0" w:oddVBand="0" w:evenVBand="0" w:oddHBand="0" w:evenHBand="0" w:firstRowFirstColumn="0" w:firstRowLastColumn="0" w:lastRowFirstColumn="0" w:lastRowLastColumn="0"/>
              <w:rPr>
                <w:rStyle w:val="AERtextsize8"/>
              </w:rPr>
            </w:pPr>
            <w:r w:rsidRPr="008D7960">
              <w:rPr>
                <w:rStyle w:val="AERtextsize8"/>
              </w:rPr>
              <w:t>2020–21</w:t>
            </w:r>
          </w:p>
        </w:tc>
        <w:tc>
          <w:tcPr>
            <w:tcW w:w="1072" w:type="dxa"/>
          </w:tcPr>
          <w:p w:rsidR="00E54381" w:rsidRPr="008D7960" w:rsidRDefault="00E54381" w:rsidP="008D7960">
            <w:pPr>
              <w:pStyle w:val="AERtabletextright"/>
              <w:cnfStyle w:val="100000000000" w:firstRow="1" w:lastRow="0" w:firstColumn="0" w:lastColumn="0" w:oddVBand="0" w:evenVBand="0" w:oddHBand="0" w:evenHBand="0" w:firstRowFirstColumn="0" w:firstRowLastColumn="0" w:lastRowFirstColumn="0" w:lastRowLastColumn="0"/>
              <w:rPr>
                <w:rStyle w:val="AERtextsize8"/>
              </w:rPr>
            </w:pPr>
            <w:r w:rsidRPr="008D7960">
              <w:rPr>
                <w:rStyle w:val="AERtextsize8"/>
              </w:rPr>
              <w:t>2021–22</w:t>
            </w:r>
          </w:p>
        </w:tc>
      </w:tr>
      <w:tr w:rsidR="00E54381" w:rsidTr="008D7960">
        <w:tc>
          <w:tcPr>
            <w:cnfStyle w:val="001000000000" w:firstRow="0" w:lastRow="0" w:firstColumn="1" w:lastColumn="0" w:oddVBand="0" w:evenVBand="0" w:oddHBand="0" w:evenHBand="0" w:firstRowFirstColumn="0" w:firstRowLastColumn="0" w:lastRowFirstColumn="0" w:lastRowLastColumn="0"/>
            <w:tcW w:w="3085" w:type="dxa"/>
          </w:tcPr>
          <w:p w:rsidR="00E54381" w:rsidRDefault="00E54381" w:rsidP="00F2602D">
            <w:r>
              <w:t>LTFS reference tariff ($/GJMDQ/day)</w:t>
            </w:r>
          </w:p>
        </w:tc>
        <w:tc>
          <w:tcPr>
            <w:tcW w:w="1134" w:type="dxa"/>
          </w:tcPr>
          <w:p w:rsidR="00E54381" w:rsidRPr="008D7960" w:rsidRDefault="00E54381" w:rsidP="004D481E">
            <w:pPr>
              <w:pStyle w:val="AERtabletextright"/>
              <w:cnfStyle w:val="000000000000" w:firstRow="0" w:lastRow="0" w:firstColumn="0" w:lastColumn="0" w:oddVBand="0" w:evenVBand="0" w:oddHBand="0" w:evenHBand="0" w:firstRowFirstColumn="0" w:firstRowLastColumn="0" w:lastRowFirstColumn="0" w:lastRowLastColumn="0"/>
              <w:rPr>
                <w:rStyle w:val="AERtextsize8"/>
                <w:rFonts w:eastAsiaTheme="minorHAnsi"/>
                <w:b/>
              </w:rPr>
            </w:pPr>
            <w:r w:rsidRPr="008D7960">
              <w:rPr>
                <w:rStyle w:val="AERtextsize8"/>
              </w:rPr>
              <w:t>0.6843</w:t>
            </w:r>
          </w:p>
        </w:tc>
        <w:tc>
          <w:tcPr>
            <w:tcW w:w="1134" w:type="dxa"/>
          </w:tcPr>
          <w:p w:rsidR="00E54381" w:rsidRPr="008D7960" w:rsidRDefault="00E54381" w:rsidP="004D481E">
            <w:pPr>
              <w:pStyle w:val="AERtabletextright"/>
              <w:cnfStyle w:val="000000000000" w:firstRow="0" w:lastRow="0" w:firstColumn="0" w:lastColumn="0" w:oddVBand="0" w:evenVBand="0" w:oddHBand="0" w:evenHBand="0" w:firstRowFirstColumn="0" w:firstRowLastColumn="0" w:lastRowFirstColumn="0" w:lastRowLastColumn="0"/>
              <w:rPr>
                <w:rStyle w:val="AERtextsize8"/>
                <w:rFonts w:eastAsiaTheme="minorHAnsi"/>
                <w:b/>
              </w:rPr>
            </w:pPr>
            <w:r w:rsidRPr="008D7960">
              <w:rPr>
                <w:rStyle w:val="AERtextsize8"/>
              </w:rPr>
              <w:t>0.7007</w:t>
            </w:r>
          </w:p>
        </w:tc>
        <w:tc>
          <w:tcPr>
            <w:tcW w:w="1134" w:type="dxa"/>
          </w:tcPr>
          <w:p w:rsidR="00E54381" w:rsidRPr="008D7960" w:rsidRDefault="00E54381" w:rsidP="004D481E">
            <w:pPr>
              <w:pStyle w:val="AERtabletextright"/>
              <w:cnfStyle w:val="000000000000" w:firstRow="0" w:lastRow="0" w:firstColumn="0" w:lastColumn="0" w:oddVBand="0" w:evenVBand="0" w:oddHBand="0" w:evenHBand="0" w:firstRowFirstColumn="0" w:firstRowLastColumn="0" w:lastRowFirstColumn="0" w:lastRowLastColumn="0"/>
              <w:rPr>
                <w:rStyle w:val="AERtextsize8"/>
                <w:rFonts w:eastAsiaTheme="minorHAnsi"/>
                <w:b/>
              </w:rPr>
            </w:pPr>
            <w:r w:rsidRPr="008D7960">
              <w:rPr>
                <w:rStyle w:val="AERtextsize8"/>
              </w:rPr>
              <w:t>0.7176</w:t>
            </w:r>
          </w:p>
        </w:tc>
        <w:tc>
          <w:tcPr>
            <w:tcW w:w="1134" w:type="dxa"/>
          </w:tcPr>
          <w:p w:rsidR="00E54381" w:rsidRPr="008D7960" w:rsidRDefault="00E54381" w:rsidP="004D481E">
            <w:pPr>
              <w:pStyle w:val="AERtabletextright"/>
              <w:cnfStyle w:val="000000000000" w:firstRow="0" w:lastRow="0" w:firstColumn="0" w:lastColumn="0" w:oddVBand="0" w:evenVBand="0" w:oddHBand="0" w:evenHBand="0" w:firstRowFirstColumn="0" w:firstRowLastColumn="0" w:lastRowFirstColumn="0" w:lastRowLastColumn="0"/>
              <w:rPr>
                <w:rStyle w:val="AERtextsize8"/>
                <w:rFonts w:eastAsiaTheme="minorHAnsi"/>
                <w:b/>
              </w:rPr>
            </w:pPr>
            <w:r w:rsidRPr="008D7960">
              <w:rPr>
                <w:rStyle w:val="AERtextsize8"/>
              </w:rPr>
              <w:t>0.7131</w:t>
            </w:r>
          </w:p>
        </w:tc>
        <w:tc>
          <w:tcPr>
            <w:tcW w:w="1072" w:type="dxa"/>
          </w:tcPr>
          <w:p w:rsidR="00E54381" w:rsidRPr="008D7960" w:rsidRDefault="00E54381" w:rsidP="004D481E">
            <w:pPr>
              <w:pStyle w:val="AERtabletextright"/>
              <w:cnfStyle w:val="000000000000" w:firstRow="0" w:lastRow="0" w:firstColumn="0" w:lastColumn="0" w:oddVBand="0" w:evenVBand="0" w:oddHBand="0" w:evenHBand="0" w:firstRowFirstColumn="0" w:firstRowLastColumn="0" w:lastRowFirstColumn="0" w:lastRowLastColumn="0"/>
              <w:rPr>
                <w:rStyle w:val="AERtextsize8"/>
                <w:rFonts w:eastAsiaTheme="minorHAnsi"/>
                <w:b/>
              </w:rPr>
            </w:pPr>
            <w:r w:rsidRPr="008D7960">
              <w:rPr>
                <w:rStyle w:val="AERtextsize8"/>
              </w:rPr>
              <w:t>0.6794</w:t>
            </w:r>
          </w:p>
        </w:tc>
      </w:tr>
      <w:tr w:rsidR="00E54381" w:rsidTr="008D79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E54381" w:rsidRDefault="00E54381" w:rsidP="00F2602D">
            <w:r>
              <w:t>Demand forecast (TJMDQ/day)</w:t>
            </w:r>
          </w:p>
        </w:tc>
        <w:tc>
          <w:tcPr>
            <w:tcW w:w="1134" w:type="dxa"/>
          </w:tcPr>
          <w:p w:rsidR="00E54381" w:rsidRPr="004D481E" w:rsidRDefault="00E54381" w:rsidP="004D481E">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4D481E">
              <w:rPr>
                <w:rStyle w:val="AERtextsize8"/>
              </w:rPr>
              <w:t>200</w:t>
            </w:r>
          </w:p>
        </w:tc>
        <w:tc>
          <w:tcPr>
            <w:tcW w:w="1134" w:type="dxa"/>
          </w:tcPr>
          <w:p w:rsidR="00E54381" w:rsidRPr="004D481E" w:rsidRDefault="00E54381" w:rsidP="004D481E">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4D481E">
              <w:rPr>
                <w:rStyle w:val="AERtextsize8"/>
              </w:rPr>
              <w:t>200</w:t>
            </w:r>
          </w:p>
        </w:tc>
        <w:tc>
          <w:tcPr>
            <w:tcW w:w="1134" w:type="dxa"/>
          </w:tcPr>
          <w:p w:rsidR="00E54381" w:rsidRPr="004D481E" w:rsidRDefault="00E54381" w:rsidP="004D481E">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4D481E">
              <w:rPr>
                <w:rStyle w:val="AERtextsize8"/>
              </w:rPr>
              <w:t>200</w:t>
            </w:r>
          </w:p>
        </w:tc>
        <w:tc>
          <w:tcPr>
            <w:tcW w:w="1134" w:type="dxa"/>
          </w:tcPr>
          <w:p w:rsidR="00E54381" w:rsidRPr="004D481E" w:rsidRDefault="00E54381" w:rsidP="004D481E">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4D481E">
              <w:rPr>
                <w:rStyle w:val="AERtextsize8"/>
              </w:rPr>
              <w:t>200</w:t>
            </w:r>
          </w:p>
        </w:tc>
        <w:tc>
          <w:tcPr>
            <w:tcW w:w="1072" w:type="dxa"/>
          </w:tcPr>
          <w:p w:rsidR="00E54381" w:rsidRPr="004D481E" w:rsidRDefault="00E54381" w:rsidP="004D481E">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4D481E">
              <w:rPr>
                <w:rStyle w:val="AERtextsize8"/>
              </w:rPr>
              <w:t>200</w:t>
            </w:r>
          </w:p>
        </w:tc>
      </w:tr>
      <w:tr w:rsidR="00E54381" w:rsidTr="008D7960">
        <w:tc>
          <w:tcPr>
            <w:cnfStyle w:val="001000000000" w:firstRow="0" w:lastRow="0" w:firstColumn="1" w:lastColumn="0" w:oddVBand="0" w:evenVBand="0" w:oddHBand="0" w:evenHBand="0" w:firstRowFirstColumn="0" w:firstRowLastColumn="0" w:lastRowFirstColumn="0" w:lastRowLastColumn="0"/>
            <w:tcW w:w="3085" w:type="dxa"/>
          </w:tcPr>
          <w:p w:rsidR="00E54381" w:rsidRDefault="00E54381" w:rsidP="00F2602D">
            <w:r>
              <w:t>Revenue reconciliation factor (RRF)</w:t>
            </w:r>
            <w:r w:rsidR="00275DCF" w:rsidRPr="00275DCF">
              <w:rPr>
                <w:rStyle w:val="AERsuperscript"/>
              </w:rPr>
              <w:t>a</w:t>
            </w:r>
          </w:p>
        </w:tc>
        <w:tc>
          <w:tcPr>
            <w:tcW w:w="1134" w:type="dxa"/>
          </w:tcPr>
          <w:p w:rsidR="00E54381" w:rsidRPr="004D481E" w:rsidRDefault="00E54381" w:rsidP="004D481E">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4D481E">
              <w:rPr>
                <w:rStyle w:val="AERtextsize8"/>
              </w:rPr>
              <w:t>0.93</w:t>
            </w:r>
          </w:p>
        </w:tc>
        <w:tc>
          <w:tcPr>
            <w:tcW w:w="1134" w:type="dxa"/>
          </w:tcPr>
          <w:p w:rsidR="00E54381" w:rsidRPr="004D481E" w:rsidRDefault="00E54381" w:rsidP="004D481E">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4D481E">
              <w:rPr>
                <w:rStyle w:val="AERtextsize8"/>
              </w:rPr>
              <w:t>0.92</w:t>
            </w:r>
          </w:p>
        </w:tc>
        <w:tc>
          <w:tcPr>
            <w:tcW w:w="1134" w:type="dxa"/>
          </w:tcPr>
          <w:p w:rsidR="00E54381" w:rsidRPr="004D481E" w:rsidRDefault="00E54381" w:rsidP="004D481E">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4D481E">
              <w:rPr>
                <w:rStyle w:val="AERtextsize8"/>
              </w:rPr>
              <w:t>0.92</w:t>
            </w:r>
          </w:p>
        </w:tc>
        <w:tc>
          <w:tcPr>
            <w:tcW w:w="1134" w:type="dxa"/>
          </w:tcPr>
          <w:p w:rsidR="00E54381" w:rsidRPr="004D481E" w:rsidRDefault="00E54381" w:rsidP="004D481E">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4D481E">
              <w:rPr>
                <w:rStyle w:val="AERtextsize8"/>
              </w:rPr>
              <w:t>0.92</w:t>
            </w:r>
          </w:p>
        </w:tc>
        <w:tc>
          <w:tcPr>
            <w:tcW w:w="1072" w:type="dxa"/>
          </w:tcPr>
          <w:p w:rsidR="00E54381" w:rsidRPr="004D481E" w:rsidRDefault="00E54381" w:rsidP="004D481E">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4D481E">
              <w:rPr>
                <w:rStyle w:val="AERtextsize8"/>
              </w:rPr>
              <w:t>0.93</w:t>
            </w:r>
          </w:p>
        </w:tc>
      </w:tr>
      <w:tr w:rsidR="00E54381" w:rsidTr="008D79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E54381" w:rsidRPr="004D481E" w:rsidRDefault="00E54381" w:rsidP="00F2602D">
            <w:pPr>
              <w:spacing w:before="0" w:after="0"/>
              <w:rPr>
                <w:rStyle w:val="Strong"/>
              </w:rPr>
            </w:pPr>
            <w:r w:rsidRPr="004D481E">
              <w:rPr>
                <w:rStyle w:val="Strong"/>
              </w:rPr>
              <w:t>Building block revenue – smoothed ($m)</w:t>
            </w:r>
            <w:r w:rsidR="00275DCF" w:rsidRPr="00275DCF">
              <w:rPr>
                <w:rStyle w:val="AERsuperscript"/>
              </w:rPr>
              <w:t>a</w:t>
            </w:r>
          </w:p>
        </w:tc>
        <w:tc>
          <w:tcPr>
            <w:tcW w:w="1134" w:type="dxa"/>
          </w:tcPr>
          <w:p w:rsidR="00E54381" w:rsidRPr="004D481E" w:rsidRDefault="00E54381" w:rsidP="004D481E">
            <w:pPr>
              <w:pStyle w:val="AERtabletextright"/>
              <w:cnfStyle w:val="000000010000" w:firstRow="0" w:lastRow="0" w:firstColumn="0" w:lastColumn="0" w:oddVBand="0" w:evenVBand="0" w:oddHBand="0" w:evenHBand="1" w:firstRowFirstColumn="0" w:firstRowLastColumn="0" w:lastRowFirstColumn="0" w:lastRowLastColumn="0"/>
              <w:rPr>
                <w:rStyle w:val="AERtextsize8"/>
                <w:b/>
              </w:rPr>
            </w:pPr>
            <w:r w:rsidRPr="004D481E">
              <w:rPr>
                <w:rStyle w:val="AERtextsize8"/>
                <w:b/>
              </w:rPr>
              <w:t>22.93</w:t>
            </w:r>
          </w:p>
        </w:tc>
        <w:tc>
          <w:tcPr>
            <w:tcW w:w="1134" w:type="dxa"/>
          </w:tcPr>
          <w:p w:rsidR="00E54381" w:rsidRPr="004D481E" w:rsidRDefault="00E54381" w:rsidP="004D481E">
            <w:pPr>
              <w:pStyle w:val="AERtabletextright"/>
              <w:cnfStyle w:val="000000010000" w:firstRow="0" w:lastRow="0" w:firstColumn="0" w:lastColumn="0" w:oddVBand="0" w:evenVBand="0" w:oddHBand="0" w:evenHBand="1" w:firstRowFirstColumn="0" w:firstRowLastColumn="0" w:lastRowFirstColumn="0" w:lastRowLastColumn="0"/>
              <w:rPr>
                <w:rStyle w:val="AERtextsize8"/>
                <w:b/>
              </w:rPr>
            </w:pPr>
            <w:r w:rsidRPr="004D481E">
              <w:rPr>
                <w:rStyle w:val="AERtextsize8"/>
                <w:b/>
              </w:rPr>
              <w:t>47.27</w:t>
            </w:r>
          </w:p>
        </w:tc>
        <w:tc>
          <w:tcPr>
            <w:tcW w:w="1134" w:type="dxa"/>
          </w:tcPr>
          <w:p w:rsidR="00E54381" w:rsidRPr="004D481E" w:rsidRDefault="00E54381" w:rsidP="00687C0B">
            <w:pPr>
              <w:pStyle w:val="AERtabletextright"/>
              <w:cnfStyle w:val="000000010000" w:firstRow="0" w:lastRow="0" w:firstColumn="0" w:lastColumn="0" w:oddVBand="0" w:evenVBand="0" w:oddHBand="0" w:evenHBand="1" w:firstRowFirstColumn="0" w:firstRowLastColumn="0" w:lastRowFirstColumn="0" w:lastRowLastColumn="0"/>
              <w:rPr>
                <w:rStyle w:val="AERtextsize8"/>
                <w:b/>
              </w:rPr>
            </w:pPr>
            <w:r w:rsidRPr="004D481E">
              <w:rPr>
                <w:rStyle w:val="AERtextsize8"/>
                <w:b/>
              </w:rPr>
              <w:t>48.</w:t>
            </w:r>
            <w:r w:rsidR="00687C0B">
              <w:rPr>
                <w:rStyle w:val="AERtextsize8"/>
              </w:rPr>
              <w:t>4</w:t>
            </w:r>
            <w:r w:rsidRPr="004D481E">
              <w:rPr>
                <w:rStyle w:val="AERtextsize8"/>
                <w:b/>
              </w:rPr>
              <w:t>6</w:t>
            </w:r>
          </w:p>
        </w:tc>
        <w:tc>
          <w:tcPr>
            <w:tcW w:w="1134" w:type="dxa"/>
          </w:tcPr>
          <w:p w:rsidR="00E54381" w:rsidRPr="004D481E" w:rsidRDefault="00E54381" w:rsidP="004D481E">
            <w:pPr>
              <w:pStyle w:val="AERtabletextright"/>
              <w:cnfStyle w:val="000000010000" w:firstRow="0" w:lastRow="0" w:firstColumn="0" w:lastColumn="0" w:oddVBand="0" w:evenVBand="0" w:oddHBand="0" w:evenHBand="1" w:firstRowFirstColumn="0" w:firstRowLastColumn="0" w:lastRowFirstColumn="0" w:lastRowLastColumn="0"/>
              <w:rPr>
                <w:rStyle w:val="AERtextsize8"/>
                <w:b/>
              </w:rPr>
            </w:pPr>
            <w:r w:rsidRPr="004D481E">
              <w:rPr>
                <w:rStyle w:val="AERtextsize8"/>
                <w:b/>
              </w:rPr>
              <w:t>48.15</w:t>
            </w:r>
          </w:p>
        </w:tc>
        <w:tc>
          <w:tcPr>
            <w:tcW w:w="1072" w:type="dxa"/>
          </w:tcPr>
          <w:p w:rsidR="00E54381" w:rsidRPr="004D481E" w:rsidRDefault="00E54381" w:rsidP="004D481E">
            <w:pPr>
              <w:pStyle w:val="AERtabletextright"/>
              <w:cnfStyle w:val="000000010000" w:firstRow="0" w:lastRow="0" w:firstColumn="0" w:lastColumn="0" w:oddVBand="0" w:evenVBand="0" w:oddHBand="0" w:evenHBand="1" w:firstRowFirstColumn="0" w:firstRowLastColumn="0" w:lastRowFirstColumn="0" w:lastRowLastColumn="0"/>
              <w:rPr>
                <w:rStyle w:val="AERtextsize8"/>
                <w:b/>
              </w:rPr>
            </w:pPr>
            <w:r w:rsidRPr="004D481E">
              <w:rPr>
                <w:rStyle w:val="AERtextsize8"/>
                <w:b/>
              </w:rPr>
              <w:t>46.30</w:t>
            </w:r>
          </w:p>
        </w:tc>
      </w:tr>
    </w:tbl>
    <w:p w:rsidR="00E54381" w:rsidRDefault="008D7960" w:rsidP="004D481E">
      <w:pPr>
        <w:pStyle w:val="AERtablesource"/>
      </w:pPr>
      <w:r>
        <w:t>Source:</w:t>
      </w:r>
      <w:r>
        <w:tab/>
        <w:t>AER analysis</w:t>
      </w:r>
    </w:p>
    <w:p w:rsidR="008D7960" w:rsidRDefault="008D7960" w:rsidP="004D481E">
      <w:pPr>
        <w:pStyle w:val="AERtablesource"/>
      </w:pPr>
      <w:r>
        <w:t>(a)</w:t>
      </w:r>
      <w:r>
        <w:tab/>
        <w:t>The figures shown are for half the financial year reflecting the expected 1 January 2018 commencement of the 2017–22 access arrangement period.</w:t>
      </w:r>
    </w:p>
    <w:p w:rsidR="00C91822" w:rsidRPr="002D62D9" w:rsidRDefault="00C91822" w:rsidP="00C91822">
      <w:pPr>
        <w:pStyle w:val="Heading5"/>
        <w:keepNext/>
        <w:numPr>
          <w:ilvl w:val="0"/>
          <w:numId w:val="0"/>
        </w:numPr>
        <w:ind w:left="1009" w:hanging="1009"/>
        <w:rPr>
          <w:rStyle w:val="Strong"/>
          <w:b/>
          <w:color w:val="auto"/>
        </w:rPr>
      </w:pPr>
      <w:r>
        <w:rPr>
          <w:rStyle w:val="Strong"/>
          <w:b/>
          <w:color w:val="auto"/>
        </w:rPr>
        <w:t xml:space="preserve">Draft decision on the LTFS reference tariff </w:t>
      </w:r>
    </w:p>
    <w:p w:rsidR="00F55EE4" w:rsidRDefault="000B4497" w:rsidP="00F2602D">
      <w:r>
        <w:t xml:space="preserve">In </w:t>
      </w:r>
      <w:r w:rsidR="00FF2721">
        <w:fldChar w:fldCharType="begin"/>
      </w:r>
      <w:r w:rsidR="00FF2721">
        <w:instrText xml:space="preserve"> REF _Ref482098145 \h </w:instrText>
      </w:r>
      <w:r w:rsidR="00FF2721">
        <w:fldChar w:fldCharType="separate"/>
      </w:r>
      <w:r w:rsidR="00CD1954">
        <w:t xml:space="preserve">Table </w:t>
      </w:r>
      <w:r w:rsidR="00CD1954">
        <w:rPr>
          <w:noProof/>
        </w:rPr>
        <w:t>10</w:t>
      </w:r>
      <w:r w:rsidR="00CD1954">
        <w:noBreakHyphen/>
      </w:r>
      <w:r w:rsidR="00CD1954">
        <w:rPr>
          <w:noProof/>
        </w:rPr>
        <w:t>4</w:t>
      </w:r>
      <w:r w:rsidR="00FF2721">
        <w:fldChar w:fldCharType="end"/>
      </w:r>
      <w:r>
        <w:fldChar w:fldCharType="begin"/>
      </w:r>
      <w:r>
        <w:instrText xml:space="preserve"> REF _Ref482098145 \h </w:instrText>
      </w:r>
      <w:r w:rsidR="00CD1954">
        <w:fldChar w:fldCharType="separate"/>
      </w:r>
      <w:r w:rsidR="00CD1954">
        <w:t xml:space="preserve">Table </w:t>
      </w:r>
      <w:r w:rsidR="00CD1954">
        <w:rPr>
          <w:noProof/>
        </w:rPr>
        <w:t>10</w:t>
      </w:r>
      <w:r w:rsidR="00CD1954">
        <w:noBreakHyphen/>
      </w:r>
      <w:r w:rsidR="00CD1954">
        <w:rPr>
          <w:noProof/>
        </w:rPr>
        <w:t>4</w:t>
      </w:r>
      <w:r>
        <w:fldChar w:fldCharType="end"/>
      </w:r>
      <w:r w:rsidR="00C91822">
        <w:t xml:space="preserve"> </w:t>
      </w:r>
      <w:r>
        <w:t>we set</w:t>
      </w:r>
      <w:r w:rsidR="00C91822">
        <w:t xml:space="preserve"> out </w:t>
      </w:r>
      <w:r w:rsidR="009D065A">
        <w:t>the</w:t>
      </w:r>
      <w:r w:rsidR="00C91822">
        <w:t xml:space="preserve"> draft decision on the </w:t>
      </w:r>
      <w:r w:rsidR="00F0068F">
        <w:t xml:space="preserve">starting tariff for the </w:t>
      </w:r>
      <w:r w:rsidR="00C91822">
        <w:t>LTFS.</w:t>
      </w:r>
      <w:r w:rsidR="00F0068F">
        <w:t xml:space="preserve"> </w:t>
      </w:r>
      <w:r w:rsidR="00F55EE4">
        <w:t>It is worth noting that while our draft decision is based on a lower revenue allowance than proposed by APTPPL, our starting tariff is higher than APTPPL’s proposal because:</w:t>
      </w:r>
    </w:p>
    <w:p w:rsidR="00F55EE4" w:rsidRDefault="009D065A" w:rsidP="00F55EE4">
      <w:pPr>
        <w:pStyle w:val="AERbulletlistfirststyle"/>
      </w:pPr>
      <w:r>
        <w:t>o</w:t>
      </w:r>
      <w:r w:rsidR="00F55EE4">
        <w:t xml:space="preserve">ur calculation </w:t>
      </w:r>
      <w:r w:rsidR="008D592F">
        <w:t xml:space="preserve">assumes </w:t>
      </w:r>
      <w:r w:rsidR="003B66A7">
        <w:t xml:space="preserve">the </w:t>
      </w:r>
      <w:r w:rsidR="00F55EE4">
        <w:t>revenue smoothing factor</w:t>
      </w:r>
      <w:r w:rsidR="003B66A7">
        <w:t>s</w:t>
      </w:r>
      <w:r w:rsidR="00F55EE4">
        <w:t xml:space="preserve"> </w:t>
      </w:r>
      <w:r w:rsidR="003B66A7">
        <w:t>set out in the revisions table below</w:t>
      </w:r>
      <w:r w:rsidR="00F55EE4">
        <w:t xml:space="preserve"> rather than the -5 per cent proposed by APTPPL. The use of </w:t>
      </w:r>
      <w:r w:rsidR="003B66A7">
        <w:t>our</w:t>
      </w:r>
      <w:r w:rsidR="00F55EE4">
        <w:t xml:space="preserve"> smoothing factor</w:t>
      </w:r>
      <w:r w:rsidR="003B66A7">
        <w:t>s</w:t>
      </w:r>
      <w:r w:rsidR="00F55EE4">
        <w:t xml:space="preserve"> result in a </w:t>
      </w:r>
      <w:r w:rsidR="003B66A7">
        <w:t xml:space="preserve">smoother price path </w:t>
      </w:r>
      <w:r w:rsidR="00F55EE4">
        <w:t xml:space="preserve">over the period. </w:t>
      </w:r>
    </w:p>
    <w:p w:rsidR="00C91822" w:rsidRDefault="00C91822" w:rsidP="00C91822">
      <w:pPr>
        <w:pStyle w:val="Caption"/>
      </w:pPr>
      <w:bookmarkStart w:id="28" w:name="_Ref482098145"/>
      <w:r>
        <w:t xml:space="preserve">Table </w:t>
      </w:r>
      <w:fldSimple w:instr=" STYLEREF 1 \s ">
        <w:r w:rsidR="00CD1954">
          <w:rPr>
            <w:noProof/>
          </w:rPr>
          <w:t>10</w:t>
        </w:r>
      </w:fldSimple>
      <w:r w:rsidR="009D065A">
        <w:noBreakHyphen/>
      </w:r>
      <w:fldSimple w:instr=" SEQ Table \* ARABIC \s 1 ">
        <w:r w:rsidR="00CD1954">
          <w:rPr>
            <w:noProof/>
          </w:rPr>
          <w:t>4</w:t>
        </w:r>
      </w:fldSimple>
      <w:bookmarkEnd w:id="28"/>
      <w:r>
        <w:rPr>
          <w:noProof/>
        </w:rPr>
        <w:t>:</w:t>
      </w:r>
      <w:r>
        <w:t xml:space="preserve"> LTFS reference tariff </w:t>
      </w:r>
      <w:r w:rsidR="00F0068F">
        <w:t xml:space="preserve">1 July 2017 </w:t>
      </w:r>
      <w:r>
        <w:t>($/GJ of MDQ/day)</w:t>
      </w:r>
    </w:p>
    <w:tbl>
      <w:tblPr>
        <w:tblStyle w:val="AERtable-numbers"/>
        <w:tblW w:w="5000" w:type="pct"/>
        <w:tblLook w:val="04A0" w:firstRow="1" w:lastRow="0" w:firstColumn="1" w:lastColumn="0" w:noHBand="0" w:noVBand="1"/>
      </w:tblPr>
      <w:tblGrid>
        <w:gridCol w:w="6101"/>
        <w:gridCol w:w="2592"/>
      </w:tblGrid>
      <w:tr w:rsidR="00F0068F" w:rsidRPr="002D62D9" w:rsidTr="00F00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dxa"/>
          </w:tcPr>
          <w:p w:rsidR="00F0068F" w:rsidRPr="002D62D9" w:rsidRDefault="00F0068F" w:rsidP="00F0068F">
            <w:pPr>
              <w:pStyle w:val="AERtabletextleft"/>
              <w:keepNext/>
              <w:jc w:val="center"/>
            </w:pPr>
          </w:p>
        </w:tc>
        <w:tc>
          <w:tcPr>
            <w:tcW w:w="1136" w:type="dxa"/>
          </w:tcPr>
          <w:p w:rsidR="00F0068F" w:rsidRPr="002D62D9" w:rsidRDefault="00F0068F" w:rsidP="00F0068F">
            <w:pPr>
              <w:pStyle w:val="AERtabletextleft"/>
              <w:keepNext/>
              <w:jc w:val="center"/>
              <w:cnfStyle w:val="100000000000" w:firstRow="1" w:lastRow="0" w:firstColumn="0" w:lastColumn="0" w:oddVBand="0" w:evenVBand="0" w:oddHBand="0" w:evenHBand="0" w:firstRowFirstColumn="0" w:firstRowLastColumn="0" w:lastRowFirstColumn="0" w:lastRowLastColumn="0"/>
            </w:pPr>
            <w:r w:rsidRPr="002D62D9">
              <w:rPr>
                <w:rFonts w:cs="Arial"/>
                <w:bCs/>
                <w:sz w:val="18"/>
                <w:szCs w:val="18"/>
              </w:rPr>
              <w:t>2017-18</w:t>
            </w:r>
          </w:p>
        </w:tc>
      </w:tr>
      <w:tr w:rsidR="00F0068F" w:rsidTr="00F0068F">
        <w:tc>
          <w:tcPr>
            <w:cnfStyle w:val="001000000000" w:firstRow="0" w:lastRow="0" w:firstColumn="1" w:lastColumn="0" w:oddVBand="0" w:evenVBand="0" w:oddHBand="0" w:evenHBand="0" w:firstRowFirstColumn="0" w:firstRowLastColumn="0" w:lastRowFirstColumn="0" w:lastRowLastColumn="0"/>
            <w:tcW w:w="2674" w:type="dxa"/>
          </w:tcPr>
          <w:p w:rsidR="00F0068F" w:rsidRDefault="00F0068F" w:rsidP="008D592F">
            <w:pPr>
              <w:pStyle w:val="AERtabletextleft"/>
            </w:pPr>
            <w:r>
              <w:t>Wallumbilla to Brisbane</w:t>
            </w:r>
          </w:p>
        </w:tc>
        <w:tc>
          <w:tcPr>
            <w:tcW w:w="1136" w:type="dxa"/>
          </w:tcPr>
          <w:p w:rsidR="00F0068F" w:rsidRDefault="00F0068F" w:rsidP="00CA644A">
            <w:pPr>
              <w:pStyle w:val="AERtabletextleft"/>
              <w:jc w:val="center"/>
              <w:cnfStyle w:val="000000000000" w:firstRow="0" w:lastRow="0" w:firstColumn="0" w:lastColumn="0" w:oddVBand="0" w:evenVBand="0" w:oddHBand="0" w:evenHBand="0" w:firstRowFirstColumn="0" w:firstRowLastColumn="0" w:lastRowFirstColumn="0" w:lastRowLastColumn="0"/>
            </w:pPr>
            <w:r>
              <w:rPr>
                <w:rFonts w:cs="Arial"/>
                <w:sz w:val="18"/>
                <w:szCs w:val="18"/>
              </w:rPr>
              <w:t>$0.</w:t>
            </w:r>
            <w:r w:rsidR="00CA644A">
              <w:rPr>
                <w:rFonts w:cs="Arial"/>
                <w:sz w:val="18"/>
                <w:szCs w:val="18"/>
              </w:rPr>
              <w:t>6843</w:t>
            </w:r>
          </w:p>
        </w:tc>
      </w:tr>
    </w:tbl>
    <w:p w:rsidR="00C320AD" w:rsidRPr="008D592F" w:rsidRDefault="00041141" w:rsidP="008D592F">
      <w:pPr>
        <w:pStyle w:val="Heading3"/>
        <w:keepNext/>
        <w:rPr>
          <w:rStyle w:val="Strong"/>
          <w:b/>
          <w:bCs/>
        </w:rPr>
      </w:pPr>
      <w:bookmarkStart w:id="29" w:name="_Toc486852074"/>
      <w:r w:rsidRPr="008D592F">
        <w:rPr>
          <w:rStyle w:val="Strong"/>
          <w:b/>
          <w:bCs/>
        </w:rPr>
        <w:t xml:space="preserve">Rebateable </w:t>
      </w:r>
      <w:r w:rsidR="00C320AD" w:rsidRPr="008D592F">
        <w:rPr>
          <w:rStyle w:val="Strong"/>
          <w:b/>
          <w:bCs/>
        </w:rPr>
        <w:t>services</w:t>
      </w:r>
      <w:bookmarkEnd w:id="29"/>
      <w:r w:rsidR="00C320AD" w:rsidRPr="008D592F">
        <w:rPr>
          <w:rStyle w:val="Strong"/>
          <w:b/>
          <w:bCs/>
        </w:rPr>
        <w:t xml:space="preserve"> </w:t>
      </w:r>
    </w:p>
    <w:p w:rsidR="00B84E4E" w:rsidRPr="00B84E4E" w:rsidRDefault="005D31FF" w:rsidP="00B84E4E">
      <w:r>
        <w:t xml:space="preserve">As noted in </w:t>
      </w:r>
      <w:r w:rsidR="00795BE7">
        <w:t>A</w:t>
      </w:r>
      <w:r w:rsidR="00660D79">
        <w:t>t</w:t>
      </w:r>
      <w:r w:rsidR="00193F7B">
        <w:t>tachment 1</w:t>
      </w:r>
      <w:r>
        <w:t>,</w:t>
      </w:r>
      <w:r w:rsidR="00193F7B">
        <w:t xml:space="preserve"> </w:t>
      </w:r>
      <w:r>
        <w:t xml:space="preserve">our draft decision is to define </w:t>
      </w:r>
      <w:r w:rsidR="00660D79">
        <w:t>park and loan</w:t>
      </w:r>
      <w:r w:rsidR="00193F7B">
        <w:t xml:space="preserve"> services (firm and interruptible), in-pipe trading services and capacity trading services </w:t>
      </w:r>
      <w:r w:rsidR="00202C7C">
        <w:t xml:space="preserve">as </w:t>
      </w:r>
      <w:r w:rsidR="00193F7B">
        <w:t>rebateable services.</w:t>
      </w:r>
      <w:r w:rsidR="00041141">
        <w:t xml:space="preserve"> </w:t>
      </w:r>
      <w:r w:rsidR="00554311">
        <w:t>R</w:t>
      </w:r>
      <w:r w:rsidR="00B84E4E" w:rsidRPr="00B84E4E">
        <w:t xml:space="preserve">ule 93(3) </w:t>
      </w:r>
      <w:r w:rsidR="00554311">
        <w:t xml:space="preserve">of the NGR </w:t>
      </w:r>
      <w:r w:rsidR="00B84E4E" w:rsidRPr="00B84E4E">
        <w:t>allows us to allocate the costs of providing these services, in whole or part, to the reference services if we are satisfied that:</w:t>
      </w:r>
    </w:p>
    <w:p w:rsidR="00B84E4E" w:rsidRPr="00B84E4E" w:rsidRDefault="00B84E4E" w:rsidP="00041141">
      <w:pPr>
        <w:pStyle w:val="AERbulletlistfirststyle"/>
      </w:pPr>
      <w:r w:rsidRPr="00B84E4E">
        <w:t>the service provider will apply an appropriate portion of the revenue generated from the sale of rebateable services to provide price rebates (or refunds) to the users of reference service</w:t>
      </w:r>
      <w:r w:rsidR="00795BE7">
        <w:t>s</w:t>
      </w:r>
    </w:p>
    <w:p w:rsidR="00B84E4E" w:rsidRPr="00B84E4E" w:rsidRDefault="00B84E4E" w:rsidP="00041141">
      <w:pPr>
        <w:pStyle w:val="AERbulletlistfirststyle"/>
      </w:pPr>
      <w:r w:rsidRPr="00B84E4E">
        <w:t xml:space="preserve">any other conditions determined by the AER are satisfied. </w:t>
      </w:r>
    </w:p>
    <w:p w:rsidR="00795BE7" w:rsidRDefault="00041141" w:rsidP="00F2602D">
      <w:r>
        <w:t xml:space="preserve">This </w:t>
      </w:r>
      <w:r w:rsidR="00B40E56">
        <w:t>requires us to decide</w:t>
      </w:r>
      <w:r w:rsidR="00795BE7">
        <w:t>:</w:t>
      </w:r>
      <w:r>
        <w:t xml:space="preserve"> </w:t>
      </w:r>
    </w:p>
    <w:p w:rsidR="00795BE7" w:rsidRDefault="00041141" w:rsidP="00DE7E41">
      <w:pPr>
        <w:pStyle w:val="ListBullet2"/>
        <w:ind w:left="357" w:hanging="357"/>
      </w:pPr>
      <w:r>
        <w:t xml:space="preserve">what share of the revenue from rebateable services will be rebated to customers, and </w:t>
      </w:r>
    </w:p>
    <w:p w:rsidR="00041141" w:rsidRDefault="00202C7C" w:rsidP="00DE7E41">
      <w:pPr>
        <w:pStyle w:val="ListBullet2"/>
        <w:ind w:left="357" w:hanging="357"/>
      </w:pPr>
      <w:r>
        <w:t xml:space="preserve">the </w:t>
      </w:r>
      <w:r w:rsidR="00041141">
        <w:t xml:space="preserve">mechanism </w:t>
      </w:r>
      <w:r>
        <w:t xml:space="preserve">by which the rebate </w:t>
      </w:r>
      <w:r w:rsidR="00041141">
        <w:t xml:space="preserve">will be </w:t>
      </w:r>
      <w:r>
        <w:t>provided to customers</w:t>
      </w:r>
      <w:r w:rsidR="00041141">
        <w:t>.</w:t>
      </w:r>
    </w:p>
    <w:p w:rsidR="00554311" w:rsidRDefault="00554311" w:rsidP="00DE7E41">
      <w:pPr>
        <w:pStyle w:val="ListBullet2"/>
        <w:numPr>
          <w:ilvl w:val="0"/>
          <w:numId w:val="0"/>
        </w:numPr>
      </w:pPr>
      <w:r>
        <w:t>Our draft decision on these two issues is set out below.</w:t>
      </w:r>
    </w:p>
    <w:p w:rsidR="00202C7C" w:rsidRDefault="00202C7C" w:rsidP="00DE7E41">
      <w:pPr>
        <w:pStyle w:val="Heading4"/>
      </w:pPr>
      <w:r>
        <w:t>Share of revenue to be rebated to customers</w:t>
      </w:r>
    </w:p>
    <w:p w:rsidR="00DD3B8D" w:rsidRDefault="00DD3B8D" w:rsidP="00DD3B8D">
      <w:r>
        <w:t xml:space="preserve">The NGR does not set out any rules that we must apply when determining the share of the revenue that a service provider generates from the provision of rebateable services that is to be returned to customers. However, given a service provider is likely to incur some incremental costs when providing these services, </w:t>
      </w:r>
      <w:r w:rsidR="007F6746">
        <w:t xml:space="preserve">we think </w:t>
      </w:r>
      <w:r>
        <w:t>it is appropriate that it keep some of the revenue</w:t>
      </w:r>
      <w:r w:rsidR="007F6746">
        <w:t xml:space="preserve"> so that it has a reasonable opportunity to recover at least the efficient costs associated with providing the services</w:t>
      </w:r>
      <w:r>
        <w:t xml:space="preserve">. </w:t>
      </w:r>
      <w:r w:rsidR="00706638">
        <w:t xml:space="preserve">We also think it is appropriate to allow service providers to retain a greater share of the revenue where the service is a </w:t>
      </w:r>
      <w:r w:rsidR="007F6746">
        <w:t xml:space="preserve">relatively </w:t>
      </w:r>
      <w:r w:rsidR="00706638">
        <w:t xml:space="preserve">new and innovative service, so that it has an </w:t>
      </w:r>
      <w:r w:rsidR="007F6746">
        <w:t xml:space="preserve">effective </w:t>
      </w:r>
      <w:r w:rsidR="00706638">
        <w:t>incentive to respond to customer needs.</w:t>
      </w:r>
    </w:p>
    <w:p w:rsidR="00440127" w:rsidRDefault="00440127" w:rsidP="00D47E5A">
      <w:r>
        <w:t xml:space="preserve">In the case of </w:t>
      </w:r>
      <w:r w:rsidR="00DD3B8D">
        <w:t xml:space="preserve">new and innovative services, such as in-pipe trading and capacity trading services, </w:t>
      </w:r>
      <w:r>
        <w:t>we are of the view that the 70:30 benefit</w:t>
      </w:r>
      <w:r w:rsidR="00DD3B8D">
        <w:t xml:space="preserve"> sharing ratio </w:t>
      </w:r>
      <w:r>
        <w:t xml:space="preserve">used in the efficiency carryover mechanism </w:t>
      </w:r>
      <w:r w:rsidR="00DD3B8D">
        <w:t xml:space="preserve">provides a </w:t>
      </w:r>
      <w:r>
        <w:t xml:space="preserve">good </w:t>
      </w:r>
      <w:r w:rsidR="007F6746">
        <w:t>basis</w:t>
      </w:r>
      <w:r w:rsidR="00DD3B8D">
        <w:t xml:space="preserve"> for </w:t>
      </w:r>
      <w:r w:rsidR="007F6746">
        <w:t xml:space="preserve">sharing the </w:t>
      </w:r>
      <w:r w:rsidR="00DD3B8D">
        <w:t xml:space="preserve">revenue </w:t>
      </w:r>
      <w:r>
        <w:t>derived from the provision of these services</w:t>
      </w:r>
      <w:r w:rsidR="00DD3B8D">
        <w:t xml:space="preserve">. </w:t>
      </w:r>
      <w:r>
        <w:t xml:space="preserve">Using this sharing ratio, </w:t>
      </w:r>
      <w:r w:rsidR="007F6746">
        <w:t xml:space="preserve">shippers </w:t>
      </w:r>
      <w:r>
        <w:t xml:space="preserve">will </w:t>
      </w:r>
      <w:r w:rsidR="00DD3B8D">
        <w:t>receive 70</w:t>
      </w:r>
      <w:r w:rsidR="007F6746">
        <w:t> </w:t>
      </w:r>
      <w:r w:rsidR="00DD3B8D">
        <w:t xml:space="preserve">per cent of the </w:t>
      </w:r>
      <w:r>
        <w:t>revenue that APTPPL earns from in-pipe trading and capacity trading services and APTPPL will retain the remaining 30 per cent. In our view, this sharing ratio provides a reasonable balance between:</w:t>
      </w:r>
    </w:p>
    <w:p w:rsidR="00440127" w:rsidRDefault="007F6746" w:rsidP="00DE7E41">
      <w:pPr>
        <w:pStyle w:val="AERbulletlistfirststyle"/>
      </w:pPr>
      <w:r>
        <w:t>promoting the efficient use of the pipeline (i.e. by ensuring the prices charged for</w:t>
      </w:r>
      <w:r w:rsidR="00663B43">
        <w:t xml:space="preserve"> reference services </w:t>
      </w:r>
      <w:r>
        <w:t>are relatively cost reflective</w:t>
      </w:r>
      <w:r w:rsidR="00663B43">
        <w:t>),</w:t>
      </w:r>
      <w:r>
        <w:t xml:space="preserve"> and</w:t>
      </w:r>
    </w:p>
    <w:p w:rsidR="00DD3B8D" w:rsidRDefault="007F6746" w:rsidP="00DE7E41">
      <w:pPr>
        <w:pStyle w:val="AERbulletlistfirststyle"/>
      </w:pPr>
      <w:r>
        <w:t xml:space="preserve">promoting innovation and the efficient provision of pipeline services and efficient investment in the pipeline over the longer term (i.e. by rewarding </w:t>
      </w:r>
      <w:r w:rsidR="00440127">
        <w:t xml:space="preserve">APTPPL </w:t>
      </w:r>
      <w:r>
        <w:t>for responding to customer needs)</w:t>
      </w:r>
      <w:r w:rsidR="00DD3B8D">
        <w:t>.</w:t>
      </w:r>
    </w:p>
    <w:p w:rsidR="007F6746" w:rsidRDefault="007F6746" w:rsidP="00DE7E41">
      <w:pPr>
        <w:pStyle w:val="AERbulletlistfirststyle"/>
        <w:numPr>
          <w:ilvl w:val="0"/>
          <w:numId w:val="0"/>
        </w:numPr>
      </w:pPr>
      <w:r>
        <w:t xml:space="preserve">It should also provide APTPPL with a reasonable opportunity to recover the incremental costs </w:t>
      </w:r>
      <w:r w:rsidR="00D47E5A">
        <w:t xml:space="preserve">it incurs when </w:t>
      </w:r>
      <w:r>
        <w:t>providing the</w:t>
      </w:r>
      <w:r w:rsidR="00D47E5A">
        <w:t>se</w:t>
      </w:r>
      <w:r>
        <w:t xml:space="preserve"> services.</w:t>
      </w:r>
      <w:r w:rsidR="00895EF8">
        <w:t xml:space="preserve"> </w:t>
      </w:r>
    </w:p>
    <w:p w:rsidR="00DD3B8D" w:rsidRDefault="007F6746" w:rsidP="00DD3B8D">
      <w:r>
        <w:t xml:space="preserve">For </w:t>
      </w:r>
      <w:r w:rsidR="00DD3B8D" w:rsidRPr="00B21698">
        <w:t>less innovative services</w:t>
      </w:r>
      <w:r w:rsidR="00663B43">
        <w:t xml:space="preserve">, such as </w:t>
      </w:r>
      <w:r w:rsidR="00DD3B8D" w:rsidRPr="00B21698">
        <w:t>park and loan service</w:t>
      </w:r>
      <w:r w:rsidR="00663B43">
        <w:t xml:space="preserve">s, </w:t>
      </w:r>
      <w:r>
        <w:t xml:space="preserve">which </w:t>
      </w:r>
      <w:r w:rsidR="00895EF8">
        <w:t>have been offered by contract carriage pipelines for some time, we are of the v</w:t>
      </w:r>
      <w:r>
        <w:t>i</w:t>
      </w:r>
      <w:r w:rsidR="00895EF8">
        <w:t>e</w:t>
      </w:r>
      <w:r>
        <w:t xml:space="preserve">w that a lower sharing ratio </w:t>
      </w:r>
      <w:r w:rsidR="00895EF8">
        <w:t>is required because there is</w:t>
      </w:r>
      <w:r w:rsidR="00B17DA2">
        <w:t xml:space="preserve"> less</w:t>
      </w:r>
      <w:r w:rsidR="00895EF8">
        <w:t xml:space="preserve"> </w:t>
      </w:r>
      <w:r w:rsidR="00706638">
        <w:t xml:space="preserve">need to reward </w:t>
      </w:r>
      <w:r w:rsidR="00D47E5A">
        <w:t xml:space="preserve">a </w:t>
      </w:r>
      <w:r w:rsidR="00706638">
        <w:t>service provider for innovation</w:t>
      </w:r>
      <w:r w:rsidR="00895EF8">
        <w:t xml:space="preserve">. The service provider must still, however, be given an opportunity to recover any incremental costs it incurs in providing these services. APTPPL has not provided any information in its submission on the incremental costs it incurs in providing park and loan services, so </w:t>
      </w:r>
      <w:r w:rsidR="00D47E5A">
        <w:t xml:space="preserve">for the purposes of the draft decision we have adopted a </w:t>
      </w:r>
      <w:r w:rsidR="00DD3B8D" w:rsidRPr="00B21698">
        <w:t>90</w:t>
      </w:r>
      <w:r w:rsidR="00895EF8">
        <w:t>:10</w:t>
      </w:r>
      <w:r w:rsidR="00DD3B8D" w:rsidRPr="00B21698">
        <w:t xml:space="preserve"> </w:t>
      </w:r>
      <w:r w:rsidR="00895EF8">
        <w:t xml:space="preserve">sharing ratio. </w:t>
      </w:r>
      <w:r w:rsidR="00D47E5A">
        <w:t xml:space="preserve">If APTPPL is able to demonstrate in its response to the draft decision that this sharing ratio would prevent it from recovering its incremental costs, then we will revisit this ratio. For current purposes though, we have assumed that customers will </w:t>
      </w:r>
      <w:r w:rsidR="00895EF8">
        <w:t xml:space="preserve">receive 90 per cent of the revenue that APTPPL earns from park and loan services and </w:t>
      </w:r>
      <w:r w:rsidR="00D47E5A">
        <w:t xml:space="preserve">APTPPL will retain the remaining </w:t>
      </w:r>
      <w:r w:rsidR="00895EF8">
        <w:t xml:space="preserve">10 per cent. </w:t>
      </w:r>
    </w:p>
    <w:p w:rsidR="00DD3B8D" w:rsidRDefault="00D47E5A" w:rsidP="00DD3B8D">
      <w:r>
        <w:t>As noted above, we have not previously had to make a decision about the appropriate sharing ratio to apply to rebateable services. We are therefore interested in hearing from stakeholders</w:t>
      </w:r>
      <w:r w:rsidR="00DD3B8D">
        <w:t xml:space="preserve"> on </w:t>
      </w:r>
      <w:r>
        <w:t xml:space="preserve">the proposed </w:t>
      </w:r>
      <w:r w:rsidR="00DD3B8D">
        <w:t>ratios</w:t>
      </w:r>
      <w:r>
        <w:t xml:space="preserve">. </w:t>
      </w:r>
    </w:p>
    <w:p w:rsidR="00202C7C" w:rsidRDefault="00202C7C" w:rsidP="00DE7E41">
      <w:pPr>
        <w:pStyle w:val="Heading4"/>
      </w:pPr>
      <w:r>
        <w:t>Process for providing rebates to customers</w:t>
      </w:r>
    </w:p>
    <w:p w:rsidR="00041141" w:rsidRPr="00041141" w:rsidRDefault="00334C81" w:rsidP="00041141">
      <w:r>
        <w:t xml:space="preserve">In </w:t>
      </w:r>
      <w:r w:rsidR="00202C7C">
        <w:t xml:space="preserve">a similar manner to the sharing ratio, the NGR do not prescribe the process or mechanism to be used to provide the rebate to customers. </w:t>
      </w:r>
      <w:r>
        <w:t xml:space="preserve">We have </w:t>
      </w:r>
      <w:r w:rsidR="00202C7C">
        <w:t xml:space="preserve">also </w:t>
      </w:r>
      <w:r>
        <w:t>not</w:t>
      </w:r>
      <w:r w:rsidR="00041141" w:rsidRPr="00041141">
        <w:t xml:space="preserve"> previously had occasion to consider what arrangements </w:t>
      </w:r>
      <w:r>
        <w:t>should be put in place to return the relevant portion of revenue to users under</w:t>
      </w:r>
      <w:r w:rsidR="00041141" w:rsidRPr="00041141">
        <w:t xml:space="preserve"> NGR r. 93(3). Other regulators considering this matter have largely adopted the rebate mechanisms put f</w:t>
      </w:r>
      <w:r>
        <w:t>orward by service provider</w:t>
      </w:r>
      <w:r w:rsidR="00DC4E0E">
        <w:t>s</w:t>
      </w:r>
      <w:r>
        <w:t xml:space="preserve"> without needing to engage with the merits of various options.</w:t>
      </w:r>
    </w:p>
    <w:p w:rsidR="00041141" w:rsidRPr="00041141" w:rsidRDefault="00041141" w:rsidP="00041141">
      <w:r w:rsidRPr="00041141">
        <w:t xml:space="preserve">In considering the rebate mechanism, we have been mindful of the possibility of a perverse outcome if there are only a few reference service users to share in the </w:t>
      </w:r>
      <w:r w:rsidR="0038673C">
        <w:t>total amount of revenue to be rebated (the ‘</w:t>
      </w:r>
      <w:r w:rsidRPr="00041141">
        <w:t>rebate pool</w:t>
      </w:r>
      <w:r w:rsidR="0038673C">
        <w:t>’)</w:t>
      </w:r>
      <w:r w:rsidRPr="00041141">
        <w:t xml:space="preserve">. This is a distinct possibility since parties are free to depart from the reference service to negotiate bespoke services aligning with their individual needs. At the extreme, if the users of reference services numbered one or two, the resulting payments from the rebate pool in a given period could conceivably exceed the transportation fees that users would otherwise be liable to pay for that period. We consider </w:t>
      </w:r>
      <w:r w:rsidR="0038673C">
        <w:t xml:space="preserve">this </w:t>
      </w:r>
      <w:r w:rsidRPr="00041141">
        <w:t>outcome would be inappropriate.</w:t>
      </w:r>
    </w:p>
    <w:p w:rsidR="00041141" w:rsidRPr="008D592F" w:rsidRDefault="00041141" w:rsidP="00041141">
      <w:r w:rsidRPr="00041141">
        <w:t xml:space="preserve">We have considered </w:t>
      </w:r>
      <w:r w:rsidR="00202C7C">
        <w:t>a number of</w:t>
      </w:r>
      <w:r w:rsidR="00334C81">
        <w:t xml:space="preserve"> mech</w:t>
      </w:r>
      <w:r w:rsidR="00871212">
        <w:t>anisms to address this</w:t>
      </w:r>
      <w:r w:rsidRPr="00041141">
        <w:t>. One option is to share the rebate</w:t>
      </w:r>
      <w:r w:rsidR="00DC4E0E">
        <w:t xml:space="preserve"> revenue</w:t>
      </w:r>
      <w:r w:rsidRPr="00041141">
        <w:t xml:space="preserve"> between users of</w:t>
      </w:r>
      <w:r w:rsidR="0038673C">
        <w:t xml:space="preserve"> both</w:t>
      </w:r>
      <w:r w:rsidRPr="00041141">
        <w:t xml:space="preserve"> reference services</w:t>
      </w:r>
      <w:r w:rsidR="0038673C">
        <w:t>,</w:t>
      </w:r>
      <w:r w:rsidRPr="00041141">
        <w:t xml:space="preserve"> and </w:t>
      </w:r>
      <w:r w:rsidR="008913A6">
        <w:t xml:space="preserve">gas transportation </w:t>
      </w:r>
      <w:r w:rsidRPr="008D592F">
        <w:t xml:space="preserve">services </w:t>
      </w:r>
      <w:r w:rsidR="008913A6" w:rsidRPr="008D592F">
        <w:t xml:space="preserve">which are in </w:t>
      </w:r>
      <w:r w:rsidRPr="008D592F">
        <w:t>the nature of reference services</w:t>
      </w:r>
      <w:r w:rsidR="00202C7C" w:rsidRPr="008D592F">
        <w:t xml:space="preserve"> (i.e. any firm </w:t>
      </w:r>
      <w:r w:rsidRPr="008D592F">
        <w:t>transportation service</w:t>
      </w:r>
      <w:r w:rsidR="00202C7C" w:rsidRPr="008D592F">
        <w:t xml:space="preserve">). </w:t>
      </w:r>
      <w:r w:rsidRPr="008D592F">
        <w:t xml:space="preserve">This would share the rebate between all shippers </w:t>
      </w:r>
      <w:r w:rsidR="00DD3B8D" w:rsidRPr="008D592F">
        <w:t xml:space="preserve">using firm transportation services </w:t>
      </w:r>
      <w:r w:rsidRPr="008D592F">
        <w:t>in proportion to their usage, diminishing the risk of an inefficient windfall for one or two users.</w:t>
      </w:r>
    </w:p>
    <w:p w:rsidR="00041141" w:rsidRDefault="00334C81" w:rsidP="00F2602D">
      <w:r w:rsidRPr="008D592F">
        <w:t>Another option is to deduct the revenue received</w:t>
      </w:r>
      <w:r w:rsidRPr="00334C81">
        <w:t xml:space="preserve"> from the proposed revenue requirement for the access arrangement, following the period in which the services were sold by APTPPL. This would be the access arrangement for the five year period commencing 1 July 2022. This would involve a five year lag in returning rebateable amounts to customers. As a refinement of this option, the revenues could be calculated each year based on actual revenue received and deducted from the annual revenue requirement, which would reduce reference tariffs each year for all shippers.</w:t>
      </w:r>
    </w:p>
    <w:p w:rsidR="00027F0F" w:rsidRDefault="00DD3B8D" w:rsidP="00334C81">
      <w:r>
        <w:t xml:space="preserve">In our view, both </w:t>
      </w:r>
      <w:r w:rsidR="00334C81" w:rsidRPr="00334C81">
        <w:t>of these options would promote the NGO and are consistent with the RPPs</w:t>
      </w:r>
      <w:r w:rsidR="00DC4E0E">
        <w:t xml:space="preserve"> as </w:t>
      </w:r>
      <w:r w:rsidR="00334C81" w:rsidRPr="00334C81">
        <w:t>they would forestall an arbitrary windfall for a limited number of users. The NGR provides for rebates to reference service users because their tariff – the reference tariff – includes the costs of providing t</w:t>
      </w:r>
      <w:r w:rsidR="004F1CBD">
        <w:t>he rebateable services. U</w:t>
      </w:r>
      <w:r w:rsidR="00334C81" w:rsidRPr="00334C81">
        <w:t xml:space="preserve">sers of the ‘reference-like services’ discussed above are also contributing to the cost base underpinning the reference tariff. We consider this justifies a condition in the mechanism requiring the rebate to a wider class of shippers than merely those using the reference service. </w:t>
      </w:r>
    </w:p>
    <w:p w:rsidR="00334C81" w:rsidRDefault="00334C81" w:rsidP="00334C81">
      <w:r w:rsidRPr="00334C81">
        <w:t>The benefit of the first option is that customers who use the services directly get the rebate and in a more timely way</w:t>
      </w:r>
      <w:r w:rsidR="0048787B">
        <w:t xml:space="preserve"> (i.e. each year of the access arrangement)</w:t>
      </w:r>
      <w:r w:rsidRPr="00334C81">
        <w:t xml:space="preserve">. It also means that customers of the reference services will also receive a rebated amount where the service provider sells a rebateable service. </w:t>
      </w:r>
      <w:r w:rsidR="00DD3B8D">
        <w:t xml:space="preserve">We therefore </w:t>
      </w:r>
      <w:r w:rsidRPr="00334C81">
        <w:t xml:space="preserve">consider this approach the most appropriate mechanism for returning </w:t>
      </w:r>
      <w:r w:rsidR="00DD3B8D">
        <w:t xml:space="preserve">the </w:t>
      </w:r>
      <w:r w:rsidRPr="00334C81">
        <w:t>revenue</w:t>
      </w:r>
      <w:r w:rsidR="00DD3B8D">
        <w:t xml:space="preserve"> derived from rebateable services</w:t>
      </w:r>
      <w:r w:rsidRPr="00334C81">
        <w:t xml:space="preserve"> to customers.</w:t>
      </w:r>
    </w:p>
    <w:p w:rsidR="005A6A22" w:rsidRDefault="00027F0F" w:rsidP="00027F0F">
      <w:r>
        <w:t xml:space="preserve">We also considered a model proposed by APTPPL whereby the rebate 'pool' would be returned to users of the reference service based on the fraction of their reserved capacity over the total reserved capacity of the RBP. </w:t>
      </w:r>
      <w:r w:rsidR="005A6A22">
        <w:t>Under this</w:t>
      </w:r>
      <w:r>
        <w:t xml:space="preserve"> proposal, </w:t>
      </w:r>
      <w:r w:rsidRPr="00027F0F">
        <w:t>if</w:t>
      </w:r>
      <w:r>
        <w:t xml:space="preserve"> the </w:t>
      </w:r>
      <w:r w:rsidR="0038673C">
        <w:t>rebate pool</w:t>
      </w:r>
      <w:r>
        <w:t xml:space="preserve"> is </w:t>
      </w:r>
      <w:r w:rsidRPr="00027F0F">
        <w:t>$1 million</w:t>
      </w:r>
      <w:r>
        <w:t xml:space="preserve"> and</w:t>
      </w:r>
      <w:r w:rsidRPr="00027F0F">
        <w:t xml:space="preserve"> </w:t>
      </w:r>
      <w:r w:rsidR="005A6A22">
        <w:t xml:space="preserve">there are </w:t>
      </w:r>
      <w:r w:rsidR="0038673C">
        <w:t xml:space="preserve">only </w:t>
      </w:r>
      <w:r w:rsidR="005A6A22">
        <w:t>two reference service customers</w:t>
      </w:r>
      <w:r w:rsidR="0038673C">
        <w:t>,</w:t>
      </w:r>
      <w:r w:rsidR="005A6A22">
        <w:t xml:space="preserve"> each </w:t>
      </w:r>
      <w:r w:rsidR="0038673C">
        <w:t>accounting</w:t>
      </w:r>
      <w:r w:rsidR="005A6A22">
        <w:t xml:space="preserve"> for one one-hundredth of the total reserved capacity, then each customer would receive one one-hundredth of the rebate pool (or $10,000) with the balance ($980,000) retained by APTPPL. </w:t>
      </w:r>
    </w:p>
    <w:p w:rsidR="00027F0F" w:rsidRPr="00334C81" w:rsidRDefault="005A6A22" w:rsidP="000C5DE9">
      <w:r>
        <w:t xml:space="preserve">We are not persuaded APTPPL's model is the most appropriate option in light of the NGO and the RPPs. </w:t>
      </w:r>
      <w:r w:rsidR="008913A6">
        <w:t xml:space="preserve">Certainly it would prevent a disproportionate benefit accruing to users of the reference service, but </w:t>
      </w:r>
      <w:r w:rsidR="00FC4542">
        <w:t>it also may result in a</w:t>
      </w:r>
      <w:r w:rsidR="008913A6">
        <w:t xml:space="preserve"> windfall</w:t>
      </w:r>
      <w:r w:rsidR="000C5DE9">
        <w:t xml:space="preserve"> to the service provider</w:t>
      </w:r>
      <w:r w:rsidR="00DD3B8D">
        <w:t xml:space="preserve"> (i.e. because the costs of providing the services have been included in the calculation of the reference services)</w:t>
      </w:r>
      <w:r w:rsidR="008913A6">
        <w:t xml:space="preserve">. </w:t>
      </w:r>
      <w:r w:rsidR="009D0EEA">
        <w:t xml:space="preserve">We agree </w:t>
      </w:r>
      <w:r w:rsidR="000C5DE9">
        <w:t xml:space="preserve">APTPPL </w:t>
      </w:r>
      <w:r w:rsidR="009D0EEA">
        <w:t xml:space="preserve">is </w:t>
      </w:r>
      <w:r w:rsidR="000C5DE9">
        <w:t>entitled to a share of the rebateable revenue</w:t>
      </w:r>
      <w:r w:rsidR="009D0EEA">
        <w:t>, and as discussed above we consider the appropriate quantum is 30 per cent or 10 per cent</w:t>
      </w:r>
      <w:r w:rsidR="009D065A">
        <w:t>,</w:t>
      </w:r>
      <w:r w:rsidR="009D0EEA">
        <w:t xml:space="preserve"> depending on the service.</w:t>
      </w:r>
      <w:r w:rsidR="000C5DE9">
        <w:t xml:space="preserve"> The fact that the costs of rebateable services are factored into reference tariffs makes it appropriate that the rebateable amount is actually returned to users of </w:t>
      </w:r>
      <w:r w:rsidR="00DD3B8D">
        <w:t xml:space="preserve">the </w:t>
      </w:r>
      <w:r w:rsidR="000C5DE9">
        <w:t xml:space="preserve">reference </w:t>
      </w:r>
      <w:r w:rsidR="00DD3B8D">
        <w:t xml:space="preserve">services </w:t>
      </w:r>
      <w:r w:rsidR="000C5DE9">
        <w:t xml:space="preserve">and similar </w:t>
      </w:r>
      <w:r w:rsidR="00DD3B8D">
        <w:t xml:space="preserve">firm transportation </w:t>
      </w:r>
      <w:r w:rsidR="000C5DE9">
        <w:t>services.</w:t>
      </w:r>
    </w:p>
    <w:p w:rsidR="00334C81" w:rsidRPr="00334C81" w:rsidRDefault="00334C81" w:rsidP="00334C81">
      <w:r w:rsidRPr="00334C81">
        <w:t>Those rebates would be in the form of automatic funds transfer to shippers in the following proportions:</w:t>
      </w:r>
    </w:p>
    <w:p w:rsidR="00334C81" w:rsidRPr="00334C81" w:rsidRDefault="00334C81" w:rsidP="00DE7E41">
      <w:pPr>
        <w:pStyle w:val="AERbulletlistfirststyle"/>
      </w:pPr>
      <w:r w:rsidRPr="00334C81">
        <w:t xml:space="preserve">In-pipe trading services—70 per cent of actual revenue earned by APTPPL </w:t>
      </w:r>
      <w:r w:rsidR="00DD3B8D">
        <w:t xml:space="preserve">from the provision of this </w:t>
      </w:r>
      <w:r w:rsidRPr="00334C81">
        <w:t xml:space="preserve">service </w:t>
      </w:r>
      <w:r w:rsidR="00DD3B8D">
        <w:t xml:space="preserve">by </w:t>
      </w:r>
      <w:r w:rsidRPr="00334C81">
        <w:t xml:space="preserve">the </w:t>
      </w:r>
      <w:r w:rsidR="00DD3B8D">
        <w:t>RBP</w:t>
      </w:r>
    </w:p>
    <w:p w:rsidR="00334C81" w:rsidRPr="00334C81" w:rsidRDefault="00334C81" w:rsidP="00DE7E41">
      <w:pPr>
        <w:pStyle w:val="AERbulletlistfirststyle"/>
      </w:pPr>
      <w:r w:rsidRPr="00334C81">
        <w:t xml:space="preserve">Capacity trading services—70 per cent of actual revenue earned by APTPPL </w:t>
      </w:r>
      <w:r w:rsidR="00DD3B8D">
        <w:t xml:space="preserve">from the provision of </w:t>
      </w:r>
      <w:r w:rsidRPr="00334C81">
        <w:t xml:space="preserve">this service </w:t>
      </w:r>
      <w:r w:rsidR="00DD3B8D">
        <w:t xml:space="preserve">by </w:t>
      </w:r>
      <w:r w:rsidRPr="00334C81">
        <w:t xml:space="preserve">the </w:t>
      </w:r>
      <w:r w:rsidR="00DD3B8D">
        <w:t>RBP, and</w:t>
      </w:r>
    </w:p>
    <w:p w:rsidR="00A73391" w:rsidRDefault="009D0EEA">
      <w:pPr>
        <w:pStyle w:val="AERbulletlistfirststyle"/>
        <w:sectPr w:rsidR="00A73391" w:rsidSect="00B757A6">
          <w:headerReference w:type="even" r:id="rId13"/>
          <w:footerReference w:type="even" r:id="rId14"/>
          <w:footerReference w:type="default" r:id="rId15"/>
          <w:headerReference w:type="first" r:id="rId16"/>
          <w:pgSz w:w="11906" w:h="16838" w:code="9"/>
          <w:pgMar w:top="1440" w:right="1700" w:bottom="1582" w:left="1729" w:header="720" w:footer="0" w:gutter="0"/>
          <w:pgNumType w:start="0" w:chapStyle="1"/>
          <w:cols w:space="720"/>
          <w:docGrid w:linePitch="326"/>
        </w:sectPr>
      </w:pPr>
      <w:r>
        <w:t>Park and loan</w:t>
      </w:r>
      <w:r w:rsidR="00334C81" w:rsidRPr="00334C81">
        <w:t xml:space="preserve"> services—90 per cent of actual revenue earned by APTPPL </w:t>
      </w:r>
      <w:r w:rsidR="00DD3B8D">
        <w:t xml:space="preserve">from the provision of this </w:t>
      </w:r>
      <w:r w:rsidR="00334C81" w:rsidRPr="00334C81">
        <w:t xml:space="preserve">service </w:t>
      </w:r>
      <w:r w:rsidR="00DD3B8D">
        <w:t xml:space="preserve">by </w:t>
      </w:r>
      <w:r w:rsidR="00334C81" w:rsidRPr="00334C81">
        <w:t xml:space="preserve">the </w:t>
      </w:r>
      <w:r w:rsidR="00DD3B8D">
        <w:t>RBP</w:t>
      </w:r>
      <w:r w:rsidR="00334C81" w:rsidRPr="00334C81">
        <w:t>.</w:t>
      </w:r>
    </w:p>
    <w:p w:rsidR="00411DD8" w:rsidRDefault="00411DD8" w:rsidP="00411DD8">
      <w:pPr>
        <w:pStyle w:val="Heading2"/>
      </w:pPr>
      <w:bookmarkStart w:id="30" w:name="_Toc486852075"/>
      <w:r>
        <w:t>Revisions</w:t>
      </w:r>
      <w:bookmarkEnd w:id="30"/>
    </w:p>
    <w:p w:rsidR="000048EC" w:rsidRDefault="002855B3" w:rsidP="000048EC">
      <w:r>
        <w:t>We require APTPPL to include the following revisions in its revised access arrangement.</w:t>
      </w:r>
    </w:p>
    <w:tbl>
      <w:tblPr>
        <w:tblStyle w:val="AERtable-numbers"/>
        <w:tblW w:w="5000" w:type="pct"/>
        <w:tblLayout w:type="fixed"/>
        <w:tblLook w:val="04A0" w:firstRow="1" w:lastRow="0" w:firstColumn="1" w:lastColumn="0" w:noHBand="0" w:noVBand="1"/>
      </w:tblPr>
      <w:tblGrid>
        <w:gridCol w:w="959"/>
        <w:gridCol w:w="13073"/>
      </w:tblGrid>
      <w:tr w:rsidR="00A73391" w:rsidRPr="00CA211F" w:rsidTr="00D01E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9" w:type="dxa"/>
            <w:vAlign w:val="top"/>
          </w:tcPr>
          <w:p w:rsidR="00A73391" w:rsidRPr="00DE7E41" w:rsidRDefault="00A73391" w:rsidP="00DE7E41">
            <w:pPr>
              <w:spacing w:before="60" w:after="0"/>
              <w:rPr>
                <w:rFonts w:asciiTheme="majorHAnsi" w:hAnsiTheme="majorHAnsi" w:cstheme="majorHAnsi"/>
                <w:szCs w:val="16"/>
              </w:rPr>
            </w:pPr>
            <w:r w:rsidRPr="00DE7E41">
              <w:rPr>
                <w:rFonts w:asciiTheme="majorHAnsi" w:hAnsiTheme="majorHAnsi" w:cstheme="majorHAnsi"/>
                <w:szCs w:val="16"/>
              </w:rPr>
              <w:t>Clause</w:t>
            </w:r>
          </w:p>
        </w:tc>
        <w:tc>
          <w:tcPr>
            <w:tcW w:w="13073" w:type="dxa"/>
            <w:vAlign w:val="top"/>
          </w:tcPr>
          <w:p w:rsidR="00A73391" w:rsidRPr="00DE7E41" w:rsidRDefault="00A73391" w:rsidP="00DE7E41">
            <w:pPr>
              <w:spacing w:before="60" w:after="0"/>
              <w:jc w:val="left"/>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cstheme="majorHAnsi"/>
                <w:b w:val="0"/>
                <w:color w:val="auto"/>
                <w:szCs w:val="16"/>
                <w:lang w:eastAsia="en-US"/>
              </w:rPr>
            </w:pPr>
            <w:r w:rsidRPr="00DE7E41">
              <w:rPr>
                <w:rFonts w:asciiTheme="majorHAnsi" w:hAnsiTheme="majorHAnsi" w:cstheme="majorHAnsi"/>
                <w:szCs w:val="16"/>
              </w:rPr>
              <w:t>Amendment</w:t>
            </w:r>
          </w:p>
        </w:tc>
      </w:tr>
      <w:tr w:rsidR="00A73391" w:rsidRPr="00CA211F" w:rsidTr="00D01EDD">
        <w:trPr>
          <w:trHeight w:val="83"/>
        </w:trPr>
        <w:tc>
          <w:tcPr>
            <w:cnfStyle w:val="001000000000" w:firstRow="0" w:lastRow="0" w:firstColumn="1" w:lastColumn="0" w:oddVBand="0" w:evenVBand="0" w:oddHBand="0" w:evenHBand="0" w:firstRowFirstColumn="0" w:firstRowLastColumn="0" w:lastRowFirstColumn="0" w:lastRowLastColumn="0"/>
            <w:tcW w:w="14032" w:type="dxa"/>
            <w:gridSpan w:val="2"/>
            <w:vAlign w:val="top"/>
          </w:tcPr>
          <w:p w:rsidR="00A73391" w:rsidRPr="00DE7E41" w:rsidRDefault="00A73391" w:rsidP="00DE7E41">
            <w:pPr>
              <w:spacing w:before="60" w:after="0"/>
              <w:rPr>
                <w:rFonts w:asciiTheme="majorHAnsi" w:hAnsiTheme="majorHAnsi" w:cstheme="majorHAnsi"/>
                <w:b/>
                <w:bCs/>
                <w:szCs w:val="16"/>
              </w:rPr>
            </w:pPr>
            <w:r w:rsidRPr="00DE7E41">
              <w:rPr>
                <w:rFonts w:asciiTheme="majorHAnsi" w:hAnsiTheme="majorHAnsi" w:cstheme="majorHAnsi"/>
                <w:b/>
                <w:bCs/>
                <w:szCs w:val="16"/>
              </w:rPr>
              <w:t>Access Arrangement</w:t>
            </w:r>
          </w:p>
        </w:tc>
      </w:tr>
      <w:tr w:rsidR="00A73391" w:rsidRPr="00CA211F" w:rsidTr="00D01EDD">
        <w:trPr>
          <w:cnfStyle w:val="000000010000" w:firstRow="0" w:lastRow="0" w:firstColumn="0" w:lastColumn="0" w:oddVBand="0" w:evenVBand="0" w:oddHBand="0" w:evenHBand="1"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959" w:type="dxa"/>
            <w:vAlign w:val="top"/>
          </w:tcPr>
          <w:p w:rsidR="00A73391" w:rsidRPr="00DE7E41" w:rsidRDefault="00A73391" w:rsidP="00DE7E41">
            <w:pPr>
              <w:spacing w:before="60" w:after="0"/>
              <w:rPr>
                <w:rFonts w:asciiTheme="majorHAnsi" w:hAnsiTheme="majorHAnsi" w:cstheme="majorHAnsi"/>
                <w:szCs w:val="16"/>
              </w:rPr>
            </w:pPr>
            <w:r w:rsidRPr="00DE7E41">
              <w:rPr>
                <w:rFonts w:asciiTheme="majorHAnsi" w:hAnsiTheme="majorHAnsi" w:cstheme="majorHAnsi"/>
                <w:szCs w:val="16"/>
              </w:rPr>
              <w:t>4.2.1</w:t>
            </w:r>
          </w:p>
        </w:tc>
        <w:tc>
          <w:tcPr>
            <w:tcW w:w="13073" w:type="dxa"/>
            <w:vAlign w:val="top"/>
          </w:tcPr>
          <w:p w:rsidR="00A73391" w:rsidRPr="00DE7E41" w:rsidRDefault="00A73391" w:rsidP="00DE7E41">
            <w:pPr>
              <w:spacing w:before="60" w:after="0"/>
              <w:jc w:val="left"/>
              <w:cnfStyle w:val="000000010000" w:firstRow="0" w:lastRow="0" w:firstColumn="0" w:lastColumn="0" w:oddVBand="0" w:evenVBand="0" w:oddHBand="0" w:evenHBand="1" w:firstRowFirstColumn="0" w:firstRowLastColumn="0" w:lastRowFirstColumn="0" w:lastRowLastColumn="0"/>
              <w:rPr>
                <w:rFonts w:asciiTheme="majorHAnsi" w:eastAsiaTheme="minorHAnsi" w:hAnsiTheme="majorHAnsi" w:cstheme="majorHAnsi"/>
                <w:b/>
                <w:i/>
                <w:szCs w:val="16"/>
                <w:lang w:eastAsia="en-US"/>
              </w:rPr>
            </w:pPr>
            <w:r w:rsidRPr="00DE7E41">
              <w:rPr>
                <w:rFonts w:asciiTheme="majorHAnsi" w:hAnsiTheme="majorHAnsi" w:cstheme="majorHAnsi"/>
                <w:b/>
                <w:i/>
                <w:szCs w:val="16"/>
              </w:rPr>
              <w:t>Reference Services and Tariffs</w:t>
            </w:r>
          </w:p>
          <w:p w:rsidR="00A73391" w:rsidRPr="00DE7E41" w:rsidRDefault="00A73391" w:rsidP="00DE7E41">
            <w:pPr>
              <w:spacing w:before="60" w:after="0"/>
              <w:jc w:val="left"/>
              <w:cnfStyle w:val="000000010000" w:firstRow="0" w:lastRow="0" w:firstColumn="0" w:lastColumn="0" w:oddVBand="0" w:evenVBand="0" w:oddHBand="0" w:evenHBand="1" w:firstRowFirstColumn="0" w:firstRowLastColumn="0" w:lastRowFirstColumn="0" w:lastRowLastColumn="0"/>
              <w:rPr>
                <w:rFonts w:asciiTheme="majorHAnsi" w:eastAsiaTheme="minorHAnsi" w:hAnsiTheme="majorHAnsi" w:cstheme="majorHAnsi"/>
                <w:szCs w:val="16"/>
                <w:lang w:eastAsia="en-US"/>
              </w:rPr>
            </w:pPr>
            <w:r w:rsidRPr="00DE7E41">
              <w:rPr>
                <w:rFonts w:asciiTheme="majorHAnsi" w:hAnsiTheme="majorHAnsi" w:cstheme="majorHAnsi"/>
                <w:szCs w:val="16"/>
              </w:rPr>
              <w:t>(a) The amount payable by the User for the Long Term Firm Service Reference Service is the Long Term Firm Service Charge.</w:t>
            </w:r>
          </w:p>
          <w:p w:rsidR="00A73391" w:rsidRPr="00DE7E41" w:rsidRDefault="00A73391" w:rsidP="00DE7E41">
            <w:pPr>
              <w:spacing w:before="60" w:after="0"/>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trike/>
                <w:szCs w:val="16"/>
              </w:rPr>
            </w:pPr>
            <w:r w:rsidRPr="00DE7E41">
              <w:rPr>
                <w:rFonts w:asciiTheme="majorHAnsi" w:hAnsiTheme="majorHAnsi" w:cstheme="majorHAnsi"/>
                <w:strike/>
                <w:szCs w:val="16"/>
              </w:rPr>
              <w:t>(b) The amount payable by the Uer for the Short Term Firm Service Reference Service is the Short Term Firm Service Charge.</w:t>
            </w:r>
          </w:p>
          <w:p w:rsidR="00A73391" w:rsidRPr="00DE7E41" w:rsidRDefault="00A73391" w:rsidP="00DE7E41">
            <w:pPr>
              <w:spacing w:before="60" w:after="0"/>
              <w:jc w:val="left"/>
              <w:cnfStyle w:val="000000010000" w:firstRow="0" w:lastRow="0" w:firstColumn="0" w:lastColumn="0" w:oddVBand="0" w:evenVBand="0" w:oddHBand="0" w:evenHBand="1" w:firstRowFirstColumn="0" w:firstRowLastColumn="0" w:lastRowFirstColumn="0" w:lastRowLastColumn="0"/>
              <w:rPr>
                <w:rFonts w:asciiTheme="majorHAnsi" w:eastAsiaTheme="minorHAnsi" w:hAnsiTheme="majorHAnsi" w:cstheme="majorHAnsi"/>
                <w:szCs w:val="16"/>
                <w:lang w:eastAsia="en-US"/>
              </w:rPr>
            </w:pPr>
            <w:r w:rsidRPr="00DE7E41">
              <w:rPr>
                <w:rFonts w:asciiTheme="majorHAnsi" w:hAnsiTheme="majorHAnsi" w:cstheme="majorHAnsi"/>
                <w:szCs w:val="16"/>
              </w:rPr>
              <w:t>(</w:t>
            </w:r>
            <w:r w:rsidRPr="00DE7E41">
              <w:rPr>
                <w:rFonts w:asciiTheme="majorHAnsi" w:hAnsiTheme="majorHAnsi" w:cstheme="majorHAnsi"/>
                <w:strike/>
                <w:szCs w:val="16"/>
              </w:rPr>
              <w:t>c</w:t>
            </w:r>
            <w:r w:rsidRPr="00DE7E41">
              <w:rPr>
                <w:rFonts w:asciiTheme="majorHAnsi" w:hAnsiTheme="majorHAnsi" w:cstheme="majorHAnsi"/>
                <w:szCs w:val="16"/>
                <w:u w:val="single"/>
              </w:rPr>
              <w:t>b</w:t>
            </w:r>
            <w:r w:rsidRPr="00DE7E41">
              <w:rPr>
                <w:rFonts w:asciiTheme="majorHAnsi" w:hAnsiTheme="majorHAnsi" w:cstheme="majorHAnsi"/>
                <w:szCs w:val="16"/>
              </w:rPr>
              <w:t>) Users will also pay any Other Tariff Charges applicable.</w:t>
            </w:r>
          </w:p>
        </w:tc>
      </w:tr>
      <w:tr w:rsidR="00A73391" w:rsidRPr="00CA211F" w:rsidTr="00D01EDD">
        <w:trPr>
          <w:trHeight w:val="379"/>
        </w:trPr>
        <w:tc>
          <w:tcPr>
            <w:cnfStyle w:val="001000000000" w:firstRow="0" w:lastRow="0" w:firstColumn="1" w:lastColumn="0" w:oddVBand="0" w:evenVBand="0" w:oddHBand="0" w:evenHBand="0" w:firstRowFirstColumn="0" w:firstRowLastColumn="0" w:lastRowFirstColumn="0" w:lastRowLastColumn="0"/>
            <w:tcW w:w="959" w:type="dxa"/>
            <w:vAlign w:val="top"/>
          </w:tcPr>
          <w:p w:rsidR="00A73391" w:rsidRPr="00DE7E41" w:rsidRDefault="00A73391" w:rsidP="00DE7E41">
            <w:pPr>
              <w:spacing w:before="60" w:after="0"/>
              <w:rPr>
                <w:rFonts w:asciiTheme="majorHAnsi" w:hAnsiTheme="majorHAnsi" w:cstheme="majorHAnsi"/>
                <w:szCs w:val="16"/>
              </w:rPr>
            </w:pPr>
            <w:r w:rsidRPr="00DE7E41">
              <w:rPr>
                <w:rFonts w:asciiTheme="majorHAnsi" w:hAnsiTheme="majorHAnsi" w:cstheme="majorHAnsi"/>
                <w:szCs w:val="16"/>
              </w:rPr>
              <w:t>4.2.2</w:t>
            </w:r>
          </w:p>
        </w:tc>
        <w:tc>
          <w:tcPr>
            <w:tcW w:w="13073" w:type="dxa"/>
            <w:vAlign w:val="top"/>
          </w:tcPr>
          <w:p w:rsidR="00A73391" w:rsidRPr="00DE7E41" w:rsidRDefault="00A73391" w:rsidP="00DE7E41">
            <w:pPr>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strike/>
                <w:szCs w:val="16"/>
              </w:rPr>
            </w:pPr>
            <w:r w:rsidRPr="00DE7E41">
              <w:rPr>
                <w:rFonts w:asciiTheme="majorHAnsi" w:hAnsiTheme="majorHAnsi" w:cstheme="majorHAnsi"/>
                <w:b/>
                <w:i/>
                <w:strike/>
                <w:szCs w:val="16"/>
              </w:rPr>
              <w:t>Short Term Firm Service Charge</w:t>
            </w:r>
          </w:p>
          <w:p w:rsidR="00A73391" w:rsidRPr="00DE7E41" w:rsidRDefault="00A73391" w:rsidP="00DE7E41">
            <w:pPr>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trike/>
                <w:szCs w:val="16"/>
              </w:rPr>
            </w:pPr>
            <w:r w:rsidRPr="00DE7E41">
              <w:rPr>
                <w:rFonts w:asciiTheme="majorHAnsi" w:hAnsiTheme="majorHAnsi" w:cstheme="majorHAnsi"/>
                <w:strike/>
                <w:szCs w:val="16"/>
              </w:rPr>
              <w:t>The Short Term Firm Service Charge for each Day is the product of:</w:t>
            </w:r>
          </w:p>
          <w:p w:rsidR="00A73391" w:rsidRPr="00DE7E41" w:rsidRDefault="00A73391" w:rsidP="00DE7E41">
            <w:pPr>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trike/>
                <w:szCs w:val="16"/>
              </w:rPr>
            </w:pPr>
            <w:r w:rsidRPr="00DE7E41">
              <w:rPr>
                <w:rFonts w:asciiTheme="majorHAnsi" w:hAnsiTheme="majorHAnsi" w:cstheme="majorHAnsi"/>
                <w:strike/>
                <w:szCs w:val="16"/>
              </w:rPr>
              <w:t>(a) the Short Term Firm Reference Tariff; and</w:t>
            </w:r>
            <w:r w:rsidRPr="00DE7E41">
              <w:rPr>
                <w:rFonts w:asciiTheme="majorHAnsi" w:hAnsiTheme="majorHAnsi" w:cstheme="majorHAnsi"/>
                <w:strike/>
                <w:szCs w:val="16"/>
              </w:rPr>
              <w:tab/>
            </w:r>
          </w:p>
          <w:p w:rsidR="00A73391" w:rsidRPr="00DE7E41" w:rsidRDefault="00A73391" w:rsidP="00DE7E41">
            <w:pPr>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trike/>
                <w:szCs w:val="16"/>
              </w:rPr>
            </w:pPr>
            <w:r w:rsidRPr="00DE7E41">
              <w:rPr>
                <w:rFonts w:asciiTheme="majorHAnsi" w:hAnsiTheme="majorHAnsi" w:cstheme="majorHAnsi"/>
                <w:strike/>
                <w:szCs w:val="16"/>
              </w:rPr>
              <w:t>(b) the Firm MDQ (expressed in GJ) specified in the Transportation Agreement.</w:t>
            </w:r>
          </w:p>
          <w:p w:rsidR="00A73391" w:rsidRPr="00DE7E41" w:rsidRDefault="00A73391" w:rsidP="00DE7E41">
            <w:pPr>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szCs w:val="16"/>
                <w:u w:val="single"/>
                <w:lang w:eastAsia="en-US"/>
              </w:rPr>
            </w:pPr>
            <w:r w:rsidRPr="00DE7E41">
              <w:rPr>
                <w:rFonts w:asciiTheme="majorHAnsi" w:hAnsiTheme="majorHAnsi" w:cstheme="majorHAnsi"/>
                <w:szCs w:val="16"/>
                <w:u w:val="single"/>
              </w:rPr>
              <w:t>Not used</w:t>
            </w:r>
          </w:p>
        </w:tc>
      </w:tr>
      <w:tr w:rsidR="00A73391" w:rsidRPr="00CA211F" w:rsidTr="00D01EDD">
        <w:trPr>
          <w:cnfStyle w:val="000000010000" w:firstRow="0" w:lastRow="0" w:firstColumn="0" w:lastColumn="0" w:oddVBand="0" w:evenVBand="0" w:oddHBand="0" w:evenHBand="1"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959" w:type="dxa"/>
            <w:vAlign w:val="top"/>
          </w:tcPr>
          <w:p w:rsidR="00A73391" w:rsidRPr="00DE7E41" w:rsidRDefault="00A73391" w:rsidP="00DE7E41">
            <w:pPr>
              <w:spacing w:before="60" w:after="0"/>
              <w:rPr>
                <w:rFonts w:asciiTheme="majorHAnsi" w:hAnsiTheme="majorHAnsi" w:cstheme="majorHAnsi"/>
                <w:szCs w:val="16"/>
              </w:rPr>
            </w:pPr>
            <w:r w:rsidRPr="00DE7E41">
              <w:rPr>
                <w:rFonts w:asciiTheme="majorHAnsi" w:hAnsiTheme="majorHAnsi" w:cstheme="majorHAnsi"/>
                <w:szCs w:val="16"/>
              </w:rPr>
              <w:t>4.5.1</w:t>
            </w:r>
          </w:p>
        </w:tc>
        <w:tc>
          <w:tcPr>
            <w:tcW w:w="13073" w:type="dxa"/>
            <w:vAlign w:val="top"/>
          </w:tcPr>
          <w:p w:rsidR="00A73391" w:rsidRPr="00DE7E41" w:rsidRDefault="00A73391" w:rsidP="00DE7E41">
            <w:pPr>
              <w:spacing w:before="60" w:after="0"/>
              <w:jc w:val="left"/>
              <w:cnfStyle w:val="000000010000" w:firstRow="0" w:lastRow="0" w:firstColumn="0" w:lastColumn="0" w:oddVBand="0" w:evenVBand="0" w:oddHBand="0" w:evenHBand="1" w:firstRowFirstColumn="0" w:firstRowLastColumn="0" w:lastRowFirstColumn="0" w:lastRowLastColumn="0"/>
              <w:rPr>
                <w:rFonts w:asciiTheme="majorHAnsi" w:eastAsiaTheme="minorHAnsi" w:hAnsiTheme="majorHAnsi" w:cstheme="majorHAnsi"/>
                <w:b/>
                <w:i/>
                <w:szCs w:val="16"/>
                <w:lang w:eastAsia="en-US"/>
              </w:rPr>
            </w:pPr>
            <w:r w:rsidRPr="00DE7E41">
              <w:rPr>
                <w:rFonts w:asciiTheme="majorHAnsi" w:hAnsiTheme="majorHAnsi" w:cstheme="majorHAnsi"/>
                <w:b/>
                <w:i/>
                <w:szCs w:val="16"/>
              </w:rPr>
              <w:t>Annual Reference Tariff adjustment formula mechanism</w:t>
            </w:r>
          </w:p>
          <w:p w:rsidR="00A73391" w:rsidRPr="00DE7E41" w:rsidRDefault="00A73391" w:rsidP="00DE7E41">
            <w:pPr>
              <w:spacing w:before="60" w:after="0"/>
              <w:jc w:val="left"/>
              <w:cnfStyle w:val="000000010000" w:firstRow="0" w:lastRow="0" w:firstColumn="0" w:lastColumn="0" w:oddVBand="0" w:evenVBand="0" w:oddHBand="0" w:evenHBand="1" w:firstRowFirstColumn="0" w:firstRowLastColumn="0" w:lastRowFirstColumn="0" w:lastRowLastColumn="0"/>
              <w:rPr>
                <w:rFonts w:asciiTheme="majorHAnsi" w:eastAsiaTheme="minorHAnsi" w:hAnsiTheme="majorHAnsi" w:cstheme="majorHAnsi"/>
                <w:szCs w:val="16"/>
                <w:lang w:eastAsia="en-US"/>
              </w:rPr>
            </w:pPr>
            <w:r w:rsidRPr="00DE7E41">
              <w:rPr>
                <w:rFonts w:asciiTheme="majorHAnsi" w:hAnsiTheme="majorHAnsi" w:cstheme="majorHAnsi"/>
                <w:szCs w:val="16"/>
              </w:rPr>
              <w:t>The Capacity Tariff for the</w:t>
            </w:r>
            <w:r w:rsidRPr="00DE7E41">
              <w:rPr>
                <w:rFonts w:asciiTheme="majorHAnsi" w:hAnsiTheme="majorHAnsi" w:cstheme="majorHAnsi"/>
                <w:strike/>
                <w:szCs w:val="16"/>
              </w:rPr>
              <w:t xml:space="preserve"> </w:t>
            </w:r>
            <w:r w:rsidR="00CA211F" w:rsidRPr="00DE7E41">
              <w:rPr>
                <w:rFonts w:asciiTheme="majorHAnsi" w:hAnsiTheme="majorHAnsi" w:cstheme="majorHAnsi"/>
                <w:szCs w:val="16"/>
                <w:u w:val="single"/>
              </w:rPr>
              <w:t>Long Term</w:t>
            </w:r>
            <w:r w:rsidR="00CA211F" w:rsidRPr="00DE7E41">
              <w:rPr>
                <w:rFonts w:asciiTheme="majorHAnsi" w:hAnsiTheme="majorHAnsi" w:cstheme="majorHAnsi"/>
                <w:szCs w:val="16"/>
              </w:rPr>
              <w:t xml:space="preserve"> </w:t>
            </w:r>
            <w:r w:rsidRPr="00DE7E41">
              <w:rPr>
                <w:rFonts w:asciiTheme="majorHAnsi" w:hAnsiTheme="majorHAnsi" w:cstheme="majorHAnsi"/>
                <w:szCs w:val="16"/>
              </w:rPr>
              <w:t>Firm Service to apply on 1 July 2018 and on each subsequent 1 July, will be adjusted according to the following formula:</w:t>
            </w:r>
          </w:p>
          <w:p w:rsidR="00A73391" w:rsidRPr="00DE7E41" w:rsidRDefault="00CD1954" w:rsidP="00DE7E41">
            <w:pPr>
              <w:spacing w:before="60" w:after="0"/>
              <w:jc w:val="left"/>
              <w:cnfStyle w:val="000000010000" w:firstRow="0" w:lastRow="0" w:firstColumn="0" w:lastColumn="0" w:oddVBand="0" w:evenVBand="0" w:oddHBand="0" w:evenHBand="1" w:firstRowFirstColumn="0" w:firstRowLastColumn="0" w:lastRowFirstColumn="0" w:lastRowLastColumn="0"/>
              <w:rPr>
                <w:rFonts w:asciiTheme="majorHAnsi" w:eastAsiaTheme="minorHAnsi" w:hAnsiTheme="majorHAnsi" w:cstheme="majorHAnsi"/>
                <w:szCs w:val="16"/>
                <w:lang w:eastAsia="en-US"/>
              </w:rPr>
            </w:pPr>
            <m:oMathPara>
              <m:oMathParaPr>
                <m:jc m:val="left"/>
              </m:oMathParaPr>
              <m:oMath>
                <m:sSub>
                  <m:sSubPr>
                    <m:ctrlPr>
                      <w:rPr>
                        <w:rFonts w:ascii="Cambria Math" w:hAnsi="Cambria Math" w:cstheme="majorHAnsi"/>
                        <w:i/>
                        <w:szCs w:val="16"/>
                      </w:rPr>
                    </m:ctrlPr>
                  </m:sSubPr>
                  <m:e>
                    <m:r>
                      <w:rPr>
                        <w:rFonts w:ascii="Cambria Math" w:hAnsi="Cambria Math" w:cstheme="majorHAnsi"/>
                        <w:szCs w:val="16"/>
                      </w:rPr>
                      <m:t>RT</m:t>
                    </m:r>
                  </m:e>
                  <m:sub>
                    <m:r>
                      <w:rPr>
                        <w:rFonts w:ascii="Cambria Math" w:hAnsi="Cambria Math" w:cstheme="majorHAnsi"/>
                        <w:szCs w:val="16"/>
                      </w:rPr>
                      <m:t>n</m:t>
                    </m:r>
                  </m:sub>
                </m:sSub>
                <m:r>
                  <w:rPr>
                    <w:rFonts w:ascii="Cambria Math" w:hAnsi="Cambria Math" w:cstheme="majorHAnsi"/>
                    <w:szCs w:val="16"/>
                  </w:rPr>
                  <m:t>=</m:t>
                </m:r>
                <m:sSub>
                  <m:sSubPr>
                    <m:ctrlPr>
                      <w:rPr>
                        <w:rFonts w:ascii="Cambria Math" w:hAnsi="Cambria Math" w:cstheme="majorHAnsi"/>
                        <w:i/>
                        <w:szCs w:val="16"/>
                      </w:rPr>
                    </m:ctrlPr>
                  </m:sSubPr>
                  <m:e>
                    <m:r>
                      <w:rPr>
                        <w:rFonts w:ascii="Cambria Math" w:hAnsi="Cambria Math" w:cstheme="majorHAnsi"/>
                        <w:szCs w:val="16"/>
                      </w:rPr>
                      <m:t>RT</m:t>
                    </m:r>
                  </m:e>
                  <m:sub>
                    <m:r>
                      <w:rPr>
                        <w:rFonts w:ascii="Cambria Math" w:hAnsi="Cambria Math" w:cstheme="majorHAnsi"/>
                        <w:szCs w:val="16"/>
                      </w:rPr>
                      <m:t>n-1</m:t>
                    </m:r>
                  </m:sub>
                </m:sSub>
                <m:r>
                  <w:rPr>
                    <w:rFonts w:ascii="Cambria Math" w:hAnsi="Cambria Math" w:cstheme="majorHAnsi"/>
                    <w:szCs w:val="16"/>
                  </w:rPr>
                  <m:t xml:space="preserve">× </m:t>
                </m:r>
                <m:d>
                  <m:dPr>
                    <m:begChr m:val="["/>
                    <m:endChr m:val="]"/>
                    <m:ctrlPr>
                      <w:rPr>
                        <w:rFonts w:ascii="Cambria Math" w:hAnsi="Cambria Math" w:cstheme="majorHAnsi"/>
                        <w:i/>
                        <w:szCs w:val="16"/>
                      </w:rPr>
                    </m:ctrlPr>
                  </m:dPr>
                  <m:e>
                    <m:r>
                      <w:rPr>
                        <w:rFonts w:ascii="Cambria Math" w:hAnsi="Cambria Math" w:cstheme="majorHAnsi"/>
                        <w:szCs w:val="16"/>
                      </w:rPr>
                      <m:t>1+</m:t>
                    </m:r>
                    <m:f>
                      <m:fPr>
                        <m:ctrlPr>
                          <w:rPr>
                            <w:rFonts w:ascii="Cambria Math" w:hAnsi="Cambria Math" w:cstheme="majorHAnsi"/>
                            <w:i/>
                            <w:szCs w:val="16"/>
                          </w:rPr>
                        </m:ctrlPr>
                      </m:fPr>
                      <m:num>
                        <m:sSub>
                          <m:sSubPr>
                            <m:ctrlPr>
                              <w:rPr>
                                <w:rFonts w:ascii="Cambria Math" w:hAnsi="Cambria Math" w:cstheme="majorHAnsi"/>
                                <w:i/>
                                <w:szCs w:val="16"/>
                              </w:rPr>
                            </m:ctrlPr>
                          </m:sSubPr>
                          <m:e>
                            <m:r>
                              <w:rPr>
                                <w:rFonts w:ascii="Cambria Math" w:hAnsi="Cambria Math" w:cstheme="majorHAnsi"/>
                                <w:szCs w:val="16"/>
                              </w:rPr>
                              <m:t>CPI</m:t>
                            </m:r>
                          </m:e>
                          <m:sub>
                            <m:r>
                              <w:rPr>
                                <w:rFonts w:ascii="Cambria Math" w:hAnsi="Cambria Math" w:cstheme="majorHAnsi"/>
                                <w:szCs w:val="16"/>
                              </w:rPr>
                              <m:t>n-1 -</m:t>
                            </m:r>
                          </m:sub>
                        </m:sSub>
                        <m:sSub>
                          <m:sSubPr>
                            <m:ctrlPr>
                              <w:rPr>
                                <w:rFonts w:ascii="Cambria Math" w:hAnsi="Cambria Math" w:cstheme="majorHAnsi"/>
                                <w:i/>
                                <w:szCs w:val="16"/>
                              </w:rPr>
                            </m:ctrlPr>
                          </m:sSubPr>
                          <m:e>
                            <m:r>
                              <w:rPr>
                                <w:rFonts w:ascii="Cambria Math" w:hAnsi="Cambria Math" w:cstheme="majorHAnsi"/>
                                <w:szCs w:val="16"/>
                              </w:rPr>
                              <m:t xml:space="preserve"> CPI</m:t>
                            </m:r>
                          </m:e>
                          <m:sub>
                            <m:r>
                              <w:rPr>
                                <w:rFonts w:ascii="Cambria Math" w:hAnsi="Cambria Math" w:cstheme="majorHAnsi"/>
                                <w:szCs w:val="16"/>
                              </w:rPr>
                              <m:t>n-2</m:t>
                            </m:r>
                          </m:sub>
                        </m:sSub>
                      </m:num>
                      <m:den>
                        <m:sSub>
                          <m:sSubPr>
                            <m:ctrlPr>
                              <w:rPr>
                                <w:rFonts w:ascii="Cambria Math" w:hAnsi="Cambria Math" w:cstheme="majorHAnsi"/>
                                <w:i/>
                                <w:szCs w:val="16"/>
                              </w:rPr>
                            </m:ctrlPr>
                          </m:sSubPr>
                          <m:e>
                            <m:r>
                              <w:rPr>
                                <w:rFonts w:ascii="Cambria Math" w:hAnsi="Cambria Math" w:cstheme="majorHAnsi"/>
                                <w:szCs w:val="16"/>
                              </w:rPr>
                              <m:t>CPI</m:t>
                            </m:r>
                          </m:e>
                          <m:sub>
                            <m:r>
                              <w:rPr>
                                <w:rFonts w:ascii="Cambria Math" w:hAnsi="Cambria Math" w:cstheme="majorHAnsi"/>
                                <w:szCs w:val="16"/>
                              </w:rPr>
                              <m:t>n-2</m:t>
                            </m:r>
                          </m:sub>
                        </m:sSub>
                      </m:den>
                    </m:f>
                  </m:e>
                </m:d>
                <m:r>
                  <w:rPr>
                    <w:rFonts w:ascii="Cambria Math" w:hAnsi="Cambria Math" w:cstheme="majorHAnsi"/>
                    <w:szCs w:val="16"/>
                  </w:rPr>
                  <m:t>×(1-X)</m:t>
                </m:r>
              </m:oMath>
            </m:oMathPara>
          </w:p>
          <w:p w:rsidR="00A73391" w:rsidRPr="00DE7E41" w:rsidRDefault="00A73391" w:rsidP="00DE7E41">
            <w:pPr>
              <w:spacing w:before="60" w:after="0"/>
              <w:jc w:val="left"/>
              <w:cnfStyle w:val="000000010000" w:firstRow="0" w:lastRow="0" w:firstColumn="0" w:lastColumn="0" w:oddVBand="0" w:evenVBand="0" w:oddHBand="0" w:evenHBand="1" w:firstRowFirstColumn="0" w:firstRowLastColumn="0" w:lastRowFirstColumn="0" w:lastRowLastColumn="0"/>
              <w:rPr>
                <w:rFonts w:asciiTheme="majorHAnsi" w:eastAsiaTheme="minorHAnsi" w:hAnsiTheme="majorHAnsi" w:cstheme="majorHAnsi"/>
                <w:szCs w:val="16"/>
                <w:lang w:eastAsia="en-US"/>
              </w:rPr>
            </w:pPr>
            <w:r w:rsidRPr="00DE7E41">
              <w:rPr>
                <w:rFonts w:asciiTheme="majorHAnsi" w:hAnsiTheme="majorHAnsi" w:cstheme="majorHAnsi"/>
                <w:szCs w:val="16"/>
              </w:rPr>
              <w:t>Where:</w:t>
            </w:r>
          </w:p>
          <w:p w:rsidR="00A73391" w:rsidRPr="00DE7E41" w:rsidRDefault="00A73391" w:rsidP="00DE7E41">
            <w:pPr>
              <w:spacing w:before="60" w:after="0"/>
              <w:jc w:val="left"/>
              <w:cnfStyle w:val="000000010000" w:firstRow="0" w:lastRow="0" w:firstColumn="0" w:lastColumn="0" w:oddVBand="0" w:evenVBand="0" w:oddHBand="0" w:evenHBand="1" w:firstRowFirstColumn="0" w:firstRowLastColumn="0" w:lastRowFirstColumn="0" w:lastRowLastColumn="0"/>
              <w:rPr>
                <w:rFonts w:asciiTheme="majorHAnsi" w:eastAsiaTheme="minorHAnsi" w:hAnsiTheme="majorHAnsi" w:cstheme="majorHAnsi"/>
                <w:szCs w:val="16"/>
                <w:lang w:eastAsia="en-US"/>
              </w:rPr>
            </w:pPr>
            <w:r w:rsidRPr="00DE7E41">
              <w:rPr>
                <w:rFonts w:asciiTheme="majorHAnsi" w:hAnsiTheme="majorHAnsi" w:cstheme="majorHAnsi"/>
                <w:szCs w:val="16"/>
              </w:rPr>
              <w:t>RT</w:t>
            </w:r>
            <w:r w:rsidRPr="00E250DF">
              <w:rPr>
                <w:rStyle w:val="AERsubscript"/>
              </w:rPr>
              <w:t>n</w:t>
            </w:r>
            <w:r w:rsidRPr="00DE7E41">
              <w:rPr>
                <w:rFonts w:asciiTheme="majorHAnsi" w:hAnsiTheme="majorHAnsi" w:cstheme="majorHAnsi"/>
                <w:szCs w:val="16"/>
              </w:rPr>
              <w:t xml:space="preserve"> means </w:t>
            </w:r>
            <w:r w:rsidR="00CA211F" w:rsidRPr="00DE7E41">
              <w:rPr>
                <w:rFonts w:asciiTheme="majorHAnsi" w:hAnsiTheme="majorHAnsi" w:cstheme="majorHAnsi"/>
                <w:szCs w:val="16"/>
              </w:rPr>
              <w:t xml:space="preserve">the </w:t>
            </w:r>
            <w:r w:rsidR="00CA211F" w:rsidRPr="00DE7E41">
              <w:rPr>
                <w:rFonts w:asciiTheme="majorHAnsi" w:hAnsiTheme="majorHAnsi" w:cstheme="majorHAnsi"/>
                <w:szCs w:val="16"/>
                <w:u w:val="single"/>
              </w:rPr>
              <w:t>Long Term Firm Service</w:t>
            </w:r>
            <w:r w:rsidR="00CA211F" w:rsidRPr="00DE7E41">
              <w:rPr>
                <w:rFonts w:asciiTheme="majorHAnsi" w:hAnsiTheme="majorHAnsi" w:cstheme="majorHAnsi"/>
                <w:szCs w:val="16"/>
              </w:rPr>
              <w:t xml:space="preserve"> </w:t>
            </w:r>
            <w:r w:rsidRPr="00DE7E41">
              <w:rPr>
                <w:rFonts w:asciiTheme="majorHAnsi" w:hAnsiTheme="majorHAnsi" w:cstheme="majorHAnsi"/>
                <w:strike/>
                <w:szCs w:val="16"/>
              </w:rPr>
              <w:t>Capacity</w:t>
            </w:r>
            <w:r w:rsidR="00CA211F" w:rsidRPr="00DE7E41">
              <w:rPr>
                <w:rFonts w:asciiTheme="majorHAnsi" w:hAnsiTheme="majorHAnsi" w:cstheme="majorHAnsi"/>
                <w:szCs w:val="16"/>
              </w:rPr>
              <w:t xml:space="preserve"> </w:t>
            </w:r>
            <w:r w:rsidRPr="00DE7E41">
              <w:rPr>
                <w:rFonts w:asciiTheme="majorHAnsi" w:hAnsiTheme="majorHAnsi" w:cstheme="majorHAnsi"/>
                <w:szCs w:val="16"/>
              </w:rPr>
              <w:t xml:space="preserve">Tariff in Year n </w:t>
            </w:r>
          </w:p>
          <w:p w:rsidR="00A73391" w:rsidRPr="00DE7E41" w:rsidRDefault="00A73391" w:rsidP="00DE7E41">
            <w:pPr>
              <w:spacing w:before="60" w:after="0"/>
              <w:jc w:val="left"/>
              <w:cnfStyle w:val="000000010000" w:firstRow="0" w:lastRow="0" w:firstColumn="0" w:lastColumn="0" w:oddVBand="0" w:evenVBand="0" w:oddHBand="0" w:evenHBand="1" w:firstRowFirstColumn="0" w:firstRowLastColumn="0" w:lastRowFirstColumn="0" w:lastRowLastColumn="0"/>
              <w:rPr>
                <w:rFonts w:asciiTheme="majorHAnsi" w:eastAsiaTheme="minorHAnsi" w:hAnsiTheme="majorHAnsi" w:cstheme="majorHAnsi"/>
                <w:szCs w:val="16"/>
                <w:lang w:eastAsia="en-US"/>
              </w:rPr>
            </w:pPr>
            <w:r w:rsidRPr="00DE7E41">
              <w:rPr>
                <w:rFonts w:asciiTheme="majorHAnsi" w:hAnsiTheme="majorHAnsi" w:cstheme="majorHAnsi"/>
                <w:szCs w:val="16"/>
              </w:rPr>
              <w:t xml:space="preserve">n means the Year in which the adjusted </w:t>
            </w:r>
            <w:r w:rsidR="00CA211F" w:rsidRPr="00DE7E41">
              <w:rPr>
                <w:rFonts w:asciiTheme="majorHAnsi" w:hAnsiTheme="majorHAnsi" w:cstheme="majorHAnsi"/>
                <w:szCs w:val="16"/>
              </w:rPr>
              <w:t>Long Term Firm Service</w:t>
            </w:r>
            <w:r w:rsidR="00CA211F" w:rsidRPr="00DE7E41">
              <w:rPr>
                <w:rFonts w:asciiTheme="majorHAnsi" w:hAnsiTheme="majorHAnsi" w:cstheme="majorHAnsi"/>
                <w:strike/>
                <w:szCs w:val="16"/>
              </w:rPr>
              <w:t xml:space="preserve"> </w:t>
            </w:r>
            <w:r w:rsidRPr="00DE7E41">
              <w:rPr>
                <w:rFonts w:asciiTheme="majorHAnsi" w:hAnsiTheme="majorHAnsi" w:cstheme="majorHAnsi"/>
                <w:szCs w:val="16"/>
              </w:rPr>
              <w:t>Tariff is to be applied</w:t>
            </w:r>
          </w:p>
          <w:p w:rsidR="00A73391" w:rsidRDefault="00A73391" w:rsidP="00DE7E41">
            <w:pPr>
              <w:spacing w:before="60" w:after="0"/>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r w:rsidRPr="00DE7E41">
              <w:rPr>
                <w:rFonts w:asciiTheme="majorHAnsi" w:hAnsiTheme="majorHAnsi" w:cstheme="majorHAnsi"/>
                <w:szCs w:val="16"/>
              </w:rPr>
              <w:t>RT</w:t>
            </w:r>
            <w:r w:rsidRPr="00E250DF">
              <w:rPr>
                <w:rStyle w:val="AERsubscript"/>
              </w:rPr>
              <w:t xml:space="preserve">n-1 </w:t>
            </w:r>
            <w:r w:rsidRPr="00DE7E41">
              <w:rPr>
                <w:rFonts w:asciiTheme="majorHAnsi" w:hAnsiTheme="majorHAnsi" w:cstheme="majorHAnsi"/>
                <w:szCs w:val="16"/>
              </w:rPr>
              <w:t xml:space="preserve">means the </w:t>
            </w:r>
            <w:r w:rsidRPr="00DE7E41">
              <w:rPr>
                <w:rFonts w:asciiTheme="majorHAnsi" w:hAnsiTheme="majorHAnsi" w:cstheme="majorHAnsi"/>
                <w:strike/>
                <w:szCs w:val="16"/>
              </w:rPr>
              <w:t>Capacity</w:t>
            </w:r>
            <w:r w:rsidRPr="00DE7E41">
              <w:rPr>
                <w:rFonts w:asciiTheme="majorHAnsi" w:hAnsiTheme="majorHAnsi" w:cstheme="majorHAnsi"/>
                <w:szCs w:val="16"/>
              </w:rPr>
              <w:t xml:space="preserve"> </w:t>
            </w:r>
            <w:r w:rsidR="00CA211F" w:rsidRPr="00DE7E41">
              <w:rPr>
                <w:rFonts w:asciiTheme="majorHAnsi" w:hAnsiTheme="majorHAnsi" w:cstheme="majorHAnsi"/>
                <w:szCs w:val="16"/>
                <w:u w:val="single"/>
              </w:rPr>
              <w:t>Long Term Firm Service</w:t>
            </w:r>
            <w:r w:rsidR="00CA211F" w:rsidRPr="00DE7E41">
              <w:rPr>
                <w:rFonts w:asciiTheme="majorHAnsi" w:hAnsiTheme="majorHAnsi" w:cstheme="majorHAnsi"/>
                <w:szCs w:val="16"/>
              </w:rPr>
              <w:t xml:space="preserve"> </w:t>
            </w:r>
            <w:r w:rsidRPr="00DE7E41">
              <w:rPr>
                <w:rFonts w:asciiTheme="majorHAnsi" w:hAnsiTheme="majorHAnsi" w:cstheme="majorHAnsi"/>
                <w:szCs w:val="16"/>
              </w:rPr>
              <w:t xml:space="preserve">Tariff in Year n </w:t>
            </w:r>
            <w:r w:rsidR="00A25F3A">
              <w:rPr>
                <w:rFonts w:asciiTheme="majorHAnsi" w:hAnsiTheme="majorHAnsi" w:cstheme="majorHAnsi"/>
                <w:szCs w:val="16"/>
              </w:rPr>
              <w:t>–</w:t>
            </w:r>
            <w:r w:rsidRPr="00DE7E41">
              <w:rPr>
                <w:rFonts w:asciiTheme="majorHAnsi" w:hAnsiTheme="majorHAnsi" w:cstheme="majorHAnsi"/>
                <w:szCs w:val="16"/>
              </w:rPr>
              <w:t xml:space="preserve"> 1</w:t>
            </w:r>
          </w:p>
          <w:p w:rsidR="00A25F3A" w:rsidRDefault="00A25F3A" w:rsidP="00A25F3A">
            <w:pPr>
              <w:spacing w:before="60" w:after="0"/>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r w:rsidRPr="00A25F3A">
              <w:rPr>
                <w:rFonts w:asciiTheme="majorHAnsi" w:hAnsiTheme="majorHAnsi" w:cstheme="majorHAnsi"/>
                <w:szCs w:val="16"/>
              </w:rPr>
              <w:t>CPI</w:t>
            </w:r>
            <w:r w:rsidRPr="00E250DF">
              <w:rPr>
                <w:rStyle w:val="AERsubscript"/>
              </w:rPr>
              <w:t>n-1</w:t>
            </w:r>
            <w:r w:rsidRPr="00A25F3A">
              <w:rPr>
                <w:rFonts w:asciiTheme="majorHAnsi" w:hAnsiTheme="majorHAnsi" w:cstheme="majorHAnsi"/>
                <w:szCs w:val="16"/>
              </w:rPr>
              <w:t xml:space="preserve"> is the Consumer Pric</w:t>
            </w:r>
            <w:r>
              <w:rPr>
                <w:rFonts w:asciiTheme="majorHAnsi" w:hAnsiTheme="majorHAnsi" w:cstheme="majorHAnsi"/>
                <w:szCs w:val="16"/>
              </w:rPr>
              <w:t xml:space="preserve">e Index </w:t>
            </w:r>
            <w:r w:rsidR="008D4D8E">
              <w:rPr>
                <w:rFonts w:asciiTheme="majorHAnsi" w:hAnsiTheme="majorHAnsi" w:cstheme="majorHAnsi"/>
                <w:szCs w:val="16"/>
              </w:rPr>
              <w:t xml:space="preserve">for the March quarter </w:t>
            </w:r>
            <w:r>
              <w:rPr>
                <w:rFonts w:asciiTheme="majorHAnsi" w:hAnsiTheme="majorHAnsi" w:cstheme="majorHAnsi"/>
                <w:szCs w:val="16"/>
              </w:rPr>
              <w:t>applying in the year n</w:t>
            </w:r>
            <w:r w:rsidR="00E250DF">
              <w:rPr>
                <w:rFonts w:asciiTheme="majorHAnsi" w:hAnsiTheme="majorHAnsi" w:cstheme="majorHAnsi"/>
                <w:szCs w:val="16"/>
              </w:rPr>
              <w:t xml:space="preserve"> </w:t>
            </w:r>
            <w:r w:rsidR="004C56BC">
              <w:rPr>
                <w:rFonts w:asciiTheme="majorHAnsi" w:hAnsiTheme="majorHAnsi" w:cstheme="majorHAnsi"/>
                <w:szCs w:val="16"/>
              </w:rPr>
              <w:t>–</w:t>
            </w:r>
            <w:r w:rsidR="00E250DF">
              <w:rPr>
                <w:rFonts w:asciiTheme="majorHAnsi" w:hAnsiTheme="majorHAnsi" w:cstheme="majorHAnsi"/>
                <w:szCs w:val="16"/>
              </w:rPr>
              <w:t xml:space="preserve"> </w:t>
            </w:r>
            <w:r>
              <w:rPr>
                <w:rFonts w:asciiTheme="majorHAnsi" w:hAnsiTheme="majorHAnsi" w:cstheme="majorHAnsi"/>
                <w:szCs w:val="16"/>
              </w:rPr>
              <w:t>1</w:t>
            </w:r>
            <w:r w:rsidR="004C56BC">
              <w:rPr>
                <w:rFonts w:asciiTheme="majorHAnsi" w:hAnsiTheme="majorHAnsi" w:cstheme="majorHAnsi"/>
                <w:szCs w:val="16"/>
              </w:rPr>
              <w:t xml:space="preserve">. For </w:t>
            </w:r>
            <w:r w:rsidR="00B348B7">
              <w:rPr>
                <w:rFonts w:asciiTheme="majorHAnsi" w:hAnsiTheme="majorHAnsi" w:cstheme="majorHAnsi"/>
                <w:szCs w:val="16"/>
              </w:rPr>
              <w:t>tariffs</w:t>
            </w:r>
            <w:r w:rsidR="004C56BC">
              <w:rPr>
                <w:rFonts w:asciiTheme="majorHAnsi" w:hAnsiTheme="majorHAnsi" w:cstheme="majorHAnsi"/>
                <w:szCs w:val="16"/>
              </w:rPr>
              <w:t xml:space="preserve"> in 2018–19, n-1 is </w:t>
            </w:r>
            <w:r w:rsidR="00B348B7">
              <w:rPr>
                <w:rFonts w:asciiTheme="majorHAnsi" w:hAnsiTheme="majorHAnsi" w:cstheme="majorHAnsi"/>
                <w:szCs w:val="16"/>
              </w:rPr>
              <w:t>March quarter 2018</w:t>
            </w:r>
          </w:p>
          <w:p w:rsidR="00A25F3A" w:rsidRDefault="00A25F3A" w:rsidP="00A25F3A">
            <w:pPr>
              <w:spacing w:before="60" w:after="0"/>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r>
              <w:rPr>
                <w:rFonts w:asciiTheme="majorHAnsi" w:hAnsiTheme="majorHAnsi" w:cstheme="majorHAnsi"/>
                <w:szCs w:val="16"/>
              </w:rPr>
              <w:t>CPI</w:t>
            </w:r>
            <w:r w:rsidRPr="00E250DF">
              <w:rPr>
                <w:rStyle w:val="AERsubscript"/>
              </w:rPr>
              <w:t>n-2</w:t>
            </w:r>
            <w:r>
              <w:rPr>
                <w:rFonts w:asciiTheme="majorHAnsi" w:hAnsiTheme="majorHAnsi" w:cstheme="majorHAnsi"/>
                <w:szCs w:val="16"/>
              </w:rPr>
              <w:t xml:space="preserve"> is the Consumer Price Index applying</w:t>
            </w:r>
            <w:r w:rsidR="008D4D8E">
              <w:rPr>
                <w:rFonts w:asciiTheme="majorHAnsi" w:hAnsiTheme="majorHAnsi" w:cstheme="majorHAnsi"/>
                <w:szCs w:val="16"/>
              </w:rPr>
              <w:t xml:space="preserve"> for the March quarter</w:t>
            </w:r>
            <w:r>
              <w:rPr>
                <w:rFonts w:asciiTheme="majorHAnsi" w:hAnsiTheme="majorHAnsi" w:cstheme="majorHAnsi"/>
                <w:szCs w:val="16"/>
              </w:rPr>
              <w:t xml:space="preserve"> in year n</w:t>
            </w:r>
            <w:r w:rsidR="00E250DF">
              <w:rPr>
                <w:rFonts w:asciiTheme="majorHAnsi" w:hAnsiTheme="majorHAnsi" w:cstheme="majorHAnsi"/>
                <w:szCs w:val="16"/>
              </w:rPr>
              <w:t xml:space="preserve"> </w:t>
            </w:r>
            <w:r w:rsidR="00B348B7">
              <w:rPr>
                <w:rFonts w:asciiTheme="majorHAnsi" w:hAnsiTheme="majorHAnsi" w:cstheme="majorHAnsi"/>
                <w:szCs w:val="16"/>
              </w:rPr>
              <w:t>–</w:t>
            </w:r>
            <w:r w:rsidR="00E250DF">
              <w:rPr>
                <w:rFonts w:asciiTheme="majorHAnsi" w:hAnsiTheme="majorHAnsi" w:cstheme="majorHAnsi"/>
                <w:szCs w:val="16"/>
              </w:rPr>
              <w:t xml:space="preserve"> </w:t>
            </w:r>
            <w:r>
              <w:rPr>
                <w:rFonts w:asciiTheme="majorHAnsi" w:hAnsiTheme="majorHAnsi" w:cstheme="majorHAnsi"/>
                <w:szCs w:val="16"/>
              </w:rPr>
              <w:t>2</w:t>
            </w:r>
            <w:r w:rsidR="00B348B7">
              <w:rPr>
                <w:rFonts w:asciiTheme="majorHAnsi" w:hAnsiTheme="majorHAnsi" w:cstheme="majorHAnsi"/>
                <w:szCs w:val="16"/>
              </w:rPr>
              <w:t>. For tariffs in 2018–19, n-2 is March quarter 2017.</w:t>
            </w:r>
          </w:p>
          <w:p w:rsidR="00A25F3A" w:rsidRPr="00DE7E41" w:rsidRDefault="00A25F3A" w:rsidP="00A25F3A">
            <w:pPr>
              <w:spacing w:before="60"/>
              <w:cnfStyle w:val="000000010000" w:firstRow="0" w:lastRow="0" w:firstColumn="0" w:lastColumn="0" w:oddVBand="0" w:evenVBand="0" w:oddHBand="0" w:evenHBand="1" w:firstRowFirstColumn="0" w:firstRowLastColumn="0" w:lastRowFirstColumn="0" w:lastRowLastColumn="0"/>
              <w:rPr>
                <w:rFonts w:asciiTheme="majorHAnsi" w:eastAsiaTheme="minorHAnsi" w:hAnsiTheme="majorHAnsi" w:cstheme="majorHAnsi"/>
                <w:szCs w:val="16"/>
                <w:lang w:eastAsia="en-US"/>
              </w:rPr>
            </w:pPr>
          </w:p>
        </w:tc>
      </w:tr>
      <w:tr w:rsidR="00A73391" w:rsidRPr="00CA211F" w:rsidTr="00D01EDD">
        <w:trPr>
          <w:trHeight w:val="379"/>
        </w:trPr>
        <w:tc>
          <w:tcPr>
            <w:cnfStyle w:val="001000000000" w:firstRow="0" w:lastRow="0" w:firstColumn="1" w:lastColumn="0" w:oddVBand="0" w:evenVBand="0" w:oddHBand="0" w:evenHBand="0" w:firstRowFirstColumn="0" w:firstRowLastColumn="0" w:lastRowFirstColumn="0" w:lastRowLastColumn="0"/>
            <w:tcW w:w="959" w:type="dxa"/>
            <w:vAlign w:val="top"/>
          </w:tcPr>
          <w:p w:rsidR="00A73391" w:rsidRPr="00DE7E41" w:rsidRDefault="00A73391" w:rsidP="00DE7E41">
            <w:pPr>
              <w:keepNext/>
              <w:spacing w:before="60" w:after="0"/>
              <w:rPr>
                <w:rFonts w:asciiTheme="majorHAnsi" w:hAnsiTheme="majorHAnsi" w:cstheme="majorHAnsi"/>
                <w:szCs w:val="16"/>
                <w:u w:val="single"/>
              </w:rPr>
            </w:pPr>
            <w:r w:rsidRPr="00DE7E41">
              <w:rPr>
                <w:rFonts w:asciiTheme="majorHAnsi" w:hAnsiTheme="majorHAnsi" w:cstheme="majorHAnsi"/>
                <w:szCs w:val="16"/>
                <w:u w:val="single"/>
              </w:rPr>
              <w:t>4.8</w:t>
            </w:r>
          </w:p>
        </w:tc>
        <w:tc>
          <w:tcPr>
            <w:tcW w:w="13073" w:type="dxa"/>
            <w:vAlign w:val="top"/>
          </w:tcPr>
          <w:p w:rsidR="00A73391" w:rsidRPr="00DE7E41" w:rsidRDefault="00A73391" w:rsidP="00DE7E41">
            <w:pPr>
              <w:keepNext/>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
                <w:szCs w:val="16"/>
                <w:u w:val="single"/>
                <w:lang w:eastAsia="en-US"/>
              </w:rPr>
            </w:pPr>
            <w:r w:rsidRPr="00DE7E41">
              <w:rPr>
                <w:rFonts w:asciiTheme="majorHAnsi" w:hAnsiTheme="majorHAnsi" w:cstheme="majorHAnsi"/>
                <w:b/>
                <w:szCs w:val="16"/>
                <w:u w:val="single"/>
              </w:rPr>
              <w:t>Rebate mechanism</w:t>
            </w:r>
          </w:p>
        </w:tc>
      </w:tr>
      <w:tr w:rsidR="00A73391" w:rsidRPr="00CA211F" w:rsidTr="00D01EDD">
        <w:trPr>
          <w:cnfStyle w:val="000000010000" w:firstRow="0" w:lastRow="0" w:firstColumn="0" w:lastColumn="0" w:oddVBand="0" w:evenVBand="0" w:oddHBand="0" w:evenHBand="1"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959" w:type="dxa"/>
            <w:vAlign w:val="top"/>
          </w:tcPr>
          <w:p w:rsidR="00A73391" w:rsidRPr="00DE7E41" w:rsidRDefault="00A73391" w:rsidP="00DE7E41">
            <w:pPr>
              <w:spacing w:before="60" w:after="0"/>
              <w:rPr>
                <w:rFonts w:asciiTheme="majorHAnsi" w:hAnsiTheme="majorHAnsi" w:cstheme="majorHAnsi"/>
                <w:szCs w:val="16"/>
                <w:u w:val="single"/>
              </w:rPr>
            </w:pPr>
            <w:r w:rsidRPr="00DE7E41">
              <w:rPr>
                <w:rFonts w:asciiTheme="majorHAnsi" w:hAnsiTheme="majorHAnsi" w:cstheme="majorHAnsi"/>
                <w:szCs w:val="16"/>
                <w:u w:val="single"/>
              </w:rPr>
              <w:t>4.8.1</w:t>
            </w:r>
          </w:p>
        </w:tc>
        <w:tc>
          <w:tcPr>
            <w:tcW w:w="13073" w:type="dxa"/>
            <w:vAlign w:val="top"/>
          </w:tcPr>
          <w:p w:rsidR="00A73391" w:rsidRPr="00DE7E41" w:rsidRDefault="00A73391" w:rsidP="00DE7E41">
            <w:pPr>
              <w:spacing w:before="60" w:after="0"/>
              <w:jc w:val="left"/>
              <w:cnfStyle w:val="000000010000" w:firstRow="0" w:lastRow="0" w:firstColumn="0" w:lastColumn="0" w:oddVBand="0" w:evenVBand="0" w:oddHBand="0" w:evenHBand="1" w:firstRowFirstColumn="0" w:firstRowLastColumn="0" w:lastRowFirstColumn="0" w:lastRowLastColumn="0"/>
              <w:rPr>
                <w:rFonts w:asciiTheme="majorHAnsi" w:eastAsiaTheme="minorHAnsi" w:hAnsiTheme="majorHAnsi" w:cstheme="majorHAnsi"/>
                <w:b/>
                <w:i/>
                <w:szCs w:val="16"/>
                <w:u w:val="single"/>
                <w:lang w:eastAsia="en-US"/>
              </w:rPr>
            </w:pPr>
            <w:r w:rsidRPr="00DE7E41">
              <w:rPr>
                <w:rFonts w:asciiTheme="majorHAnsi" w:hAnsiTheme="majorHAnsi" w:cstheme="majorHAnsi"/>
                <w:b/>
                <w:i/>
                <w:szCs w:val="16"/>
                <w:u w:val="single"/>
              </w:rPr>
              <w:t>Rebate Pool</w:t>
            </w:r>
          </w:p>
          <w:p w:rsidR="00A73391" w:rsidRPr="00DE7E41" w:rsidRDefault="00A73391" w:rsidP="00DE7E41">
            <w:pPr>
              <w:spacing w:before="60" w:after="0"/>
              <w:jc w:val="left"/>
              <w:cnfStyle w:val="000000010000" w:firstRow="0" w:lastRow="0" w:firstColumn="0" w:lastColumn="0" w:oddVBand="0" w:evenVBand="0" w:oddHBand="0" w:evenHBand="1" w:firstRowFirstColumn="0" w:firstRowLastColumn="0" w:lastRowFirstColumn="0" w:lastRowLastColumn="0"/>
              <w:rPr>
                <w:rFonts w:asciiTheme="majorHAnsi" w:eastAsiaTheme="minorHAnsi" w:hAnsiTheme="majorHAnsi" w:cstheme="majorHAnsi"/>
                <w:szCs w:val="16"/>
                <w:u w:val="single"/>
                <w:lang w:eastAsia="en-US"/>
              </w:rPr>
            </w:pPr>
            <w:r w:rsidRPr="00DE7E41">
              <w:rPr>
                <w:rFonts w:asciiTheme="majorHAnsi" w:hAnsiTheme="majorHAnsi" w:cstheme="majorHAnsi"/>
                <w:szCs w:val="16"/>
                <w:u w:val="single"/>
              </w:rPr>
              <w:t>Service Provider will track revenue received through the provision of Rebateable Services, and will allocate the following proportions of those revenues to the Rebateable Service Rebate Pool:</w:t>
            </w:r>
          </w:p>
          <w:p w:rsidR="00A73391" w:rsidRPr="00DE7E41" w:rsidRDefault="00A73391" w:rsidP="00DE7E41">
            <w:pPr>
              <w:numPr>
                <w:ilvl w:val="0"/>
                <w:numId w:val="34"/>
              </w:numPr>
              <w:spacing w:before="60" w:after="0"/>
              <w:jc w:val="left"/>
              <w:cnfStyle w:val="000000010000" w:firstRow="0" w:lastRow="0" w:firstColumn="0" w:lastColumn="0" w:oddVBand="0" w:evenVBand="0" w:oddHBand="0" w:evenHBand="1" w:firstRowFirstColumn="0" w:firstRowLastColumn="0" w:lastRowFirstColumn="0" w:lastRowLastColumn="0"/>
              <w:rPr>
                <w:rFonts w:asciiTheme="majorHAnsi" w:eastAsiaTheme="minorHAnsi" w:hAnsiTheme="majorHAnsi" w:cstheme="majorHAnsi"/>
                <w:szCs w:val="16"/>
                <w:u w:val="single"/>
                <w:lang w:eastAsia="en-US"/>
              </w:rPr>
            </w:pPr>
            <w:r w:rsidRPr="00DE7E41">
              <w:rPr>
                <w:rFonts w:asciiTheme="majorHAnsi" w:hAnsiTheme="majorHAnsi" w:cstheme="majorHAnsi"/>
                <w:szCs w:val="16"/>
                <w:u w:val="single"/>
              </w:rPr>
              <w:t>For Capacity Trading Services and In-Pipe Trade Services – 70 per</w:t>
            </w:r>
            <w:r w:rsidR="008A704D">
              <w:rPr>
                <w:rFonts w:asciiTheme="majorHAnsi" w:hAnsiTheme="majorHAnsi" w:cstheme="majorHAnsi"/>
                <w:szCs w:val="16"/>
                <w:u w:val="single"/>
              </w:rPr>
              <w:t xml:space="preserve"> </w:t>
            </w:r>
            <w:r w:rsidRPr="00DE7E41">
              <w:rPr>
                <w:rFonts w:asciiTheme="majorHAnsi" w:hAnsiTheme="majorHAnsi" w:cstheme="majorHAnsi"/>
                <w:szCs w:val="16"/>
                <w:u w:val="single"/>
              </w:rPr>
              <w:t xml:space="preserve">cent of the revenue; </w:t>
            </w:r>
          </w:p>
          <w:p w:rsidR="00A73391" w:rsidRPr="00DE7E41" w:rsidRDefault="00A73391" w:rsidP="00DE7E41">
            <w:pPr>
              <w:numPr>
                <w:ilvl w:val="0"/>
                <w:numId w:val="34"/>
              </w:numPr>
              <w:spacing w:before="60" w:after="0"/>
              <w:jc w:val="left"/>
              <w:cnfStyle w:val="000000010000" w:firstRow="0" w:lastRow="0" w:firstColumn="0" w:lastColumn="0" w:oddVBand="0" w:evenVBand="0" w:oddHBand="0" w:evenHBand="1" w:firstRowFirstColumn="0" w:firstRowLastColumn="0" w:lastRowFirstColumn="0" w:lastRowLastColumn="0"/>
              <w:rPr>
                <w:rFonts w:asciiTheme="majorHAnsi" w:eastAsiaTheme="minorHAnsi" w:hAnsiTheme="majorHAnsi" w:cstheme="majorHAnsi"/>
                <w:szCs w:val="16"/>
                <w:u w:val="single"/>
                <w:lang w:eastAsia="en-US"/>
              </w:rPr>
            </w:pPr>
            <w:r w:rsidRPr="00DE7E41">
              <w:rPr>
                <w:rFonts w:asciiTheme="majorHAnsi" w:hAnsiTheme="majorHAnsi" w:cstheme="majorHAnsi"/>
                <w:szCs w:val="16"/>
                <w:u w:val="single"/>
              </w:rPr>
              <w:t>For Parking Services and Loan Services – 90 per</w:t>
            </w:r>
            <w:r w:rsidR="008A704D">
              <w:rPr>
                <w:rFonts w:asciiTheme="majorHAnsi" w:hAnsiTheme="majorHAnsi" w:cstheme="majorHAnsi"/>
                <w:szCs w:val="16"/>
                <w:u w:val="single"/>
              </w:rPr>
              <w:t xml:space="preserve"> </w:t>
            </w:r>
            <w:r w:rsidRPr="00DE7E41">
              <w:rPr>
                <w:rFonts w:asciiTheme="majorHAnsi" w:hAnsiTheme="majorHAnsi" w:cstheme="majorHAnsi"/>
                <w:szCs w:val="16"/>
                <w:u w:val="single"/>
              </w:rPr>
              <w:t>cent of the revenue.</w:t>
            </w:r>
          </w:p>
        </w:tc>
      </w:tr>
      <w:tr w:rsidR="00A73391" w:rsidRPr="00CA211F" w:rsidTr="00D01EDD">
        <w:trPr>
          <w:trHeight w:val="2720"/>
        </w:trPr>
        <w:tc>
          <w:tcPr>
            <w:cnfStyle w:val="001000000000" w:firstRow="0" w:lastRow="0" w:firstColumn="1" w:lastColumn="0" w:oddVBand="0" w:evenVBand="0" w:oddHBand="0" w:evenHBand="0" w:firstRowFirstColumn="0" w:firstRowLastColumn="0" w:lastRowFirstColumn="0" w:lastRowLastColumn="0"/>
            <w:tcW w:w="959" w:type="dxa"/>
            <w:vAlign w:val="top"/>
          </w:tcPr>
          <w:p w:rsidR="00A73391" w:rsidRPr="00DE7E41" w:rsidRDefault="00A73391" w:rsidP="00DE7E41">
            <w:pPr>
              <w:keepNext/>
              <w:spacing w:before="60" w:after="0"/>
              <w:rPr>
                <w:rFonts w:asciiTheme="majorHAnsi" w:hAnsiTheme="majorHAnsi" w:cstheme="majorHAnsi"/>
                <w:szCs w:val="16"/>
                <w:u w:val="single"/>
              </w:rPr>
            </w:pPr>
            <w:r w:rsidRPr="00DE7E41">
              <w:rPr>
                <w:rFonts w:asciiTheme="majorHAnsi" w:hAnsiTheme="majorHAnsi" w:cstheme="majorHAnsi"/>
                <w:szCs w:val="16"/>
                <w:u w:val="single"/>
              </w:rPr>
              <w:t>4.8.2</w:t>
            </w:r>
          </w:p>
        </w:tc>
        <w:tc>
          <w:tcPr>
            <w:tcW w:w="13073" w:type="dxa"/>
            <w:vAlign w:val="top"/>
          </w:tcPr>
          <w:p w:rsidR="00A73391" w:rsidRPr="00DE7E41" w:rsidRDefault="00A73391" w:rsidP="00DE7E41">
            <w:pPr>
              <w:keepNext/>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
                <w:i/>
                <w:szCs w:val="16"/>
                <w:u w:val="single"/>
                <w:lang w:eastAsia="en-US"/>
              </w:rPr>
            </w:pPr>
            <w:r w:rsidRPr="00DE7E41">
              <w:rPr>
                <w:rFonts w:asciiTheme="majorHAnsi" w:hAnsiTheme="majorHAnsi" w:cstheme="majorHAnsi"/>
                <w:b/>
                <w:i/>
                <w:szCs w:val="16"/>
                <w:u w:val="single"/>
              </w:rPr>
              <w:t xml:space="preserve">Distribution of Rebate Pool </w:t>
            </w:r>
          </w:p>
          <w:p w:rsidR="00A73391" w:rsidRDefault="00A73391" w:rsidP="00DE7E41">
            <w:pPr>
              <w:keepNext/>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u w:val="single"/>
              </w:rPr>
            </w:pPr>
            <w:r w:rsidRPr="00DE7E41">
              <w:rPr>
                <w:rFonts w:asciiTheme="majorHAnsi" w:hAnsiTheme="majorHAnsi" w:cstheme="majorHAnsi"/>
                <w:szCs w:val="16"/>
                <w:u w:val="single"/>
              </w:rPr>
              <w:t xml:space="preserve">Service Provider will rebate to each Shipper taking a Reference Service, or service in the nature of a Reference Service, a proportion of the Rebateable Service Rebate Pool as determined by the following </w:t>
            </w:r>
            <w:r w:rsidRPr="00373840">
              <w:rPr>
                <w:rFonts w:asciiTheme="majorHAnsi" w:hAnsiTheme="majorHAnsi" w:cstheme="majorHAnsi"/>
                <w:szCs w:val="16"/>
                <w:u w:val="single"/>
              </w:rPr>
              <w:t>formula:</w:t>
            </w:r>
          </w:p>
          <w:p w:rsidR="00373840" w:rsidRDefault="00373840" w:rsidP="00DE7E41">
            <w:pPr>
              <w:keepNext/>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u w:val="single"/>
              </w:rPr>
            </w:pPr>
          </w:p>
          <w:p w:rsidR="00373840" w:rsidRPr="00373840" w:rsidRDefault="00373840" w:rsidP="00DE7E41">
            <w:pPr>
              <w:keepNext/>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szCs w:val="16"/>
                <w:u w:val="single"/>
                <w:lang w:eastAsia="en-US"/>
              </w:rPr>
            </w:pPr>
            <w:r>
              <w:rPr>
                <w:rFonts w:asciiTheme="majorHAnsi" w:hAnsiTheme="majorHAnsi" w:cstheme="majorHAnsi"/>
                <w:szCs w:val="16"/>
                <w:u w:val="single"/>
              </w:rPr>
              <w:t>For in-pipe trading services and/or capacity trading services:</w:t>
            </w:r>
          </w:p>
          <w:p w:rsidR="00A73391" w:rsidRPr="004C56BC" w:rsidRDefault="00CD1954" w:rsidP="00DE7E41">
            <w:pPr>
              <w:keepNext/>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Cs w:val="16"/>
              </w:rPr>
            </w:pPr>
            <m:oMathPara>
              <m:oMathParaPr>
                <m:jc m:val="left"/>
              </m:oMathParaPr>
              <m:oMath>
                <m:nary>
                  <m:naryPr>
                    <m:chr m:val="∑"/>
                    <m:limLoc m:val="undOvr"/>
                    <m:ctrlPr>
                      <w:rPr>
                        <w:rFonts w:ascii="Cambria Math" w:hAnsi="Cambria Math" w:cstheme="majorHAnsi"/>
                        <w:i/>
                        <w:szCs w:val="16"/>
                      </w:rPr>
                    </m:ctrlPr>
                  </m:naryPr>
                  <m:sub>
                    <m:r>
                      <w:rPr>
                        <w:rFonts w:ascii="Cambria Math" w:hAnsi="Cambria Math" w:cstheme="majorHAnsi"/>
                        <w:szCs w:val="16"/>
                      </w:rPr>
                      <m:t>Day=1</m:t>
                    </m:r>
                  </m:sub>
                  <m:sup>
                    <m:r>
                      <w:rPr>
                        <w:rFonts w:ascii="Cambria Math" w:hAnsi="Cambria Math" w:cstheme="majorHAnsi"/>
                        <w:szCs w:val="16"/>
                      </w:rPr>
                      <m:t>365</m:t>
                    </m:r>
                  </m:sup>
                  <m:e>
                    <m:r>
                      <w:rPr>
                        <w:rFonts w:ascii="Cambria Math" w:hAnsi="Cambria Math" w:cstheme="majorHAnsi"/>
                        <w:szCs w:val="16"/>
                      </w:rPr>
                      <m:t>0.70</m:t>
                    </m:r>
                  </m:e>
                </m:nary>
                <m:d>
                  <m:dPr>
                    <m:begChr m:val="["/>
                    <m:endChr m:val="]"/>
                    <m:ctrlPr>
                      <w:rPr>
                        <w:rFonts w:ascii="Cambria Math" w:hAnsi="Cambria Math" w:cstheme="majorHAnsi"/>
                        <w:i/>
                        <w:szCs w:val="16"/>
                      </w:rPr>
                    </m:ctrlPr>
                  </m:dPr>
                  <m:e>
                    <m:f>
                      <m:fPr>
                        <m:ctrlPr>
                          <w:rPr>
                            <w:rFonts w:ascii="Cambria Math" w:hAnsi="Cambria Math" w:cstheme="majorHAnsi"/>
                            <w:i/>
                            <w:szCs w:val="16"/>
                          </w:rPr>
                        </m:ctrlPr>
                      </m:fPr>
                      <m:num>
                        <m:r>
                          <w:rPr>
                            <w:rFonts w:ascii="Cambria Math" w:hAnsi="Cambria Math" w:cstheme="majorHAnsi"/>
                            <w:szCs w:val="16"/>
                          </w:rPr>
                          <m:t>Capacity Reserved Shipper n</m:t>
                        </m:r>
                      </m:num>
                      <m:den>
                        <m:r>
                          <w:rPr>
                            <w:rFonts w:ascii="Cambria Math" w:hAnsi="Cambria Math" w:cstheme="majorHAnsi"/>
                            <w:szCs w:val="16"/>
                          </w:rPr>
                          <m:t>Shipper n Total Usage</m:t>
                        </m:r>
                      </m:den>
                    </m:f>
                  </m:e>
                </m:d>
              </m:oMath>
            </m:oMathPara>
          </w:p>
          <w:p w:rsidR="00373840" w:rsidRPr="00373840" w:rsidRDefault="00373840" w:rsidP="00373840">
            <w:pPr>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Cs w:val="16"/>
                <w:u w:val="single"/>
              </w:rPr>
            </w:pPr>
            <w:r w:rsidRPr="00373840">
              <w:rPr>
                <w:rFonts w:asciiTheme="majorHAnsi" w:eastAsiaTheme="minorEastAsia" w:hAnsiTheme="majorHAnsi" w:cstheme="majorHAnsi"/>
                <w:szCs w:val="16"/>
                <w:u w:val="single"/>
              </w:rPr>
              <w:t>For Park and loan services</w:t>
            </w:r>
            <w:r>
              <w:rPr>
                <w:rFonts w:asciiTheme="majorHAnsi" w:eastAsiaTheme="minorEastAsia" w:hAnsiTheme="majorHAnsi" w:cstheme="majorHAnsi"/>
                <w:szCs w:val="16"/>
                <w:u w:val="single"/>
              </w:rPr>
              <w:t>:</w:t>
            </w:r>
          </w:p>
          <w:p w:rsidR="00A73391" w:rsidRPr="004D05AF" w:rsidRDefault="00CD1954" w:rsidP="004D05AF">
            <w:pPr>
              <w:keepNext/>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Cs w:val="16"/>
              </w:rPr>
            </w:pPr>
            <m:oMathPara>
              <m:oMathParaPr>
                <m:jc m:val="left"/>
              </m:oMathParaPr>
              <m:oMath>
                <m:nary>
                  <m:naryPr>
                    <m:chr m:val="∑"/>
                    <m:limLoc m:val="undOvr"/>
                    <m:ctrlPr>
                      <w:rPr>
                        <w:rFonts w:ascii="Cambria Math" w:hAnsi="Cambria Math" w:cstheme="majorHAnsi"/>
                        <w:i/>
                        <w:szCs w:val="16"/>
                      </w:rPr>
                    </m:ctrlPr>
                  </m:naryPr>
                  <m:sub>
                    <m:r>
                      <w:rPr>
                        <w:rFonts w:ascii="Cambria Math" w:hAnsi="Cambria Math" w:cstheme="majorHAnsi"/>
                        <w:szCs w:val="16"/>
                      </w:rPr>
                      <m:t>Day=1</m:t>
                    </m:r>
                  </m:sub>
                  <m:sup>
                    <m:r>
                      <w:rPr>
                        <w:rFonts w:ascii="Cambria Math" w:hAnsi="Cambria Math" w:cstheme="majorHAnsi"/>
                        <w:szCs w:val="16"/>
                      </w:rPr>
                      <m:t>365</m:t>
                    </m:r>
                  </m:sup>
                  <m:e>
                    <m:r>
                      <w:rPr>
                        <w:rFonts w:ascii="Cambria Math" w:hAnsi="Cambria Math" w:cstheme="majorHAnsi"/>
                        <w:szCs w:val="16"/>
                      </w:rPr>
                      <m:t>0.90</m:t>
                    </m:r>
                  </m:e>
                </m:nary>
                <m:d>
                  <m:dPr>
                    <m:begChr m:val="["/>
                    <m:endChr m:val="]"/>
                    <m:ctrlPr>
                      <w:rPr>
                        <w:rFonts w:ascii="Cambria Math" w:hAnsi="Cambria Math" w:cstheme="majorHAnsi"/>
                        <w:i/>
                        <w:szCs w:val="16"/>
                      </w:rPr>
                    </m:ctrlPr>
                  </m:dPr>
                  <m:e>
                    <m:f>
                      <m:fPr>
                        <m:ctrlPr>
                          <w:rPr>
                            <w:rFonts w:ascii="Cambria Math" w:hAnsi="Cambria Math" w:cstheme="majorHAnsi"/>
                            <w:i/>
                            <w:szCs w:val="16"/>
                          </w:rPr>
                        </m:ctrlPr>
                      </m:fPr>
                      <m:num>
                        <m:r>
                          <w:rPr>
                            <w:rFonts w:ascii="Cambria Math" w:hAnsi="Cambria Math" w:cstheme="majorHAnsi"/>
                            <w:szCs w:val="16"/>
                          </w:rPr>
                          <m:t>Capacity Reserved Shipper n</m:t>
                        </m:r>
                      </m:num>
                      <m:den>
                        <m:r>
                          <w:rPr>
                            <w:rFonts w:ascii="Cambria Math" w:hAnsi="Cambria Math" w:cstheme="majorHAnsi"/>
                            <w:szCs w:val="16"/>
                          </w:rPr>
                          <m:t>Shipper n Total Usage</m:t>
                        </m:r>
                      </m:den>
                    </m:f>
                  </m:e>
                </m:d>
              </m:oMath>
            </m:oMathPara>
          </w:p>
        </w:tc>
      </w:tr>
      <w:tr w:rsidR="00A73391" w:rsidRPr="00CA211F" w:rsidTr="00D01EDD">
        <w:trPr>
          <w:cnfStyle w:val="000000010000" w:firstRow="0" w:lastRow="0" w:firstColumn="0" w:lastColumn="0" w:oddVBand="0" w:evenVBand="0" w:oddHBand="0" w:evenHBand="1"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959" w:type="dxa"/>
            <w:vAlign w:val="top"/>
          </w:tcPr>
          <w:p w:rsidR="00A73391" w:rsidRPr="00DE7E41" w:rsidRDefault="00A73391" w:rsidP="00DE7E41">
            <w:pPr>
              <w:spacing w:before="60" w:after="0"/>
              <w:rPr>
                <w:rFonts w:asciiTheme="majorHAnsi" w:hAnsiTheme="majorHAnsi" w:cstheme="majorHAnsi"/>
                <w:szCs w:val="16"/>
              </w:rPr>
            </w:pPr>
            <w:r w:rsidRPr="00DE7E41">
              <w:rPr>
                <w:rFonts w:asciiTheme="majorHAnsi" w:hAnsiTheme="majorHAnsi" w:cstheme="majorHAnsi"/>
                <w:szCs w:val="16"/>
              </w:rPr>
              <w:t>4.8.3</w:t>
            </w:r>
          </w:p>
        </w:tc>
        <w:tc>
          <w:tcPr>
            <w:tcW w:w="13073" w:type="dxa"/>
            <w:vAlign w:val="top"/>
          </w:tcPr>
          <w:p w:rsidR="00A73391" w:rsidRPr="00DE7E41" w:rsidRDefault="00A73391" w:rsidP="00DE7E41">
            <w:pPr>
              <w:spacing w:before="60" w:after="0"/>
              <w:jc w:val="left"/>
              <w:cnfStyle w:val="000000010000" w:firstRow="0" w:lastRow="0" w:firstColumn="0" w:lastColumn="0" w:oddVBand="0" w:evenVBand="0" w:oddHBand="0" w:evenHBand="1" w:firstRowFirstColumn="0" w:firstRowLastColumn="0" w:lastRowFirstColumn="0" w:lastRowLastColumn="0"/>
              <w:rPr>
                <w:rFonts w:asciiTheme="majorHAnsi" w:eastAsiaTheme="minorHAnsi" w:hAnsiTheme="majorHAnsi" w:cstheme="majorHAnsi"/>
                <w:b/>
                <w:i/>
                <w:szCs w:val="16"/>
                <w:u w:val="single"/>
                <w:lang w:eastAsia="en-US"/>
              </w:rPr>
            </w:pPr>
            <w:r w:rsidRPr="00DE7E41">
              <w:rPr>
                <w:rFonts w:asciiTheme="majorHAnsi" w:hAnsiTheme="majorHAnsi" w:cstheme="majorHAnsi"/>
                <w:b/>
                <w:i/>
                <w:szCs w:val="16"/>
                <w:u w:val="single"/>
              </w:rPr>
              <w:t>Payment of Rebate</w:t>
            </w:r>
          </w:p>
          <w:p w:rsidR="00A73391" w:rsidRPr="00DE7E41" w:rsidRDefault="00A73391" w:rsidP="00DE7E41">
            <w:pPr>
              <w:spacing w:before="60" w:after="0"/>
              <w:jc w:val="left"/>
              <w:cnfStyle w:val="000000010000" w:firstRow="0" w:lastRow="0" w:firstColumn="0" w:lastColumn="0" w:oddVBand="0" w:evenVBand="0" w:oddHBand="0" w:evenHBand="1" w:firstRowFirstColumn="0" w:firstRowLastColumn="0" w:lastRowFirstColumn="0" w:lastRowLastColumn="0"/>
              <w:rPr>
                <w:rFonts w:asciiTheme="majorHAnsi" w:eastAsiaTheme="minorHAnsi" w:hAnsiTheme="majorHAnsi" w:cstheme="majorHAnsi"/>
                <w:szCs w:val="16"/>
                <w:u w:val="single"/>
                <w:lang w:eastAsia="en-US"/>
              </w:rPr>
            </w:pPr>
            <w:r w:rsidRPr="00DE7E41">
              <w:rPr>
                <w:rFonts w:asciiTheme="majorHAnsi" w:hAnsiTheme="majorHAnsi" w:cstheme="majorHAnsi"/>
                <w:szCs w:val="16"/>
                <w:u w:val="single"/>
              </w:rPr>
              <w:t>Service Provider will pay each shipper its proportion of the Rebateable Service Rebate Pool annually within 14 days of the end of each financial year.</w:t>
            </w:r>
          </w:p>
        </w:tc>
      </w:tr>
      <w:tr w:rsidR="00A73391" w:rsidRPr="00CA211F" w:rsidTr="00D01EDD">
        <w:trPr>
          <w:trHeight w:val="379"/>
        </w:trPr>
        <w:tc>
          <w:tcPr>
            <w:cnfStyle w:val="001000000000" w:firstRow="0" w:lastRow="0" w:firstColumn="1" w:lastColumn="0" w:oddVBand="0" w:evenVBand="0" w:oddHBand="0" w:evenHBand="0" w:firstRowFirstColumn="0" w:firstRowLastColumn="0" w:lastRowFirstColumn="0" w:lastRowLastColumn="0"/>
            <w:tcW w:w="959" w:type="dxa"/>
            <w:vAlign w:val="top"/>
          </w:tcPr>
          <w:p w:rsidR="00A73391" w:rsidRPr="00DE7E41" w:rsidRDefault="004D05AF" w:rsidP="00DE7E41">
            <w:pPr>
              <w:spacing w:before="60" w:after="0"/>
              <w:rPr>
                <w:rFonts w:asciiTheme="majorHAnsi" w:hAnsiTheme="majorHAnsi" w:cstheme="majorHAnsi"/>
                <w:szCs w:val="16"/>
              </w:rPr>
            </w:pPr>
            <w:r>
              <w:rPr>
                <w:rFonts w:asciiTheme="majorHAnsi" w:hAnsiTheme="majorHAnsi" w:cstheme="majorHAnsi"/>
                <w:szCs w:val="16"/>
              </w:rPr>
              <w:t>Sch. 1</w:t>
            </w:r>
          </w:p>
        </w:tc>
        <w:tc>
          <w:tcPr>
            <w:tcW w:w="13073" w:type="dxa"/>
            <w:vAlign w:val="top"/>
          </w:tcPr>
          <w:p w:rsidR="00A73391" w:rsidRPr="00DE7E41" w:rsidRDefault="00A73391" w:rsidP="00DE7E41">
            <w:pPr>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
                <w:szCs w:val="16"/>
                <w:lang w:eastAsia="en-US"/>
              </w:rPr>
            </w:pPr>
            <w:r w:rsidRPr="00DE7E41">
              <w:rPr>
                <w:rFonts w:asciiTheme="majorHAnsi" w:hAnsiTheme="majorHAnsi" w:cstheme="majorHAnsi"/>
                <w:b/>
                <w:szCs w:val="16"/>
              </w:rPr>
              <w:t>Details</w:t>
            </w:r>
          </w:p>
          <w:p w:rsidR="00A73391" w:rsidRPr="00DE7E41" w:rsidRDefault="00A73391" w:rsidP="00DE7E41">
            <w:pPr>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
                <w:szCs w:val="16"/>
                <w:lang w:eastAsia="en-US"/>
              </w:rPr>
            </w:pPr>
            <w:r w:rsidRPr="00DE7E41">
              <w:rPr>
                <w:rFonts w:asciiTheme="majorHAnsi" w:hAnsiTheme="majorHAnsi" w:cstheme="majorHAnsi"/>
                <w:b/>
                <w:szCs w:val="16"/>
              </w:rPr>
              <w:t>[…]</w:t>
            </w:r>
          </w:p>
          <w:p w:rsidR="00A73391" w:rsidRPr="00DE7E41" w:rsidRDefault="00A73391" w:rsidP="00DE7E41">
            <w:pPr>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
                <w:szCs w:val="16"/>
                <w:lang w:eastAsia="en-US"/>
              </w:rPr>
            </w:pPr>
            <w:r w:rsidRPr="00DE7E41">
              <w:rPr>
                <w:rFonts w:asciiTheme="majorHAnsi" w:hAnsiTheme="majorHAnsi" w:cstheme="majorHAnsi"/>
                <w:b/>
                <w:szCs w:val="16"/>
              </w:rPr>
              <w:t>Reference Tariffs:</w:t>
            </w:r>
          </w:p>
          <w:tbl>
            <w:tblPr>
              <w:tblStyle w:val="AERtable-numbers"/>
              <w:tblW w:w="14142" w:type="dxa"/>
              <w:tblLayout w:type="fixed"/>
              <w:tblLook w:val="04A0" w:firstRow="1" w:lastRow="0" w:firstColumn="1" w:lastColumn="0" w:noHBand="0" w:noVBand="1"/>
            </w:tblPr>
            <w:tblGrid>
              <w:gridCol w:w="7071"/>
              <w:gridCol w:w="7071"/>
            </w:tblGrid>
            <w:tr w:rsidR="00612110" w:rsidRPr="00CA211F" w:rsidTr="00D01E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1" w:type="dxa"/>
                </w:tcPr>
                <w:p w:rsidR="00A73391" w:rsidRPr="00DE7E41" w:rsidRDefault="00A73391" w:rsidP="00DE7E41">
                  <w:pPr>
                    <w:spacing w:before="60" w:after="0"/>
                    <w:rPr>
                      <w:rFonts w:asciiTheme="majorHAnsi" w:hAnsiTheme="majorHAnsi" w:cstheme="majorHAnsi"/>
                      <w:szCs w:val="16"/>
                    </w:rPr>
                  </w:pPr>
                  <w:r w:rsidRPr="00DE7E41">
                    <w:rPr>
                      <w:rFonts w:asciiTheme="majorHAnsi" w:hAnsiTheme="majorHAnsi" w:cstheme="majorHAnsi"/>
                      <w:szCs w:val="16"/>
                    </w:rPr>
                    <w:t>Reference Service</w:t>
                  </w:r>
                </w:p>
              </w:tc>
              <w:tc>
                <w:tcPr>
                  <w:tcW w:w="7071" w:type="dxa"/>
                </w:tcPr>
                <w:p w:rsidR="00A73391" w:rsidRPr="00DE7E41" w:rsidRDefault="00A73391" w:rsidP="00DE7E41">
                  <w:pPr>
                    <w:spacing w:before="60" w:after="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6"/>
                    </w:rPr>
                  </w:pPr>
                  <w:r w:rsidRPr="00DE7E41">
                    <w:rPr>
                      <w:rFonts w:asciiTheme="majorHAnsi" w:hAnsiTheme="majorHAnsi" w:cstheme="majorHAnsi"/>
                      <w:szCs w:val="16"/>
                    </w:rPr>
                    <w:t>Reference Tariff $ per GJ of MDQ/Day</w:t>
                  </w:r>
                </w:p>
              </w:tc>
            </w:tr>
            <w:tr w:rsidR="00A73391" w:rsidRPr="00CA211F" w:rsidTr="00D01EDD">
              <w:tc>
                <w:tcPr>
                  <w:cnfStyle w:val="001000000000" w:firstRow="0" w:lastRow="0" w:firstColumn="1" w:lastColumn="0" w:oddVBand="0" w:evenVBand="0" w:oddHBand="0" w:evenHBand="0" w:firstRowFirstColumn="0" w:firstRowLastColumn="0" w:lastRowFirstColumn="0" w:lastRowLastColumn="0"/>
                  <w:tcW w:w="7071" w:type="dxa"/>
                </w:tcPr>
                <w:p w:rsidR="00A73391" w:rsidRPr="00DE7E41" w:rsidRDefault="00A73391" w:rsidP="00DE7E41">
                  <w:pPr>
                    <w:spacing w:before="60" w:after="0"/>
                    <w:rPr>
                      <w:rFonts w:asciiTheme="majorHAnsi" w:hAnsiTheme="majorHAnsi" w:cstheme="majorHAnsi"/>
                      <w:szCs w:val="16"/>
                    </w:rPr>
                  </w:pPr>
                  <w:r w:rsidRPr="00DE7E41">
                    <w:rPr>
                      <w:rFonts w:asciiTheme="majorHAnsi" w:hAnsiTheme="majorHAnsi" w:cstheme="majorHAnsi"/>
                      <w:szCs w:val="16"/>
                      <w:u w:val="single"/>
                    </w:rPr>
                    <w:t>LTFS</w:t>
                  </w:r>
                </w:p>
              </w:tc>
              <w:tc>
                <w:tcPr>
                  <w:tcW w:w="7071" w:type="dxa"/>
                </w:tcPr>
                <w:p w:rsidR="00A73391" w:rsidRPr="00DE7E41" w:rsidRDefault="00221B12" w:rsidP="00CA644A">
                  <w:pPr>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rPr>
                  </w:pPr>
                  <w:r w:rsidRPr="00221B12">
                    <w:rPr>
                      <w:rFonts w:asciiTheme="majorHAnsi" w:hAnsiTheme="majorHAnsi" w:cstheme="majorHAnsi"/>
                      <w:szCs w:val="16"/>
                    </w:rPr>
                    <w:t>$0.6843</w:t>
                  </w:r>
                </w:p>
              </w:tc>
            </w:tr>
          </w:tbl>
          <w:p w:rsidR="00A73391" w:rsidRPr="00DE7E41" w:rsidRDefault="00A73391" w:rsidP="00DE7E41">
            <w:pPr>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szCs w:val="16"/>
                <w:lang w:eastAsia="en-US"/>
              </w:rPr>
            </w:pPr>
          </w:p>
          <w:p w:rsidR="00A73391" w:rsidRPr="00DE7E41" w:rsidRDefault="00A73391" w:rsidP="00DE7E41">
            <w:pPr>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
                <w:szCs w:val="16"/>
                <w:lang w:eastAsia="en-US"/>
              </w:rPr>
            </w:pPr>
            <w:r w:rsidRPr="00DE7E41">
              <w:rPr>
                <w:rFonts w:asciiTheme="majorHAnsi" w:hAnsiTheme="majorHAnsi" w:cstheme="majorHAnsi"/>
                <w:b/>
                <w:szCs w:val="16"/>
              </w:rPr>
              <w:t>Forecast X-factors:</w:t>
            </w:r>
          </w:p>
          <w:tbl>
            <w:tblPr>
              <w:tblStyle w:val="AERtable-numbers"/>
              <w:tblW w:w="0" w:type="auto"/>
              <w:tblLayout w:type="fixed"/>
              <w:tblLook w:val="04A0" w:firstRow="1" w:lastRow="0" w:firstColumn="1" w:lastColumn="0" w:noHBand="0" w:noVBand="1"/>
            </w:tblPr>
            <w:tblGrid>
              <w:gridCol w:w="2629"/>
              <w:gridCol w:w="2621"/>
              <w:gridCol w:w="2622"/>
              <w:gridCol w:w="2622"/>
              <w:gridCol w:w="2622"/>
            </w:tblGrid>
            <w:tr w:rsidR="00A73391" w:rsidRPr="00CA211F" w:rsidTr="00D01EDD">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29" w:type="dxa"/>
                </w:tcPr>
                <w:p w:rsidR="00A73391" w:rsidRPr="00DE7E41" w:rsidRDefault="00A73391" w:rsidP="00DE7E41">
                  <w:pPr>
                    <w:spacing w:before="60" w:after="0"/>
                    <w:rPr>
                      <w:rFonts w:asciiTheme="majorHAnsi" w:hAnsiTheme="majorHAnsi" w:cstheme="majorHAnsi"/>
                      <w:szCs w:val="16"/>
                    </w:rPr>
                  </w:pPr>
                </w:p>
              </w:tc>
              <w:tc>
                <w:tcPr>
                  <w:tcW w:w="2621" w:type="dxa"/>
                </w:tcPr>
                <w:p w:rsidR="00A73391" w:rsidRPr="00DE7E41" w:rsidRDefault="00A73391" w:rsidP="00DE7E41">
                  <w:pPr>
                    <w:spacing w:before="60" w:after="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6"/>
                    </w:rPr>
                  </w:pPr>
                  <w:r w:rsidRPr="00DE7E41">
                    <w:rPr>
                      <w:rFonts w:asciiTheme="majorHAnsi" w:hAnsiTheme="majorHAnsi" w:cstheme="majorHAnsi"/>
                      <w:szCs w:val="16"/>
                    </w:rPr>
                    <w:t>1 July 2018</w:t>
                  </w:r>
                </w:p>
              </w:tc>
              <w:tc>
                <w:tcPr>
                  <w:tcW w:w="2622" w:type="dxa"/>
                </w:tcPr>
                <w:p w:rsidR="00A73391" w:rsidRPr="00DE7E41" w:rsidRDefault="00A73391" w:rsidP="00DE7E41">
                  <w:pPr>
                    <w:spacing w:before="60" w:after="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6"/>
                    </w:rPr>
                  </w:pPr>
                  <w:r w:rsidRPr="00DE7E41">
                    <w:rPr>
                      <w:rFonts w:asciiTheme="majorHAnsi" w:hAnsiTheme="majorHAnsi" w:cstheme="majorHAnsi"/>
                      <w:szCs w:val="16"/>
                    </w:rPr>
                    <w:t>1 July 2019</w:t>
                  </w:r>
                </w:p>
              </w:tc>
              <w:tc>
                <w:tcPr>
                  <w:tcW w:w="2622" w:type="dxa"/>
                </w:tcPr>
                <w:p w:rsidR="00A73391" w:rsidRPr="00DE7E41" w:rsidRDefault="00A73391" w:rsidP="00DE7E41">
                  <w:pPr>
                    <w:spacing w:before="60" w:after="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6"/>
                    </w:rPr>
                  </w:pPr>
                  <w:r w:rsidRPr="00DE7E41">
                    <w:rPr>
                      <w:rFonts w:asciiTheme="majorHAnsi" w:hAnsiTheme="majorHAnsi" w:cstheme="majorHAnsi"/>
                      <w:szCs w:val="16"/>
                    </w:rPr>
                    <w:t>1 July 2020</w:t>
                  </w:r>
                </w:p>
              </w:tc>
              <w:tc>
                <w:tcPr>
                  <w:tcW w:w="2622" w:type="dxa"/>
                </w:tcPr>
                <w:p w:rsidR="00A73391" w:rsidRPr="00DE7E41" w:rsidRDefault="00A73391" w:rsidP="00DE7E41">
                  <w:pPr>
                    <w:spacing w:before="60" w:after="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6"/>
                    </w:rPr>
                  </w:pPr>
                  <w:r w:rsidRPr="00DE7E41">
                    <w:rPr>
                      <w:rFonts w:asciiTheme="majorHAnsi" w:hAnsiTheme="majorHAnsi" w:cstheme="majorHAnsi"/>
                      <w:szCs w:val="16"/>
                    </w:rPr>
                    <w:t>1 July 2021</w:t>
                  </w:r>
                </w:p>
              </w:tc>
            </w:tr>
            <w:tr w:rsidR="00221B12" w:rsidRPr="00CA211F" w:rsidTr="00D01EDD">
              <w:tc>
                <w:tcPr>
                  <w:cnfStyle w:val="001000000000" w:firstRow="0" w:lastRow="0" w:firstColumn="1" w:lastColumn="0" w:oddVBand="0" w:evenVBand="0" w:oddHBand="0" w:evenHBand="0" w:firstRowFirstColumn="0" w:firstRowLastColumn="0" w:lastRowFirstColumn="0" w:lastRowLastColumn="0"/>
                  <w:tcW w:w="2629" w:type="dxa"/>
                  <w:vAlign w:val="top"/>
                </w:tcPr>
                <w:p w:rsidR="00221B12" w:rsidRPr="00DE7E41" w:rsidRDefault="00221B12" w:rsidP="00DE7E41">
                  <w:pPr>
                    <w:spacing w:before="60" w:after="0"/>
                    <w:rPr>
                      <w:rFonts w:asciiTheme="majorHAnsi" w:hAnsiTheme="majorHAnsi" w:cstheme="majorHAnsi"/>
                      <w:szCs w:val="16"/>
                      <w:highlight w:val="yellow"/>
                    </w:rPr>
                  </w:pPr>
                  <w:r w:rsidRPr="00B30A5A">
                    <w:t>X Factor</w:t>
                  </w:r>
                </w:p>
              </w:tc>
              <w:tc>
                <w:tcPr>
                  <w:tcW w:w="2621" w:type="dxa"/>
                  <w:vAlign w:val="top"/>
                </w:tcPr>
                <w:p w:rsidR="00221B12" w:rsidRPr="00DE7E41" w:rsidRDefault="00221B12" w:rsidP="00CA644A">
                  <w:pPr>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highlight w:val="yellow"/>
                    </w:rPr>
                  </w:pPr>
                  <w:r w:rsidRPr="00B30A5A">
                    <w:t>0.05</w:t>
                  </w:r>
                </w:p>
              </w:tc>
              <w:tc>
                <w:tcPr>
                  <w:tcW w:w="2622" w:type="dxa"/>
                  <w:vAlign w:val="top"/>
                </w:tcPr>
                <w:p w:rsidR="00221B12" w:rsidRPr="00DE7E41" w:rsidRDefault="00221B12" w:rsidP="00CA644A">
                  <w:pPr>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highlight w:val="yellow"/>
                    </w:rPr>
                  </w:pPr>
                  <w:r w:rsidRPr="00B30A5A">
                    <w:t>0.05</w:t>
                  </w:r>
                </w:p>
              </w:tc>
              <w:tc>
                <w:tcPr>
                  <w:tcW w:w="2622" w:type="dxa"/>
                  <w:vAlign w:val="top"/>
                </w:tcPr>
                <w:p w:rsidR="00221B12" w:rsidRPr="00DE7E41" w:rsidRDefault="00221B12" w:rsidP="00CA644A">
                  <w:pPr>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highlight w:val="yellow"/>
                    </w:rPr>
                  </w:pPr>
                  <w:r w:rsidRPr="00B30A5A">
                    <w:t>3.0</w:t>
                  </w:r>
                  <w:r w:rsidR="0048787B">
                    <w:t>0</w:t>
                  </w:r>
                </w:p>
              </w:tc>
              <w:tc>
                <w:tcPr>
                  <w:tcW w:w="2622" w:type="dxa"/>
                  <w:vAlign w:val="top"/>
                </w:tcPr>
                <w:p w:rsidR="00221B12" w:rsidRPr="00DE7E41" w:rsidRDefault="00221B12" w:rsidP="00CA644A">
                  <w:pPr>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highlight w:val="yellow"/>
                    </w:rPr>
                  </w:pPr>
                  <w:r w:rsidRPr="00B30A5A">
                    <w:t>7.0</w:t>
                  </w:r>
                  <w:r w:rsidR="0048787B">
                    <w:t>0</w:t>
                  </w:r>
                </w:p>
              </w:tc>
            </w:tr>
          </w:tbl>
          <w:p w:rsidR="00A73391" w:rsidRPr="00DE7E41" w:rsidRDefault="00A73391" w:rsidP="009D631E">
            <w:pPr>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szCs w:val="16"/>
                <w:lang w:eastAsia="en-US"/>
              </w:rPr>
            </w:pPr>
            <w:r w:rsidRPr="00DE7E41">
              <w:rPr>
                <w:rFonts w:asciiTheme="majorHAnsi" w:hAnsiTheme="majorHAnsi" w:cstheme="majorHAnsi"/>
                <w:szCs w:val="16"/>
              </w:rPr>
              <w:t xml:space="preserve">The X factor for each financial year of the 2017-22 access arrangement period will be determined in the PTRM as approved in the AER’s final decision, and annually revised for the changes in </w:t>
            </w:r>
            <w:r w:rsidRPr="009D631E">
              <w:rPr>
                <w:rFonts w:asciiTheme="majorHAnsi" w:hAnsiTheme="majorHAnsi" w:cstheme="majorHAnsi"/>
                <w:strike/>
                <w:szCs w:val="16"/>
              </w:rPr>
              <w:t>the Consumer Price Index and</w:t>
            </w:r>
            <w:r w:rsidRPr="00DE7E41">
              <w:rPr>
                <w:rFonts w:asciiTheme="majorHAnsi" w:hAnsiTheme="majorHAnsi" w:cstheme="majorHAnsi"/>
                <w:szCs w:val="16"/>
              </w:rPr>
              <w:t xml:space="preserve"> the return on debt update calculated for the relevant financial year during the access arrangement period in accordance with that approved in the AER’s final decision.</w:t>
            </w:r>
          </w:p>
          <w:p w:rsidR="00A73391" w:rsidRPr="00DE7E41" w:rsidRDefault="00A73391" w:rsidP="00DE7E41">
            <w:pPr>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
                <w:szCs w:val="16"/>
                <w:lang w:eastAsia="en-US"/>
              </w:rPr>
            </w:pPr>
            <w:r w:rsidRPr="00DE7E41">
              <w:rPr>
                <w:rFonts w:asciiTheme="majorHAnsi" w:hAnsiTheme="majorHAnsi" w:cstheme="majorHAnsi"/>
                <w:b/>
                <w:szCs w:val="16"/>
              </w:rPr>
              <w:t>[…]</w:t>
            </w:r>
          </w:p>
          <w:p w:rsidR="00A73391" w:rsidRPr="00DE7E41" w:rsidRDefault="00A73391" w:rsidP="00DE7E41">
            <w:pPr>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
                <w:szCs w:val="16"/>
                <w:u w:val="single"/>
                <w:lang w:eastAsia="en-US"/>
              </w:rPr>
            </w:pPr>
            <w:r w:rsidRPr="00DE7E41">
              <w:rPr>
                <w:rFonts w:asciiTheme="majorHAnsi" w:hAnsiTheme="majorHAnsi" w:cstheme="majorHAnsi"/>
                <w:b/>
                <w:szCs w:val="16"/>
                <w:u w:val="single"/>
              </w:rPr>
              <w:t>Rates and allowances</w:t>
            </w:r>
          </w:p>
          <w:p w:rsidR="00A73391" w:rsidRPr="00DE7E41" w:rsidRDefault="00A73391" w:rsidP="00DE7E41">
            <w:pPr>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trike/>
                <w:szCs w:val="16"/>
              </w:rPr>
            </w:pPr>
            <w:r w:rsidRPr="00DE7E41">
              <w:rPr>
                <w:rFonts w:asciiTheme="majorHAnsi" w:hAnsiTheme="majorHAnsi" w:cstheme="majorHAnsi"/>
                <w:b/>
                <w:strike/>
                <w:szCs w:val="16"/>
              </w:rPr>
              <w:t>Short Term Firm Reference Tariff</w:t>
            </w:r>
            <w:r w:rsidRPr="00DE7E41">
              <w:rPr>
                <w:rFonts w:asciiTheme="majorHAnsi" w:hAnsiTheme="majorHAnsi" w:cstheme="majorHAnsi"/>
                <w:strike/>
                <w:szCs w:val="16"/>
              </w:rPr>
              <w:t>– 166% of the Long Term Firm Reference Tariff</w:t>
            </w:r>
          </w:p>
          <w:p w:rsidR="00A73391" w:rsidRPr="00DE7E41" w:rsidRDefault="00A73391" w:rsidP="00DE7E41">
            <w:pPr>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szCs w:val="16"/>
                <w:lang w:eastAsia="en-US"/>
              </w:rPr>
            </w:pPr>
            <w:r w:rsidRPr="00DE7E41">
              <w:rPr>
                <w:rFonts w:asciiTheme="majorHAnsi" w:hAnsiTheme="majorHAnsi" w:cstheme="majorHAnsi"/>
                <w:szCs w:val="16"/>
              </w:rPr>
              <w:t>[…]</w:t>
            </w:r>
          </w:p>
        </w:tc>
      </w:tr>
    </w:tbl>
    <w:p w:rsidR="00E52B33" w:rsidRPr="004D05AF" w:rsidRDefault="00E52B33" w:rsidP="004D05AF">
      <w:pPr>
        <w:rPr>
          <w:sz w:val="2"/>
          <w:szCs w:val="2"/>
        </w:rPr>
      </w:pPr>
    </w:p>
    <w:sectPr w:rsidR="00E52B33" w:rsidRPr="004D05AF" w:rsidSect="00275DCF">
      <w:pgSz w:w="16838" w:h="11906" w:orient="landscape" w:code="9"/>
      <w:pgMar w:top="1729" w:right="1440" w:bottom="1700" w:left="1582"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44A" w:rsidRPr="00290C63" w:rsidRDefault="00CA644A" w:rsidP="00290C63">
      <w:r>
        <w:separator/>
      </w:r>
    </w:p>
    <w:p w:rsidR="00CA644A" w:rsidRDefault="00CA644A"/>
  </w:endnote>
  <w:endnote w:type="continuationSeparator" w:id="0">
    <w:p w:rsidR="00CA644A" w:rsidRPr="00290C63" w:rsidRDefault="00CA644A" w:rsidP="00290C63">
      <w:r>
        <w:continuationSeparator/>
      </w:r>
    </w:p>
    <w:p w:rsidR="00CA644A" w:rsidRDefault="00CA6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4A" w:rsidRDefault="00CA644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CA644A" w:rsidRDefault="00CA644A">
    <w:pPr>
      <w:pStyle w:val="Footer"/>
    </w:pPr>
  </w:p>
  <w:p w:rsidR="00CA644A" w:rsidRDefault="00CA644A">
    <w:pPr>
      <w:pStyle w:val="Footer"/>
    </w:pPr>
    <w:r>
      <w:fldChar w:fldCharType="begin"/>
    </w:r>
    <w:r>
      <w:instrText xml:space="preserve"> DOCPROPERTY DocumentID \* MERGEFORMAT </w:instrText>
    </w:r>
    <w:r>
      <w:fldChar w:fldCharType="separate"/>
    </w:r>
    <w:r w:rsidR="00CD1954">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313344"/>
      <w:docPartObj>
        <w:docPartGallery w:val="Page Numbers (Bottom of Page)"/>
        <w:docPartUnique/>
      </w:docPartObj>
    </w:sdtPr>
    <w:sdtEndPr/>
    <w:sdtContent>
      <w:p w:rsidR="00CA644A" w:rsidRPr="00CA52A2" w:rsidRDefault="00CA644A" w:rsidP="00CA52A2">
        <w:pPr>
          <w:pStyle w:val="Footer"/>
        </w:pPr>
        <w:r w:rsidRPr="00CA52A2">
          <w:fldChar w:fldCharType="begin"/>
        </w:r>
        <w:r>
          <w:instrText xml:space="preserve"> PAGE   \* MERGEFORMAT </w:instrText>
        </w:r>
        <w:r w:rsidRPr="00CA52A2">
          <w:fldChar w:fldCharType="separate"/>
        </w:r>
        <w:r w:rsidR="00CD1954">
          <w:rPr>
            <w:noProof/>
          </w:rPr>
          <w:t>10-15</w:t>
        </w:r>
        <w:r w:rsidRPr="00CA52A2">
          <w:fldChar w:fldCharType="end"/>
        </w:r>
        <w:r w:rsidRPr="00CA52A2">
          <w:t xml:space="preserve">          Attachment </w:t>
        </w:r>
        <w:r>
          <w:t xml:space="preserve">10 </w:t>
        </w:r>
        <w:r w:rsidRPr="00CA52A2">
          <w:t xml:space="preserve">– </w:t>
        </w:r>
        <w:r>
          <w:t>Reference tariff setting</w:t>
        </w:r>
        <w:r w:rsidRPr="00CA52A2">
          <w:t xml:space="preserve"> | </w:t>
        </w:r>
        <w:r>
          <w:t>Draft decision: Roma to Brisbane Gas Pipeline Access Arrangement 2017</w:t>
        </w:r>
        <w:r w:rsidRPr="00CA52A2">
          <w:t>–</w:t>
        </w:r>
        <w:r>
          <w:t>22</w:t>
        </w:r>
      </w:p>
    </w:sdtContent>
  </w:sdt>
  <w:p w:rsidR="00CA644A" w:rsidRDefault="00CA644A">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44A" w:rsidRPr="00290C63" w:rsidRDefault="00CA644A" w:rsidP="00290C63">
      <w:r>
        <w:separator/>
      </w:r>
    </w:p>
    <w:p w:rsidR="00CA644A" w:rsidRDefault="00CA644A"/>
  </w:footnote>
  <w:footnote w:type="continuationSeparator" w:id="0">
    <w:p w:rsidR="00CA644A" w:rsidRPr="00290C63" w:rsidRDefault="00CA644A" w:rsidP="00290C63">
      <w:r>
        <w:continuationSeparator/>
      </w:r>
    </w:p>
    <w:p w:rsidR="00CA644A" w:rsidRDefault="00CA644A"/>
  </w:footnote>
  <w:footnote w:id="1">
    <w:p w:rsidR="00CA644A" w:rsidRDefault="00CA644A">
      <w:pPr>
        <w:pStyle w:val="FootnoteText"/>
      </w:pPr>
      <w:r>
        <w:rPr>
          <w:rStyle w:val="FootnoteReference"/>
        </w:rPr>
        <w:footnoteRef/>
      </w:r>
      <w:r>
        <w:t xml:space="preserve"> </w:t>
      </w:r>
      <w:r>
        <w:tab/>
        <w:t xml:space="preserve">NGR, r. 100; </w:t>
      </w:r>
      <w:r w:rsidRPr="00FA7B7E">
        <w:t xml:space="preserve">NGL, ss. </w:t>
      </w:r>
      <w:r>
        <w:t>23 and 24</w:t>
      </w:r>
      <w:r w:rsidRPr="00FA7B7E" w:rsidDel="00AB1EC2">
        <w:t xml:space="preserve"> </w:t>
      </w:r>
      <w:r>
        <w:t>(</w:t>
      </w:r>
      <w:r w:rsidRPr="00FA7B7E">
        <w:t>2), 24(5)</w:t>
      </w:r>
      <w:r>
        <w:t>, 25(6) and 25(7)</w:t>
      </w:r>
      <w:r w:rsidRPr="00FA7B7E">
        <w:t>.</w:t>
      </w:r>
    </w:p>
  </w:footnote>
  <w:footnote w:id="2">
    <w:p w:rsidR="00CA644A" w:rsidRDefault="00CA644A" w:rsidP="00F0068F">
      <w:pPr>
        <w:pStyle w:val="FootnoteText"/>
      </w:pPr>
      <w:r>
        <w:rPr>
          <w:rStyle w:val="FootnoteReference"/>
        </w:rPr>
        <w:footnoteRef/>
      </w:r>
      <w:r>
        <w:t xml:space="preserve"> </w:t>
      </w:r>
      <w:r>
        <w:tab/>
        <w:t>NGL, Chapter 6.</w:t>
      </w:r>
    </w:p>
  </w:footnote>
  <w:footnote w:id="3">
    <w:p w:rsidR="00CA644A" w:rsidRDefault="00CA644A">
      <w:pPr>
        <w:pStyle w:val="FootnoteText"/>
      </w:pPr>
      <w:r>
        <w:rPr>
          <w:rStyle w:val="FootnoteReference"/>
        </w:rPr>
        <w:footnoteRef/>
      </w:r>
      <w:r>
        <w:t xml:space="preserve"> </w:t>
      </w:r>
      <w:r>
        <w:tab/>
        <w:t>Note that in contrast to the current access arrangement, the charging parameter for the STFS and LTFS is capacity based (calculated on the basis of Maximum Daily Quantity (MDQ)), and does not incorporate a throughput charge (based on GJ/year).</w:t>
      </w:r>
    </w:p>
  </w:footnote>
  <w:footnote w:id="4">
    <w:p w:rsidR="00CA644A" w:rsidRDefault="00CA644A">
      <w:pPr>
        <w:pStyle w:val="FootnoteText"/>
      </w:pPr>
      <w:r>
        <w:rPr>
          <w:rStyle w:val="FootnoteReference"/>
        </w:rPr>
        <w:footnoteRef/>
      </w:r>
      <w:r>
        <w:t xml:space="preserve"> </w:t>
      </w:r>
      <w:r>
        <w:tab/>
        <w:t xml:space="preserve">APA, </w:t>
      </w:r>
      <w:r w:rsidRPr="003C5C81">
        <w:rPr>
          <w:rStyle w:val="AERtextitalic"/>
        </w:rPr>
        <w:t>Roma to Bri</w:t>
      </w:r>
      <w:r>
        <w:rPr>
          <w:rStyle w:val="AERtextitalic"/>
        </w:rPr>
        <w:t>sbane P</w:t>
      </w:r>
      <w:r w:rsidRPr="003C5C81">
        <w:rPr>
          <w:rStyle w:val="AERtextitalic"/>
        </w:rPr>
        <w:t>ipeline access arrangement submission, Effective 1 July 2017 to 30 June 2022, September 2016</w:t>
      </w:r>
      <w:r>
        <w:t>, p.48.</w:t>
      </w:r>
    </w:p>
  </w:footnote>
  <w:footnote w:id="5">
    <w:p w:rsidR="00CA644A" w:rsidRDefault="00CA644A">
      <w:pPr>
        <w:pStyle w:val="FootnoteText"/>
      </w:pPr>
      <w:r>
        <w:rPr>
          <w:rStyle w:val="FootnoteReference"/>
        </w:rPr>
        <w:footnoteRef/>
      </w:r>
      <w:r>
        <w:t xml:space="preserve"> </w:t>
      </w:r>
      <w:r>
        <w:tab/>
        <w:t xml:space="preserve">APA, </w:t>
      </w:r>
      <w:r w:rsidRPr="003C5C81">
        <w:rPr>
          <w:rStyle w:val="AERtextitalic"/>
        </w:rPr>
        <w:t>Roma to Bri</w:t>
      </w:r>
      <w:r>
        <w:rPr>
          <w:rStyle w:val="AERtextitalic"/>
        </w:rPr>
        <w:t>sbane P</w:t>
      </w:r>
      <w:r w:rsidRPr="003C5C81">
        <w:rPr>
          <w:rStyle w:val="AERtextitalic"/>
        </w:rPr>
        <w:t>ipeline access arrangement submission, Effective 1 July 2017 to 30 June 2022, September 2016</w:t>
      </w:r>
      <w:r>
        <w:t>, p.196.</w:t>
      </w:r>
    </w:p>
  </w:footnote>
  <w:footnote w:id="6">
    <w:p w:rsidR="00CA644A" w:rsidRDefault="00CA644A">
      <w:pPr>
        <w:pStyle w:val="FootnoteText"/>
      </w:pPr>
      <w:r>
        <w:rPr>
          <w:rStyle w:val="FootnoteReference"/>
        </w:rPr>
        <w:footnoteRef/>
      </w:r>
      <w:r>
        <w:t xml:space="preserve"> </w:t>
      </w:r>
      <w:r>
        <w:tab/>
        <w:t xml:space="preserve">Email from APTPPL to AER staff, </w:t>
      </w:r>
      <w:r w:rsidRPr="006B0D80">
        <w:rPr>
          <w:rStyle w:val="AERtextitalic"/>
        </w:rPr>
        <w:t>Arithmetic bust</w:t>
      </w:r>
      <w:r>
        <w:t>, 14 July 2016.</w:t>
      </w:r>
    </w:p>
  </w:footnote>
  <w:footnote w:id="7">
    <w:p w:rsidR="00CA644A" w:rsidRDefault="00CA644A">
      <w:pPr>
        <w:pStyle w:val="FootnoteText"/>
      </w:pPr>
      <w:r>
        <w:rPr>
          <w:rStyle w:val="FootnoteReference"/>
        </w:rPr>
        <w:footnoteRef/>
      </w:r>
      <w:r>
        <w:t xml:space="preserve"> </w:t>
      </w:r>
      <w:r>
        <w:tab/>
      </w:r>
      <w:r w:rsidRPr="00F2602D">
        <w:t>NGR, rr. 48(1)(d)(i); 72(1)(j)(i); 72(1)(j)(ii).</w:t>
      </w:r>
    </w:p>
  </w:footnote>
  <w:footnote w:id="8">
    <w:p w:rsidR="00CA644A" w:rsidRDefault="00CA644A">
      <w:pPr>
        <w:pStyle w:val="FootnoteText"/>
      </w:pPr>
      <w:r>
        <w:rPr>
          <w:rStyle w:val="FootnoteReference"/>
        </w:rPr>
        <w:footnoteRef/>
      </w:r>
      <w:r>
        <w:t xml:space="preserve"> </w:t>
      </w:r>
      <w:r>
        <w:tab/>
      </w:r>
      <w:r w:rsidRPr="00F2602D">
        <w:t>NGR, r. 93(1)–(2).</w:t>
      </w:r>
    </w:p>
  </w:footnote>
  <w:footnote w:id="9">
    <w:p w:rsidR="00CA644A" w:rsidRDefault="00CA644A">
      <w:pPr>
        <w:pStyle w:val="FootnoteText"/>
      </w:pPr>
      <w:r>
        <w:rPr>
          <w:rStyle w:val="FootnoteReference"/>
        </w:rPr>
        <w:footnoteRef/>
      </w:r>
      <w:r>
        <w:t xml:space="preserve"> </w:t>
      </w:r>
      <w:r>
        <w:tab/>
        <w:t>NGR, r. 95(1).</w:t>
      </w:r>
    </w:p>
  </w:footnote>
  <w:footnote w:id="10">
    <w:p w:rsidR="00CA644A" w:rsidRDefault="00CA644A">
      <w:pPr>
        <w:pStyle w:val="FootnoteText"/>
      </w:pPr>
      <w:r>
        <w:rPr>
          <w:rStyle w:val="FootnoteReference"/>
        </w:rPr>
        <w:footnoteRef/>
      </w:r>
      <w:r>
        <w:t xml:space="preserve"> </w:t>
      </w:r>
      <w:r>
        <w:tab/>
      </w:r>
      <w:r w:rsidRPr="00F2602D">
        <w:t>NGR, rr. 48(1)(d)(i); 72(1)(j)(i); 72(1)(j)(ii).</w:t>
      </w:r>
    </w:p>
  </w:footnote>
  <w:footnote w:id="11">
    <w:p w:rsidR="00CA644A" w:rsidRDefault="00CA644A">
      <w:pPr>
        <w:pStyle w:val="FootnoteText"/>
      </w:pPr>
      <w:r>
        <w:rPr>
          <w:rStyle w:val="FootnoteReference"/>
        </w:rPr>
        <w:footnoteRef/>
      </w:r>
      <w:r>
        <w:t xml:space="preserve"> </w:t>
      </w:r>
      <w:r>
        <w:tab/>
        <w:t xml:space="preserve">APA, </w:t>
      </w:r>
      <w:r w:rsidRPr="00FB526D">
        <w:rPr>
          <w:rStyle w:val="AERtextitalic"/>
        </w:rPr>
        <w:t>Roma to Brisbane pipeline access arrangement information: Effective 1 July 2017 to 30 June 2022</w:t>
      </w:r>
      <w:r>
        <w:t>, September 2016, pp. 31–32.</w:t>
      </w:r>
    </w:p>
  </w:footnote>
  <w:footnote w:id="12">
    <w:p w:rsidR="00CA644A" w:rsidRDefault="00CA644A" w:rsidP="0002084C">
      <w:pPr>
        <w:pStyle w:val="FootnoteText"/>
      </w:pPr>
      <w:r>
        <w:rPr>
          <w:rStyle w:val="FootnoteReference"/>
        </w:rPr>
        <w:footnoteRef/>
      </w:r>
      <w:r>
        <w:t xml:space="preserve"> </w:t>
      </w:r>
      <w:r>
        <w:tab/>
        <w:t xml:space="preserve">APA, </w:t>
      </w:r>
      <w:r w:rsidRPr="00FB526D">
        <w:rPr>
          <w:rStyle w:val="AERtextitalic"/>
        </w:rPr>
        <w:t>Roma to Brisbane pipeline proposed revised access arrangement: Effective 1 July 2017 to 30 June 2022</w:t>
      </w:r>
      <w:r>
        <w:t>, September 2016. </w:t>
      </w:r>
    </w:p>
  </w:footnote>
  <w:footnote w:id="13">
    <w:p w:rsidR="00CA644A" w:rsidRDefault="00CA644A" w:rsidP="0002084C">
      <w:pPr>
        <w:pStyle w:val="FootnoteText"/>
      </w:pPr>
      <w:r>
        <w:rPr>
          <w:rStyle w:val="FootnoteReference"/>
        </w:rPr>
        <w:footnoteRef/>
      </w:r>
      <w:r>
        <w:t xml:space="preserve"> </w:t>
      </w:r>
      <w:r>
        <w:tab/>
        <w:t xml:space="preserve">Australian Energy Council, </w:t>
      </w:r>
      <w:r w:rsidRPr="00F1214E">
        <w:rPr>
          <w:rStyle w:val="AERtextitalic"/>
        </w:rPr>
        <w:t>Roma (Wallumbilla) to Brisbane Pipeline – Access Arrangement 2017-2022</w:t>
      </w:r>
      <w:r>
        <w:t xml:space="preserve">, 20 October 2016; Shell Australia, </w:t>
      </w:r>
      <w:r w:rsidRPr="0097483A">
        <w:rPr>
          <w:rStyle w:val="AERtextitalic"/>
        </w:rPr>
        <w:t>Roma (Wallumbilla) to Brisbane Pipeline – Access Arrangement 2017-2022</w:t>
      </w:r>
      <w:r>
        <w:t xml:space="preserve">, 27 October 2016; Australia Pacific LNG, </w:t>
      </w:r>
      <w:r w:rsidRPr="002870D5">
        <w:rPr>
          <w:rStyle w:val="AERtextitalic"/>
        </w:rPr>
        <w:t>Proposed Roma to Brisbane</w:t>
      </w:r>
      <w:r>
        <w:rPr>
          <w:rStyle w:val="AERtextitalic"/>
        </w:rPr>
        <w:t xml:space="preserve"> (RBP)</w:t>
      </w:r>
      <w:r w:rsidRPr="002870D5">
        <w:rPr>
          <w:rStyle w:val="AERtextitalic"/>
        </w:rPr>
        <w:t xml:space="preserve"> Pipeline access arrangement</w:t>
      </w:r>
      <w:r>
        <w:t xml:space="preserve">, 4 November 2016; Origin, </w:t>
      </w:r>
      <w:r w:rsidRPr="0097483A">
        <w:rPr>
          <w:rStyle w:val="AERtextitalic"/>
        </w:rPr>
        <w:t>Roma (Wallumbilla) to Brisbane Pipeline – Access Arrangement 2017-2022</w:t>
      </w:r>
      <w:r>
        <w:t>, 20 October 2016.</w:t>
      </w:r>
    </w:p>
  </w:footnote>
  <w:footnote w:id="14">
    <w:p w:rsidR="00CA644A" w:rsidRDefault="00CA644A" w:rsidP="008A704D">
      <w:pPr>
        <w:pStyle w:val="FootnoteText"/>
      </w:pPr>
      <w:r>
        <w:rPr>
          <w:rStyle w:val="FootnoteReference"/>
        </w:rPr>
        <w:footnoteRef/>
      </w:r>
      <w:r>
        <w:t xml:space="preserve"> </w:t>
      </w:r>
      <w:r>
        <w:tab/>
        <w:t>Shell, Roma (Wallumbilla) to Brisbane Pipeline - Access Arrangement, 27 October 2016, p.1.</w:t>
      </w:r>
    </w:p>
  </w:footnote>
  <w:footnote w:id="15">
    <w:p w:rsidR="00CA644A" w:rsidRDefault="00CA644A" w:rsidP="00C7569A">
      <w:pPr>
        <w:pStyle w:val="FootnoteText"/>
      </w:pPr>
      <w:r>
        <w:rPr>
          <w:rStyle w:val="FootnoteReference"/>
        </w:rPr>
        <w:footnoteRef/>
      </w:r>
      <w:r>
        <w:t xml:space="preserve"> </w:t>
      </w:r>
      <w:r>
        <w:tab/>
        <w:t xml:space="preserve">AEC, Roma (Wallumbilla) to Brisbane Pipeline - Access Arrangement 2017-2022, 20 October 2016, pp.2-3. APLNG, </w:t>
      </w:r>
      <w:r w:rsidRPr="0084370A">
        <w:t xml:space="preserve">Submission on RBP Access Arrangement 2017-22, </w:t>
      </w:r>
      <w:r>
        <w:t>4</w:t>
      </w:r>
      <w:r w:rsidRPr="0084370A">
        <w:t xml:space="preserve"> </w:t>
      </w:r>
      <w:r>
        <w:t>November 2016, p. 2. Shell, Roma (Wallumbilla) to Brisbane Pipeline - Access Arrangement, 27 October 2016, pp.3-4.</w:t>
      </w:r>
    </w:p>
  </w:footnote>
  <w:footnote w:id="16">
    <w:p w:rsidR="00CA644A" w:rsidRDefault="00CA644A" w:rsidP="00E10F82">
      <w:pPr>
        <w:pStyle w:val="FootnoteText"/>
      </w:pPr>
      <w:r>
        <w:rPr>
          <w:rStyle w:val="FootnoteReference"/>
        </w:rPr>
        <w:footnoteRef/>
      </w:r>
      <w:r>
        <w:t xml:space="preserve"> </w:t>
      </w:r>
      <w:r>
        <w:tab/>
        <w:t xml:space="preserve">AER Letter to APTPPL, </w:t>
      </w:r>
      <w:r w:rsidRPr="00AC0E1B">
        <w:rPr>
          <w:rStyle w:val="AERtextitalic"/>
        </w:rPr>
        <w:t>Roma to Brisbane Pipeline 2016/17 Reference Tariff–Notification of calculation error</w:t>
      </w:r>
      <w:r>
        <w:t>, 25 July 2016.</w:t>
      </w:r>
    </w:p>
  </w:footnote>
  <w:footnote w:id="17">
    <w:p w:rsidR="00CA644A" w:rsidRDefault="00CA644A" w:rsidP="00C31259">
      <w:pPr>
        <w:pStyle w:val="FootnoteText"/>
      </w:pPr>
      <w:r>
        <w:rPr>
          <w:rStyle w:val="FootnoteReference"/>
        </w:rPr>
        <w:footnoteRef/>
      </w:r>
      <w:r>
        <w:t xml:space="preserve"> </w:t>
      </w:r>
      <w:r>
        <w:tab/>
        <w:t>NGL, Chapter 6.</w:t>
      </w:r>
    </w:p>
  </w:footnote>
  <w:footnote w:id="18">
    <w:p w:rsidR="00CA644A" w:rsidRDefault="00CA644A" w:rsidP="008A0A4B">
      <w:pPr>
        <w:pStyle w:val="FootnoteText"/>
      </w:pPr>
      <w:r>
        <w:rPr>
          <w:rStyle w:val="FootnoteReference"/>
        </w:rPr>
        <w:footnoteRef/>
      </w:r>
      <w:r>
        <w:t xml:space="preserve"> </w:t>
      </w:r>
      <w:r>
        <w:tab/>
        <w:t xml:space="preserve">Shell, </w:t>
      </w:r>
      <w:r w:rsidRPr="00D01EDD">
        <w:rPr>
          <w:rStyle w:val="AERtextitalic"/>
        </w:rPr>
        <w:t>Roma (Wallumbilla) to Brisbane Pipeline - Access Arrangement</w:t>
      </w:r>
      <w:r>
        <w:t xml:space="preserve">, 27 October 2016, p.1. </w:t>
      </w:r>
    </w:p>
  </w:footnote>
  <w:footnote w:id="19">
    <w:p w:rsidR="00CA644A" w:rsidRDefault="00CA644A" w:rsidP="008A0A4B">
      <w:pPr>
        <w:pStyle w:val="FootnoteText"/>
      </w:pPr>
      <w:r>
        <w:rPr>
          <w:rStyle w:val="FootnoteReference"/>
        </w:rPr>
        <w:footnoteRef/>
      </w:r>
      <w:r>
        <w:t xml:space="preserve"> </w:t>
      </w:r>
      <w:r>
        <w:tab/>
      </w:r>
      <w:r w:rsidRPr="001F77C4">
        <w:t>ACCC</w:t>
      </w:r>
      <w:r w:rsidRPr="00D01EDD">
        <w:rPr>
          <w:rStyle w:val="AERtextitalic"/>
        </w:rPr>
        <w:t>, Final Decision: Revised access arrangement by APT Petroleum Pipelines Ltd for the Roma to Brisbane Pipeline</w:t>
      </w:r>
      <w:r w:rsidRPr="001F77C4">
        <w:t>, 20 December 2006, p. 154</w:t>
      </w:r>
      <w:r>
        <w:t>.</w:t>
      </w:r>
    </w:p>
  </w:footnote>
  <w:footnote w:id="20">
    <w:p w:rsidR="00CA644A" w:rsidRPr="00AE34E0" w:rsidRDefault="00CA644A" w:rsidP="008A0A4B">
      <w:pPr>
        <w:pStyle w:val="FootnoteText"/>
        <w:ind w:left="0" w:firstLine="0"/>
      </w:pPr>
      <w:r>
        <w:rPr>
          <w:rStyle w:val="FootnoteReference"/>
        </w:rPr>
        <w:footnoteRef/>
      </w:r>
      <w:r>
        <w:t xml:space="preserve"> </w:t>
      </w:r>
      <w:r>
        <w:tab/>
      </w:r>
      <w:r w:rsidRPr="00AE34E0">
        <w:t xml:space="preserve">ACCC, </w:t>
      </w:r>
      <w:r w:rsidRPr="00D01EDD">
        <w:rPr>
          <w:rStyle w:val="AERtextitalic"/>
        </w:rPr>
        <w:t>Final Decision: Revised access arrangement by APT Petroleum Pipelines Ltd for the Roma to Brisbane Pipeline</w:t>
      </w:r>
      <w:r w:rsidRPr="00AE34E0">
        <w:t>, 20 December 2006, p. 154.</w:t>
      </w:r>
    </w:p>
  </w:footnote>
  <w:footnote w:id="21">
    <w:p w:rsidR="00CA644A" w:rsidRDefault="00CA644A" w:rsidP="008A0A4B">
      <w:pPr>
        <w:pStyle w:val="FootnoteText"/>
      </w:pPr>
      <w:r>
        <w:rPr>
          <w:rStyle w:val="FootnoteReference"/>
        </w:rPr>
        <w:footnoteRef/>
      </w:r>
      <w:r>
        <w:t xml:space="preserve"> </w:t>
      </w:r>
      <w:r>
        <w:tab/>
        <w:t xml:space="preserve">ACCC, </w:t>
      </w:r>
      <w:r w:rsidRPr="00D01EDD">
        <w:rPr>
          <w:rStyle w:val="AERtextitalic"/>
        </w:rPr>
        <w:t>Draft Decision: Access arrangement Roma to Brisbane Pipeline 2012-13 to 2016-17</w:t>
      </w:r>
      <w:r>
        <w:t xml:space="preserve">, April 2012, p. 57 and ACCC, </w:t>
      </w:r>
      <w:r w:rsidRPr="00D01EDD">
        <w:rPr>
          <w:rStyle w:val="AERtextitalic"/>
        </w:rPr>
        <w:t>Final Decision: Access arrangement Roma to Brisbane Pipeline 2012-13 to 2016-17</w:t>
      </w:r>
      <w:r w:rsidRPr="008664C0">
        <w:t xml:space="preserve">, </w:t>
      </w:r>
      <w:r>
        <w:t>August</w:t>
      </w:r>
      <w:r w:rsidRPr="008664C0">
        <w:t xml:space="preserve"> 2012, p. </w:t>
      </w:r>
      <w:r>
        <w:t>139.</w:t>
      </w:r>
    </w:p>
  </w:footnote>
  <w:footnote w:id="22">
    <w:p w:rsidR="00CA644A" w:rsidRDefault="00CA644A" w:rsidP="008A0A4B">
      <w:pPr>
        <w:pStyle w:val="FootnoteText"/>
      </w:pPr>
      <w:r>
        <w:rPr>
          <w:rStyle w:val="FootnoteReference"/>
        </w:rPr>
        <w:footnoteRef/>
      </w:r>
      <w:r>
        <w:t xml:space="preserve"> </w:t>
      </w:r>
      <w:r>
        <w:tab/>
        <w:t xml:space="preserve">APTPPL, </w:t>
      </w:r>
      <w:r w:rsidRPr="00D01EDD">
        <w:rPr>
          <w:rStyle w:val="AERtextitalic"/>
        </w:rPr>
        <w:t>Roma to Brisbane Pipeline access arrangement information</w:t>
      </w:r>
      <w:r w:rsidRPr="00001AA0">
        <w:t xml:space="preserve">, September 2016, p. </w:t>
      </w:r>
      <w:r>
        <w:t>18</w:t>
      </w:r>
      <w:r w:rsidRPr="00001AA0">
        <w:t>.</w:t>
      </w:r>
    </w:p>
  </w:footnote>
  <w:footnote w:id="23">
    <w:p w:rsidR="00CA644A" w:rsidRDefault="00CA644A" w:rsidP="008A0A4B">
      <w:pPr>
        <w:pStyle w:val="FootnoteText"/>
      </w:pPr>
      <w:r>
        <w:rPr>
          <w:rStyle w:val="FootnoteReference"/>
        </w:rPr>
        <w:footnoteRef/>
      </w:r>
      <w:r>
        <w:t xml:space="preserve"> </w:t>
      </w:r>
      <w:r>
        <w:tab/>
        <w:t xml:space="preserve">The demand for part-haul services between Kogan and Wallumbilla has been increasing and is forecast by APTPPL to reach 75 TJ/day by 2021-22, which represents 37 per cent of forecast demand in that year.  </w:t>
      </w:r>
      <w:r w:rsidRPr="000571C1">
        <w:t xml:space="preserve">The </w:t>
      </w:r>
      <w:r>
        <w:t xml:space="preserve">increasing demand </w:t>
      </w:r>
      <w:r w:rsidRPr="000571C1">
        <w:t>for this service</w:t>
      </w:r>
      <w:r>
        <w:t xml:space="preserve"> </w:t>
      </w:r>
      <w:r w:rsidRPr="00565E8B">
        <w:t xml:space="preserve">is primarily being driven by users with interests in </w:t>
      </w:r>
      <w:r>
        <w:t>the Darling Downs region</w:t>
      </w:r>
      <w:r w:rsidRPr="00565E8B">
        <w:t xml:space="preserve">, who are </w:t>
      </w:r>
      <w:r>
        <w:t xml:space="preserve">looking </w:t>
      </w:r>
      <w:r w:rsidRPr="00565E8B">
        <w:t>to send gas in a westerly direction to Wallumbilla, either for sale in the Gas Supply Hub, or to another location</w:t>
      </w:r>
      <w:r>
        <w:t xml:space="preserve">.  In contrast to the demand for part-haul services, the demand for full-haul services between Wallumbilla and Brisbane has been declining. It is, however, still forecast to account for 63 per cent of forecast demand over the access arrangement period. </w:t>
      </w:r>
    </w:p>
  </w:footnote>
  <w:footnote w:id="24">
    <w:p w:rsidR="00CA644A" w:rsidRDefault="00CA644A">
      <w:pPr>
        <w:pStyle w:val="FootnoteText"/>
      </w:pPr>
      <w:r>
        <w:rPr>
          <w:rStyle w:val="FootnoteReference"/>
        </w:rPr>
        <w:footnoteRef/>
      </w:r>
      <w:r>
        <w:t xml:space="preserve"> </w:t>
      </w:r>
      <w:r>
        <w:tab/>
        <w:t xml:space="preserve">See ERA, </w:t>
      </w:r>
      <w:r w:rsidRPr="004C7BE2">
        <w:rPr>
          <w:rStyle w:val="AERtextitalic"/>
        </w:rPr>
        <w:t>Final Decision on Proposed Revisions to the Access Arrangement for the Dampier to Bunbury Natural Gas Pipeline</w:t>
      </w:r>
      <w:r>
        <w:t xml:space="preserve">, 2 November 2005, p. 88 and ERA, </w:t>
      </w:r>
      <w:r w:rsidRPr="004C7BE2">
        <w:rPr>
          <w:rStyle w:val="AERtextitalic"/>
        </w:rPr>
        <w:t xml:space="preserve">Final Decision on Proposed Revisions to the Access </w:t>
      </w:r>
      <w:bookmarkStart w:id="23" w:name="_GoBack"/>
      <w:bookmarkEnd w:id="23"/>
      <w:r w:rsidRPr="004C7BE2">
        <w:rPr>
          <w:rStyle w:val="AERtextitalic"/>
        </w:rPr>
        <w:t>Arrangement for the Dampier to Bunbury Natural Gas Pipeline 2016-2020</w:t>
      </w:r>
      <w:r>
        <w:t>, 2 November 2005, p. 92.</w:t>
      </w:r>
    </w:p>
  </w:footnote>
  <w:footnote w:id="25">
    <w:p w:rsidR="00CA644A" w:rsidRDefault="00CA644A" w:rsidP="00E3109D">
      <w:pPr>
        <w:pStyle w:val="FootnoteText"/>
      </w:pPr>
      <w:r>
        <w:rPr>
          <w:rStyle w:val="FootnoteReference"/>
        </w:rPr>
        <w:footnoteRef/>
      </w:r>
      <w:r>
        <w:t xml:space="preserve"> </w:t>
      </w:r>
      <w:r>
        <w:tab/>
        <w:t>NGR, ss. 24(3), 24(5), 24(6) and 24(7).</w:t>
      </w:r>
    </w:p>
  </w:footnote>
  <w:footnote w:id="26">
    <w:p w:rsidR="00CA644A" w:rsidRDefault="00CA644A" w:rsidP="00E31CDF">
      <w:pPr>
        <w:pStyle w:val="FootnoteText"/>
      </w:pPr>
      <w:r>
        <w:rPr>
          <w:rStyle w:val="FootnoteReference"/>
        </w:rPr>
        <w:footnoteRef/>
      </w:r>
      <w:r>
        <w:t xml:space="preserve"> </w:t>
      </w:r>
      <w:r>
        <w:tab/>
        <w:t xml:space="preserve">Note that the change would only affect those shippers whose contracts are due to expire in the access arrangement period, existing and prospective shippers that are seeking new services. </w:t>
      </w:r>
    </w:p>
  </w:footnote>
  <w:footnote w:id="27">
    <w:p w:rsidR="00CA644A" w:rsidRDefault="00CA644A">
      <w:pPr>
        <w:pStyle w:val="FootnoteText"/>
      </w:pPr>
      <w:r>
        <w:rPr>
          <w:rStyle w:val="FootnoteReference"/>
        </w:rPr>
        <w:footnoteRef/>
      </w:r>
      <w:r>
        <w:t xml:space="preserve"> </w:t>
      </w:r>
      <w:r>
        <w:tab/>
        <w:t xml:space="preserve">Clause 4.5.5 of the current access arrangement says that if a past annual tariff adjustment contains a clerical mistake, accidental slip or omission, miscalculation or mis-description then subsequent tariffs can be amended to take account of this.  </w:t>
      </w:r>
    </w:p>
    <w:p w:rsidR="00CA644A" w:rsidRDefault="00CA644A">
      <w:pPr>
        <w:pStyle w:val="FootnoteText"/>
      </w:pPr>
      <w:r>
        <w:tab/>
        <w:t xml:space="preserve">APT Petroleum Pipelines Pty Ltd, </w:t>
      </w:r>
      <w:r w:rsidRPr="00314873">
        <w:rPr>
          <w:rStyle w:val="AERtextitalic"/>
        </w:rPr>
        <w:t>Roma To Brisbane Pipeline Access Arrangement, 1 September 2012 to 30 June 2017</w:t>
      </w:r>
      <w:r>
        <w:t>, August 2012, p. 19.</w:t>
      </w:r>
    </w:p>
  </w:footnote>
  <w:footnote w:id="28">
    <w:p w:rsidR="00CA644A" w:rsidRDefault="00CA644A">
      <w:pPr>
        <w:pStyle w:val="FootnoteText"/>
      </w:pPr>
      <w:r>
        <w:rPr>
          <w:rStyle w:val="FootnoteReference"/>
        </w:rPr>
        <w:footnoteRef/>
      </w:r>
      <w:r>
        <w:t xml:space="preserve"> </w:t>
      </w:r>
      <w:r>
        <w:tab/>
      </w:r>
      <w:r w:rsidRPr="009F7A6A">
        <w:t xml:space="preserve">AER </w:t>
      </w:r>
      <w:r>
        <w:t>Letter to APTPPL,</w:t>
      </w:r>
      <w:r w:rsidRPr="009F7A6A">
        <w:t xml:space="preserve"> </w:t>
      </w:r>
      <w:r w:rsidRPr="009F7A6A">
        <w:rPr>
          <w:rStyle w:val="AERtextitalic"/>
        </w:rPr>
        <w:t>Roma to Brisbane Pipeline 2016/17 Reference Tariff–Notification of calculation error</w:t>
      </w:r>
      <w:r w:rsidRPr="009F7A6A">
        <w:t xml:space="preserve">, </w:t>
      </w:r>
      <w:r>
        <w:t>25 </w:t>
      </w:r>
      <w:r w:rsidRPr="009F7A6A">
        <w:t>July 2016</w:t>
      </w:r>
      <w:r>
        <w:t>.</w:t>
      </w:r>
    </w:p>
  </w:footnote>
  <w:footnote w:id="29">
    <w:p w:rsidR="00CA644A" w:rsidRDefault="00CA644A">
      <w:pPr>
        <w:pStyle w:val="FootnoteText"/>
      </w:pPr>
      <w:r>
        <w:rPr>
          <w:rStyle w:val="FootnoteReference"/>
        </w:rPr>
        <w:footnoteRef/>
      </w:r>
      <w:r>
        <w:t xml:space="preserve"> </w:t>
      </w:r>
      <w:r>
        <w:tab/>
        <w:t>See confidential appendix A to this attachment.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4A" w:rsidRDefault="00CD1954">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CA644A">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4A" w:rsidRDefault="00CD1954">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230099C"/>
    <w:multiLevelType w:val="hybridMultilevel"/>
    <w:tmpl w:val="9A4CD72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3915B3E"/>
    <w:multiLevelType w:val="hybridMultilevel"/>
    <w:tmpl w:val="58CAD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39A4216"/>
    <w:multiLevelType w:val="hybridMultilevel"/>
    <w:tmpl w:val="EC0AC6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239F5402"/>
    <w:multiLevelType w:val="hybridMultilevel"/>
    <w:tmpl w:val="1F2AF4C8"/>
    <w:lvl w:ilvl="0" w:tplc="BCF6DC2A">
      <w:start w:val="1"/>
      <w:numFmt w:val="bullet"/>
      <w:lvlText w:val="§"/>
      <w:lvlJc w:val="left"/>
      <w:pPr>
        <w:ind w:left="720" w:hanging="360"/>
      </w:pPr>
      <w:rPr>
        <w:rFonts w:ascii="Wingdings" w:hAnsi="Wingdings" w:hint="default"/>
        <w:sz w:val="18"/>
        <w:szCs w:val="2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E29C3454"/>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70F254AE"/>
    <w:multiLevelType w:val="hybridMultilevel"/>
    <w:tmpl w:val="BF6AC32A"/>
    <w:lvl w:ilvl="0" w:tplc="275EA8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1B90C6C"/>
    <w:multiLevelType w:val="hybridMultilevel"/>
    <w:tmpl w:val="723E2F10"/>
    <w:lvl w:ilvl="0" w:tplc="B5B8D076">
      <w:start w:val="1"/>
      <w:numFmt w:val="lowerLetter"/>
      <w:lvlText w:val="(%1)"/>
      <w:lvlJc w:val="left"/>
      <w:pPr>
        <w:ind w:left="720" w:hanging="360"/>
      </w:pPr>
      <w:rPr>
        <w:rFonts w:ascii="Times New Roman" w:hAnsi="Times New Roman" w:hint="default"/>
        <w:b w:val="0"/>
        <w:i w:val="0"/>
        <w:sz w:val="22"/>
      </w:rPr>
    </w:lvl>
    <w:lvl w:ilvl="1" w:tplc="AC2A5C8C">
      <w:start w:val="1"/>
      <w:numFmt w:val="lowerLetter"/>
      <w:lvlText w:val="%2."/>
      <w:lvlJc w:val="left"/>
      <w:pPr>
        <w:ind w:left="1440" w:hanging="360"/>
      </w:pPr>
      <w:rPr>
        <w:rFonts w:hint="default"/>
      </w:rPr>
    </w:lvl>
    <w:lvl w:ilvl="2" w:tplc="48543C0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60C7082"/>
    <w:multiLevelType w:val="hybridMultilevel"/>
    <w:tmpl w:val="C9D6B284"/>
    <w:lvl w:ilvl="0" w:tplc="A9080AEA">
      <w:start w:val="1"/>
      <w:numFmt w:val="lowerRoman"/>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3">
    <w:nsid w:val="7CC26BF8"/>
    <w:multiLevelType w:val="hybridMultilevel"/>
    <w:tmpl w:val="C6B8295E"/>
    <w:lvl w:ilvl="0" w:tplc="F216DF8E">
      <w:numFmt w:val="bullet"/>
      <w:lvlText w:val="•"/>
      <w:lvlJc w:val="left"/>
      <w:pPr>
        <w:ind w:left="720" w:hanging="360"/>
      </w:pPr>
      <w:rPr>
        <w:rFonts w:ascii="Arial" w:hAnsi="Arial" w:hint="default"/>
        <w:color w:val="auto"/>
        <w:sz w:val="24"/>
        <w:szCs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1"/>
  </w:num>
  <w:num w:numId="14">
    <w:abstractNumId w:val="11"/>
  </w:num>
  <w:num w:numId="15">
    <w:abstractNumId w:val="15"/>
  </w:num>
  <w:num w:numId="16">
    <w:abstractNumId w:val="22"/>
  </w:num>
  <w:num w:numId="17">
    <w:abstractNumId w:val="10"/>
  </w:num>
  <w:num w:numId="18">
    <w:abstractNumId w:val="18"/>
  </w:num>
  <w:num w:numId="19">
    <w:abstractNumId w:val="23"/>
  </w:num>
  <w:num w:numId="20">
    <w:abstractNumId w:val="30"/>
  </w:num>
  <w:num w:numId="21">
    <w:abstractNumId w:val="26"/>
  </w:num>
  <w:num w:numId="22">
    <w:abstractNumId w:val="24"/>
  </w:num>
  <w:num w:numId="23">
    <w:abstractNumId w:val="19"/>
  </w:num>
  <w:num w:numId="24">
    <w:abstractNumId w:val="25"/>
  </w:num>
  <w:num w:numId="25">
    <w:abstractNumId w:val="27"/>
  </w:num>
  <w:num w:numId="26">
    <w:abstractNumId w:val="20"/>
  </w:num>
  <w:num w:numId="27">
    <w:abstractNumId w:val="17"/>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1"/>
  </w:num>
  <w:num w:numId="31">
    <w:abstractNumId w:val="13"/>
  </w:num>
  <w:num w:numId="32">
    <w:abstractNumId w:val="9"/>
  </w:num>
  <w:num w:numId="33">
    <w:abstractNumId w:val="32"/>
  </w:num>
  <w:num w:numId="34">
    <w:abstractNumId w:val="29"/>
  </w:num>
  <w:num w:numId="35">
    <w:abstractNumId w:val="16"/>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PKQJzULbz7QhuS5QebKGv++rcwL4hgwm7W4iELSDNVw=" w:saltValue="mtCadYe+IZqI6aQ8BWTabg=="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252\D16 27688  AER - Draft decision Roma to Brisbane Gas Pipeline Access Arrangement - Attachment 10 - Reference tariff setting.DOCX"/>
  </w:docVars>
  <w:rsids>
    <w:rsidRoot w:val="00961A4A"/>
    <w:rsid w:val="00004633"/>
    <w:rsid w:val="000048EC"/>
    <w:rsid w:val="00010286"/>
    <w:rsid w:val="00012A6E"/>
    <w:rsid w:val="00013134"/>
    <w:rsid w:val="0002084C"/>
    <w:rsid w:val="00021202"/>
    <w:rsid w:val="00021C2B"/>
    <w:rsid w:val="00024422"/>
    <w:rsid w:val="0002517F"/>
    <w:rsid w:val="0002617B"/>
    <w:rsid w:val="00026495"/>
    <w:rsid w:val="00027F0F"/>
    <w:rsid w:val="0003025B"/>
    <w:rsid w:val="0003578C"/>
    <w:rsid w:val="00036F7D"/>
    <w:rsid w:val="000401AF"/>
    <w:rsid w:val="00041141"/>
    <w:rsid w:val="00041DDA"/>
    <w:rsid w:val="00047EFD"/>
    <w:rsid w:val="000508A4"/>
    <w:rsid w:val="00051A35"/>
    <w:rsid w:val="00054B91"/>
    <w:rsid w:val="00063247"/>
    <w:rsid w:val="0006361F"/>
    <w:rsid w:val="00063A92"/>
    <w:rsid w:val="00063E8B"/>
    <w:rsid w:val="00070F9F"/>
    <w:rsid w:val="00071167"/>
    <w:rsid w:val="0007137B"/>
    <w:rsid w:val="00077D4A"/>
    <w:rsid w:val="00083B1B"/>
    <w:rsid w:val="00085663"/>
    <w:rsid w:val="00085EBF"/>
    <w:rsid w:val="00085F93"/>
    <w:rsid w:val="00086867"/>
    <w:rsid w:val="00091B15"/>
    <w:rsid w:val="000952B6"/>
    <w:rsid w:val="00095415"/>
    <w:rsid w:val="0009691D"/>
    <w:rsid w:val="000A1E7C"/>
    <w:rsid w:val="000A3020"/>
    <w:rsid w:val="000A4C56"/>
    <w:rsid w:val="000A6C7B"/>
    <w:rsid w:val="000B0360"/>
    <w:rsid w:val="000B4497"/>
    <w:rsid w:val="000C2B40"/>
    <w:rsid w:val="000C5DE9"/>
    <w:rsid w:val="000D01F4"/>
    <w:rsid w:val="000D06C1"/>
    <w:rsid w:val="000D122C"/>
    <w:rsid w:val="000D2056"/>
    <w:rsid w:val="000D259D"/>
    <w:rsid w:val="000D3016"/>
    <w:rsid w:val="000D64F2"/>
    <w:rsid w:val="000D7F32"/>
    <w:rsid w:val="000E1819"/>
    <w:rsid w:val="000E4821"/>
    <w:rsid w:val="000E4AAA"/>
    <w:rsid w:val="000E6C72"/>
    <w:rsid w:val="000E7FBF"/>
    <w:rsid w:val="000F0B2B"/>
    <w:rsid w:val="000F3E72"/>
    <w:rsid w:val="000F48B1"/>
    <w:rsid w:val="000F4D64"/>
    <w:rsid w:val="000F723D"/>
    <w:rsid w:val="001008FB"/>
    <w:rsid w:val="00103A67"/>
    <w:rsid w:val="00111D14"/>
    <w:rsid w:val="00116EB2"/>
    <w:rsid w:val="00123CE5"/>
    <w:rsid w:val="00124609"/>
    <w:rsid w:val="00125AF5"/>
    <w:rsid w:val="00126A4C"/>
    <w:rsid w:val="0013358F"/>
    <w:rsid w:val="001416C5"/>
    <w:rsid w:val="00142AB6"/>
    <w:rsid w:val="0014573B"/>
    <w:rsid w:val="00147E70"/>
    <w:rsid w:val="00151801"/>
    <w:rsid w:val="00156DCC"/>
    <w:rsid w:val="001573E4"/>
    <w:rsid w:val="00160756"/>
    <w:rsid w:val="00164777"/>
    <w:rsid w:val="0017232E"/>
    <w:rsid w:val="00174102"/>
    <w:rsid w:val="0017480F"/>
    <w:rsid w:val="001754EE"/>
    <w:rsid w:val="0017612B"/>
    <w:rsid w:val="00176412"/>
    <w:rsid w:val="00180157"/>
    <w:rsid w:val="00182467"/>
    <w:rsid w:val="001825F3"/>
    <w:rsid w:val="00182910"/>
    <w:rsid w:val="00185CB9"/>
    <w:rsid w:val="00186F77"/>
    <w:rsid w:val="001879E3"/>
    <w:rsid w:val="001926A4"/>
    <w:rsid w:val="00192AD5"/>
    <w:rsid w:val="00193F7B"/>
    <w:rsid w:val="001A32B6"/>
    <w:rsid w:val="001A334F"/>
    <w:rsid w:val="001B0CBA"/>
    <w:rsid w:val="001B3F62"/>
    <w:rsid w:val="001B45A0"/>
    <w:rsid w:val="001B45C0"/>
    <w:rsid w:val="001B6F2E"/>
    <w:rsid w:val="001B7D00"/>
    <w:rsid w:val="001C17E7"/>
    <w:rsid w:val="001C585B"/>
    <w:rsid w:val="001D055E"/>
    <w:rsid w:val="001D2FFA"/>
    <w:rsid w:val="001D7302"/>
    <w:rsid w:val="001E009C"/>
    <w:rsid w:val="001E5FE2"/>
    <w:rsid w:val="001F05A4"/>
    <w:rsid w:val="001F3FD0"/>
    <w:rsid w:val="001F492E"/>
    <w:rsid w:val="001F52FF"/>
    <w:rsid w:val="001F6DA3"/>
    <w:rsid w:val="001F7DDA"/>
    <w:rsid w:val="002010BC"/>
    <w:rsid w:val="002016E7"/>
    <w:rsid w:val="00201F98"/>
    <w:rsid w:val="00202C7C"/>
    <w:rsid w:val="00202E03"/>
    <w:rsid w:val="0020478D"/>
    <w:rsid w:val="0020492C"/>
    <w:rsid w:val="00205A33"/>
    <w:rsid w:val="00214AF7"/>
    <w:rsid w:val="00221B12"/>
    <w:rsid w:val="0022444D"/>
    <w:rsid w:val="00224DB9"/>
    <w:rsid w:val="00227583"/>
    <w:rsid w:val="00227DCE"/>
    <w:rsid w:val="00230149"/>
    <w:rsid w:val="0023276C"/>
    <w:rsid w:val="00233775"/>
    <w:rsid w:val="0024233E"/>
    <w:rsid w:val="002433E5"/>
    <w:rsid w:val="0024381D"/>
    <w:rsid w:val="00251745"/>
    <w:rsid w:val="00252ECA"/>
    <w:rsid w:val="00260360"/>
    <w:rsid w:val="00263AC0"/>
    <w:rsid w:val="00263EA6"/>
    <w:rsid w:val="00264264"/>
    <w:rsid w:val="0026772D"/>
    <w:rsid w:val="002714A2"/>
    <w:rsid w:val="00275DCF"/>
    <w:rsid w:val="00277554"/>
    <w:rsid w:val="002778AD"/>
    <w:rsid w:val="00280EA7"/>
    <w:rsid w:val="00281380"/>
    <w:rsid w:val="00284140"/>
    <w:rsid w:val="002855B3"/>
    <w:rsid w:val="00286874"/>
    <w:rsid w:val="002870D5"/>
    <w:rsid w:val="00290C63"/>
    <w:rsid w:val="002968E6"/>
    <w:rsid w:val="00296B65"/>
    <w:rsid w:val="0029724D"/>
    <w:rsid w:val="002A6688"/>
    <w:rsid w:val="002A7DEF"/>
    <w:rsid w:val="002B1003"/>
    <w:rsid w:val="002B217F"/>
    <w:rsid w:val="002B5487"/>
    <w:rsid w:val="002B573C"/>
    <w:rsid w:val="002C233C"/>
    <w:rsid w:val="002C4C86"/>
    <w:rsid w:val="002D72E8"/>
    <w:rsid w:val="002E09E4"/>
    <w:rsid w:val="002E2DA0"/>
    <w:rsid w:val="002E409E"/>
    <w:rsid w:val="002E7B22"/>
    <w:rsid w:val="002F000F"/>
    <w:rsid w:val="002F2408"/>
    <w:rsid w:val="002F780C"/>
    <w:rsid w:val="002F7986"/>
    <w:rsid w:val="003009F7"/>
    <w:rsid w:val="00300E2F"/>
    <w:rsid w:val="00301B40"/>
    <w:rsid w:val="00301F1F"/>
    <w:rsid w:val="003029A5"/>
    <w:rsid w:val="003029EE"/>
    <w:rsid w:val="0030370B"/>
    <w:rsid w:val="00305CC8"/>
    <w:rsid w:val="00307F6D"/>
    <w:rsid w:val="003101E9"/>
    <w:rsid w:val="003117C5"/>
    <w:rsid w:val="003130C9"/>
    <w:rsid w:val="00314873"/>
    <w:rsid w:val="003177A2"/>
    <w:rsid w:val="00320869"/>
    <w:rsid w:val="00320B91"/>
    <w:rsid w:val="00326B1D"/>
    <w:rsid w:val="003271B5"/>
    <w:rsid w:val="00327A1E"/>
    <w:rsid w:val="00331264"/>
    <w:rsid w:val="003338A2"/>
    <w:rsid w:val="00334C81"/>
    <w:rsid w:val="00334C8D"/>
    <w:rsid w:val="0033548E"/>
    <w:rsid w:val="003367AC"/>
    <w:rsid w:val="003373A9"/>
    <w:rsid w:val="00343A18"/>
    <w:rsid w:val="00344473"/>
    <w:rsid w:val="00344D08"/>
    <w:rsid w:val="003457F9"/>
    <w:rsid w:val="00346DC5"/>
    <w:rsid w:val="00347114"/>
    <w:rsid w:val="003518B3"/>
    <w:rsid w:val="00356E66"/>
    <w:rsid w:val="003578CD"/>
    <w:rsid w:val="00364FBA"/>
    <w:rsid w:val="003666F2"/>
    <w:rsid w:val="003717D8"/>
    <w:rsid w:val="00373840"/>
    <w:rsid w:val="00377351"/>
    <w:rsid w:val="0038189B"/>
    <w:rsid w:val="003846F1"/>
    <w:rsid w:val="0038673C"/>
    <w:rsid w:val="003903D4"/>
    <w:rsid w:val="003919E4"/>
    <w:rsid w:val="00391BF0"/>
    <w:rsid w:val="003931A7"/>
    <w:rsid w:val="00393646"/>
    <w:rsid w:val="00395A95"/>
    <w:rsid w:val="003977FA"/>
    <w:rsid w:val="003A374A"/>
    <w:rsid w:val="003A4C8F"/>
    <w:rsid w:val="003A5AA2"/>
    <w:rsid w:val="003B42C9"/>
    <w:rsid w:val="003B484F"/>
    <w:rsid w:val="003B66A7"/>
    <w:rsid w:val="003B7FBA"/>
    <w:rsid w:val="003C20CA"/>
    <w:rsid w:val="003C312C"/>
    <w:rsid w:val="003C5C81"/>
    <w:rsid w:val="003C68B8"/>
    <w:rsid w:val="003E1042"/>
    <w:rsid w:val="003E4B9D"/>
    <w:rsid w:val="003E5D2A"/>
    <w:rsid w:val="003E6214"/>
    <w:rsid w:val="003F174D"/>
    <w:rsid w:val="003F2085"/>
    <w:rsid w:val="003F572D"/>
    <w:rsid w:val="003F7442"/>
    <w:rsid w:val="004010CB"/>
    <w:rsid w:val="004051BC"/>
    <w:rsid w:val="0040766F"/>
    <w:rsid w:val="00411DD8"/>
    <w:rsid w:val="00415F31"/>
    <w:rsid w:val="00420651"/>
    <w:rsid w:val="004212DE"/>
    <w:rsid w:val="0042205D"/>
    <w:rsid w:val="00423A77"/>
    <w:rsid w:val="00426271"/>
    <w:rsid w:val="00427F01"/>
    <w:rsid w:val="00433586"/>
    <w:rsid w:val="00436ECD"/>
    <w:rsid w:val="00440127"/>
    <w:rsid w:val="004404D3"/>
    <w:rsid w:val="0044121C"/>
    <w:rsid w:val="00446ADD"/>
    <w:rsid w:val="00452473"/>
    <w:rsid w:val="0045777E"/>
    <w:rsid w:val="00460A1A"/>
    <w:rsid w:val="00461B0F"/>
    <w:rsid w:val="00461C29"/>
    <w:rsid w:val="00462A6E"/>
    <w:rsid w:val="0047281C"/>
    <w:rsid w:val="00474EC7"/>
    <w:rsid w:val="00480B4B"/>
    <w:rsid w:val="00481D51"/>
    <w:rsid w:val="00485DC4"/>
    <w:rsid w:val="0048787B"/>
    <w:rsid w:val="0049407E"/>
    <w:rsid w:val="004A0A5E"/>
    <w:rsid w:val="004A345F"/>
    <w:rsid w:val="004A43D1"/>
    <w:rsid w:val="004B355D"/>
    <w:rsid w:val="004B4412"/>
    <w:rsid w:val="004C0C43"/>
    <w:rsid w:val="004C348C"/>
    <w:rsid w:val="004C3F22"/>
    <w:rsid w:val="004C4BD1"/>
    <w:rsid w:val="004C56BC"/>
    <w:rsid w:val="004C69BF"/>
    <w:rsid w:val="004C6A30"/>
    <w:rsid w:val="004C7BE2"/>
    <w:rsid w:val="004D05AF"/>
    <w:rsid w:val="004D1A96"/>
    <w:rsid w:val="004D481E"/>
    <w:rsid w:val="004D55BA"/>
    <w:rsid w:val="004E22EC"/>
    <w:rsid w:val="004E2A4C"/>
    <w:rsid w:val="004E37A4"/>
    <w:rsid w:val="004F0A0D"/>
    <w:rsid w:val="004F1CBD"/>
    <w:rsid w:val="004F2410"/>
    <w:rsid w:val="004F6A0E"/>
    <w:rsid w:val="005056B8"/>
    <w:rsid w:val="00513FBC"/>
    <w:rsid w:val="00523BA2"/>
    <w:rsid w:val="00526327"/>
    <w:rsid w:val="00530128"/>
    <w:rsid w:val="00532467"/>
    <w:rsid w:val="00537FD6"/>
    <w:rsid w:val="005471B6"/>
    <w:rsid w:val="005513B1"/>
    <w:rsid w:val="00552CC4"/>
    <w:rsid w:val="00554311"/>
    <w:rsid w:val="00564A4D"/>
    <w:rsid w:val="0056588A"/>
    <w:rsid w:val="005672AF"/>
    <w:rsid w:val="00567BA5"/>
    <w:rsid w:val="00571B35"/>
    <w:rsid w:val="00571D57"/>
    <w:rsid w:val="005724C0"/>
    <w:rsid w:val="005727EC"/>
    <w:rsid w:val="0057383D"/>
    <w:rsid w:val="00577A09"/>
    <w:rsid w:val="005818ED"/>
    <w:rsid w:val="005829C2"/>
    <w:rsid w:val="00584D8F"/>
    <w:rsid w:val="00584E24"/>
    <w:rsid w:val="00585A4E"/>
    <w:rsid w:val="00586819"/>
    <w:rsid w:val="00590441"/>
    <w:rsid w:val="0059275D"/>
    <w:rsid w:val="0059704C"/>
    <w:rsid w:val="005A404D"/>
    <w:rsid w:val="005A6A22"/>
    <w:rsid w:val="005B1E3C"/>
    <w:rsid w:val="005B3FB7"/>
    <w:rsid w:val="005B4D33"/>
    <w:rsid w:val="005B704A"/>
    <w:rsid w:val="005C097C"/>
    <w:rsid w:val="005C0A7F"/>
    <w:rsid w:val="005C1FF2"/>
    <w:rsid w:val="005C26CC"/>
    <w:rsid w:val="005C4C9C"/>
    <w:rsid w:val="005C5E02"/>
    <w:rsid w:val="005C5ED8"/>
    <w:rsid w:val="005C6218"/>
    <w:rsid w:val="005C6FB7"/>
    <w:rsid w:val="005D31FF"/>
    <w:rsid w:val="005D799B"/>
    <w:rsid w:val="005D7BA2"/>
    <w:rsid w:val="005E36C2"/>
    <w:rsid w:val="005F0183"/>
    <w:rsid w:val="005F727F"/>
    <w:rsid w:val="006007DE"/>
    <w:rsid w:val="00601638"/>
    <w:rsid w:val="006052CE"/>
    <w:rsid w:val="00606031"/>
    <w:rsid w:val="00610B3D"/>
    <w:rsid w:val="00610EF9"/>
    <w:rsid w:val="00611F07"/>
    <w:rsid w:val="00612110"/>
    <w:rsid w:val="006124E1"/>
    <w:rsid w:val="00612F4F"/>
    <w:rsid w:val="00615C06"/>
    <w:rsid w:val="00615C6B"/>
    <w:rsid w:val="00617C8E"/>
    <w:rsid w:val="00620DC3"/>
    <w:rsid w:val="00621DCE"/>
    <w:rsid w:val="006313C9"/>
    <w:rsid w:val="0063220A"/>
    <w:rsid w:val="00632D6D"/>
    <w:rsid w:val="00636DF6"/>
    <w:rsid w:val="00640812"/>
    <w:rsid w:val="00642C3E"/>
    <w:rsid w:val="00644752"/>
    <w:rsid w:val="006455A4"/>
    <w:rsid w:val="00645D19"/>
    <w:rsid w:val="00651C3A"/>
    <w:rsid w:val="00651CB2"/>
    <w:rsid w:val="006534BB"/>
    <w:rsid w:val="006560CA"/>
    <w:rsid w:val="00656218"/>
    <w:rsid w:val="00660D79"/>
    <w:rsid w:val="0066104A"/>
    <w:rsid w:val="006615A2"/>
    <w:rsid w:val="00663B43"/>
    <w:rsid w:val="00663DAD"/>
    <w:rsid w:val="00665649"/>
    <w:rsid w:val="00666E20"/>
    <w:rsid w:val="006672AA"/>
    <w:rsid w:val="0067568C"/>
    <w:rsid w:val="00675E20"/>
    <w:rsid w:val="00676679"/>
    <w:rsid w:val="006812E7"/>
    <w:rsid w:val="00683C48"/>
    <w:rsid w:val="00683C89"/>
    <w:rsid w:val="00684C16"/>
    <w:rsid w:val="00687C0B"/>
    <w:rsid w:val="00691D9A"/>
    <w:rsid w:val="00694EF0"/>
    <w:rsid w:val="006A7CB9"/>
    <w:rsid w:val="006A7D76"/>
    <w:rsid w:val="006B0D80"/>
    <w:rsid w:val="006B2395"/>
    <w:rsid w:val="006B3ACE"/>
    <w:rsid w:val="006B45A4"/>
    <w:rsid w:val="006B4691"/>
    <w:rsid w:val="006B4CF9"/>
    <w:rsid w:val="006B785B"/>
    <w:rsid w:val="006B78CB"/>
    <w:rsid w:val="006B7AC8"/>
    <w:rsid w:val="006C1736"/>
    <w:rsid w:val="006C4798"/>
    <w:rsid w:val="006C4884"/>
    <w:rsid w:val="006C60A7"/>
    <w:rsid w:val="006C774D"/>
    <w:rsid w:val="006D22F2"/>
    <w:rsid w:val="006D4F4E"/>
    <w:rsid w:val="006D550F"/>
    <w:rsid w:val="006E117C"/>
    <w:rsid w:val="006E1CF3"/>
    <w:rsid w:val="006E3F76"/>
    <w:rsid w:val="006E5B1A"/>
    <w:rsid w:val="006F1F83"/>
    <w:rsid w:val="006F2F1B"/>
    <w:rsid w:val="006F3AD1"/>
    <w:rsid w:val="006F3FC8"/>
    <w:rsid w:val="006F6183"/>
    <w:rsid w:val="0070011E"/>
    <w:rsid w:val="00701CAB"/>
    <w:rsid w:val="00706638"/>
    <w:rsid w:val="00707563"/>
    <w:rsid w:val="0071031D"/>
    <w:rsid w:val="00711281"/>
    <w:rsid w:val="00713D14"/>
    <w:rsid w:val="0072348C"/>
    <w:rsid w:val="00724A37"/>
    <w:rsid w:val="007303C3"/>
    <w:rsid w:val="00736154"/>
    <w:rsid w:val="00741055"/>
    <w:rsid w:val="00741C46"/>
    <w:rsid w:val="00741E23"/>
    <w:rsid w:val="007429BE"/>
    <w:rsid w:val="00743223"/>
    <w:rsid w:val="00746E01"/>
    <w:rsid w:val="00747EEA"/>
    <w:rsid w:val="0075047D"/>
    <w:rsid w:val="00752C8D"/>
    <w:rsid w:val="007539C0"/>
    <w:rsid w:val="0075698B"/>
    <w:rsid w:val="00756C51"/>
    <w:rsid w:val="00757364"/>
    <w:rsid w:val="00757BDF"/>
    <w:rsid w:val="007609D0"/>
    <w:rsid w:val="00760CCB"/>
    <w:rsid w:val="007618E2"/>
    <w:rsid w:val="00763618"/>
    <w:rsid w:val="00763E5D"/>
    <w:rsid w:val="00766266"/>
    <w:rsid w:val="00767740"/>
    <w:rsid w:val="007707C9"/>
    <w:rsid w:val="00777EE6"/>
    <w:rsid w:val="00782EEA"/>
    <w:rsid w:val="00795BE7"/>
    <w:rsid w:val="00797732"/>
    <w:rsid w:val="007A60F9"/>
    <w:rsid w:val="007A7002"/>
    <w:rsid w:val="007A7136"/>
    <w:rsid w:val="007A7F63"/>
    <w:rsid w:val="007B011C"/>
    <w:rsid w:val="007B0193"/>
    <w:rsid w:val="007B186E"/>
    <w:rsid w:val="007B2C72"/>
    <w:rsid w:val="007B6C52"/>
    <w:rsid w:val="007B797E"/>
    <w:rsid w:val="007C1C53"/>
    <w:rsid w:val="007C74BB"/>
    <w:rsid w:val="007D456E"/>
    <w:rsid w:val="007E02C2"/>
    <w:rsid w:val="007E119B"/>
    <w:rsid w:val="007E42F4"/>
    <w:rsid w:val="007E4904"/>
    <w:rsid w:val="007E4CB5"/>
    <w:rsid w:val="007F066B"/>
    <w:rsid w:val="007F213A"/>
    <w:rsid w:val="007F2FAE"/>
    <w:rsid w:val="007F32AE"/>
    <w:rsid w:val="007F4B85"/>
    <w:rsid w:val="007F6746"/>
    <w:rsid w:val="007F75C4"/>
    <w:rsid w:val="00803151"/>
    <w:rsid w:val="008033C4"/>
    <w:rsid w:val="008057DE"/>
    <w:rsid w:val="00806C88"/>
    <w:rsid w:val="00810070"/>
    <w:rsid w:val="0081034E"/>
    <w:rsid w:val="00812B03"/>
    <w:rsid w:val="00814094"/>
    <w:rsid w:val="00815CAC"/>
    <w:rsid w:val="008168E7"/>
    <w:rsid w:val="00817084"/>
    <w:rsid w:val="00821004"/>
    <w:rsid w:val="00821CE8"/>
    <w:rsid w:val="008221F2"/>
    <w:rsid w:val="00825985"/>
    <w:rsid w:val="008301A7"/>
    <w:rsid w:val="008301B2"/>
    <w:rsid w:val="008344F6"/>
    <w:rsid w:val="00834E6F"/>
    <w:rsid w:val="0083510F"/>
    <w:rsid w:val="008408C5"/>
    <w:rsid w:val="008414FC"/>
    <w:rsid w:val="00841B79"/>
    <w:rsid w:val="00847887"/>
    <w:rsid w:val="00851209"/>
    <w:rsid w:val="0085722A"/>
    <w:rsid w:val="00862B19"/>
    <w:rsid w:val="00864B35"/>
    <w:rsid w:val="00866D99"/>
    <w:rsid w:val="00867CF6"/>
    <w:rsid w:val="00871212"/>
    <w:rsid w:val="008749E0"/>
    <w:rsid w:val="00874CD0"/>
    <w:rsid w:val="00881E6D"/>
    <w:rsid w:val="00882481"/>
    <w:rsid w:val="008837AC"/>
    <w:rsid w:val="008913A6"/>
    <w:rsid w:val="008923D8"/>
    <w:rsid w:val="008927EE"/>
    <w:rsid w:val="0089309B"/>
    <w:rsid w:val="00895EF8"/>
    <w:rsid w:val="008972EF"/>
    <w:rsid w:val="008A0A4B"/>
    <w:rsid w:val="008A587D"/>
    <w:rsid w:val="008A704D"/>
    <w:rsid w:val="008B35CD"/>
    <w:rsid w:val="008B5FCC"/>
    <w:rsid w:val="008B7544"/>
    <w:rsid w:val="008C2132"/>
    <w:rsid w:val="008C2266"/>
    <w:rsid w:val="008C2F91"/>
    <w:rsid w:val="008C3374"/>
    <w:rsid w:val="008C39F0"/>
    <w:rsid w:val="008C5486"/>
    <w:rsid w:val="008C5CC3"/>
    <w:rsid w:val="008C63DF"/>
    <w:rsid w:val="008C708B"/>
    <w:rsid w:val="008D1661"/>
    <w:rsid w:val="008D1C4E"/>
    <w:rsid w:val="008D4D8E"/>
    <w:rsid w:val="008D592F"/>
    <w:rsid w:val="008D6800"/>
    <w:rsid w:val="008D6A4E"/>
    <w:rsid w:val="008D7960"/>
    <w:rsid w:val="008E08D0"/>
    <w:rsid w:val="008E4858"/>
    <w:rsid w:val="008E7031"/>
    <w:rsid w:val="008E77DE"/>
    <w:rsid w:val="008F04B2"/>
    <w:rsid w:val="008F07A3"/>
    <w:rsid w:val="008F16B3"/>
    <w:rsid w:val="008F34DD"/>
    <w:rsid w:val="008F66E3"/>
    <w:rsid w:val="009001B6"/>
    <w:rsid w:val="00900E1B"/>
    <w:rsid w:val="00901C3C"/>
    <w:rsid w:val="009038ED"/>
    <w:rsid w:val="00907356"/>
    <w:rsid w:val="0092174F"/>
    <w:rsid w:val="009233EE"/>
    <w:rsid w:val="00923CFC"/>
    <w:rsid w:val="00923FA9"/>
    <w:rsid w:val="00925D15"/>
    <w:rsid w:val="009272AD"/>
    <w:rsid w:val="009277DC"/>
    <w:rsid w:val="00932B22"/>
    <w:rsid w:val="00936781"/>
    <w:rsid w:val="00937A44"/>
    <w:rsid w:val="00940AAD"/>
    <w:rsid w:val="00941E0D"/>
    <w:rsid w:val="009428CF"/>
    <w:rsid w:val="0094505F"/>
    <w:rsid w:val="009460AA"/>
    <w:rsid w:val="0094641C"/>
    <w:rsid w:val="00951978"/>
    <w:rsid w:val="009536D9"/>
    <w:rsid w:val="00961115"/>
    <w:rsid w:val="00961A4A"/>
    <w:rsid w:val="009637E8"/>
    <w:rsid w:val="009661DE"/>
    <w:rsid w:val="00970B8A"/>
    <w:rsid w:val="00983C25"/>
    <w:rsid w:val="00984F77"/>
    <w:rsid w:val="009856B7"/>
    <w:rsid w:val="00985C86"/>
    <w:rsid w:val="00992199"/>
    <w:rsid w:val="00993179"/>
    <w:rsid w:val="0099472C"/>
    <w:rsid w:val="00996BAF"/>
    <w:rsid w:val="009972D8"/>
    <w:rsid w:val="009A424B"/>
    <w:rsid w:val="009A4FAA"/>
    <w:rsid w:val="009A5113"/>
    <w:rsid w:val="009A539D"/>
    <w:rsid w:val="009A5FC3"/>
    <w:rsid w:val="009A6F3F"/>
    <w:rsid w:val="009B428E"/>
    <w:rsid w:val="009B5DC8"/>
    <w:rsid w:val="009B6F84"/>
    <w:rsid w:val="009B7343"/>
    <w:rsid w:val="009B74B0"/>
    <w:rsid w:val="009C1141"/>
    <w:rsid w:val="009C4CFA"/>
    <w:rsid w:val="009C691D"/>
    <w:rsid w:val="009D065A"/>
    <w:rsid w:val="009D0DDE"/>
    <w:rsid w:val="009D0EEA"/>
    <w:rsid w:val="009D2B38"/>
    <w:rsid w:val="009D3906"/>
    <w:rsid w:val="009D631E"/>
    <w:rsid w:val="009D6B46"/>
    <w:rsid w:val="009E3364"/>
    <w:rsid w:val="009F0E7A"/>
    <w:rsid w:val="009F39FF"/>
    <w:rsid w:val="009F4940"/>
    <w:rsid w:val="009F5BA1"/>
    <w:rsid w:val="009F694A"/>
    <w:rsid w:val="009F7A6A"/>
    <w:rsid w:val="00A02A88"/>
    <w:rsid w:val="00A0562E"/>
    <w:rsid w:val="00A06085"/>
    <w:rsid w:val="00A0726D"/>
    <w:rsid w:val="00A11E88"/>
    <w:rsid w:val="00A16596"/>
    <w:rsid w:val="00A2303E"/>
    <w:rsid w:val="00A249EA"/>
    <w:rsid w:val="00A25F3A"/>
    <w:rsid w:val="00A3263E"/>
    <w:rsid w:val="00A32FBB"/>
    <w:rsid w:val="00A41E39"/>
    <w:rsid w:val="00A428EE"/>
    <w:rsid w:val="00A4478A"/>
    <w:rsid w:val="00A44852"/>
    <w:rsid w:val="00A4650A"/>
    <w:rsid w:val="00A50502"/>
    <w:rsid w:val="00A51E95"/>
    <w:rsid w:val="00A54AE1"/>
    <w:rsid w:val="00A57D04"/>
    <w:rsid w:val="00A60A26"/>
    <w:rsid w:val="00A61598"/>
    <w:rsid w:val="00A705D0"/>
    <w:rsid w:val="00A73391"/>
    <w:rsid w:val="00A76DD0"/>
    <w:rsid w:val="00A84A99"/>
    <w:rsid w:val="00A84F46"/>
    <w:rsid w:val="00A85AF8"/>
    <w:rsid w:val="00A871F4"/>
    <w:rsid w:val="00A87C86"/>
    <w:rsid w:val="00A90AA4"/>
    <w:rsid w:val="00A923BF"/>
    <w:rsid w:val="00A95DED"/>
    <w:rsid w:val="00AA02CA"/>
    <w:rsid w:val="00AB47E1"/>
    <w:rsid w:val="00AC0E1B"/>
    <w:rsid w:val="00AC1B2C"/>
    <w:rsid w:val="00AC3264"/>
    <w:rsid w:val="00AD0F3B"/>
    <w:rsid w:val="00AD3884"/>
    <w:rsid w:val="00AD7B56"/>
    <w:rsid w:val="00AE1BF1"/>
    <w:rsid w:val="00AE34E0"/>
    <w:rsid w:val="00AE469F"/>
    <w:rsid w:val="00AF053E"/>
    <w:rsid w:val="00AF0DD2"/>
    <w:rsid w:val="00AF2CBD"/>
    <w:rsid w:val="00AF32D8"/>
    <w:rsid w:val="00AF6A1F"/>
    <w:rsid w:val="00B0209D"/>
    <w:rsid w:val="00B02961"/>
    <w:rsid w:val="00B04908"/>
    <w:rsid w:val="00B04B4C"/>
    <w:rsid w:val="00B04F38"/>
    <w:rsid w:val="00B07CEA"/>
    <w:rsid w:val="00B13048"/>
    <w:rsid w:val="00B14193"/>
    <w:rsid w:val="00B1716D"/>
    <w:rsid w:val="00B17A1D"/>
    <w:rsid w:val="00B17DA2"/>
    <w:rsid w:val="00B207A0"/>
    <w:rsid w:val="00B21698"/>
    <w:rsid w:val="00B222BC"/>
    <w:rsid w:val="00B30B59"/>
    <w:rsid w:val="00B3187E"/>
    <w:rsid w:val="00B348B7"/>
    <w:rsid w:val="00B40CAA"/>
    <w:rsid w:val="00B40E56"/>
    <w:rsid w:val="00B514DD"/>
    <w:rsid w:val="00B51F3F"/>
    <w:rsid w:val="00B52AF0"/>
    <w:rsid w:val="00B561BD"/>
    <w:rsid w:val="00B56D76"/>
    <w:rsid w:val="00B56E03"/>
    <w:rsid w:val="00B5717B"/>
    <w:rsid w:val="00B61EDF"/>
    <w:rsid w:val="00B67CA9"/>
    <w:rsid w:val="00B74AC5"/>
    <w:rsid w:val="00B757A6"/>
    <w:rsid w:val="00B8080B"/>
    <w:rsid w:val="00B82223"/>
    <w:rsid w:val="00B84E4E"/>
    <w:rsid w:val="00B8587A"/>
    <w:rsid w:val="00B87BA5"/>
    <w:rsid w:val="00B87C39"/>
    <w:rsid w:val="00B9562D"/>
    <w:rsid w:val="00B97092"/>
    <w:rsid w:val="00BA0731"/>
    <w:rsid w:val="00BA176A"/>
    <w:rsid w:val="00BA4665"/>
    <w:rsid w:val="00BA47EE"/>
    <w:rsid w:val="00BB0CA2"/>
    <w:rsid w:val="00BB2FB2"/>
    <w:rsid w:val="00BB3304"/>
    <w:rsid w:val="00BB3FD7"/>
    <w:rsid w:val="00BB44FC"/>
    <w:rsid w:val="00BB5782"/>
    <w:rsid w:val="00BB6848"/>
    <w:rsid w:val="00BB7528"/>
    <w:rsid w:val="00BC18DE"/>
    <w:rsid w:val="00BC2FAF"/>
    <w:rsid w:val="00BC42EF"/>
    <w:rsid w:val="00BC5221"/>
    <w:rsid w:val="00BC5DAD"/>
    <w:rsid w:val="00BC7158"/>
    <w:rsid w:val="00BD0920"/>
    <w:rsid w:val="00BD0C45"/>
    <w:rsid w:val="00BD0F5F"/>
    <w:rsid w:val="00BD310B"/>
    <w:rsid w:val="00BD3446"/>
    <w:rsid w:val="00BE1F1B"/>
    <w:rsid w:val="00BE47B5"/>
    <w:rsid w:val="00BF0C8F"/>
    <w:rsid w:val="00BF0CD7"/>
    <w:rsid w:val="00BF51A8"/>
    <w:rsid w:val="00C04223"/>
    <w:rsid w:val="00C1660B"/>
    <w:rsid w:val="00C20F50"/>
    <w:rsid w:val="00C243E6"/>
    <w:rsid w:val="00C25FA6"/>
    <w:rsid w:val="00C275C4"/>
    <w:rsid w:val="00C30637"/>
    <w:rsid w:val="00C31259"/>
    <w:rsid w:val="00C320AD"/>
    <w:rsid w:val="00C32D15"/>
    <w:rsid w:val="00C36F19"/>
    <w:rsid w:val="00C42ACA"/>
    <w:rsid w:val="00C5122C"/>
    <w:rsid w:val="00C538A9"/>
    <w:rsid w:val="00C53B5A"/>
    <w:rsid w:val="00C54F5A"/>
    <w:rsid w:val="00C569B4"/>
    <w:rsid w:val="00C56A01"/>
    <w:rsid w:val="00C56A3E"/>
    <w:rsid w:val="00C67A92"/>
    <w:rsid w:val="00C7497E"/>
    <w:rsid w:val="00C74D43"/>
    <w:rsid w:val="00C7569A"/>
    <w:rsid w:val="00C772D7"/>
    <w:rsid w:val="00C81568"/>
    <w:rsid w:val="00C84560"/>
    <w:rsid w:val="00C84F52"/>
    <w:rsid w:val="00C86679"/>
    <w:rsid w:val="00C91822"/>
    <w:rsid w:val="00C94082"/>
    <w:rsid w:val="00C9552C"/>
    <w:rsid w:val="00C97CDF"/>
    <w:rsid w:val="00CA211F"/>
    <w:rsid w:val="00CA2ABF"/>
    <w:rsid w:val="00CA2C1D"/>
    <w:rsid w:val="00CA489E"/>
    <w:rsid w:val="00CA52A2"/>
    <w:rsid w:val="00CA644A"/>
    <w:rsid w:val="00CA7B67"/>
    <w:rsid w:val="00CB0279"/>
    <w:rsid w:val="00CB02E4"/>
    <w:rsid w:val="00CB32F9"/>
    <w:rsid w:val="00CB666B"/>
    <w:rsid w:val="00CC7EC1"/>
    <w:rsid w:val="00CC7F1D"/>
    <w:rsid w:val="00CD1954"/>
    <w:rsid w:val="00CD19EE"/>
    <w:rsid w:val="00CD3FFF"/>
    <w:rsid w:val="00CD6D8D"/>
    <w:rsid w:val="00CE1608"/>
    <w:rsid w:val="00CE437A"/>
    <w:rsid w:val="00CE484B"/>
    <w:rsid w:val="00CE4900"/>
    <w:rsid w:val="00CF0DEE"/>
    <w:rsid w:val="00CF269D"/>
    <w:rsid w:val="00CF2C05"/>
    <w:rsid w:val="00CF598F"/>
    <w:rsid w:val="00CF6EDE"/>
    <w:rsid w:val="00D006AE"/>
    <w:rsid w:val="00D01CF0"/>
    <w:rsid w:val="00D01EDD"/>
    <w:rsid w:val="00D01EFD"/>
    <w:rsid w:val="00D0442A"/>
    <w:rsid w:val="00D04F8C"/>
    <w:rsid w:val="00D06055"/>
    <w:rsid w:val="00D061A7"/>
    <w:rsid w:val="00D066B7"/>
    <w:rsid w:val="00D17683"/>
    <w:rsid w:val="00D23ED2"/>
    <w:rsid w:val="00D2502B"/>
    <w:rsid w:val="00D266D7"/>
    <w:rsid w:val="00D30F95"/>
    <w:rsid w:val="00D332D3"/>
    <w:rsid w:val="00D36FCC"/>
    <w:rsid w:val="00D41E80"/>
    <w:rsid w:val="00D42C98"/>
    <w:rsid w:val="00D45694"/>
    <w:rsid w:val="00D47E5A"/>
    <w:rsid w:val="00D608F6"/>
    <w:rsid w:val="00D60EFF"/>
    <w:rsid w:val="00D61388"/>
    <w:rsid w:val="00D61A54"/>
    <w:rsid w:val="00D64275"/>
    <w:rsid w:val="00D6481C"/>
    <w:rsid w:val="00D64DEA"/>
    <w:rsid w:val="00D7168E"/>
    <w:rsid w:val="00D71E57"/>
    <w:rsid w:val="00D75AA2"/>
    <w:rsid w:val="00D7645E"/>
    <w:rsid w:val="00D77FD4"/>
    <w:rsid w:val="00D80893"/>
    <w:rsid w:val="00D84854"/>
    <w:rsid w:val="00D848B4"/>
    <w:rsid w:val="00D85112"/>
    <w:rsid w:val="00D857EF"/>
    <w:rsid w:val="00D92CF1"/>
    <w:rsid w:val="00D92D38"/>
    <w:rsid w:val="00D94D38"/>
    <w:rsid w:val="00D950F5"/>
    <w:rsid w:val="00D95CE1"/>
    <w:rsid w:val="00DA0BCC"/>
    <w:rsid w:val="00DA1415"/>
    <w:rsid w:val="00DA4752"/>
    <w:rsid w:val="00DA50E4"/>
    <w:rsid w:val="00DA61F3"/>
    <w:rsid w:val="00DA6B93"/>
    <w:rsid w:val="00DA6F94"/>
    <w:rsid w:val="00DB0F93"/>
    <w:rsid w:val="00DB1A67"/>
    <w:rsid w:val="00DB5074"/>
    <w:rsid w:val="00DB5B21"/>
    <w:rsid w:val="00DC25F6"/>
    <w:rsid w:val="00DC4E0E"/>
    <w:rsid w:val="00DC7981"/>
    <w:rsid w:val="00DD1C15"/>
    <w:rsid w:val="00DD3B8D"/>
    <w:rsid w:val="00DE1093"/>
    <w:rsid w:val="00DE4EFA"/>
    <w:rsid w:val="00DE5520"/>
    <w:rsid w:val="00DE563D"/>
    <w:rsid w:val="00DE5E2E"/>
    <w:rsid w:val="00DE772C"/>
    <w:rsid w:val="00DE7E41"/>
    <w:rsid w:val="00DF1D9A"/>
    <w:rsid w:val="00DF1ED6"/>
    <w:rsid w:val="00DF312A"/>
    <w:rsid w:val="00DF4B30"/>
    <w:rsid w:val="00E02076"/>
    <w:rsid w:val="00E04818"/>
    <w:rsid w:val="00E06442"/>
    <w:rsid w:val="00E06BCF"/>
    <w:rsid w:val="00E1001C"/>
    <w:rsid w:val="00E10F82"/>
    <w:rsid w:val="00E12A59"/>
    <w:rsid w:val="00E144D6"/>
    <w:rsid w:val="00E20280"/>
    <w:rsid w:val="00E233A3"/>
    <w:rsid w:val="00E23993"/>
    <w:rsid w:val="00E250DF"/>
    <w:rsid w:val="00E257D6"/>
    <w:rsid w:val="00E25B8C"/>
    <w:rsid w:val="00E3109D"/>
    <w:rsid w:val="00E31CDF"/>
    <w:rsid w:val="00E33B83"/>
    <w:rsid w:val="00E3544F"/>
    <w:rsid w:val="00E43360"/>
    <w:rsid w:val="00E44B91"/>
    <w:rsid w:val="00E47294"/>
    <w:rsid w:val="00E51D65"/>
    <w:rsid w:val="00E52B33"/>
    <w:rsid w:val="00E54381"/>
    <w:rsid w:val="00E54563"/>
    <w:rsid w:val="00E6200B"/>
    <w:rsid w:val="00E65C85"/>
    <w:rsid w:val="00E66199"/>
    <w:rsid w:val="00E711C7"/>
    <w:rsid w:val="00E73328"/>
    <w:rsid w:val="00E7494F"/>
    <w:rsid w:val="00E755EC"/>
    <w:rsid w:val="00E7624D"/>
    <w:rsid w:val="00E762F7"/>
    <w:rsid w:val="00E94EC3"/>
    <w:rsid w:val="00E97242"/>
    <w:rsid w:val="00E9728F"/>
    <w:rsid w:val="00EA38F3"/>
    <w:rsid w:val="00EA3D42"/>
    <w:rsid w:val="00EA5A61"/>
    <w:rsid w:val="00EA62DF"/>
    <w:rsid w:val="00EA6B1B"/>
    <w:rsid w:val="00EA7E67"/>
    <w:rsid w:val="00EB5BC8"/>
    <w:rsid w:val="00EB606C"/>
    <w:rsid w:val="00EB7DAD"/>
    <w:rsid w:val="00EC04F1"/>
    <w:rsid w:val="00EC1B2B"/>
    <w:rsid w:val="00EC32E5"/>
    <w:rsid w:val="00EC71F9"/>
    <w:rsid w:val="00EC78D8"/>
    <w:rsid w:val="00ED0EC2"/>
    <w:rsid w:val="00ED3474"/>
    <w:rsid w:val="00ED487B"/>
    <w:rsid w:val="00ED4C28"/>
    <w:rsid w:val="00ED7323"/>
    <w:rsid w:val="00EE1079"/>
    <w:rsid w:val="00EE28F3"/>
    <w:rsid w:val="00EE50D1"/>
    <w:rsid w:val="00EE6678"/>
    <w:rsid w:val="00EE77FA"/>
    <w:rsid w:val="00EE7A83"/>
    <w:rsid w:val="00EF1B7A"/>
    <w:rsid w:val="00EF26D0"/>
    <w:rsid w:val="00EF5110"/>
    <w:rsid w:val="00EF6815"/>
    <w:rsid w:val="00F0068F"/>
    <w:rsid w:val="00F01B75"/>
    <w:rsid w:val="00F03230"/>
    <w:rsid w:val="00F0334E"/>
    <w:rsid w:val="00F04EA8"/>
    <w:rsid w:val="00F07967"/>
    <w:rsid w:val="00F10411"/>
    <w:rsid w:val="00F11CDE"/>
    <w:rsid w:val="00F15882"/>
    <w:rsid w:val="00F171E0"/>
    <w:rsid w:val="00F20BD3"/>
    <w:rsid w:val="00F22418"/>
    <w:rsid w:val="00F2526A"/>
    <w:rsid w:val="00F257EE"/>
    <w:rsid w:val="00F2602D"/>
    <w:rsid w:val="00F35081"/>
    <w:rsid w:val="00F373A5"/>
    <w:rsid w:val="00F41C44"/>
    <w:rsid w:val="00F42692"/>
    <w:rsid w:val="00F42E08"/>
    <w:rsid w:val="00F44F89"/>
    <w:rsid w:val="00F47559"/>
    <w:rsid w:val="00F51BBB"/>
    <w:rsid w:val="00F55EE4"/>
    <w:rsid w:val="00F57907"/>
    <w:rsid w:val="00F61176"/>
    <w:rsid w:val="00F62A30"/>
    <w:rsid w:val="00F63FC6"/>
    <w:rsid w:val="00F64C7B"/>
    <w:rsid w:val="00F65B25"/>
    <w:rsid w:val="00F676DD"/>
    <w:rsid w:val="00F71667"/>
    <w:rsid w:val="00F72A0D"/>
    <w:rsid w:val="00F73895"/>
    <w:rsid w:val="00F75A26"/>
    <w:rsid w:val="00F76706"/>
    <w:rsid w:val="00F768C8"/>
    <w:rsid w:val="00F81B8D"/>
    <w:rsid w:val="00F83FAD"/>
    <w:rsid w:val="00F8653A"/>
    <w:rsid w:val="00F91673"/>
    <w:rsid w:val="00F91F55"/>
    <w:rsid w:val="00F92349"/>
    <w:rsid w:val="00F93B21"/>
    <w:rsid w:val="00F952A0"/>
    <w:rsid w:val="00FA25EE"/>
    <w:rsid w:val="00FA3C7F"/>
    <w:rsid w:val="00FA4AE4"/>
    <w:rsid w:val="00FA7294"/>
    <w:rsid w:val="00FA7B7E"/>
    <w:rsid w:val="00FB1BF3"/>
    <w:rsid w:val="00FB4402"/>
    <w:rsid w:val="00FB526D"/>
    <w:rsid w:val="00FB60FE"/>
    <w:rsid w:val="00FB74E2"/>
    <w:rsid w:val="00FB791B"/>
    <w:rsid w:val="00FC0CD7"/>
    <w:rsid w:val="00FC3937"/>
    <w:rsid w:val="00FC4542"/>
    <w:rsid w:val="00FC58D6"/>
    <w:rsid w:val="00FC71DC"/>
    <w:rsid w:val="00FD13B4"/>
    <w:rsid w:val="00FD2ED2"/>
    <w:rsid w:val="00FD5614"/>
    <w:rsid w:val="00FD5E78"/>
    <w:rsid w:val="00FD7A0E"/>
    <w:rsid w:val="00FE0BE1"/>
    <w:rsid w:val="00FE1DE9"/>
    <w:rsid w:val="00FE36AF"/>
    <w:rsid w:val="00FE39C2"/>
    <w:rsid w:val="00FE3C32"/>
    <w:rsid w:val="00FE593B"/>
    <w:rsid w:val="00FE64AE"/>
    <w:rsid w:val="00FF27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0" w:qFormat="1"/>
    <w:lsdException w:name="header" w:uiPriority="0" w:qFormat="1"/>
    <w:lsdException w:name="footer" w:qFormat="1"/>
    <w:lsdException w:name="caption" w:uiPriority="0" w:qFormat="1"/>
    <w:lsdException w:name="footnote reference"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link w:val="ListParagraphChar"/>
    <w:uiPriority w:val="34"/>
    <w:qFormat/>
    <w:rsid w:val="00567BA5"/>
    <w:pPr>
      <w:numPr>
        <w:numId w:val="14"/>
      </w:numPr>
      <w:tabs>
        <w:tab w:val="left" w:pos="340"/>
      </w:tabs>
      <w:spacing w:before="12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customStyle="1" w:styleId="Bulletpoint">
    <w:name w:val="Bullet point"/>
    <w:basedOn w:val="ListBullet"/>
    <w:qFormat/>
    <w:rsid w:val="008A0A4B"/>
    <w:pPr>
      <w:numPr>
        <w:numId w:val="0"/>
      </w:numPr>
      <w:ind w:left="340" w:hanging="340"/>
    </w:pPr>
    <w:rPr>
      <w:rFonts w:cs="Times New Roman"/>
    </w:rPr>
  </w:style>
  <w:style w:type="character" w:customStyle="1" w:styleId="ListParagraphChar">
    <w:name w:val="List Paragraph Char"/>
    <w:link w:val="ListParagraph"/>
    <w:uiPriority w:val="34"/>
    <w:locked/>
    <w:rsid w:val="00C9182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0" w:qFormat="1"/>
    <w:lsdException w:name="header" w:uiPriority="0" w:qFormat="1"/>
    <w:lsdException w:name="footer" w:qFormat="1"/>
    <w:lsdException w:name="caption" w:uiPriority="0" w:qFormat="1"/>
    <w:lsdException w:name="footnote reference"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link w:val="ListParagraphChar"/>
    <w:uiPriority w:val="34"/>
    <w:qFormat/>
    <w:rsid w:val="00567BA5"/>
    <w:pPr>
      <w:numPr>
        <w:numId w:val="14"/>
      </w:numPr>
      <w:tabs>
        <w:tab w:val="left" w:pos="340"/>
      </w:tabs>
      <w:spacing w:before="12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customStyle="1" w:styleId="Bulletpoint">
    <w:name w:val="Bullet point"/>
    <w:basedOn w:val="ListBullet"/>
    <w:qFormat/>
    <w:rsid w:val="008A0A4B"/>
    <w:pPr>
      <w:numPr>
        <w:numId w:val="0"/>
      </w:numPr>
      <w:ind w:left="340" w:hanging="340"/>
    </w:pPr>
    <w:rPr>
      <w:rFonts w:cs="Times New Roman"/>
    </w:rPr>
  </w:style>
  <w:style w:type="character" w:customStyle="1" w:styleId="ListParagraphChar">
    <w:name w:val="List Paragraph Char"/>
    <w:link w:val="ListParagraph"/>
    <w:uiPriority w:val="34"/>
    <w:locked/>
    <w:rsid w:val="00C9182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0325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23969628">
      <w:bodyDiv w:val="1"/>
      <w:marLeft w:val="0"/>
      <w:marRight w:val="0"/>
      <w:marTop w:val="0"/>
      <w:marBottom w:val="0"/>
      <w:divBdr>
        <w:top w:val="none" w:sz="0" w:space="0" w:color="auto"/>
        <w:left w:val="none" w:sz="0" w:space="0" w:color="auto"/>
        <w:bottom w:val="none" w:sz="0" w:space="0" w:color="auto"/>
        <w:right w:val="none" w:sz="0" w:space="0" w:color="auto"/>
      </w:divBdr>
    </w:div>
    <w:div w:id="2014411288">
      <w:bodyDiv w:val="1"/>
      <w:marLeft w:val="0"/>
      <w:marRight w:val="0"/>
      <w:marTop w:val="0"/>
      <w:marBottom w:val="0"/>
      <w:divBdr>
        <w:top w:val="none" w:sz="0" w:space="0" w:color="auto"/>
        <w:left w:val="none" w:sz="0" w:space="0" w:color="auto"/>
        <w:bottom w:val="none" w:sz="0" w:space="0" w:color="auto"/>
        <w:right w:val="none" w:sz="0" w:space="0" w:color="auto"/>
      </w:divBdr>
    </w:div>
    <w:div w:id="207651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0C72F3-33B5-4210-ADB2-DF20BB705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F2A55691</Template>
  <TotalTime>0</TotalTime>
  <Pages>21</Pages>
  <Words>5330</Words>
  <Characters>30381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2017-07-03T03:32:00Z</dcterms:created>
  <dcterms:modified xsi:type="dcterms:W3CDTF">2017-07-03T03:33:00Z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