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C1902" w:rsidP="00290C63">
          <w:r w:rsidRPr="00D4316A">
            <w:rPr>
              <w:noProof/>
              <w:lang w:eastAsia="en-AU"/>
            </w:rPr>
            <w:drawing>
              <wp:anchor distT="0" distB="0" distL="114300" distR="114300" simplePos="0" relativeHeight="251659264" behindDoc="1" locked="0" layoutInCell="1" allowOverlap="1" wp14:anchorId="6139B824" wp14:editId="7E5A2766">
                <wp:simplePos x="0" y="0"/>
                <wp:positionH relativeFrom="column">
                  <wp:posOffset>-1097915</wp:posOffset>
                </wp:positionH>
                <wp:positionV relativeFrom="paragraph">
                  <wp:posOffset>-915035</wp:posOffset>
                </wp:positionV>
                <wp:extent cx="7572375" cy="107035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F77EAB">
            <w:t>DRAFT</w:t>
          </w:r>
          <w:r w:rsidR="00DA4752">
            <w:t xml:space="preserve"> DECISION</w:t>
          </w:r>
        </w:p>
        <w:p w:rsidR="00415F31" w:rsidRDefault="00F77EAB" w:rsidP="008F07A3">
          <w:pPr>
            <w:pStyle w:val="ReportSubtitle"/>
          </w:pPr>
          <w:r>
            <w:t xml:space="preserve">Roma to Brisbane </w:t>
          </w:r>
          <w:r w:rsidR="0033548E">
            <w:t>Gas Pipeline</w:t>
          </w:r>
          <w:r w:rsidR="00CF2C05">
            <w:br/>
            <w:t>Access Arrangement</w:t>
          </w:r>
        </w:p>
        <w:p w:rsidR="000A6C7B" w:rsidRDefault="005C0A7F" w:rsidP="008F07A3">
          <w:pPr>
            <w:pStyle w:val="ReportSubtitle"/>
          </w:pPr>
          <w:r>
            <w:t>20</w:t>
          </w:r>
          <w:r w:rsidR="00DA4752">
            <w:t>1</w:t>
          </w:r>
          <w:r w:rsidR="00D22B16">
            <w:t>7</w:t>
          </w:r>
          <w:r w:rsidR="00DA4752">
            <w:t xml:space="preserve"> to </w:t>
          </w:r>
          <w:r w:rsidR="00A06085">
            <w:t>202</w:t>
          </w:r>
          <w:r w:rsidR="00D22B16">
            <w:t>2</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13</w:t>
          </w:r>
          <w:r w:rsidR="00DA4752">
            <w:t xml:space="preserve"> </w:t>
          </w:r>
          <w:r w:rsidR="00415F31">
            <w:rPr>
              <w:rFonts w:cs="Arial"/>
            </w:rPr>
            <w:t>–</w:t>
          </w:r>
          <w:r w:rsidR="00DA4752">
            <w:t xml:space="preserve"> </w:t>
          </w:r>
          <w:r w:rsidR="00A06085">
            <w:t>Demand</w:t>
          </w:r>
        </w:p>
        <w:p w:rsidR="000A6C7B" w:rsidRPr="00327A1E" w:rsidRDefault="00A0179E" w:rsidP="00327A1E">
          <w:pPr>
            <w:pStyle w:val="ReportDate"/>
          </w:pPr>
          <w:r>
            <w:t>July</w:t>
          </w:r>
          <w:r w:rsidR="00721AAF">
            <w:t xml:space="preserve"> </w:t>
          </w:r>
          <w:r w:rsidR="001D7FA7">
            <w:t>2017</w:t>
          </w:r>
        </w:p>
      </w:sdtContent>
    </w:sdt>
    <w:p w:rsidR="00327A1E" w:rsidRPr="00290C63" w:rsidRDefault="00327A1E" w:rsidP="00290C63">
      <w:r>
        <w:br w:type="page"/>
      </w:r>
    </w:p>
    <w:p w:rsidR="000A6C7B" w:rsidRDefault="00D4316A" w:rsidP="00961A4A">
      <w:pPr>
        <w:pStyle w:val="Copyright"/>
      </w:pPr>
      <w:r>
        <w:lastRenderedPageBreak/>
        <w:t>© Commonwealth of Australia 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 xml:space="preserve">Tel: </w:t>
      </w:r>
      <w:r w:rsidR="00A0179E">
        <w:t>1300 585 165</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86852409"/>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F77EAB">
        <w:t>draft</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w:t>
      </w:r>
      <w:r w:rsidR="00F77EAB">
        <w:t>Roma to Brisbane</w:t>
      </w:r>
      <w:r w:rsidR="0033548E">
        <w:t xml:space="preserve"> Gas Pipeline for </w:t>
      </w:r>
      <w:r w:rsidR="00A8674D">
        <w:t>2017</w:t>
      </w:r>
      <w:r w:rsidR="00415F31" w:rsidRPr="00D904FA">
        <w:t>–</w:t>
      </w:r>
      <w:r w:rsidR="00103A67">
        <w:t>2</w:t>
      </w:r>
      <w:r w:rsidR="00A8674D">
        <w:t>2</w:t>
      </w:r>
      <w:r w:rsidR="00415F31">
        <w:t xml:space="preserve">. It should be read with </w:t>
      </w:r>
      <w:r w:rsidR="005C0A7F">
        <w:t xml:space="preserve">all </w:t>
      </w:r>
      <w:r w:rsidR="00415F31">
        <w:t xml:space="preserve">other parts of the </w:t>
      </w:r>
      <w:r w:rsidR="00F77EAB">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F77EAB">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86852410"/>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F0C91" w:rsidRDefault="008F0C91">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86852409" w:history="1">
            <w:r w:rsidRPr="00734051">
              <w:rPr>
                <w:rStyle w:val="Hyperlink"/>
              </w:rPr>
              <w:t>Note</w:t>
            </w:r>
            <w:r>
              <w:rPr>
                <w:webHidden/>
              </w:rPr>
              <w:tab/>
            </w:r>
            <w:r>
              <w:rPr>
                <w:webHidden/>
              </w:rPr>
              <w:fldChar w:fldCharType="begin"/>
            </w:r>
            <w:r>
              <w:rPr>
                <w:webHidden/>
              </w:rPr>
              <w:instrText xml:space="preserve"> PAGEREF _Toc486852409 \h </w:instrText>
            </w:r>
            <w:r>
              <w:rPr>
                <w:webHidden/>
              </w:rPr>
            </w:r>
            <w:r>
              <w:rPr>
                <w:webHidden/>
              </w:rPr>
              <w:fldChar w:fldCharType="separate"/>
            </w:r>
            <w:r w:rsidR="00E16964">
              <w:rPr>
                <w:webHidden/>
              </w:rPr>
              <w:t>13-2</w:t>
            </w:r>
            <w:r>
              <w:rPr>
                <w:webHidden/>
              </w:rPr>
              <w:fldChar w:fldCharType="end"/>
            </w:r>
          </w:hyperlink>
        </w:p>
        <w:p w:rsidR="008F0C91" w:rsidRDefault="008F0C91">
          <w:pPr>
            <w:pStyle w:val="TOC1"/>
            <w:rPr>
              <w:rFonts w:asciiTheme="minorHAnsi" w:eastAsiaTheme="minorEastAsia" w:hAnsiTheme="minorHAnsi"/>
              <w:b w:val="0"/>
              <w:color w:val="auto"/>
              <w:sz w:val="22"/>
              <w:lang w:val="en-AU" w:eastAsia="en-AU"/>
            </w:rPr>
          </w:pPr>
          <w:hyperlink w:anchor="_Toc486852410" w:history="1">
            <w:r w:rsidRPr="00734051">
              <w:rPr>
                <w:rStyle w:val="Hyperlink"/>
              </w:rPr>
              <w:t>Contents</w:t>
            </w:r>
            <w:r>
              <w:rPr>
                <w:webHidden/>
              </w:rPr>
              <w:tab/>
            </w:r>
            <w:r>
              <w:rPr>
                <w:webHidden/>
              </w:rPr>
              <w:fldChar w:fldCharType="begin"/>
            </w:r>
            <w:r>
              <w:rPr>
                <w:webHidden/>
              </w:rPr>
              <w:instrText xml:space="preserve"> PAGEREF _Toc486852410 \h </w:instrText>
            </w:r>
            <w:r>
              <w:rPr>
                <w:webHidden/>
              </w:rPr>
            </w:r>
            <w:r>
              <w:rPr>
                <w:webHidden/>
              </w:rPr>
              <w:fldChar w:fldCharType="separate"/>
            </w:r>
            <w:r w:rsidR="00E16964">
              <w:rPr>
                <w:webHidden/>
              </w:rPr>
              <w:t>13-3</w:t>
            </w:r>
            <w:r>
              <w:rPr>
                <w:webHidden/>
              </w:rPr>
              <w:fldChar w:fldCharType="end"/>
            </w:r>
          </w:hyperlink>
        </w:p>
        <w:p w:rsidR="008F0C91" w:rsidRDefault="008F0C91">
          <w:pPr>
            <w:pStyle w:val="TOC1"/>
            <w:rPr>
              <w:rFonts w:asciiTheme="minorHAnsi" w:eastAsiaTheme="minorEastAsia" w:hAnsiTheme="minorHAnsi"/>
              <w:b w:val="0"/>
              <w:color w:val="auto"/>
              <w:sz w:val="22"/>
              <w:lang w:val="en-AU" w:eastAsia="en-AU"/>
            </w:rPr>
          </w:pPr>
          <w:hyperlink w:anchor="_Toc486852411" w:history="1">
            <w:r w:rsidRPr="00734051">
              <w:rPr>
                <w:rStyle w:val="Hyperlink"/>
              </w:rPr>
              <w:t>Shortened forms</w:t>
            </w:r>
            <w:r>
              <w:rPr>
                <w:webHidden/>
              </w:rPr>
              <w:tab/>
            </w:r>
            <w:r>
              <w:rPr>
                <w:webHidden/>
              </w:rPr>
              <w:fldChar w:fldCharType="begin"/>
            </w:r>
            <w:r>
              <w:rPr>
                <w:webHidden/>
              </w:rPr>
              <w:instrText xml:space="preserve"> PAGEREF _Toc486852411 \h </w:instrText>
            </w:r>
            <w:r>
              <w:rPr>
                <w:webHidden/>
              </w:rPr>
            </w:r>
            <w:r>
              <w:rPr>
                <w:webHidden/>
              </w:rPr>
              <w:fldChar w:fldCharType="separate"/>
            </w:r>
            <w:r w:rsidR="00E16964">
              <w:rPr>
                <w:webHidden/>
              </w:rPr>
              <w:t>13-4</w:t>
            </w:r>
            <w:r>
              <w:rPr>
                <w:webHidden/>
              </w:rPr>
              <w:fldChar w:fldCharType="end"/>
            </w:r>
          </w:hyperlink>
        </w:p>
        <w:p w:rsidR="008F0C91" w:rsidRDefault="008F0C91">
          <w:pPr>
            <w:pStyle w:val="TOC1"/>
            <w:rPr>
              <w:rFonts w:asciiTheme="minorHAnsi" w:eastAsiaTheme="minorEastAsia" w:hAnsiTheme="minorHAnsi"/>
              <w:b w:val="0"/>
              <w:color w:val="auto"/>
              <w:sz w:val="22"/>
              <w:lang w:val="en-AU" w:eastAsia="en-AU"/>
            </w:rPr>
          </w:pPr>
          <w:hyperlink w:anchor="_Toc486852412" w:history="1">
            <w:r w:rsidRPr="00734051">
              <w:rPr>
                <w:rStyle w:val="Hyperlink"/>
              </w:rPr>
              <w:t>13</w:t>
            </w:r>
            <w:r>
              <w:rPr>
                <w:rFonts w:asciiTheme="minorHAnsi" w:eastAsiaTheme="minorEastAsia" w:hAnsiTheme="minorHAnsi"/>
                <w:b w:val="0"/>
                <w:color w:val="auto"/>
                <w:sz w:val="22"/>
                <w:lang w:val="en-AU" w:eastAsia="en-AU"/>
              </w:rPr>
              <w:tab/>
            </w:r>
            <w:r w:rsidRPr="00734051">
              <w:rPr>
                <w:rStyle w:val="Hyperlink"/>
              </w:rPr>
              <w:t>Demand</w:t>
            </w:r>
            <w:r>
              <w:rPr>
                <w:webHidden/>
              </w:rPr>
              <w:tab/>
            </w:r>
            <w:r>
              <w:rPr>
                <w:webHidden/>
              </w:rPr>
              <w:fldChar w:fldCharType="begin"/>
            </w:r>
            <w:r>
              <w:rPr>
                <w:webHidden/>
              </w:rPr>
              <w:instrText xml:space="preserve"> PAGEREF _Toc486852412 \h </w:instrText>
            </w:r>
            <w:r>
              <w:rPr>
                <w:webHidden/>
              </w:rPr>
            </w:r>
            <w:r>
              <w:rPr>
                <w:webHidden/>
              </w:rPr>
              <w:fldChar w:fldCharType="separate"/>
            </w:r>
            <w:r w:rsidR="00E16964">
              <w:rPr>
                <w:webHidden/>
              </w:rPr>
              <w:t>13-5</w:t>
            </w:r>
            <w:r>
              <w:rPr>
                <w:webHidden/>
              </w:rPr>
              <w:fldChar w:fldCharType="end"/>
            </w:r>
          </w:hyperlink>
        </w:p>
        <w:p w:rsidR="008F0C91" w:rsidRDefault="008F0C91">
          <w:pPr>
            <w:pStyle w:val="TOC2"/>
            <w:tabs>
              <w:tab w:val="left" w:pos="1276"/>
            </w:tabs>
            <w:rPr>
              <w:rFonts w:asciiTheme="minorHAnsi" w:eastAsiaTheme="minorEastAsia" w:hAnsiTheme="minorHAnsi"/>
              <w:b w:val="0"/>
              <w:color w:val="auto"/>
              <w:sz w:val="22"/>
              <w:lang w:eastAsia="en-AU"/>
            </w:rPr>
          </w:pPr>
          <w:hyperlink w:anchor="_Toc486852413" w:history="1">
            <w:r w:rsidRPr="00734051">
              <w:rPr>
                <w:rStyle w:val="Hyperlink"/>
              </w:rPr>
              <w:t>13.1</w:t>
            </w:r>
            <w:r>
              <w:rPr>
                <w:rFonts w:asciiTheme="minorHAnsi" w:eastAsiaTheme="minorEastAsia" w:hAnsiTheme="minorHAnsi"/>
                <w:b w:val="0"/>
                <w:color w:val="auto"/>
                <w:sz w:val="22"/>
                <w:lang w:eastAsia="en-AU"/>
              </w:rPr>
              <w:tab/>
            </w:r>
            <w:r w:rsidRPr="00734051">
              <w:rPr>
                <w:rStyle w:val="Hyperlink"/>
              </w:rPr>
              <w:t>Draft decision</w:t>
            </w:r>
            <w:r>
              <w:rPr>
                <w:webHidden/>
              </w:rPr>
              <w:tab/>
            </w:r>
            <w:r>
              <w:rPr>
                <w:webHidden/>
              </w:rPr>
              <w:fldChar w:fldCharType="begin"/>
            </w:r>
            <w:r>
              <w:rPr>
                <w:webHidden/>
              </w:rPr>
              <w:instrText xml:space="preserve"> PAGEREF _Toc486852413 \h </w:instrText>
            </w:r>
            <w:r>
              <w:rPr>
                <w:webHidden/>
              </w:rPr>
            </w:r>
            <w:r>
              <w:rPr>
                <w:webHidden/>
              </w:rPr>
              <w:fldChar w:fldCharType="separate"/>
            </w:r>
            <w:r w:rsidR="00E16964">
              <w:rPr>
                <w:webHidden/>
              </w:rPr>
              <w:t>13-5</w:t>
            </w:r>
            <w:r>
              <w:rPr>
                <w:webHidden/>
              </w:rPr>
              <w:fldChar w:fldCharType="end"/>
            </w:r>
          </w:hyperlink>
        </w:p>
        <w:p w:rsidR="008F0C91" w:rsidRDefault="008F0C91">
          <w:pPr>
            <w:pStyle w:val="TOC2"/>
            <w:tabs>
              <w:tab w:val="left" w:pos="1276"/>
            </w:tabs>
            <w:rPr>
              <w:rFonts w:asciiTheme="minorHAnsi" w:eastAsiaTheme="minorEastAsia" w:hAnsiTheme="minorHAnsi"/>
              <w:b w:val="0"/>
              <w:color w:val="auto"/>
              <w:sz w:val="22"/>
              <w:lang w:eastAsia="en-AU"/>
            </w:rPr>
          </w:pPr>
          <w:hyperlink w:anchor="_Toc486852414" w:history="1">
            <w:r w:rsidRPr="00734051">
              <w:rPr>
                <w:rStyle w:val="Hyperlink"/>
              </w:rPr>
              <w:t>13.2</w:t>
            </w:r>
            <w:r>
              <w:rPr>
                <w:rFonts w:asciiTheme="minorHAnsi" w:eastAsiaTheme="minorEastAsia" w:hAnsiTheme="minorHAnsi"/>
                <w:b w:val="0"/>
                <w:color w:val="auto"/>
                <w:sz w:val="22"/>
                <w:lang w:eastAsia="en-AU"/>
              </w:rPr>
              <w:tab/>
            </w:r>
            <w:r w:rsidRPr="00734051">
              <w:rPr>
                <w:rStyle w:val="Hyperlink"/>
              </w:rPr>
              <w:t>APTPPL’s proposal</w:t>
            </w:r>
            <w:r>
              <w:rPr>
                <w:webHidden/>
              </w:rPr>
              <w:tab/>
            </w:r>
            <w:r>
              <w:rPr>
                <w:webHidden/>
              </w:rPr>
              <w:fldChar w:fldCharType="begin"/>
            </w:r>
            <w:r>
              <w:rPr>
                <w:webHidden/>
              </w:rPr>
              <w:instrText xml:space="preserve"> PAGEREF _Toc486852414 \h </w:instrText>
            </w:r>
            <w:r>
              <w:rPr>
                <w:webHidden/>
              </w:rPr>
            </w:r>
            <w:r>
              <w:rPr>
                <w:webHidden/>
              </w:rPr>
              <w:fldChar w:fldCharType="separate"/>
            </w:r>
            <w:r w:rsidR="00E16964">
              <w:rPr>
                <w:webHidden/>
              </w:rPr>
              <w:t>13-5</w:t>
            </w:r>
            <w:r>
              <w:rPr>
                <w:webHidden/>
              </w:rPr>
              <w:fldChar w:fldCharType="end"/>
            </w:r>
          </w:hyperlink>
        </w:p>
        <w:p w:rsidR="008F0C91" w:rsidRDefault="008F0C91">
          <w:pPr>
            <w:pStyle w:val="TOC2"/>
            <w:tabs>
              <w:tab w:val="left" w:pos="1276"/>
            </w:tabs>
            <w:rPr>
              <w:rFonts w:asciiTheme="minorHAnsi" w:eastAsiaTheme="minorEastAsia" w:hAnsiTheme="minorHAnsi"/>
              <w:b w:val="0"/>
              <w:color w:val="auto"/>
              <w:sz w:val="22"/>
              <w:lang w:eastAsia="en-AU"/>
            </w:rPr>
          </w:pPr>
          <w:hyperlink w:anchor="_Toc486852415" w:history="1">
            <w:r w:rsidRPr="00734051">
              <w:rPr>
                <w:rStyle w:val="Hyperlink"/>
              </w:rPr>
              <w:t>13.3</w:t>
            </w:r>
            <w:r>
              <w:rPr>
                <w:rFonts w:asciiTheme="minorHAnsi" w:eastAsiaTheme="minorEastAsia" w:hAnsiTheme="minorHAnsi"/>
                <w:b w:val="0"/>
                <w:color w:val="auto"/>
                <w:sz w:val="22"/>
                <w:lang w:eastAsia="en-AU"/>
              </w:rPr>
              <w:tab/>
            </w:r>
            <w:r w:rsidRPr="00734051">
              <w:rPr>
                <w:rStyle w:val="Hyperlink"/>
              </w:rPr>
              <w:t>AER’s assessment approach</w:t>
            </w:r>
            <w:r>
              <w:rPr>
                <w:webHidden/>
              </w:rPr>
              <w:tab/>
            </w:r>
            <w:r>
              <w:rPr>
                <w:webHidden/>
              </w:rPr>
              <w:fldChar w:fldCharType="begin"/>
            </w:r>
            <w:r>
              <w:rPr>
                <w:webHidden/>
              </w:rPr>
              <w:instrText xml:space="preserve"> PAGEREF _Toc486852415 \h </w:instrText>
            </w:r>
            <w:r>
              <w:rPr>
                <w:webHidden/>
              </w:rPr>
            </w:r>
            <w:r>
              <w:rPr>
                <w:webHidden/>
              </w:rPr>
              <w:fldChar w:fldCharType="separate"/>
            </w:r>
            <w:r w:rsidR="00E16964">
              <w:rPr>
                <w:webHidden/>
              </w:rPr>
              <w:t>13-6</w:t>
            </w:r>
            <w:r>
              <w:rPr>
                <w:webHidden/>
              </w:rPr>
              <w:fldChar w:fldCharType="end"/>
            </w:r>
          </w:hyperlink>
        </w:p>
        <w:p w:rsidR="008F0C91" w:rsidRDefault="008F0C91">
          <w:pPr>
            <w:pStyle w:val="TOC3"/>
            <w:rPr>
              <w:rFonts w:asciiTheme="minorHAnsi" w:eastAsiaTheme="minorEastAsia" w:hAnsiTheme="minorHAnsi"/>
              <w:lang w:eastAsia="en-AU"/>
            </w:rPr>
          </w:pPr>
          <w:hyperlink w:anchor="_Toc486852416" w:history="1">
            <w:r w:rsidRPr="00734051">
              <w:rPr>
                <w:rStyle w:val="Hyperlink"/>
              </w:rPr>
              <w:t>13.3.1</w:t>
            </w:r>
            <w:r>
              <w:rPr>
                <w:rFonts w:asciiTheme="minorHAnsi" w:eastAsiaTheme="minorEastAsia" w:hAnsiTheme="minorHAnsi"/>
                <w:lang w:eastAsia="en-AU"/>
              </w:rPr>
              <w:tab/>
            </w:r>
            <w:r w:rsidRPr="00734051">
              <w:rPr>
                <w:rStyle w:val="Hyperlink"/>
              </w:rPr>
              <w:t>Minimum, maximum and average demand</w:t>
            </w:r>
            <w:r>
              <w:rPr>
                <w:webHidden/>
              </w:rPr>
              <w:tab/>
            </w:r>
            <w:r>
              <w:rPr>
                <w:webHidden/>
              </w:rPr>
              <w:fldChar w:fldCharType="begin"/>
            </w:r>
            <w:r>
              <w:rPr>
                <w:webHidden/>
              </w:rPr>
              <w:instrText xml:space="preserve"> PAGEREF _Toc486852416 \h </w:instrText>
            </w:r>
            <w:r>
              <w:rPr>
                <w:webHidden/>
              </w:rPr>
            </w:r>
            <w:r>
              <w:rPr>
                <w:webHidden/>
              </w:rPr>
              <w:fldChar w:fldCharType="separate"/>
            </w:r>
            <w:r w:rsidR="00E16964">
              <w:rPr>
                <w:webHidden/>
              </w:rPr>
              <w:t>13-8</w:t>
            </w:r>
            <w:r>
              <w:rPr>
                <w:webHidden/>
              </w:rPr>
              <w:fldChar w:fldCharType="end"/>
            </w:r>
          </w:hyperlink>
        </w:p>
        <w:p w:rsidR="008F0C91" w:rsidRDefault="008F0C91">
          <w:pPr>
            <w:pStyle w:val="TOC3"/>
            <w:rPr>
              <w:rFonts w:asciiTheme="minorHAnsi" w:eastAsiaTheme="minorEastAsia" w:hAnsiTheme="minorHAnsi"/>
              <w:lang w:eastAsia="en-AU"/>
            </w:rPr>
          </w:pPr>
          <w:hyperlink w:anchor="_Toc486852417" w:history="1">
            <w:r w:rsidRPr="00734051">
              <w:rPr>
                <w:rStyle w:val="Hyperlink"/>
              </w:rPr>
              <w:t>13.3.2</w:t>
            </w:r>
            <w:r>
              <w:rPr>
                <w:rFonts w:asciiTheme="minorHAnsi" w:eastAsiaTheme="minorEastAsia" w:hAnsiTheme="minorHAnsi"/>
                <w:lang w:eastAsia="en-AU"/>
              </w:rPr>
              <w:tab/>
            </w:r>
            <w:r w:rsidRPr="00734051">
              <w:rPr>
                <w:rStyle w:val="Hyperlink"/>
              </w:rPr>
              <w:t>Forecast pipeline capacity and utilisation</w:t>
            </w:r>
            <w:r>
              <w:rPr>
                <w:webHidden/>
              </w:rPr>
              <w:tab/>
            </w:r>
            <w:r>
              <w:rPr>
                <w:webHidden/>
              </w:rPr>
              <w:fldChar w:fldCharType="begin"/>
            </w:r>
            <w:r>
              <w:rPr>
                <w:webHidden/>
              </w:rPr>
              <w:instrText xml:space="preserve"> PAGEREF _Toc486852417 \h </w:instrText>
            </w:r>
            <w:r>
              <w:rPr>
                <w:webHidden/>
              </w:rPr>
            </w:r>
            <w:r>
              <w:rPr>
                <w:webHidden/>
              </w:rPr>
              <w:fldChar w:fldCharType="separate"/>
            </w:r>
            <w:r w:rsidR="00E16964">
              <w:rPr>
                <w:webHidden/>
              </w:rPr>
              <w:t>13-8</w:t>
            </w:r>
            <w:r>
              <w:rPr>
                <w:webHidden/>
              </w:rPr>
              <w:fldChar w:fldCharType="end"/>
            </w:r>
          </w:hyperlink>
        </w:p>
        <w:p w:rsidR="008F0C91" w:rsidRDefault="008F0C91">
          <w:pPr>
            <w:pStyle w:val="TOC2"/>
            <w:tabs>
              <w:tab w:val="left" w:pos="1276"/>
            </w:tabs>
            <w:rPr>
              <w:rFonts w:asciiTheme="minorHAnsi" w:eastAsiaTheme="minorEastAsia" w:hAnsiTheme="minorHAnsi"/>
              <w:b w:val="0"/>
              <w:color w:val="auto"/>
              <w:sz w:val="22"/>
              <w:lang w:eastAsia="en-AU"/>
            </w:rPr>
          </w:pPr>
          <w:hyperlink w:anchor="_Toc486852418" w:history="1">
            <w:r w:rsidRPr="00734051">
              <w:rPr>
                <w:rStyle w:val="Hyperlink"/>
              </w:rPr>
              <w:t>13.4</w:t>
            </w:r>
            <w:r>
              <w:rPr>
                <w:rFonts w:asciiTheme="minorHAnsi" w:eastAsiaTheme="minorEastAsia" w:hAnsiTheme="minorHAnsi"/>
                <w:b w:val="0"/>
                <w:color w:val="auto"/>
                <w:sz w:val="22"/>
                <w:lang w:eastAsia="en-AU"/>
              </w:rPr>
              <w:tab/>
            </w:r>
            <w:r w:rsidRPr="00734051">
              <w:rPr>
                <w:rStyle w:val="Hyperlink"/>
              </w:rPr>
              <w:t>Reasons for draft decision</w:t>
            </w:r>
            <w:r>
              <w:rPr>
                <w:webHidden/>
              </w:rPr>
              <w:tab/>
            </w:r>
            <w:r>
              <w:rPr>
                <w:webHidden/>
              </w:rPr>
              <w:fldChar w:fldCharType="begin"/>
            </w:r>
            <w:r>
              <w:rPr>
                <w:webHidden/>
              </w:rPr>
              <w:instrText xml:space="preserve"> PAGEREF _Toc486852418 \h </w:instrText>
            </w:r>
            <w:r>
              <w:rPr>
                <w:webHidden/>
              </w:rPr>
            </w:r>
            <w:r>
              <w:rPr>
                <w:webHidden/>
              </w:rPr>
              <w:fldChar w:fldCharType="separate"/>
            </w:r>
            <w:r w:rsidR="00E16964">
              <w:rPr>
                <w:webHidden/>
              </w:rPr>
              <w:t>13-8</w:t>
            </w:r>
            <w:r>
              <w:rPr>
                <w:webHidden/>
              </w:rPr>
              <w:fldChar w:fldCharType="end"/>
            </w:r>
          </w:hyperlink>
        </w:p>
        <w:p w:rsidR="008F0C91" w:rsidRDefault="008F0C91">
          <w:pPr>
            <w:pStyle w:val="TOC3"/>
            <w:rPr>
              <w:rFonts w:asciiTheme="minorHAnsi" w:eastAsiaTheme="minorEastAsia" w:hAnsiTheme="minorHAnsi"/>
              <w:lang w:eastAsia="en-AU"/>
            </w:rPr>
          </w:pPr>
          <w:hyperlink w:anchor="_Toc486852419" w:history="1">
            <w:r w:rsidRPr="00734051">
              <w:rPr>
                <w:rStyle w:val="Hyperlink"/>
              </w:rPr>
              <w:t>Eastbound demand</w:t>
            </w:r>
            <w:r>
              <w:rPr>
                <w:webHidden/>
              </w:rPr>
              <w:tab/>
            </w:r>
            <w:r>
              <w:rPr>
                <w:webHidden/>
              </w:rPr>
              <w:fldChar w:fldCharType="begin"/>
            </w:r>
            <w:r>
              <w:rPr>
                <w:webHidden/>
              </w:rPr>
              <w:instrText xml:space="preserve"> PAGEREF _Toc486852419 \h </w:instrText>
            </w:r>
            <w:r>
              <w:rPr>
                <w:webHidden/>
              </w:rPr>
            </w:r>
            <w:r>
              <w:rPr>
                <w:webHidden/>
              </w:rPr>
              <w:fldChar w:fldCharType="separate"/>
            </w:r>
            <w:r w:rsidR="00E16964">
              <w:rPr>
                <w:webHidden/>
              </w:rPr>
              <w:t>13-9</w:t>
            </w:r>
            <w:r>
              <w:rPr>
                <w:webHidden/>
              </w:rPr>
              <w:fldChar w:fldCharType="end"/>
            </w:r>
          </w:hyperlink>
        </w:p>
        <w:p w:rsidR="008F0C91" w:rsidRDefault="008F0C91">
          <w:pPr>
            <w:pStyle w:val="TOC3"/>
            <w:rPr>
              <w:rFonts w:asciiTheme="minorHAnsi" w:eastAsiaTheme="minorEastAsia" w:hAnsiTheme="minorHAnsi"/>
              <w:lang w:eastAsia="en-AU"/>
            </w:rPr>
          </w:pPr>
          <w:hyperlink w:anchor="_Toc486852420" w:history="1">
            <w:r w:rsidRPr="00734051">
              <w:rPr>
                <w:rStyle w:val="Hyperlink"/>
              </w:rPr>
              <w:t>Westbound demand</w:t>
            </w:r>
            <w:r>
              <w:rPr>
                <w:webHidden/>
              </w:rPr>
              <w:tab/>
            </w:r>
            <w:r>
              <w:rPr>
                <w:webHidden/>
              </w:rPr>
              <w:fldChar w:fldCharType="begin"/>
            </w:r>
            <w:r>
              <w:rPr>
                <w:webHidden/>
              </w:rPr>
              <w:instrText xml:space="preserve"> PAGEREF _Toc486852420 \h </w:instrText>
            </w:r>
            <w:r>
              <w:rPr>
                <w:webHidden/>
              </w:rPr>
            </w:r>
            <w:r>
              <w:rPr>
                <w:webHidden/>
              </w:rPr>
              <w:fldChar w:fldCharType="separate"/>
            </w:r>
            <w:r w:rsidR="00E16964">
              <w:rPr>
                <w:webHidden/>
              </w:rPr>
              <w:t>13-10</w:t>
            </w:r>
            <w:r>
              <w:rPr>
                <w:webHidden/>
              </w:rPr>
              <w:fldChar w:fldCharType="end"/>
            </w:r>
          </w:hyperlink>
        </w:p>
        <w:p w:rsidR="00DE563D" w:rsidRDefault="008F0C91" w:rsidP="008F0C91">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7" w:name="_Toc404700925"/>
      <w:bookmarkStart w:id="8" w:name="_Toc486852411"/>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A0179E" w:rsidTr="00B144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Shortened form</w:t>
            </w:r>
          </w:p>
        </w:tc>
        <w:tc>
          <w:tcPr>
            <w:tcW w:w="5041" w:type="dxa"/>
          </w:tcPr>
          <w:p w:rsidR="00A0179E" w:rsidRDefault="00A0179E" w:rsidP="00A0179E">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AER</w:t>
            </w:r>
          </w:p>
        </w:tc>
        <w:tc>
          <w:tcPr>
            <w:tcW w:w="5041" w:type="dxa"/>
          </w:tcPr>
          <w:p w:rsidR="00A0179E" w:rsidRDefault="00A0179E" w:rsidP="00A0179E">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A0179E" w:rsidTr="00B14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ATO</w:t>
            </w:r>
          </w:p>
        </w:tc>
        <w:tc>
          <w:tcPr>
            <w:tcW w:w="5041" w:type="dxa"/>
          </w:tcPr>
          <w:p w:rsidR="00A0179E" w:rsidRPr="00A0179E" w:rsidRDefault="00A0179E" w:rsidP="00A0179E">
            <w:pPr>
              <w:cnfStyle w:val="000000010000" w:firstRow="0" w:lastRow="0" w:firstColumn="0" w:lastColumn="0" w:oddVBand="0" w:evenVBand="0" w:oddHBand="0" w:evenHBand="1" w:firstRowFirstColumn="0" w:firstRowLastColumn="0" w:lastRowFirstColumn="0" w:lastRowLastColumn="0"/>
            </w:pPr>
            <w:r>
              <w:t>Australian Tax Office</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capex</w:t>
            </w:r>
          </w:p>
        </w:tc>
        <w:tc>
          <w:tcPr>
            <w:tcW w:w="5041" w:type="dxa"/>
          </w:tcPr>
          <w:p w:rsidR="00A0179E" w:rsidRDefault="00A0179E" w:rsidP="00A0179E">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A0179E" w:rsidTr="00B14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CAPM</w:t>
            </w:r>
          </w:p>
        </w:tc>
        <w:tc>
          <w:tcPr>
            <w:tcW w:w="5041" w:type="dxa"/>
          </w:tcPr>
          <w:p w:rsidR="00A0179E" w:rsidRDefault="00A0179E" w:rsidP="00A0179E">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CPI</w:t>
            </w:r>
          </w:p>
        </w:tc>
        <w:tc>
          <w:tcPr>
            <w:tcW w:w="5041" w:type="dxa"/>
          </w:tcPr>
          <w:p w:rsidR="00A0179E" w:rsidRDefault="00A0179E" w:rsidP="00A0179E">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A0179E" w:rsidTr="00B14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DRP</w:t>
            </w:r>
          </w:p>
        </w:tc>
        <w:tc>
          <w:tcPr>
            <w:tcW w:w="5041" w:type="dxa"/>
          </w:tcPr>
          <w:p w:rsidR="00A0179E" w:rsidRDefault="00A0179E" w:rsidP="00A0179E">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ECM</w:t>
            </w:r>
          </w:p>
        </w:tc>
        <w:tc>
          <w:tcPr>
            <w:tcW w:w="5041" w:type="dxa"/>
          </w:tcPr>
          <w:p w:rsidR="00A0179E" w:rsidRPr="00A0179E" w:rsidRDefault="00A0179E" w:rsidP="00A0179E">
            <w:pPr>
              <w:cnfStyle w:val="000000000000" w:firstRow="0" w:lastRow="0" w:firstColumn="0" w:lastColumn="0" w:oddVBand="0" w:evenVBand="0" w:oddHBand="0" w:evenHBand="0" w:firstRowFirstColumn="0" w:firstRowLastColumn="0" w:lastRowFirstColumn="0" w:lastRowLastColumn="0"/>
            </w:pPr>
            <w:r>
              <w:t>(Opex) Efficiency Carryover Mechanism</w:t>
            </w:r>
          </w:p>
        </w:tc>
      </w:tr>
      <w:tr w:rsidR="00A0179E" w:rsidTr="00B14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ERP</w:t>
            </w:r>
          </w:p>
        </w:tc>
        <w:tc>
          <w:tcPr>
            <w:tcW w:w="5041" w:type="dxa"/>
          </w:tcPr>
          <w:p w:rsidR="00A0179E" w:rsidRDefault="00A0179E" w:rsidP="00A0179E">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Expenditure Guideline</w:t>
            </w:r>
          </w:p>
        </w:tc>
        <w:tc>
          <w:tcPr>
            <w:tcW w:w="5041" w:type="dxa"/>
          </w:tcPr>
          <w:p w:rsidR="00A0179E" w:rsidRPr="00A0179E" w:rsidRDefault="00A0179E" w:rsidP="00A0179E">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A0179E" w:rsidTr="00B14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gamma</w:t>
            </w:r>
          </w:p>
        </w:tc>
        <w:tc>
          <w:tcPr>
            <w:tcW w:w="5041" w:type="dxa"/>
          </w:tcPr>
          <w:p w:rsidR="00A0179E" w:rsidRPr="00A0179E" w:rsidRDefault="00A0179E" w:rsidP="00A0179E">
            <w:pPr>
              <w:cnfStyle w:val="000000010000" w:firstRow="0" w:lastRow="0" w:firstColumn="0" w:lastColumn="0" w:oddVBand="0" w:evenVBand="0" w:oddHBand="0" w:evenHBand="1" w:firstRowFirstColumn="0" w:firstRowLastColumn="0" w:lastRowFirstColumn="0" w:lastRowLastColumn="0"/>
            </w:pPr>
            <w:r>
              <w:t>Value of Imputation Credits</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MRP</w:t>
            </w:r>
          </w:p>
        </w:tc>
        <w:tc>
          <w:tcPr>
            <w:tcW w:w="5041" w:type="dxa"/>
          </w:tcPr>
          <w:p w:rsidR="00A0179E" w:rsidRDefault="00A0179E" w:rsidP="00A0179E">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A0179E" w:rsidTr="00B14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NGL</w:t>
            </w:r>
          </w:p>
        </w:tc>
        <w:tc>
          <w:tcPr>
            <w:tcW w:w="5041" w:type="dxa"/>
          </w:tcPr>
          <w:p w:rsidR="00A0179E" w:rsidRDefault="00A0179E" w:rsidP="00A0179E">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NGO</w:t>
            </w:r>
          </w:p>
        </w:tc>
        <w:tc>
          <w:tcPr>
            <w:tcW w:w="5041" w:type="dxa"/>
          </w:tcPr>
          <w:p w:rsidR="00A0179E" w:rsidRDefault="00A0179E" w:rsidP="00A0179E">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A0179E" w:rsidTr="00B14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NGR</w:t>
            </w:r>
          </w:p>
        </w:tc>
        <w:tc>
          <w:tcPr>
            <w:tcW w:w="5041" w:type="dxa"/>
          </w:tcPr>
          <w:p w:rsidR="00A0179E" w:rsidRDefault="00A0179E" w:rsidP="00A0179E">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NPV</w:t>
            </w:r>
          </w:p>
        </w:tc>
        <w:tc>
          <w:tcPr>
            <w:tcW w:w="5041" w:type="dxa"/>
          </w:tcPr>
          <w:p w:rsidR="00A0179E" w:rsidRPr="00A0179E" w:rsidRDefault="00A0179E" w:rsidP="00A0179E">
            <w:pPr>
              <w:cnfStyle w:val="000000000000" w:firstRow="0" w:lastRow="0" w:firstColumn="0" w:lastColumn="0" w:oddVBand="0" w:evenVBand="0" w:oddHBand="0" w:evenHBand="0" w:firstRowFirstColumn="0" w:firstRowLastColumn="0" w:lastRowFirstColumn="0" w:lastRowLastColumn="0"/>
            </w:pPr>
            <w:r>
              <w:t>net present value</w:t>
            </w:r>
          </w:p>
        </w:tc>
      </w:tr>
      <w:tr w:rsidR="00A0179E" w:rsidTr="00B14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opex</w:t>
            </w:r>
          </w:p>
        </w:tc>
        <w:tc>
          <w:tcPr>
            <w:tcW w:w="5041" w:type="dxa"/>
          </w:tcPr>
          <w:p w:rsidR="00A0179E" w:rsidRDefault="00A0179E" w:rsidP="00A0179E">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PTRM</w:t>
            </w:r>
          </w:p>
        </w:tc>
        <w:tc>
          <w:tcPr>
            <w:tcW w:w="5041" w:type="dxa"/>
          </w:tcPr>
          <w:p w:rsidR="00A0179E" w:rsidRDefault="00A0179E" w:rsidP="00A0179E">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A0179E" w:rsidTr="00B14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RBA</w:t>
            </w:r>
          </w:p>
        </w:tc>
        <w:tc>
          <w:tcPr>
            <w:tcW w:w="5041" w:type="dxa"/>
          </w:tcPr>
          <w:p w:rsidR="00A0179E" w:rsidRDefault="00A0179E" w:rsidP="00A0179E">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RFM</w:t>
            </w:r>
          </w:p>
        </w:tc>
        <w:tc>
          <w:tcPr>
            <w:tcW w:w="5041" w:type="dxa"/>
          </w:tcPr>
          <w:p w:rsidR="00A0179E" w:rsidRDefault="00A0179E" w:rsidP="00A0179E">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A0179E" w:rsidTr="00B14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RIN</w:t>
            </w:r>
          </w:p>
        </w:tc>
        <w:tc>
          <w:tcPr>
            <w:tcW w:w="5041" w:type="dxa"/>
          </w:tcPr>
          <w:p w:rsidR="00A0179E" w:rsidRDefault="00A0179E" w:rsidP="00A0179E">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RPP</w:t>
            </w:r>
          </w:p>
        </w:tc>
        <w:tc>
          <w:tcPr>
            <w:tcW w:w="5041" w:type="dxa"/>
          </w:tcPr>
          <w:p w:rsidR="00A0179E" w:rsidRDefault="00A0179E" w:rsidP="00A0179E">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A0179E" w:rsidTr="00B14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SLCAPM</w:t>
            </w:r>
          </w:p>
        </w:tc>
        <w:tc>
          <w:tcPr>
            <w:tcW w:w="5041" w:type="dxa"/>
          </w:tcPr>
          <w:p w:rsidR="00A0179E" w:rsidRDefault="00A0179E" w:rsidP="00A0179E">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STTM</w:t>
            </w:r>
          </w:p>
        </w:tc>
        <w:tc>
          <w:tcPr>
            <w:tcW w:w="5041" w:type="dxa"/>
          </w:tcPr>
          <w:p w:rsidR="00A0179E" w:rsidRPr="00A0179E" w:rsidRDefault="00A0179E" w:rsidP="00A0179E">
            <w:pPr>
              <w:cnfStyle w:val="000000000000" w:firstRow="0" w:lastRow="0" w:firstColumn="0" w:lastColumn="0" w:oddVBand="0" w:evenVBand="0" w:oddHBand="0" w:evenHBand="0" w:firstRowFirstColumn="0" w:firstRowLastColumn="0" w:lastRowFirstColumn="0" w:lastRowLastColumn="0"/>
            </w:pPr>
            <w:r>
              <w:t>Short Term Trading Market</w:t>
            </w:r>
          </w:p>
        </w:tc>
      </w:tr>
      <w:tr w:rsidR="00A0179E" w:rsidTr="00B14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TAB</w:t>
            </w:r>
          </w:p>
        </w:tc>
        <w:tc>
          <w:tcPr>
            <w:tcW w:w="5041" w:type="dxa"/>
          </w:tcPr>
          <w:p w:rsidR="00A0179E" w:rsidRPr="00A0179E" w:rsidRDefault="00A0179E" w:rsidP="00A0179E">
            <w:pPr>
              <w:cnfStyle w:val="000000010000" w:firstRow="0" w:lastRow="0" w:firstColumn="0" w:lastColumn="0" w:oddVBand="0" w:evenVBand="0" w:oddHBand="0" w:evenHBand="1" w:firstRowFirstColumn="0" w:firstRowLastColumn="0" w:lastRowFirstColumn="0" w:lastRowLastColumn="0"/>
            </w:pPr>
            <w:r>
              <w:t>Tax asset base</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UAFG</w:t>
            </w:r>
          </w:p>
        </w:tc>
        <w:tc>
          <w:tcPr>
            <w:tcW w:w="5041" w:type="dxa"/>
          </w:tcPr>
          <w:p w:rsidR="00A0179E" w:rsidRPr="00A0179E" w:rsidRDefault="00A0179E" w:rsidP="00A0179E">
            <w:pPr>
              <w:cnfStyle w:val="000000000000" w:firstRow="0" w:lastRow="0" w:firstColumn="0" w:lastColumn="0" w:oddVBand="0" w:evenVBand="0" w:oddHBand="0" w:evenHBand="0" w:firstRowFirstColumn="0" w:firstRowLastColumn="0" w:lastRowFirstColumn="0" w:lastRowLastColumn="0"/>
            </w:pPr>
            <w:r>
              <w:t>Unaccounted for gas</w:t>
            </w:r>
          </w:p>
        </w:tc>
      </w:tr>
      <w:tr w:rsidR="00A0179E" w:rsidTr="00B14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WACC</w:t>
            </w:r>
          </w:p>
        </w:tc>
        <w:tc>
          <w:tcPr>
            <w:tcW w:w="5041" w:type="dxa"/>
          </w:tcPr>
          <w:p w:rsidR="00A0179E" w:rsidRDefault="00A0179E" w:rsidP="00A0179E">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A0179E" w:rsidTr="00B14446">
        <w:tc>
          <w:tcPr>
            <w:cnfStyle w:val="001000000000" w:firstRow="0" w:lastRow="0" w:firstColumn="1" w:lastColumn="0" w:oddVBand="0" w:evenVBand="0" w:oddHBand="0" w:evenHBand="0" w:firstRowFirstColumn="0" w:firstRowLastColumn="0" w:lastRowFirstColumn="0" w:lastRowLastColumn="0"/>
            <w:tcW w:w="3652" w:type="dxa"/>
          </w:tcPr>
          <w:p w:rsidR="00A0179E" w:rsidRDefault="00A0179E" w:rsidP="00A0179E">
            <w:pPr>
              <w:numPr>
                <w:ilvl w:val="0"/>
                <w:numId w:val="24"/>
              </w:numPr>
            </w:pPr>
            <w:r>
              <w:t>WPI</w:t>
            </w:r>
          </w:p>
        </w:tc>
        <w:tc>
          <w:tcPr>
            <w:tcW w:w="5041" w:type="dxa"/>
          </w:tcPr>
          <w:p w:rsidR="00A0179E" w:rsidRPr="00A0179E" w:rsidRDefault="00A0179E" w:rsidP="00A0179E">
            <w:pPr>
              <w:cnfStyle w:val="000000000000" w:firstRow="0" w:lastRow="0" w:firstColumn="0" w:lastColumn="0" w:oddVBand="0" w:evenVBand="0" w:oddHBand="0" w:evenHBand="0" w:firstRowFirstColumn="0" w:firstRowLastColumn="0" w:lastRowFirstColumn="0" w:lastRowLastColumn="0"/>
            </w:pPr>
            <w:r>
              <w:t>Wage Price Index</w:t>
            </w:r>
          </w:p>
        </w:tc>
      </w:tr>
    </w:tbl>
    <w:p w:rsidR="00A0179E" w:rsidRPr="00A0179E" w:rsidRDefault="00A0179E" w:rsidP="00A0179E"/>
    <w:p w:rsidR="00DE563D" w:rsidRDefault="00205A33" w:rsidP="00EE77FA">
      <w:pPr>
        <w:pStyle w:val="Heading1"/>
      </w:pPr>
      <w:bookmarkStart w:id="9" w:name="_Toc486852412"/>
      <w:r>
        <w:t>Demand</w:t>
      </w:r>
      <w:bookmarkEnd w:id="9"/>
    </w:p>
    <w:p w:rsidR="00C62F73" w:rsidRPr="00C62F73" w:rsidRDefault="00C62F73" w:rsidP="00C62F73">
      <w:r w:rsidRPr="00C62F73">
        <w:t xml:space="preserve">This attachment sets out our assessment of the demand forecasts for the RBP access arrangement proposal from APTPPL for the 2017–22 </w:t>
      </w:r>
      <w:r w:rsidR="00A0179E">
        <w:t>a</w:t>
      </w:r>
      <w:r w:rsidRPr="00C62F73">
        <w:t xml:space="preserve">ccess </w:t>
      </w:r>
      <w:r w:rsidR="00A0179E">
        <w:t>a</w:t>
      </w:r>
      <w:r w:rsidRPr="00C62F73">
        <w:t xml:space="preserve">rrangement period. Demand is an important input into the derivation of APTPPL’s reference tariffs. </w:t>
      </w:r>
    </w:p>
    <w:p w:rsidR="00C62F73" w:rsidRPr="00C62F73" w:rsidRDefault="00C62F73" w:rsidP="00C62F73">
      <w:pPr>
        <w:pStyle w:val="Heading2"/>
      </w:pPr>
      <w:bookmarkStart w:id="10" w:name="_Toc408404320"/>
      <w:bookmarkStart w:id="11" w:name="_Toc419366913"/>
      <w:bookmarkStart w:id="12" w:name="_Toc476687452"/>
      <w:bookmarkStart w:id="13" w:name="_Toc486852413"/>
      <w:r w:rsidRPr="00C62F73">
        <w:t>Draft decision</w:t>
      </w:r>
      <w:bookmarkEnd w:id="10"/>
      <w:bookmarkEnd w:id="11"/>
      <w:bookmarkEnd w:id="12"/>
      <w:bookmarkEnd w:id="13"/>
    </w:p>
    <w:p w:rsidR="00C62F73" w:rsidRPr="00C62F73" w:rsidRDefault="00C62F73" w:rsidP="00C62F73">
      <w:r w:rsidRPr="00C62F73">
        <w:t>We are satisfied that APTPPL proposed demand forecasts comply with rule 74(2) of the National Gas Rules (NGR)</w:t>
      </w:r>
      <w:r w:rsidR="00AE3F64">
        <w:t>, taking into account the revenue and pricing principles (RPP).</w:t>
      </w:r>
    </w:p>
    <w:p w:rsidR="00C62F73" w:rsidRPr="00C62F73" w:rsidRDefault="00C62F73" w:rsidP="00C62F73">
      <w:r w:rsidRPr="00C62F73">
        <w:t xml:space="preserve">APTPPL </w:t>
      </w:r>
      <w:r w:rsidR="00406401">
        <w:t>has</w:t>
      </w:r>
      <w:r w:rsidRPr="00C62F73">
        <w:t xml:space="preserve"> proposed two separate demand forecasts for its eastbound and westbound services over the 2017-22 </w:t>
      </w:r>
      <w:r w:rsidR="00A0179E">
        <w:t>access arrangement</w:t>
      </w:r>
      <w:r w:rsidRPr="00C62F73">
        <w:t xml:space="preserve"> period. It proposes to offer these services on a long term and short term firm basis. For both eastbound and westbound services, </w:t>
      </w:r>
      <w:r w:rsidR="00406401">
        <w:t>it</w:t>
      </w:r>
      <w:r w:rsidRPr="00C62F73">
        <w:t xml:space="preserve"> forecast</w:t>
      </w:r>
      <w:r w:rsidR="00406401">
        <w:t>s</w:t>
      </w:r>
      <w:r w:rsidRPr="00C62F73">
        <w:t xml:space="preserve"> an average 200 TJMDQ</w:t>
      </w:r>
      <w:r w:rsidR="00405BE2">
        <w:rPr>
          <w:rStyle w:val="FootnoteReference"/>
        </w:rPr>
        <w:footnoteReference w:id="1"/>
      </w:r>
      <w:r w:rsidRPr="00C62F73">
        <w:t>/day long term firm equivalent de</w:t>
      </w:r>
      <w:r w:rsidR="00405BE2">
        <w:t xml:space="preserve">mand over the 2017-22 </w:t>
      </w:r>
      <w:r w:rsidR="00C4232B">
        <w:t>access arrangement</w:t>
      </w:r>
      <w:r w:rsidR="00405BE2">
        <w:t xml:space="preserve"> period.</w:t>
      </w:r>
      <w:r w:rsidR="00405BE2">
        <w:rPr>
          <w:rStyle w:val="FootnoteReference"/>
        </w:rPr>
        <w:footnoteReference w:id="2"/>
      </w:r>
      <w:r w:rsidRPr="00C62F73">
        <w:t xml:space="preserve"> APTPPL engaged ACIL Allen to assist it to come to its position on demand forecasts.</w:t>
      </w:r>
    </w:p>
    <w:p w:rsidR="00AE3F64" w:rsidRPr="00C62F73" w:rsidRDefault="00AE3F64" w:rsidP="00AE3F64">
      <w:r w:rsidRPr="00C62F73">
        <w:t>APTPPL forecasts that the eastbound service will be sought by retail and industrial users on a long term firm basis, and that gas powered generation (GPG) users will acquire the eastbound service on a short term firm basis. APTPPL forecasts that its westbound services will be sought only on a short term firm basis by a range of different users; including CSG LNG producers, and spot market traders.</w:t>
      </w:r>
    </w:p>
    <w:p w:rsidR="00DD55A5" w:rsidRDefault="00DD55A5" w:rsidP="00C62F73">
      <w:r>
        <w:t xml:space="preserve">Based on all the information before us, </w:t>
      </w:r>
      <w:r w:rsidR="00AE3F64">
        <w:t>our conclusion is</w:t>
      </w:r>
      <w:r>
        <w:t xml:space="preserve"> that APTPPL's forecast of an average of 200</w:t>
      </w:r>
      <w:r w:rsidR="00AE3F64">
        <w:t xml:space="preserve"> </w:t>
      </w:r>
      <w:r>
        <w:t>TJMDQ/day long term firm equivalent demand is the best estimate in the circumstances.</w:t>
      </w:r>
      <w:r w:rsidR="001937FC">
        <w:t xml:space="preserve"> </w:t>
      </w:r>
    </w:p>
    <w:p w:rsidR="00C62F73" w:rsidRPr="00C62F73" w:rsidRDefault="00C62F73" w:rsidP="00C62F73">
      <w:pPr>
        <w:pStyle w:val="Heading2"/>
      </w:pPr>
      <w:bookmarkStart w:id="14" w:name="_Toc419366914"/>
      <w:bookmarkStart w:id="15" w:name="_Toc476687453"/>
      <w:bookmarkStart w:id="16" w:name="_Toc486852414"/>
      <w:r w:rsidRPr="00C62F73">
        <w:t>APTPPL’s proposal</w:t>
      </w:r>
      <w:bookmarkEnd w:id="14"/>
      <w:bookmarkEnd w:id="15"/>
      <w:bookmarkEnd w:id="16"/>
    </w:p>
    <w:p w:rsidR="00C62F73" w:rsidRPr="00C62F73" w:rsidRDefault="00C62F73" w:rsidP="00C62F73">
      <w:r w:rsidRPr="00C62F73">
        <w:t>APTPPL propose</w:t>
      </w:r>
      <w:r w:rsidR="00C4232B">
        <w:t>d</w:t>
      </w:r>
      <w:r w:rsidRPr="00C62F73">
        <w:t xml:space="preserve"> a number of changes to its current access arrangement (2012-2017 </w:t>
      </w:r>
      <w:r w:rsidR="00A0179E">
        <w:t>access arrangement</w:t>
      </w:r>
      <w:r w:rsidRPr="00C62F73">
        <w:t xml:space="preserve"> period) that affect its demand forecasts. In particular, APTPPL proposes to offer during the 2017–22 </w:t>
      </w:r>
      <w:r w:rsidR="00A0179E">
        <w:t>access arrangement</w:t>
      </w:r>
      <w:r w:rsidRPr="00C62F73">
        <w:t xml:space="preserve"> period:</w:t>
      </w:r>
      <w:r w:rsidR="00405BE2">
        <w:rPr>
          <w:rStyle w:val="FootnoteReference"/>
        </w:rPr>
        <w:footnoteReference w:id="3"/>
      </w:r>
    </w:p>
    <w:p w:rsidR="00C62F73" w:rsidRPr="00C62F73" w:rsidRDefault="00C62F73" w:rsidP="00C62F73">
      <w:pPr>
        <w:pStyle w:val="AERbulletlistfirststyle"/>
      </w:pPr>
      <w:r w:rsidRPr="00C62F73">
        <w:t>both eastbound and westbound services, to allow midstream gas to be shipped either towards Brisbane (eastbound) or towards the Wallumbilla Hub (westbound); and</w:t>
      </w:r>
    </w:p>
    <w:p w:rsidR="00C62F73" w:rsidRPr="00C62F73" w:rsidRDefault="00C62F73" w:rsidP="00C62F73">
      <w:pPr>
        <w:pStyle w:val="AERbulletlistfirststyle"/>
      </w:pPr>
      <w:r w:rsidRPr="00C62F73">
        <w:t>both long term and short term firm services.</w:t>
      </w:r>
    </w:p>
    <w:p w:rsidR="00C62F73" w:rsidRPr="00C62F73" w:rsidRDefault="00C62F73" w:rsidP="00C62F73">
      <w:r w:rsidRPr="00C62F73">
        <w:t>The long term firm service is a capacity reservation service which is charged with a capacity-only tariff over the term of a long term contract. The short term service is only charged for the term of the capacity reserved (as little as one day).</w:t>
      </w:r>
      <w:r w:rsidR="00405BE2">
        <w:rPr>
          <w:rStyle w:val="FootnoteReference"/>
        </w:rPr>
        <w:footnoteReference w:id="4"/>
      </w:r>
    </w:p>
    <w:p w:rsidR="00C62F73" w:rsidRPr="00C62F73" w:rsidRDefault="00C62F73" w:rsidP="00C62F73">
      <w:r w:rsidRPr="00C62F73">
        <w:t>APTPPL has therefore submitted separate demand forecasts for its eastbound and westbound services, as well as whether demand for these services will be for the long term or short term firm service.</w:t>
      </w:r>
    </w:p>
    <w:p w:rsidR="00C62F73" w:rsidRPr="00C62F73" w:rsidDel="00872030" w:rsidRDefault="00C62F73" w:rsidP="00C62F73">
      <w:r w:rsidRPr="00C62F73" w:rsidDel="00872030">
        <w:t>Demand for APTPPL's westbound service has been forecast separately. APTPPL submit that this is because it is a new service (on offer since October 2015) and the characteristics of shippers demanding this service differ from those demanding the eastbound service.</w:t>
      </w:r>
      <w:r w:rsidR="00AC406F">
        <w:rPr>
          <w:rStyle w:val="FootnoteReference"/>
        </w:rPr>
        <w:footnoteReference w:id="5"/>
      </w:r>
      <w:r w:rsidRPr="00C62F73">
        <w:t xml:space="preserve"> It forecasts that users of this service will only seek the short term firm service.</w:t>
      </w:r>
    </w:p>
    <w:p w:rsidR="00C62F73" w:rsidRPr="00C62F73" w:rsidRDefault="00C62F73" w:rsidP="00C62F73">
      <w:r w:rsidRPr="00C62F73">
        <w:t>To forecast demand for its eastbound service, APTPPL's approach to forecasting differs between customer classes:</w:t>
      </w:r>
      <w:r w:rsidR="00405BE2">
        <w:rPr>
          <w:rStyle w:val="FootnoteReference"/>
        </w:rPr>
        <w:footnoteReference w:id="6"/>
      </w:r>
    </w:p>
    <w:p w:rsidR="00C62F73" w:rsidRPr="00C62F73" w:rsidRDefault="00C62F73" w:rsidP="00C62F73">
      <w:pPr>
        <w:pStyle w:val="AERbulletlistfirststyle"/>
      </w:pPr>
      <w:r w:rsidRPr="00C62F73">
        <w:t xml:space="preserve">For retail and industrial users, the forecast load is based on historical flows, adjusted for organic growth in the retail sector and known changes in the industrial sector. APTPPL forecasts these users to demand the long term firm service over the </w:t>
      </w:r>
      <w:r w:rsidR="00A0179E">
        <w:t>access arrangement</w:t>
      </w:r>
      <w:r w:rsidRPr="00C62F73">
        <w:t xml:space="preserve"> period; and</w:t>
      </w:r>
    </w:p>
    <w:p w:rsidR="00C62F73" w:rsidRPr="00C62F73" w:rsidRDefault="00C62F73" w:rsidP="00C62F73">
      <w:pPr>
        <w:pStyle w:val="AERbulletlistfirststyle"/>
      </w:pPr>
      <w:r w:rsidRPr="00C62F73">
        <w:t>For</w:t>
      </w:r>
      <w:r w:rsidR="006B587F">
        <w:t xml:space="preserve"> gas</w:t>
      </w:r>
      <w:r w:rsidRPr="00C62F73">
        <w:t xml:space="preserve"> power generation </w:t>
      </w:r>
      <w:r w:rsidR="006B587F">
        <w:t xml:space="preserve">(GPG) </w:t>
      </w:r>
      <w:r w:rsidRPr="00C62F73">
        <w:t xml:space="preserve">users, APTPPL </w:t>
      </w:r>
      <w:r w:rsidR="00AE3F64">
        <w:t>submits</w:t>
      </w:r>
      <w:r w:rsidR="00AE3F64" w:rsidRPr="00C62F73">
        <w:t xml:space="preserve"> </w:t>
      </w:r>
      <w:r w:rsidRPr="00C62F73">
        <w:t xml:space="preserve">that forecasting is more complex with demand for gas depending largely on the relationship between gas prices, electricity prices and generation station operating costs. APTPPL forecasts these eastbound users to demand the short term firm service over the </w:t>
      </w:r>
      <w:r w:rsidR="00A0179E">
        <w:t>access arrangement</w:t>
      </w:r>
      <w:r w:rsidRPr="00C62F73">
        <w:t xml:space="preserve"> period.</w:t>
      </w:r>
    </w:p>
    <w:p w:rsidR="00C62F73" w:rsidRPr="00C62F73" w:rsidRDefault="00C62F73" w:rsidP="00C62F73">
      <w:pPr>
        <w:pStyle w:val="Heading2"/>
      </w:pPr>
      <w:bookmarkStart w:id="17" w:name="_Toc408404322"/>
      <w:bookmarkStart w:id="18" w:name="_Toc419366915"/>
      <w:bookmarkStart w:id="19" w:name="_Toc476687454"/>
      <w:bookmarkStart w:id="20" w:name="_Toc486852415"/>
      <w:r w:rsidRPr="00C62F73">
        <w:t>AER’s assessment approach</w:t>
      </w:r>
      <w:bookmarkEnd w:id="17"/>
      <w:bookmarkEnd w:id="18"/>
      <w:bookmarkEnd w:id="19"/>
      <w:bookmarkEnd w:id="20"/>
    </w:p>
    <w:p w:rsidR="00C62F73" w:rsidRPr="00C62F73" w:rsidRDefault="00C62F73" w:rsidP="00C62F73">
      <w:r w:rsidRPr="00C62F73">
        <w:t xml:space="preserve">The NGR require access arrangement information for a full </w:t>
      </w:r>
      <w:r w:rsidR="00A0179E">
        <w:t>access arrangement</w:t>
      </w:r>
      <w:r w:rsidRPr="00C62F73">
        <w:t xml:space="preserve"> proposal for a transmission pipeline to include:</w:t>
      </w:r>
    </w:p>
    <w:p w:rsidR="00C62F73" w:rsidRPr="00C62F73" w:rsidRDefault="00C62F73" w:rsidP="00C62F73">
      <w:pPr>
        <w:pStyle w:val="AERbulletlistfirststyle"/>
      </w:pPr>
      <w:r w:rsidRPr="00C62F73">
        <w:t xml:space="preserve">usage of the pipeline over the earlier </w:t>
      </w:r>
      <w:r w:rsidR="00A0179E">
        <w:t>access arrangement</w:t>
      </w:r>
      <w:r w:rsidRPr="00C62F73">
        <w:t xml:space="preserve"> period showing minimum, maximum and average demand for each receipt and delivery point; and user numbers for each receipt or delivery point</w:t>
      </w:r>
      <w:r w:rsidR="00CF64CC">
        <w:rPr>
          <w:rStyle w:val="FootnoteReference"/>
        </w:rPr>
        <w:footnoteReference w:id="7"/>
      </w:r>
    </w:p>
    <w:p w:rsidR="00C62F73" w:rsidRPr="00C62F73" w:rsidRDefault="00C62F73" w:rsidP="00C62F73">
      <w:pPr>
        <w:pStyle w:val="AERbulletlistfirststyle"/>
      </w:pPr>
      <w:r w:rsidRPr="00C62F73">
        <w:t xml:space="preserve">to the extent that it is practicable to forecast pipeline capacity and utilisation of pipeline capacity over the </w:t>
      </w:r>
      <w:r w:rsidR="00A0179E">
        <w:t>access arrangement</w:t>
      </w:r>
      <w:r w:rsidRPr="00C62F73">
        <w:t xml:space="preserve"> period, a forecast of pipeline capacity and utilisation of pipeline capacity over that period and the basis on which the forecast has been derived.</w:t>
      </w:r>
      <w:r w:rsidR="00CF64CC">
        <w:rPr>
          <w:rStyle w:val="FootnoteReference"/>
        </w:rPr>
        <w:footnoteReference w:id="8"/>
      </w:r>
    </w:p>
    <w:p w:rsidR="00C62F73" w:rsidRPr="00C62F73" w:rsidRDefault="00AE3F64" w:rsidP="00C62F73">
      <w:r>
        <w:t>The NGL requires us to take into account the RPP and the</w:t>
      </w:r>
      <w:r w:rsidR="00C62F73" w:rsidRPr="00C62F73">
        <w:t xml:space="preserve"> NGR also require that forecasts and estimates:</w:t>
      </w:r>
      <w:r w:rsidR="00CF64CC">
        <w:rPr>
          <w:rStyle w:val="FootnoteReference"/>
        </w:rPr>
        <w:footnoteReference w:id="9"/>
      </w:r>
    </w:p>
    <w:p w:rsidR="00C62F73" w:rsidRPr="00C62F73" w:rsidRDefault="00C62F73" w:rsidP="00C62F73">
      <w:pPr>
        <w:pStyle w:val="AERbulletlistfirststyle"/>
      </w:pPr>
      <w:r w:rsidRPr="00C62F73">
        <w:t>are arrived at on a reasonable basis; and</w:t>
      </w:r>
    </w:p>
    <w:p w:rsidR="00C62F73" w:rsidRPr="00C62F73" w:rsidRDefault="00C62F73" w:rsidP="00C62F73">
      <w:pPr>
        <w:pStyle w:val="AERbulletlistfirststyle"/>
      </w:pPr>
      <w:r w:rsidRPr="00C62F73">
        <w:t>represent the best forecast or estimate possible in the circumstances.</w:t>
      </w:r>
    </w:p>
    <w:p w:rsidR="00C62F73" w:rsidRPr="00C62F73" w:rsidRDefault="00C62F73" w:rsidP="00C62F73">
      <w:r w:rsidRPr="00C62F73">
        <w:t>We consider that there are two important considerations in assessing whether demand forecasts are arrived at on a reasonable basis and whether they represent the best forecasts possible in the circumstances.</w:t>
      </w:r>
      <w:r w:rsidR="00CF64CC">
        <w:rPr>
          <w:rStyle w:val="FootnoteReference"/>
        </w:rPr>
        <w:footnoteReference w:id="10"/>
      </w:r>
      <w:r w:rsidRPr="00C62F73">
        <w:t xml:space="preserve"> These are:</w:t>
      </w:r>
    </w:p>
    <w:p w:rsidR="00C62F73" w:rsidRPr="00C62F73" w:rsidRDefault="00C62F73" w:rsidP="00C62F73">
      <w:pPr>
        <w:pStyle w:val="AERbulletlistfirststyle"/>
      </w:pPr>
      <w:r w:rsidRPr="00C62F73">
        <w:t xml:space="preserve">the appropriateness of the forecast methodology – this involves consideration of how the demand forecast has been developed; and </w:t>
      </w:r>
    </w:p>
    <w:p w:rsidR="00C62F73" w:rsidRPr="00C62F73" w:rsidRDefault="00C62F73" w:rsidP="00C62F73">
      <w:pPr>
        <w:pStyle w:val="AERbulletlistfirststyle"/>
      </w:pPr>
      <w:r w:rsidRPr="00C62F73">
        <w:t xml:space="preserve">whether or not relevant factors have been taken into account in developing demand forecasts. </w:t>
      </w:r>
    </w:p>
    <w:p w:rsidR="00C62F73" w:rsidRPr="00C62F73" w:rsidRDefault="00C62F73" w:rsidP="00C62F73">
      <w:r w:rsidRPr="00C62F73">
        <w:t>To determine whether APTPPL’s proposed demand forecasts are arrived at on a reasonable basis and are the best possible forecasts in the circumstances, we reviewed:</w:t>
      </w:r>
    </w:p>
    <w:p w:rsidR="006B587F" w:rsidRDefault="00C62F73" w:rsidP="00C62F73">
      <w:pPr>
        <w:pStyle w:val="AERbulletlistfirststyle"/>
      </w:pPr>
      <w:r w:rsidRPr="00C62F73">
        <w:t>information provided by APTPPL</w:t>
      </w:r>
      <w:r w:rsidR="006B587F">
        <w:t>;</w:t>
      </w:r>
    </w:p>
    <w:p w:rsidR="00C62F73" w:rsidRPr="00C62F73" w:rsidRDefault="0054596F" w:rsidP="00C62F73">
      <w:pPr>
        <w:pStyle w:val="AERbulletlistfirststyle"/>
      </w:pPr>
      <w:r>
        <w:t>other analysis from demand experts;</w:t>
      </w:r>
    </w:p>
    <w:p w:rsidR="00C62F73" w:rsidRPr="00C62F73" w:rsidRDefault="00C62F73" w:rsidP="00C62F73">
      <w:pPr>
        <w:pStyle w:val="AERbulletlistfirststyle"/>
      </w:pPr>
      <w:r w:rsidRPr="00C62F73">
        <w:t>the data inputs used to implement the forecasting methodology.</w:t>
      </w:r>
    </w:p>
    <w:p w:rsidR="00C62F73" w:rsidRPr="00C62F73" w:rsidRDefault="00C62F73" w:rsidP="00C62F73">
      <w:r w:rsidRPr="00C62F73">
        <w:t>In making our draft decision, we had regard to:</w:t>
      </w:r>
    </w:p>
    <w:p w:rsidR="00DD55A5" w:rsidRDefault="00DD55A5" w:rsidP="00C62F73">
      <w:pPr>
        <w:pStyle w:val="AERbulletlistfirststyle"/>
      </w:pPr>
      <w:r>
        <w:t>the NGR and NGL;</w:t>
      </w:r>
    </w:p>
    <w:p w:rsidR="00C62F73" w:rsidRPr="00C62F73" w:rsidRDefault="00C62F73" w:rsidP="00C62F73">
      <w:pPr>
        <w:pStyle w:val="AERbulletlistfirststyle"/>
      </w:pPr>
      <w:r w:rsidRPr="00C62F73">
        <w:t>information provided by APT</w:t>
      </w:r>
      <w:r w:rsidR="00640619">
        <w:t xml:space="preserve">PPL as part of its proposed </w:t>
      </w:r>
      <w:r w:rsidR="00A0179E">
        <w:t>access arrangement</w:t>
      </w:r>
      <w:r w:rsidR="00640619">
        <w:t>;</w:t>
      </w:r>
      <w:r w:rsidRPr="00C62F73">
        <w:t xml:space="preserve"> </w:t>
      </w:r>
    </w:p>
    <w:p w:rsidR="00DD55A5" w:rsidRDefault="00C62F73" w:rsidP="00C62F73">
      <w:pPr>
        <w:pStyle w:val="AERbulletlistfirststyle"/>
      </w:pPr>
      <w:r w:rsidRPr="00C62F73">
        <w:t>additional information provided by APTPPL in response to our information requests</w:t>
      </w:r>
      <w:r w:rsidR="006B587F">
        <w:t xml:space="preserve">; </w:t>
      </w:r>
    </w:p>
    <w:p w:rsidR="0054596F" w:rsidRDefault="0054596F" w:rsidP="00C62F73">
      <w:pPr>
        <w:pStyle w:val="AERbulletlistfirststyle"/>
      </w:pPr>
      <w:r>
        <w:t>information from other demand experts;</w:t>
      </w:r>
    </w:p>
    <w:p w:rsidR="00C62F73" w:rsidRPr="00C62F73" w:rsidRDefault="00DD55A5" w:rsidP="00C62F73">
      <w:pPr>
        <w:pStyle w:val="AERbulletlistfirststyle"/>
      </w:pPr>
      <w:r>
        <w:t xml:space="preserve">other </w:t>
      </w:r>
      <w:r w:rsidR="00AB05E6">
        <w:t xml:space="preserve">information </w:t>
      </w:r>
      <w:r>
        <w:t xml:space="preserve">such as </w:t>
      </w:r>
      <w:r w:rsidR="00AB05E6">
        <w:t xml:space="preserve">current and expected </w:t>
      </w:r>
      <w:r>
        <w:t>market conditions.</w:t>
      </w:r>
    </w:p>
    <w:p w:rsidR="00C62F73" w:rsidRPr="00C62F73" w:rsidRDefault="00C62F73" w:rsidP="00C62F73">
      <w:pPr>
        <w:pStyle w:val="HeadingBoldBlue"/>
        <w:rPr>
          <w:rStyle w:val="Strong"/>
          <w:b/>
          <w:bCs/>
        </w:rPr>
      </w:pPr>
      <w:bookmarkStart w:id="21" w:name="_Toc436045098"/>
      <w:bookmarkStart w:id="22" w:name="_Toc476687455"/>
      <w:bookmarkStart w:id="23" w:name="_Toc408404324"/>
      <w:bookmarkStart w:id="24" w:name="_Toc419366917"/>
      <w:r w:rsidRPr="00C62F73">
        <w:rPr>
          <w:rStyle w:val="Strong"/>
          <w:b/>
          <w:bCs/>
        </w:rPr>
        <w:t>Interrelationships</w:t>
      </w:r>
      <w:bookmarkEnd w:id="21"/>
      <w:bookmarkEnd w:id="22"/>
    </w:p>
    <w:p w:rsidR="006123E1" w:rsidRPr="00C62F73" w:rsidRDefault="00C62F73" w:rsidP="00C62F73">
      <w:r w:rsidRPr="00C62F73">
        <w:t xml:space="preserve">Tariff prices depend on estimates on forecast total demand (GJ/day). </w:t>
      </w:r>
      <w:r w:rsidR="003714B5">
        <w:t xml:space="preserve">To set transmission tariffs, the demand forecast is expressed in terms of the capacity reserved by the user (maximum daily quantity). </w:t>
      </w:r>
      <w:r w:rsidRPr="00C62F73">
        <w:t xml:space="preserve">Changes in these forecasts will translate into changed tariff prices. In simple terms, tariff prices are determined by cost divided by total demand (GJ/day), such that an increase in forecast demand has the effect of reducing the tariff price and vice versa. </w:t>
      </w:r>
    </w:p>
    <w:p w:rsidR="00B617D2" w:rsidRDefault="00B617D2" w:rsidP="00C62F73">
      <w:r>
        <w:t xml:space="preserve">For this </w:t>
      </w:r>
      <w:r w:rsidR="00A0179E">
        <w:t>access arrangement</w:t>
      </w:r>
      <w:r>
        <w:t>,</w:t>
      </w:r>
      <w:r w:rsidR="006F041D">
        <w:t xml:space="preserve"> </w:t>
      </w:r>
      <w:r w:rsidR="003714B5">
        <w:t xml:space="preserve">APTPPL </w:t>
      </w:r>
      <w:r w:rsidR="006F041D">
        <w:t xml:space="preserve">combines </w:t>
      </w:r>
      <w:r w:rsidR="006F041D" w:rsidRPr="00C62F73">
        <w:t xml:space="preserve">both </w:t>
      </w:r>
      <w:r w:rsidR="006F041D">
        <w:t xml:space="preserve">its forecasts for long term firm and short term firm demand (eastbound and westbound) into one overall </w:t>
      </w:r>
      <w:r w:rsidR="006F041D" w:rsidRPr="00C62F73">
        <w:t>forecast</w:t>
      </w:r>
      <w:r w:rsidR="006F041D">
        <w:t xml:space="preserve"> </w:t>
      </w:r>
      <w:r w:rsidR="006F041D">
        <w:noBreakHyphen/>
        <w:t xml:space="preserve"> a long term firm equivalent demand of 200 TJMDQ/day</w:t>
      </w:r>
      <w:r w:rsidR="006F041D" w:rsidRPr="00C62F73">
        <w:t>.</w:t>
      </w:r>
      <w:r w:rsidR="006F041D">
        <w:rPr>
          <w:rStyle w:val="FootnoteReference"/>
        </w:rPr>
        <w:footnoteReference w:id="11"/>
      </w:r>
      <w:r w:rsidR="006F041D">
        <w:t xml:space="preserve"> </w:t>
      </w:r>
      <w:r>
        <w:t xml:space="preserve">To do this, </w:t>
      </w:r>
      <w:r w:rsidR="006F041D">
        <w:t>it converts the amount of short term firm throughput to a revenue-equivalent le</w:t>
      </w:r>
      <w:r>
        <w:t>vel of long term firm demand. This is done by multiplying the forecast amount of short term firm throughput by the short term firm multiplier of 1.66</w:t>
      </w:r>
      <w:r w:rsidR="0028037F">
        <w:t xml:space="preserve"> </w:t>
      </w:r>
      <w:r>
        <w:t>(and then dividing by 365 days to derive a daily amount)</w:t>
      </w:r>
      <w:r w:rsidR="006F041D">
        <w:t>.</w:t>
      </w:r>
      <w:r w:rsidR="006F041D">
        <w:rPr>
          <w:rStyle w:val="FootnoteReference"/>
        </w:rPr>
        <w:footnoteReference w:id="12"/>
      </w:r>
      <w:r>
        <w:t xml:space="preserve"> </w:t>
      </w:r>
    </w:p>
    <w:p w:rsidR="00C62F73" w:rsidRPr="00C62F73" w:rsidRDefault="00C62F73" w:rsidP="00C62F73">
      <w:r w:rsidRPr="00C62F73">
        <w:t>Generally, demand forecasts also affect augmentation capital expenditure to increase network capacity</w:t>
      </w:r>
      <w:r w:rsidR="000A01D8">
        <w:t>, network extensions to serve new customers,</w:t>
      </w:r>
      <w:r w:rsidRPr="00C62F73">
        <w:t xml:space="preserve"> and associated operating expenditure. However, this interrelationship is not relevant because APTPPL has not proposed to increase the capacity of the RBP during the </w:t>
      </w:r>
      <w:r w:rsidR="00A0179E">
        <w:t>access arrangement</w:t>
      </w:r>
      <w:r w:rsidRPr="00C62F73">
        <w:t xml:space="preserve"> period.</w:t>
      </w:r>
    </w:p>
    <w:p w:rsidR="00C62F73" w:rsidRPr="00C62F73" w:rsidRDefault="00C62F73" w:rsidP="00405BE2">
      <w:pPr>
        <w:pStyle w:val="Heading3"/>
      </w:pPr>
      <w:bookmarkStart w:id="25" w:name="_Toc476687456"/>
      <w:bookmarkStart w:id="26" w:name="_Toc486852416"/>
      <w:bookmarkEnd w:id="23"/>
      <w:bookmarkEnd w:id="24"/>
      <w:r w:rsidRPr="00C62F73">
        <w:t>Minimum, maximum and average demand</w:t>
      </w:r>
      <w:bookmarkEnd w:id="25"/>
      <w:bookmarkEnd w:id="26"/>
    </w:p>
    <w:p w:rsidR="007F1228" w:rsidRDefault="007F1228" w:rsidP="00C62F73">
      <w:r>
        <w:t xml:space="preserve">APTPPL has included data on its </w:t>
      </w:r>
      <w:r w:rsidRPr="00C62F73">
        <w:t xml:space="preserve">minimum, maximum and average demand for each receipt or delivery point for the earlier </w:t>
      </w:r>
      <w:r w:rsidR="00A0179E">
        <w:t>access arrangement</w:t>
      </w:r>
      <w:r w:rsidRPr="00C62F73">
        <w:t>.</w:t>
      </w:r>
      <w:r>
        <w:t xml:space="preserve"> It has also provided information on </w:t>
      </w:r>
      <w:r w:rsidRPr="00C62F73">
        <w:t>user numbers</w:t>
      </w:r>
      <w:r>
        <w:t xml:space="preserve">. We have reviewed this information and are satisfied that it is a fair representation of usage of the pipeline in the previous </w:t>
      </w:r>
      <w:r w:rsidR="00A0179E">
        <w:t>access arrangement</w:t>
      </w:r>
      <w:r>
        <w:t>.</w:t>
      </w:r>
      <w:r>
        <w:rPr>
          <w:rStyle w:val="FootnoteReference"/>
        </w:rPr>
        <w:footnoteReference w:id="13"/>
      </w:r>
    </w:p>
    <w:p w:rsidR="00C62F73" w:rsidRPr="00C62F73" w:rsidRDefault="00C62F73" w:rsidP="00405BE2">
      <w:pPr>
        <w:pStyle w:val="Heading3"/>
      </w:pPr>
      <w:bookmarkStart w:id="27" w:name="_Toc476687457"/>
      <w:bookmarkStart w:id="28" w:name="_Toc486852417"/>
      <w:r w:rsidRPr="00C62F73">
        <w:t>Forecast pipeline capacity and utilisation</w:t>
      </w:r>
      <w:bookmarkEnd w:id="27"/>
      <w:bookmarkEnd w:id="28"/>
    </w:p>
    <w:p w:rsidR="00C62F73" w:rsidRPr="00C62F73" w:rsidRDefault="00C62F73" w:rsidP="00C62F73">
      <w:r w:rsidRPr="00C62F73">
        <w:t xml:space="preserve">APTPPL’s </w:t>
      </w:r>
      <w:r w:rsidR="00A0179E">
        <w:t>access arrangement information</w:t>
      </w:r>
      <w:r w:rsidRPr="00C62F73">
        <w:t xml:space="preserve"> includes information</w:t>
      </w:r>
      <w:r w:rsidR="007F1228">
        <w:t xml:space="preserve"> on</w:t>
      </w:r>
      <w:r w:rsidRPr="00C62F73">
        <w:t xml:space="preserve"> </w:t>
      </w:r>
      <w:r w:rsidR="007F1228" w:rsidRPr="00C62F73">
        <w:t xml:space="preserve">forecast pipeline capacity and utilisation of pipeline capacity over the </w:t>
      </w:r>
      <w:r w:rsidR="00A0179E">
        <w:t>access arrangement</w:t>
      </w:r>
      <w:r w:rsidR="007F1228" w:rsidRPr="00C62F73">
        <w:t xml:space="preserve"> period</w:t>
      </w:r>
      <w:r w:rsidR="007F1228">
        <w:t xml:space="preserve">. We assess that this information </w:t>
      </w:r>
      <w:r w:rsidRPr="00C62F73">
        <w:t>satisfies the requirements of the NGR.</w:t>
      </w:r>
      <w:r w:rsidR="007F1228" w:rsidRPr="007F1228">
        <w:rPr>
          <w:rStyle w:val="FootnoteReference"/>
        </w:rPr>
        <w:t xml:space="preserve"> </w:t>
      </w:r>
      <w:r w:rsidR="007F1228">
        <w:rPr>
          <w:rStyle w:val="FootnoteReference"/>
        </w:rPr>
        <w:footnoteReference w:id="14"/>
      </w:r>
      <w:r w:rsidR="007F1228" w:rsidRPr="00C62F73">
        <w:t xml:space="preserve"> </w:t>
      </w:r>
      <w:r w:rsidRPr="00C62F73">
        <w:t>We have formed this view on the basis that the capacity forecast has taken into account aggregated contracted demand on the pipeline and any additional capacity that can be delivered within the physical and contractual constraints of the pipeline.</w:t>
      </w:r>
      <w:r w:rsidR="00CF64CC">
        <w:rPr>
          <w:rStyle w:val="FootnoteReference"/>
        </w:rPr>
        <w:footnoteReference w:id="15"/>
      </w:r>
    </w:p>
    <w:p w:rsidR="00C62F73" w:rsidRPr="00C62F73" w:rsidRDefault="00C62F73" w:rsidP="00405BE2">
      <w:pPr>
        <w:pStyle w:val="Heading2"/>
      </w:pPr>
      <w:bookmarkStart w:id="29" w:name="_Toc476687458"/>
      <w:bookmarkStart w:id="30" w:name="_Toc486852418"/>
      <w:r w:rsidRPr="00C62F73">
        <w:t>Reasons for draft decision</w:t>
      </w:r>
      <w:bookmarkEnd w:id="29"/>
      <w:bookmarkEnd w:id="30"/>
      <w:r w:rsidRPr="00C62F73">
        <w:t xml:space="preserve"> </w:t>
      </w:r>
    </w:p>
    <w:p w:rsidR="00DD55A5" w:rsidRDefault="00B52866" w:rsidP="00C62F73">
      <w:r>
        <w:t xml:space="preserve">Based on the information before us, we </w:t>
      </w:r>
      <w:r w:rsidR="00C62F73" w:rsidRPr="00C62F73">
        <w:t>are satis</w:t>
      </w:r>
      <w:r w:rsidR="004903AB">
        <w:t xml:space="preserve">fied that </w:t>
      </w:r>
      <w:r>
        <w:t>APTPPL's forecast of an average of 200TJMDQ/day long term equivalent demand</w:t>
      </w:r>
      <w:r w:rsidR="004903AB">
        <w:t xml:space="preserve"> on the RBP for the 201</w:t>
      </w:r>
      <w:r w:rsidR="00E06B13">
        <w:t>7</w:t>
      </w:r>
      <w:r w:rsidR="004903AB">
        <w:t xml:space="preserve">-22 </w:t>
      </w:r>
      <w:r w:rsidR="00A0179E">
        <w:t>access arrangement</w:t>
      </w:r>
      <w:r w:rsidR="004903AB">
        <w:t xml:space="preserve"> period</w:t>
      </w:r>
      <w:r w:rsidR="00C62F73" w:rsidRPr="00C62F73">
        <w:t xml:space="preserve"> is the best estimate in the circumstances.</w:t>
      </w:r>
      <w:r>
        <w:t xml:space="preserve"> </w:t>
      </w:r>
      <w:r w:rsidR="00AE3F64" w:rsidRPr="00AE3F64">
        <w:t>We are also of the view that APTPPL’s forecast is at a level that provide</w:t>
      </w:r>
      <w:r w:rsidR="00C06776">
        <w:t>s it</w:t>
      </w:r>
      <w:r w:rsidR="00AE3F64" w:rsidRPr="00AE3F64">
        <w:t xml:space="preserve"> with a reasonable opportunity to recover at least its efficient costs, incentives to promote efficient investment, and avoid under or over investment and utilisation of the pipeline.</w:t>
      </w:r>
      <w:r w:rsidR="00AE3F64">
        <w:rPr>
          <w:rStyle w:val="FootnoteReference"/>
        </w:rPr>
        <w:footnoteReference w:id="16"/>
      </w:r>
      <w:r w:rsidR="00AE3F64" w:rsidDel="00AE3F64">
        <w:t xml:space="preserve"> </w:t>
      </w:r>
    </w:p>
    <w:p w:rsidR="00AE3F64" w:rsidRPr="00AE3F64" w:rsidRDefault="00AE3F64" w:rsidP="00AE3F64">
      <w:r>
        <w:t xml:space="preserve">We note that APTPPL's demand forecast includes the load for both the long term and short term firm service. As set out in attachment </w:t>
      </w:r>
      <w:r w:rsidR="00A72080">
        <w:t>1</w:t>
      </w:r>
      <w:r>
        <w:t xml:space="preserve">, we </w:t>
      </w:r>
      <w:r w:rsidRPr="00AE3F64">
        <w:t xml:space="preserve">did not accept APTPPL's proposal to make the short term firm service a reference service. For forecasting demand, </w:t>
      </w:r>
      <w:r w:rsidRPr="00AE3F64">
        <w:rPr>
          <w:rStyle w:val="FootnoteReference"/>
        </w:rPr>
        <w:t xml:space="preserve"> </w:t>
      </w:r>
      <w:r w:rsidRPr="00AE3F64">
        <w:t>we consider it appropriate to include the short term firm service load in the demand forecast. This is because demand for this service, especially westbound, is expected to increase as projected by APTPPL and its consultant, ACIL Allen. Forecasts costs should therefore be allocated across to this service.</w:t>
      </w:r>
    </w:p>
    <w:p w:rsidR="00AE3F64" w:rsidRDefault="00AE3F64" w:rsidP="00AE3F64">
      <w:r>
        <w:t>Below we discuss particular issues we had regard to in APTPPL's proposal. An overarching consideration has been the current uncertainties in the energy market</w:t>
      </w:r>
      <w:r w:rsidR="00C06776">
        <w:t>. In this environment there are a range of potential scenarios which might impact the demand for gas transport services going forward. While there are a range of views on which scenarios are most likely, overall, we are satisfied with the approach taken by APTPPL in preparing its demand forecast.</w:t>
      </w:r>
    </w:p>
    <w:p w:rsidR="00AE3F64" w:rsidRPr="00AE3F64" w:rsidRDefault="00AE3F64" w:rsidP="00AE3F64">
      <w:pPr>
        <w:pStyle w:val="Heading3"/>
        <w:numPr>
          <w:ilvl w:val="0"/>
          <w:numId w:val="0"/>
        </w:numPr>
        <w:ind w:left="720" w:hanging="720"/>
      </w:pPr>
      <w:bookmarkStart w:id="31" w:name="_Toc482016170"/>
      <w:bookmarkStart w:id="32" w:name="_Toc486852419"/>
      <w:r>
        <w:t>Eastbound demand</w:t>
      </w:r>
      <w:bookmarkEnd w:id="31"/>
      <w:bookmarkEnd w:id="32"/>
    </w:p>
    <w:p w:rsidR="00AE3F64" w:rsidRDefault="00AE3F64" w:rsidP="00AE3F64">
      <w:r>
        <w:t>We are satisfied that APTPPL's forecast for eastbound long term demand (retail and industrial user demand) and short term demand (GPG users) is the best estimate in the circumstances.</w:t>
      </w:r>
    </w:p>
    <w:p w:rsidR="00AE3F64" w:rsidRDefault="00AE3F64" w:rsidP="00AE3F64">
      <w:r>
        <w:t>We observe the following:</w:t>
      </w:r>
    </w:p>
    <w:p w:rsidR="00AE3F64" w:rsidRPr="00AE3F64" w:rsidRDefault="00AE3F64" w:rsidP="00AE3F64">
      <w:pPr>
        <w:pStyle w:val="AERbulletlistfirststyle"/>
      </w:pPr>
      <w:r>
        <w:t xml:space="preserve">Retail </w:t>
      </w:r>
      <w:r w:rsidRPr="00AE3F64">
        <w:t>gas demand is forecast by extrapolation of the historical demand for each tariff class.</w:t>
      </w:r>
      <w:r w:rsidRPr="00AE3F64">
        <w:rPr>
          <w:rStyle w:val="FootnoteReference"/>
        </w:rPr>
        <w:footnoteReference w:id="17"/>
      </w:r>
      <w:r w:rsidRPr="00AE3F64">
        <w:t xml:space="preserve"> We are satisfied that the methodology is reasonable and the resulting forecasts are the best estimate in the circumstances.</w:t>
      </w:r>
    </w:p>
    <w:p w:rsidR="00AE3F64" w:rsidRDefault="00115DD6" w:rsidP="00AE3F64">
      <w:pPr>
        <w:pStyle w:val="AERbulletlistfirststyle"/>
      </w:pPr>
      <w:r>
        <w:t xml:space="preserve">APTPPL has also included a </w:t>
      </w:r>
      <w:r w:rsidR="00AE3F64" w:rsidRPr="00AE3F64">
        <w:t>forecast for industrial users</w:t>
      </w:r>
      <w:r>
        <w:t>. We have reviewed this forecast and are satisfied. Further detail is in</w:t>
      </w:r>
      <w:r w:rsidR="00CA679D">
        <w:t xml:space="preserve"> c</w:t>
      </w:r>
      <w:r w:rsidR="005A7D6C">
        <w:t>onfidential appendix A</w:t>
      </w:r>
      <w:r w:rsidR="007E5309">
        <w:t xml:space="preserve"> in this Attachment and Attachment 10.</w:t>
      </w:r>
    </w:p>
    <w:p w:rsidR="00AE3F64" w:rsidRDefault="00AE3F64" w:rsidP="00AE3F64">
      <w:pPr>
        <w:pStyle w:val="AERbulletlistfirststyle"/>
      </w:pPr>
      <w:r>
        <w:t>For</w:t>
      </w:r>
      <w:r w:rsidRPr="00AE3F64">
        <w:t xml:space="preserve"> eastbound short term demand, one of the key issues we considered was recent information from Stanwell (owner of GPG user - Swanbank E) '.</w:t>
      </w:r>
      <w:r w:rsidRPr="00AE3F64">
        <w:rPr>
          <w:rStyle w:val="FootnoteReference"/>
        </w:rPr>
        <w:footnoteReference w:id="18"/>
      </w:r>
      <w:r w:rsidRPr="00AE3F64">
        <w:t xml:space="preserve"> Swanbank E is a combined cycle gas turbine power station which was put into 'cold storage' in December 2014 for up to three years. </w:t>
      </w:r>
      <w:r w:rsidRPr="00AE3F64">
        <w:rPr>
          <w:rStyle w:val="FootnoteReference"/>
        </w:rPr>
        <w:footnoteReference w:id="19"/>
      </w:r>
      <w:r w:rsidRPr="00AE3F64">
        <w:t xml:space="preserve"> </w:t>
      </w:r>
      <w:r w:rsidR="00293354">
        <w:t xml:space="preserve">When we factored in Swanbank's return to service in an alternative demand forecast, we found the difference between our alternative forecast and APTPPL's was less than 10 per cent. Given the uncertainties in the energy market and therefore variability around demand for RBP services, we consider that </w:t>
      </w:r>
      <w:r w:rsidRPr="00AE3F64">
        <w:t>APTPPL's forecast of 200TJMDQ/day</w:t>
      </w:r>
      <w:r w:rsidR="00293354">
        <w:t xml:space="preserve"> is the best estimate in the circumstances</w:t>
      </w:r>
      <w:r w:rsidRPr="00AE3F64">
        <w:t>.</w:t>
      </w:r>
    </w:p>
    <w:p w:rsidR="00AE3F64" w:rsidRPr="00AE3F64" w:rsidRDefault="00AE3F64" w:rsidP="00AE3F64">
      <w:pPr>
        <w:pStyle w:val="Heading3"/>
        <w:numPr>
          <w:ilvl w:val="0"/>
          <w:numId w:val="0"/>
        </w:numPr>
        <w:ind w:left="720" w:hanging="720"/>
      </w:pPr>
      <w:bookmarkStart w:id="33" w:name="_Toc482016171"/>
      <w:bookmarkStart w:id="34" w:name="_Toc486852420"/>
      <w:r>
        <w:t>Westbound demand</w:t>
      </w:r>
      <w:bookmarkEnd w:id="33"/>
      <w:bookmarkEnd w:id="34"/>
    </w:p>
    <w:p w:rsidR="00AE3F64" w:rsidRDefault="00AE3F64" w:rsidP="00AE3F64">
      <w:r>
        <w:t xml:space="preserve">While there is agreement that demand for the westbound service will increase over the </w:t>
      </w:r>
      <w:r w:rsidR="00A0179E">
        <w:t>access arrangement</w:t>
      </w:r>
      <w:r>
        <w:t xml:space="preserve"> period, the extent of the uptake is unclear. This uncertainty is reflected in </w:t>
      </w:r>
      <w:r w:rsidRPr="00C62F73">
        <w:t>APTPPL</w:t>
      </w:r>
      <w:r>
        <w:t>'s proposal to adopt</w:t>
      </w:r>
      <w:r w:rsidRPr="00C62F73">
        <w:t xml:space="preserve"> higher westbound demand forecasts than ACIL Allen, as it considers there is some scope in the marketplace to out-perform relative to the ACIL Allen forecast.</w:t>
      </w:r>
      <w:r>
        <w:rPr>
          <w:rStyle w:val="FootnoteReference"/>
        </w:rPr>
        <w:footnoteReference w:id="20"/>
      </w:r>
      <w:r w:rsidRPr="00C62F73">
        <w:t xml:space="preserve"> </w:t>
      </w:r>
      <w:r>
        <w:t>Further, o</w:t>
      </w:r>
      <w:r w:rsidRPr="00C62F73">
        <w:t xml:space="preserve">ur assessment </w:t>
      </w:r>
      <w:r>
        <w:t xml:space="preserve">suggests that </w:t>
      </w:r>
      <w:r w:rsidRPr="00C62F73">
        <w:t xml:space="preserve">APTPPL's forecast of westbound demand for </w:t>
      </w:r>
      <w:r>
        <w:t xml:space="preserve">the first two years of the </w:t>
      </w:r>
      <w:r w:rsidR="00A0179E">
        <w:t>access arrangement</w:t>
      </w:r>
      <w:r>
        <w:t xml:space="preserve"> period (</w:t>
      </w:r>
      <w:r w:rsidRPr="00C62F73">
        <w:t>2017-18 and 2018-19</w:t>
      </w:r>
      <w:r>
        <w:t>) could be marginally understated, given recent</w:t>
      </w:r>
      <w:r w:rsidRPr="00C62F73">
        <w:t xml:space="preserve"> actual</w:t>
      </w:r>
      <w:r>
        <w:t xml:space="preserve"> data of</w:t>
      </w:r>
      <w:r w:rsidRPr="00C62F73">
        <w:t xml:space="preserve"> westbound throughput</w:t>
      </w:r>
      <w:r>
        <w:t xml:space="preserve"> (</w:t>
      </w:r>
      <w:r w:rsidR="00A23D5E">
        <w:t>February 2016</w:t>
      </w:r>
      <w:r>
        <w:t xml:space="preserve"> to </w:t>
      </w:r>
      <w:r w:rsidR="00A23D5E">
        <w:t>January 2017</w:t>
      </w:r>
      <w:r>
        <w:t>) showing increasing activity</w:t>
      </w:r>
      <w:r w:rsidRPr="00C62F73">
        <w:t>.</w:t>
      </w:r>
      <w:r w:rsidR="00005209">
        <w:rPr>
          <w:rStyle w:val="FootnoteReference"/>
        </w:rPr>
        <w:footnoteReference w:id="21"/>
      </w:r>
      <w:r w:rsidRPr="00C62F73">
        <w:t xml:space="preserve"> </w:t>
      </w:r>
    </w:p>
    <w:p w:rsidR="003C5540" w:rsidRDefault="00AE3F64" w:rsidP="00073B7A">
      <w:r w:rsidRPr="00AE3F64">
        <w:t>In light of the uncertainty around the uptake of west</w:t>
      </w:r>
      <w:r w:rsidR="001E60BD">
        <w:t xml:space="preserve">bound demand over the </w:t>
      </w:r>
      <w:r w:rsidR="00A0179E">
        <w:t>access arrangement</w:t>
      </w:r>
      <w:r w:rsidR="001E60BD">
        <w:t xml:space="preserve"> </w:t>
      </w:r>
      <w:r w:rsidR="001E60BD" w:rsidRPr="00077589">
        <w:rPr>
          <w:rStyle w:val="AERbody"/>
        </w:rPr>
        <w:t>period</w:t>
      </w:r>
      <w:r w:rsidRPr="00077589">
        <w:rPr>
          <w:rStyle w:val="AERbody"/>
        </w:rPr>
        <w:t>, we accept APTPPL's forecast demand for the westbound service. We are satisfied that it is the best estimate in the circumstances.</w:t>
      </w:r>
    </w:p>
    <w:p w:rsidR="003C5540" w:rsidRPr="003C5540" w:rsidRDefault="003C5540" w:rsidP="003C5540">
      <w:bookmarkStart w:id="35" w:name="_GoBack"/>
      <w:bookmarkEnd w:id="35"/>
    </w:p>
    <w:sectPr w:rsidR="003C5540" w:rsidRPr="003C5540"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CE4" w:rsidRPr="00290C63" w:rsidRDefault="004F0CE4" w:rsidP="00290C63">
      <w:r>
        <w:separator/>
      </w:r>
    </w:p>
    <w:p w:rsidR="004F0CE4" w:rsidRDefault="004F0CE4"/>
  </w:endnote>
  <w:endnote w:type="continuationSeparator" w:id="0">
    <w:p w:rsidR="004F0CE4" w:rsidRPr="00290C63" w:rsidRDefault="004F0CE4" w:rsidP="00290C63">
      <w:r>
        <w:continuationSeparator/>
      </w:r>
    </w:p>
    <w:p w:rsidR="004F0CE4" w:rsidRDefault="004F0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E4" w:rsidRDefault="004F0CE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4F0CE4" w:rsidRDefault="004F0CE4">
    <w:pPr>
      <w:pStyle w:val="Footer"/>
    </w:pPr>
  </w:p>
  <w:p w:rsidR="004F0CE4" w:rsidRDefault="004F0CE4">
    <w:pPr>
      <w:pStyle w:val="Footer"/>
    </w:pPr>
    <w:r>
      <w:fldChar w:fldCharType="begin"/>
    </w:r>
    <w:r>
      <w:instrText xml:space="preserve"> DOCPROPERTY DocumentID \* MERGEFORMAT </w:instrText>
    </w:r>
    <w:r>
      <w:fldChar w:fldCharType="separate"/>
    </w:r>
    <w:r w:rsidR="00E1696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4F0CE4" w:rsidRPr="00CA52A2" w:rsidRDefault="004F0CE4" w:rsidP="00CA52A2">
        <w:pPr>
          <w:pStyle w:val="Footer"/>
        </w:pPr>
        <w:r w:rsidRPr="00CA52A2">
          <w:fldChar w:fldCharType="begin"/>
        </w:r>
        <w:r>
          <w:instrText xml:space="preserve"> PAGE   \* MERGEFORMAT </w:instrText>
        </w:r>
        <w:r w:rsidRPr="00CA52A2">
          <w:fldChar w:fldCharType="separate"/>
        </w:r>
        <w:r w:rsidR="00E16964">
          <w:rPr>
            <w:noProof/>
          </w:rPr>
          <w:t>13-3</w:t>
        </w:r>
        <w:r w:rsidRPr="00CA52A2">
          <w:fldChar w:fldCharType="end"/>
        </w:r>
        <w:r w:rsidRPr="00CA52A2">
          <w:t xml:space="preserve">          Attachment </w:t>
        </w:r>
        <w:r>
          <w:t xml:space="preserve">13 </w:t>
        </w:r>
        <w:r w:rsidRPr="00CA52A2">
          <w:t xml:space="preserve">– </w:t>
        </w:r>
        <w:r>
          <w:t xml:space="preserve">Demand </w:t>
        </w:r>
        <w:r w:rsidRPr="00CA52A2">
          <w:t xml:space="preserve">| </w:t>
        </w:r>
        <w:r>
          <w:t>Draft decision: Roma to Brisbane Gas Pipeline Access Arrangement 2017</w:t>
        </w:r>
        <w:r w:rsidRPr="00CA52A2">
          <w:t>–</w:t>
        </w:r>
        <w:r>
          <w:t>22</w:t>
        </w:r>
      </w:p>
    </w:sdtContent>
  </w:sdt>
  <w:p w:rsidR="004F0CE4" w:rsidRDefault="004F0CE4">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CE4" w:rsidRPr="00290C63" w:rsidRDefault="004F0CE4" w:rsidP="00290C63">
      <w:r>
        <w:separator/>
      </w:r>
    </w:p>
    <w:p w:rsidR="004F0CE4" w:rsidRDefault="004F0CE4"/>
  </w:footnote>
  <w:footnote w:type="continuationSeparator" w:id="0">
    <w:p w:rsidR="004F0CE4" w:rsidRPr="00290C63" w:rsidRDefault="004F0CE4" w:rsidP="00290C63">
      <w:r>
        <w:continuationSeparator/>
      </w:r>
    </w:p>
    <w:p w:rsidR="004F0CE4" w:rsidRDefault="004F0CE4"/>
  </w:footnote>
  <w:footnote w:id="1">
    <w:p w:rsidR="004F0CE4" w:rsidRDefault="004F0CE4">
      <w:pPr>
        <w:pStyle w:val="FootnoteText"/>
      </w:pPr>
      <w:r>
        <w:rPr>
          <w:rStyle w:val="FootnoteReference"/>
        </w:rPr>
        <w:footnoteRef/>
      </w:r>
      <w:r>
        <w:t xml:space="preserve"> </w:t>
      </w:r>
      <w:r>
        <w:tab/>
        <w:t>Tera Joule Maximum Daily Quantity</w:t>
      </w:r>
    </w:p>
  </w:footnote>
  <w:footnote w:id="2">
    <w:p w:rsidR="004F0CE4" w:rsidRDefault="004F0CE4">
      <w:pPr>
        <w:pStyle w:val="FootnoteText"/>
      </w:pPr>
      <w:r>
        <w:rPr>
          <w:rStyle w:val="FootnoteReference"/>
        </w:rPr>
        <w:footnoteRef/>
      </w:r>
      <w:r>
        <w:t xml:space="preserve"> </w:t>
      </w:r>
      <w:r>
        <w:tab/>
        <w:t xml:space="preserve">To calculate the long term firm service tariff, APTPPL has translated the forecast amount of short term firm service to a revenue-equivalent level of long firm demand. For an explanation of long term equivalent demand, see: APA Group, </w:t>
      </w:r>
      <w:r w:rsidRPr="00494AE4">
        <w:rPr>
          <w:rStyle w:val="AERtextitalic"/>
        </w:rPr>
        <w:t>Roma to Brisbane pipeline: Access Arrangement submission</w:t>
      </w:r>
      <w:r>
        <w:t>, September 2016, pp. 46-52.</w:t>
      </w:r>
    </w:p>
  </w:footnote>
  <w:footnote w:id="3">
    <w:p w:rsidR="004F0CE4" w:rsidRDefault="004F0CE4">
      <w:pPr>
        <w:pStyle w:val="FootnoteText"/>
      </w:pPr>
      <w:r>
        <w:rPr>
          <w:rStyle w:val="FootnoteReference"/>
        </w:rPr>
        <w:footnoteRef/>
      </w:r>
      <w:r>
        <w:t xml:space="preserve"> </w:t>
      </w:r>
      <w:r>
        <w:tab/>
        <w:t xml:space="preserve">APA Group, </w:t>
      </w:r>
      <w:r w:rsidRPr="00494AE4">
        <w:rPr>
          <w:rStyle w:val="AERtextitalic"/>
        </w:rPr>
        <w:t>Roma to Brisbane pipeline: Access Arrangement submission</w:t>
      </w:r>
      <w:r>
        <w:t>, September 2016, p. 3.</w:t>
      </w:r>
    </w:p>
  </w:footnote>
  <w:footnote w:id="4">
    <w:p w:rsidR="004F0CE4" w:rsidRDefault="004F0CE4">
      <w:pPr>
        <w:pStyle w:val="FootnoteText"/>
      </w:pPr>
      <w:r>
        <w:rPr>
          <w:rStyle w:val="FootnoteReference"/>
        </w:rPr>
        <w:footnoteRef/>
      </w:r>
      <w:r>
        <w:t xml:space="preserve"> </w:t>
      </w:r>
      <w:r>
        <w:tab/>
        <w:t xml:space="preserve">APA Group, </w:t>
      </w:r>
      <w:r w:rsidRPr="00494AE4">
        <w:rPr>
          <w:rStyle w:val="AERtextitalic"/>
        </w:rPr>
        <w:t>Roma to Brisbane pipeline: Access Arrangement submission</w:t>
      </w:r>
      <w:r>
        <w:t>, September 2016, p. 3.</w:t>
      </w:r>
    </w:p>
  </w:footnote>
  <w:footnote w:id="5">
    <w:p w:rsidR="004F0CE4" w:rsidRDefault="004F0CE4">
      <w:pPr>
        <w:pStyle w:val="FootnoteText"/>
      </w:pPr>
      <w:r>
        <w:rPr>
          <w:rStyle w:val="FootnoteReference"/>
        </w:rPr>
        <w:footnoteRef/>
      </w:r>
      <w:r>
        <w:t xml:space="preserve"> </w:t>
      </w:r>
      <w:r>
        <w:tab/>
      </w:r>
      <w:r w:rsidRPr="00AC406F">
        <w:t xml:space="preserve">APA Group, </w:t>
      </w:r>
      <w:r w:rsidRPr="00AC406F">
        <w:rPr>
          <w:rStyle w:val="AERtextitalic"/>
        </w:rPr>
        <w:t>Roma to Brisbane pipeline: Access Arrangement submission</w:t>
      </w:r>
      <w:r w:rsidRPr="00AC406F">
        <w:t>, September 2016, p. 5</w:t>
      </w:r>
      <w:r>
        <w:t>5</w:t>
      </w:r>
      <w:r w:rsidRPr="00AC406F">
        <w:t>.</w:t>
      </w:r>
    </w:p>
  </w:footnote>
  <w:footnote w:id="6">
    <w:p w:rsidR="004F0CE4" w:rsidRDefault="004F0CE4">
      <w:pPr>
        <w:pStyle w:val="FootnoteText"/>
      </w:pPr>
      <w:r>
        <w:rPr>
          <w:rStyle w:val="FootnoteReference"/>
        </w:rPr>
        <w:footnoteRef/>
      </w:r>
      <w:r>
        <w:t xml:space="preserve"> </w:t>
      </w:r>
      <w:r>
        <w:tab/>
        <w:t xml:space="preserve">APA Group, </w:t>
      </w:r>
      <w:r w:rsidRPr="00494AE4">
        <w:rPr>
          <w:rStyle w:val="AERtextitalic"/>
        </w:rPr>
        <w:t>Roma to Brisbane pipeline: Access Arrangement submission</w:t>
      </w:r>
      <w:r>
        <w:t>, September 2016, p. 32.</w:t>
      </w:r>
    </w:p>
  </w:footnote>
  <w:footnote w:id="7">
    <w:p w:rsidR="004F0CE4" w:rsidRDefault="004F0CE4">
      <w:pPr>
        <w:pStyle w:val="FootnoteText"/>
      </w:pPr>
      <w:r>
        <w:rPr>
          <w:rStyle w:val="FootnoteReference"/>
        </w:rPr>
        <w:footnoteRef/>
      </w:r>
      <w:r>
        <w:t xml:space="preserve"> </w:t>
      </w:r>
      <w:r>
        <w:tab/>
      </w:r>
      <w:r w:rsidRPr="00CF64CC">
        <w:t>NGR, r. 72(1)(a)(iii).</w:t>
      </w:r>
    </w:p>
  </w:footnote>
  <w:footnote w:id="8">
    <w:p w:rsidR="004F0CE4" w:rsidRDefault="004F0CE4">
      <w:pPr>
        <w:pStyle w:val="FootnoteText"/>
      </w:pPr>
      <w:r>
        <w:rPr>
          <w:rStyle w:val="FootnoteReference"/>
        </w:rPr>
        <w:footnoteRef/>
      </w:r>
      <w:r>
        <w:t xml:space="preserve"> </w:t>
      </w:r>
      <w:r>
        <w:tab/>
      </w:r>
      <w:r w:rsidRPr="00CF64CC">
        <w:t>NGR, r. 72(1)(d).</w:t>
      </w:r>
    </w:p>
  </w:footnote>
  <w:footnote w:id="9">
    <w:p w:rsidR="004F0CE4" w:rsidRDefault="004F0CE4">
      <w:pPr>
        <w:pStyle w:val="FootnoteText"/>
      </w:pPr>
      <w:r>
        <w:rPr>
          <w:rStyle w:val="FootnoteReference"/>
        </w:rPr>
        <w:footnoteRef/>
      </w:r>
      <w:r>
        <w:t xml:space="preserve"> </w:t>
      </w:r>
      <w:r>
        <w:tab/>
      </w:r>
      <w:r w:rsidR="00AE3F64">
        <w:t xml:space="preserve">NGL, s 28(2)(a); </w:t>
      </w:r>
      <w:r w:rsidRPr="00CF64CC">
        <w:t>NGR, r. 74(2).</w:t>
      </w:r>
      <w:r w:rsidR="00AE3F64">
        <w:t xml:space="preserve"> The RPP of particular relevance to our assessment of demand are those specified at NGL, </w:t>
      </w:r>
      <w:r w:rsidR="00C4232B">
        <w:t>ss.</w:t>
      </w:r>
      <w:r w:rsidR="00AE3F64">
        <w:t xml:space="preserve"> 24(2), 24(3), 24(6) and 24(7).</w:t>
      </w:r>
    </w:p>
  </w:footnote>
  <w:footnote w:id="10">
    <w:p w:rsidR="004F0CE4" w:rsidRDefault="004F0CE4">
      <w:pPr>
        <w:pStyle w:val="FootnoteText"/>
      </w:pPr>
      <w:r>
        <w:rPr>
          <w:rStyle w:val="FootnoteReference"/>
        </w:rPr>
        <w:footnoteRef/>
      </w:r>
      <w:r>
        <w:t xml:space="preserve"> </w:t>
      </w:r>
      <w:r>
        <w:tab/>
      </w:r>
      <w:r w:rsidRPr="00CF64CC">
        <w:t>NGR, r. 74(2).</w:t>
      </w:r>
    </w:p>
  </w:footnote>
  <w:footnote w:id="11">
    <w:p w:rsidR="006F041D" w:rsidRDefault="006F041D" w:rsidP="006F041D">
      <w:pPr>
        <w:pStyle w:val="FootnoteText"/>
      </w:pPr>
      <w:r>
        <w:rPr>
          <w:rStyle w:val="FootnoteReference"/>
        </w:rPr>
        <w:footnoteRef/>
      </w:r>
      <w:r>
        <w:t xml:space="preserve"> </w:t>
      </w:r>
      <w:r>
        <w:tab/>
        <w:t xml:space="preserve">APA Group, </w:t>
      </w:r>
      <w:r w:rsidRPr="00494AE4">
        <w:rPr>
          <w:rStyle w:val="AERtextitalic"/>
        </w:rPr>
        <w:t>Roma to Brisbane pipeline: Access Arrangement submission</w:t>
      </w:r>
      <w:r>
        <w:t>, September 2016, pp. 46-52.</w:t>
      </w:r>
    </w:p>
  </w:footnote>
  <w:footnote w:id="12">
    <w:p w:rsidR="006F041D" w:rsidRDefault="006F041D">
      <w:pPr>
        <w:pStyle w:val="FootnoteText"/>
      </w:pPr>
      <w:r>
        <w:rPr>
          <w:rStyle w:val="FootnoteReference"/>
        </w:rPr>
        <w:footnoteRef/>
      </w:r>
      <w:r>
        <w:t xml:space="preserve"> </w:t>
      </w:r>
      <w:r>
        <w:tab/>
        <w:t xml:space="preserve">APA Group, </w:t>
      </w:r>
      <w:r w:rsidRPr="00494AE4">
        <w:rPr>
          <w:rStyle w:val="AERtextitalic"/>
        </w:rPr>
        <w:t>Roma to Brisbane pipeline: Access Arrangement submission</w:t>
      </w:r>
      <w:r>
        <w:t>, Septemb</w:t>
      </w:r>
      <w:r w:rsidR="005A683B">
        <w:t>er 2016, pp. 48.</w:t>
      </w:r>
    </w:p>
  </w:footnote>
  <w:footnote w:id="13">
    <w:p w:rsidR="007F1228" w:rsidRDefault="007F1228" w:rsidP="007F1228">
      <w:pPr>
        <w:pStyle w:val="FootnoteText"/>
      </w:pPr>
      <w:r>
        <w:rPr>
          <w:rStyle w:val="FootnoteReference"/>
        </w:rPr>
        <w:footnoteRef/>
      </w:r>
      <w:r>
        <w:t xml:space="preserve"> </w:t>
      </w:r>
      <w:r>
        <w:tab/>
        <w:t xml:space="preserve">NGR, r. 72(1)(a)(iii)(A)(B). </w:t>
      </w:r>
    </w:p>
  </w:footnote>
  <w:footnote w:id="14">
    <w:p w:rsidR="007F1228" w:rsidRDefault="007F1228" w:rsidP="007F1228">
      <w:pPr>
        <w:pStyle w:val="FootnoteText"/>
      </w:pPr>
      <w:r>
        <w:rPr>
          <w:rStyle w:val="FootnoteReference"/>
        </w:rPr>
        <w:footnoteRef/>
      </w:r>
      <w:r>
        <w:t xml:space="preserve"> </w:t>
      </w:r>
      <w:r>
        <w:tab/>
        <w:t>NGR, r. 72(1)(d).</w:t>
      </w:r>
    </w:p>
  </w:footnote>
  <w:footnote w:id="15">
    <w:p w:rsidR="004F0CE4" w:rsidRDefault="004F0CE4">
      <w:pPr>
        <w:pStyle w:val="FootnoteText"/>
      </w:pPr>
      <w:r>
        <w:rPr>
          <w:rStyle w:val="FootnoteReference"/>
        </w:rPr>
        <w:footnoteRef/>
      </w:r>
      <w:r>
        <w:t xml:space="preserve"> </w:t>
      </w:r>
      <w:r>
        <w:tab/>
        <w:t xml:space="preserve">APA Group, </w:t>
      </w:r>
      <w:r w:rsidRPr="00494AE4">
        <w:rPr>
          <w:rStyle w:val="AERtextitalic"/>
        </w:rPr>
        <w:t xml:space="preserve">Roma to Brisbane pipeline: Access Arrangement </w:t>
      </w:r>
      <w:r>
        <w:rPr>
          <w:rStyle w:val="AERtextitalic"/>
        </w:rPr>
        <w:t>information</w:t>
      </w:r>
      <w:r>
        <w:t>, September 2016, p. 18.</w:t>
      </w:r>
    </w:p>
  </w:footnote>
  <w:footnote w:id="16">
    <w:p w:rsidR="00AE3F64" w:rsidRDefault="00AE3F64">
      <w:pPr>
        <w:pStyle w:val="FootnoteText"/>
      </w:pPr>
      <w:r>
        <w:rPr>
          <w:rStyle w:val="FootnoteReference"/>
        </w:rPr>
        <w:footnoteRef/>
      </w:r>
      <w:r>
        <w:t xml:space="preserve"> </w:t>
      </w:r>
      <w:r>
        <w:tab/>
        <w:t xml:space="preserve">NGL, </w:t>
      </w:r>
      <w:r w:rsidR="00C4232B">
        <w:t>ss.</w:t>
      </w:r>
      <w:r>
        <w:t xml:space="preserve"> 24(2), 24(3), 24(6) and 24(7).</w:t>
      </w:r>
    </w:p>
  </w:footnote>
  <w:footnote w:id="17">
    <w:p w:rsidR="00AE3F64" w:rsidRDefault="00AE3F64" w:rsidP="00AE3F64">
      <w:pPr>
        <w:pStyle w:val="FootnoteText"/>
      </w:pPr>
      <w:r>
        <w:rPr>
          <w:rStyle w:val="FootnoteReference"/>
        </w:rPr>
        <w:footnoteRef/>
      </w:r>
      <w:r>
        <w:t xml:space="preserve"> </w:t>
      </w:r>
      <w:r>
        <w:tab/>
      </w:r>
      <w:r w:rsidRPr="004D65E1">
        <w:t xml:space="preserve">APA Group, </w:t>
      </w:r>
      <w:r w:rsidRPr="004D65E1">
        <w:rPr>
          <w:rStyle w:val="AERtextitalic"/>
        </w:rPr>
        <w:t>Roma to Brisbane pipeline: Access Arrangement submission</w:t>
      </w:r>
      <w:r w:rsidRPr="004D65E1">
        <w:t>, September 2016</w:t>
      </w:r>
      <w:r>
        <w:t xml:space="preserve">, p. 32; and ACIL Allen Consulting, </w:t>
      </w:r>
      <w:r w:rsidRPr="00863EDE">
        <w:rPr>
          <w:rStyle w:val="AERtextitalic"/>
        </w:rPr>
        <w:t>Roma to Brisbane pipeline – Assessment of demand for services</w:t>
      </w:r>
      <w:r>
        <w:t>, August 2016, p. 29.</w:t>
      </w:r>
    </w:p>
  </w:footnote>
  <w:footnote w:id="18">
    <w:p w:rsidR="00AE3F64" w:rsidRDefault="00AE3F64" w:rsidP="00AE3F64">
      <w:pPr>
        <w:pStyle w:val="FootnoteText"/>
      </w:pPr>
      <w:r>
        <w:rPr>
          <w:rStyle w:val="FootnoteReference"/>
        </w:rPr>
        <w:footnoteRef/>
      </w:r>
      <w:r>
        <w:t xml:space="preserve"> </w:t>
      </w:r>
      <w:r>
        <w:tab/>
      </w:r>
      <w:r w:rsidRPr="00CF64CC">
        <w:t xml:space="preserve">See 27 February 2017 Queensland publication, 'Change Log' tab, at the following webpage: </w:t>
      </w:r>
      <w:hyperlink r:id="rId1" w:history="1">
        <w:r w:rsidRPr="00646B87">
          <w:rPr>
            <w:rStyle w:val="Hyperlink"/>
            <w:sz w:val="16"/>
          </w:rPr>
          <w:t>http://www.aemo.com.au/Electricity/National-Electricity-Market-NEM/Planning-and-forecasting/Generation-information</w:t>
        </w:r>
      </w:hyperlink>
      <w:r>
        <w:t xml:space="preserve">; </w:t>
      </w:r>
      <w:r w:rsidRPr="00CF64CC">
        <w:t>accessed 28 February 2017. AEMO collects generation information reported from generation industry participants, which is then reported publicly on its 'Generation Information' webpage.</w:t>
      </w:r>
    </w:p>
  </w:footnote>
  <w:footnote w:id="19">
    <w:p w:rsidR="00AE3F64" w:rsidRDefault="00AE3F64" w:rsidP="00AE3F64">
      <w:pPr>
        <w:pStyle w:val="FootnoteText"/>
      </w:pPr>
      <w:r>
        <w:rPr>
          <w:rStyle w:val="FootnoteReference"/>
        </w:rPr>
        <w:footnoteRef/>
      </w:r>
      <w:r>
        <w:t xml:space="preserve"> </w:t>
      </w:r>
      <w:r>
        <w:tab/>
      </w:r>
      <w:r w:rsidRPr="004D65E1">
        <w:t xml:space="preserve">APA Group, </w:t>
      </w:r>
      <w:r w:rsidRPr="004D65E1">
        <w:rPr>
          <w:rStyle w:val="AERtextitalic"/>
        </w:rPr>
        <w:t>Roma to Brisbane pipeline: Access Arrangement submission</w:t>
      </w:r>
      <w:r>
        <w:t>, September 2016, p. 37.</w:t>
      </w:r>
    </w:p>
  </w:footnote>
  <w:footnote w:id="20">
    <w:p w:rsidR="00AE3F64" w:rsidRDefault="00AE3F64" w:rsidP="00AE3F64">
      <w:pPr>
        <w:pStyle w:val="FootnoteText"/>
      </w:pPr>
      <w:r>
        <w:rPr>
          <w:rStyle w:val="FootnoteReference"/>
        </w:rPr>
        <w:footnoteRef/>
      </w:r>
      <w:r>
        <w:t xml:space="preserve"> </w:t>
      </w:r>
      <w:r>
        <w:tab/>
      </w:r>
      <w:r w:rsidRPr="00863EDE">
        <w:t xml:space="preserve">APA Group, </w:t>
      </w:r>
      <w:r w:rsidRPr="00863EDE">
        <w:rPr>
          <w:rStyle w:val="AERtextitalic"/>
        </w:rPr>
        <w:t>Roma to Brisbane pipeline: Access Arrangement submission</w:t>
      </w:r>
      <w:r>
        <w:t>, September 2016, p. 63.</w:t>
      </w:r>
    </w:p>
  </w:footnote>
  <w:footnote w:id="21">
    <w:p w:rsidR="00005209" w:rsidRDefault="00005209">
      <w:pPr>
        <w:pStyle w:val="FootnoteText"/>
      </w:pPr>
      <w:r>
        <w:rPr>
          <w:rStyle w:val="FootnoteReference"/>
        </w:rPr>
        <w:footnoteRef/>
      </w:r>
      <w:r>
        <w:t xml:space="preserve"> </w:t>
      </w:r>
      <w:r>
        <w:tab/>
      </w:r>
      <w:r w:rsidR="00A23D5E">
        <w:t>AER analysis of data provided by APA in response to information request #007 and #029.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E4" w:rsidRDefault="00E16964">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4F0CE4">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E4" w:rsidRDefault="00E1696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8873595"/>
    <w:multiLevelType w:val="hybridMultilevel"/>
    <w:tmpl w:val="BFFEE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8270BEF"/>
    <w:multiLevelType w:val="hybridMultilevel"/>
    <w:tmpl w:val="191CB7B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FA94BC94"/>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8F2574"/>
    <w:multiLevelType w:val="hybridMultilevel"/>
    <w:tmpl w:val="0F544B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58B4A09"/>
    <w:multiLevelType w:val="hybridMultilevel"/>
    <w:tmpl w:val="70FC13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C8620A"/>
    <w:multiLevelType w:val="hybridMultilevel"/>
    <w:tmpl w:val="27067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AFB372F"/>
    <w:multiLevelType w:val="hybridMultilevel"/>
    <w:tmpl w:val="A5A64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B0A0142"/>
    <w:multiLevelType w:val="hybridMultilevel"/>
    <w:tmpl w:val="7466CD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8"/>
  </w:num>
  <w:num w:numId="14">
    <w:abstractNumId w:val="10"/>
  </w:num>
  <w:num w:numId="15">
    <w:abstractNumId w:val="13"/>
  </w:num>
  <w:num w:numId="16">
    <w:abstractNumId w:val="19"/>
  </w:num>
  <w:num w:numId="17">
    <w:abstractNumId w:val="9"/>
  </w:num>
  <w:num w:numId="18">
    <w:abstractNumId w:val="15"/>
  </w:num>
  <w:num w:numId="19">
    <w:abstractNumId w:val="20"/>
  </w:num>
  <w:num w:numId="20">
    <w:abstractNumId w:val="29"/>
  </w:num>
  <w:num w:numId="21">
    <w:abstractNumId w:val="24"/>
  </w:num>
  <w:num w:numId="22">
    <w:abstractNumId w:val="21"/>
  </w:num>
  <w:num w:numId="23">
    <w:abstractNumId w:val="16"/>
  </w:num>
  <w:num w:numId="24">
    <w:abstractNumId w:val="22"/>
  </w:num>
  <w:num w:numId="25">
    <w:abstractNumId w:val="25"/>
  </w:num>
  <w:num w:numId="26">
    <w:abstractNumId w:val="17"/>
  </w:num>
  <w:num w:numId="27">
    <w:abstractNumId w:val="1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1"/>
  </w:num>
  <w:num w:numId="31">
    <w:abstractNumId w:val="30"/>
  </w:num>
  <w:num w:numId="32">
    <w:abstractNumId w:val="26"/>
  </w:num>
  <w:num w:numId="33">
    <w:abstractNumId w:val="27"/>
  </w:num>
  <w:num w:numId="34">
    <w:abstractNumId w:val="12"/>
  </w:num>
  <w:num w:numId="35">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gVxexIhufcl1saQk6hBQaG2Uz7AkAMWm4ej0yaGnXcs=" w:saltValue="39mqpkJa+uIFv52J7xFwN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352\D16 23537  AER - Draft decision Roma to Brisbane Gas Pipeline Access Arrangement - Attachment 13 - Demand.DOCX"/>
  </w:docVars>
  <w:rsids>
    <w:rsidRoot w:val="00961A4A"/>
    <w:rsid w:val="00000862"/>
    <w:rsid w:val="00000A39"/>
    <w:rsid w:val="00004633"/>
    <w:rsid w:val="00005209"/>
    <w:rsid w:val="00010286"/>
    <w:rsid w:val="00012BC2"/>
    <w:rsid w:val="0002066C"/>
    <w:rsid w:val="00021202"/>
    <w:rsid w:val="00021C2B"/>
    <w:rsid w:val="0002517F"/>
    <w:rsid w:val="00025F6C"/>
    <w:rsid w:val="00026495"/>
    <w:rsid w:val="00031A61"/>
    <w:rsid w:val="0003578C"/>
    <w:rsid w:val="000370D2"/>
    <w:rsid w:val="000401AF"/>
    <w:rsid w:val="00041DDA"/>
    <w:rsid w:val="00041E1A"/>
    <w:rsid w:val="000420ED"/>
    <w:rsid w:val="000461D7"/>
    <w:rsid w:val="00047107"/>
    <w:rsid w:val="000513EB"/>
    <w:rsid w:val="00052668"/>
    <w:rsid w:val="00053D8C"/>
    <w:rsid w:val="00063247"/>
    <w:rsid w:val="00063A92"/>
    <w:rsid w:val="000642F9"/>
    <w:rsid w:val="000704BA"/>
    <w:rsid w:val="00070F9F"/>
    <w:rsid w:val="0007137B"/>
    <w:rsid w:val="00073B7A"/>
    <w:rsid w:val="00077589"/>
    <w:rsid w:val="00085663"/>
    <w:rsid w:val="00085EBF"/>
    <w:rsid w:val="00085F93"/>
    <w:rsid w:val="00091B15"/>
    <w:rsid w:val="000A01D8"/>
    <w:rsid w:val="000A073B"/>
    <w:rsid w:val="000A1E7C"/>
    <w:rsid w:val="000A3020"/>
    <w:rsid w:val="000A4DCB"/>
    <w:rsid w:val="000A5A14"/>
    <w:rsid w:val="000A6C7B"/>
    <w:rsid w:val="000B0360"/>
    <w:rsid w:val="000B5A76"/>
    <w:rsid w:val="000C11D2"/>
    <w:rsid w:val="000C155D"/>
    <w:rsid w:val="000C2B40"/>
    <w:rsid w:val="000D01F4"/>
    <w:rsid w:val="000D06C1"/>
    <w:rsid w:val="000D122C"/>
    <w:rsid w:val="000D1BF8"/>
    <w:rsid w:val="000D3016"/>
    <w:rsid w:val="000D56FD"/>
    <w:rsid w:val="000D61A4"/>
    <w:rsid w:val="000D64F2"/>
    <w:rsid w:val="000D65DD"/>
    <w:rsid w:val="000D7F32"/>
    <w:rsid w:val="000E0B5D"/>
    <w:rsid w:val="000E1819"/>
    <w:rsid w:val="000E4821"/>
    <w:rsid w:val="000E6C72"/>
    <w:rsid w:val="000F0B2B"/>
    <w:rsid w:val="000F3E72"/>
    <w:rsid w:val="000F48B1"/>
    <w:rsid w:val="000F723D"/>
    <w:rsid w:val="00101B9A"/>
    <w:rsid w:val="00103188"/>
    <w:rsid w:val="00103A67"/>
    <w:rsid w:val="00107500"/>
    <w:rsid w:val="00115DD6"/>
    <w:rsid w:val="00116EB2"/>
    <w:rsid w:val="0012273E"/>
    <w:rsid w:val="00124609"/>
    <w:rsid w:val="00126A4C"/>
    <w:rsid w:val="001412AA"/>
    <w:rsid w:val="00142AB6"/>
    <w:rsid w:val="00145410"/>
    <w:rsid w:val="0014573B"/>
    <w:rsid w:val="00147E70"/>
    <w:rsid w:val="00156550"/>
    <w:rsid w:val="00156DCC"/>
    <w:rsid w:val="001573E4"/>
    <w:rsid w:val="00160756"/>
    <w:rsid w:val="0017232E"/>
    <w:rsid w:val="00174102"/>
    <w:rsid w:val="0017480F"/>
    <w:rsid w:val="001754EE"/>
    <w:rsid w:val="00180157"/>
    <w:rsid w:val="00182467"/>
    <w:rsid w:val="00185CB9"/>
    <w:rsid w:val="00186F77"/>
    <w:rsid w:val="001926A4"/>
    <w:rsid w:val="00192AD5"/>
    <w:rsid w:val="001937FC"/>
    <w:rsid w:val="001A79E5"/>
    <w:rsid w:val="001B034D"/>
    <w:rsid w:val="001B3F62"/>
    <w:rsid w:val="001B45A0"/>
    <w:rsid w:val="001B45C0"/>
    <w:rsid w:val="001B6F2E"/>
    <w:rsid w:val="001B7D00"/>
    <w:rsid w:val="001C17E7"/>
    <w:rsid w:val="001D055E"/>
    <w:rsid w:val="001D14FD"/>
    <w:rsid w:val="001D34A7"/>
    <w:rsid w:val="001D7FA7"/>
    <w:rsid w:val="001E009C"/>
    <w:rsid w:val="001E515A"/>
    <w:rsid w:val="001E5FE2"/>
    <w:rsid w:val="001E60BD"/>
    <w:rsid w:val="001F05A4"/>
    <w:rsid w:val="001F492E"/>
    <w:rsid w:val="001F6DA3"/>
    <w:rsid w:val="002010BC"/>
    <w:rsid w:val="002016E7"/>
    <w:rsid w:val="00201DD4"/>
    <w:rsid w:val="00201F98"/>
    <w:rsid w:val="00202E03"/>
    <w:rsid w:val="0020478D"/>
    <w:rsid w:val="0020479A"/>
    <w:rsid w:val="0020492C"/>
    <w:rsid w:val="00205A33"/>
    <w:rsid w:val="002218DE"/>
    <w:rsid w:val="0022444D"/>
    <w:rsid w:val="00224DB9"/>
    <w:rsid w:val="002257DF"/>
    <w:rsid w:val="00225B4F"/>
    <w:rsid w:val="00227343"/>
    <w:rsid w:val="00227DCE"/>
    <w:rsid w:val="0023276C"/>
    <w:rsid w:val="00233775"/>
    <w:rsid w:val="002404FC"/>
    <w:rsid w:val="00241041"/>
    <w:rsid w:val="00243283"/>
    <w:rsid w:val="002503D4"/>
    <w:rsid w:val="00251745"/>
    <w:rsid w:val="00251FA7"/>
    <w:rsid w:val="00252610"/>
    <w:rsid w:val="00256114"/>
    <w:rsid w:val="00263AC0"/>
    <w:rsid w:val="00264264"/>
    <w:rsid w:val="0026772D"/>
    <w:rsid w:val="00274AE5"/>
    <w:rsid w:val="00277554"/>
    <w:rsid w:val="0028037F"/>
    <w:rsid w:val="002824B1"/>
    <w:rsid w:val="00286874"/>
    <w:rsid w:val="00290C63"/>
    <w:rsid w:val="00293354"/>
    <w:rsid w:val="00296B65"/>
    <w:rsid w:val="0029724D"/>
    <w:rsid w:val="002A004B"/>
    <w:rsid w:val="002A162B"/>
    <w:rsid w:val="002A6688"/>
    <w:rsid w:val="002A7DEF"/>
    <w:rsid w:val="002B08A2"/>
    <w:rsid w:val="002B1003"/>
    <w:rsid w:val="002B13EC"/>
    <w:rsid w:val="002B304D"/>
    <w:rsid w:val="002B573C"/>
    <w:rsid w:val="002B5862"/>
    <w:rsid w:val="002B6875"/>
    <w:rsid w:val="002C0361"/>
    <w:rsid w:val="002C233C"/>
    <w:rsid w:val="002C2B69"/>
    <w:rsid w:val="002C525C"/>
    <w:rsid w:val="002D1AE0"/>
    <w:rsid w:val="002D72E8"/>
    <w:rsid w:val="002E7B22"/>
    <w:rsid w:val="002F7986"/>
    <w:rsid w:val="00301B40"/>
    <w:rsid w:val="003029A5"/>
    <w:rsid w:val="003029EE"/>
    <w:rsid w:val="0030370B"/>
    <w:rsid w:val="00305CC8"/>
    <w:rsid w:val="00307F6D"/>
    <w:rsid w:val="003130C9"/>
    <w:rsid w:val="003134AD"/>
    <w:rsid w:val="003177A2"/>
    <w:rsid w:val="00320869"/>
    <w:rsid w:val="0032383A"/>
    <w:rsid w:val="003271B5"/>
    <w:rsid w:val="00327A1E"/>
    <w:rsid w:val="00331264"/>
    <w:rsid w:val="003338A2"/>
    <w:rsid w:val="00334C8D"/>
    <w:rsid w:val="0033548E"/>
    <w:rsid w:val="00337BA5"/>
    <w:rsid w:val="00343A18"/>
    <w:rsid w:val="00344473"/>
    <w:rsid w:val="00344D08"/>
    <w:rsid w:val="003457F9"/>
    <w:rsid w:val="00345CA1"/>
    <w:rsid w:val="00347114"/>
    <w:rsid w:val="003510A9"/>
    <w:rsid w:val="003518B3"/>
    <w:rsid w:val="00353A1B"/>
    <w:rsid w:val="003578CD"/>
    <w:rsid w:val="003666F2"/>
    <w:rsid w:val="003714B5"/>
    <w:rsid w:val="003717D8"/>
    <w:rsid w:val="00374F27"/>
    <w:rsid w:val="00377957"/>
    <w:rsid w:val="003844B0"/>
    <w:rsid w:val="003846F1"/>
    <w:rsid w:val="003903D4"/>
    <w:rsid w:val="0039172E"/>
    <w:rsid w:val="00391BF0"/>
    <w:rsid w:val="003931A7"/>
    <w:rsid w:val="00393646"/>
    <w:rsid w:val="00394FD7"/>
    <w:rsid w:val="003A293C"/>
    <w:rsid w:val="003B484F"/>
    <w:rsid w:val="003B4AFB"/>
    <w:rsid w:val="003B6171"/>
    <w:rsid w:val="003B688F"/>
    <w:rsid w:val="003B7FBA"/>
    <w:rsid w:val="003C1502"/>
    <w:rsid w:val="003C5540"/>
    <w:rsid w:val="003C7915"/>
    <w:rsid w:val="003F1014"/>
    <w:rsid w:val="003F174D"/>
    <w:rsid w:val="003F572D"/>
    <w:rsid w:val="003F7442"/>
    <w:rsid w:val="003F79A6"/>
    <w:rsid w:val="00402D78"/>
    <w:rsid w:val="00405BE2"/>
    <w:rsid w:val="00406401"/>
    <w:rsid w:val="0041171E"/>
    <w:rsid w:val="00413DA5"/>
    <w:rsid w:val="00415F31"/>
    <w:rsid w:val="00416D31"/>
    <w:rsid w:val="0042205D"/>
    <w:rsid w:val="00423A77"/>
    <w:rsid w:val="0042514A"/>
    <w:rsid w:val="00425B42"/>
    <w:rsid w:val="00426531"/>
    <w:rsid w:val="00436ECD"/>
    <w:rsid w:val="00437CAC"/>
    <w:rsid w:val="00452473"/>
    <w:rsid w:val="0045777E"/>
    <w:rsid w:val="004610D2"/>
    <w:rsid w:val="00461B0F"/>
    <w:rsid w:val="00461C29"/>
    <w:rsid w:val="00465044"/>
    <w:rsid w:val="00474EC7"/>
    <w:rsid w:val="00474EDE"/>
    <w:rsid w:val="00480B4B"/>
    <w:rsid w:val="00485DC4"/>
    <w:rsid w:val="00486B5C"/>
    <w:rsid w:val="00487D9B"/>
    <w:rsid w:val="004903AB"/>
    <w:rsid w:val="00494AE4"/>
    <w:rsid w:val="004A0A5E"/>
    <w:rsid w:val="004A3136"/>
    <w:rsid w:val="004A33CC"/>
    <w:rsid w:val="004A43D1"/>
    <w:rsid w:val="004A67FA"/>
    <w:rsid w:val="004B355D"/>
    <w:rsid w:val="004B4412"/>
    <w:rsid w:val="004B777F"/>
    <w:rsid w:val="004C0C43"/>
    <w:rsid w:val="004C348C"/>
    <w:rsid w:val="004C6A30"/>
    <w:rsid w:val="004C6E9D"/>
    <w:rsid w:val="004D1A96"/>
    <w:rsid w:val="004D55BA"/>
    <w:rsid w:val="004D59A1"/>
    <w:rsid w:val="004D65E1"/>
    <w:rsid w:val="004E22EC"/>
    <w:rsid w:val="004E2A4C"/>
    <w:rsid w:val="004F0CE4"/>
    <w:rsid w:val="004F3478"/>
    <w:rsid w:val="004F6A0E"/>
    <w:rsid w:val="00501318"/>
    <w:rsid w:val="00501841"/>
    <w:rsid w:val="005023C8"/>
    <w:rsid w:val="005066AB"/>
    <w:rsid w:val="00514159"/>
    <w:rsid w:val="00516C97"/>
    <w:rsid w:val="00522CEC"/>
    <w:rsid w:val="00530128"/>
    <w:rsid w:val="00532467"/>
    <w:rsid w:val="00537FD6"/>
    <w:rsid w:val="005440B0"/>
    <w:rsid w:val="00544859"/>
    <w:rsid w:val="0054596F"/>
    <w:rsid w:val="00562B20"/>
    <w:rsid w:val="00564A4D"/>
    <w:rsid w:val="0056588A"/>
    <w:rsid w:val="00567BA5"/>
    <w:rsid w:val="00571B35"/>
    <w:rsid w:val="00571D57"/>
    <w:rsid w:val="00577A09"/>
    <w:rsid w:val="005829C2"/>
    <w:rsid w:val="005847E1"/>
    <w:rsid w:val="00584D8F"/>
    <w:rsid w:val="00585A4E"/>
    <w:rsid w:val="00586819"/>
    <w:rsid w:val="005941E2"/>
    <w:rsid w:val="0059530A"/>
    <w:rsid w:val="0059704C"/>
    <w:rsid w:val="005A404D"/>
    <w:rsid w:val="005A5688"/>
    <w:rsid w:val="005A683B"/>
    <w:rsid w:val="005A7D6C"/>
    <w:rsid w:val="005B1E3C"/>
    <w:rsid w:val="005B3FB7"/>
    <w:rsid w:val="005B4D33"/>
    <w:rsid w:val="005B704A"/>
    <w:rsid w:val="005C0A7F"/>
    <w:rsid w:val="005C26CC"/>
    <w:rsid w:val="005C4C9C"/>
    <w:rsid w:val="005C6218"/>
    <w:rsid w:val="005D29E9"/>
    <w:rsid w:val="005D7BA2"/>
    <w:rsid w:val="005E36C2"/>
    <w:rsid w:val="005E5693"/>
    <w:rsid w:val="005E6C98"/>
    <w:rsid w:val="005F0183"/>
    <w:rsid w:val="005F287B"/>
    <w:rsid w:val="005F727F"/>
    <w:rsid w:val="006007DE"/>
    <w:rsid w:val="00601638"/>
    <w:rsid w:val="00601B72"/>
    <w:rsid w:val="006053EC"/>
    <w:rsid w:val="00607AF8"/>
    <w:rsid w:val="00610EF9"/>
    <w:rsid w:val="00611381"/>
    <w:rsid w:val="00611C7A"/>
    <w:rsid w:val="006123E1"/>
    <w:rsid w:val="00612F4F"/>
    <w:rsid w:val="00615C6B"/>
    <w:rsid w:val="0062060D"/>
    <w:rsid w:val="00620DC3"/>
    <w:rsid w:val="00621DCE"/>
    <w:rsid w:val="00632D6D"/>
    <w:rsid w:val="00634AAF"/>
    <w:rsid w:val="00635BC3"/>
    <w:rsid w:val="00640619"/>
    <w:rsid w:val="00640812"/>
    <w:rsid w:val="00642C3E"/>
    <w:rsid w:val="00651C3A"/>
    <w:rsid w:val="00651CB2"/>
    <w:rsid w:val="00651DC1"/>
    <w:rsid w:val="006560CA"/>
    <w:rsid w:val="0066104A"/>
    <w:rsid w:val="00663DAD"/>
    <w:rsid w:val="00665649"/>
    <w:rsid w:val="00666E20"/>
    <w:rsid w:val="006672AA"/>
    <w:rsid w:val="006706C0"/>
    <w:rsid w:val="006735CF"/>
    <w:rsid w:val="00674598"/>
    <w:rsid w:val="00675E20"/>
    <w:rsid w:val="00676679"/>
    <w:rsid w:val="006812E7"/>
    <w:rsid w:val="00683C89"/>
    <w:rsid w:val="00684C16"/>
    <w:rsid w:val="0068527D"/>
    <w:rsid w:val="00690521"/>
    <w:rsid w:val="00691D9A"/>
    <w:rsid w:val="006A0528"/>
    <w:rsid w:val="006A7CB9"/>
    <w:rsid w:val="006A7D76"/>
    <w:rsid w:val="006B2395"/>
    <w:rsid w:val="006B45A4"/>
    <w:rsid w:val="006B4CF9"/>
    <w:rsid w:val="006B587F"/>
    <w:rsid w:val="006B785B"/>
    <w:rsid w:val="006B7AC8"/>
    <w:rsid w:val="006C1736"/>
    <w:rsid w:val="006C41CC"/>
    <w:rsid w:val="006C4798"/>
    <w:rsid w:val="006C651B"/>
    <w:rsid w:val="006C7687"/>
    <w:rsid w:val="006C774D"/>
    <w:rsid w:val="006C7885"/>
    <w:rsid w:val="006D1EF4"/>
    <w:rsid w:val="006D22F2"/>
    <w:rsid w:val="006D550F"/>
    <w:rsid w:val="006D69B2"/>
    <w:rsid w:val="006E3F76"/>
    <w:rsid w:val="006E5AC4"/>
    <w:rsid w:val="006F041D"/>
    <w:rsid w:val="006F066A"/>
    <w:rsid w:val="006F1F83"/>
    <w:rsid w:val="006F3AD1"/>
    <w:rsid w:val="006F3FC8"/>
    <w:rsid w:val="006F5244"/>
    <w:rsid w:val="006F6183"/>
    <w:rsid w:val="0070011E"/>
    <w:rsid w:val="00701B9F"/>
    <w:rsid w:val="00701CAB"/>
    <w:rsid w:val="00707563"/>
    <w:rsid w:val="007215D3"/>
    <w:rsid w:val="00721A49"/>
    <w:rsid w:val="00721AAF"/>
    <w:rsid w:val="0072348C"/>
    <w:rsid w:val="007247AA"/>
    <w:rsid w:val="00724A37"/>
    <w:rsid w:val="00726C5A"/>
    <w:rsid w:val="007303C3"/>
    <w:rsid w:val="007365B1"/>
    <w:rsid w:val="00741C46"/>
    <w:rsid w:val="00741E23"/>
    <w:rsid w:val="007425BE"/>
    <w:rsid w:val="007429BE"/>
    <w:rsid w:val="00743223"/>
    <w:rsid w:val="00744FF1"/>
    <w:rsid w:val="00746E01"/>
    <w:rsid w:val="00747EEA"/>
    <w:rsid w:val="00752C8D"/>
    <w:rsid w:val="00757364"/>
    <w:rsid w:val="00757BDF"/>
    <w:rsid w:val="007609D0"/>
    <w:rsid w:val="00760EC0"/>
    <w:rsid w:val="007624AC"/>
    <w:rsid w:val="00763618"/>
    <w:rsid w:val="00763E5D"/>
    <w:rsid w:val="00767740"/>
    <w:rsid w:val="00773792"/>
    <w:rsid w:val="00775E52"/>
    <w:rsid w:val="00776624"/>
    <w:rsid w:val="00777EE6"/>
    <w:rsid w:val="00782EEA"/>
    <w:rsid w:val="00790679"/>
    <w:rsid w:val="007909FA"/>
    <w:rsid w:val="00790DF8"/>
    <w:rsid w:val="007927F0"/>
    <w:rsid w:val="00793E86"/>
    <w:rsid w:val="007943A4"/>
    <w:rsid w:val="007A0ECA"/>
    <w:rsid w:val="007A7002"/>
    <w:rsid w:val="007A7136"/>
    <w:rsid w:val="007A7F63"/>
    <w:rsid w:val="007B011C"/>
    <w:rsid w:val="007B186E"/>
    <w:rsid w:val="007B2C72"/>
    <w:rsid w:val="007B4E16"/>
    <w:rsid w:val="007B5431"/>
    <w:rsid w:val="007B5581"/>
    <w:rsid w:val="007B6C52"/>
    <w:rsid w:val="007B7438"/>
    <w:rsid w:val="007C1C53"/>
    <w:rsid w:val="007C202D"/>
    <w:rsid w:val="007C74BB"/>
    <w:rsid w:val="007D2345"/>
    <w:rsid w:val="007D3098"/>
    <w:rsid w:val="007D456E"/>
    <w:rsid w:val="007D6E01"/>
    <w:rsid w:val="007E268F"/>
    <w:rsid w:val="007E42F4"/>
    <w:rsid w:val="007E4904"/>
    <w:rsid w:val="007E4CB5"/>
    <w:rsid w:val="007E5309"/>
    <w:rsid w:val="007E6421"/>
    <w:rsid w:val="007F066B"/>
    <w:rsid w:val="007F1228"/>
    <w:rsid w:val="007F202F"/>
    <w:rsid w:val="007F213A"/>
    <w:rsid w:val="007F75C4"/>
    <w:rsid w:val="007F7E03"/>
    <w:rsid w:val="00801D3E"/>
    <w:rsid w:val="008033C4"/>
    <w:rsid w:val="008057DE"/>
    <w:rsid w:val="00806C88"/>
    <w:rsid w:val="00810070"/>
    <w:rsid w:val="0081034E"/>
    <w:rsid w:val="00812B03"/>
    <w:rsid w:val="00814A78"/>
    <w:rsid w:val="00815CAC"/>
    <w:rsid w:val="008168E7"/>
    <w:rsid w:val="00817279"/>
    <w:rsid w:val="00821004"/>
    <w:rsid w:val="008221F2"/>
    <w:rsid w:val="00825985"/>
    <w:rsid w:val="008274D7"/>
    <w:rsid w:val="008301A7"/>
    <w:rsid w:val="008301B2"/>
    <w:rsid w:val="008344F6"/>
    <w:rsid w:val="0083510F"/>
    <w:rsid w:val="00840259"/>
    <w:rsid w:val="008408C5"/>
    <w:rsid w:val="008414FC"/>
    <w:rsid w:val="00847887"/>
    <w:rsid w:val="008500FD"/>
    <w:rsid w:val="00851209"/>
    <w:rsid w:val="0085722A"/>
    <w:rsid w:val="00860AA8"/>
    <w:rsid w:val="008611D3"/>
    <w:rsid w:val="00862B19"/>
    <w:rsid w:val="00863EDE"/>
    <w:rsid w:val="00864B35"/>
    <w:rsid w:val="00866BFA"/>
    <w:rsid w:val="00866D99"/>
    <w:rsid w:val="00867CF6"/>
    <w:rsid w:val="008749E0"/>
    <w:rsid w:val="00874CD0"/>
    <w:rsid w:val="00880E65"/>
    <w:rsid w:val="00881122"/>
    <w:rsid w:val="00882481"/>
    <w:rsid w:val="008837AC"/>
    <w:rsid w:val="00885D85"/>
    <w:rsid w:val="00892640"/>
    <w:rsid w:val="008A56D6"/>
    <w:rsid w:val="008A587D"/>
    <w:rsid w:val="008B35CD"/>
    <w:rsid w:val="008B5DE8"/>
    <w:rsid w:val="008B5FCC"/>
    <w:rsid w:val="008B7544"/>
    <w:rsid w:val="008C3374"/>
    <w:rsid w:val="008C39F0"/>
    <w:rsid w:val="008C5486"/>
    <w:rsid w:val="008C63DF"/>
    <w:rsid w:val="008C708B"/>
    <w:rsid w:val="008D1661"/>
    <w:rsid w:val="008D34F5"/>
    <w:rsid w:val="008D6800"/>
    <w:rsid w:val="008D68EB"/>
    <w:rsid w:val="008E4B0D"/>
    <w:rsid w:val="008E57DC"/>
    <w:rsid w:val="008E7031"/>
    <w:rsid w:val="008E77DE"/>
    <w:rsid w:val="008F07A3"/>
    <w:rsid w:val="008F0C91"/>
    <w:rsid w:val="008F16B3"/>
    <w:rsid w:val="008F34DD"/>
    <w:rsid w:val="009001B6"/>
    <w:rsid w:val="0090031F"/>
    <w:rsid w:val="00900E1B"/>
    <w:rsid w:val="00901C3C"/>
    <w:rsid w:val="009038ED"/>
    <w:rsid w:val="00906F91"/>
    <w:rsid w:val="00922624"/>
    <w:rsid w:val="009233EE"/>
    <w:rsid w:val="00923CFC"/>
    <w:rsid w:val="00923FA9"/>
    <w:rsid w:val="009272AD"/>
    <w:rsid w:val="009277DC"/>
    <w:rsid w:val="00932699"/>
    <w:rsid w:val="00932F4E"/>
    <w:rsid w:val="00933648"/>
    <w:rsid w:val="00941A0F"/>
    <w:rsid w:val="009456D7"/>
    <w:rsid w:val="009460AA"/>
    <w:rsid w:val="0094641C"/>
    <w:rsid w:val="00951978"/>
    <w:rsid w:val="0095215D"/>
    <w:rsid w:val="00954F79"/>
    <w:rsid w:val="00961115"/>
    <w:rsid w:val="00961999"/>
    <w:rsid w:val="00961A4A"/>
    <w:rsid w:val="00965D43"/>
    <w:rsid w:val="009661DE"/>
    <w:rsid w:val="00976FEC"/>
    <w:rsid w:val="00983430"/>
    <w:rsid w:val="00983C25"/>
    <w:rsid w:val="009856B7"/>
    <w:rsid w:val="00985C86"/>
    <w:rsid w:val="00996BAF"/>
    <w:rsid w:val="009972D8"/>
    <w:rsid w:val="009A361E"/>
    <w:rsid w:val="009A4FAA"/>
    <w:rsid w:val="009A5113"/>
    <w:rsid w:val="009A539D"/>
    <w:rsid w:val="009A55A9"/>
    <w:rsid w:val="009A5FC3"/>
    <w:rsid w:val="009A7A0E"/>
    <w:rsid w:val="009B43DF"/>
    <w:rsid w:val="009B5DC8"/>
    <w:rsid w:val="009B6F84"/>
    <w:rsid w:val="009B7343"/>
    <w:rsid w:val="009B74B0"/>
    <w:rsid w:val="009C0F84"/>
    <w:rsid w:val="009C1CD6"/>
    <w:rsid w:val="009C691D"/>
    <w:rsid w:val="009C772C"/>
    <w:rsid w:val="009D2162"/>
    <w:rsid w:val="009D3906"/>
    <w:rsid w:val="009D6B46"/>
    <w:rsid w:val="009E1FDB"/>
    <w:rsid w:val="009E28E9"/>
    <w:rsid w:val="009F4940"/>
    <w:rsid w:val="009F5BA1"/>
    <w:rsid w:val="00A0179E"/>
    <w:rsid w:val="00A02A88"/>
    <w:rsid w:val="00A0562E"/>
    <w:rsid w:val="00A06085"/>
    <w:rsid w:val="00A0726D"/>
    <w:rsid w:val="00A16596"/>
    <w:rsid w:val="00A2303E"/>
    <w:rsid w:val="00A23D5E"/>
    <w:rsid w:val="00A314E5"/>
    <w:rsid w:val="00A32FBB"/>
    <w:rsid w:val="00A333C1"/>
    <w:rsid w:val="00A40896"/>
    <w:rsid w:val="00A40C71"/>
    <w:rsid w:val="00A428EE"/>
    <w:rsid w:val="00A4478A"/>
    <w:rsid w:val="00A44852"/>
    <w:rsid w:val="00A4650A"/>
    <w:rsid w:val="00A50502"/>
    <w:rsid w:val="00A57D04"/>
    <w:rsid w:val="00A604FC"/>
    <w:rsid w:val="00A60A26"/>
    <w:rsid w:val="00A61598"/>
    <w:rsid w:val="00A61A1B"/>
    <w:rsid w:val="00A72080"/>
    <w:rsid w:val="00A72351"/>
    <w:rsid w:val="00A75BEB"/>
    <w:rsid w:val="00A80F43"/>
    <w:rsid w:val="00A810C3"/>
    <w:rsid w:val="00A84A99"/>
    <w:rsid w:val="00A84F46"/>
    <w:rsid w:val="00A8674D"/>
    <w:rsid w:val="00A871F4"/>
    <w:rsid w:val="00A90AA4"/>
    <w:rsid w:val="00A923BF"/>
    <w:rsid w:val="00AA00D7"/>
    <w:rsid w:val="00AB05E6"/>
    <w:rsid w:val="00AB460A"/>
    <w:rsid w:val="00AB47E1"/>
    <w:rsid w:val="00AB4913"/>
    <w:rsid w:val="00AC0FCE"/>
    <w:rsid w:val="00AC1B2C"/>
    <w:rsid w:val="00AC3264"/>
    <w:rsid w:val="00AC406F"/>
    <w:rsid w:val="00AD1775"/>
    <w:rsid w:val="00AD3884"/>
    <w:rsid w:val="00AD7B56"/>
    <w:rsid w:val="00AE1BF1"/>
    <w:rsid w:val="00AE3F64"/>
    <w:rsid w:val="00AF0DD2"/>
    <w:rsid w:val="00B0045C"/>
    <w:rsid w:val="00B0171B"/>
    <w:rsid w:val="00B0209D"/>
    <w:rsid w:val="00B02961"/>
    <w:rsid w:val="00B04908"/>
    <w:rsid w:val="00B04B4C"/>
    <w:rsid w:val="00B06722"/>
    <w:rsid w:val="00B07CEA"/>
    <w:rsid w:val="00B13048"/>
    <w:rsid w:val="00B1716D"/>
    <w:rsid w:val="00B17A1D"/>
    <w:rsid w:val="00B207A0"/>
    <w:rsid w:val="00B21C85"/>
    <w:rsid w:val="00B31584"/>
    <w:rsid w:val="00B321BA"/>
    <w:rsid w:val="00B326A7"/>
    <w:rsid w:val="00B40CAA"/>
    <w:rsid w:val="00B42E16"/>
    <w:rsid w:val="00B5143E"/>
    <w:rsid w:val="00B514DD"/>
    <w:rsid w:val="00B51F3F"/>
    <w:rsid w:val="00B52866"/>
    <w:rsid w:val="00B52AF0"/>
    <w:rsid w:val="00B561BD"/>
    <w:rsid w:val="00B56994"/>
    <w:rsid w:val="00B56E03"/>
    <w:rsid w:val="00B617D2"/>
    <w:rsid w:val="00B61EDF"/>
    <w:rsid w:val="00B6438A"/>
    <w:rsid w:val="00B66015"/>
    <w:rsid w:val="00B66959"/>
    <w:rsid w:val="00B74AC5"/>
    <w:rsid w:val="00B757A6"/>
    <w:rsid w:val="00B8080B"/>
    <w:rsid w:val="00B82223"/>
    <w:rsid w:val="00B85399"/>
    <w:rsid w:val="00B87BA5"/>
    <w:rsid w:val="00B87C39"/>
    <w:rsid w:val="00B9562D"/>
    <w:rsid w:val="00BA0731"/>
    <w:rsid w:val="00BA1009"/>
    <w:rsid w:val="00BA4665"/>
    <w:rsid w:val="00BA47EE"/>
    <w:rsid w:val="00BB2FB2"/>
    <w:rsid w:val="00BB3304"/>
    <w:rsid w:val="00BB3FD7"/>
    <w:rsid w:val="00BB6848"/>
    <w:rsid w:val="00BB7528"/>
    <w:rsid w:val="00BC18DE"/>
    <w:rsid w:val="00BC2FAF"/>
    <w:rsid w:val="00BC3C2A"/>
    <w:rsid w:val="00BC42EF"/>
    <w:rsid w:val="00BD0920"/>
    <w:rsid w:val="00BD0C45"/>
    <w:rsid w:val="00BD310B"/>
    <w:rsid w:val="00BD3446"/>
    <w:rsid w:val="00BD5AEA"/>
    <w:rsid w:val="00BE1F1B"/>
    <w:rsid w:val="00BE47B5"/>
    <w:rsid w:val="00BE5260"/>
    <w:rsid w:val="00BF0C8F"/>
    <w:rsid w:val="00BF0CD7"/>
    <w:rsid w:val="00BF71CE"/>
    <w:rsid w:val="00C00577"/>
    <w:rsid w:val="00C04223"/>
    <w:rsid w:val="00C06776"/>
    <w:rsid w:val="00C149DE"/>
    <w:rsid w:val="00C200CE"/>
    <w:rsid w:val="00C217F6"/>
    <w:rsid w:val="00C23FA8"/>
    <w:rsid w:val="00C25FA6"/>
    <w:rsid w:val="00C271DA"/>
    <w:rsid w:val="00C275C4"/>
    <w:rsid w:val="00C30637"/>
    <w:rsid w:val="00C332B3"/>
    <w:rsid w:val="00C34B9A"/>
    <w:rsid w:val="00C36F19"/>
    <w:rsid w:val="00C4232B"/>
    <w:rsid w:val="00C42ACA"/>
    <w:rsid w:val="00C5122C"/>
    <w:rsid w:val="00C538A9"/>
    <w:rsid w:val="00C53B5A"/>
    <w:rsid w:val="00C54F5A"/>
    <w:rsid w:val="00C568B0"/>
    <w:rsid w:val="00C569B4"/>
    <w:rsid w:val="00C56A01"/>
    <w:rsid w:val="00C56A3E"/>
    <w:rsid w:val="00C62F73"/>
    <w:rsid w:val="00C65890"/>
    <w:rsid w:val="00C67A92"/>
    <w:rsid w:val="00C71F5B"/>
    <w:rsid w:val="00C7227B"/>
    <w:rsid w:val="00C72CB3"/>
    <w:rsid w:val="00C7497E"/>
    <w:rsid w:val="00C74D43"/>
    <w:rsid w:val="00C81568"/>
    <w:rsid w:val="00C82777"/>
    <w:rsid w:val="00C84560"/>
    <w:rsid w:val="00C84F52"/>
    <w:rsid w:val="00C86679"/>
    <w:rsid w:val="00C92BC2"/>
    <w:rsid w:val="00C96A63"/>
    <w:rsid w:val="00C97CDF"/>
    <w:rsid w:val="00CA2ABF"/>
    <w:rsid w:val="00CA2C1D"/>
    <w:rsid w:val="00CA2D87"/>
    <w:rsid w:val="00CA2FBE"/>
    <w:rsid w:val="00CA489E"/>
    <w:rsid w:val="00CA52A2"/>
    <w:rsid w:val="00CA679D"/>
    <w:rsid w:val="00CB0279"/>
    <w:rsid w:val="00CB0C23"/>
    <w:rsid w:val="00CB17E9"/>
    <w:rsid w:val="00CB666B"/>
    <w:rsid w:val="00CC1938"/>
    <w:rsid w:val="00CC7F1D"/>
    <w:rsid w:val="00CD19EE"/>
    <w:rsid w:val="00CD3EC9"/>
    <w:rsid w:val="00CD79DC"/>
    <w:rsid w:val="00CE1BD2"/>
    <w:rsid w:val="00CE484B"/>
    <w:rsid w:val="00CE4900"/>
    <w:rsid w:val="00CF0DEE"/>
    <w:rsid w:val="00CF2C05"/>
    <w:rsid w:val="00CF64CC"/>
    <w:rsid w:val="00CF6EDE"/>
    <w:rsid w:val="00D006AE"/>
    <w:rsid w:val="00D01CF0"/>
    <w:rsid w:val="00D01EFD"/>
    <w:rsid w:val="00D041EF"/>
    <w:rsid w:val="00D0442A"/>
    <w:rsid w:val="00D06055"/>
    <w:rsid w:val="00D066B7"/>
    <w:rsid w:val="00D07771"/>
    <w:rsid w:val="00D07EFB"/>
    <w:rsid w:val="00D123D6"/>
    <w:rsid w:val="00D17683"/>
    <w:rsid w:val="00D22B16"/>
    <w:rsid w:val="00D24F9A"/>
    <w:rsid w:val="00D32CE0"/>
    <w:rsid w:val="00D33D8F"/>
    <w:rsid w:val="00D36FCC"/>
    <w:rsid w:val="00D412C6"/>
    <w:rsid w:val="00D4316A"/>
    <w:rsid w:val="00D45694"/>
    <w:rsid w:val="00D54F17"/>
    <w:rsid w:val="00D608F6"/>
    <w:rsid w:val="00D60EFF"/>
    <w:rsid w:val="00D61388"/>
    <w:rsid w:val="00D61A54"/>
    <w:rsid w:val="00D64275"/>
    <w:rsid w:val="00D64DEA"/>
    <w:rsid w:val="00D70193"/>
    <w:rsid w:val="00D7024C"/>
    <w:rsid w:val="00D7168E"/>
    <w:rsid w:val="00D71E57"/>
    <w:rsid w:val="00D75AA2"/>
    <w:rsid w:val="00D7645E"/>
    <w:rsid w:val="00D80893"/>
    <w:rsid w:val="00D82279"/>
    <w:rsid w:val="00D84854"/>
    <w:rsid w:val="00D848B4"/>
    <w:rsid w:val="00D84B58"/>
    <w:rsid w:val="00D92CF1"/>
    <w:rsid w:val="00D92D38"/>
    <w:rsid w:val="00D950F5"/>
    <w:rsid w:val="00DA0BCC"/>
    <w:rsid w:val="00DA4752"/>
    <w:rsid w:val="00DA6091"/>
    <w:rsid w:val="00DA61F3"/>
    <w:rsid w:val="00DA6B93"/>
    <w:rsid w:val="00DA6F94"/>
    <w:rsid w:val="00DB0F93"/>
    <w:rsid w:val="00DB1A67"/>
    <w:rsid w:val="00DB5074"/>
    <w:rsid w:val="00DB5B21"/>
    <w:rsid w:val="00DC051D"/>
    <w:rsid w:val="00DC1902"/>
    <w:rsid w:val="00DC7981"/>
    <w:rsid w:val="00DD1C15"/>
    <w:rsid w:val="00DD55A5"/>
    <w:rsid w:val="00DE1093"/>
    <w:rsid w:val="00DE2258"/>
    <w:rsid w:val="00DE499A"/>
    <w:rsid w:val="00DE4EFA"/>
    <w:rsid w:val="00DE4FA7"/>
    <w:rsid w:val="00DE5520"/>
    <w:rsid w:val="00DE563D"/>
    <w:rsid w:val="00DE5E2E"/>
    <w:rsid w:val="00DE772C"/>
    <w:rsid w:val="00DF1D9A"/>
    <w:rsid w:val="00DF312A"/>
    <w:rsid w:val="00DF3CA1"/>
    <w:rsid w:val="00E04818"/>
    <w:rsid w:val="00E06442"/>
    <w:rsid w:val="00E06B13"/>
    <w:rsid w:val="00E06BCF"/>
    <w:rsid w:val="00E1001C"/>
    <w:rsid w:val="00E13FB5"/>
    <w:rsid w:val="00E15169"/>
    <w:rsid w:val="00E15DD8"/>
    <w:rsid w:val="00E16964"/>
    <w:rsid w:val="00E2084A"/>
    <w:rsid w:val="00E227D7"/>
    <w:rsid w:val="00E23993"/>
    <w:rsid w:val="00E248EA"/>
    <w:rsid w:val="00E257D6"/>
    <w:rsid w:val="00E25B8C"/>
    <w:rsid w:val="00E3512F"/>
    <w:rsid w:val="00E3544F"/>
    <w:rsid w:val="00E51D65"/>
    <w:rsid w:val="00E6200B"/>
    <w:rsid w:val="00E64479"/>
    <w:rsid w:val="00E65C85"/>
    <w:rsid w:val="00E66199"/>
    <w:rsid w:val="00E711C7"/>
    <w:rsid w:val="00E7494F"/>
    <w:rsid w:val="00E755EC"/>
    <w:rsid w:val="00E7624D"/>
    <w:rsid w:val="00E76749"/>
    <w:rsid w:val="00E76EE1"/>
    <w:rsid w:val="00E807D3"/>
    <w:rsid w:val="00E8326F"/>
    <w:rsid w:val="00E90EA6"/>
    <w:rsid w:val="00E91E81"/>
    <w:rsid w:val="00E957F8"/>
    <w:rsid w:val="00E97242"/>
    <w:rsid w:val="00EA38F3"/>
    <w:rsid w:val="00EA3D42"/>
    <w:rsid w:val="00EA6B1B"/>
    <w:rsid w:val="00EA7F38"/>
    <w:rsid w:val="00EB5BC8"/>
    <w:rsid w:val="00EB606C"/>
    <w:rsid w:val="00EC04F1"/>
    <w:rsid w:val="00EC1B2B"/>
    <w:rsid w:val="00EC1CDA"/>
    <w:rsid w:val="00EC32E5"/>
    <w:rsid w:val="00EC372E"/>
    <w:rsid w:val="00EC5AEF"/>
    <w:rsid w:val="00EC6AB5"/>
    <w:rsid w:val="00ED0EC2"/>
    <w:rsid w:val="00ED3127"/>
    <w:rsid w:val="00ED3474"/>
    <w:rsid w:val="00ED7323"/>
    <w:rsid w:val="00EE20E8"/>
    <w:rsid w:val="00EE28F3"/>
    <w:rsid w:val="00EE50D1"/>
    <w:rsid w:val="00EE7053"/>
    <w:rsid w:val="00EE77FA"/>
    <w:rsid w:val="00EE7A83"/>
    <w:rsid w:val="00EF1B7A"/>
    <w:rsid w:val="00EF384A"/>
    <w:rsid w:val="00EF5110"/>
    <w:rsid w:val="00F0334E"/>
    <w:rsid w:val="00F07967"/>
    <w:rsid w:val="00F10411"/>
    <w:rsid w:val="00F15882"/>
    <w:rsid w:val="00F171E0"/>
    <w:rsid w:val="00F20BD3"/>
    <w:rsid w:val="00F244F9"/>
    <w:rsid w:val="00F24612"/>
    <w:rsid w:val="00F2526A"/>
    <w:rsid w:val="00F35081"/>
    <w:rsid w:val="00F373A5"/>
    <w:rsid w:val="00F40638"/>
    <w:rsid w:val="00F40B2A"/>
    <w:rsid w:val="00F42E08"/>
    <w:rsid w:val="00F4359A"/>
    <w:rsid w:val="00F47559"/>
    <w:rsid w:val="00F47747"/>
    <w:rsid w:val="00F50167"/>
    <w:rsid w:val="00F55EF7"/>
    <w:rsid w:val="00F57907"/>
    <w:rsid w:val="00F61176"/>
    <w:rsid w:val="00F62A30"/>
    <w:rsid w:val="00F64C7B"/>
    <w:rsid w:val="00F65B25"/>
    <w:rsid w:val="00F676DD"/>
    <w:rsid w:val="00F71667"/>
    <w:rsid w:val="00F73895"/>
    <w:rsid w:val="00F74E51"/>
    <w:rsid w:val="00F75A26"/>
    <w:rsid w:val="00F76706"/>
    <w:rsid w:val="00F768C8"/>
    <w:rsid w:val="00F77EAB"/>
    <w:rsid w:val="00F81B8D"/>
    <w:rsid w:val="00F83853"/>
    <w:rsid w:val="00F83FAD"/>
    <w:rsid w:val="00F8653A"/>
    <w:rsid w:val="00F91F55"/>
    <w:rsid w:val="00F92349"/>
    <w:rsid w:val="00F93B21"/>
    <w:rsid w:val="00F952A0"/>
    <w:rsid w:val="00FA3C7F"/>
    <w:rsid w:val="00FA5D61"/>
    <w:rsid w:val="00FA5DF8"/>
    <w:rsid w:val="00FA5F7A"/>
    <w:rsid w:val="00FA77AD"/>
    <w:rsid w:val="00FB1BF3"/>
    <w:rsid w:val="00FB2F42"/>
    <w:rsid w:val="00FB4402"/>
    <w:rsid w:val="00FB60FE"/>
    <w:rsid w:val="00FB74E2"/>
    <w:rsid w:val="00FC2257"/>
    <w:rsid w:val="00FC5967"/>
    <w:rsid w:val="00FC71DC"/>
    <w:rsid w:val="00FD1DD2"/>
    <w:rsid w:val="00FD2ED2"/>
    <w:rsid w:val="00FD5614"/>
    <w:rsid w:val="00FD5E78"/>
    <w:rsid w:val="00FE0BE1"/>
    <w:rsid w:val="00FE1DE9"/>
    <w:rsid w:val="00FE2DCE"/>
    <w:rsid w:val="00FE36AF"/>
    <w:rsid w:val="00FE39C2"/>
    <w:rsid w:val="00FE3C32"/>
    <w:rsid w:val="00FE6387"/>
    <w:rsid w:val="00FE64AE"/>
    <w:rsid w:val="00FF46CE"/>
    <w:rsid w:val="00FF7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0" w:qFormat="1"/>
    <w:lsdException w:name="header" w:uiPriority="0" w:qFormat="1"/>
    <w:lsdException w:name="footer" w:qFormat="1"/>
    <w:lsdException w:name="caption" w:uiPriority="0" w:qFormat="1"/>
    <w:lsdException w:name="footnote reference"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num" w:pos="360"/>
        <w:tab w:val="left" w:pos="1021"/>
      </w:tabs>
      <w:spacing w:before="240"/>
      <w:ind w:left="0" w:firstLine="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num" w:pos="360"/>
        <w:tab w:val="left" w:pos="1021"/>
      </w:tabs>
      <w:spacing w:line="240" w:lineRule="atLeast"/>
      <w:ind w:left="0" w:firstLine="0"/>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aliases w:val="Figure,CDM B/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0" w:qFormat="1"/>
    <w:lsdException w:name="header" w:uiPriority="0" w:qFormat="1"/>
    <w:lsdException w:name="footer" w:qFormat="1"/>
    <w:lsdException w:name="caption" w:uiPriority="0" w:qFormat="1"/>
    <w:lsdException w:name="footnote reference"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num" w:pos="360"/>
        <w:tab w:val="left" w:pos="1021"/>
      </w:tabs>
      <w:spacing w:before="240"/>
      <w:ind w:left="0" w:firstLine="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num" w:pos="360"/>
        <w:tab w:val="left" w:pos="1021"/>
      </w:tabs>
      <w:spacing w:line="240" w:lineRule="atLeast"/>
      <w:ind w:left="0" w:firstLine="0"/>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aliases w:val="Figure,CDM B/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78396262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8812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Electricity/National-Electricity-Market-NEM/Planning-and-forecasting/Generation-information"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9BB7A2-D7A7-436D-A630-B4C22749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C129A122</Template>
  <TotalTime>0</TotalTime>
  <Pages>11</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2017-07-03T03:38:00Z</dcterms:created>
  <dcterms:modified xsi:type="dcterms:W3CDTF">2017-07-03T03:38:00Z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