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B009A7" w:rsidP="00290C63">
          <w:r w:rsidRPr="00B009A7">
            <w:rPr>
              <w:noProof/>
              <w:lang w:eastAsia="en-AU"/>
            </w:rPr>
            <w:drawing>
              <wp:anchor distT="0" distB="0" distL="114300" distR="114300" simplePos="0" relativeHeight="251661312" behindDoc="1" locked="0" layoutInCell="1" allowOverlap="1" wp14:anchorId="4D97BC6B" wp14:editId="51242113">
                <wp:simplePos x="0" y="0"/>
                <wp:positionH relativeFrom="column">
                  <wp:posOffset>-1107440</wp:posOffset>
                </wp:positionH>
                <wp:positionV relativeFrom="paragraph">
                  <wp:posOffset>-902970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215A553" wp14:editId="43744FA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694DA7">
            <w:t>DRAFT</w:t>
          </w:r>
          <w:r w:rsidR="00DA4752">
            <w:t xml:space="preserve"> DECISION</w:t>
          </w:r>
        </w:p>
        <w:p w:rsidR="00415F31" w:rsidRDefault="00694DA7" w:rsidP="008F07A3">
          <w:pPr>
            <w:pStyle w:val="ReportSubtitle"/>
          </w:pPr>
          <w:r>
            <w:t>Roma to Brisbane</w:t>
          </w:r>
          <w:r w:rsidR="00A06085">
            <w:t xml:space="preserve"> </w:t>
          </w:r>
          <w:r w:rsidR="0033548E">
            <w:t>Gas Pipeline</w:t>
          </w:r>
          <w:r w:rsidR="00CF2C05">
            <w:br/>
            <w:t>Access Arrangement</w:t>
          </w:r>
        </w:p>
        <w:p w:rsidR="000A6C7B" w:rsidRDefault="00E72801" w:rsidP="008F07A3">
          <w:pPr>
            <w:pStyle w:val="ReportSubtitle"/>
          </w:pPr>
          <w:r>
            <w:t>2017</w:t>
          </w:r>
          <w:r w:rsidR="00F61813">
            <w:t>–</w:t>
          </w:r>
          <w:r>
            <w:t>22</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02165">
            <w:t>2</w:t>
          </w:r>
          <w:r w:rsidR="00DA4752">
            <w:t xml:space="preserve"> </w:t>
          </w:r>
          <w:r w:rsidR="00415F31">
            <w:rPr>
              <w:rFonts w:cs="Arial"/>
            </w:rPr>
            <w:t>–</w:t>
          </w:r>
          <w:r w:rsidR="00DA4752">
            <w:t xml:space="preserve"> </w:t>
          </w:r>
          <w:r w:rsidR="00B02165">
            <w:t>Capital base</w:t>
          </w:r>
        </w:p>
        <w:p w:rsidR="000A6C7B" w:rsidRPr="00327A1E" w:rsidRDefault="0035371A" w:rsidP="00327A1E">
          <w:pPr>
            <w:pStyle w:val="ReportDate"/>
          </w:pPr>
          <w:r>
            <w:t xml:space="preserve">July </w:t>
          </w:r>
          <w:r w:rsidR="00A2303E">
            <w:t>201</w:t>
          </w:r>
          <w:r w:rsidR="00013F60">
            <w:t>7</w:t>
          </w:r>
        </w:p>
      </w:sdtContent>
    </w:sdt>
    <w:p w:rsidR="00327A1E" w:rsidRPr="00290C63" w:rsidRDefault="00327A1E" w:rsidP="00290C63">
      <w:r>
        <w:br w:type="page"/>
      </w:r>
    </w:p>
    <w:p w:rsidR="000A6C7B" w:rsidRDefault="00932084" w:rsidP="00961A4A">
      <w:pPr>
        <w:pStyle w:val="Copyright"/>
      </w:pPr>
      <w:r>
        <w:lastRenderedPageBreak/>
        <w:t>© Commonwealth of Australia 201</w:t>
      </w:r>
      <w:r w:rsidR="00185EDC">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 xml:space="preserve">Tel: </w:t>
      </w:r>
      <w:r w:rsidR="0035371A">
        <w:t>1300 585 165</w:t>
      </w:r>
    </w:p>
    <w:p w:rsidR="00B9562D" w:rsidRDefault="000A6C7B" w:rsidP="00B9562D">
      <w:pPr>
        <w:pStyle w:val="Copyright"/>
      </w:pPr>
      <w:r>
        <w:t xml:space="preserve">Email: </w:t>
      </w:r>
      <w:hyperlink r:id="rId12"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8684662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694DA7">
        <w:t>draft</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w:t>
      </w:r>
      <w:r w:rsidR="00694DA7">
        <w:t>Roma to Brisbane</w:t>
      </w:r>
      <w:r w:rsidR="0033548E">
        <w:t xml:space="preserve"> Gas Pipeline for </w:t>
      </w:r>
      <w:r w:rsidR="00415F31">
        <w:t>201</w:t>
      </w:r>
      <w:r w:rsidR="00013F60">
        <w:t>7</w:t>
      </w:r>
      <w:r w:rsidR="00415F31" w:rsidRPr="00D904FA">
        <w:t>–</w:t>
      </w:r>
      <w:r w:rsidR="00103A67">
        <w:t>2</w:t>
      </w:r>
      <w:r w:rsidR="00013F60">
        <w:t>2</w:t>
      </w:r>
      <w:r w:rsidR="00415F31">
        <w:t xml:space="preserve">. It should be read with </w:t>
      </w:r>
      <w:r w:rsidR="005C0A7F">
        <w:t xml:space="preserve">all </w:t>
      </w:r>
      <w:r w:rsidR="00415F31">
        <w:t xml:space="preserve">other parts of the </w:t>
      </w:r>
      <w:r w:rsidR="00694DA7">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694DA7">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86846629"/>
      <w:r>
        <w:t>Contents</w:t>
      </w:r>
      <w:bookmarkEnd w:id="5"/>
      <w:bookmarkEnd w:id="6"/>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CA12A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6846628" w:history="1">
            <w:r w:rsidR="00CA12AF" w:rsidRPr="00450A17">
              <w:rPr>
                <w:rStyle w:val="Hyperlink"/>
              </w:rPr>
              <w:t>Note</w:t>
            </w:r>
            <w:r w:rsidR="00CA12AF">
              <w:rPr>
                <w:webHidden/>
              </w:rPr>
              <w:tab/>
            </w:r>
            <w:r w:rsidR="00CA12AF">
              <w:rPr>
                <w:webHidden/>
              </w:rPr>
              <w:fldChar w:fldCharType="begin"/>
            </w:r>
            <w:r w:rsidR="00CA12AF">
              <w:rPr>
                <w:webHidden/>
              </w:rPr>
              <w:instrText xml:space="preserve"> PAGEREF _Toc486846628 \h </w:instrText>
            </w:r>
            <w:r w:rsidR="00CA12AF">
              <w:rPr>
                <w:webHidden/>
              </w:rPr>
            </w:r>
            <w:r w:rsidR="00CA12AF">
              <w:rPr>
                <w:webHidden/>
              </w:rPr>
              <w:fldChar w:fldCharType="separate"/>
            </w:r>
            <w:r w:rsidR="00996D16">
              <w:rPr>
                <w:webHidden/>
              </w:rPr>
              <w:t>2-2</w:t>
            </w:r>
            <w:r w:rsidR="00CA12AF">
              <w:rPr>
                <w:webHidden/>
              </w:rPr>
              <w:fldChar w:fldCharType="end"/>
            </w:r>
          </w:hyperlink>
        </w:p>
        <w:p w:rsidR="00CA12AF" w:rsidRDefault="00996D16">
          <w:pPr>
            <w:pStyle w:val="TOC1"/>
            <w:rPr>
              <w:rFonts w:asciiTheme="minorHAnsi" w:eastAsiaTheme="minorEastAsia" w:hAnsiTheme="minorHAnsi"/>
              <w:b w:val="0"/>
              <w:color w:val="auto"/>
              <w:sz w:val="22"/>
              <w:lang w:val="en-AU" w:eastAsia="en-AU"/>
            </w:rPr>
          </w:pPr>
          <w:hyperlink w:anchor="_Toc486846629" w:history="1">
            <w:r w:rsidR="00CA12AF" w:rsidRPr="00450A17">
              <w:rPr>
                <w:rStyle w:val="Hyperlink"/>
              </w:rPr>
              <w:t>Contents</w:t>
            </w:r>
            <w:r w:rsidR="00CA12AF">
              <w:rPr>
                <w:webHidden/>
              </w:rPr>
              <w:tab/>
            </w:r>
            <w:r w:rsidR="00CA12AF">
              <w:rPr>
                <w:webHidden/>
              </w:rPr>
              <w:fldChar w:fldCharType="begin"/>
            </w:r>
            <w:r w:rsidR="00CA12AF">
              <w:rPr>
                <w:webHidden/>
              </w:rPr>
              <w:instrText xml:space="preserve"> PAGEREF _Toc486846629 \h </w:instrText>
            </w:r>
            <w:r w:rsidR="00CA12AF">
              <w:rPr>
                <w:webHidden/>
              </w:rPr>
            </w:r>
            <w:r w:rsidR="00CA12AF">
              <w:rPr>
                <w:webHidden/>
              </w:rPr>
              <w:fldChar w:fldCharType="separate"/>
            </w:r>
            <w:r>
              <w:rPr>
                <w:webHidden/>
              </w:rPr>
              <w:t>2-3</w:t>
            </w:r>
            <w:r w:rsidR="00CA12AF">
              <w:rPr>
                <w:webHidden/>
              </w:rPr>
              <w:fldChar w:fldCharType="end"/>
            </w:r>
          </w:hyperlink>
        </w:p>
        <w:p w:rsidR="00CA12AF" w:rsidRDefault="00996D16">
          <w:pPr>
            <w:pStyle w:val="TOC1"/>
            <w:rPr>
              <w:rFonts w:asciiTheme="minorHAnsi" w:eastAsiaTheme="minorEastAsia" w:hAnsiTheme="minorHAnsi"/>
              <w:b w:val="0"/>
              <w:color w:val="auto"/>
              <w:sz w:val="22"/>
              <w:lang w:val="en-AU" w:eastAsia="en-AU"/>
            </w:rPr>
          </w:pPr>
          <w:hyperlink w:anchor="_Toc486846630" w:history="1">
            <w:r w:rsidR="00CA12AF" w:rsidRPr="00450A17">
              <w:rPr>
                <w:rStyle w:val="Hyperlink"/>
              </w:rPr>
              <w:t>Shortened forms</w:t>
            </w:r>
            <w:r w:rsidR="00CA12AF">
              <w:rPr>
                <w:webHidden/>
              </w:rPr>
              <w:tab/>
            </w:r>
            <w:r w:rsidR="00CA12AF">
              <w:rPr>
                <w:webHidden/>
              </w:rPr>
              <w:fldChar w:fldCharType="begin"/>
            </w:r>
            <w:r w:rsidR="00CA12AF">
              <w:rPr>
                <w:webHidden/>
              </w:rPr>
              <w:instrText xml:space="preserve"> PAGEREF _Toc486846630 \h </w:instrText>
            </w:r>
            <w:r w:rsidR="00CA12AF">
              <w:rPr>
                <w:webHidden/>
              </w:rPr>
            </w:r>
            <w:r w:rsidR="00CA12AF">
              <w:rPr>
                <w:webHidden/>
              </w:rPr>
              <w:fldChar w:fldCharType="separate"/>
            </w:r>
            <w:r>
              <w:rPr>
                <w:webHidden/>
              </w:rPr>
              <w:t>2-4</w:t>
            </w:r>
            <w:r w:rsidR="00CA12AF">
              <w:rPr>
                <w:webHidden/>
              </w:rPr>
              <w:fldChar w:fldCharType="end"/>
            </w:r>
          </w:hyperlink>
        </w:p>
        <w:p w:rsidR="00CA12AF" w:rsidRDefault="00996D16">
          <w:pPr>
            <w:pStyle w:val="TOC1"/>
            <w:rPr>
              <w:rFonts w:asciiTheme="minorHAnsi" w:eastAsiaTheme="minorEastAsia" w:hAnsiTheme="minorHAnsi"/>
              <w:b w:val="0"/>
              <w:color w:val="auto"/>
              <w:sz w:val="22"/>
              <w:lang w:val="en-AU" w:eastAsia="en-AU"/>
            </w:rPr>
          </w:pPr>
          <w:hyperlink w:anchor="_Toc486846631" w:history="1">
            <w:r w:rsidR="00CA12AF" w:rsidRPr="00450A17">
              <w:rPr>
                <w:rStyle w:val="Hyperlink"/>
              </w:rPr>
              <w:t>2</w:t>
            </w:r>
            <w:r w:rsidR="00CA12AF">
              <w:rPr>
                <w:rFonts w:asciiTheme="minorHAnsi" w:eastAsiaTheme="minorEastAsia" w:hAnsiTheme="minorHAnsi"/>
                <w:b w:val="0"/>
                <w:color w:val="auto"/>
                <w:sz w:val="22"/>
                <w:lang w:val="en-AU" w:eastAsia="en-AU"/>
              </w:rPr>
              <w:tab/>
            </w:r>
            <w:r w:rsidR="00CA12AF" w:rsidRPr="00450A17">
              <w:rPr>
                <w:rStyle w:val="Hyperlink"/>
              </w:rPr>
              <w:t>Capital base</w:t>
            </w:r>
            <w:r w:rsidR="00CA12AF">
              <w:rPr>
                <w:webHidden/>
              </w:rPr>
              <w:tab/>
            </w:r>
            <w:r w:rsidR="00CA12AF">
              <w:rPr>
                <w:webHidden/>
              </w:rPr>
              <w:fldChar w:fldCharType="begin"/>
            </w:r>
            <w:r w:rsidR="00CA12AF">
              <w:rPr>
                <w:webHidden/>
              </w:rPr>
              <w:instrText xml:space="preserve"> PAGEREF _Toc486846631 \h </w:instrText>
            </w:r>
            <w:r w:rsidR="00CA12AF">
              <w:rPr>
                <w:webHidden/>
              </w:rPr>
            </w:r>
            <w:r w:rsidR="00CA12AF">
              <w:rPr>
                <w:webHidden/>
              </w:rPr>
              <w:fldChar w:fldCharType="separate"/>
            </w:r>
            <w:r>
              <w:rPr>
                <w:webHidden/>
              </w:rPr>
              <w:t>2-5</w:t>
            </w:r>
            <w:r w:rsidR="00CA12AF">
              <w:rPr>
                <w:webHidden/>
              </w:rPr>
              <w:fldChar w:fldCharType="end"/>
            </w:r>
          </w:hyperlink>
        </w:p>
        <w:p w:rsidR="00CA12AF" w:rsidRDefault="00996D16">
          <w:pPr>
            <w:pStyle w:val="TOC2"/>
            <w:rPr>
              <w:rFonts w:asciiTheme="minorHAnsi" w:eastAsiaTheme="minorEastAsia" w:hAnsiTheme="minorHAnsi"/>
              <w:b w:val="0"/>
              <w:color w:val="auto"/>
              <w:sz w:val="22"/>
              <w:lang w:eastAsia="en-AU"/>
            </w:rPr>
          </w:pPr>
          <w:hyperlink w:anchor="_Toc486846632" w:history="1">
            <w:r w:rsidR="00CA12AF" w:rsidRPr="00450A17">
              <w:rPr>
                <w:rStyle w:val="Hyperlink"/>
              </w:rPr>
              <w:t>2.1</w:t>
            </w:r>
            <w:r w:rsidR="00CA12AF">
              <w:rPr>
                <w:rFonts w:asciiTheme="minorHAnsi" w:eastAsiaTheme="minorEastAsia" w:hAnsiTheme="minorHAnsi"/>
                <w:b w:val="0"/>
                <w:color w:val="auto"/>
                <w:sz w:val="22"/>
                <w:lang w:eastAsia="en-AU"/>
              </w:rPr>
              <w:tab/>
            </w:r>
            <w:r w:rsidR="00CA12AF" w:rsidRPr="00450A17">
              <w:rPr>
                <w:rStyle w:val="Hyperlink"/>
              </w:rPr>
              <w:t>Draft decision</w:t>
            </w:r>
            <w:r w:rsidR="00CA12AF">
              <w:rPr>
                <w:webHidden/>
              </w:rPr>
              <w:tab/>
            </w:r>
            <w:r w:rsidR="00CA12AF">
              <w:rPr>
                <w:webHidden/>
              </w:rPr>
              <w:fldChar w:fldCharType="begin"/>
            </w:r>
            <w:r w:rsidR="00CA12AF">
              <w:rPr>
                <w:webHidden/>
              </w:rPr>
              <w:instrText xml:space="preserve"> PAGEREF _Toc486846632 \h </w:instrText>
            </w:r>
            <w:r w:rsidR="00CA12AF">
              <w:rPr>
                <w:webHidden/>
              </w:rPr>
            </w:r>
            <w:r w:rsidR="00CA12AF">
              <w:rPr>
                <w:webHidden/>
              </w:rPr>
              <w:fldChar w:fldCharType="separate"/>
            </w:r>
            <w:r>
              <w:rPr>
                <w:webHidden/>
              </w:rPr>
              <w:t>2-5</w:t>
            </w:r>
            <w:r w:rsidR="00CA12AF">
              <w:rPr>
                <w:webHidden/>
              </w:rPr>
              <w:fldChar w:fldCharType="end"/>
            </w:r>
          </w:hyperlink>
        </w:p>
        <w:p w:rsidR="00CA12AF" w:rsidRDefault="00996D16">
          <w:pPr>
            <w:pStyle w:val="TOC2"/>
            <w:rPr>
              <w:rFonts w:asciiTheme="minorHAnsi" w:eastAsiaTheme="minorEastAsia" w:hAnsiTheme="minorHAnsi"/>
              <w:b w:val="0"/>
              <w:color w:val="auto"/>
              <w:sz w:val="22"/>
              <w:lang w:eastAsia="en-AU"/>
            </w:rPr>
          </w:pPr>
          <w:hyperlink w:anchor="_Toc486846633" w:history="1">
            <w:r w:rsidR="00CA12AF" w:rsidRPr="00450A17">
              <w:rPr>
                <w:rStyle w:val="Hyperlink"/>
              </w:rPr>
              <w:t>2.2</w:t>
            </w:r>
            <w:r w:rsidR="00CA12AF">
              <w:rPr>
                <w:rFonts w:asciiTheme="minorHAnsi" w:eastAsiaTheme="minorEastAsia" w:hAnsiTheme="minorHAnsi"/>
                <w:b w:val="0"/>
                <w:color w:val="auto"/>
                <w:sz w:val="22"/>
                <w:lang w:eastAsia="en-AU"/>
              </w:rPr>
              <w:tab/>
            </w:r>
            <w:r w:rsidR="00CA12AF" w:rsidRPr="00450A17">
              <w:rPr>
                <w:rStyle w:val="Hyperlink"/>
              </w:rPr>
              <w:t>APTPPL's proposal</w:t>
            </w:r>
            <w:r w:rsidR="00CA12AF">
              <w:rPr>
                <w:webHidden/>
              </w:rPr>
              <w:tab/>
            </w:r>
            <w:r w:rsidR="00CA12AF">
              <w:rPr>
                <w:webHidden/>
              </w:rPr>
              <w:fldChar w:fldCharType="begin"/>
            </w:r>
            <w:r w:rsidR="00CA12AF">
              <w:rPr>
                <w:webHidden/>
              </w:rPr>
              <w:instrText xml:space="preserve"> PAGEREF _Toc486846633 \h </w:instrText>
            </w:r>
            <w:r w:rsidR="00CA12AF">
              <w:rPr>
                <w:webHidden/>
              </w:rPr>
            </w:r>
            <w:r w:rsidR="00CA12AF">
              <w:rPr>
                <w:webHidden/>
              </w:rPr>
              <w:fldChar w:fldCharType="separate"/>
            </w:r>
            <w:r>
              <w:rPr>
                <w:webHidden/>
              </w:rPr>
              <w:t>2-7</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34" w:history="1">
            <w:r w:rsidR="00CA12AF" w:rsidRPr="00450A17">
              <w:rPr>
                <w:rStyle w:val="Hyperlink"/>
              </w:rPr>
              <w:t>2.2.1</w:t>
            </w:r>
            <w:r w:rsidR="00CA12AF">
              <w:rPr>
                <w:rFonts w:asciiTheme="minorHAnsi" w:eastAsiaTheme="minorEastAsia" w:hAnsiTheme="minorHAnsi"/>
                <w:lang w:eastAsia="en-AU"/>
              </w:rPr>
              <w:tab/>
            </w:r>
            <w:r w:rsidR="00CA12AF" w:rsidRPr="00450A17">
              <w:rPr>
                <w:rStyle w:val="Hyperlink"/>
              </w:rPr>
              <w:t>Opening capital base as at 1 July 2017</w:t>
            </w:r>
            <w:r w:rsidR="00CA12AF">
              <w:rPr>
                <w:webHidden/>
              </w:rPr>
              <w:tab/>
            </w:r>
            <w:r w:rsidR="00CA12AF">
              <w:rPr>
                <w:webHidden/>
              </w:rPr>
              <w:fldChar w:fldCharType="begin"/>
            </w:r>
            <w:r w:rsidR="00CA12AF">
              <w:rPr>
                <w:webHidden/>
              </w:rPr>
              <w:instrText xml:space="preserve"> PAGEREF _Toc486846634 \h </w:instrText>
            </w:r>
            <w:r w:rsidR="00CA12AF">
              <w:rPr>
                <w:webHidden/>
              </w:rPr>
            </w:r>
            <w:r w:rsidR="00CA12AF">
              <w:rPr>
                <w:webHidden/>
              </w:rPr>
              <w:fldChar w:fldCharType="separate"/>
            </w:r>
            <w:r>
              <w:rPr>
                <w:webHidden/>
              </w:rPr>
              <w:t>2-7</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35" w:history="1">
            <w:r w:rsidR="00CA12AF" w:rsidRPr="00450A17">
              <w:rPr>
                <w:rStyle w:val="Hyperlink"/>
              </w:rPr>
              <w:t>2.2.2</w:t>
            </w:r>
            <w:r w:rsidR="00CA12AF">
              <w:rPr>
                <w:rFonts w:asciiTheme="minorHAnsi" w:eastAsiaTheme="minorEastAsia" w:hAnsiTheme="minorHAnsi"/>
                <w:lang w:eastAsia="en-AU"/>
              </w:rPr>
              <w:tab/>
            </w:r>
            <w:r w:rsidR="00CA12AF" w:rsidRPr="00450A17">
              <w:rPr>
                <w:rStyle w:val="Hyperlink"/>
              </w:rPr>
              <w:t>Projected capital base over the 2017–22 access arrangement period</w:t>
            </w:r>
            <w:r w:rsidR="00CA12AF">
              <w:rPr>
                <w:webHidden/>
              </w:rPr>
              <w:tab/>
            </w:r>
            <w:r w:rsidR="00EE0DFC">
              <w:rPr>
                <w:webHidden/>
              </w:rPr>
              <w:tab/>
            </w:r>
            <w:r w:rsidR="00CA12AF">
              <w:rPr>
                <w:webHidden/>
              </w:rPr>
              <w:fldChar w:fldCharType="begin"/>
            </w:r>
            <w:r w:rsidR="00CA12AF">
              <w:rPr>
                <w:webHidden/>
              </w:rPr>
              <w:instrText xml:space="preserve"> PAGEREF _Toc486846635 \h </w:instrText>
            </w:r>
            <w:r w:rsidR="00CA12AF">
              <w:rPr>
                <w:webHidden/>
              </w:rPr>
            </w:r>
            <w:r w:rsidR="00CA12AF">
              <w:rPr>
                <w:webHidden/>
              </w:rPr>
              <w:fldChar w:fldCharType="separate"/>
            </w:r>
            <w:r>
              <w:rPr>
                <w:webHidden/>
              </w:rPr>
              <w:t>2-8</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36" w:history="1">
            <w:r w:rsidR="00CA12AF" w:rsidRPr="00450A17">
              <w:rPr>
                <w:rStyle w:val="Hyperlink"/>
              </w:rPr>
              <w:t>2.2.3</w:t>
            </w:r>
            <w:r w:rsidR="00CA12AF">
              <w:rPr>
                <w:rFonts w:asciiTheme="minorHAnsi" w:eastAsiaTheme="minorEastAsia" w:hAnsiTheme="minorHAnsi"/>
                <w:lang w:eastAsia="en-AU"/>
              </w:rPr>
              <w:tab/>
            </w:r>
            <w:r w:rsidR="00CA12AF" w:rsidRPr="00450A17">
              <w:rPr>
                <w:rStyle w:val="Hyperlink"/>
              </w:rPr>
              <w:t>Capital base at the commencement of the 2022–27 access arrangement period</w:t>
            </w:r>
            <w:r w:rsidR="00CA12AF">
              <w:rPr>
                <w:webHidden/>
              </w:rPr>
              <w:tab/>
            </w:r>
            <w:r w:rsidR="00CA12AF">
              <w:rPr>
                <w:webHidden/>
              </w:rPr>
              <w:fldChar w:fldCharType="begin"/>
            </w:r>
            <w:r w:rsidR="00CA12AF">
              <w:rPr>
                <w:webHidden/>
              </w:rPr>
              <w:instrText xml:space="preserve"> PAGEREF _Toc486846636 \h </w:instrText>
            </w:r>
            <w:r w:rsidR="00CA12AF">
              <w:rPr>
                <w:webHidden/>
              </w:rPr>
            </w:r>
            <w:r w:rsidR="00CA12AF">
              <w:rPr>
                <w:webHidden/>
              </w:rPr>
              <w:fldChar w:fldCharType="separate"/>
            </w:r>
            <w:r>
              <w:rPr>
                <w:webHidden/>
              </w:rPr>
              <w:t>2-9</w:t>
            </w:r>
            <w:r w:rsidR="00CA12AF">
              <w:rPr>
                <w:webHidden/>
              </w:rPr>
              <w:fldChar w:fldCharType="end"/>
            </w:r>
          </w:hyperlink>
        </w:p>
        <w:p w:rsidR="00CA12AF" w:rsidRDefault="00996D16">
          <w:pPr>
            <w:pStyle w:val="TOC2"/>
            <w:rPr>
              <w:rFonts w:asciiTheme="minorHAnsi" w:eastAsiaTheme="minorEastAsia" w:hAnsiTheme="minorHAnsi"/>
              <w:b w:val="0"/>
              <w:color w:val="auto"/>
              <w:sz w:val="22"/>
              <w:lang w:eastAsia="en-AU"/>
            </w:rPr>
          </w:pPr>
          <w:hyperlink w:anchor="_Toc486846637" w:history="1">
            <w:r w:rsidR="00CA12AF" w:rsidRPr="00450A17">
              <w:rPr>
                <w:rStyle w:val="Hyperlink"/>
              </w:rPr>
              <w:t>2.3</w:t>
            </w:r>
            <w:r w:rsidR="00CA12AF">
              <w:rPr>
                <w:rFonts w:asciiTheme="minorHAnsi" w:eastAsiaTheme="minorEastAsia" w:hAnsiTheme="minorHAnsi"/>
                <w:b w:val="0"/>
                <w:color w:val="auto"/>
                <w:sz w:val="22"/>
                <w:lang w:eastAsia="en-AU"/>
              </w:rPr>
              <w:tab/>
            </w:r>
            <w:r w:rsidR="00CA12AF" w:rsidRPr="00450A17">
              <w:rPr>
                <w:rStyle w:val="Hyperlink"/>
              </w:rPr>
              <w:t>AER’s assessment approach</w:t>
            </w:r>
            <w:r w:rsidR="00CA12AF">
              <w:rPr>
                <w:webHidden/>
              </w:rPr>
              <w:tab/>
            </w:r>
            <w:r w:rsidR="00CA12AF">
              <w:rPr>
                <w:webHidden/>
              </w:rPr>
              <w:fldChar w:fldCharType="begin"/>
            </w:r>
            <w:r w:rsidR="00CA12AF">
              <w:rPr>
                <w:webHidden/>
              </w:rPr>
              <w:instrText xml:space="preserve"> PAGEREF _Toc486846637 \h </w:instrText>
            </w:r>
            <w:r w:rsidR="00CA12AF">
              <w:rPr>
                <w:webHidden/>
              </w:rPr>
            </w:r>
            <w:r w:rsidR="00CA12AF">
              <w:rPr>
                <w:webHidden/>
              </w:rPr>
              <w:fldChar w:fldCharType="separate"/>
            </w:r>
            <w:r>
              <w:rPr>
                <w:webHidden/>
              </w:rPr>
              <w:t>2-9</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38" w:history="1">
            <w:r w:rsidR="00CA12AF" w:rsidRPr="00450A17">
              <w:rPr>
                <w:rStyle w:val="Hyperlink"/>
              </w:rPr>
              <w:t>2.3.1</w:t>
            </w:r>
            <w:r w:rsidR="00CA12AF">
              <w:rPr>
                <w:rFonts w:asciiTheme="minorHAnsi" w:eastAsiaTheme="minorEastAsia" w:hAnsiTheme="minorHAnsi"/>
                <w:lang w:eastAsia="en-AU"/>
              </w:rPr>
              <w:tab/>
            </w:r>
            <w:r w:rsidR="00CA12AF" w:rsidRPr="00450A17">
              <w:rPr>
                <w:rStyle w:val="Hyperlink"/>
              </w:rPr>
              <w:t>Interrelationships</w:t>
            </w:r>
            <w:r w:rsidR="00CA12AF">
              <w:rPr>
                <w:webHidden/>
              </w:rPr>
              <w:tab/>
            </w:r>
            <w:r w:rsidR="00CA12AF">
              <w:rPr>
                <w:webHidden/>
              </w:rPr>
              <w:fldChar w:fldCharType="begin"/>
            </w:r>
            <w:r w:rsidR="00CA12AF">
              <w:rPr>
                <w:webHidden/>
              </w:rPr>
              <w:instrText xml:space="preserve"> PAGEREF _Toc486846638 \h </w:instrText>
            </w:r>
            <w:r w:rsidR="00CA12AF">
              <w:rPr>
                <w:webHidden/>
              </w:rPr>
            </w:r>
            <w:r w:rsidR="00CA12AF">
              <w:rPr>
                <w:webHidden/>
              </w:rPr>
              <w:fldChar w:fldCharType="separate"/>
            </w:r>
            <w:r>
              <w:rPr>
                <w:webHidden/>
              </w:rPr>
              <w:t>2-10</w:t>
            </w:r>
            <w:r w:rsidR="00CA12AF">
              <w:rPr>
                <w:webHidden/>
              </w:rPr>
              <w:fldChar w:fldCharType="end"/>
            </w:r>
          </w:hyperlink>
        </w:p>
        <w:p w:rsidR="00CA12AF" w:rsidRDefault="00996D16">
          <w:pPr>
            <w:pStyle w:val="TOC2"/>
            <w:rPr>
              <w:rFonts w:asciiTheme="minorHAnsi" w:eastAsiaTheme="minorEastAsia" w:hAnsiTheme="minorHAnsi"/>
              <w:b w:val="0"/>
              <w:color w:val="auto"/>
              <w:sz w:val="22"/>
              <w:lang w:eastAsia="en-AU"/>
            </w:rPr>
          </w:pPr>
          <w:hyperlink w:anchor="_Toc486846639" w:history="1">
            <w:r w:rsidR="00CA12AF" w:rsidRPr="00450A17">
              <w:rPr>
                <w:rStyle w:val="Hyperlink"/>
              </w:rPr>
              <w:t>2.4</w:t>
            </w:r>
            <w:r w:rsidR="00CA12AF">
              <w:rPr>
                <w:rFonts w:asciiTheme="minorHAnsi" w:eastAsiaTheme="minorEastAsia" w:hAnsiTheme="minorHAnsi"/>
                <w:b w:val="0"/>
                <w:color w:val="auto"/>
                <w:sz w:val="22"/>
                <w:lang w:eastAsia="en-AU"/>
              </w:rPr>
              <w:tab/>
            </w:r>
            <w:r w:rsidR="00CA12AF" w:rsidRPr="00450A17">
              <w:rPr>
                <w:rStyle w:val="Hyperlink"/>
              </w:rPr>
              <w:t>Reasons for draft decision</w:t>
            </w:r>
            <w:r w:rsidR="00CA12AF">
              <w:rPr>
                <w:webHidden/>
              </w:rPr>
              <w:tab/>
            </w:r>
            <w:r w:rsidR="00CA12AF">
              <w:rPr>
                <w:webHidden/>
              </w:rPr>
              <w:fldChar w:fldCharType="begin"/>
            </w:r>
            <w:r w:rsidR="00CA12AF">
              <w:rPr>
                <w:webHidden/>
              </w:rPr>
              <w:instrText xml:space="preserve"> PAGEREF _Toc486846639 \h </w:instrText>
            </w:r>
            <w:r w:rsidR="00CA12AF">
              <w:rPr>
                <w:webHidden/>
              </w:rPr>
            </w:r>
            <w:r w:rsidR="00CA12AF">
              <w:rPr>
                <w:webHidden/>
              </w:rPr>
              <w:fldChar w:fldCharType="separate"/>
            </w:r>
            <w:r>
              <w:rPr>
                <w:webHidden/>
              </w:rPr>
              <w:t>2-12</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0" w:history="1">
            <w:r w:rsidR="00CA12AF" w:rsidRPr="00450A17">
              <w:rPr>
                <w:rStyle w:val="Hyperlink"/>
              </w:rPr>
              <w:t>2.4.1</w:t>
            </w:r>
            <w:r w:rsidR="00CA12AF">
              <w:rPr>
                <w:rFonts w:asciiTheme="minorHAnsi" w:eastAsiaTheme="minorEastAsia" w:hAnsiTheme="minorHAnsi"/>
                <w:lang w:eastAsia="en-AU"/>
              </w:rPr>
              <w:tab/>
            </w:r>
            <w:r w:rsidR="00CA12AF" w:rsidRPr="00450A17">
              <w:rPr>
                <w:rStyle w:val="Hyperlink"/>
              </w:rPr>
              <w:t>Asset class consolidation</w:t>
            </w:r>
            <w:r w:rsidR="00CA12AF">
              <w:rPr>
                <w:webHidden/>
              </w:rPr>
              <w:tab/>
            </w:r>
            <w:r w:rsidR="00CA12AF">
              <w:rPr>
                <w:webHidden/>
              </w:rPr>
              <w:fldChar w:fldCharType="begin"/>
            </w:r>
            <w:r w:rsidR="00CA12AF">
              <w:rPr>
                <w:webHidden/>
              </w:rPr>
              <w:instrText xml:space="preserve"> PAGEREF _Toc486846640 \h </w:instrText>
            </w:r>
            <w:r w:rsidR="00CA12AF">
              <w:rPr>
                <w:webHidden/>
              </w:rPr>
            </w:r>
            <w:r w:rsidR="00CA12AF">
              <w:rPr>
                <w:webHidden/>
              </w:rPr>
              <w:fldChar w:fldCharType="separate"/>
            </w:r>
            <w:r>
              <w:rPr>
                <w:webHidden/>
              </w:rPr>
              <w:t>2-13</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1" w:history="1">
            <w:r w:rsidR="00CA12AF" w:rsidRPr="00450A17">
              <w:rPr>
                <w:rStyle w:val="Hyperlink"/>
              </w:rPr>
              <w:t>RBP8 allocation to consolidated asset classes</w:t>
            </w:r>
            <w:r w:rsidR="00CA12AF">
              <w:rPr>
                <w:webHidden/>
              </w:rPr>
              <w:tab/>
            </w:r>
            <w:r w:rsidR="00CA12AF">
              <w:rPr>
                <w:webHidden/>
              </w:rPr>
              <w:fldChar w:fldCharType="begin"/>
            </w:r>
            <w:r w:rsidR="00CA12AF">
              <w:rPr>
                <w:webHidden/>
              </w:rPr>
              <w:instrText xml:space="preserve"> PAGEREF _Toc486846641 \h </w:instrText>
            </w:r>
            <w:r w:rsidR="00CA12AF">
              <w:rPr>
                <w:webHidden/>
              </w:rPr>
            </w:r>
            <w:r w:rsidR="00CA12AF">
              <w:rPr>
                <w:webHidden/>
              </w:rPr>
              <w:fldChar w:fldCharType="separate"/>
            </w:r>
            <w:r>
              <w:rPr>
                <w:webHidden/>
              </w:rPr>
              <w:t>2-13</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2" w:history="1">
            <w:r w:rsidR="00CA12AF" w:rsidRPr="00450A17">
              <w:rPr>
                <w:rStyle w:val="Hyperlink"/>
              </w:rPr>
              <w:t>2.4.2</w:t>
            </w:r>
            <w:r w:rsidR="00CA12AF">
              <w:rPr>
                <w:rFonts w:asciiTheme="minorHAnsi" w:eastAsiaTheme="minorEastAsia" w:hAnsiTheme="minorHAnsi"/>
                <w:lang w:eastAsia="en-AU"/>
              </w:rPr>
              <w:tab/>
            </w:r>
            <w:r w:rsidR="00CA12AF" w:rsidRPr="00450A17">
              <w:rPr>
                <w:rStyle w:val="Hyperlink"/>
              </w:rPr>
              <w:t>Roll forward of the capital base during the 2012–17 access arrangement period</w:t>
            </w:r>
            <w:r w:rsidR="00CA12AF">
              <w:rPr>
                <w:webHidden/>
              </w:rPr>
              <w:tab/>
            </w:r>
            <w:r w:rsidR="00CA12AF">
              <w:rPr>
                <w:webHidden/>
              </w:rPr>
              <w:fldChar w:fldCharType="begin"/>
            </w:r>
            <w:r w:rsidR="00CA12AF">
              <w:rPr>
                <w:webHidden/>
              </w:rPr>
              <w:instrText xml:space="preserve"> PAGEREF _Toc486846642 \h </w:instrText>
            </w:r>
            <w:r w:rsidR="00CA12AF">
              <w:rPr>
                <w:webHidden/>
              </w:rPr>
            </w:r>
            <w:r w:rsidR="00CA12AF">
              <w:rPr>
                <w:webHidden/>
              </w:rPr>
              <w:fldChar w:fldCharType="separate"/>
            </w:r>
            <w:r>
              <w:rPr>
                <w:webHidden/>
              </w:rPr>
              <w:t>2-16</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3" w:history="1">
            <w:r w:rsidR="00CA12AF" w:rsidRPr="00450A17">
              <w:rPr>
                <w:rStyle w:val="Hyperlink"/>
              </w:rPr>
              <w:t>Adjustments for difference between actual and estimated capex in 2011–12</w:t>
            </w:r>
            <w:r w:rsidR="00EE0DFC">
              <w:rPr>
                <w:rStyle w:val="Hyperlink"/>
              </w:rPr>
              <w:tab/>
            </w:r>
            <w:r w:rsidR="00EE0DFC">
              <w:rPr>
                <w:rStyle w:val="Hyperlink"/>
              </w:rPr>
              <w:tab/>
            </w:r>
            <w:r w:rsidR="00CA12AF">
              <w:rPr>
                <w:webHidden/>
              </w:rPr>
              <w:tab/>
            </w:r>
            <w:r w:rsidR="00CA12AF">
              <w:rPr>
                <w:webHidden/>
              </w:rPr>
              <w:fldChar w:fldCharType="begin"/>
            </w:r>
            <w:r w:rsidR="00CA12AF">
              <w:rPr>
                <w:webHidden/>
              </w:rPr>
              <w:instrText xml:space="preserve"> PAGEREF _Toc486846643 \h </w:instrText>
            </w:r>
            <w:r w:rsidR="00CA12AF">
              <w:rPr>
                <w:webHidden/>
              </w:rPr>
            </w:r>
            <w:r w:rsidR="00CA12AF">
              <w:rPr>
                <w:webHidden/>
              </w:rPr>
              <w:fldChar w:fldCharType="separate"/>
            </w:r>
            <w:r>
              <w:rPr>
                <w:webHidden/>
              </w:rPr>
              <w:t>2-18</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4" w:history="1">
            <w:r w:rsidR="00CA12AF" w:rsidRPr="00450A17">
              <w:rPr>
                <w:rStyle w:val="Hyperlink"/>
              </w:rPr>
              <w:t>Conforming capital expenditure in 2011–12 and the 2012–17 access arrangement period</w:t>
            </w:r>
            <w:r w:rsidR="00CA12AF">
              <w:rPr>
                <w:webHidden/>
              </w:rPr>
              <w:tab/>
            </w:r>
            <w:r w:rsidR="00CA12AF">
              <w:rPr>
                <w:webHidden/>
              </w:rPr>
              <w:fldChar w:fldCharType="begin"/>
            </w:r>
            <w:r w:rsidR="00CA12AF">
              <w:rPr>
                <w:webHidden/>
              </w:rPr>
              <w:instrText xml:space="preserve"> PAGEREF _Toc486846644 \h </w:instrText>
            </w:r>
            <w:r w:rsidR="00CA12AF">
              <w:rPr>
                <w:webHidden/>
              </w:rPr>
            </w:r>
            <w:r w:rsidR="00CA12AF">
              <w:rPr>
                <w:webHidden/>
              </w:rPr>
              <w:fldChar w:fldCharType="separate"/>
            </w:r>
            <w:r>
              <w:rPr>
                <w:webHidden/>
              </w:rPr>
              <w:t>2-21</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5" w:history="1">
            <w:r w:rsidR="00CA12AF" w:rsidRPr="00450A17">
              <w:rPr>
                <w:rStyle w:val="Hyperlink"/>
              </w:rPr>
              <w:t>Depreciation used in the 2012–17 access arrangement period</w:t>
            </w:r>
            <w:r w:rsidR="00CA12AF">
              <w:rPr>
                <w:webHidden/>
              </w:rPr>
              <w:tab/>
            </w:r>
            <w:r w:rsidR="00CA12AF">
              <w:rPr>
                <w:webHidden/>
              </w:rPr>
              <w:fldChar w:fldCharType="begin"/>
            </w:r>
            <w:r w:rsidR="00CA12AF">
              <w:rPr>
                <w:webHidden/>
              </w:rPr>
              <w:instrText xml:space="preserve"> PAGEREF _Toc486846645 \h </w:instrText>
            </w:r>
            <w:r w:rsidR="00CA12AF">
              <w:rPr>
                <w:webHidden/>
              </w:rPr>
            </w:r>
            <w:r w:rsidR="00CA12AF">
              <w:rPr>
                <w:webHidden/>
              </w:rPr>
              <w:fldChar w:fldCharType="separate"/>
            </w:r>
            <w:r>
              <w:rPr>
                <w:webHidden/>
              </w:rPr>
              <w:t>2-21</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6" w:history="1">
            <w:r w:rsidR="00CA12AF" w:rsidRPr="00450A17">
              <w:rPr>
                <w:rStyle w:val="Hyperlink"/>
              </w:rPr>
              <w:t>2.4.3</w:t>
            </w:r>
            <w:r w:rsidR="00CA12AF">
              <w:rPr>
                <w:rFonts w:asciiTheme="minorHAnsi" w:eastAsiaTheme="minorEastAsia" w:hAnsiTheme="minorHAnsi"/>
                <w:lang w:eastAsia="en-AU"/>
              </w:rPr>
              <w:tab/>
            </w:r>
            <w:r w:rsidR="00CA12AF" w:rsidRPr="00450A17">
              <w:rPr>
                <w:rStyle w:val="Hyperlink"/>
              </w:rPr>
              <w:t>Projected capital base during the 2017–22 access arrangement period</w:t>
            </w:r>
            <w:r w:rsidR="00CA12AF">
              <w:rPr>
                <w:webHidden/>
              </w:rPr>
              <w:tab/>
            </w:r>
            <w:r w:rsidR="00EE0DFC">
              <w:rPr>
                <w:webHidden/>
              </w:rPr>
              <w:tab/>
            </w:r>
            <w:r w:rsidR="00CA12AF">
              <w:rPr>
                <w:webHidden/>
              </w:rPr>
              <w:fldChar w:fldCharType="begin"/>
            </w:r>
            <w:r w:rsidR="00CA12AF">
              <w:rPr>
                <w:webHidden/>
              </w:rPr>
              <w:instrText xml:space="preserve"> PAGEREF _Toc486846646 \h </w:instrText>
            </w:r>
            <w:r w:rsidR="00CA12AF">
              <w:rPr>
                <w:webHidden/>
              </w:rPr>
            </w:r>
            <w:r w:rsidR="00CA12AF">
              <w:rPr>
                <w:webHidden/>
              </w:rPr>
              <w:fldChar w:fldCharType="separate"/>
            </w:r>
            <w:r>
              <w:rPr>
                <w:webHidden/>
              </w:rPr>
              <w:t>2-23</w:t>
            </w:r>
            <w:r w:rsidR="00CA12AF">
              <w:rPr>
                <w:webHidden/>
              </w:rPr>
              <w:fldChar w:fldCharType="end"/>
            </w:r>
          </w:hyperlink>
        </w:p>
        <w:p w:rsidR="00CA12AF" w:rsidRDefault="00996D16">
          <w:pPr>
            <w:pStyle w:val="TOC3"/>
            <w:rPr>
              <w:rFonts w:asciiTheme="minorHAnsi" w:eastAsiaTheme="minorEastAsia" w:hAnsiTheme="minorHAnsi"/>
              <w:lang w:eastAsia="en-AU"/>
            </w:rPr>
          </w:pPr>
          <w:hyperlink w:anchor="_Toc486846647" w:history="1">
            <w:r w:rsidR="00CA12AF" w:rsidRPr="00450A17">
              <w:rPr>
                <w:rStyle w:val="Hyperlink"/>
              </w:rPr>
              <w:t>2.4.4</w:t>
            </w:r>
            <w:r w:rsidR="00CA12AF">
              <w:rPr>
                <w:rFonts w:asciiTheme="minorHAnsi" w:eastAsiaTheme="minorEastAsia" w:hAnsiTheme="minorHAnsi"/>
                <w:lang w:eastAsia="en-AU"/>
              </w:rPr>
              <w:tab/>
            </w:r>
            <w:r w:rsidR="00CA12AF" w:rsidRPr="00450A17">
              <w:rPr>
                <w:rStyle w:val="Hyperlink"/>
              </w:rPr>
              <w:t>Capital base at the commencement of the 2022–27 access arrangement period</w:t>
            </w:r>
            <w:r w:rsidR="00CA12AF">
              <w:rPr>
                <w:webHidden/>
              </w:rPr>
              <w:tab/>
            </w:r>
            <w:r w:rsidR="00CA12AF">
              <w:rPr>
                <w:webHidden/>
              </w:rPr>
              <w:fldChar w:fldCharType="begin"/>
            </w:r>
            <w:r w:rsidR="00CA12AF">
              <w:rPr>
                <w:webHidden/>
              </w:rPr>
              <w:instrText xml:space="preserve"> PAGEREF _Toc486846647 \h </w:instrText>
            </w:r>
            <w:r w:rsidR="00CA12AF">
              <w:rPr>
                <w:webHidden/>
              </w:rPr>
            </w:r>
            <w:r w:rsidR="00CA12AF">
              <w:rPr>
                <w:webHidden/>
              </w:rPr>
              <w:fldChar w:fldCharType="separate"/>
            </w:r>
            <w:r>
              <w:rPr>
                <w:webHidden/>
              </w:rPr>
              <w:t>2-24</w:t>
            </w:r>
            <w:r w:rsidR="00CA12AF">
              <w:rPr>
                <w:webHidden/>
              </w:rPr>
              <w:fldChar w:fldCharType="end"/>
            </w:r>
          </w:hyperlink>
        </w:p>
        <w:p w:rsidR="00CA12AF" w:rsidRDefault="00996D16">
          <w:pPr>
            <w:pStyle w:val="TOC2"/>
            <w:rPr>
              <w:rFonts w:asciiTheme="minorHAnsi" w:eastAsiaTheme="minorEastAsia" w:hAnsiTheme="minorHAnsi"/>
              <w:b w:val="0"/>
              <w:color w:val="auto"/>
              <w:sz w:val="22"/>
              <w:lang w:eastAsia="en-AU"/>
            </w:rPr>
          </w:pPr>
          <w:hyperlink w:anchor="_Toc486846648" w:history="1">
            <w:r w:rsidR="00CA12AF" w:rsidRPr="00450A17">
              <w:rPr>
                <w:rStyle w:val="Hyperlink"/>
              </w:rPr>
              <w:t>2.5</w:t>
            </w:r>
            <w:r w:rsidR="00CA12AF">
              <w:rPr>
                <w:rFonts w:asciiTheme="minorHAnsi" w:eastAsiaTheme="minorEastAsia" w:hAnsiTheme="minorHAnsi"/>
                <w:b w:val="0"/>
                <w:color w:val="auto"/>
                <w:sz w:val="22"/>
                <w:lang w:eastAsia="en-AU"/>
              </w:rPr>
              <w:tab/>
            </w:r>
            <w:r w:rsidR="00CA12AF" w:rsidRPr="00450A17">
              <w:rPr>
                <w:rStyle w:val="Hyperlink"/>
              </w:rPr>
              <w:t>Revisions</w:t>
            </w:r>
            <w:r w:rsidR="00CA12AF">
              <w:rPr>
                <w:webHidden/>
              </w:rPr>
              <w:tab/>
            </w:r>
            <w:r w:rsidR="00CA12AF">
              <w:rPr>
                <w:webHidden/>
              </w:rPr>
              <w:fldChar w:fldCharType="begin"/>
            </w:r>
            <w:r w:rsidR="00CA12AF">
              <w:rPr>
                <w:webHidden/>
              </w:rPr>
              <w:instrText xml:space="preserve"> PAGEREF _Toc486846648 \h </w:instrText>
            </w:r>
            <w:r w:rsidR="00CA12AF">
              <w:rPr>
                <w:webHidden/>
              </w:rPr>
            </w:r>
            <w:r w:rsidR="00CA12AF">
              <w:rPr>
                <w:webHidden/>
              </w:rPr>
              <w:fldChar w:fldCharType="separate"/>
            </w:r>
            <w:r>
              <w:rPr>
                <w:webHidden/>
              </w:rPr>
              <w:t>2-24</w:t>
            </w:r>
            <w:r w:rsidR="00CA12AF">
              <w:rPr>
                <w:webHidden/>
              </w:rPr>
              <w:fldChar w:fldCharType="end"/>
            </w:r>
          </w:hyperlink>
        </w:p>
        <w:p w:rsidR="00DE563D" w:rsidRDefault="00091B15" w:rsidP="00091B15">
          <w:pPr>
            <w:pStyle w:val="TOC1"/>
          </w:pPr>
          <w:r>
            <w:rPr>
              <w:color w:val="auto"/>
              <w:sz w:val="22"/>
            </w:rPr>
            <w:fldChar w:fldCharType="end"/>
          </w:r>
        </w:p>
      </w:sdtContent>
    </w:sdt>
    <w:p w:rsidR="00E7494F" w:rsidRDefault="00DE563D" w:rsidP="00A6764E">
      <w:pPr>
        <w:pStyle w:val="UnnumberedHeading"/>
      </w:pPr>
      <w:bookmarkStart w:id="7" w:name="_Toc404700925"/>
      <w:bookmarkStart w:id="8" w:name="_Toc486846630"/>
      <w:r>
        <w:t>Shortened forms</w:t>
      </w:r>
      <w:bookmarkEnd w:id="7"/>
      <w:bookmarkEnd w:id="8"/>
    </w:p>
    <w:tbl>
      <w:tblPr>
        <w:tblStyle w:val="AERtable-numbers"/>
        <w:tblW w:w="0" w:type="auto"/>
        <w:tblLook w:val="04A0" w:firstRow="1" w:lastRow="0" w:firstColumn="1" w:lastColumn="0" w:noHBand="0" w:noVBand="1"/>
      </w:tblPr>
      <w:tblGrid>
        <w:gridCol w:w="3652"/>
        <w:gridCol w:w="5040"/>
      </w:tblGrid>
      <w:tr w:rsidR="0035371A" w:rsidTr="00353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Shortened form</w:t>
            </w:r>
          </w:p>
        </w:tc>
        <w:tc>
          <w:tcPr>
            <w:tcW w:w="5040" w:type="dxa"/>
          </w:tcPr>
          <w:p w:rsidR="0035371A" w:rsidRDefault="0035371A" w:rsidP="0035371A">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AER</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ATO</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Australian Tax Office</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capex</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CAPM</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CESS</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CPI</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DRP</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ECM</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ERP</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Expenditure Guideline</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 xml:space="preserve">Expenditure Forecast </w:t>
            </w:r>
            <w:r w:rsidRPr="0035371A">
              <w:t>Assessment Guideline</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gamma</w:t>
            </w:r>
          </w:p>
        </w:tc>
        <w:tc>
          <w:tcPr>
            <w:tcW w:w="5040" w:type="dxa"/>
          </w:tcPr>
          <w:p w:rsidR="0035371A" w:rsidRPr="0035371A" w:rsidRDefault="0035371A" w:rsidP="0035371A">
            <w:pPr>
              <w:cnfStyle w:val="000000000000" w:firstRow="0" w:lastRow="0" w:firstColumn="0" w:lastColumn="0" w:oddVBand="0" w:evenVBand="0" w:oddHBand="0" w:evenHBand="0" w:firstRowFirstColumn="0" w:firstRowLastColumn="0" w:lastRowFirstColumn="0" w:lastRowLastColumn="0"/>
            </w:pPr>
            <w:r>
              <w:t>Value of Imputation Credits</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MRP</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NGL</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NGO</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NGR</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NPV</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net present value</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opex</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PTRM</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RBA</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RFM</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RIN</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RPP</w:t>
            </w:r>
          </w:p>
        </w:tc>
        <w:tc>
          <w:tcPr>
            <w:tcW w:w="5040" w:type="dxa"/>
          </w:tcPr>
          <w:p w:rsidR="0035371A" w:rsidRDefault="0035371A" w:rsidP="0035371A">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SLCAPM</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STTM</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Short Term Trading Market</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TAB</w:t>
            </w:r>
          </w:p>
        </w:tc>
        <w:tc>
          <w:tcPr>
            <w:tcW w:w="5040" w:type="dxa"/>
          </w:tcPr>
          <w:p w:rsidR="0035371A" w:rsidRPr="0035371A" w:rsidRDefault="0035371A" w:rsidP="0035371A">
            <w:pPr>
              <w:cnfStyle w:val="000000000000" w:firstRow="0" w:lastRow="0" w:firstColumn="0" w:lastColumn="0" w:oddVBand="0" w:evenVBand="0" w:oddHBand="0" w:evenHBand="0" w:firstRowFirstColumn="0" w:firstRowLastColumn="0" w:lastRowFirstColumn="0" w:lastRowLastColumn="0"/>
            </w:pPr>
            <w:r>
              <w:t>Tax asset base</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UAFG</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Unaccounted for gas</w:t>
            </w:r>
          </w:p>
        </w:tc>
      </w:tr>
      <w:tr w:rsidR="0035371A" w:rsidTr="0035371A">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WACC</w:t>
            </w:r>
          </w:p>
        </w:tc>
        <w:tc>
          <w:tcPr>
            <w:tcW w:w="5040" w:type="dxa"/>
          </w:tcPr>
          <w:p w:rsidR="0035371A" w:rsidRDefault="0035371A" w:rsidP="0035371A">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35371A" w:rsidTr="003537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5371A" w:rsidRDefault="0035371A" w:rsidP="0035371A">
            <w:pPr>
              <w:numPr>
                <w:ilvl w:val="0"/>
                <w:numId w:val="24"/>
              </w:numPr>
            </w:pPr>
            <w:r>
              <w:t>WPI</w:t>
            </w:r>
          </w:p>
        </w:tc>
        <w:tc>
          <w:tcPr>
            <w:tcW w:w="5040" w:type="dxa"/>
          </w:tcPr>
          <w:p w:rsidR="0035371A" w:rsidRPr="0035371A" w:rsidRDefault="0035371A" w:rsidP="0035371A">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B02165" w:rsidP="00B02165">
      <w:pPr>
        <w:pStyle w:val="Heading1"/>
      </w:pPr>
      <w:bookmarkStart w:id="9" w:name="_Toc486846631"/>
      <w:r>
        <w:t>Capital base</w:t>
      </w:r>
      <w:bookmarkEnd w:id="9"/>
    </w:p>
    <w:p w:rsidR="001905C9" w:rsidRPr="001905C9" w:rsidRDefault="001905C9" w:rsidP="001905C9">
      <w:r w:rsidRPr="001905C9">
        <w:t>The capital base roll forward accounts for the value of AP</w:t>
      </w:r>
      <w:r>
        <w:t xml:space="preserve">TPPL's Roma to Brisbane Pipeline (RBP) </w:t>
      </w:r>
      <w:r w:rsidRPr="001905C9">
        <w:t>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sidR="00B8462C">
        <w:rPr>
          <w:rStyle w:val="FootnoteReference"/>
        </w:rPr>
        <w:footnoteReference w:id="1"/>
      </w:r>
      <w:r w:rsidRPr="001905C9">
        <w:t xml:space="preserve"> Following this process, </w:t>
      </w:r>
      <w:r w:rsidR="002543E0">
        <w:t>we</w:t>
      </w:r>
      <w:r w:rsidRPr="001905C9">
        <w:t xml:space="preserve"> arrive at a closing value of the capital base at the end of the relevant year. The opening value of the capital base is used to determine the return of capital (regulatory depreciation) and return on capital building block allowances. </w:t>
      </w:r>
    </w:p>
    <w:p w:rsidR="001905C9" w:rsidRPr="001905C9" w:rsidRDefault="007F384C" w:rsidP="001905C9">
      <w:r>
        <w:t xml:space="preserve">This attachment </w:t>
      </w:r>
      <w:r w:rsidR="00D91021">
        <w:t>sets out</w:t>
      </w:r>
      <w:r>
        <w:t xml:space="preserve"> our draft decision</w:t>
      </w:r>
      <w:r w:rsidR="001905C9" w:rsidRPr="001905C9">
        <w:t xml:space="preserve"> on </w:t>
      </w:r>
      <w:r w:rsidR="007601BF">
        <w:t xml:space="preserve">APTPPL's </w:t>
      </w:r>
      <w:r w:rsidR="001905C9" w:rsidRPr="001905C9">
        <w:t>opening capital base as at 1 July 201</w:t>
      </w:r>
      <w:r w:rsidR="001905C9">
        <w:t>7</w:t>
      </w:r>
      <w:r w:rsidR="001905C9" w:rsidRPr="001905C9">
        <w:t xml:space="preserve"> for the 201</w:t>
      </w:r>
      <w:r w:rsidR="001905C9">
        <w:t>7</w:t>
      </w:r>
      <w:r w:rsidR="001905C9" w:rsidRPr="001905C9">
        <w:t>–2</w:t>
      </w:r>
      <w:r w:rsidR="001905C9">
        <w:t>2</w:t>
      </w:r>
      <w:r w:rsidR="001905C9" w:rsidRPr="001905C9">
        <w:t xml:space="preserve"> access arrangement period. </w:t>
      </w:r>
      <w:r>
        <w:t>It</w:t>
      </w:r>
      <w:r w:rsidR="001905C9" w:rsidRPr="001905C9">
        <w:t xml:space="preserve"> also </w:t>
      </w:r>
      <w:r w:rsidR="00D91021">
        <w:t>sets out</w:t>
      </w:r>
      <w:r>
        <w:t xml:space="preserve"> our draft</w:t>
      </w:r>
      <w:r w:rsidR="001905C9" w:rsidRPr="001905C9">
        <w:t xml:space="preserve"> decision on </w:t>
      </w:r>
      <w:r w:rsidR="007601BF">
        <w:t xml:space="preserve">APTPPL's </w:t>
      </w:r>
      <w:r w:rsidR="001905C9" w:rsidRPr="001905C9">
        <w:t>projected capital base for the 201</w:t>
      </w:r>
      <w:r w:rsidR="001905C9">
        <w:t>7</w:t>
      </w:r>
      <w:r w:rsidR="001905C9" w:rsidRPr="001905C9">
        <w:t>–2</w:t>
      </w:r>
      <w:r w:rsidR="001905C9">
        <w:t>2</w:t>
      </w:r>
      <w:r w:rsidR="001905C9" w:rsidRPr="001905C9">
        <w:t xml:space="preserve"> access arrangement period. </w:t>
      </w:r>
    </w:p>
    <w:p w:rsidR="000D15C2" w:rsidRDefault="00694DA7" w:rsidP="000D15C2">
      <w:pPr>
        <w:pStyle w:val="Heading2"/>
      </w:pPr>
      <w:bookmarkStart w:id="10" w:name="_Toc408404320"/>
      <w:bookmarkStart w:id="11" w:name="_Toc436036745"/>
      <w:bookmarkStart w:id="12" w:name="_Toc486846632"/>
      <w:r>
        <w:t>Draft</w:t>
      </w:r>
      <w:r w:rsidR="000D15C2" w:rsidRPr="0074565D">
        <w:t xml:space="preserve"> decision</w:t>
      </w:r>
      <w:bookmarkEnd w:id="10"/>
      <w:bookmarkEnd w:id="11"/>
      <w:bookmarkEnd w:id="12"/>
    </w:p>
    <w:p w:rsidR="001905C9" w:rsidRPr="001905C9" w:rsidRDefault="001905C9" w:rsidP="001905C9">
      <w:r w:rsidRPr="001905C9">
        <w:t xml:space="preserve">We do not approve </w:t>
      </w:r>
      <w:r w:rsidR="007601BF">
        <w:t>APTPPL's</w:t>
      </w:r>
      <w:r w:rsidRPr="001905C9">
        <w:t xml:space="preserve"> proposed opening capital base of $</w:t>
      </w:r>
      <w:r w:rsidR="009F1EBD">
        <w:t>451.5</w:t>
      </w:r>
      <w:r w:rsidRPr="001905C9">
        <w:t xml:space="preserve"> million ($nominal) as at 1 July 201</w:t>
      </w:r>
      <w:r>
        <w:t>7</w:t>
      </w:r>
      <w:r w:rsidRPr="001905C9">
        <w:t xml:space="preserve">. This is because we have made amendments to </w:t>
      </w:r>
      <w:r w:rsidR="00F61813" w:rsidRPr="001905C9">
        <w:t xml:space="preserve">several </w:t>
      </w:r>
      <w:r w:rsidR="00F61813">
        <w:t xml:space="preserve">inputs in </w:t>
      </w:r>
      <w:r>
        <w:t xml:space="preserve">the </w:t>
      </w:r>
      <w:r w:rsidR="00CB2EFE">
        <w:t xml:space="preserve">APTPPL's </w:t>
      </w:r>
      <w:r w:rsidRPr="001905C9">
        <w:t xml:space="preserve">proposed roll forward model (RFM). We also updated the </w:t>
      </w:r>
      <w:r w:rsidR="007318DF">
        <w:t xml:space="preserve">actual </w:t>
      </w:r>
      <w:r w:rsidRPr="001905C9">
        <w:t xml:space="preserve">conforming capex </w:t>
      </w:r>
      <w:r w:rsidR="007318DF">
        <w:t>for 2011</w:t>
      </w:r>
      <w:r w:rsidR="000B21CD">
        <w:t>–</w:t>
      </w:r>
      <w:r w:rsidR="007318DF">
        <w:t>12 to 2015</w:t>
      </w:r>
      <w:r w:rsidR="000B21CD">
        <w:t>–</w:t>
      </w:r>
      <w:r w:rsidR="007318DF">
        <w:t xml:space="preserve">16 and </w:t>
      </w:r>
      <w:r w:rsidRPr="001905C9">
        <w:t>estimate for 201</w:t>
      </w:r>
      <w:r>
        <w:t>6</w:t>
      </w:r>
      <w:r w:rsidRPr="001905C9">
        <w:t>–1</w:t>
      </w:r>
      <w:r>
        <w:t>7</w:t>
      </w:r>
      <w:r w:rsidRPr="001905C9">
        <w:t>, as discussed in attachment 6.</w:t>
      </w:r>
    </w:p>
    <w:p w:rsidR="001905C9" w:rsidRPr="001905C9" w:rsidRDefault="001905C9" w:rsidP="001905C9">
      <w:r w:rsidRPr="001905C9">
        <w:t>We determine an opening capital base of $</w:t>
      </w:r>
      <w:r w:rsidR="008928A4">
        <w:t>44</w:t>
      </w:r>
      <w:r w:rsidR="00694448">
        <w:t>4.0</w:t>
      </w:r>
      <w:r w:rsidRPr="001905C9">
        <w:t xml:space="preserve"> million ($nominal) as at 1 July 201</w:t>
      </w:r>
      <w:r>
        <w:t>7</w:t>
      </w:r>
      <w:r w:rsidRPr="001905C9">
        <w:t>, which is $</w:t>
      </w:r>
      <w:r w:rsidR="00694448">
        <w:t>7.5</w:t>
      </w:r>
      <w:r w:rsidRPr="001905C9">
        <w:t xml:space="preserve"> million ($nominal) l</w:t>
      </w:r>
      <w:r w:rsidR="00944DC0">
        <w:t>ower</w:t>
      </w:r>
      <w:r w:rsidRPr="001905C9">
        <w:t xml:space="preserve"> than that proposed by APT</w:t>
      </w:r>
      <w:r>
        <w:t>PPL</w:t>
      </w:r>
      <w:r w:rsidRPr="001905C9">
        <w:t xml:space="preserve">, a reduction of </w:t>
      </w:r>
      <w:r w:rsidR="008928A4">
        <w:t>1.</w:t>
      </w:r>
      <w:r w:rsidR="00694448">
        <w:t>7</w:t>
      </w:r>
      <w:r w:rsidRPr="001905C9">
        <w:t xml:space="preserve"> per cent. </w:t>
      </w:r>
    </w:p>
    <w:p w:rsidR="001905C9" w:rsidRDefault="0035371A" w:rsidP="001905C9">
      <w:r>
        <w:fldChar w:fldCharType="begin"/>
      </w:r>
      <w:r>
        <w:instrText xml:space="preserve"> REF _Ref485826180 \h </w:instrText>
      </w:r>
      <w:r>
        <w:fldChar w:fldCharType="separate"/>
      </w:r>
      <w:r w:rsidR="00996D16">
        <w:t xml:space="preserve">Table </w:t>
      </w:r>
      <w:r w:rsidR="00996D16">
        <w:rPr>
          <w:noProof/>
        </w:rPr>
        <w:t>2</w:t>
      </w:r>
      <w:r w:rsidR="00996D16">
        <w:t>.</w:t>
      </w:r>
      <w:r w:rsidR="00996D16">
        <w:rPr>
          <w:noProof/>
        </w:rPr>
        <w:t>1</w:t>
      </w:r>
      <w:r>
        <w:fldChar w:fldCharType="end"/>
      </w:r>
      <w:r w:rsidR="001905C9">
        <w:t xml:space="preserve"> </w:t>
      </w:r>
      <w:r w:rsidR="001905C9" w:rsidRPr="001905C9">
        <w:t xml:space="preserve"> summarises our draft decision on the roll forward of APT</w:t>
      </w:r>
      <w:r w:rsidR="00726774">
        <w:t>PPL'</w:t>
      </w:r>
      <w:r w:rsidR="001905C9" w:rsidRPr="001905C9">
        <w:t>s capital base during the 201</w:t>
      </w:r>
      <w:r w:rsidR="000B21CD">
        <w:t>2</w:t>
      </w:r>
      <w:r w:rsidR="001905C9" w:rsidRPr="001905C9">
        <w:t>–1</w:t>
      </w:r>
      <w:r w:rsidR="001905C9">
        <w:t>7</w:t>
      </w:r>
      <w:r w:rsidR="001905C9" w:rsidRPr="001905C9">
        <w:t xml:space="preserve"> access arrangement period</w:t>
      </w:r>
      <w:r w:rsidR="001905C9">
        <w:t>.</w:t>
      </w:r>
    </w:p>
    <w:p w:rsidR="001905C9" w:rsidRDefault="009F1EBD" w:rsidP="0035371A">
      <w:pPr>
        <w:pStyle w:val="Caption"/>
      </w:pPr>
      <w:bookmarkStart w:id="13" w:name="_Ref466022771"/>
      <w:bookmarkStart w:id="14" w:name="_Ref485826180"/>
      <w:r>
        <w:t xml:space="preserve">Table </w:t>
      </w:r>
      <w:fldSimple w:instr=" STYLEREF 1 \s ">
        <w:r w:rsidR="00996D16">
          <w:rPr>
            <w:noProof/>
          </w:rPr>
          <w:t>2</w:t>
        </w:r>
      </w:fldSimple>
      <w:r w:rsidR="00F03EB5">
        <w:t>.</w:t>
      </w:r>
      <w:fldSimple w:instr=" SEQ Table \* ARABIC \s 1 ">
        <w:r w:rsidR="00996D16">
          <w:rPr>
            <w:noProof/>
          </w:rPr>
          <w:t>1</w:t>
        </w:r>
      </w:fldSimple>
      <w:bookmarkEnd w:id="13"/>
      <w:bookmarkEnd w:id="14"/>
      <w:r w:rsidR="007318DF">
        <w:tab/>
        <w:t>AER draft decision on APTPPL's capital base roll forward for the 2012–17 access arrangement period ($million, nominal)</w:t>
      </w:r>
    </w:p>
    <w:tbl>
      <w:tblPr>
        <w:tblStyle w:val="AERtable-numbers"/>
        <w:tblW w:w="8725" w:type="dxa"/>
        <w:tblLook w:val="04A0" w:firstRow="1" w:lastRow="0" w:firstColumn="1" w:lastColumn="0" w:noHBand="0" w:noVBand="1"/>
      </w:tblPr>
      <w:tblGrid>
        <w:gridCol w:w="3497"/>
        <w:gridCol w:w="1271"/>
        <w:gridCol w:w="989"/>
        <w:gridCol w:w="990"/>
        <w:gridCol w:w="989"/>
        <w:gridCol w:w="218"/>
        <w:gridCol w:w="771"/>
      </w:tblGrid>
      <w:tr w:rsidR="001905C9" w:rsidTr="0086795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497" w:type="dxa"/>
          </w:tcPr>
          <w:p w:rsidR="001905C9" w:rsidRDefault="001905C9" w:rsidP="00DF04E1">
            <w:pPr>
              <w:keepNext/>
              <w:rPr>
                <w:rFonts w:eastAsiaTheme="minorHAnsi" w:cstheme="minorBidi"/>
                <w:b w:val="0"/>
                <w:color w:val="auto"/>
                <w:sz w:val="22"/>
                <w:szCs w:val="22"/>
                <w:lang w:eastAsia="en-US"/>
              </w:rPr>
            </w:pPr>
          </w:p>
        </w:tc>
        <w:tc>
          <w:tcPr>
            <w:tcW w:w="1271" w:type="dxa"/>
          </w:tcPr>
          <w:p w:rsidR="001905C9" w:rsidRDefault="001905C9"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2012–13</w:t>
            </w:r>
          </w:p>
        </w:tc>
        <w:tc>
          <w:tcPr>
            <w:tcW w:w="989" w:type="dxa"/>
          </w:tcPr>
          <w:p w:rsidR="001905C9" w:rsidRDefault="001905C9"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2013–14</w:t>
            </w:r>
          </w:p>
        </w:tc>
        <w:tc>
          <w:tcPr>
            <w:tcW w:w="990" w:type="dxa"/>
          </w:tcPr>
          <w:p w:rsidR="001905C9" w:rsidRDefault="001905C9"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2014–15</w:t>
            </w:r>
          </w:p>
        </w:tc>
        <w:tc>
          <w:tcPr>
            <w:tcW w:w="989" w:type="dxa"/>
          </w:tcPr>
          <w:p w:rsidR="001905C9" w:rsidRDefault="001905C9"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2015–16</w:t>
            </w:r>
          </w:p>
        </w:tc>
        <w:tc>
          <w:tcPr>
            <w:tcW w:w="989" w:type="dxa"/>
            <w:gridSpan w:val="2"/>
          </w:tcPr>
          <w:p w:rsidR="001905C9" w:rsidRDefault="001905C9"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2016–17</w:t>
            </w:r>
          </w:p>
        </w:tc>
      </w:tr>
      <w:tr w:rsidR="001905C9" w:rsidTr="00867957">
        <w:trPr>
          <w:trHeight w:val="381"/>
        </w:trPr>
        <w:tc>
          <w:tcPr>
            <w:cnfStyle w:val="001000000000" w:firstRow="0" w:lastRow="0" w:firstColumn="1" w:lastColumn="0" w:oddVBand="0" w:evenVBand="0" w:oddHBand="0" w:evenHBand="0" w:firstRowFirstColumn="0" w:firstRowLastColumn="0" w:lastRowFirstColumn="0" w:lastRowLastColumn="0"/>
            <w:tcW w:w="3497" w:type="dxa"/>
          </w:tcPr>
          <w:p w:rsidR="001905C9" w:rsidRDefault="001905C9" w:rsidP="00DF04E1">
            <w:pPr>
              <w:keepNext/>
              <w:rPr>
                <w:rFonts w:eastAsiaTheme="minorHAnsi" w:cstheme="minorBidi"/>
                <w:sz w:val="22"/>
                <w:szCs w:val="22"/>
                <w:lang w:eastAsia="en-US"/>
              </w:rPr>
            </w:pPr>
            <w:r>
              <w:t>Opening capital base</w:t>
            </w:r>
          </w:p>
        </w:tc>
        <w:tc>
          <w:tcPr>
            <w:tcW w:w="1271"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Style w:val="AERtextsize8"/>
                <w:b/>
              </w:rPr>
            </w:pPr>
            <w:r w:rsidRPr="00867957">
              <w:rPr>
                <w:rStyle w:val="AERtextsize8"/>
              </w:rPr>
              <w:t>417.1</w:t>
            </w:r>
          </w:p>
        </w:tc>
        <w:tc>
          <w:tcPr>
            <w:tcW w:w="989"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Style w:val="AERtextsize8"/>
                <w:b/>
              </w:rPr>
            </w:pPr>
            <w:r w:rsidRPr="00867957">
              <w:rPr>
                <w:rStyle w:val="AERtextsize8"/>
              </w:rPr>
              <w:t>420.6</w:t>
            </w:r>
          </w:p>
        </w:tc>
        <w:tc>
          <w:tcPr>
            <w:tcW w:w="990"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Style w:val="AERtextsize8"/>
                <w:b/>
              </w:rPr>
            </w:pPr>
            <w:r w:rsidRPr="00867957">
              <w:rPr>
                <w:rStyle w:val="AERtextsize8"/>
              </w:rPr>
              <w:t>425.4</w:t>
            </w:r>
          </w:p>
        </w:tc>
        <w:tc>
          <w:tcPr>
            <w:tcW w:w="1207" w:type="dxa"/>
            <w:gridSpan w:val="2"/>
          </w:tcPr>
          <w:p w:rsidR="001905C9" w:rsidRPr="00867957" w:rsidRDefault="00867957" w:rsidP="00DF04E1">
            <w:pPr>
              <w:keepNext/>
              <w:jc w:val="center"/>
              <w:cnfStyle w:val="000000000000" w:firstRow="0" w:lastRow="0" w:firstColumn="0" w:lastColumn="0" w:oddVBand="0" w:evenVBand="0" w:oddHBand="0" w:evenHBand="0" w:firstRowFirstColumn="0" w:firstRowLastColumn="0" w:lastRowFirstColumn="0" w:lastRowLastColumn="0"/>
              <w:rPr>
                <w:rStyle w:val="AERtextsize8"/>
                <w:b/>
              </w:rPr>
            </w:pPr>
            <w:r>
              <w:rPr>
                <w:rStyle w:val="AERtextsize8"/>
              </w:rPr>
              <w:t xml:space="preserve">  </w:t>
            </w:r>
            <w:r w:rsidR="008928A4" w:rsidRPr="00867957">
              <w:rPr>
                <w:rStyle w:val="AERtextsize8"/>
              </w:rPr>
              <w:t>430.9</w:t>
            </w:r>
          </w:p>
        </w:tc>
        <w:tc>
          <w:tcPr>
            <w:tcW w:w="771"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Style w:val="AERtextsize8"/>
                <w:b/>
              </w:rPr>
            </w:pPr>
            <w:r w:rsidRPr="00867957">
              <w:rPr>
                <w:rStyle w:val="AERtextsize8"/>
              </w:rPr>
              <w:t>429.1</w:t>
            </w:r>
          </w:p>
        </w:tc>
      </w:tr>
      <w:tr w:rsidR="001905C9" w:rsidTr="00867957">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497" w:type="dxa"/>
          </w:tcPr>
          <w:p w:rsidR="00054FB9" w:rsidRDefault="00054FB9" w:rsidP="00DF04E1">
            <w:pPr>
              <w:keepNext/>
              <w:rPr>
                <w:rFonts w:eastAsiaTheme="minorHAnsi" w:cstheme="minorBidi"/>
                <w:b/>
                <w:bCs/>
                <w:sz w:val="22"/>
                <w:szCs w:val="22"/>
                <w:lang w:eastAsia="en-US"/>
              </w:rPr>
            </w:pPr>
            <w:r>
              <w:t>Net capex</w:t>
            </w:r>
          </w:p>
        </w:tc>
        <w:tc>
          <w:tcPr>
            <w:tcW w:w="1271"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5.8</w:t>
            </w:r>
          </w:p>
        </w:tc>
        <w:tc>
          <w:tcPr>
            <w:tcW w:w="989"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8.9</w:t>
            </w:r>
          </w:p>
        </w:tc>
        <w:tc>
          <w:tcPr>
            <w:tcW w:w="990"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17.8</w:t>
            </w:r>
          </w:p>
        </w:tc>
        <w:tc>
          <w:tcPr>
            <w:tcW w:w="989"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10.2</w:t>
            </w:r>
          </w:p>
        </w:tc>
        <w:tc>
          <w:tcPr>
            <w:tcW w:w="989" w:type="dxa"/>
            <w:gridSpan w:val="2"/>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18.8</w:t>
            </w:r>
          </w:p>
        </w:tc>
      </w:tr>
      <w:tr w:rsidR="001905C9" w:rsidTr="00867957">
        <w:trPr>
          <w:trHeight w:val="381"/>
        </w:trPr>
        <w:tc>
          <w:tcPr>
            <w:cnfStyle w:val="001000000000" w:firstRow="0" w:lastRow="0" w:firstColumn="1" w:lastColumn="0" w:oddVBand="0" w:evenVBand="0" w:oddHBand="0" w:evenHBand="0" w:firstRowFirstColumn="0" w:firstRowLastColumn="0" w:lastRowFirstColumn="0" w:lastRowLastColumn="0"/>
            <w:tcW w:w="3497" w:type="dxa"/>
          </w:tcPr>
          <w:p w:rsidR="00054FB9" w:rsidRDefault="00054FB9" w:rsidP="00DF04E1">
            <w:pPr>
              <w:keepNext/>
              <w:rPr>
                <w:rFonts w:eastAsiaTheme="minorHAnsi" w:cstheme="minorBidi"/>
                <w:b/>
                <w:bCs/>
                <w:sz w:val="22"/>
                <w:szCs w:val="22"/>
                <w:lang w:eastAsia="en-US"/>
              </w:rPr>
            </w:pPr>
            <w:r>
              <w:t>Indexation of capital base</w:t>
            </w:r>
          </w:p>
        </w:tc>
        <w:tc>
          <w:tcPr>
            <w:tcW w:w="1271"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10.4</w:t>
            </w:r>
          </w:p>
        </w:tc>
        <w:tc>
          <w:tcPr>
            <w:tcW w:w="989"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12.3</w:t>
            </w:r>
          </w:p>
        </w:tc>
        <w:tc>
          <w:tcPr>
            <w:tcW w:w="990"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5.7</w:t>
            </w:r>
          </w:p>
        </w:tc>
        <w:tc>
          <w:tcPr>
            <w:tcW w:w="989"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5.6</w:t>
            </w:r>
          </w:p>
        </w:tc>
        <w:tc>
          <w:tcPr>
            <w:tcW w:w="989" w:type="dxa"/>
            <w:gridSpan w:val="2"/>
          </w:tcPr>
          <w:p w:rsidR="001905C9" w:rsidRPr="00867957" w:rsidRDefault="00694448"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9.1</w:t>
            </w:r>
          </w:p>
        </w:tc>
      </w:tr>
      <w:tr w:rsidR="001905C9" w:rsidTr="00867957">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497" w:type="dxa"/>
          </w:tcPr>
          <w:p w:rsidR="001905C9" w:rsidRDefault="00726774" w:rsidP="00DF04E1">
            <w:pPr>
              <w:keepNext/>
              <w:rPr>
                <w:rFonts w:eastAsiaTheme="minorHAnsi" w:cstheme="minorBidi"/>
                <w:b/>
                <w:bCs/>
                <w:sz w:val="22"/>
                <w:szCs w:val="22"/>
                <w:lang w:eastAsia="en-US"/>
              </w:rPr>
            </w:pPr>
            <w:r w:rsidRPr="00D13B2D">
              <w:rPr>
                <w:rStyle w:val="AERtextitalic"/>
              </w:rPr>
              <w:t>Less:</w:t>
            </w:r>
            <w:r>
              <w:t xml:space="preserve"> straight-line</w:t>
            </w:r>
            <w:r w:rsidR="000B21CD">
              <w:t xml:space="preserve"> depreciation</w:t>
            </w:r>
          </w:p>
        </w:tc>
        <w:tc>
          <w:tcPr>
            <w:tcW w:w="1271"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12.7</w:t>
            </w:r>
          </w:p>
        </w:tc>
        <w:tc>
          <w:tcPr>
            <w:tcW w:w="989"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16.5</w:t>
            </w:r>
          </w:p>
        </w:tc>
        <w:tc>
          <w:tcPr>
            <w:tcW w:w="990"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17.9</w:t>
            </w:r>
          </w:p>
        </w:tc>
        <w:tc>
          <w:tcPr>
            <w:tcW w:w="989" w:type="dxa"/>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17.6</w:t>
            </w:r>
          </w:p>
        </w:tc>
        <w:tc>
          <w:tcPr>
            <w:tcW w:w="989" w:type="dxa"/>
            <w:gridSpan w:val="2"/>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16.8</w:t>
            </w:r>
          </w:p>
        </w:tc>
      </w:tr>
      <w:tr w:rsidR="001905C9" w:rsidTr="00867957">
        <w:trPr>
          <w:trHeight w:val="132"/>
        </w:trPr>
        <w:tc>
          <w:tcPr>
            <w:cnfStyle w:val="001000000000" w:firstRow="0" w:lastRow="0" w:firstColumn="1" w:lastColumn="0" w:oddVBand="0" w:evenVBand="0" w:oddHBand="0" w:evenHBand="0" w:firstRowFirstColumn="0" w:firstRowLastColumn="0" w:lastRowFirstColumn="0" w:lastRowLastColumn="0"/>
            <w:tcW w:w="3497" w:type="dxa"/>
          </w:tcPr>
          <w:p w:rsidR="001905C9" w:rsidRDefault="00054FB9" w:rsidP="00DF04E1">
            <w:pPr>
              <w:keepNext/>
              <w:rPr>
                <w:rFonts w:eastAsiaTheme="minorHAnsi" w:cstheme="minorBidi"/>
                <w:b/>
                <w:bCs/>
                <w:sz w:val="22"/>
                <w:szCs w:val="22"/>
                <w:lang w:eastAsia="en-US"/>
              </w:rPr>
            </w:pPr>
            <w:r>
              <w:t>Closing capital base</w:t>
            </w:r>
          </w:p>
        </w:tc>
        <w:tc>
          <w:tcPr>
            <w:tcW w:w="1271"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420.6</w:t>
            </w:r>
          </w:p>
        </w:tc>
        <w:tc>
          <w:tcPr>
            <w:tcW w:w="989"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425.4</w:t>
            </w:r>
          </w:p>
        </w:tc>
        <w:tc>
          <w:tcPr>
            <w:tcW w:w="990"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430.9</w:t>
            </w:r>
          </w:p>
        </w:tc>
        <w:tc>
          <w:tcPr>
            <w:tcW w:w="989" w:type="dxa"/>
          </w:tcPr>
          <w:p w:rsidR="001905C9"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429.1</w:t>
            </w:r>
          </w:p>
        </w:tc>
        <w:tc>
          <w:tcPr>
            <w:tcW w:w="989" w:type="dxa"/>
            <w:gridSpan w:val="2"/>
          </w:tcPr>
          <w:p w:rsidR="001905C9" w:rsidRPr="00867957" w:rsidRDefault="00867957"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440.3</w:t>
            </w:r>
          </w:p>
        </w:tc>
      </w:tr>
      <w:tr w:rsidR="001905C9" w:rsidTr="00867957">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497" w:type="dxa"/>
          </w:tcPr>
          <w:p w:rsidR="001905C9" w:rsidRDefault="00726774" w:rsidP="00DF04E1">
            <w:pPr>
              <w:keepNext/>
              <w:rPr>
                <w:rFonts w:eastAsiaTheme="minorHAnsi" w:cstheme="minorBidi"/>
                <w:b/>
                <w:bCs/>
                <w:sz w:val="22"/>
                <w:szCs w:val="22"/>
                <w:lang w:eastAsia="en-US"/>
              </w:rPr>
            </w:pPr>
            <w:r>
              <w:t>D</w:t>
            </w:r>
            <w:r w:rsidR="00054FB9">
              <w:t>ifference between estimated and actual capital expenditure in 2011</w:t>
            </w:r>
            <w:r w:rsidR="000B21CD">
              <w:t>–</w:t>
            </w:r>
            <w:r w:rsidR="00054FB9">
              <w:t>12</w:t>
            </w:r>
          </w:p>
        </w:tc>
        <w:tc>
          <w:tcPr>
            <w:tcW w:w="1271"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0"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gridSpan w:val="2"/>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2.7</w:t>
            </w:r>
          </w:p>
        </w:tc>
      </w:tr>
      <w:tr w:rsidR="00726774" w:rsidTr="00867957">
        <w:trPr>
          <w:trHeight w:val="132"/>
        </w:trPr>
        <w:tc>
          <w:tcPr>
            <w:cnfStyle w:val="001000000000" w:firstRow="0" w:lastRow="0" w:firstColumn="1" w:lastColumn="0" w:oddVBand="0" w:evenVBand="0" w:oddHBand="0" w:evenHBand="0" w:firstRowFirstColumn="0" w:firstRowLastColumn="0" w:lastRowFirstColumn="0" w:lastRowLastColumn="0"/>
            <w:tcW w:w="3497" w:type="dxa"/>
          </w:tcPr>
          <w:p w:rsidR="00726774" w:rsidRDefault="00726774" w:rsidP="00DF04E1">
            <w:pPr>
              <w:keepNext/>
              <w:rPr>
                <w:rFonts w:eastAsiaTheme="minorHAnsi" w:cstheme="minorBidi"/>
                <w:b/>
                <w:bCs/>
                <w:sz w:val="22"/>
                <w:szCs w:val="22"/>
                <w:lang w:eastAsia="en-US"/>
              </w:rPr>
            </w:pPr>
            <w:r>
              <w:t>Return on difference for  2011–12 capex</w:t>
            </w:r>
          </w:p>
        </w:tc>
        <w:tc>
          <w:tcPr>
            <w:tcW w:w="1271" w:type="dxa"/>
          </w:tcPr>
          <w:p w:rsidR="00726774" w:rsidRPr="00867957" w:rsidRDefault="0072677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989" w:type="dxa"/>
          </w:tcPr>
          <w:p w:rsidR="00726774" w:rsidRPr="00867957" w:rsidRDefault="0072677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990" w:type="dxa"/>
          </w:tcPr>
          <w:p w:rsidR="00726774" w:rsidRPr="00867957" w:rsidRDefault="0072677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989" w:type="dxa"/>
          </w:tcPr>
          <w:p w:rsidR="00726774" w:rsidRPr="00867957" w:rsidRDefault="0072677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989" w:type="dxa"/>
            <w:gridSpan w:val="2"/>
          </w:tcPr>
          <w:p w:rsidR="00726774" w:rsidRPr="00867957" w:rsidRDefault="008928A4" w:rsidP="00DF04E1">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867957">
              <w:t>1.0</w:t>
            </w:r>
          </w:p>
        </w:tc>
      </w:tr>
      <w:tr w:rsidR="001905C9" w:rsidTr="00867957">
        <w:trPr>
          <w:cnfStyle w:val="000000010000" w:firstRow="0" w:lastRow="0" w:firstColumn="0" w:lastColumn="0" w:oddVBand="0" w:evenVBand="0" w:oddHBand="0" w:evenHBand="1"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497" w:type="dxa"/>
          </w:tcPr>
          <w:p w:rsidR="001905C9" w:rsidRPr="00D007EE" w:rsidRDefault="00054FB9" w:rsidP="00DF04E1">
            <w:pPr>
              <w:keepNext/>
              <w:rPr>
                <w:rStyle w:val="Strong"/>
              </w:rPr>
            </w:pPr>
            <w:r w:rsidRPr="00D007EE">
              <w:rPr>
                <w:rStyle w:val="Strong"/>
              </w:rPr>
              <w:t>Opening capital base as at 1 July 2017</w:t>
            </w:r>
          </w:p>
        </w:tc>
        <w:tc>
          <w:tcPr>
            <w:tcW w:w="1271"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90"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tcPr>
          <w:p w:rsidR="001905C9" w:rsidRPr="00867957" w:rsidRDefault="001905C9"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989" w:type="dxa"/>
            <w:gridSpan w:val="2"/>
          </w:tcPr>
          <w:p w:rsidR="001905C9" w:rsidRPr="00867957" w:rsidRDefault="008928A4" w:rsidP="00DF04E1">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867957">
              <w:t>44</w:t>
            </w:r>
            <w:r w:rsidR="00694448" w:rsidRPr="00867957">
              <w:t>4.0</w:t>
            </w:r>
          </w:p>
        </w:tc>
      </w:tr>
    </w:tbl>
    <w:p w:rsidR="007318DF" w:rsidRDefault="007318DF" w:rsidP="00DF04E1">
      <w:pPr>
        <w:pStyle w:val="AERtablesource"/>
        <w:keepNext/>
      </w:pPr>
      <w:r>
        <w:t>Source:</w:t>
      </w:r>
      <w:r>
        <w:tab/>
        <w:t>AER analysis</w:t>
      </w:r>
      <w:r w:rsidR="000B21CD">
        <w:t>.</w:t>
      </w:r>
    </w:p>
    <w:p w:rsidR="00D007EE" w:rsidRPr="00D007EE" w:rsidRDefault="00D007EE" w:rsidP="00D007EE">
      <w:r w:rsidRPr="00D007EE">
        <w:t>We do not approve APT</w:t>
      </w:r>
      <w:r>
        <w:t>PPL</w:t>
      </w:r>
      <w:r w:rsidRPr="00D007EE">
        <w:t>'s proposed roll forward of its projected capital base across the 201</w:t>
      </w:r>
      <w:r>
        <w:t>7</w:t>
      </w:r>
      <w:r w:rsidRPr="00D007EE">
        <w:t>–2</w:t>
      </w:r>
      <w:r>
        <w:t>2</w:t>
      </w:r>
      <w:r w:rsidRPr="00D007EE">
        <w:t xml:space="preserve"> access arrangement period, and do not approve its closing capital base at 30 June 202</w:t>
      </w:r>
      <w:r>
        <w:t>2</w:t>
      </w:r>
      <w:r w:rsidRPr="00D007EE">
        <w:t xml:space="preserve"> of $</w:t>
      </w:r>
      <w:r w:rsidR="009F1EBD">
        <w:t>505.4</w:t>
      </w:r>
      <w:r w:rsidRPr="00D007EE">
        <w:t xml:space="preserve"> million ($nominal). This is because we have not approved APT</w:t>
      </w:r>
      <w:r>
        <w:t>PPL</w:t>
      </w:r>
      <w:r w:rsidRPr="00D007EE">
        <w:t xml:space="preserve">'s proposed inputs to the projected capital base roll forward, specifically the opening capital base (section </w:t>
      </w:r>
      <w:r w:rsidR="00E57C2C">
        <w:fldChar w:fldCharType="begin"/>
      </w:r>
      <w:r w:rsidR="00E57C2C">
        <w:instrText xml:space="preserve"> REF _Ref472668197 \r \h </w:instrText>
      </w:r>
      <w:r w:rsidR="00E57C2C">
        <w:fldChar w:fldCharType="separate"/>
      </w:r>
      <w:r w:rsidR="00996D16">
        <w:t>2.4</w:t>
      </w:r>
      <w:r w:rsidR="00E57C2C">
        <w:fldChar w:fldCharType="end"/>
      </w:r>
      <w:r w:rsidRPr="00D007EE">
        <w:t xml:space="preserve">), </w:t>
      </w:r>
      <w:r w:rsidR="00EC318A">
        <w:t xml:space="preserve">forecast </w:t>
      </w:r>
      <w:r w:rsidRPr="00D007EE">
        <w:t xml:space="preserve">depreciation (attachment 5) and forecast capex (attachment 6). Based on our </w:t>
      </w:r>
      <w:r w:rsidR="00D91021">
        <w:t>revised</w:t>
      </w:r>
      <w:r w:rsidRPr="00D007EE">
        <w:t xml:space="preserve"> amounts for these inputs, we determine a projected closing capital base of $</w:t>
      </w:r>
      <w:r w:rsidR="00A13227">
        <w:t>48</w:t>
      </w:r>
      <w:r w:rsidR="00694448">
        <w:t>8.1</w:t>
      </w:r>
      <w:r w:rsidRPr="00D007EE">
        <w:t xml:space="preserve"> million ($nominal) as at 30 June 202</w:t>
      </w:r>
      <w:r>
        <w:t>2</w:t>
      </w:r>
      <w:r w:rsidRPr="00D007EE">
        <w:t>. This is $</w:t>
      </w:r>
      <w:r w:rsidR="00A13227">
        <w:t>17.</w:t>
      </w:r>
      <w:r w:rsidR="00694448">
        <w:t>3</w:t>
      </w:r>
      <w:r w:rsidRPr="00D007EE">
        <w:t xml:space="preserve"> million ($nominal) less than that proposed by APT</w:t>
      </w:r>
      <w:r>
        <w:t>PPL</w:t>
      </w:r>
      <w:r w:rsidRPr="00D007EE">
        <w:t xml:space="preserve">, a reduction of </w:t>
      </w:r>
      <w:r w:rsidR="00A13227">
        <w:t>3.</w:t>
      </w:r>
      <w:r w:rsidR="00694448">
        <w:t>4</w:t>
      </w:r>
      <w:r w:rsidRPr="00D007EE">
        <w:t xml:space="preserve"> per cent. </w:t>
      </w:r>
    </w:p>
    <w:p w:rsidR="001905C9" w:rsidRDefault="009F1EBD" w:rsidP="00D007EE">
      <w:r>
        <w:fldChar w:fldCharType="begin"/>
      </w:r>
      <w:r>
        <w:instrText xml:space="preserve"> REF _Ref466022793 \h </w:instrText>
      </w:r>
      <w:r>
        <w:fldChar w:fldCharType="separate"/>
      </w:r>
      <w:r w:rsidR="00996D16">
        <w:t xml:space="preserve">Table </w:t>
      </w:r>
      <w:r w:rsidR="00996D16">
        <w:rPr>
          <w:noProof/>
        </w:rPr>
        <w:t>2</w:t>
      </w:r>
      <w:r w:rsidR="00996D16">
        <w:t>.</w:t>
      </w:r>
      <w:r w:rsidR="00996D16">
        <w:rPr>
          <w:noProof/>
        </w:rPr>
        <w:t>2</w:t>
      </w:r>
      <w:r>
        <w:fldChar w:fldCharType="end"/>
      </w:r>
      <w:r w:rsidR="00D007EE" w:rsidRPr="00D007EE">
        <w:t xml:space="preserve"> sets out the projected roll forward of the capital base during the 201</w:t>
      </w:r>
      <w:r w:rsidR="00D007EE">
        <w:t>7</w:t>
      </w:r>
      <w:r w:rsidR="00D007EE" w:rsidRPr="00D007EE">
        <w:t>–2</w:t>
      </w:r>
      <w:r w:rsidR="00D007EE">
        <w:t>2</w:t>
      </w:r>
      <w:r w:rsidR="00D007EE" w:rsidRPr="00D007EE">
        <w:t xml:space="preserve"> access arrangement period.</w:t>
      </w:r>
    </w:p>
    <w:p w:rsidR="009F1EBD" w:rsidRDefault="009F1EBD" w:rsidP="009F1EBD">
      <w:pPr>
        <w:pStyle w:val="Caption"/>
      </w:pPr>
      <w:bookmarkStart w:id="15" w:name="_Ref466022793"/>
      <w:r>
        <w:t xml:space="preserve">Table </w:t>
      </w:r>
      <w:fldSimple w:instr=" STYLEREF 1 \s ">
        <w:r w:rsidR="00996D16">
          <w:rPr>
            <w:noProof/>
          </w:rPr>
          <w:t>2</w:t>
        </w:r>
      </w:fldSimple>
      <w:r w:rsidR="00F03EB5">
        <w:t>.</w:t>
      </w:r>
      <w:fldSimple w:instr=" SEQ Table \* ARABIC \s 1 ">
        <w:r w:rsidR="00996D16">
          <w:rPr>
            <w:noProof/>
          </w:rPr>
          <w:t>2</w:t>
        </w:r>
      </w:fldSimple>
      <w:bookmarkEnd w:id="15"/>
      <w:r w:rsidR="007318DF">
        <w:tab/>
        <w:t xml:space="preserve">AER's draft decision on </w:t>
      </w:r>
      <w:r w:rsidR="000B21CD">
        <w:t xml:space="preserve">APTPPL's </w:t>
      </w:r>
      <w:r w:rsidR="007318DF">
        <w:t>projected capital base roll forward for the 2017–22 access arrangement period ($million, nominal)</w:t>
      </w:r>
    </w:p>
    <w:tbl>
      <w:tblPr>
        <w:tblStyle w:val="AERtable-numbers"/>
        <w:tblW w:w="0" w:type="auto"/>
        <w:tblLook w:val="04A0" w:firstRow="1" w:lastRow="0" w:firstColumn="1" w:lastColumn="0" w:noHBand="0" w:noVBand="1"/>
      </w:tblPr>
      <w:tblGrid>
        <w:gridCol w:w="3084"/>
        <w:gridCol w:w="1134"/>
        <w:gridCol w:w="1134"/>
        <w:gridCol w:w="1134"/>
        <w:gridCol w:w="1134"/>
        <w:gridCol w:w="1072"/>
      </w:tblGrid>
      <w:tr w:rsidR="00D007EE" w:rsidTr="00D00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007EE" w:rsidRDefault="00D007EE" w:rsidP="00D007EE"/>
        </w:tc>
        <w:tc>
          <w:tcPr>
            <w:tcW w:w="1134" w:type="dxa"/>
          </w:tcPr>
          <w:p w:rsidR="00D007EE" w:rsidRDefault="00D007EE" w:rsidP="00D007EE">
            <w:pPr>
              <w:cnfStyle w:val="100000000000" w:firstRow="1" w:lastRow="0" w:firstColumn="0" w:lastColumn="0" w:oddVBand="0" w:evenVBand="0" w:oddHBand="0" w:evenHBand="0" w:firstRowFirstColumn="0" w:firstRowLastColumn="0" w:lastRowFirstColumn="0" w:lastRowLastColumn="0"/>
            </w:pPr>
            <w:r>
              <w:t>2017–18</w:t>
            </w:r>
          </w:p>
        </w:tc>
        <w:tc>
          <w:tcPr>
            <w:tcW w:w="1134" w:type="dxa"/>
          </w:tcPr>
          <w:p w:rsidR="00D007EE" w:rsidRDefault="00D007EE" w:rsidP="00D007EE">
            <w:pPr>
              <w:cnfStyle w:val="100000000000" w:firstRow="1" w:lastRow="0" w:firstColumn="0" w:lastColumn="0" w:oddVBand="0" w:evenVBand="0" w:oddHBand="0" w:evenHBand="0" w:firstRowFirstColumn="0" w:firstRowLastColumn="0" w:lastRowFirstColumn="0" w:lastRowLastColumn="0"/>
            </w:pPr>
            <w:r>
              <w:t>2018–19</w:t>
            </w:r>
          </w:p>
        </w:tc>
        <w:tc>
          <w:tcPr>
            <w:tcW w:w="1134" w:type="dxa"/>
          </w:tcPr>
          <w:p w:rsidR="00D007EE" w:rsidRDefault="00D007EE" w:rsidP="00D007EE">
            <w:pPr>
              <w:cnfStyle w:val="100000000000" w:firstRow="1" w:lastRow="0" w:firstColumn="0" w:lastColumn="0" w:oddVBand="0" w:evenVBand="0" w:oddHBand="0" w:evenHBand="0" w:firstRowFirstColumn="0" w:firstRowLastColumn="0" w:lastRowFirstColumn="0" w:lastRowLastColumn="0"/>
            </w:pPr>
            <w:r>
              <w:t>2019–20</w:t>
            </w:r>
          </w:p>
        </w:tc>
        <w:tc>
          <w:tcPr>
            <w:tcW w:w="1134" w:type="dxa"/>
          </w:tcPr>
          <w:p w:rsidR="00D007EE" w:rsidRDefault="00D007EE" w:rsidP="00D007EE">
            <w:pPr>
              <w:cnfStyle w:val="100000000000" w:firstRow="1" w:lastRow="0" w:firstColumn="0" w:lastColumn="0" w:oddVBand="0" w:evenVBand="0" w:oddHBand="0" w:evenHBand="0" w:firstRowFirstColumn="0" w:firstRowLastColumn="0" w:lastRowFirstColumn="0" w:lastRowLastColumn="0"/>
            </w:pPr>
            <w:r>
              <w:t>2020–21</w:t>
            </w:r>
          </w:p>
        </w:tc>
        <w:tc>
          <w:tcPr>
            <w:tcW w:w="1072" w:type="dxa"/>
          </w:tcPr>
          <w:p w:rsidR="00D007EE" w:rsidRDefault="00D007EE" w:rsidP="00D007EE">
            <w:pPr>
              <w:cnfStyle w:val="100000000000" w:firstRow="1" w:lastRow="0" w:firstColumn="0" w:lastColumn="0" w:oddVBand="0" w:evenVBand="0" w:oddHBand="0" w:evenHBand="0" w:firstRowFirstColumn="0" w:firstRowLastColumn="0" w:lastRowFirstColumn="0" w:lastRowLastColumn="0"/>
            </w:pPr>
            <w:r>
              <w:t>2021–22</w:t>
            </w:r>
          </w:p>
        </w:tc>
      </w:tr>
      <w:tr w:rsidR="00D007EE" w:rsidTr="00D007EE">
        <w:tc>
          <w:tcPr>
            <w:cnfStyle w:val="001000000000" w:firstRow="0" w:lastRow="0" w:firstColumn="1" w:lastColumn="0" w:oddVBand="0" w:evenVBand="0" w:oddHBand="0" w:evenHBand="0" w:firstRowFirstColumn="0" w:firstRowLastColumn="0" w:lastRowFirstColumn="0" w:lastRowLastColumn="0"/>
            <w:tcW w:w="3085" w:type="dxa"/>
          </w:tcPr>
          <w:p w:rsidR="00D007EE" w:rsidRDefault="00392FE2" w:rsidP="00D007EE">
            <w:r>
              <w:t>Opening capital base</w:t>
            </w:r>
          </w:p>
        </w:tc>
        <w:tc>
          <w:tcPr>
            <w:tcW w:w="1134" w:type="dxa"/>
          </w:tcPr>
          <w:p w:rsidR="00D007EE" w:rsidRDefault="00A13227" w:rsidP="00694448">
            <w:pPr>
              <w:cnfStyle w:val="000000000000" w:firstRow="0" w:lastRow="0" w:firstColumn="0" w:lastColumn="0" w:oddVBand="0" w:evenVBand="0" w:oddHBand="0" w:evenHBand="0" w:firstRowFirstColumn="0" w:firstRowLastColumn="0" w:lastRowFirstColumn="0" w:lastRowLastColumn="0"/>
            </w:pPr>
            <w:r>
              <w:t>44</w:t>
            </w:r>
            <w:r w:rsidR="00694448">
              <w:t>4.0</w:t>
            </w:r>
          </w:p>
        </w:tc>
        <w:tc>
          <w:tcPr>
            <w:tcW w:w="1134" w:type="dxa"/>
          </w:tcPr>
          <w:p w:rsidR="00D007EE" w:rsidRDefault="00A13227" w:rsidP="000A2C3F">
            <w:pPr>
              <w:cnfStyle w:val="000000000000" w:firstRow="0" w:lastRow="0" w:firstColumn="0" w:lastColumn="0" w:oddVBand="0" w:evenVBand="0" w:oddHBand="0" w:evenHBand="0" w:firstRowFirstColumn="0" w:firstRowLastColumn="0" w:lastRowFirstColumn="0" w:lastRowLastColumn="0"/>
            </w:pPr>
            <w:r>
              <w:t>462.</w:t>
            </w:r>
            <w:r w:rsidR="00694448">
              <w:t>8</w:t>
            </w:r>
          </w:p>
        </w:tc>
        <w:tc>
          <w:tcPr>
            <w:tcW w:w="1134" w:type="dxa"/>
          </w:tcPr>
          <w:p w:rsidR="00D007EE" w:rsidRDefault="00A13227" w:rsidP="00694448">
            <w:pPr>
              <w:cnfStyle w:val="000000000000" w:firstRow="0" w:lastRow="0" w:firstColumn="0" w:lastColumn="0" w:oddVBand="0" w:evenVBand="0" w:oddHBand="0" w:evenHBand="0" w:firstRowFirstColumn="0" w:firstRowLastColumn="0" w:lastRowFirstColumn="0" w:lastRowLastColumn="0"/>
            </w:pPr>
            <w:r>
              <w:t>470.</w:t>
            </w:r>
            <w:r w:rsidR="00694448">
              <w:t>9</w:t>
            </w:r>
          </w:p>
        </w:tc>
        <w:tc>
          <w:tcPr>
            <w:tcW w:w="1134" w:type="dxa"/>
          </w:tcPr>
          <w:p w:rsidR="00D007EE" w:rsidRDefault="00A13227" w:rsidP="00694448">
            <w:pPr>
              <w:cnfStyle w:val="000000000000" w:firstRow="0" w:lastRow="0" w:firstColumn="0" w:lastColumn="0" w:oddVBand="0" w:evenVBand="0" w:oddHBand="0" w:evenHBand="0" w:firstRowFirstColumn="0" w:firstRowLastColumn="0" w:lastRowFirstColumn="0" w:lastRowLastColumn="0"/>
            </w:pPr>
            <w:r>
              <w:t>470.</w:t>
            </w:r>
            <w:r w:rsidR="00694448">
              <w:t>9</w:t>
            </w:r>
          </w:p>
        </w:tc>
        <w:tc>
          <w:tcPr>
            <w:tcW w:w="1072" w:type="dxa"/>
          </w:tcPr>
          <w:p w:rsidR="00D007EE" w:rsidRDefault="00A13227" w:rsidP="00694448">
            <w:pPr>
              <w:cnfStyle w:val="000000000000" w:firstRow="0" w:lastRow="0" w:firstColumn="0" w:lastColumn="0" w:oddVBand="0" w:evenVBand="0" w:oddHBand="0" w:evenHBand="0" w:firstRowFirstColumn="0" w:firstRowLastColumn="0" w:lastRowFirstColumn="0" w:lastRowLastColumn="0"/>
            </w:pPr>
            <w:r>
              <w:t>478.</w:t>
            </w:r>
            <w:r w:rsidR="00694448">
              <w:t>5</w:t>
            </w:r>
          </w:p>
        </w:tc>
      </w:tr>
      <w:tr w:rsidR="00D007EE" w:rsidTr="00D007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92FE2" w:rsidRDefault="00392FE2" w:rsidP="00D007EE">
            <w:r>
              <w:t>Net capex</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24.5</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14.8</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7.1</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8.8</w:t>
            </w:r>
          </w:p>
        </w:tc>
        <w:tc>
          <w:tcPr>
            <w:tcW w:w="1072"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8.9</w:t>
            </w:r>
          </w:p>
        </w:tc>
      </w:tr>
      <w:tr w:rsidR="00D007EE" w:rsidTr="00D007EE">
        <w:tc>
          <w:tcPr>
            <w:cnfStyle w:val="001000000000" w:firstRow="0" w:lastRow="0" w:firstColumn="1" w:lastColumn="0" w:oddVBand="0" w:evenVBand="0" w:oddHBand="0" w:evenHBand="0" w:firstRowFirstColumn="0" w:firstRowLastColumn="0" w:lastRowFirstColumn="0" w:lastRowLastColumn="0"/>
            <w:tcW w:w="3085" w:type="dxa"/>
          </w:tcPr>
          <w:p w:rsidR="00D007EE" w:rsidRDefault="00392FE2" w:rsidP="00D007EE">
            <w:r>
              <w:t>Indexation of capital base</w:t>
            </w:r>
          </w:p>
        </w:tc>
        <w:tc>
          <w:tcPr>
            <w:tcW w:w="1134" w:type="dxa"/>
          </w:tcPr>
          <w:p w:rsidR="00D007EE" w:rsidRDefault="00A13227" w:rsidP="00D007EE">
            <w:pPr>
              <w:cnfStyle w:val="000000000000" w:firstRow="0" w:lastRow="0" w:firstColumn="0" w:lastColumn="0" w:oddVBand="0" w:evenVBand="0" w:oddHBand="0" w:evenHBand="0" w:firstRowFirstColumn="0" w:firstRowLastColumn="0" w:lastRowFirstColumn="0" w:lastRowLastColumn="0"/>
            </w:pPr>
            <w:r>
              <w:t>10.9</w:t>
            </w:r>
          </w:p>
        </w:tc>
        <w:tc>
          <w:tcPr>
            <w:tcW w:w="1134" w:type="dxa"/>
          </w:tcPr>
          <w:p w:rsidR="00D007EE" w:rsidRDefault="00A13227" w:rsidP="00D007EE">
            <w:pPr>
              <w:cnfStyle w:val="000000000000" w:firstRow="0" w:lastRow="0" w:firstColumn="0" w:lastColumn="0" w:oddVBand="0" w:evenVBand="0" w:oddHBand="0" w:evenHBand="0" w:firstRowFirstColumn="0" w:firstRowLastColumn="0" w:lastRowFirstColumn="0" w:lastRowLastColumn="0"/>
            </w:pPr>
            <w:r>
              <w:t>11.3</w:t>
            </w:r>
          </w:p>
        </w:tc>
        <w:tc>
          <w:tcPr>
            <w:tcW w:w="1134" w:type="dxa"/>
          </w:tcPr>
          <w:p w:rsidR="00D007EE" w:rsidRDefault="00A13227" w:rsidP="00D007EE">
            <w:pPr>
              <w:cnfStyle w:val="000000000000" w:firstRow="0" w:lastRow="0" w:firstColumn="0" w:lastColumn="0" w:oddVBand="0" w:evenVBand="0" w:oddHBand="0" w:evenHBand="0" w:firstRowFirstColumn="0" w:firstRowLastColumn="0" w:lastRowFirstColumn="0" w:lastRowLastColumn="0"/>
            </w:pPr>
            <w:r>
              <w:t>11.5</w:t>
            </w:r>
          </w:p>
        </w:tc>
        <w:tc>
          <w:tcPr>
            <w:tcW w:w="1134" w:type="dxa"/>
          </w:tcPr>
          <w:p w:rsidR="00D007EE" w:rsidRDefault="00A13227" w:rsidP="00D007EE">
            <w:pPr>
              <w:cnfStyle w:val="000000000000" w:firstRow="0" w:lastRow="0" w:firstColumn="0" w:lastColumn="0" w:oddVBand="0" w:evenVBand="0" w:oddHBand="0" w:evenHBand="0" w:firstRowFirstColumn="0" w:firstRowLastColumn="0" w:lastRowFirstColumn="0" w:lastRowLastColumn="0"/>
            </w:pPr>
            <w:r>
              <w:t>11.5</w:t>
            </w:r>
          </w:p>
        </w:tc>
        <w:tc>
          <w:tcPr>
            <w:tcW w:w="1072" w:type="dxa"/>
          </w:tcPr>
          <w:p w:rsidR="00D007EE" w:rsidRDefault="00A13227" w:rsidP="00D007EE">
            <w:pPr>
              <w:cnfStyle w:val="000000000000" w:firstRow="0" w:lastRow="0" w:firstColumn="0" w:lastColumn="0" w:oddVBand="0" w:evenVBand="0" w:oddHBand="0" w:evenHBand="0" w:firstRowFirstColumn="0" w:firstRowLastColumn="0" w:lastRowFirstColumn="0" w:lastRowLastColumn="0"/>
            </w:pPr>
            <w:r>
              <w:t>11.7</w:t>
            </w:r>
          </w:p>
        </w:tc>
      </w:tr>
      <w:tr w:rsidR="00D007EE" w:rsidTr="00D007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007EE" w:rsidRDefault="00726774" w:rsidP="00726774">
            <w:r w:rsidRPr="004510BB">
              <w:rPr>
                <w:rStyle w:val="AERtextitalic"/>
              </w:rPr>
              <w:t>Less:</w:t>
            </w:r>
            <w:r>
              <w:t xml:space="preserve"> straight-line depreciation</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16.6</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17.9</w:t>
            </w:r>
          </w:p>
        </w:tc>
        <w:tc>
          <w:tcPr>
            <w:tcW w:w="1134" w:type="dxa"/>
          </w:tcPr>
          <w:p w:rsidR="00D007EE" w:rsidRDefault="00A13227" w:rsidP="000A2C3F">
            <w:pPr>
              <w:cnfStyle w:val="000000010000" w:firstRow="0" w:lastRow="0" w:firstColumn="0" w:lastColumn="0" w:oddVBand="0" w:evenVBand="0" w:oddHBand="0" w:evenHBand="1" w:firstRowFirstColumn="0" w:firstRowLastColumn="0" w:lastRowFirstColumn="0" w:lastRowLastColumn="0"/>
            </w:pPr>
            <w:r>
              <w:t>18.</w:t>
            </w:r>
            <w:r w:rsidR="000A2C3F">
              <w:t>7</w:t>
            </w:r>
          </w:p>
        </w:tc>
        <w:tc>
          <w:tcPr>
            <w:tcW w:w="1134"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12.8</w:t>
            </w:r>
          </w:p>
        </w:tc>
        <w:tc>
          <w:tcPr>
            <w:tcW w:w="1072" w:type="dxa"/>
          </w:tcPr>
          <w:p w:rsidR="00D007EE" w:rsidRDefault="00A13227" w:rsidP="00D007EE">
            <w:pPr>
              <w:cnfStyle w:val="000000010000" w:firstRow="0" w:lastRow="0" w:firstColumn="0" w:lastColumn="0" w:oddVBand="0" w:evenVBand="0" w:oddHBand="0" w:evenHBand="1" w:firstRowFirstColumn="0" w:firstRowLastColumn="0" w:lastRowFirstColumn="0" w:lastRowLastColumn="0"/>
            </w:pPr>
            <w:r>
              <w:t>10.9</w:t>
            </w:r>
          </w:p>
        </w:tc>
      </w:tr>
      <w:tr w:rsidR="00726774" w:rsidTr="00D007EE">
        <w:tc>
          <w:tcPr>
            <w:cnfStyle w:val="001000000000" w:firstRow="0" w:lastRow="0" w:firstColumn="1" w:lastColumn="0" w:oddVBand="0" w:evenVBand="0" w:oddHBand="0" w:evenHBand="0" w:firstRowFirstColumn="0" w:firstRowLastColumn="0" w:lastRowFirstColumn="0" w:lastRowLastColumn="0"/>
            <w:tcW w:w="3085" w:type="dxa"/>
          </w:tcPr>
          <w:p w:rsidR="00726774" w:rsidRPr="00726774" w:rsidRDefault="00726774" w:rsidP="00726774">
            <w:r>
              <w:t>Closing capital base</w:t>
            </w:r>
          </w:p>
        </w:tc>
        <w:tc>
          <w:tcPr>
            <w:tcW w:w="1134" w:type="dxa"/>
          </w:tcPr>
          <w:p w:rsidR="00726774" w:rsidRPr="00726774" w:rsidRDefault="00A13227" w:rsidP="00694448">
            <w:pPr>
              <w:cnfStyle w:val="000000000000" w:firstRow="0" w:lastRow="0" w:firstColumn="0" w:lastColumn="0" w:oddVBand="0" w:evenVBand="0" w:oddHBand="0" w:evenHBand="0" w:firstRowFirstColumn="0" w:firstRowLastColumn="0" w:lastRowFirstColumn="0" w:lastRowLastColumn="0"/>
            </w:pPr>
            <w:r>
              <w:t>462.</w:t>
            </w:r>
            <w:r w:rsidR="00694448">
              <w:t>8</w:t>
            </w:r>
          </w:p>
        </w:tc>
        <w:tc>
          <w:tcPr>
            <w:tcW w:w="1134" w:type="dxa"/>
          </w:tcPr>
          <w:p w:rsidR="00726774" w:rsidRPr="00726774" w:rsidRDefault="00A13227" w:rsidP="00694448">
            <w:pPr>
              <w:cnfStyle w:val="000000000000" w:firstRow="0" w:lastRow="0" w:firstColumn="0" w:lastColumn="0" w:oddVBand="0" w:evenVBand="0" w:oddHBand="0" w:evenHBand="0" w:firstRowFirstColumn="0" w:firstRowLastColumn="0" w:lastRowFirstColumn="0" w:lastRowLastColumn="0"/>
            </w:pPr>
            <w:r>
              <w:t>470.</w:t>
            </w:r>
            <w:r w:rsidR="00694448">
              <w:t>9</w:t>
            </w:r>
          </w:p>
        </w:tc>
        <w:tc>
          <w:tcPr>
            <w:tcW w:w="1134" w:type="dxa"/>
          </w:tcPr>
          <w:p w:rsidR="00726774" w:rsidRPr="00726774" w:rsidRDefault="00A13227" w:rsidP="00694448">
            <w:pPr>
              <w:cnfStyle w:val="000000000000" w:firstRow="0" w:lastRow="0" w:firstColumn="0" w:lastColumn="0" w:oddVBand="0" w:evenVBand="0" w:oddHBand="0" w:evenHBand="0" w:firstRowFirstColumn="0" w:firstRowLastColumn="0" w:lastRowFirstColumn="0" w:lastRowLastColumn="0"/>
            </w:pPr>
            <w:r>
              <w:t>470.</w:t>
            </w:r>
            <w:r w:rsidR="00694448">
              <w:t>9</w:t>
            </w:r>
          </w:p>
        </w:tc>
        <w:tc>
          <w:tcPr>
            <w:tcW w:w="1134" w:type="dxa"/>
          </w:tcPr>
          <w:p w:rsidR="00726774" w:rsidRPr="00726774" w:rsidRDefault="00A13227" w:rsidP="00694448">
            <w:pPr>
              <w:cnfStyle w:val="000000000000" w:firstRow="0" w:lastRow="0" w:firstColumn="0" w:lastColumn="0" w:oddVBand="0" w:evenVBand="0" w:oddHBand="0" w:evenHBand="0" w:firstRowFirstColumn="0" w:firstRowLastColumn="0" w:lastRowFirstColumn="0" w:lastRowLastColumn="0"/>
            </w:pPr>
            <w:r>
              <w:t>478.</w:t>
            </w:r>
            <w:r w:rsidR="00694448">
              <w:t>5</w:t>
            </w:r>
          </w:p>
        </w:tc>
        <w:tc>
          <w:tcPr>
            <w:tcW w:w="1072" w:type="dxa"/>
          </w:tcPr>
          <w:p w:rsidR="00726774" w:rsidRPr="00726774" w:rsidRDefault="00A13227" w:rsidP="00694448">
            <w:pPr>
              <w:cnfStyle w:val="000000000000" w:firstRow="0" w:lastRow="0" w:firstColumn="0" w:lastColumn="0" w:oddVBand="0" w:evenVBand="0" w:oddHBand="0" w:evenHBand="0" w:firstRowFirstColumn="0" w:firstRowLastColumn="0" w:lastRowFirstColumn="0" w:lastRowLastColumn="0"/>
            </w:pPr>
            <w:r>
              <w:t>48</w:t>
            </w:r>
            <w:r w:rsidR="00694448">
              <w:t>8.1</w:t>
            </w:r>
          </w:p>
        </w:tc>
      </w:tr>
    </w:tbl>
    <w:p w:rsidR="00D007EE" w:rsidRPr="001905C9" w:rsidRDefault="007318DF" w:rsidP="007318DF">
      <w:pPr>
        <w:pStyle w:val="AERtablesource"/>
      </w:pPr>
      <w:r>
        <w:t>Source:</w:t>
      </w:r>
      <w:r>
        <w:tab/>
        <w:t>AER analysis</w:t>
      </w:r>
      <w:r w:rsidR="000B21CD">
        <w:t>.</w:t>
      </w:r>
    </w:p>
    <w:p w:rsidR="000D15C2" w:rsidRDefault="00392FE2" w:rsidP="00DF04E1">
      <w:pPr>
        <w:pStyle w:val="Heading2"/>
        <w:keepNext/>
      </w:pPr>
      <w:bookmarkStart w:id="16" w:name="_Toc334608501"/>
      <w:bookmarkStart w:id="17" w:name="_Toc334608733"/>
      <w:bookmarkStart w:id="18" w:name="_Toc404157796"/>
      <w:bookmarkStart w:id="19" w:name="_Toc404158159"/>
      <w:bookmarkStart w:id="20" w:name="_Toc404256798"/>
      <w:bookmarkStart w:id="21" w:name="_Toc436036746"/>
      <w:bookmarkStart w:id="22" w:name="_Toc486846633"/>
      <w:r>
        <w:t>APTPPL's p</w:t>
      </w:r>
      <w:r w:rsidR="000D15C2" w:rsidRPr="008B71B7">
        <w:t>roposal</w:t>
      </w:r>
      <w:bookmarkEnd w:id="16"/>
      <w:bookmarkEnd w:id="17"/>
      <w:bookmarkEnd w:id="18"/>
      <w:bookmarkEnd w:id="19"/>
      <w:bookmarkEnd w:id="20"/>
      <w:bookmarkEnd w:id="21"/>
      <w:bookmarkEnd w:id="22"/>
    </w:p>
    <w:p w:rsidR="00D007EE" w:rsidRDefault="00392FE2" w:rsidP="00DF04E1">
      <w:pPr>
        <w:keepNext/>
      </w:pPr>
      <w:r w:rsidRPr="00392FE2">
        <w:t>APT</w:t>
      </w:r>
      <w:r>
        <w:t>PPL</w:t>
      </w:r>
      <w:r w:rsidRPr="00392FE2">
        <w:t>’s proposal outlined its opening capital base at 1 July 201</w:t>
      </w:r>
      <w:r w:rsidR="00A65077">
        <w:t>7</w:t>
      </w:r>
      <w:r w:rsidRPr="00392FE2">
        <w:t>, projected capital base over the 201</w:t>
      </w:r>
      <w:r w:rsidR="00A65077">
        <w:t>7</w:t>
      </w:r>
      <w:r w:rsidRPr="00392FE2">
        <w:t>–2</w:t>
      </w:r>
      <w:r w:rsidR="00A65077">
        <w:t>2</w:t>
      </w:r>
      <w:r w:rsidRPr="00392FE2">
        <w:t xml:space="preserve"> access arrangement period, and the depreciation approach for</w:t>
      </w:r>
      <w:r w:rsidR="00A65077">
        <w:t xml:space="preserve"> </w:t>
      </w:r>
      <w:r w:rsidR="00A65077" w:rsidRPr="00A65077">
        <w:t>determining the opening capital base at 1 July 202</w:t>
      </w:r>
      <w:r w:rsidR="00A65077">
        <w:t>2</w:t>
      </w:r>
      <w:r w:rsidR="00A65077" w:rsidRPr="00A65077">
        <w:t xml:space="preserve"> </w:t>
      </w:r>
      <w:r w:rsidR="000B21CD">
        <w:t>for</w:t>
      </w:r>
      <w:r w:rsidR="00A65077" w:rsidRPr="00A65077">
        <w:t xml:space="preserve"> the next access arrangement review.</w:t>
      </w:r>
    </w:p>
    <w:p w:rsidR="001905C9" w:rsidRDefault="00A65077" w:rsidP="00A65077">
      <w:pPr>
        <w:pStyle w:val="Heading3"/>
      </w:pPr>
      <w:bookmarkStart w:id="23" w:name="_Toc486846634"/>
      <w:r>
        <w:t>Opening capital base as at 1 July 2017</w:t>
      </w:r>
      <w:bookmarkEnd w:id="23"/>
    </w:p>
    <w:p w:rsidR="00896D8B" w:rsidRDefault="00A65077" w:rsidP="00A65077">
      <w:r w:rsidRPr="00A65077">
        <w:t>APT</w:t>
      </w:r>
      <w:r>
        <w:t>PPL</w:t>
      </w:r>
      <w:r w:rsidRPr="00A65077">
        <w:t xml:space="preserve"> proposed an opening capital base as at 1 July 201</w:t>
      </w:r>
      <w:r>
        <w:t>7</w:t>
      </w:r>
      <w:r w:rsidRPr="00A65077">
        <w:t xml:space="preserve"> of $</w:t>
      </w:r>
      <w:r w:rsidR="009F1EBD">
        <w:t>451.5</w:t>
      </w:r>
      <w:r w:rsidRPr="00A65077">
        <w:t xml:space="preserve"> million ($nominal).</w:t>
      </w:r>
      <w:r w:rsidR="00B8462C">
        <w:rPr>
          <w:rStyle w:val="FootnoteReference"/>
        </w:rPr>
        <w:footnoteReference w:id="2"/>
      </w:r>
      <w:r w:rsidRPr="00A65077">
        <w:t xml:space="preserve"> This amount is calculated by rolling forward the opening capital base as at 1 </w:t>
      </w:r>
      <w:r>
        <w:t>September 2012</w:t>
      </w:r>
      <w:r w:rsidRPr="00A65077">
        <w:t xml:space="preserve"> of $</w:t>
      </w:r>
      <w:r w:rsidR="009F1EBD">
        <w:t>417.7</w:t>
      </w:r>
      <w:r>
        <w:t xml:space="preserve"> mill</w:t>
      </w:r>
      <w:r w:rsidRPr="00A65077">
        <w:t>ion ($nominal) by adding actual net capex, removing approved forecast depreciation and adding inflation indexation on the opening capital base in each year of the 201</w:t>
      </w:r>
      <w:r>
        <w:t>2</w:t>
      </w:r>
      <w:r w:rsidRPr="00A65077">
        <w:t>–1</w:t>
      </w:r>
      <w:r>
        <w:t>7</w:t>
      </w:r>
      <w:r w:rsidRPr="00A65077">
        <w:t xml:space="preserve"> access arrangement period.</w:t>
      </w:r>
      <w:r w:rsidR="007318DF">
        <w:t xml:space="preserve"> APTPPL proposed a number of adjustments to</w:t>
      </w:r>
      <w:r w:rsidR="00B00EDD">
        <w:t xml:space="preserve"> the</w:t>
      </w:r>
      <w:r w:rsidR="007318DF">
        <w:t xml:space="preserve"> inputs to </w:t>
      </w:r>
      <w:r w:rsidR="00B00EDD">
        <w:t>its</w:t>
      </w:r>
      <w:r w:rsidR="007318DF">
        <w:t xml:space="preserve"> capital base </w:t>
      </w:r>
      <w:r w:rsidR="009A1174">
        <w:t>RFM</w:t>
      </w:r>
      <w:r w:rsidR="00896D8B">
        <w:t xml:space="preserve"> including:</w:t>
      </w:r>
      <w:r w:rsidR="00DA1A6F">
        <w:rPr>
          <w:rStyle w:val="FootnoteReference"/>
        </w:rPr>
        <w:footnoteReference w:id="3"/>
      </w:r>
    </w:p>
    <w:p w:rsidR="00896D8B" w:rsidRDefault="00B00EDD" w:rsidP="00896D8B">
      <w:pPr>
        <w:pStyle w:val="AERbulletlistfirststyle"/>
      </w:pPr>
      <w:r>
        <w:t>a</w:t>
      </w:r>
      <w:r w:rsidR="00896D8B">
        <w:t xml:space="preserve"> reduction in the number of asset classes from 25 asset classes to 11 asset classes, </w:t>
      </w:r>
      <w:r w:rsidR="009E44CC">
        <w:t>as a result of</w:t>
      </w:r>
      <w:r w:rsidR="00896D8B">
        <w:t xml:space="preserve"> </w:t>
      </w:r>
      <w:r w:rsidR="009E44CC">
        <w:t>consolidating</w:t>
      </w:r>
      <w:r w:rsidR="007601BF">
        <w:t xml:space="preserve"> the disaggregated </w:t>
      </w:r>
      <w:r w:rsidR="00896D8B">
        <w:t>pipeline</w:t>
      </w:r>
      <w:r>
        <w:t>s/laterals</w:t>
      </w:r>
      <w:r w:rsidR="007601BF">
        <w:rPr>
          <w:rStyle w:val="FootnoteReference"/>
        </w:rPr>
        <w:footnoteReference w:id="4"/>
      </w:r>
      <w:r w:rsidR="00896D8B">
        <w:t xml:space="preserve"> and compressor</w:t>
      </w:r>
      <w:r>
        <w:t>s</w:t>
      </w:r>
      <w:r w:rsidR="007601BF">
        <w:rPr>
          <w:rStyle w:val="FootnoteReference"/>
        </w:rPr>
        <w:footnoteReference w:id="5"/>
      </w:r>
      <w:r w:rsidR="00896D8B">
        <w:t xml:space="preserve"> asset</w:t>
      </w:r>
      <w:r w:rsidR="007318DF">
        <w:t xml:space="preserve"> classes</w:t>
      </w:r>
    </w:p>
    <w:p w:rsidR="00896D8B" w:rsidRDefault="007318DF" w:rsidP="00896D8B">
      <w:pPr>
        <w:pStyle w:val="AERbulletlistfirststyle"/>
      </w:pPr>
      <w:r>
        <w:t>accelerat</w:t>
      </w:r>
      <w:r w:rsidR="00896D8B">
        <w:t xml:space="preserve">ing the </w:t>
      </w:r>
      <w:r>
        <w:t xml:space="preserve">depreciation of </w:t>
      </w:r>
      <w:r w:rsidR="00896D8B">
        <w:t xml:space="preserve">redundant compressors or compressors nearing the end of their useful life, </w:t>
      </w:r>
      <w:r>
        <w:t xml:space="preserve"> with </w:t>
      </w:r>
      <w:r w:rsidR="00896D8B">
        <w:t>an offsetting adjustment to the forecast  depreciation of the pipeline</w:t>
      </w:r>
      <w:r w:rsidR="00B00EDD">
        <w:t>s</w:t>
      </w:r>
      <w:r w:rsidR="00896D8B">
        <w:t xml:space="preserve"> asset classes</w:t>
      </w:r>
      <w:r w:rsidR="007601BF">
        <w:rPr>
          <w:rStyle w:val="FootnoteReference"/>
        </w:rPr>
        <w:footnoteReference w:id="6"/>
      </w:r>
    </w:p>
    <w:p w:rsidR="00A65077" w:rsidRDefault="00586FF1" w:rsidP="00896D8B">
      <w:pPr>
        <w:pStyle w:val="AERbulletlistfirststyle"/>
      </w:pPr>
      <w:proofErr w:type="gramStart"/>
      <w:r>
        <w:t>allocating</w:t>
      </w:r>
      <w:proofErr w:type="gramEnd"/>
      <w:r>
        <w:t xml:space="preserve"> </w:t>
      </w:r>
      <w:r w:rsidR="00B00EDD">
        <w:t xml:space="preserve">the actual capex associated with the </w:t>
      </w:r>
      <w:r w:rsidR="00896D8B">
        <w:t xml:space="preserve">RBP </w:t>
      </w:r>
      <w:r w:rsidR="00B00EDD">
        <w:t>e</w:t>
      </w:r>
      <w:r w:rsidR="00896D8B">
        <w:t xml:space="preserve">xpansion 8 (RBP8) project </w:t>
      </w:r>
      <w:r w:rsidR="007601BF">
        <w:t xml:space="preserve">to the </w:t>
      </w:r>
      <w:r w:rsidR="008A0705">
        <w:t>"</w:t>
      </w:r>
      <w:r w:rsidR="00B00EDD">
        <w:t>P</w:t>
      </w:r>
      <w:r w:rsidR="007601BF">
        <w:t>ipelines</w:t>
      </w:r>
      <w:r w:rsidR="008A0705">
        <w:t>"</w:t>
      </w:r>
      <w:r w:rsidR="007601BF">
        <w:t xml:space="preserve"> </w:t>
      </w:r>
      <w:r w:rsidR="00896D8B">
        <w:t>asset class.</w:t>
      </w:r>
      <w:r w:rsidR="00223560">
        <w:rPr>
          <w:rStyle w:val="FootnoteReference"/>
        </w:rPr>
        <w:footnoteReference w:id="7"/>
      </w:r>
    </w:p>
    <w:p w:rsidR="00B066D4" w:rsidRDefault="00A65077">
      <w:pPr>
        <w:spacing w:line="240" w:lineRule="auto"/>
        <w:rPr>
          <w:b/>
          <w:bCs/>
          <w:color w:val="076A92" w:themeColor="text1"/>
          <w:sz w:val="24"/>
          <w:szCs w:val="18"/>
        </w:rPr>
      </w:pPr>
      <w:r w:rsidRPr="00A65077">
        <w:t>APT</w:t>
      </w:r>
      <w:r w:rsidR="00E57C2C">
        <w:t>PPL</w:t>
      </w:r>
      <w:r w:rsidRPr="00A65077">
        <w:t>’s proposed capital base roll forward during the 201</w:t>
      </w:r>
      <w:r w:rsidR="00B00EDD">
        <w:t>2</w:t>
      </w:r>
      <w:r w:rsidRPr="00A65077">
        <w:t>–1</w:t>
      </w:r>
      <w:r w:rsidR="00B066D4">
        <w:t>7</w:t>
      </w:r>
      <w:r w:rsidRPr="00A65077">
        <w:t xml:space="preserve"> access arrangement </w:t>
      </w:r>
      <w:proofErr w:type="gramStart"/>
      <w:r w:rsidRPr="00A65077">
        <w:t>period</w:t>
      </w:r>
      <w:proofErr w:type="gramEnd"/>
      <w:r w:rsidRPr="00A65077">
        <w:t xml:space="preserve"> is shown in </w:t>
      </w:r>
      <w:bookmarkStart w:id="24" w:name="_Ref466022810"/>
      <w:r w:rsidR="0035371A">
        <w:fldChar w:fldCharType="begin"/>
      </w:r>
      <w:r w:rsidR="0035371A">
        <w:instrText xml:space="preserve"> REF _Ref485826338 \h </w:instrText>
      </w:r>
      <w:r w:rsidR="0035371A">
        <w:fldChar w:fldCharType="separate"/>
      </w:r>
      <w:r w:rsidR="00996D16">
        <w:t xml:space="preserve">Table </w:t>
      </w:r>
      <w:r w:rsidR="00996D16">
        <w:rPr>
          <w:noProof/>
        </w:rPr>
        <w:t>2</w:t>
      </w:r>
      <w:r w:rsidR="00996D16">
        <w:t>.</w:t>
      </w:r>
      <w:r w:rsidR="00996D16">
        <w:rPr>
          <w:noProof/>
        </w:rPr>
        <w:t>3</w:t>
      </w:r>
      <w:r w:rsidR="0035371A">
        <w:fldChar w:fldCharType="end"/>
      </w:r>
      <w:r w:rsidR="0035371A">
        <w:t>.</w:t>
      </w:r>
    </w:p>
    <w:p w:rsidR="00912B58" w:rsidRDefault="009F1EBD" w:rsidP="0035371A">
      <w:pPr>
        <w:pStyle w:val="Caption"/>
      </w:pPr>
      <w:bookmarkStart w:id="25" w:name="_Ref485826338"/>
      <w:r>
        <w:t>Tab</w:t>
      </w:r>
      <w:bookmarkStart w:id="26" w:name="_GoBack"/>
      <w:bookmarkEnd w:id="26"/>
      <w:r>
        <w:t xml:space="preserve">le </w:t>
      </w:r>
      <w:fldSimple w:instr=" STYLEREF 1 \s ">
        <w:r w:rsidR="00996D16">
          <w:rPr>
            <w:noProof/>
          </w:rPr>
          <w:t>2</w:t>
        </w:r>
      </w:fldSimple>
      <w:r w:rsidR="00F03EB5">
        <w:t>.</w:t>
      </w:r>
      <w:fldSimple w:instr=" SEQ Table \* ARABIC \s 1 ">
        <w:r w:rsidR="00996D16">
          <w:rPr>
            <w:noProof/>
          </w:rPr>
          <w:t>3</w:t>
        </w:r>
      </w:fldSimple>
      <w:bookmarkEnd w:id="24"/>
      <w:bookmarkEnd w:id="25"/>
      <w:r w:rsidR="006D06BB">
        <w:tab/>
        <w:t>APTPPL's proposed capital base roll forward for 2012–1</w:t>
      </w:r>
      <w:r w:rsidR="00B066D4">
        <w:t>7</w:t>
      </w:r>
      <w:r w:rsidR="006D06BB">
        <w:t xml:space="preserve"> access arrangement period ($millions, nominal)</w:t>
      </w:r>
    </w:p>
    <w:tbl>
      <w:tblPr>
        <w:tblStyle w:val="AERtable-numbers"/>
        <w:tblW w:w="8613" w:type="dxa"/>
        <w:tblLook w:val="04A0" w:firstRow="1" w:lastRow="0" w:firstColumn="1" w:lastColumn="0" w:noHBand="0" w:noVBand="1"/>
      </w:tblPr>
      <w:tblGrid>
        <w:gridCol w:w="3235"/>
        <w:gridCol w:w="995"/>
        <w:gridCol w:w="1137"/>
        <w:gridCol w:w="1137"/>
        <w:gridCol w:w="1137"/>
        <w:gridCol w:w="972"/>
      </w:tblGrid>
      <w:tr w:rsidR="00912B58" w:rsidTr="008D3720">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b w:val="0"/>
                <w:color w:val="auto"/>
                <w:sz w:val="22"/>
                <w:szCs w:val="22"/>
                <w:lang w:eastAsia="en-US"/>
              </w:rPr>
            </w:pPr>
          </w:p>
        </w:tc>
        <w:tc>
          <w:tcPr>
            <w:tcW w:w="995" w:type="dxa"/>
          </w:tcPr>
          <w:p w:rsidR="00912B58" w:rsidRDefault="00912B58"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2012–13</w:t>
            </w:r>
          </w:p>
        </w:tc>
        <w:tc>
          <w:tcPr>
            <w:tcW w:w="1137" w:type="dxa"/>
          </w:tcPr>
          <w:p w:rsidR="00912B58" w:rsidRDefault="00912B58"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2013–14</w:t>
            </w:r>
          </w:p>
        </w:tc>
        <w:tc>
          <w:tcPr>
            <w:tcW w:w="1137" w:type="dxa"/>
          </w:tcPr>
          <w:p w:rsidR="00912B58" w:rsidRDefault="00912B58"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2014–15</w:t>
            </w:r>
          </w:p>
        </w:tc>
        <w:tc>
          <w:tcPr>
            <w:tcW w:w="1137" w:type="dxa"/>
          </w:tcPr>
          <w:p w:rsidR="00912B58" w:rsidRDefault="00912B58"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2015–16</w:t>
            </w:r>
          </w:p>
        </w:tc>
        <w:tc>
          <w:tcPr>
            <w:tcW w:w="972" w:type="dxa"/>
          </w:tcPr>
          <w:p w:rsidR="00912B58" w:rsidRDefault="00912B58" w:rsidP="00DF04E1">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2016–17</w:t>
            </w:r>
          </w:p>
        </w:tc>
      </w:tr>
      <w:tr w:rsidR="00912B58" w:rsidTr="008D3720">
        <w:trPr>
          <w:trHeight w:val="330"/>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sz w:val="22"/>
                <w:szCs w:val="22"/>
                <w:lang w:eastAsia="en-US"/>
              </w:rPr>
            </w:pPr>
            <w:r>
              <w:t>Opening capital base</w:t>
            </w:r>
          </w:p>
        </w:tc>
        <w:tc>
          <w:tcPr>
            <w:tcW w:w="995"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Fonts w:eastAsia="Calibri"/>
                <w:b/>
                <w:szCs w:val="20"/>
              </w:rPr>
            </w:pPr>
            <w:r w:rsidRPr="008D3720">
              <w:rPr>
                <w:rStyle w:val="AERtextsize8"/>
              </w:rPr>
              <w:t>417.7</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Fonts w:eastAsia="Calibri"/>
                <w:b/>
                <w:szCs w:val="20"/>
              </w:rPr>
            </w:pPr>
            <w:r w:rsidRPr="008D3720">
              <w:rPr>
                <w:rStyle w:val="AERtextsize8"/>
              </w:rPr>
              <w:t>418.8</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Fonts w:eastAsia="Calibri"/>
                <w:b/>
                <w:szCs w:val="20"/>
              </w:rPr>
            </w:pPr>
            <w:r w:rsidRPr="008D3720">
              <w:rPr>
                <w:rStyle w:val="AERtextsize8"/>
              </w:rPr>
              <w:t>425.3</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Fonts w:eastAsia="Calibri"/>
                <w:b/>
                <w:szCs w:val="20"/>
              </w:rPr>
            </w:pPr>
            <w:r w:rsidRPr="008D3720">
              <w:rPr>
                <w:rStyle w:val="AERtextsize8"/>
              </w:rPr>
              <w:t>436.7</w:t>
            </w:r>
          </w:p>
        </w:tc>
        <w:tc>
          <w:tcPr>
            <w:tcW w:w="972"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Fonts w:eastAsia="Calibri"/>
                <w:b/>
                <w:szCs w:val="20"/>
              </w:rPr>
            </w:pPr>
            <w:r w:rsidRPr="008D3720">
              <w:rPr>
                <w:rStyle w:val="AERtextsize8"/>
              </w:rPr>
              <w:t>434.9</w:t>
            </w:r>
          </w:p>
        </w:tc>
      </w:tr>
      <w:tr w:rsidR="00912B58" w:rsidTr="008D3720">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b/>
                <w:bCs/>
                <w:sz w:val="22"/>
                <w:szCs w:val="22"/>
                <w:lang w:eastAsia="en-US"/>
              </w:rPr>
            </w:pPr>
            <w:r>
              <w:t>Net capex</w:t>
            </w:r>
          </w:p>
        </w:tc>
        <w:tc>
          <w:tcPr>
            <w:tcW w:w="995"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6.0</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10.</w:t>
            </w:r>
            <w:r w:rsidR="00B066D4">
              <w:rPr>
                <w:rStyle w:val="AERtextsize8"/>
              </w:rPr>
              <w:t>8</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23.6</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10.2</w:t>
            </w:r>
          </w:p>
        </w:tc>
        <w:tc>
          <w:tcPr>
            <w:tcW w:w="972"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18.8</w:t>
            </w:r>
          </w:p>
        </w:tc>
      </w:tr>
      <w:tr w:rsidR="00912B58" w:rsidTr="008D3720">
        <w:trPr>
          <w:trHeight w:val="330"/>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b/>
                <w:bCs/>
                <w:sz w:val="22"/>
                <w:szCs w:val="22"/>
                <w:lang w:eastAsia="en-US"/>
              </w:rPr>
            </w:pPr>
            <w:r>
              <w:t>Indexation of capital base</w:t>
            </w:r>
          </w:p>
        </w:tc>
        <w:tc>
          <w:tcPr>
            <w:tcW w:w="995"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10.4</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12.3</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5.7</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5.7</w:t>
            </w:r>
          </w:p>
        </w:tc>
        <w:tc>
          <w:tcPr>
            <w:tcW w:w="972"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8.7</w:t>
            </w:r>
          </w:p>
        </w:tc>
      </w:tr>
      <w:tr w:rsidR="00912B58" w:rsidTr="008D3720">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726774" w:rsidP="00DF04E1">
            <w:pPr>
              <w:keepNext/>
              <w:rPr>
                <w:rFonts w:eastAsiaTheme="minorHAnsi" w:cstheme="minorBidi"/>
                <w:b/>
                <w:bCs/>
                <w:sz w:val="22"/>
                <w:szCs w:val="22"/>
                <w:lang w:eastAsia="en-US"/>
              </w:rPr>
            </w:pPr>
            <w:r w:rsidRPr="004510BB">
              <w:rPr>
                <w:rStyle w:val="AERtextitalic"/>
              </w:rPr>
              <w:t>Less:</w:t>
            </w:r>
            <w:r>
              <w:t xml:space="preserve"> </w:t>
            </w:r>
            <w:r w:rsidR="00B00EDD">
              <w:t>s</w:t>
            </w:r>
            <w:r>
              <w:t>traight-line d</w:t>
            </w:r>
            <w:r w:rsidR="00912B58">
              <w:t>epreciation</w:t>
            </w:r>
          </w:p>
        </w:tc>
        <w:tc>
          <w:tcPr>
            <w:tcW w:w="995"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15.3</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16.5</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18.0</w:t>
            </w:r>
          </w:p>
        </w:tc>
        <w:tc>
          <w:tcPr>
            <w:tcW w:w="1137"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17.7</w:t>
            </w:r>
          </w:p>
        </w:tc>
        <w:tc>
          <w:tcPr>
            <w:tcW w:w="972"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16.8</w:t>
            </w:r>
          </w:p>
        </w:tc>
      </w:tr>
      <w:tr w:rsidR="00912B58" w:rsidTr="008D3720">
        <w:trPr>
          <w:trHeight w:val="330"/>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b/>
                <w:bCs/>
                <w:sz w:val="22"/>
                <w:szCs w:val="22"/>
                <w:lang w:eastAsia="en-US"/>
              </w:rPr>
            </w:pPr>
            <w:r>
              <w:t>Closing capital base</w:t>
            </w:r>
          </w:p>
        </w:tc>
        <w:tc>
          <w:tcPr>
            <w:tcW w:w="995"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418.8</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425.3</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436.7</w:t>
            </w:r>
          </w:p>
        </w:tc>
        <w:tc>
          <w:tcPr>
            <w:tcW w:w="1137"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434.9</w:t>
            </w:r>
          </w:p>
        </w:tc>
        <w:tc>
          <w:tcPr>
            <w:tcW w:w="972"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445.6</w:t>
            </w:r>
          </w:p>
        </w:tc>
      </w:tr>
      <w:tr w:rsidR="00912B58" w:rsidTr="008D3720">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35" w:type="dxa"/>
          </w:tcPr>
          <w:p w:rsidR="00912B58" w:rsidRDefault="00912B58" w:rsidP="00DF04E1">
            <w:pPr>
              <w:keepNext/>
              <w:rPr>
                <w:rFonts w:eastAsiaTheme="minorHAnsi" w:cstheme="minorBidi"/>
                <w:b/>
                <w:bCs/>
                <w:sz w:val="22"/>
                <w:szCs w:val="22"/>
                <w:lang w:eastAsia="en-US"/>
              </w:rPr>
            </w:pPr>
            <w:r>
              <w:t>Adjustment for 2011</w:t>
            </w:r>
            <w:r w:rsidR="00B00EDD">
              <w:t>–</w:t>
            </w:r>
            <w:r>
              <w:t>12 capex</w:t>
            </w:r>
            <w:r w:rsidR="000D0C05" w:rsidRPr="000D0C05">
              <w:rPr>
                <w:rStyle w:val="AERsuperscript"/>
              </w:rPr>
              <w:t>a</w:t>
            </w:r>
          </w:p>
        </w:tc>
        <w:tc>
          <w:tcPr>
            <w:tcW w:w="995" w:type="dxa"/>
          </w:tcPr>
          <w:p w:rsidR="00912B58" w:rsidRPr="008D3720" w:rsidRDefault="00912B58"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p>
        </w:tc>
        <w:tc>
          <w:tcPr>
            <w:tcW w:w="972" w:type="dxa"/>
          </w:tcPr>
          <w:p w:rsidR="00912B58" w:rsidRPr="008D3720" w:rsidRDefault="006F18BF" w:rsidP="00DF04E1">
            <w:pPr>
              <w:pStyle w:val="AERtabletextright"/>
              <w:keepNext/>
              <w:cnfStyle w:val="000000010000" w:firstRow="0" w:lastRow="0" w:firstColumn="0" w:lastColumn="0" w:oddVBand="0" w:evenVBand="0" w:oddHBand="0" w:evenHBand="1" w:firstRowFirstColumn="0" w:firstRowLastColumn="0" w:lastRowFirstColumn="0" w:lastRowLastColumn="0"/>
              <w:rPr>
                <w:rStyle w:val="AERtextsize8"/>
              </w:rPr>
            </w:pPr>
            <w:r w:rsidRPr="008D3720">
              <w:rPr>
                <w:rStyle w:val="AERtextsize8"/>
              </w:rPr>
              <w:t>6.0</w:t>
            </w:r>
          </w:p>
        </w:tc>
      </w:tr>
      <w:tr w:rsidR="00912B58" w:rsidTr="008D3720">
        <w:trPr>
          <w:trHeight w:val="330"/>
        </w:trPr>
        <w:tc>
          <w:tcPr>
            <w:cnfStyle w:val="001000000000" w:firstRow="0" w:lastRow="0" w:firstColumn="1" w:lastColumn="0" w:oddVBand="0" w:evenVBand="0" w:oddHBand="0" w:evenHBand="0" w:firstRowFirstColumn="0" w:firstRowLastColumn="0" w:lastRowFirstColumn="0" w:lastRowLastColumn="0"/>
            <w:tcW w:w="3235" w:type="dxa"/>
          </w:tcPr>
          <w:p w:rsidR="00912B58" w:rsidRPr="00912B58" w:rsidRDefault="00912B58" w:rsidP="00DF04E1">
            <w:pPr>
              <w:keepNext/>
              <w:rPr>
                <w:rStyle w:val="Strong"/>
                <w:rFonts w:eastAsiaTheme="minorHAnsi"/>
                <w:sz w:val="20"/>
                <w:szCs w:val="24"/>
              </w:rPr>
            </w:pPr>
            <w:r w:rsidRPr="00912B58">
              <w:rPr>
                <w:rStyle w:val="Strong"/>
              </w:rPr>
              <w:t>Opening capital base as at 1 July 2017</w:t>
            </w:r>
          </w:p>
        </w:tc>
        <w:tc>
          <w:tcPr>
            <w:tcW w:w="995" w:type="dxa"/>
          </w:tcPr>
          <w:p w:rsidR="00912B58" w:rsidRPr="008D3720" w:rsidRDefault="00912B58"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p>
        </w:tc>
        <w:tc>
          <w:tcPr>
            <w:tcW w:w="1137" w:type="dxa"/>
          </w:tcPr>
          <w:p w:rsidR="00912B58" w:rsidRPr="008D3720" w:rsidRDefault="00912B58"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p>
        </w:tc>
        <w:tc>
          <w:tcPr>
            <w:tcW w:w="972" w:type="dxa"/>
          </w:tcPr>
          <w:p w:rsidR="00912B58" w:rsidRPr="008D3720" w:rsidRDefault="006F18BF" w:rsidP="00DF04E1">
            <w:pPr>
              <w:pStyle w:val="AERtabletextright"/>
              <w:keepNext/>
              <w:cnfStyle w:val="000000000000" w:firstRow="0" w:lastRow="0" w:firstColumn="0" w:lastColumn="0" w:oddVBand="0" w:evenVBand="0" w:oddHBand="0" w:evenHBand="0" w:firstRowFirstColumn="0" w:firstRowLastColumn="0" w:lastRowFirstColumn="0" w:lastRowLastColumn="0"/>
              <w:rPr>
                <w:rStyle w:val="AERtextsize8"/>
              </w:rPr>
            </w:pPr>
            <w:r w:rsidRPr="008D3720">
              <w:rPr>
                <w:rStyle w:val="AERtextsize8"/>
              </w:rPr>
              <w:t>451.5</w:t>
            </w:r>
          </w:p>
        </w:tc>
      </w:tr>
    </w:tbl>
    <w:p w:rsidR="006F18BF" w:rsidRDefault="006F18BF" w:rsidP="00DF04E1">
      <w:pPr>
        <w:pStyle w:val="AERtablesource"/>
        <w:keepNext/>
      </w:pPr>
      <w:r>
        <w:t>Source:</w:t>
      </w:r>
      <w:r w:rsidR="000D0C05">
        <w:tab/>
        <w:t xml:space="preserve">RBP, </w:t>
      </w:r>
      <w:r w:rsidR="000D0C05" w:rsidRPr="002E373C">
        <w:rPr>
          <w:rStyle w:val="AERtextitalic"/>
        </w:rPr>
        <w:t>Proposed RFM</w:t>
      </w:r>
      <w:r w:rsidR="000D0C05">
        <w:t>, September 2016.</w:t>
      </w:r>
    </w:p>
    <w:p w:rsidR="000D0C05" w:rsidRPr="000D0C05" w:rsidRDefault="000D0C05" w:rsidP="00DF04E1">
      <w:pPr>
        <w:pStyle w:val="AERtablesource"/>
        <w:keepNext/>
      </w:pPr>
      <w:r>
        <w:t xml:space="preserve">(a) </w:t>
      </w:r>
      <w:r w:rsidR="005F1736">
        <w:tab/>
      </w:r>
      <w:r>
        <w:t>Comprising the difference between the actual and estimated capex for 2011–12 and the return on that difference</w:t>
      </w:r>
      <w:r w:rsidR="00883DCC">
        <w:t>.</w:t>
      </w:r>
      <w:r>
        <w:t xml:space="preserve"> </w:t>
      </w:r>
    </w:p>
    <w:p w:rsidR="00A65077" w:rsidRDefault="00912B58" w:rsidP="00912B58">
      <w:pPr>
        <w:pStyle w:val="Heading3"/>
      </w:pPr>
      <w:bookmarkStart w:id="27" w:name="_Toc486846635"/>
      <w:r>
        <w:t>Projected capital base over the 2017–22 access arrangement period</w:t>
      </w:r>
      <w:bookmarkEnd w:id="27"/>
    </w:p>
    <w:p w:rsidR="00912B58" w:rsidRDefault="00912B58" w:rsidP="00912B58">
      <w:r w:rsidRPr="00912B58">
        <w:t>APT</w:t>
      </w:r>
      <w:r>
        <w:t>PPL</w:t>
      </w:r>
      <w:r w:rsidRPr="00912B58">
        <w:t xml:space="preserve"> proposed a projected closing capital base as at 30 June 202</w:t>
      </w:r>
      <w:r>
        <w:t>2</w:t>
      </w:r>
      <w:r w:rsidRPr="00912B58">
        <w:t xml:space="preserve"> of $</w:t>
      </w:r>
      <w:r w:rsidR="00224435">
        <w:t>505.4</w:t>
      </w:r>
      <w:r w:rsidR="00883DCC">
        <w:t> </w:t>
      </w:r>
      <w:r w:rsidRPr="00912B58">
        <w:t>million ($nominal). APT</w:t>
      </w:r>
      <w:r>
        <w:t>PPL</w:t>
      </w:r>
      <w:r w:rsidRPr="00912B58">
        <w:t xml:space="preserve"> determined this value by adjusting the closing value at 30 June 201</w:t>
      </w:r>
      <w:r>
        <w:t>7</w:t>
      </w:r>
      <w:r w:rsidRPr="00912B58">
        <w:t xml:space="preserve"> for depreciation (attachment 5), forecast net capex (attachment 6) and </w:t>
      </w:r>
      <w:r w:rsidR="00883DCC">
        <w:t xml:space="preserve">expected </w:t>
      </w:r>
      <w:r w:rsidRPr="00912B58">
        <w:t>inflation (attachment 3). The projected roll forward of the capital base during the 201</w:t>
      </w:r>
      <w:r>
        <w:t>7</w:t>
      </w:r>
      <w:r w:rsidRPr="00912B58">
        <w:t>–2</w:t>
      </w:r>
      <w:r>
        <w:t>2</w:t>
      </w:r>
      <w:r w:rsidRPr="00912B58">
        <w:t xml:space="preserve"> access arrangement </w:t>
      </w:r>
      <w:proofErr w:type="gramStart"/>
      <w:r w:rsidRPr="00912B58">
        <w:t>period</w:t>
      </w:r>
      <w:proofErr w:type="gramEnd"/>
      <w:r w:rsidRPr="00912B58">
        <w:t xml:space="preserve"> is shown in </w:t>
      </w:r>
      <w:r w:rsidR="009F1EBD">
        <w:fldChar w:fldCharType="begin"/>
      </w:r>
      <w:r w:rsidR="009F1EBD">
        <w:instrText xml:space="preserve"> REF _Ref466022832 \h </w:instrText>
      </w:r>
      <w:r w:rsidR="009F1EBD">
        <w:fldChar w:fldCharType="separate"/>
      </w:r>
      <w:r w:rsidR="00996D16">
        <w:t xml:space="preserve">Table </w:t>
      </w:r>
      <w:r w:rsidR="00996D16">
        <w:rPr>
          <w:noProof/>
        </w:rPr>
        <w:t>2</w:t>
      </w:r>
      <w:r w:rsidR="00996D16">
        <w:t>.</w:t>
      </w:r>
      <w:r w:rsidR="00996D16">
        <w:rPr>
          <w:noProof/>
        </w:rPr>
        <w:t>4</w:t>
      </w:r>
      <w:r w:rsidR="009F1EBD">
        <w:fldChar w:fldCharType="end"/>
      </w:r>
    </w:p>
    <w:p w:rsidR="00912B58" w:rsidRDefault="009F1EBD" w:rsidP="009F1EBD">
      <w:pPr>
        <w:pStyle w:val="Caption"/>
      </w:pPr>
      <w:bookmarkStart w:id="28" w:name="_Ref466022832"/>
      <w:r>
        <w:t xml:space="preserve">Table </w:t>
      </w:r>
      <w:fldSimple w:instr=" STYLEREF 1 \s ">
        <w:r w:rsidR="00996D16">
          <w:rPr>
            <w:noProof/>
          </w:rPr>
          <w:t>2</w:t>
        </w:r>
      </w:fldSimple>
      <w:r w:rsidR="00F03EB5">
        <w:t>.</w:t>
      </w:r>
      <w:fldSimple w:instr=" SEQ Table \* ARABIC \s 1 ">
        <w:r w:rsidR="00996D16">
          <w:rPr>
            <w:noProof/>
          </w:rPr>
          <w:t>4</w:t>
        </w:r>
      </w:fldSimple>
      <w:bookmarkEnd w:id="28"/>
      <w:r w:rsidR="006D06BB">
        <w:tab/>
      </w:r>
      <w:r w:rsidR="006D06BB" w:rsidRPr="006D06BB">
        <w:t>A</w:t>
      </w:r>
      <w:r w:rsidR="006D06BB">
        <w:t>PTPPL</w:t>
      </w:r>
      <w:r w:rsidR="006D06BB" w:rsidRPr="006D06BB">
        <w:t xml:space="preserve">'s </w:t>
      </w:r>
      <w:r w:rsidR="006D06BB">
        <w:t xml:space="preserve">proposed </w:t>
      </w:r>
      <w:r w:rsidR="006D06BB" w:rsidRPr="006D06BB">
        <w:t>projected capital base roll forward for the 2017–22 access arrangement period ($million, nominal)</w:t>
      </w:r>
    </w:p>
    <w:tbl>
      <w:tblPr>
        <w:tblStyle w:val="AERtable-numbers"/>
        <w:tblW w:w="0" w:type="auto"/>
        <w:tblLook w:val="04A0" w:firstRow="1" w:lastRow="0" w:firstColumn="1" w:lastColumn="0" w:noHBand="0" w:noVBand="1"/>
      </w:tblPr>
      <w:tblGrid>
        <w:gridCol w:w="3084"/>
        <w:gridCol w:w="1134"/>
        <w:gridCol w:w="1134"/>
        <w:gridCol w:w="1134"/>
        <w:gridCol w:w="1134"/>
        <w:gridCol w:w="1072"/>
      </w:tblGrid>
      <w:tr w:rsidR="00912B58" w:rsidTr="00912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2B58" w:rsidRDefault="00912B58" w:rsidP="00912B58"/>
        </w:tc>
        <w:tc>
          <w:tcPr>
            <w:tcW w:w="1134" w:type="dxa"/>
          </w:tcPr>
          <w:p w:rsidR="00912B58" w:rsidRDefault="00912B58" w:rsidP="00912B58">
            <w:pPr>
              <w:cnfStyle w:val="100000000000" w:firstRow="1" w:lastRow="0" w:firstColumn="0" w:lastColumn="0" w:oddVBand="0" w:evenVBand="0" w:oddHBand="0" w:evenHBand="0" w:firstRowFirstColumn="0" w:firstRowLastColumn="0" w:lastRowFirstColumn="0" w:lastRowLastColumn="0"/>
            </w:pPr>
            <w:r>
              <w:t>2017–18</w:t>
            </w:r>
          </w:p>
        </w:tc>
        <w:tc>
          <w:tcPr>
            <w:tcW w:w="1134" w:type="dxa"/>
          </w:tcPr>
          <w:p w:rsidR="00912B58" w:rsidRDefault="00912B58" w:rsidP="00912B58">
            <w:pPr>
              <w:cnfStyle w:val="100000000000" w:firstRow="1" w:lastRow="0" w:firstColumn="0" w:lastColumn="0" w:oddVBand="0" w:evenVBand="0" w:oddHBand="0" w:evenHBand="0" w:firstRowFirstColumn="0" w:firstRowLastColumn="0" w:lastRowFirstColumn="0" w:lastRowLastColumn="0"/>
            </w:pPr>
            <w:r>
              <w:t>2018–19</w:t>
            </w:r>
          </w:p>
        </w:tc>
        <w:tc>
          <w:tcPr>
            <w:tcW w:w="1134" w:type="dxa"/>
          </w:tcPr>
          <w:p w:rsidR="00912B58" w:rsidRDefault="00912B58" w:rsidP="00912B58">
            <w:pPr>
              <w:cnfStyle w:val="100000000000" w:firstRow="1" w:lastRow="0" w:firstColumn="0" w:lastColumn="0" w:oddVBand="0" w:evenVBand="0" w:oddHBand="0" w:evenHBand="0" w:firstRowFirstColumn="0" w:firstRowLastColumn="0" w:lastRowFirstColumn="0" w:lastRowLastColumn="0"/>
            </w:pPr>
            <w:r>
              <w:t>2019–20</w:t>
            </w:r>
          </w:p>
        </w:tc>
        <w:tc>
          <w:tcPr>
            <w:tcW w:w="1134" w:type="dxa"/>
          </w:tcPr>
          <w:p w:rsidR="00912B58" w:rsidRDefault="00912B58" w:rsidP="00912B58">
            <w:pPr>
              <w:cnfStyle w:val="100000000000" w:firstRow="1" w:lastRow="0" w:firstColumn="0" w:lastColumn="0" w:oddVBand="0" w:evenVBand="0" w:oddHBand="0" w:evenHBand="0" w:firstRowFirstColumn="0" w:firstRowLastColumn="0" w:lastRowFirstColumn="0" w:lastRowLastColumn="0"/>
            </w:pPr>
            <w:r>
              <w:t>2020–21</w:t>
            </w:r>
          </w:p>
        </w:tc>
        <w:tc>
          <w:tcPr>
            <w:tcW w:w="1072" w:type="dxa"/>
          </w:tcPr>
          <w:p w:rsidR="00912B58" w:rsidRDefault="00912B58" w:rsidP="00912B58">
            <w:pPr>
              <w:cnfStyle w:val="100000000000" w:firstRow="1" w:lastRow="0" w:firstColumn="0" w:lastColumn="0" w:oddVBand="0" w:evenVBand="0" w:oddHBand="0" w:evenHBand="0" w:firstRowFirstColumn="0" w:firstRowLastColumn="0" w:lastRowFirstColumn="0" w:lastRowLastColumn="0"/>
            </w:pPr>
            <w:r>
              <w:t>2021–22</w:t>
            </w:r>
          </w:p>
        </w:tc>
      </w:tr>
      <w:tr w:rsidR="00912B58" w:rsidTr="00912B58">
        <w:tc>
          <w:tcPr>
            <w:cnfStyle w:val="001000000000" w:firstRow="0" w:lastRow="0" w:firstColumn="1" w:lastColumn="0" w:oddVBand="0" w:evenVBand="0" w:oddHBand="0" w:evenHBand="0" w:firstRowFirstColumn="0" w:firstRowLastColumn="0" w:lastRowFirstColumn="0" w:lastRowLastColumn="0"/>
            <w:tcW w:w="3085" w:type="dxa"/>
          </w:tcPr>
          <w:p w:rsidR="00912B58" w:rsidRDefault="00912B58" w:rsidP="00912B58">
            <w:r>
              <w:t>Opening capital base</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451.5</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472.3</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482.0</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483.8</w:t>
            </w:r>
          </w:p>
        </w:tc>
        <w:tc>
          <w:tcPr>
            <w:tcW w:w="1072"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493.7</w:t>
            </w:r>
          </w:p>
        </w:tc>
      </w:tr>
      <w:tr w:rsidR="00912B58" w:rsidTr="00912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2B58" w:rsidRDefault="00912B58" w:rsidP="00912B58">
            <w:r>
              <w:t>Net capex</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27.1</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17.0</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7.5</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9.3</w:t>
            </w:r>
          </w:p>
        </w:tc>
        <w:tc>
          <w:tcPr>
            <w:tcW w:w="1072"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11.1</w:t>
            </w:r>
          </w:p>
        </w:tc>
      </w:tr>
      <w:tr w:rsidR="00912B58" w:rsidTr="00912B58">
        <w:tc>
          <w:tcPr>
            <w:cnfStyle w:val="001000000000" w:firstRow="0" w:lastRow="0" w:firstColumn="1" w:lastColumn="0" w:oddVBand="0" w:evenVBand="0" w:oddHBand="0" w:evenHBand="0" w:firstRowFirstColumn="0" w:firstRowLastColumn="0" w:lastRowFirstColumn="0" w:lastRowLastColumn="0"/>
            <w:tcW w:w="3085" w:type="dxa"/>
          </w:tcPr>
          <w:p w:rsidR="00912B58" w:rsidRDefault="00912B58" w:rsidP="00912B58">
            <w:r>
              <w:t>Indexation of capital base</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9.0</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9.4</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12.0</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12.1</w:t>
            </w:r>
          </w:p>
        </w:tc>
        <w:tc>
          <w:tcPr>
            <w:tcW w:w="1072"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12.3</w:t>
            </w:r>
          </w:p>
        </w:tc>
      </w:tr>
      <w:tr w:rsidR="00912B58" w:rsidTr="00912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912B58" w:rsidRDefault="00726774" w:rsidP="00726774">
            <w:r w:rsidRPr="004510BB">
              <w:rPr>
                <w:rStyle w:val="AERtextitalic"/>
              </w:rPr>
              <w:t>Less:</w:t>
            </w:r>
            <w:r>
              <w:t xml:space="preserve"> </w:t>
            </w:r>
            <w:r w:rsidR="00883DCC">
              <w:t>s</w:t>
            </w:r>
            <w:r>
              <w:t>traight-line</w:t>
            </w:r>
            <w:r w:rsidR="00883DCC">
              <w:t xml:space="preserve"> depreciation</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15.4</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16.7</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17.8</w:t>
            </w:r>
          </w:p>
        </w:tc>
        <w:tc>
          <w:tcPr>
            <w:tcW w:w="1134"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11.4</w:t>
            </w:r>
          </w:p>
        </w:tc>
        <w:tc>
          <w:tcPr>
            <w:tcW w:w="1072" w:type="dxa"/>
          </w:tcPr>
          <w:p w:rsidR="00912B58" w:rsidRDefault="006F18BF" w:rsidP="00912B58">
            <w:pPr>
              <w:cnfStyle w:val="000000010000" w:firstRow="0" w:lastRow="0" w:firstColumn="0" w:lastColumn="0" w:oddVBand="0" w:evenVBand="0" w:oddHBand="0" w:evenHBand="1" w:firstRowFirstColumn="0" w:firstRowLastColumn="0" w:lastRowFirstColumn="0" w:lastRowLastColumn="0"/>
            </w:pPr>
            <w:r>
              <w:t>11.8</w:t>
            </w:r>
          </w:p>
        </w:tc>
      </w:tr>
      <w:tr w:rsidR="00912B58" w:rsidTr="00912B58">
        <w:tc>
          <w:tcPr>
            <w:cnfStyle w:val="001000000000" w:firstRow="0" w:lastRow="0" w:firstColumn="1" w:lastColumn="0" w:oddVBand="0" w:evenVBand="0" w:oddHBand="0" w:evenHBand="0" w:firstRowFirstColumn="0" w:firstRowLastColumn="0" w:lastRowFirstColumn="0" w:lastRowLastColumn="0"/>
            <w:tcW w:w="3085" w:type="dxa"/>
          </w:tcPr>
          <w:p w:rsidR="00912B58" w:rsidRDefault="00912B58" w:rsidP="00912B58">
            <w:r>
              <w:t>Closing capital base</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472.3</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482.0</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483.8</w:t>
            </w:r>
          </w:p>
        </w:tc>
        <w:tc>
          <w:tcPr>
            <w:tcW w:w="1134"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493.7</w:t>
            </w:r>
          </w:p>
        </w:tc>
        <w:tc>
          <w:tcPr>
            <w:tcW w:w="1072" w:type="dxa"/>
          </w:tcPr>
          <w:p w:rsidR="00912B58" w:rsidRDefault="006F18BF" w:rsidP="00912B58">
            <w:pPr>
              <w:cnfStyle w:val="000000000000" w:firstRow="0" w:lastRow="0" w:firstColumn="0" w:lastColumn="0" w:oddVBand="0" w:evenVBand="0" w:oddHBand="0" w:evenHBand="0" w:firstRowFirstColumn="0" w:firstRowLastColumn="0" w:lastRowFirstColumn="0" w:lastRowLastColumn="0"/>
            </w:pPr>
            <w:r>
              <w:t>505.4</w:t>
            </w:r>
          </w:p>
        </w:tc>
      </w:tr>
    </w:tbl>
    <w:p w:rsidR="00912B58" w:rsidRDefault="006F18BF" w:rsidP="006F18BF">
      <w:pPr>
        <w:pStyle w:val="AERtablesource"/>
      </w:pPr>
      <w:r>
        <w:t>Source:</w:t>
      </w:r>
      <w:r w:rsidR="002E373C">
        <w:tab/>
        <w:t xml:space="preserve">RBP, </w:t>
      </w:r>
      <w:r w:rsidR="002E373C" w:rsidRPr="002E373C">
        <w:rPr>
          <w:rStyle w:val="AERtextitalic"/>
        </w:rPr>
        <w:t>Proposed PTRM</w:t>
      </w:r>
      <w:r w:rsidR="002E373C">
        <w:t>, September 2016.</w:t>
      </w:r>
    </w:p>
    <w:p w:rsidR="00977656" w:rsidRDefault="00977656" w:rsidP="00DF04E1">
      <w:pPr>
        <w:pStyle w:val="Heading3"/>
        <w:keepNext/>
      </w:pPr>
      <w:bookmarkStart w:id="29" w:name="_Toc486846636"/>
      <w:r>
        <w:t>Capital base at the commencement of the 2022–27 access arrangement period</w:t>
      </w:r>
      <w:bookmarkEnd w:id="29"/>
    </w:p>
    <w:p w:rsidR="00977656" w:rsidRPr="00977656" w:rsidRDefault="00977656" w:rsidP="00DF04E1">
      <w:pPr>
        <w:keepNext/>
      </w:pPr>
      <w:r w:rsidRPr="00977656">
        <w:t>APT</w:t>
      </w:r>
      <w:r>
        <w:t>PPL</w:t>
      </w:r>
      <w:r w:rsidRPr="00977656">
        <w:t xml:space="preserve"> proposed to </w:t>
      </w:r>
      <w:r w:rsidR="009A4659">
        <w:t xml:space="preserve">use the depreciation schedule based on forecast capital expenditure to establish the opening capital base </w:t>
      </w:r>
      <w:r w:rsidRPr="00977656">
        <w:t>as at 1 July 202</w:t>
      </w:r>
      <w:r>
        <w:t>2</w:t>
      </w:r>
      <w:r w:rsidRPr="00977656">
        <w:t>.</w:t>
      </w:r>
      <w:r w:rsidR="00EA1207">
        <w:rPr>
          <w:rStyle w:val="FootnoteReference"/>
        </w:rPr>
        <w:footnoteReference w:id="8"/>
      </w:r>
    </w:p>
    <w:p w:rsidR="000D15C2" w:rsidRDefault="000D15C2" w:rsidP="000D15C2">
      <w:pPr>
        <w:pStyle w:val="Heading2"/>
      </w:pPr>
      <w:bookmarkStart w:id="30" w:name="_Toc408404322"/>
      <w:bookmarkStart w:id="31" w:name="_Toc436036750"/>
      <w:bookmarkStart w:id="32" w:name="_Toc486846637"/>
      <w:r w:rsidRPr="0074565D">
        <w:t>AER’s assessment approach</w:t>
      </w:r>
      <w:bookmarkEnd w:id="30"/>
      <w:bookmarkEnd w:id="31"/>
      <w:bookmarkEnd w:id="32"/>
    </w:p>
    <w:p w:rsidR="00977656" w:rsidRPr="00977656" w:rsidRDefault="00977656" w:rsidP="00977656">
      <w:r w:rsidRPr="00977656">
        <w:t>Our approach to assessing APT</w:t>
      </w:r>
      <w:r>
        <w:t>PPL</w:t>
      </w:r>
      <w:r w:rsidRPr="00977656">
        <w:t>'s projected capital base is consistent with that adopted in previous gas transmission decisions made under the NGR.</w:t>
      </w:r>
      <w:r w:rsidR="00EC4DB8">
        <w:rPr>
          <w:rStyle w:val="FootnoteReference"/>
        </w:rPr>
        <w:footnoteReference w:id="9"/>
      </w:r>
      <w:r w:rsidRPr="00977656">
        <w:t xml:space="preserve">  In accordance with rule 77(2) and rule 78 of the NGR, we applied three steps to calculate the projected capital base:</w:t>
      </w:r>
    </w:p>
    <w:p w:rsidR="00977656" w:rsidRPr="00977656" w:rsidRDefault="00977656" w:rsidP="00977656">
      <w:pPr>
        <w:pStyle w:val="AERbulletlistfirststyle"/>
      </w:pPr>
      <w:r w:rsidRPr="00977656">
        <w:t>First, we confirm the value of the opening capital base for the first year of the 201</w:t>
      </w:r>
      <w:r>
        <w:t>2</w:t>
      </w:r>
      <w:r w:rsidRPr="00977656">
        <w:t>–1</w:t>
      </w:r>
      <w:r>
        <w:t>7</w:t>
      </w:r>
      <w:r w:rsidRPr="00977656">
        <w:t xml:space="preserve"> access arrangement period (in this case, 1 </w:t>
      </w:r>
      <w:r>
        <w:t>September 2012</w:t>
      </w:r>
      <w:r w:rsidRPr="00977656">
        <w:t>).</w:t>
      </w:r>
      <w:r w:rsidR="006F18BF">
        <w:rPr>
          <w:rStyle w:val="FootnoteReference"/>
        </w:rPr>
        <w:footnoteReference w:id="10"/>
      </w:r>
      <w:r w:rsidRPr="00977656">
        <w:t xml:space="preserve"> Typically, this includes making an adjustment to account for any difference between actual and estimated capex in the final year of the previous access arrangement period (in this case, </w:t>
      </w:r>
      <w:r w:rsidR="00EC4DB8">
        <w:t xml:space="preserve">1 </w:t>
      </w:r>
      <w:r w:rsidR="00CB33C2">
        <w:t xml:space="preserve">July </w:t>
      </w:r>
      <w:r w:rsidRPr="00977656">
        <w:t>201</w:t>
      </w:r>
      <w:r>
        <w:t>1</w:t>
      </w:r>
      <w:r w:rsidR="00EC4DB8">
        <w:t xml:space="preserve"> to 3</w:t>
      </w:r>
      <w:r w:rsidR="00CB33C2">
        <w:t xml:space="preserve">1 August </w:t>
      </w:r>
      <w:r w:rsidR="00EC4DB8">
        <w:t>20</w:t>
      </w:r>
      <w:r w:rsidRPr="00977656">
        <w:t>1</w:t>
      </w:r>
      <w:r>
        <w:t>2</w:t>
      </w:r>
      <w:r w:rsidRPr="00977656">
        <w:t xml:space="preserve">). </w:t>
      </w:r>
      <w:r w:rsidR="002A1019" w:rsidRPr="00FC60A9">
        <w:t xml:space="preserve">This adjustment must also remove any benefit or penalty associated with any difference between the estimated </w:t>
      </w:r>
      <w:r w:rsidR="002A1019">
        <w:t>and actual capex for that year.</w:t>
      </w:r>
      <w:r w:rsidR="002A1019">
        <w:rPr>
          <w:rStyle w:val="FootnoteReference"/>
        </w:rPr>
        <w:footnoteReference w:id="11"/>
      </w:r>
      <w:r w:rsidR="002A1019" w:rsidRPr="00FC60A9">
        <w:t xml:space="preserve"> </w:t>
      </w:r>
      <w:r w:rsidR="002A1019">
        <w:t>We note that t</w:t>
      </w:r>
      <w:r w:rsidRPr="00977656">
        <w:t xml:space="preserve">his adjustment is subject to any changes made in our assessment of conforming capex for that year. </w:t>
      </w:r>
    </w:p>
    <w:p w:rsidR="00977656" w:rsidRDefault="00977656" w:rsidP="00977656">
      <w:pPr>
        <w:pStyle w:val="AERbulletlistfirststyle"/>
      </w:pPr>
      <w:r w:rsidRPr="00977656">
        <w:t xml:space="preserve">Second, the opening capital base as at 1 </w:t>
      </w:r>
      <w:r>
        <w:t>September 2012</w:t>
      </w:r>
      <w:r w:rsidRPr="00977656">
        <w:t xml:space="preserve"> is rolled forward to determine the closing capital base as at 30 June 201</w:t>
      </w:r>
      <w:r>
        <w:t>7</w:t>
      </w:r>
      <w:r w:rsidRPr="00977656">
        <w:t>. This closing capital base is also used as the value of the opening capital base for the access arrangement period as at 1 July 201</w:t>
      </w:r>
      <w:r>
        <w:t>7</w:t>
      </w:r>
      <w:r w:rsidRPr="00977656">
        <w:t>. This involves:</w:t>
      </w:r>
      <w:r w:rsidR="00EC4DB8">
        <w:rPr>
          <w:rStyle w:val="FootnoteReference"/>
        </w:rPr>
        <w:footnoteReference w:id="12"/>
      </w:r>
      <w:r w:rsidRPr="00977656">
        <w:t xml:space="preserve"> </w:t>
      </w:r>
    </w:p>
    <w:p w:rsidR="00977656" w:rsidRDefault="00977656" w:rsidP="00977656">
      <w:pPr>
        <w:pStyle w:val="AERbulletlistsecondstyle"/>
      </w:pPr>
      <w:r w:rsidRPr="00977656">
        <w:t>adding conforming actual capex for each year—this requires assessing the capex and determining that it is consistent with the provisions of the 201</w:t>
      </w:r>
      <w:r>
        <w:t>2</w:t>
      </w:r>
      <w:r w:rsidRPr="00977656">
        <w:t>–1</w:t>
      </w:r>
      <w:r>
        <w:t>7</w:t>
      </w:r>
      <w:r w:rsidRPr="00977656">
        <w:t xml:space="preserve"> access arrangement and data from</w:t>
      </w:r>
      <w:r w:rsidR="00224435">
        <w:t xml:space="preserve"> the</w:t>
      </w:r>
      <w:r w:rsidRPr="00977656">
        <w:t xml:space="preserve"> audited </w:t>
      </w:r>
      <w:r w:rsidR="00224435">
        <w:t xml:space="preserve">reset </w:t>
      </w:r>
      <w:r w:rsidRPr="00977656">
        <w:t>regulatory</w:t>
      </w:r>
      <w:r>
        <w:t xml:space="preserve"> </w:t>
      </w:r>
      <w:r w:rsidRPr="00977656">
        <w:t>information notice, as well as the definition of 'conforming capital expenditure' in the NGR</w:t>
      </w:r>
      <w:r w:rsidR="00EC4DB8">
        <w:rPr>
          <w:rStyle w:val="FootnoteReference"/>
        </w:rPr>
        <w:footnoteReference w:id="13"/>
      </w:r>
    </w:p>
    <w:p w:rsidR="00977656" w:rsidRDefault="00977656" w:rsidP="00977656">
      <w:pPr>
        <w:pStyle w:val="AERbulletlistsecondstyle"/>
      </w:pPr>
      <w:r w:rsidRPr="00977656">
        <w:tab/>
        <w:t>removing depreciation for each year based on the approach approved for the 201</w:t>
      </w:r>
      <w:r w:rsidR="00EC4DB8">
        <w:t>2</w:t>
      </w:r>
      <w:r w:rsidRPr="00977656">
        <w:t>–1</w:t>
      </w:r>
      <w:r w:rsidR="00EC4DB8">
        <w:t>7</w:t>
      </w:r>
      <w:r w:rsidRPr="00977656">
        <w:t xml:space="preserve"> access arrangement</w:t>
      </w:r>
    </w:p>
    <w:p w:rsidR="00977656" w:rsidRPr="00977656" w:rsidRDefault="00977656" w:rsidP="00977656">
      <w:pPr>
        <w:pStyle w:val="AERbulletlistsecondstyle"/>
      </w:pPr>
      <w:r w:rsidRPr="00977656">
        <w:t>removing any capital contributions during the 201</w:t>
      </w:r>
      <w:r>
        <w:t>2</w:t>
      </w:r>
      <w:r w:rsidR="00EC4DB8">
        <w:t>–</w:t>
      </w:r>
      <w:r w:rsidRPr="00977656">
        <w:t>1</w:t>
      </w:r>
      <w:r w:rsidR="00EC4DB8">
        <w:t>7</w:t>
      </w:r>
      <w:r w:rsidRPr="00977656">
        <w:t xml:space="preserve"> access arrangement period</w:t>
      </w:r>
    </w:p>
    <w:p w:rsidR="00977656" w:rsidRPr="00977656" w:rsidRDefault="00977656" w:rsidP="00977656">
      <w:pPr>
        <w:pStyle w:val="AERbulletlistsecondstyle"/>
      </w:pPr>
      <w:r w:rsidRPr="00977656">
        <w:t>adding any speculative capex or redundant assets that will be reused during the 201</w:t>
      </w:r>
      <w:r>
        <w:t>7</w:t>
      </w:r>
      <w:r w:rsidR="00EC4DB8">
        <w:t>–</w:t>
      </w:r>
      <w:r w:rsidRPr="00977656">
        <w:t>2</w:t>
      </w:r>
      <w:r>
        <w:t>2</w:t>
      </w:r>
      <w:r w:rsidRPr="00977656">
        <w:t xml:space="preserve"> access arrangement period</w:t>
      </w:r>
    </w:p>
    <w:p w:rsidR="00977656" w:rsidRPr="00977656" w:rsidRDefault="00977656" w:rsidP="00977656">
      <w:pPr>
        <w:pStyle w:val="AERbulletlistsecondstyle"/>
      </w:pPr>
      <w:r w:rsidRPr="00977656">
        <w:t>removing any redundant assets and disposals during the 201</w:t>
      </w:r>
      <w:r>
        <w:t>2</w:t>
      </w:r>
      <w:r w:rsidR="00EC4DB8">
        <w:t>–</w:t>
      </w:r>
      <w:r w:rsidRPr="00977656">
        <w:t>1</w:t>
      </w:r>
      <w:r>
        <w:t>7</w:t>
      </w:r>
      <w:r w:rsidRPr="00977656">
        <w:t xml:space="preserve"> access arrangement period</w:t>
      </w:r>
    </w:p>
    <w:p w:rsidR="00977656" w:rsidRDefault="00977656" w:rsidP="00977656">
      <w:pPr>
        <w:pStyle w:val="AERbulletlistsecondstyle"/>
      </w:pPr>
      <w:r w:rsidRPr="00977656">
        <w:tab/>
        <w:t>indexing the roll forward each year for actual inflation</w:t>
      </w:r>
      <w:r w:rsidR="00EC4DB8">
        <w:t>.</w:t>
      </w:r>
    </w:p>
    <w:p w:rsidR="00977656" w:rsidRDefault="00977656" w:rsidP="00977656">
      <w:pPr>
        <w:pStyle w:val="AERbulletlistfirststyle"/>
      </w:pPr>
      <w:r w:rsidRPr="00977656">
        <w:t>Third, the capital base is projected over the 201</w:t>
      </w:r>
      <w:r w:rsidR="00502A3F">
        <w:t>7</w:t>
      </w:r>
      <w:r w:rsidRPr="00977656">
        <w:t>–2</w:t>
      </w:r>
      <w:r w:rsidR="00502A3F">
        <w:t>2</w:t>
      </w:r>
      <w:r w:rsidRPr="00977656">
        <w:t xml:space="preserve"> access arrangement period by rolling forward the opening capital base as at 1 July 201</w:t>
      </w:r>
      <w:r w:rsidR="00502A3F">
        <w:t>7</w:t>
      </w:r>
      <w:r w:rsidRPr="00977656">
        <w:t xml:space="preserve"> to 30 June 202</w:t>
      </w:r>
      <w:r w:rsidR="00502A3F">
        <w:t>2</w:t>
      </w:r>
      <w:r w:rsidRPr="00977656">
        <w:t>. This involves performing the following on the opening capital base:</w:t>
      </w:r>
      <w:r w:rsidR="00EC4DB8">
        <w:rPr>
          <w:rStyle w:val="FootnoteReference"/>
        </w:rPr>
        <w:footnoteReference w:id="14"/>
      </w:r>
    </w:p>
    <w:p w:rsidR="00977656" w:rsidRDefault="00977656" w:rsidP="00977656">
      <w:pPr>
        <w:pStyle w:val="AERbulletlistsecondstyle"/>
      </w:pPr>
      <w:r>
        <w:t>a</w:t>
      </w:r>
      <w:r w:rsidRPr="00977656">
        <w:t>dding forecast conforming capex for each year</w:t>
      </w:r>
    </w:p>
    <w:p w:rsidR="00977656" w:rsidRDefault="00977656" w:rsidP="00977656">
      <w:pPr>
        <w:pStyle w:val="AERbulletlistsecondstyle"/>
      </w:pPr>
      <w:r>
        <w:t>r</w:t>
      </w:r>
      <w:r w:rsidRPr="00977656">
        <w:t>emoving forecast depreciation for each year</w:t>
      </w:r>
    </w:p>
    <w:p w:rsidR="00977656" w:rsidRDefault="00977656" w:rsidP="00977656">
      <w:pPr>
        <w:pStyle w:val="AERbulletlistsecondstyle"/>
      </w:pPr>
      <w:r>
        <w:t>r</w:t>
      </w:r>
      <w:r w:rsidRPr="00977656">
        <w:t>emoving the forecast value of assets to be disposed of during the 201</w:t>
      </w:r>
      <w:r w:rsidR="00502A3F">
        <w:t>7</w:t>
      </w:r>
      <w:r w:rsidRPr="00977656">
        <w:t>–2</w:t>
      </w:r>
      <w:r w:rsidR="00502A3F">
        <w:t>2</w:t>
      </w:r>
      <w:r w:rsidRPr="00977656">
        <w:t xml:space="preserve"> access arrangement period</w:t>
      </w:r>
    </w:p>
    <w:p w:rsidR="00977656" w:rsidRDefault="00977656" w:rsidP="00977656">
      <w:pPr>
        <w:pStyle w:val="AERbulletlistsecondstyle"/>
      </w:pPr>
      <w:r w:rsidRPr="00977656">
        <w:tab/>
        <w:t xml:space="preserve">indexing the capital base of the roll forward each year for </w:t>
      </w:r>
      <w:r w:rsidR="003503E1">
        <w:t>expected</w:t>
      </w:r>
      <w:r w:rsidR="003503E1" w:rsidRPr="00977656">
        <w:t xml:space="preserve"> </w:t>
      </w:r>
      <w:r w:rsidRPr="00977656">
        <w:t>inflation.</w:t>
      </w:r>
    </w:p>
    <w:p w:rsidR="00977656" w:rsidRDefault="00B865C7" w:rsidP="00B865C7">
      <w:pPr>
        <w:pStyle w:val="Heading3"/>
      </w:pPr>
      <w:bookmarkStart w:id="33" w:name="_Toc486846638"/>
      <w:r>
        <w:t>Interrelationships</w:t>
      </w:r>
      <w:bookmarkEnd w:id="33"/>
    </w:p>
    <w:p w:rsidR="00B865C7" w:rsidRDefault="00B865C7" w:rsidP="00B865C7">
      <w:r w:rsidRPr="00B865C7">
        <w:t>The level of the capital base substantially impacts the service provider's revenue and the price consumers pay. It is an input into the determination of the return on capital and depreciation (return of capital) allowances.</w:t>
      </w:r>
      <w:r w:rsidR="009D3F37">
        <w:rPr>
          <w:rStyle w:val="FootnoteReference"/>
        </w:rPr>
        <w:footnoteReference w:id="15"/>
      </w:r>
      <w:r>
        <w:t xml:space="preserve"> </w:t>
      </w:r>
      <w:r w:rsidRPr="00B865C7">
        <w:t>Factors that influence the capital base will therefore flow through to these building block components and the annual building block revenue requirement. Other things being equal, a higher capital base increases both the return on capital and depreciation allowances. In turn, it increases the service provider's revenue, and prices for its services.</w:t>
      </w:r>
    </w:p>
    <w:p w:rsidR="00B865C7" w:rsidRPr="00B865C7" w:rsidRDefault="00B865C7" w:rsidP="00B865C7">
      <w:r w:rsidRPr="00B865C7">
        <w:t>The capital base is determined by various factors, including;</w:t>
      </w:r>
    </w:p>
    <w:p w:rsidR="00B865C7" w:rsidRPr="00B865C7" w:rsidRDefault="00B865C7" w:rsidP="00B865C7">
      <w:pPr>
        <w:pStyle w:val="AERbulletlistfirststyle"/>
      </w:pPr>
      <w:r w:rsidRPr="00B865C7">
        <w:t>the opening capital base (meaning the value of existing assets at the beginning of the access arrangement period)</w:t>
      </w:r>
    </w:p>
    <w:p w:rsidR="00B865C7" w:rsidRPr="00B865C7" w:rsidRDefault="00B865C7" w:rsidP="00B865C7">
      <w:pPr>
        <w:pStyle w:val="AERbulletlistfirststyle"/>
      </w:pPr>
      <w:r w:rsidRPr="00B865C7">
        <w:t>net capex</w:t>
      </w:r>
      <w:r w:rsidR="009D3F37">
        <w:rPr>
          <w:rStyle w:val="FootnoteReference"/>
        </w:rPr>
        <w:footnoteReference w:id="16"/>
      </w:r>
      <w:r w:rsidRPr="00B865C7">
        <w:t xml:space="preserve"> </w:t>
      </w:r>
    </w:p>
    <w:p w:rsidR="00B865C7" w:rsidRPr="00B865C7" w:rsidRDefault="00B865C7" w:rsidP="00B865C7">
      <w:pPr>
        <w:pStyle w:val="AERbulletlistfirststyle"/>
      </w:pPr>
      <w:r w:rsidRPr="00B865C7">
        <w:t>depreciation</w:t>
      </w:r>
    </w:p>
    <w:p w:rsidR="00B865C7" w:rsidRDefault="00B865C7" w:rsidP="00B865C7">
      <w:pPr>
        <w:pStyle w:val="AERbulletlistfirststyle"/>
      </w:pPr>
      <w:r w:rsidRPr="00B865C7">
        <w:t>indexation adjustment – so the capital base is presented in nominal terms, consistent with the rate of return</w:t>
      </w:r>
      <w:r w:rsidR="00FE2ADD">
        <w:t>.</w:t>
      </w:r>
    </w:p>
    <w:p w:rsidR="00B865C7" w:rsidRPr="00B865C7" w:rsidRDefault="00B865C7" w:rsidP="00E0192F">
      <w:r w:rsidRPr="00B865C7">
        <w:t xml:space="preserve">The opening capital base depends on the value of existing assets as well as actual conforming net capex, actual inflation outcomes and depreciation in the past. </w:t>
      </w:r>
    </w:p>
    <w:p w:rsidR="00B865C7" w:rsidRPr="00B865C7" w:rsidRDefault="00B865C7" w:rsidP="00E0192F">
      <w:r w:rsidRPr="00B865C7">
        <w:t xml:space="preserve">The capital base when projected to the end of the access arrangement period may increase due to forecast new capex and the indexation adjustment. The size of the indexation adjustment depends on expected inflation (which also affects the nominal rate of return or WACC) and the size of the capital base at the start of each year. </w:t>
      </w:r>
    </w:p>
    <w:p w:rsidR="009A4659" w:rsidRDefault="00B865C7" w:rsidP="00E31088">
      <w:r w:rsidRPr="00B865C7">
        <w:t>Depreciation reduces the capital base. The depreciation allowance depends on the size of the opening capital base</w:t>
      </w:r>
      <w:r w:rsidR="00165300">
        <w:t>,</w:t>
      </w:r>
      <w:r w:rsidRPr="00B865C7">
        <w:t xml:space="preserve"> the forecast net capex</w:t>
      </w:r>
      <w:r w:rsidR="00165300">
        <w:t xml:space="preserve"> and depreciation schedules applied to the assets</w:t>
      </w:r>
      <w:r w:rsidRPr="00B865C7">
        <w:t xml:space="preserve">. </w:t>
      </w:r>
    </w:p>
    <w:p w:rsidR="00165300" w:rsidRPr="00B865C7" w:rsidRDefault="00165300" w:rsidP="00E31088">
      <w:r>
        <w:t>We maintain the capital base in real terms by indexing for inflation. A nominal rate of return (WACC) is multiplied by the opening capital base to produce the return on capital building block.</w:t>
      </w:r>
      <w:r>
        <w:rPr>
          <w:rStyle w:val="FootnoteReference"/>
        </w:rPr>
        <w:footnoteReference w:id="17"/>
      </w:r>
      <w:r>
        <w:t xml:space="preserve"> </w:t>
      </w:r>
      <w:r w:rsidR="00E31088" w:rsidRPr="00B865C7">
        <w:t>By convention, the indexation adjustment is offset against depreciation to prevent double counting of inflation in the capital base and WACC, which are both presented in nominal terms. This reduces the apparent size of the depreciation building block that feeds into the annual building block model for setting revenue.</w:t>
      </w:r>
      <w:r w:rsidRPr="00AC0983">
        <w:rPr>
          <w:rStyle w:val="FootnoteReference"/>
        </w:rPr>
        <w:footnoteReference w:id="18"/>
      </w:r>
      <w:r w:rsidRPr="00AC0983">
        <w:rPr>
          <w:rStyle w:val="AERbody"/>
        </w:rPr>
        <w:t xml:space="preserve"> The implications of </w:t>
      </w:r>
      <w:r w:rsidR="00BE03D6">
        <w:rPr>
          <w:rStyle w:val="AERbody"/>
        </w:rPr>
        <w:t xml:space="preserve">our approach to indexing the value of the capital base on revenues </w:t>
      </w:r>
      <w:r w:rsidRPr="00AC0983">
        <w:rPr>
          <w:rStyle w:val="AERbody"/>
        </w:rPr>
        <w:t>are discussed further in attachment 5.</w:t>
      </w:r>
      <w:r>
        <w:t xml:space="preserve"> </w:t>
      </w:r>
    </w:p>
    <w:p w:rsidR="00B865C7" w:rsidRPr="00B865C7" w:rsidRDefault="0066669E" w:rsidP="00E0192F">
      <w:r>
        <w:fldChar w:fldCharType="begin"/>
      </w:r>
      <w:r>
        <w:instrText xml:space="preserve"> REF _Ref466284830 \h </w:instrText>
      </w:r>
      <w:r w:rsidR="009D3F37">
        <w:instrText xml:space="preserve"> \* MERGEFORMAT </w:instrText>
      </w:r>
      <w:r>
        <w:fldChar w:fldCharType="separate"/>
      </w:r>
      <w:r w:rsidR="00996D16">
        <w:t xml:space="preserve">Figure </w:t>
      </w:r>
      <w:r w:rsidR="00996D16">
        <w:rPr>
          <w:noProof/>
        </w:rPr>
        <w:t>2.1</w:t>
      </w:r>
      <w:r>
        <w:fldChar w:fldCharType="end"/>
      </w:r>
      <w:r w:rsidR="00B865C7" w:rsidRPr="00B865C7">
        <w:t xml:space="preserve"> shows the key drivers of the change in the capital base over the 201</w:t>
      </w:r>
      <w:r w:rsidR="00B865C7">
        <w:t>7</w:t>
      </w:r>
      <w:r w:rsidR="00B865C7" w:rsidRPr="00B865C7">
        <w:t>–2</w:t>
      </w:r>
      <w:r w:rsidR="00B865C7">
        <w:t>2</w:t>
      </w:r>
      <w:r w:rsidR="00B865C7" w:rsidRPr="00B865C7">
        <w:t xml:space="preserve"> access arrangement </w:t>
      </w:r>
      <w:proofErr w:type="gramStart"/>
      <w:r w:rsidR="00B865C7" w:rsidRPr="00B865C7">
        <w:t>period</w:t>
      </w:r>
      <w:proofErr w:type="gramEnd"/>
      <w:r w:rsidR="00B865C7" w:rsidRPr="00B865C7">
        <w:t xml:space="preserve"> as proposed by APT</w:t>
      </w:r>
      <w:r w:rsidR="00B865C7">
        <w:t>PPL</w:t>
      </w:r>
      <w:r w:rsidR="00B865C7" w:rsidRPr="00B865C7">
        <w:t>. Overall, the closing capital base at the end of the 201</w:t>
      </w:r>
      <w:r w:rsidR="00B865C7">
        <w:t>7</w:t>
      </w:r>
      <w:r w:rsidR="00B865C7" w:rsidRPr="00B865C7">
        <w:t>–2</w:t>
      </w:r>
      <w:r w:rsidR="00B865C7">
        <w:t>2</w:t>
      </w:r>
      <w:r w:rsidR="00B865C7" w:rsidRPr="00B865C7">
        <w:t xml:space="preserve"> access arrangement period would be </w:t>
      </w:r>
      <w:r>
        <w:t>12</w:t>
      </w:r>
      <w:r w:rsidR="00B865C7" w:rsidRPr="00B865C7">
        <w:t xml:space="preserve"> per cent higher than the opening capital base at the start of that period based on the proposal, in nominal terms. The proposed forecast net capex increases the capital base by about </w:t>
      </w:r>
      <w:r>
        <w:t>16</w:t>
      </w:r>
      <w:r w:rsidR="00B865C7" w:rsidRPr="00B865C7">
        <w:t xml:space="preserve"> per cent, while </w:t>
      </w:r>
      <w:r w:rsidR="009D3F37">
        <w:t>expected</w:t>
      </w:r>
      <w:r w:rsidR="00B865C7" w:rsidRPr="00B865C7">
        <w:t xml:space="preserve"> inflation increases it by about </w:t>
      </w:r>
      <w:r>
        <w:t>12</w:t>
      </w:r>
      <w:r w:rsidR="00B865C7">
        <w:t xml:space="preserve"> pe</w:t>
      </w:r>
      <w:r w:rsidR="00B865C7" w:rsidRPr="00B865C7">
        <w:t xml:space="preserve">r cent. Forecast depreciation, on the other hand, reduces the capital base by about </w:t>
      </w:r>
      <w:r>
        <w:t>16</w:t>
      </w:r>
      <w:r w:rsidR="00B865C7" w:rsidRPr="00B865C7">
        <w:t xml:space="preserve"> per cent. </w:t>
      </w:r>
    </w:p>
    <w:p w:rsidR="00B865C7" w:rsidRPr="00B865C7" w:rsidRDefault="00B865C7" w:rsidP="00E0192F">
      <w:r w:rsidRPr="00B865C7">
        <w:t xml:space="preserve">The capital base would rise by </w:t>
      </w:r>
      <w:r w:rsidR="00E45C83">
        <w:t xml:space="preserve">less than one </w:t>
      </w:r>
      <w:r w:rsidRPr="00B865C7">
        <w:t>per cent in real terms over the 201</w:t>
      </w:r>
      <w:r>
        <w:t>7</w:t>
      </w:r>
      <w:r w:rsidRPr="00B865C7">
        <w:t>–2</w:t>
      </w:r>
      <w:r>
        <w:t>2</w:t>
      </w:r>
      <w:r w:rsidRPr="00B865C7">
        <w:t xml:space="preserve"> access arrangement period based on APT</w:t>
      </w:r>
      <w:r>
        <w:t>PPL</w:t>
      </w:r>
      <w:r w:rsidRPr="00B865C7">
        <w:t xml:space="preserve">'s proposal. The depreciation amount also largely depends on the opening capital base (which in turn depends on capex). </w:t>
      </w:r>
      <w:r w:rsidR="0066669E">
        <w:fldChar w:fldCharType="begin"/>
      </w:r>
      <w:r w:rsidR="0066669E">
        <w:instrText xml:space="preserve"> REF _Ref466284830 \h </w:instrText>
      </w:r>
      <w:r w:rsidR="009D3F37">
        <w:instrText xml:space="preserve"> \* MERGEFORMAT </w:instrText>
      </w:r>
      <w:r w:rsidR="0066669E">
        <w:fldChar w:fldCharType="separate"/>
      </w:r>
      <w:r w:rsidR="00996D16">
        <w:t xml:space="preserve">Figure </w:t>
      </w:r>
      <w:r w:rsidR="00996D16">
        <w:rPr>
          <w:noProof/>
        </w:rPr>
        <w:t>2.1</w:t>
      </w:r>
      <w:r w:rsidR="0066669E">
        <w:fldChar w:fldCharType="end"/>
      </w:r>
      <w:r w:rsidRPr="00B865C7">
        <w:t xml:space="preserve"> shows forecast net capex is the largest driver of the increase in the capital base. Refer to attachment 6 for the discussion on forecast capex. </w:t>
      </w:r>
    </w:p>
    <w:p w:rsidR="00B865C7" w:rsidRDefault="00B865C7" w:rsidP="00B865C7">
      <w:pPr>
        <w:pStyle w:val="AERbulletlistfirststyle"/>
        <w:numPr>
          <w:ilvl w:val="0"/>
          <w:numId w:val="0"/>
        </w:numPr>
      </w:pPr>
      <w:r w:rsidRPr="00B865C7">
        <w:t>A ten per cent increase in the opening capital base causes revenues to increase by about five per cent. However, the impact on revenues of the annual change in capital base depends on the source of the capital base change, as some drivers affect more than one building block cost.</w:t>
      </w:r>
      <w:r w:rsidR="009D3F37">
        <w:rPr>
          <w:rStyle w:val="FootnoteReference"/>
        </w:rPr>
        <w:footnoteReference w:id="19"/>
      </w:r>
    </w:p>
    <w:p w:rsidR="0066669E" w:rsidRDefault="0066669E" w:rsidP="0066669E">
      <w:pPr>
        <w:pStyle w:val="Caption"/>
      </w:pPr>
      <w:bookmarkStart w:id="34" w:name="_Ref485828359"/>
      <w:bookmarkStart w:id="35" w:name="_Ref466284830"/>
      <w:proofErr w:type="gramStart"/>
      <w:r>
        <w:t xml:space="preserve">Figure </w:t>
      </w:r>
      <w:proofErr w:type="gramEnd"/>
      <w:r w:rsidR="00CA12AF">
        <w:fldChar w:fldCharType="begin"/>
      </w:r>
      <w:r w:rsidR="00CA12AF">
        <w:instrText xml:space="preserve"> STYLEREF 1 \s </w:instrText>
      </w:r>
      <w:r w:rsidR="00CA12AF">
        <w:fldChar w:fldCharType="separate"/>
      </w:r>
      <w:r w:rsidR="00996D16">
        <w:rPr>
          <w:noProof/>
        </w:rPr>
        <w:t>2</w:t>
      </w:r>
      <w:r w:rsidR="00CA12AF">
        <w:rPr>
          <w:noProof/>
        </w:rPr>
        <w:fldChar w:fldCharType="end"/>
      </w:r>
      <w:proofErr w:type="gramStart"/>
      <w:r w:rsidR="005E447A">
        <w:t>.</w:t>
      </w:r>
      <w:proofErr w:type="gramEnd"/>
      <w:r w:rsidR="005E447A">
        <w:fldChar w:fldCharType="begin"/>
      </w:r>
      <w:r w:rsidR="005E447A">
        <w:instrText xml:space="preserve"> SEQ Figure \* ARABIC \s 1 </w:instrText>
      </w:r>
      <w:r w:rsidR="005E447A">
        <w:fldChar w:fldCharType="separate"/>
      </w:r>
      <w:r w:rsidR="00996D16">
        <w:rPr>
          <w:noProof/>
        </w:rPr>
        <w:t>1</w:t>
      </w:r>
      <w:r w:rsidR="005E447A">
        <w:fldChar w:fldCharType="end"/>
      </w:r>
      <w:bookmarkEnd w:id="34"/>
      <w:bookmarkEnd w:id="35"/>
      <w:r>
        <w:tab/>
      </w:r>
      <w:r w:rsidR="00A6764E">
        <w:t>APTPPL’s proposal - k</w:t>
      </w:r>
      <w:r>
        <w:t>ey drivers of changes in the capital base ($ million, nominal)</w:t>
      </w:r>
    </w:p>
    <w:p w:rsidR="0066669E" w:rsidRDefault="0066669E" w:rsidP="00B865C7">
      <w:pPr>
        <w:pStyle w:val="AERbulletlistfirststyle"/>
        <w:numPr>
          <w:ilvl w:val="0"/>
          <w:numId w:val="0"/>
        </w:numPr>
      </w:pPr>
    </w:p>
    <w:p w:rsidR="00E57D6F" w:rsidRDefault="00E57D6F" w:rsidP="00B865C7">
      <w:pPr>
        <w:pStyle w:val="AERbulletlistfirststyle"/>
        <w:numPr>
          <w:ilvl w:val="0"/>
          <w:numId w:val="0"/>
        </w:numPr>
      </w:pPr>
      <w:r w:rsidRPr="00E57D6F">
        <w:rPr>
          <w:noProof/>
          <w:lang w:eastAsia="en-AU"/>
        </w:rPr>
        <w:drawing>
          <wp:inline distT="0" distB="0" distL="0" distR="0" wp14:anchorId="76634E17" wp14:editId="5AB7CA5B">
            <wp:extent cx="5382260" cy="30150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260" cy="3015025"/>
                    </a:xfrm>
                    <a:prstGeom prst="rect">
                      <a:avLst/>
                    </a:prstGeom>
                    <a:noFill/>
                    <a:ln>
                      <a:noFill/>
                    </a:ln>
                  </pic:spPr>
                </pic:pic>
              </a:graphicData>
            </a:graphic>
          </wp:inline>
        </w:drawing>
      </w:r>
    </w:p>
    <w:p w:rsidR="0066669E" w:rsidRPr="00B865C7" w:rsidRDefault="0066669E" w:rsidP="0066669E">
      <w:pPr>
        <w:pStyle w:val="Source"/>
      </w:pPr>
      <w:r>
        <w:t>Source:</w:t>
      </w:r>
      <w:r>
        <w:tab/>
        <w:t>AER analysis.</w:t>
      </w:r>
    </w:p>
    <w:p w:rsidR="000D15C2" w:rsidRDefault="000D15C2" w:rsidP="000D15C2">
      <w:pPr>
        <w:pStyle w:val="Heading2"/>
      </w:pPr>
      <w:bookmarkStart w:id="36" w:name="_Toc408404324"/>
      <w:bookmarkStart w:id="37" w:name="_Toc436036752"/>
      <w:bookmarkStart w:id="38" w:name="_Ref472668197"/>
      <w:bookmarkStart w:id="39" w:name="_Toc486846639"/>
      <w:r w:rsidRPr="0074565D">
        <w:t xml:space="preserve">Reasons for </w:t>
      </w:r>
      <w:r w:rsidR="00694DA7">
        <w:t>draft</w:t>
      </w:r>
      <w:r w:rsidRPr="0074565D">
        <w:t xml:space="preserve"> decision</w:t>
      </w:r>
      <w:bookmarkEnd w:id="36"/>
      <w:bookmarkEnd w:id="37"/>
      <w:bookmarkEnd w:id="38"/>
      <w:bookmarkEnd w:id="39"/>
      <w:r w:rsidRPr="0074565D">
        <w:t xml:space="preserve"> </w:t>
      </w:r>
    </w:p>
    <w:p w:rsidR="00B865C7" w:rsidRPr="00B865C7" w:rsidRDefault="00B865C7" w:rsidP="00B865C7">
      <w:r w:rsidRPr="00B865C7">
        <w:t>We do not approve APT</w:t>
      </w:r>
      <w:r>
        <w:t>PPL'</w:t>
      </w:r>
      <w:r w:rsidRPr="00B865C7">
        <w:t>s proposed opening capital base of $</w:t>
      </w:r>
      <w:r w:rsidR="00894F99">
        <w:t>451.5</w:t>
      </w:r>
      <w:r w:rsidRPr="00B865C7">
        <w:t xml:space="preserve"> million ($nominal) as at 1 July 201</w:t>
      </w:r>
      <w:r>
        <w:t>7</w:t>
      </w:r>
      <w:r w:rsidRPr="00B865C7">
        <w:t>. We have instead determined an opening capital base value of $</w:t>
      </w:r>
      <w:r w:rsidR="008928A4">
        <w:t>44</w:t>
      </w:r>
      <w:r w:rsidR="00694448">
        <w:t>4.0</w:t>
      </w:r>
      <w:r w:rsidRPr="00B865C7">
        <w:t xml:space="preserve"> million ($nominal) as at 1 July 201</w:t>
      </w:r>
      <w:r w:rsidR="009A1174">
        <w:t>7</w:t>
      </w:r>
      <w:r w:rsidRPr="00B865C7">
        <w:t>, a reduction of $</w:t>
      </w:r>
      <w:r w:rsidR="00694448">
        <w:t>7.5</w:t>
      </w:r>
      <w:r w:rsidRPr="00B865C7">
        <w:t xml:space="preserve"> million ($nominal) (or </w:t>
      </w:r>
      <w:r w:rsidR="008928A4">
        <w:t>1.</w:t>
      </w:r>
      <w:r w:rsidR="00694448">
        <w:t>7</w:t>
      </w:r>
      <w:r w:rsidRPr="00B865C7">
        <w:t xml:space="preserve"> per cent). This is due to the amendments we made in </w:t>
      </w:r>
      <w:r w:rsidR="00EA5D4C">
        <w:t xml:space="preserve">APTPPL's </w:t>
      </w:r>
      <w:r w:rsidRPr="00B865C7">
        <w:t xml:space="preserve">proposed RFM </w:t>
      </w:r>
      <w:r w:rsidR="00EA5D4C">
        <w:t xml:space="preserve">to </w:t>
      </w:r>
      <w:r w:rsidR="005F1736">
        <w:t>correct input errors and our decision on APTPPL's conforming capex over the period</w:t>
      </w:r>
      <w:r w:rsidR="009A1174">
        <w:t xml:space="preserve"> of</w:t>
      </w:r>
      <w:r w:rsidR="005F1736">
        <w:t xml:space="preserve"> 2011–17.</w:t>
      </w:r>
    </w:p>
    <w:p w:rsidR="00B865C7" w:rsidRPr="00B865C7" w:rsidRDefault="00B865C7" w:rsidP="00B865C7">
      <w:r w:rsidRPr="00B865C7">
        <w:t>We do not approve APT</w:t>
      </w:r>
      <w:r>
        <w:t>PPL'</w:t>
      </w:r>
      <w:r w:rsidRPr="00B865C7">
        <w:t>s projected closing capital base of $</w:t>
      </w:r>
      <w:r w:rsidR="00894F99">
        <w:t>505.4</w:t>
      </w:r>
      <w:r w:rsidRPr="00B865C7">
        <w:t xml:space="preserve"> million ($nominal) as at 30 June 202</w:t>
      </w:r>
      <w:r>
        <w:t>2</w:t>
      </w:r>
      <w:r w:rsidRPr="00B865C7">
        <w:t>. We instead determine a closing capital base of $</w:t>
      </w:r>
      <w:r w:rsidR="00A13227">
        <w:t>48</w:t>
      </w:r>
      <w:r w:rsidR="00694448">
        <w:t>8.1</w:t>
      </w:r>
      <w:r w:rsidRPr="00B865C7">
        <w:t xml:space="preserve"> million ($nominal) as at 30 June 202</w:t>
      </w:r>
      <w:r>
        <w:t>2</w:t>
      </w:r>
      <w:r w:rsidRPr="00B865C7">
        <w:t>, a reduction of $</w:t>
      </w:r>
      <w:r w:rsidR="00A13227">
        <w:t>17.</w:t>
      </w:r>
      <w:r w:rsidR="00694448">
        <w:t>3</w:t>
      </w:r>
      <w:r w:rsidRPr="00B865C7">
        <w:t xml:space="preserve"> million ($nominal) or </w:t>
      </w:r>
      <w:r w:rsidR="00A13227">
        <w:t>3.</w:t>
      </w:r>
      <w:r w:rsidR="00694448">
        <w:t>4</w:t>
      </w:r>
      <w:r w:rsidRPr="00B865C7">
        <w:t xml:space="preserve"> per cent from the proposed value. The main reasons for the reduction are our adjustments to the opening capital base as at 1 July 201</w:t>
      </w:r>
      <w:r>
        <w:t>7</w:t>
      </w:r>
      <w:r w:rsidRPr="00B865C7">
        <w:t xml:space="preserve"> (section 2.4.1), forecast depreciation (attachment 5) and forecast net capex (attachment 6). </w:t>
      </w:r>
    </w:p>
    <w:p w:rsidR="00B865C7" w:rsidRDefault="00B865C7" w:rsidP="00B865C7">
      <w:r w:rsidRPr="00B865C7">
        <w:t>We are satisfied each of these amendments is necessary having regard to the requirements of the NGR. The reasons for our decision are discussed below.</w:t>
      </w:r>
    </w:p>
    <w:p w:rsidR="00F31198" w:rsidRDefault="00F31198" w:rsidP="00DF04E1">
      <w:pPr>
        <w:pStyle w:val="Heading3"/>
        <w:keepNext/>
      </w:pPr>
      <w:bookmarkStart w:id="40" w:name="_Ref471736605"/>
      <w:bookmarkStart w:id="41" w:name="_Toc486846640"/>
      <w:r>
        <w:t>Asset class consolidation</w:t>
      </w:r>
      <w:bookmarkEnd w:id="40"/>
      <w:bookmarkEnd w:id="41"/>
    </w:p>
    <w:p w:rsidR="00F31198" w:rsidRDefault="00F31198" w:rsidP="00DF04E1">
      <w:pPr>
        <w:keepNext/>
      </w:pPr>
      <w:r w:rsidRPr="00F31198">
        <w:t>We accept APTPPL's proposed asset class consolidation. The consolidation reduces the number of asset classes from 25 to 11 by amalgamating the previously approved asset classes which were based on projects. This resulted in multiple asset classes with similar asset types for pipelines and compressors that were assigned the same standard asset lives. We are satisfied the consolidation is appropriate as it eliminates duplication of asset classes for similar asset types and the proposed asset classification reflects the asset classes approved for other regulated gas transmission pipelines. The consolidation does not require changes to the existing approved standard asset lives for the 2012–17 access arrangement period because the consolidated asset classes adopt the same approved standard asset lives as the underlying assets. Using the same standard asset lives does not affect the depreciation calculation</w:t>
      </w:r>
      <w:r w:rsidR="001367C8">
        <w:t>s</w:t>
      </w:r>
      <w:r w:rsidRPr="00F31198">
        <w:t xml:space="preserve"> going forward because the standard lives of the affected asset types (pipelines and compressors) do not differ across projects. The proposed remaining asset lives for the consolidated asset classes reflect the weighted average remaining asset lives approach.</w:t>
      </w:r>
    </w:p>
    <w:p w:rsidR="00B92C81" w:rsidRDefault="00F31198" w:rsidP="005F60F1">
      <w:r w:rsidRPr="00F31198">
        <w:t xml:space="preserve">APTPPL's proposed RFM applied the consolidated asset classes from 1 July 2011, the commencement of the capital base roll forward. </w:t>
      </w:r>
      <w:r w:rsidR="00DF6866">
        <w:t>We</w:t>
      </w:r>
      <w:r w:rsidR="00FE0BD1">
        <w:t xml:space="preserve"> consider </w:t>
      </w:r>
      <w:r w:rsidR="005F60F1">
        <w:t xml:space="preserve">the </w:t>
      </w:r>
      <w:r w:rsidRPr="00F31198">
        <w:t>asset classes in the RFM should be consistent with the asset classes approved at the last access arrangement review</w:t>
      </w:r>
      <w:r w:rsidR="00DF6866">
        <w:t>. Therefore</w:t>
      </w:r>
      <w:r w:rsidRPr="00F31198">
        <w:t>, any change</w:t>
      </w:r>
      <w:r w:rsidR="00DF6866">
        <w:t>s</w:t>
      </w:r>
      <w:r w:rsidRPr="00F31198">
        <w:t xml:space="preserve"> to the approved asset classes should be implemented form the start of the forthcoming access arrangement period.</w:t>
      </w:r>
      <w:r w:rsidR="00EA5D4C">
        <w:rPr>
          <w:rStyle w:val="FootnoteReference"/>
        </w:rPr>
        <w:footnoteReference w:id="20"/>
      </w:r>
      <w:r w:rsidRPr="00F31198">
        <w:t xml:space="preserve"> </w:t>
      </w:r>
      <w:r w:rsidR="00B92C81">
        <w:t xml:space="preserve">However, we note that APTPPL's proposal better aligns with the annual actual capex values for 2012–16 which have been reported under the consolidated asset classes. </w:t>
      </w:r>
      <w:r w:rsidR="0031490E">
        <w:t xml:space="preserve">As </w:t>
      </w:r>
      <w:r w:rsidR="00BC6CB0">
        <w:t>discussed</w:t>
      </w:r>
      <w:r w:rsidR="0031490E">
        <w:t xml:space="preserve"> in attachment 5, we do not consider</w:t>
      </w:r>
      <w:r w:rsidR="00B92C81">
        <w:t xml:space="preserve"> the proposal to start the asset class consolidation from 1 July 2011 ha</w:t>
      </w:r>
      <w:r w:rsidR="00DF6866">
        <w:t>s</w:t>
      </w:r>
      <w:r w:rsidR="00B92C81">
        <w:t xml:space="preserve"> a material impact on the opening capital base and remaining asset life values as at 1 July 2017. </w:t>
      </w:r>
      <w:r w:rsidR="006C0B68">
        <w:t>On this basis, the proposed asset class consolidation is generally consistent with the forecast depreciation schedule approved at the previous access arrangement de</w:t>
      </w:r>
      <w:r w:rsidR="00944DC0">
        <w:t>cision</w:t>
      </w:r>
      <w:r w:rsidR="006C0B68">
        <w:t>. In the</w:t>
      </w:r>
      <w:r w:rsidR="00350725">
        <w:t>se</w:t>
      </w:r>
      <w:r w:rsidR="006C0B68">
        <w:t xml:space="preserve"> circumstances</w:t>
      </w:r>
      <w:r w:rsidR="00944DC0">
        <w:t>,</w:t>
      </w:r>
      <w:r w:rsidR="006C0B68">
        <w:t xml:space="preserve"> the proposed asset class consolidation arrives at a reasonable and best estimate of forecast depreciation to roll forward the capital base.</w:t>
      </w:r>
      <w:r w:rsidR="006C0B68">
        <w:rPr>
          <w:rStyle w:val="FootnoteReference"/>
        </w:rPr>
        <w:footnoteReference w:id="21"/>
      </w:r>
      <w:r w:rsidR="006C0B68">
        <w:t xml:space="preserve"> </w:t>
      </w:r>
      <w:r w:rsidR="00B92C81">
        <w:t xml:space="preserve">For these reasons, we </w:t>
      </w:r>
      <w:r w:rsidR="001367C8">
        <w:t>accept</w:t>
      </w:r>
      <w:r w:rsidR="00B92C81">
        <w:t xml:space="preserve"> the consolidation of the asset classes to be implemented from 1 July 2011 in the RFM.</w:t>
      </w:r>
    </w:p>
    <w:p w:rsidR="008A0D81" w:rsidRDefault="008A0D81" w:rsidP="007A75D8">
      <w:pPr>
        <w:pStyle w:val="HeadingBoldBlue"/>
      </w:pPr>
      <w:bookmarkStart w:id="42" w:name="_Toc471992896"/>
      <w:bookmarkStart w:id="43" w:name="_Toc486846641"/>
      <w:r>
        <w:t>RBP8 allocation to consolidated asset classes</w:t>
      </w:r>
      <w:bookmarkEnd w:id="42"/>
      <w:bookmarkEnd w:id="43"/>
    </w:p>
    <w:p w:rsidR="006D415B" w:rsidRDefault="00382425" w:rsidP="00F31198">
      <w:r>
        <w:t>We do not approve APTPPL'</w:t>
      </w:r>
      <w:r w:rsidR="006D415B">
        <w:t>s</w:t>
      </w:r>
      <w:r>
        <w:t xml:space="preserve"> proposed allocat</w:t>
      </w:r>
      <w:r w:rsidR="006D415B">
        <w:t>i</w:t>
      </w:r>
      <w:r>
        <w:t>on</w:t>
      </w:r>
      <w:r w:rsidR="006D415B">
        <w:t>s</w:t>
      </w:r>
      <w:r>
        <w:t xml:space="preserve"> of the </w:t>
      </w:r>
      <w:r w:rsidR="001367C8">
        <w:t>RBP expansion 8 (</w:t>
      </w:r>
      <w:r>
        <w:t>RBP8</w:t>
      </w:r>
      <w:r w:rsidR="001367C8">
        <w:t>)</w:t>
      </w:r>
      <w:r>
        <w:t xml:space="preserve"> actual and estimated capex in 2011–12. </w:t>
      </w:r>
      <w:r w:rsidR="00F31198">
        <w:t xml:space="preserve">APTPPL's proposal to </w:t>
      </w:r>
      <w:r w:rsidR="00B51973">
        <w:t xml:space="preserve">consolidate </w:t>
      </w:r>
      <w:r w:rsidR="00F31198">
        <w:t xml:space="preserve">asset classes </w:t>
      </w:r>
      <w:r>
        <w:t xml:space="preserve">provided for different allocations of the RBP8 </w:t>
      </w:r>
      <w:r w:rsidR="00B51973">
        <w:t xml:space="preserve">actual </w:t>
      </w:r>
      <w:r>
        <w:t xml:space="preserve">and forecast </w:t>
      </w:r>
      <w:r w:rsidR="00B51973">
        <w:t>capex</w:t>
      </w:r>
      <w:r>
        <w:t>. APTPPL's proposed RFM</w:t>
      </w:r>
      <w:r w:rsidR="00B51973">
        <w:t xml:space="preserve"> </w:t>
      </w:r>
      <w:r w:rsidR="001367C8">
        <w:t>allocated</w:t>
      </w:r>
      <w:r w:rsidR="00B51973">
        <w:t xml:space="preserve"> </w:t>
      </w:r>
      <w:r w:rsidR="006D415B">
        <w:t xml:space="preserve">the </w:t>
      </w:r>
      <w:r w:rsidR="00945B78">
        <w:t xml:space="preserve">2011–12 </w:t>
      </w:r>
      <w:r w:rsidR="006D415B">
        <w:t xml:space="preserve">RBP8 </w:t>
      </w:r>
      <w:r>
        <w:t xml:space="preserve">actual capex </w:t>
      </w:r>
      <w:r w:rsidR="00B51973">
        <w:t xml:space="preserve">against the </w:t>
      </w:r>
      <w:r w:rsidR="001367C8">
        <w:t>'P</w:t>
      </w:r>
      <w:r w:rsidR="00B51973">
        <w:t>ipelines</w:t>
      </w:r>
      <w:r w:rsidR="001367C8">
        <w:t>'</w:t>
      </w:r>
      <w:r w:rsidR="00B51973">
        <w:t xml:space="preserve"> and </w:t>
      </w:r>
      <w:r w:rsidR="001367C8">
        <w:t>'C</w:t>
      </w:r>
      <w:r w:rsidR="00B51973">
        <w:t>ompressor</w:t>
      </w:r>
      <w:r w:rsidR="001367C8">
        <w:t>s'</w:t>
      </w:r>
      <w:r w:rsidR="00B51973">
        <w:t xml:space="preserve"> asset classes</w:t>
      </w:r>
      <w:r>
        <w:t xml:space="preserve">, and </w:t>
      </w:r>
      <w:r w:rsidR="006D415B">
        <w:t xml:space="preserve">reported </w:t>
      </w:r>
      <w:r>
        <w:t xml:space="preserve">forecast capex </w:t>
      </w:r>
      <w:r w:rsidR="006D415B">
        <w:t xml:space="preserve">against </w:t>
      </w:r>
      <w:r>
        <w:t xml:space="preserve">the </w:t>
      </w:r>
      <w:r w:rsidR="001367C8">
        <w:t>'P</w:t>
      </w:r>
      <w:r>
        <w:t>ipelines</w:t>
      </w:r>
      <w:r w:rsidR="001367C8">
        <w:t>'</w:t>
      </w:r>
      <w:r>
        <w:t xml:space="preserve"> asset class only</w:t>
      </w:r>
      <w:r w:rsidR="00B51973">
        <w:t>.</w:t>
      </w:r>
    </w:p>
    <w:p w:rsidR="006D415B" w:rsidRDefault="009C4214" w:rsidP="00F31198">
      <w:r>
        <w:t>O</w:t>
      </w:r>
      <w:r w:rsidR="00B51973">
        <w:t xml:space="preserve">ur previous </w:t>
      </w:r>
      <w:r w:rsidR="001367C8">
        <w:t xml:space="preserve">access arrangement </w:t>
      </w:r>
      <w:r w:rsidR="00B51973">
        <w:t xml:space="preserve">decision approved forecast capex for the RBP8 </w:t>
      </w:r>
      <w:r>
        <w:t>as a single asset class with its own</w:t>
      </w:r>
      <w:r w:rsidR="00E642EA">
        <w:t xml:space="preserve"> assigned</w:t>
      </w:r>
      <w:r>
        <w:t xml:space="preserve"> standard asset life</w:t>
      </w:r>
      <w:r w:rsidR="00E642EA">
        <w:t xml:space="preserve"> of 46 years</w:t>
      </w:r>
      <w:r>
        <w:t>.</w:t>
      </w:r>
      <w:r w:rsidR="00E642EA">
        <w:rPr>
          <w:rStyle w:val="FootnoteReference"/>
        </w:rPr>
        <w:footnoteReference w:id="22"/>
      </w:r>
      <w:r>
        <w:t xml:space="preserve"> </w:t>
      </w:r>
      <w:r w:rsidR="00945B78">
        <w:t xml:space="preserve">We reviewed </w:t>
      </w:r>
      <w:r>
        <w:t xml:space="preserve">APTPPL's </w:t>
      </w:r>
      <w:r w:rsidR="00945B78">
        <w:t xml:space="preserve">June 2011 </w:t>
      </w:r>
      <w:r>
        <w:t xml:space="preserve">business case for the RBP8 </w:t>
      </w:r>
      <w:r w:rsidR="003634FD">
        <w:t>estimated</w:t>
      </w:r>
      <w:r>
        <w:t xml:space="preserve"> capex</w:t>
      </w:r>
      <w:r w:rsidR="00945B78">
        <w:t>.</w:t>
      </w:r>
      <w:r w:rsidR="002A0D18">
        <w:rPr>
          <w:rStyle w:val="FootnoteReference"/>
        </w:rPr>
        <w:footnoteReference w:id="23"/>
      </w:r>
      <w:r w:rsidR="00945B78">
        <w:t xml:space="preserve"> APTPPL's budget estimates for the RBP8 allocated estimated capex</w:t>
      </w:r>
      <w:r>
        <w:t xml:space="preserve"> </w:t>
      </w:r>
      <w:r w:rsidR="005F72FF">
        <w:t xml:space="preserve">across the </w:t>
      </w:r>
      <w:r w:rsidR="00E642EA">
        <w:t>'P</w:t>
      </w:r>
      <w:r w:rsidR="005F72FF">
        <w:t>ipeline</w:t>
      </w:r>
      <w:r w:rsidR="00E642EA">
        <w:t>s'</w:t>
      </w:r>
      <w:r w:rsidR="005F72FF">
        <w:t xml:space="preserve">, </w:t>
      </w:r>
      <w:r w:rsidR="00E642EA">
        <w:t>'C</w:t>
      </w:r>
      <w:r w:rsidR="005F72FF">
        <w:t>ompressor</w:t>
      </w:r>
      <w:r w:rsidR="00E642EA">
        <w:t>s'</w:t>
      </w:r>
      <w:r w:rsidR="006D415B">
        <w:t>,</w:t>
      </w:r>
      <w:r w:rsidR="005F72FF">
        <w:t xml:space="preserve"> and </w:t>
      </w:r>
      <w:r w:rsidR="00E642EA">
        <w:t>'R</w:t>
      </w:r>
      <w:r w:rsidR="005F72FF">
        <w:t>egulators and meters</w:t>
      </w:r>
      <w:r w:rsidR="00E642EA">
        <w:t>'</w:t>
      </w:r>
      <w:r w:rsidR="005F72FF">
        <w:t xml:space="preserve"> asset classes.</w:t>
      </w:r>
      <w:r>
        <w:t xml:space="preserve"> </w:t>
      </w:r>
      <w:r w:rsidR="003634FD">
        <w:t xml:space="preserve">The </w:t>
      </w:r>
      <w:r w:rsidR="00055367">
        <w:t xml:space="preserve">RBP8 </w:t>
      </w:r>
      <w:r w:rsidR="003634FD">
        <w:t xml:space="preserve">standard asset life was </w:t>
      </w:r>
      <w:r w:rsidR="009C0D27">
        <w:t xml:space="preserve">calculated </w:t>
      </w:r>
      <w:r>
        <w:t xml:space="preserve">using the weighted average of </w:t>
      </w:r>
      <w:r w:rsidR="003634FD">
        <w:t>estimated</w:t>
      </w:r>
      <w:r>
        <w:t xml:space="preserve"> capex and the standard asset lives of the </w:t>
      </w:r>
      <w:r w:rsidR="00E642EA">
        <w:t>'P</w:t>
      </w:r>
      <w:r>
        <w:t>ipeline</w:t>
      </w:r>
      <w:r w:rsidR="00E642EA">
        <w:t>s</w:t>
      </w:r>
      <w:r>
        <w:t xml:space="preserve">, </w:t>
      </w:r>
      <w:r w:rsidR="00E642EA">
        <w:t>'C</w:t>
      </w:r>
      <w:r>
        <w:t>ompressor</w:t>
      </w:r>
      <w:r w:rsidR="00E642EA">
        <w:t>s'</w:t>
      </w:r>
      <w:r w:rsidR="00D82FD3">
        <w:t>,</w:t>
      </w:r>
      <w:r>
        <w:t xml:space="preserve"> and </w:t>
      </w:r>
      <w:r w:rsidR="00E642EA">
        <w:t>'R</w:t>
      </w:r>
      <w:r>
        <w:t>egulator and meters</w:t>
      </w:r>
      <w:r w:rsidR="00E642EA">
        <w:t>'</w:t>
      </w:r>
      <w:r>
        <w:t xml:space="preserve"> asset classes.</w:t>
      </w:r>
      <w:r w:rsidR="00F31198">
        <w:rPr>
          <w:rStyle w:val="FootnoteReference"/>
        </w:rPr>
        <w:footnoteReference w:id="24"/>
      </w:r>
      <w:r w:rsidR="00F31198">
        <w:t xml:space="preserve"> </w:t>
      </w:r>
    </w:p>
    <w:p w:rsidR="00F31198" w:rsidRDefault="00E642EA" w:rsidP="009C0D27">
      <w:r>
        <w:t>We consider the RBP8 actual capex for 2011–12 should also be allocated to the 'Regulators and meters' asset class, and not just to the 'Pipelines</w:t>
      </w:r>
      <w:r w:rsidR="005C2101">
        <w:t>'</w:t>
      </w:r>
      <w:r>
        <w:t xml:space="preserve"> and 'Compressors' asset classes. </w:t>
      </w:r>
      <w:r w:rsidR="006D415B">
        <w:t xml:space="preserve">We </w:t>
      </w:r>
      <w:r w:rsidR="00945B78">
        <w:t xml:space="preserve">have </w:t>
      </w:r>
      <w:r>
        <w:t xml:space="preserve">therefore </w:t>
      </w:r>
      <w:r w:rsidR="006D415B">
        <w:t xml:space="preserve">updated the 2011–12 actual capex </w:t>
      </w:r>
      <w:r>
        <w:t>in the RFM to be allocated across the three</w:t>
      </w:r>
      <w:r w:rsidR="006D415B">
        <w:t xml:space="preserve"> asset classes using APTPPL'</w:t>
      </w:r>
      <w:r w:rsidR="00394D5A">
        <w:t>s</w:t>
      </w:r>
      <w:r w:rsidR="006D415B">
        <w:t xml:space="preserve"> responses to</w:t>
      </w:r>
      <w:r>
        <w:t xml:space="preserve"> our</w:t>
      </w:r>
      <w:r w:rsidR="006D415B">
        <w:t xml:space="preserve"> information requests.</w:t>
      </w:r>
      <w:r w:rsidR="00565C8E">
        <w:rPr>
          <w:rStyle w:val="FootnoteReference"/>
        </w:rPr>
        <w:footnoteReference w:id="25"/>
      </w:r>
      <w:r w:rsidR="006D415B">
        <w:t xml:space="preserve"> APTPPL</w:t>
      </w:r>
      <w:r w:rsidR="00565C8E">
        <w:t>'s response</w:t>
      </w:r>
      <w:r w:rsidR="00055367">
        <w:t>s</w:t>
      </w:r>
      <w:r w:rsidR="00565C8E">
        <w:t xml:space="preserve"> </w:t>
      </w:r>
      <w:r w:rsidR="006D415B">
        <w:t xml:space="preserve">provided an allocation </w:t>
      </w:r>
      <w:r w:rsidR="00055367">
        <w:t>of actual capex that co</w:t>
      </w:r>
      <w:r w:rsidR="006D415B">
        <w:t xml:space="preserve">rrected the proposed allocation to recognise capex across the </w:t>
      </w:r>
      <w:r>
        <w:t xml:space="preserve">three </w:t>
      </w:r>
      <w:r w:rsidR="006D415B">
        <w:t xml:space="preserve">asset classes consistent with </w:t>
      </w:r>
      <w:r w:rsidR="00565C8E">
        <w:t xml:space="preserve">the </w:t>
      </w:r>
      <w:r w:rsidR="00055367">
        <w:t xml:space="preserve">accepted </w:t>
      </w:r>
      <w:r w:rsidR="006D415B">
        <w:t xml:space="preserve">cost estimates for the RBP8. </w:t>
      </w:r>
      <w:r w:rsidR="00055367">
        <w:t>We also corrected the proposed forecast capex allocation to match the allocations approved at the previous decision.</w:t>
      </w:r>
      <w:r w:rsidR="007E3E54">
        <w:rPr>
          <w:rStyle w:val="FootnoteReference"/>
        </w:rPr>
        <w:footnoteReference w:id="26"/>
      </w:r>
      <w:r w:rsidR="00055367">
        <w:t xml:space="preserve"> </w:t>
      </w:r>
      <w:r w:rsidR="006D415B">
        <w:t xml:space="preserve">Our adjustment to the allocation of the </w:t>
      </w:r>
      <w:r w:rsidR="00055367">
        <w:t xml:space="preserve">2011–12 </w:t>
      </w:r>
      <w:r w:rsidR="003634FD">
        <w:t xml:space="preserve">RBP8 actual </w:t>
      </w:r>
      <w:r w:rsidR="00382425">
        <w:t xml:space="preserve">and forecast </w:t>
      </w:r>
      <w:r w:rsidR="003634FD">
        <w:t xml:space="preserve">capex </w:t>
      </w:r>
      <w:r w:rsidR="006D415B">
        <w:t xml:space="preserve">recognises the </w:t>
      </w:r>
      <w:r w:rsidR="00382425">
        <w:t xml:space="preserve">need to </w:t>
      </w:r>
      <w:r w:rsidR="003634FD">
        <w:t xml:space="preserve">allocate </w:t>
      </w:r>
      <w:r w:rsidR="00565C8E">
        <w:t xml:space="preserve">capex </w:t>
      </w:r>
      <w:r w:rsidR="00382425">
        <w:t xml:space="preserve">consistently across the </w:t>
      </w:r>
      <w:r w:rsidR="003634FD">
        <w:t xml:space="preserve">relevant asset classes of </w:t>
      </w:r>
      <w:r>
        <w:t>'P</w:t>
      </w:r>
      <w:r w:rsidR="003634FD">
        <w:t>ipelines</w:t>
      </w:r>
      <w:r>
        <w:t>'</w:t>
      </w:r>
      <w:r w:rsidR="003634FD">
        <w:t xml:space="preserve">, </w:t>
      </w:r>
      <w:r>
        <w:t>'C</w:t>
      </w:r>
      <w:r w:rsidR="003634FD">
        <w:t>ompressors</w:t>
      </w:r>
      <w:r>
        <w:t>'</w:t>
      </w:r>
      <w:r w:rsidR="003634FD">
        <w:t xml:space="preserve"> and </w:t>
      </w:r>
      <w:r>
        <w:t>'R</w:t>
      </w:r>
      <w:r w:rsidR="003634FD">
        <w:t>egulators and meters</w:t>
      </w:r>
      <w:r>
        <w:t>'</w:t>
      </w:r>
      <w:r w:rsidR="003634FD">
        <w:t>.</w:t>
      </w:r>
      <w:r w:rsidR="00565C8E">
        <w:t xml:space="preserve"> </w:t>
      </w:r>
      <w:r w:rsidR="001C63E0">
        <w:rPr>
          <w:b/>
          <w:bCs/>
          <w:lang w:val="en-US"/>
        </w:rPr>
        <w:fldChar w:fldCharType="begin"/>
      </w:r>
      <w:r w:rsidR="001C63E0">
        <w:instrText xml:space="preserve"> REF _Ref471738095 \h </w:instrText>
      </w:r>
      <w:r w:rsidR="001C63E0">
        <w:rPr>
          <w:b/>
          <w:bCs/>
          <w:lang w:val="en-US"/>
        </w:rPr>
      </w:r>
      <w:r w:rsidR="001C63E0">
        <w:rPr>
          <w:b/>
          <w:bCs/>
          <w:lang w:val="en-US"/>
        </w:rPr>
        <w:fldChar w:fldCharType="separate"/>
      </w:r>
      <w:r w:rsidR="00996D16">
        <w:t xml:space="preserve">Table </w:t>
      </w:r>
      <w:r w:rsidR="00996D16">
        <w:rPr>
          <w:noProof/>
        </w:rPr>
        <w:t>2</w:t>
      </w:r>
      <w:r w:rsidR="00996D16">
        <w:t>.</w:t>
      </w:r>
      <w:r w:rsidR="00996D16">
        <w:rPr>
          <w:noProof/>
        </w:rPr>
        <w:t>5</w:t>
      </w:r>
      <w:r w:rsidR="001C63E0">
        <w:rPr>
          <w:b/>
          <w:bCs/>
          <w:lang w:val="en-US"/>
        </w:rPr>
        <w:fldChar w:fldCharType="end"/>
      </w:r>
      <w:r w:rsidR="001C63E0">
        <w:t xml:space="preserve"> </w:t>
      </w:r>
      <w:r w:rsidR="00F31198">
        <w:t xml:space="preserve">shows our </w:t>
      </w:r>
      <w:r>
        <w:t xml:space="preserve">draft </w:t>
      </w:r>
      <w:r w:rsidR="00F31198">
        <w:t xml:space="preserve">decision to amend </w:t>
      </w:r>
      <w:r>
        <w:t xml:space="preserve">the </w:t>
      </w:r>
      <w:r w:rsidR="00F31198">
        <w:t>RBP8 allocation of actual and forecast capex for 2011–12.</w:t>
      </w:r>
    </w:p>
    <w:p w:rsidR="00F31198" w:rsidRDefault="00F31198" w:rsidP="00F31198">
      <w:pPr>
        <w:pStyle w:val="Caption"/>
      </w:pPr>
      <w:bookmarkStart w:id="44" w:name="_Ref471738095"/>
      <w:proofErr w:type="gramStart"/>
      <w:r>
        <w:t xml:space="preserve">Table </w:t>
      </w:r>
      <w:proofErr w:type="gramEnd"/>
      <w:r w:rsidR="00CA12AF">
        <w:fldChar w:fldCharType="begin"/>
      </w:r>
      <w:r w:rsidR="00CA12AF">
        <w:instrText xml:space="preserve"> STYLEREF 1 \s </w:instrText>
      </w:r>
      <w:r w:rsidR="00CA12AF">
        <w:fldChar w:fldCharType="separate"/>
      </w:r>
      <w:r w:rsidR="00996D16">
        <w:rPr>
          <w:noProof/>
        </w:rPr>
        <w:t>2</w:t>
      </w:r>
      <w:r w:rsidR="00CA12AF">
        <w:rPr>
          <w:noProof/>
        </w:rPr>
        <w:fldChar w:fldCharType="end"/>
      </w:r>
      <w:proofErr w:type="gramStart"/>
      <w:r w:rsidR="00F03EB5">
        <w:t>.</w:t>
      </w:r>
      <w:proofErr w:type="gramEnd"/>
      <w:r w:rsidR="007A5EF0">
        <w:fldChar w:fldCharType="begin"/>
      </w:r>
      <w:r w:rsidR="007A5EF0">
        <w:instrText xml:space="preserve"> SEQ Table \* ARABIC \s 1 </w:instrText>
      </w:r>
      <w:r w:rsidR="007A5EF0">
        <w:fldChar w:fldCharType="separate"/>
      </w:r>
      <w:r w:rsidR="00996D16">
        <w:rPr>
          <w:noProof/>
        </w:rPr>
        <w:t>5</w:t>
      </w:r>
      <w:r w:rsidR="007A5EF0">
        <w:rPr>
          <w:noProof/>
        </w:rPr>
        <w:fldChar w:fldCharType="end"/>
      </w:r>
      <w:bookmarkEnd w:id="44"/>
      <w:r>
        <w:tab/>
        <w:t>AER draft decision on RBP8 capex (as-incurred only) allocation for 2011–12</w:t>
      </w:r>
      <w:r w:rsidR="00F82F51">
        <w:rPr>
          <w:rStyle w:val="FootnoteReference"/>
        </w:rPr>
        <w:footnoteReference w:id="27"/>
      </w:r>
    </w:p>
    <w:tbl>
      <w:tblPr>
        <w:tblStyle w:val="AERtable-text0"/>
        <w:tblW w:w="0" w:type="auto"/>
        <w:tblLook w:val="04A0" w:firstRow="1" w:lastRow="0" w:firstColumn="1" w:lastColumn="0" w:noHBand="0" w:noVBand="1"/>
      </w:tblPr>
      <w:tblGrid>
        <w:gridCol w:w="2520"/>
        <w:gridCol w:w="1582"/>
        <w:gridCol w:w="1504"/>
        <w:gridCol w:w="1582"/>
        <w:gridCol w:w="1504"/>
      </w:tblGrid>
      <w:tr w:rsidR="00F31198" w:rsidTr="00E70E29">
        <w:trPr>
          <w:cnfStyle w:val="100000000000" w:firstRow="1" w:lastRow="0" w:firstColumn="0" w:lastColumn="0" w:oddVBand="0" w:evenVBand="0" w:oddHBand="0" w:evenHBand="0" w:firstRowFirstColumn="0" w:firstRowLastColumn="0" w:lastRowFirstColumn="0" w:lastRowLastColumn="0"/>
        </w:trPr>
        <w:tc>
          <w:tcPr>
            <w:tcW w:w="2521" w:type="dxa"/>
          </w:tcPr>
          <w:p w:rsidR="00F31198" w:rsidRDefault="00F31198" w:rsidP="00F31198">
            <w:r>
              <w:t>Asset class</w:t>
            </w:r>
          </w:p>
        </w:tc>
        <w:tc>
          <w:tcPr>
            <w:tcW w:w="3086" w:type="dxa"/>
            <w:gridSpan w:val="2"/>
          </w:tcPr>
          <w:p w:rsidR="00F31198" w:rsidRDefault="00F31198" w:rsidP="00F31198">
            <w:r>
              <w:t>APTPPL proposal</w:t>
            </w:r>
          </w:p>
        </w:tc>
        <w:tc>
          <w:tcPr>
            <w:tcW w:w="3086" w:type="dxa"/>
            <w:gridSpan w:val="2"/>
          </w:tcPr>
          <w:p w:rsidR="00F31198" w:rsidRDefault="00F31198" w:rsidP="00F31198">
            <w:r>
              <w:t>AER draft decision</w:t>
            </w:r>
          </w:p>
        </w:tc>
      </w:tr>
      <w:tr w:rsidR="00F31198" w:rsidTr="00E70E29">
        <w:tc>
          <w:tcPr>
            <w:tcW w:w="2521" w:type="dxa"/>
          </w:tcPr>
          <w:p w:rsidR="00F31198" w:rsidRPr="005C1839" w:rsidRDefault="00F31198" w:rsidP="00F31198">
            <w:pPr>
              <w:rPr>
                <w:rStyle w:val="Strong"/>
              </w:rPr>
            </w:pPr>
          </w:p>
        </w:tc>
        <w:tc>
          <w:tcPr>
            <w:tcW w:w="1582" w:type="dxa"/>
          </w:tcPr>
          <w:p w:rsidR="00F31198" w:rsidRPr="00F31198" w:rsidRDefault="00F31198" w:rsidP="00F31198">
            <w:pPr>
              <w:rPr>
                <w:rStyle w:val="Strong"/>
              </w:rPr>
            </w:pPr>
            <w:r w:rsidRPr="005C1839">
              <w:rPr>
                <w:rStyle w:val="Strong"/>
              </w:rPr>
              <w:t>Forecast</w:t>
            </w:r>
            <w:r w:rsidRPr="00F31198">
              <w:rPr>
                <w:rStyle w:val="AERsuperscript"/>
              </w:rPr>
              <w:t>a</w:t>
            </w:r>
          </w:p>
        </w:tc>
        <w:tc>
          <w:tcPr>
            <w:tcW w:w="1504" w:type="dxa"/>
          </w:tcPr>
          <w:p w:rsidR="00F31198" w:rsidRPr="005C1839" w:rsidRDefault="00F31198" w:rsidP="00F31198">
            <w:pPr>
              <w:rPr>
                <w:rStyle w:val="Strong"/>
              </w:rPr>
            </w:pPr>
            <w:r w:rsidRPr="005C1839">
              <w:rPr>
                <w:rStyle w:val="Strong"/>
              </w:rPr>
              <w:t>Actual</w:t>
            </w:r>
          </w:p>
        </w:tc>
        <w:tc>
          <w:tcPr>
            <w:tcW w:w="1582" w:type="dxa"/>
          </w:tcPr>
          <w:p w:rsidR="00F31198" w:rsidRPr="00F31198" w:rsidRDefault="00F31198" w:rsidP="00F31198">
            <w:pPr>
              <w:rPr>
                <w:rStyle w:val="Strong"/>
              </w:rPr>
            </w:pPr>
            <w:r w:rsidRPr="005C1839">
              <w:rPr>
                <w:rStyle w:val="Strong"/>
              </w:rPr>
              <w:t>Forecast</w:t>
            </w:r>
            <w:r w:rsidRPr="00F31198">
              <w:rPr>
                <w:rStyle w:val="AERsuperscript"/>
              </w:rPr>
              <w:t>a</w:t>
            </w:r>
            <w:r w:rsidRPr="00F31198">
              <w:rPr>
                <w:rStyle w:val="Strong"/>
              </w:rPr>
              <w:t xml:space="preserve"> </w:t>
            </w:r>
          </w:p>
        </w:tc>
        <w:tc>
          <w:tcPr>
            <w:tcW w:w="1504" w:type="dxa"/>
          </w:tcPr>
          <w:p w:rsidR="00F31198" w:rsidRPr="005C1839" w:rsidRDefault="00F31198" w:rsidP="00F31198">
            <w:pPr>
              <w:rPr>
                <w:rStyle w:val="Strong"/>
              </w:rPr>
            </w:pPr>
            <w:r w:rsidRPr="005C1839">
              <w:rPr>
                <w:rStyle w:val="Strong"/>
              </w:rPr>
              <w:t>Actual</w:t>
            </w:r>
          </w:p>
        </w:tc>
      </w:tr>
      <w:tr w:rsidR="00F31198" w:rsidTr="00E70E29">
        <w:trPr>
          <w:cnfStyle w:val="000000010000" w:firstRow="0" w:lastRow="0" w:firstColumn="0" w:lastColumn="0" w:oddVBand="0" w:evenVBand="0" w:oddHBand="0" w:evenHBand="1" w:firstRowFirstColumn="0" w:firstRowLastColumn="0" w:lastRowFirstColumn="0" w:lastRowLastColumn="0"/>
        </w:trPr>
        <w:tc>
          <w:tcPr>
            <w:tcW w:w="2521" w:type="dxa"/>
          </w:tcPr>
          <w:p w:rsidR="00F31198" w:rsidRPr="009846D7" w:rsidRDefault="00F31198" w:rsidP="001367C8">
            <w:r w:rsidRPr="009846D7">
              <w:t>Pipelines</w:t>
            </w:r>
          </w:p>
        </w:tc>
        <w:tc>
          <w:tcPr>
            <w:tcW w:w="1582" w:type="dxa"/>
          </w:tcPr>
          <w:p w:rsidR="00F31198" w:rsidRDefault="00F31198" w:rsidP="00707C16">
            <w:r>
              <w:t>47.6</w:t>
            </w:r>
          </w:p>
        </w:tc>
        <w:tc>
          <w:tcPr>
            <w:tcW w:w="1504" w:type="dxa"/>
          </w:tcPr>
          <w:p w:rsidR="00F31198" w:rsidRDefault="00F31198" w:rsidP="00F31198">
            <w:r>
              <w:t>24.4</w:t>
            </w:r>
          </w:p>
        </w:tc>
        <w:tc>
          <w:tcPr>
            <w:tcW w:w="1582" w:type="dxa"/>
          </w:tcPr>
          <w:p w:rsidR="00F31198" w:rsidRDefault="00F31198" w:rsidP="00707C16">
            <w:r>
              <w:t>10.5</w:t>
            </w:r>
          </w:p>
        </w:tc>
        <w:tc>
          <w:tcPr>
            <w:tcW w:w="1504" w:type="dxa"/>
          </w:tcPr>
          <w:p w:rsidR="00F31198" w:rsidRDefault="00D5239F" w:rsidP="00D5239F">
            <w:r>
              <w:t>22.6</w:t>
            </w:r>
          </w:p>
        </w:tc>
      </w:tr>
      <w:tr w:rsidR="00F31198" w:rsidTr="00E70E29">
        <w:tc>
          <w:tcPr>
            <w:tcW w:w="2521" w:type="dxa"/>
          </w:tcPr>
          <w:p w:rsidR="00F31198" w:rsidRPr="009846D7" w:rsidRDefault="00F31198" w:rsidP="001367C8">
            <w:r w:rsidRPr="009846D7">
              <w:t>Compressors</w:t>
            </w:r>
          </w:p>
        </w:tc>
        <w:tc>
          <w:tcPr>
            <w:tcW w:w="1582" w:type="dxa"/>
          </w:tcPr>
          <w:p w:rsidR="00F31198" w:rsidRDefault="00F31198" w:rsidP="00F31198"/>
        </w:tc>
        <w:tc>
          <w:tcPr>
            <w:tcW w:w="1504" w:type="dxa"/>
          </w:tcPr>
          <w:p w:rsidR="00F31198" w:rsidRDefault="00F31198" w:rsidP="00F31198">
            <w:r>
              <w:t>21.3</w:t>
            </w:r>
          </w:p>
        </w:tc>
        <w:tc>
          <w:tcPr>
            <w:tcW w:w="1582" w:type="dxa"/>
          </w:tcPr>
          <w:p w:rsidR="00F31198" w:rsidRDefault="00F31198" w:rsidP="00707C16">
            <w:r>
              <w:t>27.8</w:t>
            </w:r>
          </w:p>
        </w:tc>
        <w:tc>
          <w:tcPr>
            <w:tcW w:w="1504" w:type="dxa"/>
          </w:tcPr>
          <w:p w:rsidR="00F31198" w:rsidRDefault="00F31198" w:rsidP="00F31198">
            <w:r>
              <w:t>21.3</w:t>
            </w:r>
          </w:p>
        </w:tc>
      </w:tr>
      <w:tr w:rsidR="00F31198" w:rsidTr="00E70E29">
        <w:trPr>
          <w:cnfStyle w:val="000000010000" w:firstRow="0" w:lastRow="0" w:firstColumn="0" w:lastColumn="0" w:oddVBand="0" w:evenVBand="0" w:oddHBand="0" w:evenHBand="1" w:firstRowFirstColumn="0" w:firstRowLastColumn="0" w:lastRowFirstColumn="0" w:lastRowLastColumn="0"/>
        </w:trPr>
        <w:tc>
          <w:tcPr>
            <w:tcW w:w="2521" w:type="dxa"/>
          </w:tcPr>
          <w:p w:rsidR="00F31198" w:rsidRPr="009846D7" w:rsidRDefault="00F31198" w:rsidP="001367C8">
            <w:r w:rsidRPr="009846D7">
              <w:t>Regulators and meters</w:t>
            </w:r>
          </w:p>
        </w:tc>
        <w:tc>
          <w:tcPr>
            <w:tcW w:w="1582" w:type="dxa"/>
          </w:tcPr>
          <w:p w:rsidR="00F31198" w:rsidRDefault="00F31198" w:rsidP="00F31198"/>
        </w:tc>
        <w:tc>
          <w:tcPr>
            <w:tcW w:w="1504" w:type="dxa"/>
          </w:tcPr>
          <w:p w:rsidR="00F31198" w:rsidRDefault="00F31198" w:rsidP="00F31198"/>
        </w:tc>
        <w:tc>
          <w:tcPr>
            <w:tcW w:w="1582" w:type="dxa"/>
          </w:tcPr>
          <w:p w:rsidR="00F31198" w:rsidRDefault="00F31198" w:rsidP="00707C16">
            <w:r>
              <w:t>9.2</w:t>
            </w:r>
          </w:p>
        </w:tc>
        <w:tc>
          <w:tcPr>
            <w:tcW w:w="1504" w:type="dxa"/>
          </w:tcPr>
          <w:p w:rsidR="00F31198" w:rsidRPr="00F31198" w:rsidRDefault="00F31198" w:rsidP="0050079F">
            <w:r>
              <w:t>1</w:t>
            </w:r>
            <w:r w:rsidR="00D5239F">
              <w:t>.7</w:t>
            </w:r>
          </w:p>
        </w:tc>
      </w:tr>
      <w:tr w:rsidR="00F31198" w:rsidTr="00E70E29">
        <w:tc>
          <w:tcPr>
            <w:tcW w:w="2521" w:type="dxa"/>
          </w:tcPr>
          <w:p w:rsidR="00F31198" w:rsidRPr="005C1839" w:rsidRDefault="00F31198" w:rsidP="00F31198">
            <w:pPr>
              <w:rPr>
                <w:rStyle w:val="Strong"/>
              </w:rPr>
            </w:pPr>
            <w:r w:rsidRPr="005C1839">
              <w:rPr>
                <w:rStyle w:val="Strong"/>
              </w:rPr>
              <w:t>Total</w:t>
            </w:r>
          </w:p>
        </w:tc>
        <w:tc>
          <w:tcPr>
            <w:tcW w:w="1582" w:type="dxa"/>
          </w:tcPr>
          <w:p w:rsidR="00F31198" w:rsidRPr="00AF4169" w:rsidRDefault="00F31198" w:rsidP="00707C16">
            <w:pPr>
              <w:rPr>
                <w:rStyle w:val="Strong"/>
              </w:rPr>
            </w:pPr>
            <w:r w:rsidRPr="00AF4169">
              <w:rPr>
                <w:rStyle w:val="Strong"/>
              </w:rPr>
              <w:t>47.6</w:t>
            </w:r>
          </w:p>
        </w:tc>
        <w:tc>
          <w:tcPr>
            <w:tcW w:w="1504" w:type="dxa"/>
          </w:tcPr>
          <w:p w:rsidR="00F31198" w:rsidRPr="00AF4169" w:rsidRDefault="00F31198" w:rsidP="00F31198">
            <w:pPr>
              <w:rPr>
                <w:rStyle w:val="Strong"/>
              </w:rPr>
            </w:pPr>
            <w:r w:rsidRPr="00AF4169">
              <w:rPr>
                <w:rStyle w:val="Strong"/>
              </w:rPr>
              <w:t>45.7</w:t>
            </w:r>
          </w:p>
        </w:tc>
        <w:tc>
          <w:tcPr>
            <w:tcW w:w="1582" w:type="dxa"/>
          </w:tcPr>
          <w:p w:rsidR="00F31198" w:rsidRPr="00AF4169" w:rsidRDefault="00F31198" w:rsidP="00F31198">
            <w:pPr>
              <w:rPr>
                <w:rStyle w:val="Strong"/>
              </w:rPr>
            </w:pPr>
            <w:r w:rsidRPr="00AF4169">
              <w:rPr>
                <w:rStyle w:val="Strong"/>
              </w:rPr>
              <w:t>47.6</w:t>
            </w:r>
          </w:p>
        </w:tc>
        <w:tc>
          <w:tcPr>
            <w:tcW w:w="1504" w:type="dxa"/>
          </w:tcPr>
          <w:p w:rsidR="00F31198" w:rsidRPr="00AF4169" w:rsidRDefault="00F31198" w:rsidP="00F31198">
            <w:pPr>
              <w:rPr>
                <w:rStyle w:val="Strong"/>
              </w:rPr>
            </w:pPr>
            <w:r w:rsidRPr="00AF4169">
              <w:rPr>
                <w:rStyle w:val="Strong"/>
              </w:rPr>
              <w:t>45.7</w:t>
            </w:r>
          </w:p>
        </w:tc>
      </w:tr>
    </w:tbl>
    <w:p w:rsidR="00F31198" w:rsidRDefault="00F31198" w:rsidP="00F31198">
      <w:pPr>
        <w:pStyle w:val="AERtablesource"/>
      </w:pPr>
      <w:r>
        <w:t>Source:</w:t>
      </w:r>
      <w:r>
        <w:tab/>
        <w:t xml:space="preserve">APTPPL, Proposed RFM. </w:t>
      </w:r>
    </w:p>
    <w:p w:rsidR="00F31198" w:rsidRDefault="00F31198" w:rsidP="00F31198">
      <w:pPr>
        <w:pStyle w:val="AERtablesource"/>
      </w:pPr>
      <w:r>
        <w:tab/>
        <w:t>AER analysis.</w:t>
      </w:r>
    </w:p>
    <w:p w:rsidR="00F31198" w:rsidRPr="005C1839" w:rsidRDefault="00E642EA" w:rsidP="00F31198">
      <w:pPr>
        <w:pStyle w:val="AERtablesource"/>
      </w:pPr>
      <w:r>
        <w:t>(</w:t>
      </w:r>
      <w:r w:rsidR="00F31198">
        <w:t>a</w:t>
      </w:r>
      <w:r>
        <w:t>)</w:t>
      </w:r>
      <w:r w:rsidR="00F31198">
        <w:tab/>
      </w:r>
      <w:r>
        <w:t>This is the</w:t>
      </w:r>
      <w:r w:rsidR="00F31198">
        <w:t xml:space="preserve"> forecast nominal value inclusive of half year WACC to adjust the forecast capex to end of year terms. The amended allocation also applies to forecast depreciation in order to preserve the approved depreciation profile of the disaggregated RBP8 asset classes.</w:t>
      </w:r>
      <w:r w:rsidR="0050079F">
        <w:t xml:space="preserve"> </w:t>
      </w:r>
    </w:p>
    <w:p w:rsidR="00B7393E" w:rsidRDefault="00F31198" w:rsidP="00F31198">
      <w:r>
        <w:t xml:space="preserve">We </w:t>
      </w:r>
      <w:r w:rsidR="004A2956">
        <w:t>consider our</w:t>
      </w:r>
      <w:r w:rsidR="0081249F">
        <w:t xml:space="preserve"> reallocat</w:t>
      </w:r>
      <w:r w:rsidR="004A2956">
        <w:t>ion of</w:t>
      </w:r>
      <w:r w:rsidR="0081249F">
        <w:t xml:space="preserve"> </w:t>
      </w:r>
      <w:r>
        <w:t>the RBP8 expansion project</w:t>
      </w:r>
      <w:r w:rsidR="0081249F">
        <w:t>'s</w:t>
      </w:r>
      <w:r>
        <w:t xml:space="preserve"> actual and forecast capex </w:t>
      </w:r>
      <w:r w:rsidR="004A2956">
        <w:t>as</w:t>
      </w:r>
      <w:r>
        <w:t xml:space="preserve"> set out above in</w:t>
      </w:r>
      <w:r w:rsidR="001C63E0">
        <w:t xml:space="preserve"> </w:t>
      </w:r>
      <w:r w:rsidR="001C63E0">
        <w:rPr>
          <w:b/>
          <w:bCs/>
          <w:lang w:val="en-US"/>
        </w:rPr>
        <w:fldChar w:fldCharType="begin"/>
      </w:r>
      <w:r w:rsidR="001C63E0">
        <w:instrText xml:space="preserve"> REF _Ref471738095 \h </w:instrText>
      </w:r>
      <w:r w:rsidR="001C63E0">
        <w:rPr>
          <w:b/>
          <w:bCs/>
          <w:lang w:val="en-US"/>
        </w:rPr>
      </w:r>
      <w:r w:rsidR="001C63E0">
        <w:rPr>
          <w:b/>
          <w:bCs/>
          <w:lang w:val="en-US"/>
        </w:rPr>
        <w:fldChar w:fldCharType="separate"/>
      </w:r>
      <w:r w:rsidR="00996D16">
        <w:t xml:space="preserve">Table </w:t>
      </w:r>
      <w:r w:rsidR="00996D16">
        <w:rPr>
          <w:noProof/>
        </w:rPr>
        <w:t>2</w:t>
      </w:r>
      <w:r w:rsidR="00996D16">
        <w:t>.</w:t>
      </w:r>
      <w:r w:rsidR="00996D16">
        <w:rPr>
          <w:noProof/>
        </w:rPr>
        <w:t>5</w:t>
      </w:r>
      <w:r w:rsidR="001C63E0">
        <w:rPr>
          <w:b/>
          <w:bCs/>
          <w:lang w:val="en-US"/>
        </w:rPr>
        <w:fldChar w:fldCharType="end"/>
      </w:r>
      <w:r w:rsidR="00CD04ED">
        <w:t xml:space="preserve"> provides a like for like comparison of forecast and actual capex for the purposes of performing the true up adjustment required under rule 77(2)(a) of the NGR.</w:t>
      </w:r>
      <w:r w:rsidR="00CD04ED">
        <w:rPr>
          <w:rStyle w:val="FootnoteReference"/>
        </w:rPr>
        <w:footnoteReference w:id="28"/>
      </w:r>
      <w:r>
        <w:t xml:space="preserve"> </w:t>
      </w:r>
    </w:p>
    <w:p w:rsidR="00B92C81" w:rsidRDefault="00B92C81" w:rsidP="00B92C81">
      <w:r>
        <w:t>Our draft decision on APTPPL's proposed asset class consolidation is presented in</w:t>
      </w:r>
      <w:r w:rsidR="001C63E0">
        <w:t xml:space="preserve"> </w:t>
      </w:r>
      <w:r w:rsidR="001C63E0">
        <w:rPr>
          <w:b/>
          <w:bCs/>
          <w:lang w:val="en-US"/>
        </w:rPr>
        <w:fldChar w:fldCharType="begin"/>
      </w:r>
      <w:r w:rsidR="001C63E0">
        <w:instrText xml:space="preserve"> REF _Ref471917852 \h </w:instrText>
      </w:r>
      <w:r w:rsidR="001C63E0">
        <w:rPr>
          <w:b/>
          <w:bCs/>
          <w:lang w:val="en-US"/>
        </w:rPr>
      </w:r>
      <w:r w:rsidR="001C63E0">
        <w:rPr>
          <w:b/>
          <w:bCs/>
          <w:lang w:val="en-US"/>
        </w:rPr>
        <w:fldChar w:fldCharType="separate"/>
      </w:r>
      <w:r w:rsidR="00996D16">
        <w:t xml:space="preserve">Table </w:t>
      </w:r>
      <w:r w:rsidR="00996D16">
        <w:rPr>
          <w:noProof/>
        </w:rPr>
        <w:t>2</w:t>
      </w:r>
      <w:r w:rsidR="00996D16">
        <w:t>.</w:t>
      </w:r>
      <w:r w:rsidR="00996D16">
        <w:rPr>
          <w:noProof/>
        </w:rPr>
        <w:t>6</w:t>
      </w:r>
      <w:r w:rsidR="001C63E0">
        <w:rPr>
          <w:b/>
          <w:bCs/>
          <w:lang w:val="en-US"/>
        </w:rPr>
        <w:fldChar w:fldCharType="end"/>
      </w:r>
      <w:r>
        <w:t>. It also shows the mapping with the previous asset classes.</w:t>
      </w:r>
    </w:p>
    <w:p w:rsidR="00B92C81" w:rsidRDefault="00B92C81" w:rsidP="00B92C81">
      <w:pPr>
        <w:pStyle w:val="Caption"/>
      </w:pPr>
      <w:bookmarkStart w:id="45" w:name="_Ref471917852"/>
      <w:r>
        <w:t xml:space="preserve">Table </w:t>
      </w:r>
      <w:fldSimple w:instr=" STYLEREF 1 \s ">
        <w:r w:rsidR="00996D16">
          <w:rPr>
            <w:noProof/>
          </w:rPr>
          <w:t>2</w:t>
        </w:r>
      </w:fldSimple>
      <w:r>
        <w:t>.</w:t>
      </w:r>
      <w:fldSimple w:instr=" SEQ Table \* ARABIC \s 1 ">
        <w:r w:rsidR="00996D16">
          <w:rPr>
            <w:noProof/>
          </w:rPr>
          <w:t>6</w:t>
        </w:r>
      </w:fldSimple>
      <w:bookmarkEnd w:id="45"/>
      <w:r>
        <w:tab/>
      </w:r>
      <w:r w:rsidR="001D620F">
        <w:t xml:space="preserve">AER draft decision on </w:t>
      </w:r>
      <w:r>
        <w:t>APTPPL's proposed asset class consolidation</w:t>
      </w:r>
    </w:p>
    <w:tbl>
      <w:tblPr>
        <w:tblStyle w:val="AERtable-text0"/>
        <w:tblW w:w="0" w:type="auto"/>
        <w:tblLook w:val="04A0" w:firstRow="1" w:lastRow="0" w:firstColumn="1" w:lastColumn="0" w:noHBand="0" w:noVBand="1"/>
      </w:tblPr>
      <w:tblGrid>
        <w:gridCol w:w="4323"/>
        <w:gridCol w:w="4323"/>
      </w:tblGrid>
      <w:tr w:rsidR="00B92C81" w:rsidTr="00DF04E1">
        <w:trPr>
          <w:cnfStyle w:val="100000000000" w:firstRow="1" w:lastRow="0" w:firstColumn="0" w:lastColumn="0" w:oddVBand="0" w:evenVBand="0" w:oddHBand="0" w:evenHBand="0" w:firstRowFirstColumn="0" w:firstRowLastColumn="0" w:lastRowFirstColumn="0" w:lastRowLastColumn="0"/>
          <w:trHeight w:val="560"/>
          <w:tblHeader/>
        </w:trPr>
        <w:tc>
          <w:tcPr>
            <w:tcW w:w="4323" w:type="dxa"/>
          </w:tcPr>
          <w:p w:rsidR="00B92C81" w:rsidRDefault="00B92C81" w:rsidP="00545DC3">
            <w:r>
              <w:t>Approved asset classes</w:t>
            </w:r>
            <w:r w:rsidR="00BC5322">
              <w:t xml:space="preserve"> </w:t>
            </w:r>
            <w:r>
              <w:t>1 September 2012</w:t>
            </w:r>
          </w:p>
        </w:tc>
        <w:tc>
          <w:tcPr>
            <w:tcW w:w="4323" w:type="dxa"/>
          </w:tcPr>
          <w:p w:rsidR="00B92C81" w:rsidRDefault="00A01CDB" w:rsidP="00B92C81">
            <w:r>
              <w:t>Consolidated asset</w:t>
            </w:r>
            <w:r w:rsidR="00B92C81">
              <w:t xml:space="preserve"> classes</w:t>
            </w:r>
          </w:p>
        </w:tc>
      </w:tr>
      <w:tr w:rsidR="00B92C81" w:rsidTr="00D13B2D">
        <w:trPr>
          <w:trHeight w:val="407"/>
        </w:trPr>
        <w:tc>
          <w:tcPr>
            <w:tcW w:w="4323" w:type="dxa"/>
          </w:tcPr>
          <w:p w:rsidR="00B92C81" w:rsidRDefault="00B92C81" w:rsidP="00B92C81">
            <w:r>
              <w:t>Original pipeline</w:t>
            </w:r>
          </w:p>
        </w:tc>
        <w:tc>
          <w:tcPr>
            <w:tcW w:w="4323" w:type="dxa"/>
          </w:tcPr>
          <w:p w:rsidR="00B92C81" w:rsidRPr="00C20E29" w:rsidRDefault="00B92C81" w:rsidP="00F92D80">
            <w:pPr>
              <w:pStyle w:val="AERtabletextleft"/>
              <w:rPr>
                <w:rStyle w:val="AERtextsize8"/>
                <w:rFonts w:eastAsia="Calibri"/>
                <w:b/>
                <w:szCs w:val="20"/>
              </w:rPr>
            </w:pPr>
            <w:r w:rsidRPr="00C20E29">
              <w:rPr>
                <w:rStyle w:val="AERtextsize8"/>
              </w:rPr>
              <w:t>Original pipeline (DN250)</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Default="00B92C81" w:rsidP="00B92C81">
            <w:r>
              <w:t>Looping 1</w:t>
            </w:r>
          </w:p>
          <w:p w:rsidR="00B92C81" w:rsidRDefault="00B92C81" w:rsidP="00B92C81">
            <w:r>
              <w:t>Looping 2</w:t>
            </w:r>
          </w:p>
          <w:p w:rsidR="00B92C81" w:rsidRDefault="00B92C81" w:rsidP="00B92C81">
            <w:r>
              <w:t>Looping 3</w:t>
            </w:r>
          </w:p>
          <w:p w:rsidR="00B92C81" w:rsidRDefault="00B92C81" w:rsidP="00B92C81">
            <w:r>
              <w:t>Looping 4</w:t>
            </w:r>
          </w:p>
          <w:p w:rsidR="00B92C81" w:rsidRDefault="00B92C81" w:rsidP="00B92C81">
            <w:r>
              <w:t>Looping 5</w:t>
            </w:r>
          </w:p>
          <w:p w:rsidR="00B92C81" w:rsidRDefault="00B92C81" w:rsidP="00B92C81">
            <w:r>
              <w:t>Looping 6</w:t>
            </w:r>
          </w:p>
          <w:p w:rsidR="00B92C81" w:rsidRDefault="00B92C81" w:rsidP="00B92C81">
            <w:r>
              <w:t>Lateral</w:t>
            </w:r>
          </w:p>
          <w:p w:rsidR="00B92C81" w:rsidRDefault="00B92C81" w:rsidP="00B92C81">
            <w:r>
              <w:t>Lytton Lateral</w:t>
            </w:r>
          </w:p>
          <w:p w:rsidR="00B92C81" w:rsidRDefault="00B92C81" w:rsidP="00B92C81">
            <w:r>
              <w:t>Pipelines/Laterals</w:t>
            </w:r>
          </w:p>
          <w:p w:rsidR="00B92C81" w:rsidRDefault="00B92C81" w:rsidP="00B92C81"/>
        </w:tc>
        <w:tc>
          <w:tcPr>
            <w:tcW w:w="4323" w:type="dxa"/>
          </w:tcPr>
          <w:p w:rsidR="00B92C81" w:rsidRPr="00C20E29" w:rsidRDefault="00B92C81" w:rsidP="00F92D80">
            <w:pPr>
              <w:pStyle w:val="AERtabletextleft"/>
              <w:rPr>
                <w:rStyle w:val="AERtextsize8"/>
              </w:rPr>
            </w:pPr>
            <w:r w:rsidRPr="00C20E29">
              <w:rPr>
                <w:rStyle w:val="AERtextsize8"/>
              </w:rPr>
              <w:t>Pipelines</w:t>
            </w:r>
          </w:p>
        </w:tc>
      </w:tr>
      <w:tr w:rsidR="00B92C81" w:rsidTr="00D13B2D">
        <w:trPr>
          <w:trHeight w:val="407"/>
        </w:trPr>
        <w:tc>
          <w:tcPr>
            <w:tcW w:w="4323" w:type="dxa"/>
          </w:tcPr>
          <w:p w:rsidR="00B92C81" w:rsidRDefault="00B92C81" w:rsidP="00B92C81">
            <w:r>
              <w:t>Dalby compressor</w:t>
            </w:r>
          </w:p>
          <w:p w:rsidR="00B92C81" w:rsidRDefault="00B92C81" w:rsidP="00B92C81">
            <w:r>
              <w:t>Kogan compressor</w:t>
            </w:r>
          </w:p>
          <w:p w:rsidR="00B92C81" w:rsidRDefault="00B92C81" w:rsidP="00B92C81">
            <w:r>
              <w:t>Oakey compressor</w:t>
            </w:r>
          </w:p>
          <w:p w:rsidR="00B92C81" w:rsidRDefault="00B92C81" w:rsidP="00B92C81">
            <w:r>
              <w:t>Condamine compressor</w:t>
            </w:r>
          </w:p>
          <w:p w:rsidR="00B92C81" w:rsidRDefault="00B92C81" w:rsidP="00B92C81">
            <w:r>
              <w:t>Yuleba compressor</w:t>
            </w:r>
          </w:p>
          <w:p w:rsidR="00B92C81" w:rsidRPr="00B92C81" w:rsidRDefault="00B92C81" w:rsidP="00B92C81">
            <w:r>
              <w:t>Gatton compressor</w:t>
            </w:r>
          </w:p>
        </w:tc>
        <w:tc>
          <w:tcPr>
            <w:tcW w:w="4323" w:type="dxa"/>
          </w:tcPr>
          <w:p w:rsidR="00B92C81" w:rsidRPr="00C20E29" w:rsidRDefault="00B92C81" w:rsidP="00F92D80">
            <w:pPr>
              <w:pStyle w:val="AERtabletextleft"/>
              <w:rPr>
                <w:rStyle w:val="AERtextsize8"/>
              </w:rPr>
            </w:pPr>
            <w:r w:rsidRPr="00C20E29">
              <w:rPr>
                <w:rStyle w:val="AERtextsize8"/>
              </w:rPr>
              <w:t>Compressors</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Pr="00B92C81" w:rsidRDefault="00B92C81" w:rsidP="00B92C81">
            <w:r>
              <w:t>Easements</w:t>
            </w:r>
          </w:p>
        </w:tc>
        <w:tc>
          <w:tcPr>
            <w:tcW w:w="4323" w:type="dxa"/>
          </w:tcPr>
          <w:p w:rsidR="00B92C81" w:rsidRPr="00B92C81" w:rsidRDefault="00B92C81" w:rsidP="00F92D80">
            <w:pPr>
              <w:pStyle w:val="AERtabletextleft"/>
              <w:rPr>
                <w:rStyle w:val="AERtextsize8"/>
              </w:rPr>
            </w:pPr>
            <w:r w:rsidRPr="00C20E29">
              <w:rPr>
                <w:rStyle w:val="AERtextsize8"/>
              </w:rPr>
              <w:t>Easements</w:t>
            </w:r>
          </w:p>
        </w:tc>
      </w:tr>
      <w:tr w:rsidR="00B92C81" w:rsidTr="00D13B2D">
        <w:trPr>
          <w:trHeight w:val="407"/>
        </w:trPr>
        <w:tc>
          <w:tcPr>
            <w:tcW w:w="4323" w:type="dxa"/>
          </w:tcPr>
          <w:p w:rsidR="00B92C81" w:rsidRPr="00B92C81" w:rsidRDefault="00B92C81" w:rsidP="00B92C81">
            <w:r>
              <w:t>Communications</w:t>
            </w:r>
          </w:p>
        </w:tc>
        <w:tc>
          <w:tcPr>
            <w:tcW w:w="4323" w:type="dxa"/>
          </w:tcPr>
          <w:p w:rsidR="00B92C81" w:rsidRPr="00B92C81" w:rsidRDefault="00B92C81" w:rsidP="00F92D80">
            <w:pPr>
              <w:pStyle w:val="AERtabletextleft"/>
              <w:rPr>
                <w:rStyle w:val="AERtextsize8"/>
              </w:rPr>
            </w:pPr>
            <w:r w:rsidRPr="00C20E29">
              <w:rPr>
                <w:rStyle w:val="AERtextsize8"/>
              </w:rPr>
              <w:t>Communications</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Pr="00B92C81" w:rsidRDefault="00B92C81" w:rsidP="00B92C81">
            <w:r>
              <w:t>Other</w:t>
            </w:r>
          </w:p>
        </w:tc>
        <w:tc>
          <w:tcPr>
            <w:tcW w:w="4323" w:type="dxa"/>
          </w:tcPr>
          <w:p w:rsidR="00B92C81" w:rsidRPr="00B92C81" w:rsidRDefault="00B92C81" w:rsidP="00F92D80">
            <w:pPr>
              <w:pStyle w:val="AERtabletextleft"/>
              <w:rPr>
                <w:rStyle w:val="AERtextsize8"/>
              </w:rPr>
            </w:pPr>
            <w:r w:rsidRPr="00C20E29">
              <w:rPr>
                <w:rStyle w:val="AERtextsize8"/>
              </w:rPr>
              <w:t>Other</w:t>
            </w:r>
          </w:p>
        </w:tc>
      </w:tr>
      <w:tr w:rsidR="00B92C81" w:rsidTr="00D13B2D">
        <w:trPr>
          <w:trHeight w:val="407"/>
        </w:trPr>
        <w:tc>
          <w:tcPr>
            <w:tcW w:w="4323" w:type="dxa"/>
          </w:tcPr>
          <w:p w:rsidR="00B92C81" w:rsidRDefault="00B92C81" w:rsidP="00B92C81">
            <w:r>
              <w:t>Capitalised AA costs</w:t>
            </w:r>
          </w:p>
        </w:tc>
        <w:tc>
          <w:tcPr>
            <w:tcW w:w="4323" w:type="dxa"/>
          </w:tcPr>
          <w:p w:rsidR="00B92C81" w:rsidRPr="00B92C81" w:rsidRDefault="00B92C81" w:rsidP="00F92D80">
            <w:pPr>
              <w:pStyle w:val="AERtabletextleft"/>
              <w:rPr>
                <w:rStyle w:val="AERtextsize8"/>
              </w:rPr>
            </w:pPr>
            <w:r w:rsidRPr="00C20E29">
              <w:rPr>
                <w:rStyle w:val="AERtextsize8"/>
              </w:rPr>
              <w:t>Capitalised AA costs</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Default="00B92C81" w:rsidP="00B92C81">
            <w:r>
              <w:t>Group IT</w:t>
            </w:r>
          </w:p>
        </w:tc>
        <w:tc>
          <w:tcPr>
            <w:tcW w:w="4323" w:type="dxa"/>
          </w:tcPr>
          <w:p w:rsidR="00B92C81" w:rsidRPr="00B92C81" w:rsidRDefault="00B92C81" w:rsidP="00F92D80">
            <w:pPr>
              <w:pStyle w:val="AERtabletextleft"/>
              <w:rPr>
                <w:rStyle w:val="AERtextsize8"/>
              </w:rPr>
            </w:pPr>
            <w:r w:rsidRPr="00C20E29">
              <w:rPr>
                <w:rStyle w:val="AERtextsize8"/>
              </w:rPr>
              <w:t>Group IT</w:t>
            </w:r>
          </w:p>
        </w:tc>
      </w:tr>
      <w:tr w:rsidR="00B92C81" w:rsidTr="00D13B2D">
        <w:trPr>
          <w:trHeight w:val="422"/>
        </w:trPr>
        <w:tc>
          <w:tcPr>
            <w:tcW w:w="4323" w:type="dxa"/>
          </w:tcPr>
          <w:p w:rsidR="00B92C81" w:rsidRPr="00B92C81" w:rsidDel="00134892" w:rsidRDefault="00B92C81" w:rsidP="00B92C81">
            <w:r>
              <w:t>SIB capex</w:t>
            </w:r>
          </w:p>
        </w:tc>
        <w:tc>
          <w:tcPr>
            <w:tcW w:w="4323" w:type="dxa"/>
          </w:tcPr>
          <w:p w:rsidR="00B92C81" w:rsidRPr="00B92C81" w:rsidRDefault="00B92C81" w:rsidP="00F92D80">
            <w:pPr>
              <w:pStyle w:val="AERtabletextleft"/>
              <w:rPr>
                <w:rStyle w:val="AERtextsize8"/>
              </w:rPr>
            </w:pPr>
            <w:r w:rsidRPr="00C20E29">
              <w:rPr>
                <w:rStyle w:val="AERtextsize8"/>
              </w:rPr>
              <w:t>SIB capex</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Pr="00B92C81" w:rsidDel="00134892" w:rsidRDefault="00B92C81" w:rsidP="00B92C81">
            <w:r>
              <w:t>PMA</w:t>
            </w:r>
          </w:p>
        </w:tc>
        <w:tc>
          <w:tcPr>
            <w:tcW w:w="4323" w:type="dxa"/>
          </w:tcPr>
          <w:p w:rsidR="00B92C81" w:rsidRPr="00B92C81" w:rsidRDefault="00B92C81" w:rsidP="00F92D80">
            <w:pPr>
              <w:pStyle w:val="AERtabletextleft"/>
              <w:rPr>
                <w:rStyle w:val="AERtextsize8"/>
              </w:rPr>
            </w:pPr>
            <w:r w:rsidRPr="00C20E29">
              <w:rPr>
                <w:rStyle w:val="AERtextsize8"/>
              </w:rPr>
              <w:t>PMA</w:t>
            </w:r>
          </w:p>
        </w:tc>
      </w:tr>
      <w:tr w:rsidR="00B92C81" w:rsidTr="00D13B2D">
        <w:trPr>
          <w:trHeight w:val="422"/>
        </w:trPr>
        <w:tc>
          <w:tcPr>
            <w:tcW w:w="4323" w:type="dxa"/>
          </w:tcPr>
          <w:p w:rsidR="00B92C81" w:rsidRPr="00B92C81" w:rsidDel="00134892" w:rsidRDefault="00B92C81" w:rsidP="00B92C81">
            <w:r>
              <w:t>Regulators and meters</w:t>
            </w:r>
          </w:p>
        </w:tc>
        <w:tc>
          <w:tcPr>
            <w:tcW w:w="4323" w:type="dxa"/>
          </w:tcPr>
          <w:p w:rsidR="00B92C81" w:rsidRPr="00B92C81" w:rsidRDefault="00B92C81" w:rsidP="00F92D80">
            <w:pPr>
              <w:pStyle w:val="AERtabletextleft"/>
              <w:rPr>
                <w:rStyle w:val="AERtextsize8"/>
              </w:rPr>
            </w:pPr>
            <w:r w:rsidRPr="00C20E29">
              <w:rPr>
                <w:rStyle w:val="AERtextsize8"/>
              </w:rPr>
              <w:t>Regulators and meters</w:t>
            </w:r>
          </w:p>
        </w:tc>
      </w:tr>
      <w:tr w:rsidR="00B92C81" w:rsidTr="00D13B2D">
        <w:trPr>
          <w:cnfStyle w:val="000000010000" w:firstRow="0" w:lastRow="0" w:firstColumn="0" w:lastColumn="0" w:oddVBand="0" w:evenVBand="0" w:oddHBand="0" w:evenHBand="1" w:firstRowFirstColumn="0" w:firstRowLastColumn="0" w:lastRowFirstColumn="0" w:lastRowLastColumn="0"/>
          <w:trHeight w:val="422"/>
        </w:trPr>
        <w:tc>
          <w:tcPr>
            <w:tcW w:w="4323" w:type="dxa"/>
          </w:tcPr>
          <w:p w:rsidR="00B92C81" w:rsidRDefault="00B92C81" w:rsidP="00B92C81">
            <w:r>
              <w:t>RBP expansion 8</w:t>
            </w:r>
          </w:p>
        </w:tc>
        <w:tc>
          <w:tcPr>
            <w:tcW w:w="4323" w:type="dxa"/>
          </w:tcPr>
          <w:p w:rsidR="00B92C81" w:rsidRDefault="00B92C81" w:rsidP="00F92D80">
            <w:pPr>
              <w:pStyle w:val="AERtabletextleft"/>
              <w:rPr>
                <w:rStyle w:val="AERtextsize8"/>
              </w:rPr>
            </w:pPr>
            <w:r>
              <w:rPr>
                <w:rStyle w:val="AERtextsize8"/>
              </w:rPr>
              <w:t>Pipelines</w:t>
            </w:r>
          </w:p>
          <w:p w:rsidR="00B92C81" w:rsidRPr="00B92C81" w:rsidRDefault="00B92C81" w:rsidP="00F92D80">
            <w:pPr>
              <w:pStyle w:val="AERtabletextleft"/>
              <w:rPr>
                <w:rStyle w:val="AERtextsize8"/>
              </w:rPr>
            </w:pPr>
            <w:r>
              <w:rPr>
                <w:rStyle w:val="AERtextsize8"/>
              </w:rPr>
              <w:t>Compressors</w:t>
            </w:r>
          </w:p>
          <w:p w:rsidR="00B92C81" w:rsidRPr="00B92C81" w:rsidRDefault="00B92C81" w:rsidP="00F92D80">
            <w:pPr>
              <w:pStyle w:val="AERtabletextleft"/>
              <w:rPr>
                <w:rStyle w:val="AERtextsize8"/>
                <w:lang w:eastAsia="en-US"/>
              </w:rPr>
            </w:pPr>
            <w:r>
              <w:rPr>
                <w:rStyle w:val="AERtextsize8"/>
              </w:rPr>
              <w:t>R</w:t>
            </w:r>
            <w:r w:rsidRPr="00B92C81">
              <w:rPr>
                <w:rStyle w:val="AERtextsize8"/>
              </w:rPr>
              <w:t>egulators and meters</w:t>
            </w:r>
          </w:p>
        </w:tc>
      </w:tr>
    </w:tbl>
    <w:p w:rsidR="00B92C81" w:rsidRDefault="00B92C81" w:rsidP="00B92C81">
      <w:pPr>
        <w:pStyle w:val="AERtablesource"/>
      </w:pPr>
      <w:r>
        <w:t>Source:</w:t>
      </w:r>
      <w:r>
        <w:tab/>
      </w:r>
      <w:r w:rsidRPr="006402D3">
        <w:t xml:space="preserve">APTPPL, </w:t>
      </w:r>
      <w:r w:rsidRPr="00DA393E">
        <w:rPr>
          <w:rStyle w:val="AERtextitalic"/>
        </w:rPr>
        <w:t>2017–22 Access arrangement submission</w:t>
      </w:r>
      <w:r w:rsidRPr="006402D3">
        <w:t>, September 2016, p</w:t>
      </w:r>
      <w:r>
        <w:t>p</w:t>
      </w:r>
      <w:r w:rsidRPr="006402D3">
        <w:t xml:space="preserve">. </w:t>
      </w:r>
      <w:r>
        <w:t xml:space="preserve">116–17. </w:t>
      </w:r>
    </w:p>
    <w:p w:rsidR="00B92C81" w:rsidRDefault="00B92C81" w:rsidP="003E6F99">
      <w:pPr>
        <w:pStyle w:val="AERtablesource"/>
      </w:pPr>
      <w:r>
        <w:tab/>
        <w:t>AER analysis.</w:t>
      </w:r>
    </w:p>
    <w:p w:rsidR="00B865C7" w:rsidRDefault="00B865C7" w:rsidP="00B865C7">
      <w:pPr>
        <w:pStyle w:val="Heading3"/>
      </w:pPr>
      <w:bookmarkStart w:id="46" w:name="_Toc486846642"/>
      <w:r>
        <w:t>Roll forward of the capital base during the 201</w:t>
      </w:r>
      <w:r w:rsidR="009A1174">
        <w:t>2</w:t>
      </w:r>
      <w:r>
        <w:t>–1</w:t>
      </w:r>
      <w:r w:rsidR="009A1174">
        <w:t>7</w:t>
      </w:r>
      <w:r>
        <w:t xml:space="preserve"> access arrangement period</w:t>
      </w:r>
      <w:bookmarkEnd w:id="46"/>
    </w:p>
    <w:p w:rsidR="00B865C7" w:rsidRDefault="00B865C7" w:rsidP="00B865C7">
      <w:r w:rsidRPr="00B865C7">
        <w:t>To determine the opening capital base as at 1 July 201</w:t>
      </w:r>
      <w:r>
        <w:t>7</w:t>
      </w:r>
      <w:r w:rsidRPr="00B865C7">
        <w:t>, we have assessed APT</w:t>
      </w:r>
      <w:r>
        <w:t>PPL</w:t>
      </w:r>
      <w:r w:rsidRPr="00B865C7">
        <w:t>'s proposed roll forward of its capital base over the 201</w:t>
      </w:r>
      <w:r>
        <w:t>2</w:t>
      </w:r>
      <w:r w:rsidRPr="00B865C7">
        <w:t>–1</w:t>
      </w:r>
      <w:r>
        <w:t>7</w:t>
      </w:r>
      <w:r w:rsidRPr="00B865C7">
        <w:t xml:space="preserve"> access arrangement period. As part of this assessment, we reviewed the following key inputs to the capital base roll forward:</w:t>
      </w:r>
    </w:p>
    <w:p w:rsidR="00055367" w:rsidRDefault="00055367" w:rsidP="00B865C7">
      <w:pPr>
        <w:pStyle w:val="AERbulletlistfirststyle"/>
      </w:pPr>
      <w:r>
        <w:t xml:space="preserve">the value of the opening capital base as at 1 July 2011 (the commencement of the last </w:t>
      </w:r>
      <w:r w:rsidR="000E2CBC">
        <w:t xml:space="preserve">regulatory </w:t>
      </w:r>
      <w:r>
        <w:t>year of the previous access arrangement period),</w:t>
      </w:r>
    </w:p>
    <w:p w:rsidR="00B865C7" w:rsidRDefault="00055367" w:rsidP="00B865C7">
      <w:pPr>
        <w:pStyle w:val="AERbulletlistfirststyle"/>
      </w:pPr>
      <w:r>
        <w:t xml:space="preserve">the </w:t>
      </w:r>
      <w:r w:rsidR="00B865C7" w:rsidRPr="00B865C7">
        <w:t>adjustment for actual capex in 201</w:t>
      </w:r>
      <w:r w:rsidR="00B865C7">
        <w:t>1</w:t>
      </w:r>
      <w:r w:rsidR="00B865C7" w:rsidRPr="00B865C7">
        <w:t>–1</w:t>
      </w:r>
      <w:r w:rsidR="00B865C7">
        <w:t>2</w:t>
      </w:r>
      <w:r w:rsidR="005F1736">
        <w:t xml:space="preserve"> </w:t>
      </w:r>
      <w:r w:rsidR="00B865C7" w:rsidRPr="00B865C7">
        <w:t>(including an assessment of the inputs used to calculate this adjustment)</w:t>
      </w:r>
    </w:p>
    <w:p w:rsidR="00B865C7" w:rsidRPr="00B865C7" w:rsidRDefault="00B865C7" w:rsidP="00B865C7">
      <w:pPr>
        <w:pStyle w:val="AERbulletlistfirststyle"/>
      </w:pPr>
      <w:r w:rsidRPr="00B865C7">
        <w:t>conforming capex in the 201</w:t>
      </w:r>
      <w:r>
        <w:t>2</w:t>
      </w:r>
      <w:r w:rsidRPr="00B865C7">
        <w:t>–1</w:t>
      </w:r>
      <w:r>
        <w:t>7</w:t>
      </w:r>
      <w:r w:rsidRPr="00B865C7">
        <w:t xml:space="preserve"> access arrangement period</w:t>
      </w:r>
    </w:p>
    <w:p w:rsidR="00B865C7" w:rsidRPr="00B865C7" w:rsidRDefault="00B865C7" w:rsidP="00B865C7">
      <w:pPr>
        <w:pStyle w:val="AERbulletlistfirststyle"/>
      </w:pPr>
      <w:r w:rsidRPr="00B865C7">
        <w:t>depreciation amounts in the 201</w:t>
      </w:r>
      <w:r>
        <w:t>2</w:t>
      </w:r>
      <w:r w:rsidRPr="00B865C7">
        <w:t>–1</w:t>
      </w:r>
      <w:r>
        <w:t>7</w:t>
      </w:r>
      <w:r w:rsidRPr="00B865C7">
        <w:t xml:space="preserve"> access arrangement period</w:t>
      </w:r>
    </w:p>
    <w:p w:rsidR="00B865C7" w:rsidRPr="00B865C7" w:rsidRDefault="00B865C7" w:rsidP="00B865C7">
      <w:pPr>
        <w:pStyle w:val="AERbulletlistfirststyle"/>
      </w:pPr>
      <w:r w:rsidRPr="00B865C7">
        <w:t>actual inflation from 20</w:t>
      </w:r>
      <w:r>
        <w:t>10</w:t>
      </w:r>
      <w:r w:rsidRPr="00B865C7">
        <w:t>–1</w:t>
      </w:r>
      <w:r>
        <w:t>1</w:t>
      </w:r>
      <w:r w:rsidRPr="00B865C7">
        <w:t xml:space="preserve"> to 201</w:t>
      </w:r>
      <w:r>
        <w:t>5</w:t>
      </w:r>
      <w:r w:rsidRPr="00B865C7">
        <w:t>–1</w:t>
      </w:r>
      <w:r>
        <w:t>6</w:t>
      </w:r>
      <w:r w:rsidRPr="00B865C7">
        <w:t xml:space="preserve"> and forecast inflation for 201</w:t>
      </w:r>
      <w:r>
        <w:t>6</w:t>
      </w:r>
      <w:r w:rsidRPr="00B865C7">
        <w:t>–1</w:t>
      </w:r>
      <w:r>
        <w:t>7</w:t>
      </w:r>
      <w:r w:rsidRPr="00B865C7">
        <w:t>.</w:t>
      </w:r>
    </w:p>
    <w:p w:rsidR="004870EA" w:rsidRDefault="004870EA" w:rsidP="00B865C7">
      <w:r w:rsidRPr="004870EA">
        <w:t>We approve the opening asset value of $</w:t>
      </w:r>
      <w:r w:rsidR="00756D07">
        <w:t>368.8 million (</w:t>
      </w:r>
      <w:r w:rsidR="008366ED">
        <w:t>$</w:t>
      </w:r>
      <w:r w:rsidR="00756D07">
        <w:t xml:space="preserve">nominal) </w:t>
      </w:r>
      <w:r w:rsidRPr="004870EA">
        <w:t>as at 1 July 2011 used to commence the roll forward of the capital base.</w:t>
      </w:r>
      <w:r w:rsidR="00756D07">
        <w:rPr>
          <w:rStyle w:val="FootnoteReference"/>
        </w:rPr>
        <w:footnoteReference w:id="29"/>
      </w:r>
      <w:r w:rsidRPr="004870EA">
        <w:t xml:space="preserve"> As discussed above we approve the proposed asset</w:t>
      </w:r>
      <w:r w:rsidR="00DE0167">
        <w:t xml:space="preserve"> class</w:t>
      </w:r>
      <w:r w:rsidRPr="004870EA">
        <w:t xml:space="preserve"> consolidation to take place in the RFM. The proposed value of the opening capital base using the consolidated asset</w:t>
      </w:r>
      <w:r w:rsidR="00DE0167">
        <w:t xml:space="preserve"> classe</w:t>
      </w:r>
      <w:r w:rsidRPr="004870EA">
        <w:t xml:space="preserve">s equals the value of the opening capital base </w:t>
      </w:r>
      <w:r w:rsidR="007A75D8">
        <w:t xml:space="preserve">for 2011–12 </w:t>
      </w:r>
      <w:r w:rsidR="00DE0167">
        <w:t xml:space="preserve">as set out </w:t>
      </w:r>
      <w:r w:rsidRPr="004870EA">
        <w:t>in the previous decision RFM</w:t>
      </w:r>
      <w:r>
        <w:t>.</w:t>
      </w:r>
      <w:r w:rsidR="007A75D8">
        <w:rPr>
          <w:rStyle w:val="FootnoteReference"/>
        </w:rPr>
        <w:footnoteReference w:id="30"/>
      </w:r>
    </w:p>
    <w:p w:rsidR="003E5954" w:rsidRDefault="003E5954" w:rsidP="003E5954">
      <w:pPr>
        <w:rPr>
          <w:rStyle w:val="AERbody"/>
        </w:rPr>
      </w:pPr>
      <w:r>
        <w:rPr>
          <w:rStyle w:val="AERbody"/>
        </w:rPr>
        <w:t>We accept APTPPL's proposed approach to calculate the adjustment for the difference between the actual and estimated capex</w:t>
      </w:r>
      <w:r w:rsidRPr="00AF2566">
        <w:rPr>
          <w:rStyle w:val="AERbody"/>
        </w:rPr>
        <w:t xml:space="preserve"> </w:t>
      </w:r>
      <w:r>
        <w:rPr>
          <w:rStyle w:val="AERbody"/>
        </w:rPr>
        <w:t xml:space="preserve">for 2011–12. </w:t>
      </w:r>
      <w:r w:rsidRPr="004870EA">
        <w:t>APTPPL proposed to establish the opening capital base from the commencement of the current access arrangement period, 1 September 2012.</w:t>
      </w:r>
      <w:r>
        <w:t xml:space="preserve"> We accept this proposal because it </w:t>
      </w:r>
      <w:r>
        <w:rPr>
          <w:rStyle w:val="AERbody"/>
        </w:rPr>
        <w:t>satisfies the requirements of the capital base roll forward under r</w:t>
      </w:r>
      <w:r w:rsidR="00A01CDB">
        <w:rPr>
          <w:rStyle w:val="AERbody"/>
        </w:rPr>
        <w:t xml:space="preserve">ule </w:t>
      </w:r>
      <w:r>
        <w:rPr>
          <w:rStyle w:val="AERbody"/>
        </w:rPr>
        <w:t xml:space="preserve">77(2)(a) of the NGR. In accepting the proposed approach, we corrected several inputs which affected the amount </w:t>
      </w:r>
      <w:r w:rsidR="00A01CDB">
        <w:rPr>
          <w:rStyle w:val="AERbody"/>
        </w:rPr>
        <w:t xml:space="preserve">being </w:t>
      </w:r>
      <w:r>
        <w:rPr>
          <w:rStyle w:val="AERbody"/>
        </w:rPr>
        <w:t>adjusted for the difference between the estimated and actual capex in 2011–12.</w:t>
      </w:r>
    </w:p>
    <w:p w:rsidR="00062E4E" w:rsidRDefault="00062E4E" w:rsidP="003E5954">
      <w:r>
        <w:t>In addition to correcting these inputs</w:t>
      </w:r>
      <w:r w:rsidR="003E5954">
        <w:t>,</w:t>
      </w:r>
      <w:r>
        <w:t xml:space="preserve"> we also substituted our latest version of the RFM</w:t>
      </w:r>
      <w:r w:rsidR="001D620F">
        <w:t>.</w:t>
      </w:r>
      <w:r w:rsidR="007A75D8">
        <w:rPr>
          <w:rStyle w:val="FootnoteReference"/>
        </w:rPr>
        <w:footnoteReference w:id="31"/>
      </w:r>
      <w:r>
        <w:t xml:space="preserve"> The current version</w:t>
      </w:r>
      <w:r w:rsidR="00545DC3">
        <w:t xml:space="preserve"> 3</w:t>
      </w:r>
      <w:r>
        <w:t xml:space="preserve"> of the RFM represents the </w:t>
      </w:r>
      <w:r w:rsidR="00545DC3">
        <w:t>latest</w:t>
      </w:r>
      <w:r>
        <w:t xml:space="preserve"> approach to the roll forward of a </w:t>
      </w:r>
      <w:r w:rsidR="00545DC3">
        <w:t xml:space="preserve">transmission </w:t>
      </w:r>
      <w:r>
        <w:t>network service provider's capital base and was subject to industry consultation.</w:t>
      </w:r>
      <w:r w:rsidR="00B46A1A">
        <w:rPr>
          <w:rStyle w:val="FootnoteReference"/>
        </w:rPr>
        <w:footnoteReference w:id="32"/>
      </w:r>
      <w:r>
        <w:t xml:space="preserve"> Therefore, we </w:t>
      </w:r>
      <w:r w:rsidR="005E791D">
        <w:t xml:space="preserve">implemented the new version of the </w:t>
      </w:r>
      <w:r>
        <w:t xml:space="preserve">RFM and updated the input errors to </w:t>
      </w:r>
      <w:r w:rsidR="005E791D">
        <w:t>calculate the value of the capital base</w:t>
      </w:r>
      <w:r w:rsidR="00545DC3">
        <w:t xml:space="preserve"> for APTPPL</w:t>
      </w:r>
      <w:r w:rsidR="005E791D">
        <w:t>.</w:t>
      </w:r>
      <w:r w:rsidR="002C1D1C">
        <w:rPr>
          <w:rStyle w:val="FootnoteReference"/>
        </w:rPr>
        <w:footnoteReference w:id="33"/>
      </w:r>
      <w:r>
        <w:t xml:space="preserve"> Our adjustments to APTPPL's proposed roll forward of the capital base are discussed in turn below.</w:t>
      </w:r>
    </w:p>
    <w:p w:rsidR="00BF0375" w:rsidRDefault="00BF0375" w:rsidP="003E5954">
      <w:r>
        <w:t>We do not accept APTPPL's proposed actual capex as conforming capex during the 2011–17 period have been properly accounted for in the capital base roll forward and are consistent with the requirements of the NGR.</w:t>
      </w:r>
      <w:r>
        <w:rPr>
          <w:rStyle w:val="FootnoteReference"/>
        </w:rPr>
        <w:footnoteReference w:id="34"/>
      </w:r>
    </w:p>
    <w:p w:rsidR="00BF0375" w:rsidRDefault="00BF0375" w:rsidP="003E5954">
      <w:r w:rsidRPr="00043E7A">
        <w:t>We approve APT</w:t>
      </w:r>
      <w:r>
        <w:t>PPL</w:t>
      </w:r>
      <w:r w:rsidRPr="00043E7A">
        <w:t>'s proposal to roll forward the capital base to 1 July 201</w:t>
      </w:r>
      <w:r>
        <w:t>7</w:t>
      </w:r>
      <w:r w:rsidRPr="00043E7A">
        <w:t xml:space="preserve"> using forecast depreciation (straight-line method, adjusted for actual inflation) in accordance with clause </w:t>
      </w:r>
      <w:r>
        <w:t xml:space="preserve">3.6 </w:t>
      </w:r>
      <w:r w:rsidRPr="00043E7A">
        <w:t xml:space="preserve">of the approved </w:t>
      </w:r>
      <w:r>
        <w:t>2012–17</w:t>
      </w:r>
      <w:r w:rsidRPr="00043E7A">
        <w:t xml:space="preserve"> access arrangement.</w:t>
      </w:r>
      <w:r>
        <w:rPr>
          <w:rStyle w:val="FootnoteReference"/>
        </w:rPr>
        <w:footnoteReference w:id="35"/>
      </w:r>
      <w:r>
        <w:t xml:space="preserve"> However, we do not accept APTPPL's proposal to reallocate total</w:t>
      </w:r>
      <w:r w:rsidR="00290B54">
        <w:t xml:space="preserve"> annual</w:t>
      </w:r>
      <w:r>
        <w:t xml:space="preserve"> depreciation approved in the 2012–17 access arrangement decision PTRM across different asset classes</w:t>
      </w:r>
      <w:r w:rsidR="001D620F">
        <w:t xml:space="preserve">. APTPPL proposed </w:t>
      </w:r>
      <w:r>
        <w:t>to fully depreciate the residual value of certain compressor asset</w:t>
      </w:r>
      <w:r w:rsidR="00157AD0">
        <w:t xml:space="preserve">s when rolling forward the capital base for the 2012–17 access arrangement period. To do so, it </w:t>
      </w:r>
      <w:r w:rsidR="001D620F">
        <w:t>increase</w:t>
      </w:r>
      <w:r w:rsidR="00157AD0">
        <w:t>d</w:t>
      </w:r>
      <w:r w:rsidR="003F0E8F">
        <w:t xml:space="preserve"> </w:t>
      </w:r>
      <w:r w:rsidR="00157AD0">
        <w:t>the approved forecast</w:t>
      </w:r>
      <w:r w:rsidR="003F0E8F">
        <w:t xml:space="preserve"> </w:t>
      </w:r>
      <w:r w:rsidR="001D620F">
        <w:t>depreciation</w:t>
      </w:r>
      <w:r w:rsidR="00157AD0">
        <w:t xml:space="preserve"> amount</w:t>
      </w:r>
      <w:r w:rsidR="00543E0D">
        <w:t>s</w:t>
      </w:r>
      <w:r w:rsidR="00157AD0">
        <w:t xml:space="preserve"> for</w:t>
      </w:r>
      <w:r w:rsidR="003F0E8F">
        <w:t xml:space="preserve"> </w:t>
      </w:r>
      <w:r w:rsidR="00157AD0">
        <w:t xml:space="preserve">the </w:t>
      </w:r>
      <w:r w:rsidR="003F0E8F">
        <w:t>compressor</w:t>
      </w:r>
      <w:r w:rsidR="00157AD0">
        <w:t xml:space="preserve"> asset classes and offset this increase</w:t>
      </w:r>
      <w:r w:rsidR="003F0E8F">
        <w:t xml:space="preserve"> </w:t>
      </w:r>
      <w:r w:rsidR="00157AD0">
        <w:t>by reducing the approved amount</w:t>
      </w:r>
      <w:r w:rsidR="00543E0D">
        <w:t>s</w:t>
      </w:r>
      <w:r w:rsidR="00157AD0">
        <w:t xml:space="preserve"> for</w:t>
      </w:r>
      <w:r w:rsidR="001D620F">
        <w:t xml:space="preserve"> the </w:t>
      </w:r>
      <w:r w:rsidR="0045331F">
        <w:t xml:space="preserve">two </w:t>
      </w:r>
      <w:r w:rsidR="001D620F">
        <w:t>pipeline asset class</w:t>
      </w:r>
      <w:r w:rsidR="003F0E8F">
        <w:t>es</w:t>
      </w:r>
      <w:r>
        <w:t xml:space="preserve">. </w:t>
      </w:r>
      <w:r w:rsidR="00157AD0">
        <w:t xml:space="preserve">We do not agree with this approach. </w:t>
      </w:r>
      <w:r>
        <w:t>We have amended the proposed RFM so that the depreciation of the 'Compressors', 'Original pipeline (DN250)' and 'Pipelines' asset classes are based on the approved forecast depreciation approach set out in our 2012–17 access arrangement decision.</w:t>
      </w:r>
      <w:r w:rsidR="003F0E8F">
        <w:rPr>
          <w:rStyle w:val="FootnoteReference"/>
        </w:rPr>
        <w:footnoteReference w:id="36"/>
      </w:r>
      <w:r w:rsidR="003F0E8F">
        <w:t xml:space="preserve"> Our </w:t>
      </w:r>
      <w:r w:rsidR="00157AD0">
        <w:t>amendment</w:t>
      </w:r>
      <w:r w:rsidR="003F0E8F">
        <w:t xml:space="preserve"> </w:t>
      </w:r>
      <w:r w:rsidR="00157AD0">
        <w:t>results in</w:t>
      </w:r>
      <w:r w:rsidR="003F0E8F">
        <w:t xml:space="preserve"> the compressor and pipeline asset</w:t>
      </w:r>
      <w:r w:rsidR="00157AD0">
        <w:t>s</w:t>
      </w:r>
      <w:r w:rsidR="003F0E8F">
        <w:t xml:space="preserve"> </w:t>
      </w:r>
      <w:r w:rsidR="00157AD0">
        <w:t>to</w:t>
      </w:r>
      <w:r w:rsidR="003F0E8F">
        <w:t xml:space="preserve"> </w:t>
      </w:r>
      <w:r w:rsidR="00157AD0">
        <w:t xml:space="preserve">be </w:t>
      </w:r>
      <w:r w:rsidR="003F0E8F">
        <w:t>depreciated over the</w:t>
      </w:r>
      <w:r w:rsidR="00157AD0">
        <w:t>ir</w:t>
      </w:r>
      <w:r w:rsidR="003F0E8F">
        <w:t xml:space="preserve"> approved economic li</w:t>
      </w:r>
      <w:r w:rsidR="00157AD0">
        <w:t>v</w:t>
      </w:r>
      <w:r w:rsidR="003F0E8F">
        <w:t>e</w:t>
      </w:r>
      <w:r w:rsidR="00157AD0">
        <w:t>s</w:t>
      </w:r>
      <w:r w:rsidR="003F0E8F">
        <w:t>.</w:t>
      </w:r>
      <w:r w:rsidR="003F0E8F">
        <w:rPr>
          <w:rStyle w:val="FootnoteReference"/>
        </w:rPr>
        <w:footnoteReference w:id="37"/>
      </w:r>
    </w:p>
    <w:p w:rsidR="00501BBF" w:rsidRPr="00501BBF" w:rsidRDefault="00501BBF" w:rsidP="003E6F99">
      <w:pPr>
        <w:rPr>
          <w:rStyle w:val="AERbody"/>
        </w:rPr>
      </w:pPr>
      <w:r>
        <w:t xml:space="preserve">We accept the inflation inputs </w:t>
      </w:r>
      <w:r w:rsidR="00471125">
        <w:t xml:space="preserve">for 2011–12 to 2015–16 </w:t>
      </w:r>
      <w:r>
        <w:t>in APTPPL's proposed RFM</w:t>
      </w:r>
      <w:r w:rsidR="008042D2">
        <w:t xml:space="preserve">. However, we changed the application of the formula to calculate the indexation values </w:t>
      </w:r>
      <w:r>
        <w:t xml:space="preserve">for 2011–12 and 2012–13. </w:t>
      </w:r>
      <w:r w:rsidR="008042D2">
        <w:t xml:space="preserve">This is </w:t>
      </w:r>
      <w:r>
        <w:t xml:space="preserve">to </w:t>
      </w:r>
      <w:r>
        <w:rPr>
          <w:rStyle w:val="AERbody"/>
        </w:rPr>
        <w:t>recognise the length of the regulatory year as 14 months and 10 months, respectively.</w:t>
      </w:r>
      <w:r w:rsidR="00471125">
        <w:rPr>
          <w:rStyle w:val="AERbody"/>
        </w:rPr>
        <w:t xml:space="preserve"> We also updated APTPPL's proposed estimate of inflation in 2016–17 </w:t>
      </w:r>
      <w:r w:rsidR="00844EB3">
        <w:rPr>
          <w:rStyle w:val="AERbody"/>
        </w:rPr>
        <w:t xml:space="preserve">with actual CPI </w:t>
      </w:r>
      <w:r w:rsidR="006E3C01">
        <w:rPr>
          <w:rStyle w:val="AERbody"/>
        </w:rPr>
        <w:t xml:space="preserve">of 2.13 per cent that </w:t>
      </w:r>
      <w:r w:rsidR="00844EB3">
        <w:rPr>
          <w:rStyle w:val="AERbody"/>
        </w:rPr>
        <w:t>is now available from the Australian Bureau of Statistics (ABS).</w:t>
      </w:r>
      <w:r w:rsidR="00844EB3">
        <w:rPr>
          <w:rStyle w:val="FootnoteReference"/>
        </w:rPr>
        <w:footnoteReference w:id="38"/>
      </w:r>
    </w:p>
    <w:p w:rsidR="00E943E6" w:rsidRDefault="00E943E6" w:rsidP="009F7096">
      <w:pPr>
        <w:pStyle w:val="HeadingBoldBlue"/>
        <w:tabs>
          <w:tab w:val="left" w:pos="5865"/>
        </w:tabs>
      </w:pPr>
      <w:bookmarkStart w:id="47" w:name="_Toc471992898"/>
      <w:bookmarkStart w:id="48" w:name="_Toc486846643"/>
      <w:r>
        <w:t xml:space="preserve">Adjustments for </w:t>
      </w:r>
      <w:r w:rsidR="00062E4E">
        <w:t xml:space="preserve">difference between </w:t>
      </w:r>
      <w:r>
        <w:t xml:space="preserve">actual </w:t>
      </w:r>
      <w:r w:rsidR="00062E4E">
        <w:t xml:space="preserve">and estimated </w:t>
      </w:r>
      <w:r>
        <w:t>capex in 2011–12</w:t>
      </w:r>
      <w:bookmarkEnd w:id="47"/>
      <w:bookmarkEnd w:id="48"/>
    </w:p>
    <w:p w:rsidR="00CA47A7" w:rsidRDefault="00FA2917" w:rsidP="00560A7F">
      <w:pPr>
        <w:rPr>
          <w:rStyle w:val="AERbody"/>
        </w:rPr>
      </w:pPr>
      <w:r>
        <w:rPr>
          <w:rStyle w:val="AERbody"/>
        </w:rPr>
        <w:t xml:space="preserve">We </w:t>
      </w:r>
      <w:r w:rsidR="00AF2566">
        <w:rPr>
          <w:rStyle w:val="AERbody"/>
        </w:rPr>
        <w:t>accept</w:t>
      </w:r>
      <w:r>
        <w:rPr>
          <w:rStyle w:val="AERbody"/>
        </w:rPr>
        <w:t xml:space="preserve"> APTPPL's proposed approach to calculate the adjustment for the difference between </w:t>
      </w:r>
      <w:r w:rsidR="00AF2566">
        <w:rPr>
          <w:rStyle w:val="AERbody"/>
        </w:rPr>
        <w:t xml:space="preserve">the </w:t>
      </w:r>
      <w:r>
        <w:rPr>
          <w:rStyle w:val="AERbody"/>
        </w:rPr>
        <w:t>actual and estimated capex</w:t>
      </w:r>
      <w:r w:rsidR="00AF2566" w:rsidRPr="00AF2566">
        <w:rPr>
          <w:rStyle w:val="AERbody"/>
        </w:rPr>
        <w:t xml:space="preserve"> </w:t>
      </w:r>
      <w:r w:rsidR="00AF2566">
        <w:rPr>
          <w:rStyle w:val="AERbody"/>
        </w:rPr>
        <w:t>for 2011–12</w:t>
      </w:r>
      <w:r>
        <w:rPr>
          <w:rStyle w:val="AERbody"/>
        </w:rPr>
        <w:t xml:space="preserve">. </w:t>
      </w:r>
      <w:r w:rsidR="00AF2566">
        <w:rPr>
          <w:rStyle w:val="AERbody"/>
        </w:rPr>
        <w:t xml:space="preserve">APTPPL's proposal used the AER's RFM for electricity service providers, which provides for this adjustment. </w:t>
      </w:r>
      <w:r w:rsidR="00AF2566">
        <w:t>Under the RFM, the capital base is adjusted for the difference between estimated and actual capex for the final year of the previous access arrangement period (in this case 2011–12) and the accumulated return on capital associated with that difference.</w:t>
      </w:r>
      <w:r w:rsidR="00AF2566">
        <w:rPr>
          <w:rStyle w:val="FootnoteReference"/>
        </w:rPr>
        <w:footnoteReference w:id="39"/>
      </w:r>
      <w:r w:rsidR="00BF0375">
        <w:rPr>
          <w:rStyle w:val="AERbody"/>
        </w:rPr>
        <w:t xml:space="preserve"> </w:t>
      </w:r>
      <w:r w:rsidR="003D024D" w:rsidRPr="004870EA">
        <w:t>APTPPL proposed t</w:t>
      </w:r>
      <w:r w:rsidR="00751A67">
        <w:t>hat the adjustment between estimated and actual capex for 2011–12 should be for 14 months (1 July 2011 to 31 August 2012) due to the delay to start of the 2012–17 access arrangement period</w:t>
      </w:r>
      <w:r w:rsidR="003D024D" w:rsidRPr="004870EA">
        <w:t>.</w:t>
      </w:r>
      <w:r w:rsidR="003D024D">
        <w:t xml:space="preserve"> We accept this proposal because it </w:t>
      </w:r>
      <w:r w:rsidR="003D024D">
        <w:rPr>
          <w:rStyle w:val="AERbody"/>
        </w:rPr>
        <w:t>satisfies the requirements of the capital base roll forward under r</w:t>
      </w:r>
      <w:r w:rsidR="00290B54">
        <w:rPr>
          <w:rStyle w:val="AERbody"/>
        </w:rPr>
        <w:t xml:space="preserve">ule </w:t>
      </w:r>
      <w:r w:rsidR="003D024D">
        <w:rPr>
          <w:rStyle w:val="AERbody"/>
        </w:rPr>
        <w:t xml:space="preserve">77(2)(a) of the NGR. </w:t>
      </w:r>
    </w:p>
    <w:p w:rsidR="00FA2917" w:rsidRDefault="00AF2566" w:rsidP="00560A7F">
      <w:pPr>
        <w:rPr>
          <w:rStyle w:val="AERbody"/>
        </w:rPr>
      </w:pPr>
      <w:r>
        <w:rPr>
          <w:rStyle w:val="AERbody"/>
        </w:rPr>
        <w:t>In accepting the proposed approach</w:t>
      </w:r>
      <w:r w:rsidR="00EA3905">
        <w:rPr>
          <w:rStyle w:val="AERbody"/>
        </w:rPr>
        <w:t>, w</w:t>
      </w:r>
      <w:r w:rsidR="00560A7F">
        <w:rPr>
          <w:rStyle w:val="AERbody"/>
        </w:rPr>
        <w:t xml:space="preserve">e </w:t>
      </w:r>
      <w:r w:rsidR="001C3402">
        <w:rPr>
          <w:rStyle w:val="AERbody"/>
        </w:rPr>
        <w:t>correct</w:t>
      </w:r>
      <w:r w:rsidR="003D024D">
        <w:rPr>
          <w:rStyle w:val="AERbody"/>
        </w:rPr>
        <w:t>ed</w:t>
      </w:r>
      <w:r w:rsidR="001C3402">
        <w:rPr>
          <w:rStyle w:val="AERbody"/>
        </w:rPr>
        <w:t xml:space="preserve"> </w:t>
      </w:r>
      <w:r w:rsidR="003D024D">
        <w:rPr>
          <w:rStyle w:val="AERbody"/>
        </w:rPr>
        <w:t xml:space="preserve">several </w:t>
      </w:r>
      <w:r w:rsidR="001C3402">
        <w:rPr>
          <w:rStyle w:val="AERbody"/>
        </w:rPr>
        <w:t>input</w:t>
      </w:r>
      <w:r w:rsidR="003D024D">
        <w:rPr>
          <w:rStyle w:val="AERbody"/>
        </w:rPr>
        <w:t xml:space="preserve">s which affected the amount </w:t>
      </w:r>
      <w:r w:rsidR="00290B54">
        <w:rPr>
          <w:rStyle w:val="AERbody"/>
        </w:rPr>
        <w:t xml:space="preserve">being </w:t>
      </w:r>
      <w:r w:rsidR="003D024D">
        <w:rPr>
          <w:rStyle w:val="AERbody"/>
        </w:rPr>
        <w:t xml:space="preserve">adjusted </w:t>
      </w:r>
      <w:r w:rsidR="003E5954">
        <w:rPr>
          <w:rStyle w:val="AERbody"/>
        </w:rPr>
        <w:t xml:space="preserve">for the difference </w:t>
      </w:r>
      <w:r w:rsidR="003D024D">
        <w:rPr>
          <w:rStyle w:val="AERbody"/>
        </w:rPr>
        <w:t>between estimated and actual capex in 2011–12</w:t>
      </w:r>
      <w:r w:rsidR="00001210">
        <w:rPr>
          <w:rStyle w:val="AERbody"/>
        </w:rPr>
        <w:t>.</w:t>
      </w:r>
      <w:r w:rsidR="001C3402">
        <w:rPr>
          <w:rStyle w:val="AERbody"/>
        </w:rPr>
        <w:t xml:space="preserve"> </w:t>
      </w:r>
      <w:r w:rsidR="00027E3B">
        <w:rPr>
          <w:rStyle w:val="AERbody"/>
        </w:rPr>
        <w:t>Our amendments</w:t>
      </w:r>
      <w:r w:rsidR="00FA2917">
        <w:rPr>
          <w:rStyle w:val="AERbody"/>
        </w:rPr>
        <w:t xml:space="preserve"> include:</w:t>
      </w:r>
    </w:p>
    <w:p w:rsidR="00FA2917" w:rsidRDefault="00FA2917" w:rsidP="003E6F99">
      <w:pPr>
        <w:pStyle w:val="AERbulletlistfirststyle"/>
        <w:rPr>
          <w:rStyle w:val="AERbody"/>
          <w:rFonts w:eastAsiaTheme="majorEastAsia" w:cstheme="majorBidi"/>
          <w:b/>
          <w:bCs/>
        </w:rPr>
      </w:pPr>
      <w:r>
        <w:rPr>
          <w:rStyle w:val="AERbody"/>
        </w:rPr>
        <w:t>adjusting the estimated capex to recognise the length of the 2011–12 r</w:t>
      </w:r>
      <w:r w:rsidR="005E791D">
        <w:rPr>
          <w:rStyle w:val="AERbody"/>
        </w:rPr>
        <w:t>egulatory year as 14 months</w:t>
      </w:r>
    </w:p>
    <w:p w:rsidR="00571F99" w:rsidRPr="007A1DD5" w:rsidRDefault="00571F99" w:rsidP="00571F99">
      <w:pPr>
        <w:pStyle w:val="AERbulletlistfirststyle"/>
        <w:rPr>
          <w:rStyle w:val="AERbody"/>
        </w:rPr>
      </w:pPr>
      <w:r w:rsidRPr="00D47AF3">
        <w:rPr>
          <w:rStyle w:val="AERbody"/>
        </w:rPr>
        <w:t>adjust</w:t>
      </w:r>
      <w:r>
        <w:rPr>
          <w:rStyle w:val="AERbody"/>
        </w:rPr>
        <w:t>ing</w:t>
      </w:r>
      <w:r w:rsidRPr="00D47AF3">
        <w:rPr>
          <w:rStyle w:val="AERbody"/>
        </w:rPr>
        <w:t xml:space="preserve"> the regulatory depreciation, inflation and WACC inputs for 2011–12 to </w:t>
      </w:r>
      <w:r>
        <w:rPr>
          <w:rStyle w:val="AERbody"/>
        </w:rPr>
        <w:t>recognise the length of the 2011–12 regulatory year as 14 months</w:t>
      </w:r>
    </w:p>
    <w:p w:rsidR="00D47AF3" w:rsidRPr="00DC60BF" w:rsidRDefault="00FA2917" w:rsidP="003E6F99">
      <w:pPr>
        <w:pStyle w:val="AERbulletlistfirststyle"/>
        <w:rPr>
          <w:rStyle w:val="AERbody"/>
          <w:rFonts w:eastAsiaTheme="majorEastAsia" w:cstheme="majorBidi"/>
          <w:b/>
          <w:bCs/>
        </w:rPr>
      </w:pPr>
      <w:proofErr w:type="gramStart"/>
      <w:r>
        <w:rPr>
          <w:rStyle w:val="AERbody"/>
        </w:rPr>
        <w:t>adjusting</w:t>
      </w:r>
      <w:proofErr w:type="gramEnd"/>
      <w:r>
        <w:rPr>
          <w:rStyle w:val="AERbody"/>
        </w:rPr>
        <w:t xml:space="preserve"> the allocation of the RBP8 estimated and actual capex in 2011–12 to reflect the asset classes that comprised the project as discussed in section </w:t>
      </w:r>
      <w:r w:rsidR="008042D2">
        <w:rPr>
          <w:rStyle w:val="AERbody"/>
        </w:rPr>
        <w:fldChar w:fldCharType="begin"/>
      </w:r>
      <w:r w:rsidR="008042D2">
        <w:rPr>
          <w:rStyle w:val="AERbody"/>
        </w:rPr>
        <w:instrText xml:space="preserve"> REF _Ref471736605 \w \h </w:instrText>
      </w:r>
      <w:r w:rsidR="008042D2">
        <w:rPr>
          <w:rStyle w:val="AERbody"/>
        </w:rPr>
      </w:r>
      <w:r w:rsidR="008042D2">
        <w:rPr>
          <w:rStyle w:val="AERbody"/>
        </w:rPr>
        <w:fldChar w:fldCharType="separate"/>
      </w:r>
      <w:r w:rsidR="00996D16">
        <w:rPr>
          <w:rStyle w:val="AERbody"/>
        </w:rPr>
        <w:t>2.4.1</w:t>
      </w:r>
      <w:r w:rsidR="008042D2">
        <w:rPr>
          <w:rStyle w:val="AERbody"/>
        </w:rPr>
        <w:fldChar w:fldCharType="end"/>
      </w:r>
      <w:r w:rsidR="001C0E2C">
        <w:rPr>
          <w:rStyle w:val="AERbody"/>
        </w:rPr>
        <w:t>.</w:t>
      </w:r>
      <w:r w:rsidR="005E791D">
        <w:rPr>
          <w:rStyle w:val="AERbody"/>
        </w:rPr>
        <w:t xml:space="preserve"> </w:t>
      </w:r>
    </w:p>
    <w:p w:rsidR="00FA2917" w:rsidRDefault="00FA2917" w:rsidP="00DC60BF">
      <w:pPr>
        <w:pStyle w:val="AERbulletlistfirststyle"/>
        <w:rPr>
          <w:rStyle w:val="AERbody"/>
        </w:rPr>
      </w:pPr>
      <w:r>
        <w:rPr>
          <w:rStyle w:val="AERbody"/>
        </w:rPr>
        <w:t xml:space="preserve">updating </w:t>
      </w:r>
      <w:r w:rsidR="005B0EEB">
        <w:rPr>
          <w:rStyle w:val="AERbody"/>
        </w:rPr>
        <w:t xml:space="preserve">the </w:t>
      </w:r>
      <w:r>
        <w:rPr>
          <w:rStyle w:val="AERbody"/>
        </w:rPr>
        <w:t xml:space="preserve">actual </w:t>
      </w:r>
      <w:r w:rsidR="005B0EEB">
        <w:rPr>
          <w:rStyle w:val="AERbody"/>
        </w:rPr>
        <w:t xml:space="preserve">as–commissioned </w:t>
      </w:r>
      <w:r>
        <w:rPr>
          <w:rStyle w:val="AERbody"/>
        </w:rPr>
        <w:t>capex values for 2011–12.</w:t>
      </w:r>
    </w:p>
    <w:p w:rsidR="00FA2917" w:rsidRPr="00CE61E1" w:rsidRDefault="00CE61E1" w:rsidP="00DC60BF">
      <w:pPr>
        <w:pStyle w:val="HeadingBoldItalic"/>
        <w:rPr>
          <w:rStyle w:val="AERbody"/>
          <w:rFonts w:cs="Times New Roman"/>
          <w:color w:val="51626F"/>
          <w:sz w:val="24"/>
        </w:rPr>
      </w:pPr>
      <w:r w:rsidRPr="00CE61E1">
        <w:rPr>
          <w:rStyle w:val="AERbody"/>
          <w:color w:val="51626F"/>
          <w:sz w:val="24"/>
        </w:rPr>
        <w:t>E</w:t>
      </w:r>
      <w:r w:rsidR="00FA2917" w:rsidRPr="00CE61E1">
        <w:rPr>
          <w:rStyle w:val="AERbody"/>
          <w:color w:val="51626F"/>
          <w:sz w:val="24"/>
        </w:rPr>
        <w:t>stimated capex in 2011–12</w:t>
      </w:r>
    </w:p>
    <w:p w:rsidR="0047679D" w:rsidRDefault="00AF2566">
      <w:pPr>
        <w:rPr>
          <w:rStyle w:val="AERbody"/>
        </w:rPr>
      </w:pPr>
      <w:r w:rsidRPr="004870EA">
        <w:t>APTPPL proposed to establish the opening capital base from the commencement of the current access arrangement period, 1 September 2012. As a consequence APTPPL proposed that 2011</w:t>
      </w:r>
      <w:r>
        <w:t>–</w:t>
      </w:r>
      <w:r w:rsidRPr="004870EA">
        <w:t>12 actual capex was for a 14 month period</w:t>
      </w:r>
      <w:r w:rsidR="00751A67">
        <w:t>, rather than for the standard 12 month period</w:t>
      </w:r>
      <w:r w:rsidR="00290B54">
        <w:t xml:space="preserve"> due to the delay to the start of the 201</w:t>
      </w:r>
      <w:r w:rsidR="00751A67">
        <w:t>2</w:t>
      </w:r>
      <w:r w:rsidR="00290B54">
        <w:t>–</w:t>
      </w:r>
      <w:r w:rsidR="00751A67">
        <w:t>17 access arrangement period</w:t>
      </w:r>
      <w:r w:rsidRPr="004870EA">
        <w:t xml:space="preserve">. </w:t>
      </w:r>
      <w:r w:rsidR="00FA2917">
        <w:rPr>
          <w:rStyle w:val="AERbody"/>
        </w:rPr>
        <w:t xml:space="preserve">We </w:t>
      </w:r>
      <w:r w:rsidR="003D024D">
        <w:rPr>
          <w:rStyle w:val="AERbody"/>
        </w:rPr>
        <w:t>consider that</w:t>
      </w:r>
      <w:r w:rsidR="00FA2917">
        <w:rPr>
          <w:rStyle w:val="AERbody"/>
        </w:rPr>
        <w:t xml:space="preserve"> </w:t>
      </w:r>
      <w:r w:rsidR="00F932FA">
        <w:rPr>
          <w:rStyle w:val="AERbody"/>
        </w:rPr>
        <w:t>the</w:t>
      </w:r>
      <w:r w:rsidR="00FA2917">
        <w:rPr>
          <w:rStyle w:val="AERbody"/>
        </w:rPr>
        <w:t xml:space="preserve"> proposed adjustment to include two months of actual capex </w:t>
      </w:r>
      <w:r w:rsidR="00290B54">
        <w:rPr>
          <w:rStyle w:val="AERbody"/>
        </w:rPr>
        <w:t xml:space="preserve">(from 1 July </w:t>
      </w:r>
      <w:r w:rsidR="00B13529">
        <w:rPr>
          <w:rStyle w:val="AERbody"/>
        </w:rPr>
        <w:t xml:space="preserve">2011 </w:t>
      </w:r>
      <w:r w:rsidR="00290B54">
        <w:rPr>
          <w:rStyle w:val="AERbody"/>
        </w:rPr>
        <w:t>to 31 August 2011)</w:t>
      </w:r>
      <w:r w:rsidR="00FA2917">
        <w:rPr>
          <w:rStyle w:val="AERbody"/>
        </w:rPr>
        <w:t xml:space="preserve"> </w:t>
      </w:r>
      <w:r w:rsidR="00A3086D">
        <w:rPr>
          <w:rStyle w:val="AERbody"/>
        </w:rPr>
        <w:t>satisfies the requirements of the capital base roll forward under r</w:t>
      </w:r>
      <w:r w:rsidR="00290B54">
        <w:rPr>
          <w:rStyle w:val="AERbody"/>
        </w:rPr>
        <w:t xml:space="preserve">ule </w:t>
      </w:r>
      <w:r w:rsidR="00A3086D">
        <w:rPr>
          <w:rStyle w:val="AERbody"/>
        </w:rPr>
        <w:t>77(2)(a) of the NGR. However, APTPPL did not make a corresponding adjustment to the estimated capex to allow an accurate comparison to actual capex over a 14 month period.</w:t>
      </w:r>
      <w:r w:rsidR="00A3086D">
        <w:rPr>
          <w:rStyle w:val="FootnoteReference"/>
        </w:rPr>
        <w:footnoteReference w:id="40"/>
      </w:r>
      <w:r w:rsidR="00A3086D">
        <w:rPr>
          <w:rStyle w:val="AERbody"/>
        </w:rPr>
        <w:t xml:space="preserve"> </w:t>
      </w:r>
      <w:r w:rsidR="00F932FA">
        <w:rPr>
          <w:rStyle w:val="AERbody"/>
        </w:rPr>
        <w:t>Therefore, t</w:t>
      </w:r>
      <w:r w:rsidR="00A3086D">
        <w:rPr>
          <w:rStyle w:val="AERbody"/>
        </w:rPr>
        <w:t xml:space="preserve">he proposed </w:t>
      </w:r>
      <w:r w:rsidR="00F932FA">
        <w:rPr>
          <w:rStyle w:val="AERbody"/>
        </w:rPr>
        <w:t>adjustment</w:t>
      </w:r>
      <w:r w:rsidR="00A3086D">
        <w:rPr>
          <w:rStyle w:val="AERbody"/>
        </w:rPr>
        <w:t xml:space="preserve"> for the difference between actual and estimated capex was not determined on a like for like basis. </w:t>
      </w:r>
    </w:p>
    <w:p w:rsidR="005A79A1" w:rsidRDefault="00F932FA" w:rsidP="00062E4E">
      <w:pPr>
        <w:rPr>
          <w:rStyle w:val="AERbody"/>
        </w:rPr>
      </w:pPr>
      <w:r>
        <w:rPr>
          <w:rStyle w:val="AERbody"/>
        </w:rPr>
        <w:t xml:space="preserve">We issued information requests to APTPPL identifying the input error regarding the estimated capex for 2011–12. APTPPL's response acknowledged the </w:t>
      </w:r>
      <w:r w:rsidR="00751A67">
        <w:rPr>
          <w:rStyle w:val="AERbody"/>
        </w:rPr>
        <w:t>need</w:t>
      </w:r>
      <w:r>
        <w:rPr>
          <w:rStyle w:val="AERbody"/>
        </w:rPr>
        <w:t xml:space="preserve"> to augment the estimated capex for 2011–12 with two months of the approved forecast capex for 2012–13.</w:t>
      </w:r>
      <w:r>
        <w:rPr>
          <w:rStyle w:val="FootnoteReference"/>
        </w:rPr>
        <w:footnoteReference w:id="41"/>
      </w:r>
      <w:r>
        <w:rPr>
          <w:rStyle w:val="AERbody"/>
        </w:rPr>
        <w:t xml:space="preserve"> Therefore, w</w:t>
      </w:r>
      <w:r w:rsidR="00F20E70">
        <w:rPr>
          <w:rStyle w:val="AERbody"/>
        </w:rPr>
        <w:t xml:space="preserve">e corrected the estimated capex </w:t>
      </w:r>
      <w:r w:rsidR="00010D6D">
        <w:rPr>
          <w:rStyle w:val="AERbody"/>
        </w:rPr>
        <w:t xml:space="preserve">to be assessed on </w:t>
      </w:r>
      <w:r w:rsidR="00F20E70">
        <w:rPr>
          <w:rStyle w:val="AERbody"/>
        </w:rPr>
        <w:t>a 14 month period by augmenting the estimate with two months of the approved forecast capex for 2012–13</w:t>
      </w:r>
      <w:r w:rsidR="00B13529">
        <w:rPr>
          <w:rStyle w:val="AERbody"/>
        </w:rPr>
        <w:t xml:space="preserve">. This adjustment </w:t>
      </w:r>
      <w:r w:rsidR="00F20E70">
        <w:rPr>
          <w:rStyle w:val="AERbody"/>
        </w:rPr>
        <w:t>allow</w:t>
      </w:r>
      <w:r w:rsidR="00B13529">
        <w:rPr>
          <w:rStyle w:val="AERbody"/>
        </w:rPr>
        <w:t xml:space="preserve">ed </w:t>
      </w:r>
      <w:r w:rsidR="0045331F">
        <w:rPr>
          <w:rStyle w:val="AERbody"/>
        </w:rPr>
        <w:t xml:space="preserve">comparison of </w:t>
      </w:r>
      <w:r w:rsidR="00B13529">
        <w:rPr>
          <w:rStyle w:val="AERbody"/>
        </w:rPr>
        <w:t xml:space="preserve">the estimated and actual capex </w:t>
      </w:r>
      <w:r w:rsidR="00F20E70">
        <w:rPr>
          <w:rStyle w:val="AERbody"/>
        </w:rPr>
        <w:t xml:space="preserve">for the 2011–12 regulatory year </w:t>
      </w:r>
      <w:r w:rsidR="00B13529">
        <w:rPr>
          <w:rStyle w:val="AERbody"/>
        </w:rPr>
        <w:t xml:space="preserve">to be </w:t>
      </w:r>
      <w:r w:rsidR="00F20E70">
        <w:rPr>
          <w:rStyle w:val="AERbody"/>
        </w:rPr>
        <w:t>on a consistent basis.</w:t>
      </w:r>
      <w:r w:rsidR="0047679D">
        <w:rPr>
          <w:rStyle w:val="AERbody"/>
        </w:rPr>
        <w:t xml:space="preserve"> </w:t>
      </w:r>
      <w:r w:rsidR="00027E3B">
        <w:rPr>
          <w:rStyle w:val="AERbody"/>
        </w:rPr>
        <w:t xml:space="preserve">Our decision </w:t>
      </w:r>
      <w:r w:rsidR="00F20E70">
        <w:rPr>
          <w:rStyle w:val="AERbody"/>
        </w:rPr>
        <w:t xml:space="preserve">increases the estimated capex for 2011–12 </w:t>
      </w:r>
      <w:r w:rsidR="00274EEF">
        <w:rPr>
          <w:rStyle w:val="AERbody"/>
        </w:rPr>
        <w:t>by</w:t>
      </w:r>
      <w:r w:rsidR="00F20E70">
        <w:rPr>
          <w:rStyle w:val="AERbody"/>
        </w:rPr>
        <w:t xml:space="preserve"> $</w:t>
      </w:r>
      <w:r w:rsidR="00010D6D">
        <w:rPr>
          <w:rStyle w:val="AERbody"/>
        </w:rPr>
        <w:t>1.0</w:t>
      </w:r>
      <w:r w:rsidR="00F20E70">
        <w:rPr>
          <w:rStyle w:val="AERbody"/>
        </w:rPr>
        <w:t xml:space="preserve"> million (</w:t>
      </w:r>
      <w:r w:rsidR="00F03EB5">
        <w:rPr>
          <w:rStyle w:val="AERbody"/>
        </w:rPr>
        <w:t>$</w:t>
      </w:r>
      <w:r w:rsidR="00F20E70">
        <w:rPr>
          <w:rStyle w:val="AERbody"/>
        </w:rPr>
        <w:t xml:space="preserve">nominal) to </w:t>
      </w:r>
      <w:r w:rsidR="00010D6D">
        <w:rPr>
          <w:rStyle w:val="AERbody"/>
        </w:rPr>
        <w:t xml:space="preserve">determine </w:t>
      </w:r>
      <w:r w:rsidR="00F20E70">
        <w:rPr>
          <w:rStyle w:val="AERbody"/>
        </w:rPr>
        <w:t xml:space="preserve">the difference between actual and estimated capex </w:t>
      </w:r>
      <w:r w:rsidR="00027E3B">
        <w:rPr>
          <w:rStyle w:val="AERbody"/>
        </w:rPr>
        <w:t>consistent with r</w:t>
      </w:r>
      <w:r w:rsidR="00751A67">
        <w:rPr>
          <w:rStyle w:val="AERbody"/>
        </w:rPr>
        <w:t>ule</w:t>
      </w:r>
      <w:r w:rsidR="00D00310">
        <w:rPr>
          <w:rStyle w:val="AERbody"/>
        </w:rPr>
        <w:t xml:space="preserve"> </w:t>
      </w:r>
      <w:r w:rsidR="00027E3B">
        <w:rPr>
          <w:rStyle w:val="AERbody"/>
        </w:rPr>
        <w:t>77(2</w:t>
      </w:r>
      <w:proofErr w:type="gramStart"/>
      <w:r w:rsidR="00027E3B">
        <w:rPr>
          <w:rStyle w:val="AERbody"/>
        </w:rPr>
        <w:t>)</w:t>
      </w:r>
      <w:r w:rsidR="00502A3F">
        <w:rPr>
          <w:rStyle w:val="AERbody"/>
        </w:rPr>
        <w:t>(</w:t>
      </w:r>
      <w:proofErr w:type="gramEnd"/>
      <w:r w:rsidR="00502A3F">
        <w:rPr>
          <w:rStyle w:val="AERbody"/>
        </w:rPr>
        <w:t>a)</w:t>
      </w:r>
      <w:r w:rsidR="00027E3B">
        <w:rPr>
          <w:rStyle w:val="AERbody"/>
        </w:rPr>
        <w:t xml:space="preserve"> of the NGR.</w:t>
      </w:r>
      <w:r w:rsidRPr="00F932FA">
        <w:rPr>
          <w:rStyle w:val="AERbody"/>
        </w:rPr>
        <w:t xml:space="preserve"> </w:t>
      </w:r>
    </w:p>
    <w:p w:rsidR="00DD7DB4" w:rsidRPr="00580C28" w:rsidRDefault="00306BED" w:rsidP="00580C28">
      <w:pPr>
        <w:pStyle w:val="HeadingBoldItalic"/>
      </w:pPr>
      <w:r>
        <w:t>Other a</w:t>
      </w:r>
      <w:r w:rsidR="00DD7DB4" w:rsidRPr="00580C28">
        <w:t>djustments</w:t>
      </w:r>
      <w:r w:rsidR="00751A67">
        <w:t>—</w:t>
      </w:r>
      <w:r w:rsidR="00DD7DB4" w:rsidRPr="00580C28">
        <w:t>regulatory depreciation, inflation and WACC</w:t>
      </w:r>
      <w:r w:rsidR="004222E1" w:rsidRPr="00580C28">
        <w:t xml:space="preserve"> </w:t>
      </w:r>
      <w:r>
        <w:t>inputs</w:t>
      </w:r>
    </w:p>
    <w:p w:rsidR="00DD7DB4" w:rsidRDefault="00DD7DB4" w:rsidP="00DD7DB4">
      <w:pPr>
        <w:rPr>
          <w:rStyle w:val="AERbody"/>
        </w:rPr>
      </w:pPr>
      <w:r w:rsidRPr="006D132F">
        <w:rPr>
          <w:rStyle w:val="AERbody"/>
        </w:rPr>
        <w:t xml:space="preserve">We </w:t>
      </w:r>
      <w:r w:rsidR="00D47AF3" w:rsidRPr="006D132F">
        <w:rPr>
          <w:rStyle w:val="AERbody"/>
        </w:rPr>
        <w:t>also made</w:t>
      </w:r>
      <w:r w:rsidRPr="006D132F">
        <w:rPr>
          <w:rStyle w:val="AERbody"/>
        </w:rPr>
        <w:t xml:space="preserve"> adjustments </w:t>
      </w:r>
      <w:r w:rsidR="00D47AF3" w:rsidRPr="006D132F">
        <w:rPr>
          <w:rStyle w:val="AERbody"/>
        </w:rPr>
        <w:t xml:space="preserve">to the regulatory depreciation, inflation and WACC inputs for 2011–12 </w:t>
      </w:r>
      <w:r w:rsidR="006D132F" w:rsidRPr="006D132F">
        <w:rPr>
          <w:rStyle w:val="AERbody"/>
        </w:rPr>
        <w:t>to recognise the length of the 2011–12 regulatory year as 14 months</w:t>
      </w:r>
      <w:r w:rsidR="006D132F">
        <w:rPr>
          <w:rStyle w:val="AERbody"/>
        </w:rPr>
        <w:t>.</w:t>
      </w:r>
      <w:r w:rsidRPr="00DD7DB4">
        <w:rPr>
          <w:rStyle w:val="AERbody"/>
        </w:rPr>
        <w:t xml:space="preserve"> Our previous decision approved values for the opening capital base as at 1 July 2012. Therefore, we require the 2011–12 regulatory year values of forecast regulatory depreciation, actual inflation and WACC </w:t>
      </w:r>
      <w:r w:rsidR="00010D6D">
        <w:rPr>
          <w:rStyle w:val="AERbody"/>
        </w:rPr>
        <w:t xml:space="preserve">to also </w:t>
      </w:r>
      <w:r w:rsidRPr="00DD7DB4">
        <w:rPr>
          <w:rStyle w:val="AERbody"/>
        </w:rPr>
        <w:t>be augmented by two months to establish the opening capital base as at 1 September 2012.</w:t>
      </w:r>
    </w:p>
    <w:p w:rsidR="00DD7DB4" w:rsidRPr="00DD7DB4" w:rsidRDefault="00DD7DB4" w:rsidP="00DD7DB4">
      <w:pPr>
        <w:rPr>
          <w:rStyle w:val="AERbody"/>
        </w:rPr>
      </w:pPr>
      <w:r w:rsidRPr="00DD7DB4">
        <w:rPr>
          <w:rStyle w:val="AERbody"/>
        </w:rPr>
        <w:t>We corrected the value of the forecast nominal regulatory depreciation inputs for 2011–12 to align to a 14 months period. The correction to forecast nominal regulatory depreciation involved the following adjustments:</w:t>
      </w:r>
    </w:p>
    <w:p w:rsidR="00010D6D" w:rsidRDefault="00DD7DB4" w:rsidP="00DD7DB4">
      <w:pPr>
        <w:pStyle w:val="AERbulletlistfirststyle"/>
        <w:rPr>
          <w:rStyle w:val="AERbody"/>
        </w:rPr>
      </w:pPr>
      <w:r w:rsidRPr="00DD7DB4">
        <w:rPr>
          <w:rStyle w:val="AERbody"/>
        </w:rPr>
        <w:t xml:space="preserve">augmenting the 2011–12 forecast straight-line depreciation by adding two months of the forecast straight-line depreciation from 2012–13 </w:t>
      </w:r>
      <w:r w:rsidR="0047679D">
        <w:rPr>
          <w:rStyle w:val="AERbody"/>
        </w:rPr>
        <w:t xml:space="preserve">in </w:t>
      </w:r>
      <w:r w:rsidRPr="00DD7DB4">
        <w:rPr>
          <w:rStyle w:val="AERbody"/>
        </w:rPr>
        <w:t>real 2011–12</w:t>
      </w:r>
      <w:r w:rsidR="0047679D">
        <w:rPr>
          <w:rStyle w:val="AERbody"/>
        </w:rPr>
        <w:t xml:space="preserve"> dollars</w:t>
      </w:r>
    </w:p>
    <w:p w:rsidR="00DD7DB4" w:rsidRPr="00DD7DB4" w:rsidRDefault="00010D6D" w:rsidP="00DD7DB4">
      <w:pPr>
        <w:pStyle w:val="AERbulletlistfirststyle"/>
        <w:rPr>
          <w:rStyle w:val="AERbody"/>
        </w:rPr>
      </w:pPr>
      <w:r w:rsidRPr="00DD7DB4">
        <w:rPr>
          <w:rStyle w:val="AERbody"/>
        </w:rPr>
        <w:t>adding two months of lagged</w:t>
      </w:r>
      <w:r w:rsidR="00751A67">
        <w:rPr>
          <w:rStyle w:val="AERbody"/>
        </w:rPr>
        <w:t xml:space="preserve"> actual</w:t>
      </w:r>
      <w:r w:rsidRPr="00DD7DB4">
        <w:rPr>
          <w:rStyle w:val="AERbody"/>
        </w:rPr>
        <w:t xml:space="preserve"> inflation to </w:t>
      </w:r>
      <w:r w:rsidR="00B13529">
        <w:rPr>
          <w:rStyle w:val="AERbody"/>
        </w:rPr>
        <w:t xml:space="preserve">calculate </w:t>
      </w:r>
      <w:r w:rsidRPr="00DD7DB4">
        <w:rPr>
          <w:rStyle w:val="AERbody"/>
        </w:rPr>
        <w:t>the a</w:t>
      </w:r>
      <w:r>
        <w:rPr>
          <w:rStyle w:val="AERbody"/>
        </w:rPr>
        <w:t xml:space="preserve">djusted </w:t>
      </w:r>
      <w:r w:rsidRPr="00DD7DB4">
        <w:rPr>
          <w:rStyle w:val="AERbody"/>
        </w:rPr>
        <w:t>forecast nominal straight-line depreciation for 2011–12</w:t>
      </w:r>
    </w:p>
    <w:p w:rsidR="00DD7DB4" w:rsidRPr="00DD7DB4" w:rsidRDefault="00DD7DB4" w:rsidP="00DD7DB4">
      <w:pPr>
        <w:pStyle w:val="AERbulletlistfirststyle"/>
        <w:rPr>
          <w:rStyle w:val="AERbody"/>
        </w:rPr>
      </w:pPr>
      <w:r w:rsidRPr="00DD7DB4">
        <w:rPr>
          <w:rStyle w:val="AERbody"/>
        </w:rPr>
        <w:t>recalculating the indexation on the 2011–12 opening capital base for 14 months to be subtracted from the nominal straight-line depreciation</w:t>
      </w:r>
    </w:p>
    <w:p w:rsidR="00DD7DB4" w:rsidRPr="00DD7DB4" w:rsidRDefault="00DD7DB4" w:rsidP="00DD7DB4">
      <w:pPr>
        <w:pStyle w:val="AERbulletlistfirststyle"/>
        <w:rPr>
          <w:rStyle w:val="AERbody"/>
        </w:rPr>
      </w:pPr>
      <w:proofErr w:type="gramStart"/>
      <w:r w:rsidRPr="00DD7DB4">
        <w:rPr>
          <w:rStyle w:val="AERbody"/>
        </w:rPr>
        <w:t>allocating</w:t>
      </w:r>
      <w:proofErr w:type="gramEnd"/>
      <w:r w:rsidRPr="00DD7DB4">
        <w:rPr>
          <w:rStyle w:val="AERbody"/>
        </w:rPr>
        <w:t xml:space="preserve"> the adjusted forecast nominal regulatory depreciation across the consolidated asset classes.</w:t>
      </w:r>
    </w:p>
    <w:p w:rsidR="00DD7DB4" w:rsidRDefault="00DD7DB4" w:rsidP="00DD7DB4">
      <w:pPr>
        <w:rPr>
          <w:rStyle w:val="AERbody"/>
        </w:rPr>
      </w:pPr>
      <w:r w:rsidRPr="00DD7DB4">
        <w:rPr>
          <w:rStyle w:val="AERbody"/>
        </w:rPr>
        <w:t>We also updated the half WACC applied to forecast capex in 2011–12 to convert from middle of year to end of year values by a factor of 0.58 per cent to reflect the extra two months of the 2011–12 regulatory year.</w:t>
      </w:r>
    </w:p>
    <w:p w:rsidR="00DD7DB4" w:rsidRPr="00DD7DB4" w:rsidRDefault="00DD7DB4" w:rsidP="00DD7DB4">
      <w:pPr>
        <w:rPr>
          <w:rStyle w:val="AERbody"/>
        </w:rPr>
      </w:pPr>
      <w:r w:rsidRPr="00DD7DB4">
        <w:rPr>
          <w:rStyle w:val="AERbody"/>
        </w:rPr>
        <w:t xml:space="preserve">Our corrections to the capital base align the RFM inputs so all are reported on a 14 month basis in 2011–12. As a consequence of this approach, the </w:t>
      </w:r>
      <w:r w:rsidR="009D32BA">
        <w:rPr>
          <w:rStyle w:val="AERbody"/>
        </w:rPr>
        <w:t>201</w:t>
      </w:r>
      <w:r w:rsidR="00751A67">
        <w:rPr>
          <w:rStyle w:val="AERbody"/>
        </w:rPr>
        <w:t>2</w:t>
      </w:r>
      <w:r w:rsidR="009D32BA">
        <w:rPr>
          <w:rStyle w:val="AERbody"/>
        </w:rPr>
        <w:t>–13 regulatory year</w:t>
      </w:r>
      <w:r w:rsidR="00DC60BF">
        <w:rPr>
          <w:rStyle w:val="AERbody"/>
        </w:rPr>
        <w:t xml:space="preserve"> is recognised </w:t>
      </w:r>
      <w:r w:rsidR="009D32BA">
        <w:rPr>
          <w:rStyle w:val="AERbody"/>
        </w:rPr>
        <w:t xml:space="preserve">as the </w:t>
      </w:r>
      <w:r w:rsidRPr="00DD7DB4">
        <w:rPr>
          <w:rStyle w:val="AERbody"/>
        </w:rPr>
        <w:t>10 month period from 1 September 2012 to 30 June 2013</w:t>
      </w:r>
      <w:r w:rsidR="00DC60BF">
        <w:rPr>
          <w:rStyle w:val="AERbody"/>
        </w:rPr>
        <w:t>, and required corresponding adjustments</w:t>
      </w:r>
      <w:r w:rsidR="009D32BA">
        <w:rPr>
          <w:rStyle w:val="AERbody"/>
        </w:rPr>
        <w:t xml:space="preserve">. These adjustments </w:t>
      </w:r>
      <w:r w:rsidRPr="00DD7DB4">
        <w:rPr>
          <w:rStyle w:val="AERbody"/>
        </w:rPr>
        <w:t>includ</w:t>
      </w:r>
      <w:r w:rsidR="009D32BA">
        <w:rPr>
          <w:rStyle w:val="AERbody"/>
        </w:rPr>
        <w:t>e</w:t>
      </w:r>
      <w:r w:rsidRPr="00DD7DB4">
        <w:rPr>
          <w:rStyle w:val="AERbody"/>
        </w:rPr>
        <w:t>:</w:t>
      </w:r>
    </w:p>
    <w:p w:rsidR="00DD7DB4" w:rsidRPr="00DD7DB4" w:rsidRDefault="00DD7DB4" w:rsidP="00DD7DB4">
      <w:pPr>
        <w:pStyle w:val="AERbulletlistfirststyle"/>
        <w:rPr>
          <w:rStyle w:val="AERbody"/>
        </w:rPr>
      </w:pPr>
      <w:r w:rsidRPr="00DD7DB4">
        <w:rPr>
          <w:rStyle w:val="AERbody"/>
        </w:rPr>
        <w:t>reducing the forecast straight-line depreciation in  2012–13</w:t>
      </w:r>
    </w:p>
    <w:p w:rsidR="00DD7DB4" w:rsidRDefault="00DD7DB4" w:rsidP="00DD7DB4">
      <w:pPr>
        <w:pStyle w:val="AERbulletlistfirststyle"/>
        <w:rPr>
          <w:rStyle w:val="AERbody"/>
        </w:rPr>
      </w:pPr>
      <w:r w:rsidRPr="00DD7DB4">
        <w:rPr>
          <w:rStyle w:val="AERbody"/>
        </w:rPr>
        <w:t>applying the 2012–13 lagged</w:t>
      </w:r>
      <w:r w:rsidR="00751A67">
        <w:rPr>
          <w:rStyle w:val="AERbody"/>
        </w:rPr>
        <w:t xml:space="preserve"> actual</w:t>
      </w:r>
      <w:r w:rsidRPr="00DD7DB4">
        <w:rPr>
          <w:rStyle w:val="AERbody"/>
        </w:rPr>
        <w:t xml:space="preserve"> inflation for 10 months</w:t>
      </w:r>
    </w:p>
    <w:p w:rsidR="00DD7DB4" w:rsidRPr="00DD7DB4" w:rsidRDefault="00DD7DB4" w:rsidP="00DD7DB4">
      <w:pPr>
        <w:pStyle w:val="AERbulletlistfirststyle"/>
        <w:rPr>
          <w:rStyle w:val="AERbody"/>
        </w:rPr>
      </w:pPr>
      <w:r w:rsidRPr="00DD7DB4">
        <w:rPr>
          <w:rStyle w:val="AERbody"/>
        </w:rPr>
        <w:t xml:space="preserve">applying 10 months of the </w:t>
      </w:r>
      <w:r w:rsidR="00751A67">
        <w:rPr>
          <w:rStyle w:val="AERbody"/>
        </w:rPr>
        <w:t>WACC</w:t>
      </w:r>
      <w:r w:rsidRPr="00DD7DB4">
        <w:rPr>
          <w:rStyle w:val="AERbody"/>
        </w:rPr>
        <w:t xml:space="preserve"> in 2012</w:t>
      </w:r>
      <w:r w:rsidR="00751A67">
        <w:rPr>
          <w:rStyle w:val="AERbody"/>
        </w:rPr>
        <w:t>–</w:t>
      </w:r>
      <w:r w:rsidRPr="00DD7DB4">
        <w:rPr>
          <w:rStyle w:val="AERbody"/>
        </w:rPr>
        <w:t>13 to the calculation of return on the difference between actual and estimated capex in 2011</w:t>
      </w:r>
      <w:r w:rsidR="00371609">
        <w:rPr>
          <w:rStyle w:val="AERbody"/>
        </w:rPr>
        <w:t>–</w:t>
      </w:r>
      <w:r w:rsidRPr="00DD7DB4">
        <w:rPr>
          <w:rStyle w:val="AERbody"/>
        </w:rPr>
        <w:t>12.</w:t>
      </w:r>
    </w:p>
    <w:p w:rsidR="00DD7DB4" w:rsidRDefault="00DD7DB4" w:rsidP="00630B23">
      <w:pPr>
        <w:pStyle w:val="AERbulletlistfirststyle"/>
        <w:rPr>
          <w:rStyle w:val="AERbody"/>
        </w:rPr>
      </w:pPr>
      <w:r w:rsidRPr="00DD7DB4">
        <w:rPr>
          <w:rStyle w:val="AERbody"/>
        </w:rPr>
        <w:t xml:space="preserve">applying 5 months of </w:t>
      </w:r>
      <w:r w:rsidR="00371609">
        <w:rPr>
          <w:rStyle w:val="AERbody"/>
        </w:rPr>
        <w:t>the WACC in</w:t>
      </w:r>
      <w:r w:rsidRPr="00DD7DB4">
        <w:rPr>
          <w:rStyle w:val="AERbody"/>
        </w:rPr>
        <w:t xml:space="preserve"> 2012</w:t>
      </w:r>
      <w:r w:rsidR="00371609">
        <w:rPr>
          <w:rStyle w:val="AERbody"/>
        </w:rPr>
        <w:t>–</w:t>
      </w:r>
      <w:r w:rsidRPr="00DD7DB4">
        <w:rPr>
          <w:rStyle w:val="AERbody"/>
        </w:rPr>
        <w:t xml:space="preserve">13 to convert the capex from </w:t>
      </w:r>
      <w:r>
        <w:rPr>
          <w:rStyle w:val="AERbody"/>
        </w:rPr>
        <w:t>mid-year to end-of-year values.</w:t>
      </w:r>
    </w:p>
    <w:p w:rsidR="00DD7DB4" w:rsidRDefault="00DB4BE5" w:rsidP="00DD7DB4">
      <w:pPr>
        <w:rPr>
          <w:rStyle w:val="AERbody"/>
        </w:rPr>
      </w:pPr>
      <w:r>
        <w:rPr>
          <w:rStyle w:val="AERbody"/>
        </w:rPr>
        <w:t>We note that</w:t>
      </w:r>
      <w:r w:rsidR="00630B23">
        <w:rPr>
          <w:rStyle w:val="AERbody"/>
        </w:rPr>
        <w:t xml:space="preserve"> APTPPL's proposed actual capex for 2012–13 reflects a 10 month</w:t>
      </w:r>
      <w:r w:rsidR="006B6A9B">
        <w:rPr>
          <w:rStyle w:val="AERbody"/>
        </w:rPr>
        <w:t xml:space="preserve"> period</w:t>
      </w:r>
      <w:r w:rsidR="00630B23">
        <w:rPr>
          <w:rStyle w:val="AERbody"/>
        </w:rPr>
        <w:t>. Therefore</w:t>
      </w:r>
      <w:r w:rsidR="005B0EEB">
        <w:rPr>
          <w:rStyle w:val="AERbody"/>
        </w:rPr>
        <w:t>,</w:t>
      </w:r>
      <w:r w:rsidR="00630B23">
        <w:rPr>
          <w:rStyle w:val="AERbody"/>
        </w:rPr>
        <w:t xml:space="preserve"> no further adjustments to the capital base values for the 2012–13 regulatory year are required.</w:t>
      </w:r>
    </w:p>
    <w:p w:rsidR="00571F99" w:rsidRPr="006B6A9B" w:rsidRDefault="00571F99" w:rsidP="00571F99">
      <w:pPr>
        <w:pStyle w:val="HeadingBoldItalic"/>
        <w:rPr>
          <w:rStyle w:val="AERbody"/>
          <w:color w:val="51626F"/>
          <w:sz w:val="24"/>
        </w:rPr>
      </w:pPr>
      <w:r w:rsidRPr="00D13B2D">
        <w:rPr>
          <w:rStyle w:val="AERbody"/>
          <w:color w:val="51626F"/>
          <w:sz w:val="24"/>
        </w:rPr>
        <w:t>RBP8 2011–12 actual and estimated capex</w:t>
      </w:r>
    </w:p>
    <w:p w:rsidR="00571F99" w:rsidRDefault="00571F99" w:rsidP="00571F99">
      <w:r>
        <w:t>A</w:t>
      </w:r>
      <w:r w:rsidRPr="005A79A1">
        <w:t xml:space="preserve">s discussed in </w:t>
      </w:r>
      <w:r w:rsidR="0028190D">
        <w:t xml:space="preserve">section </w:t>
      </w:r>
      <w:r w:rsidR="0028190D">
        <w:fldChar w:fldCharType="begin"/>
      </w:r>
      <w:r w:rsidR="0028190D">
        <w:instrText xml:space="preserve"> REF _Ref471736605 \n \h </w:instrText>
      </w:r>
      <w:r w:rsidR="0028190D">
        <w:fldChar w:fldCharType="separate"/>
      </w:r>
      <w:r w:rsidR="00996D16">
        <w:t>2.4.1</w:t>
      </w:r>
      <w:r w:rsidR="0028190D">
        <w:fldChar w:fldCharType="end"/>
      </w:r>
      <w:r>
        <w:t>,</w:t>
      </w:r>
      <w:r w:rsidRPr="005A79A1">
        <w:t xml:space="preserve"> </w:t>
      </w:r>
      <w:r>
        <w:t>we re</w:t>
      </w:r>
      <w:r w:rsidRPr="005A79A1">
        <w:t>allocat</w:t>
      </w:r>
      <w:r>
        <w:t>ed</w:t>
      </w:r>
      <w:r w:rsidRPr="005A79A1">
        <w:t xml:space="preserve"> the RBP8 expansion project</w:t>
      </w:r>
      <w:r w:rsidR="00371609">
        <w:t>'s</w:t>
      </w:r>
      <w:r w:rsidRPr="005A79A1">
        <w:t xml:space="preserve"> actual and forecast capex across the asset classes of </w:t>
      </w:r>
      <w:r w:rsidR="00371609">
        <w:t>'P</w:t>
      </w:r>
      <w:r w:rsidRPr="005A79A1">
        <w:t>ipelines</w:t>
      </w:r>
      <w:r w:rsidR="00371609">
        <w:t>'</w:t>
      </w:r>
      <w:r w:rsidRPr="005A79A1">
        <w:t xml:space="preserve">, </w:t>
      </w:r>
      <w:r w:rsidR="00371609">
        <w:t>'C</w:t>
      </w:r>
      <w:r w:rsidRPr="005A79A1">
        <w:t>ompressors</w:t>
      </w:r>
      <w:r w:rsidR="00371609">
        <w:t>'</w:t>
      </w:r>
      <w:r w:rsidRPr="005A79A1">
        <w:t xml:space="preserve"> and </w:t>
      </w:r>
      <w:r w:rsidR="00371609">
        <w:t>'R</w:t>
      </w:r>
      <w:r w:rsidRPr="005A79A1">
        <w:t>egulators and meters</w:t>
      </w:r>
      <w:r w:rsidR="00371609">
        <w:t>'</w:t>
      </w:r>
      <w:r w:rsidRPr="005A79A1">
        <w:t xml:space="preserve"> set out above in </w:t>
      </w:r>
      <w:r>
        <w:fldChar w:fldCharType="begin"/>
      </w:r>
      <w:r>
        <w:instrText xml:space="preserve"> REF _Ref471738095 \h </w:instrText>
      </w:r>
      <w:r>
        <w:fldChar w:fldCharType="separate"/>
      </w:r>
      <w:r w:rsidR="00996D16">
        <w:t xml:space="preserve">Table </w:t>
      </w:r>
      <w:r w:rsidR="00996D16">
        <w:rPr>
          <w:noProof/>
        </w:rPr>
        <w:t>2</w:t>
      </w:r>
      <w:r w:rsidR="00996D16">
        <w:t>.</w:t>
      </w:r>
      <w:r w:rsidR="00996D16">
        <w:rPr>
          <w:noProof/>
        </w:rPr>
        <w:t>5</w:t>
      </w:r>
      <w:r>
        <w:fldChar w:fldCharType="end"/>
      </w:r>
      <w:r>
        <w:t>. Our decision to correct the proposed allocation of the RBP8 capex affects the calculation of the adjustment for the difference between actual and forecast capex in 2011–12 for these asset classes</w:t>
      </w:r>
      <w:r w:rsidR="00394D5A">
        <w:t>,</w:t>
      </w:r>
      <w:r>
        <w:t xml:space="preserve"> and therefore alters the </w:t>
      </w:r>
      <w:r w:rsidR="00371609">
        <w:t xml:space="preserve">adjustment </w:t>
      </w:r>
      <w:r>
        <w:t xml:space="preserve">amount </w:t>
      </w:r>
      <w:r w:rsidR="00371609">
        <w:t>to</w:t>
      </w:r>
      <w:r>
        <w:t xml:space="preserve"> the opening asset values of the affected asset classes as at 1 July 2017. Our corrections to the adjustment</w:t>
      </w:r>
      <w:r w:rsidR="00B13529">
        <w:t xml:space="preserve"> </w:t>
      </w:r>
      <w:r w:rsidR="00371609">
        <w:t>amount</w:t>
      </w:r>
      <w:r w:rsidR="00B13529">
        <w:t xml:space="preserve">, including the </w:t>
      </w:r>
      <w:r w:rsidR="00C36C10">
        <w:t xml:space="preserve">update </w:t>
      </w:r>
      <w:r w:rsidR="00B13529">
        <w:t>to estimated capex discussed above,</w:t>
      </w:r>
      <w:r>
        <w:t xml:space="preserve"> reduce the net benefit for the proposed capex overspend from $6.0 million ($nominal) to $3.7 million ($nominal) consistent with r</w:t>
      </w:r>
      <w:r w:rsidR="00371609">
        <w:t xml:space="preserve">ule </w:t>
      </w:r>
      <w:r>
        <w:t>77(2</w:t>
      </w:r>
      <w:proofErr w:type="gramStart"/>
      <w:r>
        <w:t>)(</w:t>
      </w:r>
      <w:proofErr w:type="gramEnd"/>
      <w:r>
        <w:t>a) of the NGR.</w:t>
      </w:r>
      <w:r w:rsidRPr="00DD7DB4">
        <w:rPr>
          <w:rStyle w:val="FootnoteReference"/>
        </w:rPr>
        <w:t xml:space="preserve"> </w:t>
      </w:r>
      <w:r>
        <w:rPr>
          <w:rStyle w:val="FootnoteReference"/>
        </w:rPr>
        <w:footnoteReference w:id="42"/>
      </w:r>
    </w:p>
    <w:p w:rsidR="00630B23" w:rsidRPr="00CB621A" w:rsidRDefault="00630B23" w:rsidP="00CB621A">
      <w:pPr>
        <w:pStyle w:val="HeadingBoldItalic"/>
        <w:rPr>
          <w:rStyle w:val="AERbody"/>
          <w:color w:val="51626F"/>
          <w:sz w:val="24"/>
        </w:rPr>
      </w:pPr>
      <w:r w:rsidRPr="00CB621A">
        <w:rPr>
          <w:rStyle w:val="AERbody"/>
          <w:color w:val="51626F"/>
          <w:sz w:val="24"/>
        </w:rPr>
        <w:t xml:space="preserve">As-incurred and </w:t>
      </w:r>
      <w:r w:rsidR="00970C6A" w:rsidRPr="00CB621A">
        <w:rPr>
          <w:rStyle w:val="AERbody"/>
          <w:color w:val="51626F"/>
          <w:sz w:val="24"/>
        </w:rPr>
        <w:t>a</w:t>
      </w:r>
      <w:r w:rsidRPr="00CB621A">
        <w:rPr>
          <w:rStyle w:val="AERbody"/>
          <w:color w:val="51626F"/>
          <w:sz w:val="24"/>
        </w:rPr>
        <w:t xml:space="preserve">s-commissioned </w:t>
      </w:r>
      <w:r w:rsidR="00371609" w:rsidRPr="00CB621A">
        <w:rPr>
          <w:rStyle w:val="AERbody"/>
          <w:color w:val="51626F"/>
          <w:sz w:val="24"/>
        </w:rPr>
        <w:t xml:space="preserve">actual </w:t>
      </w:r>
      <w:r w:rsidRPr="00CB621A">
        <w:rPr>
          <w:rStyle w:val="AERbody"/>
          <w:color w:val="51626F"/>
          <w:sz w:val="24"/>
        </w:rPr>
        <w:t>capex</w:t>
      </w:r>
      <w:r w:rsidR="00580C28" w:rsidRPr="00CB621A">
        <w:rPr>
          <w:rStyle w:val="AERbody"/>
          <w:color w:val="51626F"/>
          <w:sz w:val="24"/>
        </w:rPr>
        <w:t xml:space="preserve"> for 2011–12</w:t>
      </w:r>
    </w:p>
    <w:p w:rsidR="00630B23" w:rsidRPr="00DD7DB4" w:rsidRDefault="00FF372A" w:rsidP="00630B23">
      <w:pPr>
        <w:rPr>
          <w:rStyle w:val="AERbody"/>
        </w:rPr>
      </w:pPr>
      <w:r w:rsidRPr="00630B23">
        <w:rPr>
          <w:rStyle w:val="AERbody"/>
        </w:rPr>
        <w:t xml:space="preserve">APTPPL's proposed RFM included as-commissioned </w:t>
      </w:r>
      <w:r w:rsidR="00371609">
        <w:rPr>
          <w:rStyle w:val="AERbody"/>
        </w:rPr>
        <w:t xml:space="preserve">actual </w:t>
      </w:r>
      <w:r w:rsidRPr="00630B23">
        <w:rPr>
          <w:rStyle w:val="AERbody"/>
        </w:rPr>
        <w:t>capex equal to its proposed as-incurred cap</w:t>
      </w:r>
      <w:r>
        <w:rPr>
          <w:rStyle w:val="AERbody"/>
        </w:rPr>
        <w:t xml:space="preserve">ex </w:t>
      </w:r>
      <w:r w:rsidR="00371609">
        <w:rPr>
          <w:rStyle w:val="AERbody"/>
        </w:rPr>
        <w:t>for 2011–12</w:t>
      </w:r>
      <w:r>
        <w:rPr>
          <w:rStyle w:val="AERbody"/>
        </w:rPr>
        <w:t xml:space="preserve">. </w:t>
      </w:r>
      <w:r w:rsidRPr="00630B23">
        <w:rPr>
          <w:rStyle w:val="AERbody"/>
        </w:rPr>
        <w:t>At the previous decision we approved estimated capex in 2011</w:t>
      </w:r>
      <w:r w:rsidR="00371609">
        <w:rPr>
          <w:rStyle w:val="AERbody"/>
        </w:rPr>
        <w:t>–</w:t>
      </w:r>
      <w:r w:rsidRPr="00630B23">
        <w:rPr>
          <w:rStyle w:val="AERbody"/>
        </w:rPr>
        <w:t>12 on both an as-incurred and as-commissioned basis. Therefore, we requested APTPPL</w:t>
      </w:r>
      <w:r w:rsidR="00970C6A">
        <w:rPr>
          <w:rStyle w:val="AERbody"/>
        </w:rPr>
        <w:t xml:space="preserve"> to</w:t>
      </w:r>
      <w:r w:rsidRPr="00630B23">
        <w:rPr>
          <w:rStyle w:val="AERbody"/>
        </w:rPr>
        <w:t xml:space="preserve"> provide the as-commissioned values for actual capex in 2011–12. </w:t>
      </w:r>
      <w:r w:rsidR="005B0EEB" w:rsidRPr="00630B23">
        <w:rPr>
          <w:rStyle w:val="AERbody"/>
        </w:rPr>
        <w:t xml:space="preserve">We updated APTPPL's as-commissioned </w:t>
      </w:r>
      <w:r w:rsidR="00371609">
        <w:rPr>
          <w:rStyle w:val="AERbody"/>
        </w:rPr>
        <w:t xml:space="preserve">actual </w:t>
      </w:r>
      <w:r w:rsidR="005B0EEB" w:rsidRPr="00630B23">
        <w:rPr>
          <w:rStyle w:val="AERbody"/>
        </w:rPr>
        <w:t xml:space="preserve">capex </w:t>
      </w:r>
      <w:r w:rsidR="00371609">
        <w:rPr>
          <w:rStyle w:val="AERbody"/>
        </w:rPr>
        <w:t xml:space="preserve">in the RFM arising </w:t>
      </w:r>
      <w:r w:rsidR="005B0EEB" w:rsidRPr="00630B23">
        <w:rPr>
          <w:rStyle w:val="AERbody"/>
        </w:rPr>
        <w:t xml:space="preserve">from </w:t>
      </w:r>
      <w:r w:rsidR="00371609">
        <w:rPr>
          <w:rStyle w:val="AERbody"/>
        </w:rPr>
        <w:t xml:space="preserve">its </w:t>
      </w:r>
      <w:r w:rsidR="005B0EEB" w:rsidRPr="00630B23">
        <w:rPr>
          <w:rStyle w:val="AERbody"/>
        </w:rPr>
        <w:t xml:space="preserve">responses to </w:t>
      </w:r>
      <w:r w:rsidR="00371609">
        <w:rPr>
          <w:rStyle w:val="AERbody"/>
        </w:rPr>
        <w:t xml:space="preserve">our </w:t>
      </w:r>
      <w:r w:rsidR="005B0EEB" w:rsidRPr="00630B23">
        <w:rPr>
          <w:rStyle w:val="AERbody"/>
        </w:rPr>
        <w:t>information requests.</w:t>
      </w:r>
      <w:r w:rsidR="005B0EEB">
        <w:rPr>
          <w:rStyle w:val="FootnoteReference"/>
        </w:rPr>
        <w:footnoteReference w:id="43"/>
      </w:r>
      <w:r w:rsidR="005B0EEB">
        <w:rPr>
          <w:rStyle w:val="AERbody"/>
        </w:rPr>
        <w:t xml:space="preserve"> </w:t>
      </w:r>
      <w:r w:rsidR="00630B23" w:rsidRPr="00630B23">
        <w:rPr>
          <w:rStyle w:val="AERbody"/>
        </w:rPr>
        <w:t xml:space="preserve">We are satisfied APTPPL's </w:t>
      </w:r>
      <w:r w:rsidR="0028190D">
        <w:rPr>
          <w:rStyle w:val="AERbody"/>
        </w:rPr>
        <w:t xml:space="preserve">corrections </w:t>
      </w:r>
      <w:r w:rsidR="00D50521">
        <w:rPr>
          <w:rStyle w:val="AERbody"/>
        </w:rPr>
        <w:t>to</w:t>
      </w:r>
      <w:r w:rsidR="00886015">
        <w:rPr>
          <w:rStyle w:val="AERbody"/>
        </w:rPr>
        <w:t xml:space="preserve"> </w:t>
      </w:r>
      <w:r w:rsidR="0028190D">
        <w:rPr>
          <w:rStyle w:val="AERbody"/>
        </w:rPr>
        <w:t xml:space="preserve">the </w:t>
      </w:r>
      <w:r w:rsidR="00886015">
        <w:rPr>
          <w:rStyle w:val="AERbody"/>
        </w:rPr>
        <w:t>value of as-commissioned</w:t>
      </w:r>
      <w:r w:rsidR="00371609">
        <w:rPr>
          <w:rStyle w:val="AERbody"/>
        </w:rPr>
        <w:t xml:space="preserve"> actual</w:t>
      </w:r>
      <w:r w:rsidR="00886015">
        <w:rPr>
          <w:rStyle w:val="AERbody"/>
        </w:rPr>
        <w:t xml:space="preserve"> capex </w:t>
      </w:r>
      <w:r w:rsidR="00371609">
        <w:rPr>
          <w:rStyle w:val="AERbody"/>
        </w:rPr>
        <w:t>provides a consistent basis to compare with the as-commissioned estimated capex for 2011–12 approved in the previous decision</w:t>
      </w:r>
      <w:r w:rsidR="00886015">
        <w:rPr>
          <w:rStyle w:val="AERbody"/>
        </w:rPr>
        <w:t>.</w:t>
      </w:r>
    </w:p>
    <w:p w:rsidR="00E943E6" w:rsidRDefault="00E943E6" w:rsidP="00E943E6">
      <w:pPr>
        <w:pStyle w:val="HeadingBoldBlue"/>
      </w:pPr>
      <w:bookmarkStart w:id="49" w:name="_Toc471992899"/>
      <w:bookmarkStart w:id="50" w:name="_Toc486846644"/>
      <w:r>
        <w:t xml:space="preserve">Conforming capital expenditure in </w:t>
      </w:r>
      <w:r w:rsidR="006B5A1D">
        <w:t xml:space="preserve">2011–12 and </w:t>
      </w:r>
      <w:r>
        <w:t>the 201</w:t>
      </w:r>
      <w:r w:rsidR="00394D5A">
        <w:t>2</w:t>
      </w:r>
      <w:r>
        <w:t>–17 access arrangement period</w:t>
      </w:r>
      <w:bookmarkEnd w:id="49"/>
      <w:bookmarkEnd w:id="50"/>
    </w:p>
    <w:p w:rsidR="00A22232" w:rsidRPr="00F73C2D" w:rsidRDefault="00A22232" w:rsidP="00A22232">
      <w:r>
        <w:t>Our</w:t>
      </w:r>
      <w:r w:rsidRPr="00F73C2D">
        <w:t xml:space="preserve"> assessment of conforming capex is set out in</w:t>
      </w:r>
      <w:r w:rsidRPr="00A22232">
        <w:rPr>
          <w:rStyle w:val="AERbody"/>
        </w:rPr>
        <w:t xml:space="preserve"> capex attachment 6. In</w:t>
      </w:r>
      <w:r w:rsidRPr="00F73C2D">
        <w:t xml:space="preserve"> determining the opening capital base as at </w:t>
      </w:r>
      <w:r>
        <w:t>1 July 2017</w:t>
      </w:r>
      <w:r w:rsidRPr="00F73C2D">
        <w:t xml:space="preserve">, </w:t>
      </w:r>
      <w:r>
        <w:t>we</w:t>
      </w:r>
      <w:r w:rsidRPr="00F73C2D">
        <w:t xml:space="preserve"> assessed whether </w:t>
      </w:r>
      <w:r>
        <w:t>APTPPL</w:t>
      </w:r>
      <w:r w:rsidRPr="00F73C2D">
        <w:t xml:space="preserve">'s proposed capex amounts for </w:t>
      </w:r>
      <w:r>
        <w:t>201</w:t>
      </w:r>
      <w:r w:rsidR="00886015">
        <w:t>1</w:t>
      </w:r>
      <w:r>
        <w:t>–</w:t>
      </w:r>
      <w:r w:rsidR="006B5A1D">
        <w:t>12 and the 2012–</w:t>
      </w:r>
      <w:r>
        <w:t>17</w:t>
      </w:r>
      <w:r w:rsidRPr="00F73C2D">
        <w:t xml:space="preserve"> access arrangement are properly accounted for in the capital base roll forward. </w:t>
      </w:r>
    </w:p>
    <w:p w:rsidR="00A22232" w:rsidRDefault="001609C0" w:rsidP="00A22232">
      <w:r>
        <w:t xml:space="preserve">We </w:t>
      </w:r>
      <w:r w:rsidR="00C45063">
        <w:t>d</w:t>
      </w:r>
      <w:r>
        <w:t>o not accept APTPPL's proposed actual capex as conforming capex during the 201</w:t>
      </w:r>
      <w:r w:rsidR="00886015">
        <w:t>1</w:t>
      </w:r>
      <w:r>
        <w:t>–17 period</w:t>
      </w:r>
      <w:r w:rsidR="00BA38D8">
        <w:t>. Therefore, we do not consider that actual conforming capex</w:t>
      </w:r>
      <w:r w:rsidR="00A22232">
        <w:t xml:space="preserve"> </w:t>
      </w:r>
      <w:r w:rsidR="00BA38D8">
        <w:t>has</w:t>
      </w:r>
      <w:r w:rsidR="00A22232">
        <w:t xml:space="preserve"> been properly accounted for in the</w:t>
      </w:r>
      <w:r w:rsidR="00BA38D8">
        <w:t xml:space="preserve"> proposed</w:t>
      </w:r>
      <w:r w:rsidR="00A22232">
        <w:t xml:space="preserve"> capital base roll forward consistent with the requirements of the NGR</w:t>
      </w:r>
      <w:r>
        <w:t>.</w:t>
      </w:r>
      <w:r w:rsidR="00A22232">
        <w:rPr>
          <w:rStyle w:val="FootnoteReference"/>
        </w:rPr>
        <w:footnoteReference w:id="44"/>
      </w:r>
      <w:r>
        <w:t xml:space="preserve"> </w:t>
      </w:r>
      <w:r w:rsidR="00A22232">
        <w:t xml:space="preserve">We note that </w:t>
      </w:r>
      <w:r w:rsidR="00A22232" w:rsidRPr="0014252D">
        <w:t xml:space="preserve">the proposed </w:t>
      </w:r>
      <w:r w:rsidR="00A22232">
        <w:t xml:space="preserve">capex for </w:t>
      </w:r>
      <w:r w:rsidR="00B1538F">
        <w:t xml:space="preserve">2016–17 </w:t>
      </w:r>
      <w:r w:rsidR="00BD4054">
        <w:t>is an</w:t>
      </w:r>
      <w:r w:rsidR="00A22232" w:rsidRPr="00A22232">
        <w:t xml:space="preserve"> estimate</w:t>
      </w:r>
      <w:r w:rsidR="00E0192F">
        <w:t xml:space="preserve"> and</w:t>
      </w:r>
      <w:r w:rsidR="00B1538F">
        <w:t xml:space="preserve"> </w:t>
      </w:r>
      <w:r w:rsidR="00BD4054">
        <w:t xml:space="preserve">that </w:t>
      </w:r>
      <w:r w:rsidR="00B1538F">
        <w:t xml:space="preserve">APTPPL may provide </w:t>
      </w:r>
      <w:r w:rsidR="00BD4054">
        <w:t xml:space="preserve">a </w:t>
      </w:r>
      <w:r w:rsidR="00B1538F">
        <w:t>revised 2016–17 capex estimate based on more up to date information in its revised proposal. We will undertake the assessment of whether the actual 2016–17 amounts are conforming capex as part of the next access arrangement review.</w:t>
      </w:r>
    </w:p>
    <w:p w:rsidR="00E943E6" w:rsidRDefault="00E943E6" w:rsidP="00E943E6">
      <w:pPr>
        <w:pStyle w:val="HeadingBoldBlue"/>
      </w:pPr>
      <w:bookmarkStart w:id="51" w:name="_Toc471992900"/>
      <w:bookmarkStart w:id="52" w:name="_Toc486846645"/>
      <w:r>
        <w:t>Depreciation used in the 2012–1</w:t>
      </w:r>
      <w:r w:rsidR="00A22232">
        <w:t>7</w:t>
      </w:r>
      <w:r>
        <w:t xml:space="preserve"> access arrangement period</w:t>
      </w:r>
      <w:bookmarkEnd w:id="51"/>
      <w:bookmarkEnd w:id="52"/>
    </w:p>
    <w:p w:rsidR="008A47DF" w:rsidRDefault="008A47DF" w:rsidP="008A47DF">
      <w:r w:rsidRPr="00043E7A">
        <w:t>We approve APT</w:t>
      </w:r>
      <w:r>
        <w:t>PPL</w:t>
      </w:r>
      <w:r w:rsidRPr="00043E7A">
        <w:t>'s proposal to roll forward the capital base to 1 July 201</w:t>
      </w:r>
      <w:r>
        <w:t>7</w:t>
      </w:r>
      <w:r w:rsidRPr="00043E7A">
        <w:t xml:space="preserve"> using forecast depreciation (straight-line method, adjusted for actual inflation) in accordance with clause </w:t>
      </w:r>
      <w:r w:rsidR="00010D6D">
        <w:t>3.6</w:t>
      </w:r>
      <w:r w:rsidR="0096060D">
        <w:t xml:space="preserve"> </w:t>
      </w:r>
      <w:r w:rsidRPr="00043E7A">
        <w:t xml:space="preserve">of the approved </w:t>
      </w:r>
      <w:r>
        <w:t>2012–17</w:t>
      </w:r>
      <w:r w:rsidRPr="00043E7A">
        <w:t xml:space="preserve"> access arrangement.</w:t>
      </w:r>
      <w:r w:rsidR="0096060D">
        <w:rPr>
          <w:rStyle w:val="FootnoteReference"/>
        </w:rPr>
        <w:footnoteReference w:id="45"/>
      </w:r>
      <w:r w:rsidRPr="00043E7A">
        <w:t xml:space="preserve"> </w:t>
      </w:r>
      <w:r w:rsidR="0096060D">
        <w:t xml:space="preserve">We accept the </w:t>
      </w:r>
      <w:r w:rsidR="00886015">
        <w:t xml:space="preserve">proposed </w:t>
      </w:r>
      <w:r w:rsidR="0096060D">
        <w:t xml:space="preserve">total amount of forecast straight-line depreciation subtracted from the capital base in the 2012–17 access arrangement period. </w:t>
      </w:r>
      <w:r w:rsidRPr="00024038">
        <w:t xml:space="preserve">Under the NGR, </w:t>
      </w:r>
      <w:r>
        <w:t>we are to subtr</w:t>
      </w:r>
      <w:r w:rsidRPr="00024038">
        <w:t>act from the capital base depreciation calculated in accordance with the relevant access arrangement.</w:t>
      </w:r>
      <w:r w:rsidRPr="008A47DF">
        <w:rPr>
          <w:rStyle w:val="FootnoteReference"/>
        </w:rPr>
        <w:footnoteReference w:id="46"/>
      </w:r>
      <w:r w:rsidRPr="00024038">
        <w:t xml:space="preserve"> </w:t>
      </w:r>
    </w:p>
    <w:p w:rsidR="00B600A1" w:rsidRDefault="00B600A1" w:rsidP="008A47DF">
      <w:r>
        <w:t>However, w</w:t>
      </w:r>
      <w:r w:rsidR="00BF0375">
        <w:t xml:space="preserve">e do not accept APTPPL's proposal to reallocate total </w:t>
      </w:r>
      <w:r w:rsidR="00FF7321">
        <w:t xml:space="preserve">annual </w:t>
      </w:r>
      <w:r w:rsidR="00BF0375">
        <w:t xml:space="preserve">depreciation approved in the 2012–17 access arrangement decision PTRM across different asset classes to fully depreciate the residual value of certain compressor assets. </w:t>
      </w:r>
      <w:r>
        <w:t>We consider that APTPPL's proposed reallocation of the approved forecast depreciation between asset classes does not reflect the requirement of rule</w:t>
      </w:r>
      <w:r w:rsidR="00A13227">
        <w:t>s</w:t>
      </w:r>
      <w:r>
        <w:t xml:space="preserve"> 77(2)(d)</w:t>
      </w:r>
      <w:r w:rsidR="00455C7B">
        <w:t xml:space="preserve"> and 74 of the NGR</w:t>
      </w:r>
      <w:r>
        <w:t xml:space="preserve">. </w:t>
      </w:r>
    </w:p>
    <w:p w:rsidR="00983A41" w:rsidRDefault="0096060D" w:rsidP="008A47DF">
      <w:r>
        <w:t>APTPPL proposed to fully depreciate the residual value of compressor assets, either de-commissioned or nearing the end of their remaining life, before the start of the 2017–22 access arrangement period.</w:t>
      </w:r>
      <w:r>
        <w:rPr>
          <w:rStyle w:val="FootnoteReference"/>
        </w:rPr>
        <w:footnoteReference w:id="47"/>
      </w:r>
      <w:r>
        <w:t xml:space="preserve"> It has done so by altering the approved forecast depreciation schedule for the 'Original pipeline (DN250)' asset class, the 'Pipelines' and 'Compressors' asset classes in the capital base roll forward for the 2012–17 access arrangement period. Specifically, in order to maintain the total amount of annual forecast depreciation, APTPPL</w:t>
      </w:r>
      <w:r w:rsidR="00983A41">
        <w:t>:</w:t>
      </w:r>
    </w:p>
    <w:p w:rsidR="00983A41" w:rsidRDefault="0096060D" w:rsidP="00BB4BA8">
      <w:pPr>
        <w:pStyle w:val="ListNumber"/>
      </w:pPr>
      <w:r>
        <w:t>increased the depreciation amount allocated to the 'Compressor</w:t>
      </w:r>
      <w:r w:rsidR="00543E0D">
        <w:t>s</w:t>
      </w:r>
      <w:r>
        <w:t>' asset class</w:t>
      </w:r>
      <w:r w:rsidR="00CB621A">
        <w:t>es</w:t>
      </w:r>
      <w:r w:rsidR="00543E0D">
        <w:t>,</w:t>
      </w:r>
      <w:r>
        <w:t xml:space="preserve"> and</w:t>
      </w:r>
    </w:p>
    <w:p w:rsidR="0096060D" w:rsidRDefault="0096060D" w:rsidP="00BB4BA8">
      <w:pPr>
        <w:pStyle w:val="ListNumber"/>
      </w:pPr>
      <w:r>
        <w:t>reduced the amount of depreciation allocated to the 'Original pipeline (DN250)' and 'Pipelines' asset classes.</w:t>
      </w:r>
    </w:p>
    <w:p w:rsidR="00130986" w:rsidRDefault="00BF0375" w:rsidP="00C45063">
      <w:r>
        <w:t>We consider that t</w:t>
      </w:r>
      <w:r w:rsidR="00511A91">
        <w:t>he proposed approach is in</w:t>
      </w:r>
      <w:r w:rsidR="00396C42">
        <w:t xml:space="preserve">consistent with the approved </w:t>
      </w:r>
      <w:r w:rsidR="00511A91">
        <w:t xml:space="preserve">2012–17 access arrangement because it does not reflect the </w:t>
      </w:r>
      <w:r w:rsidR="00236197">
        <w:t xml:space="preserve">forecast depreciation values for </w:t>
      </w:r>
      <w:r w:rsidR="00396C42">
        <w:t>the affected asset classes</w:t>
      </w:r>
      <w:r w:rsidR="00511A91">
        <w:t xml:space="preserve"> approved in that access arrangement decision</w:t>
      </w:r>
      <w:r w:rsidR="00396C42">
        <w:t>.</w:t>
      </w:r>
      <w:r w:rsidR="00130986">
        <w:rPr>
          <w:rStyle w:val="FootnoteReference"/>
        </w:rPr>
        <w:footnoteReference w:id="48"/>
      </w:r>
      <w:r w:rsidR="00886015">
        <w:t xml:space="preserve"> </w:t>
      </w:r>
      <w:r w:rsidR="005044A5">
        <w:t>W</w:t>
      </w:r>
      <w:r w:rsidR="00886015">
        <w:t>e consider the approach</w:t>
      </w:r>
      <w:r w:rsidR="00511A91">
        <w:t xml:space="preserve"> </w:t>
      </w:r>
      <w:r w:rsidR="00CF3DFB">
        <w:t>result</w:t>
      </w:r>
      <w:r w:rsidR="00122856">
        <w:t>s</w:t>
      </w:r>
      <w:r w:rsidR="00CF3DFB">
        <w:t xml:space="preserve"> in a forecast depreciation schedule that is not representative</w:t>
      </w:r>
      <w:r w:rsidR="00594494">
        <w:t xml:space="preserve"> of</w:t>
      </w:r>
      <w:r w:rsidR="00CF3DFB">
        <w:t xml:space="preserve"> the best forecast at the asset class level.</w:t>
      </w:r>
      <w:r w:rsidR="00CF3DFB">
        <w:rPr>
          <w:rStyle w:val="FootnoteReference"/>
        </w:rPr>
        <w:footnoteReference w:id="49"/>
      </w:r>
      <w:r w:rsidR="00CF3DFB">
        <w:t xml:space="preserve"> This is because t</w:t>
      </w:r>
      <w:r w:rsidR="001C63E0">
        <w:t xml:space="preserve">he proposed approach </w:t>
      </w:r>
      <w:r w:rsidR="00236197">
        <w:t>altered</w:t>
      </w:r>
      <w:r w:rsidR="00CF3DFB">
        <w:t xml:space="preserve"> </w:t>
      </w:r>
      <w:r w:rsidR="00236197">
        <w:t>the approved forecast depreciation amount for these asset classes by allocating less</w:t>
      </w:r>
      <w:r w:rsidR="001C63E0">
        <w:t xml:space="preserve"> depreciation to the 'Original pipeline (DN250)' and 'Pipelines' asset classes</w:t>
      </w:r>
      <w:r w:rsidR="00F34C45">
        <w:t xml:space="preserve"> and more depreciation to the 'Compressors' asset class</w:t>
      </w:r>
      <w:r w:rsidR="001C63E0">
        <w:t xml:space="preserve">. </w:t>
      </w:r>
      <w:r w:rsidR="00130986">
        <w:t>As discussed in attachment 5, t</w:t>
      </w:r>
      <w:r w:rsidR="001C63E0">
        <w:t xml:space="preserve">he outcome of the </w:t>
      </w:r>
      <w:r w:rsidR="003B1995">
        <w:t xml:space="preserve">proposed </w:t>
      </w:r>
      <w:r w:rsidR="001C63E0">
        <w:t>approach would be to artificially increase the remaining asset lives of those asset classes going forward.</w:t>
      </w:r>
      <w:r w:rsidR="00396C42">
        <w:t xml:space="preserve"> </w:t>
      </w:r>
      <w:r w:rsidR="00A54EE2">
        <w:t>This is</w:t>
      </w:r>
      <w:r w:rsidR="00455C7B">
        <w:t xml:space="preserve"> also </w:t>
      </w:r>
      <w:r w:rsidR="00A54EE2">
        <w:t>inconsistent with the depreciation criteria under r</w:t>
      </w:r>
      <w:r w:rsidR="00DA1A6F">
        <w:t xml:space="preserve">ule </w:t>
      </w:r>
      <w:r w:rsidR="00A54EE2">
        <w:t>89(1)(b) of the NGR.</w:t>
      </w:r>
      <w:r w:rsidR="006D3025">
        <w:t xml:space="preserve"> </w:t>
      </w:r>
    </w:p>
    <w:p w:rsidR="00A54EE2" w:rsidRDefault="00A54EE2" w:rsidP="00C45063">
      <w:r>
        <w:t>O</w:t>
      </w:r>
      <w:r w:rsidR="00B55DFE">
        <w:t>ur</w:t>
      </w:r>
      <w:r w:rsidR="0023074C">
        <w:t xml:space="preserve"> draft</w:t>
      </w:r>
      <w:r w:rsidR="00B55DFE">
        <w:t xml:space="preserve"> decision </w:t>
      </w:r>
      <w:r w:rsidR="007B57CE">
        <w:t xml:space="preserve">is </w:t>
      </w:r>
      <w:r w:rsidR="00B55DFE">
        <w:t xml:space="preserve">to </w:t>
      </w:r>
      <w:r w:rsidR="002B2101">
        <w:t xml:space="preserve">roll forward the capital base by </w:t>
      </w:r>
      <w:r w:rsidR="000029EA">
        <w:t>depreciat</w:t>
      </w:r>
      <w:r w:rsidR="002B2101">
        <w:t xml:space="preserve">ing </w:t>
      </w:r>
      <w:r w:rsidR="000029EA">
        <w:t>the 'Compressors'</w:t>
      </w:r>
      <w:r w:rsidR="007B57CE">
        <w:t xml:space="preserve">, 'Original pipeline (DN250)' and 'Pipelines' </w:t>
      </w:r>
      <w:r w:rsidR="000029EA">
        <w:t>asset class</w:t>
      </w:r>
      <w:r w:rsidR="007B57CE">
        <w:t>es</w:t>
      </w:r>
      <w:r w:rsidR="000029EA">
        <w:t xml:space="preserve"> using the approved forecast depreciation </w:t>
      </w:r>
      <w:r w:rsidR="001C63E0">
        <w:t xml:space="preserve">profiles </w:t>
      </w:r>
      <w:r w:rsidR="00130986">
        <w:t xml:space="preserve">as </w:t>
      </w:r>
      <w:r w:rsidR="000029EA">
        <w:t xml:space="preserve">set out in our 2012–17 access arrangement </w:t>
      </w:r>
      <w:r w:rsidR="00BF0375">
        <w:t>decision.</w:t>
      </w:r>
      <w:r w:rsidR="00130986">
        <w:rPr>
          <w:rStyle w:val="FootnoteReference"/>
        </w:rPr>
        <w:footnoteReference w:id="50"/>
      </w:r>
      <w:r w:rsidR="00130986">
        <w:t xml:space="preserve"> W</w:t>
      </w:r>
      <w:r w:rsidR="00594494">
        <w:t xml:space="preserve">e consider our </w:t>
      </w:r>
      <w:r w:rsidR="00B600A1">
        <w:t>approach provides</w:t>
      </w:r>
      <w:r w:rsidR="00CC327E">
        <w:t xml:space="preserve"> </w:t>
      </w:r>
      <w:r w:rsidR="005044A5">
        <w:t xml:space="preserve">a forecast that is arrived at on </w:t>
      </w:r>
      <w:r w:rsidR="00CC327E">
        <w:t xml:space="preserve">a reasonable basis and represents </w:t>
      </w:r>
      <w:r w:rsidR="00CC327E" w:rsidRPr="00CC327E">
        <w:t>the best forecast in the circumstances</w:t>
      </w:r>
      <w:r w:rsidR="00104F79">
        <w:t>.</w:t>
      </w:r>
      <w:r w:rsidR="00104F79">
        <w:rPr>
          <w:rStyle w:val="FootnoteReference"/>
        </w:rPr>
        <w:footnoteReference w:id="51"/>
      </w:r>
      <w:r w:rsidR="00BF0375">
        <w:t xml:space="preserve"> </w:t>
      </w:r>
      <w:r w:rsidR="00F937EF">
        <w:t>Further, a</w:t>
      </w:r>
      <w:r w:rsidR="00130986">
        <w:t xml:space="preserve">s discussed in attachment 5, our approach is consistent with the </w:t>
      </w:r>
      <w:r w:rsidR="00F937EF">
        <w:t xml:space="preserve">depreciation criteria under the NGR </w:t>
      </w:r>
      <w:r w:rsidR="00130986">
        <w:t>because it allows the affected asset classes to be depreciated over their respective economic lives.</w:t>
      </w:r>
      <w:r w:rsidR="00130986">
        <w:rPr>
          <w:rStyle w:val="FootnoteReference"/>
        </w:rPr>
        <w:footnoteReference w:id="52"/>
      </w:r>
    </w:p>
    <w:p w:rsidR="00B55DFE" w:rsidRDefault="007B57CE" w:rsidP="00C45063">
      <w:r>
        <w:t xml:space="preserve">We note that this </w:t>
      </w:r>
      <w:r w:rsidR="00B55DFE">
        <w:t>results in a small residual value of th</w:t>
      </w:r>
      <w:r w:rsidR="000029EA">
        <w:t>e</w:t>
      </w:r>
      <w:r w:rsidR="00B55DFE">
        <w:t xml:space="preserve"> compressor asset</w:t>
      </w:r>
      <w:r w:rsidR="0023074C">
        <w:t>s</w:t>
      </w:r>
      <w:r w:rsidR="00B55DFE">
        <w:t xml:space="preserve"> retired or nearing the end their </w:t>
      </w:r>
      <w:r w:rsidR="0023074C">
        <w:t>economic</w:t>
      </w:r>
      <w:r w:rsidR="00B55DFE">
        <w:t xml:space="preserve"> life as at 1 July 2017. We </w:t>
      </w:r>
      <w:r w:rsidR="000029EA">
        <w:t>separately tracked</w:t>
      </w:r>
      <w:r w:rsidR="00B55DFE">
        <w:t xml:space="preserve"> the residual value of these 'redundant compressors' </w:t>
      </w:r>
      <w:r>
        <w:t>and excluded them from the asset class consolidation</w:t>
      </w:r>
      <w:r w:rsidR="00511A91">
        <w:t>. As a result,</w:t>
      </w:r>
      <w:r>
        <w:t xml:space="preserve"> </w:t>
      </w:r>
      <w:r w:rsidR="00511A91">
        <w:t>we can fully</w:t>
      </w:r>
      <w:r w:rsidR="00B55DFE">
        <w:t xml:space="preserve"> depreciat</w:t>
      </w:r>
      <w:r w:rsidR="00511A91">
        <w:t>e the residual value</w:t>
      </w:r>
      <w:r w:rsidR="00FF7321">
        <w:t xml:space="preserve"> of the affected compressor assets</w:t>
      </w:r>
      <w:r w:rsidR="00B55DFE">
        <w:t xml:space="preserve"> over the </w:t>
      </w:r>
      <w:r w:rsidR="000029EA">
        <w:t xml:space="preserve">2017–22 </w:t>
      </w:r>
      <w:r w:rsidR="00B55DFE">
        <w:t xml:space="preserve">access arrangement period </w:t>
      </w:r>
      <w:r w:rsidR="000029EA">
        <w:t xml:space="preserve">by assigning a remaining asset life of </w:t>
      </w:r>
      <w:r w:rsidR="00C36C10">
        <w:t>three years</w:t>
      </w:r>
      <w:r w:rsidR="000029EA">
        <w:t xml:space="preserve"> </w:t>
      </w:r>
      <w:r w:rsidR="00B55DFE">
        <w:t xml:space="preserve">as discussed in attachment </w:t>
      </w:r>
      <w:r w:rsidR="000029EA">
        <w:t>5</w:t>
      </w:r>
      <w:r w:rsidR="00B55DFE">
        <w:t>.</w:t>
      </w:r>
    </w:p>
    <w:p w:rsidR="00E943E6" w:rsidRDefault="00E943E6" w:rsidP="00E943E6">
      <w:pPr>
        <w:pStyle w:val="Heading3"/>
      </w:pPr>
      <w:bookmarkStart w:id="53" w:name="_Toc486846646"/>
      <w:r>
        <w:t>Projected capital base during the 2017–22 access arrangement period</w:t>
      </w:r>
      <w:bookmarkEnd w:id="53"/>
    </w:p>
    <w:p w:rsidR="008D2008" w:rsidRPr="008D2008" w:rsidRDefault="008D2008" w:rsidP="008D2008">
      <w:r w:rsidRPr="008D2008">
        <w:t>We forecast APT</w:t>
      </w:r>
      <w:r>
        <w:t>PPL</w:t>
      </w:r>
      <w:r w:rsidRPr="008D2008">
        <w:t>'s projected capital base at 30 June 202</w:t>
      </w:r>
      <w:r>
        <w:t>2</w:t>
      </w:r>
      <w:r w:rsidRPr="008D2008">
        <w:t xml:space="preserve"> to be $</w:t>
      </w:r>
      <w:r w:rsidR="00A13227">
        <w:t>48</w:t>
      </w:r>
      <w:r w:rsidR="00832ADB">
        <w:t>8.1</w:t>
      </w:r>
      <w:r w:rsidRPr="008D2008">
        <w:t xml:space="preserve"> million ($nominal), a reduction of $</w:t>
      </w:r>
      <w:r w:rsidR="00A13227">
        <w:t>17.</w:t>
      </w:r>
      <w:r w:rsidR="00832ADB">
        <w:t>3</w:t>
      </w:r>
      <w:r w:rsidRPr="008D2008">
        <w:t xml:space="preserve"> million ($nominal) or </w:t>
      </w:r>
      <w:r w:rsidR="00A13227">
        <w:t>3.</w:t>
      </w:r>
      <w:r w:rsidR="00832ADB">
        <w:t>4</w:t>
      </w:r>
      <w:r w:rsidRPr="008D2008">
        <w:t xml:space="preserve"> per cent from APT</w:t>
      </w:r>
      <w:r w:rsidR="0028190D">
        <w:t>PPL</w:t>
      </w:r>
      <w:r w:rsidRPr="008D2008">
        <w:t>'s proposal. This results from our draft decision on the inputs to the determination of the projected capital base. We have amended the inputs in the following ways:</w:t>
      </w:r>
    </w:p>
    <w:p w:rsidR="008D2008" w:rsidRPr="008D2008" w:rsidRDefault="008D2008" w:rsidP="008D2008">
      <w:pPr>
        <w:pStyle w:val="AERbulletlistfirststyle"/>
      </w:pPr>
      <w:r w:rsidRPr="008D2008">
        <w:t>Reduced APT</w:t>
      </w:r>
      <w:r>
        <w:t>PPL</w:t>
      </w:r>
      <w:r w:rsidRPr="008D2008">
        <w:t>'s opening capital base as at 1 July 201</w:t>
      </w:r>
      <w:r>
        <w:t>7</w:t>
      </w:r>
      <w:r w:rsidRPr="008D2008">
        <w:t xml:space="preserve"> by $</w:t>
      </w:r>
      <w:r w:rsidR="00832ADB">
        <w:t>7.5</w:t>
      </w:r>
      <w:r w:rsidRPr="008D2008">
        <w:t xml:space="preserve"> million ($nominal) or </w:t>
      </w:r>
      <w:r w:rsidR="00436653">
        <w:t>1.</w:t>
      </w:r>
      <w:r w:rsidR="00832ADB">
        <w:t>7</w:t>
      </w:r>
      <w:r w:rsidRPr="008D2008">
        <w:t xml:space="preserve"> per cent to reflect the changes required in this attachment.</w:t>
      </w:r>
    </w:p>
    <w:p w:rsidR="008D2008" w:rsidRPr="008D2008" w:rsidRDefault="008D2008" w:rsidP="008D2008">
      <w:pPr>
        <w:pStyle w:val="AERbulletlistfirststyle"/>
      </w:pPr>
      <w:r w:rsidRPr="008D2008">
        <w:t>Reduced APT</w:t>
      </w:r>
      <w:r>
        <w:t>PPL</w:t>
      </w:r>
      <w:r w:rsidRPr="008D2008">
        <w:t>'s proposed forecast net capex</w:t>
      </w:r>
      <w:r w:rsidR="007524F0">
        <w:t xml:space="preserve"> for the 2017–22 access arrangement period</w:t>
      </w:r>
      <w:r w:rsidRPr="008D2008">
        <w:t xml:space="preserve"> by $</w:t>
      </w:r>
      <w:r w:rsidR="001D4CF3">
        <w:t>7.2</w:t>
      </w:r>
      <w:r w:rsidRPr="008D2008">
        <w:t xml:space="preserve"> million ($201</w:t>
      </w:r>
      <w:r>
        <w:t>6</w:t>
      </w:r>
      <w:r w:rsidRPr="008D2008">
        <w:t>–1</w:t>
      </w:r>
      <w:r>
        <w:t>7</w:t>
      </w:r>
      <w:r w:rsidRPr="008D2008">
        <w:t xml:space="preserve">) or </w:t>
      </w:r>
      <w:r w:rsidR="00436653">
        <w:t>1</w:t>
      </w:r>
      <w:r w:rsidR="001D4CF3">
        <w:t>0.7</w:t>
      </w:r>
      <w:r w:rsidRPr="008D2008">
        <w:t xml:space="preserve"> per cent. Our assessment of the proposed forecast capex is set out in attachment 6.</w:t>
      </w:r>
    </w:p>
    <w:p w:rsidR="008D2008" w:rsidRDefault="00436653" w:rsidP="008D2008">
      <w:pPr>
        <w:pStyle w:val="AERbulletlistfirststyle"/>
      </w:pPr>
      <w:r>
        <w:t>Increased</w:t>
      </w:r>
      <w:r w:rsidR="008D2008" w:rsidRPr="008D2008">
        <w:t xml:space="preserve"> APT</w:t>
      </w:r>
      <w:r w:rsidR="008D2008">
        <w:t>PPL</w:t>
      </w:r>
      <w:r w:rsidR="008D2008" w:rsidRPr="008D2008">
        <w:t xml:space="preserve">'s proposed forecast regulatory depreciation allowance </w:t>
      </w:r>
      <w:r w:rsidR="007524F0">
        <w:t>for the 2017–22 access arrangement period</w:t>
      </w:r>
      <w:r w:rsidR="007524F0" w:rsidRPr="008D2008">
        <w:t xml:space="preserve"> </w:t>
      </w:r>
      <w:r w:rsidR="008D2008" w:rsidRPr="008D2008">
        <w:t>by $</w:t>
      </w:r>
      <w:r>
        <w:t>1.8</w:t>
      </w:r>
      <w:r w:rsidR="008D2008" w:rsidRPr="008D2008">
        <w:t xml:space="preserve"> million ($nominal) or </w:t>
      </w:r>
      <w:r>
        <w:t>9.</w:t>
      </w:r>
      <w:r w:rsidR="00832ADB">
        <w:t>8</w:t>
      </w:r>
      <w:r w:rsidR="008D2008" w:rsidRPr="008D2008">
        <w:t xml:space="preserve"> per cent. Our assessment of the proposed forecast depreciation is set out in attachment 5.</w:t>
      </w:r>
    </w:p>
    <w:p w:rsidR="0087513E" w:rsidRDefault="00A6764E" w:rsidP="009D32BA">
      <w:r>
        <w:fldChar w:fldCharType="begin"/>
      </w:r>
      <w:r>
        <w:instrText xml:space="preserve"> REF _Ref485828359 \h </w:instrText>
      </w:r>
      <w:r w:rsidR="00996D16">
        <w:fldChar w:fldCharType="separate"/>
      </w:r>
      <w:r w:rsidR="00996D16">
        <w:t xml:space="preserve">Figure </w:t>
      </w:r>
      <w:proofErr w:type="gramStart"/>
      <w:r w:rsidR="00996D16">
        <w:rPr>
          <w:noProof/>
        </w:rPr>
        <w:t>2</w:t>
      </w:r>
      <w:r w:rsidR="00996D16">
        <w:t>.</w:t>
      </w:r>
      <w:r w:rsidR="00996D16">
        <w:rPr>
          <w:noProof/>
        </w:rPr>
        <w:t>1</w:t>
      </w:r>
      <w:r>
        <w:fldChar w:fldCharType="end"/>
      </w:r>
      <w:r w:rsidR="0087513E">
        <w:fldChar w:fldCharType="begin"/>
      </w:r>
      <w:r w:rsidR="0087513E">
        <w:instrText xml:space="preserve"> REF _Ref468709585 \h </w:instrText>
      </w:r>
      <w:r w:rsidR="005E447A">
        <w:instrText xml:space="preserve"> \* MERGEFORMAT </w:instrText>
      </w:r>
      <w:r w:rsidR="00996D16">
        <w:fldChar w:fldCharType="separate"/>
      </w:r>
      <w:r w:rsidR="00996D16">
        <w:rPr>
          <w:b/>
          <w:bCs/>
          <w:lang w:val="en-US"/>
        </w:rPr>
        <w:t>Error</w:t>
      </w:r>
      <w:proofErr w:type="gramEnd"/>
      <w:r w:rsidR="00996D16">
        <w:rPr>
          <w:b/>
          <w:bCs/>
          <w:lang w:val="en-US"/>
        </w:rPr>
        <w:t>! Reference source not found.</w:t>
      </w:r>
      <w:r w:rsidR="0087513E">
        <w:fldChar w:fldCharType="end"/>
      </w:r>
      <w:r>
        <w:fldChar w:fldCharType="begin"/>
      </w:r>
      <w:r>
        <w:instrText xml:space="preserve"> REF _Ref485828419 \h </w:instrText>
      </w:r>
      <w:r>
        <w:fldChar w:fldCharType="separate"/>
      </w:r>
      <w:r w:rsidR="00996D16">
        <w:t xml:space="preserve">Figure </w:t>
      </w:r>
      <w:r w:rsidR="00996D16">
        <w:rPr>
          <w:noProof/>
        </w:rPr>
        <w:t>2</w:t>
      </w:r>
      <w:r w:rsidR="00996D16">
        <w:t>.</w:t>
      </w:r>
      <w:r w:rsidR="00996D16">
        <w:rPr>
          <w:noProof/>
        </w:rPr>
        <w:t>2</w:t>
      </w:r>
      <w:r>
        <w:fldChar w:fldCharType="end"/>
      </w:r>
      <w:r>
        <w:t xml:space="preserve"> </w:t>
      </w:r>
      <w:r w:rsidR="0087513E" w:rsidRPr="00034550">
        <w:t xml:space="preserve">shows the key drivers of the change in </w:t>
      </w:r>
      <w:r w:rsidR="0087513E">
        <w:t>APTPPL's capital base</w:t>
      </w:r>
      <w:r w:rsidR="0087513E" w:rsidRPr="0087513E">
        <w:t xml:space="preserve"> over the 2017–22 </w:t>
      </w:r>
      <w:r w:rsidR="0087513E">
        <w:t>access arrangement</w:t>
      </w:r>
      <w:r w:rsidR="0087513E" w:rsidRPr="0087513E">
        <w:t xml:space="preserve"> </w:t>
      </w:r>
      <w:proofErr w:type="gramStart"/>
      <w:r w:rsidR="0087513E" w:rsidRPr="0087513E">
        <w:t>period</w:t>
      </w:r>
      <w:proofErr w:type="gramEnd"/>
      <w:r w:rsidR="0087513E" w:rsidRPr="0087513E">
        <w:t xml:space="preserve"> for this draft decision. Overall, the closing </w:t>
      </w:r>
      <w:r w:rsidR="003D5AB1">
        <w:t>capital base</w:t>
      </w:r>
      <w:r w:rsidR="003D5AB1" w:rsidRPr="0087513E">
        <w:t xml:space="preserve"> </w:t>
      </w:r>
      <w:r w:rsidR="0087513E" w:rsidRPr="0087513E">
        <w:t xml:space="preserve">at the end of the 2017–22 </w:t>
      </w:r>
      <w:r w:rsidR="0087513E">
        <w:t>access arrangement</w:t>
      </w:r>
      <w:r w:rsidR="0087513E" w:rsidRPr="0087513E">
        <w:t xml:space="preserve"> period is forecast to be </w:t>
      </w:r>
      <w:r w:rsidR="00436653">
        <w:t>10</w:t>
      </w:r>
      <w:r w:rsidR="0087513E" w:rsidRPr="0087513E">
        <w:t xml:space="preserve"> per cent higher than the opening </w:t>
      </w:r>
      <w:r w:rsidR="0087513E">
        <w:t>capital base</w:t>
      </w:r>
      <w:r w:rsidR="0087513E" w:rsidRPr="0087513E">
        <w:t xml:space="preserve"> at the start of that period, in nominal terms. The approved forecast net capex increases the </w:t>
      </w:r>
      <w:r w:rsidR="0087513E">
        <w:t>capital base</w:t>
      </w:r>
      <w:r w:rsidR="0087513E" w:rsidRPr="0087513E">
        <w:t xml:space="preserve"> by about </w:t>
      </w:r>
      <w:r w:rsidR="00436653">
        <w:t>14</w:t>
      </w:r>
      <w:r w:rsidR="0087513E" w:rsidRPr="0087513E">
        <w:t xml:space="preserve"> per cent, while expected inflation increases it by about </w:t>
      </w:r>
      <w:r w:rsidR="00436653">
        <w:t>13</w:t>
      </w:r>
      <w:r w:rsidR="0087513E" w:rsidRPr="0087513E">
        <w:t xml:space="preserve"> per cent. Forecast depreciation, on the other hand, reduces the</w:t>
      </w:r>
      <w:r w:rsidR="0087513E">
        <w:t xml:space="preserve"> capital base</w:t>
      </w:r>
      <w:r w:rsidR="0087513E" w:rsidRPr="0087513E">
        <w:t xml:space="preserve"> by about </w:t>
      </w:r>
      <w:r w:rsidR="00436653">
        <w:t>17</w:t>
      </w:r>
      <w:r w:rsidR="0087513E" w:rsidRPr="0087513E">
        <w:t xml:space="preserve"> per cent.</w:t>
      </w:r>
    </w:p>
    <w:p w:rsidR="0087513E" w:rsidRDefault="005E447A" w:rsidP="00A6764E">
      <w:pPr>
        <w:pStyle w:val="Caption"/>
      </w:pPr>
      <w:bookmarkStart w:id="54" w:name="_Ref485828419"/>
      <w:r>
        <w:t xml:space="preserve">Figure </w:t>
      </w:r>
      <w:fldSimple w:instr=" STYLEREF 1 \s ">
        <w:r w:rsidR="00996D16">
          <w:rPr>
            <w:noProof/>
          </w:rPr>
          <w:t>2</w:t>
        </w:r>
      </w:fldSimple>
      <w:r>
        <w:t>.</w:t>
      </w:r>
      <w:fldSimple w:instr=" SEQ Figure \* ARABIC \s 1 ">
        <w:r w:rsidR="00996D16">
          <w:rPr>
            <w:noProof/>
          </w:rPr>
          <w:t>2</w:t>
        </w:r>
      </w:fldSimple>
      <w:bookmarkEnd w:id="54"/>
      <w:r w:rsidR="0087513E">
        <w:tab/>
      </w:r>
      <w:r w:rsidR="00A6764E">
        <w:t>AER draft decision - k</w:t>
      </w:r>
      <w:r w:rsidR="0087513E">
        <w:t>ey drivers of changes in the capital base ($ million, nominal)</w:t>
      </w:r>
    </w:p>
    <w:p w:rsidR="00832ADB" w:rsidRDefault="00832ADB" w:rsidP="0087513E">
      <w:r w:rsidRPr="00832ADB">
        <w:rPr>
          <w:noProof/>
          <w:lang w:eastAsia="en-AU"/>
        </w:rPr>
        <w:drawing>
          <wp:inline distT="0" distB="0" distL="0" distR="0" wp14:anchorId="57DAE497" wp14:editId="03806567">
            <wp:extent cx="5382260" cy="30150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260" cy="3015025"/>
                    </a:xfrm>
                    <a:prstGeom prst="rect">
                      <a:avLst/>
                    </a:prstGeom>
                    <a:noFill/>
                    <a:ln>
                      <a:noFill/>
                    </a:ln>
                  </pic:spPr>
                </pic:pic>
              </a:graphicData>
            </a:graphic>
          </wp:inline>
        </w:drawing>
      </w:r>
    </w:p>
    <w:p w:rsidR="0087513E" w:rsidRPr="008D2008" w:rsidRDefault="0087513E" w:rsidP="0087513E">
      <w:pPr>
        <w:pStyle w:val="AERtablesource"/>
      </w:pPr>
      <w:r>
        <w:t>Source:</w:t>
      </w:r>
      <w:r>
        <w:tab/>
        <w:t>AER analysis.</w:t>
      </w:r>
    </w:p>
    <w:p w:rsidR="00E943E6" w:rsidRDefault="00E943E6" w:rsidP="00DF04E1">
      <w:pPr>
        <w:pStyle w:val="Heading3"/>
        <w:keepNext/>
      </w:pPr>
      <w:bookmarkStart w:id="55" w:name="_Toc486846647"/>
      <w:r>
        <w:t>Capital base at the commencement of the 2022–27 access arrangement period</w:t>
      </w:r>
      <w:bookmarkEnd w:id="55"/>
    </w:p>
    <w:p w:rsidR="00E943E6" w:rsidRDefault="00E943E6" w:rsidP="00DF04E1">
      <w:pPr>
        <w:keepNext/>
      </w:pPr>
      <w:r w:rsidRPr="00E943E6">
        <w:t>The capital base at the commencement of the 202</w:t>
      </w:r>
      <w:r w:rsidR="006C3B8A">
        <w:t>2</w:t>
      </w:r>
      <w:r w:rsidRPr="00E943E6">
        <w:t>–2</w:t>
      </w:r>
      <w:r w:rsidR="006C3B8A">
        <w:t>7</w:t>
      </w:r>
      <w:r w:rsidRPr="00E943E6">
        <w:t xml:space="preserve"> access arrangement </w:t>
      </w:r>
      <w:proofErr w:type="gramStart"/>
      <w:r w:rsidRPr="00E943E6">
        <w:t>period</w:t>
      </w:r>
      <w:proofErr w:type="gramEnd"/>
      <w:r w:rsidRPr="00E943E6">
        <w:t xml:space="preserve"> will be subject to adjustments consistent with the NGR.</w:t>
      </w:r>
      <w:r>
        <w:t xml:space="preserve"> </w:t>
      </w:r>
      <w:r w:rsidRPr="00E943E6">
        <w:t>The adjustments for APT</w:t>
      </w:r>
      <w:r w:rsidR="003C0B04">
        <w:t>PPL</w:t>
      </w:r>
      <w:r w:rsidRPr="00E943E6">
        <w:t xml:space="preserve"> include (but are not limited to) actual inflation and approved depreciation over the 201</w:t>
      </w:r>
      <w:r w:rsidR="006C3B8A">
        <w:t>7</w:t>
      </w:r>
      <w:r w:rsidRPr="00E943E6">
        <w:t>–2</w:t>
      </w:r>
      <w:r w:rsidR="006C3B8A">
        <w:t>2</w:t>
      </w:r>
      <w:r w:rsidRPr="00E943E6">
        <w:t xml:space="preserve"> access arrangement period.</w:t>
      </w:r>
    </w:p>
    <w:p w:rsidR="001A08A3" w:rsidRDefault="00E943E6" w:rsidP="00E943E6">
      <w:r w:rsidRPr="00E943E6">
        <w:t>We accept APT</w:t>
      </w:r>
      <w:r w:rsidR="00AE04D8">
        <w:t>PPL</w:t>
      </w:r>
      <w:r w:rsidRPr="00E943E6">
        <w:t xml:space="preserve">’s proposal to </w:t>
      </w:r>
      <w:r w:rsidR="00EB1728">
        <w:t xml:space="preserve">establish the opening capital base as at 1 July 2022 </w:t>
      </w:r>
      <w:r w:rsidRPr="00E943E6">
        <w:t>us</w:t>
      </w:r>
      <w:r w:rsidR="00EB1728">
        <w:t xml:space="preserve">ing the depreciation schedules based </w:t>
      </w:r>
      <w:r w:rsidR="00575642">
        <w:t xml:space="preserve">on </w:t>
      </w:r>
      <w:r w:rsidRPr="00E943E6">
        <w:t xml:space="preserve">forecast </w:t>
      </w:r>
      <w:r w:rsidR="00EB1728">
        <w:t xml:space="preserve">capex over </w:t>
      </w:r>
      <w:r w:rsidRPr="00E943E6">
        <w:t>the 201</w:t>
      </w:r>
      <w:r w:rsidR="00AE04D8">
        <w:t>7</w:t>
      </w:r>
      <w:r w:rsidRPr="00E943E6">
        <w:t>–2</w:t>
      </w:r>
      <w:r w:rsidR="00AE04D8">
        <w:t>2</w:t>
      </w:r>
      <w:r w:rsidRPr="00E943E6">
        <w:t xml:space="preserve"> access arrangement period.</w:t>
      </w:r>
      <w:r w:rsidR="006C3B8A">
        <w:rPr>
          <w:rStyle w:val="FootnoteReference"/>
        </w:rPr>
        <w:footnoteReference w:id="53"/>
      </w:r>
      <w:r>
        <w:t xml:space="preserve"> </w:t>
      </w:r>
      <w:r w:rsidR="001A08A3" w:rsidRPr="001A08A3">
        <w:t>We approved such an approach in our recent gas decisions.</w:t>
      </w:r>
      <w:r w:rsidR="001A08A3">
        <w:rPr>
          <w:rStyle w:val="FootnoteReference"/>
        </w:rPr>
        <w:footnoteReference w:id="54"/>
      </w:r>
      <w:r w:rsidR="001A08A3" w:rsidRPr="001A08A3">
        <w:t xml:space="preserve">  This approach is also consistent with the approach outlined in our </w:t>
      </w:r>
      <w:r w:rsidR="001A08A3" w:rsidRPr="00344381">
        <w:rPr>
          <w:rStyle w:val="AERtextitalic"/>
        </w:rPr>
        <w:t>Access Arrangement Guideline</w:t>
      </w:r>
      <w:r w:rsidR="001A08A3" w:rsidRPr="001A08A3">
        <w:t>.</w:t>
      </w:r>
      <w:r w:rsidR="001A08A3">
        <w:rPr>
          <w:rStyle w:val="FootnoteReference"/>
        </w:rPr>
        <w:footnoteReference w:id="55"/>
      </w:r>
      <w:r w:rsidR="001A08A3" w:rsidRPr="001A08A3">
        <w:t xml:space="preserve"> The amount of the forecast depreciation is to be approved by us in the final decision for the 2017–22 access arrangement </w:t>
      </w:r>
      <w:proofErr w:type="gramStart"/>
      <w:r w:rsidR="001A08A3" w:rsidRPr="001A08A3">
        <w:t>period</w:t>
      </w:r>
      <w:proofErr w:type="gramEnd"/>
      <w:r w:rsidR="001A08A3">
        <w:t>.</w:t>
      </w:r>
    </w:p>
    <w:p w:rsidR="00E943E6" w:rsidRDefault="00EB1728" w:rsidP="008D3C61">
      <w:r>
        <w:t xml:space="preserve">However, we consider the access arrangement </w:t>
      </w:r>
      <w:r w:rsidR="00944DC0">
        <w:t xml:space="preserve">should </w:t>
      </w:r>
      <w:r w:rsidR="00344381">
        <w:t xml:space="preserve">further provide for </w:t>
      </w:r>
      <w:r>
        <w:t xml:space="preserve">the capital base </w:t>
      </w:r>
      <w:r w:rsidR="00B10E44">
        <w:t xml:space="preserve">as </w:t>
      </w:r>
      <w:r>
        <w:t xml:space="preserve">at </w:t>
      </w:r>
      <w:r w:rsidR="00B10E44">
        <w:t xml:space="preserve">1 July 2022 </w:t>
      </w:r>
      <w:r w:rsidR="00944DC0">
        <w:t xml:space="preserve">is to be established </w:t>
      </w:r>
      <w:r w:rsidR="00B10E44">
        <w:t>using</w:t>
      </w:r>
      <w:r w:rsidR="00861D4F">
        <w:t xml:space="preserve"> </w:t>
      </w:r>
      <w:r>
        <w:t>the approved depreciation schedule</w:t>
      </w:r>
      <w:r w:rsidR="00074DDE">
        <w:t>s</w:t>
      </w:r>
      <w:r>
        <w:t xml:space="preserve"> </w:t>
      </w:r>
      <w:r w:rsidR="00861D4F">
        <w:t xml:space="preserve">(straight-line) </w:t>
      </w:r>
      <w:r w:rsidR="00B10E44">
        <w:t>based on forecast capex at the asset class level.</w:t>
      </w:r>
      <w:r w:rsidR="00344381">
        <w:rPr>
          <w:rStyle w:val="FootnoteReference"/>
        </w:rPr>
        <w:footnoteReference w:id="56"/>
      </w:r>
      <w:r w:rsidR="0008381A" w:rsidRPr="0008381A">
        <w:t xml:space="preserve"> </w:t>
      </w:r>
      <w:r w:rsidR="001A08A3">
        <w:t>Having regard to the capital base as determined in the preceding access arrangement, w</w:t>
      </w:r>
      <w:r w:rsidR="00B10E44">
        <w:t xml:space="preserve">e consider this will provide for a forecast of depreciation over the 2017–22 access arrangement </w:t>
      </w:r>
      <w:proofErr w:type="gramStart"/>
      <w:r w:rsidR="00B10E44">
        <w:t>period</w:t>
      </w:r>
      <w:proofErr w:type="gramEnd"/>
      <w:r w:rsidR="001A08A3">
        <w:t xml:space="preserve"> that provides for continuity and consistency in determining depreciation from one access arrangement period to the next</w:t>
      </w:r>
      <w:r w:rsidR="002872FC">
        <w:t>.</w:t>
      </w:r>
      <w:r w:rsidR="002872FC">
        <w:rPr>
          <w:rStyle w:val="FootnoteReference"/>
        </w:rPr>
        <w:footnoteReference w:id="57"/>
      </w:r>
      <w:r w:rsidR="00B10E44">
        <w:t xml:space="preserve"> </w:t>
      </w:r>
    </w:p>
    <w:p w:rsidR="002763DE" w:rsidRDefault="002763DE" w:rsidP="002763DE">
      <w:pPr>
        <w:pStyle w:val="Heading2"/>
      </w:pPr>
      <w:bookmarkStart w:id="56" w:name="_Toc486846648"/>
      <w:r>
        <w:t>Revisions</w:t>
      </w:r>
      <w:bookmarkEnd w:id="56"/>
    </w:p>
    <w:p w:rsidR="00E943E6" w:rsidRDefault="00E943E6" w:rsidP="00E943E6">
      <w:r w:rsidRPr="00E943E6">
        <w:t>We require the following revisions to make the access arrangement proposal acceptable:</w:t>
      </w:r>
    </w:p>
    <w:p w:rsidR="008738FA" w:rsidRDefault="008738FA" w:rsidP="00CF0B44">
      <w:pPr>
        <w:pStyle w:val="AERrevisionbox"/>
        <w:rPr>
          <w:rStyle w:val="Strong"/>
        </w:rPr>
      </w:pPr>
      <w:r w:rsidRPr="008738FA">
        <w:rPr>
          <w:rStyle w:val="Strong"/>
        </w:rPr>
        <w:t xml:space="preserve">Revision </w:t>
      </w:r>
      <w:r w:rsidR="00C36C10">
        <w:rPr>
          <w:rStyle w:val="Strong"/>
        </w:rPr>
        <w:t>2.1</w:t>
      </w:r>
      <w:r w:rsidRPr="008738FA">
        <w:rPr>
          <w:rStyle w:val="Strong"/>
        </w:rPr>
        <w:t>:</w:t>
      </w:r>
      <w:r w:rsidR="00C36C10">
        <w:rPr>
          <w:rStyle w:val="Strong"/>
        </w:rPr>
        <w:t xml:space="preserve"> </w:t>
      </w:r>
      <w:r w:rsidR="00C36C10" w:rsidRPr="00CF0B44">
        <w:rPr>
          <w:rStyle w:val="AERbody"/>
        </w:rPr>
        <w:t xml:space="preserve">Make all necessary amendments to </w:t>
      </w:r>
      <w:r w:rsidR="00CF0B44" w:rsidRPr="00CF0B44">
        <w:rPr>
          <w:rStyle w:val="AERbody"/>
        </w:rPr>
        <w:t xml:space="preserve">reflect this draft decision on </w:t>
      </w:r>
      <w:r w:rsidR="00C36C10" w:rsidRPr="00CF0B44">
        <w:rPr>
          <w:rStyle w:val="AERbody"/>
        </w:rPr>
        <w:t xml:space="preserve">the roll forward of the capital base over the </w:t>
      </w:r>
      <w:r w:rsidR="00F2335E" w:rsidRPr="00CF0B44">
        <w:rPr>
          <w:rStyle w:val="AERbody"/>
        </w:rPr>
        <w:t>201</w:t>
      </w:r>
      <w:r w:rsidR="00F2335E">
        <w:rPr>
          <w:rStyle w:val="AERbody"/>
        </w:rPr>
        <w:t>2</w:t>
      </w:r>
      <w:r w:rsidR="00074DDE">
        <w:rPr>
          <w:rStyle w:val="AERbody"/>
        </w:rPr>
        <w:t>–</w:t>
      </w:r>
      <w:r w:rsidR="00C36C10" w:rsidRPr="00CF0B44">
        <w:rPr>
          <w:rStyle w:val="AERbody"/>
        </w:rPr>
        <w:t>17</w:t>
      </w:r>
      <w:r w:rsidR="00074DDE">
        <w:rPr>
          <w:rStyle w:val="AERbody"/>
        </w:rPr>
        <w:t xml:space="preserve"> access arrangement</w:t>
      </w:r>
      <w:r w:rsidR="00C36C10" w:rsidRPr="00CF0B44">
        <w:rPr>
          <w:rStyle w:val="AERbody"/>
        </w:rPr>
        <w:t xml:space="preserve"> period</w:t>
      </w:r>
      <w:r w:rsidR="00CF0B44" w:rsidRPr="00CF0B44">
        <w:rPr>
          <w:rStyle w:val="AERbody"/>
        </w:rPr>
        <w:t>, as set out in</w:t>
      </w:r>
      <w:r w:rsidR="00CF0B44">
        <w:rPr>
          <w:rStyle w:val="Strong"/>
        </w:rPr>
        <w:t xml:space="preserve"> </w:t>
      </w:r>
      <w:r w:rsidR="00CF0B44">
        <w:rPr>
          <w:rStyle w:val="Strong"/>
        </w:rPr>
        <w:fldChar w:fldCharType="begin"/>
      </w:r>
      <w:r w:rsidR="00CF0B44">
        <w:rPr>
          <w:rStyle w:val="Strong"/>
        </w:rPr>
        <w:instrText xml:space="preserve"> REF _Ref466022771 \h  \* MERGEFORMAT </w:instrText>
      </w:r>
      <w:r w:rsidR="00CF0B44">
        <w:rPr>
          <w:rStyle w:val="Strong"/>
        </w:rPr>
      </w:r>
      <w:r w:rsidR="00CF0B44">
        <w:rPr>
          <w:rStyle w:val="Strong"/>
        </w:rPr>
        <w:fldChar w:fldCharType="separate"/>
      </w:r>
      <w:r w:rsidR="00996D16">
        <w:t xml:space="preserve">Table </w:t>
      </w:r>
      <w:r w:rsidR="00996D16">
        <w:rPr>
          <w:noProof/>
        </w:rPr>
        <w:t>2.1</w:t>
      </w:r>
      <w:r w:rsidR="00CF0B44">
        <w:rPr>
          <w:rStyle w:val="Strong"/>
        </w:rPr>
        <w:fldChar w:fldCharType="end"/>
      </w:r>
      <w:r w:rsidR="00CF0B44">
        <w:rPr>
          <w:rStyle w:val="Strong"/>
        </w:rPr>
        <w:t>.</w:t>
      </w:r>
    </w:p>
    <w:p w:rsidR="00CF0B44" w:rsidRDefault="00CF0B44" w:rsidP="00CF0B44">
      <w:pPr>
        <w:pStyle w:val="AERrevisionbox"/>
        <w:rPr>
          <w:rStyle w:val="AERbody"/>
        </w:rPr>
      </w:pPr>
      <w:r>
        <w:rPr>
          <w:rStyle w:val="Strong"/>
        </w:rPr>
        <w:t xml:space="preserve">Revision 2.2: </w:t>
      </w:r>
      <w:r>
        <w:rPr>
          <w:rStyle w:val="AERbody"/>
        </w:rPr>
        <w:t>Make all necessary amendments to reflect this draft decision on the roll forward of the capital base over the 2017</w:t>
      </w:r>
      <w:r w:rsidR="00074DDE">
        <w:rPr>
          <w:rStyle w:val="AERbody"/>
        </w:rPr>
        <w:t>–</w:t>
      </w:r>
      <w:r>
        <w:rPr>
          <w:rStyle w:val="AERbody"/>
        </w:rPr>
        <w:t xml:space="preserve">22 access arrangement period, as set out in </w:t>
      </w:r>
      <w:r>
        <w:rPr>
          <w:rStyle w:val="AERbody"/>
        </w:rPr>
        <w:fldChar w:fldCharType="begin"/>
      </w:r>
      <w:r>
        <w:rPr>
          <w:rStyle w:val="AERbody"/>
        </w:rPr>
        <w:instrText xml:space="preserve"> REF _Ref466022793 \h </w:instrText>
      </w:r>
      <w:r>
        <w:rPr>
          <w:rStyle w:val="AERbody"/>
        </w:rPr>
      </w:r>
      <w:r>
        <w:rPr>
          <w:rStyle w:val="AERbody"/>
        </w:rPr>
        <w:fldChar w:fldCharType="separate"/>
      </w:r>
      <w:r w:rsidR="00996D16">
        <w:t xml:space="preserve">Table </w:t>
      </w:r>
      <w:r w:rsidR="00996D16">
        <w:rPr>
          <w:noProof/>
        </w:rPr>
        <w:t>2</w:t>
      </w:r>
      <w:r w:rsidR="00996D16">
        <w:t>.</w:t>
      </w:r>
      <w:r w:rsidR="00996D16">
        <w:rPr>
          <w:noProof/>
        </w:rPr>
        <w:t>2</w:t>
      </w:r>
      <w:r>
        <w:rPr>
          <w:rStyle w:val="AERbody"/>
        </w:rPr>
        <w:fldChar w:fldCharType="end"/>
      </w:r>
      <w:r>
        <w:rPr>
          <w:rStyle w:val="AERbody"/>
        </w:rPr>
        <w:t>.</w:t>
      </w:r>
    </w:p>
    <w:p w:rsidR="0008381A" w:rsidRDefault="0008381A" w:rsidP="00CF0B44">
      <w:pPr>
        <w:pStyle w:val="AERrevisionbox"/>
        <w:rPr>
          <w:rStyle w:val="AERbody"/>
        </w:rPr>
      </w:pPr>
      <w:r w:rsidRPr="0008381A">
        <w:rPr>
          <w:rStyle w:val="Strong"/>
        </w:rPr>
        <w:t>Revision 2.3:</w:t>
      </w:r>
      <w:r>
        <w:rPr>
          <w:rStyle w:val="AERbody"/>
        </w:rPr>
        <w:t xml:space="preserve"> Update the access arrangement</w:t>
      </w:r>
      <w:r w:rsidR="00022F2F">
        <w:rPr>
          <w:rStyle w:val="AERbody"/>
        </w:rPr>
        <w:t xml:space="preserve"> (section 3.6)</w:t>
      </w:r>
      <w:r>
        <w:rPr>
          <w:rStyle w:val="AERbody"/>
        </w:rPr>
        <w:t xml:space="preserve"> to </w:t>
      </w:r>
      <w:r w:rsidR="00944DC0">
        <w:rPr>
          <w:rStyle w:val="AERbody"/>
        </w:rPr>
        <w:t>set out th</w:t>
      </w:r>
      <w:r w:rsidR="000612C0">
        <w:rPr>
          <w:rStyle w:val="AERbody"/>
        </w:rPr>
        <w:t xml:space="preserve">e depreciation schedule used </w:t>
      </w:r>
      <w:r w:rsidR="009B1372">
        <w:rPr>
          <w:rStyle w:val="AERbody"/>
        </w:rPr>
        <w:t>for</w:t>
      </w:r>
      <w:r w:rsidR="000612C0">
        <w:rPr>
          <w:rStyle w:val="AERbody"/>
        </w:rPr>
        <w:t xml:space="preserve"> roll</w:t>
      </w:r>
      <w:r w:rsidR="009B1372">
        <w:rPr>
          <w:rStyle w:val="AERbody"/>
        </w:rPr>
        <w:t>ing</w:t>
      </w:r>
      <w:r w:rsidR="000612C0">
        <w:rPr>
          <w:rStyle w:val="AERbody"/>
        </w:rPr>
        <w:t xml:space="preserve"> forward </w:t>
      </w:r>
      <w:r>
        <w:rPr>
          <w:rStyle w:val="AERbody"/>
        </w:rPr>
        <w:t>the capital base at the commencement of the 2022</w:t>
      </w:r>
      <w:r w:rsidR="00DA1A6F">
        <w:rPr>
          <w:rStyle w:val="AERbody"/>
        </w:rPr>
        <w:t>–</w:t>
      </w:r>
      <w:r>
        <w:rPr>
          <w:rStyle w:val="AERbody"/>
        </w:rPr>
        <w:t xml:space="preserve">27 </w:t>
      </w:r>
      <w:r w:rsidR="00944DC0">
        <w:rPr>
          <w:rStyle w:val="AERbody"/>
        </w:rPr>
        <w:t>a</w:t>
      </w:r>
      <w:r>
        <w:rPr>
          <w:rStyle w:val="AERbody"/>
        </w:rPr>
        <w:t xml:space="preserve">ccess arrangement </w:t>
      </w:r>
      <w:proofErr w:type="gramStart"/>
      <w:r>
        <w:rPr>
          <w:rStyle w:val="AERbody"/>
        </w:rPr>
        <w:t>period</w:t>
      </w:r>
      <w:proofErr w:type="gramEnd"/>
      <w:r w:rsidR="009B1372">
        <w:rPr>
          <w:rStyle w:val="AERbody"/>
        </w:rPr>
        <w:t xml:space="preserve"> as follows</w:t>
      </w:r>
      <w:r w:rsidR="00D54EE5">
        <w:rPr>
          <w:rStyle w:val="AERbody"/>
        </w:rPr>
        <w:t>:</w:t>
      </w:r>
      <w:r w:rsidR="00D54EE5" w:rsidDel="00D54EE5">
        <w:rPr>
          <w:rStyle w:val="AERbody"/>
        </w:rPr>
        <w:t xml:space="preserve"> </w:t>
      </w:r>
    </w:p>
    <w:p w:rsidR="000612C0" w:rsidRPr="009B1372" w:rsidRDefault="00861D4F" w:rsidP="00CA12AF">
      <w:pPr>
        <w:pStyle w:val="AERrevisionbox"/>
        <w:rPr>
          <w:rStyle w:val="AERbody"/>
        </w:rPr>
      </w:pPr>
      <w:r w:rsidRPr="00861D4F">
        <w:rPr>
          <w:rStyle w:val="AERbody"/>
        </w:rPr>
        <w:t>The depreciation schedule</w:t>
      </w:r>
      <w:r>
        <w:rPr>
          <w:rStyle w:val="AERbody"/>
        </w:rPr>
        <w:t xml:space="preserve"> (straight-line)</w:t>
      </w:r>
      <w:r w:rsidRPr="00861D4F">
        <w:rPr>
          <w:rStyle w:val="AERbody"/>
        </w:rPr>
        <w:t xml:space="preserve"> for establishing the </w:t>
      </w:r>
      <w:r>
        <w:rPr>
          <w:rStyle w:val="AERbody"/>
        </w:rPr>
        <w:t>o</w:t>
      </w:r>
      <w:r w:rsidRPr="00861D4F">
        <w:rPr>
          <w:rStyle w:val="AERbody"/>
        </w:rPr>
        <w:t xml:space="preserve">pening </w:t>
      </w:r>
      <w:r>
        <w:rPr>
          <w:rStyle w:val="AERbody"/>
        </w:rPr>
        <w:t>c</w:t>
      </w:r>
      <w:r w:rsidRPr="00861D4F">
        <w:rPr>
          <w:rStyle w:val="AERbody"/>
        </w:rPr>
        <w:t xml:space="preserve">apital </w:t>
      </w:r>
      <w:r>
        <w:rPr>
          <w:rStyle w:val="AERbody"/>
        </w:rPr>
        <w:t>b</w:t>
      </w:r>
      <w:r w:rsidRPr="00861D4F">
        <w:rPr>
          <w:rStyle w:val="AERbody"/>
        </w:rPr>
        <w:t>ase at 1 July 2022 will be based on forecast capital expenditure</w:t>
      </w:r>
      <w:r>
        <w:rPr>
          <w:rStyle w:val="AERbody"/>
        </w:rPr>
        <w:t xml:space="preserve"> at the asset class level</w:t>
      </w:r>
      <w:r w:rsidRPr="00861D4F">
        <w:rPr>
          <w:rStyle w:val="AERbody"/>
        </w:rPr>
        <w:t>.</w:t>
      </w:r>
    </w:p>
    <w:sectPr w:rsidR="000612C0" w:rsidRPr="009B1372" w:rsidSect="00C35416">
      <w:headerReference w:type="even" r:id="rId15"/>
      <w:footerReference w:type="even" r:id="rId16"/>
      <w:footerReference w:type="default" r:id="rId17"/>
      <w:headerReference w:type="first" r:id="rId18"/>
      <w:pgSz w:w="11906" w:h="16838" w:code="9"/>
      <w:pgMar w:top="1440" w:right="1701"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81" w:rsidRPr="00290C63" w:rsidRDefault="00344381" w:rsidP="00290C63">
      <w:r>
        <w:separator/>
      </w:r>
    </w:p>
    <w:p w:rsidR="00344381" w:rsidRDefault="00344381"/>
  </w:endnote>
  <w:endnote w:type="continuationSeparator" w:id="0">
    <w:p w:rsidR="00344381" w:rsidRPr="00290C63" w:rsidRDefault="00344381" w:rsidP="00290C63">
      <w:r>
        <w:continuationSeparator/>
      </w:r>
    </w:p>
    <w:p w:rsidR="00344381" w:rsidRDefault="00344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3443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44381" w:rsidRDefault="00344381">
    <w:pPr>
      <w:pStyle w:val="Footer"/>
    </w:pPr>
  </w:p>
  <w:p w:rsidR="00344381" w:rsidRDefault="00344381">
    <w:pPr>
      <w:pStyle w:val="Footer"/>
    </w:pPr>
    <w:r>
      <w:fldChar w:fldCharType="begin"/>
    </w:r>
    <w:r>
      <w:instrText xml:space="preserve"> DOCPROPERTY DocumentID \* MERGEFORMAT </w:instrText>
    </w:r>
    <w:r>
      <w:fldChar w:fldCharType="separate"/>
    </w:r>
    <w:r w:rsidR="00996D1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44381" w:rsidRPr="00CA52A2" w:rsidRDefault="00344381" w:rsidP="00CA52A2">
        <w:pPr>
          <w:pStyle w:val="Footer"/>
        </w:pPr>
        <w:r w:rsidRPr="00CA52A2">
          <w:fldChar w:fldCharType="begin"/>
        </w:r>
        <w:r>
          <w:instrText xml:space="preserve"> PAGE   \* MERGEFORMAT </w:instrText>
        </w:r>
        <w:r w:rsidRPr="00CA52A2">
          <w:fldChar w:fldCharType="separate"/>
        </w:r>
        <w:r w:rsidR="00996D16">
          <w:rPr>
            <w:noProof/>
          </w:rPr>
          <w:t>2-23</w:t>
        </w:r>
        <w:r w:rsidRPr="00CA52A2">
          <w:fldChar w:fldCharType="end"/>
        </w:r>
        <w:r w:rsidRPr="00CA52A2">
          <w:t xml:space="preserve">    Attachment </w:t>
        </w:r>
        <w:r>
          <w:t xml:space="preserve">2 </w:t>
        </w:r>
        <w:r w:rsidRPr="00CA52A2">
          <w:t xml:space="preserve">– </w:t>
        </w:r>
        <w:r>
          <w:t xml:space="preserve">Capital base </w:t>
        </w:r>
        <w:r w:rsidRPr="00CA52A2">
          <w:t xml:space="preserve">| </w:t>
        </w:r>
        <w:r>
          <w:t>Draft decision: Roma to Brisbane Gas Pipeline Access Arrangement 2017–22</w:t>
        </w:r>
      </w:p>
    </w:sdtContent>
  </w:sdt>
  <w:p w:rsidR="00344381" w:rsidRDefault="00344381">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81" w:rsidRPr="00290C63" w:rsidRDefault="00344381" w:rsidP="00290C63">
      <w:r>
        <w:separator/>
      </w:r>
    </w:p>
    <w:p w:rsidR="00344381" w:rsidRDefault="00344381"/>
  </w:footnote>
  <w:footnote w:type="continuationSeparator" w:id="0">
    <w:p w:rsidR="00344381" w:rsidRPr="00290C63" w:rsidRDefault="00344381" w:rsidP="00290C63">
      <w:r>
        <w:continuationSeparator/>
      </w:r>
    </w:p>
    <w:p w:rsidR="00344381" w:rsidRDefault="00344381"/>
  </w:footnote>
  <w:footnote w:id="1">
    <w:p w:rsidR="00344381" w:rsidRDefault="00344381">
      <w:pPr>
        <w:pStyle w:val="FootnoteText"/>
      </w:pPr>
      <w:r>
        <w:rPr>
          <w:rStyle w:val="FootnoteReference"/>
        </w:rPr>
        <w:footnoteRef/>
      </w:r>
      <w:r>
        <w:t xml:space="preserve"> </w:t>
      </w:r>
      <w:r>
        <w:tab/>
        <w:t>The term "rolled forward" means the process of carrying over the value of the capital base form one regulatory year to the next.</w:t>
      </w:r>
    </w:p>
  </w:footnote>
  <w:footnote w:id="2">
    <w:p w:rsidR="00344381" w:rsidRDefault="00344381">
      <w:pPr>
        <w:pStyle w:val="FootnoteText"/>
      </w:pPr>
      <w:r>
        <w:rPr>
          <w:rStyle w:val="FootnoteReference"/>
        </w:rPr>
        <w:footnoteRef/>
      </w:r>
      <w:r>
        <w:t xml:space="preserve"> </w:t>
      </w:r>
      <w:r>
        <w:tab/>
        <w:t xml:space="preserve">APTPPL, </w:t>
      </w:r>
      <w:r w:rsidRPr="00EA1207">
        <w:rPr>
          <w:rStyle w:val="AERtextitalic"/>
        </w:rPr>
        <w:t>2017–22 Access arrangement submission</w:t>
      </w:r>
      <w:r>
        <w:t>, September 2016, p. 125.</w:t>
      </w:r>
    </w:p>
  </w:footnote>
  <w:footnote w:id="3">
    <w:p w:rsidR="00344381" w:rsidRDefault="00344381">
      <w:pPr>
        <w:pStyle w:val="FootnoteText"/>
      </w:pPr>
      <w:r>
        <w:rPr>
          <w:rStyle w:val="FootnoteReference"/>
        </w:rPr>
        <w:footnoteRef/>
      </w:r>
      <w:r>
        <w:t xml:space="preserve"> </w:t>
      </w:r>
      <w:r>
        <w:tab/>
        <w:t>APTPPL's proposal used the AER's RFM (superseded version 2) for electricity transmission network service providers.</w:t>
      </w:r>
    </w:p>
  </w:footnote>
  <w:footnote w:id="4">
    <w:p w:rsidR="00344381" w:rsidRDefault="00344381">
      <w:pPr>
        <w:pStyle w:val="FootnoteText"/>
      </w:pPr>
      <w:r>
        <w:rPr>
          <w:rStyle w:val="FootnoteReference"/>
        </w:rPr>
        <w:footnoteRef/>
      </w:r>
      <w:r>
        <w:t xml:space="preserve"> </w:t>
      </w:r>
      <w:r>
        <w:tab/>
        <w:t xml:space="preserve">The consolidated pipelines and lateral asset classes include 'Looping 1 to 6', 'Lateral', 'Pipelines/laterals', 'Lytton lateral' and 'RBP expansion 8'. </w:t>
      </w:r>
    </w:p>
  </w:footnote>
  <w:footnote w:id="5">
    <w:p w:rsidR="00344381" w:rsidRDefault="00344381">
      <w:pPr>
        <w:pStyle w:val="FootnoteText"/>
      </w:pPr>
      <w:r>
        <w:rPr>
          <w:rStyle w:val="FootnoteReference"/>
        </w:rPr>
        <w:footnoteRef/>
      </w:r>
      <w:r>
        <w:t xml:space="preserve"> </w:t>
      </w:r>
      <w:r>
        <w:tab/>
        <w:t>The consolidated compressors asset classes include 'Condamine', 'Dalby (unit 1)', 'Gatton', 'Kogan', 'Oakey', and 'Yuleba'.</w:t>
      </w:r>
    </w:p>
  </w:footnote>
  <w:footnote w:id="6">
    <w:p w:rsidR="00344381" w:rsidRDefault="00344381">
      <w:pPr>
        <w:pStyle w:val="FootnoteText"/>
      </w:pPr>
      <w:r>
        <w:rPr>
          <w:rStyle w:val="FootnoteReference"/>
        </w:rPr>
        <w:footnoteRef/>
      </w:r>
      <w:r>
        <w:t xml:space="preserve"> </w:t>
      </w:r>
      <w:r>
        <w:tab/>
        <w:t>The pipelines asset classes refer to the 'Original pipeline' (DN250) asset class and proposed amalgamated 'Pipelines' asset class.</w:t>
      </w:r>
    </w:p>
  </w:footnote>
  <w:footnote w:id="7">
    <w:p w:rsidR="00344381" w:rsidRDefault="00344381">
      <w:pPr>
        <w:pStyle w:val="FootnoteText"/>
      </w:pPr>
      <w:r>
        <w:rPr>
          <w:rStyle w:val="FootnoteReference"/>
        </w:rPr>
        <w:footnoteRef/>
      </w:r>
      <w:r>
        <w:t xml:space="preserve"> </w:t>
      </w:r>
      <w:r>
        <w:tab/>
      </w:r>
      <w:r w:rsidRPr="00EA1207">
        <w:t xml:space="preserve">APTPPL, </w:t>
      </w:r>
      <w:r w:rsidRPr="00EA1207">
        <w:rPr>
          <w:rStyle w:val="AERtextitalic"/>
        </w:rPr>
        <w:t>2017–22 Access arrangement submission</w:t>
      </w:r>
      <w:r w:rsidRPr="00EA1207">
        <w:t>, September 2016, p</w:t>
      </w:r>
      <w:r>
        <w:t>p</w:t>
      </w:r>
      <w:r w:rsidRPr="00EA1207">
        <w:t xml:space="preserve">. </w:t>
      </w:r>
      <w:r>
        <w:t>118–</w:t>
      </w:r>
      <w:r w:rsidRPr="00EA1207">
        <w:t>125.</w:t>
      </w:r>
    </w:p>
  </w:footnote>
  <w:footnote w:id="8">
    <w:p w:rsidR="00344381" w:rsidRDefault="00344381">
      <w:pPr>
        <w:pStyle w:val="FootnoteText"/>
      </w:pPr>
      <w:r>
        <w:rPr>
          <w:rStyle w:val="FootnoteReference"/>
        </w:rPr>
        <w:footnoteRef/>
      </w:r>
      <w:r>
        <w:t xml:space="preserve"> </w:t>
      </w:r>
      <w:r>
        <w:tab/>
      </w:r>
      <w:r w:rsidRPr="00EA1207">
        <w:t xml:space="preserve">APTPPL, </w:t>
      </w:r>
      <w:r w:rsidRPr="008450C7">
        <w:rPr>
          <w:rStyle w:val="AERtextitalic"/>
        </w:rPr>
        <w:t>2017–22 Access arrangement submission</w:t>
      </w:r>
      <w:r w:rsidRPr="00EA1207">
        <w:t>, September 2016, p. 1</w:t>
      </w:r>
      <w:r>
        <w:t>92</w:t>
      </w:r>
      <w:r w:rsidRPr="00EA1207">
        <w:t>.</w:t>
      </w:r>
    </w:p>
  </w:footnote>
  <w:footnote w:id="9">
    <w:p w:rsidR="00344381" w:rsidRDefault="00344381">
      <w:pPr>
        <w:pStyle w:val="FootnoteText"/>
      </w:pPr>
      <w:r>
        <w:rPr>
          <w:rStyle w:val="FootnoteReference"/>
        </w:rPr>
        <w:footnoteRef/>
      </w:r>
      <w:r>
        <w:tab/>
        <w:t xml:space="preserve">AER, </w:t>
      </w:r>
      <w:r w:rsidRPr="00CB33C2">
        <w:rPr>
          <w:rStyle w:val="AERtextitalic"/>
        </w:rPr>
        <w:t>Access arrangement final decision APA GasNet Australia (Operations) Pty Ltd 2013–17 Part 2: Attachments</w:t>
      </w:r>
      <w:r w:rsidRPr="004510BB">
        <w:t>, March 2013</w:t>
      </w:r>
      <w:r>
        <w:t xml:space="preserve">; AER, </w:t>
      </w:r>
      <w:r w:rsidRPr="00CB33C2">
        <w:rPr>
          <w:rStyle w:val="AERtextitalic"/>
        </w:rPr>
        <w:t>Final decision Amadeus Gas Pipeline Access Arrangement - Attachment 2 - Capital Base</w:t>
      </w:r>
      <w:r>
        <w:t>, May 2016.</w:t>
      </w:r>
    </w:p>
  </w:footnote>
  <w:footnote w:id="10">
    <w:p w:rsidR="00344381" w:rsidRDefault="00344381">
      <w:pPr>
        <w:pStyle w:val="FootnoteText"/>
      </w:pPr>
      <w:r>
        <w:rPr>
          <w:rStyle w:val="FootnoteReference"/>
        </w:rPr>
        <w:footnoteRef/>
      </w:r>
      <w:r>
        <w:t xml:space="preserve"> </w:t>
      </w:r>
      <w:r>
        <w:tab/>
        <w:t xml:space="preserve">The AER released its decision on the Roma to Brisbane Pipeline on 27 August 2012. The AER's decision approved the access arrangement for the period from 1 September 2012 to 30 June 2017. </w:t>
      </w:r>
    </w:p>
  </w:footnote>
  <w:footnote w:id="11">
    <w:p w:rsidR="00344381" w:rsidRDefault="00344381" w:rsidP="002A1019">
      <w:pPr>
        <w:pStyle w:val="FootnoteText"/>
      </w:pPr>
      <w:r>
        <w:rPr>
          <w:rStyle w:val="FootnoteReference"/>
        </w:rPr>
        <w:footnoteRef/>
      </w:r>
      <w:r>
        <w:t xml:space="preserve"> </w:t>
      </w:r>
      <w:r>
        <w:tab/>
      </w:r>
      <w:r w:rsidRPr="00A07A81">
        <w:t>NGR, r. 77(2)(a).</w:t>
      </w:r>
    </w:p>
  </w:footnote>
  <w:footnote w:id="12">
    <w:p w:rsidR="00344381" w:rsidRDefault="00344381">
      <w:pPr>
        <w:pStyle w:val="FootnoteText"/>
      </w:pPr>
      <w:r>
        <w:rPr>
          <w:rStyle w:val="FootnoteReference"/>
        </w:rPr>
        <w:footnoteRef/>
      </w:r>
      <w:r>
        <w:t xml:space="preserve"> </w:t>
      </w:r>
      <w:r>
        <w:tab/>
      </w:r>
      <w:r w:rsidRPr="00EC4DB8">
        <w:t>NGR, r. 77(2).</w:t>
      </w:r>
    </w:p>
  </w:footnote>
  <w:footnote w:id="13">
    <w:p w:rsidR="00344381" w:rsidRDefault="00344381">
      <w:pPr>
        <w:pStyle w:val="FootnoteText"/>
      </w:pPr>
      <w:r>
        <w:rPr>
          <w:rStyle w:val="FootnoteReference"/>
        </w:rPr>
        <w:footnoteRef/>
      </w:r>
      <w:r>
        <w:t xml:space="preserve"> </w:t>
      </w:r>
      <w:r>
        <w:tab/>
      </w:r>
      <w:r w:rsidRPr="00EC4DB8">
        <w:t>NGR, r. 7</w:t>
      </w:r>
      <w:r>
        <w:t>9</w:t>
      </w:r>
      <w:r w:rsidRPr="00EC4DB8">
        <w:t>.</w:t>
      </w:r>
    </w:p>
  </w:footnote>
  <w:footnote w:id="14">
    <w:p w:rsidR="00344381" w:rsidRDefault="00344381">
      <w:pPr>
        <w:pStyle w:val="FootnoteText"/>
      </w:pPr>
      <w:r>
        <w:rPr>
          <w:rStyle w:val="FootnoteReference"/>
        </w:rPr>
        <w:footnoteRef/>
      </w:r>
      <w:r>
        <w:t xml:space="preserve"> </w:t>
      </w:r>
      <w:r>
        <w:tab/>
      </w:r>
      <w:r w:rsidRPr="00EC4DB8">
        <w:t>NGR, r. 78.</w:t>
      </w:r>
    </w:p>
  </w:footnote>
  <w:footnote w:id="15">
    <w:p w:rsidR="00344381" w:rsidRDefault="00344381">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16">
    <w:p w:rsidR="00344381" w:rsidRDefault="00344381">
      <w:pPr>
        <w:pStyle w:val="FootnoteText"/>
      </w:pPr>
      <w:r>
        <w:rPr>
          <w:rStyle w:val="FootnoteReference"/>
        </w:rPr>
        <w:footnoteRef/>
      </w:r>
      <w:r>
        <w:t xml:space="preserve"> </w:t>
      </w:r>
      <w:r>
        <w:tab/>
        <w:t xml:space="preserve">Net capex is gross capex less disposals and capital contribution. </w:t>
      </w:r>
      <w:r w:rsidRPr="002374FD">
        <w:t>The rate of return or WACC also influences the size of the capex</w:t>
      </w:r>
      <w:r>
        <w:t>, which is assumed to be incurred in the middle of the year</w:t>
      </w:r>
      <w:r w:rsidRPr="002374FD">
        <w:t xml:space="preserve">. This is because capex is not depreciated in the year it is first incurred, but added to the </w:t>
      </w:r>
      <w:r>
        <w:t>capital base</w:t>
      </w:r>
      <w:r w:rsidRPr="002374FD">
        <w:t xml:space="preserve"> at the end of the year. </w:t>
      </w:r>
      <w:r>
        <w:t>As a result</w:t>
      </w:r>
      <w:r w:rsidRPr="002374FD">
        <w:t>, the capex amount is escalated by half a WACC to arrive at an end of year value. It then begins depreciating the following year.</w:t>
      </w:r>
    </w:p>
  </w:footnote>
  <w:footnote w:id="17">
    <w:p w:rsidR="00344381" w:rsidRDefault="00344381" w:rsidP="00165300">
      <w:pPr>
        <w:pStyle w:val="FootnoteText"/>
      </w:pPr>
      <w:r>
        <w:rPr>
          <w:rStyle w:val="FootnoteReference"/>
        </w:rPr>
        <w:footnoteRef/>
      </w:r>
      <w:r>
        <w:t xml:space="preserve"> </w:t>
      </w:r>
      <w:r>
        <w:tab/>
        <w:t>NGR, r. 87.</w:t>
      </w:r>
    </w:p>
  </w:footnote>
  <w:footnote w:id="18">
    <w:p w:rsidR="00344381" w:rsidRDefault="00344381" w:rsidP="00165300">
      <w:pPr>
        <w:pStyle w:val="FootnoteText"/>
      </w:pPr>
      <w:r>
        <w:rPr>
          <w:rStyle w:val="FootnoteReference"/>
        </w:rPr>
        <w:footnoteRef/>
      </w:r>
      <w:r>
        <w:t xml:space="preserve"> </w:t>
      </w:r>
      <w:r>
        <w:tab/>
      </w:r>
      <w:r w:rsidRPr="00B06CAD">
        <w:t xml:space="preserve">If the asset lives are extremely long, such that the </w:t>
      </w:r>
      <w:r>
        <w:t xml:space="preserve">capital base </w:t>
      </w:r>
      <w:r w:rsidRPr="00B06CAD">
        <w:t>depreciation rate is lower than the inflation rate, then</w:t>
      </w:r>
      <w:r>
        <w:t xml:space="preserve"> </w:t>
      </w:r>
      <w:r w:rsidRPr="00B06CAD">
        <w:t xml:space="preserve">negative regulatory depreciation can emerge. The indexation adjustment is greater than the </w:t>
      </w:r>
      <w:r>
        <w:t>capital base</w:t>
      </w:r>
      <w:r w:rsidRPr="00B06CAD">
        <w:t xml:space="preserve"> depreciation in</w:t>
      </w:r>
      <w:r>
        <w:t xml:space="preserve"> </w:t>
      </w:r>
      <w:r w:rsidRPr="00B06CAD">
        <w:t>such circumstances</w:t>
      </w:r>
      <w:r>
        <w:t xml:space="preserve">. Please also refer to section 5.3.1 of attachment 5 of this draft decision for further explanation of the offsetting adjustment to the depreciation.  </w:t>
      </w:r>
    </w:p>
  </w:footnote>
  <w:footnote w:id="19">
    <w:p w:rsidR="00344381" w:rsidRDefault="00344381">
      <w:pPr>
        <w:pStyle w:val="FootnoteText"/>
      </w:pPr>
      <w:r>
        <w:rPr>
          <w:rStyle w:val="FootnoteReference"/>
        </w:rPr>
        <w:footnoteRef/>
      </w:r>
      <w:r>
        <w:t xml:space="preserve"> </w:t>
      </w:r>
      <w:r>
        <w:tab/>
      </w:r>
      <w:r w:rsidRPr="005401F8">
        <w:t xml:space="preserve">If capex causes the capital base increase, then return on capital, depreciation, and debt raising costs </w:t>
      </w:r>
      <w:r>
        <w:t xml:space="preserve">will </w:t>
      </w:r>
      <w:r w:rsidRPr="005401F8">
        <w:t>all increase. If a reduction in depreciation causes the capital base increase, revenue could increase or decrease. In this case, the higher return on capital is offset (perhaps more than offset) by the reduction in depreciation allowance. Inflation naturally increases the capital base in nominal terms. However, the real impact from changing the inflation forecast is inconsequential as revenues are updated annually by actual inflation and the X factor, which is generally unaffected by the assumed forecast inflation rate.</w:t>
      </w:r>
    </w:p>
  </w:footnote>
  <w:footnote w:id="20">
    <w:p w:rsidR="00344381" w:rsidRDefault="00344381">
      <w:pPr>
        <w:pStyle w:val="FootnoteText"/>
      </w:pPr>
      <w:r>
        <w:rPr>
          <w:rStyle w:val="FootnoteReference"/>
        </w:rPr>
        <w:footnoteRef/>
      </w:r>
      <w:r>
        <w:t xml:space="preserve"> </w:t>
      </w:r>
      <w:r>
        <w:tab/>
        <w:t xml:space="preserve">For our decision on APTPPL's proposed asset class consolidation refer to </w:t>
      </w:r>
      <w:r>
        <w:fldChar w:fldCharType="begin"/>
      </w:r>
      <w:r>
        <w:instrText xml:space="preserve"> REF _Ref471917852 \h </w:instrText>
      </w:r>
      <w:r>
        <w:fldChar w:fldCharType="separate"/>
      </w:r>
      <w:r w:rsidR="00996D16">
        <w:t xml:space="preserve">Table </w:t>
      </w:r>
      <w:r w:rsidR="00996D16">
        <w:rPr>
          <w:noProof/>
        </w:rPr>
        <w:t>2</w:t>
      </w:r>
      <w:r w:rsidR="00996D16">
        <w:t>.</w:t>
      </w:r>
      <w:r w:rsidR="00996D16">
        <w:rPr>
          <w:noProof/>
        </w:rPr>
        <w:t>6</w:t>
      </w:r>
      <w:r>
        <w:fldChar w:fldCharType="end"/>
      </w:r>
      <w:r>
        <w:t xml:space="preserve"> below. </w:t>
      </w:r>
    </w:p>
  </w:footnote>
  <w:footnote w:id="21">
    <w:p w:rsidR="00344381" w:rsidRDefault="00344381">
      <w:pPr>
        <w:pStyle w:val="FootnoteText"/>
      </w:pPr>
      <w:r>
        <w:rPr>
          <w:rStyle w:val="FootnoteReference"/>
        </w:rPr>
        <w:footnoteRef/>
      </w:r>
      <w:r>
        <w:t xml:space="preserve"> </w:t>
      </w:r>
      <w:r>
        <w:tab/>
        <w:t>NGR, r. 74.</w:t>
      </w:r>
    </w:p>
  </w:footnote>
  <w:footnote w:id="22">
    <w:p w:rsidR="00344381" w:rsidRDefault="00344381" w:rsidP="00E642EA">
      <w:pPr>
        <w:pStyle w:val="FootnoteText"/>
      </w:pPr>
      <w:r>
        <w:rPr>
          <w:rStyle w:val="FootnoteReference"/>
        </w:rPr>
        <w:footnoteRef/>
      </w:r>
      <w:r>
        <w:t xml:space="preserve"> </w:t>
      </w:r>
      <w:r>
        <w:tab/>
        <w:t xml:space="preserve">AER, </w:t>
      </w:r>
      <w:r w:rsidRPr="00886015">
        <w:rPr>
          <w:rStyle w:val="AERtextitalic"/>
        </w:rPr>
        <w:t>2012-17 Roma to Brisbane Draft Decision</w:t>
      </w:r>
      <w:r>
        <w:t>, April 2012, pp.109–10.</w:t>
      </w:r>
    </w:p>
  </w:footnote>
  <w:footnote w:id="23">
    <w:p w:rsidR="00344381" w:rsidRDefault="00344381">
      <w:pPr>
        <w:pStyle w:val="FootnoteText"/>
      </w:pPr>
      <w:r>
        <w:rPr>
          <w:rStyle w:val="FootnoteReference"/>
        </w:rPr>
        <w:footnoteRef/>
      </w:r>
      <w:r>
        <w:t xml:space="preserve"> </w:t>
      </w:r>
      <w:r>
        <w:tab/>
        <w:t xml:space="preserve">APTPPL, </w:t>
      </w:r>
      <w:r w:rsidRPr="001D620F">
        <w:rPr>
          <w:rStyle w:val="AERtextitalic"/>
        </w:rPr>
        <w:t>Attachment 4.6 AA Business Case RBP8 - Confidential</w:t>
      </w:r>
      <w:r>
        <w:t>, June 2011.</w:t>
      </w:r>
    </w:p>
  </w:footnote>
  <w:footnote w:id="24">
    <w:p w:rsidR="00344381" w:rsidRDefault="00344381" w:rsidP="00F31198">
      <w:pPr>
        <w:pStyle w:val="FootnoteText"/>
      </w:pPr>
      <w:r>
        <w:rPr>
          <w:rStyle w:val="FootnoteReference"/>
        </w:rPr>
        <w:footnoteRef/>
      </w:r>
      <w:r>
        <w:t xml:space="preserve"> </w:t>
      </w:r>
      <w:r>
        <w:tab/>
        <w:t xml:space="preserve">AER, </w:t>
      </w:r>
      <w:r w:rsidRPr="00886015">
        <w:rPr>
          <w:rStyle w:val="AERtextitalic"/>
        </w:rPr>
        <w:t>2012-17 Roma to Brisbane Draft Decision</w:t>
      </w:r>
      <w:r>
        <w:t>, April 2012, pp.109–10.</w:t>
      </w:r>
    </w:p>
  </w:footnote>
  <w:footnote w:id="25">
    <w:p w:rsidR="00344381" w:rsidRDefault="00344381" w:rsidP="00886015">
      <w:pPr>
        <w:pStyle w:val="FootnoteText"/>
      </w:pPr>
      <w:r>
        <w:rPr>
          <w:rStyle w:val="FootnoteReference"/>
        </w:rPr>
        <w:footnoteRef/>
      </w:r>
      <w:r>
        <w:t xml:space="preserve"> </w:t>
      </w:r>
      <w:r>
        <w:tab/>
        <w:t>APTPPL,</w:t>
      </w:r>
      <w:r w:rsidRPr="00886015">
        <w:rPr>
          <w:rStyle w:val="AERtextitalic"/>
        </w:rPr>
        <w:t xml:space="preserve"> Email response to information request IR#016</w:t>
      </w:r>
      <w:r>
        <w:t>, received on 18 October 2016; APTPPL,</w:t>
      </w:r>
      <w:r w:rsidRPr="00014750">
        <w:rPr>
          <w:rStyle w:val="AERtextitalic"/>
        </w:rPr>
        <w:t xml:space="preserve"> Email response to information request IR#01</w:t>
      </w:r>
      <w:r>
        <w:rPr>
          <w:rStyle w:val="AERtextitalic"/>
        </w:rPr>
        <w:t>9</w:t>
      </w:r>
      <w:r>
        <w:t>, received on 30 November 2016.</w:t>
      </w:r>
    </w:p>
  </w:footnote>
  <w:footnote w:id="26">
    <w:p w:rsidR="00344381" w:rsidRDefault="00344381">
      <w:pPr>
        <w:pStyle w:val="FootnoteText"/>
      </w:pPr>
      <w:r>
        <w:rPr>
          <w:rStyle w:val="FootnoteReference"/>
        </w:rPr>
        <w:footnoteRef/>
      </w:r>
      <w:r>
        <w:t xml:space="preserve">   </w:t>
      </w:r>
      <w:r>
        <w:tab/>
        <w:t>APTPPL,</w:t>
      </w:r>
      <w:r w:rsidRPr="00886015">
        <w:rPr>
          <w:rStyle w:val="AERtextitalic"/>
        </w:rPr>
        <w:t xml:space="preserve"> Email response to information request IR#016</w:t>
      </w:r>
      <w:r>
        <w:t>, received on 18 October 2016; APTPPL,</w:t>
      </w:r>
      <w:r w:rsidRPr="00014750">
        <w:rPr>
          <w:rStyle w:val="AERtextitalic"/>
        </w:rPr>
        <w:t xml:space="preserve"> Email response to information request IR#01</w:t>
      </w:r>
      <w:r>
        <w:rPr>
          <w:rStyle w:val="AERtextitalic"/>
        </w:rPr>
        <w:t>9</w:t>
      </w:r>
      <w:r>
        <w:t xml:space="preserve">, received on 30 November 2016. </w:t>
      </w:r>
    </w:p>
  </w:footnote>
  <w:footnote w:id="27">
    <w:p w:rsidR="00344381" w:rsidRDefault="00344381">
      <w:pPr>
        <w:pStyle w:val="FootnoteText"/>
      </w:pPr>
      <w:r>
        <w:rPr>
          <w:rStyle w:val="FootnoteReference"/>
        </w:rPr>
        <w:footnoteRef/>
      </w:r>
      <w:r>
        <w:t xml:space="preserve"> </w:t>
      </w:r>
      <w:r>
        <w:tab/>
        <w:t xml:space="preserve">The AER draft decision values in table 2.5 are presented to provide a relative comparison to APTPPL's proposal and do not include other adjustments to the regulatory year 2011–12 estimated capital expenditure, as discussed below in section 2.4.2. </w:t>
      </w:r>
    </w:p>
  </w:footnote>
  <w:footnote w:id="28">
    <w:p w:rsidR="00344381" w:rsidRDefault="00344381">
      <w:pPr>
        <w:pStyle w:val="FootnoteText"/>
      </w:pPr>
      <w:r>
        <w:rPr>
          <w:rStyle w:val="FootnoteReference"/>
        </w:rPr>
        <w:footnoteRef/>
      </w:r>
      <w:r>
        <w:t xml:space="preserve"> </w:t>
      </w:r>
      <w:r>
        <w:tab/>
        <w:t>For allocating the as-commissioned RBP8 capex across the 'Pipelines', 'Compressors' and 'Regulators and meters' asset classes, we applied the proportions arising from the allocation of the as-incurred RBP8 capex.</w:t>
      </w:r>
    </w:p>
  </w:footnote>
  <w:footnote w:id="29">
    <w:p w:rsidR="00344381" w:rsidRDefault="00344381">
      <w:pPr>
        <w:pStyle w:val="FootnoteText"/>
      </w:pPr>
      <w:r>
        <w:rPr>
          <w:rStyle w:val="FootnoteReference"/>
        </w:rPr>
        <w:footnoteRef/>
      </w:r>
      <w:r>
        <w:t xml:space="preserve"> </w:t>
      </w:r>
      <w:r>
        <w:tab/>
      </w:r>
      <w:r w:rsidRPr="00756D07">
        <w:t>The RFM inputs require the opening capital base at the commencement of the final year of the previous access arrangement period on an as-incurred and as-commissioned basis. The $368.8 million (nominal) value is the as-incurred value of the opening capital base. We also applied the as-commissioned opening capital base value of $362.7 million (nominal) in the draft decision RFM.</w:t>
      </w:r>
    </w:p>
  </w:footnote>
  <w:footnote w:id="30">
    <w:p w:rsidR="00344381" w:rsidRDefault="00344381">
      <w:pPr>
        <w:pStyle w:val="FootnoteText"/>
      </w:pPr>
      <w:r>
        <w:rPr>
          <w:rStyle w:val="FootnoteReference"/>
        </w:rPr>
        <w:footnoteRef/>
      </w:r>
      <w:r>
        <w:t xml:space="preserve"> </w:t>
      </w:r>
      <w:r>
        <w:tab/>
        <w:t xml:space="preserve">AER, </w:t>
      </w:r>
      <w:r w:rsidRPr="007A75D8">
        <w:rPr>
          <w:rStyle w:val="AERtextitalic"/>
        </w:rPr>
        <w:t>Final decision - RBP Roll forward model</w:t>
      </w:r>
      <w:r>
        <w:t>, August 2012.</w:t>
      </w:r>
    </w:p>
  </w:footnote>
  <w:footnote w:id="31">
    <w:p w:rsidR="00344381" w:rsidRDefault="00344381">
      <w:pPr>
        <w:pStyle w:val="FootnoteText"/>
      </w:pPr>
      <w:r>
        <w:rPr>
          <w:rStyle w:val="FootnoteReference"/>
        </w:rPr>
        <w:footnoteRef/>
      </w:r>
      <w:r>
        <w:t xml:space="preserve"> </w:t>
      </w:r>
      <w:r>
        <w:tab/>
        <w:t xml:space="preserve">AER, </w:t>
      </w:r>
      <w:r w:rsidRPr="007A75D8">
        <w:rPr>
          <w:rStyle w:val="AERtextitalic"/>
        </w:rPr>
        <w:t>Appendix A - Transmission roll forward model - Version 3</w:t>
      </w:r>
      <w:r>
        <w:t>, October 2015.</w:t>
      </w:r>
    </w:p>
  </w:footnote>
  <w:footnote w:id="32">
    <w:p w:rsidR="00344381" w:rsidRDefault="00344381">
      <w:pPr>
        <w:pStyle w:val="FootnoteText"/>
      </w:pPr>
      <w:r>
        <w:rPr>
          <w:rStyle w:val="FootnoteReference"/>
        </w:rPr>
        <w:footnoteRef/>
      </w:r>
      <w:r>
        <w:t xml:space="preserve"> </w:t>
      </w:r>
      <w:r>
        <w:tab/>
        <w:t>The AER initiated proposed amendments to the roll forward model (transmission) in July 2015. We received one submission from AusNet Services. We published our final decision on version 3 of the roll forward model and amendments in October 2015.</w:t>
      </w:r>
    </w:p>
  </w:footnote>
  <w:footnote w:id="33">
    <w:p w:rsidR="00344381" w:rsidRDefault="00344381">
      <w:pPr>
        <w:pStyle w:val="FootnoteText"/>
      </w:pPr>
      <w:r>
        <w:rPr>
          <w:rStyle w:val="FootnoteReference"/>
        </w:rPr>
        <w:footnoteRef/>
      </w:r>
      <w:r>
        <w:t xml:space="preserve"> </w:t>
      </w:r>
      <w:r>
        <w:tab/>
        <w:t>APTPPL's proposed RFM is based on an earlier version 2 for transmission network service providers.</w:t>
      </w:r>
    </w:p>
  </w:footnote>
  <w:footnote w:id="34">
    <w:p w:rsidR="00344381" w:rsidRDefault="00344381" w:rsidP="00BF0375">
      <w:pPr>
        <w:pStyle w:val="FootnoteText"/>
      </w:pPr>
      <w:r>
        <w:rPr>
          <w:rStyle w:val="FootnoteReference"/>
        </w:rPr>
        <w:footnoteRef/>
      </w:r>
      <w:r>
        <w:t xml:space="preserve"> </w:t>
      </w:r>
      <w:r>
        <w:tab/>
        <w:t>NGR, r. 77(2)(b).</w:t>
      </w:r>
    </w:p>
  </w:footnote>
  <w:footnote w:id="35">
    <w:p w:rsidR="00344381" w:rsidRDefault="00344381" w:rsidP="00BF0375">
      <w:pPr>
        <w:pStyle w:val="FootnoteText"/>
      </w:pPr>
      <w:r>
        <w:rPr>
          <w:rStyle w:val="FootnoteReference"/>
        </w:rPr>
        <w:footnoteRef/>
      </w:r>
      <w:r>
        <w:t xml:space="preserve"> </w:t>
      </w:r>
      <w:r>
        <w:tab/>
        <w:t>APTPPL,</w:t>
      </w:r>
      <w:r w:rsidRPr="0096060D">
        <w:rPr>
          <w:rStyle w:val="AERtextitalic"/>
        </w:rPr>
        <w:t xml:space="preserve"> Roma to Brisbane Pipeline Access Arrangement</w:t>
      </w:r>
      <w:r>
        <w:t>, August 2012, p.11.</w:t>
      </w:r>
    </w:p>
  </w:footnote>
  <w:footnote w:id="36">
    <w:p w:rsidR="00344381" w:rsidRDefault="00344381">
      <w:pPr>
        <w:pStyle w:val="FootnoteText"/>
      </w:pPr>
      <w:r>
        <w:rPr>
          <w:rStyle w:val="FootnoteReference"/>
        </w:rPr>
        <w:footnoteRef/>
      </w:r>
      <w:r>
        <w:t xml:space="preserve"> </w:t>
      </w:r>
      <w:r>
        <w:tab/>
        <w:t>NGR, r. 90(1).</w:t>
      </w:r>
    </w:p>
  </w:footnote>
  <w:footnote w:id="37">
    <w:p w:rsidR="00344381" w:rsidRDefault="00344381">
      <w:pPr>
        <w:pStyle w:val="FootnoteText"/>
      </w:pPr>
      <w:r>
        <w:rPr>
          <w:rStyle w:val="FootnoteReference"/>
        </w:rPr>
        <w:footnoteRef/>
      </w:r>
      <w:r>
        <w:t xml:space="preserve"> </w:t>
      </w:r>
      <w:r>
        <w:tab/>
        <w:t>NGR, r. 89(1)(b).</w:t>
      </w:r>
    </w:p>
  </w:footnote>
  <w:footnote w:id="38">
    <w:p w:rsidR="00344381" w:rsidRDefault="00344381">
      <w:pPr>
        <w:pStyle w:val="FootnoteText"/>
      </w:pPr>
      <w:r>
        <w:rPr>
          <w:rStyle w:val="FootnoteReference"/>
        </w:rPr>
        <w:footnoteRef/>
      </w:r>
      <w:r>
        <w:t xml:space="preserve"> </w:t>
      </w:r>
      <w:r>
        <w:tab/>
        <w:t>The March quarter CPI is used as a proxy for the June financial year in APTPPL's reference tariff variation mechanism.</w:t>
      </w:r>
    </w:p>
  </w:footnote>
  <w:footnote w:id="39">
    <w:p w:rsidR="00344381" w:rsidRDefault="00344381" w:rsidP="00AF2566">
      <w:pPr>
        <w:pStyle w:val="FootnoteText"/>
      </w:pPr>
      <w:r>
        <w:rPr>
          <w:rStyle w:val="FootnoteReference"/>
        </w:rPr>
        <w:footnoteRef/>
      </w:r>
      <w:r>
        <w:t xml:space="preserve"> </w:t>
      </w:r>
      <w:r>
        <w:tab/>
        <w:t>NGR, r. 77(2)(a).</w:t>
      </w:r>
    </w:p>
  </w:footnote>
  <w:footnote w:id="40">
    <w:p w:rsidR="00344381" w:rsidRDefault="00344381">
      <w:pPr>
        <w:pStyle w:val="FootnoteText"/>
      </w:pPr>
      <w:r>
        <w:rPr>
          <w:rStyle w:val="FootnoteReference"/>
        </w:rPr>
        <w:footnoteRef/>
      </w:r>
      <w:r>
        <w:t xml:space="preserve"> </w:t>
      </w:r>
      <w:r>
        <w:tab/>
      </w:r>
      <w:r w:rsidRPr="00A3086D">
        <w:t xml:space="preserve">APTPPL, </w:t>
      </w:r>
      <w:r w:rsidRPr="00A3086D">
        <w:rPr>
          <w:rStyle w:val="AERtextitalic"/>
        </w:rPr>
        <w:t>2017–22 Access arrangement submission</w:t>
      </w:r>
      <w:r w:rsidRPr="00A3086D">
        <w:t>, September 2016, p. 78.</w:t>
      </w:r>
    </w:p>
  </w:footnote>
  <w:footnote w:id="41">
    <w:p w:rsidR="00344381" w:rsidRDefault="00344381" w:rsidP="00F932FA">
      <w:pPr>
        <w:pStyle w:val="FootnoteText"/>
      </w:pPr>
      <w:r>
        <w:rPr>
          <w:rStyle w:val="FootnoteReference"/>
        </w:rPr>
        <w:footnoteRef/>
      </w:r>
      <w:r>
        <w:t xml:space="preserve"> </w:t>
      </w:r>
      <w:r>
        <w:tab/>
        <w:t>APTPPL,</w:t>
      </w:r>
      <w:r w:rsidRPr="00886015">
        <w:rPr>
          <w:rStyle w:val="AERtextitalic"/>
        </w:rPr>
        <w:t xml:space="preserve"> Email response to information request IR#016</w:t>
      </w:r>
      <w:r>
        <w:t>, received on 18 October 2016; APTPPL,</w:t>
      </w:r>
      <w:r w:rsidRPr="00014750">
        <w:rPr>
          <w:rStyle w:val="AERtextitalic"/>
        </w:rPr>
        <w:t xml:space="preserve"> Email response to information request IR#01</w:t>
      </w:r>
      <w:r>
        <w:rPr>
          <w:rStyle w:val="AERtextitalic"/>
        </w:rPr>
        <w:t>9</w:t>
      </w:r>
      <w:r>
        <w:t>, received on 30 November 2016.</w:t>
      </w:r>
    </w:p>
  </w:footnote>
  <w:footnote w:id="42">
    <w:p w:rsidR="00344381" w:rsidRDefault="00344381" w:rsidP="00571F99">
      <w:pPr>
        <w:pStyle w:val="FootnoteText"/>
      </w:pPr>
      <w:r>
        <w:rPr>
          <w:rStyle w:val="FootnoteReference"/>
        </w:rPr>
        <w:footnoteRef/>
      </w:r>
      <w:r>
        <w:t xml:space="preserve"> </w:t>
      </w:r>
      <w:r>
        <w:tab/>
        <w:t xml:space="preserve">Rule 77(2)(a) of the NGR states, the opening capital base for the later access arrangement is to be the opening capital base as at the commencement of the earlier access arrangement period adjusted for any difference between estimated and actual capital expenditure included in that opening capital base. This adjustment must also remove any benefit or penalty associated with any difference between the estimated and actual capital expenditure. </w:t>
      </w:r>
    </w:p>
  </w:footnote>
  <w:footnote w:id="43">
    <w:p w:rsidR="00344381" w:rsidRDefault="00344381" w:rsidP="005B0EEB">
      <w:pPr>
        <w:pStyle w:val="FootnoteText"/>
      </w:pPr>
      <w:r>
        <w:rPr>
          <w:rStyle w:val="FootnoteReference"/>
        </w:rPr>
        <w:footnoteRef/>
      </w:r>
      <w:r>
        <w:t xml:space="preserve"> </w:t>
      </w:r>
      <w:r>
        <w:tab/>
        <w:t>APTPPL,</w:t>
      </w:r>
      <w:r w:rsidRPr="00014750">
        <w:rPr>
          <w:rStyle w:val="AERtextitalic"/>
        </w:rPr>
        <w:t xml:space="preserve"> Email response to information request IR#016</w:t>
      </w:r>
      <w:r>
        <w:t>, received on 18 October 2016; APTPPL,</w:t>
      </w:r>
      <w:r w:rsidRPr="00014750">
        <w:rPr>
          <w:rStyle w:val="AERtextitalic"/>
        </w:rPr>
        <w:t xml:space="preserve"> Email response to information request IR#01</w:t>
      </w:r>
      <w:r>
        <w:rPr>
          <w:rStyle w:val="AERtextitalic"/>
        </w:rPr>
        <w:t>9</w:t>
      </w:r>
      <w:r>
        <w:t>, received on 30 November 2016.</w:t>
      </w:r>
    </w:p>
  </w:footnote>
  <w:footnote w:id="44">
    <w:p w:rsidR="00344381" w:rsidRDefault="00344381">
      <w:pPr>
        <w:pStyle w:val="FootnoteText"/>
      </w:pPr>
      <w:r>
        <w:rPr>
          <w:rStyle w:val="FootnoteReference"/>
        </w:rPr>
        <w:footnoteRef/>
      </w:r>
      <w:r>
        <w:t xml:space="preserve"> </w:t>
      </w:r>
      <w:r>
        <w:tab/>
        <w:t>NGR, r. 77(2)(b).</w:t>
      </w:r>
    </w:p>
  </w:footnote>
  <w:footnote w:id="45">
    <w:p w:rsidR="00344381" w:rsidRDefault="00344381">
      <w:pPr>
        <w:pStyle w:val="FootnoteText"/>
      </w:pPr>
      <w:r>
        <w:rPr>
          <w:rStyle w:val="FootnoteReference"/>
        </w:rPr>
        <w:footnoteRef/>
      </w:r>
      <w:r>
        <w:t xml:space="preserve"> </w:t>
      </w:r>
      <w:r>
        <w:tab/>
        <w:t>APTPPL,</w:t>
      </w:r>
      <w:r w:rsidRPr="0096060D">
        <w:rPr>
          <w:rStyle w:val="AERtextitalic"/>
        </w:rPr>
        <w:t xml:space="preserve"> Roma to Brisbane Pipeline Access Arrangement</w:t>
      </w:r>
      <w:r>
        <w:t>, August 2012, p.11.</w:t>
      </w:r>
    </w:p>
  </w:footnote>
  <w:footnote w:id="46">
    <w:p w:rsidR="00344381" w:rsidRDefault="00344381" w:rsidP="008A47DF">
      <w:pPr>
        <w:pStyle w:val="FootnoteText"/>
      </w:pPr>
      <w:r>
        <w:rPr>
          <w:rStyle w:val="FootnoteReference"/>
        </w:rPr>
        <w:footnoteRef/>
      </w:r>
      <w:r>
        <w:t xml:space="preserve"> </w:t>
      </w:r>
      <w:r>
        <w:tab/>
        <w:t xml:space="preserve">NGR, </w:t>
      </w:r>
      <w:r w:rsidRPr="004C1441">
        <w:rPr>
          <w:rFonts w:eastAsia="Calibri"/>
        </w:rPr>
        <w:t>r. 77(2)(d)</w:t>
      </w:r>
      <w:r>
        <w:rPr>
          <w:rFonts w:eastAsia="Calibri"/>
        </w:rPr>
        <w:t>.</w:t>
      </w:r>
    </w:p>
  </w:footnote>
  <w:footnote w:id="47">
    <w:p w:rsidR="00344381" w:rsidRDefault="00344381" w:rsidP="0096060D">
      <w:pPr>
        <w:pStyle w:val="FootnoteText"/>
      </w:pPr>
      <w:r>
        <w:rPr>
          <w:rStyle w:val="FootnoteReference"/>
        </w:rPr>
        <w:footnoteRef/>
      </w:r>
      <w:r>
        <w:t xml:space="preserve"> </w:t>
      </w:r>
      <w:r>
        <w:tab/>
        <w:t xml:space="preserve">The decommissioned compressors include Condamine, Dalby, Gatton and Yuleba. The compressors nearing the end of their remaining life are Kogan and Oakey. For details on affected compressors refer to APTPPL's RBP compressor operating philosophy in its access arrangement revision submission, </w:t>
      </w:r>
      <w:r w:rsidRPr="009D32BA">
        <w:rPr>
          <w:rStyle w:val="AERtextitalic"/>
        </w:rPr>
        <w:t>Attachment 4.3 - RBP Compressor operating philosophy (public)</w:t>
      </w:r>
      <w:r>
        <w:t xml:space="preserve">, p. 6. </w:t>
      </w:r>
    </w:p>
  </w:footnote>
  <w:footnote w:id="48">
    <w:p w:rsidR="00344381" w:rsidRDefault="00344381">
      <w:pPr>
        <w:pStyle w:val="FootnoteText"/>
      </w:pPr>
      <w:r>
        <w:rPr>
          <w:rStyle w:val="FootnoteReference"/>
        </w:rPr>
        <w:footnoteRef/>
      </w:r>
      <w:r>
        <w:t xml:space="preserve"> </w:t>
      </w:r>
      <w:r>
        <w:tab/>
        <w:t xml:space="preserve">NGR, </w:t>
      </w:r>
      <w:r w:rsidRPr="00130986">
        <w:t>r. 77(2)(d).</w:t>
      </w:r>
    </w:p>
  </w:footnote>
  <w:footnote w:id="49">
    <w:p w:rsidR="00344381" w:rsidRDefault="00344381">
      <w:pPr>
        <w:pStyle w:val="FootnoteText"/>
      </w:pPr>
      <w:r>
        <w:rPr>
          <w:rStyle w:val="FootnoteReference"/>
        </w:rPr>
        <w:footnoteRef/>
      </w:r>
      <w:r>
        <w:t xml:space="preserve"> </w:t>
      </w:r>
      <w:r>
        <w:tab/>
        <w:t>NGR, r. 74(2)(b).</w:t>
      </w:r>
    </w:p>
  </w:footnote>
  <w:footnote w:id="50">
    <w:p w:rsidR="00344381" w:rsidRDefault="00344381" w:rsidP="00130986">
      <w:pPr>
        <w:pStyle w:val="FootnoteText"/>
      </w:pPr>
      <w:r>
        <w:rPr>
          <w:rStyle w:val="FootnoteReference"/>
        </w:rPr>
        <w:footnoteRef/>
      </w:r>
      <w:r>
        <w:t xml:space="preserve"> </w:t>
      </w:r>
      <w:r>
        <w:tab/>
        <w:t xml:space="preserve">NGR, </w:t>
      </w:r>
      <w:r w:rsidRPr="00130986">
        <w:t>r. 77(2)(d).</w:t>
      </w:r>
    </w:p>
  </w:footnote>
  <w:footnote w:id="51">
    <w:p w:rsidR="00344381" w:rsidRDefault="00344381">
      <w:pPr>
        <w:pStyle w:val="FootnoteText"/>
      </w:pPr>
      <w:r>
        <w:rPr>
          <w:rStyle w:val="FootnoteReference"/>
        </w:rPr>
        <w:footnoteRef/>
      </w:r>
      <w:r>
        <w:t xml:space="preserve"> </w:t>
      </w:r>
      <w:r>
        <w:tab/>
        <w:t>NGR, r. 74.</w:t>
      </w:r>
    </w:p>
  </w:footnote>
  <w:footnote w:id="52">
    <w:p w:rsidR="00344381" w:rsidRDefault="00344381" w:rsidP="00130986">
      <w:pPr>
        <w:pStyle w:val="FootnoteText"/>
      </w:pPr>
      <w:r>
        <w:rPr>
          <w:rStyle w:val="FootnoteReference"/>
        </w:rPr>
        <w:footnoteRef/>
      </w:r>
      <w:r>
        <w:t xml:space="preserve"> </w:t>
      </w:r>
      <w:r>
        <w:tab/>
        <w:t>NGR, r. 89(1)(b).</w:t>
      </w:r>
    </w:p>
  </w:footnote>
  <w:footnote w:id="53">
    <w:p w:rsidR="00344381" w:rsidRDefault="00344381">
      <w:pPr>
        <w:pStyle w:val="FootnoteText"/>
      </w:pPr>
      <w:r>
        <w:rPr>
          <w:rStyle w:val="FootnoteReference"/>
        </w:rPr>
        <w:footnoteRef/>
      </w:r>
      <w:r>
        <w:t xml:space="preserve"> </w:t>
      </w:r>
      <w:r>
        <w:tab/>
      </w:r>
      <w:proofErr w:type="gramStart"/>
      <w:r>
        <w:t xml:space="preserve">APTPPL, </w:t>
      </w:r>
      <w:r w:rsidRPr="006C3B8A">
        <w:rPr>
          <w:rStyle w:val="AERtextitalic"/>
        </w:rPr>
        <w:t>2017–22 Access arrangement submission</w:t>
      </w:r>
      <w:r>
        <w:t>, p. 192.</w:t>
      </w:r>
      <w:proofErr w:type="gramEnd"/>
      <w:r>
        <w:t xml:space="preserve"> </w:t>
      </w:r>
      <w:r w:rsidRPr="00357ACD">
        <w:t>The amount of the forecast depreciation</w:t>
      </w:r>
      <w:r>
        <w:t xml:space="preserve"> to be used for rolling forward the capital base at the next access arrangement review</w:t>
      </w:r>
      <w:r w:rsidRPr="00357ACD">
        <w:t xml:space="preserve"> </w:t>
      </w:r>
      <w:r>
        <w:t>will be set out</w:t>
      </w:r>
      <w:r w:rsidRPr="00357ACD">
        <w:t xml:space="preserve"> in </w:t>
      </w:r>
      <w:r>
        <w:t>our</w:t>
      </w:r>
      <w:r w:rsidRPr="00357ACD">
        <w:t xml:space="preserve"> final decision for</w:t>
      </w:r>
      <w:r>
        <w:t xml:space="preserve"> APTPPL’s </w:t>
      </w:r>
      <w:r w:rsidRPr="00357ACD">
        <w:t>201</w:t>
      </w:r>
      <w:r>
        <w:t>7</w:t>
      </w:r>
      <w:r w:rsidRPr="00357ACD">
        <w:t>–2</w:t>
      </w:r>
      <w:r>
        <w:t>2</w:t>
      </w:r>
      <w:r w:rsidRPr="00357ACD">
        <w:t xml:space="preserve"> access arrangement period</w:t>
      </w:r>
      <w:r>
        <w:t>.</w:t>
      </w:r>
    </w:p>
  </w:footnote>
  <w:footnote w:id="54">
    <w:p w:rsidR="00344381" w:rsidRDefault="00344381">
      <w:pPr>
        <w:pStyle w:val="FootnoteText"/>
      </w:pPr>
      <w:r>
        <w:rPr>
          <w:rStyle w:val="FootnoteReference"/>
        </w:rPr>
        <w:footnoteRef/>
      </w:r>
      <w:r>
        <w:t xml:space="preserve"> </w:t>
      </w:r>
      <w:r>
        <w:tab/>
        <w:t xml:space="preserve">AER, </w:t>
      </w:r>
      <w:r w:rsidRPr="009D32BA">
        <w:rPr>
          <w:rStyle w:val="AERtextitalic"/>
        </w:rPr>
        <w:t>Final Decision Amadeus Gas Pipeline, Attachment 2 – Capital base</w:t>
      </w:r>
      <w:r>
        <w:t xml:space="preserve">, p.11; AER,  </w:t>
      </w:r>
      <w:r w:rsidRPr="009D32BA">
        <w:rPr>
          <w:rStyle w:val="AERtextitalic"/>
        </w:rPr>
        <w:t>Final Decision A</w:t>
      </w:r>
      <w:r>
        <w:rPr>
          <w:rStyle w:val="AERtextitalic"/>
        </w:rPr>
        <w:t>ustralian  Gas Networks</w:t>
      </w:r>
      <w:r w:rsidRPr="009D32BA">
        <w:rPr>
          <w:rStyle w:val="AERtextitalic"/>
        </w:rPr>
        <w:t>, Attachment 2 – Capital base</w:t>
      </w:r>
      <w:r>
        <w:t>, p.11</w:t>
      </w:r>
    </w:p>
  </w:footnote>
  <w:footnote w:id="55">
    <w:p w:rsidR="00344381" w:rsidRDefault="00344381">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7524F0">
        <w:t>–</w:t>
      </w:r>
      <w:r>
        <w:t>62.</w:t>
      </w:r>
      <w:proofErr w:type="gramEnd"/>
    </w:p>
  </w:footnote>
  <w:footnote w:id="56">
    <w:p w:rsidR="00344381" w:rsidRDefault="00344381">
      <w:pPr>
        <w:pStyle w:val="FootnoteText"/>
      </w:pPr>
      <w:r>
        <w:rPr>
          <w:rStyle w:val="FootnoteReference"/>
        </w:rPr>
        <w:footnoteRef/>
      </w:r>
      <w:r>
        <w:t xml:space="preserve"> </w:t>
      </w:r>
      <w:r>
        <w:tab/>
      </w:r>
      <w:proofErr w:type="gramStart"/>
      <w:r>
        <w:t>NGR, r.</w:t>
      </w:r>
      <w:r w:rsidR="000E1A44">
        <w:t xml:space="preserve"> </w:t>
      </w:r>
      <w:r>
        <w:t>90.</w:t>
      </w:r>
      <w:proofErr w:type="gramEnd"/>
    </w:p>
  </w:footnote>
  <w:footnote w:id="57">
    <w:p w:rsidR="00344381" w:rsidRDefault="00344381">
      <w:pPr>
        <w:pStyle w:val="FootnoteText"/>
      </w:pPr>
      <w:r>
        <w:rPr>
          <w:rStyle w:val="FootnoteReference"/>
        </w:rPr>
        <w:footnoteRef/>
      </w:r>
      <w:r>
        <w:t xml:space="preserve"> </w:t>
      </w:r>
      <w:r>
        <w:tab/>
        <w:t>NGL, s</w:t>
      </w:r>
      <w:r w:rsidR="000E1A44">
        <w:t xml:space="preserve">. </w:t>
      </w:r>
      <w:r>
        <w:t>24(4) and s</w:t>
      </w:r>
      <w:r w:rsidR="000E1A44">
        <w:t xml:space="preserve">. </w:t>
      </w:r>
      <w:r>
        <w:t>28(2)(a)(</w:t>
      </w:r>
      <w:proofErr w:type="spellStart"/>
      <w:r>
        <w:t>i</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996D1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44381">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381" w:rsidRDefault="00996D1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EB19CC"/>
    <w:multiLevelType w:val="hybridMultilevel"/>
    <w:tmpl w:val="AE06B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E09C832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GMS+v6tKwTq2/lNBKjtJp1RIp8YSLW1IPJyrqQSlZo=" w:saltValue="0Y5d69xYfznMrBVXwae0P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24\AER15 4331  AER - Final decision Amadeus Gas Pipeline Access Arrangement - Attachment 2 - Capital base - April 2016.DOCX"/>
  </w:docVars>
  <w:rsids>
    <w:rsidRoot w:val="00961A4A"/>
    <w:rsid w:val="00001210"/>
    <w:rsid w:val="00002462"/>
    <w:rsid w:val="000029EA"/>
    <w:rsid w:val="00004633"/>
    <w:rsid w:val="00010286"/>
    <w:rsid w:val="00010D6D"/>
    <w:rsid w:val="00013F60"/>
    <w:rsid w:val="00021202"/>
    <w:rsid w:val="00021C2B"/>
    <w:rsid w:val="00022F2F"/>
    <w:rsid w:val="0002517F"/>
    <w:rsid w:val="00025CA9"/>
    <w:rsid w:val="00026495"/>
    <w:rsid w:val="00026646"/>
    <w:rsid w:val="00027E3B"/>
    <w:rsid w:val="00034DB9"/>
    <w:rsid w:val="0003578C"/>
    <w:rsid w:val="0004010E"/>
    <w:rsid w:val="000401AF"/>
    <w:rsid w:val="00041DDA"/>
    <w:rsid w:val="0004723C"/>
    <w:rsid w:val="00054FB9"/>
    <w:rsid w:val="00055367"/>
    <w:rsid w:val="000556F2"/>
    <w:rsid w:val="00056942"/>
    <w:rsid w:val="000612C0"/>
    <w:rsid w:val="00062E4E"/>
    <w:rsid w:val="00063247"/>
    <w:rsid w:val="00063A92"/>
    <w:rsid w:val="00066114"/>
    <w:rsid w:val="00070F9F"/>
    <w:rsid w:val="0007137B"/>
    <w:rsid w:val="00074DDE"/>
    <w:rsid w:val="00080EE1"/>
    <w:rsid w:val="00082ED3"/>
    <w:rsid w:val="0008381A"/>
    <w:rsid w:val="00083E09"/>
    <w:rsid w:val="000844CA"/>
    <w:rsid w:val="000853BF"/>
    <w:rsid w:val="00085663"/>
    <w:rsid w:val="00085EBF"/>
    <w:rsid w:val="00085F93"/>
    <w:rsid w:val="00091B15"/>
    <w:rsid w:val="00093744"/>
    <w:rsid w:val="00095A00"/>
    <w:rsid w:val="000A1E7C"/>
    <w:rsid w:val="000A2722"/>
    <w:rsid w:val="000A2C3F"/>
    <w:rsid w:val="000A3020"/>
    <w:rsid w:val="000A3E00"/>
    <w:rsid w:val="000A6C7B"/>
    <w:rsid w:val="000B0360"/>
    <w:rsid w:val="000B21CD"/>
    <w:rsid w:val="000C287A"/>
    <w:rsid w:val="000C2B40"/>
    <w:rsid w:val="000C7E00"/>
    <w:rsid w:val="000D01F4"/>
    <w:rsid w:val="000D06C1"/>
    <w:rsid w:val="000D0C05"/>
    <w:rsid w:val="000D122C"/>
    <w:rsid w:val="000D15C2"/>
    <w:rsid w:val="000D2EA3"/>
    <w:rsid w:val="000D3016"/>
    <w:rsid w:val="000D64F2"/>
    <w:rsid w:val="000D7F32"/>
    <w:rsid w:val="000E0ECC"/>
    <w:rsid w:val="000E1819"/>
    <w:rsid w:val="000E1A44"/>
    <w:rsid w:val="000E1EF7"/>
    <w:rsid w:val="000E2CBC"/>
    <w:rsid w:val="000E3F78"/>
    <w:rsid w:val="000E4821"/>
    <w:rsid w:val="000E6C72"/>
    <w:rsid w:val="000F0B2B"/>
    <w:rsid w:val="000F25C9"/>
    <w:rsid w:val="000F3E72"/>
    <w:rsid w:val="000F48B1"/>
    <w:rsid w:val="000F6072"/>
    <w:rsid w:val="000F723D"/>
    <w:rsid w:val="00103A67"/>
    <w:rsid w:val="00104F79"/>
    <w:rsid w:val="00115032"/>
    <w:rsid w:val="00115724"/>
    <w:rsid w:val="00116EB2"/>
    <w:rsid w:val="00122856"/>
    <w:rsid w:val="00124609"/>
    <w:rsid w:val="00126A4C"/>
    <w:rsid w:val="00130986"/>
    <w:rsid w:val="001323AE"/>
    <w:rsid w:val="00134892"/>
    <w:rsid w:val="001367C8"/>
    <w:rsid w:val="00136A3F"/>
    <w:rsid w:val="00141072"/>
    <w:rsid w:val="00142AB6"/>
    <w:rsid w:val="00144779"/>
    <w:rsid w:val="0014573B"/>
    <w:rsid w:val="00147E70"/>
    <w:rsid w:val="00156DCC"/>
    <w:rsid w:val="001573E4"/>
    <w:rsid w:val="00157AD0"/>
    <w:rsid w:val="00160756"/>
    <w:rsid w:val="001609C0"/>
    <w:rsid w:val="00163045"/>
    <w:rsid w:val="00165300"/>
    <w:rsid w:val="0017232E"/>
    <w:rsid w:val="00172CA0"/>
    <w:rsid w:val="00174102"/>
    <w:rsid w:val="0017480F"/>
    <w:rsid w:val="001754EE"/>
    <w:rsid w:val="00177829"/>
    <w:rsid w:val="00180157"/>
    <w:rsid w:val="00182467"/>
    <w:rsid w:val="00185CB9"/>
    <w:rsid w:val="00185EDC"/>
    <w:rsid w:val="00186B2E"/>
    <w:rsid w:val="00186F77"/>
    <w:rsid w:val="001905C9"/>
    <w:rsid w:val="00191467"/>
    <w:rsid w:val="001926A4"/>
    <w:rsid w:val="00192AD5"/>
    <w:rsid w:val="001A08A3"/>
    <w:rsid w:val="001A4DF8"/>
    <w:rsid w:val="001B3F62"/>
    <w:rsid w:val="001B45A0"/>
    <w:rsid w:val="001B45C0"/>
    <w:rsid w:val="001B6F2E"/>
    <w:rsid w:val="001B7D00"/>
    <w:rsid w:val="001C0E2C"/>
    <w:rsid w:val="001C17E7"/>
    <w:rsid w:val="001C3402"/>
    <w:rsid w:val="001C63E0"/>
    <w:rsid w:val="001D055E"/>
    <w:rsid w:val="001D4CF3"/>
    <w:rsid w:val="001D620F"/>
    <w:rsid w:val="001E009C"/>
    <w:rsid w:val="001E314A"/>
    <w:rsid w:val="001E52AB"/>
    <w:rsid w:val="001E5FE2"/>
    <w:rsid w:val="001F05A4"/>
    <w:rsid w:val="001F0ACA"/>
    <w:rsid w:val="001F2CC5"/>
    <w:rsid w:val="001F3FAB"/>
    <w:rsid w:val="001F492E"/>
    <w:rsid w:val="001F6DA3"/>
    <w:rsid w:val="002010BC"/>
    <w:rsid w:val="002016E7"/>
    <w:rsid w:val="00201BC1"/>
    <w:rsid w:val="00201F98"/>
    <w:rsid w:val="00202E03"/>
    <w:rsid w:val="0020478D"/>
    <w:rsid w:val="0020492C"/>
    <w:rsid w:val="00205A33"/>
    <w:rsid w:val="00206137"/>
    <w:rsid w:val="002065DC"/>
    <w:rsid w:val="002121BD"/>
    <w:rsid w:val="002206AE"/>
    <w:rsid w:val="00223560"/>
    <w:rsid w:val="00224435"/>
    <w:rsid w:val="0022444D"/>
    <w:rsid w:val="00224631"/>
    <w:rsid w:val="00224DB9"/>
    <w:rsid w:val="00227DCE"/>
    <w:rsid w:val="0023074C"/>
    <w:rsid w:val="0023276C"/>
    <w:rsid w:val="00233775"/>
    <w:rsid w:val="00236197"/>
    <w:rsid w:val="002374FD"/>
    <w:rsid w:val="00242C85"/>
    <w:rsid w:val="00251745"/>
    <w:rsid w:val="002543E0"/>
    <w:rsid w:val="002569EF"/>
    <w:rsid w:val="00261AF3"/>
    <w:rsid w:val="00263AC0"/>
    <w:rsid w:val="00264264"/>
    <w:rsid w:val="0026772D"/>
    <w:rsid w:val="002748C0"/>
    <w:rsid w:val="00274EEF"/>
    <w:rsid w:val="002763DE"/>
    <w:rsid w:val="00277554"/>
    <w:rsid w:val="0028190D"/>
    <w:rsid w:val="00286874"/>
    <w:rsid w:val="002872FC"/>
    <w:rsid w:val="00290B54"/>
    <w:rsid w:val="00290C63"/>
    <w:rsid w:val="00296B65"/>
    <w:rsid w:val="00296F03"/>
    <w:rsid w:val="0029724D"/>
    <w:rsid w:val="002A0D18"/>
    <w:rsid w:val="002A1019"/>
    <w:rsid w:val="002A48AE"/>
    <w:rsid w:val="002A6688"/>
    <w:rsid w:val="002A7DEF"/>
    <w:rsid w:val="002B1003"/>
    <w:rsid w:val="002B1FD0"/>
    <w:rsid w:val="002B2101"/>
    <w:rsid w:val="002B573C"/>
    <w:rsid w:val="002B643E"/>
    <w:rsid w:val="002C1D1C"/>
    <w:rsid w:val="002C233C"/>
    <w:rsid w:val="002D72E8"/>
    <w:rsid w:val="002E373C"/>
    <w:rsid w:val="002E7B22"/>
    <w:rsid w:val="002F7986"/>
    <w:rsid w:val="00301B40"/>
    <w:rsid w:val="00301F1F"/>
    <w:rsid w:val="003029A5"/>
    <w:rsid w:val="003029EE"/>
    <w:rsid w:val="0030370B"/>
    <w:rsid w:val="00305CC8"/>
    <w:rsid w:val="00306BED"/>
    <w:rsid w:val="00307F6D"/>
    <w:rsid w:val="003130C9"/>
    <w:rsid w:val="0031490E"/>
    <w:rsid w:val="003177A2"/>
    <w:rsid w:val="00320869"/>
    <w:rsid w:val="00326B1D"/>
    <w:rsid w:val="003271B5"/>
    <w:rsid w:val="00327A1E"/>
    <w:rsid w:val="00331264"/>
    <w:rsid w:val="003338A2"/>
    <w:rsid w:val="00334C8D"/>
    <w:rsid w:val="0033548E"/>
    <w:rsid w:val="00343A18"/>
    <w:rsid w:val="00344381"/>
    <w:rsid w:val="00344473"/>
    <w:rsid w:val="00344D08"/>
    <w:rsid w:val="003457F9"/>
    <w:rsid w:val="00347114"/>
    <w:rsid w:val="003503E1"/>
    <w:rsid w:val="00350725"/>
    <w:rsid w:val="003518B3"/>
    <w:rsid w:val="0035371A"/>
    <w:rsid w:val="00354450"/>
    <w:rsid w:val="00354A28"/>
    <w:rsid w:val="00354CFF"/>
    <w:rsid w:val="003578CD"/>
    <w:rsid w:val="003634FD"/>
    <w:rsid w:val="003666F2"/>
    <w:rsid w:val="00371609"/>
    <w:rsid w:val="003717D8"/>
    <w:rsid w:val="003755D7"/>
    <w:rsid w:val="00380F48"/>
    <w:rsid w:val="00382425"/>
    <w:rsid w:val="003846F1"/>
    <w:rsid w:val="00386EA9"/>
    <w:rsid w:val="003903D4"/>
    <w:rsid w:val="00391BF0"/>
    <w:rsid w:val="00392FE2"/>
    <w:rsid w:val="003931A7"/>
    <w:rsid w:val="0039345A"/>
    <w:rsid w:val="00393646"/>
    <w:rsid w:val="00394D5A"/>
    <w:rsid w:val="00396C42"/>
    <w:rsid w:val="003A03FE"/>
    <w:rsid w:val="003A1D69"/>
    <w:rsid w:val="003A2DD6"/>
    <w:rsid w:val="003B1995"/>
    <w:rsid w:val="003B3755"/>
    <w:rsid w:val="003B484F"/>
    <w:rsid w:val="003B53CA"/>
    <w:rsid w:val="003B6E55"/>
    <w:rsid w:val="003B7FBA"/>
    <w:rsid w:val="003C0B04"/>
    <w:rsid w:val="003C60E6"/>
    <w:rsid w:val="003D024D"/>
    <w:rsid w:val="003D2A13"/>
    <w:rsid w:val="003D5AB1"/>
    <w:rsid w:val="003E0D8E"/>
    <w:rsid w:val="003E39AA"/>
    <w:rsid w:val="003E3BEC"/>
    <w:rsid w:val="003E5954"/>
    <w:rsid w:val="003E6F99"/>
    <w:rsid w:val="003F0E8F"/>
    <w:rsid w:val="003F174D"/>
    <w:rsid w:val="003F572D"/>
    <w:rsid w:val="003F7442"/>
    <w:rsid w:val="00400433"/>
    <w:rsid w:val="004120A7"/>
    <w:rsid w:val="004132AB"/>
    <w:rsid w:val="00415F31"/>
    <w:rsid w:val="0042205D"/>
    <w:rsid w:val="004222E1"/>
    <w:rsid w:val="00423326"/>
    <w:rsid w:val="00423A77"/>
    <w:rsid w:val="00424277"/>
    <w:rsid w:val="00436653"/>
    <w:rsid w:val="00436ECD"/>
    <w:rsid w:val="004510BB"/>
    <w:rsid w:val="00452473"/>
    <w:rsid w:val="0045331F"/>
    <w:rsid w:val="00455C7B"/>
    <w:rsid w:val="0045777E"/>
    <w:rsid w:val="00461B0F"/>
    <w:rsid w:val="00461C29"/>
    <w:rsid w:val="00462417"/>
    <w:rsid w:val="00471125"/>
    <w:rsid w:val="00474EC7"/>
    <w:rsid w:val="0047679D"/>
    <w:rsid w:val="00480B4B"/>
    <w:rsid w:val="00480BC3"/>
    <w:rsid w:val="00485DC4"/>
    <w:rsid w:val="004868E4"/>
    <w:rsid w:val="00486CFA"/>
    <w:rsid w:val="004870EA"/>
    <w:rsid w:val="00493686"/>
    <w:rsid w:val="004A0A5E"/>
    <w:rsid w:val="004A2956"/>
    <w:rsid w:val="004A43D1"/>
    <w:rsid w:val="004A46C6"/>
    <w:rsid w:val="004B050A"/>
    <w:rsid w:val="004B355D"/>
    <w:rsid w:val="004B4412"/>
    <w:rsid w:val="004C0C43"/>
    <w:rsid w:val="004C348C"/>
    <w:rsid w:val="004C6A30"/>
    <w:rsid w:val="004C7296"/>
    <w:rsid w:val="004D1A96"/>
    <w:rsid w:val="004D1C90"/>
    <w:rsid w:val="004D55BA"/>
    <w:rsid w:val="004E22EC"/>
    <w:rsid w:val="004E2A4C"/>
    <w:rsid w:val="004E6EBD"/>
    <w:rsid w:val="004F2ECC"/>
    <w:rsid w:val="004F6A0E"/>
    <w:rsid w:val="004F7613"/>
    <w:rsid w:val="0050079F"/>
    <w:rsid w:val="00501BBF"/>
    <w:rsid w:val="00502A3F"/>
    <w:rsid w:val="005044A5"/>
    <w:rsid w:val="00505098"/>
    <w:rsid w:val="005059BF"/>
    <w:rsid w:val="00511A91"/>
    <w:rsid w:val="005144DD"/>
    <w:rsid w:val="005151B8"/>
    <w:rsid w:val="00521171"/>
    <w:rsid w:val="00530128"/>
    <w:rsid w:val="00532467"/>
    <w:rsid w:val="00537FD6"/>
    <w:rsid w:val="00540C5A"/>
    <w:rsid w:val="00543E0D"/>
    <w:rsid w:val="00545DC3"/>
    <w:rsid w:val="00552FBA"/>
    <w:rsid w:val="00560A7F"/>
    <w:rsid w:val="00561454"/>
    <w:rsid w:val="00564827"/>
    <w:rsid w:val="00564A4D"/>
    <w:rsid w:val="0056588A"/>
    <w:rsid w:val="00565C8E"/>
    <w:rsid w:val="00567BA5"/>
    <w:rsid w:val="00571B35"/>
    <w:rsid w:val="00571D57"/>
    <w:rsid w:val="00571F99"/>
    <w:rsid w:val="00573761"/>
    <w:rsid w:val="005752D1"/>
    <w:rsid w:val="00575642"/>
    <w:rsid w:val="00577A09"/>
    <w:rsid w:val="00580A11"/>
    <w:rsid w:val="00580C28"/>
    <w:rsid w:val="005829C2"/>
    <w:rsid w:val="00582CE9"/>
    <w:rsid w:val="00584D8F"/>
    <w:rsid w:val="00585A4E"/>
    <w:rsid w:val="00586819"/>
    <w:rsid w:val="00586F4A"/>
    <w:rsid w:val="00586FF1"/>
    <w:rsid w:val="00590558"/>
    <w:rsid w:val="00594494"/>
    <w:rsid w:val="005966F3"/>
    <w:rsid w:val="0059704C"/>
    <w:rsid w:val="005A404D"/>
    <w:rsid w:val="005A5ACE"/>
    <w:rsid w:val="005A61CB"/>
    <w:rsid w:val="005A674F"/>
    <w:rsid w:val="005A79A1"/>
    <w:rsid w:val="005B0EEB"/>
    <w:rsid w:val="005B1E3C"/>
    <w:rsid w:val="005B3FB7"/>
    <w:rsid w:val="005B4D33"/>
    <w:rsid w:val="005B704A"/>
    <w:rsid w:val="005C0A7F"/>
    <w:rsid w:val="005C1839"/>
    <w:rsid w:val="005C2101"/>
    <w:rsid w:val="005C26CC"/>
    <w:rsid w:val="005C4C9C"/>
    <w:rsid w:val="005C6218"/>
    <w:rsid w:val="005D03B1"/>
    <w:rsid w:val="005D7BA2"/>
    <w:rsid w:val="005E0E1F"/>
    <w:rsid w:val="005E36C2"/>
    <w:rsid w:val="005E447A"/>
    <w:rsid w:val="005E5298"/>
    <w:rsid w:val="005E5FCF"/>
    <w:rsid w:val="005E791D"/>
    <w:rsid w:val="005F0183"/>
    <w:rsid w:val="005F1736"/>
    <w:rsid w:val="005F60F1"/>
    <w:rsid w:val="005F6300"/>
    <w:rsid w:val="005F727F"/>
    <w:rsid w:val="005F72FF"/>
    <w:rsid w:val="006007DE"/>
    <w:rsid w:val="00601638"/>
    <w:rsid w:val="00610EF9"/>
    <w:rsid w:val="006121EC"/>
    <w:rsid w:val="00612F4F"/>
    <w:rsid w:val="00615C6B"/>
    <w:rsid w:val="00620DC3"/>
    <w:rsid w:val="00621DCE"/>
    <w:rsid w:val="006302C7"/>
    <w:rsid w:val="00630B23"/>
    <w:rsid w:val="00632D6D"/>
    <w:rsid w:val="00637179"/>
    <w:rsid w:val="006402D3"/>
    <w:rsid w:val="00640812"/>
    <w:rsid w:val="00642C3E"/>
    <w:rsid w:val="006445B7"/>
    <w:rsid w:val="0064559D"/>
    <w:rsid w:val="00651C3A"/>
    <w:rsid w:val="00651CB2"/>
    <w:rsid w:val="006525F2"/>
    <w:rsid w:val="00654FAC"/>
    <w:rsid w:val="006560CA"/>
    <w:rsid w:val="00657C0C"/>
    <w:rsid w:val="0066104A"/>
    <w:rsid w:val="00661A1E"/>
    <w:rsid w:val="00662300"/>
    <w:rsid w:val="00663DAD"/>
    <w:rsid w:val="00665449"/>
    <w:rsid w:val="00665649"/>
    <w:rsid w:val="0066669E"/>
    <w:rsid w:val="00666E20"/>
    <w:rsid w:val="006672AA"/>
    <w:rsid w:val="00672010"/>
    <w:rsid w:val="00675E20"/>
    <w:rsid w:val="00676679"/>
    <w:rsid w:val="006812E7"/>
    <w:rsid w:val="00683C89"/>
    <w:rsid w:val="00684C16"/>
    <w:rsid w:val="00691D9A"/>
    <w:rsid w:val="00694402"/>
    <w:rsid w:val="00694448"/>
    <w:rsid w:val="00694DA7"/>
    <w:rsid w:val="00694E4E"/>
    <w:rsid w:val="006A3E52"/>
    <w:rsid w:val="006A77E3"/>
    <w:rsid w:val="006A7CB9"/>
    <w:rsid w:val="006A7D76"/>
    <w:rsid w:val="006B2395"/>
    <w:rsid w:val="006B2FA6"/>
    <w:rsid w:val="006B45A4"/>
    <w:rsid w:val="006B4CF9"/>
    <w:rsid w:val="006B5A1D"/>
    <w:rsid w:val="006B6A9B"/>
    <w:rsid w:val="006B785B"/>
    <w:rsid w:val="006B7AC8"/>
    <w:rsid w:val="006C0B68"/>
    <w:rsid w:val="006C1736"/>
    <w:rsid w:val="006C3B8A"/>
    <w:rsid w:val="006C4798"/>
    <w:rsid w:val="006C774D"/>
    <w:rsid w:val="006D06BB"/>
    <w:rsid w:val="006D132F"/>
    <w:rsid w:val="006D22F2"/>
    <w:rsid w:val="006D3025"/>
    <w:rsid w:val="006D415B"/>
    <w:rsid w:val="006D550F"/>
    <w:rsid w:val="006D595E"/>
    <w:rsid w:val="006E3C01"/>
    <w:rsid w:val="006E3F76"/>
    <w:rsid w:val="006F18BF"/>
    <w:rsid w:val="006F1F83"/>
    <w:rsid w:val="006F3AD1"/>
    <w:rsid w:val="006F3FC8"/>
    <w:rsid w:val="006F4E87"/>
    <w:rsid w:val="006F6183"/>
    <w:rsid w:val="0070011E"/>
    <w:rsid w:val="00701CAB"/>
    <w:rsid w:val="007036E8"/>
    <w:rsid w:val="00707563"/>
    <w:rsid w:val="00707C16"/>
    <w:rsid w:val="00713242"/>
    <w:rsid w:val="0072348C"/>
    <w:rsid w:val="00724A37"/>
    <w:rsid w:val="00724F4C"/>
    <w:rsid w:val="00726774"/>
    <w:rsid w:val="007303C3"/>
    <w:rsid w:val="007318DF"/>
    <w:rsid w:val="00741C46"/>
    <w:rsid w:val="00741E23"/>
    <w:rsid w:val="007429BE"/>
    <w:rsid w:val="00743223"/>
    <w:rsid w:val="00743839"/>
    <w:rsid w:val="00746E01"/>
    <w:rsid w:val="00747EEA"/>
    <w:rsid w:val="00751A67"/>
    <w:rsid w:val="007524F0"/>
    <w:rsid w:val="00752C8D"/>
    <w:rsid w:val="0075572D"/>
    <w:rsid w:val="00756D07"/>
    <w:rsid w:val="00757364"/>
    <w:rsid w:val="00757BDF"/>
    <w:rsid w:val="007601BF"/>
    <w:rsid w:val="007609D0"/>
    <w:rsid w:val="00763226"/>
    <w:rsid w:val="00763618"/>
    <w:rsid w:val="00763E5D"/>
    <w:rsid w:val="00767740"/>
    <w:rsid w:val="007724F9"/>
    <w:rsid w:val="0077297C"/>
    <w:rsid w:val="00777EE6"/>
    <w:rsid w:val="00782EEA"/>
    <w:rsid w:val="00793403"/>
    <w:rsid w:val="007A5EF0"/>
    <w:rsid w:val="007A7002"/>
    <w:rsid w:val="007A7136"/>
    <w:rsid w:val="007A75D8"/>
    <w:rsid w:val="007A7F63"/>
    <w:rsid w:val="007B011C"/>
    <w:rsid w:val="007B186E"/>
    <w:rsid w:val="007B1B8E"/>
    <w:rsid w:val="007B2C72"/>
    <w:rsid w:val="007B4707"/>
    <w:rsid w:val="007B57CE"/>
    <w:rsid w:val="007B6C52"/>
    <w:rsid w:val="007C1C53"/>
    <w:rsid w:val="007C2565"/>
    <w:rsid w:val="007C4007"/>
    <w:rsid w:val="007C74BB"/>
    <w:rsid w:val="007D456E"/>
    <w:rsid w:val="007D70A4"/>
    <w:rsid w:val="007E0249"/>
    <w:rsid w:val="007E3E54"/>
    <w:rsid w:val="007E42F4"/>
    <w:rsid w:val="007E4904"/>
    <w:rsid w:val="007E4CB5"/>
    <w:rsid w:val="007E6F72"/>
    <w:rsid w:val="007E71AD"/>
    <w:rsid w:val="007F066B"/>
    <w:rsid w:val="007F213A"/>
    <w:rsid w:val="007F384C"/>
    <w:rsid w:val="007F75C4"/>
    <w:rsid w:val="008033C4"/>
    <w:rsid w:val="00803463"/>
    <w:rsid w:val="008042D2"/>
    <w:rsid w:val="008057DE"/>
    <w:rsid w:val="008063C6"/>
    <w:rsid w:val="00806C88"/>
    <w:rsid w:val="00810070"/>
    <w:rsid w:val="0081034E"/>
    <w:rsid w:val="0081249F"/>
    <w:rsid w:val="00812B03"/>
    <w:rsid w:val="00812ECE"/>
    <w:rsid w:val="00815B70"/>
    <w:rsid w:val="00815CAC"/>
    <w:rsid w:val="008168E7"/>
    <w:rsid w:val="00820F8F"/>
    <w:rsid w:val="00821004"/>
    <w:rsid w:val="008221F2"/>
    <w:rsid w:val="00825985"/>
    <w:rsid w:val="008301A7"/>
    <w:rsid w:val="008301B2"/>
    <w:rsid w:val="00832ADB"/>
    <w:rsid w:val="008344F6"/>
    <w:rsid w:val="00834547"/>
    <w:rsid w:val="0083510F"/>
    <w:rsid w:val="008366ED"/>
    <w:rsid w:val="008408C5"/>
    <w:rsid w:val="008414FC"/>
    <w:rsid w:val="00844EB3"/>
    <w:rsid w:val="008450C7"/>
    <w:rsid w:val="00847887"/>
    <w:rsid w:val="00850174"/>
    <w:rsid w:val="00851209"/>
    <w:rsid w:val="00851CFD"/>
    <w:rsid w:val="0085722A"/>
    <w:rsid w:val="00857AF2"/>
    <w:rsid w:val="00861D4F"/>
    <w:rsid w:val="00862B19"/>
    <w:rsid w:val="00863383"/>
    <w:rsid w:val="00864B35"/>
    <w:rsid w:val="00866D99"/>
    <w:rsid w:val="00867957"/>
    <w:rsid w:val="00867CF6"/>
    <w:rsid w:val="008738FA"/>
    <w:rsid w:val="008749E0"/>
    <w:rsid w:val="00874A3B"/>
    <w:rsid w:val="00874CD0"/>
    <w:rsid w:val="0087513E"/>
    <w:rsid w:val="00881D9C"/>
    <w:rsid w:val="00882481"/>
    <w:rsid w:val="008837AC"/>
    <w:rsid w:val="00883DCC"/>
    <w:rsid w:val="0088555D"/>
    <w:rsid w:val="00886015"/>
    <w:rsid w:val="00887E67"/>
    <w:rsid w:val="008928A4"/>
    <w:rsid w:val="00894F99"/>
    <w:rsid w:val="00896D8B"/>
    <w:rsid w:val="008976E8"/>
    <w:rsid w:val="008A0705"/>
    <w:rsid w:val="008A0D81"/>
    <w:rsid w:val="008A2345"/>
    <w:rsid w:val="008A47DF"/>
    <w:rsid w:val="008A587D"/>
    <w:rsid w:val="008B35CD"/>
    <w:rsid w:val="008B5153"/>
    <w:rsid w:val="008B5FCC"/>
    <w:rsid w:val="008B63DF"/>
    <w:rsid w:val="008B7544"/>
    <w:rsid w:val="008C3374"/>
    <w:rsid w:val="008C39F0"/>
    <w:rsid w:val="008C48A7"/>
    <w:rsid w:val="008C5486"/>
    <w:rsid w:val="008C63DF"/>
    <w:rsid w:val="008C708B"/>
    <w:rsid w:val="008D0BD8"/>
    <w:rsid w:val="008D1661"/>
    <w:rsid w:val="008D2008"/>
    <w:rsid w:val="008D3720"/>
    <w:rsid w:val="008D3C61"/>
    <w:rsid w:val="008D6800"/>
    <w:rsid w:val="008E1489"/>
    <w:rsid w:val="008E7031"/>
    <w:rsid w:val="008E77DE"/>
    <w:rsid w:val="008F07A3"/>
    <w:rsid w:val="008F0ABD"/>
    <w:rsid w:val="008F1280"/>
    <w:rsid w:val="008F16B3"/>
    <w:rsid w:val="008F34DD"/>
    <w:rsid w:val="009001B6"/>
    <w:rsid w:val="00900E1B"/>
    <w:rsid w:val="00901C3C"/>
    <w:rsid w:val="009038ED"/>
    <w:rsid w:val="009114B1"/>
    <w:rsid w:val="00912B58"/>
    <w:rsid w:val="00913E47"/>
    <w:rsid w:val="0092283F"/>
    <w:rsid w:val="009233EE"/>
    <w:rsid w:val="00923726"/>
    <w:rsid w:val="00923CFC"/>
    <w:rsid w:val="00923FA9"/>
    <w:rsid w:val="009272AD"/>
    <w:rsid w:val="009277DC"/>
    <w:rsid w:val="00932084"/>
    <w:rsid w:val="00944DC0"/>
    <w:rsid w:val="00945867"/>
    <w:rsid w:val="00945B78"/>
    <w:rsid w:val="009460AA"/>
    <w:rsid w:val="0094641C"/>
    <w:rsid w:val="00951978"/>
    <w:rsid w:val="00951B02"/>
    <w:rsid w:val="0096060D"/>
    <w:rsid w:val="009607FC"/>
    <w:rsid w:val="00961115"/>
    <w:rsid w:val="00961A4A"/>
    <w:rsid w:val="00963983"/>
    <w:rsid w:val="00964115"/>
    <w:rsid w:val="009661DE"/>
    <w:rsid w:val="00970C6A"/>
    <w:rsid w:val="00977656"/>
    <w:rsid w:val="009778AA"/>
    <w:rsid w:val="00983A41"/>
    <w:rsid w:val="00983C25"/>
    <w:rsid w:val="009846D7"/>
    <w:rsid w:val="009856B7"/>
    <w:rsid w:val="00985C86"/>
    <w:rsid w:val="00996BAF"/>
    <w:rsid w:val="00996D16"/>
    <w:rsid w:val="009972D8"/>
    <w:rsid w:val="009A1174"/>
    <w:rsid w:val="009A2116"/>
    <w:rsid w:val="009A4659"/>
    <w:rsid w:val="009A4FAA"/>
    <w:rsid w:val="009A5113"/>
    <w:rsid w:val="009A539D"/>
    <w:rsid w:val="009A5FC3"/>
    <w:rsid w:val="009B1372"/>
    <w:rsid w:val="009B5DC8"/>
    <w:rsid w:val="009B6F84"/>
    <w:rsid w:val="009B7343"/>
    <w:rsid w:val="009B74B0"/>
    <w:rsid w:val="009C0D27"/>
    <w:rsid w:val="009C4214"/>
    <w:rsid w:val="009C691D"/>
    <w:rsid w:val="009D2B38"/>
    <w:rsid w:val="009D32BA"/>
    <w:rsid w:val="009D3906"/>
    <w:rsid w:val="009D3F37"/>
    <w:rsid w:val="009D415E"/>
    <w:rsid w:val="009D6B46"/>
    <w:rsid w:val="009E44CC"/>
    <w:rsid w:val="009F1EBD"/>
    <w:rsid w:val="009F4940"/>
    <w:rsid w:val="009F5BA1"/>
    <w:rsid w:val="009F7096"/>
    <w:rsid w:val="00A01CDB"/>
    <w:rsid w:val="00A02A88"/>
    <w:rsid w:val="00A0562E"/>
    <w:rsid w:val="00A06085"/>
    <w:rsid w:val="00A0726D"/>
    <w:rsid w:val="00A13227"/>
    <w:rsid w:val="00A16596"/>
    <w:rsid w:val="00A2055A"/>
    <w:rsid w:val="00A22232"/>
    <w:rsid w:val="00A2303E"/>
    <w:rsid w:val="00A3086D"/>
    <w:rsid w:val="00A32FBB"/>
    <w:rsid w:val="00A427FD"/>
    <w:rsid w:val="00A428EE"/>
    <w:rsid w:val="00A4478A"/>
    <w:rsid w:val="00A44852"/>
    <w:rsid w:val="00A46414"/>
    <w:rsid w:val="00A4650A"/>
    <w:rsid w:val="00A47A41"/>
    <w:rsid w:val="00A50502"/>
    <w:rsid w:val="00A54EE2"/>
    <w:rsid w:val="00A57D04"/>
    <w:rsid w:val="00A60A26"/>
    <w:rsid w:val="00A61598"/>
    <w:rsid w:val="00A65077"/>
    <w:rsid w:val="00A6764E"/>
    <w:rsid w:val="00A720CF"/>
    <w:rsid w:val="00A7259C"/>
    <w:rsid w:val="00A84A99"/>
    <w:rsid w:val="00A84F46"/>
    <w:rsid w:val="00A871F4"/>
    <w:rsid w:val="00A90827"/>
    <w:rsid w:val="00A90AA4"/>
    <w:rsid w:val="00A923BF"/>
    <w:rsid w:val="00A9445A"/>
    <w:rsid w:val="00AB47E1"/>
    <w:rsid w:val="00AC1B2C"/>
    <w:rsid w:val="00AC3264"/>
    <w:rsid w:val="00AC6F29"/>
    <w:rsid w:val="00AD075D"/>
    <w:rsid w:val="00AD35C4"/>
    <w:rsid w:val="00AD3884"/>
    <w:rsid w:val="00AD7B56"/>
    <w:rsid w:val="00AE04D8"/>
    <w:rsid w:val="00AE1BF1"/>
    <w:rsid w:val="00AE3E7A"/>
    <w:rsid w:val="00AF0DD2"/>
    <w:rsid w:val="00AF2566"/>
    <w:rsid w:val="00AF2D81"/>
    <w:rsid w:val="00AF4169"/>
    <w:rsid w:val="00AF56F5"/>
    <w:rsid w:val="00AF752B"/>
    <w:rsid w:val="00B009A7"/>
    <w:rsid w:val="00B00EDD"/>
    <w:rsid w:val="00B0209D"/>
    <w:rsid w:val="00B02165"/>
    <w:rsid w:val="00B02961"/>
    <w:rsid w:val="00B04908"/>
    <w:rsid w:val="00B04B4C"/>
    <w:rsid w:val="00B04CEA"/>
    <w:rsid w:val="00B066D4"/>
    <w:rsid w:val="00B07323"/>
    <w:rsid w:val="00B07CEA"/>
    <w:rsid w:val="00B10E44"/>
    <w:rsid w:val="00B13048"/>
    <w:rsid w:val="00B13459"/>
    <w:rsid w:val="00B13529"/>
    <w:rsid w:val="00B1538F"/>
    <w:rsid w:val="00B16BFD"/>
    <w:rsid w:val="00B1716D"/>
    <w:rsid w:val="00B17A1D"/>
    <w:rsid w:val="00B207A0"/>
    <w:rsid w:val="00B35167"/>
    <w:rsid w:val="00B36CE4"/>
    <w:rsid w:val="00B40CAA"/>
    <w:rsid w:val="00B419DD"/>
    <w:rsid w:val="00B46A1A"/>
    <w:rsid w:val="00B514DD"/>
    <w:rsid w:val="00B51973"/>
    <w:rsid w:val="00B51F3F"/>
    <w:rsid w:val="00B52AF0"/>
    <w:rsid w:val="00B55DFE"/>
    <w:rsid w:val="00B561BD"/>
    <w:rsid w:val="00B56E03"/>
    <w:rsid w:val="00B600A1"/>
    <w:rsid w:val="00B61BA3"/>
    <w:rsid w:val="00B61EDF"/>
    <w:rsid w:val="00B72167"/>
    <w:rsid w:val="00B73519"/>
    <w:rsid w:val="00B7393E"/>
    <w:rsid w:val="00B73B11"/>
    <w:rsid w:val="00B74AC5"/>
    <w:rsid w:val="00B757A6"/>
    <w:rsid w:val="00B76061"/>
    <w:rsid w:val="00B8080B"/>
    <w:rsid w:val="00B82223"/>
    <w:rsid w:val="00B8462C"/>
    <w:rsid w:val="00B865C7"/>
    <w:rsid w:val="00B87BA5"/>
    <w:rsid w:val="00B87C39"/>
    <w:rsid w:val="00B92935"/>
    <w:rsid w:val="00B92C81"/>
    <w:rsid w:val="00B9562D"/>
    <w:rsid w:val="00BA0731"/>
    <w:rsid w:val="00BA24F8"/>
    <w:rsid w:val="00BA38D8"/>
    <w:rsid w:val="00BA4665"/>
    <w:rsid w:val="00BA47EE"/>
    <w:rsid w:val="00BA49CD"/>
    <w:rsid w:val="00BA7DFD"/>
    <w:rsid w:val="00BB0F67"/>
    <w:rsid w:val="00BB2FB2"/>
    <w:rsid w:val="00BB3304"/>
    <w:rsid w:val="00BB3FD7"/>
    <w:rsid w:val="00BB4BA8"/>
    <w:rsid w:val="00BB6848"/>
    <w:rsid w:val="00BB7528"/>
    <w:rsid w:val="00BC18DE"/>
    <w:rsid w:val="00BC2FAF"/>
    <w:rsid w:val="00BC42EF"/>
    <w:rsid w:val="00BC5322"/>
    <w:rsid w:val="00BC5B39"/>
    <w:rsid w:val="00BC6CB0"/>
    <w:rsid w:val="00BD0920"/>
    <w:rsid w:val="00BD0C45"/>
    <w:rsid w:val="00BD310B"/>
    <w:rsid w:val="00BD3446"/>
    <w:rsid w:val="00BD4054"/>
    <w:rsid w:val="00BE03D6"/>
    <w:rsid w:val="00BE1F1B"/>
    <w:rsid w:val="00BE2AA3"/>
    <w:rsid w:val="00BE47B5"/>
    <w:rsid w:val="00BF0375"/>
    <w:rsid w:val="00BF0C8F"/>
    <w:rsid w:val="00BF0CD7"/>
    <w:rsid w:val="00BF5746"/>
    <w:rsid w:val="00BF69CD"/>
    <w:rsid w:val="00C04223"/>
    <w:rsid w:val="00C07096"/>
    <w:rsid w:val="00C071AB"/>
    <w:rsid w:val="00C12010"/>
    <w:rsid w:val="00C200BD"/>
    <w:rsid w:val="00C20E29"/>
    <w:rsid w:val="00C22749"/>
    <w:rsid w:val="00C24899"/>
    <w:rsid w:val="00C25FA6"/>
    <w:rsid w:val="00C275C4"/>
    <w:rsid w:val="00C30637"/>
    <w:rsid w:val="00C350D5"/>
    <w:rsid w:val="00C35416"/>
    <w:rsid w:val="00C36C10"/>
    <w:rsid w:val="00C36DFB"/>
    <w:rsid w:val="00C36F19"/>
    <w:rsid w:val="00C42ACA"/>
    <w:rsid w:val="00C42BDB"/>
    <w:rsid w:val="00C44043"/>
    <w:rsid w:val="00C45063"/>
    <w:rsid w:val="00C5122C"/>
    <w:rsid w:val="00C51E07"/>
    <w:rsid w:val="00C538A9"/>
    <w:rsid w:val="00C53B5A"/>
    <w:rsid w:val="00C54434"/>
    <w:rsid w:val="00C54F5A"/>
    <w:rsid w:val="00C569B4"/>
    <w:rsid w:val="00C56A01"/>
    <w:rsid w:val="00C56A3E"/>
    <w:rsid w:val="00C67A92"/>
    <w:rsid w:val="00C72C2C"/>
    <w:rsid w:val="00C7497E"/>
    <w:rsid w:val="00C74D43"/>
    <w:rsid w:val="00C81568"/>
    <w:rsid w:val="00C81E76"/>
    <w:rsid w:val="00C84560"/>
    <w:rsid w:val="00C84F52"/>
    <w:rsid w:val="00C86679"/>
    <w:rsid w:val="00C93600"/>
    <w:rsid w:val="00C95D93"/>
    <w:rsid w:val="00C97CDF"/>
    <w:rsid w:val="00CA12AF"/>
    <w:rsid w:val="00CA2ABF"/>
    <w:rsid w:val="00CA2C1D"/>
    <w:rsid w:val="00CA47A7"/>
    <w:rsid w:val="00CA489E"/>
    <w:rsid w:val="00CA52A2"/>
    <w:rsid w:val="00CA6F3B"/>
    <w:rsid w:val="00CB0279"/>
    <w:rsid w:val="00CB2EFE"/>
    <w:rsid w:val="00CB33C2"/>
    <w:rsid w:val="00CB621A"/>
    <w:rsid w:val="00CB666B"/>
    <w:rsid w:val="00CC03A7"/>
    <w:rsid w:val="00CC327E"/>
    <w:rsid w:val="00CC7F1D"/>
    <w:rsid w:val="00CD04ED"/>
    <w:rsid w:val="00CD19EE"/>
    <w:rsid w:val="00CE0F31"/>
    <w:rsid w:val="00CE484B"/>
    <w:rsid w:val="00CE4900"/>
    <w:rsid w:val="00CE61E1"/>
    <w:rsid w:val="00CF0B44"/>
    <w:rsid w:val="00CF0DEE"/>
    <w:rsid w:val="00CF2C05"/>
    <w:rsid w:val="00CF3DFB"/>
    <w:rsid w:val="00CF597E"/>
    <w:rsid w:val="00CF6EDE"/>
    <w:rsid w:val="00D00310"/>
    <w:rsid w:val="00D006AE"/>
    <w:rsid w:val="00D007EE"/>
    <w:rsid w:val="00D0149E"/>
    <w:rsid w:val="00D01CF0"/>
    <w:rsid w:val="00D01EFD"/>
    <w:rsid w:val="00D0442A"/>
    <w:rsid w:val="00D06055"/>
    <w:rsid w:val="00D066B7"/>
    <w:rsid w:val="00D11426"/>
    <w:rsid w:val="00D13B2D"/>
    <w:rsid w:val="00D17683"/>
    <w:rsid w:val="00D236B0"/>
    <w:rsid w:val="00D24B83"/>
    <w:rsid w:val="00D34039"/>
    <w:rsid w:val="00D36FCC"/>
    <w:rsid w:val="00D41E80"/>
    <w:rsid w:val="00D45694"/>
    <w:rsid w:val="00D46B78"/>
    <w:rsid w:val="00D46BD3"/>
    <w:rsid w:val="00D47AF3"/>
    <w:rsid w:val="00D50521"/>
    <w:rsid w:val="00D5239F"/>
    <w:rsid w:val="00D54EE5"/>
    <w:rsid w:val="00D608F6"/>
    <w:rsid w:val="00D60EFF"/>
    <w:rsid w:val="00D61388"/>
    <w:rsid w:val="00D613AB"/>
    <w:rsid w:val="00D61A54"/>
    <w:rsid w:val="00D64275"/>
    <w:rsid w:val="00D64920"/>
    <w:rsid w:val="00D64DEA"/>
    <w:rsid w:val="00D7168E"/>
    <w:rsid w:val="00D71E57"/>
    <w:rsid w:val="00D75AA2"/>
    <w:rsid w:val="00D75C8B"/>
    <w:rsid w:val="00D7645E"/>
    <w:rsid w:val="00D80893"/>
    <w:rsid w:val="00D815DF"/>
    <w:rsid w:val="00D82FD3"/>
    <w:rsid w:val="00D84854"/>
    <w:rsid w:val="00D848B4"/>
    <w:rsid w:val="00D859A4"/>
    <w:rsid w:val="00D860EC"/>
    <w:rsid w:val="00D86B06"/>
    <w:rsid w:val="00D87C46"/>
    <w:rsid w:val="00D91021"/>
    <w:rsid w:val="00D92CF1"/>
    <w:rsid w:val="00D92D38"/>
    <w:rsid w:val="00D950F5"/>
    <w:rsid w:val="00DA0BCC"/>
    <w:rsid w:val="00DA1A6F"/>
    <w:rsid w:val="00DA3432"/>
    <w:rsid w:val="00DA393E"/>
    <w:rsid w:val="00DA4752"/>
    <w:rsid w:val="00DA61F3"/>
    <w:rsid w:val="00DA6B93"/>
    <w:rsid w:val="00DA6F94"/>
    <w:rsid w:val="00DB0367"/>
    <w:rsid w:val="00DB0F93"/>
    <w:rsid w:val="00DB1A67"/>
    <w:rsid w:val="00DB1E4C"/>
    <w:rsid w:val="00DB4BE5"/>
    <w:rsid w:val="00DB5074"/>
    <w:rsid w:val="00DB5B21"/>
    <w:rsid w:val="00DB5D88"/>
    <w:rsid w:val="00DC0F0C"/>
    <w:rsid w:val="00DC60BF"/>
    <w:rsid w:val="00DC789F"/>
    <w:rsid w:val="00DC7981"/>
    <w:rsid w:val="00DD1C15"/>
    <w:rsid w:val="00DD7DB4"/>
    <w:rsid w:val="00DE0167"/>
    <w:rsid w:val="00DE1093"/>
    <w:rsid w:val="00DE4EFA"/>
    <w:rsid w:val="00DE5520"/>
    <w:rsid w:val="00DE563D"/>
    <w:rsid w:val="00DE5E2E"/>
    <w:rsid w:val="00DE772C"/>
    <w:rsid w:val="00DF04E1"/>
    <w:rsid w:val="00DF0E20"/>
    <w:rsid w:val="00DF1D9A"/>
    <w:rsid w:val="00DF312A"/>
    <w:rsid w:val="00DF6866"/>
    <w:rsid w:val="00E0192F"/>
    <w:rsid w:val="00E04603"/>
    <w:rsid w:val="00E04818"/>
    <w:rsid w:val="00E06442"/>
    <w:rsid w:val="00E06BCF"/>
    <w:rsid w:val="00E1001C"/>
    <w:rsid w:val="00E11949"/>
    <w:rsid w:val="00E23993"/>
    <w:rsid w:val="00E257D6"/>
    <w:rsid w:val="00E25B8C"/>
    <w:rsid w:val="00E31088"/>
    <w:rsid w:val="00E3544F"/>
    <w:rsid w:val="00E45C83"/>
    <w:rsid w:val="00E46640"/>
    <w:rsid w:val="00E504D5"/>
    <w:rsid w:val="00E51D65"/>
    <w:rsid w:val="00E57C2C"/>
    <w:rsid w:val="00E57D6F"/>
    <w:rsid w:val="00E6164E"/>
    <w:rsid w:val="00E6200B"/>
    <w:rsid w:val="00E642EA"/>
    <w:rsid w:val="00E65C85"/>
    <w:rsid w:val="00E66199"/>
    <w:rsid w:val="00E70E29"/>
    <w:rsid w:val="00E70F44"/>
    <w:rsid w:val="00E711C7"/>
    <w:rsid w:val="00E72801"/>
    <w:rsid w:val="00E7494F"/>
    <w:rsid w:val="00E755EC"/>
    <w:rsid w:val="00E7624D"/>
    <w:rsid w:val="00E841FF"/>
    <w:rsid w:val="00E85690"/>
    <w:rsid w:val="00E943E6"/>
    <w:rsid w:val="00E95053"/>
    <w:rsid w:val="00E97242"/>
    <w:rsid w:val="00EA1207"/>
    <w:rsid w:val="00EA38F3"/>
    <w:rsid w:val="00EA3905"/>
    <w:rsid w:val="00EA3D42"/>
    <w:rsid w:val="00EA5D4C"/>
    <w:rsid w:val="00EA6B1B"/>
    <w:rsid w:val="00EA6ED9"/>
    <w:rsid w:val="00EB0932"/>
    <w:rsid w:val="00EB1728"/>
    <w:rsid w:val="00EB32E7"/>
    <w:rsid w:val="00EB5BC8"/>
    <w:rsid w:val="00EB606C"/>
    <w:rsid w:val="00EC04F1"/>
    <w:rsid w:val="00EC1B2B"/>
    <w:rsid w:val="00EC318A"/>
    <w:rsid w:val="00EC32E5"/>
    <w:rsid w:val="00EC4DB8"/>
    <w:rsid w:val="00ED0EC2"/>
    <w:rsid w:val="00ED1C27"/>
    <w:rsid w:val="00ED3474"/>
    <w:rsid w:val="00ED58C4"/>
    <w:rsid w:val="00ED7323"/>
    <w:rsid w:val="00EE0DFC"/>
    <w:rsid w:val="00EE28F3"/>
    <w:rsid w:val="00EE34E6"/>
    <w:rsid w:val="00EE4B5C"/>
    <w:rsid w:val="00EE50D1"/>
    <w:rsid w:val="00EE58CC"/>
    <w:rsid w:val="00EE77FA"/>
    <w:rsid w:val="00EE7A83"/>
    <w:rsid w:val="00EF1B7A"/>
    <w:rsid w:val="00EF3731"/>
    <w:rsid w:val="00EF5110"/>
    <w:rsid w:val="00F0334E"/>
    <w:rsid w:val="00F03EB5"/>
    <w:rsid w:val="00F07967"/>
    <w:rsid w:val="00F10411"/>
    <w:rsid w:val="00F15882"/>
    <w:rsid w:val="00F171E0"/>
    <w:rsid w:val="00F20BD3"/>
    <w:rsid w:val="00F20E70"/>
    <w:rsid w:val="00F22EA7"/>
    <w:rsid w:val="00F2335E"/>
    <w:rsid w:val="00F2526A"/>
    <w:rsid w:val="00F2740A"/>
    <w:rsid w:val="00F31198"/>
    <w:rsid w:val="00F3277F"/>
    <w:rsid w:val="00F34C45"/>
    <w:rsid w:val="00F35081"/>
    <w:rsid w:val="00F373A5"/>
    <w:rsid w:val="00F42E08"/>
    <w:rsid w:val="00F47559"/>
    <w:rsid w:val="00F57907"/>
    <w:rsid w:val="00F61176"/>
    <w:rsid w:val="00F61813"/>
    <w:rsid w:val="00F62A30"/>
    <w:rsid w:val="00F64C7B"/>
    <w:rsid w:val="00F65B25"/>
    <w:rsid w:val="00F676DD"/>
    <w:rsid w:val="00F71667"/>
    <w:rsid w:val="00F732FF"/>
    <w:rsid w:val="00F73895"/>
    <w:rsid w:val="00F75A26"/>
    <w:rsid w:val="00F76706"/>
    <w:rsid w:val="00F768C8"/>
    <w:rsid w:val="00F77192"/>
    <w:rsid w:val="00F81B8D"/>
    <w:rsid w:val="00F82F51"/>
    <w:rsid w:val="00F83FAD"/>
    <w:rsid w:val="00F8653A"/>
    <w:rsid w:val="00F91EC0"/>
    <w:rsid w:val="00F91F55"/>
    <w:rsid w:val="00F92349"/>
    <w:rsid w:val="00F92D80"/>
    <w:rsid w:val="00F932FA"/>
    <w:rsid w:val="00F937EF"/>
    <w:rsid w:val="00F93B21"/>
    <w:rsid w:val="00F94BAB"/>
    <w:rsid w:val="00F952A0"/>
    <w:rsid w:val="00FA2917"/>
    <w:rsid w:val="00FA3C7F"/>
    <w:rsid w:val="00FB1BF3"/>
    <w:rsid w:val="00FB4402"/>
    <w:rsid w:val="00FB60FE"/>
    <w:rsid w:val="00FB74E2"/>
    <w:rsid w:val="00FC0154"/>
    <w:rsid w:val="00FC4EE2"/>
    <w:rsid w:val="00FC71DC"/>
    <w:rsid w:val="00FC72DF"/>
    <w:rsid w:val="00FD2ED2"/>
    <w:rsid w:val="00FD5614"/>
    <w:rsid w:val="00FD5E78"/>
    <w:rsid w:val="00FE0BD1"/>
    <w:rsid w:val="00FE0BE1"/>
    <w:rsid w:val="00FE0D56"/>
    <w:rsid w:val="00FE1DE9"/>
    <w:rsid w:val="00FE2ADD"/>
    <w:rsid w:val="00FE36AF"/>
    <w:rsid w:val="00FE39C2"/>
    <w:rsid w:val="00FE3C32"/>
    <w:rsid w:val="00FE64AE"/>
    <w:rsid w:val="00FF372A"/>
    <w:rsid w:val="00FF438C"/>
    <w:rsid w:val="00FF7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TOAHeading">
    <w:name w:val="toa heading"/>
    <w:basedOn w:val="Normal"/>
    <w:next w:val="Normal"/>
    <w:uiPriority w:val="99"/>
    <w:unhideWhenUsed/>
    <w:rsid w:val="00E943E6"/>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TOAHeading">
    <w:name w:val="toa heading"/>
    <w:basedOn w:val="Normal"/>
    <w:next w:val="Normal"/>
    <w:uiPriority w:val="99"/>
    <w:unhideWhenUsed/>
    <w:rsid w:val="00E943E6"/>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084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90A70-C802-47F7-B579-57144645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170A2717</Template>
  <TotalTime>0</TotalTime>
  <Pages>26</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2017-07-03T03:26:00Z</dcterms:created>
  <dcterms:modified xsi:type="dcterms:W3CDTF">2017-07-03T03:26:00Z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