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6D0BF1" w:rsidP="00290C63">
          <w:r w:rsidRPr="006D0BF1">
            <w:rPr>
              <w:noProof/>
              <w:lang w:eastAsia="en-AU"/>
            </w:rPr>
            <w:drawing>
              <wp:anchor distT="0" distB="0" distL="114300" distR="114300" simplePos="0" relativeHeight="251659264" behindDoc="1" locked="0" layoutInCell="1" allowOverlap="1" wp14:anchorId="1503EC82" wp14:editId="5294E8E7">
                <wp:simplePos x="0" y="0"/>
                <wp:positionH relativeFrom="column">
                  <wp:posOffset>-1093470</wp:posOffset>
                </wp:positionH>
                <wp:positionV relativeFrom="paragraph">
                  <wp:posOffset>-922020</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DE45F4">
            <w:t>DRAFT</w:t>
          </w:r>
          <w:r w:rsidR="00DA4752">
            <w:t xml:space="preserve"> DECISION</w:t>
          </w:r>
        </w:p>
        <w:p w:rsidR="00415F31" w:rsidRDefault="00DE45F4" w:rsidP="008F07A3">
          <w:pPr>
            <w:pStyle w:val="ReportSubtitle"/>
          </w:pPr>
          <w:r>
            <w:t>Roma to Brisbane</w:t>
          </w:r>
          <w:r w:rsidR="00A06085">
            <w:t xml:space="preserve"> </w:t>
          </w:r>
          <w:r w:rsidR="0033548E">
            <w:t>Gas Pipeline</w:t>
          </w:r>
          <w:r w:rsidR="00CF2C05">
            <w:br/>
            <w:t>Access Arrangement</w:t>
          </w:r>
        </w:p>
        <w:p w:rsidR="000A6C7B" w:rsidRDefault="00766AC4" w:rsidP="008F07A3">
          <w:pPr>
            <w:pStyle w:val="ReportSubtitle"/>
          </w:pPr>
          <w:r>
            <w:t xml:space="preserve">2017 </w:t>
          </w:r>
          <w:r w:rsidR="00DA4752">
            <w:t xml:space="preserve">to </w:t>
          </w:r>
          <w:r>
            <w:t>2022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11949">
            <w:t>6</w:t>
          </w:r>
          <w:r w:rsidR="00DA4752">
            <w:t xml:space="preserve"> </w:t>
          </w:r>
          <w:r w:rsidR="00415F31">
            <w:rPr>
              <w:rFonts w:cs="Arial"/>
            </w:rPr>
            <w:t>–</w:t>
          </w:r>
          <w:r w:rsidR="00DA4752">
            <w:t xml:space="preserve"> </w:t>
          </w:r>
          <w:r w:rsidR="00E11949">
            <w:t>Capital</w:t>
          </w:r>
          <w:r w:rsidR="00D46BD3">
            <w:t xml:space="preserve"> expenditure</w:t>
          </w:r>
        </w:p>
        <w:p w:rsidR="000A6C7B" w:rsidRPr="00327A1E" w:rsidRDefault="00F24EB7" w:rsidP="00327A1E">
          <w:pPr>
            <w:pStyle w:val="ReportDate"/>
          </w:pPr>
          <w:r>
            <w:t>Ju</w:t>
          </w:r>
          <w:r w:rsidR="00E05419">
            <w:t>ly</w:t>
          </w:r>
          <w:r w:rsidR="005C0A7F">
            <w:t xml:space="preserve"> </w:t>
          </w:r>
          <w:r w:rsidR="001B1745">
            <w:t>2017</w:t>
          </w:r>
        </w:p>
      </w:sdtContent>
    </w:sdt>
    <w:p w:rsidR="00327A1E" w:rsidRPr="00290C63" w:rsidRDefault="00327A1E" w:rsidP="00290C63">
      <w:r>
        <w:br w:type="page"/>
      </w:r>
    </w:p>
    <w:p w:rsidR="000A6C7B" w:rsidRDefault="006D0BF1"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 xml:space="preserve">Tel: </w:t>
      </w:r>
      <w:r w:rsidR="00611C52">
        <w:t>1300 585 165</w:t>
      </w:r>
      <w:r w:rsidR="00951978">
        <w:br/>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1809"/>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DE45F4">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DE45F4">
        <w:t>Roma to Brisbane</w:t>
      </w:r>
      <w:r w:rsidR="0033548E">
        <w:t xml:space="preserve"> Gas Pipeline for </w:t>
      </w:r>
      <w:r w:rsidR="00766AC4">
        <w:t>2017</w:t>
      </w:r>
      <w:r w:rsidR="00415F31" w:rsidRPr="00D904FA">
        <w:t>–</w:t>
      </w:r>
      <w:r w:rsidR="00766AC4">
        <w:t>22</w:t>
      </w:r>
      <w:r w:rsidR="00415F31">
        <w:t xml:space="preserve">. It should be read with </w:t>
      </w:r>
      <w:r w:rsidR="005C0A7F">
        <w:t xml:space="preserve">all </w:t>
      </w:r>
      <w:r w:rsidR="00415F31">
        <w:t xml:space="preserve">other parts of the </w:t>
      </w:r>
      <w:r w:rsidR="00DE45F4">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DE45F4">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1810"/>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9195B" w:rsidRDefault="00086269">
          <w:pPr>
            <w:pStyle w:val="TOC1"/>
            <w:rPr>
              <w:rFonts w:asciiTheme="minorHAnsi" w:eastAsiaTheme="minorEastAsia" w:hAnsiTheme="minorHAnsi"/>
              <w:b w:val="0"/>
              <w:color w:val="auto"/>
              <w:sz w:val="22"/>
              <w:lang w:val="en-AU" w:eastAsia="en-AU"/>
            </w:rPr>
          </w:pPr>
          <w:r>
            <w:rPr>
              <w:color w:val="auto"/>
              <w:sz w:val="22"/>
            </w:rPr>
            <w:fldChar w:fldCharType="begin"/>
          </w:r>
          <w:r w:rsidR="00091B15">
            <w:rPr>
              <w:color w:val="auto"/>
              <w:sz w:val="22"/>
            </w:rPr>
            <w:instrText xml:space="preserve"> TOC \o "1-3" \h \z \u \t "Heading 7,1,Heading 8,2,Heading 9,3" </w:instrText>
          </w:r>
          <w:r>
            <w:rPr>
              <w:color w:val="auto"/>
              <w:sz w:val="22"/>
            </w:rPr>
            <w:fldChar w:fldCharType="separate"/>
          </w:r>
          <w:hyperlink w:anchor="_Toc486851809" w:history="1">
            <w:r w:rsidR="00D9195B" w:rsidRPr="005F67C2">
              <w:rPr>
                <w:rStyle w:val="Hyperlink"/>
              </w:rPr>
              <w:t>Note</w:t>
            </w:r>
            <w:r w:rsidR="00D9195B">
              <w:rPr>
                <w:webHidden/>
              </w:rPr>
              <w:tab/>
            </w:r>
            <w:r w:rsidR="00D9195B">
              <w:rPr>
                <w:webHidden/>
              </w:rPr>
              <w:fldChar w:fldCharType="begin"/>
            </w:r>
            <w:r w:rsidR="00D9195B">
              <w:rPr>
                <w:webHidden/>
              </w:rPr>
              <w:instrText xml:space="preserve"> PAGEREF _Toc486851809 \h </w:instrText>
            </w:r>
            <w:r w:rsidR="00D9195B">
              <w:rPr>
                <w:webHidden/>
              </w:rPr>
            </w:r>
            <w:r w:rsidR="00D9195B">
              <w:rPr>
                <w:webHidden/>
              </w:rPr>
              <w:fldChar w:fldCharType="separate"/>
            </w:r>
            <w:r w:rsidR="00582574">
              <w:rPr>
                <w:webHidden/>
              </w:rPr>
              <w:t>6-2</w:t>
            </w:r>
            <w:r w:rsidR="00D9195B">
              <w:rPr>
                <w:webHidden/>
              </w:rPr>
              <w:fldChar w:fldCharType="end"/>
            </w:r>
          </w:hyperlink>
        </w:p>
        <w:p w:rsidR="00D9195B" w:rsidRDefault="00582574">
          <w:pPr>
            <w:pStyle w:val="TOC1"/>
            <w:rPr>
              <w:rFonts w:asciiTheme="minorHAnsi" w:eastAsiaTheme="minorEastAsia" w:hAnsiTheme="minorHAnsi"/>
              <w:b w:val="0"/>
              <w:color w:val="auto"/>
              <w:sz w:val="22"/>
              <w:lang w:val="en-AU" w:eastAsia="en-AU"/>
            </w:rPr>
          </w:pPr>
          <w:hyperlink w:anchor="_Toc486851810" w:history="1">
            <w:r w:rsidR="00D9195B" w:rsidRPr="005F67C2">
              <w:rPr>
                <w:rStyle w:val="Hyperlink"/>
              </w:rPr>
              <w:t>Contents</w:t>
            </w:r>
            <w:r w:rsidR="00D9195B">
              <w:rPr>
                <w:webHidden/>
              </w:rPr>
              <w:tab/>
            </w:r>
            <w:r w:rsidR="00D9195B">
              <w:rPr>
                <w:webHidden/>
              </w:rPr>
              <w:fldChar w:fldCharType="begin"/>
            </w:r>
            <w:r w:rsidR="00D9195B">
              <w:rPr>
                <w:webHidden/>
              </w:rPr>
              <w:instrText xml:space="preserve"> PAGEREF _Toc486851810 \h </w:instrText>
            </w:r>
            <w:r w:rsidR="00D9195B">
              <w:rPr>
                <w:webHidden/>
              </w:rPr>
            </w:r>
            <w:r w:rsidR="00D9195B">
              <w:rPr>
                <w:webHidden/>
              </w:rPr>
              <w:fldChar w:fldCharType="separate"/>
            </w:r>
            <w:r>
              <w:rPr>
                <w:webHidden/>
              </w:rPr>
              <w:t>6-3</w:t>
            </w:r>
            <w:r w:rsidR="00D9195B">
              <w:rPr>
                <w:webHidden/>
              </w:rPr>
              <w:fldChar w:fldCharType="end"/>
            </w:r>
          </w:hyperlink>
        </w:p>
        <w:p w:rsidR="00D9195B" w:rsidRDefault="00582574">
          <w:pPr>
            <w:pStyle w:val="TOC1"/>
            <w:rPr>
              <w:rFonts w:asciiTheme="minorHAnsi" w:eastAsiaTheme="minorEastAsia" w:hAnsiTheme="minorHAnsi"/>
              <w:b w:val="0"/>
              <w:color w:val="auto"/>
              <w:sz w:val="22"/>
              <w:lang w:val="en-AU" w:eastAsia="en-AU"/>
            </w:rPr>
          </w:pPr>
          <w:hyperlink w:anchor="_Toc486851811" w:history="1">
            <w:r w:rsidR="00D9195B" w:rsidRPr="005F67C2">
              <w:rPr>
                <w:rStyle w:val="Hyperlink"/>
              </w:rPr>
              <w:t>Shortened forms</w:t>
            </w:r>
            <w:r w:rsidR="00D9195B">
              <w:rPr>
                <w:webHidden/>
              </w:rPr>
              <w:tab/>
            </w:r>
            <w:r w:rsidR="00D9195B">
              <w:rPr>
                <w:webHidden/>
              </w:rPr>
              <w:fldChar w:fldCharType="begin"/>
            </w:r>
            <w:r w:rsidR="00D9195B">
              <w:rPr>
                <w:webHidden/>
              </w:rPr>
              <w:instrText xml:space="preserve"> PAGEREF _Toc486851811 \h </w:instrText>
            </w:r>
            <w:r w:rsidR="00D9195B">
              <w:rPr>
                <w:webHidden/>
              </w:rPr>
            </w:r>
            <w:r w:rsidR="00D9195B">
              <w:rPr>
                <w:webHidden/>
              </w:rPr>
              <w:fldChar w:fldCharType="separate"/>
            </w:r>
            <w:r>
              <w:rPr>
                <w:webHidden/>
              </w:rPr>
              <w:t>6-5</w:t>
            </w:r>
            <w:r w:rsidR="00D9195B">
              <w:rPr>
                <w:webHidden/>
              </w:rPr>
              <w:fldChar w:fldCharType="end"/>
            </w:r>
          </w:hyperlink>
        </w:p>
        <w:p w:rsidR="00D9195B" w:rsidRDefault="00582574">
          <w:pPr>
            <w:pStyle w:val="TOC1"/>
            <w:rPr>
              <w:rFonts w:asciiTheme="minorHAnsi" w:eastAsiaTheme="minorEastAsia" w:hAnsiTheme="minorHAnsi"/>
              <w:b w:val="0"/>
              <w:color w:val="auto"/>
              <w:sz w:val="22"/>
              <w:lang w:val="en-AU" w:eastAsia="en-AU"/>
            </w:rPr>
          </w:pPr>
          <w:hyperlink w:anchor="_Toc486851812" w:history="1">
            <w:r w:rsidR="00D9195B" w:rsidRPr="005F67C2">
              <w:rPr>
                <w:rStyle w:val="Hyperlink"/>
              </w:rPr>
              <w:t>6</w:t>
            </w:r>
            <w:r w:rsidR="00D9195B">
              <w:rPr>
                <w:rFonts w:asciiTheme="minorHAnsi" w:eastAsiaTheme="minorEastAsia" w:hAnsiTheme="minorHAnsi"/>
                <w:b w:val="0"/>
                <w:color w:val="auto"/>
                <w:sz w:val="22"/>
                <w:lang w:val="en-AU" w:eastAsia="en-AU"/>
              </w:rPr>
              <w:tab/>
            </w:r>
            <w:r w:rsidR="00D9195B" w:rsidRPr="005F67C2">
              <w:rPr>
                <w:rStyle w:val="Hyperlink"/>
              </w:rPr>
              <w:t>Capital expenditure</w:t>
            </w:r>
            <w:r w:rsidR="00D9195B">
              <w:rPr>
                <w:webHidden/>
              </w:rPr>
              <w:tab/>
            </w:r>
            <w:r w:rsidR="00D9195B">
              <w:rPr>
                <w:webHidden/>
              </w:rPr>
              <w:fldChar w:fldCharType="begin"/>
            </w:r>
            <w:r w:rsidR="00D9195B">
              <w:rPr>
                <w:webHidden/>
              </w:rPr>
              <w:instrText xml:space="preserve"> PAGEREF _Toc486851812 \h </w:instrText>
            </w:r>
            <w:r w:rsidR="00D9195B">
              <w:rPr>
                <w:webHidden/>
              </w:rPr>
            </w:r>
            <w:r w:rsidR="00D9195B">
              <w:rPr>
                <w:webHidden/>
              </w:rPr>
              <w:fldChar w:fldCharType="separate"/>
            </w:r>
            <w:r>
              <w:rPr>
                <w:webHidden/>
              </w:rPr>
              <w:t>6-6</w:t>
            </w:r>
            <w:r w:rsidR="00D9195B">
              <w:rPr>
                <w:webHidden/>
              </w:rPr>
              <w:fldChar w:fldCharType="end"/>
            </w:r>
          </w:hyperlink>
        </w:p>
        <w:p w:rsidR="00D9195B" w:rsidRDefault="00582574">
          <w:pPr>
            <w:pStyle w:val="TOC2"/>
            <w:rPr>
              <w:rFonts w:asciiTheme="minorHAnsi" w:eastAsiaTheme="minorEastAsia" w:hAnsiTheme="minorHAnsi"/>
              <w:b w:val="0"/>
              <w:color w:val="auto"/>
              <w:sz w:val="22"/>
              <w:lang w:eastAsia="en-AU"/>
            </w:rPr>
          </w:pPr>
          <w:hyperlink w:anchor="_Toc486851813" w:history="1">
            <w:r w:rsidR="00D9195B" w:rsidRPr="005F67C2">
              <w:rPr>
                <w:rStyle w:val="Hyperlink"/>
              </w:rPr>
              <w:t>6.1</w:t>
            </w:r>
            <w:r w:rsidR="00D9195B">
              <w:rPr>
                <w:rFonts w:asciiTheme="minorHAnsi" w:eastAsiaTheme="minorEastAsia" w:hAnsiTheme="minorHAnsi"/>
                <w:b w:val="0"/>
                <w:color w:val="auto"/>
                <w:sz w:val="22"/>
                <w:lang w:eastAsia="en-AU"/>
              </w:rPr>
              <w:tab/>
            </w:r>
            <w:r w:rsidR="00D9195B" w:rsidRPr="005F67C2">
              <w:rPr>
                <w:rStyle w:val="Hyperlink"/>
              </w:rPr>
              <w:t>Draft decision</w:t>
            </w:r>
            <w:r w:rsidR="00D9195B">
              <w:rPr>
                <w:webHidden/>
              </w:rPr>
              <w:tab/>
            </w:r>
            <w:r w:rsidR="00D9195B">
              <w:rPr>
                <w:webHidden/>
              </w:rPr>
              <w:fldChar w:fldCharType="begin"/>
            </w:r>
            <w:r w:rsidR="00D9195B">
              <w:rPr>
                <w:webHidden/>
              </w:rPr>
              <w:instrText xml:space="preserve"> PAGEREF _Toc486851813 \h </w:instrText>
            </w:r>
            <w:r w:rsidR="00D9195B">
              <w:rPr>
                <w:webHidden/>
              </w:rPr>
            </w:r>
            <w:r w:rsidR="00D9195B">
              <w:rPr>
                <w:webHidden/>
              </w:rPr>
              <w:fldChar w:fldCharType="separate"/>
            </w:r>
            <w:r>
              <w:rPr>
                <w:webHidden/>
              </w:rPr>
              <w:t>6-6</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14" w:history="1">
            <w:r w:rsidR="00D9195B" w:rsidRPr="005F67C2">
              <w:rPr>
                <w:rStyle w:val="Hyperlink"/>
              </w:rPr>
              <w:t>6.1.1</w:t>
            </w:r>
            <w:r w:rsidR="00D9195B">
              <w:rPr>
                <w:rFonts w:asciiTheme="minorHAnsi" w:eastAsiaTheme="minorEastAsia" w:hAnsiTheme="minorHAnsi"/>
                <w:lang w:eastAsia="en-AU"/>
              </w:rPr>
              <w:tab/>
            </w:r>
            <w:r w:rsidR="00D9195B" w:rsidRPr="005F67C2">
              <w:rPr>
                <w:rStyle w:val="Hyperlink"/>
              </w:rPr>
              <w:t>Conforming capex for 2011–17</w:t>
            </w:r>
            <w:r w:rsidR="00D9195B">
              <w:rPr>
                <w:webHidden/>
              </w:rPr>
              <w:tab/>
            </w:r>
            <w:r w:rsidR="00D9195B">
              <w:rPr>
                <w:webHidden/>
              </w:rPr>
              <w:fldChar w:fldCharType="begin"/>
            </w:r>
            <w:r w:rsidR="00D9195B">
              <w:rPr>
                <w:webHidden/>
              </w:rPr>
              <w:instrText xml:space="preserve"> PAGEREF _Toc486851814 \h </w:instrText>
            </w:r>
            <w:r w:rsidR="00D9195B">
              <w:rPr>
                <w:webHidden/>
              </w:rPr>
            </w:r>
            <w:r w:rsidR="00D9195B">
              <w:rPr>
                <w:webHidden/>
              </w:rPr>
              <w:fldChar w:fldCharType="separate"/>
            </w:r>
            <w:r>
              <w:rPr>
                <w:webHidden/>
              </w:rPr>
              <w:t>6-6</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15" w:history="1">
            <w:r w:rsidR="00D9195B" w:rsidRPr="005F67C2">
              <w:rPr>
                <w:rStyle w:val="Hyperlink"/>
              </w:rPr>
              <w:t>6.1.2</w:t>
            </w:r>
            <w:r w:rsidR="00D9195B">
              <w:rPr>
                <w:rFonts w:asciiTheme="minorHAnsi" w:eastAsiaTheme="minorEastAsia" w:hAnsiTheme="minorHAnsi"/>
                <w:lang w:eastAsia="en-AU"/>
              </w:rPr>
              <w:tab/>
            </w:r>
            <w:r w:rsidR="00D9195B" w:rsidRPr="005F67C2">
              <w:rPr>
                <w:rStyle w:val="Hyperlink"/>
              </w:rPr>
              <w:t>Conforming capex for the 2017–22 access arrangement period</w:t>
            </w:r>
            <w:r w:rsidR="00D9195B">
              <w:rPr>
                <w:webHidden/>
              </w:rPr>
              <w:tab/>
            </w:r>
            <w:r w:rsidR="00D9195B">
              <w:rPr>
                <w:webHidden/>
              </w:rPr>
              <w:fldChar w:fldCharType="begin"/>
            </w:r>
            <w:r w:rsidR="00D9195B">
              <w:rPr>
                <w:webHidden/>
              </w:rPr>
              <w:instrText xml:space="preserve"> PAGEREF _Toc486851815 \h </w:instrText>
            </w:r>
            <w:r w:rsidR="00D9195B">
              <w:rPr>
                <w:webHidden/>
              </w:rPr>
            </w:r>
            <w:r w:rsidR="00D9195B">
              <w:rPr>
                <w:webHidden/>
              </w:rPr>
              <w:fldChar w:fldCharType="separate"/>
            </w:r>
            <w:r>
              <w:rPr>
                <w:webHidden/>
              </w:rPr>
              <w:t>6-7</w:t>
            </w:r>
            <w:r w:rsidR="00D9195B">
              <w:rPr>
                <w:webHidden/>
              </w:rPr>
              <w:fldChar w:fldCharType="end"/>
            </w:r>
          </w:hyperlink>
        </w:p>
        <w:p w:rsidR="00D9195B" w:rsidRDefault="00582574">
          <w:pPr>
            <w:pStyle w:val="TOC2"/>
            <w:rPr>
              <w:rFonts w:asciiTheme="minorHAnsi" w:eastAsiaTheme="minorEastAsia" w:hAnsiTheme="minorHAnsi"/>
              <w:b w:val="0"/>
              <w:color w:val="auto"/>
              <w:sz w:val="22"/>
              <w:lang w:eastAsia="en-AU"/>
            </w:rPr>
          </w:pPr>
          <w:hyperlink w:anchor="_Toc486851816" w:history="1">
            <w:r w:rsidR="00D9195B" w:rsidRPr="005F67C2">
              <w:rPr>
                <w:rStyle w:val="Hyperlink"/>
              </w:rPr>
              <w:t>6.2</w:t>
            </w:r>
            <w:r w:rsidR="00D9195B">
              <w:rPr>
                <w:rFonts w:asciiTheme="minorHAnsi" w:eastAsiaTheme="minorEastAsia" w:hAnsiTheme="minorHAnsi"/>
                <w:b w:val="0"/>
                <w:color w:val="auto"/>
                <w:sz w:val="22"/>
                <w:lang w:eastAsia="en-AU"/>
              </w:rPr>
              <w:tab/>
            </w:r>
            <w:r w:rsidR="00D9195B" w:rsidRPr="005F67C2">
              <w:rPr>
                <w:rStyle w:val="Hyperlink"/>
              </w:rPr>
              <w:t>APTPPL's proposal</w:t>
            </w:r>
            <w:r w:rsidR="00D9195B">
              <w:rPr>
                <w:webHidden/>
              </w:rPr>
              <w:tab/>
            </w:r>
            <w:r w:rsidR="00D9195B">
              <w:rPr>
                <w:webHidden/>
              </w:rPr>
              <w:fldChar w:fldCharType="begin"/>
            </w:r>
            <w:r w:rsidR="00D9195B">
              <w:rPr>
                <w:webHidden/>
              </w:rPr>
              <w:instrText xml:space="preserve"> PAGEREF _Toc486851816 \h </w:instrText>
            </w:r>
            <w:r w:rsidR="00D9195B">
              <w:rPr>
                <w:webHidden/>
              </w:rPr>
            </w:r>
            <w:r w:rsidR="00D9195B">
              <w:rPr>
                <w:webHidden/>
              </w:rPr>
              <w:fldChar w:fldCharType="separate"/>
            </w:r>
            <w:r>
              <w:rPr>
                <w:webHidden/>
              </w:rPr>
              <w:t>6-8</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17" w:history="1">
            <w:r w:rsidR="00D9195B" w:rsidRPr="005F67C2">
              <w:rPr>
                <w:rStyle w:val="Hyperlink"/>
              </w:rPr>
              <w:t>6.2.1</w:t>
            </w:r>
            <w:r w:rsidR="00D9195B">
              <w:rPr>
                <w:rFonts w:asciiTheme="minorHAnsi" w:eastAsiaTheme="minorEastAsia" w:hAnsiTheme="minorHAnsi"/>
                <w:lang w:eastAsia="en-AU"/>
              </w:rPr>
              <w:tab/>
            </w:r>
            <w:r w:rsidR="00D9195B" w:rsidRPr="005F67C2">
              <w:rPr>
                <w:rStyle w:val="Hyperlink"/>
              </w:rPr>
              <w:t>Capital expenditure over the 2012–17 access arrangement period</w:t>
            </w:r>
            <w:r w:rsidR="00D9195B">
              <w:rPr>
                <w:webHidden/>
              </w:rPr>
              <w:tab/>
            </w:r>
            <w:r w:rsidR="00D9195B">
              <w:rPr>
                <w:webHidden/>
              </w:rPr>
              <w:fldChar w:fldCharType="begin"/>
            </w:r>
            <w:r w:rsidR="00D9195B">
              <w:rPr>
                <w:webHidden/>
              </w:rPr>
              <w:instrText xml:space="preserve"> PAGEREF _Toc486851817 \h </w:instrText>
            </w:r>
            <w:r w:rsidR="00D9195B">
              <w:rPr>
                <w:webHidden/>
              </w:rPr>
            </w:r>
            <w:r w:rsidR="00D9195B">
              <w:rPr>
                <w:webHidden/>
              </w:rPr>
              <w:fldChar w:fldCharType="separate"/>
            </w:r>
            <w:r>
              <w:rPr>
                <w:webHidden/>
              </w:rPr>
              <w:t>6-8</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18" w:history="1">
            <w:r w:rsidR="00D9195B" w:rsidRPr="005F67C2">
              <w:rPr>
                <w:rStyle w:val="Hyperlink"/>
              </w:rPr>
              <w:t>6.2.2</w:t>
            </w:r>
            <w:r w:rsidR="00D9195B">
              <w:rPr>
                <w:rFonts w:asciiTheme="minorHAnsi" w:eastAsiaTheme="minorEastAsia" w:hAnsiTheme="minorHAnsi"/>
                <w:lang w:eastAsia="en-AU"/>
              </w:rPr>
              <w:tab/>
            </w:r>
            <w:r w:rsidR="00D9195B" w:rsidRPr="005F67C2">
              <w:rPr>
                <w:rStyle w:val="Hyperlink"/>
              </w:rPr>
              <w:t>Proposed capital expenditure for the 2017–22 access arrangement period</w:t>
            </w:r>
            <w:r w:rsidR="00D9195B">
              <w:rPr>
                <w:webHidden/>
              </w:rPr>
              <w:tab/>
            </w:r>
            <w:r w:rsidR="00D9195B">
              <w:rPr>
                <w:webHidden/>
              </w:rPr>
              <w:tab/>
            </w:r>
            <w:r w:rsidR="00D9195B">
              <w:rPr>
                <w:webHidden/>
              </w:rPr>
              <w:fldChar w:fldCharType="begin"/>
            </w:r>
            <w:r w:rsidR="00D9195B">
              <w:rPr>
                <w:webHidden/>
              </w:rPr>
              <w:instrText xml:space="preserve"> PAGEREF _Toc486851818 \h </w:instrText>
            </w:r>
            <w:r w:rsidR="00D9195B">
              <w:rPr>
                <w:webHidden/>
              </w:rPr>
            </w:r>
            <w:r w:rsidR="00D9195B">
              <w:rPr>
                <w:webHidden/>
              </w:rPr>
              <w:fldChar w:fldCharType="separate"/>
            </w:r>
            <w:r>
              <w:rPr>
                <w:webHidden/>
              </w:rPr>
              <w:t>6-9</w:t>
            </w:r>
            <w:r w:rsidR="00D9195B">
              <w:rPr>
                <w:webHidden/>
              </w:rPr>
              <w:fldChar w:fldCharType="end"/>
            </w:r>
          </w:hyperlink>
        </w:p>
        <w:p w:rsidR="00D9195B" w:rsidRDefault="00582574">
          <w:pPr>
            <w:pStyle w:val="TOC2"/>
            <w:rPr>
              <w:rFonts w:asciiTheme="minorHAnsi" w:eastAsiaTheme="minorEastAsia" w:hAnsiTheme="minorHAnsi"/>
              <w:b w:val="0"/>
              <w:color w:val="auto"/>
              <w:sz w:val="22"/>
              <w:lang w:eastAsia="en-AU"/>
            </w:rPr>
          </w:pPr>
          <w:hyperlink w:anchor="_Toc486851819" w:history="1">
            <w:r w:rsidR="00D9195B" w:rsidRPr="005F67C2">
              <w:rPr>
                <w:rStyle w:val="Hyperlink"/>
              </w:rPr>
              <w:t>6.3</w:t>
            </w:r>
            <w:r w:rsidR="00D9195B">
              <w:rPr>
                <w:rFonts w:asciiTheme="minorHAnsi" w:eastAsiaTheme="minorEastAsia" w:hAnsiTheme="minorHAnsi"/>
                <w:b w:val="0"/>
                <w:color w:val="auto"/>
                <w:sz w:val="22"/>
                <w:lang w:eastAsia="en-AU"/>
              </w:rPr>
              <w:tab/>
            </w:r>
            <w:r w:rsidR="00D9195B" w:rsidRPr="005F67C2">
              <w:rPr>
                <w:rStyle w:val="Hyperlink"/>
              </w:rPr>
              <w:t>Assessment approach</w:t>
            </w:r>
            <w:r w:rsidR="00D9195B">
              <w:rPr>
                <w:webHidden/>
              </w:rPr>
              <w:tab/>
            </w:r>
            <w:r w:rsidR="00D9195B">
              <w:rPr>
                <w:webHidden/>
              </w:rPr>
              <w:fldChar w:fldCharType="begin"/>
            </w:r>
            <w:r w:rsidR="00D9195B">
              <w:rPr>
                <w:webHidden/>
              </w:rPr>
              <w:instrText xml:space="preserve"> PAGEREF _Toc486851819 \h </w:instrText>
            </w:r>
            <w:r w:rsidR="00D9195B">
              <w:rPr>
                <w:webHidden/>
              </w:rPr>
            </w:r>
            <w:r w:rsidR="00D9195B">
              <w:rPr>
                <w:webHidden/>
              </w:rPr>
              <w:fldChar w:fldCharType="separate"/>
            </w:r>
            <w:r>
              <w:rPr>
                <w:webHidden/>
              </w:rPr>
              <w:t>6-10</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0" w:history="1">
            <w:r w:rsidR="00D9195B" w:rsidRPr="005F67C2">
              <w:rPr>
                <w:rStyle w:val="Hyperlink"/>
              </w:rPr>
              <w:t>6.3.1</w:t>
            </w:r>
            <w:r w:rsidR="00D9195B">
              <w:rPr>
                <w:rFonts w:asciiTheme="minorHAnsi" w:eastAsiaTheme="minorEastAsia" w:hAnsiTheme="minorHAnsi"/>
                <w:lang w:eastAsia="en-AU"/>
              </w:rPr>
              <w:tab/>
            </w:r>
            <w:r w:rsidR="00D9195B" w:rsidRPr="005F67C2">
              <w:rPr>
                <w:rStyle w:val="Hyperlink"/>
              </w:rPr>
              <w:t>Capex in the 2012–17 access arrangement period</w:t>
            </w:r>
            <w:r w:rsidR="00D9195B">
              <w:rPr>
                <w:webHidden/>
              </w:rPr>
              <w:tab/>
            </w:r>
            <w:r w:rsidR="00D9195B">
              <w:rPr>
                <w:webHidden/>
              </w:rPr>
              <w:fldChar w:fldCharType="begin"/>
            </w:r>
            <w:r w:rsidR="00D9195B">
              <w:rPr>
                <w:webHidden/>
              </w:rPr>
              <w:instrText xml:space="preserve"> PAGEREF _Toc486851820 \h </w:instrText>
            </w:r>
            <w:r w:rsidR="00D9195B">
              <w:rPr>
                <w:webHidden/>
              </w:rPr>
            </w:r>
            <w:r w:rsidR="00D9195B">
              <w:rPr>
                <w:webHidden/>
              </w:rPr>
              <w:fldChar w:fldCharType="separate"/>
            </w:r>
            <w:r>
              <w:rPr>
                <w:webHidden/>
              </w:rPr>
              <w:t>6-10</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1" w:history="1">
            <w:r w:rsidR="00D9195B" w:rsidRPr="005F67C2">
              <w:rPr>
                <w:rStyle w:val="Hyperlink"/>
              </w:rPr>
              <w:t>6.3.2</w:t>
            </w:r>
            <w:r w:rsidR="00D9195B">
              <w:rPr>
                <w:rFonts w:asciiTheme="minorHAnsi" w:eastAsiaTheme="minorEastAsia" w:hAnsiTheme="minorHAnsi"/>
                <w:lang w:eastAsia="en-AU"/>
              </w:rPr>
              <w:tab/>
            </w:r>
            <w:r w:rsidR="00D9195B" w:rsidRPr="005F67C2">
              <w:rPr>
                <w:rStyle w:val="Hyperlink"/>
              </w:rPr>
              <w:t>Capex for the 2017–22 access arrangement period</w:t>
            </w:r>
            <w:r w:rsidR="00D9195B">
              <w:rPr>
                <w:webHidden/>
              </w:rPr>
              <w:tab/>
            </w:r>
            <w:r w:rsidR="00D9195B">
              <w:rPr>
                <w:webHidden/>
              </w:rPr>
              <w:fldChar w:fldCharType="begin"/>
            </w:r>
            <w:r w:rsidR="00D9195B">
              <w:rPr>
                <w:webHidden/>
              </w:rPr>
              <w:instrText xml:space="preserve"> PAGEREF _Toc486851821 \h </w:instrText>
            </w:r>
            <w:r w:rsidR="00D9195B">
              <w:rPr>
                <w:webHidden/>
              </w:rPr>
            </w:r>
            <w:r w:rsidR="00D9195B">
              <w:rPr>
                <w:webHidden/>
              </w:rPr>
              <w:fldChar w:fldCharType="separate"/>
            </w:r>
            <w:r>
              <w:rPr>
                <w:webHidden/>
              </w:rPr>
              <w:t>6-11</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2" w:history="1">
            <w:r w:rsidR="00D9195B" w:rsidRPr="005F67C2">
              <w:rPr>
                <w:rStyle w:val="Hyperlink"/>
              </w:rPr>
              <w:t>6.3.3</w:t>
            </w:r>
            <w:r w:rsidR="00D9195B">
              <w:rPr>
                <w:rFonts w:asciiTheme="minorHAnsi" w:eastAsiaTheme="minorEastAsia" w:hAnsiTheme="minorHAnsi"/>
                <w:lang w:eastAsia="en-AU"/>
              </w:rPr>
              <w:tab/>
            </w:r>
            <w:r w:rsidR="00D9195B" w:rsidRPr="005F67C2">
              <w:rPr>
                <w:rStyle w:val="Hyperlink"/>
              </w:rPr>
              <w:t>Interrelationships</w:t>
            </w:r>
            <w:r w:rsidR="00D9195B">
              <w:rPr>
                <w:webHidden/>
              </w:rPr>
              <w:tab/>
            </w:r>
            <w:r w:rsidR="00D9195B">
              <w:rPr>
                <w:webHidden/>
              </w:rPr>
              <w:fldChar w:fldCharType="begin"/>
            </w:r>
            <w:r w:rsidR="00D9195B">
              <w:rPr>
                <w:webHidden/>
              </w:rPr>
              <w:instrText xml:space="preserve"> PAGEREF _Toc486851822 \h </w:instrText>
            </w:r>
            <w:r w:rsidR="00D9195B">
              <w:rPr>
                <w:webHidden/>
              </w:rPr>
            </w:r>
            <w:r w:rsidR="00D9195B">
              <w:rPr>
                <w:webHidden/>
              </w:rPr>
              <w:fldChar w:fldCharType="separate"/>
            </w:r>
            <w:r>
              <w:rPr>
                <w:webHidden/>
              </w:rPr>
              <w:t>6-12</w:t>
            </w:r>
            <w:r w:rsidR="00D9195B">
              <w:rPr>
                <w:webHidden/>
              </w:rPr>
              <w:fldChar w:fldCharType="end"/>
            </w:r>
          </w:hyperlink>
        </w:p>
        <w:p w:rsidR="00D9195B" w:rsidRDefault="00582574">
          <w:pPr>
            <w:pStyle w:val="TOC2"/>
            <w:rPr>
              <w:rFonts w:asciiTheme="minorHAnsi" w:eastAsiaTheme="minorEastAsia" w:hAnsiTheme="minorHAnsi"/>
              <w:b w:val="0"/>
              <w:color w:val="auto"/>
              <w:sz w:val="22"/>
              <w:lang w:eastAsia="en-AU"/>
            </w:rPr>
          </w:pPr>
          <w:hyperlink w:anchor="_Toc486851823" w:history="1">
            <w:r w:rsidR="00D9195B" w:rsidRPr="005F67C2">
              <w:rPr>
                <w:rStyle w:val="Hyperlink"/>
              </w:rPr>
              <w:t>6.4</w:t>
            </w:r>
            <w:r w:rsidR="00D9195B">
              <w:rPr>
                <w:rFonts w:asciiTheme="minorHAnsi" w:eastAsiaTheme="minorEastAsia" w:hAnsiTheme="minorHAnsi"/>
                <w:b w:val="0"/>
                <w:color w:val="auto"/>
                <w:sz w:val="22"/>
                <w:lang w:eastAsia="en-AU"/>
              </w:rPr>
              <w:tab/>
            </w:r>
            <w:r w:rsidR="00D9195B" w:rsidRPr="005F67C2">
              <w:rPr>
                <w:rStyle w:val="Hyperlink"/>
              </w:rPr>
              <w:t>Reasons for final decision</w:t>
            </w:r>
            <w:r w:rsidR="00D9195B">
              <w:rPr>
                <w:webHidden/>
              </w:rPr>
              <w:tab/>
            </w:r>
            <w:r w:rsidR="00D9195B">
              <w:rPr>
                <w:webHidden/>
              </w:rPr>
              <w:fldChar w:fldCharType="begin"/>
            </w:r>
            <w:r w:rsidR="00D9195B">
              <w:rPr>
                <w:webHidden/>
              </w:rPr>
              <w:instrText xml:space="preserve"> PAGEREF _Toc486851823 \h </w:instrText>
            </w:r>
            <w:r w:rsidR="00D9195B">
              <w:rPr>
                <w:webHidden/>
              </w:rPr>
            </w:r>
            <w:r w:rsidR="00D9195B">
              <w:rPr>
                <w:webHidden/>
              </w:rPr>
              <w:fldChar w:fldCharType="separate"/>
            </w:r>
            <w:r>
              <w:rPr>
                <w:webHidden/>
              </w:rPr>
              <w:t>6-12</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4" w:history="1">
            <w:r w:rsidR="00D9195B" w:rsidRPr="005F67C2">
              <w:rPr>
                <w:rStyle w:val="Hyperlink"/>
              </w:rPr>
              <w:t>6.4.1</w:t>
            </w:r>
            <w:r w:rsidR="00D9195B">
              <w:rPr>
                <w:rFonts w:asciiTheme="minorHAnsi" w:eastAsiaTheme="minorEastAsia" w:hAnsiTheme="minorHAnsi"/>
                <w:lang w:eastAsia="en-AU"/>
              </w:rPr>
              <w:tab/>
            </w:r>
            <w:r w:rsidR="00D9195B" w:rsidRPr="005F67C2">
              <w:rPr>
                <w:rStyle w:val="Hyperlink"/>
              </w:rPr>
              <w:t>Conforming capital expenditure for 2011–17</w:t>
            </w:r>
            <w:r w:rsidR="00D9195B">
              <w:rPr>
                <w:webHidden/>
              </w:rPr>
              <w:tab/>
            </w:r>
            <w:r w:rsidR="00D9195B">
              <w:rPr>
                <w:webHidden/>
              </w:rPr>
              <w:fldChar w:fldCharType="begin"/>
            </w:r>
            <w:r w:rsidR="00D9195B">
              <w:rPr>
                <w:webHidden/>
              </w:rPr>
              <w:instrText xml:space="preserve"> PAGEREF _Toc486851824 \h </w:instrText>
            </w:r>
            <w:r w:rsidR="00D9195B">
              <w:rPr>
                <w:webHidden/>
              </w:rPr>
            </w:r>
            <w:r w:rsidR="00D9195B">
              <w:rPr>
                <w:webHidden/>
              </w:rPr>
              <w:fldChar w:fldCharType="separate"/>
            </w:r>
            <w:r>
              <w:rPr>
                <w:webHidden/>
              </w:rPr>
              <w:t>6-12</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5" w:history="1">
            <w:r w:rsidR="00D9195B" w:rsidRPr="005F67C2">
              <w:rPr>
                <w:rStyle w:val="Hyperlink"/>
              </w:rPr>
              <w:t>Expansion capex</w:t>
            </w:r>
            <w:r w:rsidR="00D9195B">
              <w:rPr>
                <w:webHidden/>
              </w:rPr>
              <w:tab/>
            </w:r>
            <w:r w:rsidR="00D9195B">
              <w:rPr>
                <w:webHidden/>
              </w:rPr>
              <w:fldChar w:fldCharType="begin"/>
            </w:r>
            <w:r w:rsidR="00D9195B">
              <w:rPr>
                <w:webHidden/>
              </w:rPr>
              <w:instrText xml:space="preserve"> PAGEREF _Toc486851825 \h </w:instrText>
            </w:r>
            <w:r w:rsidR="00D9195B">
              <w:rPr>
                <w:webHidden/>
              </w:rPr>
            </w:r>
            <w:r w:rsidR="00D9195B">
              <w:rPr>
                <w:webHidden/>
              </w:rPr>
              <w:fldChar w:fldCharType="separate"/>
            </w:r>
            <w:r>
              <w:rPr>
                <w:webHidden/>
              </w:rPr>
              <w:t>6-13</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6" w:history="1">
            <w:r w:rsidR="00D9195B" w:rsidRPr="005F67C2">
              <w:rPr>
                <w:rStyle w:val="Hyperlink"/>
              </w:rPr>
              <w:t>Replacement capex</w:t>
            </w:r>
            <w:r w:rsidR="00D9195B">
              <w:rPr>
                <w:webHidden/>
              </w:rPr>
              <w:tab/>
            </w:r>
            <w:r w:rsidR="00D9195B">
              <w:rPr>
                <w:webHidden/>
              </w:rPr>
              <w:fldChar w:fldCharType="begin"/>
            </w:r>
            <w:r w:rsidR="00D9195B">
              <w:rPr>
                <w:webHidden/>
              </w:rPr>
              <w:instrText xml:space="preserve"> PAGEREF _Toc486851826 \h </w:instrText>
            </w:r>
            <w:r w:rsidR="00D9195B">
              <w:rPr>
                <w:webHidden/>
              </w:rPr>
            </w:r>
            <w:r w:rsidR="00D9195B">
              <w:rPr>
                <w:webHidden/>
              </w:rPr>
              <w:fldChar w:fldCharType="separate"/>
            </w:r>
            <w:r>
              <w:rPr>
                <w:webHidden/>
              </w:rPr>
              <w:t>6-14</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7" w:history="1">
            <w:r w:rsidR="00D9195B" w:rsidRPr="005F67C2">
              <w:rPr>
                <w:rStyle w:val="Hyperlink"/>
              </w:rPr>
              <w:t>Stay in business capex</w:t>
            </w:r>
            <w:r w:rsidR="00D9195B">
              <w:rPr>
                <w:webHidden/>
              </w:rPr>
              <w:tab/>
            </w:r>
            <w:r w:rsidR="00D9195B">
              <w:rPr>
                <w:webHidden/>
              </w:rPr>
              <w:fldChar w:fldCharType="begin"/>
            </w:r>
            <w:r w:rsidR="00D9195B">
              <w:rPr>
                <w:webHidden/>
              </w:rPr>
              <w:instrText xml:space="preserve"> PAGEREF _Toc486851827 \h </w:instrText>
            </w:r>
            <w:r w:rsidR="00D9195B">
              <w:rPr>
                <w:webHidden/>
              </w:rPr>
            </w:r>
            <w:r w:rsidR="00D9195B">
              <w:rPr>
                <w:webHidden/>
              </w:rPr>
              <w:fldChar w:fldCharType="separate"/>
            </w:r>
            <w:r>
              <w:rPr>
                <w:webHidden/>
              </w:rPr>
              <w:t>6-17</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8" w:history="1">
            <w:r w:rsidR="00D9195B" w:rsidRPr="005F67C2">
              <w:rPr>
                <w:rStyle w:val="Hyperlink"/>
              </w:rPr>
              <w:t>Capex in 2011–12</w:t>
            </w:r>
            <w:r w:rsidR="00D9195B">
              <w:rPr>
                <w:webHidden/>
              </w:rPr>
              <w:tab/>
            </w:r>
            <w:r w:rsidR="00D9195B">
              <w:rPr>
                <w:webHidden/>
              </w:rPr>
              <w:fldChar w:fldCharType="begin"/>
            </w:r>
            <w:r w:rsidR="00D9195B">
              <w:rPr>
                <w:webHidden/>
              </w:rPr>
              <w:instrText xml:space="preserve"> PAGEREF _Toc486851828 \h </w:instrText>
            </w:r>
            <w:r w:rsidR="00D9195B">
              <w:rPr>
                <w:webHidden/>
              </w:rPr>
            </w:r>
            <w:r w:rsidR="00D9195B">
              <w:rPr>
                <w:webHidden/>
              </w:rPr>
              <w:fldChar w:fldCharType="separate"/>
            </w:r>
            <w:r>
              <w:rPr>
                <w:webHidden/>
              </w:rPr>
              <w:t>6-23</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29" w:history="1">
            <w:r w:rsidR="00D9195B" w:rsidRPr="005F67C2">
              <w:rPr>
                <w:rStyle w:val="Hyperlink"/>
              </w:rPr>
              <w:t>6.4.2</w:t>
            </w:r>
            <w:r w:rsidR="00D9195B">
              <w:rPr>
                <w:rFonts w:asciiTheme="minorHAnsi" w:eastAsiaTheme="minorEastAsia" w:hAnsiTheme="minorHAnsi"/>
                <w:lang w:eastAsia="en-AU"/>
              </w:rPr>
              <w:tab/>
            </w:r>
            <w:r w:rsidR="00D9195B" w:rsidRPr="005F67C2">
              <w:rPr>
                <w:rStyle w:val="Hyperlink"/>
              </w:rPr>
              <w:t>Conforming capex for the 2017–22 access arrangement period</w:t>
            </w:r>
            <w:r w:rsidR="00D9195B">
              <w:rPr>
                <w:webHidden/>
              </w:rPr>
              <w:tab/>
            </w:r>
            <w:r w:rsidR="00D9195B">
              <w:rPr>
                <w:webHidden/>
              </w:rPr>
              <w:fldChar w:fldCharType="begin"/>
            </w:r>
            <w:r w:rsidR="00D9195B">
              <w:rPr>
                <w:webHidden/>
              </w:rPr>
              <w:instrText xml:space="preserve"> PAGEREF _Toc486851829 \h </w:instrText>
            </w:r>
            <w:r w:rsidR="00D9195B">
              <w:rPr>
                <w:webHidden/>
              </w:rPr>
            </w:r>
            <w:r w:rsidR="00D9195B">
              <w:rPr>
                <w:webHidden/>
              </w:rPr>
              <w:fldChar w:fldCharType="separate"/>
            </w:r>
            <w:r>
              <w:rPr>
                <w:webHidden/>
              </w:rPr>
              <w:t>6-23</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30" w:history="1">
            <w:r w:rsidR="00D9195B" w:rsidRPr="005F67C2">
              <w:rPr>
                <w:rStyle w:val="Hyperlink"/>
              </w:rPr>
              <w:t>Replacement capex</w:t>
            </w:r>
            <w:r w:rsidR="00D9195B">
              <w:rPr>
                <w:webHidden/>
              </w:rPr>
              <w:tab/>
            </w:r>
            <w:r w:rsidR="00D9195B">
              <w:rPr>
                <w:webHidden/>
              </w:rPr>
              <w:fldChar w:fldCharType="begin"/>
            </w:r>
            <w:r w:rsidR="00D9195B">
              <w:rPr>
                <w:webHidden/>
              </w:rPr>
              <w:instrText xml:space="preserve"> PAGEREF _Toc486851830 \h </w:instrText>
            </w:r>
            <w:r w:rsidR="00D9195B">
              <w:rPr>
                <w:webHidden/>
              </w:rPr>
            </w:r>
            <w:r w:rsidR="00D9195B">
              <w:rPr>
                <w:webHidden/>
              </w:rPr>
              <w:fldChar w:fldCharType="separate"/>
            </w:r>
            <w:r>
              <w:rPr>
                <w:webHidden/>
              </w:rPr>
              <w:t>6-24</w:t>
            </w:r>
            <w:r w:rsidR="00D9195B">
              <w:rPr>
                <w:webHidden/>
              </w:rPr>
              <w:fldChar w:fldCharType="end"/>
            </w:r>
          </w:hyperlink>
        </w:p>
        <w:p w:rsidR="00D9195B" w:rsidRDefault="00582574">
          <w:pPr>
            <w:pStyle w:val="TOC3"/>
            <w:rPr>
              <w:rFonts w:asciiTheme="minorHAnsi" w:eastAsiaTheme="minorEastAsia" w:hAnsiTheme="minorHAnsi"/>
              <w:lang w:eastAsia="en-AU"/>
            </w:rPr>
          </w:pPr>
          <w:hyperlink w:anchor="_Toc486851831" w:history="1">
            <w:r w:rsidR="00D9195B" w:rsidRPr="005F67C2">
              <w:rPr>
                <w:rStyle w:val="Hyperlink"/>
              </w:rPr>
              <w:t>Stay in business capex</w:t>
            </w:r>
            <w:r w:rsidR="00D9195B">
              <w:rPr>
                <w:webHidden/>
              </w:rPr>
              <w:tab/>
            </w:r>
            <w:r w:rsidR="00D9195B">
              <w:rPr>
                <w:webHidden/>
              </w:rPr>
              <w:fldChar w:fldCharType="begin"/>
            </w:r>
            <w:r w:rsidR="00D9195B">
              <w:rPr>
                <w:webHidden/>
              </w:rPr>
              <w:instrText xml:space="preserve"> PAGEREF _Toc486851831 \h </w:instrText>
            </w:r>
            <w:r w:rsidR="00D9195B">
              <w:rPr>
                <w:webHidden/>
              </w:rPr>
            </w:r>
            <w:r w:rsidR="00D9195B">
              <w:rPr>
                <w:webHidden/>
              </w:rPr>
              <w:fldChar w:fldCharType="separate"/>
            </w:r>
            <w:r>
              <w:rPr>
                <w:webHidden/>
              </w:rPr>
              <w:t>6-29</w:t>
            </w:r>
            <w:r w:rsidR="00D9195B">
              <w:rPr>
                <w:webHidden/>
              </w:rPr>
              <w:fldChar w:fldCharType="end"/>
            </w:r>
          </w:hyperlink>
        </w:p>
        <w:p w:rsidR="00D9195B" w:rsidRDefault="00582574">
          <w:pPr>
            <w:pStyle w:val="TOC2"/>
            <w:rPr>
              <w:rFonts w:asciiTheme="minorHAnsi" w:eastAsiaTheme="minorEastAsia" w:hAnsiTheme="minorHAnsi"/>
              <w:b w:val="0"/>
              <w:color w:val="auto"/>
              <w:sz w:val="22"/>
              <w:lang w:eastAsia="en-AU"/>
            </w:rPr>
          </w:pPr>
          <w:hyperlink w:anchor="_Toc486851832" w:history="1">
            <w:r w:rsidR="00D9195B" w:rsidRPr="005F67C2">
              <w:rPr>
                <w:rStyle w:val="Hyperlink"/>
              </w:rPr>
              <w:t>6.5</w:t>
            </w:r>
            <w:r w:rsidR="00D9195B">
              <w:rPr>
                <w:rFonts w:asciiTheme="minorHAnsi" w:eastAsiaTheme="minorEastAsia" w:hAnsiTheme="minorHAnsi"/>
                <w:b w:val="0"/>
                <w:color w:val="auto"/>
                <w:sz w:val="22"/>
                <w:lang w:eastAsia="en-AU"/>
              </w:rPr>
              <w:tab/>
            </w:r>
            <w:r w:rsidR="00D9195B" w:rsidRPr="005F67C2">
              <w:rPr>
                <w:rStyle w:val="Hyperlink"/>
              </w:rPr>
              <w:t>Revisions</w:t>
            </w:r>
            <w:r w:rsidR="00D9195B">
              <w:rPr>
                <w:webHidden/>
              </w:rPr>
              <w:tab/>
            </w:r>
            <w:r w:rsidR="00D9195B">
              <w:rPr>
                <w:webHidden/>
              </w:rPr>
              <w:fldChar w:fldCharType="begin"/>
            </w:r>
            <w:r w:rsidR="00D9195B">
              <w:rPr>
                <w:webHidden/>
              </w:rPr>
              <w:instrText xml:space="preserve"> PAGEREF _Toc486851832 \h </w:instrText>
            </w:r>
            <w:r w:rsidR="00D9195B">
              <w:rPr>
                <w:webHidden/>
              </w:rPr>
            </w:r>
            <w:r w:rsidR="00D9195B">
              <w:rPr>
                <w:webHidden/>
              </w:rPr>
              <w:fldChar w:fldCharType="separate"/>
            </w:r>
            <w:r>
              <w:rPr>
                <w:webHidden/>
              </w:rPr>
              <w:t>6-30</w:t>
            </w:r>
            <w:r w:rsidR="00D9195B">
              <w:rPr>
                <w:webHidden/>
              </w:rPr>
              <w:fldChar w:fldCharType="end"/>
            </w:r>
          </w:hyperlink>
        </w:p>
        <w:p w:rsidR="00DE563D" w:rsidRDefault="00086269"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86851811"/>
      <w:r>
        <w:t>Shortened forms</w:t>
      </w:r>
      <w:bookmarkEnd w:id="7"/>
      <w:bookmarkEnd w:id="8"/>
    </w:p>
    <w:tbl>
      <w:tblPr>
        <w:tblStyle w:val="AERtable-numbers"/>
        <w:tblW w:w="8693" w:type="dxa"/>
        <w:tblLook w:val="04A0" w:firstRow="1" w:lastRow="0" w:firstColumn="1" w:lastColumn="0" w:noHBand="0" w:noVBand="1"/>
      </w:tblPr>
      <w:tblGrid>
        <w:gridCol w:w="3652"/>
        <w:gridCol w:w="5041"/>
      </w:tblGrid>
      <w:tr w:rsidR="007D084B" w:rsidTr="007D0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Shortened form</w:t>
            </w:r>
          </w:p>
        </w:tc>
        <w:tc>
          <w:tcPr>
            <w:tcW w:w="5041" w:type="dxa"/>
          </w:tcPr>
          <w:p w:rsidR="007D084B" w:rsidRDefault="007D084B" w:rsidP="004016A7">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AER</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ATO</w:t>
            </w:r>
          </w:p>
        </w:tc>
        <w:tc>
          <w:tcPr>
            <w:tcW w:w="5041" w:type="dxa"/>
          </w:tcPr>
          <w:p w:rsidR="007D084B" w:rsidRPr="00650EFA" w:rsidRDefault="007D084B" w:rsidP="004016A7">
            <w:pPr>
              <w:cnfStyle w:val="000000010000" w:firstRow="0" w:lastRow="0" w:firstColumn="0" w:lastColumn="0" w:oddVBand="0" w:evenVBand="0" w:oddHBand="0" w:evenHBand="1" w:firstRowFirstColumn="0" w:firstRowLastColumn="0" w:lastRowFirstColumn="0" w:lastRowLastColumn="0"/>
            </w:pPr>
            <w:r>
              <w:t>Australian Tax Office</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capex</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CAPM</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CPI</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DRP</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ECM</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ERP</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Expenditure Guideline</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gamma</w:t>
            </w:r>
          </w:p>
        </w:tc>
        <w:tc>
          <w:tcPr>
            <w:tcW w:w="5041" w:type="dxa"/>
          </w:tcPr>
          <w:p w:rsidR="007D084B" w:rsidRPr="00650EFA" w:rsidRDefault="007D084B" w:rsidP="004016A7">
            <w:pPr>
              <w:cnfStyle w:val="000000010000" w:firstRow="0" w:lastRow="0" w:firstColumn="0" w:lastColumn="0" w:oddVBand="0" w:evenVBand="0" w:oddHBand="0" w:evenHBand="1" w:firstRowFirstColumn="0" w:firstRowLastColumn="0" w:lastRowFirstColumn="0" w:lastRowLastColumn="0"/>
            </w:pPr>
            <w:r>
              <w:t>Value of Imputation Credits</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MRP</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NGL</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NGO</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NGR</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NPV</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net present value</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opex</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PTRM</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RBA</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RFM</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RIN</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RPP</w:t>
            </w:r>
          </w:p>
        </w:tc>
        <w:tc>
          <w:tcPr>
            <w:tcW w:w="5041" w:type="dxa"/>
          </w:tcPr>
          <w:p w:rsidR="007D084B" w:rsidRDefault="007D084B" w:rsidP="004016A7">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SLCAPM</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STTM</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Short Term Trading Market</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TAB</w:t>
            </w:r>
          </w:p>
        </w:tc>
        <w:tc>
          <w:tcPr>
            <w:tcW w:w="5041" w:type="dxa"/>
          </w:tcPr>
          <w:p w:rsidR="007D084B" w:rsidRPr="00650EFA" w:rsidRDefault="007D084B" w:rsidP="004016A7">
            <w:pPr>
              <w:cnfStyle w:val="000000010000" w:firstRow="0" w:lastRow="0" w:firstColumn="0" w:lastColumn="0" w:oddVBand="0" w:evenVBand="0" w:oddHBand="0" w:evenHBand="1" w:firstRowFirstColumn="0" w:firstRowLastColumn="0" w:lastRowFirstColumn="0" w:lastRowLastColumn="0"/>
            </w:pPr>
            <w:r>
              <w:t>Tax asset base</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UAFG</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Unaccounted for gas</w:t>
            </w:r>
          </w:p>
        </w:tc>
      </w:tr>
      <w:tr w:rsidR="007D084B" w:rsidTr="007D08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WACC</w:t>
            </w:r>
          </w:p>
        </w:tc>
        <w:tc>
          <w:tcPr>
            <w:tcW w:w="5041" w:type="dxa"/>
          </w:tcPr>
          <w:p w:rsidR="007D084B" w:rsidRDefault="007D084B" w:rsidP="004016A7">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7D084B" w:rsidTr="007D084B">
        <w:tc>
          <w:tcPr>
            <w:cnfStyle w:val="001000000000" w:firstRow="0" w:lastRow="0" w:firstColumn="1" w:lastColumn="0" w:oddVBand="0" w:evenVBand="0" w:oddHBand="0" w:evenHBand="0" w:firstRowFirstColumn="0" w:firstRowLastColumn="0" w:lastRowFirstColumn="0" w:lastRowLastColumn="0"/>
            <w:tcW w:w="3652" w:type="dxa"/>
          </w:tcPr>
          <w:p w:rsidR="007D084B" w:rsidRDefault="007D084B" w:rsidP="004016A7">
            <w:pPr>
              <w:numPr>
                <w:ilvl w:val="0"/>
                <w:numId w:val="24"/>
              </w:numPr>
            </w:pPr>
            <w:r>
              <w:t>WPI</w:t>
            </w:r>
          </w:p>
        </w:tc>
        <w:tc>
          <w:tcPr>
            <w:tcW w:w="5041" w:type="dxa"/>
          </w:tcPr>
          <w:p w:rsidR="007D084B" w:rsidRPr="00650EFA" w:rsidRDefault="007D084B" w:rsidP="004016A7">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E11949" w:rsidP="00E11949">
      <w:pPr>
        <w:pStyle w:val="Heading1"/>
      </w:pPr>
      <w:bookmarkStart w:id="9" w:name="_Toc486851812"/>
      <w:r>
        <w:t>Capital</w:t>
      </w:r>
      <w:r w:rsidR="00D46BD3">
        <w:t xml:space="preserve"> expenditure</w:t>
      </w:r>
      <w:bookmarkEnd w:id="9"/>
    </w:p>
    <w:p w:rsidR="00382195" w:rsidRDefault="001A51CE" w:rsidP="00514B4E">
      <w:r>
        <w:t xml:space="preserve">Capital expenditure (capex) </w:t>
      </w:r>
      <w:r w:rsidR="00382195">
        <w:t xml:space="preserve">refers to the capital </w:t>
      </w:r>
      <w:r w:rsidR="005142C8" w:rsidRPr="00F745EE">
        <w:t xml:space="preserve">costs and expenditure incurred </w:t>
      </w:r>
      <w:r w:rsidR="005142C8">
        <w:t>in the provision of</w:t>
      </w:r>
      <w:r w:rsidR="005142C8" w:rsidRPr="00F745EE">
        <w:t xml:space="preserve"> pipeline services</w:t>
      </w:r>
      <w:r w:rsidR="005142C8">
        <w:t>.</w:t>
      </w:r>
      <w:r w:rsidR="005142C8">
        <w:rPr>
          <w:rStyle w:val="FootnoteReference"/>
        </w:rPr>
        <w:footnoteReference w:id="1"/>
      </w:r>
      <w:r w:rsidR="005142C8">
        <w:t xml:space="preserve"> This investment mostly relates to assets with long lives</w:t>
      </w:r>
      <w:r w:rsidR="00391F11" w:rsidRPr="00391F11">
        <w:t xml:space="preserve"> </w:t>
      </w:r>
      <w:r w:rsidR="00391F11">
        <w:t>and these costs are recovered over several regulatory periods. Annually</w:t>
      </w:r>
      <w:r w:rsidR="00067501">
        <w:t>,</w:t>
      </w:r>
      <w:r w:rsidR="00391F11">
        <w:t xml:space="preserve"> </w:t>
      </w:r>
      <w:r w:rsidR="00C2357E">
        <w:t xml:space="preserve">APTPPL recovers the costs of these assets through the return on capital and depreciation building blocks that form part of its total revenue. </w:t>
      </w:r>
    </w:p>
    <w:p w:rsidR="00766AC4" w:rsidRDefault="00514B4E" w:rsidP="00514B4E">
      <w:r w:rsidRPr="00EE386B">
        <w:t xml:space="preserve">This attachment outlines </w:t>
      </w:r>
      <w:r>
        <w:t>our</w:t>
      </w:r>
      <w:r w:rsidRPr="00EE386B">
        <w:t xml:space="preserve"> assessment of </w:t>
      </w:r>
      <w:r>
        <w:t>APTPPL</w:t>
      </w:r>
      <w:r w:rsidR="007D084B">
        <w:t>’</w:t>
      </w:r>
      <w:r>
        <w:t xml:space="preserve">s </w:t>
      </w:r>
      <w:r w:rsidRPr="00EE386B">
        <w:t xml:space="preserve">proposed </w:t>
      </w:r>
      <w:r>
        <w:t>conforming capex</w:t>
      </w:r>
      <w:r w:rsidRPr="00EE386B">
        <w:t xml:space="preserve"> for </w:t>
      </w:r>
      <w:r>
        <w:t>2011</w:t>
      </w:r>
      <w:r w:rsidRPr="00EE386B">
        <w:t>–</w:t>
      </w:r>
      <w:r>
        <w:t>17</w:t>
      </w:r>
      <w:r w:rsidR="00E029A2">
        <w:t>, which form part of its opening capital base</w:t>
      </w:r>
      <w:r w:rsidR="002B708A">
        <w:t>.</w:t>
      </w:r>
      <w:r w:rsidR="002B708A">
        <w:rPr>
          <w:rStyle w:val="FootnoteReference"/>
        </w:rPr>
        <w:footnoteReference w:id="2"/>
      </w:r>
      <w:r w:rsidR="002B708A">
        <w:t xml:space="preserve"> It also outlines our assessment of APTPPL</w:t>
      </w:r>
      <w:r w:rsidR="007D084B">
        <w:t>’</w:t>
      </w:r>
      <w:r w:rsidR="002B708A">
        <w:t xml:space="preserve">s </w:t>
      </w:r>
      <w:r w:rsidRPr="00EE386B">
        <w:t>forecast capex for the 20</w:t>
      </w:r>
      <w:r>
        <w:t>17</w:t>
      </w:r>
      <w:r w:rsidRPr="00EE386B">
        <w:t>–</w:t>
      </w:r>
      <w:r>
        <w:t>22</w:t>
      </w:r>
      <w:r w:rsidRPr="00EE386B">
        <w:t xml:space="preserve"> access arrangement </w:t>
      </w:r>
      <w:proofErr w:type="gramStart"/>
      <w:r w:rsidRPr="00EE386B">
        <w:t>period</w:t>
      </w:r>
      <w:proofErr w:type="gramEnd"/>
      <w:r w:rsidR="002B708A">
        <w:t>, which forms part of its projected capital base.</w:t>
      </w:r>
      <w:r w:rsidR="002B708A">
        <w:rPr>
          <w:rStyle w:val="FootnoteReference"/>
        </w:rPr>
        <w:footnoteReference w:id="3"/>
      </w:r>
      <w:r w:rsidR="00303763">
        <w:t xml:space="preserve"> </w:t>
      </w:r>
    </w:p>
    <w:p w:rsidR="00D14307" w:rsidRDefault="00D14307" w:rsidP="00514B4E">
      <w:r>
        <w:t>We approve</w:t>
      </w:r>
      <w:r w:rsidR="00FD37D7">
        <w:t xml:space="preserve"> </w:t>
      </w:r>
      <w:r>
        <w:t xml:space="preserve">$61.1 million ($2016–17) for the 2012–17 access arrangement period and $59.5 million ($2016–17) for the 2017–22 access arrangement </w:t>
      </w:r>
      <w:proofErr w:type="gramStart"/>
      <w:r>
        <w:t>period</w:t>
      </w:r>
      <w:proofErr w:type="gramEnd"/>
      <w:r>
        <w:t xml:space="preserve">. This is 11.4 per cent less than proposed for the 2012–17 access arrangement </w:t>
      </w:r>
      <w:proofErr w:type="gramStart"/>
      <w:r>
        <w:t>period</w:t>
      </w:r>
      <w:proofErr w:type="gramEnd"/>
      <w:r>
        <w:t xml:space="preserve"> and 10.7 per cent less than proposed for the 2017–22 access arrangement period.</w:t>
      </w:r>
      <w:r w:rsidR="00FD37D7" w:rsidRPr="00FD37D7">
        <w:t xml:space="preserve"> </w:t>
      </w:r>
      <w:r w:rsidR="00FD37D7">
        <w:t xml:space="preserve">We also approve </w:t>
      </w:r>
      <w:r w:rsidR="00FD37D7" w:rsidRPr="00514B4E">
        <w:t>$</w:t>
      </w:r>
      <w:r w:rsidR="00FD37D7">
        <w:t>57.9 </w:t>
      </w:r>
      <w:r w:rsidR="00FD37D7" w:rsidRPr="00514B4E">
        <w:t xml:space="preserve">million ($2016–17) </w:t>
      </w:r>
      <w:r w:rsidR="00FD37D7">
        <w:t>actual capex in</w:t>
      </w:r>
      <w:r w:rsidR="00FD37D7" w:rsidRPr="00514B4E">
        <w:t xml:space="preserve"> 2011–12</w:t>
      </w:r>
      <w:r w:rsidR="00FD37D7">
        <w:t>.</w:t>
      </w:r>
    </w:p>
    <w:p w:rsidR="00D14307" w:rsidRDefault="00A62E01" w:rsidP="00514B4E">
      <w:r>
        <w:t>We have not accepted APTPPL's forecast for the following projects:</w:t>
      </w:r>
    </w:p>
    <w:p w:rsidR="008535F9" w:rsidRDefault="00A62E01" w:rsidP="006F70BC">
      <w:pPr>
        <w:pStyle w:val="AERbulletlistfirststyle"/>
      </w:pPr>
      <w:r>
        <w:t>emergency works (flood recovery)</w:t>
      </w:r>
      <w:r w:rsidR="004C4084">
        <w:t xml:space="preserve"> in the 201</w:t>
      </w:r>
      <w:r w:rsidR="00FD37D7">
        <w:t>2</w:t>
      </w:r>
      <w:r w:rsidR="006F70BC">
        <w:t>–</w:t>
      </w:r>
      <w:r w:rsidR="004C4084">
        <w:t>17 access arrangement period</w:t>
      </w:r>
      <w:r>
        <w:t>,</w:t>
      </w:r>
    </w:p>
    <w:p w:rsidR="008535F9" w:rsidRDefault="00A62E01" w:rsidP="006F70BC">
      <w:pPr>
        <w:pStyle w:val="AERbulletlistfirststyle"/>
      </w:pPr>
      <w:r>
        <w:t>pipeline integrity management activities</w:t>
      </w:r>
      <w:r w:rsidR="00FD37D7">
        <w:t xml:space="preserve"> in the 2017</w:t>
      </w:r>
      <w:r w:rsidR="006F70BC">
        <w:t>–</w:t>
      </w:r>
      <w:r w:rsidR="00FD37D7">
        <w:t>22 access arrangement period</w:t>
      </w:r>
      <w:r>
        <w:t>, and</w:t>
      </w:r>
    </w:p>
    <w:p w:rsidR="008535F9" w:rsidRDefault="00A62E01" w:rsidP="006F70BC">
      <w:pPr>
        <w:pStyle w:val="AERbulletlistfirststyle"/>
      </w:pPr>
      <w:r>
        <w:t>Dalby turbine overhaul</w:t>
      </w:r>
      <w:r w:rsidR="00FD37D7">
        <w:t xml:space="preserve"> in the 2017</w:t>
      </w:r>
      <w:r w:rsidR="006F70BC">
        <w:t>–</w:t>
      </w:r>
      <w:r w:rsidR="00FD37D7">
        <w:t xml:space="preserve">22 access arrangement </w:t>
      </w:r>
      <w:proofErr w:type="gramStart"/>
      <w:r w:rsidR="00FD37D7">
        <w:t>period</w:t>
      </w:r>
      <w:proofErr w:type="gramEnd"/>
      <w:r>
        <w:t>.</w:t>
      </w:r>
    </w:p>
    <w:p w:rsidR="00A2303E" w:rsidRDefault="00DE45F4" w:rsidP="00DE70DD">
      <w:pPr>
        <w:pStyle w:val="Heading2"/>
      </w:pPr>
      <w:bookmarkStart w:id="10" w:name="_Toc408404320"/>
      <w:bookmarkStart w:id="11" w:name="_Toc419366913"/>
      <w:bookmarkStart w:id="12" w:name="_Toc486851813"/>
      <w:r>
        <w:t>Draft</w:t>
      </w:r>
      <w:r w:rsidR="00A2303E" w:rsidRPr="0074565D">
        <w:t xml:space="preserve"> decision</w:t>
      </w:r>
      <w:bookmarkEnd w:id="10"/>
      <w:bookmarkEnd w:id="11"/>
      <w:bookmarkEnd w:id="12"/>
    </w:p>
    <w:p w:rsidR="00514B4E" w:rsidRDefault="00514B4E" w:rsidP="00514B4E">
      <w:pPr>
        <w:pStyle w:val="Heading3"/>
      </w:pPr>
      <w:bookmarkStart w:id="13" w:name="_Toc476651831"/>
      <w:bookmarkStart w:id="14" w:name="_Toc486851814"/>
      <w:r>
        <w:t xml:space="preserve">Conforming </w:t>
      </w:r>
      <w:r w:rsidR="00C3073B">
        <w:t>capex</w:t>
      </w:r>
      <w:r>
        <w:t xml:space="preserve"> for 2011</w:t>
      </w:r>
      <w:r w:rsidRPr="00514B4E">
        <w:t>–</w:t>
      </w:r>
      <w:r>
        <w:t>17</w:t>
      </w:r>
      <w:bookmarkEnd w:id="13"/>
      <w:bookmarkEnd w:id="14"/>
    </w:p>
    <w:p w:rsidR="00514B4E" w:rsidRDefault="00514B4E" w:rsidP="00514B4E">
      <w:r w:rsidRPr="00514B4E">
        <w:t>We approve $</w:t>
      </w:r>
      <w:r w:rsidR="003B4C3B">
        <w:t>61</w:t>
      </w:r>
      <w:r w:rsidR="007D009F">
        <w:t>.</w:t>
      </w:r>
      <w:r w:rsidR="00510B7E">
        <w:t>1</w:t>
      </w:r>
      <w:r w:rsidRPr="00514B4E">
        <w:t xml:space="preserve"> million ($2016–17) of APTPPL’s proposed total net capex of $</w:t>
      </w:r>
      <w:r w:rsidR="00EE5422" w:rsidRPr="00514B4E">
        <w:t>6</w:t>
      </w:r>
      <w:r w:rsidR="00EE5422">
        <w:t>9</w:t>
      </w:r>
      <w:r w:rsidR="00510B7E">
        <w:t>.0</w:t>
      </w:r>
      <w:r w:rsidR="00EE5422">
        <w:t> </w:t>
      </w:r>
      <w:r w:rsidRPr="00514B4E">
        <w:t xml:space="preserve">million ($2016–17) for the 2012–17 access arrangement </w:t>
      </w:r>
      <w:proofErr w:type="gramStart"/>
      <w:r w:rsidRPr="00514B4E">
        <w:t>period</w:t>
      </w:r>
      <w:proofErr w:type="gramEnd"/>
      <w:r w:rsidRPr="00514B4E">
        <w:t xml:space="preserve"> as conforming capex.</w:t>
      </w:r>
      <w:r w:rsidR="003151F8">
        <w:rPr>
          <w:rStyle w:val="FootnoteReference"/>
        </w:rPr>
        <w:footnoteReference w:id="4"/>
      </w:r>
      <w:r w:rsidRPr="00514B4E">
        <w:t xml:space="preserve"> We also approve APTPPL’s actual capex of $</w:t>
      </w:r>
      <w:r w:rsidR="003E44C6">
        <w:t>57.9</w:t>
      </w:r>
      <w:r w:rsidR="003151F8">
        <w:t> </w:t>
      </w:r>
      <w:r w:rsidRPr="00514B4E">
        <w:t>million ($2016–17) in the 2011–12 year as conforming capex.</w:t>
      </w:r>
      <w:r w:rsidR="003151F8">
        <w:rPr>
          <w:rStyle w:val="FootnoteReference"/>
        </w:rPr>
        <w:footnoteReference w:id="5"/>
      </w:r>
      <w:r w:rsidRPr="00514B4E">
        <w:t xml:space="preserve"> </w:t>
      </w:r>
    </w:p>
    <w:p w:rsidR="00A62E01" w:rsidRPr="00514B4E" w:rsidRDefault="00A62E01" w:rsidP="00514B4E">
      <w:r>
        <w:t xml:space="preserve">We have reduced APTTPPL's proposed capex because we consider that $7.8 million </w:t>
      </w:r>
      <w:r w:rsidRPr="00514B4E">
        <w:t xml:space="preserve">($2016–17) </w:t>
      </w:r>
      <w:r>
        <w:t xml:space="preserve">of the proposed capex for emergency works (flood recovery) should be classified as operating expenditure (opex). We consider APTPPL has already been funded for this work through its opex allowance for the 2012–17 access arrangement </w:t>
      </w:r>
      <w:proofErr w:type="gramStart"/>
      <w:r>
        <w:t>period</w:t>
      </w:r>
      <w:proofErr w:type="gramEnd"/>
      <w:r>
        <w:t>.</w:t>
      </w:r>
    </w:p>
    <w:p w:rsidR="00BE1D0D" w:rsidRPr="00A62E01" w:rsidRDefault="007D009F" w:rsidP="00A62E01">
      <w:r>
        <w:t xml:space="preserve">We </w:t>
      </w:r>
      <w:r w:rsidR="00514B4E" w:rsidRPr="00514B4E">
        <w:t xml:space="preserve">show </w:t>
      </w:r>
      <w:r w:rsidR="00A62E01">
        <w:t xml:space="preserve">a summary of </w:t>
      </w:r>
      <w:r w:rsidR="00514B4E" w:rsidRPr="00514B4E">
        <w:t xml:space="preserve">approved capex </w:t>
      </w:r>
      <w:r>
        <w:t>by category</w:t>
      </w:r>
      <w:r w:rsidRPr="00514B4E">
        <w:t xml:space="preserve"> </w:t>
      </w:r>
      <w:r w:rsidR="00514B4E" w:rsidRPr="00514B4E">
        <w:t xml:space="preserve">for </w:t>
      </w:r>
      <w:r w:rsidR="00514B4E">
        <w:t>2011–17</w:t>
      </w:r>
      <w:r>
        <w:t xml:space="preserve"> in</w:t>
      </w:r>
      <w:r w:rsidR="00A62E01">
        <w:t xml:space="preserve"> </w:t>
      </w:r>
      <w:r w:rsidR="00086269">
        <w:fldChar w:fldCharType="begin"/>
      </w:r>
      <w:r w:rsidR="00A62E01">
        <w:instrText xml:space="preserve"> REF _Ref477873381 \h </w:instrText>
      </w:r>
      <w:r w:rsidR="00086269">
        <w:fldChar w:fldCharType="separate"/>
      </w:r>
      <w:r w:rsidR="00582574">
        <w:t xml:space="preserve">Table </w:t>
      </w:r>
      <w:r w:rsidR="00582574">
        <w:rPr>
          <w:noProof/>
        </w:rPr>
        <w:t>6</w:t>
      </w:r>
      <w:r w:rsidR="00582574">
        <w:noBreakHyphen/>
      </w:r>
      <w:r w:rsidR="00582574">
        <w:rPr>
          <w:noProof/>
        </w:rPr>
        <w:t>1</w:t>
      </w:r>
      <w:r w:rsidR="00086269">
        <w:fldChar w:fldCharType="end"/>
      </w:r>
      <w:r w:rsidR="00A62E01">
        <w:t>.</w:t>
      </w:r>
      <w:r>
        <w:t xml:space="preserve"> </w:t>
      </w:r>
      <w:bookmarkStart w:id="15" w:name="_Ref475708051"/>
    </w:p>
    <w:p w:rsidR="00A62E01" w:rsidRPr="00A62E01" w:rsidRDefault="00A62E01" w:rsidP="00A62E01">
      <w:pPr>
        <w:pStyle w:val="Caption"/>
      </w:pPr>
      <w:bookmarkStart w:id="16" w:name="_Ref477873381"/>
      <w:bookmarkEnd w:id="15"/>
      <w:r>
        <w:t xml:space="preserve">Table </w:t>
      </w:r>
      <w:fldSimple w:instr=" STYLEREF 1 \s ">
        <w:r w:rsidR="00582574">
          <w:rPr>
            <w:noProof/>
          </w:rPr>
          <w:t>6</w:t>
        </w:r>
      </w:fldSimple>
      <w:r w:rsidR="002E7AD4">
        <w:noBreakHyphen/>
      </w:r>
      <w:fldSimple w:instr=" SEQ Table \* ARABIC \s 1 ">
        <w:r w:rsidR="00582574">
          <w:rPr>
            <w:noProof/>
          </w:rPr>
          <w:t>1</w:t>
        </w:r>
      </w:fldSimple>
      <w:bookmarkEnd w:id="16"/>
      <w:r w:rsidRPr="00A62E01">
        <w:t xml:space="preserve"> </w:t>
      </w:r>
      <w:r>
        <w:tab/>
      </w:r>
      <w:r w:rsidRPr="007D009F">
        <w:t>Approved capex, 2011–12 to 2016–17 ($million, 2016–17)</w:t>
      </w:r>
    </w:p>
    <w:tbl>
      <w:tblPr>
        <w:tblStyle w:val="AERtable-numbers"/>
        <w:tblW w:w="5000" w:type="pct"/>
        <w:tblLayout w:type="fixed"/>
        <w:tblLook w:val="04A0" w:firstRow="1" w:lastRow="0" w:firstColumn="1" w:lastColumn="0" w:noHBand="0" w:noVBand="1"/>
      </w:tblPr>
      <w:tblGrid>
        <w:gridCol w:w="2092"/>
        <w:gridCol w:w="995"/>
        <w:gridCol w:w="908"/>
        <w:gridCol w:w="907"/>
        <w:gridCol w:w="907"/>
        <w:gridCol w:w="907"/>
        <w:gridCol w:w="907"/>
        <w:gridCol w:w="1069"/>
      </w:tblGrid>
      <w:tr w:rsidR="007D009F" w:rsidRPr="004F416F" w:rsidTr="001E3D6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3" w:type="pct"/>
            <w:hideMark/>
          </w:tcPr>
          <w:p w:rsidR="00E8681A" w:rsidRPr="00E8681A" w:rsidRDefault="00E8681A" w:rsidP="00293192">
            <w:r w:rsidRPr="00E8681A">
              <w:t> Category</w:t>
            </w:r>
          </w:p>
        </w:tc>
        <w:tc>
          <w:tcPr>
            <w:tcW w:w="572" w:type="pct"/>
            <w:hideMark/>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2011</w:t>
            </w:r>
            <w:r w:rsidR="00480C1F">
              <w:t>–</w:t>
            </w:r>
            <w:r w:rsidRPr="00E8681A">
              <w:t>12</w:t>
            </w:r>
            <w:r w:rsidRPr="00E8681A">
              <w:rPr>
                <w:rStyle w:val="AERsuperscript"/>
              </w:rPr>
              <w:t>(a)</w:t>
            </w:r>
          </w:p>
        </w:tc>
        <w:tc>
          <w:tcPr>
            <w:tcW w:w="522" w:type="pct"/>
            <w:hideMark/>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2012</w:t>
            </w:r>
            <w:r w:rsidR="00480C1F">
              <w:t>–</w:t>
            </w:r>
            <w:r w:rsidRPr="00E8681A">
              <w:t>13</w:t>
            </w:r>
          </w:p>
        </w:tc>
        <w:tc>
          <w:tcPr>
            <w:tcW w:w="522" w:type="pct"/>
            <w:hideMark/>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2013</w:t>
            </w:r>
            <w:r w:rsidR="00480C1F">
              <w:t>–</w:t>
            </w:r>
            <w:r w:rsidRPr="00E8681A">
              <w:t>14</w:t>
            </w:r>
          </w:p>
        </w:tc>
        <w:tc>
          <w:tcPr>
            <w:tcW w:w="522" w:type="pct"/>
            <w:hideMark/>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2014</w:t>
            </w:r>
            <w:r w:rsidR="00480C1F">
              <w:t>–</w:t>
            </w:r>
            <w:r w:rsidRPr="00E8681A">
              <w:t>15</w:t>
            </w:r>
          </w:p>
        </w:tc>
        <w:tc>
          <w:tcPr>
            <w:tcW w:w="522" w:type="pct"/>
            <w:hideMark/>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2015</w:t>
            </w:r>
            <w:r w:rsidR="00480C1F">
              <w:t>–</w:t>
            </w:r>
            <w:r w:rsidRPr="00E8681A">
              <w:t>16</w:t>
            </w:r>
          </w:p>
        </w:tc>
        <w:tc>
          <w:tcPr>
            <w:tcW w:w="522" w:type="pct"/>
          </w:tcPr>
          <w:p w:rsidR="00E8681A" w:rsidRPr="00E8681A" w:rsidRDefault="00E8681A" w:rsidP="00293192">
            <w:pPr>
              <w:cnfStyle w:val="100000000000" w:firstRow="1" w:lastRow="0" w:firstColumn="0" w:lastColumn="0" w:oddVBand="0" w:evenVBand="0" w:oddHBand="0" w:evenHBand="0" w:firstRowFirstColumn="0" w:firstRowLastColumn="0" w:lastRowFirstColumn="0" w:lastRowLastColumn="0"/>
            </w:pPr>
            <w:r w:rsidRPr="00E8681A">
              <w:t>2016</w:t>
            </w:r>
            <w:r w:rsidR="00480C1F">
              <w:t>–</w:t>
            </w:r>
            <w:r w:rsidRPr="00E8681A">
              <w:t>17</w:t>
            </w:r>
          </w:p>
        </w:tc>
        <w:tc>
          <w:tcPr>
            <w:tcW w:w="616" w:type="pct"/>
          </w:tcPr>
          <w:p w:rsidR="00E8681A" w:rsidRPr="00E8681A" w:rsidRDefault="00E8681A" w:rsidP="00F33005">
            <w:pPr>
              <w:cnfStyle w:val="100000000000" w:firstRow="1" w:lastRow="0" w:firstColumn="0" w:lastColumn="0" w:oddVBand="0" w:evenVBand="0" w:oddHBand="0" w:evenHBand="0" w:firstRowFirstColumn="0" w:firstRowLastColumn="0" w:lastRowFirstColumn="0" w:lastRowLastColumn="0"/>
            </w:pPr>
            <w:r w:rsidRPr="00E8681A">
              <w:t xml:space="preserve">Total </w:t>
            </w:r>
            <w:r w:rsidR="007D009F">
              <w:br/>
            </w:r>
            <w:r w:rsidRPr="00E8681A">
              <w:t>2012</w:t>
            </w:r>
            <w:r w:rsidR="00480C1F">
              <w:t>–</w:t>
            </w:r>
            <w:r w:rsidRPr="00E8681A">
              <w:t>17</w:t>
            </w:r>
          </w:p>
        </w:tc>
      </w:tr>
      <w:tr w:rsidR="007D009F" w:rsidRPr="004F416F" w:rsidTr="001E3D66">
        <w:trPr>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E8681A" w:rsidRPr="00E8681A" w:rsidRDefault="00E8681A" w:rsidP="00293192">
            <w:r w:rsidRPr="00E8681A">
              <w:t xml:space="preserve">Expansion </w:t>
            </w:r>
          </w:p>
        </w:tc>
        <w:tc>
          <w:tcPr>
            <w:tcW w:w="572" w:type="pct"/>
          </w:tcPr>
          <w:p w:rsidR="00E8681A" w:rsidRPr="00E8681A" w:rsidRDefault="00EF6370" w:rsidP="00293192">
            <w:pPr>
              <w:cnfStyle w:val="000000000000" w:firstRow="0" w:lastRow="0" w:firstColumn="0" w:lastColumn="0" w:oddVBand="0" w:evenVBand="0" w:oddHBand="0" w:evenHBand="0" w:firstRowFirstColumn="0" w:firstRowLastColumn="0" w:lastRowFirstColumn="0" w:lastRowLastColumn="0"/>
            </w:pPr>
            <w:r>
              <w:t>50.3</w:t>
            </w:r>
          </w:p>
        </w:tc>
        <w:tc>
          <w:tcPr>
            <w:tcW w:w="522" w:type="pct"/>
          </w:tcPr>
          <w:p w:rsidR="00E8681A" w:rsidRPr="00E8681A" w:rsidRDefault="003B4C3B" w:rsidP="00102E3E">
            <w:pPr>
              <w:cnfStyle w:val="000000000000" w:firstRow="0" w:lastRow="0" w:firstColumn="0" w:lastColumn="0" w:oddVBand="0" w:evenVBand="0" w:oddHBand="0" w:evenHBand="0" w:firstRowFirstColumn="0" w:firstRowLastColumn="0" w:lastRowFirstColumn="0" w:lastRowLastColumn="0"/>
            </w:pPr>
            <w:r>
              <w:t>3.</w:t>
            </w:r>
            <w:r w:rsidR="00102E3E">
              <w:t>2</w:t>
            </w:r>
          </w:p>
        </w:tc>
        <w:tc>
          <w:tcPr>
            <w:tcW w:w="522" w:type="pct"/>
          </w:tcPr>
          <w:p w:rsidR="00E8681A" w:rsidRPr="00E8681A" w:rsidRDefault="003B4C3B" w:rsidP="00293192">
            <w:pPr>
              <w:cnfStyle w:val="000000000000" w:firstRow="0" w:lastRow="0" w:firstColumn="0" w:lastColumn="0" w:oddVBand="0" w:evenVBand="0" w:oddHBand="0" w:evenHBand="0" w:firstRowFirstColumn="0" w:firstRowLastColumn="0" w:lastRowFirstColumn="0" w:lastRowLastColumn="0"/>
            </w:pPr>
            <w:r>
              <w:t>2.5</w:t>
            </w:r>
          </w:p>
        </w:tc>
        <w:tc>
          <w:tcPr>
            <w:tcW w:w="522" w:type="pct"/>
          </w:tcPr>
          <w:p w:rsidR="00E8681A" w:rsidRPr="00E8681A" w:rsidRDefault="003B4C3B" w:rsidP="00293192">
            <w:pPr>
              <w:cnfStyle w:val="000000000000" w:firstRow="0" w:lastRow="0" w:firstColumn="0" w:lastColumn="0" w:oddVBand="0" w:evenVBand="0" w:oddHBand="0" w:evenHBand="0" w:firstRowFirstColumn="0" w:firstRowLastColumn="0" w:lastRowFirstColumn="0" w:lastRowLastColumn="0"/>
            </w:pPr>
            <w:r>
              <w:t>0.0</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6" w:type="pct"/>
          </w:tcPr>
          <w:p w:rsidR="00E8681A" w:rsidRPr="00E8681A" w:rsidRDefault="003B4C3B" w:rsidP="00293192">
            <w:pPr>
              <w:cnfStyle w:val="000000000000" w:firstRow="0" w:lastRow="0" w:firstColumn="0" w:lastColumn="0" w:oddVBand="0" w:evenVBand="0" w:oddHBand="0" w:evenHBand="0" w:firstRowFirstColumn="0" w:firstRowLastColumn="0" w:lastRowFirstColumn="0" w:lastRowLastColumn="0"/>
            </w:pPr>
            <w:r>
              <w:t>5.7</w:t>
            </w:r>
          </w:p>
        </w:tc>
      </w:tr>
      <w:tr w:rsidR="007D009F" w:rsidRPr="004F416F" w:rsidTr="001E3D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E8681A" w:rsidRPr="00E8681A" w:rsidRDefault="00E8681A" w:rsidP="00293192">
            <w:r w:rsidRPr="00E8681A">
              <w:t xml:space="preserve">Replacement </w:t>
            </w:r>
          </w:p>
        </w:tc>
        <w:tc>
          <w:tcPr>
            <w:tcW w:w="572" w:type="pct"/>
          </w:tcPr>
          <w:p w:rsidR="00E8681A" w:rsidRPr="00E8681A"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22" w:type="pct"/>
          </w:tcPr>
          <w:p w:rsidR="00E8681A" w:rsidRPr="00E8681A" w:rsidRDefault="00E8681A" w:rsidP="00293192">
            <w:pPr>
              <w:cnfStyle w:val="000000010000" w:firstRow="0" w:lastRow="0" w:firstColumn="0" w:lastColumn="0" w:oddVBand="0" w:evenVBand="0" w:oddHBand="0" w:evenHBand="1" w:firstRowFirstColumn="0" w:firstRowLastColumn="0" w:lastRowFirstColumn="0" w:lastRowLastColumn="0"/>
            </w:pPr>
            <w:r w:rsidRPr="00E8681A">
              <w:t>0.7</w:t>
            </w:r>
          </w:p>
        </w:tc>
        <w:tc>
          <w:tcPr>
            <w:tcW w:w="522" w:type="pct"/>
          </w:tcPr>
          <w:p w:rsidR="00E8681A" w:rsidRPr="00E8681A" w:rsidRDefault="00E8681A" w:rsidP="00293192">
            <w:pPr>
              <w:cnfStyle w:val="000000010000" w:firstRow="0" w:lastRow="0" w:firstColumn="0" w:lastColumn="0" w:oddVBand="0" w:evenVBand="0" w:oddHBand="0" w:evenHBand="1" w:firstRowFirstColumn="0" w:firstRowLastColumn="0" w:lastRowFirstColumn="0" w:lastRowLastColumn="0"/>
            </w:pPr>
            <w:r w:rsidRPr="00E8681A">
              <w:t>2.</w:t>
            </w:r>
            <w:r w:rsidR="00102E3E">
              <w:t>3</w:t>
            </w:r>
          </w:p>
        </w:tc>
        <w:tc>
          <w:tcPr>
            <w:tcW w:w="522" w:type="pct"/>
          </w:tcPr>
          <w:p w:rsidR="00E8681A" w:rsidRPr="00E8681A" w:rsidRDefault="00102E3E" w:rsidP="00293192">
            <w:pPr>
              <w:cnfStyle w:val="000000010000" w:firstRow="0" w:lastRow="0" w:firstColumn="0" w:lastColumn="0" w:oddVBand="0" w:evenVBand="0" w:oddHBand="0" w:evenHBand="1" w:firstRowFirstColumn="0" w:firstRowLastColumn="0" w:lastRowFirstColumn="0" w:lastRowLastColumn="0"/>
            </w:pPr>
            <w:r>
              <w:t>4.0</w:t>
            </w:r>
          </w:p>
        </w:tc>
        <w:tc>
          <w:tcPr>
            <w:tcW w:w="522" w:type="pct"/>
          </w:tcPr>
          <w:p w:rsidR="00E8681A" w:rsidRPr="00E8681A" w:rsidRDefault="00E8681A" w:rsidP="00102E3E">
            <w:pPr>
              <w:cnfStyle w:val="000000010000" w:firstRow="0" w:lastRow="0" w:firstColumn="0" w:lastColumn="0" w:oddVBand="0" w:evenVBand="0" w:oddHBand="0" w:evenHBand="1" w:firstRowFirstColumn="0" w:firstRowLastColumn="0" w:lastRowFirstColumn="0" w:lastRowLastColumn="0"/>
            </w:pPr>
            <w:r w:rsidRPr="00E8681A">
              <w:t>4.</w:t>
            </w:r>
            <w:r w:rsidR="00102E3E">
              <w:t>5</w:t>
            </w:r>
          </w:p>
        </w:tc>
        <w:tc>
          <w:tcPr>
            <w:tcW w:w="522" w:type="pct"/>
          </w:tcPr>
          <w:p w:rsidR="00E8681A" w:rsidRPr="00E8681A" w:rsidRDefault="00E8681A" w:rsidP="00102E3E">
            <w:pPr>
              <w:cnfStyle w:val="000000010000" w:firstRow="0" w:lastRow="0" w:firstColumn="0" w:lastColumn="0" w:oddVBand="0" w:evenVBand="0" w:oddHBand="0" w:evenHBand="1" w:firstRowFirstColumn="0" w:firstRowLastColumn="0" w:lastRowFirstColumn="0" w:lastRowLastColumn="0"/>
            </w:pPr>
            <w:r w:rsidRPr="00E8681A">
              <w:t>6.</w:t>
            </w:r>
            <w:r w:rsidR="00102E3E">
              <w:t>3</w:t>
            </w:r>
          </w:p>
        </w:tc>
        <w:tc>
          <w:tcPr>
            <w:tcW w:w="616" w:type="pct"/>
          </w:tcPr>
          <w:p w:rsidR="00E8681A" w:rsidRPr="00E8681A" w:rsidRDefault="00E8681A" w:rsidP="00293192">
            <w:pPr>
              <w:cnfStyle w:val="000000010000" w:firstRow="0" w:lastRow="0" w:firstColumn="0" w:lastColumn="0" w:oddVBand="0" w:evenVBand="0" w:oddHBand="0" w:evenHBand="1" w:firstRowFirstColumn="0" w:firstRowLastColumn="0" w:lastRowFirstColumn="0" w:lastRowLastColumn="0"/>
            </w:pPr>
            <w:r w:rsidRPr="00E8681A">
              <w:t>17.7</w:t>
            </w:r>
          </w:p>
        </w:tc>
      </w:tr>
      <w:tr w:rsidR="007D009F" w:rsidRPr="004F416F" w:rsidTr="001E3D66">
        <w:trPr>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E8681A" w:rsidRPr="00E8681A" w:rsidRDefault="00E8681A" w:rsidP="00293192">
            <w:r w:rsidRPr="00E8681A">
              <w:t xml:space="preserve">Stay in business </w:t>
            </w:r>
          </w:p>
        </w:tc>
        <w:tc>
          <w:tcPr>
            <w:tcW w:w="572" w:type="pct"/>
          </w:tcPr>
          <w:p w:rsidR="00E8681A" w:rsidRPr="00E8681A" w:rsidRDefault="00EF6370" w:rsidP="00293192">
            <w:pPr>
              <w:cnfStyle w:val="000000000000" w:firstRow="0" w:lastRow="0" w:firstColumn="0" w:lastColumn="0" w:oddVBand="0" w:evenVBand="0" w:oddHBand="0" w:evenHBand="0" w:firstRowFirstColumn="0" w:firstRowLastColumn="0" w:lastRowFirstColumn="0" w:lastRowLastColumn="0"/>
            </w:pPr>
            <w:r>
              <w:t>7.6</w:t>
            </w:r>
          </w:p>
        </w:tc>
        <w:tc>
          <w:tcPr>
            <w:tcW w:w="522" w:type="pct"/>
          </w:tcPr>
          <w:p w:rsidR="00E8681A" w:rsidRPr="00E8681A" w:rsidRDefault="00E8681A" w:rsidP="00102E3E">
            <w:pPr>
              <w:cnfStyle w:val="000000000000" w:firstRow="0" w:lastRow="0" w:firstColumn="0" w:lastColumn="0" w:oddVBand="0" w:evenVBand="0" w:oddHBand="0" w:evenHBand="0" w:firstRowFirstColumn="0" w:firstRowLastColumn="0" w:lastRowFirstColumn="0" w:lastRowLastColumn="0"/>
            </w:pPr>
            <w:r w:rsidRPr="00E8681A">
              <w:t>2.</w:t>
            </w:r>
            <w:r w:rsidR="00102E3E">
              <w:t>4</w:t>
            </w:r>
          </w:p>
        </w:tc>
        <w:tc>
          <w:tcPr>
            <w:tcW w:w="522" w:type="pct"/>
          </w:tcPr>
          <w:p w:rsidR="00E8681A" w:rsidRPr="00E8681A" w:rsidRDefault="00E8681A" w:rsidP="00293192">
            <w:pPr>
              <w:cnfStyle w:val="000000000000" w:firstRow="0" w:lastRow="0" w:firstColumn="0" w:lastColumn="0" w:oddVBand="0" w:evenVBand="0" w:oddHBand="0" w:evenHBand="0" w:firstRowFirstColumn="0" w:firstRowLastColumn="0" w:lastRowFirstColumn="0" w:lastRowLastColumn="0"/>
            </w:pPr>
            <w:r w:rsidRPr="00E8681A">
              <w:t>4.</w:t>
            </w:r>
            <w:r w:rsidR="00510B7E">
              <w:t>4</w:t>
            </w:r>
          </w:p>
        </w:tc>
        <w:tc>
          <w:tcPr>
            <w:tcW w:w="522" w:type="pct"/>
          </w:tcPr>
          <w:p w:rsidR="00E8681A" w:rsidRPr="00E8681A" w:rsidRDefault="00E8681A" w:rsidP="00102E3E">
            <w:pPr>
              <w:cnfStyle w:val="000000000000" w:firstRow="0" w:lastRow="0" w:firstColumn="0" w:lastColumn="0" w:oddVBand="0" w:evenVBand="0" w:oddHBand="0" w:evenHBand="0" w:firstRowFirstColumn="0" w:firstRowLastColumn="0" w:lastRowFirstColumn="0" w:lastRowLastColumn="0"/>
            </w:pPr>
            <w:r w:rsidRPr="00E8681A">
              <w:t>13.</w:t>
            </w:r>
            <w:r w:rsidR="00102E3E">
              <w:t>8</w:t>
            </w:r>
          </w:p>
        </w:tc>
        <w:tc>
          <w:tcPr>
            <w:tcW w:w="522" w:type="pct"/>
          </w:tcPr>
          <w:p w:rsidR="00E8681A" w:rsidRPr="00E8681A" w:rsidRDefault="00E8681A" w:rsidP="00293192">
            <w:pPr>
              <w:cnfStyle w:val="000000000000" w:firstRow="0" w:lastRow="0" w:firstColumn="0" w:lastColumn="0" w:oddVBand="0" w:evenVBand="0" w:oddHBand="0" w:evenHBand="0" w:firstRowFirstColumn="0" w:firstRowLastColumn="0" w:lastRowFirstColumn="0" w:lastRowLastColumn="0"/>
            </w:pPr>
            <w:r w:rsidRPr="00E8681A">
              <w:t>5.5</w:t>
            </w:r>
          </w:p>
        </w:tc>
        <w:tc>
          <w:tcPr>
            <w:tcW w:w="522" w:type="pct"/>
          </w:tcPr>
          <w:p w:rsidR="00E8681A" w:rsidRPr="00E8681A" w:rsidRDefault="00102E3E" w:rsidP="00293192">
            <w:pPr>
              <w:cnfStyle w:val="000000000000" w:firstRow="0" w:lastRow="0" w:firstColumn="0" w:lastColumn="0" w:oddVBand="0" w:evenVBand="0" w:oddHBand="0" w:evenHBand="0" w:firstRowFirstColumn="0" w:firstRowLastColumn="0" w:lastRowFirstColumn="0" w:lastRowLastColumn="0"/>
            </w:pPr>
            <w:r>
              <w:t>12.0</w:t>
            </w:r>
          </w:p>
        </w:tc>
        <w:tc>
          <w:tcPr>
            <w:tcW w:w="616" w:type="pct"/>
          </w:tcPr>
          <w:p w:rsidR="00E8681A" w:rsidRPr="00E8681A" w:rsidRDefault="00E8681A" w:rsidP="00102E3E">
            <w:pPr>
              <w:cnfStyle w:val="000000000000" w:firstRow="0" w:lastRow="0" w:firstColumn="0" w:lastColumn="0" w:oddVBand="0" w:evenVBand="0" w:oddHBand="0" w:evenHBand="0" w:firstRowFirstColumn="0" w:firstRowLastColumn="0" w:lastRowFirstColumn="0" w:lastRowLastColumn="0"/>
            </w:pPr>
            <w:r w:rsidRPr="00E8681A">
              <w:t>3</w:t>
            </w:r>
            <w:r w:rsidR="00102E3E">
              <w:t>8.</w:t>
            </w:r>
            <w:r w:rsidR="00510B7E">
              <w:t>1</w:t>
            </w:r>
          </w:p>
        </w:tc>
      </w:tr>
      <w:tr w:rsidR="007D009F" w:rsidRPr="004F416F" w:rsidTr="001E3D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hideMark/>
          </w:tcPr>
          <w:p w:rsidR="00E8681A" w:rsidRPr="001E3D66" w:rsidRDefault="00E8681A" w:rsidP="003151F8">
            <w:pPr>
              <w:rPr>
                <w:rStyle w:val="Strong"/>
              </w:rPr>
            </w:pPr>
            <w:r w:rsidRPr="001E3D66">
              <w:rPr>
                <w:rStyle w:val="Strong"/>
              </w:rPr>
              <w:t xml:space="preserve">GROSS TOTAL </w:t>
            </w:r>
            <w:r w:rsidR="003151F8" w:rsidRPr="001E3D66">
              <w:rPr>
                <w:rStyle w:val="Strong"/>
              </w:rPr>
              <w:t>CAPEX</w:t>
            </w:r>
          </w:p>
        </w:tc>
        <w:tc>
          <w:tcPr>
            <w:tcW w:w="572" w:type="pct"/>
          </w:tcPr>
          <w:p w:rsidR="00E8681A" w:rsidRPr="001E3D66" w:rsidRDefault="00492F13" w:rsidP="00102E3E">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57.</w:t>
            </w:r>
            <w:r w:rsidR="00102E3E" w:rsidRPr="001E3D66">
              <w:rPr>
                <w:rStyle w:val="Strong"/>
              </w:rPr>
              <w:t>9</w:t>
            </w:r>
          </w:p>
        </w:tc>
        <w:tc>
          <w:tcPr>
            <w:tcW w:w="522" w:type="pct"/>
          </w:tcPr>
          <w:p w:rsidR="00E8681A" w:rsidRPr="001E3D66" w:rsidRDefault="003B4C3B" w:rsidP="00102E3E">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6.</w:t>
            </w:r>
            <w:r w:rsidR="00102E3E" w:rsidRPr="001E3D66">
              <w:rPr>
                <w:rStyle w:val="Strong"/>
              </w:rPr>
              <w:t>3</w:t>
            </w:r>
          </w:p>
        </w:tc>
        <w:tc>
          <w:tcPr>
            <w:tcW w:w="522" w:type="pct"/>
          </w:tcPr>
          <w:p w:rsidR="00E8681A" w:rsidRPr="001E3D66" w:rsidRDefault="003B4C3B" w:rsidP="00293192">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9.</w:t>
            </w:r>
            <w:r w:rsidR="00510B7E">
              <w:rPr>
                <w:rStyle w:val="Strong"/>
              </w:rPr>
              <w:t>2</w:t>
            </w:r>
          </w:p>
        </w:tc>
        <w:tc>
          <w:tcPr>
            <w:tcW w:w="522" w:type="pct"/>
          </w:tcPr>
          <w:p w:rsidR="00E8681A" w:rsidRPr="001E3D66" w:rsidRDefault="00E8681A" w:rsidP="00102E3E">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17.</w:t>
            </w:r>
            <w:r w:rsidR="00102E3E" w:rsidRPr="001E3D66">
              <w:rPr>
                <w:rStyle w:val="Strong"/>
              </w:rPr>
              <w:t>8</w:t>
            </w:r>
          </w:p>
        </w:tc>
        <w:tc>
          <w:tcPr>
            <w:tcW w:w="522" w:type="pct"/>
          </w:tcPr>
          <w:p w:rsidR="00E8681A" w:rsidRPr="001E3D66" w:rsidRDefault="00E8681A" w:rsidP="00293192">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10.0</w:t>
            </w:r>
          </w:p>
        </w:tc>
        <w:tc>
          <w:tcPr>
            <w:tcW w:w="522" w:type="pct"/>
          </w:tcPr>
          <w:p w:rsidR="00E8681A" w:rsidRPr="001E3D66" w:rsidRDefault="00E8681A" w:rsidP="00293192">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18.2</w:t>
            </w:r>
          </w:p>
        </w:tc>
        <w:tc>
          <w:tcPr>
            <w:tcW w:w="616" w:type="pct"/>
          </w:tcPr>
          <w:p w:rsidR="00E8681A" w:rsidRPr="001E3D66" w:rsidRDefault="003B4C3B" w:rsidP="00102E3E">
            <w:pPr>
              <w:cnfStyle w:val="000000010000" w:firstRow="0" w:lastRow="0" w:firstColumn="0" w:lastColumn="0" w:oddVBand="0" w:evenVBand="0" w:oddHBand="0" w:evenHBand="1" w:firstRowFirstColumn="0" w:firstRowLastColumn="0" w:lastRowFirstColumn="0" w:lastRowLastColumn="0"/>
              <w:rPr>
                <w:rStyle w:val="Strong"/>
              </w:rPr>
            </w:pPr>
            <w:r w:rsidRPr="001E3D66">
              <w:rPr>
                <w:rStyle w:val="Strong"/>
              </w:rPr>
              <w:t>61.</w:t>
            </w:r>
            <w:r w:rsidR="00510B7E">
              <w:rPr>
                <w:rStyle w:val="Strong"/>
              </w:rPr>
              <w:t>5</w:t>
            </w:r>
          </w:p>
        </w:tc>
      </w:tr>
      <w:tr w:rsidR="007D009F" w:rsidRPr="004F416F" w:rsidTr="001E3D66">
        <w:trPr>
          <w:trHeight w:val="300"/>
        </w:trPr>
        <w:tc>
          <w:tcPr>
            <w:cnfStyle w:val="001000000000" w:firstRow="0" w:lastRow="0" w:firstColumn="1" w:lastColumn="0" w:oddVBand="0" w:evenVBand="0" w:oddHBand="0" w:evenHBand="0" w:firstRowFirstColumn="0" w:firstRowLastColumn="0" w:lastRowFirstColumn="0" w:lastRowLastColumn="0"/>
            <w:tcW w:w="1203" w:type="pct"/>
          </w:tcPr>
          <w:p w:rsidR="00E8681A" w:rsidRPr="00E8681A" w:rsidRDefault="00E8681A" w:rsidP="00293192">
            <w:r w:rsidRPr="00E8681A">
              <w:t>Contributions</w:t>
            </w:r>
          </w:p>
        </w:tc>
        <w:tc>
          <w:tcPr>
            <w:tcW w:w="57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22" w:type="pct"/>
          </w:tcPr>
          <w:p w:rsidR="00E8681A" w:rsidRPr="00E8681A" w:rsidRDefault="003E44C6" w:rsidP="00293192">
            <w:pPr>
              <w:cnfStyle w:val="000000000000" w:firstRow="0" w:lastRow="0" w:firstColumn="0" w:lastColumn="0" w:oddVBand="0" w:evenVBand="0" w:oddHBand="0" w:evenHBand="0" w:firstRowFirstColumn="0" w:firstRowLastColumn="0" w:lastRowFirstColumn="0" w:lastRowLastColumn="0"/>
            </w:pPr>
            <w:r>
              <w:t>0.1</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22" w:type="pct"/>
          </w:tcPr>
          <w:p w:rsidR="00E8681A" w:rsidRPr="00E8681A"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6" w:type="pct"/>
          </w:tcPr>
          <w:p w:rsidR="00E8681A" w:rsidRPr="00E8681A" w:rsidRDefault="00071BB2" w:rsidP="00293192">
            <w:pPr>
              <w:cnfStyle w:val="000000000000" w:firstRow="0" w:lastRow="0" w:firstColumn="0" w:lastColumn="0" w:oddVBand="0" w:evenVBand="0" w:oddHBand="0" w:evenHBand="0" w:firstRowFirstColumn="0" w:firstRowLastColumn="0" w:lastRowFirstColumn="0" w:lastRowLastColumn="0"/>
            </w:pPr>
            <w:r>
              <w:t>0.1</w:t>
            </w:r>
          </w:p>
        </w:tc>
      </w:tr>
      <w:tr w:rsidR="007D009F" w:rsidRPr="004F416F" w:rsidTr="001E3D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3" w:type="pct"/>
          </w:tcPr>
          <w:p w:rsidR="00E8681A" w:rsidRPr="00E8681A" w:rsidRDefault="00E8681A" w:rsidP="00293192">
            <w:r w:rsidRPr="00E8681A">
              <w:t>Asset disposals</w:t>
            </w:r>
          </w:p>
        </w:tc>
        <w:tc>
          <w:tcPr>
            <w:tcW w:w="572" w:type="pct"/>
          </w:tcPr>
          <w:p w:rsidR="00E8681A" w:rsidRPr="00E8681A"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22" w:type="pct"/>
          </w:tcPr>
          <w:p w:rsidR="00E8681A" w:rsidRPr="00E8681A" w:rsidRDefault="00DC7DC9" w:rsidP="00293192">
            <w:pPr>
              <w:cnfStyle w:val="000000010000" w:firstRow="0" w:lastRow="0" w:firstColumn="0" w:lastColumn="0" w:oddVBand="0" w:evenVBand="0" w:oddHBand="0" w:evenHBand="1" w:firstRowFirstColumn="0" w:firstRowLastColumn="0" w:lastRowFirstColumn="0" w:lastRowLastColumn="0"/>
            </w:pPr>
            <w:r>
              <w:t>0.1</w:t>
            </w:r>
          </w:p>
        </w:tc>
        <w:tc>
          <w:tcPr>
            <w:tcW w:w="522" w:type="pct"/>
          </w:tcPr>
          <w:p w:rsidR="00E8681A" w:rsidRPr="00E8681A" w:rsidRDefault="00DC7DC9" w:rsidP="00102E3E">
            <w:pPr>
              <w:cnfStyle w:val="000000010000" w:firstRow="0" w:lastRow="0" w:firstColumn="0" w:lastColumn="0" w:oddVBand="0" w:evenVBand="0" w:oddHBand="0" w:evenHBand="1" w:firstRowFirstColumn="0" w:firstRowLastColumn="0" w:lastRowFirstColumn="0" w:lastRowLastColumn="0"/>
            </w:pPr>
            <w:r>
              <w:t>0.</w:t>
            </w:r>
            <w:r w:rsidR="00102E3E">
              <w:t>1</w:t>
            </w:r>
          </w:p>
        </w:tc>
        <w:tc>
          <w:tcPr>
            <w:tcW w:w="522" w:type="pct"/>
          </w:tcPr>
          <w:p w:rsidR="00E8681A" w:rsidRPr="00E8681A" w:rsidRDefault="00DC7DC9" w:rsidP="00293192">
            <w:pPr>
              <w:cnfStyle w:val="000000010000" w:firstRow="0" w:lastRow="0" w:firstColumn="0" w:lastColumn="0" w:oddVBand="0" w:evenVBand="0" w:oddHBand="0" w:evenHBand="1" w:firstRowFirstColumn="0" w:firstRowLastColumn="0" w:lastRowFirstColumn="0" w:lastRowLastColumn="0"/>
            </w:pPr>
            <w:r>
              <w:t>0.0</w:t>
            </w:r>
          </w:p>
        </w:tc>
        <w:tc>
          <w:tcPr>
            <w:tcW w:w="522" w:type="pct"/>
          </w:tcPr>
          <w:p w:rsidR="00E8681A" w:rsidRPr="00E8681A"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22" w:type="pct"/>
          </w:tcPr>
          <w:p w:rsidR="00E8681A" w:rsidRPr="00E8681A"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16" w:type="pct"/>
          </w:tcPr>
          <w:p w:rsidR="00E8681A" w:rsidRPr="00E8681A" w:rsidRDefault="00DC7DC9" w:rsidP="00293192">
            <w:pPr>
              <w:cnfStyle w:val="000000010000" w:firstRow="0" w:lastRow="0" w:firstColumn="0" w:lastColumn="0" w:oddVBand="0" w:evenVBand="0" w:oddHBand="0" w:evenHBand="1" w:firstRowFirstColumn="0" w:firstRowLastColumn="0" w:lastRowFirstColumn="0" w:lastRowLastColumn="0"/>
            </w:pPr>
            <w:r>
              <w:t>0.2</w:t>
            </w:r>
          </w:p>
        </w:tc>
      </w:tr>
      <w:tr w:rsidR="007D009F" w:rsidRPr="004F416F" w:rsidTr="001E3D66">
        <w:trPr>
          <w:trHeight w:val="300"/>
        </w:trPr>
        <w:tc>
          <w:tcPr>
            <w:cnfStyle w:val="001000000000" w:firstRow="0" w:lastRow="0" w:firstColumn="1" w:lastColumn="0" w:oddVBand="0" w:evenVBand="0" w:oddHBand="0" w:evenHBand="0" w:firstRowFirstColumn="0" w:firstRowLastColumn="0" w:lastRowFirstColumn="0" w:lastRowLastColumn="0"/>
            <w:tcW w:w="1203" w:type="pct"/>
          </w:tcPr>
          <w:p w:rsidR="00E8681A" w:rsidRPr="001E3D66" w:rsidRDefault="00E8681A" w:rsidP="00435C44">
            <w:pPr>
              <w:rPr>
                <w:rStyle w:val="Strong"/>
              </w:rPr>
            </w:pPr>
            <w:r w:rsidRPr="0078580C">
              <w:rPr>
                <w:rStyle w:val="Strong"/>
              </w:rPr>
              <w:t>NET TOTAL</w:t>
            </w:r>
            <w:r w:rsidRPr="001E3D66">
              <w:rPr>
                <w:rStyle w:val="Strong"/>
                <w:sz w:val="22"/>
              </w:rPr>
              <w:t xml:space="preserve"> </w:t>
            </w:r>
            <w:r w:rsidR="003151F8" w:rsidRPr="001E3D66">
              <w:rPr>
                <w:rStyle w:val="Strong"/>
              </w:rPr>
              <w:t>CAPEX</w:t>
            </w:r>
          </w:p>
        </w:tc>
        <w:tc>
          <w:tcPr>
            <w:tcW w:w="572" w:type="pct"/>
          </w:tcPr>
          <w:p w:rsidR="00E8681A" w:rsidRPr="001E3D66" w:rsidRDefault="00492F13" w:rsidP="00102E3E">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57.</w:t>
            </w:r>
            <w:r w:rsidR="00102E3E" w:rsidRPr="001E3D66">
              <w:rPr>
                <w:rStyle w:val="Strong"/>
              </w:rPr>
              <w:t>9</w:t>
            </w:r>
          </w:p>
        </w:tc>
        <w:tc>
          <w:tcPr>
            <w:tcW w:w="522" w:type="pct"/>
          </w:tcPr>
          <w:p w:rsidR="00E8681A" w:rsidRPr="001E3D66" w:rsidRDefault="00DC7DC9" w:rsidP="00293192">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6.1</w:t>
            </w:r>
          </w:p>
        </w:tc>
        <w:tc>
          <w:tcPr>
            <w:tcW w:w="522" w:type="pct"/>
          </w:tcPr>
          <w:p w:rsidR="00E8681A" w:rsidRPr="001E3D66" w:rsidRDefault="003E44C6" w:rsidP="00293192">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9</w:t>
            </w:r>
            <w:r w:rsidR="00510B7E">
              <w:rPr>
                <w:rStyle w:val="Strong"/>
              </w:rPr>
              <w:t>.0</w:t>
            </w:r>
          </w:p>
        </w:tc>
        <w:tc>
          <w:tcPr>
            <w:tcW w:w="522" w:type="pct"/>
          </w:tcPr>
          <w:p w:rsidR="00E8681A" w:rsidRPr="001E3D66" w:rsidRDefault="00DC7DC9" w:rsidP="00293192">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17.7</w:t>
            </w:r>
          </w:p>
        </w:tc>
        <w:tc>
          <w:tcPr>
            <w:tcW w:w="522" w:type="pct"/>
          </w:tcPr>
          <w:p w:rsidR="00E8681A" w:rsidRPr="001E3D66" w:rsidRDefault="00DC7DC9" w:rsidP="00293192">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10.0</w:t>
            </w:r>
          </w:p>
        </w:tc>
        <w:tc>
          <w:tcPr>
            <w:tcW w:w="522" w:type="pct"/>
          </w:tcPr>
          <w:p w:rsidR="00E8681A" w:rsidRPr="001E3D66" w:rsidRDefault="00DC7DC9" w:rsidP="00293192">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18.2</w:t>
            </w:r>
          </w:p>
        </w:tc>
        <w:tc>
          <w:tcPr>
            <w:tcW w:w="616" w:type="pct"/>
          </w:tcPr>
          <w:p w:rsidR="00E8681A" w:rsidRPr="001E3D66" w:rsidRDefault="00DC7DC9" w:rsidP="003E44C6">
            <w:pPr>
              <w:cnfStyle w:val="000000000000" w:firstRow="0" w:lastRow="0" w:firstColumn="0" w:lastColumn="0" w:oddVBand="0" w:evenVBand="0" w:oddHBand="0" w:evenHBand="0" w:firstRowFirstColumn="0" w:firstRowLastColumn="0" w:lastRowFirstColumn="0" w:lastRowLastColumn="0"/>
              <w:rPr>
                <w:rStyle w:val="Strong"/>
              </w:rPr>
            </w:pPr>
            <w:r w:rsidRPr="001E3D66">
              <w:rPr>
                <w:rStyle w:val="Strong"/>
              </w:rPr>
              <w:t>61.</w:t>
            </w:r>
            <w:r w:rsidR="00510B7E">
              <w:rPr>
                <w:rStyle w:val="Strong"/>
              </w:rPr>
              <w:t>1</w:t>
            </w:r>
          </w:p>
        </w:tc>
      </w:tr>
    </w:tbl>
    <w:p w:rsidR="00E8681A" w:rsidRDefault="00E8681A" w:rsidP="00E8681A">
      <w:pPr>
        <w:pStyle w:val="AERtablesource"/>
      </w:pPr>
      <w:r w:rsidRPr="00F61681">
        <w:t>Source:</w:t>
      </w:r>
      <w:r w:rsidRPr="00F61681">
        <w:tab/>
        <w:t>AER analysis.</w:t>
      </w:r>
      <w:r w:rsidR="00020297">
        <w:t xml:space="preserve"> Totals may not add due to rounding.</w:t>
      </w:r>
    </w:p>
    <w:p w:rsidR="00E8681A" w:rsidRDefault="00E8681A" w:rsidP="00A600EF">
      <w:pPr>
        <w:pStyle w:val="AERtablesource"/>
      </w:pPr>
      <w:r>
        <w:t>Notes</w:t>
      </w:r>
      <w:r w:rsidRPr="005A3660">
        <w:t>:</w:t>
      </w:r>
      <w:r w:rsidRPr="005A3660">
        <w:tab/>
      </w:r>
      <w:r>
        <w:t>(a) We have made a decision on conforming capex for the 2011</w:t>
      </w:r>
      <w:r w:rsidR="007D009F">
        <w:t>–</w:t>
      </w:r>
      <w:r>
        <w:t xml:space="preserve">12 year for the purposes of establishing the opening capital base for the 2012–17 access arrangement </w:t>
      </w:r>
      <w:proofErr w:type="gramStart"/>
      <w:r>
        <w:t>period</w:t>
      </w:r>
      <w:proofErr w:type="gramEnd"/>
      <w:r>
        <w:t>.</w:t>
      </w:r>
    </w:p>
    <w:p w:rsidR="00F30CB6" w:rsidRDefault="00F30CB6" w:rsidP="00F30CB6">
      <w:pPr>
        <w:pStyle w:val="Heading3"/>
      </w:pPr>
      <w:bookmarkStart w:id="17" w:name="_Toc476651832"/>
      <w:bookmarkStart w:id="18" w:name="_Toc486851815"/>
      <w:r>
        <w:t xml:space="preserve">Conforming </w:t>
      </w:r>
      <w:r w:rsidR="00C3073B">
        <w:t>capex</w:t>
      </w:r>
      <w:r>
        <w:t xml:space="preserve"> for the 2017–22 access arrangement period</w:t>
      </w:r>
      <w:bookmarkEnd w:id="17"/>
      <w:bookmarkEnd w:id="18"/>
    </w:p>
    <w:p w:rsidR="00F30CB6" w:rsidRDefault="00F30CB6" w:rsidP="00F30CB6">
      <w:r w:rsidRPr="00F30CB6">
        <w:t>We approve $5</w:t>
      </w:r>
      <w:r w:rsidR="00D50053">
        <w:t>9</w:t>
      </w:r>
      <w:r w:rsidRPr="00F30CB6">
        <w:t>.</w:t>
      </w:r>
      <w:r w:rsidR="00D50053">
        <w:t>5</w:t>
      </w:r>
      <w:r w:rsidRPr="00F30CB6">
        <w:t xml:space="preserve"> million ($2016–17) of APTPPL's proposed $66.7 million ($2016–17) total net capex for </w:t>
      </w:r>
      <w:r w:rsidR="007D308E">
        <w:t xml:space="preserve">the </w:t>
      </w:r>
      <w:r w:rsidRPr="00F30CB6">
        <w:t xml:space="preserve">2017–22 </w:t>
      </w:r>
      <w:r w:rsidR="00C3073B">
        <w:t xml:space="preserve">access </w:t>
      </w:r>
      <w:r w:rsidR="007D308E">
        <w:t>arrangement</w:t>
      </w:r>
      <w:r w:rsidR="00C3073B">
        <w:t xml:space="preserve"> </w:t>
      </w:r>
      <w:proofErr w:type="gramStart"/>
      <w:r w:rsidR="00C3073B">
        <w:t>period</w:t>
      </w:r>
      <w:proofErr w:type="gramEnd"/>
      <w:r w:rsidRPr="00F30CB6">
        <w:t>.</w:t>
      </w:r>
      <w:r w:rsidR="007D308E">
        <w:rPr>
          <w:rStyle w:val="FootnoteReference"/>
        </w:rPr>
        <w:footnoteReference w:id="6"/>
      </w:r>
      <w:r w:rsidRPr="00F30CB6">
        <w:t xml:space="preserve"> </w:t>
      </w:r>
    </w:p>
    <w:p w:rsidR="00A62E01" w:rsidRDefault="00A62E01" w:rsidP="00A62E01">
      <w:r>
        <w:t>We have not accepted APTPPL's proposed capex in this draft decision because:</w:t>
      </w:r>
    </w:p>
    <w:p w:rsidR="00A62E01" w:rsidRDefault="00A62E01" w:rsidP="00A62E01">
      <w:pPr>
        <w:pStyle w:val="AERbulletlistfirststyle"/>
      </w:pPr>
      <w:proofErr w:type="gramStart"/>
      <w:r>
        <w:t>the</w:t>
      </w:r>
      <w:proofErr w:type="gramEnd"/>
      <w:r>
        <w:t xml:space="preserve"> forecast capex for the pipeline integrity management activities does not reflect the efficient cost of undertaking the necessary pipeline excavations and coating activities.</w:t>
      </w:r>
      <w:r>
        <w:rPr>
          <w:rStyle w:val="FootnoteReference"/>
        </w:rPr>
        <w:footnoteReference w:id="7"/>
      </w:r>
      <w:r>
        <w:t xml:space="preserve"> We consider that forecast capex of $31.7 million </w:t>
      </w:r>
      <w:r w:rsidRPr="00F30CB6">
        <w:t>($2016–17)</w:t>
      </w:r>
      <w:r>
        <w:t>,</w:t>
      </w:r>
      <w:r w:rsidRPr="00F30CB6">
        <w:t xml:space="preserve"> </w:t>
      </w:r>
      <w:r>
        <w:t xml:space="preserve">rather than the proposed $37.6 million </w:t>
      </w:r>
      <w:r w:rsidRPr="00F30CB6">
        <w:t>($2016–17)</w:t>
      </w:r>
      <w:r>
        <w:t>,</w:t>
      </w:r>
      <w:r w:rsidRPr="00F30CB6">
        <w:t xml:space="preserve"> </w:t>
      </w:r>
      <w:r>
        <w:t>is a reasonable estimate of conforming capex for this project, as discussed in section 6.4.2.</w:t>
      </w:r>
    </w:p>
    <w:p w:rsidR="00A62E01" w:rsidRPr="00F30CB6" w:rsidRDefault="00A62E01" w:rsidP="00F30CB6">
      <w:pPr>
        <w:pStyle w:val="AERbulletlistfirststyle"/>
      </w:pPr>
      <w:proofErr w:type="gramStart"/>
      <w:r>
        <w:t>the</w:t>
      </w:r>
      <w:proofErr w:type="gramEnd"/>
      <w:r>
        <w:t xml:space="preserve"> forecast capex of $1.3 million </w:t>
      </w:r>
      <w:r w:rsidRPr="00F30CB6">
        <w:t>($2016–17)</w:t>
      </w:r>
      <w:r>
        <w:t xml:space="preserve"> for the Dalby turbine overhaul is not necessary in the 2017</w:t>
      </w:r>
      <w:r w:rsidRPr="000D4D46">
        <w:t>–</w:t>
      </w:r>
      <w:r>
        <w:t>22</w:t>
      </w:r>
      <w:r w:rsidRPr="000D4D46">
        <w:t xml:space="preserve"> </w:t>
      </w:r>
      <w:r>
        <w:t>access arrangement period.</w:t>
      </w:r>
      <w:r>
        <w:rPr>
          <w:rStyle w:val="FootnoteReference"/>
        </w:rPr>
        <w:footnoteReference w:id="8"/>
      </w:r>
      <w:r>
        <w:t xml:space="preserve"> We discuss this in </w:t>
      </w:r>
      <w:r>
        <w:br/>
        <w:t>section 6.4.2.</w:t>
      </w:r>
    </w:p>
    <w:p w:rsidR="00F30CB6" w:rsidRDefault="009A2147" w:rsidP="00F30CB6">
      <w:r>
        <w:t>We</w:t>
      </w:r>
      <w:r w:rsidR="009E3B6C" w:rsidRPr="00F30CB6">
        <w:t xml:space="preserve"> </w:t>
      </w:r>
      <w:r w:rsidR="00F30CB6" w:rsidRPr="00F30CB6">
        <w:t xml:space="preserve">show approved capex </w:t>
      </w:r>
      <w:r w:rsidRPr="00F30CB6">
        <w:t xml:space="preserve">by category </w:t>
      </w:r>
      <w:r w:rsidR="00F30CB6" w:rsidRPr="00F30CB6">
        <w:t>for the 2017–22 access arrangement period</w:t>
      </w:r>
      <w:r>
        <w:t xml:space="preserve"> in </w:t>
      </w:r>
      <w:r w:rsidR="00086269">
        <w:fldChar w:fldCharType="begin"/>
      </w:r>
      <w:r>
        <w:instrText xml:space="preserve"> REF  _Ref475708566 \* Lower \h </w:instrText>
      </w:r>
      <w:r w:rsidR="00086269">
        <w:fldChar w:fldCharType="separate"/>
      </w:r>
      <w:r w:rsidR="00582574">
        <w:t xml:space="preserve">table </w:t>
      </w:r>
      <w:r w:rsidR="00582574">
        <w:rPr>
          <w:noProof/>
        </w:rPr>
        <w:t>6</w:t>
      </w:r>
      <w:r w:rsidR="00582574">
        <w:noBreakHyphen/>
      </w:r>
      <w:r w:rsidR="00582574">
        <w:rPr>
          <w:noProof/>
        </w:rPr>
        <w:t>2</w:t>
      </w:r>
      <w:r w:rsidR="00086269">
        <w:fldChar w:fldCharType="end"/>
      </w:r>
      <w:r w:rsidR="00F30CB6" w:rsidRPr="00F30CB6">
        <w:t>.</w:t>
      </w:r>
    </w:p>
    <w:p w:rsidR="009A2147" w:rsidRDefault="009A2147" w:rsidP="009A2147">
      <w:pPr>
        <w:pStyle w:val="Caption"/>
      </w:pPr>
      <w:bookmarkStart w:id="19" w:name="_Ref475708566"/>
      <w:r>
        <w:t xml:space="preserve">Table </w:t>
      </w:r>
      <w:fldSimple w:instr=" STYLEREF 1 \s ">
        <w:r w:rsidR="00582574">
          <w:rPr>
            <w:noProof/>
          </w:rPr>
          <w:t>6</w:t>
        </w:r>
      </w:fldSimple>
      <w:r w:rsidR="002E7AD4">
        <w:noBreakHyphen/>
      </w:r>
      <w:fldSimple w:instr=" SEQ Table \* ARABIC \s 1 ">
        <w:r w:rsidR="00582574">
          <w:rPr>
            <w:noProof/>
          </w:rPr>
          <w:t>2</w:t>
        </w:r>
      </w:fldSimple>
      <w:bookmarkEnd w:id="19"/>
      <w:r>
        <w:tab/>
        <w:t>AER approved capex by category over the 2017</w:t>
      </w:r>
      <w:r w:rsidRPr="009A2147">
        <w:t>–22 access arrangement period ($million, 2016–17)</w:t>
      </w:r>
    </w:p>
    <w:tbl>
      <w:tblPr>
        <w:tblStyle w:val="AERtable-numbers"/>
        <w:tblW w:w="5000" w:type="pct"/>
        <w:tblLook w:val="04A0" w:firstRow="1" w:lastRow="0" w:firstColumn="1" w:lastColumn="0" w:noHBand="0" w:noVBand="1"/>
      </w:tblPr>
      <w:tblGrid>
        <w:gridCol w:w="3358"/>
        <w:gridCol w:w="888"/>
        <w:gridCol w:w="892"/>
        <w:gridCol w:w="888"/>
        <w:gridCol w:w="890"/>
        <w:gridCol w:w="888"/>
        <w:gridCol w:w="888"/>
      </w:tblGrid>
      <w:tr w:rsidR="00AF7EF2" w:rsidRPr="004F416F" w:rsidTr="00AF7EF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rsidRPr="00AF7EF2">
              <w:t> Category</w:t>
            </w:r>
          </w:p>
        </w:tc>
        <w:tc>
          <w:tcPr>
            <w:tcW w:w="511" w:type="pct"/>
            <w:hideMark/>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2017</w:t>
            </w:r>
            <w:r w:rsidR="00480C1F">
              <w:t>–</w:t>
            </w:r>
            <w:r w:rsidRPr="00AF7EF2">
              <w:t>18</w:t>
            </w:r>
          </w:p>
        </w:tc>
        <w:tc>
          <w:tcPr>
            <w:tcW w:w="513" w:type="pct"/>
            <w:hideMark/>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2018</w:t>
            </w:r>
            <w:r w:rsidR="00480C1F">
              <w:t>–</w:t>
            </w:r>
            <w:r w:rsidRPr="00AF7EF2">
              <w:t>19</w:t>
            </w:r>
          </w:p>
        </w:tc>
        <w:tc>
          <w:tcPr>
            <w:tcW w:w="511" w:type="pct"/>
            <w:hideMark/>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2019</w:t>
            </w:r>
            <w:r w:rsidR="00480C1F">
              <w:t>–</w:t>
            </w:r>
            <w:r w:rsidRPr="00AF7EF2">
              <w:t>20</w:t>
            </w:r>
          </w:p>
        </w:tc>
        <w:tc>
          <w:tcPr>
            <w:tcW w:w="512" w:type="pct"/>
            <w:hideMark/>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2020</w:t>
            </w:r>
            <w:r w:rsidR="00480C1F">
              <w:t>–</w:t>
            </w:r>
            <w:r w:rsidRPr="00AF7EF2">
              <w:t>21</w:t>
            </w:r>
          </w:p>
        </w:tc>
        <w:tc>
          <w:tcPr>
            <w:tcW w:w="511" w:type="pct"/>
            <w:hideMark/>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2021</w:t>
            </w:r>
            <w:r w:rsidR="00480C1F">
              <w:t>–</w:t>
            </w:r>
            <w:r w:rsidRPr="00AF7EF2">
              <w:t>22</w:t>
            </w:r>
          </w:p>
        </w:tc>
        <w:tc>
          <w:tcPr>
            <w:tcW w:w="512" w:type="pct"/>
          </w:tcPr>
          <w:p w:rsidR="00AF7EF2" w:rsidRPr="00AF7EF2" w:rsidRDefault="00AF7EF2" w:rsidP="00293192">
            <w:pPr>
              <w:cnfStyle w:val="100000000000" w:firstRow="1" w:lastRow="0" w:firstColumn="0" w:lastColumn="0" w:oddVBand="0" w:evenVBand="0" w:oddHBand="0" w:evenHBand="0" w:firstRowFirstColumn="0" w:firstRowLastColumn="0" w:lastRowFirstColumn="0" w:lastRowLastColumn="0"/>
            </w:pPr>
            <w:r w:rsidRPr="00AF7EF2">
              <w:t>Total</w:t>
            </w:r>
          </w:p>
        </w:tc>
      </w:tr>
      <w:tr w:rsidR="00AF7EF2" w:rsidRPr="004F416F" w:rsidTr="00AF7EF2">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t xml:space="preserve">Expansion </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3"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r>
      <w:tr w:rsidR="00AF7EF2" w:rsidRPr="004F416F" w:rsidTr="00AF7E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t xml:space="preserve">Replacement </w:t>
            </w:r>
          </w:p>
        </w:tc>
        <w:tc>
          <w:tcPr>
            <w:tcW w:w="511"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6.</w:t>
            </w:r>
            <w:r w:rsidR="00AC725A">
              <w:t>3</w:t>
            </w:r>
          </w:p>
        </w:tc>
        <w:tc>
          <w:tcPr>
            <w:tcW w:w="513"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8.</w:t>
            </w:r>
            <w:r w:rsidR="00AC725A">
              <w:t>2</w:t>
            </w:r>
          </w:p>
        </w:tc>
        <w:tc>
          <w:tcPr>
            <w:tcW w:w="511"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5.</w:t>
            </w:r>
            <w:r w:rsidR="00AC725A">
              <w:t>1</w:t>
            </w:r>
          </w:p>
        </w:tc>
        <w:tc>
          <w:tcPr>
            <w:tcW w:w="512"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6.</w:t>
            </w:r>
            <w:r w:rsidR="00AC725A">
              <w:t>3</w:t>
            </w:r>
          </w:p>
        </w:tc>
        <w:tc>
          <w:tcPr>
            <w:tcW w:w="511"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5.</w:t>
            </w:r>
            <w:r w:rsidR="00AC725A">
              <w:t>8</w:t>
            </w:r>
          </w:p>
        </w:tc>
        <w:tc>
          <w:tcPr>
            <w:tcW w:w="512" w:type="pct"/>
          </w:tcPr>
          <w:p w:rsidR="00AF7EF2" w:rsidRPr="00AF7EF2" w:rsidRDefault="00D50053" w:rsidP="00AC725A">
            <w:pPr>
              <w:cnfStyle w:val="000000010000" w:firstRow="0" w:lastRow="0" w:firstColumn="0" w:lastColumn="0" w:oddVBand="0" w:evenVBand="0" w:oddHBand="0" w:evenHBand="1" w:firstRowFirstColumn="0" w:firstRowLastColumn="0" w:lastRowFirstColumn="0" w:lastRowLastColumn="0"/>
            </w:pPr>
            <w:r>
              <w:t>31.</w:t>
            </w:r>
            <w:r w:rsidR="00AC725A">
              <w:t>7</w:t>
            </w:r>
          </w:p>
        </w:tc>
      </w:tr>
      <w:tr w:rsidR="00AF7EF2" w:rsidRPr="004F416F" w:rsidTr="00AF7EF2">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t xml:space="preserve">Stay in business </w:t>
            </w:r>
          </w:p>
        </w:tc>
        <w:tc>
          <w:tcPr>
            <w:tcW w:w="511" w:type="pct"/>
          </w:tcPr>
          <w:p w:rsidR="00AF7EF2" w:rsidRPr="00AF7EF2" w:rsidRDefault="00AF7EF2" w:rsidP="00AC725A">
            <w:pPr>
              <w:cnfStyle w:val="000000000000" w:firstRow="0" w:lastRow="0" w:firstColumn="0" w:lastColumn="0" w:oddVBand="0" w:evenVBand="0" w:oddHBand="0" w:evenHBand="0" w:firstRowFirstColumn="0" w:firstRowLastColumn="0" w:lastRowFirstColumn="0" w:lastRowLastColumn="0"/>
            </w:pPr>
            <w:r w:rsidRPr="00AF7EF2">
              <w:t>17.</w:t>
            </w:r>
            <w:r w:rsidR="00AC725A">
              <w:t>2</w:t>
            </w:r>
          </w:p>
        </w:tc>
        <w:tc>
          <w:tcPr>
            <w:tcW w:w="513" w:type="pct"/>
          </w:tcPr>
          <w:p w:rsidR="00AF7EF2" w:rsidRPr="00AF7EF2" w:rsidRDefault="00AF7EF2" w:rsidP="00AC725A">
            <w:pPr>
              <w:cnfStyle w:val="000000000000" w:firstRow="0" w:lastRow="0" w:firstColumn="0" w:lastColumn="0" w:oddVBand="0" w:evenVBand="0" w:oddHBand="0" w:evenHBand="0" w:firstRowFirstColumn="0" w:firstRowLastColumn="0" w:lastRowFirstColumn="0" w:lastRowLastColumn="0"/>
            </w:pPr>
            <w:r w:rsidRPr="00AF7EF2">
              <w:t>5.</w:t>
            </w:r>
            <w:r w:rsidR="00AC725A">
              <w:t>7</w:t>
            </w:r>
          </w:p>
        </w:tc>
        <w:tc>
          <w:tcPr>
            <w:tcW w:w="511" w:type="pct"/>
          </w:tcPr>
          <w:p w:rsidR="00AF7EF2" w:rsidRPr="00AF7EF2" w:rsidRDefault="00AF7EF2" w:rsidP="00D60E51">
            <w:pPr>
              <w:cnfStyle w:val="000000000000" w:firstRow="0" w:lastRow="0" w:firstColumn="0" w:lastColumn="0" w:oddVBand="0" w:evenVBand="0" w:oddHBand="0" w:evenHBand="0" w:firstRowFirstColumn="0" w:firstRowLastColumn="0" w:lastRowFirstColumn="0" w:lastRowLastColumn="0"/>
            </w:pPr>
            <w:r w:rsidRPr="00AF7EF2">
              <w:t>1.</w:t>
            </w:r>
            <w:r w:rsidR="00D60E51" w:rsidRPr="00AF7EF2">
              <w:t>4</w:t>
            </w:r>
          </w:p>
        </w:tc>
        <w:tc>
          <w:tcPr>
            <w:tcW w:w="512" w:type="pct"/>
          </w:tcPr>
          <w:p w:rsidR="00AF7EF2" w:rsidRPr="00AF7EF2" w:rsidRDefault="00AF7EF2" w:rsidP="00AC725A">
            <w:pPr>
              <w:cnfStyle w:val="000000000000" w:firstRow="0" w:lastRow="0" w:firstColumn="0" w:lastColumn="0" w:oddVBand="0" w:evenVBand="0" w:oddHBand="0" w:evenHBand="0" w:firstRowFirstColumn="0" w:firstRowLastColumn="0" w:lastRowFirstColumn="0" w:lastRowLastColumn="0"/>
            </w:pPr>
            <w:r w:rsidRPr="00AF7EF2">
              <w:t>1.</w:t>
            </w:r>
            <w:r w:rsidR="00AC725A">
              <w:t>6</w:t>
            </w:r>
          </w:p>
        </w:tc>
        <w:tc>
          <w:tcPr>
            <w:tcW w:w="511" w:type="pct"/>
          </w:tcPr>
          <w:p w:rsidR="00AF7EF2" w:rsidRPr="00AF7EF2" w:rsidRDefault="00AF7EF2" w:rsidP="00D60E51">
            <w:pPr>
              <w:cnfStyle w:val="000000000000" w:firstRow="0" w:lastRow="0" w:firstColumn="0" w:lastColumn="0" w:oddVBand="0" w:evenVBand="0" w:oddHBand="0" w:evenHBand="0" w:firstRowFirstColumn="0" w:firstRowLastColumn="0" w:lastRowFirstColumn="0" w:lastRowLastColumn="0"/>
            </w:pPr>
            <w:r w:rsidRPr="00AF7EF2">
              <w:t>1.</w:t>
            </w:r>
            <w:r w:rsidR="00D60E51" w:rsidRPr="00AF7EF2">
              <w:t>9</w:t>
            </w:r>
          </w:p>
        </w:tc>
        <w:tc>
          <w:tcPr>
            <w:tcW w:w="512" w:type="pct"/>
          </w:tcPr>
          <w:p w:rsidR="00AF7EF2" w:rsidRPr="00AF7EF2" w:rsidRDefault="00AF7EF2" w:rsidP="00AC725A">
            <w:pPr>
              <w:cnfStyle w:val="000000000000" w:firstRow="0" w:lastRow="0" w:firstColumn="0" w:lastColumn="0" w:oddVBand="0" w:evenVBand="0" w:oddHBand="0" w:evenHBand="0" w:firstRowFirstColumn="0" w:firstRowLastColumn="0" w:lastRowFirstColumn="0" w:lastRowLastColumn="0"/>
            </w:pPr>
            <w:r w:rsidRPr="00AF7EF2">
              <w:t>27.</w:t>
            </w:r>
            <w:r w:rsidR="00AC725A">
              <w:t>8</w:t>
            </w:r>
          </w:p>
        </w:tc>
      </w:tr>
      <w:tr w:rsidR="00AF7EF2" w:rsidRPr="004F416F" w:rsidTr="00AF7E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435C44" w:rsidRDefault="00AF7EF2" w:rsidP="00480C1F">
            <w:pPr>
              <w:rPr>
                <w:rStyle w:val="Strong"/>
              </w:rPr>
            </w:pPr>
            <w:r w:rsidRPr="00435C44">
              <w:rPr>
                <w:rStyle w:val="Strong"/>
              </w:rPr>
              <w:t xml:space="preserve">GROSS TOTAL </w:t>
            </w:r>
            <w:r w:rsidR="00480C1F" w:rsidRPr="00435C44">
              <w:rPr>
                <w:rStyle w:val="Strong"/>
              </w:rPr>
              <w:t>CAPEX</w:t>
            </w:r>
          </w:p>
        </w:tc>
        <w:tc>
          <w:tcPr>
            <w:tcW w:w="511" w:type="pct"/>
          </w:tcPr>
          <w:p w:rsidR="00AF7EF2" w:rsidRPr="00435C44" w:rsidRDefault="00AF7EF2"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2</w:t>
            </w:r>
            <w:r w:rsidR="00D50053" w:rsidRPr="00435C44">
              <w:rPr>
                <w:rStyle w:val="Strong"/>
              </w:rPr>
              <w:t>3.</w:t>
            </w:r>
            <w:r w:rsidR="00AC725A">
              <w:rPr>
                <w:rStyle w:val="Strong"/>
              </w:rPr>
              <w:t>5</w:t>
            </w:r>
          </w:p>
        </w:tc>
        <w:tc>
          <w:tcPr>
            <w:tcW w:w="513" w:type="pct"/>
          </w:tcPr>
          <w:p w:rsidR="00AF7EF2" w:rsidRPr="00435C44" w:rsidRDefault="00D50053"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13.</w:t>
            </w:r>
            <w:r w:rsidR="00AC725A">
              <w:rPr>
                <w:rStyle w:val="Strong"/>
              </w:rPr>
              <w:t>9</w:t>
            </w:r>
          </w:p>
        </w:tc>
        <w:tc>
          <w:tcPr>
            <w:tcW w:w="511" w:type="pct"/>
          </w:tcPr>
          <w:p w:rsidR="00AF7EF2" w:rsidRPr="00435C44" w:rsidRDefault="00D50053"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6.</w:t>
            </w:r>
            <w:r w:rsidR="00AC725A">
              <w:rPr>
                <w:rStyle w:val="Strong"/>
              </w:rPr>
              <w:t>5</w:t>
            </w:r>
          </w:p>
        </w:tc>
        <w:tc>
          <w:tcPr>
            <w:tcW w:w="512" w:type="pct"/>
          </w:tcPr>
          <w:p w:rsidR="00AF7EF2" w:rsidRPr="00435C44" w:rsidRDefault="00D50053"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7.</w:t>
            </w:r>
            <w:r w:rsidR="00AC725A">
              <w:rPr>
                <w:rStyle w:val="Strong"/>
              </w:rPr>
              <w:t>9</w:t>
            </w:r>
          </w:p>
        </w:tc>
        <w:tc>
          <w:tcPr>
            <w:tcW w:w="511" w:type="pct"/>
          </w:tcPr>
          <w:p w:rsidR="00AF7EF2" w:rsidRPr="00435C44" w:rsidRDefault="00D50053"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7.</w:t>
            </w:r>
            <w:r w:rsidR="00AC725A">
              <w:rPr>
                <w:rStyle w:val="Strong"/>
              </w:rPr>
              <w:t>7</w:t>
            </w:r>
          </w:p>
        </w:tc>
        <w:tc>
          <w:tcPr>
            <w:tcW w:w="512" w:type="pct"/>
          </w:tcPr>
          <w:p w:rsidR="00AF7EF2" w:rsidRPr="00435C44" w:rsidRDefault="00AF7EF2" w:rsidP="00AC725A">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5</w:t>
            </w:r>
            <w:r w:rsidR="00D50053" w:rsidRPr="00435C44">
              <w:rPr>
                <w:rStyle w:val="Strong"/>
              </w:rPr>
              <w:t>9.</w:t>
            </w:r>
            <w:r w:rsidR="00AC725A">
              <w:rPr>
                <w:rStyle w:val="Strong"/>
              </w:rPr>
              <w:t>5</w:t>
            </w:r>
          </w:p>
        </w:tc>
      </w:tr>
      <w:tr w:rsidR="00AF7EF2" w:rsidRPr="004F416F" w:rsidTr="00AF7EF2">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rsidRPr="00A76366">
              <w:t>Contributions</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3"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AF7EF2" w:rsidRPr="00AF7EF2" w:rsidRDefault="00480C1F" w:rsidP="00293192">
            <w:pPr>
              <w:cnfStyle w:val="000000000000" w:firstRow="0" w:lastRow="0" w:firstColumn="0" w:lastColumn="0" w:oddVBand="0" w:evenVBand="0" w:oddHBand="0" w:evenHBand="0" w:firstRowFirstColumn="0" w:firstRowLastColumn="0" w:lastRowFirstColumn="0" w:lastRowLastColumn="0"/>
            </w:pPr>
            <w:r>
              <w:t>–</w:t>
            </w:r>
          </w:p>
        </w:tc>
      </w:tr>
      <w:tr w:rsidR="00AF7EF2" w:rsidRPr="004F416F" w:rsidTr="00AF7E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AF7EF2" w:rsidRDefault="00AF7EF2" w:rsidP="00293192">
            <w:r w:rsidRPr="00AB3A65">
              <w:t>Asset disposals</w:t>
            </w:r>
          </w:p>
        </w:tc>
        <w:tc>
          <w:tcPr>
            <w:tcW w:w="511"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13"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11"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12"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11"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512" w:type="pct"/>
          </w:tcPr>
          <w:p w:rsidR="00AF7EF2" w:rsidRPr="00AF7EF2" w:rsidRDefault="00480C1F" w:rsidP="00293192">
            <w:pPr>
              <w:cnfStyle w:val="000000010000" w:firstRow="0" w:lastRow="0" w:firstColumn="0" w:lastColumn="0" w:oddVBand="0" w:evenVBand="0" w:oddHBand="0" w:evenHBand="1" w:firstRowFirstColumn="0" w:firstRowLastColumn="0" w:lastRowFirstColumn="0" w:lastRowLastColumn="0"/>
            </w:pPr>
            <w:r>
              <w:t>–</w:t>
            </w:r>
          </w:p>
        </w:tc>
      </w:tr>
      <w:tr w:rsidR="00AF7EF2" w:rsidRPr="004F416F" w:rsidTr="00AF7EF2">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AF7EF2" w:rsidRPr="00435C44" w:rsidRDefault="00AF7EF2" w:rsidP="00480C1F">
            <w:pPr>
              <w:rPr>
                <w:rStyle w:val="Strong"/>
              </w:rPr>
            </w:pPr>
            <w:r w:rsidRPr="0078580C">
              <w:rPr>
                <w:rStyle w:val="Strong"/>
              </w:rPr>
              <w:t>NET TOTAL</w:t>
            </w:r>
            <w:r w:rsidRPr="00435C44">
              <w:rPr>
                <w:rStyle w:val="Strong"/>
              </w:rPr>
              <w:t xml:space="preserve"> </w:t>
            </w:r>
            <w:r w:rsidR="00480C1F" w:rsidRPr="00435C44">
              <w:rPr>
                <w:rStyle w:val="Strong"/>
              </w:rPr>
              <w:t>CAPEX</w:t>
            </w:r>
          </w:p>
        </w:tc>
        <w:tc>
          <w:tcPr>
            <w:tcW w:w="511"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23.</w:t>
            </w:r>
            <w:r w:rsidR="00AC725A">
              <w:rPr>
                <w:rStyle w:val="Strong"/>
              </w:rPr>
              <w:t>5</w:t>
            </w:r>
          </w:p>
        </w:tc>
        <w:tc>
          <w:tcPr>
            <w:tcW w:w="513"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13.</w:t>
            </w:r>
            <w:r w:rsidR="00AC725A">
              <w:rPr>
                <w:rStyle w:val="Strong"/>
              </w:rPr>
              <w:t>9</w:t>
            </w:r>
          </w:p>
        </w:tc>
        <w:tc>
          <w:tcPr>
            <w:tcW w:w="511"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6.</w:t>
            </w:r>
            <w:r w:rsidR="00AC725A">
              <w:rPr>
                <w:rStyle w:val="Strong"/>
              </w:rPr>
              <w:t>5</w:t>
            </w:r>
          </w:p>
        </w:tc>
        <w:tc>
          <w:tcPr>
            <w:tcW w:w="512"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7.</w:t>
            </w:r>
            <w:r w:rsidR="00AC725A">
              <w:rPr>
                <w:rStyle w:val="Strong"/>
              </w:rPr>
              <w:t>9</w:t>
            </w:r>
          </w:p>
        </w:tc>
        <w:tc>
          <w:tcPr>
            <w:tcW w:w="511"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7.</w:t>
            </w:r>
            <w:r w:rsidR="00AC725A">
              <w:rPr>
                <w:rStyle w:val="Strong"/>
              </w:rPr>
              <w:t>7</w:t>
            </w:r>
          </w:p>
        </w:tc>
        <w:tc>
          <w:tcPr>
            <w:tcW w:w="512" w:type="pct"/>
          </w:tcPr>
          <w:p w:rsidR="00AF7EF2" w:rsidRPr="00435C44" w:rsidRDefault="005A3A0F" w:rsidP="00AC725A">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59.</w:t>
            </w:r>
            <w:r w:rsidR="00AC725A">
              <w:rPr>
                <w:rStyle w:val="Strong"/>
              </w:rPr>
              <w:t>5</w:t>
            </w:r>
          </w:p>
        </w:tc>
      </w:tr>
    </w:tbl>
    <w:p w:rsidR="00AF7EF2" w:rsidRDefault="00AF7EF2" w:rsidP="00AF7EF2">
      <w:pPr>
        <w:pStyle w:val="AERtablesource"/>
        <w:numPr>
          <w:ilvl w:val="0"/>
          <w:numId w:val="24"/>
        </w:numPr>
      </w:pPr>
      <w:r w:rsidRPr="00DE44F6">
        <w:t>Source:</w:t>
      </w:r>
      <w:r w:rsidRPr="00DE44F6">
        <w:tab/>
        <w:t>AER analysis.</w:t>
      </w:r>
      <w:r w:rsidR="00020297">
        <w:t xml:space="preserve"> Totals may not add due to rounding.</w:t>
      </w:r>
    </w:p>
    <w:p w:rsidR="00A2303E" w:rsidRDefault="008C3607" w:rsidP="00A2303E">
      <w:pPr>
        <w:pStyle w:val="Heading2"/>
      </w:pPr>
      <w:bookmarkStart w:id="20" w:name="_Toc419366914"/>
      <w:bookmarkStart w:id="21" w:name="_Toc486851816"/>
      <w:r>
        <w:t>APTPPL's p</w:t>
      </w:r>
      <w:r w:rsidR="00A2303E">
        <w:t>roposal</w:t>
      </w:r>
      <w:bookmarkEnd w:id="20"/>
      <w:bookmarkEnd w:id="21"/>
    </w:p>
    <w:p w:rsidR="008C3607" w:rsidRDefault="008C3607" w:rsidP="00922E90">
      <w:pPr>
        <w:pStyle w:val="Heading3"/>
      </w:pPr>
      <w:bookmarkStart w:id="22" w:name="_Toc476651834"/>
      <w:bookmarkStart w:id="23" w:name="_Toc486851817"/>
      <w:r>
        <w:t>Capital expenditure over the 2012</w:t>
      </w:r>
      <w:r w:rsidRPr="00AF7EF2">
        <w:t>–</w:t>
      </w:r>
      <w:r>
        <w:t>17 access arrangement period</w:t>
      </w:r>
      <w:bookmarkEnd w:id="22"/>
      <w:bookmarkEnd w:id="23"/>
    </w:p>
    <w:p w:rsidR="0077785D" w:rsidRDefault="0077785D" w:rsidP="002E7AD4">
      <w:r w:rsidRPr="002E7AD4">
        <w:t>APTPPL proposed tot</w:t>
      </w:r>
      <w:r w:rsidR="00740A99" w:rsidRPr="002E7AD4">
        <w:t>al conforming net capex of $6</w:t>
      </w:r>
      <w:r w:rsidR="00287484" w:rsidRPr="002E7AD4">
        <w:t>9</w:t>
      </w:r>
      <w:r w:rsidR="00510B7E" w:rsidRPr="002E7AD4">
        <w:t>.0</w:t>
      </w:r>
      <w:r w:rsidRPr="002E7AD4">
        <w:t xml:space="preserve"> million ($2016–17) for the 2012–17 access arrangement </w:t>
      </w:r>
      <w:proofErr w:type="gramStart"/>
      <w:r w:rsidRPr="002E7AD4">
        <w:t>period</w:t>
      </w:r>
      <w:proofErr w:type="gramEnd"/>
      <w:r w:rsidR="006B39E7" w:rsidRPr="002E7AD4">
        <w:t xml:space="preserve"> (</w:t>
      </w:r>
      <w:r w:rsidR="002E7AD4">
        <w:fldChar w:fldCharType="begin"/>
      </w:r>
      <w:r w:rsidR="002E7AD4">
        <w:instrText xml:space="preserve"> REF _Ref487087116 \h </w:instrText>
      </w:r>
      <w:r w:rsidR="002E7AD4">
        <w:fldChar w:fldCharType="separate"/>
      </w:r>
      <w:r w:rsidR="00582574">
        <w:t xml:space="preserve">Table </w:t>
      </w:r>
      <w:r w:rsidR="00582574">
        <w:rPr>
          <w:noProof/>
        </w:rPr>
        <w:t>6</w:t>
      </w:r>
      <w:r w:rsidR="00582574">
        <w:noBreakHyphen/>
      </w:r>
      <w:r w:rsidR="00582574">
        <w:rPr>
          <w:noProof/>
        </w:rPr>
        <w:t>3</w:t>
      </w:r>
      <w:r w:rsidR="002E7AD4">
        <w:fldChar w:fldCharType="end"/>
      </w:r>
      <w:bookmarkStart w:id="24" w:name="_GoBack"/>
      <w:bookmarkEnd w:id="24"/>
      <w:r w:rsidR="006B39E7" w:rsidRPr="002E7AD4">
        <w:t>). This</w:t>
      </w:r>
      <w:r w:rsidR="006B1BFD">
        <w:t xml:space="preserve"> is </w:t>
      </w:r>
      <w:r w:rsidR="006B39E7">
        <w:t>2.4</w:t>
      </w:r>
      <w:r w:rsidR="006B1BFD">
        <w:t xml:space="preserve"> times the </w:t>
      </w:r>
      <w:r w:rsidR="008E4C38">
        <w:t xml:space="preserve">forecast </w:t>
      </w:r>
      <w:r w:rsidR="006B39E7">
        <w:t xml:space="preserve">we </w:t>
      </w:r>
      <w:r w:rsidR="008E4C38">
        <w:t xml:space="preserve">approved </w:t>
      </w:r>
      <w:r>
        <w:t>for th</w:t>
      </w:r>
      <w:r w:rsidR="006B1BFD">
        <w:t>at</w:t>
      </w:r>
      <w:r>
        <w:t xml:space="preserve"> period.</w:t>
      </w:r>
      <w:r w:rsidR="00137C00">
        <w:rPr>
          <w:rStyle w:val="FootnoteReference"/>
        </w:rPr>
        <w:footnoteReference w:id="9"/>
      </w:r>
      <w:r>
        <w:t xml:space="preserve"> </w:t>
      </w:r>
    </w:p>
    <w:p w:rsidR="00183EB3" w:rsidRDefault="00183EB3" w:rsidP="0077785D">
      <w:r>
        <w:t xml:space="preserve">APTPPL submitted that </w:t>
      </w:r>
      <w:r w:rsidR="005D6016">
        <w:t>the proposed capex</w:t>
      </w:r>
      <w:r>
        <w:t xml:space="preserve"> </w:t>
      </w:r>
      <w:r w:rsidR="00273215">
        <w:t xml:space="preserve">was </w:t>
      </w:r>
      <w:r>
        <w:t>required to:</w:t>
      </w:r>
    </w:p>
    <w:p w:rsidR="00183EB3" w:rsidRDefault="00183EB3" w:rsidP="00922E90">
      <w:pPr>
        <w:pStyle w:val="AERbulletlistfirststyle"/>
      </w:pPr>
      <w:r>
        <w:t>address damage done to the pipelines as a result of flooding and land slippage</w:t>
      </w:r>
    </w:p>
    <w:p w:rsidR="00183EB3" w:rsidRDefault="00183EB3" w:rsidP="00922E90">
      <w:pPr>
        <w:pStyle w:val="AERbulletlistfirststyle"/>
      </w:pPr>
      <w:r>
        <w:t>make the RBP bi-directional</w:t>
      </w:r>
    </w:p>
    <w:p w:rsidR="00183EB3" w:rsidRDefault="00183EB3" w:rsidP="00922E90">
      <w:pPr>
        <w:pStyle w:val="AERbulletlistfirststyle"/>
      </w:pPr>
      <w:proofErr w:type="gramStart"/>
      <w:r>
        <w:t>ensure</w:t>
      </w:r>
      <w:proofErr w:type="gramEnd"/>
      <w:r>
        <w:t xml:space="preserve"> the integrity of an aging pipeline.</w:t>
      </w:r>
      <w:r>
        <w:rPr>
          <w:rStyle w:val="FootnoteReference"/>
        </w:rPr>
        <w:footnoteReference w:id="10"/>
      </w:r>
      <w:r>
        <w:t xml:space="preserve"> </w:t>
      </w:r>
    </w:p>
    <w:p w:rsidR="00A600EF" w:rsidRDefault="005D6016" w:rsidP="0077785D">
      <w:r>
        <w:t>We have provided o</w:t>
      </w:r>
      <w:r w:rsidR="00F113F0">
        <w:t xml:space="preserve">ur analysis of </w:t>
      </w:r>
      <w:r>
        <w:t xml:space="preserve">the </w:t>
      </w:r>
      <w:r w:rsidR="00F113F0">
        <w:t xml:space="preserve">projects undertaken during the </w:t>
      </w:r>
      <w:r w:rsidR="00F113F0" w:rsidRPr="004E0B5E">
        <w:rPr>
          <w:rStyle w:val="AERbody"/>
        </w:rPr>
        <w:t>2012–17</w:t>
      </w:r>
      <w:r w:rsidR="00F113F0" w:rsidRPr="004E0B5E">
        <w:t xml:space="preserve"> access arrangement period</w:t>
      </w:r>
      <w:r w:rsidR="00F113F0">
        <w:t xml:space="preserve"> at 6.4.1. </w:t>
      </w:r>
    </w:p>
    <w:p w:rsidR="006F70BC" w:rsidRDefault="006F70BC" w:rsidP="006B39E7">
      <w:pPr>
        <w:pStyle w:val="Caption"/>
      </w:pPr>
      <w:bookmarkStart w:id="25" w:name="_Ref475709461"/>
    </w:p>
    <w:p w:rsidR="00C73B5E" w:rsidRDefault="00C73B5E" w:rsidP="00C73B5E"/>
    <w:p w:rsidR="00C73B5E" w:rsidRPr="00C73B5E" w:rsidRDefault="00C73B5E" w:rsidP="00C73B5E"/>
    <w:p w:rsidR="006B39E7" w:rsidRDefault="002E7AD4" w:rsidP="002E7AD4">
      <w:pPr>
        <w:pStyle w:val="Caption"/>
      </w:pPr>
      <w:bookmarkStart w:id="26" w:name="_Ref487087116"/>
      <w:bookmarkEnd w:id="25"/>
      <w:r>
        <w:t xml:space="preserve">Table </w:t>
      </w:r>
      <w:fldSimple w:instr=" STYLEREF 1 \s ">
        <w:r w:rsidR="00582574">
          <w:rPr>
            <w:noProof/>
          </w:rPr>
          <w:t>6</w:t>
        </w:r>
      </w:fldSimple>
      <w:r>
        <w:noBreakHyphen/>
      </w:r>
      <w:fldSimple w:instr=" SEQ Table \* ARABIC \s 1 ">
        <w:r w:rsidR="00582574">
          <w:rPr>
            <w:noProof/>
          </w:rPr>
          <w:t>3</w:t>
        </w:r>
      </w:fldSimple>
      <w:bookmarkEnd w:id="26"/>
      <w:r w:rsidR="006B39E7">
        <w:tab/>
        <w:t>P</w:t>
      </w:r>
      <w:r w:rsidR="006B39E7" w:rsidRPr="006B39E7">
        <w:t>roposed capex over the 2012–17 access arrangement period ($million, 2016–17)</w:t>
      </w:r>
    </w:p>
    <w:tbl>
      <w:tblPr>
        <w:tblStyle w:val="AERtable-numbers"/>
        <w:tblW w:w="4954" w:type="pct"/>
        <w:tblLook w:val="04A0" w:firstRow="1" w:lastRow="0" w:firstColumn="1" w:lastColumn="0" w:noHBand="0" w:noVBand="1"/>
      </w:tblPr>
      <w:tblGrid>
        <w:gridCol w:w="2236"/>
        <w:gridCol w:w="1063"/>
        <w:gridCol w:w="1063"/>
        <w:gridCol w:w="1063"/>
        <w:gridCol w:w="1063"/>
        <w:gridCol w:w="1063"/>
        <w:gridCol w:w="1061"/>
      </w:tblGrid>
      <w:tr w:rsidR="00E40C29" w:rsidRPr="004F416F" w:rsidTr="00E40C2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98" w:type="pct"/>
            <w:hideMark/>
          </w:tcPr>
          <w:p w:rsidR="00E40C29" w:rsidRPr="00E40C29" w:rsidRDefault="00E40C29" w:rsidP="00293192">
            <w:r w:rsidRPr="00E40C29">
              <w:t> Category</w:t>
            </w:r>
          </w:p>
        </w:tc>
        <w:tc>
          <w:tcPr>
            <w:tcW w:w="617"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2012</w:t>
            </w:r>
            <w:r w:rsidR="00480C1F">
              <w:t>–</w:t>
            </w:r>
            <w:r w:rsidRPr="00E40C29">
              <w:t>13</w:t>
            </w:r>
          </w:p>
        </w:tc>
        <w:tc>
          <w:tcPr>
            <w:tcW w:w="617"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2013</w:t>
            </w:r>
            <w:r w:rsidR="00480C1F">
              <w:t>–</w:t>
            </w:r>
            <w:r w:rsidRPr="00E40C29">
              <w:t>14</w:t>
            </w:r>
          </w:p>
        </w:tc>
        <w:tc>
          <w:tcPr>
            <w:tcW w:w="617"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2014</w:t>
            </w:r>
            <w:r w:rsidR="00480C1F">
              <w:t>–</w:t>
            </w:r>
            <w:r w:rsidRPr="00E40C29">
              <w:t>15</w:t>
            </w:r>
          </w:p>
        </w:tc>
        <w:tc>
          <w:tcPr>
            <w:tcW w:w="617"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2015</w:t>
            </w:r>
            <w:r w:rsidR="00480C1F">
              <w:t>–</w:t>
            </w:r>
            <w:r w:rsidRPr="00E40C29">
              <w:t>16</w:t>
            </w:r>
          </w:p>
        </w:tc>
        <w:tc>
          <w:tcPr>
            <w:tcW w:w="617"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2016</w:t>
            </w:r>
            <w:r w:rsidR="00480C1F">
              <w:t>–</w:t>
            </w:r>
            <w:r w:rsidRPr="00E40C29">
              <w:t>17</w:t>
            </w:r>
          </w:p>
        </w:tc>
        <w:tc>
          <w:tcPr>
            <w:tcW w:w="616" w:type="pct"/>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Total</w:t>
            </w:r>
          </w:p>
        </w:tc>
      </w:tr>
      <w:tr w:rsidR="00E40C29" w:rsidRPr="004F416F" w:rsidTr="00E40C29">
        <w:trPr>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E40C29" w:rsidRDefault="00E40C29" w:rsidP="00293192">
            <w:r w:rsidRPr="00E40C29">
              <w:t>Expansion</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3.</w:t>
            </w:r>
            <w:r w:rsidR="00020297">
              <w:t>2</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2.5</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0.0</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6" w:type="pct"/>
          </w:tcPr>
          <w:p w:rsidR="00E40C29" w:rsidRPr="00E40C29" w:rsidRDefault="00E40C29" w:rsidP="00955AA4">
            <w:pPr>
              <w:cnfStyle w:val="000000000000" w:firstRow="0" w:lastRow="0" w:firstColumn="0" w:lastColumn="0" w:oddVBand="0" w:evenVBand="0" w:oddHBand="0" w:evenHBand="0" w:firstRowFirstColumn="0" w:firstRowLastColumn="0" w:lastRowFirstColumn="0" w:lastRowLastColumn="0"/>
            </w:pPr>
            <w:r w:rsidRPr="00E40C29">
              <w:t>5.7</w:t>
            </w:r>
          </w:p>
        </w:tc>
      </w:tr>
      <w:tr w:rsidR="00E40C29" w:rsidRPr="004F416F" w:rsidTr="00E40C2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E40C29" w:rsidRDefault="00E40C29" w:rsidP="00293192">
            <w:r w:rsidRPr="00E40C29">
              <w:t>Replacement</w:t>
            </w:r>
          </w:p>
        </w:tc>
        <w:tc>
          <w:tcPr>
            <w:tcW w:w="617"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0.7</w:t>
            </w:r>
          </w:p>
        </w:tc>
        <w:tc>
          <w:tcPr>
            <w:tcW w:w="617"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2.</w:t>
            </w:r>
            <w:r w:rsidR="00020297">
              <w:t>3</w:t>
            </w:r>
          </w:p>
        </w:tc>
        <w:tc>
          <w:tcPr>
            <w:tcW w:w="617" w:type="pct"/>
          </w:tcPr>
          <w:p w:rsidR="00E40C29" w:rsidRPr="00E40C29" w:rsidRDefault="00020297" w:rsidP="00293192">
            <w:pPr>
              <w:cnfStyle w:val="000000010000" w:firstRow="0" w:lastRow="0" w:firstColumn="0" w:lastColumn="0" w:oddVBand="0" w:evenVBand="0" w:oddHBand="0" w:evenHBand="1" w:firstRowFirstColumn="0" w:firstRowLastColumn="0" w:lastRowFirstColumn="0" w:lastRowLastColumn="0"/>
            </w:pPr>
            <w:r>
              <w:t>4.0</w:t>
            </w:r>
          </w:p>
        </w:tc>
        <w:tc>
          <w:tcPr>
            <w:tcW w:w="617"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4.</w:t>
            </w:r>
            <w:r w:rsidR="00020297">
              <w:t>5</w:t>
            </w:r>
          </w:p>
        </w:tc>
        <w:tc>
          <w:tcPr>
            <w:tcW w:w="617"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6.</w:t>
            </w:r>
            <w:r w:rsidR="00020297">
              <w:t>3</w:t>
            </w:r>
          </w:p>
        </w:tc>
        <w:tc>
          <w:tcPr>
            <w:tcW w:w="616" w:type="pct"/>
          </w:tcPr>
          <w:p w:rsidR="00E40C29" w:rsidRPr="00E40C29" w:rsidRDefault="00E40C29" w:rsidP="00955AA4">
            <w:pPr>
              <w:cnfStyle w:val="000000010000" w:firstRow="0" w:lastRow="0" w:firstColumn="0" w:lastColumn="0" w:oddVBand="0" w:evenVBand="0" w:oddHBand="0" w:evenHBand="1" w:firstRowFirstColumn="0" w:firstRowLastColumn="0" w:lastRowFirstColumn="0" w:lastRowLastColumn="0"/>
            </w:pPr>
            <w:r w:rsidRPr="00E40C29">
              <w:t>17.</w:t>
            </w:r>
            <w:r w:rsidR="00955AA4">
              <w:t>7</w:t>
            </w:r>
          </w:p>
        </w:tc>
      </w:tr>
      <w:tr w:rsidR="00E40C29" w:rsidRPr="004F416F" w:rsidTr="00E40C29">
        <w:trPr>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E40C29" w:rsidRDefault="00E40C29" w:rsidP="00293192">
            <w:r w:rsidRPr="00E40C29">
              <w:t xml:space="preserve">Stay in business </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2.</w:t>
            </w:r>
            <w:r w:rsidR="00020297">
              <w:t>5</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6.</w:t>
            </w:r>
            <w:r w:rsidR="00510B7E">
              <w:t>3</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19.6</w:t>
            </w:r>
          </w:p>
        </w:tc>
        <w:tc>
          <w:tcPr>
            <w:tcW w:w="617"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5.5</w:t>
            </w:r>
          </w:p>
        </w:tc>
        <w:tc>
          <w:tcPr>
            <w:tcW w:w="617" w:type="pct"/>
          </w:tcPr>
          <w:p w:rsidR="00E40C29" w:rsidRPr="00E40C29" w:rsidRDefault="00E40C29" w:rsidP="00020297">
            <w:pPr>
              <w:cnfStyle w:val="000000000000" w:firstRow="0" w:lastRow="0" w:firstColumn="0" w:lastColumn="0" w:oddVBand="0" w:evenVBand="0" w:oddHBand="0" w:evenHBand="0" w:firstRowFirstColumn="0" w:firstRowLastColumn="0" w:lastRowFirstColumn="0" w:lastRowLastColumn="0"/>
            </w:pPr>
            <w:r w:rsidRPr="00E40C29">
              <w:t>1</w:t>
            </w:r>
            <w:r w:rsidR="00020297">
              <w:t>2.0</w:t>
            </w:r>
          </w:p>
        </w:tc>
        <w:tc>
          <w:tcPr>
            <w:tcW w:w="616"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45.</w:t>
            </w:r>
            <w:r w:rsidR="0039485E">
              <w:t>9</w:t>
            </w:r>
          </w:p>
        </w:tc>
      </w:tr>
      <w:tr w:rsidR="00E40C29" w:rsidRPr="006B39E7" w:rsidTr="00E40C2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435C44" w:rsidRDefault="00E40C29" w:rsidP="005D6016">
            <w:pPr>
              <w:rPr>
                <w:rStyle w:val="Strong"/>
              </w:rPr>
            </w:pPr>
            <w:r w:rsidRPr="00435C44">
              <w:rPr>
                <w:rStyle w:val="Strong"/>
              </w:rPr>
              <w:t xml:space="preserve">GROSS TOTAL </w:t>
            </w:r>
            <w:r w:rsidR="005D6016" w:rsidRPr="00435C44">
              <w:rPr>
                <w:rStyle w:val="Strong"/>
              </w:rPr>
              <w:t>CAPEX</w:t>
            </w:r>
          </w:p>
        </w:tc>
        <w:tc>
          <w:tcPr>
            <w:tcW w:w="617" w:type="pct"/>
          </w:tcPr>
          <w:p w:rsidR="00E40C29" w:rsidRPr="00435C44"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6.</w:t>
            </w:r>
            <w:r w:rsidR="00020297">
              <w:rPr>
                <w:rStyle w:val="Strong"/>
              </w:rPr>
              <w:t>4</w:t>
            </w:r>
          </w:p>
        </w:tc>
        <w:tc>
          <w:tcPr>
            <w:tcW w:w="617" w:type="pct"/>
          </w:tcPr>
          <w:p w:rsidR="00E40C29" w:rsidRPr="00435C44"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11.</w:t>
            </w:r>
            <w:r w:rsidR="00510B7E">
              <w:rPr>
                <w:rStyle w:val="Strong"/>
              </w:rPr>
              <w:t>1</w:t>
            </w:r>
          </w:p>
        </w:tc>
        <w:tc>
          <w:tcPr>
            <w:tcW w:w="617" w:type="pct"/>
          </w:tcPr>
          <w:p w:rsidR="00E40C29" w:rsidRPr="00435C44"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23.</w:t>
            </w:r>
            <w:r w:rsidR="00020297">
              <w:rPr>
                <w:rStyle w:val="Strong"/>
              </w:rPr>
              <w:t>6</w:t>
            </w:r>
          </w:p>
        </w:tc>
        <w:tc>
          <w:tcPr>
            <w:tcW w:w="617" w:type="pct"/>
          </w:tcPr>
          <w:p w:rsidR="00E40C29" w:rsidRPr="00435C44"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10.0</w:t>
            </w:r>
          </w:p>
        </w:tc>
        <w:tc>
          <w:tcPr>
            <w:tcW w:w="617" w:type="pct"/>
          </w:tcPr>
          <w:p w:rsidR="00E40C29" w:rsidRPr="00435C44"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18.2</w:t>
            </w:r>
          </w:p>
        </w:tc>
        <w:tc>
          <w:tcPr>
            <w:tcW w:w="616" w:type="pct"/>
          </w:tcPr>
          <w:p w:rsidR="00E40C29" w:rsidRPr="00435C44" w:rsidRDefault="00E40C29" w:rsidP="00955AA4">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69.</w:t>
            </w:r>
            <w:r w:rsidR="0039485E">
              <w:rPr>
                <w:rStyle w:val="Strong"/>
              </w:rPr>
              <w:t>3</w:t>
            </w:r>
          </w:p>
        </w:tc>
      </w:tr>
      <w:tr w:rsidR="00E40C29" w:rsidRPr="004F416F" w:rsidTr="00E40C29">
        <w:trPr>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E40C29" w:rsidRDefault="00E40C29" w:rsidP="00293192">
            <w:r w:rsidRPr="00E40C29">
              <w:t>Contributions</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7" w:type="pct"/>
          </w:tcPr>
          <w:p w:rsidR="00E40C29" w:rsidRPr="00E40C29" w:rsidRDefault="00287484" w:rsidP="00293192">
            <w:pPr>
              <w:cnfStyle w:val="000000000000" w:firstRow="0" w:lastRow="0" w:firstColumn="0" w:lastColumn="0" w:oddVBand="0" w:evenVBand="0" w:oddHBand="0" w:evenHBand="0" w:firstRowFirstColumn="0" w:firstRowLastColumn="0" w:lastRowFirstColumn="0" w:lastRowLastColumn="0"/>
            </w:pPr>
            <w:r>
              <w:t>0.1</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7"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16" w:type="pct"/>
          </w:tcPr>
          <w:p w:rsidR="00E40C29" w:rsidRPr="00E40C29" w:rsidRDefault="00020297" w:rsidP="00293192">
            <w:pPr>
              <w:cnfStyle w:val="000000000000" w:firstRow="0" w:lastRow="0" w:firstColumn="0" w:lastColumn="0" w:oddVBand="0" w:evenVBand="0" w:oddHBand="0" w:evenHBand="0" w:firstRowFirstColumn="0" w:firstRowLastColumn="0" w:lastRowFirstColumn="0" w:lastRowLastColumn="0"/>
            </w:pPr>
            <w:r>
              <w:t>0.1</w:t>
            </w:r>
          </w:p>
        </w:tc>
      </w:tr>
      <w:tr w:rsidR="00E40C29" w:rsidRPr="004F416F" w:rsidTr="00E40C2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tcPr>
          <w:p w:rsidR="00E40C29" w:rsidRPr="00E40C29" w:rsidRDefault="00E40C29" w:rsidP="00293192">
            <w:r w:rsidRPr="00E40C29">
              <w:t>Asset disposals</w:t>
            </w:r>
          </w:p>
        </w:tc>
        <w:tc>
          <w:tcPr>
            <w:tcW w:w="617" w:type="pct"/>
          </w:tcPr>
          <w:p w:rsidR="00E40C29" w:rsidRPr="00E40C29" w:rsidRDefault="00740A99" w:rsidP="00293192">
            <w:pPr>
              <w:cnfStyle w:val="000000010000" w:firstRow="0" w:lastRow="0" w:firstColumn="0" w:lastColumn="0" w:oddVBand="0" w:evenVBand="0" w:oddHBand="0" w:evenHBand="1" w:firstRowFirstColumn="0" w:firstRowLastColumn="0" w:lastRowFirstColumn="0" w:lastRowLastColumn="0"/>
            </w:pPr>
            <w:r>
              <w:t>0.1</w:t>
            </w:r>
          </w:p>
        </w:tc>
        <w:tc>
          <w:tcPr>
            <w:tcW w:w="617" w:type="pct"/>
          </w:tcPr>
          <w:p w:rsidR="00E40C29" w:rsidRPr="00E40C29" w:rsidRDefault="00740A99" w:rsidP="00293192">
            <w:pPr>
              <w:cnfStyle w:val="000000010000" w:firstRow="0" w:lastRow="0" w:firstColumn="0" w:lastColumn="0" w:oddVBand="0" w:evenVBand="0" w:oddHBand="0" w:evenHBand="1" w:firstRowFirstColumn="0" w:firstRowLastColumn="0" w:lastRowFirstColumn="0" w:lastRowLastColumn="0"/>
            </w:pPr>
            <w:r>
              <w:t>0.</w:t>
            </w:r>
            <w:r w:rsidR="00020297">
              <w:t>1</w:t>
            </w:r>
          </w:p>
        </w:tc>
        <w:tc>
          <w:tcPr>
            <w:tcW w:w="617" w:type="pct"/>
          </w:tcPr>
          <w:p w:rsidR="00E40C29" w:rsidRPr="00E40C29" w:rsidRDefault="00740A99" w:rsidP="00293192">
            <w:pPr>
              <w:cnfStyle w:val="000000010000" w:firstRow="0" w:lastRow="0" w:firstColumn="0" w:lastColumn="0" w:oddVBand="0" w:evenVBand="0" w:oddHBand="0" w:evenHBand="1" w:firstRowFirstColumn="0" w:firstRowLastColumn="0" w:lastRowFirstColumn="0" w:lastRowLastColumn="0"/>
            </w:pPr>
            <w:r>
              <w:t>0.0</w:t>
            </w:r>
          </w:p>
        </w:tc>
        <w:tc>
          <w:tcPr>
            <w:tcW w:w="617"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17"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16" w:type="pct"/>
          </w:tcPr>
          <w:p w:rsidR="00E40C29" w:rsidRPr="00E40C29" w:rsidRDefault="00740A99" w:rsidP="00293192">
            <w:pPr>
              <w:cnfStyle w:val="000000010000" w:firstRow="0" w:lastRow="0" w:firstColumn="0" w:lastColumn="0" w:oddVBand="0" w:evenVBand="0" w:oddHBand="0" w:evenHBand="1" w:firstRowFirstColumn="0" w:firstRowLastColumn="0" w:lastRowFirstColumn="0" w:lastRowLastColumn="0"/>
            </w:pPr>
            <w:r>
              <w:t>0.2</w:t>
            </w:r>
          </w:p>
        </w:tc>
      </w:tr>
      <w:tr w:rsidR="00E40C29" w:rsidRPr="006B39E7" w:rsidTr="00E40C29">
        <w:trPr>
          <w:trHeight w:val="300"/>
        </w:trPr>
        <w:tc>
          <w:tcPr>
            <w:cnfStyle w:val="001000000000" w:firstRow="0" w:lastRow="0" w:firstColumn="1" w:lastColumn="0" w:oddVBand="0" w:evenVBand="0" w:oddHBand="0" w:evenHBand="0" w:firstRowFirstColumn="0" w:firstRowLastColumn="0" w:lastRowFirstColumn="0" w:lastRowLastColumn="0"/>
            <w:tcW w:w="1298" w:type="pct"/>
            <w:hideMark/>
          </w:tcPr>
          <w:p w:rsidR="00E40C29" w:rsidRPr="00435C44" w:rsidRDefault="00E40C29" w:rsidP="005D6016">
            <w:pPr>
              <w:rPr>
                <w:rStyle w:val="Strong"/>
              </w:rPr>
            </w:pPr>
            <w:r w:rsidRPr="00435C44">
              <w:rPr>
                <w:rStyle w:val="Strong"/>
              </w:rPr>
              <w:t xml:space="preserve">NET </w:t>
            </w:r>
            <w:r w:rsidR="005D6016" w:rsidRPr="00435C44">
              <w:rPr>
                <w:rStyle w:val="Strong"/>
              </w:rPr>
              <w:t>CAPEX</w:t>
            </w:r>
          </w:p>
        </w:tc>
        <w:tc>
          <w:tcPr>
            <w:tcW w:w="617" w:type="pct"/>
          </w:tcPr>
          <w:p w:rsidR="00E40C29" w:rsidRPr="00435C44"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6.2</w:t>
            </w:r>
          </w:p>
        </w:tc>
        <w:tc>
          <w:tcPr>
            <w:tcW w:w="617" w:type="pct"/>
          </w:tcPr>
          <w:p w:rsidR="00E40C29" w:rsidRPr="00435C44" w:rsidRDefault="00740A99" w:rsidP="00287484">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10.</w:t>
            </w:r>
            <w:r w:rsidR="00510B7E">
              <w:rPr>
                <w:rStyle w:val="Strong"/>
              </w:rPr>
              <w:t>9</w:t>
            </w:r>
          </w:p>
        </w:tc>
        <w:tc>
          <w:tcPr>
            <w:tcW w:w="617" w:type="pct"/>
          </w:tcPr>
          <w:p w:rsidR="00E40C29" w:rsidRPr="00435C44"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23.</w:t>
            </w:r>
            <w:r w:rsidR="00020297">
              <w:rPr>
                <w:rStyle w:val="Strong"/>
              </w:rPr>
              <w:t>6</w:t>
            </w:r>
          </w:p>
        </w:tc>
        <w:tc>
          <w:tcPr>
            <w:tcW w:w="617" w:type="pct"/>
          </w:tcPr>
          <w:p w:rsidR="00E40C29" w:rsidRPr="00435C44"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10.0</w:t>
            </w:r>
          </w:p>
        </w:tc>
        <w:tc>
          <w:tcPr>
            <w:tcW w:w="617" w:type="pct"/>
          </w:tcPr>
          <w:p w:rsidR="00E40C29" w:rsidRPr="00435C44"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18.2</w:t>
            </w:r>
          </w:p>
        </w:tc>
        <w:tc>
          <w:tcPr>
            <w:tcW w:w="616" w:type="pct"/>
          </w:tcPr>
          <w:p w:rsidR="00E40C29" w:rsidRPr="00435C44" w:rsidRDefault="00510B7E" w:rsidP="0029319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w:t>
            </w:r>
            <w:r w:rsidR="00020297">
              <w:rPr>
                <w:rStyle w:val="Strong"/>
              </w:rPr>
              <w:t>9</w:t>
            </w:r>
            <w:r>
              <w:rPr>
                <w:rStyle w:val="Strong"/>
              </w:rPr>
              <w:t>.0</w:t>
            </w:r>
          </w:p>
        </w:tc>
      </w:tr>
    </w:tbl>
    <w:p w:rsidR="000D4D46" w:rsidRDefault="000D4D46" w:rsidP="000D4D46">
      <w:pPr>
        <w:pStyle w:val="AERtablesource"/>
      </w:pPr>
      <w:r>
        <w:t>Source:</w:t>
      </w:r>
      <w:r>
        <w:tab/>
        <w:t xml:space="preserve">APTPPL, </w:t>
      </w:r>
      <w:r w:rsidR="00800D56">
        <w:t>IR#0</w:t>
      </w:r>
      <w:r w:rsidR="00020297">
        <w:t>26</w:t>
      </w:r>
      <w:r w:rsidR="00800D56">
        <w:t xml:space="preserve"> RBP Capex Model (Final), </w:t>
      </w:r>
      <w:r w:rsidR="00020297">
        <w:t>February</w:t>
      </w:r>
      <w:r w:rsidR="00800D56">
        <w:t xml:space="preserve">; </w:t>
      </w:r>
      <w:r w:rsidR="00740A99">
        <w:t xml:space="preserve">APTPPL, RBP transmission roll forward model as at 30 June 2017, September 2016; </w:t>
      </w:r>
      <w:r w:rsidR="00800D56">
        <w:t>AER analysis.</w:t>
      </w:r>
      <w:r w:rsidR="00020297">
        <w:t xml:space="preserve"> Totals may not add due to rounding.</w:t>
      </w:r>
    </w:p>
    <w:p w:rsidR="008C3607" w:rsidRPr="00E40C29" w:rsidRDefault="00E40C29" w:rsidP="00495F87">
      <w:pPr>
        <w:pStyle w:val="Heading3"/>
      </w:pPr>
      <w:bookmarkStart w:id="27" w:name="_Toc476651835"/>
      <w:bookmarkStart w:id="28" w:name="_Toc486851818"/>
      <w:r>
        <w:t>Proposed capital expenditure for the 2017</w:t>
      </w:r>
      <w:r w:rsidR="00AF7EF2" w:rsidRPr="00E40C29">
        <w:t>–</w:t>
      </w:r>
      <w:r>
        <w:t>22</w:t>
      </w:r>
      <w:r w:rsidR="008C3607" w:rsidRPr="00E40C29">
        <w:t xml:space="preserve"> access arrangement period</w:t>
      </w:r>
      <w:bookmarkEnd w:id="27"/>
      <w:bookmarkEnd w:id="28"/>
    </w:p>
    <w:p w:rsidR="00E40C29" w:rsidRPr="006F70BC" w:rsidRDefault="00E40C29" w:rsidP="006F70BC">
      <w:pPr>
        <w:spacing w:line="240" w:lineRule="auto"/>
        <w:rPr>
          <w:b/>
          <w:bCs/>
          <w:color w:val="076A92" w:themeColor="text1"/>
          <w:sz w:val="24"/>
          <w:szCs w:val="18"/>
        </w:rPr>
      </w:pPr>
      <w:r w:rsidRPr="004E0B5E">
        <w:t>APTPPL</w:t>
      </w:r>
      <w:r w:rsidRPr="00E40C29">
        <w:t xml:space="preserve"> </w:t>
      </w:r>
      <w:r w:rsidR="006B39E7">
        <w:t>forecast</w:t>
      </w:r>
      <w:r w:rsidR="006B39E7" w:rsidRPr="00E40C29">
        <w:t xml:space="preserve"> </w:t>
      </w:r>
      <w:r w:rsidRPr="00E40C29">
        <w:t xml:space="preserve">total net capex of </w:t>
      </w:r>
      <w:r w:rsidRPr="00E40C29">
        <w:rPr>
          <w:rStyle w:val="AERbody"/>
        </w:rPr>
        <w:t>$66.7</w:t>
      </w:r>
      <w:r w:rsidRPr="00E40C29">
        <w:t xml:space="preserve"> million (</w:t>
      </w:r>
      <w:r w:rsidRPr="00E40C29">
        <w:rPr>
          <w:rStyle w:val="AERbody"/>
        </w:rPr>
        <w:t>$2016–17</w:t>
      </w:r>
      <w:r w:rsidRPr="00E40C29">
        <w:t xml:space="preserve">) for the </w:t>
      </w:r>
      <w:r w:rsidRPr="00E40C29">
        <w:rPr>
          <w:rStyle w:val="AERbody"/>
        </w:rPr>
        <w:t>2017–</w:t>
      </w:r>
      <w:r w:rsidRPr="00E40C29">
        <w:t xml:space="preserve">22 access arrangement </w:t>
      </w:r>
      <w:proofErr w:type="gramStart"/>
      <w:r w:rsidRPr="00E40C29">
        <w:t>period</w:t>
      </w:r>
      <w:proofErr w:type="gramEnd"/>
      <w:r w:rsidR="006B39E7">
        <w:t xml:space="preserve"> (</w:t>
      </w:r>
      <w:r w:rsidR="00630D76">
        <w:fldChar w:fldCharType="begin"/>
      </w:r>
      <w:r w:rsidR="00630D76">
        <w:instrText xml:space="preserve"> REF _Ref487086998 \h </w:instrText>
      </w:r>
      <w:r w:rsidR="00630D76">
        <w:fldChar w:fldCharType="separate"/>
      </w:r>
      <w:r w:rsidR="00582574">
        <w:t xml:space="preserve">Table </w:t>
      </w:r>
      <w:r w:rsidR="00582574">
        <w:rPr>
          <w:noProof/>
        </w:rPr>
        <w:t>6</w:t>
      </w:r>
      <w:r w:rsidR="00582574">
        <w:noBreakHyphen/>
      </w:r>
      <w:r w:rsidR="00582574">
        <w:rPr>
          <w:noProof/>
        </w:rPr>
        <w:t>4</w:t>
      </w:r>
      <w:r w:rsidR="00630D76">
        <w:fldChar w:fldCharType="end"/>
      </w:r>
      <w:r w:rsidR="006B39E7">
        <w:t xml:space="preserve">). This </w:t>
      </w:r>
      <w:r w:rsidR="006B1BFD">
        <w:t>is</w:t>
      </w:r>
      <w:r w:rsidRPr="00E40C29">
        <w:t xml:space="preserve"> </w:t>
      </w:r>
      <w:r w:rsidR="00020297">
        <w:t>3</w:t>
      </w:r>
      <w:r w:rsidR="00020297" w:rsidRPr="00E40C29">
        <w:t xml:space="preserve"> </w:t>
      </w:r>
      <w:r w:rsidRPr="00E40C29">
        <w:t xml:space="preserve">per cent </w:t>
      </w:r>
      <w:r w:rsidR="005D6016">
        <w:t>lower than the</w:t>
      </w:r>
      <w:r w:rsidRPr="00E40C29">
        <w:t xml:space="preserve"> actual and estimated net capex </w:t>
      </w:r>
      <w:r w:rsidR="005D6016">
        <w:t xml:space="preserve">APTPPL proposed </w:t>
      </w:r>
      <w:r w:rsidRPr="00E40C29">
        <w:t xml:space="preserve">for the </w:t>
      </w:r>
      <w:r w:rsidRPr="00E40C29">
        <w:rPr>
          <w:rStyle w:val="AERbody"/>
        </w:rPr>
        <w:t>2012–</w:t>
      </w:r>
      <w:r w:rsidRPr="00E40C29">
        <w:t xml:space="preserve">17 access arrangement period. </w:t>
      </w:r>
    </w:p>
    <w:p w:rsidR="00F113F0" w:rsidRDefault="00F113F0" w:rsidP="00E40C29">
      <w:r>
        <w:t xml:space="preserve">APTPPL submitted that </w:t>
      </w:r>
      <w:r w:rsidR="006B39E7">
        <w:t xml:space="preserve">it expects </w:t>
      </w:r>
      <w:r>
        <w:t xml:space="preserve">many of the same drivers that occurred over the </w:t>
      </w:r>
      <w:r w:rsidR="00FD227B">
        <w:t>2012–17</w:t>
      </w:r>
      <w:r>
        <w:t xml:space="preserve"> </w:t>
      </w:r>
      <w:r w:rsidR="00FD227B">
        <w:t>access arrangement</w:t>
      </w:r>
      <w:r>
        <w:t xml:space="preserve"> period to continue into the </w:t>
      </w:r>
      <w:r w:rsidR="00FD227B">
        <w:t>2017–22</w:t>
      </w:r>
      <w:r>
        <w:t xml:space="preserve"> </w:t>
      </w:r>
      <w:r w:rsidR="00FD227B">
        <w:t>access arrangement</w:t>
      </w:r>
      <w:r>
        <w:t xml:space="preserve"> period.</w:t>
      </w:r>
      <w:r>
        <w:rPr>
          <w:rStyle w:val="FootnoteReference"/>
        </w:rPr>
        <w:footnoteReference w:id="11"/>
      </w:r>
      <w:r>
        <w:t xml:space="preserve"> Specifically, </w:t>
      </w:r>
      <w:r w:rsidR="001A3034">
        <w:t xml:space="preserve">APTPPL expects a continuing need for </w:t>
      </w:r>
      <w:r>
        <w:t xml:space="preserve">capex to maintain the operational capacity and safety of </w:t>
      </w:r>
      <w:r w:rsidR="004E741A">
        <w:t xml:space="preserve">what it calls an </w:t>
      </w:r>
      <w:r>
        <w:t>aging asset</w:t>
      </w:r>
      <w:r w:rsidR="004E741A">
        <w:t xml:space="preserve">, </w:t>
      </w:r>
      <w:r w:rsidR="00224B2A">
        <w:t xml:space="preserve">and to </w:t>
      </w:r>
      <w:r>
        <w:t xml:space="preserve">bring the RBP into compliance with changes to Australian Standard AS 2885. </w:t>
      </w:r>
    </w:p>
    <w:p w:rsidR="00F113F0" w:rsidRDefault="00FD227B" w:rsidP="00E40C29">
      <w:r>
        <w:t>We have provided o</w:t>
      </w:r>
      <w:r w:rsidR="00F113F0">
        <w:t xml:space="preserve">ur analysis of projects </w:t>
      </w:r>
      <w:r w:rsidR="006E1AE8">
        <w:t xml:space="preserve">to be </w:t>
      </w:r>
      <w:r w:rsidR="00F113F0">
        <w:t xml:space="preserve">undertaken during the </w:t>
      </w:r>
      <w:r w:rsidR="00F113F0" w:rsidRPr="004E0B5E">
        <w:rPr>
          <w:rStyle w:val="AERbody"/>
        </w:rPr>
        <w:t>201</w:t>
      </w:r>
      <w:r w:rsidR="001A3034">
        <w:rPr>
          <w:rStyle w:val="AERbody"/>
        </w:rPr>
        <w:t>7</w:t>
      </w:r>
      <w:r w:rsidR="00F113F0" w:rsidRPr="004E0B5E">
        <w:rPr>
          <w:rStyle w:val="AERbody"/>
        </w:rPr>
        <w:t>–</w:t>
      </w:r>
      <w:r w:rsidR="001A3034">
        <w:rPr>
          <w:rStyle w:val="AERbody"/>
        </w:rPr>
        <w:t>22</w:t>
      </w:r>
      <w:r w:rsidR="00F113F0" w:rsidRPr="004E0B5E">
        <w:t xml:space="preserve"> access </w:t>
      </w:r>
      <w:r w:rsidR="00F113F0">
        <w:t xml:space="preserve">at 6.4.2. </w:t>
      </w:r>
    </w:p>
    <w:p w:rsidR="00BE1D0D" w:rsidRDefault="00BE1D0D">
      <w:pPr>
        <w:spacing w:line="240" w:lineRule="auto"/>
        <w:rPr>
          <w:b/>
          <w:bCs/>
          <w:color w:val="076A92" w:themeColor="text1"/>
          <w:sz w:val="24"/>
          <w:szCs w:val="18"/>
        </w:rPr>
      </w:pPr>
      <w:bookmarkStart w:id="29" w:name="_Ref475709400"/>
      <w:r>
        <w:br w:type="page"/>
      </w:r>
    </w:p>
    <w:p w:rsidR="006B39E7" w:rsidRPr="00E40C29" w:rsidRDefault="006B39E7" w:rsidP="006B39E7">
      <w:pPr>
        <w:pStyle w:val="Caption"/>
      </w:pPr>
      <w:bookmarkStart w:id="30" w:name="_Ref487086998"/>
      <w:r>
        <w:t xml:space="preserve">Table </w:t>
      </w:r>
      <w:fldSimple w:instr=" STYLEREF 1 \s ">
        <w:r w:rsidR="00582574">
          <w:rPr>
            <w:noProof/>
          </w:rPr>
          <w:t>6</w:t>
        </w:r>
      </w:fldSimple>
      <w:r w:rsidR="002E7AD4">
        <w:noBreakHyphen/>
      </w:r>
      <w:fldSimple w:instr=" SEQ Table \* ARABIC \s 1 ">
        <w:r w:rsidR="00582574">
          <w:rPr>
            <w:noProof/>
          </w:rPr>
          <w:t>4</w:t>
        </w:r>
      </w:fldSimple>
      <w:bookmarkEnd w:id="29"/>
      <w:bookmarkEnd w:id="30"/>
      <w:r>
        <w:tab/>
        <w:t>APTPPL's proposed capital expenditure by category over the 2017</w:t>
      </w:r>
      <w:r w:rsidRPr="006B39E7">
        <w:t>–22 access arrangement period ($million, 2016–17)</w:t>
      </w:r>
    </w:p>
    <w:tbl>
      <w:tblPr>
        <w:tblStyle w:val="AERtable-numbers"/>
        <w:tblW w:w="5000" w:type="pct"/>
        <w:tblLook w:val="04A0" w:firstRow="1" w:lastRow="0" w:firstColumn="1" w:lastColumn="0" w:noHBand="0" w:noVBand="1"/>
      </w:tblPr>
      <w:tblGrid>
        <w:gridCol w:w="2035"/>
        <w:gridCol w:w="1111"/>
        <w:gridCol w:w="1111"/>
        <w:gridCol w:w="1111"/>
        <w:gridCol w:w="1109"/>
        <w:gridCol w:w="1109"/>
        <w:gridCol w:w="1106"/>
      </w:tblGrid>
      <w:tr w:rsidR="00E40C29" w:rsidRPr="004F416F" w:rsidTr="00800D5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1" w:type="pct"/>
            <w:hideMark/>
          </w:tcPr>
          <w:p w:rsidR="00E40C29" w:rsidRPr="00E40C29" w:rsidRDefault="00E40C29" w:rsidP="00293192">
            <w:r w:rsidRPr="00E40C29">
              <w:t> Category</w:t>
            </w:r>
          </w:p>
        </w:tc>
        <w:tc>
          <w:tcPr>
            <w:tcW w:w="639"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2017</w:t>
            </w:r>
            <w:r w:rsidR="00480C1F">
              <w:t>–</w:t>
            </w:r>
            <w:r w:rsidRPr="00E40C29">
              <w:t>18</w:t>
            </w:r>
          </w:p>
        </w:tc>
        <w:tc>
          <w:tcPr>
            <w:tcW w:w="639"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2018</w:t>
            </w:r>
            <w:r w:rsidR="00480C1F">
              <w:t>–</w:t>
            </w:r>
            <w:r w:rsidRPr="00E40C29">
              <w:t>19</w:t>
            </w:r>
          </w:p>
        </w:tc>
        <w:tc>
          <w:tcPr>
            <w:tcW w:w="639"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2019</w:t>
            </w:r>
            <w:r w:rsidR="00480C1F">
              <w:t>–</w:t>
            </w:r>
            <w:r w:rsidRPr="00E40C29">
              <w:t>20</w:t>
            </w:r>
          </w:p>
        </w:tc>
        <w:tc>
          <w:tcPr>
            <w:tcW w:w="638"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2020</w:t>
            </w:r>
            <w:r w:rsidR="00480C1F">
              <w:t>–</w:t>
            </w:r>
            <w:r w:rsidRPr="00E40C29">
              <w:t>21</w:t>
            </w:r>
          </w:p>
        </w:tc>
        <w:tc>
          <w:tcPr>
            <w:tcW w:w="638" w:type="pct"/>
            <w:hideMark/>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2021</w:t>
            </w:r>
            <w:r w:rsidR="00480C1F">
              <w:t>–</w:t>
            </w:r>
            <w:r w:rsidRPr="00E40C29">
              <w:t>22</w:t>
            </w:r>
          </w:p>
        </w:tc>
        <w:tc>
          <w:tcPr>
            <w:tcW w:w="636" w:type="pct"/>
          </w:tcPr>
          <w:p w:rsidR="00E40C29" w:rsidRPr="00E40C29" w:rsidRDefault="00E40C29" w:rsidP="00293192">
            <w:pPr>
              <w:cnfStyle w:val="100000000000" w:firstRow="1" w:lastRow="0" w:firstColumn="0" w:lastColumn="0" w:oddVBand="0" w:evenVBand="0" w:oddHBand="0" w:evenHBand="0" w:firstRowFirstColumn="0" w:firstRowLastColumn="0" w:lastRowFirstColumn="0" w:lastRowLastColumn="0"/>
            </w:pPr>
            <w:r w:rsidRPr="00E40C29">
              <w:t>Total</w:t>
            </w:r>
          </w:p>
        </w:tc>
      </w:tr>
      <w:tr w:rsidR="00E40C29" w:rsidRPr="004F416F" w:rsidTr="00800D5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E40C29" w:rsidRDefault="00E40C29" w:rsidP="00293192">
            <w:r w:rsidRPr="00E40C29">
              <w:t>Expansion</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8"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8"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6" w:type="pct"/>
          </w:tcPr>
          <w:p w:rsidR="00E40C29" w:rsidRPr="005320CE" w:rsidRDefault="00480C1F"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w:t>
            </w:r>
          </w:p>
        </w:tc>
      </w:tr>
      <w:tr w:rsidR="00E40C29" w:rsidRPr="004F416F" w:rsidTr="00800D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E40C29" w:rsidRDefault="00E40C29" w:rsidP="00293192">
            <w:r w:rsidRPr="00E40C29">
              <w:t>Replacement</w:t>
            </w:r>
          </w:p>
        </w:tc>
        <w:tc>
          <w:tcPr>
            <w:tcW w:w="639"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8.7</w:t>
            </w:r>
          </w:p>
        </w:tc>
        <w:tc>
          <w:tcPr>
            <w:tcW w:w="639"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10.2</w:t>
            </w:r>
          </w:p>
        </w:tc>
        <w:tc>
          <w:tcPr>
            <w:tcW w:w="639"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5.</w:t>
            </w:r>
            <w:r w:rsidR="00020297">
              <w:t>5</w:t>
            </w:r>
          </w:p>
        </w:tc>
        <w:tc>
          <w:tcPr>
            <w:tcW w:w="638"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6.8</w:t>
            </w:r>
          </w:p>
        </w:tc>
        <w:tc>
          <w:tcPr>
            <w:tcW w:w="638" w:type="pct"/>
          </w:tcPr>
          <w:p w:rsidR="00E40C29" w:rsidRPr="00E40C29" w:rsidRDefault="00E40C29" w:rsidP="00293192">
            <w:pPr>
              <w:cnfStyle w:val="000000010000" w:firstRow="0" w:lastRow="0" w:firstColumn="0" w:lastColumn="0" w:oddVBand="0" w:evenVBand="0" w:oddHBand="0" w:evenHBand="1" w:firstRowFirstColumn="0" w:firstRowLastColumn="0" w:lastRowFirstColumn="0" w:lastRowLastColumn="0"/>
            </w:pPr>
            <w:r w:rsidRPr="00E40C29">
              <w:t>6.</w:t>
            </w:r>
            <w:r w:rsidR="00020297">
              <w:t>4</w:t>
            </w:r>
          </w:p>
        </w:tc>
        <w:tc>
          <w:tcPr>
            <w:tcW w:w="636" w:type="pct"/>
          </w:tcPr>
          <w:p w:rsidR="00E40C29" w:rsidRPr="005320CE" w:rsidRDefault="00E40C29" w:rsidP="00020297">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37.</w:t>
            </w:r>
            <w:r w:rsidR="00020297" w:rsidRPr="005320CE">
              <w:rPr>
                <w:rStyle w:val="Strong"/>
              </w:rPr>
              <w:t>6</w:t>
            </w:r>
          </w:p>
        </w:tc>
      </w:tr>
      <w:tr w:rsidR="00E40C29" w:rsidRPr="004F416F" w:rsidTr="00800D5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E40C29" w:rsidRDefault="00E40C29" w:rsidP="00293192">
            <w:r w:rsidRPr="00E40C29">
              <w:t xml:space="preserve">Stay in business </w:t>
            </w:r>
          </w:p>
        </w:tc>
        <w:tc>
          <w:tcPr>
            <w:tcW w:w="639"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17.2</w:t>
            </w:r>
          </w:p>
        </w:tc>
        <w:tc>
          <w:tcPr>
            <w:tcW w:w="639"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5.</w:t>
            </w:r>
            <w:r w:rsidR="00020297">
              <w:t>7</w:t>
            </w:r>
          </w:p>
        </w:tc>
        <w:tc>
          <w:tcPr>
            <w:tcW w:w="639"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1.4</w:t>
            </w:r>
          </w:p>
        </w:tc>
        <w:tc>
          <w:tcPr>
            <w:tcW w:w="638"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1.</w:t>
            </w:r>
            <w:r w:rsidR="00020297">
              <w:t>6</w:t>
            </w:r>
          </w:p>
        </w:tc>
        <w:tc>
          <w:tcPr>
            <w:tcW w:w="638" w:type="pct"/>
          </w:tcPr>
          <w:p w:rsidR="00E40C29" w:rsidRPr="00E40C29" w:rsidRDefault="00E40C29" w:rsidP="00293192">
            <w:pPr>
              <w:cnfStyle w:val="000000000000" w:firstRow="0" w:lastRow="0" w:firstColumn="0" w:lastColumn="0" w:oddVBand="0" w:evenVBand="0" w:oddHBand="0" w:evenHBand="0" w:firstRowFirstColumn="0" w:firstRowLastColumn="0" w:lastRowFirstColumn="0" w:lastRowLastColumn="0"/>
            </w:pPr>
            <w:r w:rsidRPr="00E40C29">
              <w:t>3.</w:t>
            </w:r>
            <w:r w:rsidR="00020297">
              <w:t>3</w:t>
            </w:r>
          </w:p>
        </w:tc>
        <w:tc>
          <w:tcPr>
            <w:tcW w:w="636" w:type="pct"/>
          </w:tcPr>
          <w:p w:rsidR="00E40C29" w:rsidRPr="005320CE" w:rsidRDefault="00E40C29"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29.1</w:t>
            </w:r>
          </w:p>
        </w:tc>
      </w:tr>
      <w:tr w:rsidR="00E40C29" w:rsidRPr="006B39E7" w:rsidTr="00800D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495F87" w:rsidRDefault="00E40C29" w:rsidP="001A3034">
            <w:pPr>
              <w:rPr>
                <w:rStyle w:val="Strong"/>
              </w:rPr>
            </w:pPr>
            <w:r w:rsidRPr="00495F87">
              <w:rPr>
                <w:rStyle w:val="Strong"/>
              </w:rPr>
              <w:t xml:space="preserve">GROSS TOTAL </w:t>
            </w:r>
            <w:r w:rsidR="001A3034" w:rsidRPr="00495F87">
              <w:rPr>
                <w:rStyle w:val="Strong"/>
              </w:rPr>
              <w:t>CAPEX</w:t>
            </w:r>
          </w:p>
        </w:tc>
        <w:tc>
          <w:tcPr>
            <w:tcW w:w="639" w:type="pct"/>
          </w:tcPr>
          <w:p w:rsidR="00E40C29" w:rsidRPr="00495F87"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95F87">
              <w:rPr>
                <w:rStyle w:val="Strong"/>
              </w:rPr>
              <w:t>25.9</w:t>
            </w:r>
          </w:p>
        </w:tc>
        <w:tc>
          <w:tcPr>
            <w:tcW w:w="639" w:type="pct"/>
          </w:tcPr>
          <w:p w:rsidR="00E40C29" w:rsidRPr="00495F87"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95F87">
              <w:rPr>
                <w:rStyle w:val="Strong"/>
              </w:rPr>
              <w:t>15.9</w:t>
            </w:r>
          </w:p>
        </w:tc>
        <w:tc>
          <w:tcPr>
            <w:tcW w:w="639" w:type="pct"/>
          </w:tcPr>
          <w:p w:rsidR="00E40C29" w:rsidRPr="00495F87"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95F87">
              <w:rPr>
                <w:rStyle w:val="Strong"/>
              </w:rPr>
              <w:t>6.</w:t>
            </w:r>
            <w:r w:rsidR="00020297">
              <w:rPr>
                <w:rStyle w:val="Strong"/>
              </w:rPr>
              <w:t>9</w:t>
            </w:r>
          </w:p>
        </w:tc>
        <w:tc>
          <w:tcPr>
            <w:tcW w:w="638" w:type="pct"/>
          </w:tcPr>
          <w:p w:rsidR="00E40C29" w:rsidRPr="00495F87"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95F87">
              <w:rPr>
                <w:rStyle w:val="Strong"/>
              </w:rPr>
              <w:t>8.</w:t>
            </w:r>
            <w:r w:rsidR="00020297">
              <w:rPr>
                <w:rStyle w:val="Strong"/>
              </w:rPr>
              <w:t>4</w:t>
            </w:r>
          </w:p>
        </w:tc>
        <w:tc>
          <w:tcPr>
            <w:tcW w:w="638" w:type="pct"/>
          </w:tcPr>
          <w:p w:rsidR="00E40C29" w:rsidRPr="00495F87"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495F87">
              <w:rPr>
                <w:rStyle w:val="Strong"/>
              </w:rPr>
              <w:t>9.</w:t>
            </w:r>
            <w:r w:rsidR="00020297">
              <w:rPr>
                <w:rStyle w:val="Strong"/>
              </w:rPr>
              <w:t>7</w:t>
            </w:r>
          </w:p>
        </w:tc>
        <w:tc>
          <w:tcPr>
            <w:tcW w:w="636" w:type="pct"/>
          </w:tcPr>
          <w:p w:rsidR="00E40C29" w:rsidRPr="005320CE" w:rsidRDefault="00E40C29" w:rsidP="00293192">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66.7</w:t>
            </w:r>
          </w:p>
        </w:tc>
      </w:tr>
      <w:tr w:rsidR="00E40C29" w:rsidRPr="004F416F" w:rsidTr="00800D5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E40C29" w:rsidRDefault="00E40C29" w:rsidP="00293192">
            <w:r w:rsidRPr="00E40C29">
              <w:t>Contributions</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9"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8"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8" w:type="pct"/>
          </w:tcPr>
          <w:p w:rsidR="00E40C29" w:rsidRPr="00E40C29" w:rsidRDefault="00480C1F" w:rsidP="00293192">
            <w:pPr>
              <w:cnfStyle w:val="000000000000" w:firstRow="0" w:lastRow="0" w:firstColumn="0" w:lastColumn="0" w:oddVBand="0" w:evenVBand="0" w:oddHBand="0" w:evenHBand="0" w:firstRowFirstColumn="0" w:firstRowLastColumn="0" w:lastRowFirstColumn="0" w:lastRowLastColumn="0"/>
            </w:pPr>
            <w:r>
              <w:t>–</w:t>
            </w:r>
          </w:p>
        </w:tc>
        <w:tc>
          <w:tcPr>
            <w:tcW w:w="636" w:type="pct"/>
          </w:tcPr>
          <w:p w:rsidR="00E40C29" w:rsidRPr="005320CE" w:rsidRDefault="00480C1F"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w:t>
            </w:r>
          </w:p>
        </w:tc>
      </w:tr>
      <w:tr w:rsidR="00E40C29" w:rsidRPr="004F416F" w:rsidTr="00800D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E40C29" w:rsidRDefault="00E40C29" w:rsidP="00293192">
            <w:r w:rsidRPr="00E40C29">
              <w:t>Asset disposals</w:t>
            </w:r>
          </w:p>
        </w:tc>
        <w:tc>
          <w:tcPr>
            <w:tcW w:w="639"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39"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39"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38"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38" w:type="pct"/>
          </w:tcPr>
          <w:p w:rsidR="00E40C29" w:rsidRPr="00E40C29" w:rsidRDefault="00480C1F" w:rsidP="00293192">
            <w:pPr>
              <w:cnfStyle w:val="000000010000" w:firstRow="0" w:lastRow="0" w:firstColumn="0" w:lastColumn="0" w:oddVBand="0" w:evenVBand="0" w:oddHBand="0" w:evenHBand="1" w:firstRowFirstColumn="0" w:firstRowLastColumn="0" w:lastRowFirstColumn="0" w:lastRowLastColumn="0"/>
            </w:pPr>
            <w:r>
              <w:t>–</w:t>
            </w:r>
          </w:p>
        </w:tc>
        <w:tc>
          <w:tcPr>
            <w:tcW w:w="636" w:type="pct"/>
          </w:tcPr>
          <w:p w:rsidR="00E40C29" w:rsidRPr="005320CE" w:rsidRDefault="00480C1F" w:rsidP="00293192">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w:t>
            </w:r>
          </w:p>
        </w:tc>
      </w:tr>
      <w:tr w:rsidR="00E40C29" w:rsidRPr="006B39E7" w:rsidTr="00800D56">
        <w:trPr>
          <w:trHeight w:val="300"/>
        </w:trPr>
        <w:tc>
          <w:tcPr>
            <w:cnfStyle w:val="001000000000" w:firstRow="0" w:lastRow="0" w:firstColumn="1" w:lastColumn="0" w:oddVBand="0" w:evenVBand="0" w:oddHBand="0" w:evenHBand="0" w:firstRowFirstColumn="0" w:firstRowLastColumn="0" w:lastRowFirstColumn="0" w:lastRowLastColumn="0"/>
            <w:tcW w:w="1171" w:type="pct"/>
          </w:tcPr>
          <w:p w:rsidR="00E40C29" w:rsidRPr="00495F87" w:rsidRDefault="00E40C29" w:rsidP="001A3034">
            <w:pPr>
              <w:rPr>
                <w:rStyle w:val="Strong"/>
              </w:rPr>
            </w:pPr>
            <w:r w:rsidRPr="00495F87">
              <w:rPr>
                <w:rStyle w:val="Strong"/>
              </w:rPr>
              <w:t xml:space="preserve">NET TOTAL </w:t>
            </w:r>
            <w:r w:rsidR="001A3034" w:rsidRPr="00495F87">
              <w:rPr>
                <w:rStyle w:val="Strong"/>
              </w:rPr>
              <w:t>CAPEX</w:t>
            </w:r>
          </w:p>
        </w:tc>
        <w:tc>
          <w:tcPr>
            <w:tcW w:w="639" w:type="pct"/>
          </w:tcPr>
          <w:p w:rsidR="00E40C29" w:rsidRPr="00495F87"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95F87">
              <w:rPr>
                <w:rStyle w:val="Strong"/>
              </w:rPr>
              <w:t>25.9</w:t>
            </w:r>
          </w:p>
        </w:tc>
        <w:tc>
          <w:tcPr>
            <w:tcW w:w="639" w:type="pct"/>
          </w:tcPr>
          <w:p w:rsidR="00E40C29" w:rsidRPr="00495F87"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95F87">
              <w:rPr>
                <w:rStyle w:val="Strong"/>
              </w:rPr>
              <w:t>15.9</w:t>
            </w:r>
          </w:p>
        </w:tc>
        <w:tc>
          <w:tcPr>
            <w:tcW w:w="639" w:type="pct"/>
          </w:tcPr>
          <w:p w:rsidR="00E40C29" w:rsidRPr="00495F87"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95F87">
              <w:rPr>
                <w:rStyle w:val="Strong"/>
              </w:rPr>
              <w:t>6.</w:t>
            </w:r>
            <w:r w:rsidR="00020297">
              <w:rPr>
                <w:rStyle w:val="Strong"/>
              </w:rPr>
              <w:t>9</w:t>
            </w:r>
          </w:p>
        </w:tc>
        <w:tc>
          <w:tcPr>
            <w:tcW w:w="638" w:type="pct"/>
          </w:tcPr>
          <w:p w:rsidR="00E40C29" w:rsidRPr="00495F87"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95F87">
              <w:rPr>
                <w:rStyle w:val="Strong"/>
              </w:rPr>
              <w:t>8.</w:t>
            </w:r>
            <w:r w:rsidR="00020297">
              <w:rPr>
                <w:rStyle w:val="Strong"/>
              </w:rPr>
              <w:t>4</w:t>
            </w:r>
          </w:p>
        </w:tc>
        <w:tc>
          <w:tcPr>
            <w:tcW w:w="638" w:type="pct"/>
          </w:tcPr>
          <w:p w:rsidR="00E40C29" w:rsidRPr="00495F87"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495F87">
              <w:rPr>
                <w:rStyle w:val="Strong"/>
              </w:rPr>
              <w:t>9.</w:t>
            </w:r>
            <w:r w:rsidR="00020297">
              <w:rPr>
                <w:rStyle w:val="Strong"/>
              </w:rPr>
              <w:t>7</w:t>
            </w:r>
          </w:p>
        </w:tc>
        <w:tc>
          <w:tcPr>
            <w:tcW w:w="636" w:type="pct"/>
          </w:tcPr>
          <w:p w:rsidR="00E40C29" w:rsidRPr="005320CE" w:rsidRDefault="00740A99"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66.7</w:t>
            </w:r>
          </w:p>
        </w:tc>
      </w:tr>
    </w:tbl>
    <w:p w:rsidR="00800D56" w:rsidRDefault="00800D56" w:rsidP="00800D56">
      <w:pPr>
        <w:pStyle w:val="AERtablesource"/>
      </w:pPr>
      <w:r>
        <w:t>Source:</w:t>
      </w:r>
      <w:r>
        <w:tab/>
        <w:t>APTPPL, IR#0</w:t>
      </w:r>
      <w:r w:rsidR="00020297">
        <w:t>26</w:t>
      </w:r>
      <w:r>
        <w:t xml:space="preserve"> RBP Capex Model (Final), </w:t>
      </w:r>
      <w:r w:rsidR="00020297">
        <w:t>February 2017</w:t>
      </w:r>
      <w:r>
        <w:t>.</w:t>
      </w:r>
      <w:r w:rsidR="00020297">
        <w:t xml:space="preserve"> Totals may not add due to rounding.</w:t>
      </w:r>
    </w:p>
    <w:p w:rsidR="00A2303E" w:rsidRDefault="00814BAA" w:rsidP="00A2303E">
      <w:pPr>
        <w:pStyle w:val="Heading2"/>
      </w:pPr>
      <w:bookmarkStart w:id="31" w:name="_Toc408404322"/>
      <w:bookmarkStart w:id="32" w:name="_Toc419366915"/>
      <w:bookmarkStart w:id="33" w:name="_Toc486851819"/>
      <w:r>
        <w:t>A</w:t>
      </w:r>
      <w:r w:rsidR="00A2303E" w:rsidRPr="0074565D">
        <w:t>ssessment approach</w:t>
      </w:r>
      <w:bookmarkEnd w:id="31"/>
      <w:bookmarkEnd w:id="32"/>
      <w:bookmarkEnd w:id="33"/>
    </w:p>
    <w:p w:rsidR="007442F9" w:rsidRDefault="00E40C29" w:rsidP="007442F9">
      <w:r w:rsidRPr="00E40C29">
        <w:t xml:space="preserve">We must make two decisions regarding APTPPL’s capex. First, we are required to assess past capex and determine whether it </w:t>
      </w:r>
      <w:r w:rsidR="00CE4E68">
        <w:t xml:space="preserve">is conforming capex </w:t>
      </w:r>
      <w:r w:rsidR="000904B5">
        <w:t>that we should add</w:t>
      </w:r>
      <w:r>
        <w:t xml:space="preserve"> to the opening capital base.</w:t>
      </w:r>
      <w:r>
        <w:rPr>
          <w:rStyle w:val="FootnoteReference"/>
        </w:rPr>
        <w:footnoteReference w:id="12"/>
      </w:r>
      <w:r>
        <w:t xml:space="preserve"> </w:t>
      </w:r>
      <w:r w:rsidRPr="00E40C29">
        <w:t xml:space="preserve">Secondly, we are required to assess APTPPL’s forecast of required capex for the 2017–22 access arrangement period to determine whether it is conforming capex. </w:t>
      </w:r>
      <w:r w:rsidR="007442F9">
        <w:t xml:space="preserve">Capex will be ‘conforming’ if it </w:t>
      </w:r>
      <w:r w:rsidR="004E741A">
        <w:t>meets</w:t>
      </w:r>
      <w:r w:rsidR="007442F9" w:rsidRPr="00F745EE">
        <w:t xml:space="preserve"> the </w:t>
      </w:r>
      <w:r w:rsidR="004E741A">
        <w:t xml:space="preserve">NGR's </w:t>
      </w:r>
      <w:r w:rsidR="007442F9">
        <w:t xml:space="preserve">new </w:t>
      </w:r>
      <w:r w:rsidR="007442F9" w:rsidRPr="00F745EE">
        <w:t>capex criteria.</w:t>
      </w:r>
      <w:r w:rsidR="007442F9">
        <w:rPr>
          <w:rStyle w:val="FootnoteReference"/>
        </w:rPr>
        <w:footnoteReference w:id="13"/>
      </w:r>
      <w:r w:rsidR="007442F9" w:rsidRPr="00F745EE">
        <w:t xml:space="preserve"> </w:t>
      </w:r>
      <w:r w:rsidR="007442F9">
        <w:t>We have</w:t>
      </w:r>
      <w:r w:rsidR="007442F9" w:rsidRPr="00F745EE">
        <w:t xml:space="preserve"> limited discretion when </w:t>
      </w:r>
      <w:r w:rsidR="007442F9">
        <w:t>deciding whether capex conf</w:t>
      </w:r>
      <w:r w:rsidR="00273215">
        <w:t>o</w:t>
      </w:r>
      <w:r w:rsidR="007442F9">
        <w:t xml:space="preserve">rms </w:t>
      </w:r>
      <w:proofErr w:type="gramStart"/>
      <w:r w:rsidR="007442F9">
        <w:t>with</w:t>
      </w:r>
      <w:proofErr w:type="gramEnd"/>
      <w:r w:rsidR="007442F9">
        <w:t xml:space="preserve"> the new capex criteria</w:t>
      </w:r>
      <w:r w:rsidR="007442F9" w:rsidRPr="00F745EE">
        <w:t>.</w:t>
      </w:r>
      <w:r w:rsidR="007442F9" w:rsidRPr="00E40C29">
        <w:rPr>
          <w:rStyle w:val="FootnoteReference"/>
        </w:rPr>
        <w:footnoteReference w:id="14"/>
      </w:r>
      <w:r w:rsidR="007442F9" w:rsidRPr="00F745EE">
        <w:t xml:space="preserve"> This means that </w:t>
      </w:r>
      <w:r w:rsidR="007442F9">
        <w:t>we</w:t>
      </w:r>
      <w:r w:rsidR="007442F9" w:rsidRPr="00F745EE">
        <w:t xml:space="preserve"> must approve </w:t>
      </w:r>
      <w:r w:rsidR="007442F9">
        <w:t>the capex</w:t>
      </w:r>
      <w:r w:rsidR="007442F9" w:rsidRPr="00F745EE">
        <w:t xml:space="preserve"> if </w:t>
      </w:r>
      <w:r w:rsidR="007442F9">
        <w:t>we are</w:t>
      </w:r>
      <w:r w:rsidR="007442F9" w:rsidRPr="00F745EE">
        <w:t xml:space="preserve"> satisfied </w:t>
      </w:r>
      <w:r w:rsidR="007442F9">
        <w:t>it</w:t>
      </w:r>
      <w:r w:rsidR="007442F9" w:rsidRPr="00F745EE">
        <w:t xml:space="preserve"> complies with the applicable requirements of the NGR and NGL and is consistent with </w:t>
      </w:r>
      <w:r w:rsidR="007442F9">
        <w:t>t</w:t>
      </w:r>
      <w:r w:rsidR="00D40BEA">
        <w:t>he</w:t>
      </w:r>
      <w:r w:rsidR="007442F9" w:rsidRPr="00F745EE">
        <w:t xml:space="preserve"> criteria set out in the NGR or NGL.</w:t>
      </w:r>
      <w:r w:rsidR="007442F9" w:rsidRPr="00E40C29">
        <w:rPr>
          <w:rStyle w:val="FootnoteReference"/>
        </w:rPr>
        <w:footnoteReference w:id="15"/>
      </w:r>
    </w:p>
    <w:p w:rsidR="00E40C29" w:rsidRDefault="00E40C29" w:rsidP="00E40C29">
      <w:r w:rsidRPr="00E40C29">
        <w:t xml:space="preserve">The following sections set out our approach and the tools and techniques we employ in forming a view on these two issues. We also need to take into account timing issues associated with the lag between actual capex data being available in the last year of the 2012–17 access arrangement </w:t>
      </w:r>
      <w:proofErr w:type="gramStart"/>
      <w:r w:rsidRPr="00E40C29">
        <w:t>period</w:t>
      </w:r>
      <w:proofErr w:type="gramEnd"/>
      <w:r w:rsidRPr="00E40C29">
        <w:t xml:space="preserve"> and the need to forecast an opening capital base for the 2017–22 access arrangement period. </w:t>
      </w:r>
      <w:r w:rsidR="000904B5">
        <w:t>We</w:t>
      </w:r>
      <w:r w:rsidRPr="00E40C29">
        <w:t xml:space="preserve"> explain</w:t>
      </w:r>
      <w:r w:rsidR="000904B5">
        <w:t xml:space="preserve"> this </w:t>
      </w:r>
      <w:r w:rsidRPr="00E40C29">
        <w:t>in the next section.</w:t>
      </w:r>
    </w:p>
    <w:p w:rsidR="00E40C29" w:rsidRDefault="00F20FB7" w:rsidP="00E40C29">
      <w:pPr>
        <w:pStyle w:val="Heading3"/>
      </w:pPr>
      <w:bookmarkStart w:id="34" w:name="_Toc476651837"/>
      <w:bookmarkStart w:id="35" w:name="_Toc486851820"/>
      <w:r>
        <w:t>Capex</w:t>
      </w:r>
      <w:r w:rsidR="00E40C29">
        <w:t xml:space="preserve"> in the 2012</w:t>
      </w:r>
      <w:r w:rsidR="00E40C29" w:rsidRPr="00E40C29">
        <w:t>–</w:t>
      </w:r>
      <w:r w:rsidR="00E40C29">
        <w:t>17 access arrangement period</w:t>
      </w:r>
      <w:bookmarkEnd w:id="34"/>
      <w:bookmarkEnd w:id="35"/>
    </w:p>
    <w:p w:rsidR="000F364B" w:rsidRPr="000A5610" w:rsidRDefault="00423272" w:rsidP="000F364B">
      <w:r>
        <w:rPr>
          <w:rStyle w:val="AERbody"/>
        </w:rPr>
        <w:t>W</w:t>
      </w:r>
      <w:r w:rsidR="000F364B" w:rsidRPr="000F364B">
        <w:rPr>
          <w:rStyle w:val="AERbody"/>
        </w:rPr>
        <w:t xml:space="preserve">e reviewed </w:t>
      </w:r>
      <w:r w:rsidR="000F364B">
        <w:t>APTPPL</w:t>
      </w:r>
      <w:r w:rsidR="000F364B" w:rsidRPr="000F364B">
        <w:rPr>
          <w:rStyle w:val="AERbody"/>
        </w:rPr>
        <w:t xml:space="preserve">’s </w:t>
      </w:r>
      <w:r w:rsidR="00DC2208">
        <w:rPr>
          <w:rStyle w:val="AERbody"/>
        </w:rPr>
        <w:t xml:space="preserve">submission and </w:t>
      </w:r>
      <w:r w:rsidR="000F364B" w:rsidRPr="000F364B">
        <w:rPr>
          <w:rStyle w:val="AERbody"/>
        </w:rPr>
        <w:t>supporting material</w:t>
      </w:r>
      <w:r>
        <w:rPr>
          <w:rStyle w:val="AERbody"/>
        </w:rPr>
        <w:t xml:space="preserve"> </w:t>
      </w:r>
      <w:r>
        <w:t>to</w:t>
      </w:r>
      <w:r w:rsidRPr="00BA1C93">
        <w:t xml:space="preserve"> assess </w:t>
      </w:r>
      <w:r>
        <w:t>its</w:t>
      </w:r>
      <w:r w:rsidRPr="00BA1C93">
        <w:t xml:space="preserve"> proposed</w:t>
      </w:r>
      <w:r w:rsidRPr="000F364B">
        <w:rPr>
          <w:rStyle w:val="AERbody"/>
        </w:rPr>
        <w:t xml:space="preserve"> capex </w:t>
      </w:r>
      <w:r>
        <w:rPr>
          <w:rStyle w:val="AERbody"/>
        </w:rPr>
        <w:t>for</w:t>
      </w:r>
      <w:r w:rsidRPr="000F364B">
        <w:rPr>
          <w:rStyle w:val="AERbody"/>
        </w:rPr>
        <w:t xml:space="preserve"> the </w:t>
      </w:r>
      <w:r>
        <w:rPr>
          <w:rStyle w:val="AERbody"/>
        </w:rPr>
        <w:t>2012–17</w:t>
      </w:r>
      <w:r w:rsidRPr="000F364B">
        <w:rPr>
          <w:rStyle w:val="AERbody"/>
        </w:rPr>
        <w:t xml:space="preserve"> access arrangement </w:t>
      </w:r>
      <w:proofErr w:type="gramStart"/>
      <w:r w:rsidRPr="000F364B">
        <w:rPr>
          <w:rStyle w:val="AERbody"/>
        </w:rPr>
        <w:t>period</w:t>
      </w:r>
      <w:proofErr w:type="gramEnd"/>
      <w:r w:rsidR="000F364B" w:rsidRPr="000F364B">
        <w:rPr>
          <w:rStyle w:val="AERbody"/>
        </w:rPr>
        <w:t xml:space="preserve">. This included information on </w:t>
      </w:r>
      <w:r w:rsidR="000F364B">
        <w:t>APTPPL</w:t>
      </w:r>
      <w:r w:rsidR="000F364B" w:rsidRPr="000F364B">
        <w:rPr>
          <w:rStyle w:val="AERbody"/>
        </w:rPr>
        <w:t xml:space="preserve">’s reasoning and, where relevant, business cases, responses to information requests and other relevant information. </w:t>
      </w:r>
      <w:r>
        <w:rPr>
          <w:rStyle w:val="AERbody"/>
        </w:rPr>
        <w:t>We used this</w:t>
      </w:r>
      <w:r w:rsidRPr="000F364B">
        <w:rPr>
          <w:rStyle w:val="AERbody"/>
        </w:rPr>
        <w:t xml:space="preserve"> </w:t>
      </w:r>
      <w:r w:rsidR="000F364B" w:rsidRPr="000F364B">
        <w:rPr>
          <w:rStyle w:val="AERbody"/>
        </w:rPr>
        <w:t xml:space="preserve">information </w:t>
      </w:r>
      <w:r>
        <w:rPr>
          <w:rStyle w:val="AERbody"/>
        </w:rPr>
        <w:t>to</w:t>
      </w:r>
      <w:r w:rsidR="000F364B" w:rsidRPr="000F364B">
        <w:rPr>
          <w:rStyle w:val="AERbody"/>
        </w:rPr>
        <w:t xml:space="preserve"> identify whether capex over the 2012–17 access arrangement </w:t>
      </w:r>
      <w:proofErr w:type="gramStart"/>
      <w:r w:rsidR="000F364B" w:rsidRPr="000F364B">
        <w:rPr>
          <w:rStyle w:val="AERbody"/>
        </w:rPr>
        <w:t>period</w:t>
      </w:r>
      <w:proofErr w:type="gramEnd"/>
      <w:r w:rsidR="000F364B" w:rsidRPr="000F364B">
        <w:rPr>
          <w:rStyle w:val="AERbody"/>
        </w:rPr>
        <w:t xml:space="preserve"> was conforming capex and, in turn, whether that capex should be included in the opening capital base.</w:t>
      </w:r>
      <w:r w:rsidR="00F20FB7">
        <w:rPr>
          <w:rStyle w:val="FootnoteReference"/>
        </w:rPr>
        <w:footnoteReference w:id="16"/>
      </w:r>
      <w:r w:rsidR="000F364B" w:rsidRPr="000F364B">
        <w:rPr>
          <w:rStyle w:val="AERbody"/>
        </w:rPr>
        <w:t xml:space="preserve"> Generally, </w:t>
      </w:r>
      <w:r>
        <w:rPr>
          <w:rStyle w:val="AERbody"/>
        </w:rPr>
        <w:t>we use the same</w:t>
      </w:r>
      <w:r w:rsidRPr="000F364B">
        <w:rPr>
          <w:rStyle w:val="AERbody"/>
        </w:rPr>
        <w:t xml:space="preserve"> </w:t>
      </w:r>
      <w:r w:rsidR="000F364B" w:rsidRPr="000F364B">
        <w:rPr>
          <w:rStyle w:val="AERbody"/>
        </w:rPr>
        <w:t xml:space="preserve">approach to assess whether </w:t>
      </w:r>
      <w:r w:rsidRPr="000F364B">
        <w:rPr>
          <w:rStyle w:val="AERbody"/>
        </w:rPr>
        <w:t xml:space="preserve">both historical and forecast or estimated </w:t>
      </w:r>
      <w:r w:rsidR="000F364B" w:rsidRPr="000F364B">
        <w:rPr>
          <w:rStyle w:val="AERbody"/>
        </w:rPr>
        <w:t xml:space="preserve">capex conforms </w:t>
      </w:r>
      <w:proofErr w:type="gramStart"/>
      <w:r w:rsidR="000F364B" w:rsidRPr="000F364B">
        <w:rPr>
          <w:rStyle w:val="AERbody"/>
        </w:rPr>
        <w:t>with</w:t>
      </w:r>
      <w:proofErr w:type="gramEnd"/>
      <w:r w:rsidR="000F364B" w:rsidRPr="000F364B">
        <w:rPr>
          <w:rStyle w:val="AERbody"/>
        </w:rPr>
        <w:t xml:space="preserve"> the new capex criteria. </w:t>
      </w:r>
      <w:r>
        <w:rPr>
          <w:rStyle w:val="AERbody"/>
        </w:rPr>
        <w:t>We have set out this</w:t>
      </w:r>
      <w:r w:rsidRPr="000F364B">
        <w:rPr>
          <w:rStyle w:val="AERbody"/>
        </w:rPr>
        <w:t xml:space="preserve"> </w:t>
      </w:r>
      <w:r w:rsidR="000F364B" w:rsidRPr="000F364B">
        <w:rPr>
          <w:rStyle w:val="AERbody"/>
        </w:rPr>
        <w:t>approach in more detail in section</w:t>
      </w:r>
      <w:r w:rsidR="000F364B">
        <w:rPr>
          <w:rStyle w:val="AERbody"/>
        </w:rPr>
        <w:t xml:space="preserve"> 6.</w:t>
      </w:r>
      <w:r w:rsidR="005D3CA5">
        <w:rPr>
          <w:rStyle w:val="AERbody"/>
        </w:rPr>
        <w:t>3</w:t>
      </w:r>
      <w:r w:rsidR="000F364B">
        <w:rPr>
          <w:rStyle w:val="AERbody"/>
        </w:rPr>
        <w:t>.</w:t>
      </w:r>
      <w:r>
        <w:rPr>
          <w:rStyle w:val="AERbody"/>
        </w:rPr>
        <w:t>2</w:t>
      </w:r>
      <w:r w:rsidRPr="000F364B">
        <w:rPr>
          <w:rStyle w:val="AERbody"/>
        </w:rPr>
        <w:t xml:space="preserve"> </w:t>
      </w:r>
      <w:r w:rsidR="000F364B" w:rsidRPr="000F364B">
        <w:rPr>
          <w:rStyle w:val="AERbody"/>
        </w:rPr>
        <w:t>below.</w:t>
      </w:r>
    </w:p>
    <w:p w:rsidR="000F364B" w:rsidRPr="004E4402" w:rsidRDefault="000F364B" w:rsidP="000F364B">
      <w:r w:rsidRPr="00FB7114">
        <w:t xml:space="preserve">We consider the following when determining the opening capital base for </w:t>
      </w:r>
      <w:r>
        <w:t>2017–22</w:t>
      </w:r>
      <w:r w:rsidRPr="00FB7114">
        <w:t>:</w:t>
      </w:r>
    </w:p>
    <w:p w:rsidR="000F364B" w:rsidRDefault="000F364B" w:rsidP="0052107F">
      <w:pPr>
        <w:pStyle w:val="AERbulletlistfirststyle"/>
      </w:pPr>
      <w:r w:rsidRPr="004E4402">
        <w:t>20</w:t>
      </w:r>
      <w:r>
        <w:t>11</w:t>
      </w:r>
      <w:r w:rsidRPr="004E4402">
        <w:t>–1</w:t>
      </w:r>
      <w:r>
        <w:t>2</w:t>
      </w:r>
      <w:r w:rsidRPr="00F745EE">
        <w:rPr>
          <w:rStyle w:val="AERbody"/>
        </w:rPr>
        <w:t xml:space="preserve"> capex—when </w:t>
      </w:r>
      <w:r w:rsidR="00423272">
        <w:rPr>
          <w:rStyle w:val="AERbody"/>
        </w:rPr>
        <w:t xml:space="preserve">we </w:t>
      </w:r>
      <w:r w:rsidRPr="00F745EE">
        <w:rPr>
          <w:rStyle w:val="AERbody"/>
        </w:rPr>
        <w:t>conduct</w:t>
      </w:r>
      <w:r w:rsidR="00423272">
        <w:rPr>
          <w:rStyle w:val="AERbody"/>
        </w:rPr>
        <w:t>ed</w:t>
      </w:r>
      <w:r w:rsidRPr="00F745EE">
        <w:rPr>
          <w:rStyle w:val="AERbody"/>
        </w:rPr>
        <w:t xml:space="preserve"> the previous access arrangement review, we did not yet have actual capex for 20</w:t>
      </w:r>
      <w:r>
        <w:rPr>
          <w:rStyle w:val="AERbody"/>
        </w:rPr>
        <w:t>11</w:t>
      </w:r>
      <w:r w:rsidRPr="00F745EE">
        <w:rPr>
          <w:rStyle w:val="AERbody"/>
        </w:rPr>
        <w:t>–1</w:t>
      </w:r>
      <w:r>
        <w:rPr>
          <w:rStyle w:val="AERbody"/>
        </w:rPr>
        <w:t>2</w:t>
      </w:r>
      <w:r w:rsidRPr="00F745EE">
        <w:rPr>
          <w:rStyle w:val="AERbody"/>
        </w:rPr>
        <w:t xml:space="preserve">. </w:t>
      </w:r>
      <w:r w:rsidR="008E20C7">
        <w:rPr>
          <w:rStyle w:val="AERbody"/>
        </w:rPr>
        <w:t>Consequently, w</w:t>
      </w:r>
      <w:r w:rsidR="008E20C7" w:rsidRPr="00F745EE">
        <w:rPr>
          <w:rStyle w:val="AERbody"/>
        </w:rPr>
        <w:t xml:space="preserve">e </w:t>
      </w:r>
      <w:r w:rsidR="008E20C7">
        <w:rPr>
          <w:rStyle w:val="AERbody"/>
        </w:rPr>
        <w:t>need</w:t>
      </w:r>
      <w:r w:rsidR="008E20C7" w:rsidRPr="00F745EE">
        <w:rPr>
          <w:rStyle w:val="AERbody"/>
        </w:rPr>
        <w:t xml:space="preserve"> to adjust for the difference between actual and </w:t>
      </w:r>
      <w:r w:rsidR="008E20C7">
        <w:rPr>
          <w:rStyle w:val="AERbody"/>
        </w:rPr>
        <w:t xml:space="preserve">the estimated 2011–12 </w:t>
      </w:r>
      <w:r w:rsidR="008E20C7" w:rsidRPr="00F745EE">
        <w:rPr>
          <w:rStyle w:val="AERbody"/>
        </w:rPr>
        <w:t>capex in the capital base.</w:t>
      </w:r>
      <w:r w:rsidR="008E20C7" w:rsidRPr="00F745EE">
        <w:rPr>
          <w:rStyle w:val="FootnoteReference"/>
        </w:rPr>
        <w:footnoteReference w:id="17"/>
      </w:r>
      <w:r w:rsidR="008E20C7" w:rsidRPr="00F745EE">
        <w:rPr>
          <w:rStyle w:val="AERbody"/>
        </w:rPr>
        <w:t xml:space="preserve"> </w:t>
      </w:r>
      <w:r w:rsidRPr="00F745EE">
        <w:rPr>
          <w:rStyle w:val="AERbody"/>
        </w:rPr>
        <w:t>Since actual capex for 20</w:t>
      </w:r>
      <w:r>
        <w:rPr>
          <w:rStyle w:val="AERbody"/>
        </w:rPr>
        <w:t>11</w:t>
      </w:r>
      <w:r w:rsidRPr="00F745EE">
        <w:rPr>
          <w:rStyle w:val="AERbody"/>
        </w:rPr>
        <w:t>–1</w:t>
      </w:r>
      <w:r>
        <w:rPr>
          <w:rStyle w:val="AERbody"/>
        </w:rPr>
        <w:t xml:space="preserve">2 </w:t>
      </w:r>
      <w:r w:rsidRPr="00F745EE">
        <w:rPr>
          <w:rStyle w:val="AERbody"/>
        </w:rPr>
        <w:t xml:space="preserve">is now available, </w:t>
      </w:r>
      <w:r>
        <w:t>we have</w:t>
      </w:r>
      <w:r w:rsidRPr="00942B45">
        <w:t xml:space="preserve"> assess</w:t>
      </w:r>
      <w:r>
        <w:t>ed</w:t>
      </w:r>
      <w:r w:rsidRPr="00942B45">
        <w:t xml:space="preserve"> whether this capex is conforming capex.</w:t>
      </w:r>
      <w:r>
        <w:t xml:space="preserve"> </w:t>
      </w:r>
    </w:p>
    <w:p w:rsidR="000F364B" w:rsidRDefault="000F364B" w:rsidP="0052107F">
      <w:pPr>
        <w:pStyle w:val="AERbulletlistfirststyle"/>
      </w:pPr>
      <w:r w:rsidRPr="00F745EE">
        <w:rPr>
          <w:rStyle w:val="AERbody"/>
        </w:rPr>
        <w:t>201</w:t>
      </w:r>
      <w:r>
        <w:rPr>
          <w:rStyle w:val="AERbody"/>
        </w:rPr>
        <w:t>2</w:t>
      </w:r>
      <w:r w:rsidRPr="00F745EE">
        <w:rPr>
          <w:rStyle w:val="AERbody"/>
        </w:rPr>
        <w:t>–1</w:t>
      </w:r>
      <w:r>
        <w:rPr>
          <w:rStyle w:val="AERbody"/>
        </w:rPr>
        <w:t>6</w:t>
      </w:r>
      <w:r w:rsidRPr="00F745EE">
        <w:rPr>
          <w:rStyle w:val="AERbody"/>
        </w:rPr>
        <w:t xml:space="preserve"> capex—</w:t>
      </w:r>
      <w:r w:rsidRPr="00942B45">
        <w:t xml:space="preserve"> </w:t>
      </w:r>
      <w:r>
        <w:t>since we have actual capex data for these years, we have assessed whether this is conforming capex.</w:t>
      </w:r>
      <w:r>
        <w:rPr>
          <w:rStyle w:val="FootnoteReference"/>
        </w:rPr>
        <w:footnoteReference w:id="18"/>
      </w:r>
      <w:r>
        <w:t xml:space="preserve"> We have included conforming capex in the </w:t>
      </w:r>
      <w:r w:rsidR="00FE1AAA" w:rsidRPr="00FB7114">
        <w:t xml:space="preserve">opening capital base for </w:t>
      </w:r>
      <w:r w:rsidR="00FE1AAA">
        <w:t>2017–22</w:t>
      </w:r>
      <w:r>
        <w:t>.</w:t>
      </w:r>
      <w:r>
        <w:rPr>
          <w:rStyle w:val="FootnoteReference"/>
        </w:rPr>
        <w:footnoteReference w:id="19"/>
      </w:r>
    </w:p>
    <w:p w:rsidR="00704558" w:rsidRPr="004C6352" w:rsidRDefault="000F364B" w:rsidP="00E229E4">
      <w:pPr>
        <w:pStyle w:val="AERbulletlistfirststyle"/>
      </w:pPr>
      <w:r w:rsidRPr="00F745EE">
        <w:rPr>
          <w:rStyle w:val="AERbody"/>
        </w:rPr>
        <w:t>201</w:t>
      </w:r>
      <w:r>
        <w:rPr>
          <w:rStyle w:val="AERbody"/>
        </w:rPr>
        <w:t>6</w:t>
      </w:r>
      <w:r w:rsidRPr="00F745EE">
        <w:rPr>
          <w:rStyle w:val="AERbody"/>
        </w:rPr>
        <w:t>–1</w:t>
      </w:r>
      <w:r>
        <w:rPr>
          <w:rStyle w:val="AERbody"/>
        </w:rPr>
        <w:t>7</w:t>
      </w:r>
      <w:r w:rsidRPr="00F745EE">
        <w:rPr>
          <w:rStyle w:val="AERbody"/>
        </w:rPr>
        <w:t xml:space="preserve"> capex—we do not yet have actual capex for 201</w:t>
      </w:r>
      <w:r>
        <w:rPr>
          <w:rStyle w:val="AERbody"/>
        </w:rPr>
        <w:t>6</w:t>
      </w:r>
      <w:r w:rsidRPr="00F745EE">
        <w:rPr>
          <w:rStyle w:val="AERbody"/>
        </w:rPr>
        <w:t>–1</w:t>
      </w:r>
      <w:r>
        <w:rPr>
          <w:rStyle w:val="AERbody"/>
        </w:rPr>
        <w:t xml:space="preserve">7 and so must </w:t>
      </w:r>
      <w:r w:rsidR="00FE1AAA">
        <w:rPr>
          <w:rStyle w:val="AERbody"/>
        </w:rPr>
        <w:t>include</w:t>
      </w:r>
      <w:r>
        <w:rPr>
          <w:rStyle w:val="AERbody"/>
        </w:rPr>
        <w:t xml:space="preserve"> an estimate</w:t>
      </w:r>
      <w:r w:rsidR="00FE1AAA">
        <w:rPr>
          <w:rStyle w:val="AERbody"/>
        </w:rPr>
        <w:t xml:space="preserve"> in </w:t>
      </w:r>
      <w:r w:rsidR="00FE1AAA" w:rsidRPr="00FB7114">
        <w:t>the opening capital base</w:t>
      </w:r>
      <w:r w:rsidRPr="00F745EE">
        <w:rPr>
          <w:rStyle w:val="AERbody"/>
        </w:rPr>
        <w:t xml:space="preserve">. </w:t>
      </w:r>
      <w:r w:rsidR="00FE1AAA">
        <w:t>W</w:t>
      </w:r>
      <w:r>
        <w:t>e have</w:t>
      </w:r>
      <w:r w:rsidRPr="00942B45">
        <w:t xml:space="preserve"> assess</w:t>
      </w:r>
      <w:r>
        <w:t xml:space="preserve">ed whether </w:t>
      </w:r>
      <w:r w:rsidR="00FE1AAA">
        <w:t xml:space="preserve">APTPPL's proposed </w:t>
      </w:r>
      <w:r>
        <w:t>estimate is</w:t>
      </w:r>
      <w:r w:rsidRPr="00942B45">
        <w:t xml:space="preserve"> conforming capex under the NGR.</w:t>
      </w:r>
      <w:r>
        <w:t xml:space="preserve"> </w:t>
      </w:r>
      <w:r w:rsidRPr="00F745EE">
        <w:rPr>
          <w:rStyle w:val="AERbody"/>
        </w:rPr>
        <w:t xml:space="preserve">At the next access arrangement review, we will assess whether </w:t>
      </w:r>
      <w:r w:rsidRPr="001612CA">
        <w:t>APTPPL</w:t>
      </w:r>
      <w:r>
        <w:rPr>
          <w:rStyle w:val="AERbody"/>
        </w:rPr>
        <w:t>’s</w:t>
      </w:r>
      <w:r w:rsidRPr="00F745EE">
        <w:rPr>
          <w:rStyle w:val="AERbody"/>
        </w:rPr>
        <w:t xml:space="preserve"> actual capex for 201</w:t>
      </w:r>
      <w:r>
        <w:rPr>
          <w:rStyle w:val="AERbody"/>
        </w:rPr>
        <w:t>6</w:t>
      </w:r>
      <w:r w:rsidRPr="00F745EE">
        <w:rPr>
          <w:rStyle w:val="AERbody"/>
        </w:rPr>
        <w:t>–1</w:t>
      </w:r>
      <w:r>
        <w:rPr>
          <w:rStyle w:val="AERbody"/>
        </w:rPr>
        <w:t>7</w:t>
      </w:r>
      <w:r w:rsidRPr="00F745EE">
        <w:rPr>
          <w:rStyle w:val="AERbody"/>
        </w:rPr>
        <w:t xml:space="preserve"> is conforming capex under the NGR</w:t>
      </w:r>
      <w:r>
        <w:rPr>
          <w:rStyle w:val="AERbody"/>
        </w:rPr>
        <w:t>, and adjust for any differences between actual and estimated capex</w:t>
      </w:r>
      <w:r w:rsidRPr="00F745EE">
        <w:rPr>
          <w:rStyle w:val="AERbody"/>
        </w:rPr>
        <w:t>.</w:t>
      </w:r>
      <w:r w:rsidRPr="00F745EE">
        <w:rPr>
          <w:rStyle w:val="FootnoteReference"/>
        </w:rPr>
        <w:footnoteReference w:id="20"/>
      </w:r>
    </w:p>
    <w:p w:rsidR="000F364B" w:rsidRDefault="00F20FB7" w:rsidP="000F364B">
      <w:pPr>
        <w:pStyle w:val="Heading3"/>
      </w:pPr>
      <w:bookmarkStart w:id="36" w:name="_Toc476651838"/>
      <w:bookmarkStart w:id="37" w:name="_Toc486851821"/>
      <w:r>
        <w:t>Capex</w:t>
      </w:r>
      <w:r w:rsidR="000F364B">
        <w:t xml:space="preserve"> for the 2017</w:t>
      </w:r>
      <w:r w:rsidR="000F364B" w:rsidRPr="00E40C29">
        <w:t>–</w:t>
      </w:r>
      <w:r w:rsidR="000F364B">
        <w:t>22 access arrangement period</w:t>
      </w:r>
      <w:bookmarkEnd w:id="36"/>
      <w:bookmarkEnd w:id="37"/>
    </w:p>
    <w:p w:rsidR="00515A97" w:rsidRPr="00F745EE" w:rsidRDefault="00515A97" w:rsidP="00515A97">
      <w:pPr>
        <w:rPr>
          <w:rStyle w:val="AERbody"/>
        </w:rPr>
      </w:pPr>
      <w:r w:rsidRPr="00D76C03">
        <w:t xml:space="preserve">We </w:t>
      </w:r>
      <w:r w:rsidR="00757686">
        <w:t xml:space="preserve">have </w:t>
      </w:r>
      <w:r w:rsidRPr="00D76C03">
        <w:t>assessed the key</w:t>
      </w:r>
      <w:r w:rsidRPr="00515A97">
        <w:rPr>
          <w:rStyle w:val="AERbody"/>
        </w:rPr>
        <w:t xml:space="preserve"> drivers of forecast capex to consider whether </w:t>
      </w:r>
      <w:r>
        <w:t>APTPPL</w:t>
      </w:r>
      <w:r w:rsidRPr="00515A97">
        <w:rPr>
          <w:rStyle w:val="AERbody"/>
        </w:rPr>
        <w:t xml:space="preserve">’s proposed capex complies with the </w:t>
      </w:r>
      <w:r w:rsidR="008E20C7">
        <w:rPr>
          <w:rStyle w:val="AERbody"/>
        </w:rPr>
        <w:t xml:space="preserve">new </w:t>
      </w:r>
      <w:r w:rsidRPr="00515A97">
        <w:rPr>
          <w:rStyle w:val="AERbody"/>
        </w:rPr>
        <w:t>capex</w:t>
      </w:r>
      <w:r w:rsidR="00757686">
        <w:rPr>
          <w:rStyle w:val="AERbody"/>
        </w:rPr>
        <w:t xml:space="preserve"> criteria</w:t>
      </w:r>
      <w:r w:rsidRPr="00515A97">
        <w:rPr>
          <w:rStyle w:val="AERbody"/>
        </w:rPr>
        <w:t>.</w:t>
      </w:r>
      <w:r w:rsidR="008E20C7">
        <w:rPr>
          <w:rStyle w:val="FootnoteReference"/>
        </w:rPr>
        <w:footnoteReference w:id="21"/>
      </w:r>
      <w:r w:rsidRPr="00515A97">
        <w:rPr>
          <w:rStyle w:val="AERbody"/>
        </w:rPr>
        <w:t xml:space="preserve"> In doing so, we relied on </w:t>
      </w:r>
      <w:r w:rsidRPr="00F745EE">
        <w:rPr>
          <w:rStyle w:val="AERbody"/>
        </w:rPr>
        <w:t>information</w:t>
      </w:r>
      <w:r>
        <w:rPr>
          <w:rStyle w:val="AERbody"/>
        </w:rPr>
        <w:t>, including</w:t>
      </w:r>
      <w:r w:rsidRPr="00F745EE">
        <w:rPr>
          <w:rStyle w:val="AERbody"/>
        </w:rPr>
        <w:t>:</w:t>
      </w:r>
    </w:p>
    <w:p w:rsidR="00515A97" w:rsidRPr="00FA52CF" w:rsidRDefault="00515A97" w:rsidP="00515A97">
      <w:pPr>
        <w:pStyle w:val="AERbulletlistfirststyle"/>
      </w:pPr>
      <w:r w:rsidRPr="00FA52CF">
        <w:t>the access arrangement submission and access arrangement information</w:t>
      </w:r>
      <w:r w:rsidR="00757686">
        <w:t>, which</w:t>
      </w:r>
      <w:r w:rsidRPr="00FA52CF">
        <w:t xml:space="preserve"> outline </w:t>
      </w:r>
      <w:r>
        <w:t>APTPPL</w:t>
      </w:r>
      <w:r w:rsidRPr="00FA52CF">
        <w:t xml:space="preserve">’s </w:t>
      </w:r>
      <w:r w:rsidR="00757686">
        <w:t xml:space="preserve">capex </w:t>
      </w:r>
      <w:r w:rsidRPr="00FA52CF">
        <w:t xml:space="preserve">program and </w:t>
      </w:r>
      <w:r w:rsidR="00757686">
        <w:t xml:space="preserve">the </w:t>
      </w:r>
      <w:r w:rsidRPr="00FA52CF">
        <w:t xml:space="preserve">main drivers of </w:t>
      </w:r>
      <w:r w:rsidR="00757686">
        <w:t>those programs</w:t>
      </w:r>
    </w:p>
    <w:p w:rsidR="00515A97" w:rsidRPr="00B642B7" w:rsidRDefault="00515A97" w:rsidP="00515A97">
      <w:pPr>
        <w:pStyle w:val="AERbulletlistfirststyle"/>
      </w:pPr>
      <w:r>
        <w:t>APTPPL</w:t>
      </w:r>
      <w:r w:rsidR="008E20C7">
        <w:t>'s</w:t>
      </w:r>
      <w:r w:rsidRPr="00B642B7">
        <w:t xml:space="preserve"> </w:t>
      </w:r>
      <w:r w:rsidRPr="00DA1152">
        <w:rPr>
          <w:rStyle w:val="AERtextitalic"/>
        </w:rPr>
        <w:t xml:space="preserve">Gas </w:t>
      </w:r>
      <w:r w:rsidR="008E20C7" w:rsidRPr="00DA1152">
        <w:rPr>
          <w:rStyle w:val="AERtextitalic"/>
        </w:rPr>
        <w:t>p</w:t>
      </w:r>
      <w:r w:rsidRPr="00DA1152">
        <w:rPr>
          <w:rStyle w:val="AERtextitalic"/>
        </w:rPr>
        <w:t xml:space="preserve">ipeline </w:t>
      </w:r>
      <w:r w:rsidR="008E20C7" w:rsidRPr="00DA1152">
        <w:rPr>
          <w:rStyle w:val="AERtextitalic"/>
        </w:rPr>
        <w:t>a</w:t>
      </w:r>
      <w:r w:rsidRPr="00DA1152">
        <w:rPr>
          <w:rStyle w:val="AERtextitalic"/>
        </w:rPr>
        <w:t xml:space="preserve">sset </w:t>
      </w:r>
      <w:r w:rsidR="008E20C7" w:rsidRPr="00DA1152">
        <w:rPr>
          <w:rStyle w:val="AERtextitalic"/>
        </w:rPr>
        <w:t>m</w:t>
      </w:r>
      <w:r w:rsidRPr="00DA1152">
        <w:rPr>
          <w:rStyle w:val="AERtextitalic"/>
        </w:rPr>
        <w:t xml:space="preserve">anagement </w:t>
      </w:r>
      <w:r w:rsidR="008E20C7" w:rsidRPr="00DA1152">
        <w:rPr>
          <w:rStyle w:val="AERtextitalic"/>
        </w:rPr>
        <w:t>p</w:t>
      </w:r>
      <w:r w:rsidRPr="00DA1152">
        <w:rPr>
          <w:rStyle w:val="AERtextitalic"/>
        </w:rPr>
        <w:t>lan</w:t>
      </w:r>
      <w:r w:rsidRPr="00B642B7">
        <w:t>,</w:t>
      </w:r>
      <w:r w:rsidR="008E20C7">
        <w:t xml:space="preserve"> </w:t>
      </w:r>
      <w:r w:rsidRPr="00DA1152">
        <w:rPr>
          <w:rStyle w:val="AERtextitalic"/>
        </w:rPr>
        <w:t xml:space="preserve">Pipeline </w:t>
      </w:r>
      <w:r w:rsidR="008E20C7" w:rsidRPr="00DA1152">
        <w:rPr>
          <w:rStyle w:val="AERtextitalic"/>
        </w:rPr>
        <w:t>i</w:t>
      </w:r>
      <w:r w:rsidRPr="00DA1152">
        <w:rPr>
          <w:rStyle w:val="AERtextitalic"/>
        </w:rPr>
        <w:t xml:space="preserve">ntegrity </w:t>
      </w:r>
      <w:r w:rsidR="008E20C7" w:rsidRPr="00DA1152">
        <w:rPr>
          <w:rStyle w:val="AERtextitalic"/>
        </w:rPr>
        <w:t>m</w:t>
      </w:r>
      <w:r w:rsidRPr="00DA1152">
        <w:rPr>
          <w:rStyle w:val="AERtextitalic"/>
        </w:rPr>
        <w:t xml:space="preserve">anagement </w:t>
      </w:r>
      <w:r w:rsidR="008E20C7" w:rsidRPr="00DA1152">
        <w:rPr>
          <w:rStyle w:val="AERtextitalic"/>
        </w:rPr>
        <w:t>p</w:t>
      </w:r>
      <w:r w:rsidRPr="00DA1152">
        <w:rPr>
          <w:rStyle w:val="AERtextitalic"/>
        </w:rPr>
        <w:t>lan</w:t>
      </w:r>
      <w:r w:rsidRPr="00B642B7">
        <w:t xml:space="preserve"> and associated appendices and reports which provide specific expenditure or technical detail</w:t>
      </w:r>
    </w:p>
    <w:p w:rsidR="00515A97" w:rsidRPr="00515A97" w:rsidRDefault="00515A97" w:rsidP="00515A97">
      <w:pPr>
        <w:pStyle w:val="AERbulletlistfirststyle"/>
      </w:pPr>
      <w:r w:rsidRPr="00B642B7">
        <w:t>business cases</w:t>
      </w:r>
      <w:r w:rsidR="00757686">
        <w:t xml:space="preserve"> </w:t>
      </w:r>
      <w:r w:rsidR="004E741A">
        <w:t>that</w:t>
      </w:r>
      <w:r w:rsidRPr="00B642B7">
        <w:t xml:space="preserve"> detail</w:t>
      </w:r>
      <w:r w:rsidR="00757686">
        <w:t xml:space="preserve"> the</w:t>
      </w:r>
      <w:r w:rsidRPr="00B642B7">
        <w:t xml:space="preserve"> expenditure requirements for specific projects</w:t>
      </w:r>
    </w:p>
    <w:p w:rsidR="00515A97" w:rsidRPr="00B642B7" w:rsidRDefault="00515A97" w:rsidP="00515A97">
      <w:pPr>
        <w:pStyle w:val="AERbulletlistfirststyle"/>
      </w:pPr>
      <w:r>
        <w:t>APTPPL</w:t>
      </w:r>
      <w:r w:rsidRPr="00B642B7">
        <w:t>’s RIN template response</w:t>
      </w:r>
    </w:p>
    <w:p w:rsidR="00515A97" w:rsidRPr="00515A97" w:rsidRDefault="00515A97" w:rsidP="00515A97">
      <w:pPr>
        <w:pStyle w:val="AERbulletlistfirststyle"/>
      </w:pPr>
      <w:r>
        <w:t>APTPPL</w:t>
      </w:r>
      <w:r w:rsidRPr="00B642B7">
        <w:t>’s capex forecast model</w:t>
      </w:r>
    </w:p>
    <w:p w:rsidR="00515A97" w:rsidRPr="00515A97" w:rsidRDefault="00515A97" w:rsidP="00515A97">
      <w:pPr>
        <w:pStyle w:val="AERbulletlistfirststyle"/>
      </w:pPr>
      <w:r w:rsidRPr="00B642B7">
        <w:t xml:space="preserve">net present value (NPV) analyses of </w:t>
      </w:r>
      <w:r w:rsidR="00757686">
        <w:t xml:space="preserve">the </w:t>
      </w:r>
      <w:r w:rsidRPr="00B642B7">
        <w:t>incremental revenue associated with expansion projects</w:t>
      </w:r>
    </w:p>
    <w:p w:rsidR="00515A97" w:rsidRPr="00515A97" w:rsidRDefault="00515A97" w:rsidP="00515A97">
      <w:pPr>
        <w:pStyle w:val="AERbulletlistfirststyle"/>
      </w:pPr>
      <w:proofErr w:type="gramStart"/>
      <w:r w:rsidRPr="00B642B7">
        <w:t>engineering</w:t>
      </w:r>
      <w:proofErr w:type="gramEnd"/>
      <w:r w:rsidRPr="00B642B7">
        <w:t xml:space="preserve"> advice we commissioned from 4ei to </w:t>
      </w:r>
      <w:r w:rsidR="00757686">
        <w:t>help us assess</w:t>
      </w:r>
      <w:r w:rsidRPr="00B642B7">
        <w:t xml:space="preserve"> the prudency and efficiency of selected projects in both the 2012–17 and 2017–22 access arrangement period</w:t>
      </w:r>
      <w:r w:rsidR="00757686">
        <w:t>s</w:t>
      </w:r>
      <w:r w:rsidRPr="00B642B7">
        <w:t>.</w:t>
      </w:r>
    </w:p>
    <w:p w:rsidR="00515A97" w:rsidRPr="00515A97" w:rsidRDefault="00515A97" w:rsidP="00515A97">
      <w:r w:rsidRPr="00F745EE">
        <w:t xml:space="preserve">For each category of </w:t>
      </w:r>
      <w:r w:rsidR="008E20C7">
        <w:t>capex</w:t>
      </w:r>
      <w:r w:rsidR="008E20C7" w:rsidRPr="00F745EE">
        <w:t xml:space="preserve"> </w:t>
      </w:r>
      <w:r w:rsidR="008E20C7">
        <w:t xml:space="preserve">we considered </w:t>
      </w:r>
      <w:r w:rsidRPr="00F745EE">
        <w:t xml:space="preserve">the scope, timing and cost of the proposed </w:t>
      </w:r>
      <w:r w:rsidR="008E20C7">
        <w:t>capex</w:t>
      </w:r>
      <w:r w:rsidR="008E20C7" w:rsidRPr="00F745EE">
        <w:t xml:space="preserve"> </w:t>
      </w:r>
      <w:r w:rsidRPr="00F745EE">
        <w:t xml:space="preserve">in order to form a view on </w:t>
      </w:r>
      <w:r w:rsidR="008E20C7">
        <w:t xml:space="preserve">whether it complies </w:t>
      </w:r>
      <w:r w:rsidR="00DA1152">
        <w:t>with</w:t>
      </w:r>
      <w:r w:rsidR="008E20C7">
        <w:t xml:space="preserve"> the new capex criteria</w:t>
      </w:r>
      <w:r w:rsidRPr="00F745EE">
        <w:t xml:space="preserve">. </w:t>
      </w:r>
      <w:r w:rsidR="008E20C7">
        <w:t>We</w:t>
      </w:r>
      <w:r w:rsidRPr="00F745EE">
        <w:t xml:space="preserve"> also considered whether cost forecasts </w:t>
      </w:r>
      <w:r w:rsidR="00340BCE">
        <w:t>were</w:t>
      </w:r>
      <w:r w:rsidRPr="00F745EE">
        <w:t xml:space="preserve"> arrived at on a reasonable basis and represent the best forecast possible in the circumstances.</w:t>
      </w:r>
      <w:r>
        <w:rPr>
          <w:rStyle w:val="FootnoteReference"/>
        </w:rPr>
        <w:footnoteReference w:id="22"/>
      </w:r>
    </w:p>
    <w:p w:rsidR="00515A97" w:rsidRDefault="00515A97" w:rsidP="00515A97">
      <w:pPr>
        <w:pStyle w:val="Heading3"/>
      </w:pPr>
      <w:bookmarkStart w:id="38" w:name="_Toc476651839"/>
      <w:bookmarkStart w:id="39" w:name="_Toc486851822"/>
      <w:r>
        <w:t>Interrelationships</w:t>
      </w:r>
      <w:bookmarkEnd w:id="38"/>
      <w:bookmarkEnd w:id="39"/>
    </w:p>
    <w:p w:rsidR="00515A97" w:rsidRDefault="00515A97" w:rsidP="00515A97">
      <w:r>
        <w:t>In assessing APTPPL's total forecast capex we took into account other components of its access arrangement proposal, including:</w:t>
      </w:r>
    </w:p>
    <w:p w:rsidR="00032547" w:rsidRDefault="006B1BFD" w:rsidP="00032547">
      <w:pPr>
        <w:pStyle w:val="AERbulletlistfirststyle"/>
      </w:pPr>
      <w:r>
        <w:t xml:space="preserve">possible </w:t>
      </w:r>
      <w:r w:rsidR="00032547">
        <w:t>trade-off</w:t>
      </w:r>
      <w:r>
        <w:t>s</w:t>
      </w:r>
      <w:r w:rsidR="00032547">
        <w:t xml:space="preserve"> between capex and opex </w:t>
      </w:r>
    </w:p>
    <w:p w:rsidR="00032547" w:rsidRDefault="00032547" w:rsidP="00032547">
      <w:pPr>
        <w:pStyle w:val="AERbulletlistfirststyle"/>
      </w:pPr>
      <w:r>
        <w:t xml:space="preserve">any </w:t>
      </w:r>
      <w:r w:rsidR="00FA358F">
        <w:t>differences between</w:t>
      </w:r>
      <w:r>
        <w:t xml:space="preserve"> the capitalisation polic</w:t>
      </w:r>
      <w:r w:rsidR="00FA358F">
        <w:t>ies</w:t>
      </w:r>
      <w:r>
        <w:t xml:space="preserve"> applied </w:t>
      </w:r>
      <w:r w:rsidR="00FA358F">
        <w:t xml:space="preserve">in </w:t>
      </w:r>
      <w:r>
        <w:t xml:space="preserve">the </w:t>
      </w:r>
      <w:r w:rsidR="00FA358F" w:rsidRPr="00B642B7">
        <w:t xml:space="preserve">2012–17 </w:t>
      </w:r>
      <w:r>
        <w:t xml:space="preserve">and </w:t>
      </w:r>
      <w:r w:rsidRPr="00515A97">
        <w:t>201</w:t>
      </w:r>
      <w:r w:rsidR="00FE5CAE">
        <w:t>7</w:t>
      </w:r>
      <w:r w:rsidRPr="00515A97">
        <w:t>–</w:t>
      </w:r>
      <w:r w:rsidR="00FE5CAE">
        <w:t>22</w:t>
      </w:r>
      <w:r w:rsidRPr="00515A97">
        <w:t xml:space="preserve"> access arrangem</w:t>
      </w:r>
      <w:r>
        <w:t>ent period</w:t>
      </w:r>
      <w:r w:rsidR="00FA358F">
        <w:t>s</w:t>
      </w:r>
    </w:p>
    <w:p w:rsidR="00704558" w:rsidRDefault="00FA358F" w:rsidP="00495F87">
      <w:pPr>
        <w:pStyle w:val="AERbulletlistfirststyle"/>
      </w:pPr>
      <w:proofErr w:type="gramStart"/>
      <w:r>
        <w:t>the</w:t>
      </w:r>
      <w:proofErr w:type="gramEnd"/>
      <w:r>
        <w:t xml:space="preserve"> </w:t>
      </w:r>
      <w:r w:rsidR="00032547">
        <w:t xml:space="preserve">growth in the </w:t>
      </w:r>
      <w:r w:rsidR="00F20FB7">
        <w:t xml:space="preserve">price </w:t>
      </w:r>
      <w:r w:rsidR="00032547">
        <w:t xml:space="preserve">of labour </w:t>
      </w:r>
      <w:r>
        <w:t>forecast for</w:t>
      </w:r>
      <w:r w:rsidR="00032547">
        <w:t xml:space="preserve"> opex and capex.</w:t>
      </w:r>
    </w:p>
    <w:p w:rsidR="00A2303E" w:rsidRDefault="00A2303E" w:rsidP="008758B7">
      <w:pPr>
        <w:pStyle w:val="Heading2"/>
      </w:pPr>
      <w:bookmarkStart w:id="40" w:name="_Toc485219375"/>
      <w:bookmarkStart w:id="41" w:name="_Toc408404324"/>
      <w:bookmarkStart w:id="42" w:name="_Toc419366917"/>
      <w:bookmarkStart w:id="43" w:name="_Toc486851823"/>
      <w:bookmarkEnd w:id="40"/>
      <w:r w:rsidRPr="0074565D">
        <w:t xml:space="preserve">Reasons for </w:t>
      </w:r>
      <w:r>
        <w:t>final</w:t>
      </w:r>
      <w:r w:rsidRPr="0074565D">
        <w:t xml:space="preserve"> decision</w:t>
      </w:r>
      <w:bookmarkEnd w:id="41"/>
      <w:bookmarkEnd w:id="42"/>
      <w:bookmarkEnd w:id="43"/>
      <w:r w:rsidRPr="0074565D">
        <w:t xml:space="preserve"> </w:t>
      </w:r>
    </w:p>
    <w:p w:rsidR="00515A97" w:rsidRDefault="00515A97" w:rsidP="00515A97">
      <w:pPr>
        <w:pStyle w:val="Heading3"/>
      </w:pPr>
      <w:bookmarkStart w:id="44" w:name="_Toc476651841"/>
      <w:bookmarkStart w:id="45" w:name="_Toc486851824"/>
      <w:r>
        <w:t>Conforming capital expenditure for 2011</w:t>
      </w:r>
      <w:r w:rsidRPr="00E40C29">
        <w:t>–</w:t>
      </w:r>
      <w:r>
        <w:t>17</w:t>
      </w:r>
      <w:bookmarkEnd w:id="44"/>
      <w:bookmarkEnd w:id="45"/>
    </w:p>
    <w:p w:rsidR="00515A97" w:rsidRDefault="00515A97" w:rsidP="00515A97">
      <w:r w:rsidRPr="00515A97">
        <w:t>We approve net conforming capex of $</w:t>
      </w:r>
      <w:r w:rsidR="00287484">
        <w:t>61</w:t>
      </w:r>
      <w:r w:rsidR="002D5F81">
        <w:t>.</w:t>
      </w:r>
      <w:r w:rsidR="00340E01">
        <w:t>1</w:t>
      </w:r>
      <w:r w:rsidRPr="00515A97">
        <w:t xml:space="preserve"> million ($2016–17) for the 2012–17 access arrangem</w:t>
      </w:r>
      <w:r w:rsidR="00955AA4">
        <w:t xml:space="preserve">ent </w:t>
      </w:r>
      <w:proofErr w:type="gramStart"/>
      <w:r w:rsidR="00955AA4">
        <w:t>period</w:t>
      </w:r>
      <w:proofErr w:type="gramEnd"/>
      <w:r w:rsidR="00955AA4">
        <w:t xml:space="preserve">. This is </w:t>
      </w:r>
      <w:r w:rsidRPr="00515A97">
        <w:t>$</w:t>
      </w:r>
      <w:r w:rsidR="00340E01">
        <w:t>7.8</w:t>
      </w:r>
      <w:r w:rsidRPr="00515A97">
        <w:t xml:space="preserve"> million </w:t>
      </w:r>
      <w:r w:rsidR="002D5F81" w:rsidRPr="00515A97">
        <w:t>($2016–17)</w:t>
      </w:r>
      <w:r w:rsidR="002D5F81">
        <w:t xml:space="preserve">, </w:t>
      </w:r>
      <w:r w:rsidRPr="00515A97">
        <w:t xml:space="preserve">or </w:t>
      </w:r>
      <w:r w:rsidR="00765E42">
        <w:t>11</w:t>
      </w:r>
      <w:r w:rsidRPr="00515A97">
        <w:t xml:space="preserve"> per cent</w:t>
      </w:r>
      <w:r w:rsidR="002D5F81">
        <w:t>,</w:t>
      </w:r>
      <w:r w:rsidRPr="00515A97">
        <w:t xml:space="preserve"> </w:t>
      </w:r>
      <w:r w:rsidR="002D5F81">
        <w:t>lower than</w:t>
      </w:r>
      <w:r w:rsidR="002D5F81" w:rsidRPr="00515A97">
        <w:t xml:space="preserve"> </w:t>
      </w:r>
      <w:r w:rsidR="002D5F81">
        <w:t xml:space="preserve">the </w:t>
      </w:r>
      <w:r w:rsidR="002D5F81" w:rsidRPr="00514B4E">
        <w:t>$6</w:t>
      </w:r>
      <w:r w:rsidR="00E229E4">
        <w:t>9</w:t>
      </w:r>
      <w:r w:rsidR="00340E01">
        <w:t>.0</w:t>
      </w:r>
      <w:r w:rsidR="002D5F81">
        <w:t> </w:t>
      </w:r>
      <w:r w:rsidR="002D5F81" w:rsidRPr="00514B4E">
        <w:t xml:space="preserve">million ($2016–17) </w:t>
      </w:r>
      <w:r w:rsidR="002D5F81">
        <w:t xml:space="preserve">proposed by </w:t>
      </w:r>
      <w:r w:rsidRPr="00515A97">
        <w:t>APTPPL. We also approve APTPPL’s actual capex of $</w:t>
      </w:r>
      <w:r w:rsidR="003E44C6">
        <w:t>57.9</w:t>
      </w:r>
      <w:r w:rsidRPr="00515A97">
        <w:t xml:space="preserve"> million ($2016–17) for 2011–12. </w:t>
      </w:r>
      <w:r w:rsidR="002D5F81">
        <w:t xml:space="preserve">We </w:t>
      </w:r>
      <w:r w:rsidR="002D5F81" w:rsidRPr="00514B4E">
        <w:t xml:space="preserve">show approved capex </w:t>
      </w:r>
      <w:r w:rsidR="002D5F81">
        <w:t>by category</w:t>
      </w:r>
      <w:r w:rsidR="002D5F81" w:rsidRPr="00514B4E">
        <w:t xml:space="preserve"> for </w:t>
      </w:r>
      <w:r w:rsidR="002D5F81">
        <w:t xml:space="preserve">2011–17 in </w:t>
      </w:r>
      <w:r w:rsidR="00086269">
        <w:fldChar w:fldCharType="begin"/>
      </w:r>
      <w:r w:rsidR="002D5F81">
        <w:instrText xml:space="preserve"> REF  _Ref475711841 \* Lower \h </w:instrText>
      </w:r>
      <w:r w:rsidR="00086269">
        <w:fldChar w:fldCharType="separate"/>
      </w:r>
      <w:r w:rsidR="00582574">
        <w:t xml:space="preserve">table </w:t>
      </w:r>
      <w:r w:rsidR="00582574">
        <w:rPr>
          <w:noProof/>
        </w:rPr>
        <w:t>6</w:t>
      </w:r>
      <w:r w:rsidR="00582574">
        <w:noBreakHyphen/>
      </w:r>
      <w:r w:rsidR="00582574">
        <w:rPr>
          <w:noProof/>
        </w:rPr>
        <w:t>5</w:t>
      </w:r>
      <w:r w:rsidR="00086269">
        <w:fldChar w:fldCharType="end"/>
      </w:r>
      <w:r w:rsidRPr="00515A97">
        <w:t>.</w:t>
      </w:r>
    </w:p>
    <w:p w:rsidR="006F70BC" w:rsidRDefault="006F70BC" w:rsidP="00515A97"/>
    <w:p w:rsidR="006F70BC" w:rsidRDefault="006F70BC" w:rsidP="00515A97"/>
    <w:p w:rsidR="006F70BC" w:rsidRDefault="006F70BC" w:rsidP="00515A97"/>
    <w:p w:rsidR="006F70BC" w:rsidRDefault="006F70BC" w:rsidP="00515A97"/>
    <w:p w:rsidR="006F70BC" w:rsidRDefault="006F70BC" w:rsidP="00515A97"/>
    <w:p w:rsidR="002D5F81" w:rsidRDefault="002D5F81" w:rsidP="002D5F81">
      <w:pPr>
        <w:pStyle w:val="Caption"/>
      </w:pPr>
      <w:bookmarkStart w:id="46" w:name="_Ref475711841"/>
      <w:r>
        <w:t xml:space="preserve">Table </w:t>
      </w:r>
      <w:fldSimple w:instr=" STYLEREF 1 \s ">
        <w:r w:rsidR="00582574">
          <w:rPr>
            <w:noProof/>
          </w:rPr>
          <w:t>6</w:t>
        </w:r>
      </w:fldSimple>
      <w:r w:rsidR="002E7AD4">
        <w:noBreakHyphen/>
      </w:r>
      <w:fldSimple w:instr=" SEQ Table \* ARABIC \s 1 ">
        <w:r w:rsidR="00582574">
          <w:rPr>
            <w:noProof/>
          </w:rPr>
          <w:t>5</w:t>
        </w:r>
      </w:fldSimple>
      <w:bookmarkEnd w:id="46"/>
      <w:r>
        <w:tab/>
        <w:t>AER approved cap</w:t>
      </w:r>
      <w:r w:rsidRPr="002D5F81">
        <w:t>ital expenditure over the 2011–17 period ($million, 2016–17)</w:t>
      </w:r>
    </w:p>
    <w:tbl>
      <w:tblPr>
        <w:tblStyle w:val="AERtable-numbers"/>
        <w:tblW w:w="5000" w:type="pct"/>
        <w:tblLook w:val="04A0" w:firstRow="1" w:lastRow="0" w:firstColumn="1" w:lastColumn="0" w:noHBand="0" w:noVBand="1"/>
      </w:tblPr>
      <w:tblGrid>
        <w:gridCol w:w="2096"/>
        <w:gridCol w:w="846"/>
        <w:gridCol w:w="852"/>
        <w:gridCol w:w="991"/>
        <w:gridCol w:w="993"/>
        <w:gridCol w:w="87"/>
        <w:gridCol w:w="763"/>
        <w:gridCol w:w="993"/>
        <w:gridCol w:w="1071"/>
      </w:tblGrid>
      <w:tr w:rsidR="00DA1152" w:rsidRPr="004F416F" w:rsidTr="00DA115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6" w:type="pct"/>
            <w:hideMark/>
          </w:tcPr>
          <w:p w:rsidR="00515A97" w:rsidRPr="00515A97" w:rsidRDefault="00515A97" w:rsidP="00515A97">
            <w:r w:rsidRPr="00515A97">
              <w:t> Category</w:t>
            </w:r>
          </w:p>
        </w:tc>
        <w:tc>
          <w:tcPr>
            <w:tcW w:w="487" w:type="pct"/>
            <w:hideMark/>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2011</w:t>
            </w:r>
            <w:r w:rsidR="00DA1152">
              <w:t>–</w:t>
            </w:r>
            <w:r w:rsidRPr="00515A97">
              <w:t>12</w:t>
            </w:r>
          </w:p>
        </w:tc>
        <w:tc>
          <w:tcPr>
            <w:tcW w:w="490" w:type="pct"/>
            <w:hideMark/>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2012</w:t>
            </w:r>
            <w:r w:rsidR="00DA1152">
              <w:t>–</w:t>
            </w:r>
            <w:r w:rsidRPr="00515A97">
              <w:t>13</w:t>
            </w:r>
          </w:p>
        </w:tc>
        <w:tc>
          <w:tcPr>
            <w:tcW w:w="570" w:type="pct"/>
            <w:hideMark/>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2013</w:t>
            </w:r>
            <w:r w:rsidR="00DA1152">
              <w:t>–</w:t>
            </w:r>
            <w:r w:rsidRPr="00515A97">
              <w:t>14</w:t>
            </w:r>
          </w:p>
        </w:tc>
        <w:tc>
          <w:tcPr>
            <w:tcW w:w="571" w:type="pct"/>
            <w:hideMark/>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2014</w:t>
            </w:r>
            <w:r w:rsidR="00DA1152">
              <w:t>–</w:t>
            </w:r>
            <w:r w:rsidRPr="00515A97">
              <w:t>15</w:t>
            </w:r>
          </w:p>
        </w:tc>
        <w:tc>
          <w:tcPr>
            <w:tcW w:w="489" w:type="pct"/>
            <w:gridSpan w:val="2"/>
            <w:hideMark/>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2015</w:t>
            </w:r>
            <w:r w:rsidR="00DA1152">
              <w:t>–</w:t>
            </w:r>
            <w:r w:rsidRPr="00515A97">
              <w:t>16</w:t>
            </w:r>
          </w:p>
        </w:tc>
        <w:tc>
          <w:tcPr>
            <w:tcW w:w="571" w:type="pct"/>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2016</w:t>
            </w:r>
            <w:r w:rsidR="00DA1152">
              <w:t>–</w:t>
            </w:r>
            <w:r w:rsidRPr="00515A97">
              <w:t>17</w:t>
            </w:r>
          </w:p>
        </w:tc>
        <w:tc>
          <w:tcPr>
            <w:tcW w:w="616" w:type="pct"/>
          </w:tcPr>
          <w:p w:rsidR="00515A97" w:rsidRPr="00515A97" w:rsidRDefault="00515A97" w:rsidP="00293192">
            <w:pPr>
              <w:cnfStyle w:val="100000000000" w:firstRow="1" w:lastRow="0" w:firstColumn="0" w:lastColumn="0" w:oddVBand="0" w:evenVBand="0" w:oddHBand="0" w:evenHBand="0" w:firstRowFirstColumn="0" w:firstRowLastColumn="0" w:lastRowFirstColumn="0" w:lastRowLastColumn="0"/>
            </w:pPr>
            <w:r w:rsidRPr="00515A97">
              <w:t>Total 2012</w:t>
            </w:r>
            <w:r w:rsidR="00DA1152">
              <w:t>–</w:t>
            </w:r>
            <w:r w:rsidRPr="00515A97">
              <w:t>17</w:t>
            </w:r>
          </w:p>
        </w:tc>
      </w:tr>
      <w:tr w:rsidR="00515A97" w:rsidRPr="004F416F" w:rsidTr="00DA1152">
        <w:trPr>
          <w:trHeight w:val="300"/>
        </w:trPr>
        <w:tc>
          <w:tcPr>
            <w:cnfStyle w:val="001000000000" w:firstRow="0" w:lastRow="0" w:firstColumn="1" w:lastColumn="0" w:oddVBand="0" w:evenVBand="0" w:oddHBand="0" w:evenHBand="0" w:firstRowFirstColumn="0" w:firstRowLastColumn="0" w:lastRowFirstColumn="0" w:lastRowLastColumn="0"/>
            <w:tcW w:w="1206" w:type="pct"/>
            <w:hideMark/>
          </w:tcPr>
          <w:p w:rsidR="00515A97" w:rsidRPr="00515A97" w:rsidRDefault="00515A97" w:rsidP="00515A97">
            <w:r w:rsidRPr="00515A97">
              <w:t xml:space="preserve">Expansion </w:t>
            </w:r>
          </w:p>
        </w:tc>
        <w:tc>
          <w:tcPr>
            <w:tcW w:w="487" w:type="pct"/>
          </w:tcPr>
          <w:p w:rsidR="00515A97" w:rsidRPr="00515A97" w:rsidRDefault="00EF6370" w:rsidP="00293192">
            <w:pPr>
              <w:cnfStyle w:val="000000000000" w:firstRow="0" w:lastRow="0" w:firstColumn="0" w:lastColumn="0" w:oddVBand="0" w:evenVBand="0" w:oddHBand="0" w:evenHBand="0" w:firstRowFirstColumn="0" w:firstRowLastColumn="0" w:lastRowFirstColumn="0" w:lastRowLastColumn="0"/>
            </w:pPr>
            <w:r>
              <w:t>50.3</w:t>
            </w:r>
          </w:p>
        </w:tc>
        <w:tc>
          <w:tcPr>
            <w:tcW w:w="490" w:type="pct"/>
          </w:tcPr>
          <w:p w:rsidR="00515A97" w:rsidRPr="00515A97" w:rsidRDefault="00955AA4" w:rsidP="00470D8B">
            <w:pPr>
              <w:cnfStyle w:val="000000000000" w:firstRow="0" w:lastRow="0" w:firstColumn="0" w:lastColumn="0" w:oddVBand="0" w:evenVBand="0" w:oddHBand="0" w:evenHBand="0" w:firstRowFirstColumn="0" w:firstRowLastColumn="0" w:lastRowFirstColumn="0" w:lastRowLastColumn="0"/>
            </w:pPr>
            <w:r>
              <w:t>3.</w:t>
            </w:r>
            <w:r w:rsidR="00470D8B">
              <w:t>2</w:t>
            </w:r>
          </w:p>
        </w:tc>
        <w:tc>
          <w:tcPr>
            <w:tcW w:w="570" w:type="pct"/>
          </w:tcPr>
          <w:p w:rsidR="00515A97" w:rsidRPr="00515A97" w:rsidRDefault="00955AA4" w:rsidP="00293192">
            <w:pPr>
              <w:cnfStyle w:val="000000000000" w:firstRow="0" w:lastRow="0" w:firstColumn="0" w:lastColumn="0" w:oddVBand="0" w:evenVBand="0" w:oddHBand="0" w:evenHBand="0" w:firstRowFirstColumn="0" w:firstRowLastColumn="0" w:lastRowFirstColumn="0" w:lastRowLastColumn="0"/>
            </w:pPr>
            <w:r>
              <w:t>2.5</w:t>
            </w:r>
          </w:p>
        </w:tc>
        <w:tc>
          <w:tcPr>
            <w:tcW w:w="621" w:type="pct"/>
            <w:gridSpan w:val="2"/>
          </w:tcPr>
          <w:p w:rsidR="00515A97" w:rsidRPr="00515A97" w:rsidRDefault="00955AA4" w:rsidP="00293192">
            <w:pPr>
              <w:cnfStyle w:val="000000000000" w:firstRow="0" w:lastRow="0" w:firstColumn="0" w:lastColumn="0" w:oddVBand="0" w:evenVBand="0" w:oddHBand="0" w:evenHBand="0" w:firstRowFirstColumn="0" w:firstRowLastColumn="0" w:lastRowFirstColumn="0" w:lastRowLastColumn="0"/>
            </w:pPr>
            <w:r>
              <w:t>0.0</w:t>
            </w:r>
          </w:p>
        </w:tc>
        <w:tc>
          <w:tcPr>
            <w:tcW w:w="439"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571"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616" w:type="pct"/>
          </w:tcPr>
          <w:p w:rsidR="00515A97" w:rsidRPr="005320CE" w:rsidRDefault="00955AA4"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5.7</w:t>
            </w:r>
          </w:p>
        </w:tc>
      </w:tr>
      <w:tr w:rsidR="00515A97" w:rsidRPr="004F416F" w:rsidTr="00DA11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hideMark/>
          </w:tcPr>
          <w:p w:rsidR="00515A97" w:rsidRPr="00515A97" w:rsidRDefault="00515A97" w:rsidP="00515A97">
            <w:r w:rsidRPr="00515A97">
              <w:t xml:space="preserve">Replacement </w:t>
            </w:r>
          </w:p>
        </w:tc>
        <w:tc>
          <w:tcPr>
            <w:tcW w:w="487" w:type="pct"/>
          </w:tcPr>
          <w:p w:rsidR="00515A97" w:rsidRPr="00515A97" w:rsidRDefault="00EF6370" w:rsidP="00293192">
            <w:pPr>
              <w:cnfStyle w:val="000000010000" w:firstRow="0" w:lastRow="0" w:firstColumn="0" w:lastColumn="0" w:oddVBand="0" w:evenVBand="0" w:oddHBand="0" w:evenHBand="1" w:firstRowFirstColumn="0" w:firstRowLastColumn="0" w:lastRowFirstColumn="0" w:lastRowLastColumn="0"/>
            </w:pPr>
            <w:r>
              <w:t>-</w:t>
            </w:r>
          </w:p>
        </w:tc>
        <w:tc>
          <w:tcPr>
            <w:tcW w:w="490" w:type="pct"/>
          </w:tcPr>
          <w:p w:rsidR="00515A97" w:rsidRPr="00515A97" w:rsidRDefault="00515A97" w:rsidP="00293192">
            <w:pPr>
              <w:cnfStyle w:val="000000010000" w:firstRow="0" w:lastRow="0" w:firstColumn="0" w:lastColumn="0" w:oddVBand="0" w:evenVBand="0" w:oddHBand="0" w:evenHBand="1" w:firstRowFirstColumn="0" w:firstRowLastColumn="0" w:lastRowFirstColumn="0" w:lastRowLastColumn="0"/>
            </w:pPr>
            <w:r w:rsidRPr="00515A97">
              <w:t>0.7</w:t>
            </w:r>
          </w:p>
        </w:tc>
        <w:tc>
          <w:tcPr>
            <w:tcW w:w="570" w:type="pct"/>
          </w:tcPr>
          <w:p w:rsidR="00515A97" w:rsidRPr="00515A97" w:rsidRDefault="00515A97" w:rsidP="00470D8B">
            <w:pPr>
              <w:cnfStyle w:val="000000010000" w:firstRow="0" w:lastRow="0" w:firstColumn="0" w:lastColumn="0" w:oddVBand="0" w:evenVBand="0" w:oddHBand="0" w:evenHBand="1" w:firstRowFirstColumn="0" w:firstRowLastColumn="0" w:lastRowFirstColumn="0" w:lastRowLastColumn="0"/>
            </w:pPr>
            <w:r w:rsidRPr="00515A97">
              <w:t>2.</w:t>
            </w:r>
            <w:r w:rsidR="00470D8B">
              <w:t>3</w:t>
            </w:r>
          </w:p>
        </w:tc>
        <w:tc>
          <w:tcPr>
            <w:tcW w:w="621" w:type="pct"/>
            <w:gridSpan w:val="2"/>
          </w:tcPr>
          <w:p w:rsidR="00515A97" w:rsidRPr="00515A97" w:rsidRDefault="00470D8B" w:rsidP="00293192">
            <w:pPr>
              <w:cnfStyle w:val="000000010000" w:firstRow="0" w:lastRow="0" w:firstColumn="0" w:lastColumn="0" w:oddVBand="0" w:evenVBand="0" w:oddHBand="0" w:evenHBand="1" w:firstRowFirstColumn="0" w:firstRowLastColumn="0" w:lastRowFirstColumn="0" w:lastRowLastColumn="0"/>
            </w:pPr>
            <w:r>
              <w:t>4.0</w:t>
            </w:r>
          </w:p>
        </w:tc>
        <w:tc>
          <w:tcPr>
            <w:tcW w:w="439" w:type="pct"/>
          </w:tcPr>
          <w:p w:rsidR="00515A97" w:rsidRPr="00515A97" w:rsidRDefault="00515A97" w:rsidP="00470D8B">
            <w:pPr>
              <w:cnfStyle w:val="000000010000" w:firstRow="0" w:lastRow="0" w:firstColumn="0" w:lastColumn="0" w:oddVBand="0" w:evenVBand="0" w:oddHBand="0" w:evenHBand="1" w:firstRowFirstColumn="0" w:firstRowLastColumn="0" w:lastRowFirstColumn="0" w:lastRowLastColumn="0"/>
            </w:pPr>
            <w:r w:rsidRPr="00515A97">
              <w:t>4.</w:t>
            </w:r>
            <w:r w:rsidR="00470D8B">
              <w:t>5</w:t>
            </w:r>
          </w:p>
        </w:tc>
        <w:tc>
          <w:tcPr>
            <w:tcW w:w="571" w:type="pct"/>
          </w:tcPr>
          <w:p w:rsidR="00515A97" w:rsidRPr="00515A97" w:rsidRDefault="00515A97" w:rsidP="00470D8B">
            <w:pPr>
              <w:cnfStyle w:val="000000010000" w:firstRow="0" w:lastRow="0" w:firstColumn="0" w:lastColumn="0" w:oddVBand="0" w:evenVBand="0" w:oddHBand="0" w:evenHBand="1" w:firstRowFirstColumn="0" w:firstRowLastColumn="0" w:lastRowFirstColumn="0" w:lastRowLastColumn="0"/>
            </w:pPr>
            <w:r w:rsidRPr="00515A97">
              <w:t>6.</w:t>
            </w:r>
            <w:r w:rsidR="00470D8B">
              <w:t>3</w:t>
            </w:r>
          </w:p>
        </w:tc>
        <w:tc>
          <w:tcPr>
            <w:tcW w:w="616" w:type="pct"/>
          </w:tcPr>
          <w:p w:rsidR="00515A97" w:rsidRPr="005320CE" w:rsidRDefault="00515A97" w:rsidP="00293192">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17.7</w:t>
            </w:r>
          </w:p>
        </w:tc>
      </w:tr>
      <w:tr w:rsidR="00515A97" w:rsidRPr="004F416F" w:rsidTr="00DA1152">
        <w:trPr>
          <w:trHeight w:val="300"/>
        </w:trPr>
        <w:tc>
          <w:tcPr>
            <w:cnfStyle w:val="001000000000" w:firstRow="0" w:lastRow="0" w:firstColumn="1" w:lastColumn="0" w:oddVBand="0" w:evenVBand="0" w:oddHBand="0" w:evenHBand="0" w:firstRowFirstColumn="0" w:firstRowLastColumn="0" w:lastRowFirstColumn="0" w:lastRowLastColumn="0"/>
            <w:tcW w:w="1206" w:type="pct"/>
            <w:hideMark/>
          </w:tcPr>
          <w:p w:rsidR="00515A97" w:rsidRPr="00515A97" w:rsidRDefault="00515A97" w:rsidP="00515A97">
            <w:r w:rsidRPr="00515A97">
              <w:t xml:space="preserve">Stay in business </w:t>
            </w:r>
          </w:p>
        </w:tc>
        <w:tc>
          <w:tcPr>
            <w:tcW w:w="487" w:type="pct"/>
          </w:tcPr>
          <w:p w:rsidR="00515A97" w:rsidRPr="00515A97" w:rsidRDefault="00EF6370" w:rsidP="00293192">
            <w:pPr>
              <w:cnfStyle w:val="000000000000" w:firstRow="0" w:lastRow="0" w:firstColumn="0" w:lastColumn="0" w:oddVBand="0" w:evenVBand="0" w:oddHBand="0" w:evenHBand="0" w:firstRowFirstColumn="0" w:firstRowLastColumn="0" w:lastRowFirstColumn="0" w:lastRowLastColumn="0"/>
            </w:pPr>
            <w:r>
              <w:t>7.</w:t>
            </w:r>
            <w:r w:rsidR="00E229E4">
              <w:t>6</w:t>
            </w:r>
          </w:p>
        </w:tc>
        <w:tc>
          <w:tcPr>
            <w:tcW w:w="490" w:type="pct"/>
          </w:tcPr>
          <w:p w:rsidR="00515A97" w:rsidRPr="00515A97" w:rsidRDefault="00515A97" w:rsidP="00470D8B">
            <w:pPr>
              <w:cnfStyle w:val="000000000000" w:firstRow="0" w:lastRow="0" w:firstColumn="0" w:lastColumn="0" w:oddVBand="0" w:evenVBand="0" w:oddHBand="0" w:evenHBand="0" w:firstRowFirstColumn="0" w:firstRowLastColumn="0" w:lastRowFirstColumn="0" w:lastRowLastColumn="0"/>
            </w:pPr>
            <w:r w:rsidRPr="00515A97">
              <w:t>2.</w:t>
            </w:r>
            <w:r w:rsidR="00470D8B">
              <w:t>4</w:t>
            </w:r>
          </w:p>
        </w:tc>
        <w:tc>
          <w:tcPr>
            <w:tcW w:w="570"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4.</w:t>
            </w:r>
            <w:r w:rsidR="00340E01">
              <w:t>4</w:t>
            </w:r>
          </w:p>
        </w:tc>
        <w:tc>
          <w:tcPr>
            <w:tcW w:w="621" w:type="pct"/>
            <w:gridSpan w:val="2"/>
          </w:tcPr>
          <w:p w:rsidR="00515A97" w:rsidRPr="00515A97" w:rsidRDefault="00515A97" w:rsidP="00470D8B">
            <w:pPr>
              <w:cnfStyle w:val="000000000000" w:firstRow="0" w:lastRow="0" w:firstColumn="0" w:lastColumn="0" w:oddVBand="0" w:evenVBand="0" w:oddHBand="0" w:evenHBand="0" w:firstRowFirstColumn="0" w:firstRowLastColumn="0" w:lastRowFirstColumn="0" w:lastRowLastColumn="0"/>
            </w:pPr>
            <w:r w:rsidRPr="00515A97">
              <w:t>13.</w:t>
            </w:r>
            <w:r w:rsidR="00470D8B">
              <w:t>8</w:t>
            </w:r>
          </w:p>
        </w:tc>
        <w:tc>
          <w:tcPr>
            <w:tcW w:w="439"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5.5</w:t>
            </w:r>
          </w:p>
        </w:tc>
        <w:tc>
          <w:tcPr>
            <w:tcW w:w="571" w:type="pct"/>
          </w:tcPr>
          <w:p w:rsidR="00515A97" w:rsidRPr="00515A97" w:rsidRDefault="00515A97" w:rsidP="00470D8B">
            <w:pPr>
              <w:cnfStyle w:val="000000000000" w:firstRow="0" w:lastRow="0" w:firstColumn="0" w:lastColumn="0" w:oddVBand="0" w:evenVBand="0" w:oddHBand="0" w:evenHBand="0" w:firstRowFirstColumn="0" w:firstRowLastColumn="0" w:lastRowFirstColumn="0" w:lastRowLastColumn="0"/>
            </w:pPr>
            <w:r w:rsidRPr="00515A97">
              <w:t>1</w:t>
            </w:r>
            <w:r w:rsidR="00470D8B">
              <w:t>2.0</w:t>
            </w:r>
          </w:p>
        </w:tc>
        <w:tc>
          <w:tcPr>
            <w:tcW w:w="616" w:type="pct"/>
          </w:tcPr>
          <w:p w:rsidR="00515A97" w:rsidRPr="005320CE" w:rsidRDefault="00515A97" w:rsidP="00470D8B">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3</w:t>
            </w:r>
            <w:r w:rsidR="00470D8B" w:rsidRPr="005320CE">
              <w:rPr>
                <w:rStyle w:val="Strong"/>
              </w:rPr>
              <w:t>8.</w:t>
            </w:r>
            <w:r w:rsidR="00340E01">
              <w:rPr>
                <w:rStyle w:val="Strong"/>
              </w:rPr>
              <w:t>1</w:t>
            </w:r>
          </w:p>
        </w:tc>
      </w:tr>
      <w:tr w:rsidR="00515A97" w:rsidRPr="004F416F" w:rsidTr="00DA11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hideMark/>
          </w:tcPr>
          <w:p w:rsidR="00515A97" w:rsidRPr="00435C44" w:rsidRDefault="00515A97" w:rsidP="00DA1152">
            <w:pPr>
              <w:rPr>
                <w:rStyle w:val="Strong"/>
              </w:rPr>
            </w:pPr>
            <w:r w:rsidRPr="00435C44">
              <w:rPr>
                <w:rStyle w:val="Strong"/>
              </w:rPr>
              <w:t>GROSS TOTAL CAP</w:t>
            </w:r>
            <w:r w:rsidR="00DA1152" w:rsidRPr="00435C44">
              <w:rPr>
                <w:rStyle w:val="Strong"/>
              </w:rPr>
              <w:t>EX</w:t>
            </w:r>
          </w:p>
        </w:tc>
        <w:tc>
          <w:tcPr>
            <w:tcW w:w="487" w:type="pct"/>
          </w:tcPr>
          <w:p w:rsidR="00515A97" w:rsidRPr="00435C44" w:rsidRDefault="003E44C6"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57.</w:t>
            </w:r>
            <w:r w:rsidR="00E229E4">
              <w:rPr>
                <w:rStyle w:val="Strong"/>
              </w:rPr>
              <w:t>9</w:t>
            </w:r>
          </w:p>
        </w:tc>
        <w:tc>
          <w:tcPr>
            <w:tcW w:w="490" w:type="pct"/>
          </w:tcPr>
          <w:p w:rsidR="00515A97" w:rsidRPr="00435C44" w:rsidRDefault="00955AA4" w:rsidP="00470D8B">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6.</w:t>
            </w:r>
            <w:r w:rsidR="00470D8B">
              <w:rPr>
                <w:rStyle w:val="Strong"/>
              </w:rPr>
              <w:t>3</w:t>
            </w:r>
          </w:p>
        </w:tc>
        <w:tc>
          <w:tcPr>
            <w:tcW w:w="570" w:type="pct"/>
          </w:tcPr>
          <w:p w:rsidR="00515A97" w:rsidRPr="00435C44" w:rsidRDefault="00955AA4"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9.</w:t>
            </w:r>
            <w:r w:rsidR="00340E01">
              <w:rPr>
                <w:rStyle w:val="Strong"/>
              </w:rPr>
              <w:t>2</w:t>
            </w:r>
          </w:p>
        </w:tc>
        <w:tc>
          <w:tcPr>
            <w:tcW w:w="621" w:type="pct"/>
            <w:gridSpan w:val="2"/>
          </w:tcPr>
          <w:p w:rsidR="00515A97" w:rsidRPr="00435C44" w:rsidRDefault="00515A97" w:rsidP="00470D8B">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17.</w:t>
            </w:r>
            <w:r w:rsidR="00470D8B">
              <w:rPr>
                <w:rStyle w:val="Strong"/>
              </w:rPr>
              <w:t>8</w:t>
            </w:r>
          </w:p>
        </w:tc>
        <w:tc>
          <w:tcPr>
            <w:tcW w:w="439" w:type="pct"/>
          </w:tcPr>
          <w:p w:rsidR="00515A97" w:rsidRPr="00435C44" w:rsidRDefault="00515A97"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10.0</w:t>
            </w:r>
          </w:p>
        </w:tc>
        <w:tc>
          <w:tcPr>
            <w:tcW w:w="571" w:type="pct"/>
          </w:tcPr>
          <w:p w:rsidR="00515A97" w:rsidRPr="00435C44" w:rsidRDefault="00515A97" w:rsidP="00293192">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18.2</w:t>
            </w:r>
          </w:p>
        </w:tc>
        <w:tc>
          <w:tcPr>
            <w:tcW w:w="616" w:type="pct"/>
          </w:tcPr>
          <w:p w:rsidR="00515A97" w:rsidRPr="005320CE" w:rsidRDefault="00955AA4" w:rsidP="00470D8B">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61.</w:t>
            </w:r>
            <w:r w:rsidR="0039485E">
              <w:rPr>
                <w:rStyle w:val="Strong"/>
              </w:rPr>
              <w:t>5</w:t>
            </w:r>
          </w:p>
        </w:tc>
      </w:tr>
      <w:tr w:rsidR="00515A97" w:rsidRPr="004F416F" w:rsidTr="00DA1152">
        <w:trPr>
          <w:trHeight w:val="300"/>
        </w:trPr>
        <w:tc>
          <w:tcPr>
            <w:cnfStyle w:val="001000000000" w:firstRow="0" w:lastRow="0" w:firstColumn="1" w:lastColumn="0" w:oddVBand="0" w:evenVBand="0" w:oddHBand="0" w:evenHBand="0" w:firstRowFirstColumn="0" w:firstRowLastColumn="0" w:lastRowFirstColumn="0" w:lastRowLastColumn="0"/>
            <w:tcW w:w="1206" w:type="pct"/>
          </w:tcPr>
          <w:p w:rsidR="00515A97" w:rsidRPr="00515A97" w:rsidRDefault="00515A97" w:rsidP="00515A97">
            <w:r w:rsidRPr="00515A97">
              <w:t>Contributions</w:t>
            </w:r>
          </w:p>
        </w:tc>
        <w:tc>
          <w:tcPr>
            <w:tcW w:w="487" w:type="pct"/>
          </w:tcPr>
          <w:p w:rsidR="00515A97" w:rsidRPr="00515A97" w:rsidRDefault="00740A99" w:rsidP="00293192">
            <w:pPr>
              <w:cnfStyle w:val="000000000000" w:firstRow="0" w:lastRow="0" w:firstColumn="0" w:lastColumn="0" w:oddVBand="0" w:evenVBand="0" w:oddHBand="0" w:evenHBand="0" w:firstRowFirstColumn="0" w:firstRowLastColumn="0" w:lastRowFirstColumn="0" w:lastRowLastColumn="0"/>
            </w:pPr>
            <w:r>
              <w:t>-</w:t>
            </w:r>
          </w:p>
        </w:tc>
        <w:tc>
          <w:tcPr>
            <w:tcW w:w="490"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570" w:type="pct"/>
          </w:tcPr>
          <w:p w:rsidR="00515A97" w:rsidRPr="00515A97" w:rsidRDefault="00287484" w:rsidP="00293192">
            <w:pPr>
              <w:cnfStyle w:val="000000000000" w:firstRow="0" w:lastRow="0" w:firstColumn="0" w:lastColumn="0" w:oddVBand="0" w:evenVBand="0" w:oddHBand="0" w:evenHBand="0" w:firstRowFirstColumn="0" w:firstRowLastColumn="0" w:lastRowFirstColumn="0" w:lastRowLastColumn="0"/>
            </w:pPr>
            <w:r>
              <w:t>0.1</w:t>
            </w:r>
          </w:p>
        </w:tc>
        <w:tc>
          <w:tcPr>
            <w:tcW w:w="621" w:type="pct"/>
            <w:gridSpan w:val="2"/>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439"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571" w:type="pct"/>
          </w:tcPr>
          <w:p w:rsidR="00515A97" w:rsidRPr="00515A97" w:rsidRDefault="00515A97" w:rsidP="00293192">
            <w:pPr>
              <w:cnfStyle w:val="000000000000" w:firstRow="0" w:lastRow="0" w:firstColumn="0" w:lastColumn="0" w:oddVBand="0" w:evenVBand="0" w:oddHBand="0" w:evenHBand="0" w:firstRowFirstColumn="0" w:firstRowLastColumn="0" w:lastRowFirstColumn="0" w:lastRowLastColumn="0"/>
            </w:pPr>
            <w:r w:rsidRPr="00515A97">
              <w:t>-</w:t>
            </w:r>
          </w:p>
        </w:tc>
        <w:tc>
          <w:tcPr>
            <w:tcW w:w="616" w:type="pct"/>
          </w:tcPr>
          <w:p w:rsidR="00515A97" w:rsidRPr="005320CE" w:rsidRDefault="00470D8B" w:rsidP="00293192">
            <w:pPr>
              <w:cnfStyle w:val="000000000000" w:firstRow="0" w:lastRow="0" w:firstColumn="0" w:lastColumn="0" w:oddVBand="0" w:evenVBand="0" w:oddHBand="0" w:evenHBand="0" w:firstRowFirstColumn="0" w:firstRowLastColumn="0" w:lastRowFirstColumn="0" w:lastRowLastColumn="0"/>
              <w:rPr>
                <w:rStyle w:val="Strong"/>
              </w:rPr>
            </w:pPr>
            <w:r w:rsidRPr="005320CE">
              <w:rPr>
                <w:rStyle w:val="Strong"/>
              </w:rPr>
              <w:t>0.1</w:t>
            </w:r>
          </w:p>
        </w:tc>
      </w:tr>
      <w:tr w:rsidR="00515A97" w:rsidRPr="004F416F" w:rsidTr="00DA115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tcPr>
          <w:p w:rsidR="00515A97" w:rsidRPr="00515A97" w:rsidRDefault="00515A97" w:rsidP="00515A97">
            <w:r w:rsidRPr="00515A97">
              <w:t>Asset disposals</w:t>
            </w:r>
          </w:p>
        </w:tc>
        <w:tc>
          <w:tcPr>
            <w:tcW w:w="487" w:type="pct"/>
          </w:tcPr>
          <w:p w:rsidR="00515A97" w:rsidRPr="00515A97" w:rsidRDefault="00740A99" w:rsidP="00293192">
            <w:pPr>
              <w:cnfStyle w:val="000000010000" w:firstRow="0" w:lastRow="0" w:firstColumn="0" w:lastColumn="0" w:oddVBand="0" w:evenVBand="0" w:oddHBand="0" w:evenHBand="1" w:firstRowFirstColumn="0" w:firstRowLastColumn="0" w:lastRowFirstColumn="0" w:lastRowLastColumn="0"/>
            </w:pPr>
            <w:r>
              <w:t>-</w:t>
            </w:r>
          </w:p>
        </w:tc>
        <w:tc>
          <w:tcPr>
            <w:tcW w:w="490" w:type="pct"/>
          </w:tcPr>
          <w:p w:rsidR="00515A97" w:rsidRPr="00515A97" w:rsidRDefault="00740A99" w:rsidP="00470D8B">
            <w:pPr>
              <w:cnfStyle w:val="000000010000" w:firstRow="0" w:lastRow="0" w:firstColumn="0" w:lastColumn="0" w:oddVBand="0" w:evenVBand="0" w:oddHBand="0" w:evenHBand="1" w:firstRowFirstColumn="0" w:firstRowLastColumn="0" w:lastRowFirstColumn="0" w:lastRowLastColumn="0"/>
            </w:pPr>
            <w:r>
              <w:t>0.1</w:t>
            </w:r>
          </w:p>
        </w:tc>
        <w:tc>
          <w:tcPr>
            <w:tcW w:w="570" w:type="pct"/>
          </w:tcPr>
          <w:p w:rsidR="00515A97" w:rsidRPr="00515A97" w:rsidRDefault="00740A99" w:rsidP="00470D8B">
            <w:pPr>
              <w:cnfStyle w:val="000000010000" w:firstRow="0" w:lastRow="0" w:firstColumn="0" w:lastColumn="0" w:oddVBand="0" w:evenVBand="0" w:oddHBand="0" w:evenHBand="1" w:firstRowFirstColumn="0" w:firstRowLastColumn="0" w:lastRowFirstColumn="0" w:lastRowLastColumn="0"/>
            </w:pPr>
            <w:r>
              <w:t>0.</w:t>
            </w:r>
            <w:r w:rsidR="00470D8B">
              <w:t>1</w:t>
            </w:r>
          </w:p>
        </w:tc>
        <w:tc>
          <w:tcPr>
            <w:tcW w:w="621" w:type="pct"/>
            <w:gridSpan w:val="2"/>
          </w:tcPr>
          <w:p w:rsidR="00515A97" w:rsidRPr="00515A97" w:rsidRDefault="00740A99" w:rsidP="00470D8B">
            <w:pPr>
              <w:cnfStyle w:val="000000010000" w:firstRow="0" w:lastRow="0" w:firstColumn="0" w:lastColumn="0" w:oddVBand="0" w:evenVBand="0" w:oddHBand="0" w:evenHBand="1" w:firstRowFirstColumn="0" w:firstRowLastColumn="0" w:lastRowFirstColumn="0" w:lastRowLastColumn="0"/>
            </w:pPr>
            <w:r>
              <w:t>0.</w:t>
            </w:r>
            <w:r w:rsidR="00470D8B">
              <w:t>0</w:t>
            </w:r>
          </w:p>
        </w:tc>
        <w:tc>
          <w:tcPr>
            <w:tcW w:w="439" w:type="pct"/>
          </w:tcPr>
          <w:p w:rsidR="00515A97" w:rsidRPr="00515A97" w:rsidRDefault="00515A97" w:rsidP="00293192">
            <w:pPr>
              <w:cnfStyle w:val="000000010000" w:firstRow="0" w:lastRow="0" w:firstColumn="0" w:lastColumn="0" w:oddVBand="0" w:evenVBand="0" w:oddHBand="0" w:evenHBand="1" w:firstRowFirstColumn="0" w:firstRowLastColumn="0" w:lastRowFirstColumn="0" w:lastRowLastColumn="0"/>
            </w:pPr>
            <w:r w:rsidRPr="00515A97">
              <w:t>-</w:t>
            </w:r>
          </w:p>
        </w:tc>
        <w:tc>
          <w:tcPr>
            <w:tcW w:w="571" w:type="pct"/>
          </w:tcPr>
          <w:p w:rsidR="00515A97" w:rsidRPr="00515A97" w:rsidRDefault="00515A97" w:rsidP="00293192">
            <w:pPr>
              <w:cnfStyle w:val="000000010000" w:firstRow="0" w:lastRow="0" w:firstColumn="0" w:lastColumn="0" w:oddVBand="0" w:evenVBand="0" w:oddHBand="0" w:evenHBand="1" w:firstRowFirstColumn="0" w:firstRowLastColumn="0" w:lastRowFirstColumn="0" w:lastRowLastColumn="0"/>
            </w:pPr>
            <w:r w:rsidRPr="00515A97">
              <w:t>-</w:t>
            </w:r>
          </w:p>
        </w:tc>
        <w:tc>
          <w:tcPr>
            <w:tcW w:w="616" w:type="pct"/>
          </w:tcPr>
          <w:p w:rsidR="00515A97" w:rsidRPr="005320CE" w:rsidRDefault="00740A99" w:rsidP="00293192">
            <w:pPr>
              <w:cnfStyle w:val="000000010000" w:firstRow="0" w:lastRow="0" w:firstColumn="0" w:lastColumn="0" w:oddVBand="0" w:evenVBand="0" w:oddHBand="0" w:evenHBand="1" w:firstRowFirstColumn="0" w:firstRowLastColumn="0" w:lastRowFirstColumn="0" w:lastRowLastColumn="0"/>
              <w:rPr>
                <w:rStyle w:val="Strong"/>
              </w:rPr>
            </w:pPr>
            <w:r w:rsidRPr="005320CE">
              <w:rPr>
                <w:rStyle w:val="Strong"/>
              </w:rPr>
              <w:t>0.2</w:t>
            </w:r>
          </w:p>
        </w:tc>
      </w:tr>
      <w:tr w:rsidR="00515A97" w:rsidRPr="004F416F" w:rsidTr="00DA1152">
        <w:trPr>
          <w:trHeight w:val="300"/>
        </w:trPr>
        <w:tc>
          <w:tcPr>
            <w:cnfStyle w:val="001000000000" w:firstRow="0" w:lastRow="0" w:firstColumn="1" w:lastColumn="0" w:oddVBand="0" w:evenVBand="0" w:oddHBand="0" w:evenHBand="0" w:firstRowFirstColumn="0" w:firstRowLastColumn="0" w:lastRowFirstColumn="0" w:lastRowLastColumn="0"/>
            <w:tcW w:w="1206" w:type="pct"/>
          </w:tcPr>
          <w:p w:rsidR="00515A97" w:rsidRPr="00435C44" w:rsidRDefault="00515A97" w:rsidP="00435C44">
            <w:pPr>
              <w:rPr>
                <w:rStyle w:val="Strong"/>
              </w:rPr>
            </w:pPr>
            <w:r w:rsidRPr="00435C44">
              <w:rPr>
                <w:rStyle w:val="Strong"/>
              </w:rPr>
              <w:t>NET TOTAL CAP</w:t>
            </w:r>
            <w:r w:rsidR="00DA1152" w:rsidRPr="00435C44">
              <w:rPr>
                <w:rStyle w:val="Strong"/>
              </w:rPr>
              <w:t>EX</w:t>
            </w:r>
          </w:p>
        </w:tc>
        <w:tc>
          <w:tcPr>
            <w:tcW w:w="487" w:type="pct"/>
          </w:tcPr>
          <w:p w:rsidR="00515A97" w:rsidRPr="00435C44" w:rsidRDefault="003E44C6"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57.</w:t>
            </w:r>
            <w:r w:rsidR="00E229E4">
              <w:rPr>
                <w:rStyle w:val="Strong"/>
              </w:rPr>
              <w:t>9</w:t>
            </w:r>
          </w:p>
        </w:tc>
        <w:tc>
          <w:tcPr>
            <w:tcW w:w="490" w:type="pct"/>
          </w:tcPr>
          <w:p w:rsidR="00515A97" w:rsidRPr="00435C44" w:rsidRDefault="00740A99"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6.1</w:t>
            </w:r>
          </w:p>
        </w:tc>
        <w:tc>
          <w:tcPr>
            <w:tcW w:w="570" w:type="pct"/>
          </w:tcPr>
          <w:p w:rsidR="00515A97" w:rsidRPr="00435C44" w:rsidRDefault="00287484" w:rsidP="00287484">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9</w:t>
            </w:r>
            <w:r w:rsidR="00340E01">
              <w:rPr>
                <w:rStyle w:val="Strong"/>
              </w:rPr>
              <w:t>.0</w:t>
            </w:r>
          </w:p>
        </w:tc>
        <w:tc>
          <w:tcPr>
            <w:tcW w:w="621" w:type="pct"/>
            <w:gridSpan w:val="2"/>
          </w:tcPr>
          <w:p w:rsidR="00515A97" w:rsidRPr="00435C44" w:rsidRDefault="00740A99"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17.7</w:t>
            </w:r>
          </w:p>
        </w:tc>
        <w:tc>
          <w:tcPr>
            <w:tcW w:w="439" w:type="pct"/>
          </w:tcPr>
          <w:p w:rsidR="00515A97" w:rsidRPr="00435C44" w:rsidRDefault="00740A99"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10.0</w:t>
            </w:r>
          </w:p>
        </w:tc>
        <w:tc>
          <w:tcPr>
            <w:tcW w:w="571" w:type="pct"/>
          </w:tcPr>
          <w:p w:rsidR="00515A97" w:rsidRPr="00435C44" w:rsidRDefault="00740A99"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18.2</w:t>
            </w:r>
          </w:p>
        </w:tc>
        <w:tc>
          <w:tcPr>
            <w:tcW w:w="616" w:type="pct"/>
          </w:tcPr>
          <w:p w:rsidR="00515A97" w:rsidRPr="00435C44" w:rsidRDefault="00287484" w:rsidP="00740A99">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61.</w:t>
            </w:r>
            <w:r w:rsidR="00340E01">
              <w:rPr>
                <w:rStyle w:val="Strong"/>
              </w:rPr>
              <w:t>1</w:t>
            </w:r>
          </w:p>
        </w:tc>
      </w:tr>
    </w:tbl>
    <w:p w:rsidR="00515A97" w:rsidRDefault="00515A97" w:rsidP="00515A97">
      <w:pPr>
        <w:pStyle w:val="AERtablesource"/>
      </w:pPr>
      <w:r w:rsidRPr="002D5654">
        <w:t xml:space="preserve">Source: </w:t>
      </w:r>
      <w:r w:rsidRPr="002D5654">
        <w:tab/>
        <w:t>AER analysis. Totals may not add due to rounding.</w:t>
      </w:r>
    </w:p>
    <w:p w:rsidR="00515A97" w:rsidRDefault="00515A97" w:rsidP="00515A97">
      <w:pPr>
        <w:pStyle w:val="ListParagraph"/>
        <w:numPr>
          <w:ilvl w:val="0"/>
          <w:numId w:val="24"/>
        </w:numPr>
      </w:pPr>
      <w:r w:rsidRPr="00515A97">
        <w:t>Our analysis of the capex driver categories is set out below.</w:t>
      </w:r>
    </w:p>
    <w:p w:rsidR="00515A97" w:rsidRDefault="00FD2016" w:rsidP="00515A97">
      <w:pPr>
        <w:pStyle w:val="HeadingBoldBlue"/>
      </w:pPr>
      <w:bookmarkStart w:id="47" w:name="_Toc476651842"/>
      <w:bookmarkStart w:id="48" w:name="_Toc486851825"/>
      <w:r>
        <w:t>Expansion c</w:t>
      </w:r>
      <w:r w:rsidR="00515A97">
        <w:t>apex</w:t>
      </w:r>
      <w:bookmarkEnd w:id="47"/>
      <w:bookmarkEnd w:id="48"/>
    </w:p>
    <w:p w:rsidR="007E6DE0" w:rsidRDefault="007E6DE0" w:rsidP="007E6DE0">
      <w:r>
        <w:t>Expansion capex is required to expand the capacity of the pipeline to meet forecast demand within and beyond the access arrangement period</w:t>
      </w:r>
      <w:r w:rsidR="006B1BFD">
        <w:t xml:space="preserve"> under review</w:t>
      </w:r>
      <w:r>
        <w:t xml:space="preserve">. </w:t>
      </w:r>
    </w:p>
    <w:p w:rsidR="00FE1727" w:rsidRDefault="006B3F36" w:rsidP="006B3F36">
      <w:r>
        <w:t>APTPPL proposed expansion capex of $5.7 million ($2016</w:t>
      </w:r>
      <w:r w:rsidRPr="00E40C29">
        <w:t>–</w:t>
      </w:r>
      <w:r>
        <w:t>17) for the 2012</w:t>
      </w:r>
      <w:r w:rsidRPr="00E40C29">
        <w:t>–</w:t>
      </w:r>
      <w:r>
        <w:t xml:space="preserve">17 access arrangement </w:t>
      </w:r>
      <w:proofErr w:type="gramStart"/>
      <w:r>
        <w:t>period</w:t>
      </w:r>
      <w:proofErr w:type="gramEnd"/>
      <w:r w:rsidR="002D5F81">
        <w:t xml:space="preserve">. This capex </w:t>
      </w:r>
      <w:r w:rsidR="008E4C38">
        <w:t xml:space="preserve">relates to </w:t>
      </w:r>
      <w:r w:rsidR="002D5F81">
        <w:t>the</w:t>
      </w:r>
      <w:r w:rsidR="008E4C38">
        <w:t xml:space="preserve"> </w:t>
      </w:r>
      <w:r w:rsidR="008E4C38" w:rsidRPr="008E4C38">
        <w:t>Roma to Brisbane Pipeline Expansion</w:t>
      </w:r>
      <w:r w:rsidR="008E4C38">
        <w:t xml:space="preserve"> </w:t>
      </w:r>
      <w:r w:rsidR="00523371">
        <w:t xml:space="preserve">8 </w:t>
      </w:r>
      <w:r w:rsidR="008E4C38">
        <w:t>(RBP8)</w:t>
      </w:r>
      <w:r w:rsidR="002D5F81">
        <w:t xml:space="preserve"> project, which APTPPL commissioned </w:t>
      </w:r>
      <w:r w:rsidR="00523371">
        <w:t>in August 2012</w:t>
      </w:r>
      <w:r w:rsidR="002D5F81">
        <w:t xml:space="preserve">. </w:t>
      </w:r>
      <w:r w:rsidR="00523371">
        <w:t xml:space="preserve"> </w:t>
      </w:r>
      <w:r w:rsidR="002D5F81">
        <w:t>C</w:t>
      </w:r>
      <w:r w:rsidR="00523371">
        <w:t xml:space="preserve">onsequently </w:t>
      </w:r>
      <w:r w:rsidR="00DF4E1D">
        <w:t xml:space="preserve">we included </w:t>
      </w:r>
      <w:r w:rsidR="00523371" w:rsidRPr="00523371">
        <w:t xml:space="preserve">RBP8 expansion capex in the closing </w:t>
      </w:r>
      <w:r w:rsidR="007D084B">
        <w:t>capital base</w:t>
      </w:r>
      <w:r w:rsidR="007D084B" w:rsidRPr="00523371">
        <w:t xml:space="preserve"> </w:t>
      </w:r>
      <w:r w:rsidR="00523371" w:rsidRPr="00523371">
        <w:t xml:space="preserve">at the end of the </w:t>
      </w:r>
      <w:r w:rsidR="00DF4E1D">
        <w:t xml:space="preserve">2006–11 </w:t>
      </w:r>
      <w:r w:rsidR="00523371" w:rsidRPr="00523371">
        <w:t xml:space="preserve">access arrangement </w:t>
      </w:r>
      <w:proofErr w:type="gramStart"/>
      <w:r w:rsidR="00523371" w:rsidRPr="00523371">
        <w:t>period</w:t>
      </w:r>
      <w:proofErr w:type="gramEnd"/>
      <w:r w:rsidR="00523371">
        <w:t xml:space="preserve">. </w:t>
      </w:r>
      <w:r>
        <w:t xml:space="preserve">In </w:t>
      </w:r>
      <w:r w:rsidR="00523371">
        <w:t xml:space="preserve">our </w:t>
      </w:r>
      <w:r>
        <w:t xml:space="preserve">previous access arrangement review, </w:t>
      </w:r>
      <w:r w:rsidR="00DF4E1D">
        <w:t>APTPPL did not propose any</w:t>
      </w:r>
      <w:r w:rsidR="00DF4E1D" w:rsidDel="00DF4E1D">
        <w:t xml:space="preserve"> </w:t>
      </w:r>
      <w:r w:rsidR="00DF4E1D">
        <w:t xml:space="preserve">additional </w:t>
      </w:r>
      <w:r w:rsidR="00523371" w:rsidRPr="00523371">
        <w:t>expansion capex within the 2012</w:t>
      </w:r>
      <w:r w:rsidR="00DF4E1D">
        <w:t>–</w:t>
      </w:r>
      <w:r w:rsidR="009B5667">
        <w:t xml:space="preserve">17 </w:t>
      </w:r>
      <w:proofErr w:type="gramStart"/>
      <w:r w:rsidR="00523371" w:rsidRPr="00523371">
        <w:t>period</w:t>
      </w:r>
      <w:proofErr w:type="gramEnd"/>
      <w:r w:rsidR="009B5667">
        <w:t>, and</w:t>
      </w:r>
      <w:r w:rsidR="006116FB">
        <w:t xml:space="preserve"> </w:t>
      </w:r>
      <w:r w:rsidR="00DF4E1D">
        <w:t>we did not provide any</w:t>
      </w:r>
      <w:r w:rsidR="00495F87">
        <w:t>.</w:t>
      </w:r>
      <w:r w:rsidR="00FE1727">
        <w:t xml:space="preserve"> </w:t>
      </w:r>
    </w:p>
    <w:p w:rsidR="006B3F36" w:rsidRDefault="006B3F36" w:rsidP="006B3F36">
      <w:r>
        <w:t xml:space="preserve">APTPPL </w:t>
      </w:r>
      <w:r w:rsidR="009B5667">
        <w:t xml:space="preserve">has now </w:t>
      </w:r>
      <w:r>
        <w:t>submitted that it incurred additional costs</w:t>
      </w:r>
      <w:r w:rsidR="00A130CB">
        <w:t xml:space="preserve"> of</w:t>
      </w:r>
      <w:r>
        <w:t xml:space="preserve"> </w:t>
      </w:r>
      <w:r w:rsidR="00A130CB" w:rsidRPr="00A130CB">
        <w:t xml:space="preserve">$5.7 million ($2016–17) </w:t>
      </w:r>
      <w:r>
        <w:t>to close out its RBP8 project</w:t>
      </w:r>
      <w:r w:rsidR="00FE1727">
        <w:t xml:space="preserve"> in the </w:t>
      </w:r>
      <w:r w:rsidR="00DF4E1D">
        <w:t>2012</w:t>
      </w:r>
      <w:r w:rsidR="00A0336F">
        <w:t>–</w:t>
      </w:r>
      <w:r w:rsidR="00DF4E1D">
        <w:t xml:space="preserve">17 </w:t>
      </w:r>
      <w:r w:rsidR="00FE1727">
        <w:t xml:space="preserve">access arrangement </w:t>
      </w:r>
      <w:proofErr w:type="gramStart"/>
      <w:r w:rsidR="00FE1727">
        <w:t>period</w:t>
      </w:r>
      <w:proofErr w:type="gramEnd"/>
      <w:r w:rsidR="00A130CB">
        <w:t>, resulting from a legal</w:t>
      </w:r>
      <w:r w:rsidR="009B5667">
        <w:t xml:space="preserve"> </w:t>
      </w:r>
      <w:r>
        <w:t>dispute with one of its contractors.</w:t>
      </w:r>
      <w:r w:rsidR="00E9194E">
        <w:t xml:space="preserve"> This resulted in delays to APTPPL receiving invoices from its contractors which pushed the costs into the 2012–17 access arrangement </w:t>
      </w:r>
      <w:proofErr w:type="gramStart"/>
      <w:r w:rsidR="00E9194E">
        <w:t>period</w:t>
      </w:r>
      <w:proofErr w:type="gramEnd"/>
      <w:r w:rsidR="00E9194E">
        <w:t>.</w:t>
      </w:r>
      <w:r>
        <w:rPr>
          <w:rStyle w:val="FootnoteReference"/>
        </w:rPr>
        <w:footnoteReference w:id="23"/>
      </w:r>
      <w:r w:rsidR="00FE1727" w:rsidRPr="00FE1727">
        <w:t xml:space="preserve"> </w:t>
      </w:r>
      <w:r w:rsidR="00B014E5">
        <w:t>APTPPL submitted that th</w:t>
      </w:r>
      <w:r w:rsidR="00A130CB">
        <w:t>is additional</w:t>
      </w:r>
      <w:r w:rsidR="00B014E5">
        <w:t xml:space="preserve"> capex is consistent with the AER's draft and final determination in 2012</w:t>
      </w:r>
      <w:r w:rsidR="00A130CB">
        <w:t>, which agreed</w:t>
      </w:r>
      <w:r w:rsidR="00B014E5">
        <w:t xml:space="preserve"> that expenditure on </w:t>
      </w:r>
      <w:r w:rsidR="00A130CB">
        <w:t xml:space="preserve">the </w:t>
      </w:r>
      <w:r w:rsidR="00127004">
        <w:t xml:space="preserve">RBP8 </w:t>
      </w:r>
      <w:r w:rsidR="00DF4E1D">
        <w:t xml:space="preserve">project </w:t>
      </w:r>
      <w:r w:rsidR="00127004">
        <w:t>is consistent with the NGR.</w:t>
      </w:r>
    </w:p>
    <w:p w:rsidR="006B3F36" w:rsidRDefault="006B3F36" w:rsidP="006B3F36">
      <w:r>
        <w:t xml:space="preserve">We sought additional information </w:t>
      </w:r>
      <w:r w:rsidR="00A130CB">
        <w:t>about</w:t>
      </w:r>
      <w:r>
        <w:t xml:space="preserve"> the drivers of the additional </w:t>
      </w:r>
      <w:r w:rsidR="00A130CB">
        <w:t>expense</w:t>
      </w:r>
      <w:r w:rsidR="00AB5E30">
        <w:t xml:space="preserve">. </w:t>
      </w:r>
      <w:r w:rsidR="00B014E5">
        <w:t xml:space="preserve">APTPPL </w:t>
      </w:r>
      <w:r w:rsidR="00A130CB">
        <w:t>responded that</w:t>
      </w:r>
      <w:r>
        <w:t xml:space="preserve"> the project was still NPV positive</w:t>
      </w:r>
      <w:r w:rsidR="00A130CB">
        <w:t xml:space="preserve"> overall</w:t>
      </w:r>
      <w:r w:rsidR="000F45E6">
        <w:t xml:space="preserve"> </w:t>
      </w:r>
      <w:r>
        <w:t xml:space="preserve">and that </w:t>
      </w:r>
      <w:r w:rsidR="00A130CB">
        <w:t xml:space="preserve">the </w:t>
      </w:r>
      <w:r>
        <w:t>legal dispute was the lowest cost option to consumers because it avoided further costs.</w:t>
      </w:r>
      <w:r>
        <w:rPr>
          <w:rStyle w:val="FootnoteReference"/>
        </w:rPr>
        <w:footnoteReference w:id="24"/>
      </w:r>
    </w:p>
    <w:p w:rsidR="006B3F36" w:rsidRDefault="006B3F36" w:rsidP="006B3F36">
      <w:r>
        <w:t>Having considered APTPPL's proposal</w:t>
      </w:r>
      <w:r w:rsidR="00E945BA">
        <w:t>,</w:t>
      </w:r>
      <w:r>
        <w:t xml:space="preserve"> </w:t>
      </w:r>
      <w:r w:rsidR="00E945BA">
        <w:t xml:space="preserve">its </w:t>
      </w:r>
      <w:r>
        <w:t xml:space="preserve">responses to </w:t>
      </w:r>
      <w:r w:rsidR="00E945BA">
        <w:t xml:space="preserve">our </w:t>
      </w:r>
      <w:r>
        <w:t>information requests</w:t>
      </w:r>
      <w:r w:rsidR="001A22FA">
        <w:t>,</w:t>
      </w:r>
      <w:r>
        <w:t xml:space="preserve"> and </w:t>
      </w:r>
      <w:r w:rsidR="000F45E6">
        <w:t xml:space="preserve">its </w:t>
      </w:r>
      <w:r>
        <w:t xml:space="preserve">NPV analysis, we accept the need for APTPPL to incur the additional costs </w:t>
      </w:r>
      <w:r w:rsidR="009B5667">
        <w:t xml:space="preserve">submitted </w:t>
      </w:r>
      <w:r>
        <w:t>for</w:t>
      </w:r>
      <w:r w:rsidR="001A22FA">
        <w:t xml:space="preserve"> the</w:t>
      </w:r>
      <w:r>
        <w:t xml:space="preserve"> RBP</w:t>
      </w:r>
      <w:r w:rsidR="001A22FA">
        <w:t>8</w:t>
      </w:r>
      <w:r>
        <w:t xml:space="preserve"> expansion project</w:t>
      </w:r>
      <w:r w:rsidR="00AA6A7D">
        <w:t xml:space="preserve">. This is </w:t>
      </w:r>
      <w:r w:rsidR="001A22FA">
        <w:t xml:space="preserve">because it </w:t>
      </w:r>
      <w:r w:rsidR="001A22FA" w:rsidRPr="001A22FA">
        <w:t>would result in the lowest increase in costs to APTPPL's customers</w:t>
      </w:r>
      <w:r w:rsidR="00AA6A7D">
        <w:t xml:space="preserve"> and </w:t>
      </w:r>
      <w:r w:rsidR="001A22FA">
        <w:t>thereby</w:t>
      </w:r>
      <w:r w:rsidR="006116FB">
        <w:t xml:space="preserve"> </w:t>
      </w:r>
      <w:r>
        <w:t xml:space="preserve">meet the </w:t>
      </w:r>
      <w:r w:rsidR="00AA6A7D">
        <w:t xml:space="preserve">new capex </w:t>
      </w:r>
      <w:r>
        <w:t>criteria</w:t>
      </w:r>
      <w:r w:rsidR="00AA6A7D">
        <w:t>.</w:t>
      </w:r>
      <w:r w:rsidR="00AA6A7D">
        <w:rPr>
          <w:rStyle w:val="FootnoteReference"/>
        </w:rPr>
        <w:footnoteReference w:id="25"/>
      </w:r>
      <w:r w:rsidR="003762EF">
        <w:t xml:space="preserve"> </w:t>
      </w:r>
      <w:r w:rsidR="00A130CB">
        <w:t xml:space="preserve">Consequently, we </w:t>
      </w:r>
      <w:r>
        <w:t xml:space="preserve">have included $5.7 million </w:t>
      </w:r>
      <w:r w:rsidR="00AA6A7D">
        <w:t>($2016</w:t>
      </w:r>
      <w:r w:rsidR="00AA6A7D" w:rsidRPr="00E40C29">
        <w:t>–</w:t>
      </w:r>
      <w:r w:rsidR="00AA6A7D">
        <w:t xml:space="preserve">17) </w:t>
      </w:r>
      <w:r>
        <w:t xml:space="preserve">for the RBP8 expansion project as conforming capex for the 2012–17 access arrangement </w:t>
      </w:r>
      <w:proofErr w:type="gramStart"/>
      <w:r>
        <w:t>period</w:t>
      </w:r>
      <w:proofErr w:type="gramEnd"/>
      <w:r>
        <w:t>.</w:t>
      </w:r>
    </w:p>
    <w:p w:rsidR="00FD2016" w:rsidRDefault="00FD2016" w:rsidP="00515A97">
      <w:pPr>
        <w:pStyle w:val="HeadingBoldBlue"/>
      </w:pPr>
      <w:bookmarkStart w:id="49" w:name="_Toc476651843"/>
      <w:bookmarkStart w:id="50" w:name="_Toc486851826"/>
      <w:r>
        <w:t>Replacement capex</w:t>
      </w:r>
      <w:bookmarkEnd w:id="49"/>
      <w:bookmarkEnd w:id="50"/>
    </w:p>
    <w:p w:rsidR="007E6DE0" w:rsidRDefault="007E6DE0" w:rsidP="007E6DE0">
      <w:r>
        <w:t xml:space="preserve">Replacement capex is required to maintain the safety and integrity of the pipeline. This category includes the refurbishment and replacement of: </w:t>
      </w:r>
    </w:p>
    <w:p w:rsidR="007E6DE0" w:rsidRDefault="007E6DE0" w:rsidP="007E6DE0">
      <w:pPr>
        <w:pStyle w:val="AERbulletlistfirststyle"/>
      </w:pPr>
      <w:r>
        <w:t>instrumentation, including metering, telemetry and remote terminal units</w:t>
      </w:r>
    </w:p>
    <w:p w:rsidR="007E6DE0" w:rsidRDefault="007E6DE0" w:rsidP="007E6DE0">
      <w:pPr>
        <w:pStyle w:val="AERbulletlistfirststyle"/>
      </w:pPr>
      <w:r>
        <w:t>pipeline hardware, including pipes, meter valves, regulators and fittings</w:t>
      </w:r>
    </w:p>
    <w:p w:rsidR="007E6DE0" w:rsidRDefault="007E6DE0" w:rsidP="007E6DE0">
      <w:pPr>
        <w:pStyle w:val="AERbulletlistfirststyle"/>
      </w:pPr>
      <w:r>
        <w:t>site capital improvements, such as fencing and security</w:t>
      </w:r>
    </w:p>
    <w:p w:rsidR="007E6DE0" w:rsidRDefault="007E6DE0" w:rsidP="007E6DE0">
      <w:pPr>
        <w:pStyle w:val="AERbulletlistfirststyle"/>
      </w:pPr>
      <w:proofErr w:type="gramStart"/>
      <w:r>
        <w:t>specialised</w:t>
      </w:r>
      <w:proofErr w:type="gramEnd"/>
      <w:r>
        <w:t xml:space="preserve"> major spares.</w:t>
      </w:r>
      <w:r w:rsidR="009B5667">
        <w:t xml:space="preserve"> </w:t>
      </w:r>
    </w:p>
    <w:p w:rsidR="000F45E6" w:rsidRDefault="009D725B" w:rsidP="009D725B">
      <w:r>
        <w:t>APTPPL has proposed replacement capex of $</w:t>
      </w:r>
      <w:r w:rsidR="003B4C3B">
        <w:t>17.7 million ($2016</w:t>
      </w:r>
      <w:r w:rsidR="003B4C3B" w:rsidRPr="00E40C29">
        <w:t>–</w:t>
      </w:r>
      <w:r w:rsidR="003B4C3B">
        <w:t xml:space="preserve">17) for the </w:t>
      </w:r>
      <w:r w:rsidR="00AE5BD7">
        <w:br/>
      </w:r>
      <w:r w:rsidR="003B4C3B">
        <w:t>2012</w:t>
      </w:r>
      <w:r w:rsidR="003B4C3B" w:rsidRPr="00E40C29">
        <w:t>–</w:t>
      </w:r>
      <w:r w:rsidR="003B4C3B">
        <w:t xml:space="preserve">17 access arrangement </w:t>
      </w:r>
      <w:proofErr w:type="gramStart"/>
      <w:r w:rsidR="003B4C3B">
        <w:t>period</w:t>
      </w:r>
      <w:proofErr w:type="gramEnd"/>
      <w:r w:rsidR="003B4C3B">
        <w:t>. In the previous access arrangement review, APTPPL did not propose, and the AER did not provide for, any replacement capex for the 2012</w:t>
      </w:r>
      <w:r w:rsidR="003B4C3B" w:rsidRPr="00E40C29">
        <w:t>–</w:t>
      </w:r>
      <w:r w:rsidR="003B4C3B">
        <w:t xml:space="preserve">17 access arrangement </w:t>
      </w:r>
      <w:proofErr w:type="gramStart"/>
      <w:r w:rsidR="003B4C3B">
        <w:t>period</w:t>
      </w:r>
      <w:proofErr w:type="gramEnd"/>
      <w:r w:rsidR="003B4C3B">
        <w:t xml:space="preserve">. </w:t>
      </w:r>
      <w:r w:rsidR="003E6E34">
        <w:t>However, during that period</w:t>
      </w:r>
      <w:r w:rsidR="003B4C3B">
        <w:t xml:space="preserve">, APTPPL spent </w:t>
      </w:r>
      <w:r w:rsidR="00C266ED">
        <w:t>$17.7 million ($2016</w:t>
      </w:r>
      <w:r w:rsidR="00C266ED" w:rsidRPr="00E40C29">
        <w:t>–</w:t>
      </w:r>
      <w:r w:rsidR="00C266ED">
        <w:t xml:space="preserve">17) in replacement capex on pipeline integrity management </w:t>
      </w:r>
      <w:r w:rsidR="005D1A8F">
        <w:t xml:space="preserve">activities </w:t>
      </w:r>
      <w:r w:rsidR="00C266ED">
        <w:t xml:space="preserve">and </w:t>
      </w:r>
      <w:r w:rsidR="009B5667">
        <w:t xml:space="preserve">its </w:t>
      </w:r>
      <w:r w:rsidR="00C266ED">
        <w:t>Aquarium Passage projec</w:t>
      </w:r>
      <w:r w:rsidR="003E6E34">
        <w:t>t</w:t>
      </w:r>
      <w:r w:rsidR="00AE5BD7">
        <w:t>. It proposed to include the capex for both of these projects</w:t>
      </w:r>
      <w:r w:rsidR="003E6E34">
        <w:t xml:space="preserve">, in the </w:t>
      </w:r>
      <w:r w:rsidR="0074044C">
        <w:t>opening capital base for the</w:t>
      </w:r>
      <w:r w:rsidR="003E6E34">
        <w:t xml:space="preserve"> </w:t>
      </w:r>
      <w:r w:rsidR="0074044C" w:rsidRPr="00B642B7">
        <w:t xml:space="preserve">2017–22 access arrangement </w:t>
      </w:r>
      <w:proofErr w:type="gramStart"/>
      <w:r w:rsidR="0074044C" w:rsidRPr="00B642B7">
        <w:t>period</w:t>
      </w:r>
      <w:proofErr w:type="gramEnd"/>
      <w:r w:rsidR="003E6E34">
        <w:t>.</w:t>
      </w:r>
      <w:r w:rsidR="00AE3EAD">
        <w:t xml:space="preserve"> Our assessment of this capex is discussed below.</w:t>
      </w:r>
    </w:p>
    <w:p w:rsidR="0076640E" w:rsidRDefault="00C266ED" w:rsidP="00E91560">
      <w:pPr>
        <w:pStyle w:val="HeadingBoldItalic"/>
      </w:pPr>
      <w:r>
        <w:t xml:space="preserve">Pipeline integrity management </w:t>
      </w:r>
      <w:r w:rsidR="0076640E">
        <w:t>activities</w:t>
      </w:r>
    </w:p>
    <w:p w:rsidR="00E4194A" w:rsidRDefault="003E6E34" w:rsidP="00C266ED">
      <w:r>
        <w:t xml:space="preserve">Most of the additional replacement capex incurred by </w:t>
      </w:r>
      <w:r w:rsidR="00FE5CAE">
        <w:t xml:space="preserve">APTPPL </w:t>
      </w:r>
      <w:r w:rsidR="0097215E">
        <w:t>during the 2012</w:t>
      </w:r>
      <w:r w:rsidR="0097215E" w:rsidRPr="00E40C29">
        <w:t>–</w:t>
      </w:r>
      <w:r w:rsidR="0097215E">
        <w:t xml:space="preserve">17 access arrangement </w:t>
      </w:r>
      <w:proofErr w:type="gramStart"/>
      <w:r w:rsidR="0097215E">
        <w:t>period</w:t>
      </w:r>
      <w:proofErr w:type="gramEnd"/>
      <w:r w:rsidR="0097215E">
        <w:t xml:space="preserve"> was for pipeline integrity management. </w:t>
      </w:r>
      <w:r w:rsidR="00B353D2">
        <w:t>A total of</w:t>
      </w:r>
      <w:r w:rsidR="006B03BC">
        <w:t xml:space="preserve"> $15.7 million ($2016</w:t>
      </w:r>
      <w:r w:rsidR="006B03BC" w:rsidRPr="00E40C29">
        <w:t>–</w:t>
      </w:r>
      <w:r w:rsidR="006B03BC">
        <w:t xml:space="preserve">17) was spent on pipeline excavations, upgrades to </w:t>
      </w:r>
      <w:proofErr w:type="spellStart"/>
      <w:r w:rsidR="006B03BC">
        <w:t>cathodic</w:t>
      </w:r>
      <w:proofErr w:type="spellEnd"/>
      <w:r w:rsidR="006B03BC">
        <w:t xml:space="preserve"> protection and other minor integrity management activities. A further $2.8 million ($2016</w:t>
      </w:r>
      <w:r w:rsidR="006B03BC" w:rsidRPr="00E40C29">
        <w:t>–</w:t>
      </w:r>
      <w:r w:rsidR="006B03BC">
        <w:t xml:space="preserve">17) was spent on inline inspections (classified as 'stay in business' capex). </w:t>
      </w:r>
      <w:r w:rsidR="00E4194A">
        <w:t xml:space="preserve"> </w:t>
      </w:r>
    </w:p>
    <w:p w:rsidR="00D36FF0" w:rsidRDefault="00D36FF0" w:rsidP="00C266ED">
      <w:r>
        <w:t>APTPPL submitted that the RBP</w:t>
      </w:r>
      <w:r w:rsidR="003E6E34">
        <w:t>'s</w:t>
      </w:r>
      <w:r>
        <w:t xml:space="preserve"> over-the-ditch tape coating system and age mean it requires significantly greater effort and expense in corrosion and integrity management than most other pipelines in Australia. </w:t>
      </w:r>
      <w:r w:rsidR="003E6E34">
        <w:t xml:space="preserve">APTPPL </w:t>
      </w:r>
      <w:r w:rsidR="0074044C">
        <w:t>submitted</w:t>
      </w:r>
      <w:r w:rsidR="003E6E34">
        <w:t xml:space="preserve"> that</w:t>
      </w:r>
      <w:r w:rsidR="00C2357E">
        <w:t>,</w:t>
      </w:r>
      <w:r w:rsidR="003E6E34">
        <w:t xml:space="preserve"> i</w:t>
      </w:r>
      <w:r>
        <w:t>f insufficiently managed</w:t>
      </w:r>
      <w:r w:rsidR="00C2357E">
        <w:t>,</w:t>
      </w:r>
      <w:r>
        <w:t xml:space="preserve"> the corrosion and integrity issues could lead to pipeline failures affecting both public </w:t>
      </w:r>
      <w:proofErr w:type="gramStart"/>
      <w:r>
        <w:t>safety</w:t>
      </w:r>
      <w:proofErr w:type="gramEnd"/>
      <w:r>
        <w:t>, given the pipeline traverses many populated areas, and security of supply to customers.</w:t>
      </w:r>
      <w:r>
        <w:rPr>
          <w:rStyle w:val="FootnoteReference"/>
        </w:rPr>
        <w:footnoteReference w:id="26"/>
      </w:r>
    </w:p>
    <w:p w:rsidR="00127004" w:rsidRDefault="00911542" w:rsidP="00C266ED">
      <w:r>
        <w:t xml:space="preserve">APTPPL submitted that </w:t>
      </w:r>
      <w:r w:rsidR="003E6E34">
        <w:t xml:space="preserve">the </w:t>
      </w:r>
      <w:r>
        <w:t>capex</w:t>
      </w:r>
      <w:r w:rsidR="003E6E34">
        <w:t xml:space="preserve"> incurred</w:t>
      </w:r>
      <w:r>
        <w:t xml:space="preserve"> resulted in a pipeline that was more resistant to metal loss and dents</w:t>
      </w:r>
      <w:r w:rsidR="003E6E34">
        <w:t>,</w:t>
      </w:r>
      <w:r w:rsidR="0074044C">
        <w:t xml:space="preserve"> </w:t>
      </w:r>
      <w:r w:rsidR="003E6E34">
        <w:t>thus</w:t>
      </w:r>
      <w:r>
        <w:t xml:space="preserve"> reduc</w:t>
      </w:r>
      <w:r w:rsidR="003E6E34">
        <w:t>ing</w:t>
      </w:r>
      <w:r>
        <w:t xml:space="preserve"> the risk of pipeline ruptures</w:t>
      </w:r>
      <w:r w:rsidR="0074044C">
        <w:t xml:space="preserve">. </w:t>
      </w:r>
      <w:r w:rsidR="00907D93">
        <w:t>C</w:t>
      </w:r>
      <w:r w:rsidR="003E6E34">
        <w:t>onsequently</w:t>
      </w:r>
      <w:r w:rsidR="00907D93">
        <w:t xml:space="preserve">, APTPPL considered the capex was required to </w:t>
      </w:r>
      <w:r>
        <w:t>improv</w:t>
      </w:r>
      <w:r w:rsidR="00907D93">
        <w:t>e</w:t>
      </w:r>
      <w:r>
        <w:t xml:space="preserve"> the integrity and safety of the pipeline.</w:t>
      </w:r>
      <w:r>
        <w:rPr>
          <w:rStyle w:val="FootnoteReference"/>
        </w:rPr>
        <w:footnoteReference w:id="27"/>
      </w:r>
      <w:r>
        <w:t xml:space="preserve"> </w:t>
      </w:r>
    </w:p>
    <w:p w:rsidR="00D36FF0" w:rsidRDefault="00EC527C" w:rsidP="00C266ED">
      <w:r>
        <w:t>APTPPL's integrity management programme is made up of three elements:</w:t>
      </w:r>
    </w:p>
    <w:p w:rsidR="00EC527C" w:rsidRDefault="00EC527C" w:rsidP="000255C1">
      <w:pPr>
        <w:pStyle w:val="ListNumber"/>
      </w:pPr>
      <w:r>
        <w:t>Systematic investigation of the integrity of the pipeline</w:t>
      </w:r>
      <w:r w:rsidR="00F66E58">
        <w:t xml:space="preserve"> through inline inspection</w:t>
      </w:r>
      <w:r>
        <w:t>;</w:t>
      </w:r>
    </w:p>
    <w:p w:rsidR="00EC527C" w:rsidRDefault="00EC527C" w:rsidP="000255C1">
      <w:pPr>
        <w:pStyle w:val="ListNumber"/>
      </w:pPr>
      <w:r>
        <w:t>Detailed investigation and upgrades at specific locations through excavations</w:t>
      </w:r>
    </w:p>
    <w:p w:rsidR="00EC527C" w:rsidRDefault="00EC527C" w:rsidP="000255C1">
      <w:pPr>
        <w:pStyle w:val="ListNumber"/>
      </w:pPr>
      <w:r>
        <w:t xml:space="preserve">Monitoring and upgrading of integrity devices such as </w:t>
      </w:r>
      <w:proofErr w:type="spellStart"/>
      <w:r>
        <w:t>cathodic</w:t>
      </w:r>
      <w:proofErr w:type="spellEnd"/>
      <w:r>
        <w:t xml:space="preserve"> protection.</w:t>
      </w:r>
    </w:p>
    <w:p w:rsidR="00954311" w:rsidRDefault="00FE5CAE" w:rsidP="00954311">
      <w:r>
        <w:t>Inline inspection activities accounted for $2.8 million ($2016</w:t>
      </w:r>
      <w:r w:rsidRPr="00E40C29">
        <w:t>–</w:t>
      </w:r>
      <w:r>
        <w:t>17) of capex (</w:t>
      </w:r>
      <w:r w:rsidR="00B14A71">
        <w:t xml:space="preserve">this activity is </w:t>
      </w:r>
      <w:r>
        <w:t xml:space="preserve">classified as </w:t>
      </w:r>
      <w:r w:rsidR="00B14A71">
        <w:t>'</w:t>
      </w:r>
      <w:r>
        <w:t>stay in business</w:t>
      </w:r>
      <w:r w:rsidR="00B14A71">
        <w:t>'</w:t>
      </w:r>
      <w:r>
        <w:t xml:space="preserve"> capex</w:t>
      </w:r>
      <w:r w:rsidR="00B14A71">
        <w:t>, which is further discussed in the following section)</w:t>
      </w:r>
      <w:r>
        <w:t xml:space="preserve">. </w:t>
      </w:r>
      <w:r w:rsidR="00954311">
        <w:t>APTPPL has a national policy and sched</w:t>
      </w:r>
      <w:r w:rsidR="001A1693">
        <w:t xml:space="preserve">ule for </w:t>
      </w:r>
      <w:r w:rsidR="00907D93">
        <w:t>inline inspection</w:t>
      </w:r>
      <w:r w:rsidR="00954311">
        <w:t xml:space="preserve">, consistent with its statutory obligations. The RBP is designated in the Queensland Petroleum and Gas (Production and Safety) Regulation 2004 as a 'Strategic Pipeline'. Under this Regulation, all pipeline segments comprising the RBP licence are required to </w:t>
      </w:r>
      <w:r w:rsidR="003E6E34">
        <w:t>undergo</w:t>
      </w:r>
      <w:r w:rsidR="00954311">
        <w:t xml:space="preserve"> </w:t>
      </w:r>
      <w:r w:rsidR="00907D93">
        <w:t xml:space="preserve">inline inspection </w:t>
      </w:r>
      <w:r w:rsidR="00954311">
        <w:t>within the first 7 years of operation, and at least once within every 10</w:t>
      </w:r>
      <w:r w:rsidR="00C2357E">
        <w:noBreakHyphen/>
      </w:r>
      <w:r w:rsidR="00954311">
        <w:t xml:space="preserve">year period after that. </w:t>
      </w:r>
    </w:p>
    <w:p w:rsidR="00717D54" w:rsidRDefault="00717D54" w:rsidP="00C266ED">
      <w:r>
        <w:t>APTPPL submitted that the 2014</w:t>
      </w:r>
      <w:r w:rsidRPr="00E40C29">
        <w:t>–</w:t>
      </w:r>
      <w:r w:rsidR="0052107F">
        <w:t>15 and 2011</w:t>
      </w:r>
      <w:r>
        <w:t xml:space="preserve"> </w:t>
      </w:r>
      <w:r w:rsidR="00DC4D3B">
        <w:t xml:space="preserve">inline inspection </w:t>
      </w:r>
      <w:r>
        <w:t>results pointed to deterioration in the health of the pipeline</w:t>
      </w:r>
      <w:r w:rsidR="00907D93">
        <w:t>. Consequently</w:t>
      </w:r>
      <w:r>
        <w:t xml:space="preserve"> APTPPL increased its excavations and integrity upgrades</w:t>
      </w:r>
      <w:r w:rsidR="00694EC7">
        <w:t xml:space="preserve"> during the </w:t>
      </w:r>
      <w:r w:rsidR="00694EC7" w:rsidRPr="00694EC7">
        <w:t xml:space="preserve">2012–17 access arrangement </w:t>
      </w:r>
      <w:proofErr w:type="gramStart"/>
      <w:r w:rsidR="00694EC7" w:rsidRPr="00694EC7">
        <w:t>period</w:t>
      </w:r>
      <w:proofErr w:type="gramEnd"/>
      <w:r w:rsidR="00694EC7">
        <w:t xml:space="preserve">, incurring an additional </w:t>
      </w:r>
      <w:r w:rsidR="00694EC7" w:rsidRPr="00694EC7">
        <w:t>$12.1 million ($2016–17) for excavations and integrity upgrades</w:t>
      </w:r>
      <w:r>
        <w:t xml:space="preserve">. </w:t>
      </w:r>
      <w:r w:rsidR="00907D93">
        <w:t xml:space="preserve">APTPPL undertook </w:t>
      </w:r>
      <w:r w:rsidR="00B14A71">
        <w:t>35</w:t>
      </w:r>
      <w:r>
        <w:t xml:space="preserve"> excavations in 2014</w:t>
      </w:r>
      <w:r w:rsidRPr="00E40C29">
        <w:t>–</w:t>
      </w:r>
      <w:r>
        <w:t>15 and 75 in 2015</w:t>
      </w:r>
      <w:r w:rsidRPr="00E40C29">
        <w:t>–</w:t>
      </w:r>
      <w:r>
        <w:t xml:space="preserve">16 (including </w:t>
      </w:r>
      <w:r w:rsidR="00907D93">
        <w:t xml:space="preserve">inline inspection </w:t>
      </w:r>
      <w:r>
        <w:t xml:space="preserve">verification). </w:t>
      </w:r>
      <w:r w:rsidR="00694EC7">
        <w:t xml:space="preserve">These excavations were </w:t>
      </w:r>
      <w:r>
        <w:t xml:space="preserve">primarily </w:t>
      </w:r>
      <w:r w:rsidR="00694EC7">
        <w:t xml:space="preserve">to </w:t>
      </w:r>
      <w:r>
        <w:t xml:space="preserve">address dents and metal loss features </w:t>
      </w:r>
      <w:r w:rsidR="00694EC7">
        <w:t xml:space="preserve">that </w:t>
      </w:r>
      <w:r>
        <w:t xml:space="preserve">may have caused restrictions in maximum operating pressure, </w:t>
      </w:r>
      <w:r w:rsidR="00907D93">
        <w:t xml:space="preserve">because </w:t>
      </w:r>
      <w:r>
        <w:t xml:space="preserve">these represented a more present risk to the </w:t>
      </w:r>
      <w:r w:rsidR="00853E2B">
        <w:t xml:space="preserve">integrity and </w:t>
      </w:r>
      <w:r>
        <w:t>safety of the pipeline.</w:t>
      </w:r>
      <w:r w:rsidR="00206F00">
        <w:rPr>
          <w:rStyle w:val="FootnoteReference"/>
        </w:rPr>
        <w:footnoteReference w:id="28"/>
      </w:r>
      <w:r>
        <w:t xml:space="preserve"> </w:t>
      </w:r>
    </w:p>
    <w:p w:rsidR="00954311" w:rsidRDefault="00206F00" w:rsidP="00C266ED">
      <w:r>
        <w:t>APTPPL</w:t>
      </w:r>
      <w:r w:rsidR="0076640E">
        <w:t xml:space="preserve"> also</w:t>
      </w:r>
      <w:r>
        <w:t xml:space="preserve"> incurred $</w:t>
      </w:r>
      <w:r w:rsidR="006B03BC">
        <w:t>3</w:t>
      </w:r>
      <w:r>
        <w:t>.</w:t>
      </w:r>
      <w:r w:rsidR="00B14A71">
        <w:t xml:space="preserve">3 </w:t>
      </w:r>
      <w:r>
        <w:t>million ($2016</w:t>
      </w:r>
      <w:r w:rsidRPr="00E40C29">
        <w:t>–</w:t>
      </w:r>
      <w:r>
        <w:t xml:space="preserve">17) for </w:t>
      </w:r>
      <w:proofErr w:type="spellStart"/>
      <w:r>
        <w:t>cathodic</w:t>
      </w:r>
      <w:proofErr w:type="spellEnd"/>
      <w:r>
        <w:t xml:space="preserve"> protection upgrades in the 2012</w:t>
      </w:r>
      <w:r w:rsidRPr="00E40C29">
        <w:t>–</w:t>
      </w:r>
      <w:r>
        <w:t xml:space="preserve">17 access arrangement </w:t>
      </w:r>
      <w:proofErr w:type="gramStart"/>
      <w:r>
        <w:t>period</w:t>
      </w:r>
      <w:proofErr w:type="gramEnd"/>
      <w:r>
        <w:t xml:space="preserve">. The RBP's primary mitigation against corrosion risk is a protective coating. The secondary mitigation for a buried pipeline is the use of a </w:t>
      </w:r>
      <w:proofErr w:type="spellStart"/>
      <w:r>
        <w:t>cathodic</w:t>
      </w:r>
      <w:proofErr w:type="spellEnd"/>
      <w:r>
        <w:t xml:space="preserve"> protection system. As </w:t>
      </w:r>
      <w:r w:rsidR="00864573">
        <w:t xml:space="preserve">the protective </w:t>
      </w:r>
      <w:r>
        <w:t>coating deteriorate</w:t>
      </w:r>
      <w:r w:rsidR="003762EF">
        <w:t>s</w:t>
      </w:r>
      <w:r>
        <w:t xml:space="preserve"> over time, the </w:t>
      </w:r>
      <w:proofErr w:type="spellStart"/>
      <w:r>
        <w:t>cathodic</w:t>
      </w:r>
      <w:proofErr w:type="spellEnd"/>
      <w:r>
        <w:t xml:space="preserve"> protection system becomes the dominant method of preventing/minimising corrosion.</w:t>
      </w:r>
      <w:r w:rsidR="00B14A71">
        <w:t xml:space="preserve"> APTPPL incurred a further $0.2 million </w:t>
      </w:r>
      <w:r w:rsidR="00B14A71" w:rsidRPr="00694EC7">
        <w:t>($2016–17</w:t>
      </w:r>
      <w:r w:rsidR="00B14A71">
        <w:t xml:space="preserve">) in other capex, which included acquiring an easement for </w:t>
      </w:r>
      <w:proofErr w:type="spellStart"/>
      <w:r w:rsidR="00B14A71">
        <w:t>cathodic</w:t>
      </w:r>
      <w:proofErr w:type="spellEnd"/>
      <w:r w:rsidR="00B14A71">
        <w:t xml:space="preserve"> protection and the Integrity Data Management Tool software system. </w:t>
      </w:r>
    </w:p>
    <w:p w:rsidR="00B14A71" w:rsidRDefault="00B14A71" w:rsidP="00B14A71">
      <w:r>
        <w:t xml:space="preserve">We agree that management of corrosion and pipeline integrity is important in order to maintain safety and ensure security of gas supply. We consider that APTPPL has appropriately undertaken inline inspection during the current access arrangement period, as required by statutory obligations. </w:t>
      </w:r>
      <w:r w:rsidR="00DE36B0">
        <w:t xml:space="preserve">The inline inspection has revealed an unexpected degree of damage to the pipeline, which has subsequently resulted in a significant increase in capex. </w:t>
      </w:r>
      <w:r w:rsidR="0081404E">
        <w:t xml:space="preserve">We consider that APTPPL has acted prudently and in accordance with AS2885.3 by undertaking excavations to repair the defects identified by inline inspection. We consider that it was necessary to undertake the excavations and repairs during the </w:t>
      </w:r>
      <w:r w:rsidR="0081404E" w:rsidRPr="00515A97">
        <w:t>2012–17 access arrangem</w:t>
      </w:r>
      <w:r w:rsidR="0081404E">
        <w:t xml:space="preserve">ent </w:t>
      </w:r>
      <w:proofErr w:type="gramStart"/>
      <w:r w:rsidR="0081404E">
        <w:t>period</w:t>
      </w:r>
      <w:proofErr w:type="gramEnd"/>
      <w:r w:rsidR="0081404E">
        <w:t xml:space="preserve"> given the risks to the integrity and safety of the pipeline. </w:t>
      </w:r>
    </w:p>
    <w:p w:rsidR="00B14A71" w:rsidRDefault="00B14A71" w:rsidP="00C266ED">
      <w:r>
        <w:t>We are satisfied that</w:t>
      </w:r>
      <w:r w:rsidRPr="00B14A71">
        <w:t xml:space="preserve"> APTPPL's capex of $18.5 million ($2016–17) for pipeline integrity management activities </w:t>
      </w:r>
      <w:r>
        <w:t xml:space="preserve">in the </w:t>
      </w:r>
      <w:r w:rsidRPr="00B14A71">
        <w:t xml:space="preserve">2012–17 access arrangement </w:t>
      </w:r>
      <w:proofErr w:type="gramStart"/>
      <w:r w:rsidRPr="00B14A71">
        <w:t>period</w:t>
      </w:r>
      <w:proofErr w:type="gramEnd"/>
      <w:r>
        <w:t xml:space="preserve"> </w:t>
      </w:r>
      <w:r w:rsidRPr="00B14A71">
        <w:t>is conforming capex.</w:t>
      </w:r>
      <w:r w:rsidRPr="00B14A71">
        <w:rPr>
          <w:rStyle w:val="FootnoteReference"/>
        </w:rPr>
        <w:footnoteReference w:id="29"/>
      </w:r>
      <w:r w:rsidRPr="00B14A71">
        <w:t xml:space="preserve"> </w:t>
      </w:r>
    </w:p>
    <w:p w:rsidR="00C266ED" w:rsidRDefault="00C266ED" w:rsidP="00E91560">
      <w:pPr>
        <w:pStyle w:val="HeadingBoldItalic"/>
      </w:pPr>
      <w:r>
        <w:t>Aquarium Passage project</w:t>
      </w:r>
    </w:p>
    <w:p w:rsidR="002A45E8" w:rsidRDefault="002A45E8" w:rsidP="00DF179D">
      <w:r>
        <w:t xml:space="preserve">The Lytton Lateral is a 200mm pipeline, 6km in length, which was constructed and commissioned in 2010. </w:t>
      </w:r>
      <w:r w:rsidR="00032547">
        <w:t>APTPPL submitted that</w:t>
      </w:r>
      <w:r w:rsidR="00E863DC">
        <w:t>,</w:t>
      </w:r>
      <w:r w:rsidR="00032547">
        <w:t xml:space="preserve"> during </w:t>
      </w:r>
      <w:r>
        <w:t>construction</w:t>
      </w:r>
      <w:r w:rsidR="00E863DC">
        <w:t xml:space="preserve"> of the pipeline,</w:t>
      </w:r>
      <w:r>
        <w:t xml:space="preserve"> </w:t>
      </w:r>
      <w:r w:rsidR="00E863DC">
        <w:t xml:space="preserve">it could not complete </w:t>
      </w:r>
      <w:r>
        <w:t>the planned crossing of the Aquarium Passage watercourse as designed</w:t>
      </w:r>
      <w:r w:rsidR="001E63BA">
        <w:t xml:space="preserve"> due to delays in the Works Permit and Environmental Authority issuing relevant approval.</w:t>
      </w:r>
      <w:r w:rsidR="00E466B4">
        <w:t xml:space="preserve"> </w:t>
      </w:r>
      <w:r w:rsidR="00DF179D">
        <w:t xml:space="preserve">Consequently it installed </w:t>
      </w:r>
      <w:r w:rsidR="00E466B4" w:rsidRPr="00E466B4">
        <w:t xml:space="preserve">a temporary </w:t>
      </w:r>
      <w:r w:rsidR="00B00406">
        <w:t xml:space="preserve">100mm </w:t>
      </w:r>
      <w:r w:rsidR="00E466B4" w:rsidRPr="00E466B4">
        <w:t>crossing</w:t>
      </w:r>
      <w:r w:rsidR="00BE07B0">
        <w:t xml:space="preserve"> with a short design life</w:t>
      </w:r>
      <w:r w:rsidR="00E466B4">
        <w:t xml:space="preserve"> </w:t>
      </w:r>
      <w:r>
        <w:t>to meet customer schedule requirements</w:t>
      </w:r>
      <w:r w:rsidR="00E466B4">
        <w:t>.</w:t>
      </w:r>
      <w:r w:rsidR="00E863DC">
        <w:t xml:space="preserve"> </w:t>
      </w:r>
      <w:r>
        <w:t>The Aquarium Passage project replaced the temporary crossing with a permanent 200mm crossing</w:t>
      </w:r>
      <w:r w:rsidR="00BE07B0">
        <w:t xml:space="preserve">, which allowed </w:t>
      </w:r>
      <w:r>
        <w:t>required inline inspection</w:t>
      </w:r>
      <w:r w:rsidR="00BE07B0">
        <w:t>s to</w:t>
      </w:r>
      <w:r>
        <w:t xml:space="preserve"> be </w:t>
      </w:r>
      <w:r w:rsidR="00680462">
        <w:t xml:space="preserve">undertaken </w:t>
      </w:r>
      <w:r>
        <w:t>on the Lytton Lateral</w:t>
      </w:r>
      <w:r w:rsidR="00BE07B0">
        <w:t>. APTPPL claims this will</w:t>
      </w:r>
      <w:r>
        <w:t xml:space="preserve"> ensure its integrity for the design lifetime.</w:t>
      </w:r>
      <w:r>
        <w:rPr>
          <w:rStyle w:val="FootnoteReference"/>
        </w:rPr>
        <w:footnoteReference w:id="30"/>
      </w:r>
      <w:r w:rsidR="00680462">
        <w:t xml:space="preserve"> </w:t>
      </w:r>
      <w:r w:rsidR="001E63BA">
        <w:t xml:space="preserve">Prior to the construction of the current pipeline, the long term integrity of the </w:t>
      </w:r>
      <w:r w:rsidR="00B00406">
        <w:t>crossing</w:t>
      </w:r>
      <w:r w:rsidR="001E63BA">
        <w:t xml:space="preserve"> was difficult to determine. </w:t>
      </w:r>
    </w:p>
    <w:p w:rsidR="007F6264" w:rsidRDefault="0066131C" w:rsidP="00C266ED">
      <w:r>
        <w:t xml:space="preserve">The Queensland Petroleum and Gas (Production and Safety) Act and Regulations designate the RBP, inclusive of laterals such as the Lytton Lateral, as a Strategic Pipeline. </w:t>
      </w:r>
      <w:r w:rsidR="00DF179D">
        <w:t>The legislation specifically requires s</w:t>
      </w:r>
      <w:r>
        <w:t>trategic pipelines to be inspected by inline inspection within seven years of commissioning.</w:t>
      </w:r>
      <w:r>
        <w:rPr>
          <w:rStyle w:val="FootnoteReference"/>
        </w:rPr>
        <w:footnoteReference w:id="31"/>
      </w:r>
      <w:r w:rsidR="00127004">
        <w:t xml:space="preserve"> APTPPL submitted that the Aquarium Passage upgrade was necessary in order to comply with the Act in the required timeframe.</w:t>
      </w:r>
      <w:r w:rsidR="00127004">
        <w:rPr>
          <w:rStyle w:val="FootnoteReference"/>
        </w:rPr>
        <w:footnoteReference w:id="32"/>
      </w:r>
      <w:r w:rsidR="00127004">
        <w:t xml:space="preserve"> </w:t>
      </w:r>
      <w:r>
        <w:t xml:space="preserve">  </w:t>
      </w:r>
      <w:r w:rsidR="002A45E8">
        <w:t xml:space="preserve"> </w:t>
      </w:r>
    </w:p>
    <w:p w:rsidR="00886470" w:rsidRDefault="00886470" w:rsidP="00886470">
      <w:r>
        <w:t>APTPPL submitted that it completed the Aquarium Passage project in 2014</w:t>
      </w:r>
      <w:r w:rsidRPr="00E40C29">
        <w:t>–</w:t>
      </w:r>
      <w:r>
        <w:t>15 at a cost of $2</w:t>
      </w:r>
      <w:r w:rsidR="001E63BA">
        <w:t>.0</w:t>
      </w:r>
      <w:r>
        <w:t xml:space="preserve"> million ($2016</w:t>
      </w:r>
      <w:r w:rsidRPr="00E40C29">
        <w:t>–</w:t>
      </w:r>
      <w:r>
        <w:t>17)</w:t>
      </w:r>
      <w:r w:rsidR="004E741A">
        <w:t xml:space="preserve">, and </w:t>
      </w:r>
      <w:r>
        <w:t>that if the capex for the Aquarium Passage was added to that of the Lytton Lateral, the total capex would still satisfy the requirements of the NGR.</w:t>
      </w:r>
      <w:r>
        <w:rPr>
          <w:rStyle w:val="FootnoteReference"/>
        </w:rPr>
        <w:footnoteReference w:id="33"/>
      </w:r>
      <w:r>
        <w:t xml:space="preserve"> That is, the demand for the service was such that the revenue gained in the period up to the reconstruction of the Aquarium Passage Crossing exceeded the cost of the project.</w:t>
      </w:r>
    </w:p>
    <w:p w:rsidR="00032547" w:rsidRDefault="007F6264" w:rsidP="002D13C5">
      <w:r>
        <w:t xml:space="preserve">Based on our review of the information submitted by APTPPL in support of the Aquarium Passage project, </w:t>
      </w:r>
      <w:r w:rsidR="001E63BA">
        <w:t xml:space="preserve">including the NPV analysis of the initial Lytton Lateral cost plus the Aquarium Passage crossing cost, </w:t>
      </w:r>
      <w:r>
        <w:t>we</w:t>
      </w:r>
      <w:r w:rsidR="00E23BAC">
        <w:t xml:space="preserve"> believe this expenditure is </w:t>
      </w:r>
      <w:r w:rsidR="001E63BA">
        <w:t>prudent and efficient.</w:t>
      </w:r>
      <w:r>
        <w:t xml:space="preserve"> </w:t>
      </w:r>
      <w:r w:rsidR="00E23BAC">
        <w:t xml:space="preserve">We are </w:t>
      </w:r>
      <w:r>
        <w:t xml:space="preserve">satisfied that </w:t>
      </w:r>
      <w:r w:rsidR="0062215F">
        <w:t xml:space="preserve">this amount is </w:t>
      </w:r>
      <w:r w:rsidR="00DF179D" w:rsidRPr="00DF179D">
        <w:t>such as would be incurred by a prudent service provider acting efficiently</w:t>
      </w:r>
      <w:r w:rsidR="002D13C5">
        <w:rPr>
          <w:rStyle w:val="FootnoteReference"/>
        </w:rPr>
        <w:footnoteReference w:id="34"/>
      </w:r>
      <w:r w:rsidR="002D13C5">
        <w:t xml:space="preserve"> </w:t>
      </w:r>
      <w:r w:rsidR="0062215F">
        <w:t xml:space="preserve">and is </w:t>
      </w:r>
      <w:r w:rsidR="002D13C5">
        <w:t xml:space="preserve">necessary to </w:t>
      </w:r>
      <w:r w:rsidR="002D13C5" w:rsidRPr="002D13C5">
        <w:t>comply with a regulatory obligation</w:t>
      </w:r>
      <w:r w:rsidR="002D13C5">
        <w:t xml:space="preserve"> or requirement.</w:t>
      </w:r>
      <w:r w:rsidR="002D13C5">
        <w:rPr>
          <w:rStyle w:val="FootnoteReference"/>
        </w:rPr>
        <w:footnoteReference w:id="35"/>
      </w:r>
      <w:r w:rsidR="0062215F">
        <w:t xml:space="preserve"> </w:t>
      </w:r>
      <w:r w:rsidR="002D13C5">
        <w:t xml:space="preserve">Consequently we are satisfied </w:t>
      </w:r>
      <w:r w:rsidR="00886470">
        <w:t>APTPPL's actual capex of $2</w:t>
      </w:r>
      <w:r w:rsidR="0097215E">
        <w:t>.0</w:t>
      </w:r>
      <w:r w:rsidR="00886470">
        <w:t xml:space="preserve"> million ($2016</w:t>
      </w:r>
      <w:r w:rsidR="00886470" w:rsidRPr="00E40C29">
        <w:t>–</w:t>
      </w:r>
      <w:r w:rsidR="00886470">
        <w:t>17) in the 2012</w:t>
      </w:r>
      <w:r w:rsidR="00886470" w:rsidRPr="00E40C29">
        <w:t>–</w:t>
      </w:r>
      <w:r w:rsidR="00886470">
        <w:t xml:space="preserve">17 access arrangement period </w:t>
      </w:r>
      <w:r w:rsidR="002D13C5">
        <w:t>meets the new capex criteria</w:t>
      </w:r>
      <w:r w:rsidR="00886470">
        <w:t>.</w:t>
      </w:r>
    </w:p>
    <w:p w:rsidR="00FD2016" w:rsidRDefault="00FD2016" w:rsidP="00515A97">
      <w:pPr>
        <w:pStyle w:val="HeadingBoldBlue"/>
      </w:pPr>
      <w:bookmarkStart w:id="51" w:name="_Toc476651844"/>
      <w:bookmarkStart w:id="52" w:name="_Toc486851827"/>
      <w:r>
        <w:t>Stay in business capex</w:t>
      </w:r>
      <w:bookmarkEnd w:id="51"/>
      <w:bookmarkEnd w:id="52"/>
    </w:p>
    <w:p w:rsidR="007E6DE0" w:rsidRPr="000D6D51" w:rsidRDefault="007E6DE0" w:rsidP="007E6DE0">
      <w:r>
        <w:t xml:space="preserve">Stay in business capex includes routine capital activities targeted at maintaining the necessary pipeline services. </w:t>
      </w:r>
    </w:p>
    <w:p w:rsidR="003B4C3B" w:rsidRDefault="003B4C3B" w:rsidP="003B4C3B">
      <w:r>
        <w:t>APTPPL has proposed</w:t>
      </w:r>
      <w:r w:rsidR="00340E01">
        <w:t xml:space="preserve"> stay in business capex of $45.9</w:t>
      </w:r>
      <w:r>
        <w:t xml:space="preserve"> million ($2016</w:t>
      </w:r>
      <w:r w:rsidRPr="00E40C29">
        <w:t>–</w:t>
      </w:r>
      <w:r>
        <w:t>17) for the 2012</w:t>
      </w:r>
      <w:r w:rsidRPr="00E40C29">
        <w:t>–</w:t>
      </w:r>
      <w:r>
        <w:t xml:space="preserve">17 access arrangement </w:t>
      </w:r>
      <w:proofErr w:type="gramStart"/>
      <w:r>
        <w:t>period</w:t>
      </w:r>
      <w:proofErr w:type="gramEnd"/>
      <w:r>
        <w:t xml:space="preserve">. </w:t>
      </w:r>
      <w:r w:rsidR="00C30A26">
        <w:t>In the previous access arrangement review, APTPPL proposed, and the AER provided for, stay in business capex of $20.1 million ($2016</w:t>
      </w:r>
      <w:r w:rsidR="00C30A26" w:rsidRPr="00E40C29">
        <w:t>–</w:t>
      </w:r>
      <w:r w:rsidR="00C30A26">
        <w:t>17) for the 2012</w:t>
      </w:r>
      <w:r w:rsidR="00C30A26" w:rsidRPr="00E40C29">
        <w:t>–</w:t>
      </w:r>
      <w:r w:rsidR="00C30A26">
        <w:t xml:space="preserve">17 access arrangement </w:t>
      </w:r>
      <w:proofErr w:type="gramStart"/>
      <w:r w:rsidR="00C30A26">
        <w:t>period</w:t>
      </w:r>
      <w:proofErr w:type="gramEnd"/>
      <w:r w:rsidR="00C30A26">
        <w:t>. APTPPL spent</w:t>
      </w:r>
      <w:r w:rsidR="00E23BAC">
        <w:t xml:space="preserve"> </w:t>
      </w:r>
      <w:r w:rsidR="00C30A26">
        <w:t>stay in business capex on</w:t>
      </w:r>
      <w:r w:rsidR="00175CD7">
        <w:t xml:space="preserve"> projects discussed below.</w:t>
      </w:r>
    </w:p>
    <w:p w:rsidR="00C30A26" w:rsidRDefault="00C30A26" w:rsidP="00E91560">
      <w:pPr>
        <w:pStyle w:val="HeadingBoldItalic"/>
      </w:pPr>
      <w:r>
        <w:t>Bi-</w:t>
      </w:r>
      <w:r w:rsidR="002950DE">
        <w:t>d</w:t>
      </w:r>
      <w:r>
        <w:t xml:space="preserve">irectional </w:t>
      </w:r>
      <w:r w:rsidR="002950DE">
        <w:t>f</w:t>
      </w:r>
      <w:r>
        <w:t xml:space="preserve">low </w:t>
      </w:r>
      <w:r w:rsidR="002950DE">
        <w:t>u</w:t>
      </w:r>
      <w:r>
        <w:t>pgrade</w:t>
      </w:r>
    </w:p>
    <w:p w:rsidR="00C566D4" w:rsidRDefault="00C566D4" w:rsidP="00C566D4">
      <w:r>
        <w:t>I</w:t>
      </w:r>
      <w:r w:rsidR="00FE1727">
        <w:t>n 2014–</w:t>
      </w:r>
      <w:r>
        <w:t xml:space="preserve">15 APTPPL commenced capex to modify its pipework to facilitate westbound flows. Previously APTPPL's RBP licence did not permit westbound flows </w:t>
      </w:r>
      <w:r w:rsidR="002D13C5">
        <w:t xml:space="preserve">because </w:t>
      </w:r>
      <w:r>
        <w:t xml:space="preserve">APTPPL designed its pipework and associated equipment </w:t>
      </w:r>
      <w:r w:rsidR="00DC4D3B">
        <w:t xml:space="preserve">only </w:t>
      </w:r>
      <w:r>
        <w:t>for eastbound flows.</w:t>
      </w:r>
      <w:r>
        <w:rPr>
          <w:rStyle w:val="FootnoteReference"/>
        </w:rPr>
        <w:footnoteReference w:id="36"/>
      </w:r>
      <w:r>
        <w:t xml:space="preserve"> The bi</w:t>
      </w:r>
      <w:r w:rsidR="000C43A8">
        <w:t>-</w:t>
      </w:r>
      <w:r>
        <w:t xml:space="preserve">direction capex </w:t>
      </w:r>
      <w:r w:rsidR="007016C4">
        <w:t xml:space="preserve">was designed to </w:t>
      </w:r>
      <w:r>
        <w:t>provide 120 TJ of westbound capacity</w:t>
      </w:r>
      <w:r w:rsidR="00E00404">
        <w:t xml:space="preserve"> per day</w:t>
      </w:r>
      <w:r>
        <w:t>. The total capital cost was $8.4 million ($2016–17).</w:t>
      </w:r>
      <w:r w:rsidR="006116FB">
        <w:t xml:space="preserve"> This project would provide APTPPL's customers with extra flexibility and options.</w:t>
      </w:r>
      <w:r w:rsidR="006116FB">
        <w:rPr>
          <w:rStyle w:val="FootnoteReference"/>
        </w:rPr>
        <w:footnoteReference w:id="37"/>
      </w:r>
    </w:p>
    <w:p w:rsidR="00C566D4" w:rsidRDefault="00C566D4" w:rsidP="00C566D4">
      <w:r>
        <w:t xml:space="preserve">APTPPL considered </w:t>
      </w:r>
      <w:r w:rsidR="00FE1727">
        <w:t xml:space="preserve">that </w:t>
      </w:r>
      <w:r>
        <w:t xml:space="preserve">this project satisfied </w:t>
      </w:r>
      <w:r w:rsidR="002D13C5">
        <w:t xml:space="preserve">the new capex criteria </w:t>
      </w:r>
      <w:r>
        <w:t>because it was NPV positive.</w:t>
      </w:r>
      <w:r w:rsidR="002D13C5">
        <w:rPr>
          <w:rStyle w:val="FootnoteReference"/>
        </w:rPr>
        <w:footnoteReference w:id="38"/>
      </w:r>
      <w:r>
        <w:t xml:space="preserve"> APTPPL noted that since the pipeline has been in operation, actual demand has exceeded the minimum demand </w:t>
      </w:r>
      <w:r w:rsidR="00FE1727">
        <w:t xml:space="preserve">necessary </w:t>
      </w:r>
      <w:r>
        <w:t>for the project to break</w:t>
      </w:r>
      <w:r w:rsidR="00F87B4D">
        <w:t xml:space="preserve"> </w:t>
      </w:r>
      <w:r>
        <w:t>even</w:t>
      </w:r>
      <w:r w:rsidR="00FE1727">
        <w:t xml:space="preserve"> over the two years APTPPL </w:t>
      </w:r>
      <w:r w:rsidR="00636410">
        <w:t xml:space="preserve">has </w:t>
      </w:r>
      <w:r w:rsidR="00FE1727">
        <w:t>offered this service</w:t>
      </w:r>
      <w:r>
        <w:t>.</w:t>
      </w:r>
      <w:r>
        <w:rPr>
          <w:rStyle w:val="FootnoteReference"/>
        </w:rPr>
        <w:footnoteReference w:id="39"/>
      </w:r>
    </w:p>
    <w:p w:rsidR="00D72DA9" w:rsidRDefault="00C566D4" w:rsidP="00C566D4">
      <w:r>
        <w:t>We have assessed APTPPL's actual demand, forecast demand and NPV analysis. We are satisfied that the overall economic value of the expenditure is positive</w:t>
      </w:r>
      <w:r w:rsidR="00E23BAC">
        <w:t xml:space="preserve">, mainly </w:t>
      </w:r>
      <w:r>
        <w:t>because</w:t>
      </w:r>
      <w:r w:rsidR="00C2357E">
        <w:t>,</w:t>
      </w:r>
      <w:r>
        <w:t xml:space="preserve"> </w:t>
      </w:r>
      <w:r w:rsidR="00E23BAC" w:rsidRPr="00E23BAC">
        <w:t>since the first delivery in October 2015</w:t>
      </w:r>
      <w:r w:rsidR="00E23BAC">
        <w:t xml:space="preserve">, </w:t>
      </w:r>
      <w:r w:rsidR="00455F74">
        <w:t xml:space="preserve">the average </w:t>
      </w:r>
      <w:r w:rsidR="00E00404">
        <w:t xml:space="preserve">daily </w:t>
      </w:r>
      <w:r w:rsidR="00455F74">
        <w:t>quantity of gas purchased on the westbound gas service exceeds the minimum threshold of demand for the project to be NPV positive.</w:t>
      </w:r>
      <w:r w:rsidR="007016C4">
        <w:t xml:space="preserve"> </w:t>
      </w:r>
      <w:r w:rsidR="00455F74">
        <w:t xml:space="preserve">Further, demand data </w:t>
      </w:r>
      <w:r w:rsidR="0081230C">
        <w:t xml:space="preserve">provided by APTPPL </w:t>
      </w:r>
      <w:r w:rsidR="00455F74">
        <w:t>f</w:t>
      </w:r>
      <w:r w:rsidR="0067293E">
        <w:t>or the period</w:t>
      </w:r>
      <w:r w:rsidR="00455F74">
        <w:t xml:space="preserve"> October 2015 to June 2016</w:t>
      </w:r>
      <w:r w:rsidR="00455F74">
        <w:rPr>
          <w:rStyle w:val="FootnoteReference"/>
        </w:rPr>
        <w:footnoteReference w:id="40"/>
      </w:r>
      <w:r w:rsidR="00BE1D0D">
        <w:t xml:space="preserve"> </w:t>
      </w:r>
      <w:r w:rsidR="0081230C">
        <w:t xml:space="preserve">indicates demand for the westbound service is sufficiently high to allow APTPPL to </w:t>
      </w:r>
      <w:r w:rsidR="00455F74">
        <w:t>nearly fully recover the capital cost of this project during the current access arrangement period.</w:t>
      </w:r>
      <w:r w:rsidR="00D72DA9">
        <w:t xml:space="preserve"> </w:t>
      </w:r>
      <w:r w:rsidR="0081230C">
        <w:t>This is sufficient evidence to support the conclusion that APTPPL's bi-directional flow project is prudent and is NPV positive. Therefore,</w:t>
      </w:r>
      <w:r w:rsidR="00A55B5A">
        <w:t xml:space="preserve"> w</w:t>
      </w:r>
      <w:r w:rsidR="00D72DA9">
        <w:t xml:space="preserve">e </w:t>
      </w:r>
      <w:r w:rsidR="002D13C5">
        <w:t xml:space="preserve">are satisfied that </w:t>
      </w:r>
      <w:r w:rsidR="0081230C">
        <w:t xml:space="preserve">this </w:t>
      </w:r>
      <w:r w:rsidR="00D72DA9">
        <w:t xml:space="preserve">project </w:t>
      </w:r>
      <w:r w:rsidR="002D13C5">
        <w:t>meets the new capex criteria</w:t>
      </w:r>
      <w:r w:rsidR="00D72DA9">
        <w:t>.</w:t>
      </w:r>
      <w:r w:rsidR="002950DE">
        <w:rPr>
          <w:rStyle w:val="FootnoteReference"/>
        </w:rPr>
        <w:footnoteReference w:id="41"/>
      </w:r>
      <w:r w:rsidR="00D72DA9">
        <w:t xml:space="preserve"> </w:t>
      </w:r>
    </w:p>
    <w:p w:rsidR="00E4194A" w:rsidRDefault="0067293E" w:rsidP="0067293E">
      <w:r>
        <w:t xml:space="preserve">We note that in some circumstances, we may reduce the amount of conforming capex </w:t>
      </w:r>
      <w:r w:rsidR="002950DE">
        <w:t xml:space="preserve">we </w:t>
      </w:r>
      <w:r>
        <w:t xml:space="preserve">roll into the </w:t>
      </w:r>
      <w:r w:rsidR="002950DE">
        <w:t xml:space="preserve">capital base </w:t>
      </w:r>
      <w:r>
        <w:t>if there has been a capital contribution.</w:t>
      </w:r>
      <w:r w:rsidR="002950DE">
        <w:rPr>
          <w:rStyle w:val="FootnoteReference"/>
        </w:rPr>
        <w:footnoteReference w:id="42"/>
      </w:r>
      <w:r>
        <w:t xml:space="preserve"> </w:t>
      </w:r>
      <w:r w:rsidR="000B319F">
        <w:t xml:space="preserve">We sought information from APTPPL about the revenues it has recovered for this project and it </w:t>
      </w:r>
      <w:r w:rsidR="005C6284">
        <w:t>informed us that no capital contributions have been made</w:t>
      </w:r>
      <w:r w:rsidR="000B319F">
        <w:t>.</w:t>
      </w:r>
      <w:r w:rsidR="000B266D">
        <w:rPr>
          <w:rStyle w:val="FootnoteReference"/>
        </w:rPr>
        <w:footnoteReference w:id="43"/>
      </w:r>
    </w:p>
    <w:p w:rsidR="0067293E" w:rsidRDefault="00B11112" w:rsidP="0067293E">
      <w:r>
        <w:t>As a consequence</w:t>
      </w:r>
      <w:r w:rsidR="0067293E">
        <w:t xml:space="preserve">, </w:t>
      </w:r>
      <w:r w:rsidR="00DC64A9">
        <w:t xml:space="preserve">we are satisfied that </w:t>
      </w:r>
      <w:r w:rsidR="0067293E">
        <w:t xml:space="preserve">users </w:t>
      </w:r>
      <w:r w:rsidR="000B319F">
        <w:t xml:space="preserve">did not </w:t>
      </w:r>
      <w:r w:rsidR="0067293E">
        <w:t>enter into an agreement or understanding to make capital contributions. Rather</w:t>
      </w:r>
      <w:r w:rsidR="00E4194A">
        <w:t>,</w:t>
      </w:r>
      <w:r w:rsidR="0067293E">
        <w:t xml:space="preserve"> users</w:t>
      </w:r>
      <w:r w:rsidR="002950DE">
        <w:t xml:space="preserve"> paid the applicable service charge to </w:t>
      </w:r>
      <w:r w:rsidR="0067293E">
        <w:t>use the westbound service once it was commissioned.</w:t>
      </w:r>
    </w:p>
    <w:p w:rsidR="00C566D4" w:rsidRDefault="0067293E" w:rsidP="00C566D4">
      <w:r>
        <w:t xml:space="preserve">In these particular circumstances, this means APTPPL will likely over-recover the capital cost of this service. </w:t>
      </w:r>
      <w:r w:rsidR="00A55B5A">
        <w:t>This is</w:t>
      </w:r>
      <w:r w:rsidR="00D72DA9">
        <w:t xml:space="preserve"> because the gross revenue </w:t>
      </w:r>
      <w:r w:rsidR="00A55B5A">
        <w:t>received for the westbound service during the current access arrangement period</w:t>
      </w:r>
      <w:r w:rsidR="009C03AA">
        <w:t>, some of which contributes to APTPPL's capital costs,</w:t>
      </w:r>
      <w:r w:rsidR="00D72DA9">
        <w:t xml:space="preserve"> does not </w:t>
      </w:r>
      <w:r>
        <w:t>reduce</w:t>
      </w:r>
      <w:r w:rsidR="009C03AA">
        <w:t xml:space="preserve"> the</w:t>
      </w:r>
      <w:r w:rsidR="00636410">
        <w:t xml:space="preserve"> amount of</w:t>
      </w:r>
      <w:r w:rsidR="00D72DA9">
        <w:t xml:space="preserve"> conforming capex </w:t>
      </w:r>
      <w:r w:rsidR="009C03AA">
        <w:t>we roll</w:t>
      </w:r>
      <w:r w:rsidR="00D72DA9">
        <w:t xml:space="preserve"> into the</w:t>
      </w:r>
      <w:r w:rsidR="00636410">
        <w:t xml:space="preserve"> opening</w:t>
      </w:r>
      <w:r w:rsidR="00D72DA9">
        <w:t xml:space="preserve"> </w:t>
      </w:r>
      <w:r w:rsidR="002950DE">
        <w:t>capital base</w:t>
      </w:r>
      <w:r w:rsidR="00D72DA9">
        <w:t>.</w:t>
      </w:r>
      <w:r w:rsidR="00A55B5A">
        <w:t xml:space="preserve"> </w:t>
      </w:r>
      <w:r w:rsidR="00636410">
        <w:t xml:space="preserve">Therefore, all of the $8.4 million </w:t>
      </w:r>
      <w:r w:rsidR="009F7E27">
        <w:t>in</w:t>
      </w:r>
      <w:r w:rsidR="00636410">
        <w:t xml:space="preserve"> capex will be included when determining the regulated tariff for the next period despite APTPPL already recovering a significant portion of this capex in service fees charged during the current period.</w:t>
      </w:r>
    </w:p>
    <w:p w:rsidR="00C566D4" w:rsidRDefault="0067293E" w:rsidP="00C566D4">
      <w:r>
        <w:t xml:space="preserve">The incentive </w:t>
      </w:r>
      <w:r w:rsidR="00C566D4">
        <w:t>regulat</w:t>
      </w:r>
      <w:r>
        <w:t>ion</w:t>
      </w:r>
      <w:r w:rsidR="00C566D4">
        <w:t xml:space="preserve"> </w:t>
      </w:r>
      <w:r>
        <w:t>framework provided in the NGR encourages NSPs</w:t>
      </w:r>
      <w:r w:rsidR="00C566D4">
        <w:t xml:space="preserve"> to identify and invest in new services valued by its customers. Unless there is a capital contribution</w:t>
      </w:r>
      <w:r w:rsidR="00DC2208">
        <w:t xml:space="preserve"> by a user</w:t>
      </w:r>
      <w:r w:rsidR="00C566D4">
        <w:t>, APTPPL bears the full risk of investing in new services. If APTPPL invests in a new service that is not financially viable,</w:t>
      </w:r>
      <w:r w:rsidR="00FA51E8">
        <w:t xml:space="preserve"> the capex would not be conforming capex and would not be added to its capital base. In this case</w:t>
      </w:r>
      <w:r w:rsidR="00C566D4">
        <w:t xml:space="preserve"> it </w:t>
      </w:r>
      <w:r w:rsidR="00FA51E8">
        <w:t xml:space="preserve">would not </w:t>
      </w:r>
      <w:r w:rsidR="00C566D4">
        <w:t xml:space="preserve">be able to recoup these costs from its customers and </w:t>
      </w:r>
      <w:r w:rsidR="00FA51E8">
        <w:t xml:space="preserve">would </w:t>
      </w:r>
      <w:r w:rsidR="00C566D4">
        <w:t xml:space="preserve">bear the full cost of this investment. </w:t>
      </w:r>
    </w:p>
    <w:p w:rsidR="00C566D4" w:rsidRDefault="00C566D4" w:rsidP="00C566D4">
      <w:r>
        <w:t xml:space="preserve">In this circumstance, the risk APTPPL undertook in providing this new </w:t>
      </w:r>
      <w:r w:rsidR="0067293E">
        <w:t xml:space="preserve">westbound </w:t>
      </w:r>
      <w:r>
        <w:t>service has resulted in capex that has provided APTPPL with a new revenue source. If there is no reward for investing in new services where the overall economic value is positive then APTPPL will have a lower incentive to pursue new services such the bi</w:t>
      </w:r>
      <w:r w:rsidR="002950DE">
        <w:noBreakHyphen/>
      </w:r>
      <w:r>
        <w:t>direction project.</w:t>
      </w:r>
    </w:p>
    <w:p w:rsidR="00A62E01" w:rsidRDefault="00C566D4" w:rsidP="00A62E01">
      <w:r>
        <w:t>Alternatively, APTPPL and its customers can undertake risk sharing of new capex projects that result in new services</w:t>
      </w:r>
      <w:r w:rsidR="00A21D02">
        <w:t>, through capital contributions.</w:t>
      </w:r>
      <w:r w:rsidR="002950DE">
        <w:rPr>
          <w:rStyle w:val="FootnoteReference"/>
        </w:rPr>
        <w:footnoteReference w:id="44"/>
      </w:r>
      <w:r w:rsidR="00A62E01" w:rsidRPr="00A62E01">
        <w:t xml:space="preserve"> </w:t>
      </w:r>
    </w:p>
    <w:p w:rsidR="00A62E01" w:rsidRDefault="00A62E01" w:rsidP="00A62E01">
      <w:r>
        <w:t xml:space="preserve">We also note that, despite the potential for over-recovery, all customers on APTPPL's network will benefit from the additional demand from the westbound service. This is because the westbound service accounts for </w:t>
      </w:r>
      <w:r w:rsidR="002507CF">
        <w:t>over 30</w:t>
      </w:r>
      <w:r w:rsidR="00603389">
        <w:t xml:space="preserve"> per cent</w:t>
      </w:r>
      <w:r>
        <w:t xml:space="preserve"> of our alternative 2017–22 average forecast demand. As a result of this new service, tariffs are </w:t>
      </w:r>
      <w:r w:rsidR="002507CF">
        <w:t xml:space="preserve">over 10 per cent </w:t>
      </w:r>
      <w:r>
        <w:t xml:space="preserve">lower </w:t>
      </w:r>
      <w:r w:rsidR="00471479">
        <w:t xml:space="preserve">than they would have been without the westbound service, </w:t>
      </w:r>
      <w:r>
        <w:t>because APTPPL will recover revenue from a higher level of demand.</w:t>
      </w:r>
    </w:p>
    <w:p w:rsidR="002B3B0D" w:rsidRDefault="00765E42" w:rsidP="00E91560">
      <w:pPr>
        <w:pStyle w:val="HeadingBoldItalic"/>
      </w:pPr>
      <w:r>
        <w:t>Emergency works (flood recovery)</w:t>
      </w:r>
    </w:p>
    <w:p w:rsidR="006B3F36" w:rsidRDefault="006B3F36" w:rsidP="006B3F36">
      <w:r>
        <w:t xml:space="preserve">APTPPL submitted that it incurred flood related capital expenditure in 2013 and 2014 </w:t>
      </w:r>
      <w:r w:rsidR="00E00404">
        <w:t xml:space="preserve">following floods </w:t>
      </w:r>
      <w:r>
        <w:t>at Marburg Range, Sandy Creek and Toowoomba Escarpment.</w:t>
      </w:r>
      <w:r>
        <w:rPr>
          <w:rStyle w:val="FootnoteReference"/>
        </w:rPr>
        <w:footnoteReference w:id="45"/>
      </w:r>
      <w:r>
        <w:t xml:space="preserve"> </w:t>
      </w:r>
      <w:r w:rsidR="00B43B90">
        <w:t>A</w:t>
      </w:r>
      <w:r>
        <w:t>fter deduc</w:t>
      </w:r>
      <w:r w:rsidR="00B049B1">
        <w:t>ting insurance proceeds</w:t>
      </w:r>
      <w:r w:rsidR="00B43B90">
        <w:t xml:space="preserve">, net </w:t>
      </w:r>
      <w:r w:rsidR="002950DE">
        <w:t>capex</w:t>
      </w:r>
      <w:r w:rsidR="00B049B1">
        <w:t xml:space="preserve"> was $7.8</w:t>
      </w:r>
      <w:r>
        <w:t xml:space="preserve"> million</w:t>
      </w:r>
      <w:r w:rsidR="00B049B1">
        <w:t xml:space="preserve"> ($2016–17)</w:t>
      </w:r>
      <w:r>
        <w:t>.</w:t>
      </w:r>
    </w:p>
    <w:p w:rsidR="006B3F36" w:rsidRDefault="006B3F36" w:rsidP="006B3F36">
      <w:r>
        <w:t>APTPPL also submitted that this capex was necessary to maintain the safety and integrity of services.</w:t>
      </w:r>
      <w:r>
        <w:rPr>
          <w:rStyle w:val="FootnoteReference"/>
        </w:rPr>
        <w:footnoteReference w:id="46"/>
      </w:r>
    </w:p>
    <w:p w:rsidR="006B3F36" w:rsidRDefault="006B3F36" w:rsidP="006B3F36">
      <w:r>
        <w:t>APTPPL provided detailed information on its flood repair works undertaken at each site</w:t>
      </w:r>
      <w:r w:rsidR="00B43B90">
        <w:t>, noting</w:t>
      </w:r>
      <w:r>
        <w:t xml:space="preserve"> that these flood repair works w</w:t>
      </w:r>
      <w:r w:rsidR="00DC2208">
        <w:t>ere</w:t>
      </w:r>
      <w:r>
        <w:t xml:space="preserve"> consistent with its flood repairs in 2010 and 2011.</w:t>
      </w:r>
      <w:r>
        <w:rPr>
          <w:rStyle w:val="FootnoteReference"/>
        </w:rPr>
        <w:footnoteReference w:id="47"/>
      </w:r>
    </w:p>
    <w:p w:rsidR="006B3F36" w:rsidRDefault="006B3F36" w:rsidP="006B3F36">
      <w:r>
        <w:t xml:space="preserve">We requested further information </w:t>
      </w:r>
      <w:r w:rsidR="00B43B90">
        <w:t xml:space="preserve">about </w:t>
      </w:r>
      <w:r>
        <w:t>why APTPPL classified this expenditure as capex rather than opex. In response, APTPPL noted that the nature of the expenditure was capex rather than opex.</w:t>
      </w:r>
      <w:r>
        <w:rPr>
          <w:rStyle w:val="FootnoteReference"/>
        </w:rPr>
        <w:footnoteReference w:id="48"/>
      </w:r>
      <w:r w:rsidR="00B43B90">
        <w:t xml:space="preserve"> </w:t>
      </w:r>
      <w:r w:rsidR="00DC64A9">
        <w:t>APTPPL did not further elaborate on why the expenditure was classified as capex instead of opex.</w:t>
      </w:r>
    </w:p>
    <w:p w:rsidR="006B3F36" w:rsidRDefault="006B3F36" w:rsidP="006B3F36">
      <w:r>
        <w:t>We note APTPPL previously</w:t>
      </w:r>
      <w:r w:rsidR="00B43B90">
        <w:t xml:space="preserve"> </w:t>
      </w:r>
      <w:r>
        <w:t xml:space="preserve">treated flood related costs as opex. In its 2011 base year opex forecast APTPPL removed some of the flood related costs in incurred in 2011. APTPPL anticipated that it would recover </w:t>
      </w:r>
      <w:r w:rsidR="00F226AD">
        <w:t xml:space="preserve">the </w:t>
      </w:r>
      <w:r>
        <w:t xml:space="preserve">majority of its flood related costs </w:t>
      </w:r>
      <w:r w:rsidR="00F226AD">
        <w:t xml:space="preserve">through </w:t>
      </w:r>
      <w:r>
        <w:t>insurance except for ordinary labour costs.</w:t>
      </w:r>
      <w:r w:rsidRPr="00BD0B9A">
        <w:rPr>
          <w:rStyle w:val="FootnoteReference"/>
        </w:rPr>
        <w:t xml:space="preserve"> </w:t>
      </w:r>
      <w:r>
        <w:rPr>
          <w:rStyle w:val="FootnoteReference"/>
        </w:rPr>
        <w:footnoteReference w:id="49"/>
      </w:r>
      <w:r>
        <w:t xml:space="preserve"> </w:t>
      </w:r>
      <w:r w:rsidR="00DC64A9">
        <w:t xml:space="preserve">APTPPL left the remaining flood costs in its base year opex. </w:t>
      </w:r>
    </w:p>
    <w:p w:rsidR="006B3F36" w:rsidRDefault="00E81831" w:rsidP="006B3F36">
      <w:r>
        <w:t xml:space="preserve">APTPPL has historically treated </w:t>
      </w:r>
      <w:r w:rsidR="006B3F36">
        <w:t xml:space="preserve">flood related costs </w:t>
      </w:r>
      <w:r>
        <w:t>as opex</w:t>
      </w:r>
      <w:r w:rsidR="006E1AE8">
        <w:t>. We consider that</w:t>
      </w:r>
      <w:r>
        <w:t xml:space="preserve"> its opex allowance for the </w:t>
      </w:r>
      <w:r w:rsidR="006B3F36">
        <w:t xml:space="preserve">2012–17 </w:t>
      </w:r>
      <w:r>
        <w:t xml:space="preserve">access arrangement </w:t>
      </w:r>
      <w:proofErr w:type="gramStart"/>
      <w:r>
        <w:t>period</w:t>
      </w:r>
      <w:proofErr w:type="gramEnd"/>
      <w:r>
        <w:t xml:space="preserve"> </w:t>
      </w:r>
      <w:r w:rsidR="0044171F">
        <w:t xml:space="preserve">was </w:t>
      </w:r>
      <w:r>
        <w:t>sufficient to cover flood related expenses</w:t>
      </w:r>
      <w:r w:rsidR="006B3F36">
        <w:t>.</w:t>
      </w:r>
    </w:p>
    <w:p w:rsidR="006B3F36" w:rsidRDefault="006B3F36" w:rsidP="006B3F36">
      <w:r>
        <w:t>We have also compared the repair works undertaken in the previous access arrangement period to the current access arrangement period and we consider these works are</w:t>
      </w:r>
      <w:r w:rsidR="00A21D02">
        <w:t xml:space="preserve"> of a</w:t>
      </w:r>
      <w:r>
        <w:t xml:space="preserve"> similar nature. For example, APTPPL stabilised the flooded areas and lowered the pipeline trench at Rocky Creek in 2011 and Sandy Creek in 2013.</w:t>
      </w:r>
      <w:r>
        <w:rPr>
          <w:rStyle w:val="FootnoteReference"/>
        </w:rPr>
        <w:footnoteReference w:id="50"/>
      </w:r>
    </w:p>
    <w:p w:rsidR="006B3F36" w:rsidRDefault="006B3F36" w:rsidP="006B3F36">
      <w:r>
        <w:t>Based on this information, we consider APTPPL has reclassified flood related costs from opex to capex during the current access arrangement period.</w:t>
      </w:r>
      <w:r w:rsidR="00B43B90">
        <w:t xml:space="preserve"> </w:t>
      </w:r>
      <w:r>
        <w:t xml:space="preserve">Since APTPPL has already received flood related costs </w:t>
      </w:r>
      <w:r w:rsidR="003C46EF">
        <w:t>in</w:t>
      </w:r>
      <w:r>
        <w:t xml:space="preserve"> its 2012–17 opex forecast we do not consider the proposed 2012–17 flood related capex </w:t>
      </w:r>
      <w:r w:rsidR="00E81831">
        <w:t>satisfies the new capex criteria</w:t>
      </w:r>
      <w:r w:rsidR="00CB3BE8">
        <w:t>.</w:t>
      </w:r>
      <w:r w:rsidR="00E81831">
        <w:rPr>
          <w:rStyle w:val="FootnoteReference"/>
        </w:rPr>
        <w:footnoteReference w:id="51"/>
      </w:r>
      <w:r w:rsidR="00CB3BE8">
        <w:t xml:space="preserve"> </w:t>
      </w:r>
    </w:p>
    <w:p w:rsidR="00C30A26" w:rsidRDefault="00C20B0D" w:rsidP="00E91560">
      <w:pPr>
        <w:pStyle w:val="HeadingBoldItalic"/>
      </w:pPr>
      <w:r>
        <w:t>Urban risk reduction</w:t>
      </w:r>
    </w:p>
    <w:p w:rsidR="00D242E5" w:rsidRDefault="00D242E5" w:rsidP="002B3B0D">
      <w:r>
        <w:t>APTPPL submitted that since the time of construction (of the Brisbane metropolitan section of the RBP), significant development has occurred in the Brisbane outskirts</w:t>
      </w:r>
      <w:r w:rsidR="00E81831">
        <w:t>. Consequently</w:t>
      </w:r>
      <w:r>
        <w:t>, parts of the pipeline that were originally in rural areas are now surrounded by dense urban areas.</w:t>
      </w:r>
      <w:r w:rsidR="00B01FBC">
        <w:rPr>
          <w:rStyle w:val="FootnoteReference"/>
        </w:rPr>
        <w:footnoteReference w:id="52"/>
      </w:r>
      <w:r w:rsidR="00F87B4D">
        <w:t xml:space="preserve"> </w:t>
      </w:r>
    </w:p>
    <w:p w:rsidR="0005461A" w:rsidRDefault="0005461A" w:rsidP="0005461A">
      <w:r>
        <w:t xml:space="preserve">APTPPL </w:t>
      </w:r>
      <w:r w:rsidR="003C46EF">
        <w:t xml:space="preserve">expects that it has incurred </w:t>
      </w:r>
      <w:r>
        <w:t>capex of $8.</w:t>
      </w:r>
      <w:r w:rsidR="00B00406">
        <w:t xml:space="preserve">2 </w:t>
      </w:r>
      <w:r>
        <w:t>million ($2016</w:t>
      </w:r>
      <w:r w:rsidRPr="00E40C29">
        <w:t>–</w:t>
      </w:r>
      <w:r>
        <w:t>17) for the urban risk reduction project in the 2012</w:t>
      </w:r>
      <w:r w:rsidRPr="00E40C29">
        <w:t>–</w:t>
      </w:r>
      <w:r>
        <w:t xml:space="preserve">17 access arrangement </w:t>
      </w:r>
      <w:proofErr w:type="gramStart"/>
      <w:r>
        <w:t>period</w:t>
      </w:r>
      <w:proofErr w:type="gramEnd"/>
      <w:r>
        <w:t>. A further $2.9</w:t>
      </w:r>
      <w:r w:rsidR="00E81831">
        <w:t> </w:t>
      </w:r>
      <w:r>
        <w:t>million ($2016</w:t>
      </w:r>
      <w:r w:rsidRPr="00E40C29">
        <w:t>–</w:t>
      </w:r>
      <w:r>
        <w:t>17) is forecast for this project in the 2017</w:t>
      </w:r>
      <w:r w:rsidRPr="00E40C29">
        <w:t>–</w:t>
      </w:r>
      <w:r>
        <w:t xml:space="preserve">22 access arrangement </w:t>
      </w:r>
      <w:proofErr w:type="gramStart"/>
      <w:r>
        <w:t>period</w:t>
      </w:r>
      <w:proofErr w:type="gramEnd"/>
      <w:r>
        <w:t xml:space="preserve">. </w:t>
      </w:r>
    </w:p>
    <w:p w:rsidR="0005461A" w:rsidRDefault="0005461A" w:rsidP="0005461A">
      <w:r>
        <w:t>APTPPL submitted that th</w:t>
      </w:r>
      <w:r w:rsidR="003C46EF">
        <w:t>is</w:t>
      </w:r>
      <w:r>
        <w:t xml:space="preserve"> capex is necessary to </w:t>
      </w:r>
      <w:r w:rsidR="003C46EF">
        <w:t>reduce the risk (frequency and consequence) of the pipeline rupture to a level that is compliant with the industry standard AS2885 and therefore</w:t>
      </w:r>
      <w:r w:rsidR="00E81831">
        <w:t xml:space="preserve"> meets the new capex criteria</w:t>
      </w:r>
      <w:r>
        <w:t>.</w:t>
      </w:r>
      <w:r>
        <w:rPr>
          <w:rStyle w:val="FootnoteReference"/>
        </w:rPr>
        <w:footnoteReference w:id="53"/>
      </w:r>
      <w:r>
        <w:t xml:space="preserve"> </w:t>
      </w:r>
    </w:p>
    <w:p w:rsidR="006F73BF" w:rsidRDefault="00C20B0D" w:rsidP="00C20B0D">
      <w:r>
        <w:t xml:space="preserve">AS2885 applies to the design, construction and operation of natural gas transmission pipelines. </w:t>
      </w:r>
      <w:r w:rsidR="00992F64">
        <w:t xml:space="preserve">The </w:t>
      </w:r>
      <w:r>
        <w:t>standard</w:t>
      </w:r>
      <w:r w:rsidR="006F73BF">
        <w:t xml:space="preserve"> sets out the requirements for locations of particular sensitivity called </w:t>
      </w:r>
      <w:r w:rsidR="00E81831">
        <w:t>h</w:t>
      </w:r>
      <w:r w:rsidR="006F73BF">
        <w:t xml:space="preserve">igh </w:t>
      </w:r>
      <w:r w:rsidR="00E81831">
        <w:t>c</w:t>
      </w:r>
      <w:r w:rsidR="006F73BF">
        <w:t xml:space="preserve">onsequence </w:t>
      </w:r>
      <w:r w:rsidR="00E81831">
        <w:t>a</w:t>
      </w:r>
      <w:r w:rsidR="006F73BF">
        <w:t>reas.</w:t>
      </w:r>
      <w:r w:rsidR="006F73BF">
        <w:rPr>
          <w:rStyle w:val="FootnoteReference"/>
        </w:rPr>
        <w:footnoteReference w:id="54"/>
      </w:r>
      <w:r w:rsidR="006F73BF">
        <w:t xml:space="preserve"> In </w:t>
      </w:r>
      <w:r w:rsidR="00E81831">
        <w:t>high consequence areas '</w:t>
      </w:r>
      <w:r w:rsidR="006F73BF">
        <w:t>the pipeline shall be designed such that rupture is not a credible failure mode</w:t>
      </w:r>
      <w:r w:rsidR="00600597">
        <w:t>'</w:t>
      </w:r>
      <w:r w:rsidR="006F73BF">
        <w:t xml:space="preserve">. The standard also requires that pipelines in </w:t>
      </w:r>
      <w:r w:rsidR="00E81831">
        <w:t xml:space="preserve">high consequence areas </w:t>
      </w:r>
      <w:r w:rsidR="006F73BF">
        <w:t>meet certain specific technical requirements in relation to specific types of risks and consequences.</w:t>
      </w:r>
      <w:r w:rsidR="006F73BF">
        <w:rPr>
          <w:rStyle w:val="FootnoteReference"/>
        </w:rPr>
        <w:footnoteReference w:id="55"/>
      </w:r>
      <w:r>
        <w:t xml:space="preserve"> </w:t>
      </w:r>
    </w:p>
    <w:p w:rsidR="00992F64" w:rsidRDefault="00992F64" w:rsidP="002B3B0D">
      <w:r>
        <w:t>For existing pipelines, the standard requires that they are assessed against the requirements of Clauses 4.7.2 and 4.7.3, which set out the criteria for "no rupture" and maximum energy release rate in high consequence areas. Where existing pipelines do not comply with either clause, mitigation options must be assessed in accordance with Clause 4.7.4</w:t>
      </w:r>
      <w:r w:rsidR="00873A35">
        <w:t>.</w:t>
      </w:r>
      <w:r w:rsidR="00823D47">
        <w:rPr>
          <w:rStyle w:val="FootnoteReference"/>
        </w:rPr>
        <w:footnoteReference w:id="56"/>
      </w:r>
      <w:r>
        <w:t xml:space="preserve"> The change was first introduced in the 2007 revision of AS2885.1.  </w:t>
      </w:r>
    </w:p>
    <w:p w:rsidR="00992F64" w:rsidRDefault="00992F64" w:rsidP="002B3B0D">
      <w:r>
        <w:t>APTPPL submitted that it first considered the retrospective high consequence area requirements in the 2010 RBP safety management study review (the first full review in the 5-yearly cycle since the 2007</w:t>
      </w:r>
      <w:r w:rsidR="00823D47">
        <w:t xml:space="preserve"> release of AS2885.1). It was shown in that review that the rupture risk in high consequence areas was no higher than Intermediate, and </w:t>
      </w:r>
      <w:r w:rsidR="00873A35">
        <w:t>'as low as reasonably practicable' (</w:t>
      </w:r>
      <w:r w:rsidR="00823D47">
        <w:t>ALARP</w:t>
      </w:r>
      <w:r w:rsidR="00873A35">
        <w:t>)</w:t>
      </w:r>
      <w:r w:rsidR="00823D47">
        <w:t xml:space="preserve"> was demonstrated by a 'maximum justifiable spend' analysis, which was considered the industry standard at that time. That analysis determined that capital costs for effective mitigation would greatly exceed the maximum justifiable spend.</w:t>
      </w:r>
      <w:r w:rsidR="00873A35">
        <w:rPr>
          <w:rStyle w:val="FootnoteReference"/>
        </w:rPr>
        <w:footnoteReference w:id="57"/>
      </w:r>
    </w:p>
    <w:p w:rsidR="00C20B0D" w:rsidRDefault="00873A35" w:rsidP="002B3B0D">
      <w:r>
        <w:t>APPTPPL carried out further safety management study reviews of the RBP through 2014 (for the Metro section) and 2015 (for the remainder of the RBP)</w:t>
      </w:r>
      <w:proofErr w:type="gramStart"/>
      <w:r>
        <w:t>,</w:t>
      </w:r>
      <w:proofErr w:type="gramEnd"/>
      <w:r>
        <w:t xml:space="preserve"> with an important focus on the high consequence area requirements of AS2885.1. </w:t>
      </w:r>
      <w:r w:rsidR="00D242E5">
        <w:t xml:space="preserve">APTPPL </w:t>
      </w:r>
      <w:r w:rsidR="00C20B0D">
        <w:t>submitted that the AS</w:t>
      </w:r>
      <w:r w:rsidR="00D242E5">
        <w:t xml:space="preserve">2885 safety management process required them to carry out an options study to reduce the risk to demonstrably </w:t>
      </w:r>
      <w:r>
        <w:t xml:space="preserve">ALARP </w:t>
      </w:r>
      <w:r w:rsidR="00D242E5">
        <w:t xml:space="preserve">where there have been land use changes around an existing pipeline. </w:t>
      </w:r>
    </w:p>
    <w:p w:rsidR="00E21477" w:rsidRDefault="00D242E5" w:rsidP="002B3B0D">
      <w:r>
        <w:t>The ALARP study assessed a range of options and identified a preferred solution.</w:t>
      </w:r>
      <w:r w:rsidR="00C20B0D">
        <w:t xml:space="preserve"> </w:t>
      </w:r>
      <w:r>
        <w:t xml:space="preserve">The chosen solution combines maximum operating pressure reduction (where it is feasible) and physical protection (barriers). </w:t>
      </w:r>
      <w:r w:rsidR="00E21477">
        <w:t xml:space="preserve">The </w:t>
      </w:r>
      <w:r w:rsidR="00E81831">
        <w:t xml:space="preserve">maximum operating pressure </w:t>
      </w:r>
      <w:r w:rsidR="00E21477">
        <w:t>reduction is to be achieved by</w:t>
      </w:r>
      <w:r w:rsidR="0005461A">
        <w:t xml:space="preserve"> constructing</w:t>
      </w:r>
      <w:r w:rsidR="00E21477">
        <w:t>:</w:t>
      </w:r>
    </w:p>
    <w:p w:rsidR="00E21477" w:rsidRDefault="00E21477" w:rsidP="00E21477">
      <w:pPr>
        <w:pStyle w:val="AERbulletlistfirststyle"/>
      </w:pPr>
      <w:r>
        <w:t xml:space="preserve">an additional regulating station at </w:t>
      </w:r>
      <w:proofErr w:type="spellStart"/>
      <w:r>
        <w:t>Brightview</w:t>
      </w:r>
      <w:proofErr w:type="spellEnd"/>
      <w:r>
        <w:t xml:space="preserve"> on the 250mm and 400mm lines</w:t>
      </w:r>
    </w:p>
    <w:p w:rsidR="00E21477" w:rsidRDefault="00E21477" w:rsidP="00E21477">
      <w:pPr>
        <w:pStyle w:val="AERbulletlistfirststyle"/>
      </w:pPr>
      <w:r>
        <w:t xml:space="preserve">an additional mainline valve at Ellengrove on the 300mm pipeline to enable the upstream section to run at a lower </w:t>
      </w:r>
      <w:r w:rsidR="00E81831">
        <w:t>maximum operating pressure</w:t>
      </w:r>
    </w:p>
    <w:p w:rsidR="00E21477" w:rsidRDefault="00E21477" w:rsidP="00E21477">
      <w:pPr>
        <w:pStyle w:val="AERbulletlistfirststyle"/>
      </w:pPr>
      <w:proofErr w:type="gramStart"/>
      <w:r>
        <w:t>a</w:t>
      </w:r>
      <w:proofErr w:type="gramEnd"/>
      <w:r>
        <w:t xml:space="preserve"> new regulating station at Eight Mile Plains or Mt Gravatt to manage the downstream pressures. This location maximises the length of pipeline covered by the </w:t>
      </w:r>
      <w:r w:rsidR="00E81831">
        <w:t xml:space="preserve">maximum operating pressure </w:t>
      </w:r>
      <w:r>
        <w:t>reduction in order to minimise the slab protection requirements.</w:t>
      </w:r>
    </w:p>
    <w:p w:rsidR="00387525" w:rsidRDefault="00E21477" w:rsidP="00E21477">
      <w:r>
        <w:t xml:space="preserve">Where </w:t>
      </w:r>
      <w:r w:rsidR="00E81831">
        <w:t xml:space="preserve">maximum operating pressure </w:t>
      </w:r>
      <w:r>
        <w:t xml:space="preserve">reduction is not possible then physical </w:t>
      </w:r>
      <w:r w:rsidR="00387525">
        <w:t>protection barriers (pipeline concrete slab or equivalent) will be constructed at the following locations:</w:t>
      </w:r>
    </w:p>
    <w:p w:rsidR="00387525" w:rsidRDefault="00387525" w:rsidP="00387525">
      <w:pPr>
        <w:pStyle w:val="AERbulletlistfirststyle"/>
      </w:pPr>
      <w:r>
        <w:t xml:space="preserve">All </w:t>
      </w:r>
      <w:r w:rsidR="006762EF">
        <w:t>high consequence area</w:t>
      </w:r>
      <w:r w:rsidR="00600597">
        <w:t>s</w:t>
      </w:r>
      <w:r w:rsidR="006762EF">
        <w:t xml:space="preserve"> </w:t>
      </w:r>
      <w:r>
        <w:t>where excavator and auger access is credible, including road reserve, parkland and private properties (other than suburban residential yards), throughout the Ellengrove to Eight Mile Plains section of the metro pipeline. Approximately 7.7km of barrier protection is required.</w:t>
      </w:r>
    </w:p>
    <w:p w:rsidR="00D242E5" w:rsidRDefault="00387525" w:rsidP="00387525">
      <w:pPr>
        <w:pStyle w:val="AERbulletlistfirststyle"/>
      </w:pPr>
      <w:r>
        <w:t>Outside of the Ellengrove to Eight Mile Plains section</w:t>
      </w:r>
      <w:r w:rsidR="006762EF">
        <w:t>—</w:t>
      </w:r>
      <w:r>
        <w:t xml:space="preserve">specific </w:t>
      </w:r>
      <w:r w:rsidR="006762EF">
        <w:t xml:space="preserve">high consequence areas </w:t>
      </w:r>
      <w:r>
        <w:t>where the revised technical requirements of AS2885 clause 4.7.3 are not currently met</w:t>
      </w:r>
      <w:r w:rsidR="00D242E5">
        <w:t xml:space="preserve"> </w:t>
      </w:r>
    </w:p>
    <w:p w:rsidR="00387525" w:rsidRDefault="00387525" w:rsidP="00387525">
      <w:pPr>
        <w:pStyle w:val="AERbulletlistfirststyle"/>
      </w:pPr>
      <w:r>
        <w:t>At identified hot-spot locations where the pipeline may be particularly exposed to external interference for example road crossing and within road reserves.</w:t>
      </w:r>
    </w:p>
    <w:p w:rsidR="0005461A" w:rsidRDefault="00873A35" w:rsidP="00632C85">
      <w:r>
        <w:t xml:space="preserve">APTPPL submitted that this approach is the lowest cost solution assessed as meeting the ALARP requirements of AS2885.1. </w:t>
      </w:r>
      <w:r w:rsidR="0034764C">
        <w:t xml:space="preserve">4ei's report </w:t>
      </w:r>
      <w:r w:rsidR="007016C4">
        <w:t xml:space="preserve">to us stated </w:t>
      </w:r>
      <w:r w:rsidR="0034764C">
        <w:t>that</w:t>
      </w:r>
      <w:r w:rsidR="007016C4">
        <w:t>,</w:t>
      </w:r>
      <w:r w:rsidR="0034764C">
        <w:t xml:space="preserve"> given the current level of demand on the pipeline, the analysis undertaken by APTPPL i</w:t>
      </w:r>
      <w:r w:rsidR="007016C4">
        <w:t>n</w:t>
      </w:r>
      <w:r w:rsidR="0034764C">
        <w:t xml:space="preserve"> identifying its proposed solution appears sound.</w:t>
      </w:r>
    </w:p>
    <w:p w:rsidR="002B3B0D" w:rsidRDefault="002B3B0D" w:rsidP="00632C85">
      <w:r>
        <w:t>We are satisfied that APTPPL's capex of $8.</w:t>
      </w:r>
      <w:r w:rsidR="00B00406">
        <w:t>2</w:t>
      </w:r>
      <w:r>
        <w:t xml:space="preserve"> million ($2016</w:t>
      </w:r>
      <w:r w:rsidRPr="00E40C29">
        <w:t>–</w:t>
      </w:r>
      <w:r>
        <w:t>17) for</w:t>
      </w:r>
      <w:r w:rsidR="00B01FBC">
        <w:t xml:space="preserve"> the</w:t>
      </w:r>
      <w:r>
        <w:t xml:space="preserve"> </w:t>
      </w:r>
      <w:r w:rsidR="00B01FBC">
        <w:t xml:space="preserve">urban risk reduction project </w:t>
      </w:r>
      <w:r>
        <w:t>is such as would be incurred by a prudent service provider acting efficiently.</w:t>
      </w:r>
      <w:r w:rsidR="006762EF">
        <w:rPr>
          <w:rStyle w:val="FootnoteReference"/>
        </w:rPr>
        <w:footnoteReference w:id="58"/>
      </w:r>
      <w:r w:rsidR="00FE5CAE">
        <w:t xml:space="preserve"> </w:t>
      </w:r>
      <w:r w:rsidR="00D03C9B">
        <w:t xml:space="preserve">The capex is </w:t>
      </w:r>
      <w:r w:rsidR="006762EF">
        <w:t>also necessary to</w:t>
      </w:r>
      <w:r w:rsidR="000C6E9C">
        <w:t xml:space="preserve"> maintain and improve the safety of services.</w:t>
      </w:r>
      <w:r w:rsidR="006762EF">
        <w:rPr>
          <w:rStyle w:val="FootnoteReference"/>
        </w:rPr>
        <w:footnoteReference w:id="59"/>
      </w:r>
      <w:r w:rsidR="00D03C9B">
        <w:t xml:space="preserve"> </w:t>
      </w:r>
      <w:r w:rsidR="006762EF">
        <w:t xml:space="preserve">Consequently we are satisfied </w:t>
      </w:r>
      <w:r w:rsidR="00FE5CAE">
        <w:t>APTPPL's actual capex of $8.</w:t>
      </w:r>
      <w:r w:rsidR="00B00406">
        <w:t>2</w:t>
      </w:r>
      <w:r w:rsidR="00FE5CAE">
        <w:t xml:space="preserve"> million ($2016</w:t>
      </w:r>
      <w:r w:rsidR="00FE5CAE" w:rsidRPr="00E40C29">
        <w:t>–</w:t>
      </w:r>
      <w:r w:rsidR="00FE5CAE">
        <w:t>17) in the 2012</w:t>
      </w:r>
      <w:r w:rsidR="00FE5CAE" w:rsidRPr="00E40C29">
        <w:t>–</w:t>
      </w:r>
      <w:r w:rsidR="00FE5CAE">
        <w:t xml:space="preserve">17 access arrangement period </w:t>
      </w:r>
      <w:r w:rsidR="006762EF">
        <w:t>satisfies the new capex criteria</w:t>
      </w:r>
      <w:r w:rsidR="00FE5CAE">
        <w:t>. We also accept that the additional $2.9 million ($2016</w:t>
      </w:r>
      <w:r w:rsidR="00FE5CAE" w:rsidRPr="00E40C29">
        <w:t>–</w:t>
      </w:r>
      <w:r w:rsidR="00FE5CAE">
        <w:t>17)</w:t>
      </w:r>
      <w:r w:rsidR="00F257EA">
        <w:t xml:space="preserve"> forecast for this project in the 2017</w:t>
      </w:r>
      <w:r w:rsidR="00F257EA" w:rsidRPr="00E40C29">
        <w:t>–</w:t>
      </w:r>
      <w:r w:rsidR="00F257EA">
        <w:t xml:space="preserve">22 access arrangement period is necessary to finalise this project. </w:t>
      </w:r>
    </w:p>
    <w:p w:rsidR="006B3F36" w:rsidRDefault="006B3F36" w:rsidP="00E91560">
      <w:pPr>
        <w:pStyle w:val="HeadingBoldItalic"/>
      </w:pPr>
      <w:r>
        <w:t>Corporate IT projects</w:t>
      </w:r>
    </w:p>
    <w:p w:rsidR="006B3F36" w:rsidRDefault="006B3F36" w:rsidP="006B3F36">
      <w:r>
        <w:t>APTPPL incurred actual and estima</w:t>
      </w:r>
      <w:r w:rsidR="00B049B1">
        <w:t>ted capex of $8.0</w:t>
      </w:r>
      <w:r>
        <w:t xml:space="preserve"> million ($</w:t>
      </w:r>
      <w:r w:rsidR="00B049B1">
        <w:t>2016–17</w:t>
      </w:r>
      <w:r>
        <w:t xml:space="preserve">) for corporate IT projects in the 2012–17 access arrangement </w:t>
      </w:r>
      <w:proofErr w:type="gramStart"/>
      <w:r>
        <w:t>period</w:t>
      </w:r>
      <w:proofErr w:type="gramEnd"/>
      <w:r>
        <w:t>.</w:t>
      </w:r>
      <w:r w:rsidR="00F8243C">
        <w:t xml:space="preserve"> APTPPL submitted that these projects are </w:t>
      </w:r>
      <w:r w:rsidR="002B73AF">
        <w:t>necessary because</w:t>
      </w:r>
      <w:r w:rsidR="00F8243C">
        <w:t xml:space="preserve"> the ongoing operation</w:t>
      </w:r>
      <w:r w:rsidR="004D51CE">
        <w:t xml:space="preserve"> of safe, secure and reliable IT programs are necessary to </w:t>
      </w:r>
      <w:r w:rsidR="002B73AF">
        <w:t xml:space="preserve">maintain </w:t>
      </w:r>
      <w:r w:rsidR="004D51CE">
        <w:t>reliable and safe pipeline services.</w:t>
      </w:r>
      <w:r w:rsidR="004D51CE">
        <w:rPr>
          <w:rStyle w:val="FootnoteReference"/>
        </w:rPr>
        <w:footnoteReference w:id="60"/>
      </w:r>
      <w:r w:rsidR="004D51CE">
        <w:t xml:space="preserve"> </w:t>
      </w:r>
    </w:p>
    <w:p w:rsidR="006B3F36" w:rsidRDefault="006B3F36" w:rsidP="006B3F36">
      <w:r>
        <w:t>The majority of this expenditure related to changing APTPPL's standalone IT systems to ones that would apply to all of APA Group. APTPPL noted that the cost of adopting APA wide projects was less than would be incurred by APTPPL running independent systems.</w:t>
      </w:r>
      <w:r>
        <w:rPr>
          <w:rStyle w:val="FootnoteReference"/>
        </w:rPr>
        <w:footnoteReference w:id="61"/>
      </w:r>
    </w:p>
    <w:p w:rsidR="006B3F36" w:rsidRDefault="006B3F36" w:rsidP="006B3F36">
      <w:r>
        <w:t>Since the APA group projects apply to several pipelines, we have also examined the methodology APTPPL used to allocate its costs to RBP and are satisfied that it is consistent with the</w:t>
      </w:r>
      <w:r w:rsidR="00B80A12">
        <w:t xml:space="preserve"> methodology used to allocate</w:t>
      </w:r>
      <w:r>
        <w:t xml:space="preserve"> costs to APTNT</w:t>
      </w:r>
      <w:r w:rsidR="007016C4">
        <w:t xml:space="preserve">, which we </w:t>
      </w:r>
      <w:r w:rsidR="00B80A12">
        <w:t>consider</w:t>
      </w:r>
      <w:r w:rsidR="007016C4">
        <w:t>ed in a separate access arrangement</w:t>
      </w:r>
      <w:r w:rsidR="00B80A12">
        <w:t xml:space="preserve"> review in 2015</w:t>
      </w:r>
      <w:r>
        <w:t>.</w:t>
      </w:r>
      <w:r>
        <w:rPr>
          <w:rStyle w:val="FootnoteReference"/>
        </w:rPr>
        <w:footnoteReference w:id="62"/>
      </w:r>
      <w:r w:rsidRPr="0049343A">
        <w:t xml:space="preserve"> </w:t>
      </w:r>
      <w:r w:rsidR="007016C4">
        <w:t xml:space="preserve"> </w:t>
      </w:r>
    </w:p>
    <w:p w:rsidR="006B3F36" w:rsidRDefault="006B3F36" w:rsidP="006B3F36">
      <w:r>
        <w:t>We have also compared IT projects proposed by APTNT to the ones proposed by APTPPL and are satisfied that they relate to the same IT projects. We note that we also approved the APA Group wide corporate IT projects allocated to APTNT.</w:t>
      </w:r>
      <w:r>
        <w:rPr>
          <w:rStyle w:val="FootnoteReference"/>
        </w:rPr>
        <w:footnoteReference w:id="63"/>
      </w:r>
    </w:p>
    <w:p w:rsidR="006B3F36" w:rsidRDefault="006B3F36" w:rsidP="006B3F36">
      <w:r>
        <w:t>Based on our review of the information submitted by APTPPL in support of its IT capex, we are satisfied that</w:t>
      </w:r>
      <w:r w:rsidR="00A21D02">
        <w:t xml:space="preserve"> APTPPL's </w:t>
      </w:r>
      <w:r w:rsidR="004F0A8A">
        <w:t xml:space="preserve">proposed </w:t>
      </w:r>
      <w:r w:rsidR="00A21D02">
        <w:t xml:space="preserve">corporate IT </w:t>
      </w:r>
      <w:r w:rsidR="004F0A8A">
        <w:t xml:space="preserve">projects </w:t>
      </w:r>
      <w:r w:rsidR="002B73AF">
        <w:t>meet the new capex criteria</w:t>
      </w:r>
      <w:r>
        <w:t>.</w:t>
      </w:r>
      <w:r>
        <w:rPr>
          <w:rStyle w:val="FootnoteReference"/>
        </w:rPr>
        <w:footnoteReference w:id="64"/>
      </w:r>
    </w:p>
    <w:p w:rsidR="00C30A26" w:rsidRDefault="00C30A26" w:rsidP="00E91560">
      <w:pPr>
        <w:pStyle w:val="HeadingBoldItalic"/>
      </w:pPr>
      <w:r>
        <w:t xml:space="preserve">Other </w:t>
      </w:r>
      <w:r w:rsidR="0058790B">
        <w:t xml:space="preserve">stay in business </w:t>
      </w:r>
      <w:r>
        <w:t xml:space="preserve">projects </w:t>
      </w:r>
    </w:p>
    <w:p w:rsidR="0058790B" w:rsidRDefault="0058790B" w:rsidP="006B3F36">
      <w:r>
        <w:t xml:space="preserve">APTPPL also identified </w:t>
      </w:r>
      <w:r w:rsidR="009110BA">
        <w:t xml:space="preserve">the following </w:t>
      </w:r>
      <w:r>
        <w:t>non-material stay in business proje</w:t>
      </w:r>
      <w:r w:rsidR="00A21D02">
        <w:t>cts</w:t>
      </w:r>
      <w:r w:rsidR="00924C2B">
        <w:t>:</w:t>
      </w:r>
    </w:p>
    <w:p w:rsidR="00924C2B" w:rsidRDefault="00924C2B" w:rsidP="00924C2B">
      <w:pPr>
        <w:pStyle w:val="AERbulletlistfirststyle"/>
      </w:pPr>
      <w:r>
        <w:t>Toowoomba station upgrade</w:t>
      </w:r>
      <w:r w:rsidR="009110BA">
        <w:t>—</w:t>
      </w:r>
      <w:r w:rsidR="00A81585">
        <w:t>an upgrade of a number of elements at this site were required to meet current standards or safety requirements.</w:t>
      </w:r>
      <w:r w:rsidR="00A81585">
        <w:rPr>
          <w:rStyle w:val="FootnoteReference"/>
        </w:rPr>
        <w:footnoteReference w:id="65"/>
      </w:r>
    </w:p>
    <w:p w:rsidR="00924C2B" w:rsidRDefault="00924C2B" w:rsidP="00924C2B">
      <w:pPr>
        <w:pStyle w:val="AERbulletlistfirststyle"/>
      </w:pPr>
      <w:r>
        <w:t>SCADA upgrade</w:t>
      </w:r>
      <w:r w:rsidR="009110BA">
        <w:t>—</w:t>
      </w:r>
      <w:r w:rsidR="00E8472A">
        <w:t>this upgrade allowed APTPPL's SCADA system to be compatible with other systems that APTPPL use to manage the RBP.</w:t>
      </w:r>
      <w:r w:rsidR="00E8472A">
        <w:rPr>
          <w:rStyle w:val="FootnoteReference"/>
        </w:rPr>
        <w:footnoteReference w:id="66"/>
      </w:r>
    </w:p>
    <w:p w:rsidR="00924C2B" w:rsidRDefault="00A21D02" w:rsidP="00924C2B">
      <w:pPr>
        <w:pStyle w:val="AERbulletlistfirststyle"/>
      </w:pPr>
      <w:proofErr w:type="gramStart"/>
      <w:r>
        <w:t>f</w:t>
      </w:r>
      <w:r w:rsidR="00924C2B">
        <w:t>low</w:t>
      </w:r>
      <w:proofErr w:type="gramEnd"/>
      <w:r w:rsidR="00924C2B">
        <w:t xml:space="preserve"> contro</w:t>
      </w:r>
      <w:r w:rsidR="00A81585">
        <w:t>l (FC)</w:t>
      </w:r>
      <w:r w:rsidR="00924C2B">
        <w:t xml:space="preserve"> and remote telemetry unit (RTU)</w:t>
      </w:r>
      <w:r w:rsidR="009110BA">
        <w:t>—</w:t>
      </w:r>
      <w:r w:rsidR="00A81585">
        <w:t>the previous hardware reached the end of its service lifetime and spare parts were no longer available from vendors. This resulted in a roll out of new flow controllers and RTU.</w:t>
      </w:r>
      <w:r w:rsidR="00A81585">
        <w:rPr>
          <w:rStyle w:val="FootnoteReference"/>
        </w:rPr>
        <w:footnoteReference w:id="67"/>
      </w:r>
      <w:r w:rsidR="00E8472A">
        <w:t xml:space="preserve"> </w:t>
      </w:r>
    </w:p>
    <w:p w:rsidR="00924C2B" w:rsidRDefault="00924C2B" w:rsidP="006B3F36">
      <w:r>
        <w:t xml:space="preserve">In total these projects </w:t>
      </w:r>
      <w:r w:rsidR="00520CC5">
        <w:t>account for</w:t>
      </w:r>
      <w:r>
        <w:t xml:space="preserve"> $3.</w:t>
      </w:r>
      <w:r w:rsidR="008D18FE">
        <w:t>5</w:t>
      </w:r>
      <w:r>
        <w:t xml:space="preserve"> million ($2016–17)</w:t>
      </w:r>
      <w:r w:rsidR="00520CC5">
        <w:t xml:space="preserve"> of APTPPL's current period stay in business capex</w:t>
      </w:r>
      <w:r>
        <w:t xml:space="preserve">. </w:t>
      </w:r>
    </w:p>
    <w:p w:rsidR="00A81585" w:rsidRDefault="002B205E" w:rsidP="006B3F36">
      <w:r>
        <w:t xml:space="preserve">We sought engineering advice from 4ei to assist in assessing the need, timing and cost of the proposal for these projects. </w:t>
      </w:r>
      <w:r w:rsidR="00CD3A39">
        <w:t xml:space="preserve">Overall 4ei was of the view that this expenditure </w:t>
      </w:r>
      <w:r w:rsidR="009110BA">
        <w:t>met the new capex criteria</w:t>
      </w:r>
      <w:r w:rsidR="00CD3A39">
        <w:t>.</w:t>
      </w:r>
      <w:r w:rsidR="009110BA">
        <w:rPr>
          <w:rStyle w:val="FootnoteReference"/>
        </w:rPr>
        <w:footnoteReference w:id="68"/>
      </w:r>
      <w:r w:rsidR="00CD3A39">
        <w:t xml:space="preserve"> </w:t>
      </w:r>
      <w:r w:rsidR="00A81585">
        <w:t>Specifically 4ei advised that:</w:t>
      </w:r>
      <w:r w:rsidR="00A81585">
        <w:rPr>
          <w:rStyle w:val="FootnoteReference"/>
        </w:rPr>
        <w:footnoteReference w:id="69"/>
      </w:r>
    </w:p>
    <w:p w:rsidR="00A81585" w:rsidRDefault="00A21D02" w:rsidP="00A81585">
      <w:pPr>
        <w:pStyle w:val="AERbulletlistfirststyle"/>
      </w:pPr>
      <w:proofErr w:type="gramStart"/>
      <w:r>
        <w:t>f</w:t>
      </w:r>
      <w:r w:rsidR="00A81585">
        <w:t>or</w:t>
      </w:r>
      <w:proofErr w:type="gramEnd"/>
      <w:r w:rsidR="00A81585">
        <w:t xml:space="preserve"> the Toowoomba Station Upgrade, the additional costs above what we approved in our previous access arrangement decision should have been included when this project was first proposed. However, the upgrade undertaken by APTPPL was efficient and prudent consistent with industry practice.</w:t>
      </w:r>
    </w:p>
    <w:p w:rsidR="00A81585" w:rsidRDefault="00A21D02" w:rsidP="00A81585">
      <w:pPr>
        <w:pStyle w:val="AERbulletlistfirststyle"/>
      </w:pPr>
      <w:proofErr w:type="gramStart"/>
      <w:r>
        <w:t>f</w:t>
      </w:r>
      <w:r w:rsidR="00A81585">
        <w:t>or</w:t>
      </w:r>
      <w:proofErr w:type="gramEnd"/>
      <w:r w:rsidR="00A81585">
        <w:t xml:space="preserve"> the SCADA upgrade project, given APTPPL adopted solution is lower cost than a stand-alone SCADA solution, this expenditure was efficient.</w:t>
      </w:r>
    </w:p>
    <w:p w:rsidR="00A81585" w:rsidRDefault="00A21D02" w:rsidP="00A81585">
      <w:pPr>
        <w:pStyle w:val="AERbulletlistfirststyle"/>
      </w:pPr>
      <w:proofErr w:type="gramStart"/>
      <w:r>
        <w:t>f</w:t>
      </w:r>
      <w:r w:rsidR="00A81585">
        <w:t>or</w:t>
      </w:r>
      <w:proofErr w:type="gramEnd"/>
      <w:r w:rsidR="00A81585">
        <w:t xml:space="preserve"> the FC and RTU project, given the age of the hardware, replacement was consistent with good industry practice.</w:t>
      </w:r>
    </w:p>
    <w:p w:rsidR="00600597" w:rsidRDefault="00D069CF" w:rsidP="00B129DD">
      <w:r>
        <w:t>Based on our review of the information submitted by APTPPL and 4ei's analysis, we are satisfied that the capex is such as would be incurred by a prudent service provider acting efficiently.</w:t>
      </w:r>
      <w:r>
        <w:rPr>
          <w:rStyle w:val="FootnoteReference"/>
        </w:rPr>
        <w:footnoteReference w:id="70"/>
      </w:r>
    </w:p>
    <w:p w:rsidR="00FD2016" w:rsidRDefault="00FD2016" w:rsidP="00515A97">
      <w:pPr>
        <w:pStyle w:val="HeadingBoldBlue"/>
      </w:pPr>
      <w:bookmarkStart w:id="53" w:name="_Toc476651845"/>
      <w:bookmarkStart w:id="54" w:name="_Toc486851828"/>
      <w:r>
        <w:t>Capex in 2011</w:t>
      </w:r>
      <w:r w:rsidRPr="00E40C29">
        <w:t>–</w:t>
      </w:r>
      <w:r>
        <w:t>12</w:t>
      </w:r>
      <w:bookmarkEnd w:id="53"/>
      <w:bookmarkEnd w:id="54"/>
    </w:p>
    <w:p w:rsidR="00BA1701" w:rsidRDefault="00A10F2B" w:rsidP="00A10F2B">
      <w:r>
        <w:t xml:space="preserve">In our previous access arrangement review, we included an estimate </w:t>
      </w:r>
      <w:r w:rsidR="009110BA">
        <w:t xml:space="preserve">of </w:t>
      </w:r>
      <w:r>
        <w:t>capex for 2011</w:t>
      </w:r>
      <w:r w:rsidRPr="00E40C29">
        <w:t>–</w:t>
      </w:r>
      <w:r>
        <w:t>12 of $</w:t>
      </w:r>
      <w:r w:rsidR="00EF6370">
        <w:t>56.2</w:t>
      </w:r>
      <w:r>
        <w:t xml:space="preserve"> million ($2016</w:t>
      </w:r>
      <w:r w:rsidRPr="00E40C29">
        <w:t>–</w:t>
      </w:r>
      <w:r>
        <w:t>17). APTPPL stated that its actual capex for the 14</w:t>
      </w:r>
      <w:r w:rsidR="009110BA">
        <w:t> </w:t>
      </w:r>
      <w:r>
        <w:t>month period between 1 July 2011 and 31 August 2012 was $</w:t>
      </w:r>
      <w:r w:rsidR="004D13A6">
        <w:t>57.9</w:t>
      </w:r>
      <w:r>
        <w:t xml:space="preserve"> million ($2016</w:t>
      </w:r>
      <w:r w:rsidRPr="00E40C29">
        <w:t>–</w:t>
      </w:r>
      <w:r>
        <w:t>17).</w:t>
      </w:r>
      <w:r w:rsidR="00EE2C16">
        <w:rPr>
          <w:rStyle w:val="FootnoteReference"/>
        </w:rPr>
        <w:footnoteReference w:id="71"/>
      </w:r>
      <w:r w:rsidR="008E5B9D">
        <w:t xml:space="preserve"> Of this amount,</w:t>
      </w:r>
      <w:r w:rsidR="003359A4">
        <w:t xml:space="preserve"> </w:t>
      </w:r>
      <w:r w:rsidR="008E5B9D">
        <w:t>$50.3 million</w:t>
      </w:r>
      <w:r w:rsidR="00BA1701">
        <w:t xml:space="preserve"> ($2016</w:t>
      </w:r>
      <w:r w:rsidR="00BA1701" w:rsidRPr="00E40C29">
        <w:t>–</w:t>
      </w:r>
      <w:r w:rsidR="00BA1701">
        <w:t>17)</w:t>
      </w:r>
      <w:r w:rsidR="007C59D5">
        <w:t xml:space="preserve"> was f</w:t>
      </w:r>
      <w:r w:rsidR="008E5B9D">
        <w:t xml:space="preserve">or the RBP 8 expansion project. </w:t>
      </w:r>
    </w:p>
    <w:p w:rsidR="00FD2016" w:rsidRDefault="00B21B90" w:rsidP="00A10F2B">
      <w:r>
        <w:t>We accept APTPPL's actual capex of $57.9 million ($2016</w:t>
      </w:r>
      <w:r w:rsidRPr="00E40C29">
        <w:t>–</w:t>
      </w:r>
      <w:r>
        <w:t xml:space="preserve">17) for the 14 month period between 1 July 2011 and 31 August 2012 as conforming capex. </w:t>
      </w:r>
      <w:r w:rsidR="004D13A6">
        <w:t>We are satisfied that capex is such as would be incurred by a prudent operator acting efficiently, in accordance with accepted good industry practice, to achieve the lowest sustainable cost of providing services. The capex is justifiable on the basis of one or more of the grounds stated in rule 79(2) of the NGR.</w:t>
      </w:r>
      <w:r w:rsidR="00A10F2B">
        <w:t xml:space="preserve"> </w:t>
      </w:r>
    </w:p>
    <w:p w:rsidR="00FD2016" w:rsidRDefault="00FD2016" w:rsidP="00FD2016">
      <w:pPr>
        <w:pStyle w:val="Heading3"/>
      </w:pPr>
      <w:bookmarkStart w:id="55" w:name="_Toc476651846"/>
      <w:bookmarkStart w:id="56" w:name="_Toc486851829"/>
      <w:r>
        <w:t>Conforming capex for the 2017</w:t>
      </w:r>
      <w:r w:rsidRPr="00E40C29">
        <w:t>–</w:t>
      </w:r>
      <w:r>
        <w:t>22 access arrangement period</w:t>
      </w:r>
      <w:bookmarkEnd w:id="55"/>
      <w:bookmarkEnd w:id="56"/>
    </w:p>
    <w:p w:rsidR="00582574" w:rsidRDefault="00FD2016">
      <w:pPr>
        <w:spacing w:line="240" w:lineRule="auto"/>
        <w:rPr>
          <w:b/>
          <w:bCs/>
          <w:color w:val="076A92" w:themeColor="text1"/>
          <w:sz w:val="24"/>
          <w:szCs w:val="18"/>
        </w:rPr>
      </w:pPr>
      <w:r w:rsidRPr="00FD2016">
        <w:t>We approve conforming net capex of $</w:t>
      </w:r>
      <w:r w:rsidR="00CF4E64">
        <w:t>5</w:t>
      </w:r>
      <w:r w:rsidR="005816F9">
        <w:t>9</w:t>
      </w:r>
      <w:r w:rsidR="00CF4E64">
        <w:t>.</w:t>
      </w:r>
      <w:r w:rsidR="005816F9">
        <w:t>5</w:t>
      </w:r>
      <w:r w:rsidRPr="00FD2016">
        <w:t xml:space="preserve"> million ($2016–17) for the 2017–22 access arrangem</w:t>
      </w:r>
      <w:r w:rsidR="005816F9">
        <w:t xml:space="preserve">ent </w:t>
      </w:r>
      <w:proofErr w:type="gramStart"/>
      <w:r w:rsidR="005816F9">
        <w:t>period</w:t>
      </w:r>
      <w:proofErr w:type="gramEnd"/>
      <w:r w:rsidR="005816F9">
        <w:t xml:space="preserve">. This is </w:t>
      </w:r>
      <w:r w:rsidRPr="00FD2016">
        <w:t>$</w:t>
      </w:r>
      <w:r w:rsidR="005816F9">
        <w:t>7.2</w:t>
      </w:r>
      <w:r w:rsidRPr="00FD2016">
        <w:t xml:space="preserve"> million</w:t>
      </w:r>
      <w:r w:rsidR="009110BA">
        <w:t>,</w:t>
      </w:r>
      <w:r w:rsidRPr="00FD2016">
        <w:t xml:space="preserve"> or </w:t>
      </w:r>
      <w:r w:rsidR="005816F9">
        <w:t>11</w:t>
      </w:r>
      <w:r w:rsidRPr="00FD2016">
        <w:t xml:space="preserve"> per cent</w:t>
      </w:r>
      <w:r w:rsidR="009110BA">
        <w:t>,</w:t>
      </w:r>
      <w:r w:rsidRPr="00FD2016">
        <w:t xml:space="preserve"> </w:t>
      </w:r>
      <w:r w:rsidR="009110BA">
        <w:t xml:space="preserve">less than that proposed by </w:t>
      </w:r>
      <w:r w:rsidRPr="00FD2016">
        <w:t xml:space="preserve">APTPPL. </w:t>
      </w:r>
      <w:r w:rsidR="009110BA">
        <w:t xml:space="preserve">We </w:t>
      </w:r>
      <w:r w:rsidRPr="00FD2016">
        <w:t>summarise our approved forecast of conforming capex for the 2017–22 access arrangement period</w:t>
      </w:r>
      <w:r w:rsidR="009110BA">
        <w:t xml:space="preserve"> in</w:t>
      </w:r>
      <w:r w:rsidR="00086269">
        <w:fldChar w:fldCharType="begin"/>
      </w:r>
      <w:r w:rsidR="009110BA">
        <w:instrText xml:space="preserve"> REF  _Ref476060560 \* Lower \h </w:instrText>
      </w:r>
      <w:r w:rsidR="00086269">
        <w:fldChar w:fldCharType="separate"/>
      </w:r>
    </w:p>
    <w:p w:rsidR="00BE1D0D" w:rsidRDefault="00582574">
      <w:pPr>
        <w:spacing w:line="240" w:lineRule="auto"/>
        <w:rPr>
          <w:b/>
          <w:bCs/>
          <w:color w:val="076A92" w:themeColor="text1"/>
          <w:sz w:val="24"/>
          <w:szCs w:val="18"/>
        </w:rPr>
      </w:pPr>
      <w:proofErr w:type="gramStart"/>
      <w:r>
        <w:t>table</w:t>
      </w:r>
      <w:proofErr w:type="gramEnd"/>
      <w:r>
        <w:t xml:space="preserve"> </w:t>
      </w:r>
      <w:r>
        <w:rPr>
          <w:noProof/>
        </w:rPr>
        <w:t>6</w:t>
      </w:r>
      <w:r>
        <w:noBreakHyphen/>
      </w:r>
      <w:r>
        <w:rPr>
          <w:noProof/>
        </w:rPr>
        <w:t>6</w:t>
      </w:r>
      <w:r w:rsidR="00086269">
        <w:fldChar w:fldCharType="end"/>
      </w:r>
      <w:r w:rsidR="00FD2016" w:rsidRPr="00FD2016">
        <w:t>.</w:t>
      </w:r>
      <w:bookmarkStart w:id="57" w:name="_Ref476060560"/>
    </w:p>
    <w:p w:rsidR="00FD2016" w:rsidRDefault="009110BA" w:rsidP="00B00406">
      <w:pPr>
        <w:pStyle w:val="Caption"/>
      </w:pPr>
      <w:r>
        <w:t xml:space="preserve">Table </w:t>
      </w:r>
      <w:fldSimple w:instr=" STYLEREF 1 \s ">
        <w:r w:rsidR="00582574">
          <w:rPr>
            <w:noProof/>
          </w:rPr>
          <w:t>6</w:t>
        </w:r>
      </w:fldSimple>
      <w:r w:rsidR="002E7AD4">
        <w:noBreakHyphen/>
      </w:r>
      <w:fldSimple w:instr=" SEQ Table \* ARABIC \s 1 ">
        <w:r w:rsidR="00582574">
          <w:rPr>
            <w:noProof/>
          </w:rPr>
          <w:t>6</w:t>
        </w:r>
      </w:fldSimple>
      <w:bookmarkEnd w:id="57"/>
      <w:r w:rsidRPr="009110BA">
        <w:t xml:space="preserve"> </w:t>
      </w:r>
      <w:r>
        <w:tab/>
      </w:r>
      <w:r w:rsidRPr="009110BA">
        <w:t>AER approved capital expenditure over the 2017–22 access arrangement period ($million, 2016–17)</w:t>
      </w:r>
    </w:p>
    <w:tbl>
      <w:tblPr>
        <w:tblStyle w:val="AERtable-numbers"/>
        <w:tblW w:w="5000" w:type="pct"/>
        <w:tblLook w:val="04A0" w:firstRow="1" w:lastRow="0" w:firstColumn="1" w:lastColumn="0" w:noHBand="0" w:noVBand="1"/>
      </w:tblPr>
      <w:tblGrid>
        <w:gridCol w:w="3368"/>
        <w:gridCol w:w="1136"/>
        <w:gridCol w:w="849"/>
        <w:gridCol w:w="852"/>
        <w:gridCol w:w="850"/>
        <w:gridCol w:w="843"/>
        <w:gridCol w:w="794"/>
      </w:tblGrid>
      <w:tr w:rsidR="008B70B7" w:rsidRPr="004F416F" w:rsidTr="008B70B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rsidRPr="00FD2016">
              <w:t> Category</w:t>
            </w:r>
          </w:p>
        </w:tc>
        <w:tc>
          <w:tcPr>
            <w:tcW w:w="653" w:type="pct"/>
            <w:hideMark/>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2017</w:t>
            </w:r>
            <w:r w:rsidR="00460918">
              <w:t>–</w:t>
            </w:r>
            <w:r w:rsidRPr="00FD2016">
              <w:t>18</w:t>
            </w:r>
          </w:p>
        </w:tc>
        <w:tc>
          <w:tcPr>
            <w:tcW w:w="488" w:type="pct"/>
            <w:hideMark/>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2018</w:t>
            </w:r>
            <w:r w:rsidR="00460918">
              <w:t>–</w:t>
            </w:r>
            <w:r w:rsidRPr="00FD2016">
              <w:t>19</w:t>
            </w:r>
          </w:p>
        </w:tc>
        <w:tc>
          <w:tcPr>
            <w:tcW w:w="490" w:type="pct"/>
            <w:hideMark/>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2019</w:t>
            </w:r>
            <w:r w:rsidR="00460918">
              <w:t>–</w:t>
            </w:r>
            <w:r w:rsidRPr="00FD2016">
              <w:t>20</w:t>
            </w:r>
          </w:p>
        </w:tc>
        <w:tc>
          <w:tcPr>
            <w:tcW w:w="489" w:type="pct"/>
            <w:hideMark/>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2020</w:t>
            </w:r>
            <w:r w:rsidR="00460918">
              <w:t>–</w:t>
            </w:r>
            <w:r w:rsidRPr="00FD2016">
              <w:t>21</w:t>
            </w:r>
          </w:p>
        </w:tc>
        <w:tc>
          <w:tcPr>
            <w:tcW w:w="485" w:type="pct"/>
            <w:hideMark/>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2021</w:t>
            </w:r>
            <w:r w:rsidR="00460918">
              <w:t>–</w:t>
            </w:r>
            <w:r w:rsidRPr="00FD2016">
              <w:t>22</w:t>
            </w:r>
          </w:p>
        </w:tc>
        <w:tc>
          <w:tcPr>
            <w:tcW w:w="457" w:type="pct"/>
          </w:tcPr>
          <w:p w:rsidR="00FD2016" w:rsidRPr="00FD2016" w:rsidRDefault="00FD2016" w:rsidP="00293192">
            <w:pPr>
              <w:cnfStyle w:val="100000000000" w:firstRow="1" w:lastRow="0" w:firstColumn="0" w:lastColumn="0" w:oddVBand="0" w:evenVBand="0" w:oddHBand="0" w:evenHBand="0" w:firstRowFirstColumn="0" w:firstRowLastColumn="0" w:lastRowFirstColumn="0" w:lastRowLastColumn="0"/>
            </w:pPr>
            <w:r w:rsidRPr="00FD2016">
              <w:t>Total</w:t>
            </w:r>
          </w:p>
        </w:tc>
      </w:tr>
      <w:tr w:rsidR="008B70B7" w:rsidRPr="004F416F" w:rsidTr="008B70B7">
        <w:trPr>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t xml:space="preserve">Expansion </w:t>
            </w:r>
          </w:p>
        </w:tc>
        <w:tc>
          <w:tcPr>
            <w:tcW w:w="653"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8"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90"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9"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5"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57"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r>
      <w:tr w:rsidR="008B70B7" w:rsidRPr="004F416F" w:rsidTr="008B70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t xml:space="preserve">Replacement </w:t>
            </w:r>
          </w:p>
        </w:tc>
        <w:tc>
          <w:tcPr>
            <w:tcW w:w="653" w:type="pct"/>
          </w:tcPr>
          <w:p w:rsidR="00FD2016" w:rsidRPr="00FD2016" w:rsidRDefault="005816F9" w:rsidP="00994816">
            <w:pPr>
              <w:cnfStyle w:val="000000010000" w:firstRow="0" w:lastRow="0" w:firstColumn="0" w:lastColumn="0" w:oddVBand="0" w:evenVBand="0" w:oddHBand="0" w:evenHBand="1" w:firstRowFirstColumn="0" w:firstRowLastColumn="0" w:lastRowFirstColumn="0" w:lastRowLastColumn="0"/>
            </w:pPr>
            <w:r>
              <w:t>6.</w:t>
            </w:r>
            <w:r w:rsidR="00994816">
              <w:t>3</w:t>
            </w:r>
          </w:p>
        </w:tc>
        <w:tc>
          <w:tcPr>
            <w:tcW w:w="488" w:type="pct"/>
          </w:tcPr>
          <w:p w:rsidR="00FD2016" w:rsidRPr="00FD2016" w:rsidRDefault="005816F9" w:rsidP="00994816">
            <w:pPr>
              <w:cnfStyle w:val="000000010000" w:firstRow="0" w:lastRow="0" w:firstColumn="0" w:lastColumn="0" w:oddVBand="0" w:evenVBand="0" w:oddHBand="0" w:evenHBand="1" w:firstRowFirstColumn="0" w:firstRowLastColumn="0" w:lastRowFirstColumn="0" w:lastRowLastColumn="0"/>
            </w:pPr>
            <w:r>
              <w:t>8.</w:t>
            </w:r>
            <w:r w:rsidR="00B00406">
              <w:t>2</w:t>
            </w:r>
          </w:p>
        </w:tc>
        <w:tc>
          <w:tcPr>
            <w:tcW w:w="490" w:type="pct"/>
          </w:tcPr>
          <w:p w:rsidR="00FD2016" w:rsidRPr="00FD2016" w:rsidRDefault="005816F9" w:rsidP="00994816">
            <w:pPr>
              <w:cnfStyle w:val="000000010000" w:firstRow="0" w:lastRow="0" w:firstColumn="0" w:lastColumn="0" w:oddVBand="0" w:evenVBand="0" w:oddHBand="0" w:evenHBand="1" w:firstRowFirstColumn="0" w:firstRowLastColumn="0" w:lastRowFirstColumn="0" w:lastRowLastColumn="0"/>
            </w:pPr>
            <w:r>
              <w:t>5.</w:t>
            </w:r>
            <w:r w:rsidR="00B00406">
              <w:t>2</w:t>
            </w:r>
          </w:p>
        </w:tc>
        <w:tc>
          <w:tcPr>
            <w:tcW w:w="489" w:type="pct"/>
          </w:tcPr>
          <w:p w:rsidR="00FD2016" w:rsidRPr="00FD2016" w:rsidRDefault="005816F9" w:rsidP="00994816">
            <w:pPr>
              <w:cnfStyle w:val="000000010000" w:firstRow="0" w:lastRow="0" w:firstColumn="0" w:lastColumn="0" w:oddVBand="0" w:evenVBand="0" w:oddHBand="0" w:evenHBand="1" w:firstRowFirstColumn="0" w:firstRowLastColumn="0" w:lastRowFirstColumn="0" w:lastRowLastColumn="0"/>
            </w:pPr>
            <w:r>
              <w:t>6.</w:t>
            </w:r>
            <w:r w:rsidR="00B00406">
              <w:t>3</w:t>
            </w:r>
          </w:p>
        </w:tc>
        <w:tc>
          <w:tcPr>
            <w:tcW w:w="485" w:type="pct"/>
          </w:tcPr>
          <w:p w:rsidR="00FD2016" w:rsidRPr="00FD2016" w:rsidRDefault="005816F9" w:rsidP="00994816">
            <w:pPr>
              <w:cnfStyle w:val="000000010000" w:firstRow="0" w:lastRow="0" w:firstColumn="0" w:lastColumn="0" w:oddVBand="0" w:evenVBand="0" w:oddHBand="0" w:evenHBand="1" w:firstRowFirstColumn="0" w:firstRowLastColumn="0" w:lastRowFirstColumn="0" w:lastRowLastColumn="0"/>
            </w:pPr>
            <w:r>
              <w:t>5.</w:t>
            </w:r>
            <w:r w:rsidR="00B00406">
              <w:t>8</w:t>
            </w:r>
          </w:p>
        </w:tc>
        <w:tc>
          <w:tcPr>
            <w:tcW w:w="457" w:type="pct"/>
          </w:tcPr>
          <w:p w:rsidR="00FD2016" w:rsidRPr="00FD2016" w:rsidRDefault="005816F9" w:rsidP="008B70B7">
            <w:pPr>
              <w:cnfStyle w:val="000000010000" w:firstRow="0" w:lastRow="0" w:firstColumn="0" w:lastColumn="0" w:oddVBand="0" w:evenVBand="0" w:oddHBand="0" w:evenHBand="1" w:firstRowFirstColumn="0" w:firstRowLastColumn="0" w:lastRowFirstColumn="0" w:lastRowLastColumn="0"/>
            </w:pPr>
            <w:r>
              <w:t>31.</w:t>
            </w:r>
            <w:r w:rsidR="00B00406">
              <w:t>7</w:t>
            </w:r>
          </w:p>
        </w:tc>
      </w:tr>
      <w:tr w:rsidR="008B70B7" w:rsidRPr="004F416F" w:rsidTr="008B70B7">
        <w:trPr>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t xml:space="preserve">Stay in business </w:t>
            </w:r>
          </w:p>
        </w:tc>
        <w:tc>
          <w:tcPr>
            <w:tcW w:w="653" w:type="pct"/>
          </w:tcPr>
          <w:p w:rsidR="00FD2016" w:rsidRPr="00FD2016" w:rsidRDefault="00FD2016" w:rsidP="00994816">
            <w:pPr>
              <w:cnfStyle w:val="000000000000" w:firstRow="0" w:lastRow="0" w:firstColumn="0" w:lastColumn="0" w:oddVBand="0" w:evenVBand="0" w:oddHBand="0" w:evenHBand="0" w:firstRowFirstColumn="0" w:firstRowLastColumn="0" w:lastRowFirstColumn="0" w:lastRowLastColumn="0"/>
            </w:pPr>
            <w:r w:rsidRPr="00FD2016">
              <w:t>17.</w:t>
            </w:r>
            <w:r w:rsidR="00B00406">
              <w:t>2</w:t>
            </w:r>
          </w:p>
        </w:tc>
        <w:tc>
          <w:tcPr>
            <w:tcW w:w="488" w:type="pct"/>
          </w:tcPr>
          <w:p w:rsidR="00FD2016" w:rsidRPr="00FD2016" w:rsidRDefault="00FD2016" w:rsidP="00994816">
            <w:pPr>
              <w:cnfStyle w:val="000000000000" w:firstRow="0" w:lastRow="0" w:firstColumn="0" w:lastColumn="0" w:oddVBand="0" w:evenVBand="0" w:oddHBand="0" w:evenHBand="0" w:firstRowFirstColumn="0" w:firstRowLastColumn="0" w:lastRowFirstColumn="0" w:lastRowLastColumn="0"/>
            </w:pPr>
            <w:r w:rsidRPr="00FD2016">
              <w:t>5.</w:t>
            </w:r>
            <w:r w:rsidR="00B00406">
              <w:t>7</w:t>
            </w:r>
          </w:p>
        </w:tc>
        <w:tc>
          <w:tcPr>
            <w:tcW w:w="490" w:type="pct"/>
          </w:tcPr>
          <w:p w:rsidR="00FD2016" w:rsidRPr="00FD2016" w:rsidRDefault="00FD2016" w:rsidP="00994816">
            <w:pPr>
              <w:cnfStyle w:val="000000000000" w:firstRow="0" w:lastRow="0" w:firstColumn="0" w:lastColumn="0" w:oddVBand="0" w:evenVBand="0" w:oddHBand="0" w:evenHBand="0" w:firstRowFirstColumn="0" w:firstRowLastColumn="0" w:lastRowFirstColumn="0" w:lastRowLastColumn="0"/>
            </w:pPr>
            <w:r w:rsidRPr="00FD2016">
              <w:t>1.</w:t>
            </w:r>
            <w:r w:rsidR="00994816" w:rsidRPr="00FD2016">
              <w:t>4</w:t>
            </w:r>
          </w:p>
        </w:tc>
        <w:tc>
          <w:tcPr>
            <w:tcW w:w="489" w:type="pct"/>
          </w:tcPr>
          <w:p w:rsidR="00FD2016" w:rsidRPr="00FD2016" w:rsidRDefault="00FD2016" w:rsidP="00994816">
            <w:pPr>
              <w:cnfStyle w:val="000000000000" w:firstRow="0" w:lastRow="0" w:firstColumn="0" w:lastColumn="0" w:oddVBand="0" w:evenVBand="0" w:oddHBand="0" w:evenHBand="0" w:firstRowFirstColumn="0" w:firstRowLastColumn="0" w:lastRowFirstColumn="0" w:lastRowLastColumn="0"/>
            </w:pPr>
            <w:r w:rsidRPr="00FD2016">
              <w:t>1.</w:t>
            </w:r>
            <w:r w:rsidR="00B00406">
              <w:t>6</w:t>
            </w:r>
          </w:p>
        </w:tc>
        <w:tc>
          <w:tcPr>
            <w:tcW w:w="485" w:type="pct"/>
          </w:tcPr>
          <w:p w:rsidR="00FD2016" w:rsidRPr="00FD2016" w:rsidRDefault="00FD2016" w:rsidP="00994816">
            <w:pPr>
              <w:cnfStyle w:val="000000000000" w:firstRow="0" w:lastRow="0" w:firstColumn="0" w:lastColumn="0" w:oddVBand="0" w:evenVBand="0" w:oddHBand="0" w:evenHBand="0" w:firstRowFirstColumn="0" w:firstRowLastColumn="0" w:lastRowFirstColumn="0" w:lastRowLastColumn="0"/>
            </w:pPr>
            <w:r w:rsidRPr="00FD2016">
              <w:t>1.</w:t>
            </w:r>
            <w:r w:rsidR="00994816" w:rsidRPr="00FD2016">
              <w:t>9</w:t>
            </w:r>
          </w:p>
        </w:tc>
        <w:tc>
          <w:tcPr>
            <w:tcW w:w="457" w:type="pct"/>
          </w:tcPr>
          <w:p w:rsidR="00FD2016" w:rsidRPr="00FD2016" w:rsidRDefault="00FD2016" w:rsidP="008B70B7">
            <w:pPr>
              <w:cnfStyle w:val="000000000000" w:firstRow="0" w:lastRow="0" w:firstColumn="0" w:lastColumn="0" w:oddVBand="0" w:evenVBand="0" w:oddHBand="0" w:evenHBand="0" w:firstRowFirstColumn="0" w:firstRowLastColumn="0" w:lastRowFirstColumn="0" w:lastRowLastColumn="0"/>
            </w:pPr>
            <w:r w:rsidRPr="00FD2016">
              <w:t>27.</w:t>
            </w:r>
            <w:r w:rsidR="00B00406">
              <w:t>8</w:t>
            </w:r>
          </w:p>
        </w:tc>
      </w:tr>
      <w:tr w:rsidR="008B70B7" w:rsidRPr="004F416F" w:rsidTr="008B70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435C44" w:rsidRDefault="00FD2016" w:rsidP="00460918">
            <w:pPr>
              <w:rPr>
                <w:rStyle w:val="Strong"/>
              </w:rPr>
            </w:pPr>
            <w:r w:rsidRPr="00435C44">
              <w:rPr>
                <w:rStyle w:val="Strong"/>
              </w:rPr>
              <w:t xml:space="preserve">GROSS TOTAL </w:t>
            </w:r>
            <w:r w:rsidR="00460918" w:rsidRPr="00435C44">
              <w:rPr>
                <w:rStyle w:val="Strong"/>
              </w:rPr>
              <w:t>CAPEX</w:t>
            </w:r>
          </w:p>
        </w:tc>
        <w:tc>
          <w:tcPr>
            <w:tcW w:w="653" w:type="pct"/>
          </w:tcPr>
          <w:p w:rsidR="00FD2016" w:rsidRPr="00435C44" w:rsidRDefault="00FD2016" w:rsidP="00994816">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2</w:t>
            </w:r>
            <w:r w:rsidR="005816F9" w:rsidRPr="00435C44">
              <w:rPr>
                <w:rStyle w:val="Strong"/>
              </w:rPr>
              <w:t>3.</w:t>
            </w:r>
            <w:r w:rsidR="00B00406">
              <w:rPr>
                <w:rStyle w:val="Strong"/>
              </w:rPr>
              <w:t>5</w:t>
            </w:r>
          </w:p>
        </w:tc>
        <w:tc>
          <w:tcPr>
            <w:tcW w:w="488" w:type="pct"/>
          </w:tcPr>
          <w:p w:rsidR="00FD2016" w:rsidRPr="00435C44" w:rsidRDefault="00FD2016" w:rsidP="00994816">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1</w:t>
            </w:r>
            <w:r w:rsidR="005816F9" w:rsidRPr="00435C44">
              <w:rPr>
                <w:rStyle w:val="Strong"/>
              </w:rPr>
              <w:t>3.</w:t>
            </w:r>
            <w:r w:rsidR="00B00406">
              <w:rPr>
                <w:rStyle w:val="Strong"/>
              </w:rPr>
              <w:t>9</w:t>
            </w:r>
          </w:p>
        </w:tc>
        <w:tc>
          <w:tcPr>
            <w:tcW w:w="490" w:type="pct"/>
          </w:tcPr>
          <w:p w:rsidR="00FD2016" w:rsidRPr="00435C44" w:rsidRDefault="005816F9" w:rsidP="00994816">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6.</w:t>
            </w:r>
            <w:r w:rsidR="00B00406">
              <w:rPr>
                <w:rStyle w:val="Strong"/>
              </w:rPr>
              <w:t>5</w:t>
            </w:r>
          </w:p>
        </w:tc>
        <w:tc>
          <w:tcPr>
            <w:tcW w:w="489" w:type="pct"/>
          </w:tcPr>
          <w:p w:rsidR="00FD2016" w:rsidRPr="00435C44" w:rsidRDefault="005816F9" w:rsidP="00994816">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7.</w:t>
            </w:r>
            <w:r w:rsidR="00B00406">
              <w:rPr>
                <w:rStyle w:val="Strong"/>
              </w:rPr>
              <w:t>9</w:t>
            </w:r>
          </w:p>
        </w:tc>
        <w:tc>
          <w:tcPr>
            <w:tcW w:w="485" w:type="pct"/>
          </w:tcPr>
          <w:p w:rsidR="00FD2016" w:rsidRPr="00435C44" w:rsidRDefault="005816F9" w:rsidP="00994816">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7.</w:t>
            </w:r>
            <w:r w:rsidR="00B00406">
              <w:rPr>
                <w:rStyle w:val="Strong"/>
              </w:rPr>
              <w:t>7</w:t>
            </w:r>
          </w:p>
        </w:tc>
        <w:tc>
          <w:tcPr>
            <w:tcW w:w="457" w:type="pct"/>
          </w:tcPr>
          <w:p w:rsidR="00FD2016" w:rsidRPr="00435C44" w:rsidRDefault="005816F9" w:rsidP="008B70B7">
            <w:pPr>
              <w:cnfStyle w:val="000000010000" w:firstRow="0" w:lastRow="0" w:firstColumn="0" w:lastColumn="0" w:oddVBand="0" w:evenVBand="0" w:oddHBand="0" w:evenHBand="1" w:firstRowFirstColumn="0" w:firstRowLastColumn="0" w:lastRowFirstColumn="0" w:lastRowLastColumn="0"/>
              <w:rPr>
                <w:rStyle w:val="Strong"/>
              </w:rPr>
            </w:pPr>
            <w:r w:rsidRPr="00435C44">
              <w:rPr>
                <w:rStyle w:val="Strong"/>
              </w:rPr>
              <w:t>59.</w:t>
            </w:r>
            <w:r w:rsidR="00B00406">
              <w:rPr>
                <w:rStyle w:val="Strong"/>
              </w:rPr>
              <w:t>5</w:t>
            </w:r>
          </w:p>
        </w:tc>
      </w:tr>
      <w:tr w:rsidR="008B70B7" w:rsidRPr="004F416F" w:rsidTr="008B70B7">
        <w:trPr>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rsidRPr="00A76366">
              <w:t>Contributions</w:t>
            </w:r>
          </w:p>
        </w:tc>
        <w:tc>
          <w:tcPr>
            <w:tcW w:w="653"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8"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90"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9"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85"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c>
          <w:tcPr>
            <w:tcW w:w="457" w:type="pct"/>
          </w:tcPr>
          <w:p w:rsidR="00FD2016" w:rsidRPr="00FD2016" w:rsidRDefault="009110BA" w:rsidP="00293192">
            <w:pPr>
              <w:cnfStyle w:val="000000000000" w:firstRow="0" w:lastRow="0" w:firstColumn="0" w:lastColumn="0" w:oddVBand="0" w:evenVBand="0" w:oddHBand="0" w:evenHBand="0" w:firstRowFirstColumn="0" w:firstRowLastColumn="0" w:lastRowFirstColumn="0" w:lastRowLastColumn="0"/>
            </w:pPr>
            <w:r>
              <w:t>–</w:t>
            </w:r>
          </w:p>
        </w:tc>
      </w:tr>
      <w:tr w:rsidR="008B70B7" w:rsidRPr="004F416F" w:rsidTr="008B70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FD2016" w:rsidRDefault="00FD2016" w:rsidP="00293192">
            <w:r w:rsidRPr="00AB3A65">
              <w:t>Asset disposals</w:t>
            </w:r>
          </w:p>
        </w:tc>
        <w:tc>
          <w:tcPr>
            <w:tcW w:w="653"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c>
          <w:tcPr>
            <w:tcW w:w="488"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c>
          <w:tcPr>
            <w:tcW w:w="490"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c>
          <w:tcPr>
            <w:tcW w:w="489"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c>
          <w:tcPr>
            <w:tcW w:w="485"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c>
          <w:tcPr>
            <w:tcW w:w="457" w:type="pct"/>
          </w:tcPr>
          <w:p w:rsidR="00FD2016" w:rsidRPr="00FD2016" w:rsidRDefault="009110BA" w:rsidP="00293192">
            <w:pPr>
              <w:cnfStyle w:val="000000010000" w:firstRow="0" w:lastRow="0" w:firstColumn="0" w:lastColumn="0" w:oddVBand="0" w:evenVBand="0" w:oddHBand="0" w:evenHBand="1" w:firstRowFirstColumn="0" w:firstRowLastColumn="0" w:lastRowFirstColumn="0" w:lastRowLastColumn="0"/>
            </w:pPr>
            <w:r>
              <w:t>–</w:t>
            </w:r>
          </w:p>
        </w:tc>
      </w:tr>
      <w:tr w:rsidR="008B70B7" w:rsidRPr="004F416F" w:rsidTr="008B70B7">
        <w:trPr>
          <w:trHeight w:val="300"/>
        </w:trPr>
        <w:tc>
          <w:tcPr>
            <w:cnfStyle w:val="001000000000" w:firstRow="0" w:lastRow="0" w:firstColumn="1" w:lastColumn="0" w:oddVBand="0" w:evenVBand="0" w:oddHBand="0" w:evenHBand="0" w:firstRowFirstColumn="0" w:firstRowLastColumn="0" w:lastRowFirstColumn="0" w:lastRowLastColumn="0"/>
            <w:tcW w:w="1937" w:type="pct"/>
            <w:hideMark/>
          </w:tcPr>
          <w:p w:rsidR="00FD2016" w:rsidRPr="00600597" w:rsidRDefault="00FD2016" w:rsidP="00460918">
            <w:pPr>
              <w:rPr>
                <w:rStyle w:val="Strong"/>
              </w:rPr>
            </w:pPr>
            <w:r w:rsidRPr="00600597">
              <w:rPr>
                <w:rStyle w:val="Strong"/>
              </w:rPr>
              <w:t xml:space="preserve">NET TOTAL </w:t>
            </w:r>
            <w:r w:rsidR="00460918" w:rsidRPr="00600597">
              <w:rPr>
                <w:rStyle w:val="Strong"/>
              </w:rPr>
              <w:t>CAPEX</w:t>
            </w:r>
          </w:p>
        </w:tc>
        <w:tc>
          <w:tcPr>
            <w:tcW w:w="653" w:type="pct"/>
          </w:tcPr>
          <w:p w:rsidR="00FD2016" w:rsidRPr="00435C44" w:rsidRDefault="00287484" w:rsidP="00994816">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23.</w:t>
            </w:r>
            <w:r w:rsidR="00B00406">
              <w:rPr>
                <w:rStyle w:val="Strong"/>
              </w:rPr>
              <w:t>5</w:t>
            </w:r>
          </w:p>
        </w:tc>
        <w:tc>
          <w:tcPr>
            <w:tcW w:w="488" w:type="pct"/>
          </w:tcPr>
          <w:p w:rsidR="00FD2016" w:rsidRPr="00435C44" w:rsidRDefault="00287484" w:rsidP="00994816">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13.</w:t>
            </w:r>
            <w:r w:rsidR="00B00406">
              <w:rPr>
                <w:rStyle w:val="Strong"/>
              </w:rPr>
              <w:t>9</w:t>
            </w:r>
          </w:p>
        </w:tc>
        <w:tc>
          <w:tcPr>
            <w:tcW w:w="490" w:type="pct"/>
          </w:tcPr>
          <w:p w:rsidR="00FD2016" w:rsidRPr="00435C44" w:rsidRDefault="00287484" w:rsidP="00994816">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6.</w:t>
            </w:r>
            <w:r w:rsidR="00B00406">
              <w:rPr>
                <w:rStyle w:val="Strong"/>
              </w:rPr>
              <w:t>5</w:t>
            </w:r>
          </w:p>
        </w:tc>
        <w:tc>
          <w:tcPr>
            <w:tcW w:w="489" w:type="pct"/>
          </w:tcPr>
          <w:p w:rsidR="00FD2016" w:rsidRPr="00435C44" w:rsidRDefault="00287484" w:rsidP="00994816">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7.</w:t>
            </w:r>
            <w:r w:rsidR="00B00406">
              <w:rPr>
                <w:rStyle w:val="Strong"/>
              </w:rPr>
              <w:t>9</w:t>
            </w:r>
          </w:p>
        </w:tc>
        <w:tc>
          <w:tcPr>
            <w:tcW w:w="485" w:type="pct"/>
          </w:tcPr>
          <w:p w:rsidR="00FD2016" w:rsidRPr="00435C44" w:rsidRDefault="00287484" w:rsidP="008B70B7">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7.</w:t>
            </w:r>
            <w:r w:rsidR="00B00406">
              <w:rPr>
                <w:rStyle w:val="Strong"/>
              </w:rPr>
              <w:t>7</w:t>
            </w:r>
          </w:p>
        </w:tc>
        <w:tc>
          <w:tcPr>
            <w:tcW w:w="457" w:type="pct"/>
          </w:tcPr>
          <w:p w:rsidR="00FD2016" w:rsidRPr="00435C44" w:rsidRDefault="00287484" w:rsidP="008B70B7">
            <w:pPr>
              <w:cnfStyle w:val="000000000000" w:firstRow="0" w:lastRow="0" w:firstColumn="0" w:lastColumn="0" w:oddVBand="0" w:evenVBand="0" w:oddHBand="0" w:evenHBand="0" w:firstRowFirstColumn="0" w:firstRowLastColumn="0" w:lastRowFirstColumn="0" w:lastRowLastColumn="0"/>
              <w:rPr>
                <w:rStyle w:val="Strong"/>
              </w:rPr>
            </w:pPr>
            <w:r w:rsidRPr="00435C44">
              <w:rPr>
                <w:rStyle w:val="Strong"/>
              </w:rPr>
              <w:t>59.</w:t>
            </w:r>
            <w:r w:rsidR="00B00406">
              <w:rPr>
                <w:rStyle w:val="Strong"/>
              </w:rPr>
              <w:t>5</w:t>
            </w:r>
          </w:p>
        </w:tc>
      </w:tr>
    </w:tbl>
    <w:p w:rsidR="00FD2016" w:rsidRPr="00FD2016" w:rsidRDefault="00FD2016" w:rsidP="00FD2016">
      <w:pPr>
        <w:pStyle w:val="AERtablesource"/>
      </w:pPr>
      <w:r>
        <w:t xml:space="preserve">Source: </w:t>
      </w:r>
      <w:r>
        <w:tab/>
        <w:t>AER analysis. Totals may not add due to rounding.</w:t>
      </w:r>
    </w:p>
    <w:p w:rsidR="00600597" w:rsidRPr="00FD2016" w:rsidRDefault="008B70B7" w:rsidP="00FD2016">
      <w:r>
        <w:t xml:space="preserve">APTPPL has not forecast any expansion capex in the 2017–22 access arrangement </w:t>
      </w:r>
      <w:proofErr w:type="gramStart"/>
      <w:r>
        <w:t>period</w:t>
      </w:r>
      <w:proofErr w:type="gramEnd"/>
      <w:r>
        <w:t xml:space="preserve">. </w:t>
      </w:r>
      <w:r w:rsidR="00FD2016">
        <w:t xml:space="preserve">Our analysis of </w:t>
      </w:r>
      <w:r>
        <w:t>r</w:t>
      </w:r>
      <w:r w:rsidR="00C951C2">
        <w:t>eplacement</w:t>
      </w:r>
      <w:r>
        <w:t xml:space="preserve"> and stay in business capex</w:t>
      </w:r>
      <w:r w:rsidR="00FD2016">
        <w:t xml:space="preserve"> is set out below.</w:t>
      </w:r>
    </w:p>
    <w:p w:rsidR="00FD2016" w:rsidRDefault="00FD2016" w:rsidP="00FD2016">
      <w:pPr>
        <w:pStyle w:val="HeadingBoldBlue"/>
      </w:pPr>
      <w:bookmarkStart w:id="58" w:name="_Toc476651847"/>
      <w:bookmarkStart w:id="59" w:name="_Toc486851830"/>
      <w:r>
        <w:t>Replacement capex</w:t>
      </w:r>
      <w:bookmarkEnd w:id="58"/>
      <w:bookmarkEnd w:id="59"/>
    </w:p>
    <w:p w:rsidR="00BE1535" w:rsidRPr="00BE1535" w:rsidRDefault="00BE1535" w:rsidP="000D6D51">
      <w:r w:rsidRPr="001612CA">
        <w:t>APTPPL</w:t>
      </w:r>
      <w:r w:rsidRPr="00BE1535">
        <w:t xml:space="preserve"> forecast replacement capex of $37.</w:t>
      </w:r>
      <w:r w:rsidR="000D6D51">
        <w:t>6</w:t>
      </w:r>
      <w:r w:rsidRPr="00BE1535">
        <w:t xml:space="preserve"> million ($2016–17) for the 2017–22 access arrangement </w:t>
      </w:r>
      <w:proofErr w:type="gramStart"/>
      <w:r w:rsidRPr="00BE1535">
        <w:t>period</w:t>
      </w:r>
      <w:proofErr w:type="gramEnd"/>
      <w:r w:rsidRPr="00BE1535">
        <w:t>. This is an increase of $19.9 million</w:t>
      </w:r>
      <w:r w:rsidR="006856AE">
        <w:t>,</w:t>
      </w:r>
      <w:r w:rsidRPr="00BE1535">
        <w:t xml:space="preserve"> or 113 per cent</w:t>
      </w:r>
      <w:r w:rsidR="006856AE">
        <w:t>,</w:t>
      </w:r>
      <w:r w:rsidRPr="00BE1535">
        <w:t xml:space="preserve"> from actual and estimated replacement capex in the 2012–17 access arrangement </w:t>
      </w:r>
      <w:proofErr w:type="gramStart"/>
      <w:r w:rsidRPr="00BE1535">
        <w:t>period</w:t>
      </w:r>
      <w:proofErr w:type="gramEnd"/>
      <w:r w:rsidRPr="00BE1535">
        <w:t xml:space="preserve">. Replacement capex accounts for 56 per cent of APTPPL’s total forecast capex for the 2017–22 access arrangement </w:t>
      </w:r>
      <w:proofErr w:type="gramStart"/>
      <w:r w:rsidRPr="00BE1535">
        <w:t>period</w:t>
      </w:r>
      <w:proofErr w:type="gramEnd"/>
      <w:r w:rsidRPr="00BE1535">
        <w:t xml:space="preserve">. </w:t>
      </w:r>
    </w:p>
    <w:p w:rsidR="00BE1535" w:rsidRPr="00BE1535" w:rsidRDefault="00BE1535" w:rsidP="000D6D51">
      <w:r>
        <w:t>We have included $</w:t>
      </w:r>
      <w:r w:rsidR="00AE3EAD">
        <w:t>31.7</w:t>
      </w:r>
      <w:r w:rsidRPr="00BE1535">
        <w:t xml:space="preserve"> million ($2016–17) for replacement capex in our forecast of conforming capex for the 2017–22 access arrangement </w:t>
      </w:r>
      <w:proofErr w:type="gramStart"/>
      <w:r w:rsidRPr="00BE1535">
        <w:t>period</w:t>
      </w:r>
      <w:proofErr w:type="gramEnd"/>
      <w:r w:rsidRPr="00BE1535">
        <w:t>. This is a reduction of $</w:t>
      </w:r>
      <w:r w:rsidR="00AE3EAD">
        <w:t>5.9</w:t>
      </w:r>
      <w:r w:rsidRPr="00BE1535">
        <w:t xml:space="preserve"> million or </w:t>
      </w:r>
      <w:r w:rsidR="00AE3EAD">
        <w:t>16</w:t>
      </w:r>
      <w:r w:rsidR="00AE3EAD" w:rsidRPr="00BE1535">
        <w:t xml:space="preserve"> </w:t>
      </w:r>
      <w:r w:rsidRPr="00BE1535">
        <w:t>per cent from APTPPL’s forecast of required replacement capex. We consider this amount is sufficient for APTPPL to maintain the safety, reliability and integrity of the RBP, and is prudent and efficient.</w:t>
      </w:r>
      <w:r w:rsidR="005514AD">
        <w:rPr>
          <w:rStyle w:val="FootnoteReference"/>
        </w:rPr>
        <w:footnoteReference w:id="72"/>
      </w:r>
    </w:p>
    <w:p w:rsidR="00FD2016" w:rsidRDefault="00BE1535" w:rsidP="000D6D51">
      <w:r w:rsidRPr="001612CA">
        <w:t>APTPPL</w:t>
      </w:r>
      <w:r w:rsidRPr="00BE1535">
        <w:t>’s forecast replacement c</w:t>
      </w:r>
      <w:r>
        <w:t>apex program includes capex for</w:t>
      </w:r>
      <w:r w:rsidR="000D6D51">
        <w:t xml:space="preserve"> pipeline integrity management </w:t>
      </w:r>
      <w:r w:rsidR="005D1A8F">
        <w:t>activities</w:t>
      </w:r>
      <w:r w:rsidR="000D6D51">
        <w:t xml:space="preserve">, which consists of inline inspection of pipelines, excavations and coating upgrades and </w:t>
      </w:r>
      <w:proofErr w:type="spellStart"/>
      <w:r w:rsidR="000D6D51">
        <w:t>cathodic</w:t>
      </w:r>
      <w:proofErr w:type="spellEnd"/>
      <w:r w:rsidR="000D6D51">
        <w:t xml:space="preserve"> protection upgrades.</w:t>
      </w:r>
    </w:p>
    <w:p w:rsidR="00B80E61" w:rsidRDefault="00B80E61" w:rsidP="00E91560">
      <w:pPr>
        <w:pStyle w:val="HeadingBoldItalic"/>
      </w:pPr>
      <w:r>
        <w:t xml:space="preserve">Pipeline </w:t>
      </w:r>
      <w:r w:rsidR="007940E4">
        <w:t>i</w:t>
      </w:r>
      <w:r>
        <w:t xml:space="preserve">ntegrity </w:t>
      </w:r>
      <w:r w:rsidR="007940E4">
        <w:t>m</w:t>
      </w:r>
      <w:r>
        <w:t xml:space="preserve">anagement </w:t>
      </w:r>
      <w:r w:rsidR="00B00406">
        <w:t>activities</w:t>
      </w:r>
    </w:p>
    <w:p w:rsidR="00B80E61" w:rsidRDefault="00B80E61" w:rsidP="00B80E61">
      <w:r>
        <w:t>APTPPL forecast capex of $37.6 million ($</w:t>
      </w:r>
      <w:r w:rsidRPr="000D6D51">
        <w:t>2016–17</w:t>
      </w:r>
      <w:r>
        <w:t xml:space="preserve">) for </w:t>
      </w:r>
      <w:r w:rsidR="007940E4">
        <w:t>p</w:t>
      </w:r>
      <w:r>
        <w:t xml:space="preserve">ipeline </w:t>
      </w:r>
      <w:r w:rsidR="007940E4">
        <w:t>i</w:t>
      </w:r>
      <w:r>
        <w:t xml:space="preserve">ntegrity </w:t>
      </w:r>
      <w:r w:rsidR="007940E4">
        <w:t>m</w:t>
      </w:r>
      <w:r>
        <w:t xml:space="preserve">anagement </w:t>
      </w:r>
      <w:r w:rsidR="00E0665E">
        <w:t>activities</w:t>
      </w:r>
      <w:r>
        <w:t xml:space="preserve"> in the 2017</w:t>
      </w:r>
      <w:r w:rsidRPr="000D6D51">
        <w:t>–</w:t>
      </w:r>
      <w:r>
        <w:t xml:space="preserve">22 access arrangement </w:t>
      </w:r>
      <w:proofErr w:type="gramStart"/>
      <w:r>
        <w:t>period</w:t>
      </w:r>
      <w:proofErr w:type="gramEnd"/>
      <w:r>
        <w:t>.</w:t>
      </w:r>
      <w:r w:rsidR="00B72B66">
        <w:t xml:space="preserve"> </w:t>
      </w:r>
      <w:r w:rsidR="00740914">
        <w:t>This project is a proposed continuation of works to improve the safety and integrity of the RBP buried pipelines. The proposed works address ongoing corrosion and deterioration of the buried pipelines associated with their age, construction methods, coating degradation and other time-dependant threats to the pipelines.</w:t>
      </w:r>
    </w:p>
    <w:p w:rsidR="009C3611" w:rsidRDefault="009C3611" w:rsidP="00B80E61">
      <w:r>
        <w:t>Of the $37.6 million ($</w:t>
      </w:r>
      <w:r w:rsidRPr="000D6D51">
        <w:t>2016–17</w:t>
      </w:r>
      <w:r>
        <w:t>) proposed:</w:t>
      </w:r>
    </w:p>
    <w:p w:rsidR="00B72B66" w:rsidRDefault="00B72B66" w:rsidP="009C3611">
      <w:pPr>
        <w:pStyle w:val="AERbulletlistfirststyle"/>
      </w:pPr>
      <w:r>
        <w:t xml:space="preserve">$23.7 million </w:t>
      </w:r>
      <w:r w:rsidR="00904CF0">
        <w:t>($</w:t>
      </w:r>
      <w:r w:rsidR="00904CF0" w:rsidRPr="000D6D51">
        <w:t>2016–17</w:t>
      </w:r>
      <w:r w:rsidR="00904CF0">
        <w:t xml:space="preserve">) </w:t>
      </w:r>
      <w:r>
        <w:t>is for excavations and pipeline coating upgrades</w:t>
      </w:r>
    </w:p>
    <w:p w:rsidR="009C3611" w:rsidRDefault="009C3611" w:rsidP="009C3611">
      <w:pPr>
        <w:pStyle w:val="AERbulletlistfirststyle"/>
      </w:pPr>
      <w:r>
        <w:t xml:space="preserve">$8.3 million </w:t>
      </w:r>
      <w:r w:rsidR="00904CF0">
        <w:t>($</w:t>
      </w:r>
      <w:r w:rsidR="00904CF0" w:rsidRPr="000D6D51">
        <w:t>2016–17</w:t>
      </w:r>
      <w:r w:rsidR="00904CF0">
        <w:t xml:space="preserve">) </w:t>
      </w:r>
      <w:r>
        <w:t xml:space="preserve">is for </w:t>
      </w:r>
      <w:r w:rsidR="007940E4">
        <w:t xml:space="preserve">inline inspections </w:t>
      </w:r>
      <w:r>
        <w:t>(stay in business capex)</w:t>
      </w:r>
    </w:p>
    <w:p w:rsidR="009C3611" w:rsidRDefault="009C3611" w:rsidP="009C3611">
      <w:pPr>
        <w:pStyle w:val="AERbulletlistfirststyle"/>
      </w:pPr>
      <w:r>
        <w:t xml:space="preserve">$5.1 million </w:t>
      </w:r>
      <w:r w:rsidR="00904CF0">
        <w:t>($</w:t>
      </w:r>
      <w:r w:rsidR="00904CF0" w:rsidRPr="000D6D51">
        <w:t>2016–17</w:t>
      </w:r>
      <w:r w:rsidR="00904CF0">
        <w:t xml:space="preserve">) </w:t>
      </w:r>
      <w:r>
        <w:t xml:space="preserve">is for </w:t>
      </w:r>
      <w:proofErr w:type="spellStart"/>
      <w:r>
        <w:t>cathodic</w:t>
      </w:r>
      <w:proofErr w:type="spellEnd"/>
      <w:r>
        <w:t xml:space="preserve"> protection upgrades</w:t>
      </w:r>
    </w:p>
    <w:p w:rsidR="00B72B66" w:rsidRDefault="00B72B66" w:rsidP="009C3611">
      <w:pPr>
        <w:pStyle w:val="AERbulletlistfirststyle"/>
      </w:pPr>
      <w:r>
        <w:t xml:space="preserve">$0.6 million </w:t>
      </w:r>
      <w:r w:rsidR="00904CF0">
        <w:t>($</w:t>
      </w:r>
      <w:r w:rsidR="00904CF0" w:rsidRPr="000D6D51">
        <w:t>2016–17</w:t>
      </w:r>
      <w:r w:rsidR="00904CF0">
        <w:t xml:space="preserve">) </w:t>
      </w:r>
      <w:r>
        <w:t>is for other costs associated with pipeline integrity management activities.</w:t>
      </w:r>
    </w:p>
    <w:p w:rsidR="00625FAA" w:rsidRDefault="00625FAA" w:rsidP="00B80E61">
      <w:r>
        <w:t>APTPPL's rationale for these projects and our draft decision for each are discussed below.</w:t>
      </w:r>
    </w:p>
    <w:p w:rsidR="00FE3498" w:rsidRDefault="00160947" w:rsidP="00FE3498">
      <w:r>
        <w:t xml:space="preserve">APTPPL submitted that based on the past </w:t>
      </w:r>
      <w:r w:rsidR="007940E4">
        <w:t xml:space="preserve">inline inspection </w:t>
      </w:r>
      <w:r>
        <w:t>results</w:t>
      </w:r>
      <w:r w:rsidR="007940E4">
        <w:t>,</w:t>
      </w:r>
      <w:r>
        <w:t xml:space="preserve"> and experience during the excavations, a program of </w:t>
      </w:r>
      <w:r w:rsidR="007940E4">
        <w:t xml:space="preserve">more than </w:t>
      </w:r>
      <w:r>
        <w:t xml:space="preserve">100 excavations </w:t>
      </w:r>
      <w:r w:rsidR="00923351">
        <w:t xml:space="preserve">(digs) </w:t>
      </w:r>
      <w:r>
        <w:t xml:space="preserve">per year </w:t>
      </w:r>
      <w:r w:rsidR="006A2590">
        <w:t xml:space="preserve">is projected </w:t>
      </w:r>
      <w:r>
        <w:t xml:space="preserve">over </w:t>
      </w:r>
      <w:r w:rsidRPr="00BE1535">
        <w:t>the 2017–22 access arrangement period</w:t>
      </w:r>
      <w:r>
        <w:t xml:space="preserve">. </w:t>
      </w:r>
      <w:r w:rsidR="007940E4">
        <w:t>APTPPL forecast the number of</w:t>
      </w:r>
      <w:r w:rsidR="00FE3498">
        <w:t xml:space="preserve"> excavations from </w:t>
      </w:r>
      <w:r w:rsidR="007940E4">
        <w:t xml:space="preserve">its </w:t>
      </w:r>
      <w:r w:rsidR="00FE3498">
        <w:t xml:space="preserve">integrity modelling based on </w:t>
      </w:r>
      <w:r w:rsidR="007940E4">
        <w:t xml:space="preserve">inline inspection </w:t>
      </w:r>
      <w:r w:rsidR="00FE3498">
        <w:t xml:space="preserve">data, taking into account site verification of </w:t>
      </w:r>
      <w:r w:rsidR="007940E4">
        <w:t xml:space="preserve">inline inspection </w:t>
      </w:r>
      <w:r w:rsidR="00FE3498">
        <w:t>results, tool tolerance and corrosion growth rates.</w:t>
      </w:r>
      <w:r w:rsidR="00771C8D">
        <w:rPr>
          <w:rStyle w:val="FootnoteReference"/>
        </w:rPr>
        <w:footnoteReference w:id="73"/>
      </w:r>
      <w:r w:rsidR="00FE3498">
        <w:t xml:space="preserve">  </w:t>
      </w:r>
    </w:p>
    <w:p w:rsidR="00A600EF" w:rsidRDefault="007940E4" w:rsidP="00071BB2">
      <w:r>
        <w:t>We set out in t</w:t>
      </w:r>
      <w:r w:rsidR="00160947">
        <w:t>able 6.</w:t>
      </w:r>
      <w:r w:rsidR="00460918">
        <w:t xml:space="preserve">7 </w:t>
      </w:r>
      <w:r w:rsidR="00082BA5">
        <w:t>APTPPL's</w:t>
      </w:r>
      <w:r w:rsidR="00160947">
        <w:t xml:space="preserve"> forecast </w:t>
      </w:r>
      <w:r w:rsidR="00082BA5">
        <w:t>for</w:t>
      </w:r>
      <w:r w:rsidR="00160947">
        <w:t xml:space="preserve"> excavations and upgrades over the </w:t>
      </w:r>
      <w:r w:rsidR="00160947" w:rsidRPr="00BE1535">
        <w:t xml:space="preserve">2017–22 access arrangement </w:t>
      </w:r>
      <w:proofErr w:type="gramStart"/>
      <w:r w:rsidR="00160947" w:rsidRPr="00BE1535">
        <w:t>period</w:t>
      </w:r>
      <w:proofErr w:type="gramEnd"/>
      <w:r w:rsidR="00160947">
        <w:t>.</w:t>
      </w:r>
    </w:p>
    <w:p w:rsidR="00160947" w:rsidRDefault="00160947" w:rsidP="00160947">
      <w:pPr>
        <w:pStyle w:val="Tabletitle"/>
      </w:pPr>
      <w:r>
        <w:t>Table 6.</w:t>
      </w:r>
      <w:r w:rsidR="00460918">
        <w:t xml:space="preserve">7 </w:t>
      </w:r>
      <w:r>
        <w:tab/>
        <w:t xml:space="preserve">APTPPL proposed excavations and upgrades over the </w:t>
      </w:r>
      <w:r w:rsidR="00600597">
        <w:br/>
      </w:r>
      <w:r>
        <w:t>2017</w:t>
      </w:r>
      <w:r w:rsidRPr="00E40C29">
        <w:t>–</w:t>
      </w:r>
      <w:r>
        <w:t xml:space="preserve">22 access arrangement </w:t>
      </w:r>
      <w:proofErr w:type="gramStart"/>
      <w:r>
        <w:t>period</w:t>
      </w:r>
      <w:proofErr w:type="gramEnd"/>
      <w:r>
        <w:t xml:space="preserve"> </w:t>
      </w:r>
    </w:p>
    <w:tbl>
      <w:tblPr>
        <w:tblStyle w:val="AERtable-numbers"/>
        <w:tblW w:w="5000" w:type="pct"/>
        <w:tblLook w:val="04A0" w:firstRow="1" w:lastRow="0" w:firstColumn="1" w:lastColumn="0" w:noHBand="0" w:noVBand="1"/>
      </w:tblPr>
      <w:tblGrid>
        <w:gridCol w:w="2942"/>
        <w:gridCol w:w="958"/>
        <w:gridCol w:w="958"/>
        <w:gridCol w:w="958"/>
        <w:gridCol w:w="958"/>
        <w:gridCol w:w="958"/>
        <w:gridCol w:w="960"/>
      </w:tblGrid>
      <w:tr w:rsidR="00160947" w:rsidRPr="004F416F" w:rsidTr="001609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692" w:type="pct"/>
            <w:hideMark/>
          </w:tcPr>
          <w:p w:rsidR="00160947" w:rsidRPr="00FD2016" w:rsidRDefault="00160947" w:rsidP="00160947">
            <w:r w:rsidRPr="00FD2016">
              <w:t> </w:t>
            </w:r>
          </w:p>
        </w:tc>
        <w:tc>
          <w:tcPr>
            <w:tcW w:w="551" w:type="pct"/>
            <w:hideMark/>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2017</w:t>
            </w:r>
            <w:r w:rsidR="00460918">
              <w:t>–</w:t>
            </w:r>
            <w:r w:rsidRPr="00FD2016">
              <w:t>18</w:t>
            </w:r>
          </w:p>
        </w:tc>
        <w:tc>
          <w:tcPr>
            <w:tcW w:w="551" w:type="pct"/>
            <w:hideMark/>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2018</w:t>
            </w:r>
            <w:r w:rsidR="00460918">
              <w:t>–</w:t>
            </w:r>
            <w:r w:rsidRPr="00FD2016">
              <w:t>19</w:t>
            </w:r>
          </w:p>
        </w:tc>
        <w:tc>
          <w:tcPr>
            <w:tcW w:w="551" w:type="pct"/>
            <w:hideMark/>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2019</w:t>
            </w:r>
            <w:r w:rsidR="00460918">
              <w:t>–</w:t>
            </w:r>
            <w:r w:rsidRPr="00FD2016">
              <w:t>20</w:t>
            </w:r>
          </w:p>
        </w:tc>
        <w:tc>
          <w:tcPr>
            <w:tcW w:w="551" w:type="pct"/>
            <w:hideMark/>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2020</w:t>
            </w:r>
            <w:r w:rsidR="00460918">
              <w:t>–</w:t>
            </w:r>
            <w:r w:rsidRPr="00FD2016">
              <w:t>21</w:t>
            </w:r>
          </w:p>
        </w:tc>
        <w:tc>
          <w:tcPr>
            <w:tcW w:w="551" w:type="pct"/>
            <w:hideMark/>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2021</w:t>
            </w:r>
            <w:r w:rsidR="00460918">
              <w:t>–</w:t>
            </w:r>
            <w:r w:rsidRPr="00FD2016">
              <w:t>22</w:t>
            </w:r>
          </w:p>
        </w:tc>
        <w:tc>
          <w:tcPr>
            <w:tcW w:w="552" w:type="pct"/>
          </w:tcPr>
          <w:p w:rsidR="00160947" w:rsidRPr="00FD2016" w:rsidRDefault="00160947" w:rsidP="00160947">
            <w:pPr>
              <w:cnfStyle w:val="100000000000" w:firstRow="1" w:lastRow="0" w:firstColumn="0" w:lastColumn="0" w:oddVBand="0" w:evenVBand="0" w:oddHBand="0" w:evenHBand="0" w:firstRowFirstColumn="0" w:firstRowLastColumn="0" w:lastRowFirstColumn="0" w:lastRowLastColumn="0"/>
            </w:pPr>
            <w:r w:rsidRPr="00FD2016">
              <w:t>Total</w:t>
            </w:r>
          </w:p>
        </w:tc>
      </w:tr>
      <w:tr w:rsidR="00160947" w:rsidRPr="004F416F" w:rsidTr="00160947">
        <w:trPr>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160947" w:rsidRPr="00160947" w:rsidRDefault="00160947" w:rsidP="00160947">
            <w:r>
              <w:t>Metro excavations</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33</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36</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15</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11</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7</w:t>
            </w:r>
          </w:p>
        </w:tc>
        <w:tc>
          <w:tcPr>
            <w:tcW w:w="552"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102</w:t>
            </w:r>
          </w:p>
        </w:tc>
      </w:tr>
      <w:tr w:rsidR="00160947" w:rsidRPr="004F416F" w:rsidTr="001609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160947" w:rsidRPr="00160947" w:rsidRDefault="00160947" w:rsidP="00160947">
            <w:r>
              <w:t>Non-metro excavations</w:t>
            </w:r>
          </w:p>
        </w:tc>
        <w:tc>
          <w:tcPr>
            <w:tcW w:w="551"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83</w:t>
            </w:r>
          </w:p>
        </w:tc>
        <w:tc>
          <w:tcPr>
            <w:tcW w:w="551"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94</w:t>
            </w:r>
          </w:p>
        </w:tc>
        <w:tc>
          <w:tcPr>
            <w:tcW w:w="551"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76</w:t>
            </w:r>
          </w:p>
        </w:tc>
        <w:tc>
          <w:tcPr>
            <w:tcW w:w="551"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74</w:t>
            </w:r>
          </w:p>
        </w:tc>
        <w:tc>
          <w:tcPr>
            <w:tcW w:w="551"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93</w:t>
            </w:r>
          </w:p>
        </w:tc>
        <w:tc>
          <w:tcPr>
            <w:tcW w:w="552" w:type="pct"/>
          </w:tcPr>
          <w:p w:rsidR="00160947" w:rsidRPr="00FD2016" w:rsidRDefault="006A2590" w:rsidP="00160947">
            <w:pPr>
              <w:cnfStyle w:val="000000010000" w:firstRow="0" w:lastRow="0" w:firstColumn="0" w:lastColumn="0" w:oddVBand="0" w:evenVBand="0" w:oddHBand="0" w:evenHBand="1" w:firstRowFirstColumn="0" w:firstRowLastColumn="0" w:lastRowFirstColumn="0" w:lastRowLastColumn="0"/>
            </w:pPr>
            <w:r>
              <w:t>420</w:t>
            </w:r>
          </w:p>
        </w:tc>
      </w:tr>
      <w:tr w:rsidR="00160947" w:rsidRPr="004F416F" w:rsidTr="00160947">
        <w:trPr>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160947" w:rsidRPr="00160947" w:rsidRDefault="00160947" w:rsidP="00160947">
            <w:r>
              <w:t xml:space="preserve">Total excavations </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116</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130</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91</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85</w:t>
            </w:r>
          </w:p>
        </w:tc>
        <w:tc>
          <w:tcPr>
            <w:tcW w:w="551"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100</w:t>
            </w:r>
          </w:p>
        </w:tc>
        <w:tc>
          <w:tcPr>
            <w:tcW w:w="552" w:type="pct"/>
          </w:tcPr>
          <w:p w:rsidR="00160947" w:rsidRPr="00FD2016" w:rsidRDefault="006A2590" w:rsidP="00160947">
            <w:pPr>
              <w:cnfStyle w:val="000000000000" w:firstRow="0" w:lastRow="0" w:firstColumn="0" w:lastColumn="0" w:oddVBand="0" w:evenVBand="0" w:oddHBand="0" w:evenHBand="0" w:firstRowFirstColumn="0" w:firstRowLastColumn="0" w:lastRowFirstColumn="0" w:lastRowLastColumn="0"/>
            </w:pPr>
            <w:r>
              <w:t>522</w:t>
            </w:r>
          </w:p>
        </w:tc>
      </w:tr>
      <w:tr w:rsidR="00160947" w:rsidRPr="004F416F" w:rsidTr="001609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160947" w:rsidRPr="00E0665E" w:rsidRDefault="006A2590" w:rsidP="00160947">
            <w:pPr>
              <w:rPr>
                <w:rStyle w:val="Strong"/>
              </w:rPr>
            </w:pPr>
            <w:r w:rsidRPr="00E0665E">
              <w:rPr>
                <w:rStyle w:val="Strong"/>
              </w:rPr>
              <w:t>Total capex ($million, 2016–17)</w:t>
            </w:r>
          </w:p>
        </w:tc>
        <w:tc>
          <w:tcPr>
            <w:tcW w:w="551"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5.4</w:t>
            </w:r>
          </w:p>
        </w:tc>
        <w:tc>
          <w:tcPr>
            <w:tcW w:w="551"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6.1</w:t>
            </w:r>
          </w:p>
        </w:tc>
        <w:tc>
          <w:tcPr>
            <w:tcW w:w="551"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4.1</w:t>
            </w:r>
          </w:p>
        </w:tc>
        <w:tc>
          <w:tcPr>
            <w:tcW w:w="551"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3.8</w:t>
            </w:r>
          </w:p>
        </w:tc>
        <w:tc>
          <w:tcPr>
            <w:tcW w:w="551"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4.3</w:t>
            </w:r>
          </w:p>
        </w:tc>
        <w:tc>
          <w:tcPr>
            <w:tcW w:w="552" w:type="pct"/>
          </w:tcPr>
          <w:p w:rsidR="00160947" w:rsidRPr="00E0665E" w:rsidRDefault="006A2590" w:rsidP="00160947">
            <w:pPr>
              <w:cnfStyle w:val="000000010000" w:firstRow="0" w:lastRow="0" w:firstColumn="0" w:lastColumn="0" w:oddVBand="0" w:evenVBand="0" w:oddHBand="0" w:evenHBand="1" w:firstRowFirstColumn="0" w:firstRowLastColumn="0" w:lastRowFirstColumn="0" w:lastRowLastColumn="0"/>
              <w:rPr>
                <w:rStyle w:val="Strong"/>
              </w:rPr>
            </w:pPr>
            <w:r w:rsidRPr="00E0665E">
              <w:rPr>
                <w:rStyle w:val="Strong"/>
              </w:rPr>
              <w:t>23.7</w:t>
            </w:r>
          </w:p>
        </w:tc>
      </w:tr>
    </w:tbl>
    <w:p w:rsidR="000973A4" w:rsidRPr="006D0A35" w:rsidRDefault="006D0A35" w:rsidP="006D0A35">
      <w:pPr>
        <w:pStyle w:val="AERtablesource"/>
      </w:pPr>
      <w:r w:rsidRPr="006D0A35">
        <w:t xml:space="preserve">Source: </w:t>
      </w:r>
      <w:r w:rsidRPr="006D0A35">
        <w:tab/>
      </w:r>
      <w:r>
        <w:t>APTPPL</w:t>
      </w:r>
      <w:r w:rsidR="00151FD8">
        <w:t>, Forecast capital expenditure documents -</w:t>
      </w:r>
      <w:r>
        <w:t xml:space="preserve"> Business Case </w:t>
      </w:r>
      <w:r w:rsidR="00151FD8">
        <w:t>AA-03, September 2016;</w:t>
      </w:r>
      <w:r>
        <w:t xml:space="preserve"> </w:t>
      </w:r>
      <w:r w:rsidRPr="006D0A35">
        <w:t>AER analysis. Totals may not add due to rounding.</w:t>
      </w:r>
    </w:p>
    <w:p w:rsidR="00FE3498" w:rsidRDefault="00FE3498" w:rsidP="00B80E61">
      <w:r>
        <w:t>APTPPL further noted that</w:t>
      </w:r>
      <w:r w:rsidR="002C2F06">
        <w:t xml:space="preserve"> it based</w:t>
      </w:r>
      <w:r>
        <w:t xml:space="preserve"> the forecast number of excavations on a reinspection of the DN250 pipeline in 2019, which is likely to reduce the excavation requirements in 2020</w:t>
      </w:r>
      <w:r w:rsidR="00E4194A">
        <w:t>.</w:t>
      </w:r>
    </w:p>
    <w:p w:rsidR="00771C8D" w:rsidRDefault="000973A4" w:rsidP="00B80E61">
      <w:r>
        <w:t xml:space="preserve">We requested APTPPL to provide further details of its integrity modelling, including evidence of the </w:t>
      </w:r>
      <w:r w:rsidR="002C2F06">
        <w:t xml:space="preserve">inline inspection </w:t>
      </w:r>
      <w:r>
        <w:t>results used to forecast the number of excavations</w:t>
      </w:r>
      <w:r w:rsidR="00FE3498">
        <w:t xml:space="preserve"> in </w:t>
      </w:r>
      <w:r w:rsidR="002C2F06">
        <w:t>t</w:t>
      </w:r>
      <w:r w:rsidR="00FE3498">
        <w:t>able 6.</w:t>
      </w:r>
      <w:r w:rsidR="00E0665E">
        <w:t>7</w:t>
      </w:r>
      <w:r w:rsidR="005367D6">
        <w:t xml:space="preserve">, as well as the methodology used to forecast the decrease in excavations following further </w:t>
      </w:r>
      <w:r w:rsidR="002C2F06">
        <w:t xml:space="preserve">inline inspections </w:t>
      </w:r>
      <w:r w:rsidR="00D17D7B">
        <w:t>in 2019</w:t>
      </w:r>
      <w:r>
        <w:t>.</w:t>
      </w:r>
      <w:r w:rsidR="00FE3498">
        <w:t xml:space="preserve"> </w:t>
      </w:r>
    </w:p>
    <w:p w:rsidR="00FE3498" w:rsidRDefault="00FE3498" w:rsidP="00B80E61">
      <w:r>
        <w:t>APTPPL provided</w:t>
      </w:r>
      <w:r w:rsidR="00D17D7B">
        <w:t xml:space="preserve"> a </w:t>
      </w:r>
      <w:r w:rsidR="00771C8D">
        <w:t xml:space="preserve">summary </w:t>
      </w:r>
      <w:proofErr w:type="spellStart"/>
      <w:r w:rsidR="00D17D7B">
        <w:t>spreadsheet</w:t>
      </w:r>
      <w:proofErr w:type="spellEnd"/>
      <w:r w:rsidR="00D17D7B">
        <w:t xml:space="preserve"> showing</w:t>
      </w:r>
      <w:r w:rsidR="00AA104E">
        <w:t>, for each pipeline section,</w:t>
      </w:r>
      <w:r w:rsidR="00D17D7B">
        <w:t xml:space="preserve"> the number of individual features identified as requiring repair and the number of required excavations after aggregation. This indicated that, </w:t>
      </w:r>
      <w:r w:rsidR="00AA104E">
        <w:t xml:space="preserve">for the six calendar years </w:t>
      </w:r>
      <w:r w:rsidR="00D17D7B">
        <w:t>between 2015 and 2020</w:t>
      </w:r>
      <w:r w:rsidR="00AA104E">
        <w:t>, 473 total excavations are required.</w:t>
      </w:r>
      <w:r w:rsidR="00B332C7">
        <w:rPr>
          <w:rStyle w:val="FootnoteReference"/>
        </w:rPr>
        <w:footnoteReference w:id="74"/>
      </w:r>
      <w:r w:rsidR="00AA104E">
        <w:t xml:space="preserve"> </w:t>
      </w:r>
      <w:r w:rsidR="00934D68">
        <w:t xml:space="preserve">This </w:t>
      </w:r>
      <w:r w:rsidR="00B332C7">
        <w:t xml:space="preserve">is </w:t>
      </w:r>
      <w:r w:rsidR="00934D68">
        <w:t xml:space="preserve">compared with </w:t>
      </w:r>
      <w:r w:rsidR="00D6458A">
        <w:t xml:space="preserve">APTPPL's </w:t>
      </w:r>
      <w:r w:rsidR="00934D68">
        <w:t xml:space="preserve">609 actual/proposed excavations </w:t>
      </w:r>
      <w:r w:rsidR="00D6458A">
        <w:t xml:space="preserve">over the </w:t>
      </w:r>
      <w:r w:rsidR="00C951C2">
        <w:t>2015</w:t>
      </w:r>
      <w:r w:rsidR="00C951C2" w:rsidRPr="00E40C29">
        <w:t>–</w:t>
      </w:r>
      <w:r w:rsidR="00C951C2">
        <w:t>20</w:t>
      </w:r>
      <w:r w:rsidR="00D6458A">
        <w:t xml:space="preserve"> </w:t>
      </w:r>
      <w:proofErr w:type="gramStart"/>
      <w:r w:rsidR="00D6458A">
        <w:t>period</w:t>
      </w:r>
      <w:proofErr w:type="gramEnd"/>
      <w:r w:rsidR="00934D68">
        <w:t xml:space="preserve">. </w:t>
      </w:r>
      <w:r w:rsidR="00AA104E">
        <w:t xml:space="preserve"> </w:t>
      </w:r>
      <w:r>
        <w:t xml:space="preserve"> </w:t>
      </w:r>
    </w:p>
    <w:p w:rsidR="005367D6" w:rsidRDefault="00771C8D" w:rsidP="00B80E61">
      <w:r>
        <w:t>APTPPL also submitted that the 50 per cent reduction in repairs in 2020 is an assumption based on real reductions in predicted repair requirements seen after re</w:t>
      </w:r>
      <w:r w:rsidR="002C2F06">
        <w:noBreakHyphen/>
      </w:r>
      <w:r>
        <w:t>inspection on the Moomba to Wilton and Parmelia Gas Pipelines. The</w:t>
      </w:r>
      <w:r w:rsidR="002C2F06">
        <w:t xml:space="preserve"> 2019 inline inspections will effectively reset the</w:t>
      </w:r>
      <w:r>
        <w:t xml:space="preserve"> corrosion growth model.</w:t>
      </w:r>
      <w:r>
        <w:rPr>
          <w:rStyle w:val="FootnoteReference"/>
        </w:rPr>
        <w:footnoteReference w:id="75"/>
      </w:r>
    </w:p>
    <w:p w:rsidR="00771C8D" w:rsidRDefault="006B03BC" w:rsidP="00B80E61">
      <w:r>
        <w:t xml:space="preserve">We sought engineering advice from 4ei to assist in assessing APTPPL's forecast of excavations and repairs. </w:t>
      </w:r>
      <w:r w:rsidR="00B332C7">
        <w:t xml:space="preserve">4ei's report noted that the improvement in data interpretation and growth estimation from a future </w:t>
      </w:r>
      <w:r w:rsidR="002C2F06">
        <w:t>inline inspection</w:t>
      </w:r>
      <w:r w:rsidR="002C2F06" w:rsidDel="002C2F06">
        <w:t xml:space="preserve"> </w:t>
      </w:r>
      <w:r w:rsidR="00B332C7">
        <w:t xml:space="preserve">run has the potential to substantially change the required number of repairs after that run. </w:t>
      </w:r>
      <w:r w:rsidR="002D3C23">
        <w:t>4ei informed us</w:t>
      </w:r>
      <w:r w:rsidR="00813830">
        <w:t>, and we agree,</w:t>
      </w:r>
      <w:r w:rsidR="002D3C23">
        <w:t xml:space="preserve"> that i</w:t>
      </w:r>
      <w:r w:rsidR="00B332C7">
        <w:t xml:space="preserve">t is difficult to assess the conservatism (or otherwise) in the predicted number of excavations for the later years of the forecast </w:t>
      </w:r>
      <w:r w:rsidR="00CC7F2F">
        <w:t xml:space="preserve">access arrangement </w:t>
      </w:r>
      <w:r w:rsidR="00B332C7">
        <w:t>period.</w:t>
      </w:r>
      <w:r w:rsidR="00B332C7">
        <w:rPr>
          <w:rStyle w:val="FootnoteReference"/>
        </w:rPr>
        <w:footnoteReference w:id="76"/>
      </w:r>
    </w:p>
    <w:p w:rsidR="00E4194A" w:rsidRDefault="005367D6" w:rsidP="00B80E61">
      <w:r>
        <w:t xml:space="preserve">We are </w:t>
      </w:r>
      <w:r w:rsidR="00B332C7">
        <w:t xml:space="preserve">largely </w:t>
      </w:r>
      <w:r>
        <w:t xml:space="preserve">satisfied that APTPPL's integrity modelling is consistent with industry practice, however the </w:t>
      </w:r>
      <w:r w:rsidR="006D0A35">
        <w:t xml:space="preserve">excavation forecasts based on </w:t>
      </w:r>
      <w:r w:rsidR="002C2F06">
        <w:t>inline inspection</w:t>
      </w:r>
      <w:r w:rsidR="002C2F06" w:rsidDel="002C2F06">
        <w:t xml:space="preserve"> </w:t>
      </w:r>
      <w:r>
        <w:t xml:space="preserve">results (a key input in </w:t>
      </w:r>
      <w:r w:rsidR="00FE646D">
        <w:t xml:space="preserve">the </w:t>
      </w:r>
      <w:r>
        <w:t xml:space="preserve">corrosion growth modelling) </w:t>
      </w:r>
      <w:r w:rsidR="00B332C7">
        <w:t>indicate</w:t>
      </w:r>
      <w:r>
        <w:t xml:space="preserve"> that fewer excavations are required</w:t>
      </w:r>
      <w:r w:rsidR="006E6424">
        <w:t xml:space="preserve"> than </w:t>
      </w:r>
      <w:r w:rsidR="006D0A35">
        <w:t xml:space="preserve">APTPPL has </w:t>
      </w:r>
      <w:r w:rsidR="000F027C">
        <w:t>proposed in its business case</w:t>
      </w:r>
      <w:r>
        <w:t>.</w:t>
      </w:r>
    </w:p>
    <w:p w:rsidR="00625FAA" w:rsidRDefault="00625FAA" w:rsidP="00B80E61">
      <w:r>
        <w:t>APTPPL has forecast the cost per excavation based on 2015</w:t>
      </w:r>
      <w:r w:rsidRPr="00BE1535">
        <w:t>–</w:t>
      </w:r>
      <w:r>
        <w:t>16 work programme costs, taking into account variation in complexity and cost between metropolitan and rural sites.</w:t>
      </w:r>
      <w:r w:rsidR="00C6297D">
        <w:rPr>
          <w:rStyle w:val="FootnoteReference"/>
        </w:rPr>
        <w:footnoteReference w:id="77"/>
      </w:r>
      <w:r>
        <w:t xml:space="preserve"> The differences in costs are due to land access and landowner liaison, other underground services, increased depth of pipeline in some locations, council approval requirements, traffic control requirements, </w:t>
      </w:r>
      <w:proofErr w:type="gramStart"/>
      <w:r>
        <w:t>environmental</w:t>
      </w:r>
      <w:proofErr w:type="gramEnd"/>
      <w:r>
        <w:t xml:space="preserve"> controls and increased fencing. </w:t>
      </w:r>
    </w:p>
    <w:p w:rsidR="00E11A7A" w:rsidRDefault="00E11A7A" w:rsidP="00B80E61">
      <w:r>
        <w:t xml:space="preserve">APTPPL has proposed to undertake stress corrosion cracking direct assessment at all digs; this involves 100 per cent coating removal and crack detection by magnetic particle inspection or eddy current array, which increases dig cost and </w:t>
      </w:r>
      <w:proofErr w:type="gramStart"/>
      <w:r>
        <w:t>duration</w:t>
      </w:r>
      <w:proofErr w:type="gramEnd"/>
      <w:r>
        <w:t xml:space="preserve"> compared to standard </w:t>
      </w:r>
      <w:r w:rsidR="00E50974">
        <w:t>inline inspection</w:t>
      </w:r>
      <w:r w:rsidR="00E50974" w:rsidDel="00E50974">
        <w:t xml:space="preserve"> </w:t>
      </w:r>
      <w:r>
        <w:t>verification digs.</w:t>
      </w:r>
      <w:r>
        <w:rPr>
          <w:rStyle w:val="FootnoteReference"/>
        </w:rPr>
        <w:footnoteReference w:id="78"/>
      </w:r>
      <w:r>
        <w:t xml:space="preserve"> </w:t>
      </w:r>
      <w:r w:rsidR="00923351">
        <w:t xml:space="preserve">We requested APTPPL to provide historical evidence of </w:t>
      </w:r>
      <w:r w:rsidR="00E50974">
        <w:t xml:space="preserve">stress corrosion cracking </w:t>
      </w:r>
      <w:r w:rsidR="00923351">
        <w:t>that was found on the pipeline for the digs undertaken in 2014-15 and 2015-16. APTPPL respon</w:t>
      </w:r>
      <w:r w:rsidR="004D0B2D">
        <w:t>ded</w:t>
      </w:r>
      <w:r w:rsidR="002D3C23">
        <w:t xml:space="preserve"> </w:t>
      </w:r>
      <w:r w:rsidR="00923351">
        <w:t xml:space="preserve">that </w:t>
      </w:r>
      <w:r w:rsidR="00E50974">
        <w:t xml:space="preserve">it observed and treated </w:t>
      </w:r>
      <w:r w:rsidR="004D0B2D">
        <w:t xml:space="preserve">13 </w:t>
      </w:r>
      <w:r w:rsidR="00E50974">
        <w:t xml:space="preserve">stress corrosion cracking </w:t>
      </w:r>
      <w:r w:rsidR="004D0B2D">
        <w:t>features (</w:t>
      </w:r>
      <w:r w:rsidR="00923351">
        <w:t>at 12 per cent of the digs</w:t>
      </w:r>
      <w:r w:rsidR="004D0B2D">
        <w:t>)</w:t>
      </w:r>
      <w:r w:rsidR="00923351">
        <w:t>.</w:t>
      </w:r>
      <w:r w:rsidR="00923351">
        <w:rPr>
          <w:rStyle w:val="FootnoteReference"/>
        </w:rPr>
        <w:footnoteReference w:id="79"/>
      </w:r>
      <w:r w:rsidR="00923351">
        <w:t xml:space="preserve"> </w:t>
      </w:r>
    </w:p>
    <w:p w:rsidR="00923351" w:rsidRDefault="009F2066" w:rsidP="00B80E61">
      <w:r>
        <w:t xml:space="preserve">We also requested APTPPL to provide evidence of historical costs associated with </w:t>
      </w:r>
      <w:r w:rsidR="00E50974">
        <w:t xml:space="preserve">stress corrosion cracking </w:t>
      </w:r>
      <w:r>
        <w:t xml:space="preserve">direct assessment. APTPPL informed us that they do not cost this separately; however the identifying and locating of </w:t>
      </w:r>
      <w:r w:rsidR="00E50974">
        <w:t xml:space="preserve">stress corrosion cracking </w:t>
      </w:r>
      <w:r>
        <w:t>form part of the non-destructive testing costs and the engineering inspection forms part of engineering costs. In 2015</w:t>
      </w:r>
      <w:r w:rsidR="00E50974">
        <w:t>–</w:t>
      </w:r>
      <w:r>
        <w:t xml:space="preserve">16 the </w:t>
      </w:r>
      <w:r w:rsidR="00E50974">
        <w:t xml:space="preserve">non-destructive testing </w:t>
      </w:r>
      <w:r>
        <w:t>costs and engineering costs were approximately 9</w:t>
      </w:r>
      <w:r w:rsidR="00E50974">
        <w:t>–</w:t>
      </w:r>
      <w:r>
        <w:t>10 per cent and 6</w:t>
      </w:r>
      <w:r w:rsidR="00E50974">
        <w:t>–</w:t>
      </w:r>
      <w:r>
        <w:t>8 per cent of total dig costs, respectively.</w:t>
      </w:r>
      <w:r>
        <w:rPr>
          <w:rStyle w:val="FootnoteReference"/>
        </w:rPr>
        <w:footnoteReference w:id="80"/>
      </w:r>
      <w:r>
        <w:t xml:space="preserve"> </w:t>
      </w:r>
      <w:r w:rsidR="00082BA5">
        <w:t xml:space="preserve">We consider that it is not prudent to undertake </w:t>
      </w:r>
      <w:r w:rsidR="00E50974">
        <w:t xml:space="preserve">stress corrosion cracking </w:t>
      </w:r>
      <w:r w:rsidR="00082BA5">
        <w:t xml:space="preserve">direct assessment at all excavations, given that improved </w:t>
      </w:r>
      <w:r w:rsidR="00E50974">
        <w:t xml:space="preserve">inline inspection </w:t>
      </w:r>
      <w:r w:rsidR="00082BA5">
        <w:t>tools (see below) will provide targeted information about the location and state of potential pipeline cracks.</w:t>
      </w:r>
    </w:p>
    <w:p w:rsidR="000F027C" w:rsidRDefault="000F027C" w:rsidP="00B80E61">
      <w:r>
        <w:t xml:space="preserve">Based on our review of information in support of the number of excavations and the cost per excavation, we are not satisfied that APTPPL </w:t>
      </w:r>
      <w:r w:rsidR="00E50974">
        <w:t xml:space="preserve">arrived at its </w:t>
      </w:r>
      <w:r>
        <w:t>capex estimate on a reasonable basis.</w:t>
      </w:r>
      <w:r>
        <w:rPr>
          <w:rStyle w:val="FootnoteReference"/>
        </w:rPr>
        <w:footnoteReference w:id="81"/>
      </w:r>
      <w:r>
        <w:t xml:space="preserve"> </w:t>
      </w:r>
    </w:p>
    <w:p w:rsidR="00A600EF" w:rsidRDefault="00C6297D" w:rsidP="00071BB2">
      <w:r>
        <w:t>Table 6.</w:t>
      </w:r>
      <w:r w:rsidR="00460918">
        <w:t xml:space="preserve">8 </w:t>
      </w:r>
      <w:r>
        <w:t xml:space="preserve">shows our draft decision on the number of excavations and upgrades over the </w:t>
      </w:r>
      <w:r w:rsidRPr="00BE1535">
        <w:t xml:space="preserve">2017–22 access arrangement </w:t>
      </w:r>
      <w:proofErr w:type="gramStart"/>
      <w:r w:rsidRPr="00BE1535">
        <w:t>period</w:t>
      </w:r>
      <w:proofErr w:type="gramEnd"/>
      <w:r>
        <w:t xml:space="preserve">. The number of excavations is based on </w:t>
      </w:r>
      <w:r w:rsidR="00E50974">
        <w:t xml:space="preserve">inline inspection </w:t>
      </w:r>
      <w:r>
        <w:t>results</w:t>
      </w:r>
      <w:r w:rsidR="006E6424">
        <w:t xml:space="preserve"> </w:t>
      </w:r>
      <w:r>
        <w:t>for 2017</w:t>
      </w:r>
      <w:r w:rsidR="00460918">
        <w:t>–</w:t>
      </w:r>
      <w:r>
        <w:t>18, 2018</w:t>
      </w:r>
      <w:r w:rsidR="00460918">
        <w:t>–</w:t>
      </w:r>
      <w:r>
        <w:t>19 and 2019</w:t>
      </w:r>
      <w:r w:rsidR="00460918">
        <w:t>–</w:t>
      </w:r>
      <w:r>
        <w:t xml:space="preserve">20, </w:t>
      </w:r>
      <w:r w:rsidR="006E6424">
        <w:t>(</w:t>
      </w:r>
      <w:r>
        <w:t>assuming a 50 per cent reduction in excavations in 2020) and APTPPL forecasts for 2020</w:t>
      </w:r>
      <w:r w:rsidR="00460918">
        <w:t>–</w:t>
      </w:r>
      <w:r>
        <w:t>21 and 2021</w:t>
      </w:r>
      <w:r w:rsidR="00460918">
        <w:t>–</w:t>
      </w:r>
      <w:r>
        <w:t>22.</w:t>
      </w:r>
      <w:r w:rsidR="006E6424">
        <w:t xml:space="preserve"> The average cost of each excavation is also reduced; we consider it prudent to only undertake </w:t>
      </w:r>
      <w:r w:rsidR="00E50974">
        <w:t xml:space="preserve">stress corrosion cracking </w:t>
      </w:r>
      <w:r w:rsidR="006E6424">
        <w:t xml:space="preserve">direct assessment at 12 per cent of excavations (based on historical levels), and have decreased excavation costs by 15 per cent for the remaining excavations over the </w:t>
      </w:r>
      <w:r w:rsidR="006E6424" w:rsidRPr="00C6297D">
        <w:t>2017–22 access arrangement period</w:t>
      </w:r>
      <w:r w:rsidR="006E6424">
        <w:t xml:space="preserve"> (based on an estimate of the </w:t>
      </w:r>
      <w:r w:rsidR="00E50974">
        <w:t xml:space="preserve">non-destructive testing </w:t>
      </w:r>
      <w:r w:rsidR="006E6424">
        <w:t xml:space="preserve">and engineering costs).   </w:t>
      </w:r>
    </w:p>
    <w:p w:rsidR="00C6297D" w:rsidRPr="00C6297D" w:rsidRDefault="00C6297D" w:rsidP="00C6297D">
      <w:pPr>
        <w:pStyle w:val="Tabletitle"/>
      </w:pPr>
      <w:r w:rsidRPr="00C6297D">
        <w:t>Table 6.</w:t>
      </w:r>
      <w:r w:rsidR="00460918">
        <w:t>8</w:t>
      </w:r>
      <w:r w:rsidR="00460918" w:rsidRPr="00C6297D">
        <w:t xml:space="preserve"> </w:t>
      </w:r>
      <w:r w:rsidRPr="00C6297D">
        <w:tab/>
      </w:r>
      <w:r>
        <w:t>AER Draft Decision</w:t>
      </w:r>
      <w:r w:rsidRPr="00C6297D">
        <w:t xml:space="preserve"> excavations and upgrades over the </w:t>
      </w:r>
      <w:r w:rsidR="00904CF0">
        <w:br/>
      </w:r>
      <w:r w:rsidRPr="00C6297D">
        <w:t xml:space="preserve">2017–22 access arrangement </w:t>
      </w:r>
      <w:proofErr w:type="gramStart"/>
      <w:r w:rsidRPr="00C6297D">
        <w:t>period</w:t>
      </w:r>
      <w:proofErr w:type="gramEnd"/>
      <w:r w:rsidRPr="00C6297D">
        <w:t xml:space="preserve"> </w:t>
      </w:r>
    </w:p>
    <w:tbl>
      <w:tblPr>
        <w:tblStyle w:val="AERtable-numbers"/>
        <w:tblW w:w="5000" w:type="pct"/>
        <w:tblLook w:val="04A0" w:firstRow="1" w:lastRow="0" w:firstColumn="1" w:lastColumn="0" w:noHBand="0" w:noVBand="1"/>
      </w:tblPr>
      <w:tblGrid>
        <w:gridCol w:w="2942"/>
        <w:gridCol w:w="958"/>
        <w:gridCol w:w="958"/>
        <w:gridCol w:w="958"/>
        <w:gridCol w:w="958"/>
        <w:gridCol w:w="958"/>
        <w:gridCol w:w="960"/>
      </w:tblGrid>
      <w:tr w:rsidR="00C6297D" w:rsidRPr="00C6297D" w:rsidTr="00D5005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692" w:type="pct"/>
            <w:hideMark/>
          </w:tcPr>
          <w:p w:rsidR="00C6297D" w:rsidRPr="00C6297D" w:rsidRDefault="00C6297D" w:rsidP="00C6297D">
            <w:pPr>
              <w:rPr>
                <w:lang w:eastAsia="en-US"/>
              </w:rPr>
            </w:pPr>
            <w:r w:rsidRPr="00C6297D">
              <w:rPr>
                <w:lang w:eastAsia="en-US"/>
              </w:rPr>
              <w:t> </w:t>
            </w:r>
          </w:p>
        </w:tc>
        <w:tc>
          <w:tcPr>
            <w:tcW w:w="551" w:type="pct"/>
            <w:hideMark/>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2017</w:t>
            </w:r>
            <w:r w:rsidR="00460918">
              <w:t>–</w:t>
            </w:r>
            <w:r w:rsidRPr="00C6297D">
              <w:rPr>
                <w:lang w:eastAsia="en-US"/>
              </w:rPr>
              <w:t>18</w:t>
            </w:r>
          </w:p>
        </w:tc>
        <w:tc>
          <w:tcPr>
            <w:tcW w:w="551" w:type="pct"/>
            <w:hideMark/>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2018</w:t>
            </w:r>
            <w:r w:rsidR="00460918">
              <w:t>–</w:t>
            </w:r>
            <w:r w:rsidRPr="00C6297D">
              <w:rPr>
                <w:lang w:eastAsia="en-US"/>
              </w:rPr>
              <w:t>19</w:t>
            </w:r>
          </w:p>
        </w:tc>
        <w:tc>
          <w:tcPr>
            <w:tcW w:w="551" w:type="pct"/>
            <w:hideMark/>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2019</w:t>
            </w:r>
            <w:r w:rsidR="00460918">
              <w:t>–</w:t>
            </w:r>
            <w:r w:rsidRPr="00C6297D">
              <w:rPr>
                <w:lang w:eastAsia="en-US"/>
              </w:rPr>
              <w:t>20</w:t>
            </w:r>
          </w:p>
        </w:tc>
        <w:tc>
          <w:tcPr>
            <w:tcW w:w="551" w:type="pct"/>
            <w:hideMark/>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2020</w:t>
            </w:r>
            <w:r w:rsidR="00460918">
              <w:t>–</w:t>
            </w:r>
            <w:r w:rsidRPr="00C6297D">
              <w:rPr>
                <w:lang w:eastAsia="en-US"/>
              </w:rPr>
              <w:t>21</w:t>
            </w:r>
          </w:p>
        </w:tc>
        <w:tc>
          <w:tcPr>
            <w:tcW w:w="551" w:type="pct"/>
            <w:hideMark/>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2021</w:t>
            </w:r>
            <w:r w:rsidR="00460918">
              <w:t>–</w:t>
            </w:r>
            <w:r w:rsidRPr="00C6297D">
              <w:rPr>
                <w:lang w:eastAsia="en-US"/>
              </w:rPr>
              <w:t>22</w:t>
            </w:r>
          </w:p>
        </w:tc>
        <w:tc>
          <w:tcPr>
            <w:tcW w:w="552" w:type="pct"/>
          </w:tcPr>
          <w:p w:rsidR="00C6297D" w:rsidRPr="00C6297D" w:rsidRDefault="00C6297D" w:rsidP="00C6297D">
            <w:pPr>
              <w:cnfStyle w:val="100000000000" w:firstRow="1" w:lastRow="0" w:firstColumn="0" w:lastColumn="0" w:oddVBand="0" w:evenVBand="0" w:oddHBand="0" w:evenHBand="0" w:firstRowFirstColumn="0" w:firstRowLastColumn="0" w:lastRowFirstColumn="0" w:lastRowLastColumn="0"/>
              <w:rPr>
                <w:lang w:eastAsia="en-US"/>
              </w:rPr>
            </w:pPr>
            <w:r w:rsidRPr="00C6297D">
              <w:rPr>
                <w:lang w:eastAsia="en-US"/>
              </w:rPr>
              <w:t>Total</w:t>
            </w:r>
          </w:p>
        </w:tc>
      </w:tr>
      <w:tr w:rsidR="00C6297D" w:rsidRPr="00C6297D" w:rsidTr="00D50053">
        <w:trPr>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C6297D" w:rsidRPr="00C6297D" w:rsidRDefault="00C6297D" w:rsidP="00C6297D">
            <w:pPr>
              <w:rPr>
                <w:lang w:eastAsia="en-US"/>
              </w:rPr>
            </w:pPr>
            <w:r w:rsidRPr="00C6297D">
              <w:rPr>
                <w:lang w:eastAsia="en-US"/>
              </w:rPr>
              <w:t>Metro excavations</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29</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29</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20</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11</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7</w:t>
            </w:r>
          </w:p>
        </w:tc>
        <w:tc>
          <w:tcPr>
            <w:tcW w:w="552"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96</w:t>
            </w:r>
          </w:p>
        </w:tc>
      </w:tr>
      <w:tr w:rsidR="00C6297D" w:rsidRPr="00C6297D" w:rsidTr="00D5005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C6297D" w:rsidRPr="00C6297D" w:rsidRDefault="00C6297D" w:rsidP="00C6297D">
            <w:pPr>
              <w:rPr>
                <w:lang w:eastAsia="en-US"/>
              </w:rPr>
            </w:pPr>
            <w:r w:rsidRPr="00C6297D">
              <w:rPr>
                <w:lang w:eastAsia="en-US"/>
              </w:rPr>
              <w:t>Non-metro excavations</w:t>
            </w:r>
          </w:p>
        </w:tc>
        <w:tc>
          <w:tcPr>
            <w:tcW w:w="551"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t>43</w:t>
            </w:r>
          </w:p>
        </w:tc>
        <w:tc>
          <w:tcPr>
            <w:tcW w:w="551"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t>71</w:t>
            </w:r>
          </w:p>
        </w:tc>
        <w:tc>
          <w:tcPr>
            <w:tcW w:w="551"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rsidRPr="00C6297D">
              <w:rPr>
                <w:lang w:eastAsia="en-US"/>
              </w:rPr>
              <w:t>7</w:t>
            </w:r>
            <w:r>
              <w:t>4</w:t>
            </w:r>
          </w:p>
        </w:tc>
        <w:tc>
          <w:tcPr>
            <w:tcW w:w="551"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rsidRPr="00C6297D">
              <w:rPr>
                <w:lang w:eastAsia="en-US"/>
              </w:rPr>
              <w:t>74</w:t>
            </w:r>
          </w:p>
        </w:tc>
        <w:tc>
          <w:tcPr>
            <w:tcW w:w="551"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rsidRPr="00C6297D">
              <w:rPr>
                <w:lang w:eastAsia="en-US"/>
              </w:rPr>
              <w:t>93</w:t>
            </w:r>
          </w:p>
        </w:tc>
        <w:tc>
          <w:tcPr>
            <w:tcW w:w="552" w:type="pct"/>
          </w:tcPr>
          <w:p w:rsidR="00C6297D" w:rsidRPr="00C6297D" w:rsidRDefault="00C6297D" w:rsidP="00C6297D">
            <w:pPr>
              <w:cnfStyle w:val="000000010000" w:firstRow="0" w:lastRow="0" w:firstColumn="0" w:lastColumn="0" w:oddVBand="0" w:evenVBand="0" w:oddHBand="0" w:evenHBand="1" w:firstRowFirstColumn="0" w:firstRowLastColumn="0" w:lastRowFirstColumn="0" w:lastRowLastColumn="0"/>
              <w:rPr>
                <w:lang w:eastAsia="en-US"/>
              </w:rPr>
            </w:pPr>
            <w:r>
              <w:t>354</w:t>
            </w:r>
          </w:p>
        </w:tc>
      </w:tr>
      <w:tr w:rsidR="00C6297D" w:rsidRPr="00C6297D" w:rsidTr="00D50053">
        <w:trPr>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C6297D" w:rsidRPr="00C6297D" w:rsidRDefault="00C6297D" w:rsidP="00C6297D">
            <w:pPr>
              <w:rPr>
                <w:lang w:eastAsia="en-US"/>
              </w:rPr>
            </w:pPr>
            <w:r w:rsidRPr="00C6297D">
              <w:rPr>
                <w:lang w:eastAsia="en-US"/>
              </w:rPr>
              <w:t xml:space="preserve">Total excavations </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72</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1</w:t>
            </w:r>
            <w:r>
              <w:t>00</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9</w:t>
            </w:r>
            <w:r>
              <w:t>4</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85</w:t>
            </w:r>
          </w:p>
        </w:tc>
        <w:tc>
          <w:tcPr>
            <w:tcW w:w="551"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rsidRPr="00C6297D">
              <w:rPr>
                <w:lang w:eastAsia="en-US"/>
              </w:rPr>
              <w:t>100</w:t>
            </w:r>
          </w:p>
        </w:tc>
        <w:tc>
          <w:tcPr>
            <w:tcW w:w="552" w:type="pct"/>
          </w:tcPr>
          <w:p w:rsidR="00C6297D" w:rsidRPr="00C6297D" w:rsidRDefault="00C6297D" w:rsidP="00C6297D">
            <w:pPr>
              <w:cnfStyle w:val="000000000000" w:firstRow="0" w:lastRow="0" w:firstColumn="0" w:lastColumn="0" w:oddVBand="0" w:evenVBand="0" w:oddHBand="0" w:evenHBand="0" w:firstRowFirstColumn="0" w:firstRowLastColumn="0" w:lastRowFirstColumn="0" w:lastRowLastColumn="0"/>
              <w:rPr>
                <w:lang w:eastAsia="en-US"/>
              </w:rPr>
            </w:pPr>
            <w:r>
              <w:t>450</w:t>
            </w:r>
          </w:p>
        </w:tc>
      </w:tr>
      <w:tr w:rsidR="00C6297D" w:rsidRPr="00C6297D" w:rsidTr="00D5005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hideMark/>
          </w:tcPr>
          <w:p w:rsidR="00C6297D" w:rsidRPr="00A216A7" w:rsidRDefault="00C6297D" w:rsidP="00C6297D">
            <w:pPr>
              <w:rPr>
                <w:rStyle w:val="Strong"/>
              </w:rPr>
            </w:pPr>
            <w:r w:rsidRPr="00A216A7">
              <w:rPr>
                <w:rStyle w:val="Strong"/>
              </w:rPr>
              <w:t>Total capex ($million, 2016–17)</w:t>
            </w:r>
          </w:p>
        </w:tc>
        <w:tc>
          <w:tcPr>
            <w:tcW w:w="551"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3.0</w:t>
            </w:r>
          </w:p>
        </w:tc>
        <w:tc>
          <w:tcPr>
            <w:tcW w:w="551"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4.1</w:t>
            </w:r>
          </w:p>
        </w:tc>
        <w:tc>
          <w:tcPr>
            <w:tcW w:w="551"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3.7</w:t>
            </w:r>
          </w:p>
        </w:tc>
        <w:tc>
          <w:tcPr>
            <w:tcW w:w="551"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3.2</w:t>
            </w:r>
          </w:p>
        </w:tc>
        <w:tc>
          <w:tcPr>
            <w:tcW w:w="551"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3.7</w:t>
            </w:r>
          </w:p>
        </w:tc>
        <w:tc>
          <w:tcPr>
            <w:tcW w:w="552" w:type="pct"/>
          </w:tcPr>
          <w:p w:rsidR="00C6297D" w:rsidRPr="00A216A7" w:rsidRDefault="00120DED" w:rsidP="00C6297D">
            <w:pPr>
              <w:cnfStyle w:val="000000010000" w:firstRow="0" w:lastRow="0" w:firstColumn="0" w:lastColumn="0" w:oddVBand="0" w:evenVBand="0" w:oddHBand="0" w:evenHBand="1" w:firstRowFirstColumn="0" w:firstRowLastColumn="0" w:lastRowFirstColumn="0" w:lastRowLastColumn="0"/>
              <w:rPr>
                <w:rStyle w:val="Strong"/>
              </w:rPr>
            </w:pPr>
            <w:r w:rsidRPr="00A216A7">
              <w:rPr>
                <w:rStyle w:val="Strong"/>
              </w:rPr>
              <w:t>17.8</w:t>
            </w:r>
          </w:p>
        </w:tc>
      </w:tr>
    </w:tbl>
    <w:p w:rsidR="00C6297D" w:rsidRDefault="00120DED" w:rsidP="00120DED">
      <w:pPr>
        <w:pStyle w:val="AERtablesource"/>
      </w:pPr>
      <w:r>
        <w:t xml:space="preserve">Source: </w:t>
      </w:r>
      <w:r>
        <w:tab/>
        <w:t>AER analysis. Totals may not add due to rounding.</w:t>
      </w:r>
    </w:p>
    <w:p w:rsidR="00923351" w:rsidRDefault="009F2066" w:rsidP="00B80E61">
      <w:r>
        <w:t>In summary, we are not satisfied that APTPPL's proposed capex of $23.7</w:t>
      </w:r>
      <w:r w:rsidR="00904CF0">
        <w:t> </w:t>
      </w:r>
      <w:r>
        <w:t>million</w:t>
      </w:r>
      <w:r w:rsidR="00904CF0">
        <w:t> </w:t>
      </w:r>
      <w:r>
        <w:t>($2016</w:t>
      </w:r>
      <w:r w:rsidRPr="00E40C29">
        <w:t>–</w:t>
      </w:r>
      <w:r>
        <w:t>17) for excavations and pipeline coating upgrades is such as would be incurred by a prudent service provider acting efficiently.</w:t>
      </w:r>
      <w:r w:rsidR="00486725">
        <w:rPr>
          <w:rStyle w:val="FootnoteReference"/>
        </w:rPr>
        <w:footnoteReference w:id="82"/>
      </w:r>
      <w:r>
        <w:t xml:space="preserve"> Our</w:t>
      </w:r>
      <w:r w:rsidR="00923351">
        <w:t xml:space="preserve"> draft decision is to accept $</w:t>
      </w:r>
      <w:r w:rsidR="00120DED">
        <w:t>17.8</w:t>
      </w:r>
      <w:r w:rsidR="00923351">
        <w:t xml:space="preserve"> million </w:t>
      </w:r>
      <w:r w:rsidR="00904CF0">
        <w:t>($2016</w:t>
      </w:r>
      <w:r w:rsidR="00904CF0" w:rsidRPr="00E40C29">
        <w:t>–</w:t>
      </w:r>
      <w:r w:rsidR="00904CF0">
        <w:t xml:space="preserve">17) </w:t>
      </w:r>
      <w:r w:rsidR="00923351">
        <w:t xml:space="preserve">of the proposed $23.7 million </w:t>
      </w:r>
      <w:r w:rsidR="00904CF0">
        <w:t>($2016</w:t>
      </w:r>
      <w:r w:rsidR="00904CF0" w:rsidRPr="00E40C29">
        <w:t>–</w:t>
      </w:r>
      <w:r w:rsidR="00904CF0">
        <w:t xml:space="preserve">17) </w:t>
      </w:r>
      <w:r w:rsidR="00923351">
        <w:t>for excavations and pipeline coating upgrades over the 2017</w:t>
      </w:r>
      <w:r w:rsidR="00923351" w:rsidRPr="000D6D51">
        <w:t>–</w:t>
      </w:r>
      <w:r w:rsidR="00923351">
        <w:t xml:space="preserve">22 access arrangement period. </w:t>
      </w:r>
    </w:p>
    <w:p w:rsidR="00F50E8F" w:rsidRDefault="00EB5C2B" w:rsidP="00B80E61">
      <w:r>
        <w:t xml:space="preserve">APTPPL forecast $8.3 million </w:t>
      </w:r>
      <w:r w:rsidRPr="000D6D51">
        <w:t xml:space="preserve">($2016–17) </w:t>
      </w:r>
      <w:r>
        <w:t xml:space="preserve">of capex for </w:t>
      </w:r>
      <w:r w:rsidR="00E6307D">
        <w:t xml:space="preserve">inline inspections </w:t>
      </w:r>
      <w:r w:rsidR="008E0673">
        <w:t>in</w:t>
      </w:r>
      <w:r w:rsidRPr="000D6D51">
        <w:t xml:space="preserve"> the </w:t>
      </w:r>
      <w:r w:rsidR="00E6307D">
        <w:br/>
      </w:r>
      <w:r w:rsidRPr="000D6D51">
        <w:t>2017–22 acces</w:t>
      </w:r>
      <w:r>
        <w:t xml:space="preserve">s arrangement </w:t>
      </w:r>
      <w:proofErr w:type="gramStart"/>
      <w:r>
        <w:t>period</w:t>
      </w:r>
      <w:proofErr w:type="gramEnd"/>
      <w:r>
        <w:t xml:space="preserve">. </w:t>
      </w:r>
      <w:r w:rsidR="00E6307D">
        <w:t>APTPPL based its f</w:t>
      </w:r>
      <w:r w:rsidR="00F50E8F">
        <w:t xml:space="preserve">orecast </w:t>
      </w:r>
      <w:r w:rsidR="00E6307D">
        <w:t xml:space="preserve">inline inspection </w:t>
      </w:r>
      <w:r w:rsidR="00F50E8F">
        <w:t xml:space="preserve">costs on vendor quoted costs, with </w:t>
      </w:r>
      <w:r w:rsidR="000F027C">
        <w:t xml:space="preserve">the </w:t>
      </w:r>
      <w:r w:rsidR="00F50E8F">
        <w:t xml:space="preserve">vendor selected by a competitive tender process. </w:t>
      </w:r>
      <w:r>
        <w:t xml:space="preserve">Of this amount, $4.3 million </w:t>
      </w:r>
      <w:r w:rsidR="00904CF0" w:rsidRPr="000D6D51">
        <w:t xml:space="preserve">($2016–17) </w:t>
      </w:r>
      <w:r>
        <w:t xml:space="preserve">is attributed to </w:t>
      </w:r>
      <w:r w:rsidR="00E6307D">
        <w:t xml:space="preserve">inline inspection </w:t>
      </w:r>
      <w:r>
        <w:t xml:space="preserve">programs at intervals required by the </w:t>
      </w:r>
      <w:r w:rsidR="00F50E8F">
        <w:t>pipeline integrity management plan and are typically high</w:t>
      </w:r>
      <w:r w:rsidR="00E6307D">
        <w:noBreakHyphen/>
      </w:r>
      <w:r w:rsidR="00F50E8F">
        <w:t xml:space="preserve">resolution magnetic flux leakage inspection. This type of </w:t>
      </w:r>
      <w:r w:rsidR="00E6307D">
        <w:t xml:space="preserve">inline inspection </w:t>
      </w:r>
      <w:r w:rsidR="00F50E8F">
        <w:t>is used to detect corrosion, gouges, grooves, mill defects, girth weld anomalies and other metal loss features</w:t>
      </w:r>
      <w:r>
        <w:t>.</w:t>
      </w:r>
      <w:r w:rsidR="00F50E8F">
        <w:rPr>
          <w:rStyle w:val="FootnoteReference"/>
        </w:rPr>
        <w:footnoteReference w:id="83"/>
      </w:r>
      <w:r>
        <w:t xml:space="preserve"> </w:t>
      </w:r>
    </w:p>
    <w:p w:rsidR="00F50E8F" w:rsidRDefault="00EB5C2B" w:rsidP="00B80E61">
      <w:r>
        <w:t>The remaining $4</w:t>
      </w:r>
      <w:r w:rsidR="00904CF0">
        <w:t>.0</w:t>
      </w:r>
      <w:r>
        <w:t xml:space="preserve"> million </w:t>
      </w:r>
      <w:r w:rsidR="00904CF0" w:rsidRPr="000D6D51">
        <w:t xml:space="preserve">($2016–17) </w:t>
      </w:r>
      <w:r>
        <w:t xml:space="preserve">is for </w:t>
      </w:r>
      <w:r w:rsidR="00CE4A03">
        <w:t>e</w:t>
      </w:r>
      <w:r w:rsidR="00F50E8F">
        <w:t>lectro-</w:t>
      </w:r>
      <w:r w:rsidR="00CE4A03">
        <w:t>m</w:t>
      </w:r>
      <w:r w:rsidR="00F50E8F">
        <w:t xml:space="preserve">agnetic </w:t>
      </w:r>
      <w:r w:rsidR="00CE4A03">
        <w:t>a</w:t>
      </w:r>
      <w:r w:rsidR="00F50E8F">
        <w:t xml:space="preserve">coustic </w:t>
      </w:r>
      <w:r w:rsidR="00CE4A03">
        <w:t>t</w:t>
      </w:r>
      <w:r w:rsidR="00F50E8F">
        <w:t xml:space="preserve">ransducer inspection of the DN300 and DN250 pipelines. This type of </w:t>
      </w:r>
      <w:r w:rsidR="00CE4A03">
        <w:t xml:space="preserve">inline inspection </w:t>
      </w:r>
      <w:r w:rsidR="00F50E8F">
        <w:t xml:space="preserve">detects crack like features, such as </w:t>
      </w:r>
      <w:r w:rsidR="00CE4A03">
        <w:t xml:space="preserve">stress corrosion cracking </w:t>
      </w:r>
      <w:r w:rsidR="00F50E8F">
        <w:t xml:space="preserve">and longitudinal weld anomalies. The DN300 </w:t>
      </w:r>
      <w:r w:rsidR="00CE4A03">
        <w:t xml:space="preserve">electro-magnetic acoustic transducer inspection </w:t>
      </w:r>
      <w:r w:rsidR="00F50E8F">
        <w:t xml:space="preserve">tool only </w:t>
      </w:r>
      <w:r w:rsidR="000F027C">
        <w:t xml:space="preserve">recently </w:t>
      </w:r>
      <w:r w:rsidR="00F50E8F">
        <w:t xml:space="preserve">became available and was used in the RBP Metro due to its designation as a high consequence </w:t>
      </w:r>
      <w:r w:rsidR="004B5A6C">
        <w:t>area.</w:t>
      </w:r>
      <w:r w:rsidR="004B5A6C">
        <w:rPr>
          <w:rStyle w:val="FootnoteReference"/>
        </w:rPr>
        <w:footnoteReference w:id="84"/>
      </w:r>
      <w:r w:rsidR="004B5A6C">
        <w:t xml:space="preserve"> </w:t>
      </w:r>
      <w:r w:rsidR="00F50E8F">
        <w:t xml:space="preserve">APTPPL has also proposed to undertake </w:t>
      </w:r>
      <w:r w:rsidR="00CE4A03">
        <w:t xml:space="preserve">electro-magnetic acoustic transducer inline inspection </w:t>
      </w:r>
      <w:r w:rsidR="00F50E8F">
        <w:t xml:space="preserve">on the </w:t>
      </w:r>
      <w:proofErr w:type="gramStart"/>
      <w:r w:rsidR="00F50E8F">
        <w:t>DN250,</w:t>
      </w:r>
      <w:proofErr w:type="gramEnd"/>
      <w:r w:rsidR="00F50E8F">
        <w:t xml:space="preserve"> </w:t>
      </w:r>
      <w:r w:rsidR="00660FC1">
        <w:t>however</w:t>
      </w:r>
      <w:r w:rsidR="00F50E8F">
        <w:t xml:space="preserve"> </w:t>
      </w:r>
      <w:r w:rsidR="00660FC1">
        <w:t>a suitable tool is not yet available.</w:t>
      </w:r>
      <w:r w:rsidR="00660FC1">
        <w:rPr>
          <w:rStyle w:val="FootnoteReference"/>
        </w:rPr>
        <w:footnoteReference w:id="85"/>
      </w:r>
      <w:r w:rsidR="00F50E8F">
        <w:t xml:space="preserve"> </w:t>
      </w:r>
      <w:r w:rsidR="00660FC1">
        <w:t xml:space="preserve">We requested that APTPPL provide evidence to support its proposal to undertake </w:t>
      </w:r>
      <w:r w:rsidR="00CE4A03">
        <w:t xml:space="preserve">electro-magnetic acoustic transducer inline inspection </w:t>
      </w:r>
      <w:r w:rsidR="00660FC1">
        <w:t>on the DN250 in 2017</w:t>
      </w:r>
      <w:r w:rsidR="004B5A6C" w:rsidRPr="00E40C29">
        <w:t>–</w:t>
      </w:r>
      <w:r w:rsidR="00660FC1">
        <w:t xml:space="preserve">18. </w:t>
      </w:r>
      <w:r w:rsidR="00F50E8F">
        <w:t xml:space="preserve">In response, APTPPL provided evidence of email correspondence with its </w:t>
      </w:r>
      <w:r w:rsidR="00CE4A03">
        <w:t xml:space="preserve">inline inspection </w:t>
      </w:r>
      <w:r w:rsidR="00F50E8F">
        <w:t xml:space="preserve">vendor, which indicated that an </w:t>
      </w:r>
      <w:r w:rsidR="00CE4A03">
        <w:t xml:space="preserve">electro-magnetic acoustic transducer inspection </w:t>
      </w:r>
      <w:r w:rsidR="00F50E8F">
        <w:t xml:space="preserve">tool suitable for the </w:t>
      </w:r>
      <w:r w:rsidR="00660FC1">
        <w:t>DN250 would be available by mid-2017.</w:t>
      </w:r>
      <w:r w:rsidR="00660FC1">
        <w:rPr>
          <w:rStyle w:val="FootnoteReference"/>
        </w:rPr>
        <w:footnoteReference w:id="86"/>
      </w:r>
    </w:p>
    <w:p w:rsidR="008E0673" w:rsidRDefault="00660FC1" w:rsidP="00B80E61">
      <w:r>
        <w:t>We are satisfied that APTPPL's proposed capex of $8.3 million ($2016</w:t>
      </w:r>
      <w:r w:rsidRPr="00E40C29">
        <w:t>–</w:t>
      </w:r>
      <w:r>
        <w:t xml:space="preserve">17) for </w:t>
      </w:r>
      <w:r w:rsidR="00CE4A03">
        <w:t xml:space="preserve">inline inspection </w:t>
      </w:r>
      <w:r>
        <w:t>activities is such as would be incurred by a prudent service provider acting efficiently.</w:t>
      </w:r>
      <w:r w:rsidR="00486725">
        <w:rPr>
          <w:rStyle w:val="FootnoteReference"/>
        </w:rPr>
        <w:footnoteReference w:id="87"/>
      </w:r>
    </w:p>
    <w:p w:rsidR="00660FC1" w:rsidRDefault="00660FC1" w:rsidP="00B80E61">
      <w:r>
        <w:t>APTPPL forecast $5.1 million ($2016</w:t>
      </w:r>
      <w:r w:rsidRPr="00E40C29">
        <w:t>–</w:t>
      </w:r>
      <w:r>
        <w:t xml:space="preserve">17) for </w:t>
      </w:r>
      <w:proofErr w:type="spellStart"/>
      <w:r>
        <w:t>cathodic</w:t>
      </w:r>
      <w:proofErr w:type="spellEnd"/>
      <w:r>
        <w:t xml:space="preserve"> protection</w:t>
      </w:r>
      <w:r w:rsidR="004C24CF">
        <w:t xml:space="preserve"> </w:t>
      </w:r>
      <w:r>
        <w:t>upgrades</w:t>
      </w:r>
      <w:r w:rsidR="008E0673">
        <w:t xml:space="preserve"> and </w:t>
      </w:r>
      <w:r w:rsidR="00E0665E">
        <w:br/>
      </w:r>
      <w:r w:rsidR="008E0673">
        <w:t>$0.6</w:t>
      </w:r>
      <w:r w:rsidR="00CE4A03">
        <w:t> </w:t>
      </w:r>
      <w:r w:rsidR="008E0673">
        <w:t>million</w:t>
      </w:r>
      <w:r>
        <w:t xml:space="preserve"> </w:t>
      </w:r>
      <w:r w:rsidR="008E0673">
        <w:t>($2016</w:t>
      </w:r>
      <w:r w:rsidR="008E0673" w:rsidRPr="00E40C29">
        <w:t>–</w:t>
      </w:r>
      <w:r w:rsidR="008E0673">
        <w:t xml:space="preserve">17) for other capex associated with pipeline integrity management activities in the </w:t>
      </w:r>
      <w:r w:rsidR="008E0673" w:rsidRPr="000D6D51">
        <w:t>2017–22 acces</w:t>
      </w:r>
      <w:r w:rsidR="008E0673">
        <w:t>s arrangement period.</w:t>
      </w:r>
    </w:p>
    <w:p w:rsidR="00B72B66" w:rsidRDefault="004C24CF" w:rsidP="00B80E61">
      <w:r>
        <w:t xml:space="preserve">APTPPL submitted that continual upgrade of </w:t>
      </w:r>
      <w:proofErr w:type="spellStart"/>
      <w:r w:rsidR="00CE4A03">
        <w:t>cathodic</w:t>
      </w:r>
      <w:proofErr w:type="spellEnd"/>
      <w:r w:rsidR="00CE4A03">
        <w:t xml:space="preserve"> protection </w:t>
      </w:r>
      <w:r>
        <w:t xml:space="preserve">systems is required including an increase in current output of capacity of systems, and the installation of new </w:t>
      </w:r>
      <w:proofErr w:type="spellStart"/>
      <w:r w:rsidR="00CE4A03">
        <w:t>cathodic</w:t>
      </w:r>
      <w:proofErr w:type="spellEnd"/>
      <w:r w:rsidR="00CE4A03">
        <w:t xml:space="preserve"> protection </w:t>
      </w:r>
      <w:r>
        <w:t xml:space="preserve">systems to infill low protection areas between existing systems. This is because the increased exposed steel surface requires additional </w:t>
      </w:r>
      <w:proofErr w:type="spellStart"/>
      <w:r w:rsidR="00CE4A03">
        <w:t>cathodic</w:t>
      </w:r>
      <w:proofErr w:type="spellEnd"/>
      <w:r w:rsidR="00CE4A03">
        <w:t xml:space="preserve"> protection </w:t>
      </w:r>
      <w:r>
        <w:t>current.</w:t>
      </w:r>
      <w:r>
        <w:rPr>
          <w:rStyle w:val="FootnoteReference"/>
        </w:rPr>
        <w:footnoteReference w:id="88"/>
      </w:r>
      <w:r>
        <w:t xml:space="preserve"> </w:t>
      </w:r>
      <w:proofErr w:type="spellStart"/>
      <w:r w:rsidR="000C6E9C">
        <w:t>C</w:t>
      </w:r>
      <w:r w:rsidR="00CE4A03">
        <w:t>athodic</w:t>
      </w:r>
      <w:proofErr w:type="spellEnd"/>
      <w:r w:rsidR="00CE4A03">
        <w:t xml:space="preserve"> protection </w:t>
      </w:r>
      <w:r>
        <w:t>materials and contractors are competitively tendered.</w:t>
      </w:r>
      <w:r w:rsidR="00786C52">
        <w:t xml:space="preserve"> APTPPL also proposed to undertake </w:t>
      </w:r>
      <w:proofErr w:type="spellStart"/>
      <w:r w:rsidR="00CE4A03">
        <w:t>cathodic</w:t>
      </w:r>
      <w:proofErr w:type="spellEnd"/>
      <w:r w:rsidR="00CE4A03">
        <w:t xml:space="preserve"> protection </w:t>
      </w:r>
      <w:r w:rsidR="00786C52">
        <w:t xml:space="preserve">telemetry upgrades to allow for remote monitoring of </w:t>
      </w:r>
      <w:proofErr w:type="spellStart"/>
      <w:r w:rsidR="00CE4A03">
        <w:t>cathodic</w:t>
      </w:r>
      <w:proofErr w:type="spellEnd"/>
      <w:r w:rsidR="00CE4A03">
        <w:t xml:space="preserve"> protection </w:t>
      </w:r>
      <w:r w:rsidR="00786C52">
        <w:t xml:space="preserve">units.  </w:t>
      </w:r>
      <w:r>
        <w:t xml:space="preserve"> </w:t>
      </w:r>
    </w:p>
    <w:p w:rsidR="004C24CF" w:rsidRDefault="004C24CF" w:rsidP="00B80E61">
      <w:r>
        <w:t>Other capex proposed by APTPPL includes laser scanner and scraper trap modifications</w:t>
      </w:r>
      <w:r w:rsidR="00786C52">
        <w:t xml:space="preserve">. The forecast laser scanner costs are a vendor price, with the unit expected to be replaced in 2021. </w:t>
      </w:r>
    </w:p>
    <w:p w:rsidR="00433798" w:rsidRDefault="004C24CF" w:rsidP="00B80E61">
      <w:r>
        <w:t xml:space="preserve">We are satisfied that APTPPL's proposed capex of $5.1 million </w:t>
      </w:r>
      <w:r w:rsidR="00904CF0" w:rsidRPr="000D6D51">
        <w:t xml:space="preserve">($2016–17) </w:t>
      </w:r>
      <w:r>
        <w:t xml:space="preserve">for </w:t>
      </w:r>
      <w:proofErr w:type="spellStart"/>
      <w:r>
        <w:t>cathodic</w:t>
      </w:r>
      <w:proofErr w:type="spellEnd"/>
      <w:r>
        <w:t xml:space="preserve"> protection  upgrades and $0.6 million ($2016</w:t>
      </w:r>
      <w:r w:rsidRPr="00E40C29">
        <w:t>–</w:t>
      </w:r>
      <w:r>
        <w:t>17) for other capex is such as would be incurred by a prudent service provider acting efficiently.</w:t>
      </w:r>
      <w:r w:rsidR="00486725">
        <w:rPr>
          <w:rStyle w:val="FootnoteReference"/>
        </w:rPr>
        <w:footnoteReference w:id="89"/>
      </w:r>
    </w:p>
    <w:p w:rsidR="004C24CF" w:rsidRDefault="00433798" w:rsidP="00B80E61">
      <w:r>
        <w:t>In summary, our draft decision is to accept $</w:t>
      </w:r>
      <w:r w:rsidR="00A62DC9">
        <w:t>31.7</w:t>
      </w:r>
      <w:r>
        <w:t xml:space="preserve"> million ($2016</w:t>
      </w:r>
      <w:r w:rsidRPr="00E40C29">
        <w:t>–</w:t>
      </w:r>
      <w:r>
        <w:t xml:space="preserve">17) of the </w:t>
      </w:r>
      <w:r w:rsidR="00E0665E">
        <w:br/>
      </w:r>
      <w:r>
        <w:t>$3</w:t>
      </w:r>
      <w:r w:rsidR="00A62DC9">
        <w:t>7</w:t>
      </w:r>
      <w:r>
        <w:t>.</w:t>
      </w:r>
      <w:r w:rsidR="00A62DC9">
        <w:t>6</w:t>
      </w:r>
      <w:r w:rsidR="00CE4A03">
        <w:t> </w:t>
      </w:r>
      <w:r>
        <w:t xml:space="preserve">million </w:t>
      </w:r>
      <w:r w:rsidR="00CE4A03">
        <w:t>($2016</w:t>
      </w:r>
      <w:r w:rsidR="00CE4A03" w:rsidRPr="00E40C29">
        <w:t>–</w:t>
      </w:r>
      <w:r w:rsidR="00CE4A03">
        <w:t xml:space="preserve">17) </w:t>
      </w:r>
      <w:r>
        <w:t>proposed by APTPPL</w:t>
      </w:r>
      <w:r w:rsidR="00A62DC9">
        <w:t xml:space="preserve"> for the </w:t>
      </w:r>
      <w:r w:rsidR="00CE4A03">
        <w:t>p</w:t>
      </w:r>
      <w:r w:rsidR="00A62DC9">
        <w:t xml:space="preserve">ipeline </w:t>
      </w:r>
      <w:r w:rsidR="00CE4A03">
        <w:t>i</w:t>
      </w:r>
      <w:r w:rsidR="00A62DC9">
        <w:t xml:space="preserve">ntegrity </w:t>
      </w:r>
      <w:r w:rsidR="00CE4A03">
        <w:t>m</w:t>
      </w:r>
      <w:r w:rsidR="00A62DC9">
        <w:t xml:space="preserve">anagement </w:t>
      </w:r>
      <w:r w:rsidR="00E0665E">
        <w:t>activities</w:t>
      </w:r>
      <w:r w:rsidR="00A62DC9">
        <w:t>.</w:t>
      </w:r>
      <w:r>
        <w:t xml:space="preserve"> </w:t>
      </w:r>
      <w:r w:rsidR="004C24CF">
        <w:t xml:space="preserve">  </w:t>
      </w:r>
    </w:p>
    <w:p w:rsidR="00FD2016" w:rsidRDefault="00FD2016" w:rsidP="00FD2016">
      <w:pPr>
        <w:pStyle w:val="HeadingBoldBlue"/>
      </w:pPr>
      <w:bookmarkStart w:id="60" w:name="_Toc476651848"/>
      <w:bookmarkStart w:id="61" w:name="_Toc486851831"/>
      <w:r>
        <w:t>Stay in business capex</w:t>
      </w:r>
      <w:bookmarkEnd w:id="60"/>
      <w:bookmarkEnd w:id="61"/>
    </w:p>
    <w:p w:rsidR="000D6D51" w:rsidRPr="000D6D51" w:rsidRDefault="000D6D51" w:rsidP="000D6D51">
      <w:r w:rsidRPr="000D6D51">
        <w:t xml:space="preserve">APTPPL forecast stay in business capex of </w:t>
      </w:r>
      <w:r>
        <w:t>$</w:t>
      </w:r>
      <w:r w:rsidRPr="000D6D51">
        <w:t>2</w:t>
      </w:r>
      <w:r>
        <w:t>9.1</w:t>
      </w:r>
      <w:r w:rsidRPr="000D6D51">
        <w:t xml:space="preserve"> million ($2016–17) for the 2017–22 acces</w:t>
      </w:r>
      <w:r>
        <w:t xml:space="preserve">s arrangement </w:t>
      </w:r>
      <w:proofErr w:type="gramStart"/>
      <w:r>
        <w:t>period</w:t>
      </w:r>
      <w:proofErr w:type="gramEnd"/>
      <w:r>
        <w:t xml:space="preserve">. This is </w:t>
      </w:r>
      <w:r w:rsidRPr="000D6D51">
        <w:t>$</w:t>
      </w:r>
      <w:r>
        <w:t>16.7</w:t>
      </w:r>
      <w:r w:rsidRPr="000D6D51">
        <w:t xml:space="preserve"> million</w:t>
      </w:r>
      <w:r w:rsidR="00904CF0">
        <w:t xml:space="preserve"> </w:t>
      </w:r>
      <w:r w:rsidR="00904CF0" w:rsidRPr="000D6D51">
        <w:t>($2016–17)</w:t>
      </w:r>
      <w:r w:rsidR="00E91494">
        <w:t>,</w:t>
      </w:r>
      <w:r w:rsidRPr="000D6D51">
        <w:t xml:space="preserve"> or </w:t>
      </w:r>
      <w:r>
        <w:t>36</w:t>
      </w:r>
      <w:r w:rsidRPr="000D6D51">
        <w:t xml:space="preserve"> per cent</w:t>
      </w:r>
      <w:r w:rsidR="00E91494">
        <w:t>, less than</w:t>
      </w:r>
      <w:r w:rsidRPr="000D6D51">
        <w:t xml:space="preserve"> actual and estimated stay in business capex in the 2012–17 access arrangement </w:t>
      </w:r>
      <w:proofErr w:type="gramStart"/>
      <w:r w:rsidRPr="000D6D51">
        <w:t>period</w:t>
      </w:r>
      <w:proofErr w:type="gramEnd"/>
      <w:r w:rsidRPr="000D6D51">
        <w:t xml:space="preserve">. Stay in business accounts for 44 per cent of APTPPL’s total forecast capex for the 2017–22 access arrangement </w:t>
      </w:r>
      <w:proofErr w:type="gramStart"/>
      <w:r w:rsidRPr="000D6D51">
        <w:t>period</w:t>
      </w:r>
      <w:proofErr w:type="gramEnd"/>
      <w:r w:rsidRPr="000D6D51">
        <w:t xml:space="preserve">. </w:t>
      </w:r>
    </w:p>
    <w:p w:rsidR="000D6D51" w:rsidRPr="000D6D51" w:rsidRDefault="000D6D51" w:rsidP="000D6D51">
      <w:r w:rsidRPr="000D6D51">
        <w:t>We have included $27.</w:t>
      </w:r>
      <w:r>
        <w:t>8</w:t>
      </w:r>
      <w:r w:rsidRPr="000D6D51">
        <w:t xml:space="preserve"> million ($2016–17) for stay in business capex in our forecast of conforming capex for the 2017–22 access arrangement </w:t>
      </w:r>
      <w:proofErr w:type="gramStart"/>
      <w:r w:rsidRPr="000D6D51">
        <w:t>period</w:t>
      </w:r>
      <w:proofErr w:type="gramEnd"/>
      <w:r w:rsidRPr="000D6D51">
        <w:t>. This is $</w:t>
      </w:r>
      <w:r>
        <w:t>1.3</w:t>
      </w:r>
      <w:r w:rsidR="00AE44B8">
        <w:t> </w:t>
      </w:r>
      <w:r w:rsidRPr="000D6D51">
        <w:t>million</w:t>
      </w:r>
      <w:r w:rsidR="00AE44B8">
        <w:t> </w:t>
      </w:r>
      <w:r w:rsidR="00AE44B8" w:rsidRPr="000D6D51">
        <w:t>($2016–17)</w:t>
      </w:r>
      <w:r w:rsidR="00AE44B8">
        <w:t>,</w:t>
      </w:r>
      <w:r w:rsidRPr="000D6D51">
        <w:t xml:space="preserve"> or 5 per cent</w:t>
      </w:r>
      <w:r w:rsidR="00AE44B8">
        <w:t xml:space="preserve">, less than </w:t>
      </w:r>
      <w:r w:rsidRPr="000D6D51">
        <w:t xml:space="preserve">APTPPL’s forecast of stay in business capex. </w:t>
      </w:r>
    </w:p>
    <w:p w:rsidR="00515A97" w:rsidRDefault="000D6D51" w:rsidP="000D6D51">
      <w:r w:rsidRPr="000D6D51">
        <w:t>APTPPL’s forecast stay in business capex program includes capex for</w:t>
      </w:r>
      <w:r>
        <w:t xml:space="preserve"> the</w:t>
      </w:r>
      <w:r w:rsidR="00486725">
        <w:t xml:space="preserve"> Dalby </w:t>
      </w:r>
      <w:r w:rsidR="00AE44B8">
        <w:t>t</w:t>
      </w:r>
      <w:r w:rsidR="00486725">
        <w:t>urbine overhaul,</w:t>
      </w:r>
      <w:r>
        <w:t xml:space="preserve"> </w:t>
      </w:r>
      <w:r w:rsidR="00AE44B8">
        <w:t>u</w:t>
      </w:r>
      <w:r>
        <w:t>rban risk reduction project and other minor projects.</w:t>
      </w:r>
      <w:r w:rsidR="00F16AB4">
        <w:rPr>
          <w:rStyle w:val="FootnoteReference"/>
        </w:rPr>
        <w:footnoteReference w:id="90"/>
      </w:r>
      <w:r w:rsidR="00F16AB4">
        <w:t xml:space="preserve"> The abovementioned inline inspection activities are also classified as stay in business capex.</w:t>
      </w:r>
    </w:p>
    <w:p w:rsidR="005A1A0F" w:rsidRDefault="005A1A0F" w:rsidP="00E91560">
      <w:pPr>
        <w:pStyle w:val="HeadingBoldItalic"/>
      </w:pPr>
      <w:r>
        <w:t xml:space="preserve">Dalby </w:t>
      </w:r>
      <w:r w:rsidR="00AE44B8">
        <w:t>t</w:t>
      </w:r>
      <w:r>
        <w:t xml:space="preserve">urbine </w:t>
      </w:r>
      <w:r w:rsidR="00486725">
        <w:t>o</w:t>
      </w:r>
      <w:r>
        <w:t>verhaul</w:t>
      </w:r>
    </w:p>
    <w:p w:rsidR="005A1A0F" w:rsidRDefault="005A1A0F" w:rsidP="005A1A0F">
      <w:r>
        <w:t>APTPPL forecast capex of $1.3 million ($</w:t>
      </w:r>
      <w:r w:rsidR="002A4920" w:rsidRPr="000D6D51">
        <w:t>2016–17</w:t>
      </w:r>
      <w:r w:rsidR="002A4920">
        <w:t xml:space="preserve">) for the Dalby </w:t>
      </w:r>
      <w:r w:rsidR="00AE44B8">
        <w:t>t</w:t>
      </w:r>
      <w:r w:rsidR="002A4920">
        <w:t xml:space="preserve">urbine </w:t>
      </w:r>
      <w:r w:rsidR="00AE44B8">
        <w:t>o</w:t>
      </w:r>
      <w:r w:rsidR="002A4920">
        <w:t>verhaul in the 2017</w:t>
      </w:r>
      <w:r w:rsidR="002A4920" w:rsidRPr="000D6D51">
        <w:t>–</w:t>
      </w:r>
      <w:r w:rsidR="002A4920">
        <w:t xml:space="preserve">22 access arrangement </w:t>
      </w:r>
      <w:proofErr w:type="gramStart"/>
      <w:r w:rsidR="002A4920">
        <w:t>period</w:t>
      </w:r>
      <w:proofErr w:type="gramEnd"/>
      <w:r w:rsidR="002A4920">
        <w:t xml:space="preserve">. </w:t>
      </w:r>
      <w:r w:rsidR="00FE2D87">
        <w:t>APTPPL submitted that this capex is necessary in order to maintain the integrity of services.</w:t>
      </w:r>
      <w:r w:rsidR="00FE2D87">
        <w:rPr>
          <w:rStyle w:val="FootnoteReference"/>
        </w:rPr>
        <w:footnoteReference w:id="91"/>
      </w:r>
    </w:p>
    <w:p w:rsidR="002A4920" w:rsidRDefault="00AE44B8" w:rsidP="005A1A0F">
      <w:r>
        <w:t>APTPPL commissioned t</w:t>
      </w:r>
      <w:r w:rsidR="002A4920">
        <w:t>he turbine at Dalby in 2012. The recommended end of life overhaul for this turbine is at 32</w:t>
      </w:r>
      <w:r>
        <w:t> </w:t>
      </w:r>
      <w:r w:rsidR="002A4920">
        <w:t>000 operational hours; however APTPPL's regime allows this to be extended to a maximum of 50</w:t>
      </w:r>
      <w:r>
        <w:t> </w:t>
      </w:r>
      <w:r w:rsidR="002A4920">
        <w:t xml:space="preserve">000 hours, provided that condition monitoring proves the turbine is suitable for ongoing operation. </w:t>
      </w:r>
      <w:r w:rsidR="001B5890">
        <w:t>APTPPL submitted that, since the turbine passed 20</w:t>
      </w:r>
      <w:r>
        <w:t> </w:t>
      </w:r>
      <w:r w:rsidR="001B5890">
        <w:t xml:space="preserve">000 hours of service in 2016, the proposed overhaul will take place in the forecast access arrangement period. </w:t>
      </w:r>
    </w:p>
    <w:p w:rsidR="00354006" w:rsidRDefault="001B5890" w:rsidP="005A1A0F">
      <w:r>
        <w:t xml:space="preserve">We sought further information from APTPPL about the annual breakdown of operational hours since </w:t>
      </w:r>
      <w:r w:rsidR="00AE44B8">
        <w:t xml:space="preserve">it commissioned </w:t>
      </w:r>
      <w:r>
        <w:t xml:space="preserve">the turbine. </w:t>
      </w:r>
      <w:r w:rsidR="00B000AE">
        <w:t>This</w:t>
      </w:r>
      <w:r w:rsidR="00943363">
        <w:t xml:space="preserve"> showed an average of 7422</w:t>
      </w:r>
      <w:r w:rsidR="00904CF0">
        <w:t> </w:t>
      </w:r>
      <w:r w:rsidR="00943363">
        <w:t>operational hours per annum in 2013 and 2014, but only 1646 hours in 2015 and 135</w:t>
      </w:r>
      <w:r w:rsidR="00AE44B8">
        <w:t> </w:t>
      </w:r>
      <w:r w:rsidR="00943363">
        <w:t xml:space="preserve">hours from January to August 2016. </w:t>
      </w:r>
    </w:p>
    <w:p w:rsidR="00354006" w:rsidRDefault="00354006" w:rsidP="005A1A0F">
      <w:r>
        <w:t xml:space="preserve">We sought engineering advice from 4ei to assist in assessing the need and timing of the proposed turbine overhaul. 4ei found that, </w:t>
      </w:r>
      <w:r w:rsidR="00A216A7">
        <w:t xml:space="preserve">in the absence of evidence to suggest earlier operating periods are a better approximation for likely future operation of the compressor, a greater weighting should be placed on recent performance. Based </w:t>
      </w:r>
      <w:r>
        <w:t xml:space="preserve">on the information provided, the actual required timing of the overhaul of the Dalby </w:t>
      </w:r>
      <w:r w:rsidR="00600597">
        <w:t>t</w:t>
      </w:r>
      <w:r>
        <w:t>urbine is likely to be later than 2022.</w:t>
      </w:r>
      <w:r>
        <w:rPr>
          <w:rStyle w:val="FootnoteReference"/>
        </w:rPr>
        <w:footnoteReference w:id="92"/>
      </w:r>
      <w:r>
        <w:t xml:space="preserve"> </w:t>
      </w:r>
    </w:p>
    <w:p w:rsidR="001B5890" w:rsidRDefault="00740914" w:rsidP="005A1A0F">
      <w:r>
        <w:t xml:space="preserve">We accept the need for this project, however </w:t>
      </w:r>
      <w:r w:rsidR="00943363">
        <w:t xml:space="preserve">consider that </w:t>
      </w:r>
      <w:r w:rsidR="00B000AE">
        <w:t xml:space="preserve">based on the recent operation of the turbine it will not reach </w:t>
      </w:r>
      <w:r w:rsidR="004A7C2B">
        <w:t>the minimum of 32</w:t>
      </w:r>
      <w:r w:rsidR="00AE44B8">
        <w:t> </w:t>
      </w:r>
      <w:r w:rsidR="004A7C2B">
        <w:t xml:space="preserve">000 hours required for overhaul in the forecast access arrangement period. </w:t>
      </w:r>
      <w:r w:rsidR="00943363">
        <w:t>We are not satisfied that a service provider acting efficiently to achieve the lowest sustainable cost of providing services would seek to overhaul this turbine in the foreca</w:t>
      </w:r>
      <w:r w:rsidR="006B3F36">
        <w:t>st access arrangement period.</w:t>
      </w:r>
      <w:r w:rsidR="00FE2D87">
        <w:rPr>
          <w:rStyle w:val="FootnoteReference"/>
        </w:rPr>
        <w:footnoteReference w:id="93"/>
      </w:r>
    </w:p>
    <w:p w:rsidR="00AD5CF4" w:rsidRDefault="00AD5CF4" w:rsidP="00AD5CF4">
      <w:pPr>
        <w:pStyle w:val="Heading2"/>
      </w:pPr>
      <w:bookmarkStart w:id="62" w:name="_Toc486851832"/>
      <w:r>
        <w:t>Revisions</w:t>
      </w:r>
      <w:bookmarkEnd w:id="62"/>
    </w:p>
    <w:p w:rsidR="007D31AA" w:rsidRPr="007D31AA" w:rsidRDefault="007D31AA" w:rsidP="007D31AA">
      <w:r w:rsidRPr="007D31AA">
        <w:t>We require the following revisions to make the access arrangement proposal acceptable:</w:t>
      </w:r>
    </w:p>
    <w:p w:rsidR="007D31AA" w:rsidRPr="007D31AA" w:rsidRDefault="007D31AA" w:rsidP="007D31AA">
      <w:pPr>
        <w:pStyle w:val="AERrevisionbox"/>
      </w:pPr>
      <w:r w:rsidRPr="007D31AA">
        <w:t xml:space="preserve">Revision 6.1: Make all necessary amendments to reflect our draft decision on conforming capex for 2011–17, as set out in </w:t>
      </w:r>
      <w:r w:rsidR="00714F45">
        <w:t>t</w:t>
      </w:r>
      <w:r w:rsidRPr="007D31AA">
        <w:t>able 6.1.</w:t>
      </w:r>
    </w:p>
    <w:p w:rsidR="00515A97" w:rsidRPr="00515A97" w:rsidRDefault="007D31AA" w:rsidP="007D31AA">
      <w:pPr>
        <w:pStyle w:val="AERrevisionbox"/>
      </w:pPr>
      <w:r w:rsidRPr="007D31AA">
        <w:t xml:space="preserve">Revision 6.2: Make all necessary amendments to reflect our draft decision on conforming capex for 2017–22, as set out in </w:t>
      </w:r>
      <w:r w:rsidR="00714F45">
        <w:t>t</w:t>
      </w:r>
      <w:r w:rsidRPr="007D31AA">
        <w:t>able 6.</w:t>
      </w:r>
      <w:r w:rsidR="00A0336F">
        <w:t>2</w:t>
      </w:r>
      <w:r w:rsidRPr="007D31AA">
        <w:t>.</w:t>
      </w:r>
    </w:p>
    <w:sectPr w:rsidR="00515A97" w:rsidRPr="00515A97" w:rsidSect="002874DE">
      <w:headerReference w:type="even" r:id="rId12"/>
      <w:footerReference w:type="even" r:id="rId13"/>
      <w:footerReference w:type="default" r:id="rId14"/>
      <w:headerReference w:type="first" r:id="rId15"/>
      <w:pgSz w:w="11906" w:h="16838" w:code="9"/>
      <w:pgMar w:top="1440" w:right="1701"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BC" w:rsidRPr="00290C63" w:rsidRDefault="006F70BC" w:rsidP="00290C63">
      <w:r>
        <w:separator/>
      </w:r>
    </w:p>
    <w:p w:rsidR="006F70BC" w:rsidRDefault="006F70BC"/>
  </w:endnote>
  <w:endnote w:type="continuationSeparator" w:id="0">
    <w:p w:rsidR="006F70BC" w:rsidRPr="00290C63" w:rsidRDefault="006F70BC" w:rsidP="00290C63">
      <w:r>
        <w:continuationSeparator/>
      </w:r>
    </w:p>
    <w:p w:rsidR="006F70BC" w:rsidRDefault="006F7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BC" w:rsidRDefault="006F70B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F70BC" w:rsidRDefault="006F70BC">
    <w:pPr>
      <w:pStyle w:val="Footer"/>
    </w:pPr>
  </w:p>
  <w:p w:rsidR="006F70BC" w:rsidRDefault="006F70BC">
    <w:pPr>
      <w:pStyle w:val="Footer"/>
    </w:pPr>
    <w:r>
      <w:fldChar w:fldCharType="begin"/>
    </w:r>
    <w:r>
      <w:instrText xml:space="preserve"> DOCPROPERTY DocumentID \* MERGEFORMAT </w:instrText>
    </w:r>
    <w:r>
      <w:fldChar w:fldCharType="separate"/>
    </w:r>
    <w:r w:rsidR="0058257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F70BC" w:rsidRPr="00CA52A2" w:rsidRDefault="006F70BC" w:rsidP="00CA52A2">
        <w:pPr>
          <w:pStyle w:val="Footer"/>
        </w:pPr>
        <w:r w:rsidRPr="00CA52A2">
          <w:fldChar w:fldCharType="begin"/>
        </w:r>
        <w:r>
          <w:instrText xml:space="preserve"> PAGE   \* MERGEFORMAT </w:instrText>
        </w:r>
        <w:r w:rsidRPr="00CA52A2">
          <w:fldChar w:fldCharType="separate"/>
        </w:r>
        <w:r w:rsidR="00582574">
          <w:rPr>
            <w:noProof/>
          </w:rPr>
          <w:t>6-24</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Draft decision: Roma to Brisbane Gas Pipeline Access Arrangement 2017</w:t>
        </w:r>
        <w:r w:rsidRPr="00CA52A2">
          <w:t>–</w:t>
        </w:r>
        <w:r>
          <w:t>22</w:t>
        </w:r>
      </w:p>
    </w:sdtContent>
  </w:sdt>
  <w:p w:rsidR="006F70BC" w:rsidRDefault="006F70B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BC" w:rsidRPr="00290C63" w:rsidRDefault="006F70BC" w:rsidP="00290C63">
      <w:r>
        <w:separator/>
      </w:r>
    </w:p>
    <w:p w:rsidR="006F70BC" w:rsidRDefault="006F70BC"/>
  </w:footnote>
  <w:footnote w:type="continuationSeparator" w:id="0">
    <w:p w:rsidR="006F70BC" w:rsidRPr="00290C63" w:rsidRDefault="006F70BC" w:rsidP="00290C63">
      <w:r>
        <w:continuationSeparator/>
      </w:r>
    </w:p>
    <w:p w:rsidR="006F70BC" w:rsidRDefault="006F70BC"/>
  </w:footnote>
  <w:footnote w:id="1">
    <w:p w:rsidR="006F70BC" w:rsidRDefault="006F70BC" w:rsidP="005142C8">
      <w:pPr>
        <w:pStyle w:val="FootnoteText"/>
      </w:pPr>
      <w:r>
        <w:rPr>
          <w:rStyle w:val="FootnoteReference"/>
        </w:rPr>
        <w:footnoteRef/>
      </w:r>
      <w:r>
        <w:t xml:space="preserve"> </w:t>
      </w:r>
      <w:r>
        <w:tab/>
      </w:r>
      <w:proofErr w:type="gramStart"/>
      <w:r>
        <w:t>NGR, r. 69.</w:t>
      </w:r>
      <w:proofErr w:type="gramEnd"/>
    </w:p>
  </w:footnote>
  <w:footnote w:id="2">
    <w:p w:rsidR="006F70BC" w:rsidRDefault="006F70BC">
      <w:pPr>
        <w:pStyle w:val="FootnoteText"/>
      </w:pPr>
      <w:r>
        <w:rPr>
          <w:rStyle w:val="FootnoteReference"/>
        </w:rPr>
        <w:footnoteRef/>
      </w:r>
      <w:r>
        <w:t xml:space="preserve"> </w:t>
      </w:r>
      <w:r>
        <w:tab/>
      </w:r>
      <w:proofErr w:type="gramStart"/>
      <w:r>
        <w:t>NGR, r. 77.</w:t>
      </w:r>
      <w:proofErr w:type="gramEnd"/>
    </w:p>
  </w:footnote>
  <w:footnote w:id="3">
    <w:p w:rsidR="006F70BC" w:rsidRDefault="006F70BC">
      <w:pPr>
        <w:pStyle w:val="FootnoteText"/>
      </w:pPr>
      <w:r>
        <w:rPr>
          <w:rStyle w:val="FootnoteReference"/>
        </w:rPr>
        <w:footnoteRef/>
      </w:r>
      <w:r>
        <w:t xml:space="preserve"> </w:t>
      </w:r>
      <w:r>
        <w:tab/>
        <w:t>NGR, r. 78(b)</w:t>
      </w:r>
    </w:p>
  </w:footnote>
  <w:footnote w:id="4">
    <w:p w:rsidR="006F70BC" w:rsidRDefault="006F70BC">
      <w:pPr>
        <w:pStyle w:val="FootnoteText"/>
      </w:pPr>
      <w:r>
        <w:rPr>
          <w:rStyle w:val="FootnoteReference"/>
        </w:rPr>
        <w:footnoteRef/>
      </w:r>
      <w:r>
        <w:t xml:space="preserve"> </w:t>
      </w:r>
      <w:r>
        <w:tab/>
      </w:r>
      <w:proofErr w:type="gramStart"/>
      <w:r>
        <w:t>NGR, r.</w:t>
      </w:r>
      <w:r w:rsidRPr="00514B4E">
        <w:t xml:space="preserve"> 79(1)</w:t>
      </w:r>
      <w:r>
        <w:t>.</w:t>
      </w:r>
      <w:proofErr w:type="gramEnd"/>
    </w:p>
  </w:footnote>
  <w:footnote w:id="5">
    <w:p w:rsidR="006F70BC" w:rsidRDefault="006F70BC">
      <w:pPr>
        <w:pStyle w:val="FootnoteText"/>
      </w:pPr>
      <w:r>
        <w:rPr>
          <w:rStyle w:val="FootnoteReference"/>
        </w:rPr>
        <w:footnoteRef/>
      </w:r>
      <w:r>
        <w:t xml:space="preserve"> </w:t>
      </w:r>
      <w:r>
        <w:tab/>
      </w:r>
      <w:proofErr w:type="gramStart"/>
      <w:r>
        <w:t>NGR, r. 77(2).</w:t>
      </w:r>
      <w:proofErr w:type="gramEnd"/>
    </w:p>
  </w:footnote>
  <w:footnote w:id="6">
    <w:p w:rsidR="006F70BC" w:rsidRDefault="006F70BC">
      <w:pPr>
        <w:pStyle w:val="FootnoteText"/>
      </w:pPr>
      <w:r>
        <w:rPr>
          <w:rStyle w:val="FootnoteReference"/>
        </w:rPr>
        <w:footnoteRef/>
      </w:r>
      <w:r>
        <w:t xml:space="preserve"> </w:t>
      </w:r>
      <w:r>
        <w:tab/>
      </w:r>
      <w:proofErr w:type="gramStart"/>
      <w:r>
        <w:t>NGR, r. 79(1).</w:t>
      </w:r>
      <w:proofErr w:type="gramEnd"/>
    </w:p>
  </w:footnote>
  <w:footnote w:id="7">
    <w:p w:rsidR="006F70BC" w:rsidRDefault="006F70BC" w:rsidP="00A62E01">
      <w:pPr>
        <w:pStyle w:val="FootnoteText"/>
      </w:pPr>
      <w:r>
        <w:rPr>
          <w:rStyle w:val="FootnoteReference"/>
        </w:rPr>
        <w:footnoteRef/>
      </w:r>
      <w:r>
        <w:t xml:space="preserve"> </w:t>
      </w:r>
      <w:r>
        <w:tab/>
        <w:t>NGR, r. 79(1).</w:t>
      </w:r>
    </w:p>
  </w:footnote>
  <w:footnote w:id="8">
    <w:p w:rsidR="006F70BC" w:rsidRDefault="006F70BC" w:rsidP="00A62E01">
      <w:pPr>
        <w:pStyle w:val="FootnoteText"/>
      </w:pPr>
      <w:r>
        <w:rPr>
          <w:rStyle w:val="FootnoteReference"/>
        </w:rPr>
        <w:footnoteRef/>
      </w:r>
      <w:r>
        <w:t xml:space="preserve"> </w:t>
      </w:r>
      <w:r>
        <w:tab/>
      </w:r>
      <w:proofErr w:type="gramStart"/>
      <w:r>
        <w:t>NGR, r. 79(1).</w:t>
      </w:r>
      <w:proofErr w:type="gramEnd"/>
    </w:p>
  </w:footnote>
  <w:footnote w:id="9">
    <w:p w:rsidR="006F70BC" w:rsidRDefault="006F70BC">
      <w:pPr>
        <w:pStyle w:val="FootnoteText"/>
      </w:pPr>
      <w:r>
        <w:rPr>
          <w:rStyle w:val="FootnoteReference"/>
        </w:rPr>
        <w:footnoteRef/>
      </w:r>
      <w:r>
        <w:t xml:space="preserve"> </w:t>
      </w:r>
      <w:r>
        <w:tab/>
        <w:t xml:space="preserve">AER, </w:t>
      </w:r>
      <w:r w:rsidRPr="00E4194A">
        <w:rPr>
          <w:rStyle w:val="AERtextitalic"/>
        </w:rPr>
        <w:t>RBP Access Arrangement Final Decision 2012–13 to 2016–17</w:t>
      </w:r>
      <w:r>
        <w:t xml:space="preserve">, August 2012. </w:t>
      </w:r>
    </w:p>
  </w:footnote>
  <w:footnote w:id="10">
    <w:p w:rsidR="006F70BC" w:rsidRDefault="006F70BC">
      <w:pPr>
        <w:pStyle w:val="FootnoteText"/>
      </w:pPr>
      <w:r>
        <w:rPr>
          <w:rStyle w:val="FootnoteReference"/>
        </w:rPr>
        <w:footnoteRef/>
      </w:r>
      <w:r>
        <w:t xml:space="preserve"> </w:t>
      </w:r>
      <w:r>
        <w:tab/>
        <w:t xml:space="preserve">APTPPL, </w:t>
      </w:r>
      <w:r w:rsidRPr="00E4194A">
        <w:rPr>
          <w:rStyle w:val="AERtextitalic"/>
        </w:rPr>
        <w:t>RBP Access Arrangement Revision Proposal Submission</w:t>
      </w:r>
      <w:r>
        <w:t>, September 2016, p. 119.</w:t>
      </w:r>
    </w:p>
  </w:footnote>
  <w:footnote w:id="11">
    <w:p w:rsidR="006F70BC" w:rsidRDefault="006F70BC">
      <w:pPr>
        <w:pStyle w:val="FootnoteText"/>
      </w:pPr>
      <w:r>
        <w:rPr>
          <w:rStyle w:val="FootnoteReference"/>
        </w:rPr>
        <w:footnoteRef/>
      </w:r>
      <w:r>
        <w:t xml:space="preserve"> </w:t>
      </w:r>
      <w:r>
        <w:tab/>
      </w:r>
      <w:proofErr w:type="gramStart"/>
      <w:r>
        <w:t>ibid.,</w:t>
      </w:r>
      <w:proofErr w:type="gramEnd"/>
      <w:r>
        <w:t xml:space="preserve"> p. 94.</w:t>
      </w:r>
    </w:p>
  </w:footnote>
  <w:footnote w:id="12">
    <w:p w:rsidR="006F70BC" w:rsidRDefault="006F70BC">
      <w:pPr>
        <w:pStyle w:val="FootnoteText"/>
      </w:pPr>
      <w:r>
        <w:rPr>
          <w:rStyle w:val="FootnoteReference"/>
        </w:rPr>
        <w:footnoteRef/>
      </w:r>
      <w:r>
        <w:t xml:space="preserve"> </w:t>
      </w:r>
      <w:r>
        <w:tab/>
        <w:t>NGR, r. 77(2</w:t>
      </w:r>
      <w:proofErr w:type="gramStart"/>
      <w:r>
        <w:t>)(</w:t>
      </w:r>
      <w:proofErr w:type="gramEnd"/>
      <w:r>
        <w:t>b).</w:t>
      </w:r>
    </w:p>
  </w:footnote>
  <w:footnote w:id="13">
    <w:p w:rsidR="006F70BC" w:rsidRDefault="006F70BC" w:rsidP="007442F9">
      <w:pPr>
        <w:pStyle w:val="FootnoteText"/>
      </w:pPr>
      <w:r>
        <w:rPr>
          <w:rStyle w:val="FootnoteReference"/>
        </w:rPr>
        <w:footnoteRef/>
      </w:r>
      <w:r>
        <w:t xml:space="preserve"> </w:t>
      </w:r>
      <w:r>
        <w:tab/>
      </w:r>
      <w:proofErr w:type="gramStart"/>
      <w:r>
        <w:t>NGR, r. </w:t>
      </w:r>
      <w:r w:rsidRPr="007442F9">
        <w:t>79</w:t>
      </w:r>
      <w:r>
        <w:t>.</w:t>
      </w:r>
      <w:proofErr w:type="gramEnd"/>
    </w:p>
  </w:footnote>
  <w:footnote w:id="14">
    <w:p w:rsidR="006F70BC" w:rsidRDefault="006F70BC" w:rsidP="007442F9">
      <w:pPr>
        <w:pStyle w:val="FootnoteText"/>
      </w:pPr>
      <w:r>
        <w:rPr>
          <w:rStyle w:val="FootnoteReference"/>
        </w:rPr>
        <w:footnoteRef/>
      </w:r>
      <w:r>
        <w:t xml:space="preserve"> </w:t>
      </w:r>
      <w:r>
        <w:tab/>
      </w:r>
      <w:proofErr w:type="gramStart"/>
      <w:r>
        <w:t>NGR, r. 79(6).</w:t>
      </w:r>
      <w:proofErr w:type="gramEnd"/>
    </w:p>
  </w:footnote>
  <w:footnote w:id="15">
    <w:p w:rsidR="006F70BC" w:rsidRDefault="006F70BC" w:rsidP="007442F9">
      <w:pPr>
        <w:pStyle w:val="FootnoteText"/>
      </w:pPr>
      <w:r>
        <w:rPr>
          <w:rStyle w:val="FootnoteReference"/>
        </w:rPr>
        <w:footnoteRef/>
      </w:r>
      <w:r>
        <w:t xml:space="preserve"> </w:t>
      </w:r>
      <w:r>
        <w:tab/>
      </w:r>
      <w:proofErr w:type="gramStart"/>
      <w:r>
        <w:t>NGR, r. 40(2).</w:t>
      </w:r>
      <w:proofErr w:type="gramEnd"/>
    </w:p>
  </w:footnote>
  <w:footnote w:id="16">
    <w:p w:rsidR="006F70BC" w:rsidRDefault="006F70BC">
      <w:pPr>
        <w:pStyle w:val="FootnoteText"/>
      </w:pPr>
      <w:r>
        <w:rPr>
          <w:rStyle w:val="FootnoteReference"/>
        </w:rPr>
        <w:footnoteRef/>
      </w:r>
      <w:r>
        <w:t xml:space="preserve"> </w:t>
      </w:r>
      <w:r>
        <w:tab/>
        <w:t>NGR, r. </w:t>
      </w:r>
      <w:r w:rsidRPr="00F20FB7">
        <w:t>77(2</w:t>
      </w:r>
      <w:proofErr w:type="gramStart"/>
      <w:r w:rsidRPr="00F20FB7">
        <w:t>)(</w:t>
      </w:r>
      <w:proofErr w:type="gramEnd"/>
      <w:r w:rsidRPr="00F20FB7">
        <w:t>b)</w:t>
      </w:r>
      <w:r>
        <w:t>.</w:t>
      </w:r>
    </w:p>
  </w:footnote>
  <w:footnote w:id="17">
    <w:p w:rsidR="006F70BC" w:rsidRDefault="006F70BC" w:rsidP="008E20C7">
      <w:pPr>
        <w:pStyle w:val="FootnoteText"/>
      </w:pPr>
      <w:r>
        <w:rPr>
          <w:rStyle w:val="FootnoteReference"/>
        </w:rPr>
        <w:footnoteRef/>
      </w:r>
      <w:r>
        <w:t xml:space="preserve"> </w:t>
      </w:r>
      <w:r>
        <w:tab/>
        <w:t>NGR, r. 77(2</w:t>
      </w:r>
      <w:proofErr w:type="gramStart"/>
      <w:r>
        <w:t>)(</w:t>
      </w:r>
      <w:proofErr w:type="gramEnd"/>
      <w:r>
        <w:t>a).</w:t>
      </w:r>
    </w:p>
  </w:footnote>
  <w:footnote w:id="18">
    <w:p w:rsidR="006F70BC" w:rsidRDefault="006F70BC" w:rsidP="000F364B">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 xml:space="preserve">b), 79. </w:t>
      </w:r>
    </w:p>
  </w:footnote>
  <w:footnote w:id="19">
    <w:p w:rsidR="006F70BC" w:rsidRDefault="006F70BC" w:rsidP="000F364B">
      <w:pPr>
        <w:pStyle w:val="FootnoteText"/>
      </w:pPr>
      <w:r>
        <w:rPr>
          <w:rStyle w:val="FootnoteReference"/>
        </w:rPr>
        <w:footnoteRef/>
      </w:r>
      <w:r>
        <w:t xml:space="preserve"> </w:t>
      </w:r>
      <w:r>
        <w:tab/>
        <w:t>NGR, r. 77(2</w:t>
      </w:r>
      <w:proofErr w:type="gramStart"/>
      <w:r>
        <w:t>)(</w:t>
      </w:r>
      <w:proofErr w:type="gramEnd"/>
      <w:r>
        <w:t>b).</w:t>
      </w:r>
    </w:p>
  </w:footnote>
  <w:footnote w:id="20">
    <w:p w:rsidR="006F70BC" w:rsidRDefault="006F70BC" w:rsidP="000F364B">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a), 79.</w:t>
      </w:r>
    </w:p>
  </w:footnote>
  <w:footnote w:id="21">
    <w:p w:rsidR="006F70BC" w:rsidRDefault="006F70BC">
      <w:pPr>
        <w:pStyle w:val="FootnoteText"/>
      </w:pPr>
      <w:r>
        <w:rPr>
          <w:rStyle w:val="FootnoteReference"/>
        </w:rPr>
        <w:footnoteRef/>
      </w:r>
      <w:r>
        <w:t xml:space="preserve"> </w:t>
      </w:r>
      <w:r>
        <w:tab/>
      </w:r>
      <w:proofErr w:type="gramStart"/>
      <w:r>
        <w:t xml:space="preserve">NGR, </w:t>
      </w:r>
      <w:r w:rsidRPr="008E20C7">
        <w:t>r</w:t>
      </w:r>
      <w:r>
        <w:t>. </w:t>
      </w:r>
      <w:r w:rsidRPr="008E20C7">
        <w:t>79(1)</w:t>
      </w:r>
      <w:r>
        <w:t>.</w:t>
      </w:r>
      <w:proofErr w:type="gramEnd"/>
    </w:p>
  </w:footnote>
  <w:footnote w:id="22">
    <w:p w:rsidR="006F70BC" w:rsidRDefault="006F70BC" w:rsidP="00515A97">
      <w:pPr>
        <w:pStyle w:val="FootnoteText"/>
      </w:pPr>
      <w:r>
        <w:rPr>
          <w:rStyle w:val="FootnoteReference"/>
        </w:rPr>
        <w:footnoteRef/>
      </w:r>
      <w:r>
        <w:t xml:space="preserve"> </w:t>
      </w:r>
      <w:r>
        <w:tab/>
      </w:r>
      <w:proofErr w:type="gramStart"/>
      <w:r>
        <w:t>NGR, r. 74(2).</w:t>
      </w:r>
      <w:proofErr w:type="gramEnd"/>
    </w:p>
  </w:footnote>
  <w:footnote w:id="23">
    <w:p w:rsidR="006F70BC" w:rsidRDefault="006F70BC" w:rsidP="006B3F36">
      <w:pPr>
        <w:pStyle w:val="FootnoteText"/>
      </w:pPr>
      <w:r>
        <w:rPr>
          <w:rStyle w:val="FootnoteReference"/>
        </w:rPr>
        <w:footnoteRef/>
      </w:r>
      <w:r>
        <w:t xml:space="preserve"> </w:t>
      </w:r>
      <w:r>
        <w:tab/>
        <w:t xml:space="preserve">APTPPL, </w:t>
      </w:r>
      <w:r w:rsidRPr="00E4194A">
        <w:rPr>
          <w:rStyle w:val="AERtextitalic"/>
        </w:rPr>
        <w:t>RBP Access Arrangement Revision Proposal Submission</w:t>
      </w:r>
      <w:r>
        <w:t>, September 2016, p. 80.</w:t>
      </w:r>
    </w:p>
  </w:footnote>
  <w:footnote w:id="24">
    <w:p w:rsidR="006F70BC" w:rsidRDefault="006F70BC" w:rsidP="006B3F36">
      <w:pPr>
        <w:pStyle w:val="FootnoteText"/>
      </w:pPr>
      <w:r>
        <w:rPr>
          <w:rStyle w:val="FootnoteReference"/>
        </w:rPr>
        <w:footnoteRef/>
      </w:r>
      <w:r>
        <w:t xml:space="preserve"> </w:t>
      </w:r>
      <w:r>
        <w:tab/>
        <w:t xml:space="preserve">APTPPL, </w:t>
      </w:r>
      <w:r w:rsidRPr="00E4194A">
        <w:rPr>
          <w:rStyle w:val="AERtextitalic"/>
        </w:rPr>
        <w:t>Response to information request 22</w:t>
      </w:r>
      <w:r>
        <w:t>, 9 December 2016, p. 2.</w:t>
      </w:r>
    </w:p>
  </w:footnote>
  <w:footnote w:id="25">
    <w:p w:rsidR="006F70BC" w:rsidRDefault="006F70BC">
      <w:pPr>
        <w:pStyle w:val="FootnoteText"/>
      </w:pPr>
      <w:r>
        <w:rPr>
          <w:rStyle w:val="FootnoteReference"/>
        </w:rPr>
        <w:footnoteRef/>
      </w:r>
      <w:r>
        <w:t xml:space="preserve"> </w:t>
      </w:r>
      <w:r>
        <w:tab/>
        <w:t>NGR, r. </w:t>
      </w:r>
      <w:r w:rsidRPr="00AA6A7D">
        <w:t>79(1</w:t>
      </w:r>
      <w:proofErr w:type="gramStart"/>
      <w:r w:rsidRPr="00AA6A7D">
        <w:t>)(</w:t>
      </w:r>
      <w:proofErr w:type="gramEnd"/>
      <w:r w:rsidRPr="00AA6A7D">
        <w:t>a</w:t>
      </w:r>
      <w:r>
        <w:t>).</w:t>
      </w:r>
    </w:p>
  </w:footnote>
  <w:footnote w:id="26">
    <w:p w:rsidR="006F70BC" w:rsidRDefault="006F70BC">
      <w:pPr>
        <w:pStyle w:val="FootnoteText"/>
      </w:pPr>
      <w:r>
        <w:rPr>
          <w:rStyle w:val="FootnoteReference"/>
        </w:rPr>
        <w:footnoteRef/>
      </w:r>
      <w:r>
        <w:t xml:space="preserve"> </w:t>
      </w:r>
      <w:r>
        <w:tab/>
        <w:t>NGR, r. 79(2</w:t>
      </w:r>
      <w:proofErr w:type="gramStart"/>
      <w:r>
        <w:t>)(</w:t>
      </w:r>
      <w:proofErr w:type="gramEnd"/>
      <w:r>
        <w:t>c)(</w:t>
      </w:r>
      <w:proofErr w:type="spellStart"/>
      <w:r>
        <w:t>i</w:t>
      </w:r>
      <w:proofErr w:type="spellEnd"/>
      <w:r>
        <w:t>) and (ii).</w:t>
      </w:r>
      <w:r>
        <w:br/>
        <w:t xml:space="preserve">APTPPL, </w:t>
      </w:r>
      <w:r w:rsidRPr="00E4194A">
        <w:rPr>
          <w:rStyle w:val="AERtextitalic"/>
        </w:rPr>
        <w:t>RBP Access Arrangement Revision Proposal Submission</w:t>
      </w:r>
      <w:r>
        <w:t>, September 2016, p. 96.</w:t>
      </w:r>
    </w:p>
  </w:footnote>
  <w:footnote w:id="27">
    <w:p w:rsidR="006F70BC" w:rsidRDefault="006F70BC">
      <w:pPr>
        <w:pStyle w:val="FootnoteText"/>
      </w:pPr>
      <w:r>
        <w:rPr>
          <w:rStyle w:val="FootnoteReference"/>
        </w:rPr>
        <w:footnoteRef/>
      </w:r>
      <w:r>
        <w:t xml:space="preserve"> </w:t>
      </w:r>
      <w:r>
        <w:tab/>
        <w:t xml:space="preserve">APTPPL, </w:t>
      </w:r>
      <w:r w:rsidRPr="00E4194A">
        <w:rPr>
          <w:rStyle w:val="AERtextitalic"/>
        </w:rPr>
        <w:t>RBP Access Arrangement Revision Proposal Submission</w:t>
      </w:r>
      <w:r>
        <w:t>, September 2016, p. 104.</w:t>
      </w:r>
    </w:p>
  </w:footnote>
  <w:footnote w:id="28">
    <w:p w:rsidR="006F70BC" w:rsidRDefault="006F70BC">
      <w:pPr>
        <w:pStyle w:val="FootnoteText"/>
      </w:pPr>
      <w:r>
        <w:rPr>
          <w:rStyle w:val="FootnoteReference"/>
        </w:rPr>
        <w:footnoteRef/>
      </w:r>
      <w:r>
        <w:t xml:space="preserve"> </w:t>
      </w:r>
      <w:r>
        <w:tab/>
        <w:t xml:space="preserve">APTPPL, </w:t>
      </w:r>
      <w:r w:rsidRPr="00E4194A">
        <w:rPr>
          <w:rStyle w:val="AERtextitalic"/>
        </w:rPr>
        <w:t>Attachment 5-2 - Forecast capital expenditure project documents: RBP Pipeline Integrity Management Upgrade</w:t>
      </w:r>
      <w:r>
        <w:t xml:space="preserve">, p. 5. </w:t>
      </w:r>
    </w:p>
  </w:footnote>
  <w:footnote w:id="29">
    <w:p w:rsidR="006F70BC" w:rsidRDefault="006F70BC" w:rsidP="00B14A71">
      <w:pPr>
        <w:pStyle w:val="FootnoteText"/>
      </w:pPr>
      <w:r>
        <w:rPr>
          <w:rStyle w:val="FootnoteReference"/>
        </w:rPr>
        <w:footnoteRef/>
      </w:r>
      <w:r>
        <w:t xml:space="preserve"> </w:t>
      </w:r>
      <w:r>
        <w:tab/>
        <w:t>NGR, r. 79(1</w:t>
      </w:r>
      <w:proofErr w:type="gramStart"/>
      <w:r>
        <w:t>)(</w:t>
      </w:r>
      <w:proofErr w:type="gramEnd"/>
      <w:r>
        <w:t xml:space="preserve">a) and r. 79(2)(c). </w:t>
      </w:r>
    </w:p>
  </w:footnote>
  <w:footnote w:id="30">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81.</w:t>
      </w:r>
    </w:p>
  </w:footnote>
  <w:footnote w:id="31">
    <w:p w:rsidR="006F70BC" w:rsidRDefault="006F70BC">
      <w:pPr>
        <w:pStyle w:val="FootnoteText"/>
      </w:pPr>
      <w:r>
        <w:rPr>
          <w:rStyle w:val="FootnoteReference"/>
        </w:rPr>
        <w:footnoteRef/>
      </w:r>
      <w:r>
        <w:t xml:space="preserve"> </w:t>
      </w:r>
      <w:r>
        <w:tab/>
        <w:t>Petroleum and Gas (Production and Safety) Regulation 2004, s. 80.</w:t>
      </w:r>
    </w:p>
  </w:footnote>
  <w:footnote w:id="32">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81.</w:t>
      </w:r>
    </w:p>
  </w:footnote>
  <w:footnote w:id="33">
    <w:p w:rsidR="006F70BC" w:rsidRDefault="006F70BC">
      <w:pPr>
        <w:pStyle w:val="FootnoteText"/>
      </w:pPr>
      <w:r>
        <w:rPr>
          <w:rStyle w:val="FootnoteReference"/>
        </w:rPr>
        <w:footnoteRef/>
      </w:r>
      <w:r>
        <w:t xml:space="preserve"> </w:t>
      </w:r>
      <w:r>
        <w:tab/>
        <w:t>NGR, r. 79(2</w:t>
      </w:r>
      <w:proofErr w:type="gramStart"/>
      <w:r>
        <w:t>)(</w:t>
      </w:r>
      <w:proofErr w:type="gramEnd"/>
      <w:r>
        <w:t xml:space="preserve">c). </w:t>
      </w:r>
    </w:p>
  </w:footnote>
  <w:footnote w:id="34">
    <w:p w:rsidR="006F70BC" w:rsidRDefault="006F70BC">
      <w:pPr>
        <w:pStyle w:val="FootnoteText"/>
      </w:pPr>
      <w:r>
        <w:rPr>
          <w:rStyle w:val="FootnoteReference"/>
        </w:rPr>
        <w:footnoteRef/>
      </w:r>
      <w:r>
        <w:t xml:space="preserve"> </w:t>
      </w:r>
      <w:r>
        <w:tab/>
        <w:t>NGR, r. 79(1</w:t>
      </w:r>
      <w:proofErr w:type="gramStart"/>
      <w:r>
        <w:t>)(</w:t>
      </w:r>
      <w:proofErr w:type="gramEnd"/>
      <w:r>
        <w:t>a).</w:t>
      </w:r>
    </w:p>
  </w:footnote>
  <w:footnote w:id="35">
    <w:p w:rsidR="006F70BC" w:rsidRDefault="006F70BC">
      <w:pPr>
        <w:pStyle w:val="FootnoteText"/>
      </w:pPr>
      <w:r>
        <w:rPr>
          <w:rStyle w:val="FootnoteReference"/>
        </w:rPr>
        <w:footnoteRef/>
      </w:r>
      <w:r>
        <w:t xml:space="preserve"> </w:t>
      </w:r>
      <w:r>
        <w:tab/>
        <w:t>NGR, r. 79(2</w:t>
      </w:r>
      <w:proofErr w:type="gramStart"/>
      <w:r>
        <w:t>)(</w:t>
      </w:r>
      <w:proofErr w:type="gramEnd"/>
      <w:r>
        <w:t>c).</w:t>
      </w:r>
    </w:p>
  </w:footnote>
  <w:footnote w:id="36">
    <w:p w:rsidR="006F70BC" w:rsidRDefault="006F70BC" w:rsidP="00C566D4">
      <w:pPr>
        <w:pStyle w:val="FootnoteText"/>
      </w:pPr>
      <w:r>
        <w:rPr>
          <w:rStyle w:val="FootnoteReference"/>
        </w:rPr>
        <w:footnoteRef/>
      </w:r>
      <w:r>
        <w:t xml:space="preserve"> </w:t>
      </w:r>
      <w:r>
        <w:tab/>
        <w:t xml:space="preserve">APTPPL, </w:t>
      </w:r>
      <w:r w:rsidRPr="00E4194A">
        <w:rPr>
          <w:rStyle w:val="AERtextitalic"/>
        </w:rPr>
        <w:t>RBP Access Arrangement Revision Proposal Submission</w:t>
      </w:r>
      <w:r>
        <w:t>, September 2016, p. 83.</w:t>
      </w:r>
    </w:p>
  </w:footnote>
  <w:footnote w:id="37">
    <w:p w:rsidR="006F70BC" w:rsidRDefault="006F70BC">
      <w:pPr>
        <w:pStyle w:val="FootnoteText"/>
      </w:pPr>
      <w:r>
        <w:rPr>
          <w:rStyle w:val="FootnoteReference"/>
        </w:rPr>
        <w:footnoteRef/>
      </w:r>
      <w:r>
        <w:t xml:space="preserve"> </w:t>
      </w:r>
      <w:r>
        <w:tab/>
        <w:t xml:space="preserve">APTPPL, </w:t>
      </w:r>
      <w:r w:rsidRPr="00E4194A">
        <w:rPr>
          <w:rStyle w:val="AERtextitalic"/>
        </w:rPr>
        <w:t>Attachment 5-1 - Historical capital expenditure documents: Bi-directional flow</w:t>
      </w:r>
      <w:r>
        <w:t>, p. 4.</w:t>
      </w:r>
    </w:p>
  </w:footnote>
  <w:footnote w:id="38">
    <w:p w:rsidR="006F70BC" w:rsidRDefault="006F70BC">
      <w:pPr>
        <w:pStyle w:val="FootnoteText"/>
      </w:pPr>
      <w:r>
        <w:rPr>
          <w:rStyle w:val="FootnoteReference"/>
        </w:rPr>
        <w:footnoteRef/>
      </w:r>
      <w:r>
        <w:t xml:space="preserve"> </w:t>
      </w:r>
      <w:r>
        <w:tab/>
        <w:t xml:space="preserve">NGR, </w:t>
      </w:r>
      <w:proofErr w:type="gramStart"/>
      <w:r>
        <w:t>rr</w:t>
      </w:r>
      <w:proofErr w:type="gramEnd"/>
      <w:r>
        <w:t>. 79(2</w:t>
      </w:r>
      <w:proofErr w:type="gramStart"/>
      <w:r>
        <w:t>)(</w:t>
      </w:r>
      <w:proofErr w:type="gramEnd"/>
      <w:r>
        <w:t>a) and 79(2)(b).</w:t>
      </w:r>
    </w:p>
  </w:footnote>
  <w:footnote w:id="39">
    <w:p w:rsidR="006F70BC" w:rsidRDefault="006F70BC" w:rsidP="00C566D4">
      <w:pPr>
        <w:pStyle w:val="FootnoteText"/>
      </w:pPr>
      <w:r>
        <w:rPr>
          <w:rStyle w:val="FootnoteReference"/>
        </w:rPr>
        <w:footnoteRef/>
      </w:r>
      <w:r>
        <w:t xml:space="preserve"> </w:t>
      </w:r>
      <w:r>
        <w:tab/>
        <w:t xml:space="preserve">APTPPL, </w:t>
      </w:r>
      <w:r w:rsidRPr="00E4194A">
        <w:rPr>
          <w:rStyle w:val="AERtextitalic"/>
        </w:rPr>
        <w:t>Attachment 5-1 - Historical capital expenditure documents: Bi-directional flow</w:t>
      </w:r>
      <w:r>
        <w:t>, p. 4.</w:t>
      </w:r>
    </w:p>
  </w:footnote>
  <w:footnote w:id="40">
    <w:p w:rsidR="006F70BC" w:rsidRDefault="006F70BC">
      <w:pPr>
        <w:pStyle w:val="FootnoteText"/>
      </w:pPr>
      <w:r>
        <w:rPr>
          <w:rStyle w:val="FootnoteReference"/>
        </w:rPr>
        <w:footnoteRef/>
      </w:r>
      <w:r>
        <w:t xml:space="preserve"> </w:t>
      </w:r>
      <w:r>
        <w:tab/>
        <w:t>ibid.</w:t>
      </w:r>
    </w:p>
  </w:footnote>
  <w:footnote w:id="41">
    <w:p w:rsidR="006F70BC" w:rsidRDefault="006F70BC">
      <w:pPr>
        <w:pStyle w:val="FootnoteText"/>
      </w:pPr>
      <w:r>
        <w:rPr>
          <w:rStyle w:val="FootnoteReference"/>
        </w:rPr>
        <w:footnoteRef/>
      </w:r>
      <w:r>
        <w:t xml:space="preserve"> </w:t>
      </w:r>
      <w:r>
        <w:tab/>
        <w:t xml:space="preserve">NGR, </w:t>
      </w:r>
      <w:proofErr w:type="gramStart"/>
      <w:r>
        <w:t>rr</w:t>
      </w:r>
      <w:proofErr w:type="gramEnd"/>
      <w:r>
        <w:t>. 79(2</w:t>
      </w:r>
      <w:proofErr w:type="gramStart"/>
      <w:r>
        <w:t>)(</w:t>
      </w:r>
      <w:proofErr w:type="gramEnd"/>
      <w:r>
        <w:t>a) and 79(2)(b).</w:t>
      </w:r>
    </w:p>
  </w:footnote>
  <w:footnote w:id="42">
    <w:p w:rsidR="006F70BC" w:rsidRDefault="006F70BC">
      <w:pPr>
        <w:pStyle w:val="FootnoteText"/>
      </w:pPr>
      <w:r>
        <w:rPr>
          <w:rStyle w:val="FootnoteReference"/>
        </w:rPr>
        <w:footnoteRef/>
      </w:r>
      <w:r>
        <w:t xml:space="preserve"> </w:t>
      </w:r>
      <w:r>
        <w:tab/>
      </w:r>
      <w:proofErr w:type="gramStart"/>
      <w:r>
        <w:t>NGR, r. 82.</w:t>
      </w:r>
      <w:proofErr w:type="gramEnd"/>
    </w:p>
  </w:footnote>
  <w:footnote w:id="43">
    <w:p w:rsidR="006F70BC" w:rsidRDefault="006F70BC">
      <w:pPr>
        <w:pStyle w:val="FootnoteText"/>
      </w:pPr>
      <w:r>
        <w:rPr>
          <w:rStyle w:val="FootnoteReference"/>
        </w:rPr>
        <w:footnoteRef/>
      </w:r>
      <w:r>
        <w:t xml:space="preserve"> </w:t>
      </w:r>
      <w:r>
        <w:tab/>
      </w:r>
      <w:proofErr w:type="gramStart"/>
      <w:r>
        <w:t>AER</w:t>
      </w:r>
      <w:r w:rsidRPr="00E4194A">
        <w:rPr>
          <w:rStyle w:val="AERtextitalic"/>
        </w:rPr>
        <w:t>, Information request AER#06</w:t>
      </w:r>
      <w:r>
        <w:t>, 23 September 2016.</w:t>
      </w:r>
      <w:proofErr w:type="gramEnd"/>
    </w:p>
  </w:footnote>
  <w:footnote w:id="44">
    <w:p w:rsidR="006F70BC" w:rsidRDefault="006F70BC">
      <w:pPr>
        <w:pStyle w:val="FootnoteText"/>
      </w:pPr>
      <w:r>
        <w:rPr>
          <w:rStyle w:val="FootnoteReference"/>
        </w:rPr>
        <w:footnoteRef/>
      </w:r>
      <w:r>
        <w:t xml:space="preserve"> </w:t>
      </w:r>
      <w:r>
        <w:tab/>
      </w:r>
      <w:proofErr w:type="gramStart"/>
      <w:r>
        <w:t>NGR, r. 82.</w:t>
      </w:r>
      <w:proofErr w:type="gramEnd"/>
    </w:p>
  </w:footnote>
  <w:footnote w:id="45">
    <w:p w:rsidR="006F70BC" w:rsidRDefault="006F70BC" w:rsidP="006B3F36">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86.</w:t>
      </w:r>
    </w:p>
  </w:footnote>
  <w:footnote w:id="46">
    <w:p w:rsidR="006F70BC" w:rsidRDefault="006F70BC" w:rsidP="006B3F36">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pp. 86-88.</w:t>
      </w:r>
    </w:p>
  </w:footnote>
  <w:footnote w:id="47">
    <w:p w:rsidR="006F70BC" w:rsidRDefault="006F70BC" w:rsidP="006B3F36">
      <w:pPr>
        <w:pStyle w:val="FootnoteText"/>
      </w:pPr>
      <w:r>
        <w:rPr>
          <w:rStyle w:val="FootnoteReference"/>
        </w:rPr>
        <w:footnoteRef/>
      </w:r>
      <w:r>
        <w:t xml:space="preserve"> </w:t>
      </w:r>
      <w:r>
        <w:tab/>
        <w:t xml:space="preserve">APTPPL, </w:t>
      </w:r>
      <w:r w:rsidRPr="00E4194A">
        <w:rPr>
          <w:rStyle w:val="AERtextitalic"/>
        </w:rPr>
        <w:t xml:space="preserve">Attachment 5-1 - Historical capital expenditure documents: Emergency </w:t>
      </w:r>
      <w:proofErr w:type="gramStart"/>
      <w:r w:rsidRPr="00E4194A">
        <w:rPr>
          <w:rStyle w:val="AERtextitalic"/>
        </w:rPr>
        <w:t>works</w:t>
      </w:r>
      <w:r>
        <w:t>,</w:t>
      </w:r>
      <w:proofErr w:type="gramEnd"/>
      <w:r>
        <w:t xml:space="preserve"> p. 2.</w:t>
      </w:r>
    </w:p>
  </w:footnote>
  <w:footnote w:id="48">
    <w:p w:rsidR="006F70BC" w:rsidRDefault="006F70BC" w:rsidP="006B3F36">
      <w:pPr>
        <w:pStyle w:val="FootnoteText"/>
      </w:pPr>
      <w:r>
        <w:rPr>
          <w:rStyle w:val="FootnoteReference"/>
        </w:rPr>
        <w:footnoteRef/>
      </w:r>
      <w:r>
        <w:t xml:space="preserve"> </w:t>
      </w:r>
      <w:r>
        <w:tab/>
        <w:t xml:space="preserve">APTPPL, </w:t>
      </w:r>
      <w:r w:rsidRPr="00E4194A">
        <w:rPr>
          <w:rStyle w:val="AERtextitalic"/>
        </w:rPr>
        <w:t>Response to information request 10</w:t>
      </w:r>
      <w:r>
        <w:t>, 10 October 2016, p. 2.</w:t>
      </w:r>
    </w:p>
  </w:footnote>
  <w:footnote w:id="49">
    <w:p w:rsidR="006F70BC" w:rsidRDefault="006F70BC" w:rsidP="006B3F36">
      <w:pPr>
        <w:pStyle w:val="FootnoteText"/>
      </w:pPr>
      <w:r>
        <w:rPr>
          <w:rStyle w:val="FootnoteReference"/>
        </w:rPr>
        <w:footnoteRef/>
      </w:r>
      <w:r>
        <w:t xml:space="preserve"> </w:t>
      </w:r>
      <w:r>
        <w:tab/>
        <w:t xml:space="preserve">APTPPL, </w:t>
      </w:r>
      <w:r w:rsidRPr="00E4194A">
        <w:rPr>
          <w:rStyle w:val="AERtextitalic"/>
        </w:rPr>
        <w:t>Attachment 8.1 - Queensland floods, 2011</w:t>
      </w:r>
      <w:r>
        <w:t>, p. 8.</w:t>
      </w:r>
    </w:p>
  </w:footnote>
  <w:footnote w:id="50">
    <w:p w:rsidR="006F70BC" w:rsidRDefault="006F70BC" w:rsidP="006B3F36">
      <w:pPr>
        <w:pStyle w:val="FootnoteText"/>
      </w:pPr>
      <w:r>
        <w:rPr>
          <w:rStyle w:val="FootnoteReference"/>
        </w:rPr>
        <w:footnoteRef/>
      </w:r>
      <w:r>
        <w:t xml:space="preserve"> </w:t>
      </w:r>
      <w:r>
        <w:tab/>
        <w:t xml:space="preserve">APTPPL, </w:t>
      </w:r>
      <w:r w:rsidRPr="00E4194A">
        <w:rPr>
          <w:rStyle w:val="AERtextitalic"/>
        </w:rPr>
        <w:t xml:space="preserve">Attachment 8.1 - Queensland floods, 2011, p. 3, and APTPPL, Attachment 5-1 - Historical capital expenditure documents: Emergency </w:t>
      </w:r>
      <w:proofErr w:type="gramStart"/>
      <w:r w:rsidRPr="00E4194A">
        <w:rPr>
          <w:rStyle w:val="AERtextitalic"/>
        </w:rPr>
        <w:t>works</w:t>
      </w:r>
      <w:r>
        <w:t>,</w:t>
      </w:r>
      <w:proofErr w:type="gramEnd"/>
      <w:r>
        <w:t xml:space="preserve"> p. 3.</w:t>
      </w:r>
    </w:p>
  </w:footnote>
  <w:footnote w:id="51">
    <w:p w:rsidR="006F70BC" w:rsidRDefault="006F70BC">
      <w:pPr>
        <w:pStyle w:val="FootnoteText"/>
      </w:pPr>
      <w:r>
        <w:rPr>
          <w:rStyle w:val="FootnoteReference"/>
        </w:rPr>
        <w:footnoteRef/>
      </w:r>
      <w:r>
        <w:t xml:space="preserve"> </w:t>
      </w:r>
      <w:r>
        <w:tab/>
      </w:r>
      <w:proofErr w:type="gramStart"/>
      <w:r>
        <w:t>NGR, r. 79(1).</w:t>
      </w:r>
      <w:proofErr w:type="gramEnd"/>
    </w:p>
  </w:footnote>
  <w:footnote w:id="52">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108.</w:t>
      </w:r>
    </w:p>
  </w:footnote>
  <w:footnote w:id="53">
    <w:p w:rsidR="006F70BC" w:rsidRDefault="006F70BC" w:rsidP="0005461A">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112.</w:t>
      </w:r>
    </w:p>
  </w:footnote>
  <w:footnote w:id="54">
    <w:p w:rsidR="006F70BC" w:rsidRDefault="006F70BC">
      <w:pPr>
        <w:pStyle w:val="FootnoteText"/>
      </w:pPr>
      <w:r>
        <w:rPr>
          <w:rStyle w:val="FootnoteReference"/>
        </w:rPr>
        <w:footnoteRef/>
      </w:r>
      <w:r>
        <w:t xml:space="preserve"> </w:t>
      </w:r>
      <w:r>
        <w:tab/>
        <w:t>AS2885.1: 2012, c.4.7.2.</w:t>
      </w:r>
    </w:p>
  </w:footnote>
  <w:footnote w:id="55">
    <w:p w:rsidR="006F70BC" w:rsidRDefault="006F70BC">
      <w:pPr>
        <w:pStyle w:val="FootnoteText"/>
      </w:pPr>
      <w:r>
        <w:rPr>
          <w:rStyle w:val="FootnoteReference"/>
        </w:rPr>
        <w:footnoteRef/>
      </w:r>
      <w:r>
        <w:t xml:space="preserve"> </w:t>
      </w:r>
      <w:r>
        <w:tab/>
        <w:t>AS2885.1: 2012, c.4.7.3.</w:t>
      </w:r>
    </w:p>
  </w:footnote>
  <w:footnote w:id="56">
    <w:p w:rsidR="006F70BC" w:rsidRDefault="006F70BC">
      <w:pPr>
        <w:pStyle w:val="FootnoteText"/>
      </w:pPr>
      <w:r>
        <w:rPr>
          <w:rStyle w:val="FootnoteReference"/>
        </w:rPr>
        <w:footnoteRef/>
      </w:r>
      <w:r>
        <w:t xml:space="preserve"> </w:t>
      </w:r>
      <w:r>
        <w:tab/>
        <w:t>The standard states for a Change in Location Class section 4.7.4: "… safety assessment shall be undertaken and additional control measures implemented until it is demonstrated that the risk from a loss of containment involving rupture is ALARP." (As Low As Reasonably Practicable)</w:t>
      </w:r>
    </w:p>
  </w:footnote>
  <w:footnote w:id="57">
    <w:p w:rsidR="006F70BC" w:rsidRDefault="006F70BC">
      <w:pPr>
        <w:pStyle w:val="FootnoteText"/>
      </w:pPr>
      <w:r>
        <w:rPr>
          <w:rStyle w:val="FootnoteReference"/>
        </w:rPr>
        <w:footnoteRef/>
      </w:r>
      <w:r>
        <w:t xml:space="preserve"> </w:t>
      </w:r>
      <w:r>
        <w:tab/>
        <w:t xml:space="preserve">APTPPL, </w:t>
      </w:r>
      <w:r w:rsidRPr="00E4194A">
        <w:rPr>
          <w:rStyle w:val="AERtextitalic"/>
        </w:rPr>
        <w:t>Attachment 5-2 - Forecast capital expenditure project documents: Urban risk reduction</w:t>
      </w:r>
      <w:r>
        <w:t>, p. 5.</w:t>
      </w:r>
    </w:p>
  </w:footnote>
  <w:footnote w:id="58">
    <w:p w:rsidR="006F70BC" w:rsidRDefault="006F70BC">
      <w:pPr>
        <w:pStyle w:val="FootnoteText"/>
      </w:pPr>
      <w:r>
        <w:rPr>
          <w:rStyle w:val="FootnoteReference"/>
        </w:rPr>
        <w:footnoteRef/>
      </w:r>
      <w:r>
        <w:t xml:space="preserve"> </w:t>
      </w:r>
      <w:r>
        <w:tab/>
        <w:t>NGR, r. 79(1</w:t>
      </w:r>
      <w:proofErr w:type="gramStart"/>
      <w:r>
        <w:t>)(</w:t>
      </w:r>
      <w:proofErr w:type="gramEnd"/>
      <w:r>
        <w:t>a).</w:t>
      </w:r>
    </w:p>
  </w:footnote>
  <w:footnote w:id="59">
    <w:p w:rsidR="006F70BC" w:rsidRDefault="006F70BC">
      <w:pPr>
        <w:pStyle w:val="FootnoteText"/>
      </w:pPr>
      <w:r>
        <w:rPr>
          <w:rStyle w:val="FootnoteReference"/>
        </w:rPr>
        <w:footnoteRef/>
      </w:r>
      <w:r>
        <w:t xml:space="preserve"> </w:t>
      </w:r>
      <w:r>
        <w:tab/>
        <w:t>NGR, r. 79(2</w:t>
      </w:r>
      <w:proofErr w:type="gramStart"/>
      <w:r>
        <w:t>)(</w:t>
      </w:r>
      <w:proofErr w:type="gramEnd"/>
      <w:r>
        <w:t>c).</w:t>
      </w:r>
    </w:p>
  </w:footnote>
  <w:footnote w:id="60">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93.</w:t>
      </w:r>
    </w:p>
  </w:footnote>
  <w:footnote w:id="61">
    <w:p w:rsidR="006F70BC" w:rsidRDefault="006F70BC" w:rsidP="006B3F36">
      <w:pPr>
        <w:pStyle w:val="FootnoteText"/>
      </w:pPr>
      <w:r>
        <w:rPr>
          <w:rStyle w:val="FootnoteReference"/>
        </w:rPr>
        <w:footnoteRef/>
      </w:r>
      <w:r>
        <w:t xml:space="preserve"> </w:t>
      </w:r>
      <w:r>
        <w:tab/>
      </w:r>
      <w:proofErr w:type="gramStart"/>
      <w:r>
        <w:t>ibid.,</w:t>
      </w:r>
      <w:proofErr w:type="gramEnd"/>
      <w:r>
        <w:t xml:space="preserve"> p. 92.</w:t>
      </w:r>
    </w:p>
  </w:footnote>
  <w:footnote w:id="62">
    <w:p w:rsidR="006F70BC" w:rsidRDefault="006F70BC" w:rsidP="006B3F36">
      <w:pPr>
        <w:pStyle w:val="FootnoteText"/>
      </w:pPr>
      <w:r>
        <w:rPr>
          <w:rStyle w:val="FootnoteReference"/>
        </w:rPr>
        <w:footnoteRef/>
      </w:r>
      <w:r>
        <w:t xml:space="preserve"> </w:t>
      </w:r>
      <w:r>
        <w:tab/>
        <w:t xml:space="preserve">APTPPL, </w:t>
      </w:r>
      <w:r w:rsidRPr="00E4194A">
        <w:rPr>
          <w:rStyle w:val="AERtextitalic"/>
        </w:rPr>
        <w:t>Response to information request 15</w:t>
      </w:r>
      <w:r>
        <w:t>, 26 October 2016, p. 1.</w:t>
      </w:r>
    </w:p>
  </w:footnote>
  <w:footnote w:id="63">
    <w:p w:rsidR="006F70BC" w:rsidRDefault="006F70BC" w:rsidP="006B3F36">
      <w:pPr>
        <w:pStyle w:val="FootnoteText"/>
      </w:pPr>
      <w:r>
        <w:rPr>
          <w:rStyle w:val="FootnoteReference"/>
        </w:rPr>
        <w:footnoteRef/>
      </w:r>
      <w:r>
        <w:t xml:space="preserve"> </w:t>
      </w:r>
      <w:r>
        <w:tab/>
        <w:t xml:space="preserve">AER, </w:t>
      </w:r>
      <w:r w:rsidRPr="00E4194A">
        <w:rPr>
          <w:rStyle w:val="AERtextitalic"/>
        </w:rPr>
        <w:t>Attachment 6 – capital expenditure draft decision Amadeus gas pipeline access arrangement</w:t>
      </w:r>
      <w:r>
        <w:t>, November 2015, pp. 6-21.</w:t>
      </w:r>
    </w:p>
  </w:footnote>
  <w:footnote w:id="64">
    <w:p w:rsidR="006F70BC" w:rsidRDefault="006F70BC" w:rsidP="006B3F36">
      <w:pPr>
        <w:pStyle w:val="FootnoteText"/>
      </w:pPr>
      <w:r>
        <w:rPr>
          <w:rStyle w:val="FootnoteReference"/>
        </w:rPr>
        <w:footnoteRef/>
      </w:r>
      <w:r>
        <w:t xml:space="preserve"> </w:t>
      </w:r>
      <w:r>
        <w:tab/>
      </w:r>
      <w:proofErr w:type="gramStart"/>
      <w:r>
        <w:t>NGR, r. 79.</w:t>
      </w:r>
      <w:proofErr w:type="gramEnd"/>
    </w:p>
  </w:footnote>
  <w:footnote w:id="65">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82.</w:t>
      </w:r>
    </w:p>
  </w:footnote>
  <w:footnote w:id="66">
    <w:p w:rsidR="006F70BC" w:rsidRDefault="006F70BC">
      <w:pPr>
        <w:pStyle w:val="FootnoteText"/>
      </w:pPr>
      <w:r>
        <w:rPr>
          <w:rStyle w:val="FootnoteReference"/>
        </w:rPr>
        <w:footnoteRef/>
      </w:r>
      <w:r>
        <w:t xml:space="preserve"> </w:t>
      </w:r>
      <w:r>
        <w:tab/>
      </w:r>
      <w:proofErr w:type="gramStart"/>
      <w:r>
        <w:t>ibid.,</w:t>
      </w:r>
      <w:proofErr w:type="gramEnd"/>
      <w:r>
        <w:t xml:space="preserve"> p. 89.</w:t>
      </w:r>
    </w:p>
  </w:footnote>
  <w:footnote w:id="67">
    <w:p w:rsidR="006F70BC" w:rsidRDefault="006F70BC">
      <w:pPr>
        <w:pStyle w:val="FootnoteText"/>
      </w:pPr>
      <w:r>
        <w:rPr>
          <w:rStyle w:val="FootnoteReference"/>
        </w:rPr>
        <w:footnoteRef/>
      </w:r>
      <w:r>
        <w:t xml:space="preserve"> </w:t>
      </w:r>
      <w:r>
        <w:tab/>
      </w:r>
      <w:proofErr w:type="gramStart"/>
      <w:r>
        <w:t>ibid.,</w:t>
      </w:r>
      <w:proofErr w:type="gramEnd"/>
      <w:r>
        <w:t xml:space="preserve"> p. 91.</w:t>
      </w:r>
    </w:p>
  </w:footnote>
  <w:footnote w:id="68">
    <w:p w:rsidR="006F70BC" w:rsidRDefault="006F70BC">
      <w:pPr>
        <w:pStyle w:val="FootnoteText"/>
      </w:pPr>
      <w:r>
        <w:rPr>
          <w:rStyle w:val="FootnoteReference"/>
        </w:rPr>
        <w:footnoteRef/>
      </w:r>
      <w:r>
        <w:t xml:space="preserve"> </w:t>
      </w:r>
      <w:r>
        <w:tab/>
      </w:r>
      <w:proofErr w:type="gramStart"/>
      <w:r>
        <w:t>NGR, r. 79.</w:t>
      </w:r>
      <w:proofErr w:type="gramEnd"/>
    </w:p>
  </w:footnote>
  <w:footnote w:id="69">
    <w:p w:rsidR="006F70BC" w:rsidRDefault="006F70BC">
      <w:pPr>
        <w:pStyle w:val="FootnoteText"/>
      </w:pPr>
      <w:r>
        <w:rPr>
          <w:rStyle w:val="FootnoteReference"/>
        </w:rPr>
        <w:footnoteRef/>
      </w:r>
      <w:r>
        <w:t xml:space="preserve"> </w:t>
      </w:r>
      <w:r>
        <w:tab/>
        <w:t xml:space="preserve">4ei, </w:t>
      </w:r>
      <w:r w:rsidRPr="00E4194A">
        <w:rPr>
          <w:rStyle w:val="AERtextitalic"/>
        </w:rPr>
        <w:t>Roma-Brisbane Pipeline Access Arrangement 2017–22 Review of Capital Expenditure Forecasts</w:t>
      </w:r>
      <w:r>
        <w:t>, November 2016, p. 22.</w:t>
      </w:r>
    </w:p>
  </w:footnote>
  <w:footnote w:id="70">
    <w:p w:rsidR="006F70BC" w:rsidRDefault="006F70BC">
      <w:pPr>
        <w:pStyle w:val="FootnoteText"/>
      </w:pPr>
      <w:r>
        <w:rPr>
          <w:rStyle w:val="FootnoteReference"/>
        </w:rPr>
        <w:footnoteRef/>
      </w:r>
      <w:r>
        <w:t xml:space="preserve"> </w:t>
      </w:r>
      <w:r>
        <w:tab/>
        <w:t>NGR, r. 79(1</w:t>
      </w:r>
      <w:proofErr w:type="gramStart"/>
      <w:r>
        <w:t>)(</w:t>
      </w:r>
      <w:proofErr w:type="gramEnd"/>
      <w:r>
        <w:t>a).</w:t>
      </w:r>
    </w:p>
  </w:footnote>
  <w:footnote w:id="71">
    <w:p w:rsidR="006F70BC" w:rsidRDefault="006F70BC">
      <w:pPr>
        <w:pStyle w:val="FootnoteText"/>
      </w:pPr>
      <w:r>
        <w:rPr>
          <w:rStyle w:val="FootnoteReference"/>
        </w:rPr>
        <w:footnoteRef/>
      </w:r>
      <w:r>
        <w:t xml:space="preserve"> </w:t>
      </w:r>
      <w:r>
        <w:tab/>
        <w:t>The start of the 2012</w:t>
      </w:r>
      <w:r w:rsidRPr="00E40C29">
        <w:t>–</w:t>
      </w:r>
      <w:r>
        <w:t xml:space="preserve">17 access arrangement </w:t>
      </w:r>
      <w:proofErr w:type="gramStart"/>
      <w:r>
        <w:t>period</w:t>
      </w:r>
      <w:proofErr w:type="gramEnd"/>
      <w:r>
        <w:t xml:space="preserve"> was delayed and began on 1 September 2012. </w:t>
      </w:r>
    </w:p>
  </w:footnote>
  <w:footnote w:id="72">
    <w:p w:rsidR="006F70BC" w:rsidRDefault="006F70B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79(2)(c).</w:t>
      </w:r>
    </w:p>
  </w:footnote>
  <w:footnote w:id="73">
    <w:p w:rsidR="006F70BC" w:rsidRDefault="006F70BC">
      <w:pPr>
        <w:pStyle w:val="FootnoteText"/>
      </w:pPr>
      <w:r>
        <w:rPr>
          <w:rStyle w:val="FootnoteReference"/>
        </w:rPr>
        <w:footnoteRef/>
      </w:r>
      <w:r>
        <w:t xml:space="preserve"> </w:t>
      </w:r>
      <w:r>
        <w:tab/>
        <w:t xml:space="preserve">APTPPL, </w:t>
      </w:r>
      <w:r w:rsidRPr="00E4194A">
        <w:rPr>
          <w:rStyle w:val="AERtextitalic"/>
        </w:rPr>
        <w:t>Attachment 5-2 - Forecast capital expenditure project documents: RBP Pipeline Integrity Management Upgrade</w:t>
      </w:r>
      <w:r>
        <w:t>, p. 16.</w:t>
      </w:r>
    </w:p>
  </w:footnote>
  <w:footnote w:id="74">
    <w:p w:rsidR="006F70BC" w:rsidRDefault="006F70BC">
      <w:pPr>
        <w:pStyle w:val="FootnoteText"/>
      </w:pPr>
      <w:r>
        <w:rPr>
          <w:rStyle w:val="FootnoteReference"/>
        </w:rPr>
        <w:footnoteRef/>
      </w:r>
      <w:r>
        <w:t xml:space="preserve"> </w:t>
      </w:r>
      <w:r>
        <w:tab/>
        <w:t xml:space="preserve">This figure decreases to 394 when a 50 per cent reduction in 2020 excavation requirements is assumed. </w:t>
      </w:r>
    </w:p>
  </w:footnote>
  <w:footnote w:id="75">
    <w:p w:rsidR="006F70BC" w:rsidRDefault="006F70BC">
      <w:pPr>
        <w:pStyle w:val="FootnoteText"/>
      </w:pPr>
      <w:r>
        <w:rPr>
          <w:rStyle w:val="FootnoteReference"/>
        </w:rPr>
        <w:footnoteRef/>
      </w:r>
      <w:r>
        <w:t xml:space="preserve"> </w:t>
      </w:r>
      <w:r>
        <w:tab/>
        <w:t xml:space="preserve">APTPPL, </w:t>
      </w:r>
      <w:r w:rsidRPr="00E4194A">
        <w:rPr>
          <w:rStyle w:val="AERtextitalic"/>
        </w:rPr>
        <w:t>Response to information request 20</w:t>
      </w:r>
      <w:r>
        <w:t>, 1 December 2016, p. 1.</w:t>
      </w:r>
    </w:p>
  </w:footnote>
  <w:footnote w:id="76">
    <w:p w:rsidR="006F70BC" w:rsidRDefault="006F70BC">
      <w:pPr>
        <w:pStyle w:val="FootnoteText"/>
      </w:pPr>
      <w:r>
        <w:rPr>
          <w:rStyle w:val="FootnoteReference"/>
        </w:rPr>
        <w:footnoteRef/>
      </w:r>
      <w:r>
        <w:t xml:space="preserve"> </w:t>
      </w:r>
      <w:r>
        <w:tab/>
      </w:r>
      <w:proofErr w:type="gramStart"/>
      <w:r>
        <w:t xml:space="preserve">4ei, </w:t>
      </w:r>
      <w:r w:rsidRPr="00E4194A">
        <w:rPr>
          <w:rStyle w:val="AERtextitalic"/>
        </w:rPr>
        <w:t>Roma-Brisbane Pipeline Access Arrangement 2017–22 Review of Capital Expenditure Forecasts,</w:t>
      </w:r>
      <w:r>
        <w:t xml:space="preserve"> November 2016, pp.8-9.</w:t>
      </w:r>
      <w:proofErr w:type="gramEnd"/>
    </w:p>
  </w:footnote>
  <w:footnote w:id="77">
    <w:p w:rsidR="006F70BC" w:rsidRDefault="006F70BC">
      <w:pPr>
        <w:pStyle w:val="FootnoteText"/>
      </w:pPr>
      <w:r>
        <w:rPr>
          <w:rStyle w:val="FootnoteReference"/>
        </w:rPr>
        <w:footnoteRef/>
      </w:r>
      <w:r>
        <w:t xml:space="preserve"> </w:t>
      </w:r>
      <w:r>
        <w:tab/>
        <w:t xml:space="preserve">The average cost was $58,619 for a metropolitan dig and $41,909 for a rural dig ($2016/17). </w:t>
      </w:r>
    </w:p>
  </w:footnote>
  <w:footnote w:id="78">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101.</w:t>
      </w:r>
    </w:p>
  </w:footnote>
  <w:footnote w:id="79">
    <w:p w:rsidR="006F70BC" w:rsidRDefault="006F70BC">
      <w:pPr>
        <w:pStyle w:val="FootnoteText"/>
      </w:pPr>
      <w:r>
        <w:rPr>
          <w:rStyle w:val="FootnoteReference"/>
        </w:rPr>
        <w:footnoteRef/>
      </w:r>
      <w:r>
        <w:t xml:space="preserve"> </w:t>
      </w:r>
      <w:r>
        <w:tab/>
      </w:r>
      <w:proofErr w:type="gramStart"/>
      <w:r>
        <w:t xml:space="preserve">APTPPL, </w:t>
      </w:r>
      <w:r w:rsidRPr="00E4194A">
        <w:rPr>
          <w:rStyle w:val="AERtextitalic"/>
        </w:rPr>
        <w:t>Response to information request 13 (C)</w:t>
      </w:r>
      <w:r>
        <w:t>, 31 October 2016, pp. 1-2.</w:t>
      </w:r>
      <w:proofErr w:type="gramEnd"/>
    </w:p>
  </w:footnote>
  <w:footnote w:id="80">
    <w:p w:rsidR="006F70BC" w:rsidRDefault="006F70BC">
      <w:pPr>
        <w:pStyle w:val="FootnoteText"/>
      </w:pPr>
      <w:r>
        <w:rPr>
          <w:rStyle w:val="FootnoteReference"/>
        </w:rPr>
        <w:footnoteRef/>
      </w:r>
      <w:r>
        <w:t xml:space="preserve"> </w:t>
      </w:r>
      <w:r>
        <w:tab/>
        <w:t xml:space="preserve">APTPPL, </w:t>
      </w:r>
      <w:r w:rsidRPr="00E4194A">
        <w:rPr>
          <w:rStyle w:val="AERtextitalic"/>
        </w:rPr>
        <w:t>Response to information request 13 (A)</w:t>
      </w:r>
      <w:r>
        <w:t>, 14 October 2016, p. 5.</w:t>
      </w:r>
    </w:p>
  </w:footnote>
  <w:footnote w:id="81">
    <w:p w:rsidR="006F70BC" w:rsidRDefault="006F70BC">
      <w:pPr>
        <w:pStyle w:val="FootnoteText"/>
      </w:pPr>
      <w:r>
        <w:rPr>
          <w:rStyle w:val="FootnoteReference"/>
        </w:rPr>
        <w:footnoteRef/>
      </w:r>
      <w:r>
        <w:t xml:space="preserve"> </w:t>
      </w:r>
      <w:r>
        <w:tab/>
      </w:r>
      <w:proofErr w:type="gramStart"/>
      <w:r>
        <w:t>NGR, r. 74(2).</w:t>
      </w:r>
      <w:proofErr w:type="gramEnd"/>
      <w:r>
        <w:t xml:space="preserve"> </w:t>
      </w:r>
    </w:p>
  </w:footnote>
  <w:footnote w:id="82">
    <w:p w:rsidR="006F70BC" w:rsidRDefault="006F70BC">
      <w:pPr>
        <w:pStyle w:val="FootnoteText"/>
      </w:pPr>
      <w:r>
        <w:rPr>
          <w:rStyle w:val="FootnoteReference"/>
        </w:rPr>
        <w:footnoteRef/>
      </w:r>
      <w:r>
        <w:t xml:space="preserve"> </w:t>
      </w:r>
      <w:r>
        <w:tab/>
      </w:r>
      <w:proofErr w:type="gramStart"/>
      <w:r>
        <w:t>NGR, r. 79(1).</w:t>
      </w:r>
      <w:proofErr w:type="gramEnd"/>
    </w:p>
  </w:footnote>
  <w:footnote w:id="83">
    <w:p w:rsidR="006F70BC" w:rsidRDefault="006F70BC">
      <w:pPr>
        <w:pStyle w:val="FootnoteText"/>
      </w:pPr>
      <w:r>
        <w:rPr>
          <w:rStyle w:val="FootnoteReference"/>
        </w:rPr>
        <w:footnoteRef/>
      </w:r>
      <w:r>
        <w:t xml:space="preserve"> </w:t>
      </w:r>
      <w:r>
        <w:tab/>
        <w:t xml:space="preserve">APTPPL, </w:t>
      </w:r>
      <w:r w:rsidRPr="00E4194A">
        <w:rPr>
          <w:rStyle w:val="AERtextitalic"/>
        </w:rPr>
        <w:t>Attachment 5-2 - Forecast capital expenditure project documents: RBP Pipeline Integrity Management Upgrade</w:t>
      </w:r>
      <w:r>
        <w:t>, p. 4.</w:t>
      </w:r>
    </w:p>
  </w:footnote>
  <w:footnote w:id="84">
    <w:p w:rsidR="006F70BC" w:rsidRDefault="006F70BC">
      <w:pPr>
        <w:pStyle w:val="FootnoteText"/>
      </w:pPr>
      <w:r>
        <w:rPr>
          <w:rStyle w:val="FootnoteReference"/>
        </w:rPr>
        <w:footnoteRef/>
      </w:r>
      <w:r>
        <w:t xml:space="preserve"> </w:t>
      </w:r>
      <w:r>
        <w:tab/>
        <w:t>AS2885.1: 2012, c.4.7.</w:t>
      </w:r>
    </w:p>
  </w:footnote>
  <w:footnote w:id="85">
    <w:p w:rsidR="006F70BC" w:rsidRDefault="006F70BC">
      <w:pPr>
        <w:pStyle w:val="FootnoteText"/>
      </w:pPr>
      <w:r>
        <w:rPr>
          <w:rStyle w:val="FootnoteReference"/>
        </w:rPr>
        <w:footnoteRef/>
      </w:r>
      <w:r>
        <w:t xml:space="preserve"> </w:t>
      </w:r>
      <w:r>
        <w:tab/>
        <w:t>Existing EMAT tools would not fit in a 250mm pipeline.</w:t>
      </w:r>
    </w:p>
  </w:footnote>
  <w:footnote w:id="86">
    <w:p w:rsidR="006F70BC" w:rsidRDefault="006F70BC">
      <w:pPr>
        <w:pStyle w:val="FootnoteText"/>
      </w:pPr>
      <w:r>
        <w:rPr>
          <w:rStyle w:val="FootnoteReference"/>
        </w:rPr>
        <w:footnoteRef/>
      </w:r>
      <w:r>
        <w:t xml:space="preserve"> </w:t>
      </w:r>
      <w:r>
        <w:tab/>
        <w:t xml:space="preserve">APTPPL, </w:t>
      </w:r>
      <w:r w:rsidRPr="00E4194A">
        <w:rPr>
          <w:rStyle w:val="AERtextitalic"/>
        </w:rPr>
        <w:t>Response to information request 20</w:t>
      </w:r>
      <w:r>
        <w:t>, 1 December 2016.</w:t>
      </w:r>
    </w:p>
  </w:footnote>
  <w:footnote w:id="87">
    <w:p w:rsidR="006F70BC" w:rsidRDefault="006F70BC">
      <w:pPr>
        <w:pStyle w:val="FootnoteText"/>
      </w:pPr>
      <w:r>
        <w:rPr>
          <w:rStyle w:val="FootnoteReference"/>
        </w:rPr>
        <w:footnoteRef/>
      </w:r>
      <w:r>
        <w:t xml:space="preserve"> </w:t>
      </w:r>
      <w:r>
        <w:tab/>
      </w:r>
      <w:proofErr w:type="gramStart"/>
      <w:r>
        <w:t>NGR, r. 79(1).</w:t>
      </w:r>
      <w:proofErr w:type="gramEnd"/>
    </w:p>
  </w:footnote>
  <w:footnote w:id="88">
    <w:p w:rsidR="006F70BC" w:rsidRDefault="006F70BC">
      <w:pPr>
        <w:pStyle w:val="FootnoteText"/>
      </w:pPr>
      <w:r>
        <w:rPr>
          <w:rStyle w:val="FootnoteReference"/>
        </w:rPr>
        <w:footnoteRef/>
      </w:r>
      <w:r>
        <w:t xml:space="preserve"> </w:t>
      </w:r>
      <w:r>
        <w:tab/>
        <w:t xml:space="preserve">APTPPL, </w:t>
      </w:r>
      <w:r w:rsidRPr="00E4194A">
        <w:rPr>
          <w:rStyle w:val="AERtextitalic"/>
        </w:rPr>
        <w:t>Attachment 5-2 - Forecast capital expenditure project documents: RBP Pipeline Integrity Management Upgrade</w:t>
      </w:r>
      <w:r>
        <w:t>, p. 7.</w:t>
      </w:r>
    </w:p>
  </w:footnote>
  <w:footnote w:id="89">
    <w:p w:rsidR="006F70BC" w:rsidRDefault="006F70BC">
      <w:pPr>
        <w:pStyle w:val="FootnoteText"/>
      </w:pPr>
      <w:r>
        <w:rPr>
          <w:rStyle w:val="FootnoteReference"/>
        </w:rPr>
        <w:footnoteRef/>
      </w:r>
      <w:r>
        <w:t xml:space="preserve"> </w:t>
      </w:r>
      <w:r>
        <w:tab/>
      </w:r>
      <w:proofErr w:type="gramStart"/>
      <w:r>
        <w:t>NGR, r. 79(1).</w:t>
      </w:r>
      <w:proofErr w:type="gramEnd"/>
    </w:p>
  </w:footnote>
  <w:footnote w:id="90">
    <w:p w:rsidR="006F70BC" w:rsidRDefault="006F70BC">
      <w:pPr>
        <w:pStyle w:val="FootnoteText"/>
      </w:pPr>
      <w:r>
        <w:rPr>
          <w:rStyle w:val="FootnoteReference"/>
        </w:rPr>
        <w:footnoteRef/>
      </w:r>
      <w:r>
        <w:t xml:space="preserve"> </w:t>
      </w:r>
      <w:r>
        <w:tab/>
        <w:t xml:space="preserve">Inline inspection (under Pipeline Integrity Management activities) is also classified as 'stay in business' capex. </w:t>
      </w:r>
    </w:p>
  </w:footnote>
  <w:footnote w:id="91">
    <w:p w:rsidR="006F70BC" w:rsidRDefault="006F70BC">
      <w:pPr>
        <w:pStyle w:val="FootnoteText"/>
      </w:pPr>
      <w:r>
        <w:rPr>
          <w:rStyle w:val="FootnoteReference"/>
        </w:rPr>
        <w:footnoteRef/>
      </w:r>
      <w:r>
        <w:t xml:space="preserve"> </w:t>
      </w:r>
      <w:r>
        <w:tab/>
        <w:t xml:space="preserve">APTPPL, </w:t>
      </w:r>
      <w:r w:rsidRPr="00E4194A">
        <w:rPr>
          <w:rStyle w:val="AERtextitalic"/>
        </w:rPr>
        <w:t>Access Arrangement Revision Proposal Submission</w:t>
      </w:r>
      <w:r>
        <w:t>, September 2016, p. 113.</w:t>
      </w:r>
    </w:p>
  </w:footnote>
  <w:footnote w:id="92">
    <w:p w:rsidR="006F70BC" w:rsidRDefault="006F70BC">
      <w:pPr>
        <w:pStyle w:val="FootnoteText"/>
      </w:pPr>
      <w:r>
        <w:rPr>
          <w:rStyle w:val="FootnoteReference"/>
        </w:rPr>
        <w:footnoteRef/>
      </w:r>
      <w:r>
        <w:t xml:space="preserve"> </w:t>
      </w:r>
      <w:r>
        <w:tab/>
        <w:t xml:space="preserve">4ei, </w:t>
      </w:r>
      <w:r w:rsidRPr="00E4194A">
        <w:rPr>
          <w:rStyle w:val="AERtextitalic"/>
        </w:rPr>
        <w:t>Roma-Brisbane Pipeline Access Arrangement 2017–22 Review of Capital Expenditure Forecasts</w:t>
      </w:r>
      <w:r>
        <w:t>, November 2016, p. 14.</w:t>
      </w:r>
    </w:p>
  </w:footnote>
  <w:footnote w:id="93">
    <w:p w:rsidR="006F70BC" w:rsidRDefault="006F70BC">
      <w:pPr>
        <w:pStyle w:val="FootnoteText"/>
      </w:pPr>
      <w:r>
        <w:rPr>
          <w:rStyle w:val="FootnoteReference"/>
        </w:rPr>
        <w:footnoteRef/>
      </w:r>
      <w:r>
        <w:t xml:space="preserve"> </w:t>
      </w:r>
      <w:r>
        <w:tab/>
      </w:r>
      <w:proofErr w:type="gramStart"/>
      <w:r>
        <w:t>NGR, r. 79(1).</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BC" w:rsidRDefault="0058257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F70B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BC" w:rsidRDefault="0058257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40A0BE36"/>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RimOXXSqWXTfZfopm1aU9Pzj5MWW1mlxs+VlH0fG7M=" w:saltValue="iQBgiUbwLeYyNQaZP38xZw==" w:algorithmName="SHA-256"/>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urrentname" w:val="C:\Users\pdevl\AppData\Local\Microsoft\Windows\Temporary Internet Files\Content.Outlook\10L4Y7A3\AER - Draft decision Roma to Brisbane Gas Pipeline Access Arrangement - Attachment 6 - Capital expenditure RL comments w PD changes 8 May.docx"/>
  </w:docVars>
  <w:rsids>
    <w:rsidRoot w:val="00961A4A"/>
    <w:rsid w:val="00004633"/>
    <w:rsid w:val="00010286"/>
    <w:rsid w:val="00020297"/>
    <w:rsid w:val="00021202"/>
    <w:rsid w:val="00021C2B"/>
    <w:rsid w:val="0002387D"/>
    <w:rsid w:val="0002517F"/>
    <w:rsid w:val="000255C1"/>
    <w:rsid w:val="00026495"/>
    <w:rsid w:val="00031DE3"/>
    <w:rsid w:val="00032547"/>
    <w:rsid w:val="0003578C"/>
    <w:rsid w:val="000401AF"/>
    <w:rsid w:val="00041DDA"/>
    <w:rsid w:val="0005461A"/>
    <w:rsid w:val="00063247"/>
    <w:rsid w:val="00063A92"/>
    <w:rsid w:val="00065B64"/>
    <w:rsid w:val="00067501"/>
    <w:rsid w:val="00070F9F"/>
    <w:rsid w:val="000711DD"/>
    <w:rsid w:val="0007137B"/>
    <w:rsid w:val="00071BB2"/>
    <w:rsid w:val="00071DDB"/>
    <w:rsid w:val="00073E14"/>
    <w:rsid w:val="00076FC5"/>
    <w:rsid w:val="00082BA5"/>
    <w:rsid w:val="00085663"/>
    <w:rsid w:val="00085EBF"/>
    <w:rsid w:val="00085F93"/>
    <w:rsid w:val="00086269"/>
    <w:rsid w:val="00086777"/>
    <w:rsid w:val="000904B5"/>
    <w:rsid w:val="00091B15"/>
    <w:rsid w:val="000973A4"/>
    <w:rsid w:val="00097A90"/>
    <w:rsid w:val="000A1E7C"/>
    <w:rsid w:val="000A3020"/>
    <w:rsid w:val="000A3CF6"/>
    <w:rsid w:val="000A515A"/>
    <w:rsid w:val="000A6C7B"/>
    <w:rsid w:val="000B0360"/>
    <w:rsid w:val="000B266D"/>
    <w:rsid w:val="000B319F"/>
    <w:rsid w:val="000B7D64"/>
    <w:rsid w:val="000C2B40"/>
    <w:rsid w:val="000C43A8"/>
    <w:rsid w:val="000C6E9C"/>
    <w:rsid w:val="000D01F4"/>
    <w:rsid w:val="000D034D"/>
    <w:rsid w:val="000D06C1"/>
    <w:rsid w:val="000D122C"/>
    <w:rsid w:val="000D3016"/>
    <w:rsid w:val="000D4D46"/>
    <w:rsid w:val="000D4F8C"/>
    <w:rsid w:val="000D51B3"/>
    <w:rsid w:val="000D64F2"/>
    <w:rsid w:val="000D6D51"/>
    <w:rsid w:val="000D7F32"/>
    <w:rsid w:val="000E1819"/>
    <w:rsid w:val="000E4821"/>
    <w:rsid w:val="000E6C72"/>
    <w:rsid w:val="000F027C"/>
    <w:rsid w:val="000F0B2B"/>
    <w:rsid w:val="000F2023"/>
    <w:rsid w:val="000F364B"/>
    <w:rsid w:val="000F3E72"/>
    <w:rsid w:val="000F45E6"/>
    <w:rsid w:val="000F48B1"/>
    <w:rsid w:val="000F723D"/>
    <w:rsid w:val="00102E3E"/>
    <w:rsid w:val="00103A67"/>
    <w:rsid w:val="001051F9"/>
    <w:rsid w:val="0011291A"/>
    <w:rsid w:val="00113090"/>
    <w:rsid w:val="00113BEF"/>
    <w:rsid w:val="00114C3B"/>
    <w:rsid w:val="00116EB2"/>
    <w:rsid w:val="00116F2B"/>
    <w:rsid w:val="00120DED"/>
    <w:rsid w:val="00124606"/>
    <w:rsid w:val="00124609"/>
    <w:rsid w:val="00126A4C"/>
    <w:rsid w:val="00127004"/>
    <w:rsid w:val="00136894"/>
    <w:rsid w:val="00137C00"/>
    <w:rsid w:val="00142AB6"/>
    <w:rsid w:val="0014573B"/>
    <w:rsid w:val="00146A60"/>
    <w:rsid w:val="00147E70"/>
    <w:rsid w:val="00151FD8"/>
    <w:rsid w:val="00156DCC"/>
    <w:rsid w:val="001573E4"/>
    <w:rsid w:val="00160756"/>
    <w:rsid w:val="00160947"/>
    <w:rsid w:val="00160F2B"/>
    <w:rsid w:val="0017232E"/>
    <w:rsid w:val="00174102"/>
    <w:rsid w:val="0017480F"/>
    <w:rsid w:val="001754EE"/>
    <w:rsid w:val="00175CD7"/>
    <w:rsid w:val="00180157"/>
    <w:rsid w:val="00182467"/>
    <w:rsid w:val="00183EB3"/>
    <w:rsid w:val="00185CB9"/>
    <w:rsid w:val="00186F77"/>
    <w:rsid w:val="001926A4"/>
    <w:rsid w:val="001927F6"/>
    <w:rsid w:val="00192AD5"/>
    <w:rsid w:val="001959DE"/>
    <w:rsid w:val="001A1693"/>
    <w:rsid w:val="001A22FA"/>
    <w:rsid w:val="001A3034"/>
    <w:rsid w:val="001A51CE"/>
    <w:rsid w:val="001B1745"/>
    <w:rsid w:val="001B3F62"/>
    <w:rsid w:val="001B45A0"/>
    <w:rsid w:val="001B45C0"/>
    <w:rsid w:val="001B5890"/>
    <w:rsid w:val="001B6F2E"/>
    <w:rsid w:val="001B7D00"/>
    <w:rsid w:val="001C17E7"/>
    <w:rsid w:val="001D055E"/>
    <w:rsid w:val="001D21D6"/>
    <w:rsid w:val="001D3F8C"/>
    <w:rsid w:val="001D7D05"/>
    <w:rsid w:val="001E009C"/>
    <w:rsid w:val="001E2213"/>
    <w:rsid w:val="001E3D66"/>
    <w:rsid w:val="001E5FE2"/>
    <w:rsid w:val="001E63BA"/>
    <w:rsid w:val="001E71A1"/>
    <w:rsid w:val="001F05A4"/>
    <w:rsid w:val="001F492E"/>
    <w:rsid w:val="001F6DA3"/>
    <w:rsid w:val="002010BC"/>
    <w:rsid w:val="002016E7"/>
    <w:rsid w:val="00201F98"/>
    <w:rsid w:val="00202E03"/>
    <w:rsid w:val="0020478D"/>
    <w:rsid w:val="0020492C"/>
    <w:rsid w:val="0020498E"/>
    <w:rsid w:val="00205A33"/>
    <w:rsid w:val="00205B59"/>
    <w:rsid w:val="00206F00"/>
    <w:rsid w:val="00215137"/>
    <w:rsid w:val="00215AF3"/>
    <w:rsid w:val="0022444D"/>
    <w:rsid w:val="00224B2A"/>
    <w:rsid w:val="00224DB9"/>
    <w:rsid w:val="00227A37"/>
    <w:rsid w:val="00227DCE"/>
    <w:rsid w:val="0023276C"/>
    <w:rsid w:val="00233775"/>
    <w:rsid w:val="00247D60"/>
    <w:rsid w:val="002507CF"/>
    <w:rsid w:val="00251084"/>
    <w:rsid w:val="00251745"/>
    <w:rsid w:val="002607CE"/>
    <w:rsid w:val="002621A6"/>
    <w:rsid w:val="00263AC0"/>
    <w:rsid w:val="00264264"/>
    <w:rsid w:val="0026772D"/>
    <w:rsid w:val="00273215"/>
    <w:rsid w:val="00277554"/>
    <w:rsid w:val="00286874"/>
    <w:rsid w:val="00287484"/>
    <w:rsid w:val="002874DE"/>
    <w:rsid w:val="0028756A"/>
    <w:rsid w:val="0029013C"/>
    <w:rsid w:val="00290C63"/>
    <w:rsid w:val="00292E48"/>
    <w:rsid w:val="00293192"/>
    <w:rsid w:val="00293BAC"/>
    <w:rsid w:val="002950DE"/>
    <w:rsid w:val="0029660B"/>
    <w:rsid w:val="00296B65"/>
    <w:rsid w:val="0029724D"/>
    <w:rsid w:val="002A45E8"/>
    <w:rsid w:val="002A4920"/>
    <w:rsid w:val="002A64D7"/>
    <w:rsid w:val="002A6688"/>
    <w:rsid w:val="002A6AEB"/>
    <w:rsid w:val="002A7DEF"/>
    <w:rsid w:val="002B1003"/>
    <w:rsid w:val="002B205E"/>
    <w:rsid w:val="002B3B0D"/>
    <w:rsid w:val="002B52DC"/>
    <w:rsid w:val="002B573C"/>
    <w:rsid w:val="002B708A"/>
    <w:rsid w:val="002B73AF"/>
    <w:rsid w:val="002C109B"/>
    <w:rsid w:val="002C233C"/>
    <w:rsid w:val="002C2F06"/>
    <w:rsid w:val="002C329D"/>
    <w:rsid w:val="002C54D9"/>
    <w:rsid w:val="002C5B55"/>
    <w:rsid w:val="002D13C5"/>
    <w:rsid w:val="002D343E"/>
    <w:rsid w:val="002D3C23"/>
    <w:rsid w:val="002D4A36"/>
    <w:rsid w:val="002D5F81"/>
    <w:rsid w:val="002D72E8"/>
    <w:rsid w:val="002E0FA6"/>
    <w:rsid w:val="002E3164"/>
    <w:rsid w:val="002E7AD4"/>
    <w:rsid w:val="002E7B22"/>
    <w:rsid w:val="002F7986"/>
    <w:rsid w:val="00301B40"/>
    <w:rsid w:val="00301F1F"/>
    <w:rsid w:val="003029A5"/>
    <w:rsid w:val="003029EE"/>
    <w:rsid w:val="0030370B"/>
    <w:rsid w:val="00303763"/>
    <w:rsid w:val="00305CC8"/>
    <w:rsid w:val="00307353"/>
    <w:rsid w:val="00307F6D"/>
    <w:rsid w:val="003130C9"/>
    <w:rsid w:val="003151F8"/>
    <w:rsid w:val="0031573D"/>
    <w:rsid w:val="003177A2"/>
    <w:rsid w:val="00320869"/>
    <w:rsid w:val="00325E3B"/>
    <w:rsid w:val="00326B1D"/>
    <w:rsid w:val="003271B5"/>
    <w:rsid w:val="00327A1E"/>
    <w:rsid w:val="00331264"/>
    <w:rsid w:val="003338A2"/>
    <w:rsid w:val="00334C8D"/>
    <w:rsid w:val="0033548E"/>
    <w:rsid w:val="003359A4"/>
    <w:rsid w:val="00340BCE"/>
    <w:rsid w:val="00340E01"/>
    <w:rsid w:val="00343A18"/>
    <w:rsid w:val="00344473"/>
    <w:rsid w:val="00344D08"/>
    <w:rsid w:val="003457F9"/>
    <w:rsid w:val="00347114"/>
    <w:rsid w:val="0034764C"/>
    <w:rsid w:val="003518B3"/>
    <w:rsid w:val="00354006"/>
    <w:rsid w:val="0035573B"/>
    <w:rsid w:val="003571B4"/>
    <w:rsid w:val="003578CD"/>
    <w:rsid w:val="003666F2"/>
    <w:rsid w:val="00367875"/>
    <w:rsid w:val="003717D8"/>
    <w:rsid w:val="003762EF"/>
    <w:rsid w:val="00381A3E"/>
    <w:rsid w:val="00382175"/>
    <w:rsid w:val="00382195"/>
    <w:rsid w:val="003846F1"/>
    <w:rsid w:val="0038739B"/>
    <w:rsid w:val="00387525"/>
    <w:rsid w:val="003903D4"/>
    <w:rsid w:val="003905DF"/>
    <w:rsid w:val="00391BF0"/>
    <w:rsid w:val="00391F11"/>
    <w:rsid w:val="003931A7"/>
    <w:rsid w:val="00393646"/>
    <w:rsid w:val="00394393"/>
    <w:rsid w:val="0039479E"/>
    <w:rsid w:val="0039485E"/>
    <w:rsid w:val="00395567"/>
    <w:rsid w:val="003A36DA"/>
    <w:rsid w:val="003B0C13"/>
    <w:rsid w:val="003B484F"/>
    <w:rsid w:val="003B4C3B"/>
    <w:rsid w:val="003B7FBA"/>
    <w:rsid w:val="003C46EF"/>
    <w:rsid w:val="003E13BB"/>
    <w:rsid w:val="003E44C6"/>
    <w:rsid w:val="003E6E34"/>
    <w:rsid w:val="003F174D"/>
    <w:rsid w:val="003F5355"/>
    <w:rsid w:val="003F572D"/>
    <w:rsid w:val="003F72B3"/>
    <w:rsid w:val="003F7442"/>
    <w:rsid w:val="00412D93"/>
    <w:rsid w:val="00415F31"/>
    <w:rsid w:val="0042205D"/>
    <w:rsid w:val="00423272"/>
    <w:rsid w:val="00423A77"/>
    <w:rsid w:val="00424458"/>
    <w:rsid w:val="00433798"/>
    <w:rsid w:val="00435C44"/>
    <w:rsid w:val="00436ECD"/>
    <w:rsid w:val="00440D98"/>
    <w:rsid w:val="0044171F"/>
    <w:rsid w:val="00445832"/>
    <w:rsid w:val="00452473"/>
    <w:rsid w:val="00455F74"/>
    <w:rsid w:val="0045777E"/>
    <w:rsid w:val="004607F4"/>
    <w:rsid w:val="00460918"/>
    <w:rsid w:val="00461B0F"/>
    <w:rsid w:val="00461C29"/>
    <w:rsid w:val="00470D8B"/>
    <w:rsid w:val="00471479"/>
    <w:rsid w:val="00474EC7"/>
    <w:rsid w:val="004753C5"/>
    <w:rsid w:val="00480B4B"/>
    <w:rsid w:val="00480C1F"/>
    <w:rsid w:val="00481F3D"/>
    <w:rsid w:val="0048407A"/>
    <w:rsid w:val="00485DC4"/>
    <w:rsid w:val="00486725"/>
    <w:rsid w:val="004871DB"/>
    <w:rsid w:val="00492F13"/>
    <w:rsid w:val="00494678"/>
    <w:rsid w:val="00495F87"/>
    <w:rsid w:val="004A0A5E"/>
    <w:rsid w:val="004A338A"/>
    <w:rsid w:val="004A3B35"/>
    <w:rsid w:val="004A43D1"/>
    <w:rsid w:val="004A7C2B"/>
    <w:rsid w:val="004B355D"/>
    <w:rsid w:val="004B4412"/>
    <w:rsid w:val="004B5735"/>
    <w:rsid w:val="004B5A6C"/>
    <w:rsid w:val="004C0C43"/>
    <w:rsid w:val="004C1819"/>
    <w:rsid w:val="004C1D75"/>
    <w:rsid w:val="004C24CF"/>
    <w:rsid w:val="004C348C"/>
    <w:rsid w:val="004C4084"/>
    <w:rsid w:val="004C4F12"/>
    <w:rsid w:val="004C6A30"/>
    <w:rsid w:val="004D0B2D"/>
    <w:rsid w:val="004D13A6"/>
    <w:rsid w:val="004D1A96"/>
    <w:rsid w:val="004D24B7"/>
    <w:rsid w:val="004D51CE"/>
    <w:rsid w:val="004D55BA"/>
    <w:rsid w:val="004E22EC"/>
    <w:rsid w:val="004E2A4C"/>
    <w:rsid w:val="004E552C"/>
    <w:rsid w:val="004E5F43"/>
    <w:rsid w:val="004E741A"/>
    <w:rsid w:val="004F0A8A"/>
    <w:rsid w:val="004F6A0E"/>
    <w:rsid w:val="005023A7"/>
    <w:rsid w:val="00510B7E"/>
    <w:rsid w:val="005142C8"/>
    <w:rsid w:val="00514B4E"/>
    <w:rsid w:val="00515A97"/>
    <w:rsid w:val="00520CC5"/>
    <w:rsid w:val="0052107F"/>
    <w:rsid w:val="00521651"/>
    <w:rsid w:val="00523371"/>
    <w:rsid w:val="00530128"/>
    <w:rsid w:val="00530675"/>
    <w:rsid w:val="005312E1"/>
    <w:rsid w:val="005320CE"/>
    <w:rsid w:val="00532467"/>
    <w:rsid w:val="005367D6"/>
    <w:rsid w:val="00537FD6"/>
    <w:rsid w:val="005405E9"/>
    <w:rsid w:val="00544B36"/>
    <w:rsid w:val="005514AD"/>
    <w:rsid w:val="00564A4D"/>
    <w:rsid w:val="0056588A"/>
    <w:rsid w:val="0056711A"/>
    <w:rsid w:val="00567BA5"/>
    <w:rsid w:val="00571B35"/>
    <w:rsid w:val="00571D57"/>
    <w:rsid w:val="00575AD7"/>
    <w:rsid w:val="00577A09"/>
    <w:rsid w:val="005816F9"/>
    <w:rsid w:val="00582574"/>
    <w:rsid w:val="005829C2"/>
    <w:rsid w:val="00584D8F"/>
    <w:rsid w:val="00584EF3"/>
    <w:rsid w:val="00585A4E"/>
    <w:rsid w:val="00586819"/>
    <w:rsid w:val="0058790B"/>
    <w:rsid w:val="00595515"/>
    <w:rsid w:val="00596F20"/>
    <w:rsid w:val="0059704C"/>
    <w:rsid w:val="005A1A0F"/>
    <w:rsid w:val="005A3A0F"/>
    <w:rsid w:val="005A404D"/>
    <w:rsid w:val="005B1E3C"/>
    <w:rsid w:val="005B3FB7"/>
    <w:rsid w:val="005B4D33"/>
    <w:rsid w:val="005B704A"/>
    <w:rsid w:val="005C0A7F"/>
    <w:rsid w:val="005C26CC"/>
    <w:rsid w:val="005C432B"/>
    <w:rsid w:val="005C4C9C"/>
    <w:rsid w:val="005C6218"/>
    <w:rsid w:val="005C6284"/>
    <w:rsid w:val="005D03B1"/>
    <w:rsid w:val="005D1A8F"/>
    <w:rsid w:val="005D2260"/>
    <w:rsid w:val="005D3507"/>
    <w:rsid w:val="005D3CA5"/>
    <w:rsid w:val="005D6016"/>
    <w:rsid w:val="005D644F"/>
    <w:rsid w:val="005D7BA2"/>
    <w:rsid w:val="005E36C2"/>
    <w:rsid w:val="005F0183"/>
    <w:rsid w:val="005F066F"/>
    <w:rsid w:val="005F2418"/>
    <w:rsid w:val="005F472E"/>
    <w:rsid w:val="005F727F"/>
    <w:rsid w:val="00600597"/>
    <w:rsid w:val="006007DE"/>
    <w:rsid w:val="00601638"/>
    <w:rsid w:val="0060267C"/>
    <w:rsid w:val="00603389"/>
    <w:rsid w:val="00603C96"/>
    <w:rsid w:val="00605E99"/>
    <w:rsid w:val="006070D8"/>
    <w:rsid w:val="00610E6B"/>
    <w:rsid w:val="00610EF9"/>
    <w:rsid w:val="006116FB"/>
    <w:rsid w:val="00611C52"/>
    <w:rsid w:val="006129B3"/>
    <w:rsid w:val="00612F4F"/>
    <w:rsid w:val="00615C6B"/>
    <w:rsid w:val="00620DC3"/>
    <w:rsid w:val="00621DCE"/>
    <w:rsid w:val="0062215F"/>
    <w:rsid w:val="006259B8"/>
    <w:rsid w:val="00625FAA"/>
    <w:rsid w:val="00626954"/>
    <w:rsid w:val="00630D76"/>
    <w:rsid w:val="006325A9"/>
    <w:rsid w:val="00632C85"/>
    <w:rsid w:val="00632D6D"/>
    <w:rsid w:val="00633038"/>
    <w:rsid w:val="00634910"/>
    <w:rsid w:val="00636410"/>
    <w:rsid w:val="00640812"/>
    <w:rsid w:val="00642C3E"/>
    <w:rsid w:val="00651C3A"/>
    <w:rsid w:val="00651CB2"/>
    <w:rsid w:val="006537FD"/>
    <w:rsid w:val="0065564A"/>
    <w:rsid w:val="006560CA"/>
    <w:rsid w:val="00660FC1"/>
    <w:rsid w:val="0066104A"/>
    <w:rsid w:val="0066131C"/>
    <w:rsid w:val="00663DAD"/>
    <w:rsid w:val="00665649"/>
    <w:rsid w:val="00666E20"/>
    <w:rsid w:val="006672AA"/>
    <w:rsid w:val="0067293E"/>
    <w:rsid w:val="00673161"/>
    <w:rsid w:val="00674600"/>
    <w:rsid w:val="0067522E"/>
    <w:rsid w:val="00675875"/>
    <w:rsid w:val="00675E20"/>
    <w:rsid w:val="006762EF"/>
    <w:rsid w:val="00676679"/>
    <w:rsid w:val="00677AC2"/>
    <w:rsid w:val="00680462"/>
    <w:rsid w:val="006812E7"/>
    <w:rsid w:val="00683C89"/>
    <w:rsid w:val="00684C16"/>
    <w:rsid w:val="006856AE"/>
    <w:rsid w:val="00691D9A"/>
    <w:rsid w:val="006944EF"/>
    <w:rsid w:val="00694EC7"/>
    <w:rsid w:val="006A0550"/>
    <w:rsid w:val="006A2590"/>
    <w:rsid w:val="006A7CB9"/>
    <w:rsid w:val="006A7D76"/>
    <w:rsid w:val="006B03BC"/>
    <w:rsid w:val="006B1BFD"/>
    <w:rsid w:val="006B2383"/>
    <w:rsid w:val="006B2395"/>
    <w:rsid w:val="006B39E7"/>
    <w:rsid w:val="006B3F36"/>
    <w:rsid w:val="006B45A4"/>
    <w:rsid w:val="006B4CF9"/>
    <w:rsid w:val="006B785B"/>
    <w:rsid w:val="006B7AC8"/>
    <w:rsid w:val="006C1736"/>
    <w:rsid w:val="006C4798"/>
    <w:rsid w:val="006C7646"/>
    <w:rsid w:val="006C774D"/>
    <w:rsid w:val="006D0A35"/>
    <w:rsid w:val="006D0BF1"/>
    <w:rsid w:val="006D22F2"/>
    <w:rsid w:val="006D550F"/>
    <w:rsid w:val="006D7401"/>
    <w:rsid w:val="006E1AE8"/>
    <w:rsid w:val="006E3F76"/>
    <w:rsid w:val="006E6424"/>
    <w:rsid w:val="006F0C97"/>
    <w:rsid w:val="006F1F83"/>
    <w:rsid w:val="006F3AD1"/>
    <w:rsid w:val="006F3FC8"/>
    <w:rsid w:val="006F4AAB"/>
    <w:rsid w:val="006F6183"/>
    <w:rsid w:val="006F70BC"/>
    <w:rsid w:val="006F73BF"/>
    <w:rsid w:val="0070011E"/>
    <w:rsid w:val="007016C4"/>
    <w:rsid w:val="00701CAB"/>
    <w:rsid w:val="00704558"/>
    <w:rsid w:val="007053FE"/>
    <w:rsid w:val="00707563"/>
    <w:rsid w:val="00714F45"/>
    <w:rsid w:val="00715502"/>
    <w:rsid w:val="00717D54"/>
    <w:rsid w:val="0072348C"/>
    <w:rsid w:val="007236F3"/>
    <w:rsid w:val="00723A0B"/>
    <w:rsid w:val="00724A37"/>
    <w:rsid w:val="00725057"/>
    <w:rsid w:val="0072792F"/>
    <w:rsid w:val="007303C3"/>
    <w:rsid w:val="0074044C"/>
    <w:rsid w:val="00740914"/>
    <w:rsid w:val="00740A99"/>
    <w:rsid w:val="00740ADB"/>
    <w:rsid w:val="00741C46"/>
    <w:rsid w:val="00741E23"/>
    <w:rsid w:val="007429BE"/>
    <w:rsid w:val="00743223"/>
    <w:rsid w:val="007442F9"/>
    <w:rsid w:val="00746E01"/>
    <w:rsid w:val="00747EEA"/>
    <w:rsid w:val="00747FBC"/>
    <w:rsid w:val="00752648"/>
    <w:rsid w:val="00752C8D"/>
    <w:rsid w:val="00757364"/>
    <w:rsid w:val="00757686"/>
    <w:rsid w:val="00757BDF"/>
    <w:rsid w:val="007609D0"/>
    <w:rsid w:val="00763618"/>
    <w:rsid w:val="00763E5D"/>
    <w:rsid w:val="00765E42"/>
    <w:rsid w:val="0076640E"/>
    <w:rsid w:val="00766627"/>
    <w:rsid w:val="00766AC4"/>
    <w:rsid w:val="00767740"/>
    <w:rsid w:val="00771C8D"/>
    <w:rsid w:val="007759DE"/>
    <w:rsid w:val="0077785D"/>
    <w:rsid w:val="00777EE6"/>
    <w:rsid w:val="007809BA"/>
    <w:rsid w:val="00782EEA"/>
    <w:rsid w:val="0078580C"/>
    <w:rsid w:val="00785EBF"/>
    <w:rsid w:val="00786C52"/>
    <w:rsid w:val="00791C95"/>
    <w:rsid w:val="00792373"/>
    <w:rsid w:val="007940E4"/>
    <w:rsid w:val="007A0D18"/>
    <w:rsid w:val="007A0FEF"/>
    <w:rsid w:val="007A7002"/>
    <w:rsid w:val="007A7136"/>
    <w:rsid w:val="007A7F63"/>
    <w:rsid w:val="007B011C"/>
    <w:rsid w:val="007B186E"/>
    <w:rsid w:val="007B2C72"/>
    <w:rsid w:val="007B3891"/>
    <w:rsid w:val="007B59C6"/>
    <w:rsid w:val="007B6C52"/>
    <w:rsid w:val="007C1C53"/>
    <w:rsid w:val="007C52E0"/>
    <w:rsid w:val="007C59D5"/>
    <w:rsid w:val="007C6827"/>
    <w:rsid w:val="007C74BB"/>
    <w:rsid w:val="007D009F"/>
    <w:rsid w:val="007D084B"/>
    <w:rsid w:val="007D308E"/>
    <w:rsid w:val="007D31AA"/>
    <w:rsid w:val="007D456E"/>
    <w:rsid w:val="007E1C8A"/>
    <w:rsid w:val="007E27CC"/>
    <w:rsid w:val="007E376C"/>
    <w:rsid w:val="007E42F4"/>
    <w:rsid w:val="007E4904"/>
    <w:rsid w:val="007E4CB5"/>
    <w:rsid w:val="007E6DE0"/>
    <w:rsid w:val="007F066B"/>
    <w:rsid w:val="007F213A"/>
    <w:rsid w:val="007F6264"/>
    <w:rsid w:val="007F75C4"/>
    <w:rsid w:val="00800D56"/>
    <w:rsid w:val="008033C4"/>
    <w:rsid w:val="008040C4"/>
    <w:rsid w:val="008057DE"/>
    <w:rsid w:val="00806C88"/>
    <w:rsid w:val="00810070"/>
    <w:rsid w:val="0081034E"/>
    <w:rsid w:val="0081230C"/>
    <w:rsid w:val="00812B03"/>
    <w:rsid w:val="00812BDB"/>
    <w:rsid w:val="00813830"/>
    <w:rsid w:val="0081404E"/>
    <w:rsid w:val="00814BAA"/>
    <w:rsid w:val="00815CAC"/>
    <w:rsid w:val="008168E7"/>
    <w:rsid w:val="00821004"/>
    <w:rsid w:val="008221F2"/>
    <w:rsid w:val="00823D47"/>
    <w:rsid w:val="008250BC"/>
    <w:rsid w:val="00825226"/>
    <w:rsid w:val="00825985"/>
    <w:rsid w:val="008301A7"/>
    <w:rsid w:val="008301B2"/>
    <w:rsid w:val="008344F6"/>
    <w:rsid w:val="0083484F"/>
    <w:rsid w:val="0083510F"/>
    <w:rsid w:val="008408C5"/>
    <w:rsid w:val="008414FC"/>
    <w:rsid w:val="008418EF"/>
    <w:rsid w:val="00845891"/>
    <w:rsid w:val="00847887"/>
    <w:rsid w:val="00851209"/>
    <w:rsid w:val="008535F9"/>
    <w:rsid w:val="00853E2B"/>
    <w:rsid w:val="0085722A"/>
    <w:rsid w:val="00862B19"/>
    <w:rsid w:val="00864573"/>
    <w:rsid w:val="00864B35"/>
    <w:rsid w:val="008664C8"/>
    <w:rsid w:val="00866D99"/>
    <w:rsid w:val="00867CF6"/>
    <w:rsid w:val="0087066F"/>
    <w:rsid w:val="00871D4B"/>
    <w:rsid w:val="008730CA"/>
    <w:rsid w:val="00873A35"/>
    <w:rsid w:val="008749E0"/>
    <w:rsid w:val="00874CD0"/>
    <w:rsid w:val="008758B7"/>
    <w:rsid w:val="00876A46"/>
    <w:rsid w:val="008773D1"/>
    <w:rsid w:val="00880032"/>
    <w:rsid w:val="00882481"/>
    <w:rsid w:val="008837AC"/>
    <w:rsid w:val="00886470"/>
    <w:rsid w:val="00886BB2"/>
    <w:rsid w:val="00887269"/>
    <w:rsid w:val="0089016D"/>
    <w:rsid w:val="00890552"/>
    <w:rsid w:val="00890FC1"/>
    <w:rsid w:val="008A587D"/>
    <w:rsid w:val="008B35CD"/>
    <w:rsid w:val="008B5FCC"/>
    <w:rsid w:val="008B70B7"/>
    <w:rsid w:val="008B7544"/>
    <w:rsid w:val="008C3374"/>
    <w:rsid w:val="008C3607"/>
    <w:rsid w:val="008C39F0"/>
    <w:rsid w:val="008C5486"/>
    <w:rsid w:val="008C63DF"/>
    <w:rsid w:val="008C708B"/>
    <w:rsid w:val="008D1661"/>
    <w:rsid w:val="008D18FE"/>
    <w:rsid w:val="008D4295"/>
    <w:rsid w:val="008D6800"/>
    <w:rsid w:val="008E0673"/>
    <w:rsid w:val="008E20C7"/>
    <w:rsid w:val="008E4C38"/>
    <w:rsid w:val="008E54A6"/>
    <w:rsid w:val="008E5B9D"/>
    <w:rsid w:val="008E701E"/>
    <w:rsid w:val="008E7031"/>
    <w:rsid w:val="008E77DE"/>
    <w:rsid w:val="008F07A3"/>
    <w:rsid w:val="008F08F9"/>
    <w:rsid w:val="008F0DFA"/>
    <w:rsid w:val="008F16B3"/>
    <w:rsid w:val="008F34DD"/>
    <w:rsid w:val="008F6566"/>
    <w:rsid w:val="008F7B16"/>
    <w:rsid w:val="009001B6"/>
    <w:rsid w:val="00900E1B"/>
    <w:rsid w:val="00901C3C"/>
    <w:rsid w:val="009038ED"/>
    <w:rsid w:val="00904CF0"/>
    <w:rsid w:val="00907D93"/>
    <w:rsid w:val="009110BA"/>
    <w:rsid w:val="00911542"/>
    <w:rsid w:val="00912B2C"/>
    <w:rsid w:val="00921B15"/>
    <w:rsid w:val="00922E90"/>
    <w:rsid w:val="00923351"/>
    <w:rsid w:val="009233EE"/>
    <w:rsid w:val="00923CFC"/>
    <w:rsid w:val="00923FA9"/>
    <w:rsid w:val="00924C2B"/>
    <w:rsid w:val="009272AD"/>
    <w:rsid w:val="009277DC"/>
    <w:rsid w:val="00934D68"/>
    <w:rsid w:val="00943363"/>
    <w:rsid w:val="009460AA"/>
    <w:rsid w:val="0094641C"/>
    <w:rsid w:val="00951978"/>
    <w:rsid w:val="00954311"/>
    <w:rsid w:val="00955AA4"/>
    <w:rsid w:val="009603AE"/>
    <w:rsid w:val="00961115"/>
    <w:rsid w:val="00961A4A"/>
    <w:rsid w:val="00963D99"/>
    <w:rsid w:val="009661DE"/>
    <w:rsid w:val="0097215E"/>
    <w:rsid w:val="009774A6"/>
    <w:rsid w:val="00983C25"/>
    <w:rsid w:val="009856B7"/>
    <w:rsid w:val="00985C86"/>
    <w:rsid w:val="00992D22"/>
    <w:rsid w:val="00992F64"/>
    <w:rsid w:val="00994816"/>
    <w:rsid w:val="0099505A"/>
    <w:rsid w:val="00996BAF"/>
    <w:rsid w:val="009972D8"/>
    <w:rsid w:val="009977AC"/>
    <w:rsid w:val="009A2147"/>
    <w:rsid w:val="009A4F11"/>
    <w:rsid w:val="009A4FAA"/>
    <w:rsid w:val="009A5113"/>
    <w:rsid w:val="009A539D"/>
    <w:rsid w:val="009A5FC3"/>
    <w:rsid w:val="009B5667"/>
    <w:rsid w:val="009B5DC8"/>
    <w:rsid w:val="009B6F84"/>
    <w:rsid w:val="009B7343"/>
    <w:rsid w:val="009B74B0"/>
    <w:rsid w:val="009C03AA"/>
    <w:rsid w:val="009C3611"/>
    <w:rsid w:val="009C691D"/>
    <w:rsid w:val="009D26F6"/>
    <w:rsid w:val="009D2B38"/>
    <w:rsid w:val="009D3906"/>
    <w:rsid w:val="009D6B46"/>
    <w:rsid w:val="009D725B"/>
    <w:rsid w:val="009E2813"/>
    <w:rsid w:val="009E3B6C"/>
    <w:rsid w:val="009F2066"/>
    <w:rsid w:val="009F4940"/>
    <w:rsid w:val="009F5BA1"/>
    <w:rsid w:val="009F7E27"/>
    <w:rsid w:val="00A02A88"/>
    <w:rsid w:val="00A0336F"/>
    <w:rsid w:val="00A0562E"/>
    <w:rsid w:val="00A06085"/>
    <w:rsid w:val="00A0726D"/>
    <w:rsid w:val="00A10F2B"/>
    <w:rsid w:val="00A130CB"/>
    <w:rsid w:val="00A16596"/>
    <w:rsid w:val="00A216A7"/>
    <w:rsid w:val="00A21D02"/>
    <w:rsid w:val="00A2303E"/>
    <w:rsid w:val="00A25CBD"/>
    <w:rsid w:val="00A26EEA"/>
    <w:rsid w:val="00A32FBB"/>
    <w:rsid w:val="00A428EE"/>
    <w:rsid w:val="00A4478A"/>
    <w:rsid w:val="00A44852"/>
    <w:rsid w:val="00A4650A"/>
    <w:rsid w:val="00A47006"/>
    <w:rsid w:val="00A5018D"/>
    <w:rsid w:val="00A50502"/>
    <w:rsid w:val="00A55B5A"/>
    <w:rsid w:val="00A57D04"/>
    <w:rsid w:val="00A57F0A"/>
    <w:rsid w:val="00A600EF"/>
    <w:rsid w:val="00A60A26"/>
    <w:rsid w:val="00A61598"/>
    <w:rsid w:val="00A62DC9"/>
    <w:rsid w:val="00A62E01"/>
    <w:rsid w:val="00A70465"/>
    <w:rsid w:val="00A7385F"/>
    <w:rsid w:val="00A77185"/>
    <w:rsid w:val="00A81585"/>
    <w:rsid w:val="00A833AC"/>
    <w:rsid w:val="00A83E2F"/>
    <w:rsid w:val="00A84A99"/>
    <w:rsid w:val="00A84F46"/>
    <w:rsid w:val="00A84FFE"/>
    <w:rsid w:val="00A871F4"/>
    <w:rsid w:val="00A90AA4"/>
    <w:rsid w:val="00A9129F"/>
    <w:rsid w:val="00A923BF"/>
    <w:rsid w:val="00A952B1"/>
    <w:rsid w:val="00AA104E"/>
    <w:rsid w:val="00AA2BB9"/>
    <w:rsid w:val="00AA5F2C"/>
    <w:rsid w:val="00AA6A7D"/>
    <w:rsid w:val="00AB47E1"/>
    <w:rsid w:val="00AB5E30"/>
    <w:rsid w:val="00AC12D5"/>
    <w:rsid w:val="00AC1B2C"/>
    <w:rsid w:val="00AC3264"/>
    <w:rsid w:val="00AC725A"/>
    <w:rsid w:val="00AD3884"/>
    <w:rsid w:val="00AD5612"/>
    <w:rsid w:val="00AD5CF4"/>
    <w:rsid w:val="00AD6A17"/>
    <w:rsid w:val="00AD7B56"/>
    <w:rsid w:val="00AE1BF1"/>
    <w:rsid w:val="00AE3EAD"/>
    <w:rsid w:val="00AE44B8"/>
    <w:rsid w:val="00AE44DF"/>
    <w:rsid w:val="00AE5BD7"/>
    <w:rsid w:val="00AF0DD2"/>
    <w:rsid w:val="00AF4009"/>
    <w:rsid w:val="00AF7EF2"/>
    <w:rsid w:val="00B000AE"/>
    <w:rsid w:val="00B00406"/>
    <w:rsid w:val="00B014E5"/>
    <w:rsid w:val="00B01FBC"/>
    <w:rsid w:val="00B0209D"/>
    <w:rsid w:val="00B02961"/>
    <w:rsid w:val="00B04908"/>
    <w:rsid w:val="00B049B1"/>
    <w:rsid w:val="00B04B4C"/>
    <w:rsid w:val="00B07CEA"/>
    <w:rsid w:val="00B11112"/>
    <w:rsid w:val="00B129DD"/>
    <w:rsid w:val="00B13048"/>
    <w:rsid w:val="00B1418E"/>
    <w:rsid w:val="00B14A71"/>
    <w:rsid w:val="00B1716D"/>
    <w:rsid w:val="00B17A1D"/>
    <w:rsid w:val="00B207A0"/>
    <w:rsid w:val="00B21B90"/>
    <w:rsid w:val="00B314E7"/>
    <w:rsid w:val="00B332C7"/>
    <w:rsid w:val="00B353D2"/>
    <w:rsid w:val="00B40CAA"/>
    <w:rsid w:val="00B43B90"/>
    <w:rsid w:val="00B502F6"/>
    <w:rsid w:val="00B514DD"/>
    <w:rsid w:val="00B51F3F"/>
    <w:rsid w:val="00B52AF0"/>
    <w:rsid w:val="00B5411F"/>
    <w:rsid w:val="00B561BD"/>
    <w:rsid w:val="00B56E03"/>
    <w:rsid w:val="00B61EDF"/>
    <w:rsid w:val="00B72B66"/>
    <w:rsid w:val="00B74AC5"/>
    <w:rsid w:val="00B757A6"/>
    <w:rsid w:val="00B8080B"/>
    <w:rsid w:val="00B80A12"/>
    <w:rsid w:val="00B80E61"/>
    <w:rsid w:val="00B82223"/>
    <w:rsid w:val="00B866F2"/>
    <w:rsid w:val="00B87BA5"/>
    <w:rsid w:val="00B87C39"/>
    <w:rsid w:val="00B93101"/>
    <w:rsid w:val="00B9562D"/>
    <w:rsid w:val="00B95C80"/>
    <w:rsid w:val="00B9684B"/>
    <w:rsid w:val="00BA0731"/>
    <w:rsid w:val="00BA1701"/>
    <w:rsid w:val="00BA2F86"/>
    <w:rsid w:val="00BA4665"/>
    <w:rsid w:val="00BA47EE"/>
    <w:rsid w:val="00BA6235"/>
    <w:rsid w:val="00BA75AF"/>
    <w:rsid w:val="00BB2FB2"/>
    <w:rsid w:val="00BB3304"/>
    <w:rsid w:val="00BB33BA"/>
    <w:rsid w:val="00BB3FD7"/>
    <w:rsid w:val="00BB6848"/>
    <w:rsid w:val="00BB7528"/>
    <w:rsid w:val="00BC18DE"/>
    <w:rsid w:val="00BC2FAF"/>
    <w:rsid w:val="00BC42EF"/>
    <w:rsid w:val="00BD0920"/>
    <w:rsid w:val="00BD0C45"/>
    <w:rsid w:val="00BD310B"/>
    <w:rsid w:val="00BD3446"/>
    <w:rsid w:val="00BE07B0"/>
    <w:rsid w:val="00BE1535"/>
    <w:rsid w:val="00BE1D0D"/>
    <w:rsid w:val="00BE1F1B"/>
    <w:rsid w:val="00BE47B5"/>
    <w:rsid w:val="00BF0C8F"/>
    <w:rsid w:val="00BF0CD7"/>
    <w:rsid w:val="00BF4E52"/>
    <w:rsid w:val="00C016A0"/>
    <w:rsid w:val="00C04223"/>
    <w:rsid w:val="00C1134C"/>
    <w:rsid w:val="00C20B0D"/>
    <w:rsid w:val="00C2357E"/>
    <w:rsid w:val="00C25FA6"/>
    <w:rsid w:val="00C266ED"/>
    <w:rsid w:val="00C275C4"/>
    <w:rsid w:val="00C30637"/>
    <w:rsid w:val="00C3073B"/>
    <w:rsid w:val="00C30A26"/>
    <w:rsid w:val="00C36F19"/>
    <w:rsid w:val="00C42ACA"/>
    <w:rsid w:val="00C5122C"/>
    <w:rsid w:val="00C538A9"/>
    <w:rsid w:val="00C53B5A"/>
    <w:rsid w:val="00C53E7B"/>
    <w:rsid w:val="00C54F5A"/>
    <w:rsid w:val="00C566D4"/>
    <w:rsid w:val="00C569B4"/>
    <w:rsid w:val="00C56A01"/>
    <w:rsid w:val="00C56A3E"/>
    <w:rsid w:val="00C6297D"/>
    <w:rsid w:val="00C64503"/>
    <w:rsid w:val="00C64ED5"/>
    <w:rsid w:val="00C67A92"/>
    <w:rsid w:val="00C73B5E"/>
    <w:rsid w:val="00C74389"/>
    <w:rsid w:val="00C7497E"/>
    <w:rsid w:val="00C74D43"/>
    <w:rsid w:val="00C77688"/>
    <w:rsid w:val="00C81568"/>
    <w:rsid w:val="00C84560"/>
    <w:rsid w:val="00C84F52"/>
    <w:rsid w:val="00C86679"/>
    <w:rsid w:val="00C9203D"/>
    <w:rsid w:val="00C951C2"/>
    <w:rsid w:val="00C97CDF"/>
    <w:rsid w:val="00CA2ABF"/>
    <w:rsid w:val="00CA2C1D"/>
    <w:rsid w:val="00CA489E"/>
    <w:rsid w:val="00CA52A2"/>
    <w:rsid w:val="00CB0279"/>
    <w:rsid w:val="00CB3BE8"/>
    <w:rsid w:val="00CB46E2"/>
    <w:rsid w:val="00CB666B"/>
    <w:rsid w:val="00CC07DE"/>
    <w:rsid w:val="00CC1227"/>
    <w:rsid w:val="00CC7F1D"/>
    <w:rsid w:val="00CC7F2F"/>
    <w:rsid w:val="00CD07FB"/>
    <w:rsid w:val="00CD19EE"/>
    <w:rsid w:val="00CD3A39"/>
    <w:rsid w:val="00CD57C1"/>
    <w:rsid w:val="00CE1792"/>
    <w:rsid w:val="00CE484B"/>
    <w:rsid w:val="00CE4900"/>
    <w:rsid w:val="00CE4A03"/>
    <w:rsid w:val="00CE4E68"/>
    <w:rsid w:val="00CE7C3C"/>
    <w:rsid w:val="00CF0DEE"/>
    <w:rsid w:val="00CF2C05"/>
    <w:rsid w:val="00CF3C04"/>
    <w:rsid w:val="00CF4E64"/>
    <w:rsid w:val="00CF6EDE"/>
    <w:rsid w:val="00D006AE"/>
    <w:rsid w:val="00D01CF0"/>
    <w:rsid w:val="00D01EFD"/>
    <w:rsid w:val="00D03C9B"/>
    <w:rsid w:val="00D0442A"/>
    <w:rsid w:val="00D0538C"/>
    <w:rsid w:val="00D05A48"/>
    <w:rsid w:val="00D06055"/>
    <w:rsid w:val="00D066B7"/>
    <w:rsid w:val="00D069CF"/>
    <w:rsid w:val="00D0788C"/>
    <w:rsid w:val="00D0790D"/>
    <w:rsid w:val="00D1069A"/>
    <w:rsid w:val="00D14307"/>
    <w:rsid w:val="00D16777"/>
    <w:rsid w:val="00D17683"/>
    <w:rsid w:val="00D17D7B"/>
    <w:rsid w:val="00D20A25"/>
    <w:rsid w:val="00D242E5"/>
    <w:rsid w:val="00D30D3D"/>
    <w:rsid w:val="00D32411"/>
    <w:rsid w:val="00D36FCC"/>
    <w:rsid w:val="00D36FF0"/>
    <w:rsid w:val="00D40BEA"/>
    <w:rsid w:val="00D41E80"/>
    <w:rsid w:val="00D45694"/>
    <w:rsid w:val="00D46184"/>
    <w:rsid w:val="00D46BD3"/>
    <w:rsid w:val="00D50053"/>
    <w:rsid w:val="00D5595E"/>
    <w:rsid w:val="00D608F6"/>
    <w:rsid w:val="00D60E51"/>
    <w:rsid w:val="00D60EFF"/>
    <w:rsid w:val="00D61388"/>
    <w:rsid w:val="00D61A54"/>
    <w:rsid w:val="00D6201F"/>
    <w:rsid w:val="00D64275"/>
    <w:rsid w:val="00D6458A"/>
    <w:rsid w:val="00D64DEA"/>
    <w:rsid w:val="00D7168E"/>
    <w:rsid w:val="00D71E57"/>
    <w:rsid w:val="00D72DA9"/>
    <w:rsid w:val="00D75AA2"/>
    <w:rsid w:val="00D7645E"/>
    <w:rsid w:val="00D80893"/>
    <w:rsid w:val="00D84854"/>
    <w:rsid w:val="00D848B4"/>
    <w:rsid w:val="00D86B06"/>
    <w:rsid w:val="00D9195B"/>
    <w:rsid w:val="00D92CF1"/>
    <w:rsid w:val="00D92D38"/>
    <w:rsid w:val="00D93D32"/>
    <w:rsid w:val="00D950F5"/>
    <w:rsid w:val="00DA0BCC"/>
    <w:rsid w:val="00DA1152"/>
    <w:rsid w:val="00DA4752"/>
    <w:rsid w:val="00DA5803"/>
    <w:rsid w:val="00DA61F3"/>
    <w:rsid w:val="00DA6B93"/>
    <w:rsid w:val="00DA6F94"/>
    <w:rsid w:val="00DA78E5"/>
    <w:rsid w:val="00DB0F93"/>
    <w:rsid w:val="00DB1A67"/>
    <w:rsid w:val="00DB3CB3"/>
    <w:rsid w:val="00DB5074"/>
    <w:rsid w:val="00DB5B21"/>
    <w:rsid w:val="00DC2208"/>
    <w:rsid w:val="00DC4D3B"/>
    <w:rsid w:val="00DC64A9"/>
    <w:rsid w:val="00DC74BD"/>
    <w:rsid w:val="00DC7981"/>
    <w:rsid w:val="00DC7DC9"/>
    <w:rsid w:val="00DD1C15"/>
    <w:rsid w:val="00DE1093"/>
    <w:rsid w:val="00DE36B0"/>
    <w:rsid w:val="00DE45F4"/>
    <w:rsid w:val="00DE4EFA"/>
    <w:rsid w:val="00DE5520"/>
    <w:rsid w:val="00DE563D"/>
    <w:rsid w:val="00DE5E2E"/>
    <w:rsid w:val="00DE70DD"/>
    <w:rsid w:val="00DE772C"/>
    <w:rsid w:val="00DF05B9"/>
    <w:rsid w:val="00DF13C0"/>
    <w:rsid w:val="00DF179D"/>
    <w:rsid w:val="00DF1D9A"/>
    <w:rsid w:val="00DF312A"/>
    <w:rsid w:val="00DF4E1D"/>
    <w:rsid w:val="00DF5E28"/>
    <w:rsid w:val="00E00404"/>
    <w:rsid w:val="00E029A2"/>
    <w:rsid w:val="00E031CC"/>
    <w:rsid w:val="00E0399A"/>
    <w:rsid w:val="00E04818"/>
    <w:rsid w:val="00E05419"/>
    <w:rsid w:val="00E06442"/>
    <w:rsid w:val="00E0665E"/>
    <w:rsid w:val="00E06BCF"/>
    <w:rsid w:val="00E07546"/>
    <w:rsid w:val="00E1001C"/>
    <w:rsid w:val="00E10C1F"/>
    <w:rsid w:val="00E11949"/>
    <w:rsid w:val="00E11A7A"/>
    <w:rsid w:val="00E12EE8"/>
    <w:rsid w:val="00E21477"/>
    <w:rsid w:val="00E229E4"/>
    <w:rsid w:val="00E23993"/>
    <w:rsid w:val="00E23BAC"/>
    <w:rsid w:val="00E257D6"/>
    <w:rsid w:val="00E25B8C"/>
    <w:rsid w:val="00E26D84"/>
    <w:rsid w:val="00E31008"/>
    <w:rsid w:val="00E344BB"/>
    <w:rsid w:val="00E3544F"/>
    <w:rsid w:val="00E40177"/>
    <w:rsid w:val="00E40C29"/>
    <w:rsid w:val="00E4194A"/>
    <w:rsid w:val="00E453CA"/>
    <w:rsid w:val="00E466B4"/>
    <w:rsid w:val="00E47436"/>
    <w:rsid w:val="00E50974"/>
    <w:rsid w:val="00E51D65"/>
    <w:rsid w:val="00E6200B"/>
    <w:rsid w:val="00E6307D"/>
    <w:rsid w:val="00E65C85"/>
    <w:rsid w:val="00E66199"/>
    <w:rsid w:val="00E711C7"/>
    <w:rsid w:val="00E7456F"/>
    <w:rsid w:val="00E7494F"/>
    <w:rsid w:val="00E74A73"/>
    <w:rsid w:val="00E755EC"/>
    <w:rsid w:val="00E7624D"/>
    <w:rsid w:val="00E779DB"/>
    <w:rsid w:val="00E81831"/>
    <w:rsid w:val="00E81BC8"/>
    <w:rsid w:val="00E8472A"/>
    <w:rsid w:val="00E863DC"/>
    <w:rsid w:val="00E8681A"/>
    <w:rsid w:val="00E91494"/>
    <w:rsid w:val="00E91560"/>
    <w:rsid w:val="00E9194E"/>
    <w:rsid w:val="00E945BA"/>
    <w:rsid w:val="00E97242"/>
    <w:rsid w:val="00EA06FC"/>
    <w:rsid w:val="00EA38F3"/>
    <w:rsid w:val="00EA3D42"/>
    <w:rsid w:val="00EA6B1B"/>
    <w:rsid w:val="00EB3869"/>
    <w:rsid w:val="00EB5BC8"/>
    <w:rsid w:val="00EB5C2B"/>
    <w:rsid w:val="00EB606C"/>
    <w:rsid w:val="00EC04F1"/>
    <w:rsid w:val="00EC1B2B"/>
    <w:rsid w:val="00EC32E5"/>
    <w:rsid w:val="00EC527C"/>
    <w:rsid w:val="00ED0EC2"/>
    <w:rsid w:val="00ED0FB3"/>
    <w:rsid w:val="00ED2DDE"/>
    <w:rsid w:val="00ED3474"/>
    <w:rsid w:val="00ED7323"/>
    <w:rsid w:val="00EE28F3"/>
    <w:rsid w:val="00EE2C16"/>
    <w:rsid w:val="00EE50D1"/>
    <w:rsid w:val="00EE5422"/>
    <w:rsid w:val="00EE77FA"/>
    <w:rsid w:val="00EE7A83"/>
    <w:rsid w:val="00EF1B7A"/>
    <w:rsid w:val="00EF5110"/>
    <w:rsid w:val="00EF6370"/>
    <w:rsid w:val="00F0334E"/>
    <w:rsid w:val="00F0537F"/>
    <w:rsid w:val="00F07967"/>
    <w:rsid w:val="00F10411"/>
    <w:rsid w:val="00F113F0"/>
    <w:rsid w:val="00F1584E"/>
    <w:rsid w:val="00F15882"/>
    <w:rsid w:val="00F16AB4"/>
    <w:rsid w:val="00F171E0"/>
    <w:rsid w:val="00F20BD3"/>
    <w:rsid w:val="00F20FB7"/>
    <w:rsid w:val="00F226AD"/>
    <w:rsid w:val="00F24EB7"/>
    <w:rsid w:val="00F2526A"/>
    <w:rsid w:val="00F257EA"/>
    <w:rsid w:val="00F30CB6"/>
    <w:rsid w:val="00F31E64"/>
    <w:rsid w:val="00F3224E"/>
    <w:rsid w:val="00F32973"/>
    <w:rsid w:val="00F33005"/>
    <w:rsid w:val="00F35081"/>
    <w:rsid w:val="00F373A5"/>
    <w:rsid w:val="00F42178"/>
    <w:rsid w:val="00F42E08"/>
    <w:rsid w:val="00F47559"/>
    <w:rsid w:val="00F50E8F"/>
    <w:rsid w:val="00F5615C"/>
    <w:rsid w:val="00F57907"/>
    <w:rsid w:val="00F606A0"/>
    <w:rsid w:val="00F61176"/>
    <w:rsid w:val="00F6188C"/>
    <w:rsid w:val="00F62A30"/>
    <w:rsid w:val="00F645CF"/>
    <w:rsid w:val="00F64C7B"/>
    <w:rsid w:val="00F65B25"/>
    <w:rsid w:val="00F66E58"/>
    <w:rsid w:val="00F676DD"/>
    <w:rsid w:val="00F71667"/>
    <w:rsid w:val="00F73895"/>
    <w:rsid w:val="00F75A26"/>
    <w:rsid w:val="00F76706"/>
    <w:rsid w:val="00F768C8"/>
    <w:rsid w:val="00F81B8D"/>
    <w:rsid w:val="00F8243C"/>
    <w:rsid w:val="00F83FAD"/>
    <w:rsid w:val="00F8653A"/>
    <w:rsid w:val="00F86B9A"/>
    <w:rsid w:val="00F877C8"/>
    <w:rsid w:val="00F87B4D"/>
    <w:rsid w:val="00F911B5"/>
    <w:rsid w:val="00F91F55"/>
    <w:rsid w:val="00F92349"/>
    <w:rsid w:val="00F93B21"/>
    <w:rsid w:val="00F952A0"/>
    <w:rsid w:val="00F95403"/>
    <w:rsid w:val="00F95FD6"/>
    <w:rsid w:val="00FA07D0"/>
    <w:rsid w:val="00FA358F"/>
    <w:rsid w:val="00FA3C7F"/>
    <w:rsid w:val="00FA51E8"/>
    <w:rsid w:val="00FB1BF3"/>
    <w:rsid w:val="00FB4402"/>
    <w:rsid w:val="00FB60FE"/>
    <w:rsid w:val="00FB74E2"/>
    <w:rsid w:val="00FC71DC"/>
    <w:rsid w:val="00FD2016"/>
    <w:rsid w:val="00FD227B"/>
    <w:rsid w:val="00FD2ED2"/>
    <w:rsid w:val="00FD37D7"/>
    <w:rsid w:val="00FD4988"/>
    <w:rsid w:val="00FD5614"/>
    <w:rsid w:val="00FD5E78"/>
    <w:rsid w:val="00FE0BE1"/>
    <w:rsid w:val="00FE1727"/>
    <w:rsid w:val="00FE1AAA"/>
    <w:rsid w:val="00FE1DE9"/>
    <w:rsid w:val="00FE2D87"/>
    <w:rsid w:val="00FE3498"/>
    <w:rsid w:val="00FE36AF"/>
    <w:rsid w:val="00FE39C2"/>
    <w:rsid w:val="00FE3C32"/>
    <w:rsid w:val="00FE4160"/>
    <w:rsid w:val="00FE5742"/>
    <w:rsid w:val="00FE5CAE"/>
    <w:rsid w:val="00FE646D"/>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6297D"/>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Autospacing="0" w:afterLines="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Autospacing="0" w:afterLines="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Autospacing="0" w:afterLines="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C6297D"/>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7651757">
      <w:bodyDiv w:val="1"/>
      <w:marLeft w:val="0"/>
      <w:marRight w:val="0"/>
      <w:marTop w:val="0"/>
      <w:marBottom w:val="0"/>
      <w:divBdr>
        <w:top w:val="none" w:sz="0" w:space="0" w:color="auto"/>
        <w:left w:val="none" w:sz="0" w:space="0" w:color="auto"/>
        <w:bottom w:val="none" w:sz="0" w:space="0" w:color="auto"/>
        <w:right w:val="none" w:sz="0" w:space="0" w:color="auto"/>
      </w:divBdr>
      <w:divsChild>
        <w:div w:id="295651054">
          <w:marLeft w:val="0"/>
          <w:marRight w:val="0"/>
          <w:marTop w:val="0"/>
          <w:marBottom w:val="0"/>
          <w:divBdr>
            <w:top w:val="none" w:sz="0" w:space="0" w:color="auto"/>
            <w:left w:val="none" w:sz="0" w:space="0" w:color="auto"/>
            <w:bottom w:val="none" w:sz="0" w:space="0" w:color="auto"/>
            <w:right w:val="none" w:sz="0" w:space="0" w:color="auto"/>
          </w:divBdr>
        </w:div>
        <w:div w:id="109871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A3F84-D62D-40C1-A93A-52BB69FA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1DB3A90E</Template>
  <TotalTime>0</TotalTime>
  <Pages>31</Pages>
  <Words>8840</Words>
  <Characters>50393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2017-07-03T03:27:00Z</dcterms:created>
  <dcterms:modified xsi:type="dcterms:W3CDTF">2017-07-05T20:50:00Z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