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5E3BA7" w:rsidP="00290C63">
          <w:r w:rsidRPr="0026443D">
            <w:rPr>
              <w:noProof/>
              <w:lang w:eastAsia="en-AU"/>
            </w:rPr>
            <w:drawing>
              <wp:anchor distT="0" distB="0" distL="114300" distR="114300" simplePos="0" relativeHeight="251659264" behindDoc="1" locked="0" layoutInCell="1" allowOverlap="1" wp14:anchorId="148C7035" wp14:editId="6AB963F0">
                <wp:simplePos x="0" y="0"/>
                <wp:positionH relativeFrom="column">
                  <wp:posOffset>-1107440</wp:posOffset>
                </wp:positionH>
                <wp:positionV relativeFrom="paragraph">
                  <wp:posOffset>-1086548</wp:posOffset>
                </wp:positionV>
                <wp:extent cx="7572375" cy="107035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6C7CCF">
            <w:t>DRAFT</w:t>
          </w:r>
          <w:r w:rsidR="00DA4752">
            <w:t xml:space="preserve"> DECISION</w:t>
          </w:r>
        </w:p>
        <w:p w:rsidR="00415F31" w:rsidRDefault="006C7CCF" w:rsidP="008F07A3">
          <w:pPr>
            <w:pStyle w:val="ReportSubtitle"/>
          </w:pPr>
          <w:r>
            <w:t>Roma to Brisbane</w:t>
          </w:r>
          <w:r w:rsidR="00A06085">
            <w:t xml:space="preserve"> </w:t>
          </w:r>
          <w:r w:rsidR="0033548E">
            <w:t>Gas Pipeline</w:t>
          </w:r>
          <w:r w:rsidR="00CF2C05">
            <w:br/>
            <w:t>Access Arrangement</w:t>
          </w:r>
        </w:p>
        <w:p w:rsidR="000A6C7B" w:rsidRDefault="005C0A7F" w:rsidP="008F07A3">
          <w:pPr>
            <w:pStyle w:val="ReportSubtitle"/>
          </w:pPr>
          <w:r>
            <w:t>20</w:t>
          </w:r>
          <w:r w:rsidR="00535076">
            <w:t>17</w:t>
          </w:r>
          <w:r w:rsidR="00DA4752">
            <w:t xml:space="preserve"> to </w:t>
          </w:r>
          <w:r w:rsidR="00535076">
            <w:t>2022</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D03B1">
            <w:t>9</w:t>
          </w:r>
          <w:r w:rsidR="00DA4752">
            <w:t xml:space="preserve"> </w:t>
          </w:r>
          <w:r w:rsidR="00415F31">
            <w:rPr>
              <w:rFonts w:cs="Arial"/>
            </w:rPr>
            <w:t>–</w:t>
          </w:r>
          <w:r w:rsidR="00DA4752">
            <w:t xml:space="preserve"> </w:t>
          </w:r>
          <w:r w:rsidR="005D03B1">
            <w:t>Efficiency carryover mechanism</w:t>
          </w:r>
        </w:p>
        <w:p w:rsidR="000A6C7B" w:rsidRPr="00327A1E" w:rsidRDefault="00531FF2" w:rsidP="00327A1E">
          <w:pPr>
            <w:pStyle w:val="ReportDate"/>
          </w:pPr>
          <w:r>
            <w:t>Ju</w:t>
          </w:r>
          <w:r w:rsidR="009955C8">
            <w:t>ly</w:t>
          </w:r>
          <w:r>
            <w:t xml:space="preserve"> </w:t>
          </w:r>
          <w:r w:rsidR="0026443D">
            <w:t>2017</w:t>
          </w:r>
        </w:p>
      </w:sdtContent>
    </w:sdt>
    <w:p w:rsidR="00327A1E" w:rsidRPr="00290C63" w:rsidRDefault="00327A1E" w:rsidP="00290C63">
      <w:r>
        <w:br w:type="page"/>
      </w:r>
    </w:p>
    <w:p w:rsidR="000A6C7B" w:rsidRDefault="0026443D" w:rsidP="00961A4A">
      <w:pPr>
        <w:pStyle w:val="Copyright"/>
      </w:pPr>
      <w:r>
        <w:lastRenderedPageBreak/>
        <w:t>© Commonwealth of Australia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9955C8">
        <w:rPr>
          <w:sz w:val="20"/>
          <w:szCs w:val="20"/>
        </w:rP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AC782A">
        <w:t>1300 585 165</w:t>
      </w:r>
      <w:r w:rsidR="00951978">
        <w:br/>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86852001"/>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6C7CCF">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6C7CCF">
        <w:t>Roma to Brisbane</w:t>
      </w:r>
      <w:r w:rsidR="0033548E">
        <w:t xml:space="preserve"> Gas Pipeline for </w:t>
      </w:r>
      <w:r w:rsidR="00415F31">
        <w:t>201</w:t>
      </w:r>
      <w:r w:rsidR="00531FF2">
        <w:t>7</w:t>
      </w:r>
      <w:r w:rsidR="00415F31" w:rsidRPr="00D904FA">
        <w:t>–</w:t>
      </w:r>
      <w:r w:rsidR="00103A67">
        <w:t>2</w:t>
      </w:r>
      <w:r w:rsidR="00531FF2">
        <w:t>2</w:t>
      </w:r>
      <w:r w:rsidR="00415F31">
        <w:t xml:space="preserve">. It should be read with </w:t>
      </w:r>
      <w:r w:rsidR="005C0A7F">
        <w:t xml:space="preserve">all </w:t>
      </w:r>
      <w:r w:rsidR="00415F31">
        <w:t xml:space="preserve">other parts of the </w:t>
      </w:r>
      <w:r w:rsidR="006C7CCF">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6C7CCF">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86852002"/>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E7B0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86852001" w:history="1">
            <w:r w:rsidR="008E7B0C" w:rsidRPr="00D551CF">
              <w:rPr>
                <w:rStyle w:val="Hyperlink"/>
              </w:rPr>
              <w:t>Note</w:t>
            </w:r>
            <w:r w:rsidR="008E7B0C">
              <w:rPr>
                <w:webHidden/>
              </w:rPr>
              <w:tab/>
            </w:r>
            <w:r w:rsidR="008E7B0C">
              <w:rPr>
                <w:webHidden/>
              </w:rPr>
              <w:fldChar w:fldCharType="begin"/>
            </w:r>
            <w:r w:rsidR="008E7B0C">
              <w:rPr>
                <w:webHidden/>
              </w:rPr>
              <w:instrText xml:space="preserve"> PAGEREF _Toc486852001 \h </w:instrText>
            </w:r>
            <w:r w:rsidR="008E7B0C">
              <w:rPr>
                <w:webHidden/>
              </w:rPr>
            </w:r>
            <w:r w:rsidR="008E7B0C">
              <w:rPr>
                <w:webHidden/>
              </w:rPr>
              <w:fldChar w:fldCharType="separate"/>
            </w:r>
            <w:r w:rsidR="00041F10">
              <w:rPr>
                <w:webHidden/>
              </w:rPr>
              <w:t>9-2</w:t>
            </w:r>
            <w:r w:rsidR="008E7B0C">
              <w:rPr>
                <w:webHidden/>
              </w:rPr>
              <w:fldChar w:fldCharType="end"/>
            </w:r>
          </w:hyperlink>
        </w:p>
        <w:p w:rsidR="008E7B0C" w:rsidRDefault="008E7B0C">
          <w:pPr>
            <w:pStyle w:val="TOC1"/>
            <w:rPr>
              <w:rFonts w:asciiTheme="minorHAnsi" w:eastAsiaTheme="minorEastAsia" w:hAnsiTheme="minorHAnsi"/>
              <w:b w:val="0"/>
              <w:color w:val="auto"/>
              <w:sz w:val="22"/>
              <w:lang w:val="en-AU" w:eastAsia="en-AU"/>
            </w:rPr>
          </w:pPr>
          <w:hyperlink w:anchor="_Toc486852002" w:history="1">
            <w:r w:rsidRPr="00D551CF">
              <w:rPr>
                <w:rStyle w:val="Hyperlink"/>
              </w:rPr>
              <w:t>Contents</w:t>
            </w:r>
            <w:r>
              <w:rPr>
                <w:webHidden/>
              </w:rPr>
              <w:tab/>
            </w:r>
            <w:r>
              <w:rPr>
                <w:webHidden/>
              </w:rPr>
              <w:fldChar w:fldCharType="begin"/>
            </w:r>
            <w:r>
              <w:rPr>
                <w:webHidden/>
              </w:rPr>
              <w:instrText xml:space="preserve"> PAGEREF _Toc486852002 \h </w:instrText>
            </w:r>
            <w:r>
              <w:rPr>
                <w:webHidden/>
              </w:rPr>
            </w:r>
            <w:r>
              <w:rPr>
                <w:webHidden/>
              </w:rPr>
              <w:fldChar w:fldCharType="separate"/>
            </w:r>
            <w:r w:rsidR="00041F10">
              <w:rPr>
                <w:webHidden/>
              </w:rPr>
              <w:t>9-3</w:t>
            </w:r>
            <w:r>
              <w:rPr>
                <w:webHidden/>
              </w:rPr>
              <w:fldChar w:fldCharType="end"/>
            </w:r>
          </w:hyperlink>
        </w:p>
        <w:p w:rsidR="008E7B0C" w:rsidRDefault="008E7B0C">
          <w:pPr>
            <w:pStyle w:val="TOC1"/>
            <w:rPr>
              <w:rFonts w:asciiTheme="minorHAnsi" w:eastAsiaTheme="minorEastAsia" w:hAnsiTheme="minorHAnsi"/>
              <w:b w:val="0"/>
              <w:color w:val="auto"/>
              <w:sz w:val="22"/>
              <w:lang w:val="en-AU" w:eastAsia="en-AU"/>
            </w:rPr>
          </w:pPr>
          <w:hyperlink w:anchor="_Toc486852003" w:history="1">
            <w:r w:rsidRPr="00D551CF">
              <w:rPr>
                <w:rStyle w:val="Hyperlink"/>
              </w:rPr>
              <w:t>Shortened forms</w:t>
            </w:r>
            <w:r>
              <w:rPr>
                <w:webHidden/>
              </w:rPr>
              <w:tab/>
            </w:r>
            <w:r>
              <w:rPr>
                <w:webHidden/>
              </w:rPr>
              <w:fldChar w:fldCharType="begin"/>
            </w:r>
            <w:r>
              <w:rPr>
                <w:webHidden/>
              </w:rPr>
              <w:instrText xml:space="preserve"> PAGEREF _Toc486852003 \h </w:instrText>
            </w:r>
            <w:r>
              <w:rPr>
                <w:webHidden/>
              </w:rPr>
            </w:r>
            <w:r>
              <w:rPr>
                <w:webHidden/>
              </w:rPr>
              <w:fldChar w:fldCharType="separate"/>
            </w:r>
            <w:r w:rsidR="00041F10">
              <w:rPr>
                <w:webHidden/>
              </w:rPr>
              <w:t>9-4</w:t>
            </w:r>
            <w:r>
              <w:rPr>
                <w:webHidden/>
              </w:rPr>
              <w:fldChar w:fldCharType="end"/>
            </w:r>
          </w:hyperlink>
        </w:p>
        <w:p w:rsidR="008E7B0C" w:rsidRDefault="008E7B0C">
          <w:pPr>
            <w:pStyle w:val="TOC1"/>
            <w:rPr>
              <w:rFonts w:asciiTheme="minorHAnsi" w:eastAsiaTheme="minorEastAsia" w:hAnsiTheme="minorHAnsi"/>
              <w:b w:val="0"/>
              <w:color w:val="auto"/>
              <w:sz w:val="22"/>
              <w:lang w:val="en-AU" w:eastAsia="en-AU"/>
            </w:rPr>
          </w:pPr>
          <w:hyperlink w:anchor="_Toc486852004" w:history="1">
            <w:r w:rsidRPr="00D551CF">
              <w:rPr>
                <w:rStyle w:val="Hyperlink"/>
              </w:rPr>
              <w:t>9</w:t>
            </w:r>
            <w:r>
              <w:rPr>
                <w:rFonts w:asciiTheme="minorHAnsi" w:eastAsiaTheme="minorEastAsia" w:hAnsiTheme="minorHAnsi"/>
                <w:b w:val="0"/>
                <w:color w:val="auto"/>
                <w:sz w:val="22"/>
                <w:lang w:val="en-AU" w:eastAsia="en-AU"/>
              </w:rPr>
              <w:tab/>
            </w:r>
            <w:r w:rsidRPr="00D551CF">
              <w:rPr>
                <w:rStyle w:val="Hyperlink"/>
              </w:rPr>
              <w:t>Efficiency carryover mechanism</w:t>
            </w:r>
            <w:r>
              <w:rPr>
                <w:webHidden/>
              </w:rPr>
              <w:tab/>
            </w:r>
            <w:r>
              <w:rPr>
                <w:webHidden/>
              </w:rPr>
              <w:fldChar w:fldCharType="begin"/>
            </w:r>
            <w:r>
              <w:rPr>
                <w:webHidden/>
              </w:rPr>
              <w:instrText xml:space="preserve"> PAGEREF _Toc486852004 \h </w:instrText>
            </w:r>
            <w:r>
              <w:rPr>
                <w:webHidden/>
              </w:rPr>
            </w:r>
            <w:r>
              <w:rPr>
                <w:webHidden/>
              </w:rPr>
              <w:fldChar w:fldCharType="separate"/>
            </w:r>
            <w:r w:rsidR="00041F10">
              <w:rPr>
                <w:webHidden/>
              </w:rPr>
              <w:t>9-5</w:t>
            </w:r>
            <w:r>
              <w:rPr>
                <w:webHidden/>
              </w:rPr>
              <w:fldChar w:fldCharType="end"/>
            </w:r>
          </w:hyperlink>
        </w:p>
        <w:p w:rsidR="008E7B0C" w:rsidRDefault="008E7B0C">
          <w:pPr>
            <w:pStyle w:val="TOC2"/>
            <w:rPr>
              <w:rFonts w:asciiTheme="minorHAnsi" w:eastAsiaTheme="minorEastAsia" w:hAnsiTheme="minorHAnsi"/>
              <w:b w:val="0"/>
              <w:color w:val="auto"/>
              <w:sz w:val="22"/>
              <w:lang w:eastAsia="en-AU"/>
            </w:rPr>
          </w:pPr>
          <w:hyperlink w:anchor="_Toc486852005" w:history="1">
            <w:r w:rsidRPr="00D551CF">
              <w:rPr>
                <w:rStyle w:val="Hyperlink"/>
              </w:rPr>
              <w:t>9.1</w:t>
            </w:r>
            <w:r>
              <w:rPr>
                <w:rFonts w:asciiTheme="minorHAnsi" w:eastAsiaTheme="minorEastAsia" w:hAnsiTheme="minorHAnsi"/>
                <w:b w:val="0"/>
                <w:color w:val="auto"/>
                <w:sz w:val="22"/>
                <w:lang w:eastAsia="en-AU"/>
              </w:rPr>
              <w:tab/>
            </w:r>
            <w:r w:rsidRPr="00D551CF">
              <w:rPr>
                <w:rStyle w:val="Hyperlink"/>
              </w:rPr>
              <w:t>Draft decision</w:t>
            </w:r>
            <w:r>
              <w:rPr>
                <w:webHidden/>
              </w:rPr>
              <w:tab/>
            </w:r>
            <w:r>
              <w:rPr>
                <w:webHidden/>
              </w:rPr>
              <w:fldChar w:fldCharType="begin"/>
            </w:r>
            <w:r>
              <w:rPr>
                <w:webHidden/>
              </w:rPr>
              <w:instrText xml:space="preserve"> PAGEREF _Toc486852005 \h </w:instrText>
            </w:r>
            <w:r>
              <w:rPr>
                <w:webHidden/>
              </w:rPr>
            </w:r>
            <w:r>
              <w:rPr>
                <w:webHidden/>
              </w:rPr>
              <w:fldChar w:fldCharType="separate"/>
            </w:r>
            <w:r w:rsidR="00041F10">
              <w:rPr>
                <w:webHidden/>
              </w:rPr>
              <w:t>9-5</w:t>
            </w:r>
            <w:r>
              <w:rPr>
                <w:webHidden/>
              </w:rPr>
              <w:fldChar w:fldCharType="end"/>
            </w:r>
          </w:hyperlink>
        </w:p>
        <w:p w:rsidR="008E7B0C" w:rsidRDefault="008E7B0C">
          <w:pPr>
            <w:pStyle w:val="TOC2"/>
            <w:rPr>
              <w:rFonts w:asciiTheme="minorHAnsi" w:eastAsiaTheme="minorEastAsia" w:hAnsiTheme="minorHAnsi"/>
              <w:b w:val="0"/>
              <w:color w:val="auto"/>
              <w:sz w:val="22"/>
              <w:lang w:eastAsia="en-AU"/>
            </w:rPr>
          </w:pPr>
          <w:hyperlink w:anchor="_Toc486852006" w:history="1">
            <w:r w:rsidRPr="00D551CF">
              <w:rPr>
                <w:rStyle w:val="Hyperlink"/>
              </w:rPr>
              <w:t>9.2</w:t>
            </w:r>
            <w:r>
              <w:rPr>
                <w:rFonts w:asciiTheme="minorHAnsi" w:eastAsiaTheme="minorEastAsia" w:hAnsiTheme="minorHAnsi"/>
                <w:b w:val="0"/>
                <w:color w:val="auto"/>
                <w:sz w:val="22"/>
                <w:lang w:eastAsia="en-AU"/>
              </w:rPr>
              <w:tab/>
            </w:r>
            <w:r w:rsidRPr="00D551CF">
              <w:rPr>
                <w:rStyle w:val="Hyperlink"/>
              </w:rPr>
              <w:t>APTPPL's proposal</w:t>
            </w:r>
            <w:r>
              <w:rPr>
                <w:webHidden/>
              </w:rPr>
              <w:tab/>
            </w:r>
            <w:r>
              <w:rPr>
                <w:webHidden/>
              </w:rPr>
              <w:fldChar w:fldCharType="begin"/>
            </w:r>
            <w:r>
              <w:rPr>
                <w:webHidden/>
              </w:rPr>
              <w:instrText xml:space="preserve"> PAGEREF _Toc486852006 \h </w:instrText>
            </w:r>
            <w:r>
              <w:rPr>
                <w:webHidden/>
              </w:rPr>
            </w:r>
            <w:r>
              <w:rPr>
                <w:webHidden/>
              </w:rPr>
              <w:fldChar w:fldCharType="separate"/>
            </w:r>
            <w:r w:rsidR="00041F10">
              <w:rPr>
                <w:webHidden/>
              </w:rPr>
              <w:t>9-6</w:t>
            </w:r>
            <w:r>
              <w:rPr>
                <w:webHidden/>
              </w:rPr>
              <w:fldChar w:fldCharType="end"/>
            </w:r>
          </w:hyperlink>
        </w:p>
        <w:p w:rsidR="008E7B0C" w:rsidRDefault="008E7B0C">
          <w:pPr>
            <w:pStyle w:val="TOC2"/>
            <w:rPr>
              <w:rFonts w:asciiTheme="minorHAnsi" w:eastAsiaTheme="minorEastAsia" w:hAnsiTheme="minorHAnsi"/>
              <w:b w:val="0"/>
              <w:color w:val="auto"/>
              <w:sz w:val="22"/>
              <w:lang w:eastAsia="en-AU"/>
            </w:rPr>
          </w:pPr>
          <w:hyperlink w:anchor="_Toc486852007" w:history="1">
            <w:r w:rsidRPr="00D551CF">
              <w:rPr>
                <w:rStyle w:val="Hyperlink"/>
              </w:rPr>
              <w:t>9.3</w:t>
            </w:r>
            <w:r>
              <w:rPr>
                <w:rFonts w:asciiTheme="minorHAnsi" w:eastAsiaTheme="minorEastAsia" w:hAnsiTheme="minorHAnsi"/>
                <w:b w:val="0"/>
                <w:color w:val="auto"/>
                <w:sz w:val="22"/>
                <w:lang w:eastAsia="en-AU"/>
              </w:rPr>
              <w:tab/>
            </w:r>
            <w:r w:rsidRPr="00D551CF">
              <w:rPr>
                <w:rStyle w:val="Hyperlink"/>
              </w:rPr>
              <w:t>AER’s assessment approach</w:t>
            </w:r>
            <w:r>
              <w:rPr>
                <w:webHidden/>
              </w:rPr>
              <w:tab/>
            </w:r>
            <w:r>
              <w:rPr>
                <w:webHidden/>
              </w:rPr>
              <w:fldChar w:fldCharType="begin"/>
            </w:r>
            <w:r>
              <w:rPr>
                <w:webHidden/>
              </w:rPr>
              <w:instrText xml:space="preserve"> PAGEREF _Toc486852007 \h </w:instrText>
            </w:r>
            <w:r>
              <w:rPr>
                <w:webHidden/>
              </w:rPr>
            </w:r>
            <w:r>
              <w:rPr>
                <w:webHidden/>
              </w:rPr>
              <w:fldChar w:fldCharType="separate"/>
            </w:r>
            <w:r w:rsidR="00041F10">
              <w:rPr>
                <w:webHidden/>
              </w:rPr>
              <w:t>9-6</w:t>
            </w:r>
            <w:r>
              <w:rPr>
                <w:webHidden/>
              </w:rPr>
              <w:fldChar w:fldCharType="end"/>
            </w:r>
          </w:hyperlink>
        </w:p>
        <w:p w:rsidR="008E7B0C" w:rsidRDefault="008E7B0C">
          <w:pPr>
            <w:pStyle w:val="TOC2"/>
            <w:rPr>
              <w:rFonts w:asciiTheme="minorHAnsi" w:eastAsiaTheme="minorEastAsia" w:hAnsiTheme="minorHAnsi"/>
              <w:b w:val="0"/>
              <w:color w:val="auto"/>
              <w:sz w:val="22"/>
              <w:lang w:eastAsia="en-AU"/>
            </w:rPr>
          </w:pPr>
          <w:hyperlink w:anchor="_Toc486852008" w:history="1">
            <w:r w:rsidRPr="00D551CF">
              <w:rPr>
                <w:rStyle w:val="Hyperlink"/>
              </w:rPr>
              <w:t>9.4</w:t>
            </w:r>
            <w:r>
              <w:rPr>
                <w:rFonts w:asciiTheme="minorHAnsi" w:eastAsiaTheme="minorEastAsia" w:hAnsiTheme="minorHAnsi"/>
                <w:b w:val="0"/>
                <w:color w:val="auto"/>
                <w:sz w:val="22"/>
                <w:lang w:eastAsia="en-AU"/>
              </w:rPr>
              <w:tab/>
            </w:r>
            <w:r w:rsidRPr="00D551CF">
              <w:rPr>
                <w:rStyle w:val="Hyperlink"/>
              </w:rPr>
              <w:t>Reasons for draft decision</w:t>
            </w:r>
            <w:r>
              <w:rPr>
                <w:webHidden/>
              </w:rPr>
              <w:tab/>
            </w:r>
            <w:r>
              <w:rPr>
                <w:webHidden/>
              </w:rPr>
              <w:fldChar w:fldCharType="begin"/>
            </w:r>
            <w:r>
              <w:rPr>
                <w:webHidden/>
              </w:rPr>
              <w:instrText xml:space="preserve"> PAGEREF _Toc486852008 \h </w:instrText>
            </w:r>
            <w:r>
              <w:rPr>
                <w:webHidden/>
              </w:rPr>
            </w:r>
            <w:r>
              <w:rPr>
                <w:webHidden/>
              </w:rPr>
              <w:fldChar w:fldCharType="separate"/>
            </w:r>
            <w:r w:rsidR="00041F10">
              <w:rPr>
                <w:webHidden/>
              </w:rPr>
              <w:t>9-7</w:t>
            </w:r>
            <w:r>
              <w:rPr>
                <w:webHidden/>
              </w:rPr>
              <w:fldChar w:fldCharType="end"/>
            </w:r>
          </w:hyperlink>
        </w:p>
        <w:p w:rsidR="008E7B0C" w:rsidRDefault="008E7B0C">
          <w:pPr>
            <w:pStyle w:val="TOC2"/>
            <w:rPr>
              <w:rFonts w:asciiTheme="minorHAnsi" w:eastAsiaTheme="minorEastAsia" w:hAnsiTheme="minorHAnsi"/>
              <w:b w:val="0"/>
              <w:color w:val="auto"/>
              <w:sz w:val="22"/>
              <w:lang w:eastAsia="en-AU"/>
            </w:rPr>
          </w:pPr>
          <w:hyperlink w:anchor="_Toc486852009" w:history="1">
            <w:r w:rsidRPr="00D551CF">
              <w:rPr>
                <w:rStyle w:val="Hyperlink"/>
              </w:rPr>
              <w:t>9.5</w:t>
            </w:r>
            <w:r>
              <w:rPr>
                <w:rFonts w:asciiTheme="minorHAnsi" w:eastAsiaTheme="minorEastAsia" w:hAnsiTheme="minorHAnsi"/>
                <w:b w:val="0"/>
                <w:color w:val="auto"/>
                <w:sz w:val="22"/>
                <w:lang w:eastAsia="en-AU"/>
              </w:rPr>
              <w:tab/>
            </w:r>
            <w:r w:rsidRPr="00D551CF">
              <w:rPr>
                <w:rStyle w:val="Hyperlink"/>
              </w:rPr>
              <w:t>Revisions</w:t>
            </w:r>
            <w:r>
              <w:rPr>
                <w:webHidden/>
              </w:rPr>
              <w:tab/>
            </w:r>
            <w:r>
              <w:rPr>
                <w:webHidden/>
              </w:rPr>
              <w:fldChar w:fldCharType="begin"/>
            </w:r>
            <w:r>
              <w:rPr>
                <w:webHidden/>
              </w:rPr>
              <w:instrText xml:space="preserve"> PAGEREF _Toc486852009 \h </w:instrText>
            </w:r>
            <w:r>
              <w:rPr>
                <w:webHidden/>
              </w:rPr>
            </w:r>
            <w:r>
              <w:rPr>
                <w:webHidden/>
              </w:rPr>
              <w:fldChar w:fldCharType="separate"/>
            </w:r>
            <w:r w:rsidR="00041F10">
              <w:rPr>
                <w:webHidden/>
              </w:rPr>
              <w:t>9-8</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86852003"/>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AC782A" w:rsidTr="004016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Shortened form</w:t>
            </w:r>
          </w:p>
        </w:tc>
        <w:tc>
          <w:tcPr>
            <w:tcW w:w="5041" w:type="dxa"/>
          </w:tcPr>
          <w:p w:rsidR="00AC782A" w:rsidRDefault="00AC782A" w:rsidP="004016A7">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AER</w:t>
            </w:r>
          </w:p>
        </w:tc>
        <w:tc>
          <w:tcPr>
            <w:tcW w:w="5041" w:type="dxa"/>
          </w:tcPr>
          <w:p w:rsidR="00AC782A" w:rsidRDefault="00AC782A" w:rsidP="004016A7">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ATO</w:t>
            </w:r>
          </w:p>
        </w:tc>
        <w:tc>
          <w:tcPr>
            <w:tcW w:w="5041" w:type="dxa"/>
          </w:tcPr>
          <w:p w:rsidR="00AC782A" w:rsidRPr="00650EFA" w:rsidRDefault="00AC782A" w:rsidP="004016A7">
            <w:pPr>
              <w:cnfStyle w:val="000000010000" w:firstRow="0" w:lastRow="0" w:firstColumn="0" w:lastColumn="0" w:oddVBand="0" w:evenVBand="0" w:oddHBand="0" w:evenHBand="1" w:firstRowFirstColumn="0" w:firstRowLastColumn="0" w:lastRowFirstColumn="0" w:lastRowLastColumn="0"/>
            </w:pPr>
            <w:r>
              <w:t>Australian Tax Office</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capex</w:t>
            </w:r>
          </w:p>
        </w:tc>
        <w:tc>
          <w:tcPr>
            <w:tcW w:w="5041" w:type="dxa"/>
          </w:tcPr>
          <w:p w:rsidR="00AC782A" w:rsidRDefault="00AC782A" w:rsidP="004016A7">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CAPM</w:t>
            </w:r>
          </w:p>
        </w:tc>
        <w:tc>
          <w:tcPr>
            <w:tcW w:w="5041" w:type="dxa"/>
          </w:tcPr>
          <w:p w:rsidR="00AC782A" w:rsidRDefault="00AC782A" w:rsidP="004016A7">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CPI</w:t>
            </w:r>
          </w:p>
        </w:tc>
        <w:tc>
          <w:tcPr>
            <w:tcW w:w="5041" w:type="dxa"/>
          </w:tcPr>
          <w:p w:rsidR="00AC782A" w:rsidRDefault="00AC782A" w:rsidP="004016A7">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DRP</w:t>
            </w:r>
          </w:p>
        </w:tc>
        <w:tc>
          <w:tcPr>
            <w:tcW w:w="5041" w:type="dxa"/>
          </w:tcPr>
          <w:p w:rsidR="00AC782A" w:rsidRDefault="00AC782A" w:rsidP="004016A7">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ECM</w:t>
            </w:r>
          </w:p>
        </w:tc>
        <w:tc>
          <w:tcPr>
            <w:tcW w:w="5041" w:type="dxa"/>
          </w:tcPr>
          <w:p w:rsidR="00AC782A" w:rsidRPr="00650EFA" w:rsidRDefault="00AC782A" w:rsidP="004016A7">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ERP</w:t>
            </w:r>
          </w:p>
        </w:tc>
        <w:tc>
          <w:tcPr>
            <w:tcW w:w="5041" w:type="dxa"/>
          </w:tcPr>
          <w:p w:rsidR="00AC782A" w:rsidRDefault="00AC782A" w:rsidP="004016A7">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Expenditure Guideline</w:t>
            </w:r>
          </w:p>
        </w:tc>
        <w:tc>
          <w:tcPr>
            <w:tcW w:w="5041" w:type="dxa"/>
          </w:tcPr>
          <w:p w:rsidR="00AC782A" w:rsidRPr="00650EFA" w:rsidRDefault="00AC782A" w:rsidP="004016A7">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gamma</w:t>
            </w:r>
          </w:p>
        </w:tc>
        <w:tc>
          <w:tcPr>
            <w:tcW w:w="5041" w:type="dxa"/>
          </w:tcPr>
          <w:p w:rsidR="00AC782A" w:rsidRPr="00650EFA" w:rsidRDefault="00AC782A" w:rsidP="004016A7">
            <w:pPr>
              <w:cnfStyle w:val="000000010000" w:firstRow="0" w:lastRow="0" w:firstColumn="0" w:lastColumn="0" w:oddVBand="0" w:evenVBand="0" w:oddHBand="0" w:evenHBand="1" w:firstRowFirstColumn="0" w:firstRowLastColumn="0" w:lastRowFirstColumn="0" w:lastRowLastColumn="0"/>
            </w:pPr>
            <w:r>
              <w:t>Value of Imputation Credits</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MRP</w:t>
            </w:r>
          </w:p>
        </w:tc>
        <w:tc>
          <w:tcPr>
            <w:tcW w:w="5041" w:type="dxa"/>
          </w:tcPr>
          <w:p w:rsidR="00AC782A" w:rsidRDefault="00AC782A" w:rsidP="004016A7">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NGL</w:t>
            </w:r>
          </w:p>
        </w:tc>
        <w:tc>
          <w:tcPr>
            <w:tcW w:w="5041" w:type="dxa"/>
          </w:tcPr>
          <w:p w:rsidR="00AC782A" w:rsidRDefault="00AC782A" w:rsidP="004016A7">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NGO</w:t>
            </w:r>
          </w:p>
        </w:tc>
        <w:tc>
          <w:tcPr>
            <w:tcW w:w="5041" w:type="dxa"/>
          </w:tcPr>
          <w:p w:rsidR="00AC782A" w:rsidRDefault="00AC782A" w:rsidP="004016A7">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NGR</w:t>
            </w:r>
          </w:p>
        </w:tc>
        <w:tc>
          <w:tcPr>
            <w:tcW w:w="5041" w:type="dxa"/>
          </w:tcPr>
          <w:p w:rsidR="00AC782A" w:rsidRDefault="00AC782A" w:rsidP="004016A7">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NPV</w:t>
            </w:r>
          </w:p>
        </w:tc>
        <w:tc>
          <w:tcPr>
            <w:tcW w:w="5041" w:type="dxa"/>
          </w:tcPr>
          <w:p w:rsidR="00AC782A" w:rsidRPr="00650EFA" w:rsidRDefault="00AC782A" w:rsidP="004016A7">
            <w:pPr>
              <w:cnfStyle w:val="000000000000" w:firstRow="0" w:lastRow="0" w:firstColumn="0" w:lastColumn="0" w:oddVBand="0" w:evenVBand="0" w:oddHBand="0" w:evenHBand="0" w:firstRowFirstColumn="0" w:firstRowLastColumn="0" w:lastRowFirstColumn="0" w:lastRowLastColumn="0"/>
            </w:pPr>
            <w:r>
              <w:t>net present value</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opex</w:t>
            </w:r>
          </w:p>
        </w:tc>
        <w:tc>
          <w:tcPr>
            <w:tcW w:w="5041" w:type="dxa"/>
          </w:tcPr>
          <w:p w:rsidR="00AC782A" w:rsidRDefault="00AC782A" w:rsidP="004016A7">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PTRM</w:t>
            </w:r>
          </w:p>
        </w:tc>
        <w:tc>
          <w:tcPr>
            <w:tcW w:w="5041" w:type="dxa"/>
          </w:tcPr>
          <w:p w:rsidR="00AC782A" w:rsidRDefault="00AC782A" w:rsidP="004016A7">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RBA</w:t>
            </w:r>
          </w:p>
        </w:tc>
        <w:tc>
          <w:tcPr>
            <w:tcW w:w="5041" w:type="dxa"/>
          </w:tcPr>
          <w:p w:rsidR="00AC782A" w:rsidRDefault="00AC782A" w:rsidP="004016A7">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RFM</w:t>
            </w:r>
          </w:p>
        </w:tc>
        <w:tc>
          <w:tcPr>
            <w:tcW w:w="5041" w:type="dxa"/>
          </w:tcPr>
          <w:p w:rsidR="00AC782A" w:rsidRDefault="00AC782A" w:rsidP="004016A7">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RIN</w:t>
            </w:r>
          </w:p>
        </w:tc>
        <w:tc>
          <w:tcPr>
            <w:tcW w:w="5041" w:type="dxa"/>
          </w:tcPr>
          <w:p w:rsidR="00AC782A" w:rsidRDefault="00AC782A" w:rsidP="004016A7">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RPP</w:t>
            </w:r>
          </w:p>
        </w:tc>
        <w:tc>
          <w:tcPr>
            <w:tcW w:w="5041" w:type="dxa"/>
          </w:tcPr>
          <w:p w:rsidR="00AC782A" w:rsidRDefault="00AC782A" w:rsidP="004016A7">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SLCAPM</w:t>
            </w:r>
          </w:p>
        </w:tc>
        <w:tc>
          <w:tcPr>
            <w:tcW w:w="5041" w:type="dxa"/>
          </w:tcPr>
          <w:p w:rsidR="00AC782A" w:rsidRDefault="00AC782A" w:rsidP="004016A7">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STTM</w:t>
            </w:r>
          </w:p>
        </w:tc>
        <w:tc>
          <w:tcPr>
            <w:tcW w:w="5041" w:type="dxa"/>
          </w:tcPr>
          <w:p w:rsidR="00AC782A" w:rsidRPr="00650EFA" w:rsidRDefault="00AC782A" w:rsidP="004016A7">
            <w:pPr>
              <w:cnfStyle w:val="000000000000" w:firstRow="0" w:lastRow="0" w:firstColumn="0" w:lastColumn="0" w:oddVBand="0" w:evenVBand="0" w:oddHBand="0" w:evenHBand="0" w:firstRowFirstColumn="0" w:firstRowLastColumn="0" w:lastRowFirstColumn="0" w:lastRowLastColumn="0"/>
            </w:pPr>
            <w:r>
              <w:t>Short Term Trading Market</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TAB</w:t>
            </w:r>
          </w:p>
        </w:tc>
        <w:tc>
          <w:tcPr>
            <w:tcW w:w="5041" w:type="dxa"/>
          </w:tcPr>
          <w:p w:rsidR="00AC782A" w:rsidRPr="00650EFA" w:rsidRDefault="00AC782A" w:rsidP="004016A7">
            <w:pPr>
              <w:cnfStyle w:val="000000010000" w:firstRow="0" w:lastRow="0" w:firstColumn="0" w:lastColumn="0" w:oddVBand="0" w:evenVBand="0" w:oddHBand="0" w:evenHBand="1" w:firstRowFirstColumn="0" w:firstRowLastColumn="0" w:lastRowFirstColumn="0" w:lastRowLastColumn="0"/>
            </w:pPr>
            <w:r>
              <w:t>Tax asset base</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UAFG</w:t>
            </w:r>
          </w:p>
        </w:tc>
        <w:tc>
          <w:tcPr>
            <w:tcW w:w="5041" w:type="dxa"/>
          </w:tcPr>
          <w:p w:rsidR="00AC782A" w:rsidRPr="00650EFA" w:rsidRDefault="00AC782A" w:rsidP="004016A7">
            <w:pPr>
              <w:cnfStyle w:val="000000000000" w:firstRow="0" w:lastRow="0" w:firstColumn="0" w:lastColumn="0" w:oddVBand="0" w:evenVBand="0" w:oddHBand="0" w:evenHBand="0" w:firstRowFirstColumn="0" w:firstRowLastColumn="0" w:lastRowFirstColumn="0" w:lastRowLastColumn="0"/>
            </w:pPr>
            <w:r>
              <w:t>Unaccounted for gas</w:t>
            </w:r>
          </w:p>
        </w:tc>
      </w:tr>
      <w:tr w:rsidR="00AC782A" w:rsidTr="004016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WACC</w:t>
            </w:r>
          </w:p>
        </w:tc>
        <w:tc>
          <w:tcPr>
            <w:tcW w:w="5041" w:type="dxa"/>
          </w:tcPr>
          <w:p w:rsidR="00AC782A" w:rsidRDefault="00AC782A" w:rsidP="004016A7">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AC782A" w:rsidTr="004016A7">
        <w:tc>
          <w:tcPr>
            <w:cnfStyle w:val="001000000000" w:firstRow="0" w:lastRow="0" w:firstColumn="1" w:lastColumn="0" w:oddVBand="0" w:evenVBand="0" w:oddHBand="0" w:evenHBand="0" w:firstRowFirstColumn="0" w:firstRowLastColumn="0" w:lastRowFirstColumn="0" w:lastRowLastColumn="0"/>
            <w:tcW w:w="3652" w:type="dxa"/>
          </w:tcPr>
          <w:p w:rsidR="00AC782A" w:rsidRDefault="00AC782A" w:rsidP="004016A7">
            <w:pPr>
              <w:numPr>
                <w:ilvl w:val="0"/>
                <w:numId w:val="24"/>
              </w:numPr>
            </w:pPr>
            <w:r>
              <w:t>WPI</w:t>
            </w:r>
          </w:p>
        </w:tc>
        <w:tc>
          <w:tcPr>
            <w:tcW w:w="5041" w:type="dxa"/>
          </w:tcPr>
          <w:p w:rsidR="00AC782A" w:rsidRPr="00650EFA" w:rsidRDefault="00AC782A" w:rsidP="004016A7">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5D03B1" w:rsidP="005D03B1">
      <w:pPr>
        <w:pStyle w:val="Heading1"/>
      </w:pPr>
      <w:bookmarkStart w:id="9" w:name="_Toc486852004"/>
      <w:r>
        <w:t>Efficiency carryover mechanism</w:t>
      </w:r>
      <w:bookmarkEnd w:id="9"/>
    </w:p>
    <w:p w:rsidR="00CC2746" w:rsidRDefault="001E239F" w:rsidP="001E239F">
      <w:r>
        <w:t>An</w:t>
      </w:r>
      <w:r w:rsidR="005E3BA7">
        <w:t xml:space="preserve"> efficiency carryover mechanism</w:t>
      </w:r>
      <w:r>
        <w:t xml:space="preserve"> provides an additional incentive for service providers to pursue efficiency improvements in operating expenditure (opex). It is often used in incentive regulation. </w:t>
      </w:r>
    </w:p>
    <w:p w:rsidR="001E239F" w:rsidRDefault="001E239F" w:rsidP="001E239F">
      <w:r>
        <w:t>To encourage a service pr</w:t>
      </w:r>
      <w:r w:rsidR="005E3BA7">
        <w:t>ovider to become more efficient</w:t>
      </w:r>
      <w:r w:rsidR="0017118D">
        <w:t>,</w:t>
      </w:r>
      <w:r>
        <w:t xml:space="preserve"> it is allowed to keep any difference between its approved </w:t>
      </w:r>
      <w:r w:rsidR="0017118D">
        <w:t xml:space="preserve">opex </w:t>
      </w:r>
      <w:r>
        <w:t xml:space="preserve">forecast and its actual opex </w:t>
      </w:r>
      <w:r w:rsidR="0017118D">
        <w:t xml:space="preserve">in </w:t>
      </w:r>
      <w:r>
        <w:t>an access arrangement period. This is supplemented by the efficiency carryover mechanism</w:t>
      </w:r>
      <w:r w:rsidR="007C7D4F">
        <w:t>,</w:t>
      </w:r>
      <w:r>
        <w:t xml:space="preserve"> which </w:t>
      </w:r>
      <w:r w:rsidR="00F44660">
        <w:t xml:space="preserve">provides that </w:t>
      </w:r>
      <w:r>
        <w:t>the service provider</w:t>
      </w:r>
      <w:r w:rsidR="00F44660">
        <w:t xml:space="preserve">, over a longer period, benefits from efficiency gains and </w:t>
      </w:r>
      <w:r w:rsidR="00C43037">
        <w:t>is penalised</w:t>
      </w:r>
      <w:r w:rsidR="00F44660">
        <w:t xml:space="preserve"> for any efficiency losses</w:t>
      </w:r>
      <w:r>
        <w:t xml:space="preserve">. In total these rewards and penalties work together to provide a continuous incentive for a service provider to pursue efficiency gains over the access arrangement period. The efficiency carryover mechanism also discourages a service provider from </w:t>
      </w:r>
      <w:r w:rsidR="0017118D">
        <w:t xml:space="preserve">inflating its </w:t>
      </w:r>
      <w:r>
        <w:t xml:space="preserve">opex in the expected base year </w:t>
      </w:r>
      <w:r w:rsidR="00C43037">
        <w:t>for</w:t>
      </w:r>
      <w:r>
        <w:t xml:space="preserve"> the following access arrangement period</w:t>
      </w:r>
      <w:r w:rsidR="00F44660">
        <w:t xml:space="preserve">, because this could lead to a higher opex </w:t>
      </w:r>
      <w:r w:rsidR="00C43037">
        <w:t>forecast in</w:t>
      </w:r>
      <w:r w:rsidR="00F44660">
        <w:t xml:space="preserve"> that period</w:t>
      </w:r>
      <w:r>
        <w:t xml:space="preserve">. </w:t>
      </w:r>
    </w:p>
    <w:p w:rsidR="0017118D" w:rsidRDefault="0017118D" w:rsidP="001E239F">
      <w:r>
        <w:t>Consumers benefit from any efficiency gains made by the service provider as we base our next opex forecast (for the next access arrangement period) on the service provider's lower revealed opex. This is how efficiency improvements are shared between consumers and the business.</w:t>
      </w:r>
    </w:p>
    <w:p w:rsidR="001E239F" w:rsidRPr="001E239F" w:rsidRDefault="001E239F" w:rsidP="001E239F">
      <w:r>
        <w:t xml:space="preserve">An efficiency carryover mechanism did not apply to </w:t>
      </w:r>
      <w:r w:rsidR="00531FF2" w:rsidRPr="00531FF2">
        <w:t xml:space="preserve">APT Petroleum Pipelines Limited </w:t>
      </w:r>
      <w:r w:rsidR="00531FF2">
        <w:t>(</w:t>
      </w:r>
      <w:r w:rsidR="00E63BED">
        <w:t>APTPPL</w:t>
      </w:r>
      <w:r w:rsidR="00531FF2">
        <w:t>)</w:t>
      </w:r>
      <w:r w:rsidR="004B0433">
        <w:t xml:space="preserve"> during the 2012–17</w:t>
      </w:r>
      <w:r>
        <w:t xml:space="preserve"> access arrangement period. </w:t>
      </w:r>
      <w:r w:rsidR="00E63BED">
        <w:t>APTPPL</w:t>
      </w:r>
      <w:r>
        <w:t xml:space="preserve"> did not propose to apply an efficiency carryover mechanism to its opex in the 201</w:t>
      </w:r>
      <w:r w:rsidR="00E63BED">
        <w:t>7–22</w:t>
      </w:r>
      <w:r>
        <w:t xml:space="preserve"> access </w:t>
      </w:r>
      <w:bookmarkStart w:id="10" w:name="_GoBack"/>
      <w:bookmarkEnd w:id="10"/>
      <w:r>
        <w:t>arrangement period.</w:t>
      </w:r>
    </w:p>
    <w:p w:rsidR="00A2303E" w:rsidRDefault="006C7CCF" w:rsidP="00A2303E">
      <w:pPr>
        <w:pStyle w:val="Heading2"/>
      </w:pPr>
      <w:bookmarkStart w:id="11" w:name="_Toc408404320"/>
      <w:bookmarkStart w:id="12" w:name="_Toc419366913"/>
      <w:bookmarkStart w:id="13" w:name="_Toc486852005"/>
      <w:r>
        <w:t>Draft</w:t>
      </w:r>
      <w:r w:rsidR="00A2303E" w:rsidRPr="0074565D">
        <w:t xml:space="preserve"> decision</w:t>
      </w:r>
      <w:bookmarkEnd w:id="11"/>
      <w:bookmarkEnd w:id="12"/>
      <w:bookmarkEnd w:id="13"/>
    </w:p>
    <w:p w:rsidR="00D1052C" w:rsidRDefault="008362E2" w:rsidP="008362E2">
      <w:r w:rsidRPr="008362E2">
        <w:t xml:space="preserve">Our draft decision is to apply an efficiency carryover mechanism to </w:t>
      </w:r>
      <w:r w:rsidR="00E63BED">
        <w:t>APTPPL in the 2017–22</w:t>
      </w:r>
      <w:r w:rsidRPr="008362E2">
        <w:t xml:space="preserve"> access arrangement period.</w:t>
      </w:r>
      <w:r w:rsidR="00D1052C">
        <w:t xml:space="preserve"> </w:t>
      </w:r>
    </w:p>
    <w:p w:rsidR="00BA0626" w:rsidRDefault="00D1052C" w:rsidP="00BA0626">
      <w:r>
        <w:t xml:space="preserve">Our decision to apply an efficiency carryover mechanism to APTPPL is </w:t>
      </w:r>
      <w:r w:rsidR="00C521E3" w:rsidRPr="00C521E3">
        <w:t xml:space="preserve">consistent with our approach </w:t>
      </w:r>
      <w:r w:rsidR="00C521E3">
        <w:t>for</w:t>
      </w:r>
      <w:r w:rsidR="00C521E3" w:rsidRPr="00C521E3">
        <w:t xml:space="preserve"> other regulated service providers</w:t>
      </w:r>
      <w:r w:rsidR="00C521E3">
        <w:t>.</w:t>
      </w:r>
      <w:r w:rsidR="00C521E3">
        <w:rPr>
          <w:rStyle w:val="FootnoteReference"/>
        </w:rPr>
        <w:footnoteReference w:id="1"/>
      </w:r>
      <w:r w:rsidR="00C521E3">
        <w:t xml:space="preserve"> The</w:t>
      </w:r>
      <w:r>
        <w:t xml:space="preserve"> efficiency carryover mechanism </w:t>
      </w:r>
      <w:r w:rsidR="00C521E3" w:rsidRPr="00C521E3">
        <w:t xml:space="preserve">is an </w:t>
      </w:r>
      <w:r w:rsidR="00C521E3">
        <w:t>important</w:t>
      </w:r>
      <w:r w:rsidR="00C521E3" w:rsidRPr="00C521E3">
        <w:t xml:space="preserve"> component of </w:t>
      </w:r>
      <w:r w:rsidR="00C521E3">
        <w:t>our</w:t>
      </w:r>
      <w:r w:rsidR="00C521E3" w:rsidRPr="00C521E3">
        <w:t xml:space="preserve"> </w:t>
      </w:r>
      <w:r w:rsidR="00C521E3">
        <w:t>top-down, revealed cost</w:t>
      </w:r>
      <w:r w:rsidR="00C521E3" w:rsidRPr="00C521E3">
        <w:t xml:space="preserve"> forecasting </w:t>
      </w:r>
      <w:r w:rsidR="00C521E3">
        <w:t>approach</w:t>
      </w:r>
      <w:r w:rsidR="00C521E3" w:rsidRPr="00C521E3">
        <w:t xml:space="preserve"> </w:t>
      </w:r>
      <w:r w:rsidR="00C521E3">
        <w:t>for</w:t>
      </w:r>
      <w:r w:rsidR="00C521E3" w:rsidRPr="00C521E3">
        <w:t xml:space="preserve"> opex. </w:t>
      </w:r>
      <w:r w:rsidR="00C521E3">
        <w:t xml:space="preserve">This is explained further in section 9.4. </w:t>
      </w:r>
      <w:r w:rsidR="00C521E3" w:rsidRPr="008362E2" w:rsidDel="00C521E3">
        <w:t xml:space="preserve"> </w:t>
      </w:r>
      <w:bookmarkStart w:id="14" w:name="_Toc419366914"/>
    </w:p>
    <w:p w:rsidR="00C05A9D" w:rsidRDefault="00C05A9D" w:rsidP="00C05A9D">
      <w:r>
        <w:fldChar w:fldCharType="begin"/>
      </w:r>
      <w:r>
        <w:instrText xml:space="preserve"> REF _Ref475532802 \h </w:instrText>
      </w:r>
      <w:r>
        <w:fldChar w:fldCharType="separate"/>
      </w:r>
      <w:r w:rsidR="00041F10">
        <w:t xml:space="preserve">Table </w:t>
      </w:r>
      <w:r w:rsidR="00041F10">
        <w:rPr>
          <w:noProof/>
        </w:rPr>
        <w:t>9</w:t>
      </w:r>
      <w:r w:rsidR="00041F10">
        <w:t>.</w:t>
      </w:r>
      <w:r w:rsidR="00041F10">
        <w:rPr>
          <w:noProof/>
        </w:rPr>
        <w:t>1</w:t>
      </w:r>
      <w:r>
        <w:fldChar w:fldCharType="end"/>
      </w:r>
      <w:r>
        <w:t xml:space="preserve"> </w:t>
      </w:r>
      <w:r w:rsidRPr="00175243">
        <w:t xml:space="preserve">sets out our </w:t>
      </w:r>
      <w:r>
        <w:t>draft</w:t>
      </w:r>
      <w:r w:rsidRPr="00175243">
        <w:t xml:space="preserve"> decision on </w:t>
      </w:r>
      <w:r>
        <w:t xml:space="preserve">the </w:t>
      </w:r>
      <w:r w:rsidR="006E3130">
        <w:t>approved</w:t>
      </w:r>
      <w:r>
        <w:t xml:space="preserve"> opex </w:t>
      </w:r>
      <w:r w:rsidR="006E3130">
        <w:t xml:space="preserve">forecast </w:t>
      </w:r>
      <w:r w:rsidRPr="00175243">
        <w:t xml:space="preserve">we will </w:t>
      </w:r>
      <w:r>
        <w:t xml:space="preserve">use to </w:t>
      </w:r>
      <w:r w:rsidRPr="00175243">
        <w:t xml:space="preserve">calculate efficiency gains in the 2017–22 regulatory control </w:t>
      </w:r>
      <w:proofErr w:type="gramStart"/>
      <w:r w:rsidRPr="00175243">
        <w:t>period</w:t>
      </w:r>
      <w:proofErr w:type="gramEnd"/>
      <w:r>
        <w:t xml:space="preserve">, subject to further adjustments allowed by the </w:t>
      </w:r>
      <w:r w:rsidR="006E3130">
        <w:t>efficiency carryover mechanism</w:t>
      </w:r>
      <w:r w:rsidRPr="00175243">
        <w:t>.</w:t>
      </w:r>
      <w:r w:rsidR="006E3130">
        <w:rPr>
          <w:rStyle w:val="FootnoteReference"/>
        </w:rPr>
        <w:footnoteReference w:id="2"/>
      </w:r>
    </w:p>
    <w:p w:rsidR="00C05A9D" w:rsidRDefault="00C05A9D" w:rsidP="00C05A9D"/>
    <w:p w:rsidR="00C05A9D" w:rsidRDefault="00C05A9D" w:rsidP="00C05A9D">
      <w:pPr>
        <w:pStyle w:val="Caption"/>
      </w:pPr>
      <w:bookmarkStart w:id="15" w:name="_Ref475532802"/>
      <w:r>
        <w:t xml:space="preserve">Table </w:t>
      </w:r>
      <w:fldSimple w:instr=" STYLEREF 1 \s ">
        <w:r w:rsidR="00041F10">
          <w:rPr>
            <w:noProof/>
          </w:rPr>
          <w:t>9</w:t>
        </w:r>
      </w:fldSimple>
      <w:r>
        <w:t>.</w:t>
      </w:r>
      <w:r w:rsidRPr="00872BC7">
        <w:fldChar w:fldCharType="begin"/>
      </w:r>
      <w:r>
        <w:instrText xml:space="preserve"> SEQ Table \* ARABIC \s 1 </w:instrText>
      </w:r>
      <w:r w:rsidRPr="00872BC7">
        <w:fldChar w:fldCharType="separate"/>
      </w:r>
      <w:r w:rsidR="00041F10">
        <w:rPr>
          <w:noProof/>
        </w:rPr>
        <w:t>1</w:t>
      </w:r>
      <w:r w:rsidRPr="00872BC7">
        <w:fldChar w:fldCharType="end"/>
      </w:r>
      <w:bookmarkEnd w:id="15"/>
      <w:r>
        <w:tab/>
      </w:r>
      <w:r w:rsidR="008B72A2">
        <w:t>Approved f</w:t>
      </w:r>
      <w:r>
        <w:t xml:space="preserve">orecast opex for the </w:t>
      </w:r>
      <w:r w:rsidR="00302317">
        <w:t>efficiency carryover mechanism </w:t>
      </w:r>
      <w:r w:rsidRPr="00EC118B">
        <w:t>($ million, 2016–17)</w:t>
      </w:r>
    </w:p>
    <w:tbl>
      <w:tblPr>
        <w:tblStyle w:val="AERtable-numbers"/>
        <w:tblW w:w="0" w:type="auto"/>
        <w:tblLook w:val="04A0" w:firstRow="1" w:lastRow="0" w:firstColumn="1" w:lastColumn="0" w:noHBand="0" w:noVBand="1"/>
      </w:tblPr>
      <w:tblGrid>
        <w:gridCol w:w="1951"/>
        <w:gridCol w:w="891"/>
        <w:gridCol w:w="891"/>
        <w:gridCol w:w="891"/>
        <w:gridCol w:w="891"/>
        <w:gridCol w:w="891"/>
        <w:gridCol w:w="891"/>
        <w:gridCol w:w="891"/>
      </w:tblGrid>
      <w:tr w:rsidR="008B72A2" w:rsidTr="002B1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B72A2" w:rsidRDefault="008B72A2" w:rsidP="00C05A9D"/>
        </w:tc>
        <w:tc>
          <w:tcPr>
            <w:tcW w:w="891" w:type="dxa"/>
          </w:tcPr>
          <w:p w:rsidR="008B72A2" w:rsidRDefault="002B1BF4" w:rsidP="00C05A9D">
            <w:pPr>
              <w:cnfStyle w:val="100000000000" w:firstRow="1" w:lastRow="0" w:firstColumn="0" w:lastColumn="0" w:oddVBand="0" w:evenVBand="0" w:oddHBand="0" w:evenHBand="0" w:firstRowFirstColumn="0" w:firstRowLastColumn="0" w:lastRowFirstColumn="0" w:lastRowLastColumn="0"/>
            </w:pPr>
            <w:r>
              <w:t>2015–16</w:t>
            </w:r>
          </w:p>
        </w:tc>
        <w:tc>
          <w:tcPr>
            <w:tcW w:w="891" w:type="dxa"/>
          </w:tcPr>
          <w:p w:rsidR="008B72A2" w:rsidRDefault="002B1BF4" w:rsidP="00C05A9D">
            <w:pPr>
              <w:cnfStyle w:val="100000000000" w:firstRow="1" w:lastRow="0" w:firstColumn="0" w:lastColumn="0" w:oddVBand="0" w:evenVBand="0" w:oddHBand="0" w:evenHBand="0" w:firstRowFirstColumn="0" w:firstRowLastColumn="0" w:lastRowFirstColumn="0" w:lastRowLastColumn="0"/>
            </w:pPr>
            <w:r>
              <w:t>2016–17</w:t>
            </w:r>
          </w:p>
        </w:tc>
        <w:tc>
          <w:tcPr>
            <w:tcW w:w="891" w:type="dxa"/>
          </w:tcPr>
          <w:p w:rsidR="008B72A2" w:rsidRPr="00C05A9D" w:rsidRDefault="008B72A2" w:rsidP="00C05A9D">
            <w:pPr>
              <w:cnfStyle w:val="100000000000" w:firstRow="1" w:lastRow="0" w:firstColumn="0" w:lastColumn="0" w:oddVBand="0" w:evenVBand="0" w:oddHBand="0" w:evenHBand="0" w:firstRowFirstColumn="0" w:firstRowLastColumn="0" w:lastRowFirstColumn="0" w:lastRowLastColumn="0"/>
            </w:pPr>
            <w:r>
              <w:t>2017–18</w:t>
            </w:r>
          </w:p>
        </w:tc>
        <w:tc>
          <w:tcPr>
            <w:tcW w:w="891" w:type="dxa"/>
          </w:tcPr>
          <w:p w:rsidR="008B72A2" w:rsidRPr="00C05A9D" w:rsidRDefault="008B72A2" w:rsidP="00C05A9D">
            <w:pPr>
              <w:cnfStyle w:val="100000000000" w:firstRow="1" w:lastRow="0" w:firstColumn="0" w:lastColumn="0" w:oddVBand="0" w:evenVBand="0" w:oddHBand="0" w:evenHBand="0" w:firstRowFirstColumn="0" w:firstRowLastColumn="0" w:lastRowFirstColumn="0" w:lastRowLastColumn="0"/>
            </w:pPr>
            <w:r>
              <w:t>2018–19</w:t>
            </w:r>
          </w:p>
        </w:tc>
        <w:tc>
          <w:tcPr>
            <w:tcW w:w="891" w:type="dxa"/>
          </w:tcPr>
          <w:p w:rsidR="008B72A2" w:rsidRPr="00C05A9D" w:rsidRDefault="008B72A2" w:rsidP="00C05A9D">
            <w:pPr>
              <w:cnfStyle w:val="100000000000" w:firstRow="1" w:lastRow="0" w:firstColumn="0" w:lastColumn="0" w:oddVBand="0" w:evenVBand="0" w:oddHBand="0" w:evenHBand="0" w:firstRowFirstColumn="0" w:firstRowLastColumn="0" w:lastRowFirstColumn="0" w:lastRowLastColumn="0"/>
            </w:pPr>
            <w:r>
              <w:t>2019–20</w:t>
            </w:r>
          </w:p>
        </w:tc>
        <w:tc>
          <w:tcPr>
            <w:tcW w:w="891" w:type="dxa"/>
          </w:tcPr>
          <w:p w:rsidR="008B72A2" w:rsidRPr="00C05A9D" w:rsidRDefault="008B72A2" w:rsidP="00C05A9D">
            <w:pPr>
              <w:cnfStyle w:val="100000000000" w:firstRow="1" w:lastRow="0" w:firstColumn="0" w:lastColumn="0" w:oddVBand="0" w:evenVBand="0" w:oddHBand="0" w:evenHBand="0" w:firstRowFirstColumn="0" w:firstRowLastColumn="0" w:lastRowFirstColumn="0" w:lastRowLastColumn="0"/>
            </w:pPr>
            <w:r>
              <w:t>2020–21</w:t>
            </w:r>
          </w:p>
        </w:tc>
        <w:tc>
          <w:tcPr>
            <w:tcW w:w="891" w:type="dxa"/>
          </w:tcPr>
          <w:p w:rsidR="008B72A2" w:rsidRPr="00C05A9D" w:rsidRDefault="008B72A2" w:rsidP="00C05A9D">
            <w:pPr>
              <w:cnfStyle w:val="100000000000" w:firstRow="1" w:lastRow="0" w:firstColumn="0" w:lastColumn="0" w:oddVBand="0" w:evenVBand="0" w:oddHBand="0" w:evenHBand="0" w:firstRowFirstColumn="0" w:firstRowLastColumn="0" w:lastRowFirstColumn="0" w:lastRowLastColumn="0"/>
            </w:pPr>
            <w:r>
              <w:t>2021–22</w:t>
            </w:r>
          </w:p>
        </w:tc>
      </w:tr>
      <w:tr w:rsidR="008B72A2" w:rsidTr="002B1BF4">
        <w:tc>
          <w:tcPr>
            <w:cnfStyle w:val="001000000000" w:firstRow="0" w:lastRow="0" w:firstColumn="1" w:lastColumn="0" w:oddVBand="0" w:evenVBand="0" w:oddHBand="0" w:evenHBand="0" w:firstRowFirstColumn="0" w:firstRowLastColumn="0" w:lastRowFirstColumn="0" w:lastRowLastColumn="0"/>
            <w:tcW w:w="1951" w:type="dxa"/>
          </w:tcPr>
          <w:p w:rsidR="008B72A2" w:rsidRPr="00C05A9D" w:rsidRDefault="008B72A2" w:rsidP="008B72A2">
            <w:r>
              <w:t xml:space="preserve">Approved forecast opex </w:t>
            </w:r>
          </w:p>
        </w:tc>
        <w:tc>
          <w:tcPr>
            <w:tcW w:w="891" w:type="dxa"/>
          </w:tcPr>
          <w:p w:rsidR="008B72A2" w:rsidRDefault="002B1BF4" w:rsidP="00A25039">
            <w:pPr>
              <w:cnfStyle w:val="000000000000" w:firstRow="0" w:lastRow="0" w:firstColumn="0" w:lastColumn="0" w:oddVBand="0" w:evenVBand="0" w:oddHBand="0" w:evenHBand="0" w:firstRowFirstColumn="0" w:firstRowLastColumn="0" w:lastRowFirstColumn="0" w:lastRowLastColumn="0"/>
            </w:pPr>
            <w:r>
              <w:t>14.1</w:t>
            </w:r>
          </w:p>
        </w:tc>
        <w:tc>
          <w:tcPr>
            <w:tcW w:w="891" w:type="dxa"/>
          </w:tcPr>
          <w:p w:rsidR="008B72A2" w:rsidRDefault="002B1BF4" w:rsidP="00A25039">
            <w:pPr>
              <w:cnfStyle w:val="000000000000" w:firstRow="0" w:lastRow="0" w:firstColumn="0" w:lastColumn="0" w:oddVBand="0" w:evenVBand="0" w:oddHBand="0" w:evenHBand="0" w:firstRowFirstColumn="0" w:firstRowLastColumn="0" w:lastRowFirstColumn="0" w:lastRowLastColumn="0"/>
            </w:pPr>
            <w:r>
              <w:t>14.1</w:t>
            </w:r>
          </w:p>
        </w:tc>
        <w:tc>
          <w:tcPr>
            <w:tcW w:w="891" w:type="dxa"/>
          </w:tcPr>
          <w:p w:rsidR="008B72A2" w:rsidRPr="00C05A9D" w:rsidRDefault="008B72A2" w:rsidP="009F229F">
            <w:pPr>
              <w:cnfStyle w:val="000000000000" w:firstRow="0" w:lastRow="0" w:firstColumn="0" w:lastColumn="0" w:oddVBand="0" w:evenVBand="0" w:oddHBand="0" w:evenHBand="0" w:firstRowFirstColumn="0" w:firstRowLastColumn="0" w:lastRowFirstColumn="0" w:lastRowLastColumn="0"/>
            </w:pPr>
            <w:r>
              <w:t>14.</w:t>
            </w:r>
            <w:r w:rsidR="009F229F">
              <w:t>3</w:t>
            </w:r>
          </w:p>
        </w:tc>
        <w:tc>
          <w:tcPr>
            <w:tcW w:w="891" w:type="dxa"/>
          </w:tcPr>
          <w:p w:rsidR="008B72A2" w:rsidRPr="00C05A9D" w:rsidRDefault="008B72A2" w:rsidP="009F229F">
            <w:pPr>
              <w:cnfStyle w:val="000000000000" w:firstRow="0" w:lastRow="0" w:firstColumn="0" w:lastColumn="0" w:oddVBand="0" w:evenVBand="0" w:oddHBand="0" w:evenHBand="0" w:firstRowFirstColumn="0" w:firstRowLastColumn="0" w:lastRowFirstColumn="0" w:lastRowLastColumn="0"/>
            </w:pPr>
            <w:r>
              <w:t>14.</w:t>
            </w:r>
            <w:r w:rsidR="009F229F">
              <w:t>3</w:t>
            </w:r>
          </w:p>
        </w:tc>
        <w:tc>
          <w:tcPr>
            <w:tcW w:w="891" w:type="dxa"/>
          </w:tcPr>
          <w:p w:rsidR="008B72A2" w:rsidRPr="00C05A9D" w:rsidRDefault="008B72A2" w:rsidP="009F229F">
            <w:pPr>
              <w:cnfStyle w:val="000000000000" w:firstRow="0" w:lastRow="0" w:firstColumn="0" w:lastColumn="0" w:oddVBand="0" w:evenVBand="0" w:oddHBand="0" w:evenHBand="0" w:firstRowFirstColumn="0" w:firstRowLastColumn="0" w:lastRowFirstColumn="0" w:lastRowLastColumn="0"/>
            </w:pPr>
            <w:r>
              <w:t>14.</w:t>
            </w:r>
            <w:r w:rsidR="009F229F">
              <w:t>2</w:t>
            </w:r>
          </w:p>
        </w:tc>
        <w:tc>
          <w:tcPr>
            <w:tcW w:w="891" w:type="dxa"/>
          </w:tcPr>
          <w:p w:rsidR="008B72A2" w:rsidRPr="00C05A9D" w:rsidRDefault="008B72A2" w:rsidP="009F229F">
            <w:pPr>
              <w:cnfStyle w:val="000000000000" w:firstRow="0" w:lastRow="0" w:firstColumn="0" w:lastColumn="0" w:oddVBand="0" w:evenVBand="0" w:oddHBand="0" w:evenHBand="0" w:firstRowFirstColumn="0" w:firstRowLastColumn="0" w:lastRowFirstColumn="0" w:lastRowLastColumn="0"/>
            </w:pPr>
            <w:r>
              <w:t>14.</w:t>
            </w:r>
            <w:r w:rsidR="009F229F">
              <w:t>1</w:t>
            </w:r>
          </w:p>
        </w:tc>
        <w:tc>
          <w:tcPr>
            <w:tcW w:w="891" w:type="dxa"/>
          </w:tcPr>
          <w:p w:rsidR="008B72A2" w:rsidRPr="00C05A9D" w:rsidRDefault="008B72A2" w:rsidP="009F229F">
            <w:pPr>
              <w:cnfStyle w:val="000000000000" w:firstRow="0" w:lastRow="0" w:firstColumn="0" w:lastColumn="0" w:oddVBand="0" w:evenVBand="0" w:oddHBand="0" w:evenHBand="0" w:firstRowFirstColumn="0" w:firstRowLastColumn="0" w:lastRowFirstColumn="0" w:lastRowLastColumn="0"/>
            </w:pPr>
            <w:r>
              <w:t>14.</w:t>
            </w:r>
            <w:r w:rsidR="009F229F">
              <w:t>1</w:t>
            </w:r>
          </w:p>
        </w:tc>
      </w:tr>
    </w:tbl>
    <w:p w:rsidR="002B1BF4" w:rsidRDefault="002B1BF4" w:rsidP="009955C8">
      <w:pPr>
        <w:pStyle w:val="AERtablesource"/>
      </w:pPr>
      <w:r>
        <w:t xml:space="preserve">Source: </w:t>
      </w:r>
      <w:r>
        <w:tab/>
        <w:t xml:space="preserve">APTPPL, </w:t>
      </w:r>
      <w:r w:rsidRPr="008E3F57">
        <w:rPr>
          <w:rStyle w:val="AERtextitalic"/>
        </w:rPr>
        <w:t xml:space="preserve">Roma to Brisbane Pipeline 2016–21, proposed </w:t>
      </w:r>
      <w:r>
        <w:rPr>
          <w:rStyle w:val="AERtextitalic"/>
        </w:rPr>
        <w:t>opex model</w:t>
      </w:r>
      <w:r>
        <w:t>, September 2016.</w:t>
      </w:r>
    </w:p>
    <w:p w:rsidR="00C05A9D" w:rsidRPr="00C05A9D" w:rsidRDefault="00A25039" w:rsidP="009955C8">
      <w:pPr>
        <w:pStyle w:val="AERtablesource"/>
      </w:pPr>
      <w:r>
        <w:t xml:space="preserve">Note: </w:t>
      </w:r>
      <w:r w:rsidR="002B1BF4">
        <w:tab/>
      </w:r>
      <w:r w:rsidR="008B72A2">
        <w:t xml:space="preserve">Excludes debt raising costs. </w:t>
      </w:r>
      <w:r>
        <w:t>Numbers may not add up due to rounding.</w:t>
      </w:r>
    </w:p>
    <w:p w:rsidR="00A2303E" w:rsidRDefault="00BA0626" w:rsidP="00A2303E">
      <w:pPr>
        <w:pStyle w:val="Heading2"/>
      </w:pPr>
      <w:bookmarkStart w:id="16" w:name="_Toc486852006"/>
      <w:r>
        <w:t>APTPPL's p</w:t>
      </w:r>
      <w:r w:rsidR="00A2303E">
        <w:t>roposal</w:t>
      </w:r>
      <w:bookmarkEnd w:id="14"/>
      <w:bookmarkEnd w:id="16"/>
    </w:p>
    <w:p w:rsidR="008362E2" w:rsidRPr="008362E2" w:rsidRDefault="00E63BED" w:rsidP="008362E2">
      <w:r>
        <w:t>APTPPL</w:t>
      </w:r>
      <w:r w:rsidR="008362E2" w:rsidRPr="008362E2">
        <w:t xml:space="preserve"> did not propose any incentive mechanism for the </w:t>
      </w:r>
      <w:r w:rsidR="004B0433">
        <w:t>Roma to Brisbane</w:t>
      </w:r>
      <w:r w:rsidR="008362E2" w:rsidRPr="008362E2">
        <w:t xml:space="preserve"> Gas Pipeline (</w:t>
      </w:r>
      <w:r w:rsidR="004B0433">
        <w:t>RBP</w:t>
      </w:r>
      <w:r w:rsidR="008362E2" w:rsidRPr="008362E2">
        <w:t xml:space="preserve">), beyond the incentives implicit in the regulatory regime. </w:t>
      </w:r>
    </w:p>
    <w:p w:rsidR="008362E2" w:rsidRPr="008362E2" w:rsidRDefault="008362E2" w:rsidP="008362E2">
      <w:r w:rsidRPr="008362E2">
        <w:t xml:space="preserve">In its Access Arrangement Revision Proposal, </w:t>
      </w:r>
      <w:r w:rsidR="00E63BED">
        <w:t>APTPPL</w:t>
      </w:r>
      <w:r w:rsidRPr="008362E2">
        <w:t xml:space="preserve"> stated:</w:t>
      </w:r>
      <w:r w:rsidR="004B0433">
        <w:rPr>
          <w:rStyle w:val="FootnoteReference"/>
        </w:rPr>
        <w:footnoteReference w:id="3"/>
      </w:r>
      <w:r w:rsidRPr="008362E2">
        <w:t xml:space="preserve"> </w:t>
      </w:r>
    </w:p>
    <w:p w:rsidR="008362E2" w:rsidRPr="008362E2" w:rsidRDefault="004B0433" w:rsidP="0033475F">
      <w:pPr>
        <w:pStyle w:val="AERquote"/>
      </w:pPr>
      <w:r w:rsidRPr="004B0433">
        <w:t>APTPPL faces incentives to reduce costs and increase demand over the access arrangement period compared with the forecast on which the access arrangement is based, as total revenue will not be adjusted to reflect differences between forecast and actual gas demand and/or business costs</w:t>
      </w:r>
      <w:r w:rsidR="008362E2" w:rsidRPr="004B0433">
        <w:t>.</w:t>
      </w:r>
      <w:r w:rsidR="008362E2" w:rsidRPr="008362E2">
        <w:t xml:space="preserve"> </w:t>
      </w:r>
    </w:p>
    <w:p w:rsidR="00A2303E" w:rsidRDefault="00A2303E" w:rsidP="00A2303E">
      <w:pPr>
        <w:pStyle w:val="Heading2"/>
      </w:pPr>
      <w:bookmarkStart w:id="17" w:name="_Toc408404322"/>
      <w:bookmarkStart w:id="18" w:name="_Toc419366915"/>
      <w:bookmarkStart w:id="19" w:name="_Toc486852007"/>
      <w:r w:rsidRPr="0074565D">
        <w:t>AER’s assessment approach</w:t>
      </w:r>
      <w:bookmarkEnd w:id="17"/>
      <w:bookmarkEnd w:id="18"/>
      <w:bookmarkEnd w:id="19"/>
    </w:p>
    <w:p w:rsidR="008362E2" w:rsidRDefault="008362E2" w:rsidP="008362E2">
      <w:r>
        <w:t>An efficiency carryover mechanism is a form of incentive mechanism. A full access arrangement may include (and we may require it to include) one or more incentive mechanisms to encourage efficiency in the provision of services by the service provider.</w:t>
      </w:r>
      <w:r>
        <w:rPr>
          <w:rStyle w:val="FootnoteReference"/>
        </w:rPr>
        <w:footnoteReference w:id="4"/>
      </w:r>
      <w:r>
        <w:t xml:space="preserve"> An incentive mechanism must be consistent with the revenue and pricing principles.</w:t>
      </w:r>
      <w:r>
        <w:rPr>
          <w:rStyle w:val="FootnoteReference"/>
        </w:rPr>
        <w:footnoteReference w:id="5"/>
      </w:r>
      <w:r>
        <w:t xml:space="preserve"> </w:t>
      </w:r>
    </w:p>
    <w:p w:rsidR="008362E2" w:rsidRDefault="008362E2" w:rsidP="008362E2">
      <w:r>
        <w:t xml:space="preserve">We consider the following revenue and pricing principle is most relevant for assessing </w:t>
      </w:r>
      <w:r w:rsidR="00E63BED">
        <w:t>APTPPL</w:t>
      </w:r>
      <w:r>
        <w:t>'s proposal to not apply an efficiency carryover mechanism.</w:t>
      </w:r>
      <w:r>
        <w:rPr>
          <w:rStyle w:val="FootnoteReference"/>
        </w:rPr>
        <w:footnoteReference w:id="6"/>
      </w:r>
    </w:p>
    <w:p w:rsidR="008362E2" w:rsidRDefault="008362E2" w:rsidP="009F229F">
      <w:pPr>
        <w:pStyle w:val="AERquote"/>
      </w:pPr>
      <w:r>
        <w:t>A service provider should be provided with effective incentives in order to promote economic efficiency with respect to reference services the service provider provides.</w:t>
      </w:r>
      <w:r w:rsidR="009F229F">
        <w:t xml:space="preserve"> </w:t>
      </w:r>
      <w:r>
        <w:t>The economic efficiency t</w:t>
      </w:r>
      <w:r w:rsidR="009F229F">
        <w:t>hat should be promoted includes:</w:t>
      </w:r>
    </w:p>
    <w:p w:rsidR="008362E2" w:rsidRDefault="008362E2" w:rsidP="008362E2">
      <w:pPr>
        <w:pStyle w:val="AERquote"/>
      </w:pPr>
      <w:r>
        <w:t>(a) efficient investment in, or in connection with, a pipeline with which the service provider provides reference services</w:t>
      </w:r>
    </w:p>
    <w:p w:rsidR="008362E2" w:rsidRDefault="008362E2" w:rsidP="008362E2">
      <w:pPr>
        <w:pStyle w:val="AERquote"/>
      </w:pPr>
      <w:r>
        <w:t>(b) the efficient pro</w:t>
      </w:r>
      <w:r w:rsidR="009F229F">
        <w:t>vision of pipeline services</w:t>
      </w:r>
    </w:p>
    <w:p w:rsidR="008362E2" w:rsidRPr="00AA5AE3" w:rsidRDefault="008362E2" w:rsidP="008362E2">
      <w:pPr>
        <w:pStyle w:val="AERquote"/>
      </w:pPr>
      <w:r>
        <w:t>(c) the efficient use of the pipeline.</w:t>
      </w:r>
    </w:p>
    <w:p w:rsidR="00A2303E" w:rsidRDefault="00A2303E" w:rsidP="00A2303E">
      <w:pPr>
        <w:pStyle w:val="Heading2"/>
      </w:pPr>
      <w:bookmarkStart w:id="20" w:name="_Toc408404324"/>
      <w:bookmarkStart w:id="21" w:name="_Toc419366917"/>
      <w:bookmarkStart w:id="22" w:name="_Toc486852008"/>
      <w:r w:rsidRPr="0074565D">
        <w:t xml:space="preserve">Reasons for </w:t>
      </w:r>
      <w:r w:rsidR="006C7CCF">
        <w:t>draft</w:t>
      </w:r>
      <w:r w:rsidRPr="0074565D">
        <w:t xml:space="preserve"> decision</w:t>
      </w:r>
      <w:bookmarkEnd w:id="20"/>
      <w:bookmarkEnd w:id="21"/>
      <w:bookmarkEnd w:id="22"/>
      <w:r w:rsidRPr="0074565D">
        <w:t xml:space="preserve"> </w:t>
      </w:r>
    </w:p>
    <w:p w:rsidR="008362E2" w:rsidRDefault="008362E2" w:rsidP="008362E2">
      <w:r>
        <w:t xml:space="preserve">Our draft decision is to apply an efficiency carryover mechanism to </w:t>
      </w:r>
      <w:r w:rsidR="00E63BED">
        <w:t>APTPPL</w:t>
      </w:r>
      <w:r>
        <w:t xml:space="preserve"> for the 201</w:t>
      </w:r>
      <w:r w:rsidR="00E63BED">
        <w:t>7–22</w:t>
      </w:r>
      <w:r>
        <w:t xml:space="preserve"> access arrangement period. </w:t>
      </w:r>
    </w:p>
    <w:p w:rsidR="00F8761F" w:rsidRDefault="00F8761F" w:rsidP="00F8761F">
      <w:r>
        <w:t>In reviewing APTPPL’s proposal, we have considered whether the existing regulatory regime provides effective incentives to promote economic efficiency in the provision of reference services. Under the existing regime, if APTPPL makes an efficiency improvement and spends less than the approved opex forecast, it retains the benefit of that efficiency gain in all remaining years of the access arrangement period. We have also reviewed whether the regulatory framework and existing operating environment provides a continuous incentive to reduce operating costs.</w:t>
      </w:r>
    </w:p>
    <w:p w:rsidR="00F8761F" w:rsidRDefault="00F8761F" w:rsidP="00F8761F">
      <w:r>
        <w:t xml:space="preserve">The efficiency carryover mechanism is an integral component of the base-step-trend (revealed cost) forecasting method we apply to opex (section 7.3. of attachment </w:t>
      </w:r>
      <w:r w:rsidR="00531FF2">
        <w:t xml:space="preserve">7 of </w:t>
      </w:r>
      <w:r w:rsidR="0049221D">
        <w:t>this</w:t>
      </w:r>
      <w:r w:rsidR="00531FF2">
        <w:t xml:space="preserve"> draft decision </w:t>
      </w:r>
      <w:r>
        <w:t>explains our opex assessment approach). The base</w:t>
      </w:r>
      <w:r w:rsidR="00531FF2">
        <w:t>-</w:t>
      </w:r>
      <w:r>
        <w:t>step</w:t>
      </w:r>
      <w:r w:rsidR="00531FF2">
        <w:t>-</w:t>
      </w:r>
      <w:r>
        <w:t xml:space="preserve">trend forecasting method relies on identifying an efficient opex amount in the base year (the ‘revealed costs’ of the service provider), which we use to develop a total opex forecast. Under this approach, a service provider has an incentive to spend more opex in the expected base year. Also, a service provider has less incentive to reduce opex towards the end of the access arrangement period, where the benefit of any efficiency gains is retained for less time. </w:t>
      </w:r>
    </w:p>
    <w:p w:rsidR="00F8761F" w:rsidRDefault="00F8761F" w:rsidP="00F8761F">
      <w:r>
        <w:t>In this context, the application of an efficiency carryover mechanism serves two important functions:</w:t>
      </w:r>
    </w:p>
    <w:p w:rsidR="00F8761F" w:rsidRDefault="00F8761F" w:rsidP="00F8761F">
      <w:pPr>
        <w:pStyle w:val="AERbulletlistfirststyle"/>
      </w:pPr>
      <w:r>
        <w:t xml:space="preserve">it </w:t>
      </w:r>
      <w:r w:rsidRPr="008362E2">
        <w:t>reduces the incentive for the service provider to inflate its costs in the expected base year in order to increase its opex forecast for the next access arrangement period</w:t>
      </w:r>
    </w:p>
    <w:p w:rsidR="00F8761F" w:rsidRPr="008362E2" w:rsidRDefault="00F8761F" w:rsidP="00F8761F">
      <w:pPr>
        <w:pStyle w:val="AERbulletlistfirststyle"/>
      </w:pPr>
      <w:r>
        <w:t xml:space="preserve">it </w:t>
      </w:r>
      <w:r w:rsidRPr="008362E2">
        <w:t xml:space="preserve">provides a continuous incentive for </w:t>
      </w:r>
      <w:r>
        <w:t xml:space="preserve">the </w:t>
      </w:r>
      <w:r w:rsidRPr="008362E2">
        <w:t>service provider to pursue efficiency improvements across the access arrangement period</w:t>
      </w:r>
      <w:r>
        <w:t xml:space="preserve">. This is because the efficiency carryover mechanism allows a service provider to retain efficiency gains for a total of six years, regardless of the year in which they are made. </w:t>
      </w:r>
    </w:p>
    <w:p w:rsidR="008362E2" w:rsidRDefault="008362E2" w:rsidP="008362E2">
      <w:r>
        <w:t xml:space="preserve">The application of an efficiency carryover mechanism is consistent with our approach to other regulated service providers </w:t>
      </w:r>
      <w:r w:rsidR="007C7D4F">
        <w:t xml:space="preserve">for which </w:t>
      </w:r>
      <w:r>
        <w:t>we use</w:t>
      </w:r>
      <w:r w:rsidRPr="00D71EF9">
        <w:t xml:space="preserve"> </w:t>
      </w:r>
      <w:r>
        <w:t xml:space="preserve">the base-step-trend forecasting method to forecast opex. </w:t>
      </w:r>
    </w:p>
    <w:p w:rsidR="008362E2" w:rsidRDefault="008362E2" w:rsidP="008362E2">
      <w:r>
        <w:t xml:space="preserve">In applying the efficiency carryover mechanism to </w:t>
      </w:r>
      <w:r w:rsidR="00E63BED">
        <w:t>APTPPL</w:t>
      </w:r>
      <w:r>
        <w:t xml:space="preserve"> in the 201</w:t>
      </w:r>
      <w:r w:rsidR="00E63BED">
        <w:t>7–22</w:t>
      </w:r>
      <w:r>
        <w:t xml:space="preserve"> access arrangement period</w:t>
      </w:r>
      <w:r w:rsidR="00F149D2">
        <w:t>,</w:t>
      </w:r>
      <w:r>
        <w:t xml:space="preserve"> we propose:</w:t>
      </w:r>
    </w:p>
    <w:p w:rsidR="008362E2" w:rsidRPr="008362E2" w:rsidRDefault="008362E2" w:rsidP="008362E2">
      <w:pPr>
        <w:pStyle w:val="AERbulletlistfirststyle"/>
      </w:pPr>
      <w:r>
        <w:t>excluding</w:t>
      </w:r>
      <w:r w:rsidRPr="008362E2">
        <w:t xml:space="preserve"> any cost categories that are not forecast using a single year revealed cost approach in the access arrangement period commencing in 202</w:t>
      </w:r>
      <w:r w:rsidR="005E2ADC">
        <w:t>2</w:t>
      </w:r>
      <w:r w:rsidRPr="008362E2">
        <w:t xml:space="preserve"> </w:t>
      </w:r>
    </w:p>
    <w:p w:rsidR="008362E2" w:rsidRPr="008362E2" w:rsidRDefault="008362E2" w:rsidP="008362E2">
      <w:pPr>
        <w:pStyle w:val="AERbulletlistfirststyle"/>
      </w:pPr>
      <w:r>
        <w:t xml:space="preserve">adjusting </w:t>
      </w:r>
      <w:r w:rsidR="00E63BED">
        <w:t>APTPPL</w:t>
      </w:r>
      <w:r>
        <w:t>'s opex forecast to account for</w:t>
      </w:r>
      <w:r w:rsidRPr="008362E2">
        <w:t xml:space="preserve"> any Determined Pass Through Amounts</w:t>
      </w:r>
    </w:p>
    <w:p w:rsidR="008362E2" w:rsidRPr="008362E2" w:rsidRDefault="008362E2" w:rsidP="008362E2">
      <w:pPr>
        <w:pStyle w:val="AERbulletlistfirststyle"/>
      </w:pPr>
      <w:r>
        <w:t xml:space="preserve">adjusting </w:t>
      </w:r>
      <w:r w:rsidR="00E63BED">
        <w:t>APTPPL</w:t>
      </w:r>
      <w:r>
        <w:t>'s opex forecast to account for any capitalisation policy changes.</w:t>
      </w:r>
    </w:p>
    <w:p w:rsidR="00847609" w:rsidRDefault="00847609" w:rsidP="00847609">
      <w:pPr>
        <w:pStyle w:val="Heading2"/>
      </w:pPr>
      <w:bookmarkStart w:id="23" w:name="_Toc486852009"/>
      <w:r>
        <w:t>Revisions</w:t>
      </w:r>
      <w:bookmarkEnd w:id="23"/>
    </w:p>
    <w:p w:rsidR="008362E2" w:rsidRDefault="008362E2" w:rsidP="008362E2">
      <w:r>
        <w:t>We require the following revisions to make the access arrangement proposal acceptable:</w:t>
      </w:r>
    </w:p>
    <w:p w:rsidR="008362E2" w:rsidRDefault="008362E2" w:rsidP="008362E2">
      <w:pPr>
        <w:pStyle w:val="AERrevisionbox"/>
      </w:pPr>
      <w:r w:rsidRPr="00B36376">
        <w:rPr>
          <w:rStyle w:val="Strong"/>
        </w:rPr>
        <w:t>Revision 9.1:</w:t>
      </w:r>
      <w:r>
        <w:t xml:space="preserve"> Amend the </w:t>
      </w:r>
      <w:r w:rsidR="0033475F">
        <w:t>Roma to Brisbane</w:t>
      </w:r>
      <w:r>
        <w:t xml:space="preserve"> Gas Pipeline access arrangement to include the following clause:</w:t>
      </w:r>
    </w:p>
    <w:p w:rsidR="00281ADB" w:rsidRPr="00B47879" w:rsidRDefault="00281ADB" w:rsidP="008362E2">
      <w:pPr>
        <w:rPr>
          <w:rStyle w:val="Strong"/>
        </w:rPr>
      </w:pPr>
      <w:r w:rsidRPr="00B47879">
        <w:rPr>
          <w:rStyle w:val="Strong"/>
        </w:rPr>
        <w:t>8 Efficiency Carryover Mechanism</w:t>
      </w:r>
    </w:p>
    <w:p w:rsidR="008362E2" w:rsidRPr="008362E2" w:rsidRDefault="008362E2" w:rsidP="008362E2">
      <w:r>
        <w:t>8</w:t>
      </w:r>
      <w:r w:rsidR="00CD2015">
        <w:t>.1</w:t>
      </w:r>
      <w:r w:rsidR="00CD2015">
        <w:tab/>
        <w:t>Efficiency Carryover M</w:t>
      </w:r>
      <w:r w:rsidRPr="008362E2">
        <w:t>echanism</w:t>
      </w:r>
    </w:p>
    <w:p w:rsidR="008362E2" w:rsidRPr="008362E2" w:rsidRDefault="008362E2" w:rsidP="008362E2">
      <w:pPr>
        <w:pStyle w:val="AERnumberedlistsecondstyle"/>
      </w:pPr>
      <w:r>
        <w:t>An efficiency carryover mechanism will apply to operating expenditure.</w:t>
      </w:r>
    </w:p>
    <w:p w:rsidR="008362E2" w:rsidRPr="008362E2" w:rsidRDefault="008362E2" w:rsidP="008362E2">
      <w:pPr>
        <w:pStyle w:val="AERnumberedlistsecondstyle"/>
      </w:pPr>
      <w:r>
        <w:t>The incentive mechanism will operate in the following way:</w:t>
      </w:r>
    </w:p>
    <w:p w:rsidR="008362E2" w:rsidRPr="008362E2" w:rsidRDefault="008362E2" w:rsidP="008362E2">
      <w:pPr>
        <w:pStyle w:val="AERnumberedlistthirdstyle"/>
      </w:pPr>
      <w:r>
        <w:t>the mechanism carries forward the Service Provider’s incremental efficiency gains (or losses) for five Financial Years from the Financial Yea</w:t>
      </w:r>
      <w:r w:rsidR="00CD2015">
        <w:t>r those gains (or losses) occur</w:t>
      </w:r>
      <w:r>
        <w:t xml:space="preserve"> </w:t>
      </w:r>
    </w:p>
    <w:p w:rsidR="008362E2" w:rsidRPr="008362E2" w:rsidRDefault="008362E2" w:rsidP="008362E2">
      <w:pPr>
        <w:pStyle w:val="AERnumberedlistthirdstyle"/>
      </w:pPr>
      <w:r>
        <w:t xml:space="preserve">annual carryover amounts accrue in each Financial Year of the subsequent access arrangement period as the summation of the incremental efficiency gains (or losses) in the immediately prior access arrangement period that are carried forward for five years </w:t>
      </w:r>
      <w:r w:rsidR="00CD2015">
        <w:t>or less into the Financial Year</w:t>
      </w:r>
      <w:r>
        <w:t xml:space="preserve"> </w:t>
      </w:r>
    </w:p>
    <w:p w:rsidR="008362E2" w:rsidRPr="008362E2" w:rsidRDefault="008362E2" w:rsidP="008362E2">
      <w:pPr>
        <w:pStyle w:val="AERnumberedlistthirdstyle"/>
      </w:pPr>
      <w:r>
        <w:t>the annual carryover amounts are added to the Service Provider’s Total Revenue in each Financial Year of the subsequent</w:t>
      </w:r>
      <w:r w:rsidRPr="008362E2">
        <w:t xml:space="preserve"> access arrangement period. If necessary, the annual efficiency gain (or loss) is carried forward into the access arrangement period commencing 1 July 202</w:t>
      </w:r>
      <w:r w:rsidR="00A9171B">
        <w:t>2</w:t>
      </w:r>
      <w:r w:rsidRPr="008362E2">
        <w:t xml:space="preserve"> until it has been retained by the Service Provider for a period of five years.</w:t>
      </w:r>
    </w:p>
    <w:p w:rsidR="00543E75" w:rsidRDefault="00543E75" w:rsidP="00543E75">
      <w:pPr>
        <w:pStyle w:val="AERnumberedlistsecondstyle"/>
      </w:pPr>
      <w:r w:rsidRPr="00543E75">
        <w:t>To ensure the carryover amount in the first year of a</w:t>
      </w:r>
      <w:r>
        <w:t>n</w:t>
      </w:r>
      <w:r w:rsidRPr="00543E75">
        <w:t xml:space="preserve"> </w:t>
      </w:r>
      <w:r w:rsidR="00B47879">
        <w:t>Access Arrangement</w:t>
      </w:r>
      <w:r w:rsidRPr="00543E75">
        <w:t xml:space="preserve"> period is only for incremental efficiency gains made in that year, we will subtract any incremental efficiency gain made in the previous </w:t>
      </w:r>
      <w:r w:rsidR="00B47879">
        <w:t>Access Arrangement</w:t>
      </w:r>
      <w:r w:rsidRPr="00543E75">
        <w:t xml:space="preserve"> period after the base year from the difference between actual opex and forecast opex in the first year of the new period</w:t>
      </w:r>
      <w:r>
        <w:t>.</w:t>
      </w:r>
    </w:p>
    <w:p w:rsidR="008362E2" w:rsidRPr="008362E2" w:rsidRDefault="008362E2" w:rsidP="00543E75">
      <w:pPr>
        <w:pStyle w:val="ListContinue2"/>
      </w:pPr>
      <w:r w:rsidRPr="00543E75">
        <w:t>The incremental efficiency gain (or loss) for the Fina</w:t>
      </w:r>
      <w:r w:rsidR="00E63BED" w:rsidRPr="00543E75">
        <w:t>ncial Year 2017–18</w:t>
      </w:r>
      <w:r w:rsidRPr="00543E75">
        <w:t xml:space="preserve"> will be</w:t>
      </w:r>
      <w:r>
        <w:t xml:space="preserve"> calculated as:</w:t>
      </w:r>
    </w:p>
    <w:p w:rsidR="008362E2" w:rsidRPr="00626972" w:rsidRDefault="00C95278" w:rsidP="007611C1">
      <w:pPr>
        <w:pStyle w:val="ListContinue2"/>
      </w:pPr>
      <w:r>
        <w:t>E</w:t>
      </w:r>
      <w:r w:rsidRPr="00C95278">
        <w:rPr>
          <w:rStyle w:val="AERsubscript"/>
        </w:rPr>
        <w:t>2017–18</w:t>
      </w:r>
      <w:r>
        <w:t xml:space="preserve"> = </w:t>
      </w:r>
      <w:r w:rsidR="00626972">
        <w:t>(</w:t>
      </w:r>
      <w:r w:rsidR="008362E2">
        <w:t>F</w:t>
      </w:r>
      <w:r w:rsidR="00E63BED">
        <w:rPr>
          <w:rStyle w:val="AERsubscript"/>
        </w:rPr>
        <w:t>2017</w:t>
      </w:r>
      <w:r w:rsidR="00F94B8C">
        <w:rPr>
          <w:rStyle w:val="AERsubscript"/>
        </w:rPr>
        <w:t>–</w:t>
      </w:r>
      <w:r w:rsidR="00E63BED">
        <w:rPr>
          <w:rStyle w:val="AERsubscript"/>
        </w:rPr>
        <w:t>18</w:t>
      </w:r>
      <w:r w:rsidR="008362E2" w:rsidRPr="008362E2">
        <w:t xml:space="preserve"> – A</w:t>
      </w:r>
      <w:r w:rsidR="00E63BED">
        <w:rPr>
          <w:rStyle w:val="AERsubscript"/>
        </w:rPr>
        <w:t>2017</w:t>
      </w:r>
      <w:r w:rsidR="00F94B8C">
        <w:rPr>
          <w:rStyle w:val="AERsubscript"/>
        </w:rPr>
        <w:t>–</w:t>
      </w:r>
      <w:r w:rsidR="00E63BED">
        <w:rPr>
          <w:rStyle w:val="AERsubscript"/>
        </w:rPr>
        <w:t>18</w:t>
      </w:r>
      <w:r w:rsidR="00626972" w:rsidRPr="00626972">
        <w:t>)</w:t>
      </w:r>
      <w:r w:rsidR="007611C1">
        <w:t xml:space="preserve"> – </w:t>
      </w:r>
      <w:r w:rsidR="00626972">
        <w:t>(F</w:t>
      </w:r>
      <w:r w:rsidR="007611C1" w:rsidRPr="007611C1">
        <w:rPr>
          <w:rStyle w:val="AERsubscript"/>
        </w:rPr>
        <w:t>20</w:t>
      </w:r>
      <w:r w:rsidR="00626972" w:rsidRPr="007611C1">
        <w:rPr>
          <w:rStyle w:val="AERsubscript"/>
        </w:rPr>
        <w:t>16</w:t>
      </w:r>
      <w:r w:rsidR="00F94B8C">
        <w:rPr>
          <w:rStyle w:val="AERsubscript"/>
        </w:rPr>
        <w:t>–</w:t>
      </w:r>
      <w:r w:rsidR="00626972" w:rsidRPr="007611C1">
        <w:rPr>
          <w:rStyle w:val="AERsubscript"/>
        </w:rPr>
        <w:t>17</w:t>
      </w:r>
      <w:r w:rsidR="007611C1">
        <w:t xml:space="preserve"> –</w:t>
      </w:r>
      <w:r w:rsidR="00626972">
        <w:t xml:space="preserve"> A</w:t>
      </w:r>
      <w:r w:rsidR="007611C1" w:rsidRPr="007611C1">
        <w:rPr>
          <w:rStyle w:val="AERsubscript"/>
        </w:rPr>
        <w:t>20</w:t>
      </w:r>
      <w:r w:rsidR="00626972" w:rsidRPr="007611C1">
        <w:rPr>
          <w:rStyle w:val="AERsubscript"/>
        </w:rPr>
        <w:t>16</w:t>
      </w:r>
      <w:r w:rsidR="00F94B8C">
        <w:rPr>
          <w:rStyle w:val="AERsubscript"/>
        </w:rPr>
        <w:t>–</w:t>
      </w:r>
      <w:r w:rsidR="00626972" w:rsidRPr="007611C1">
        <w:rPr>
          <w:rStyle w:val="AERsubscript"/>
        </w:rPr>
        <w:t>17</w:t>
      </w:r>
      <w:r w:rsidR="007611C1">
        <w:t>) + (F</w:t>
      </w:r>
      <w:r w:rsidR="00626972" w:rsidRPr="007611C1">
        <w:rPr>
          <w:rStyle w:val="AERsubscript"/>
        </w:rPr>
        <w:t>2015</w:t>
      </w:r>
      <w:r w:rsidR="00F94B8C">
        <w:rPr>
          <w:rStyle w:val="AERsubscript"/>
        </w:rPr>
        <w:t>–</w:t>
      </w:r>
      <w:r w:rsidR="00626972" w:rsidRPr="007611C1">
        <w:rPr>
          <w:rStyle w:val="AERsubscript"/>
        </w:rPr>
        <w:t xml:space="preserve">16 </w:t>
      </w:r>
      <w:r w:rsidR="007611C1">
        <w:t xml:space="preserve">– </w:t>
      </w:r>
      <w:r w:rsidR="00626972">
        <w:t>A</w:t>
      </w:r>
      <w:r w:rsidR="00626972" w:rsidRPr="007611C1">
        <w:rPr>
          <w:rStyle w:val="AERsubscript"/>
        </w:rPr>
        <w:t>2015</w:t>
      </w:r>
      <w:r w:rsidR="00F94B8C">
        <w:rPr>
          <w:rStyle w:val="AERsubscript"/>
        </w:rPr>
        <w:t>–</w:t>
      </w:r>
      <w:r w:rsidR="00626972" w:rsidRPr="007611C1">
        <w:rPr>
          <w:rStyle w:val="AERsubscript"/>
        </w:rPr>
        <w:t>16</w:t>
      </w:r>
      <w:r w:rsidR="00626972">
        <w:t>)</w:t>
      </w:r>
      <w:r w:rsidR="00626972" w:rsidRPr="00626972">
        <w:t xml:space="preserve"> </w:t>
      </w:r>
    </w:p>
    <w:p w:rsidR="008362E2" w:rsidRPr="008362E2" w:rsidRDefault="008362E2" w:rsidP="00CD2015">
      <w:pPr>
        <w:pStyle w:val="ListContinue2"/>
      </w:pPr>
      <w:r>
        <w:t>where:</w:t>
      </w:r>
    </w:p>
    <w:p w:rsidR="008362E2" w:rsidRPr="008362E2" w:rsidRDefault="008362E2" w:rsidP="00CD2015">
      <w:pPr>
        <w:pStyle w:val="ListContinue2"/>
      </w:pPr>
      <w:r>
        <w:t>F</w:t>
      </w:r>
      <w:r w:rsidR="00E63BED">
        <w:rPr>
          <w:rStyle w:val="AERsubscript"/>
        </w:rPr>
        <w:t>2017</w:t>
      </w:r>
      <w:r w:rsidR="00F94B8C">
        <w:rPr>
          <w:rStyle w:val="AERsubscript"/>
        </w:rPr>
        <w:t>–</w:t>
      </w:r>
      <w:r w:rsidR="00E63BED">
        <w:rPr>
          <w:rStyle w:val="AERsubscript"/>
        </w:rPr>
        <w:t>18</w:t>
      </w:r>
      <w:r w:rsidRPr="008362E2">
        <w:tab/>
        <w:t>is the forecast operating exp</w:t>
      </w:r>
      <w:r w:rsidR="00E63BED">
        <w:t>enditure for Financial Year 2017–18</w:t>
      </w:r>
    </w:p>
    <w:p w:rsidR="008362E2" w:rsidRDefault="008362E2" w:rsidP="00543E75">
      <w:pPr>
        <w:pStyle w:val="ListContinue2"/>
      </w:pPr>
      <w:r>
        <w:t>A</w:t>
      </w:r>
      <w:r w:rsidR="00E63BED">
        <w:rPr>
          <w:rStyle w:val="AERsubscript"/>
        </w:rPr>
        <w:t>2017</w:t>
      </w:r>
      <w:r w:rsidR="00F94B8C">
        <w:rPr>
          <w:rStyle w:val="AERsubscript"/>
        </w:rPr>
        <w:t>–</w:t>
      </w:r>
      <w:r w:rsidR="00E63BED">
        <w:rPr>
          <w:rStyle w:val="AERsubscript"/>
        </w:rPr>
        <w:t>18</w:t>
      </w:r>
      <w:r w:rsidRPr="008362E2">
        <w:tab/>
        <w:t>is the actual operating exp</w:t>
      </w:r>
      <w:r w:rsidR="00E63BED">
        <w:t>enditure for Financial Year 2017</w:t>
      </w:r>
      <w:r w:rsidR="0033475F">
        <w:t>–</w:t>
      </w:r>
      <w:r w:rsidR="00E63BED">
        <w:t>18</w:t>
      </w:r>
      <w:r w:rsidR="00626972">
        <w:t>.</w:t>
      </w:r>
    </w:p>
    <w:p w:rsidR="008362E2" w:rsidRPr="008362E2" w:rsidRDefault="008362E2" w:rsidP="008362E2">
      <w:pPr>
        <w:pStyle w:val="AERnumberedlistsecondstyle"/>
      </w:pPr>
      <w:r>
        <w:t>The incremental efficiency gain (o</w:t>
      </w:r>
      <w:r w:rsidR="00E63BED">
        <w:t>r loss) for Financial Years 2018</w:t>
      </w:r>
      <w:r w:rsidR="00CD2015">
        <w:t>–</w:t>
      </w:r>
      <w:r w:rsidR="00E63BED">
        <w:t xml:space="preserve">19 to </w:t>
      </w:r>
      <w:r w:rsidR="0033475F">
        <w:br/>
      </w:r>
      <w:r w:rsidR="00E63BED">
        <w:t>2020</w:t>
      </w:r>
      <w:r w:rsidR="0033475F">
        <w:t>–</w:t>
      </w:r>
      <w:r w:rsidR="00E63BED">
        <w:t>21</w:t>
      </w:r>
      <w:r>
        <w:t xml:space="preserve"> (inclusive) will be calculated as:</w:t>
      </w:r>
    </w:p>
    <w:p w:rsidR="008362E2" w:rsidRPr="008362E2" w:rsidRDefault="008362E2" w:rsidP="00CD2015">
      <w:pPr>
        <w:pStyle w:val="ListContinue2"/>
      </w:pPr>
      <w:r>
        <w:t>E</w:t>
      </w:r>
      <w:r w:rsidRPr="008362E2">
        <w:rPr>
          <w:rStyle w:val="AERsubscript"/>
        </w:rPr>
        <w:t>t</w:t>
      </w:r>
      <w:r w:rsidRPr="008362E2">
        <w:t>= (F</w:t>
      </w:r>
      <w:r w:rsidRPr="008362E2">
        <w:rPr>
          <w:rStyle w:val="AERsubscript"/>
        </w:rPr>
        <w:t>t</w:t>
      </w:r>
      <w:r w:rsidRPr="008362E2">
        <w:t xml:space="preserve"> – A</w:t>
      </w:r>
      <w:r w:rsidRPr="008362E2">
        <w:rPr>
          <w:rStyle w:val="AERsubscript"/>
        </w:rPr>
        <w:t>t</w:t>
      </w:r>
      <w:r w:rsidRPr="008362E2">
        <w:t>) – (F</w:t>
      </w:r>
      <w:r w:rsidRPr="008362E2">
        <w:rPr>
          <w:rStyle w:val="AERsubscript"/>
        </w:rPr>
        <w:t>t</w:t>
      </w:r>
      <w:r w:rsidR="0082640D">
        <w:rPr>
          <w:rStyle w:val="AERsubscript"/>
        </w:rPr>
        <w:t>–</w:t>
      </w:r>
      <w:r w:rsidRPr="008362E2">
        <w:rPr>
          <w:rStyle w:val="AERsubscript"/>
        </w:rPr>
        <w:t>1</w:t>
      </w:r>
      <w:r w:rsidRPr="008362E2">
        <w:t>– A</w:t>
      </w:r>
      <w:r w:rsidRPr="008362E2">
        <w:rPr>
          <w:rStyle w:val="AERsubscript"/>
        </w:rPr>
        <w:t>t</w:t>
      </w:r>
      <w:r w:rsidR="0082640D">
        <w:rPr>
          <w:rStyle w:val="AERsubscript"/>
        </w:rPr>
        <w:t>–</w:t>
      </w:r>
      <w:r w:rsidRPr="008362E2">
        <w:rPr>
          <w:rStyle w:val="AERsubscript"/>
        </w:rPr>
        <w:t>1</w:t>
      </w:r>
      <w:r w:rsidRPr="008362E2">
        <w:t>)</w:t>
      </w:r>
    </w:p>
    <w:p w:rsidR="008362E2" w:rsidRPr="008362E2" w:rsidRDefault="008362E2" w:rsidP="00CD2015">
      <w:pPr>
        <w:pStyle w:val="ListContinue2"/>
      </w:pPr>
      <w:r>
        <w:t>where:</w:t>
      </w:r>
    </w:p>
    <w:p w:rsidR="008362E2" w:rsidRPr="008362E2" w:rsidRDefault="008362E2" w:rsidP="00CD2015">
      <w:pPr>
        <w:pStyle w:val="ListContinue2"/>
      </w:pPr>
      <w:proofErr w:type="spellStart"/>
      <w:r>
        <w:t>E</w:t>
      </w:r>
      <w:r w:rsidRPr="008362E2">
        <w:rPr>
          <w:rStyle w:val="AERsubscript"/>
        </w:rPr>
        <w:t>t</w:t>
      </w:r>
      <w:proofErr w:type="spellEnd"/>
      <w:r w:rsidRPr="008362E2">
        <w:tab/>
        <w:t>is the incremental efficiency gain (or loss) in Financial Year t o</w:t>
      </w:r>
      <w:r w:rsidR="00CD2015">
        <w:t>f the Access Arrangement Period</w:t>
      </w:r>
    </w:p>
    <w:p w:rsidR="008362E2" w:rsidRPr="008362E2" w:rsidRDefault="008362E2" w:rsidP="00CD2015">
      <w:pPr>
        <w:pStyle w:val="ListContinue2"/>
      </w:pPr>
      <w:r>
        <w:t>F</w:t>
      </w:r>
      <w:r w:rsidRPr="008362E2">
        <w:rPr>
          <w:rStyle w:val="AERsubscript"/>
        </w:rPr>
        <w:t>t</w:t>
      </w:r>
      <w:r w:rsidRPr="008362E2">
        <w:tab/>
        <w:t>is the forecast operating expenditure in Financial Year t o</w:t>
      </w:r>
      <w:r w:rsidR="00CD2015">
        <w:t>f the Access Arrangement Period</w:t>
      </w:r>
    </w:p>
    <w:p w:rsidR="008362E2" w:rsidRPr="008362E2" w:rsidRDefault="008362E2" w:rsidP="00CD2015">
      <w:pPr>
        <w:pStyle w:val="ListContinue2"/>
      </w:pPr>
      <w:r>
        <w:t>A</w:t>
      </w:r>
      <w:r w:rsidRPr="008362E2">
        <w:rPr>
          <w:rStyle w:val="AERsubscript"/>
        </w:rPr>
        <w:t>t</w:t>
      </w:r>
      <w:r w:rsidRPr="008362E2">
        <w:tab/>
        <w:t>is the actual operating expenditure in Financial Year t o</w:t>
      </w:r>
      <w:r w:rsidR="00CD2015">
        <w:t>f the Access Arrangement Period</w:t>
      </w:r>
    </w:p>
    <w:p w:rsidR="008362E2" w:rsidRPr="008362E2" w:rsidRDefault="008362E2" w:rsidP="00CD2015">
      <w:pPr>
        <w:pStyle w:val="ListContinue2"/>
      </w:pPr>
      <w:r>
        <w:t>F</w:t>
      </w:r>
      <w:r w:rsidRPr="008362E2">
        <w:rPr>
          <w:rStyle w:val="AERsubscript"/>
        </w:rPr>
        <w:t>t</w:t>
      </w:r>
      <w:r w:rsidR="0082640D">
        <w:rPr>
          <w:rStyle w:val="AERsubscript"/>
        </w:rPr>
        <w:t>–</w:t>
      </w:r>
      <w:r w:rsidRPr="008362E2">
        <w:rPr>
          <w:rStyle w:val="AERsubscript"/>
        </w:rPr>
        <w:t>1</w:t>
      </w:r>
      <w:r w:rsidRPr="008362E2">
        <w:rPr>
          <w:rStyle w:val="AERsubscript"/>
        </w:rPr>
        <w:tab/>
      </w:r>
      <w:r w:rsidRPr="008362E2">
        <w:t>is the forecast operating expenditure in Financial Year t–1 of the Access Arrangement Period</w:t>
      </w:r>
    </w:p>
    <w:p w:rsidR="008362E2" w:rsidRPr="008362E2" w:rsidRDefault="008362E2" w:rsidP="00CD2015">
      <w:pPr>
        <w:pStyle w:val="ListContinue2"/>
      </w:pPr>
      <w:r>
        <w:t>A</w:t>
      </w:r>
      <w:r w:rsidRPr="008362E2">
        <w:rPr>
          <w:rStyle w:val="AERsubscript"/>
        </w:rPr>
        <w:t>t</w:t>
      </w:r>
      <w:r w:rsidR="0082640D">
        <w:rPr>
          <w:rStyle w:val="AERsubscript"/>
        </w:rPr>
        <w:t>–</w:t>
      </w:r>
      <w:r w:rsidRPr="008362E2">
        <w:rPr>
          <w:rStyle w:val="AERsubscript"/>
        </w:rPr>
        <w:t>1</w:t>
      </w:r>
      <w:r w:rsidRPr="008362E2">
        <w:rPr>
          <w:rStyle w:val="AERsubscript"/>
        </w:rPr>
        <w:tab/>
      </w:r>
      <w:r w:rsidRPr="008362E2">
        <w:t>is the actual operating expenditure in Financial Year t–1 of the Access Arrangement Period.</w:t>
      </w:r>
    </w:p>
    <w:p w:rsidR="00B23FD0" w:rsidRPr="008362E2" w:rsidRDefault="00B23FD0" w:rsidP="00B23FD0">
      <w:pPr>
        <w:pStyle w:val="AERnumberedlistsecondstyle"/>
      </w:pPr>
      <w:r>
        <w:t xml:space="preserve">The estimated incremental efficiency gain (or loss) for the Financial Year </w:t>
      </w:r>
      <w:r>
        <w:br/>
        <w:t>2021–22 to will be calculated as:</w:t>
      </w:r>
    </w:p>
    <w:p w:rsidR="00B23FD0" w:rsidRDefault="00B23FD0" w:rsidP="00B23FD0">
      <w:pPr>
        <w:pStyle w:val="ListContinue2"/>
      </w:pPr>
      <w:r>
        <w:t>E</w:t>
      </w:r>
      <w:r>
        <w:rPr>
          <w:rStyle w:val="AERsubscript"/>
        </w:rPr>
        <w:t>2021</w:t>
      </w:r>
      <w:r w:rsidR="00F94B8C">
        <w:rPr>
          <w:rStyle w:val="AERsubscript"/>
        </w:rPr>
        <w:t>–</w:t>
      </w:r>
      <w:r>
        <w:rPr>
          <w:rStyle w:val="AERsubscript"/>
        </w:rPr>
        <w:t>22</w:t>
      </w:r>
      <w:r w:rsidRPr="008362E2">
        <w:t>= (F</w:t>
      </w:r>
      <w:r>
        <w:rPr>
          <w:rStyle w:val="AERsubscript"/>
        </w:rPr>
        <w:t>2021</w:t>
      </w:r>
      <w:r w:rsidR="00F94B8C">
        <w:rPr>
          <w:rStyle w:val="AERsubscript"/>
        </w:rPr>
        <w:t>–</w:t>
      </w:r>
      <w:r>
        <w:rPr>
          <w:rStyle w:val="AERsubscript"/>
        </w:rPr>
        <w:t>22</w:t>
      </w:r>
      <w:r w:rsidRPr="008362E2">
        <w:t xml:space="preserve"> – A</w:t>
      </w:r>
      <w:r w:rsidRPr="00B23FD0">
        <w:rPr>
          <w:rStyle w:val="AERsubscript"/>
        </w:rPr>
        <w:t>2021</w:t>
      </w:r>
      <w:r w:rsidR="00F94B8C">
        <w:rPr>
          <w:rStyle w:val="AERsubscript"/>
        </w:rPr>
        <w:t>–</w:t>
      </w:r>
      <w:r w:rsidRPr="00B23FD0">
        <w:rPr>
          <w:rStyle w:val="AERsubscript"/>
        </w:rPr>
        <w:t>22</w:t>
      </w:r>
      <w:r w:rsidRPr="008362E2">
        <w:t>*) – (F</w:t>
      </w:r>
      <w:r>
        <w:rPr>
          <w:rStyle w:val="AERsubscript"/>
        </w:rPr>
        <w:t>2020</w:t>
      </w:r>
      <w:r w:rsidR="00F94B8C">
        <w:rPr>
          <w:rStyle w:val="AERsubscript"/>
        </w:rPr>
        <w:t>–</w:t>
      </w:r>
      <w:r>
        <w:rPr>
          <w:rStyle w:val="AERsubscript"/>
        </w:rPr>
        <w:t xml:space="preserve">21 </w:t>
      </w:r>
      <w:r w:rsidRPr="008362E2">
        <w:t>– A</w:t>
      </w:r>
      <w:r>
        <w:rPr>
          <w:rStyle w:val="AERsubscript"/>
        </w:rPr>
        <w:t>2020</w:t>
      </w:r>
      <w:r w:rsidR="00F94B8C">
        <w:rPr>
          <w:rStyle w:val="AERsubscript"/>
        </w:rPr>
        <w:t>–</w:t>
      </w:r>
      <w:r>
        <w:rPr>
          <w:rStyle w:val="AERsubscript"/>
        </w:rPr>
        <w:t>21</w:t>
      </w:r>
      <w:r w:rsidRPr="008362E2">
        <w:t>)</w:t>
      </w:r>
    </w:p>
    <w:p w:rsidR="008362E2" w:rsidRPr="008362E2" w:rsidRDefault="00B23FD0" w:rsidP="00B23FD0">
      <w:pPr>
        <w:pStyle w:val="ListContinue2"/>
      </w:pPr>
      <w:r>
        <w:t>Where A</w:t>
      </w:r>
      <w:r w:rsidRPr="00B23FD0">
        <w:rPr>
          <w:rStyle w:val="AERsubscript"/>
        </w:rPr>
        <w:t>2021</w:t>
      </w:r>
      <w:r w:rsidR="00F94B8C">
        <w:rPr>
          <w:rStyle w:val="AERsubscript"/>
        </w:rPr>
        <w:t>–</w:t>
      </w:r>
      <w:r w:rsidRPr="00B23FD0">
        <w:rPr>
          <w:rStyle w:val="AERsubscript"/>
        </w:rPr>
        <w:t>22</w:t>
      </w:r>
      <w:r w:rsidRPr="008362E2">
        <w:t>*</w:t>
      </w:r>
      <w:r>
        <w:t xml:space="preserve"> </w:t>
      </w:r>
      <w:r w:rsidR="008362E2" w:rsidRPr="008362E2">
        <w:t>is to be estimated using the following equation:</w:t>
      </w:r>
    </w:p>
    <w:p w:rsidR="00626972" w:rsidRDefault="008362E2" w:rsidP="007611C1">
      <w:pPr>
        <w:pStyle w:val="ListContinue2"/>
      </w:pPr>
      <w:r>
        <w:t>A</w:t>
      </w:r>
      <w:r w:rsidRPr="008362E2">
        <w:rPr>
          <w:rStyle w:val="AERsubscript"/>
        </w:rPr>
        <w:t>20</w:t>
      </w:r>
      <w:r w:rsidR="00E63BED">
        <w:rPr>
          <w:rStyle w:val="AERsubscript"/>
        </w:rPr>
        <w:t>21</w:t>
      </w:r>
      <w:r w:rsidR="00F94B8C">
        <w:rPr>
          <w:rStyle w:val="AERsubscript"/>
        </w:rPr>
        <w:t>–</w:t>
      </w:r>
      <w:r w:rsidRPr="008362E2">
        <w:rPr>
          <w:rStyle w:val="AERsubscript"/>
        </w:rPr>
        <w:t>2</w:t>
      </w:r>
      <w:r w:rsidR="00E63BED">
        <w:rPr>
          <w:rStyle w:val="AERsubscript"/>
        </w:rPr>
        <w:t>2</w:t>
      </w:r>
      <w:r w:rsidRPr="008362E2">
        <w:t xml:space="preserve">* = </w:t>
      </w:r>
      <w:r w:rsidR="00626972">
        <w:t>A</w:t>
      </w:r>
      <w:r w:rsidR="00626972" w:rsidRPr="007611C1">
        <w:rPr>
          <w:rStyle w:val="AERsubscript"/>
        </w:rPr>
        <w:t>b</w:t>
      </w:r>
      <w:r w:rsidR="007611C1">
        <w:rPr>
          <w:rStyle w:val="AERsubscript"/>
        </w:rPr>
        <w:t>ase</w:t>
      </w:r>
      <w:r w:rsidR="00626972">
        <w:t xml:space="preserve"> + F</w:t>
      </w:r>
      <w:r w:rsidR="007611C1" w:rsidRPr="007611C1">
        <w:rPr>
          <w:rStyle w:val="AERsubscript"/>
        </w:rPr>
        <w:t>20</w:t>
      </w:r>
      <w:r w:rsidR="00626972" w:rsidRPr="007611C1">
        <w:rPr>
          <w:rStyle w:val="AERsubscript"/>
        </w:rPr>
        <w:t>21</w:t>
      </w:r>
      <w:r w:rsidR="00F94B8C">
        <w:rPr>
          <w:rStyle w:val="AERsubscript"/>
        </w:rPr>
        <w:t>–</w:t>
      </w:r>
      <w:r w:rsidR="00626972" w:rsidRPr="007611C1">
        <w:rPr>
          <w:rStyle w:val="AERsubscript"/>
        </w:rPr>
        <w:t>22</w:t>
      </w:r>
      <w:r w:rsidR="00626972">
        <w:t xml:space="preserve"> – </w:t>
      </w:r>
      <w:proofErr w:type="spellStart"/>
      <w:r w:rsidR="00626972">
        <w:t>F</w:t>
      </w:r>
      <w:r w:rsidR="007611C1">
        <w:rPr>
          <w:rStyle w:val="AERsubscript"/>
        </w:rPr>
        <w:t>base</w:t>
      </w:r>
      <w:proofErr w:type="spellEnd"/>
    </w:p>
    <w:p w:rsidR="008362E2" w:rsidRPr="008362E2" w:rsidRDefault="008362E2" w:rsidP="00CD2015">
      <w:pPr>
        <w:pStyle w:val="ListContinue2"/>
      </w:pPr>
      <w:r>
        <w:t>where:</w:t>
      </w:r>
    </w:p>
    <w:p w:rsidR="008362E2" w:rsidRPr="008362E2" w:rsidRDefault="008362E2" w:rsidP="00CD2015">
      <w:pPr>
        <w:pStyle w:val="ListContinue2"/>
      </w:pPr>
      <w:r>
        <w:t>A</w:t>
      </w:r>
      <w:r w:rsidR="00E63BED">
        <w:rPr>
          <w:rStyle w:val="AERsubscript"/>
        </w:rPr>
        <w:t>2021</w:t>
      </w:r>
      <w:r w:rsidR="00F94B8C">
        <w:rPr>
          <w:rStyle w:val="AERsubscript"/>
        </w:rPr>
        <w:t>–</w:t>
      </w:r>
      <w:r w:rsidR="00E63BED">
        <w:rPr>
          <w:rStyle w:val="AERsubscript"/>
        </w:rPr>
        <w:t>22</w:t>
      </w:r>
      <w:r w:rsidR="00E63BED">
        <w:t xml:space="preserve">* </w:t>
      </w:r>
      <w:r w:rsidRPr="008362E2">
        <w:t>is the estimate of operating expenditure for Financial Year 20</w:t>
      </w:r>
      <w:r w:rsidR="00E63BED">
        <w:t>21</w:t>
      </w:r>
      <w:r w:rsidR="00CD2015">
        <w:t>–</w:t>
      </w:r>
      <w:r w:rsidR="00E63BED">
        <w:t>22</w:t>
      </w:r>
    </w:p>
    <w:p w:rsidR="008362E2" w:rsidRDefault="008362E2" w:rsidP="00CD2015">
      <w:pPr>
        <w:pStyle w:val="ListContinue2"/>
      </w:pPr>
      <w:r>
        <w:t>A</w:t>
      </w:r>
      <w:r w:rsidR="00E63BED">
        <w:rPr>
          <w:rStyle w:val="AERsubscript"/>
        </w:rPr>
        <w:t>2020</w:t>
      </w:r>
      <w:r w:rsidR="00F94B8C">
        <w:rPr>
          <w:rStyle w:val="AERsubscript"/>
        </w:rPr>
        <w:t>–</w:t>
      </w:r>
      <w:r w:rsidR="00E63BED">
        <w:rPr>
          <w:rStyle w:val="AERsubscript"/>
        </w:rPr>
        <w:t>21</w:t>
      </w:r>
      <w:r w:rsidRPr="008362E2">
        <w:tab/>
        <w:t>is the actual operating ex</w:t>
      </w:r>
      <w:r w:rsidR="00E63BED">
        <w:t>penditure for Financial Year 2020</w:t>
      </w:r>
      <w:r w:rsidR="00CD2015">
        <w:t>–</w:t>
      </w:r>
      <w:r w:rsidR="00E63BED">
        <w:t>21</w:t>
      </w:r>
    </w:p>
    <w:p w:rsidR="00B23FD0" w:rsidRPr="008362E2" w:rsidRDefault="00B23FD0" w:rsidP="00B47879">
      <w:pPr>
        <w:pStyle w:val="ListContinue2"/>
      </w:pPr>
      <w:r>
        <w:t>A</w:t>
      </w:r>
      <w:r w:rsidRPr="007611C1">
        <w:rPr>
          <w:rStyle w:val="AERsubscript"/>
        </w:rPr>
        <w:t>b</w:t>
      </w:r>
      <w:r>
        <w:rPr>
          <w:rStyle w:val="AERsubscript"/>
        </w:rPr>
        <w:t>ase</w:t>
      </w:r>
      <w:r w:rsidRPr="00B23FD0">
        <w:t xml:space="preserve">  </w:t>
      </w:r>
      <w:r w:rsidRPr="008362E2">
        <w:t>is the actual operating ex</w:t>
      </w:r>
      <w:r>
        <w:t xml:space="preserve">penditure for </w:t>
      </w:r>
      <w:r w:rsidR="00B47879">
        <w:t>the Financial Year used to forecast opex for the following period</w:t>
      </w:r>
    </w:p>
    <w:p w:rsidR="008362E2" w:rsidRPr="008362E2" w:rsidRDefault="008362E2" w:rsidP="00CD2015">
      <w:pPr>
        <w:pStyle w:val="ListContinue2"/>
      </w:pPr>
      <w:r>
        <w:t>F</w:t>
      </w:r>
      <w:r w:rsidR="00E63BED">
        <w:rPr>
          <w:rStyle w:val="AERsubscript"/>
        </w:rPr>
        <w:t>2021</w:t>
      </w:r>
      <w:r w:rsidR="00F94B8C">
        <w:rPr>
          <w:rStyle w:val="AERsubscript"/>
        </w:rPr>
        <w:t>–</w:t>
      </w:r>
      <w:r w:rsidR="00E63BED">
        <w:rPr>
          <w:rStyle w:val="AERsubscript"/>
        </w:rPr>
        <w:t>22</w:t>
      </w:r>
      <w:r w:rsidRPr="008362E2">
        <w:t xml:space="preserve"> </w:t>
      </w:r>
      <w:r w:rsidRPr="008362E2">
        <w:tab/>
        <w:t>is the forecast operating expenditure for Financial Year 20</w:t>
      </w:r>
      <w:r w:rsidR="00E63BED">
        <w:t>21</w:t>
      </w:r>
      <w:r w:rsidR="00CD2015">
        <w:t>–</w:t>
      </w:r>
      <w:r w:rsidRPr="008362E2">
        <w:t>2</w:t>
      </w:r>
      <w:r w:rsidR="00E63BED">
        <w:t>2</w:t>
      </w:r>
    </w:p>
    <w:p w:rsidR="00B23FD0" w:rsidRDefault="008362E2" w:rsidP="00CD2015">
      <w:pPr>
        <w:pStyle w:val="ListContinue2"/>
      </w:pPr>
      <w:r>
        <w:t>F</w:t>
      </w:r>
      <w:r w:rsidR="00E63BED">
        <w:rPr>
          <w:rStyle w:val="AERsubscript"/>
        </w:rPr>
        <w:t>2020</w:t>
      </w:r>
      <w:r w:rsidR="00F94B8C">
        <w:rPr>
          <w:rStyle w:val="AERsubscript"/>
        </w:rPr>
        <w:t>–</w:t>
      </w:r>
      <w:r w:rsidR="00E63BED">
        <w:rPr>
          <w:rStyle w:val="AERsubscript"/>
        </w:rPr>
        <w:t>21</w:t>
      </w:r>
      <w:r w:rsidRPr="008362E2">
        <w:tab/>
        <w:t>is the forecast operating expenditure for Financial Year 20</w:t>
      </w:r>
      <w:r w:rsidR="00E63BED">
        <w:t>20</w:t>
      </w:r>
      <w:r w:rsidR="00CD2015">
        <w:t>–</w:t>
      </w:r>
      <w:r w:rsidR="00E63BED">
        <w:t>21</w:t>
      </w:r>
    </w:p>
    <w:p w:rsidR="008362E2" w:rsidRPr="008362E2" w:rsidRDefault="00B47879" w:rsidP="00B47879">
      <w:pPr>
        <w:pStyle w:val="ListContinue2"/>
      </w:pPr>
      <w:proofErr w:type="spellStart"/>
      <w:r>
        <w:t>F</w:t>
      </w:r>
      <w:r w:rsidRPr="007611C1">
        <w:rPr>
          <w:rStyle w:val="AERsubscript"/>
        </w:rPr>
        <w:t>b</w:t>
      </w:r>
      <w:r>
        <w:rPr>
          <w:rStyle w:val="AERsubscript"/>
        </w:rPr>
        <w:t>ase</w:t>
      </w:r>
      <w:proofErr w:type="spellEnd"/>
      <w:r w:rsidRPr="00B47879">
        <w:t xml:space="preserve"> </w:t>
      </w:r>
      <w:r w:rsidRPr="008362E2">
        <w:t xml:space="preserve">is the </w:t>
      </w:r>
      <w:r>
        <w:t>forecast</w:t>
      </w:r>
      <w:r w:rsidRPr="008362E2">
        <w:t xml:space="preserve"> operating ex</w:t>
      </w:r>
      <w:r>
        <w:t>penditure for the Financial Year used to forecast opex for the following period</w:t>
      </w:r>
      <w:r w:rsidR="008362E2" w:rsidRPr="008362E2">
        <w:t>.</w:t>
      </w:r>
    </w:p>
    <w:p w:rsidR="008362E2" w:rsidRPr="008362E2" w:rsidRDefault="00B47879" w:rsidP="007611C1">
      <w:pPr>
        <w:pStyle w:val="AERnumberedlistsecondstyle"/>
      </w:pPr>
      <w:r>
        <w:t>The</w:t>
      </w:r>
      <w:r w:rsidR="008362E2">
        <w:t xml:space="preserve"> incremental efficiency gains (or losses) are carried over from Financial Year to Financial Year in real dollars to ensure that these gains (or losses) </w:t>
      </w:r>
      <w:r w:rsidR="008362E2" w:rsidRPr="008362E2">
        <w:t xml:space="preserve">are not eroded by inflation. The price indices used in this calculation are to </w:t>
      </w:r>
      <w:r w:rsidR="00626972">
        <w:t xml:space="preserve">be consistent with those used to forecast opex for the following </w:t>
      </w:r>
      <w:r>
        <w:t>Access Arrangement</w:t>
      </w:r>
      <w:r w:rsidR="00626972">
        <w:t xml:space="preserve"> period</w:t>
      </w:r>
      <w:r w:rsidR="008362E2" w:rsidRPr="008362E2">
        <w:t>.</w:t>
      </w:r>
    </w:p>
    <w:p w:rsidR="008362E2" w:rsidRPr="008362E2" w:rsidRDefault="008362E2" w:rsidP="008362E2">
      <w:pPr>
        <w:pStyle w:val="AERnumberedlistsecondstyle"/>
      </w:pPr>
      <w:r>
        <w:t>Increments or decrements from the summation of incremental efficiency gains or losses calculated in accordance with the approved incentive mechanism in the Access Arrangement Period will give rise to an additional ‘building block’ in the calculation of the Total Revenue amounts for each Financial Year of the subsequent access arrangement period.</w:t>
      </w:r>
    </w:p>
    <w:p w:rsidR="008362E2" w:rsidRPr="008362E2" w:rsidRDefault="008362E2" w:rsidP="008362E2">
      <w:pPr>
        <w:pStyle w:val="AERnumberedlistsecondstyle"/>
      </w:pPr>
      <w:r>
        <w:t>The following costs will be excluded from the operation of the efficiency carryover mechanism:</w:t>
      </w:r>
    </w:p>
    <w:p w:rsidR="001C1E82" w:rsidRDefault="001C1E82" w:rsidP="001C1E82">
      <w:pPr>
        <w:pStyle w:val="AERnumberedlistthirdstyle"/>
        <w:numPr>
          <w:ilvl w:val="0"/>
          <w:numId w:val="36"/>
        </w:numPr>
      </w:pPr>
      <w:r w:rsidRPr="001C1E82">
        <w:t xml:space="preserve">any cost category that </w:t>
      </w:r>
      <w:r w:rsidR="008362E2" w:rsidRPr="001C1E82">
        <w:t xml:space="preserve">is not forecast using a single year revealed cost approach in the access arrangement period following this Access Arrangement Period (intended to </w:t>
      </w:r>
      <w:r>
        <w:t>commence 1 July 2022</w:t>
      </w:r>
      <w:r w:rsidRPr="001C1E82">
        <w:t>); and</w:t>
      </w:r>
    </w:p>
    <w:p w:rsidR="008362E2" w:rsidRPr="001C1E82" w:rsidRDefault="001C1E82" w:rsidP="001C1E82">
      <w:pPr>
        <w:pStyle w:val="AERnumberedlistthirdstyle"/>
      </w:pPr>
      <w:r w:rsidRPr="001C1E82">
        <w:t xml:space="preserve">any cost category that </w:t>
      </w:r>
      <w:r w:rsidR="008362E2" w:rsidRPr="001C1E82">
        <w:t>the AER determines, as part of a decision on revisions to apply to this Access Arrangement, to exclude from the operation of the efficiency carryover mechanism because it is satisfied that it would not promote the National Gas Objective.</w:t>
      </w:r>
    </w:p>
    <w:p w:rsidR="008362E2" w:rsidRPr="008362E2" w:rsidRDefault="008362E2" w:rsidP="008362E2">
      <w:pPr>
        <w:pStyle w:val="AERnumberedlistsecondstyle"/>
      </w:pPr>
      <w:r w:rsidRPr="005C7312">
        <w:t xml:space="preserve">The forecast operating expenditure amount for each year of the Applicable Access Arrangement Period will be adjusted to include any Determined Pass Through Amounts or other AER approved expenditure arising from Cost Pass Through Events which apply in respect of that year </w:t>
      </w:r>
    </w:p>
    <w:p w:rsidR="008362E2" w:rsidRPr="008362E2" w:rsidRDefault="008362E2" w:rsidP="008362E2">
      <w:pPr>
        <w:pStyle w:val="AERnumberedlistsecondstyle"/>
      </w:pPr>
      <w:r>
        <w:t xml:space="preserve">Where the Service Provider changes its approach to classifying costs as either capital expenditure or operating expenditure during the Access Arrangement Period, the Service Provider will adjust the forecast operating expenditure in the </w:t>
      </w:r>
      <w:r w:rsidRPr="008362E2">
        <w:t>Access Arrangement so that the forecast expenditures are consistent with the capitalisation policy changes.</w:t>
      </w:r>
    </w:p>
    <w:p w:rsidR="00847609" w:rsidRDefault="008362E2" w:rsidP="00847609">
      <w:pPr>
        <w:pStyle w:val="AERnumberedlistsecondstyle"/>
      </w:pPr>
      <w:r>
        <w:t>If there is a change in the Service Provider’s approach to classifying costs as either capital expenditure or operating expenditure</w:t>
      </w:r>
      <w:r w:rsidRPr="008362E2">
        <w:t xml:space="preserve"> during the access arrangement period, the Service Provider must provide to the AER a detailed description of the change and a calculation of its impact on forecast and actual operating expenditure for the access arrangement period. </w:t>
      </w:r>
    </w:p>
    <w:p w:rsidR="00B840A1" w:rsidRPr="00847609" w:rsidRDefault="00B840A1" w:rsidP="00847609">
      <w:pPr>
        <w:pStyle w:val="AERnumberedlistsecondstyle"/>
      </w:pPr>
      <w:r>
        <w:t>Where there is an interval of delay the formula in (c) should be adjusted accordingly.</w:t>
      </w:r>
    </w:p>
    <w:sectPr w:rsidR="00B840A1" w:rsidRPr="00847609" w:rsidSect="00B757A6">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46" w:rsidRPr="00290C63" w:rsidRDefault="00393646" w:rsidP="00290C63">
      <w:r>
        <w:separator/>
      </w:r>
    </w:p>
    <w:p w:rsidR="00393646" w:rsidRDefault="00393646"/>
  </w:endnote>
  <w:endnote w:type="continuationSeparator" w:id="0">
    <w:p w:rsidR="00393646" w:rsidRPr="00290C63" w:rsidRDefault="00393646" w:rsidP="00290C63">
      <w:r>
        <w:continuationSeparator/>
      </w:r>
    </w:p>
    <w:p w:rsidR="00393646" w:rsidRDefault="0039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3936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93646" w:rsidRDefault="00393646">
    <w:pPr>
      <w:pStyle w:val="Footer"/>
    </w:pPr>
  </w:p>
  <w:p w:rsidR="00393646" w:rsidRDefault="00393646">
    <w:pPr>
      <w:pStyle w:val="Footer"/>
    </w:pPr>
    <w:r>
      <w:fldChar w:fldCharType="begin"/>
    </w:r>
    <w:r>
      <w:instrText xml:space="preserve"> DOCPROPERTY DocumentID \* MERGEFORMAT </w:instrText>
    </w:r>
    <w:r>
      <w:fldChar w:fldCharType="separate"/>
    </w:r>
    <w:r w:rsidR="00041F10">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93646" w:rsidRPr="00CA52A2" w:rsidRDefault="00393646" w:rsidP="00CA52A2">
        <w:pPr>
          <w:pStyle w:val="Footer"/>
        </w:pPr>
        <w:r w:rsidRPr="00CA52A2">
          <w:fldChar w:fldCharType="begin"/>
        </w:r>
        <w:r>
          <w:instrText xml:space="preserve"> PAGE   \* MERGEFORMAT </w:instrText>
        </w:r>
        <w:r w:rsidRPr="00CA52A2">
          <w:fldChar w:fldCharType="separate"/>
        </w:r>
        <w:r w:rsidR="00041F10">
          <w:rPr>
            <w:noProof/>
          </w:rPr>
          <w:t>9-5</w:t>
        </w:r>
        <w:r w:rsidRPr="00CA52A2">
          <w:fldChar w:fldCharType="end"/>
        </w:r>
        <w:r w:rsidRPr="00CA52A2">
          <w:t xml:space="preserve">          Attachment </w:t>
        </w:r>
        <w:r w:rsidR="005D03B1">
          <w:t>9</w:t>
        </w:r>
        <w:r>
          <w:t xml:space="preserve"> </w:t>
        </w:r>
        <w:r w:rsidRPr="00CA52A2">
          <w:t xml:space="preserve">– </w:t>
        </w:r>
        <w:r w:rsidR="005D03B1">
          <w:t>Efficiency carryover mechanism</w:t>
        </w:r>
        <w:r w:rsidR="009D2B38" w:rsidRPr="00CA52A2">
          <w:t xml:space="preserve"> </w:t>
        </w:r>
        <w:r w:rsidRPr="00CA52A2">
          <w:t xml:space="preserve">| </w:t>
        </w:r>
        <w:r w:rsidR="006C7CCF">
          <w:t>Draft</w:t>
        </w:r>
        <w:r>
          <w:t xml:space="preserve"> decision: </w:t>
        </w:r>
        <w:r w:rsidR="006C7CCF">
          <w:t>Roma to Brisbane</w:t>
        </w:r>
        <w:r>
          <w:t xml:space="preserve"> Gas </w:t>
        </w:r>
        <w:r w:rsidR="00535076">
          <w:t>Pipeline Access Arrangement 2017</w:t>
        </w:r>
        <w:r w:rsidRPr="00CA52A2">
          <w:t>–</w:t>
        </w:r>
        <w:r w:rsidR="00535076">
          <w:t>22</w:t>
        </w:r>
      </w:p>
    </w:sdtContent>
  </w:sdt>
  <w:p w:rsidR="00393646" w:rsidRDefault="00393646">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37" w:rsidRDefault="00E5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46" w:rsidRPr="00290C63" w:rsidRDefault="00393646" w:rsidP="00290C63">
      <w:r>
        <w:separator/>
      </w:r>
    </w:p>
    <w:p w:rsidR="00393646" w:rsidRDefault="00393646"/>
  </w:footnote>
  <w:footnote w:type="continuationSeparator" w:id="0">
    <w:p w:rsidR="00393646" w:rsidRPr="00290C63" w:rsidRDefault="00393646" w:rsidP="00290C63">
      <w:r>
        <w:continuationSeparator/>
      </w:r>
    </w:p>
    <w:p w:rsidR="00393646" w:rsidRDefault="00393646"/>
  </w:footnote>
  <w:footnote w:id="1">
    <w:p w:rsidR="00C521E3" w:rsidRDefault="00C521E3">
      <w:pPr>
        <w:pStyle w:val="FootnoteText"/>
      </w:pPr>
      <w:r>
        <w:rPr>
          <w:rStyle w:val="FootnoteReference"/>
        </w:rPr>
        <w:footnoteRef/>
      </w:r>
      <w:r>
        <w:t xml:space="preserve"> </w:t>
      </w:r>
      <w:r>
        <w:tab/>
        <w:t xml:space="preserve">For example, </w:t>
      </w:r>
      <w:hyperlink r:id="rId1" w:history="1">
        <w:r w:rsidR="00AC782A" w:rsidRPr="009955C8">
          <w:t xml:space="preserve">AER - </w:t>
        </w:r>
        <w:r w:rsidR="00AC782A" w:rsidRPr="009955C8">
          <w:rPr>
            <w:rStyle w:val="Emphasis"/>
          </w:rPr>
          <w:t>Final decision Amadeus Gas Pipeline Access Arrangement - Attachment 9 - Efficiency carryover mechanism</w:t>
        </w:r>
        <w:r w:rsidR="00AC782A" w:rsidRPr="009955C8">
          <w:t xml:space="preserve"> - May 2016</w:t>
        </w:r>
      </w:hyperlink>
      <w:r w:rsidRPr="00AC782A">
        <w:t>.</w:t>
      </w:r>
      <w:r>
        <w:t xml:space="preserve"> </w:t>
      </w:r>
    </w:p>
  </w:footnote>
  <w:footnote w:id="2">
    <w:p w:rsidR="006E3130" w:rsidRDefault="006E3130">
      <w:pPr>
        <w:pStyle w:val="FootnoteText"/>
      </w:pPr>
      <w:r>
        <w:rPr>
          <w:rStyle w:val="FootnoteReference"/>
        </w:rPr>
        <w:footnoteRef/>
      </w:r>
      <w:r>
        <w:t xml:space="preserve"> </w:t>
      </w:r>
      <w:r>
        <w:tab/>
        <w:t>The approved opex forecast excludes debt raising costs.</w:t>
      </w:r>
    </w:p>
  </w:footnote>
  <w:footnote w:id="3">
    <w:p w:rsidR="004B0433" w:rsidRDefault="004B0433">
      <w:pPr>
        <w:pStyle w:val="FootnoteText"/>
      </w:pPr>
      <w:r>
        <w:rPr>
          <w:rStyle w:val="FootnoteReference"/>
        </w:rPr>
        <w:footnoteRef/>
      </w:r>
      <w:r>
        <w:t xml:space="preserve"> </w:t>
      </w:r>
      <w:r>
        <w:tab/>
        <w:t>APTPPL</w:t>
      </w:r>
      <w:r w:rsidRPr="004B0433">
        <w:t xml:space="preserve">, </w:t>
      </w:r>
      <w:r w:rsidRPr="004B0433">
        <w:rPr>
          <w:rStyle w:val="AERtextitalic"/>
        </w:rPr>
        <w:t>Roma to Brisbane Gas Pipeline Access Arrangement Information</w:t>
      </w:r>
      <w:r>
        <w:rPr>
          <w:rStyle w:val="AERtextitalic"/>
        </w:rPr>
        <w:t xml:space="preserve"> 2017–22</w:t>
      </w:r>
      <w:r>
        <w:t>, September 2016</w:t>
      </w:r>
      <w:r w:rsidRPr="004B0433">
        <w:t xml:space="preserve">, p. </w:t>
      </w:r>
      <w:r>
        <w:t>35</w:t>
      </w:r>
      <w:r w:rsidRPr="004B0433">
        <w:t>.</w:t>
      </w:r>
    </w:p>
  </w:footnote>
  <w:footnote w:id="4">
    <w:p w:rsidR="008362E2" w:rsidRDefault="008362E2" w:rsidP="008362E2">
      <w:pPr>
        <w:pStyle w:val="FootnoteText"/>
      </w:pPr>
      <w:r>
        <w:rPr>
          <w:rStyle w:val="FootnoteReference"/>
        </w:rPr>
        <w:footnoteRef/>
      </w:r>
      <w:r>
        <w:t xml:space="preserve"> </w:t>
      </w:r>
      <w:r>
        <w:tab/>
        <w:t>NGR, r. 98(1).</w:t>
      </w:r>
    </w:p>
  </w:footnote>
  <w:footnote w:id="5">
    <w:p w:rsidR="008362E2" w:rsidRDefault="008362E2" w:rsidP="008362E2">
      <w:pPr>
        <w:pStyle w:val="FootnoteText"/>
      </w:pPr>
      <w:r>
        <w:rPr>
          <w:rStyle w:val="FootnoteReference"/>
        </w:rPr>
        <w:footnoteRef/>
      </w:r>
      <w:r>
        <w:t xml:space="preserve"> </w:t>
      </w:r>
      <w:r>
        <w:tab/>
        <w:t>NGR, r. 98(3).</w:t>
      </w:r>
    </w:p>
  </w:footnote>
  <w:footnote w:id="6">
    <w:p w:rsidR="008362E2" w:rsidRDefault="008362E2" w:rsidP="008362E2">
      <w:pPr>
        <w:pStyle w:val="FootnoteText"/>
      </w:pPr>
      <w:r>
        <w:rPr>
          <w:rStyle w:val="FootnoteReference"/>
        </w:rPr>
        <w:footnoteRef/>
      </w:r>
      <w:r>
        <w:t xml:space="preserve"> </w:t>
      </w:r>
      <w:r>
        <w:tab/>
        <w:t>NGL, s.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041F10">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9364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EA" w:rsidRDefault="001108EA">
    <w:pPr>
      <w:pStyle w:val="Header"/>
    </w:pPr>
  </w:p>
  <w:p w:rsidR="00C05A9D" w:rsidRDefault="00C05A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041F1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0DA82A58"/>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1380" w:hanging="360"/>
      </w:p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5"/>
    <w:lvlOverride w:ilvl="0">
      <w:startOverride w:val="1"/>
    </w:lvlOverride>
  </w:num>
  <w:num w:numId="36">
    <w:abstractNumId w:val="25"/>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DIsmAYiaSsSaqE3w3I6s4xGiCxswLYfOl1uXUKgW7k=" w:saltValue="WEg1mBGF6vA/Tmkwod2+h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608\AER15 4324  AER - Final decision Amadeus Gas Pipeline Access Arrangement - Attachment 9 - Efficiency carryover mechanism - April 2016.DOCX"/>
  </w:docVars>
  <w:rsids>
    <w:rsidRoot w:val="00961A4A"/>
    <w:rsid w:val="00004633"/>
    <w:rsid w:val="00010286"/>
    <w:rsid w:val="00021202"/>
    <w:rsid w:val="00021C2B"/>
    <w:rsid w:val="0002517F"/>
    <w:rsid w:val="00026495"/>
    <w:rsid w:val="0003578C"/>
    <w:rsid w:val="0003687A"/>
    <w:rsid w:val="000401AF"/>
    <w:rsid w:val="00041DDA"/>
    <w:rsid w:val="00041F10"/>
    <w:rsid w:val="00063247"/>
    <w:rsid w:val="00063A92"/>
    <w:rsid w:val="00070F9F"/>
    <w:rsid w:val="0007137B"/>
    <w:rsid w:val="00080605"/>
    <w:rsid w:val="00085663"/>
    <w:rsid w:val="00085EBF"/>
    <w:rsid w:val="00085F93"/>
    <w:rsid w:val="00091B15"/>
    <w:rsid w:val="00097DAC"/>
    <w:rsid w:val="000A1E7C"/>
    <w:rsid w:val="000A3020"/>
    <w:rsid w:val="000A6C7B"/>
    <w:rsid w:val="000B0360"/>
    <w:rsid w:val="000C2B40"/>
    <w:rsid w:val="000D01F4"/>
    <w:rsid w:val="000D06C1"/>
    <w:rsid w:val="000D122C"/>
    <w:rsid w:val="000D3016"/>
    <w:rsid w:val="000D64F2"/>
    <w:rsid w:val="000D7F32"/>
    <w:rsid w:val="000E1819"/>
    <w:rsid w:val="000E4821"/>
    <w:rsid w:val="000E6C72"/>
    <w:rsid w:val="000F0B2B"/>
    <w:rsid w:val="000F3E72"/>
    <w:rsid w:val="000F48B1"/>
    <w:rsid w:val="000F723D"/>
    <w:rsid w:val="00103A67"/>
    <w:rsid w:val="00103E0D"/>
    <w:rsid w:val="001108EA"/>
    <w:rsid w:val="00116EB2"/>
    <w:rsid w:val="00124609"/>
    <w:rsid w:val="00126A4C"/>
    <w:rsid w:val="00142AB6"/>
    <w:rsid w:val="0014573B"/>
    <w:rsid w:val="00147BAE"/>
    <w:rsid w:val="00147E70"/>
    <w:rsid w:val="001534FA"/>
    <w:rsid w:val="00154867"/>
    <w:rsid w:val="00156DCC"/>
    <w:rsid w:val="001573E4"/>
    <w:rsid w:val="00160756"/>
    <w:rsid w:val="0017118D"/>
    <w:rsid w:val="0017232E"/>
    <w:rsid w:val="00174102"/>
    <w:rsid w:val="0017480F"/>
    <w:rsid w:val="001754EE"/>
    <w:rsid w:val="00180157"/>
    <w:rsid w:val="001818D5"/>
    <w:rsid w:val="00182467"/>
    <w:rsid w:val="00185CB9"/>
    <w:rsid w:val="00186F77"/>
    <w:rsid w:val="00191231"/>
    <w:rsid w:val="001926A4"/>
    <w:rsid w:val="00192AD5"/>
    <w:rsid w:val="00194EB5"/>
    <w:rsid w:val="001B3F62"/>
    <w:rsid w:val="001B45A0"/>
    <w:rsid w:val="001B45C0"/>
    <w:rsid w:val="001B6233"/>
    <w:rsid w:val="001B6F2E"/>
    <w:rsid w:val="001B7D00"/>
    <w:rsid w:val="001C17E7"/>
    <w:rsid w:val="001C1E82"/>
    <w:rsid w:val="001D055E"/>
    <w:rsid w:val="001E009C"/>
    <w:rsid w:val="001E239F"/>
    <w:rsid w:val="001E5FE2"/>
    <w:rsid w:val="001F05A4"/>
    <w:rsid w:val="001F492E"/>
    <w:rsid w:val="001F6DA3"/>
    <w:rsid w:val="002010BC"/>
    <w:rsid w:val="002016E7"/>
    <w:rsid w:val="00201F98"/>
    <w:rsid w:val="00202E03"/>
    <w:rsid w:val="0020478D"/>
    <w:rsid w:val="0020492C"/>
    <w:rsid w:val="00204B9A"/>
    <w:rsid w:val="00205A33"/>
    <w:rsid w:val="0022444D"/>
    <w:rsid w:val="00224DB9"/>
    <w:rsid w:val="00227DCE"/>
    <w:rsid w:val="0023276C"/>
    <w:rsid w:val="00233775"/>
    <w:rsid w:val="00251745"/>
    <w:rsid w:val="00253185"/>
    <w:rsid w:val="00263AC0"/>
    <w:rsid w:val="00264264"/>
    <w:rsid w:val="0026443D"/>
    <w:rsid w:val="00265A12"/>
    <w:rsid w:val="0026772D"/>
    <w:rsid w:val="00277554"/>
    <w:rsid w:val="00281ADB"/>
    <w:rsid w:val="00286874"/>
    <w:rsid w:val="00290C63"/>
    <w:rsid w:val="00296B65"/>
    <w:rsid w:val="0029724D"/>
    <w:rsid w:val="002A6688"/>
    <w:rsid w:val="002A7DEF"/>
    <w:rsid w:val="002B010F"/>
    <w:rsid w:val="002B1003"/>
    <w:rsid w:val="002B1BF4"/>
    <w:rsid w:val="002B573C"/>
    <w:rsid w:val="002C233C"/>
    <w:rsid w:val="002D72E8"/>
    <w:rsid w:val="002E7B22"/>
    <w:rsid w:val="002F7986"/>
    <w:rsid w:val="00301B40"/>
    <w:rsid w:val="00301F1F"/>
    <w:rsid w:val="00302317"/>
    <w:rsid w:val="003029A5"/>
    <w:rsid w:val="003029EE"/>
    <w:rsid w:val="0030370B"/>
    <w:rsid w:val="00305CC8"/>
    <w:rsid w:val="00307F6D"/>
    <w:rsid w:val="003130C9"/>
    <w:rsid w:val="003155AF"/>
    <w:rsid w:val="003177A2"/>
    <w:rsid w:val="00317BB6"/>
    <w:rsid w:val="00320869"/>
    <w:rsid w:val="003249CC"/>
    <w:rsid w:val="0032683C"/>
    <w:rsid w:val="00326B1D"/>
    <w:rsid w:val="003271B5"/>
    <w:rsid w:val="00327A1E"/>
    <w:rsid w:val="00331264"/>
    <w:rsid w:val="003338A2"/>
    <w:rsid w:val="0033475F"/>
    <w:rsid w:val="00334C8D"/>
    <w:rsid w:val="0033548E"/>
    <w:rsid w:val="00343A18"/>
    <w:rsid w:val="00344473"/>
    <w:rsid w:val="00344D08"/>
    <w:rsid w:val="003457F9"/>
    <w:rsid w:val="00347114"/>
    <w:rsid w:val="003471AE"/>
    <w:rsid w:val="003518B3"/>
    <w:rsid w:val="00355344"/>
    <w:rsid w:val="00355DD9"/>
    <w:rsid w:val="003578CD"/>
    <w:rsid w:val="003666F2"/>
    <w:rsid w:val="003717D8"/>
    <w:rsid w:val="003846F1"/>
    <w:rsid w:val="00386371"/>
    <w:rsid w:val="003903D4"/>
    <w:rsid w:val="00391BF0"/>
    <w:rsid w:val="003931A7"/>
    <w:rsid w:val="00393646"/>
    <w:rsid w:val="003B484F"/>
    <w:rsid w:val="003B7FBA"/>
    <w:rsid w:val="003C2449"/>
    <w:rsid w:val="003D2819"/>
    <w:rsid w:val="003F174D"/>
    <w:rsid w:val="003F572D"/>
    <w:rsid w:val="003F730B"/>
    <w:rsid w:val="003F7442"/>
    <w:rsid w:val="0040095E"/>
    <w:rsid w:val="00415F31"/>
    <w:rsid w:val="0042205D"/>
    <w:rsid w:val="00423A77"/>
    <w:rsid w:val="00436ECD"/>
    <w:rsid w:val="00445A81"/>
    <w:rsid w:val="00452473"/>
    <w:rsid w:val="00454A2A"/>
    <w:rsid w:val="0045777E"/>
    <w:rsid w:val="00461B0F"/>
    <w:rsid w:val="00461C29"/>
    <w:rsid w:val="00474EC7"/>
    <w:rsid w:val="00480B4B"/>
    <w:rsid w:val="00482D13"/>
    <w:rsid w:val="0048330E"/>
    <w:rsid w:val="00485DC4"/>
    <w:rsid w:val="0049221D"/>
    <w:rsid w:val="004A0A5E"/>
    <w:rsid w:val="004A43D1"/>
    <w:rsid w:val="004B0433"/>
    <w:rsid w:val="004B355D"/>
    <w:rsid w:val="004B4412"/>
    <w:rsid w:val="004C0C43"/>
    <w:rsid w:val="004C348C"/>
    <w:rsid w:val="004C6A30"/>
    <w:rsid w:val="004D1A96"/>
    <w:rsid w:val="004D55BA"/>
    <w:rsid w:val="004E22EC"/>
    <w:rsid w:val="004E2A4C"/>
    <w:rsid w:val="004F6A0E"/>
    <w:rsid w:val="00530128"/>
    <w:rsid w:val="00531FF2"/>
    <w:rsid w:val="00532467"/>
    <w:rsid w:val="00535076"/>
    <w:rsid w:val="00537FD6"/>
    <w:rsid w:val="00543E75"/>
    <w:rsid w:val="00546641"/>
    <w:rsid w:val="00555E91"/>
    <w:rsid w:val="00564A4D"/>
    <w:rsid w:val="0056588A"/>
    <w:rsid w:val="00567BA5"/>
    <w:rsid w:val="00571A9F"/>
    <w:rsid w:val="00571B35"/>
    <w:rsid w:val="00571D57"/>
    <w:rsid w:val="00577A09"/>
    <w:rsid w:val="005823C9"/>
    <w:rsid w:val="005829C2"/>
    <w:rsid w:val="00584D8F"/>
    <w:rsid w:val="00585A4E"/>
    <w:rsid w:val="00586819"/>
    <w:rsid w:val="0059704C"/>
    <w:rsid w:val="005A404D"/>
    <w:rsid w:val="005B1E3C"/>
    <w:rsid w:val="005B3FB7"/>
    <w:rsid w:val="005B4D33"/>
    <w:rsid w:val="005B704A"/>
    <w:rsid w:val="005C0A7F"/>
    <w:rsid w:val="005C26CC"/>
    <w:rsid w:val="005C4C9C"/>
    <w:rsid w:val="005C6218"/>
    <w:rsid w:val="005D03B1"/>
    <w:rsid w:val="005D578E"/>
    <w:rsid w:val="005D7BA2"/>
    <w:rsid w:val="005E2ADC"/>
    <w:rsid w:val="005E36C2"/>
    <w:rsid w:val="005E3BA7"/>
    <w:rsid w:val="005F0183"/>
    <w:rsid w:val="005F2650"/>
    <w:rsid w:val="005F727F"/>
    <w:rsid w:val="006007DE"/>
    <w:rsid w:val="00601638"/>
    <w:rsid w:val="006033D4"/>
    <w:rsid w:val="00610EF9"/>
    <w:rsid w:val="00612F4F"/>
    <w:rsid w:val="00615C6B"/>
    <w:rsid w:val="00620DC3"/>
    <w:rsid w:val="00621DCE"/>
    <w:rsid w:val="00626972"/>
    <w:rsid w:val="00632D6D"/>
    <w:rsid w:val="00640812"/>
    <w:rsid w:val="00642C3E"/>
    <w:rsid w:val="00651C3A"/>
    <w:rsid w:val="00651CB2"/>
    <w:rsid w:val="006560CA"/>
    <w:rsid w:val="0066104A"/>
    <w:rsid w:val="00663DAD"/>
    <w:rsid w:val="00665649"/>
    <w:rsid w:val="00666E20"/>
    <w:rsid w:val="006672AA"/>
    <w:rsid w:val="00675E20"/>
    <w:rsid w:val="00676679"/>
    <w:rsid w:val="006812E7"/>
    <w:rsid w:val="00683C89"/>
    <w:rsid w:val="00684C16"/>
    <w:rsid w:val="00685252"/>
    <w:rsid w:val="00691D9A"/>
    <w:rsid w:val="006A7CB9"/>
    <w:rsid w:val="006A7D76"/>
    <w:rsid w:val="006B2395"/>
    <w:rsid w:val="006B45A4"/>
    <w:rsid w:val="006B4CF9"/>
    <w:rsid w:val="006B785B"/>
    <w:rsid w:val="006B7AC8"/>
    <w:rsid w:val="006C1736"/>
    <w:rsid w:val="006C4798"/>
    <w:rsid w:val="006C774D"/>
    <w:rsid w:val="006C7CCF"/>
    <w:rsid w:val="006D22F2"/>
    <w:rsid w:val="006D550F"/>
    <w:rsid w:val="006E1BDD"/>
    <w:rsid w:val="006E3130"/>
    <w:rsid w:val="006E3F76"/>
    <w:rsid w:val="006F1F83"/>
    <w:rsid w:val="006F3AD1"/>
    <w:rsid w:val="006F3FC8"/>
    <w:rsid w:val="006F6183"/>
    <w:rsid w:val="0070011E"/>
    <w:rsid w:val="00701CAB"/>
    <w:rsid w:val="00707563"/>
    <w:rsid w:val="00721E6B"/>
    <w:rsid w:val="0072348C"/>
    <w:rsid w:val="00724A37"/>
    <w:rsid w:val="007303C3"/>
    <w:rsid w:val="00741C46"/>
    <w:rsid w:val="00741E23"/>
    <w:rsid w:val="007429BE"/>
    <w:rsid w:val="00743223"/>
    <w:rsid w:val="00746E01"/>
    <w:rsid w:val="00747EEA"/>
    <w:rsid w:val="00752C8D"/>
    <w:rsid w:val="00757364"/>
    <w:rsid w:val="00757BDF"/>
    <w:rsid w:val="007609D0"/>
    <w:rsid w:val="007611C1"/>
    <w:rsid w:val="00763618"/>
    <w:rsid w:val="00763E5D"/>
    <w:rsid w:val="00767740"/>
    <w:rsid w:val="00777EE6"/>
    <w:rsid w:val="00782EEA"/>
    <w:rsid w:val="00795D60"/>
    <w:rsid w:val="007A7002"/>
    <w:rsid w:val="007A7136"/>
    <w:rsid w:val="007A7F63"/>
    <w:rsid w:val="007B011C"/>
    <w:rsid w:val="007B186E"/>
    <w:rsid w:val="007B2C72"/>
    <w:rsid w:val="007B6C52"/>
    <w:rsid w:val="007C1C53"/>
    <w:rsid w:val="007C74BB"/>
    <w:rsid w:val="007C7D4F"/>
    <w:rsid w:val="007D456E"/>
    <w:rsid w:val="007E19E9"/>
    <w:rsid w:val="007E42F4"/>
    <w:rsid w:val="007E4904"/>
    <w:rsid w:val="007E4CB5"/>
    <w:rsid w:val="007F066B"/>
    <w:rsid w:val="007F213A"/>
    <w:rsid w:val="007F3457"/>
    <w:rsid w:val="007F75C4"/>
    <w:rsid w:val="008033C4"/>
    <w:rsid w:val="00803FCD"/>
    <w:rsid w:val="008057DE"/>
    <w:rsid w:val="00806C88"/>
    <w:rsid w:val="00810070"/>
    <w:rsid w:val="0081034E"/>
    <w:rsid w:val="00812B03"/>
    <w:rsid w:val="00815CAC"/>
    <w:rsid w:val="008168E7"/>
    <w:rsid w:val="00821004"/>
    <w:rsid w:val="008221F2"/>
    <w:rsid w:val="00825985"/>
    <w:rsid w:val="0082640D"/>
    <w:rsid w:val="008301A7"/>
    <w:rsid w:val="008301B2"/>
    <w:rsid w:val="008344F6"/>
    <w:rsid w:val="0083510F"/>
    <w:rsid w:val="008362E2"/>
    <w:rsid w:val="008408C5"/>
    <w:rsid w:val="008414FC"/>
    <w:rsid w:val="00847609"/>
    <w:rsid w:val="00847887"/>
    <w:rsid w:val="00851209"/>
    <w:rsid w:val="0085136E"/>
    <w:rsid w:val="0085722A"/>
    <w:rsid w:val="00862B19"/>
    <w:rsid w:val="00864B35"/>
    <w:rsid w:val="00866D99"/>
    <w:rsid w:val="00867CF6"/>
    <w:rsid w:val="008749E0"/>
    <w:rsid w:val="00874CD0"/>
    <w:rsid w:val="00882481"/>
    <w:rsid w:val="008837AC"/>
    <w:rsid w:val="008A587D"/>
    <w:rsid w:val="008B35CD"/>
    <w:rsid w:val="008B5FCC"/>
    <w:rsid w:val="008B72A2"/>
    <w:rsid w:val="008B7544"/>
    <w:rsid w:val="008C3374"/>
    <w:rsid w:val="008C39F0"/>
    <w:rsid w:val="008C5486"/>
    <w:rsid w:val="008C63DF"/>
    <w:rsid w:val="008C708B"/>
    <w:rsid w:val="008D1661"/>
    <w:rsid w:val="008D31BF"/>
    <w:rsid w:val="008D6800"/>
    <w:rsid w:val="008E1FB6"/>
    <w:rsid w:val="008E7031"/>
    <w:rsid w:val="008E77DE"/>
    <w:rsid w:val="008E7B0C"/>
    <w:rsid w:val="008F07A3"/>
    <w:rsid w:val="008F16B3"/>
    <w:rsid w:val="008F34DD"/>
    <w:rsid w:val="009001B6"/>
    <w:rsid w:val="00900E1B"/>
    <w:rsid w:val="00901C3C"/>
    <w:rsid w:val="00903053"/>
    <w:rsid w:val="009038ED"/>
    <w:rsid w:val="009233EE"/>
    <w:rsid w:val="00923CFC"/>
    <w:rsid w:val="00923FA9"/>
    <w:rsid w:val="009272AD"/>
    <w:rsid w:val="009277DC"/>
    <w:rsid w:val="009460AA"/>
    <w:rsid w:val="0094641C"/>
    <w:rsid w:val="00951978"/>
    <w:rsid w:val="00954901"/>
    <w:rsid w:val="009606D3"/>
    <w:rsid w:val="00961115"/>
    <w:rsid w:val="00961A4A"/>
    <w:rsid w:val="009661DE"/>
    <w:rsid w:val="00983C25"/>
    <w:rsid w:val="009856B7"/>
    <w:rsid w:val="00985C86"/>
    <w:rsid w:val="009955C8"/>
    <w:rsid w:val="00996BAF"/>
    <w:rsid w:val="009972D8"/>
    <w:rsid w:val="009A3666"/>
    <w:rsid w:val="009A4FAA"/>
    <w:rsid w:val="009A5113"/>
    <w:rsid w:val="009A539D"/>
    <w:rsid w:val="009A5FC3"/>
    <w:rsid w:val="009B5DC8"/>
    <w:rsid w:val="009B6F84"/>
    <w:rsid w:val="009B7343"/>
    <w:rsid w:val="009B74B0"/>
    <w:rsid w:val="009C691D"/>
    <w:rsid w:val="009D2B38"/>
    <w:rsid w:val="009D3906"/>
    <w:rsid w:val="009D6B46"/>
    <w:rsid w:val="009F229F"/>
    <w:rsid w:val="009F4940"/>
    <w:rsid w:val="009F5BA1"/>
    <w:rsid w:val="009F6752"/>
    <w:rsid w:val="00A01C25"/>
    <w:rsid w:val="00A02A88"/>
    <w:rsid w:val="00A0562E"/>
    <w:rsid w:val="00A06085"/>
    <w:rsid w:val="00A0726D"/>
    <w:rsid w:val="00A16596"/>
    <w:rsid w:val="00A2303E"/>
    <w:rsid w:val="00A25039"/>
    <w:rsid w:val="00A2643B"/>
    <w:rsid w:val="00A32FBB"/>
    <w:rsid w:val="00A4125F"/>
    <w:rsid w:val="00A428EE"/>
    <w:rsid w:val="00A4478A"/>
    <w:rsid w:val="00A44852"/>
    <w:rsid w:val="00A4650A"/>
    <w:rsid w:val="00A50502"/>
    <w:rsid w:val="00A57D04"/>
    <w:rsid w:val="00A60A26"/>
    <w:rsid w:val="00A61598"/>
    <w:rsid w:val="00A84A99"/>
    <w:rsid w:val="00A84F46"/>
    <w:rsid w:val="00A871F4"/>
    <w:rsid w:val="00A90AA4"/>
    <w:rsid w:val="00A9171B"/>
    <w:rsid w:val="00A923BF"/>
    <w:rsid w:val="00AB47E1"/>
    <w:rsid w:val="00AC1B2C"/>
    <w:rsid w:val="00AC3264"/>
    <w:rsid w:val="00AC782A"/>
    <w:rsid w:val="00AD3884"/>
    <w:rsid w:val="00AD5CEF"/>
    <w:rsid w:val="00AD7B56"/>
    <w:rsid w:val="00AE1BF1"/>
    <w:rsid w:val="00AF0DD2"/>
    <w:rsid w:val="00B00976"/>
    <w:rsid w:val="00B0209D"/>
    <w:rsid w:val="00B02961"/>
    <w:rsid w:val="00B04908"/>
    <w:rsid w:val="00B04B4C"/>
    <w:rsid w:val="00B07CEA"/>
    <w:rsid w:val="00B13048"/>
    <w:rsid w:val="00B15363"/>
    <w:rsid w:val="00B1716D"/>
    <w:rsid w:val="00B17A1D"/>
    <w:rsid w:val="00B207A0"/>
    <w:rsid w:val="00B23FD0"/>
    <w:rsid w:val="00B40CAA"/>
    <w:rsid w:val="00B47879"/>
    <w:rsid w:val="00B514DD"/>
    <w:rsid w:val="00B51F3F"/>
    <w:rsid w:val="00B52AF0"/>
    <w:rsid w:val="00B561BD"/>
    <w:rsid w:val="00B56E03"/>
    <w:rsid w:val="00B61EDF"/>
    <w:rsid w:val="00B71072"/>
    <w:rsid w:val="00B711F3"/>
    <w:rsid w:val="00B74AC5"/>
    <w:rsid w:val="00B74B97"/>
    <w:rsid w:val="00B757A6"/>
    <w:rsid w:val="00B8080B"/>
    <w:rsid w:val="00B816B9"/>
    <w:rsid w:val="00B82223"/>
    <w:rsid w:val="00B840A1"/>
    <w:rsid w:val="00B87BA5"/>
    <w:rsid w:val="00B87C39"/>
    <w:rsid w:val="00B9562D"/>
    <w:rsid w:val="00BA0626"/>
    <w:rsid w:val="00BA0731"/>
    <w:rsid w:val="00BA4665"/>
    <w:rsid w:val="00BA47EE"/>
    <w:rsid w:val="00BB2278"/>
    <w:rsid w:val="00BB2FB2"/>
    <w:rsid w:val="00BB3304"/>
    <w:rsid w:val="00BB3FD7"/>
    <w:rsid w:val="00BB6848"/>
    <w:rsid w:val="00BB7528"/>
    <w:rsid w:val="00BC18DE"/>
    <w:rsid w:val="00BC2FAF"/>
    <w:rsid w:val="00BC42EF"/>
    <w:rsid w:val="00BD0920"/>
    <w:rsid w:val="00BD0C45"/>
    <w:rsid w:val="00BD310B"/>
    <w:rsid w:val="00BD3446"/>
    <w:rsid w:val="00BE1F1B"/>
    <w:rsid w:val="00BE2CE7"/>
    <w:rsid w:val="00BE47B5"/>
    <w:rsid w:val="00BF0C8F"/>
    <w:rsid w:val="00BF0CD7"/>
    <w:rsid w:val="00C04223"/>
    <w:rsid w:val="00C05A9D"/>
    <w:rsid w:val="00C25FA6"/>
    <w:rsid w:val="00C275C4"/>
    <w:rsid w:val="00C30637"/>
    <w:rsid w:val="00C36F19"/>
    <w:rsid w:val="00C42ACA"/>
    <w:rsid w:val="00C43037"/>
    <w:rsid w:val="00C5122C"/>
    <w:rsid w:val="00C521E3"/>
    <w:rsid w:val="00C538A9"/>
    <w:rsid w:val="00C53B5A"/>
    <w:rsid w:val="00C54F5A"/>
    <w:rsid w:val="00C569B4"/>
    <w:rsid w:val="00C56A01"/>
    <w:rsid w:val="00C56A3E"/>
    <w:rsid w:val="00C6768D"/>
    <w:rsid w:val="00C67A92"/>
    <w:rsid w:val="00C7497E"/>
    <w:rsid w:val="00C74D43"/>
    <w:rsid w:val="00C81568"/>
    <w:rsid w:val="00C84560"/>
    <w:rsid w:val="00C84F52"/>
    <w:rsid w:val="00C859AF"/>
    <w:rsid w:val="00C86679"/>
    <w:rsid w:val="00C935BA"/>
    <w:rsid w:val="00C95278"/>
    <w:rsid w:val="00C97CDF"/>
    <w:rsid w:val="00CA2ABF"/>
    <w:rsid w:val="00CA2C1D"/>
    <w:rsid w:val="00CA489E"/>
    <w:rsid w:val="00CA52A2"/>
    <w:rsid w:val="00CB0279"/>
    <w:rsid w:val="00CB666B"/>
    <w:rsid w:val="00CC2746"/>
    <w:rsid w:val="00CC7F1D"/>
    <w:rsid w:val="00CD19EE"/>
    <w:rsid w:val="00CD2015"/>
    <w:rsid w:val="00CD770D"/>
    <w:rsid w:val="00CE484B"/>
    <w:rsid w:val="00CE4900"/>
    <w:rsid w:val="00CF0DEE"/>
    <w:rsid w:val="00CF2C05"/>
    <w:rsid w:val="00CF6EDE"/>
    <w:rsid w:val="00D006AE"/>
    <w:rsid w:val="00D01CF0"/>
    <w:rsid w:val="00D01EFD"/>
    <w:rsid w:val="00D0442A"/>
    <w:rsid w:val="00D06055"/>
    <w:rsid w:val="00D066B7"/>
    <w:rsid w:val="00D1052C"/>
    <w:rsid w:val="00D17683"/>
    <w:rsid w:val="00D179D2"/>
    <w:rsid w:val="00D36FCC"/>
    <w:rsid w:val="00D41E80"/>
    <w:rsid w:val="00D45694"/>
    <w:rsid w:val="00D608F6"/>
    <w:rsid w:val="00D60EFF"/>
    <w:rsid w:val="00D61388"/>
    <w:rsid w:val="00D61A54"/>
    <w:rsid w:val="00D64275"/>
    <w:rsid w:val="00D64DEA"/>
    <w:rsid w:val="00D7168E"/>
    <w:rsid w:val="00D71E57"/>
    <w:rsid w:val="00D75AA2"/>
    <w:rsid w:val="00D7645E"/>
    <w:rsid w:val="00D80893"/>
    <w:rsid w:val="00D82C59"/>
    <w:rsid w:val="00D84854"/>
    <w:rsid w:val="00D848B4"/>
    <w:rsid w:val="00D84D91"/>
    <w:rsid w:val="00D92CF1"/>
    <w:rsid w:val="00D92D38"/>
    <w:rsid w:val="00D950F5"/>
    <w:rsid w:val="00DA0BCC"/>
    <w:rsid w:val="00DA4752"/>
    <w:rsid w:val="00DA61F3"/>
    <w:rsid w:val="00DA6B93"/>
    <w:rsid w:val="00DA6F94"/>
    <w:rsid w:val="00DB0F93"/>
    <w:rsid w:val="00DB1A67"/>
    <w:rsid w:val="00DB5074"/>
    <w:rsid w:val="00DB5B21"/>
    <w:rsid w:val="00DC7981"/>
    <w:rsid w:val="00DD1C15"/>
    <w:rsid w:val="00DE1093"/>
    <w:rsid w:val="00DE4EFA"/>
    <w:rsid w:val="00DE5520"/>
    <w:rsid w:val="00DE563D"/>
    <w:rsid w:val="00DE5E2E"/>
    <w:rsid w:val="00DE772C"/>
    <w:rsid w:val="00DF1D9A"/>
    <w:rsid w:val="00DF2457"/>
    <w:rsid w:val="00DF312A"/>
    <w:rsid w:val="00E04818"/>
    <w:rsid w:val="00E06442"/>
    <w:rsid w:val="00E06BCF"/>
    <w:rsid w:val="00E1001C"/>
    <w:rsid w:val="00E23993"/>
    <w:rsid w:val="00E257D6"/>
    <w:rsid w:val="00E25B8C"/>
    <w:rsid w:val="00E26B78"/>
    <w:rsid w:val="00E3544F"/>
    <w:rsid w:val="00E505F7"/>
    <w:rsid w:val="00E51D65"/>
    <w:rsid w:val="00E53C37"/>
    <w:rsid w:val="00E6200B"/>
    <w:rsid w:val="00E63BED"/>
    <w:rsid w:val="00E65C85"/>
    <w:rsid w:val="00E66199"/>
    <w:rsid w:val="00E711C7"/>
    <w:rsid w:val="00E71390"/>
    <w:rsid w:val="00E7411D"/>
    <w:rsid w:val="00E7494F"/>
    <w:rsid w:val="00E755EC"/>
    <w:rsid w:val="00E7624D"/>
    <w:rsid w:val="00E91849"/>
    <w:rsid w:val="00E97242"/>
    <w:rsid w:val="00EA38F3"/>
    <w:rsid w:val="00EA3D42"/>
    <w:rsid w:val="00EA6B1B"/>
    <w:rsid w:val="00EB5BC8"/>
    <w:rsid w:val="00EB606C"/>
    <w:rsid w:val="00EC04F1"/>
    <w:rsid w:val="00EC1B2B"/>
    <w:rsid w:val="00EC32E5"/>
    <w:rsid w:val="00ED0EC2"/>
    <w:rsid w:val="00ED3474"/>
    <w:rsid w:val="00ED7323"/>
    <w:rsid w:val="00EE28F3"/>
    <w:rsid w:val="00EE50D1"/>
    <w:rsid w:val="00EE77FA"/>
    <w:rsid w:val="00EE7A83"/>
    <w:rsid w:val="00EF1B7A"/>
    <w:rsid w:val="00EF4651"/>
    <w:rsid w:val="00EF5110"/>
    <w:rsid w:val="00F0334E"/>
    <w:rsid w:val="00F07967"/>
    <w:rsid w:val="00F10411"/>
    <w:rsid w:val="00F12AF3"/>
    <w:rsid w:val="00F149D2"/>
    <w:rsid w:val="00F15882"/>
    <w:rsid w:val="00F171E0"/>
    <w:rsid w:val="00F20BD3"/>
    <w:rsid w:val="00F2526A"/>
    <w:rsid w:val="00F35081"/>
    <w:rsid w:val="00F373A5"/>
    <w:rsid w:val="00F42E08"/>
    <w:rsid w:val="00F44660"/>
    <w:rsid w:val="00F47559"/>
    <w:rsid w:val="00F57907"/>
    <w:rsid w:val="00F61176"/>
    <w:rsid w:val="00F62A30"/>
    <w:rsid w:val="00F64C7B"/>
    <w:rsid w:val="00F65B25"/>
    <w:rsid w:val="00F676DD"/>
    <w:rsid w:val="00F71667"/>
    <w:rsid w:val="00F73895"/>
    <w:rsid w:val="00F75A26"/>
    <w:rsid w:val="00F76706"/>
    <w:rsid w:val="00F768C8"/>
    <w:rsid w:val="00F81B8D"/>
    <w:rsid w:val="00F83D4C"/>
    <w:rsid w:val="00F83FAD"/>
    <w:rsid w:val="00F8653A"/>
    <w:rsid w:val="00F8761F"/>
    <w:rsid w:val="00F91F55"/>
    <w:rsid w:val="00F92349"/>
    <w:rsid w:val="00F93B21"/>
    <w:rsid w:val="00F94B8C"/>
    <w:rsid w:val="00F952A0"/>
    <w:rsid w:val="00FA3C7F"/>
    <w:rsid w:val="00FB1BF3"/>
    <w:rsid w:val="00FB4402"/>
    <w:rsid w:val="00FB60FE"/>
    <w:rsid w:val="00FB74E2"/>
    <w:rsid w:val="00FC5BEB"/>
    <w:rsid w:val="00FC71DC"/>
    <w:rsid w:val="00FD2ED2"/>
    <w:rsid w:val="00FD5614"/>
    <w:rsid w:val="00FD5E78"/>
    <w:rsid w:val="00FD6B5D"/>
    <w:rsid w:val="00FD6F49"/>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accc-document-title">
    <w:name w:val="accc-document-title"/>
    <w:basedOn w:val="DefaultParagraphFont"/>
    <w:rsid w:val="00AC7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accc-document-title">
    <w:name w:val="accc-document-title"/>
    <w:basedOn w:val="DefaultParagraphFont"/>
    <w:rsid w:val="00AC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system/files/AER%20-%20Final%20decision%20Amadeus%20Gas%20Pipeline%20Access%20Arrangement%20-%20Attachment%209%20-%20Efficiency%20carryover%20mechanism%20-%20May%202016.DOC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BE1C6E-3C9E-4367-B5C2-8A713A44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48D911DC</Template>
  <TotalTime>0</TotalTime>
  <Pages>11</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2017-06-14T05:13:00Z</dcterms:created>
  <dcterms:modified xsi:type="dcterms:W3CDTF">2017-07-03T03:31:00Z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