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11" w:rsidRDefault="002B55FA">
      <w:pPr>
        <w:spacing w:after="0" w:line="240" w:lineRule="auto"/>
        <w:jc w:val="left"/>
      </w:pPr>
      <w:bookmarkStart w:id="0" w:name="_Toc396839255"/>
      <w:bookmarkStart w:id="1" w:name="_GoBack"/>
      <w:bookmarkEnd w:id="1"/>
      <w:r w:rsidRPr="00926691">
        <w:rPr>
          <w:noProof/>
          <w:lang w:eastAsia="en-AU"/>
        </w:rPr>
        <w:drawing>
          <wp:anchor distT="0" distB="0" distL="114300" distR="114300" simplePos="0" relativeHeight="251659264" behindDoc="1" locked="0" layoutInCell="1" allowOverlap="1" wp14:anchorId="00B47A55" wp14:editId="26C5B6D1">
            <wp:simplePos x="0" y="0"/>
            <wp:positionH relativeFrom="column">
              <wp:posOffset>-993775</wp:posOffset>
            </wp:positionH>
            <wp:positionV relativeFrom="paragraph">
              <wp:posOffset>-922655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1512D0" w:rsidRDefault="001512D0" w:rsidP="00744F11">
      <w:pPr>
        <w:pStyle w:val="AERtitle1"/>
      </w:pPr>
    </w:p>
    <w:p w:rsidR="00744F11" w:rsidRDefault="00744F11" w:rsidP="00744F11">
      <w:pPr>
        <w:pStyle w:val="AERtitle1"/>
      </w:pPr>
      <w:r>
        <w:t>Draft decision</w:t>
      </w:r>
    </w:p>
    <w:p w:rsidR="00744F11" w:rsidRDefault="00744F11" w:rsidP="00744F11">
      <w:pPr>
        <w:pStyle w:val="AERtitle1"/>
      </w:pPr>
    </w:p>
    <w:p w:rsidR="00744F11" w:rsidRDefault="00744F11" w:rsidP="00744F11">
      <w:pPr>
        <w:pStyle w:val="AERtitle1"/>
      </w:pPr>
      <w:r>
        <w:t>TasNetworks transmission determination</w:t>
      </w:r>
    </w:p>
    <w:p w:rsidR="00744F11" w:rsidRDefault="00744F11" w:rsidP="00744F11">
      <w:pPr>
        <w:pStyle w:val="AERtitle1"/>
      </w:pPr>
    </w:p>
    <w:p w:rsidR="00744F11" w:rsidRDefault="00744F11" w:rsidP="00744F11">
      <w:pPr>
        <w:pStyle w:val="AERtitle1"/>
      </w:pPr>
      <w:r>
        <w:t>2015-16 to 2018-19</w:t>
      </w:r>
    </w:p>
    <w:p w:rsidR="00744F11" w:rsidRDefault="00744F11" w:rsidP="00744F11">
      <w:pPr>
        <w:pStyle w:val="AERtitle1"/>
      </w:pPr>
    </w:p>
    <w:p w:rsidR="00744F11" w:rsidRDefault="00744F11" w:rsidP="00744F11">
      <w:pPr>
        <w:pStyle w:val="AERtitle1"/>
      </w:pPr>
      <w:r>
        <w:t>Attachment 1</w:t>
      </w:r>
      <w:r w:rsidR="001512D0">
        <w:t>2</w:t>
      </w:r>
      <w:r>
        <w:t xml:space="preserve">: </w:t>
      </w:r>
      <w:r w:rsidR="001512D0">
        <w:t>Pricing methodology</w:t>
      </w:r>
    </w:p>
    <w:p w:rsidR="00744F11" w:rsidRDefault="00744F11" w:rsidP="00744F11">
      <w:pPr>
        <w:pStyle w:val="AERtitle1"/>
      </w:pPr>
    </w:p>
    <w:p w:rsidR="00744F11" w:rsidRDefault="00744F11" w:rsidP="00744F11"/>
    <w:p w:rsidR="00744F11" w:rsidRDefault="00744F11" w:rsidP="00744F11">
      <w:pPr>
        <w:pStyle w:val="AERtitle2"/>
      </w:pPr>
      <w:r>
        <w:t>November 2014</w:t>
      </w: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744F11" w:rsidRDefault="00744F11">
      <w:pPr>
        <w:spacing w:after="0" w:line="240" w:lineRule="auto"/>
        <w:jc w:val="left"/>
      </w:pPr>
    </w:p>
    <w:p w:rsidR="009C00B0" w:rsidRDefault="009C00B0">
      <w:pPr>
        <w:spacing w:after="0" w:line="240" w:lineRule="auto"/>
        <w:jc w:val="left"/>
      </w:pPr>
      <w:r>
        <w:br w:type="page"/>
      </w:r>
    </w:p>
    <w:p w:rsidR="00744F11" w:rsidRDefault="00744F11">
      <w:pPr>
        <w:spacing w:after="0" w:line="240" w:lineRule="auto"/>
        <w:jc w:val="left"/>
      </w:pPr>
    </w:p>
    <w:p w:rsidR="00CB47B4" w:rsidRPr="002F5AB8" w:rsidRDefault="00CB47B4" w:rsidP="00CB47B4">
      <w:pPr>
        <w:pStyle w:val="AERbodytextnospace"/>
        <w:rPr>
          <w:rStyle w:val="AERtextbold"/>
        </w:rPr>
      </w:pPr>
      <w:r w:rsidRPr="002F5AB8">
        <w:rPr>
          <w:rStyle w:val="AERtextbold"/>
        </w:rPr>
        <w:t>© Commonwealth of Australia 2014</w:t>
      </w:r>
    </w:p>
    <w:p w:rsidR="00CB47B4" w:rsidRPr="002F5AB8" w:rsidRDefault="00CB47B4" w:rsidP="00CB47B4">
      <w:r w:rsidRPr="002F5AB8">
        <w:t>This work is copyright. In addition to any use permitted under the Copyright Act 1968, all material contained within this work is provided under a Creative Commons Attribution 3.0 Australia licence, with the exception of:</w:t>
      </w:r>
    </w:p>
    <w:p w:rsidR="00CB47B4" w:rsidRPr="002F5AB8" w:rsidRDefault="00CB47B4" w:rsidP="00CB47B4">
      <w:pPr>
        <w:pStyle w:val="AERbulletlistfirststyle"/>
      </w:pPr>
      <w:r w:rsidRPr="002F5AB8">
        <w:t>the Commonwealth Coat of Arms</w:t>
      </w:r>
    </w:p>
    <w:p w:rsidR="00CB47B4" w:rsidRPr="002F5AB8" w:rsidRDefault="00CB47B4" w:rsidP="00CB47B4">
      <w:pPr>
        <w:pStyle w:val="AERbulletlistfirststyle"/>
      </w:pPr>
      <w:r w:rsidRPr="002F5AB8">
        <w:t>the ACCC and AER logos</w:t>
      </w:r>
    </w:p>
    <w:p w:rsidR="00CB47B4" w:rsidRPr="002F5AB8" w:rsidRDefault="00CB47B4" w:rsidP="00CB47B4">
      <w:r w:rsidRPr="002F5AB8">
        <w:t>any illustration, diagram, photograph or graphic over which the Australian Competition and Consumer Commission does not hold copyright, but which may be part of or contained within this publication.</w:t>
      </w:r>
    </w:p>
    <w:p w:rsidR="00CB47B4" w:rsidRPr="002F5AB8" w:rsidRDefault="00CB47B4" w:rsidP="00CB47B4">
      <w:r w:rsidRPr="002F5AB8">
        <w:t>The details of the relevant licence conditions are available on the Creative Commons website, as is the full legal code for the CC BY 3.0 AU licence.</w:t>
      </w:r>
    </w:p>
    <w:p w:rsidR="00CB47B4" w:rsidRPr="002F5AB8" w:rsidRDefault="00CB47B4" w:rsidP="00CB47B4">
      <w:pPr>
        <w:numPr>
          <w:ilvl w:val="0"/>
          <w:numId w:val="13"/>
        </w:numPr>
      </w:pPr>
      <w:r w:rsidRPr="002F5AB8">
        <w:t>Requests and inquiries concerning reproduction and rights should be addressed to the Director, Corporate Communications, ACCC, GPO Box 3131, Canberra ACT 2601, or</w:t>
      </w:r>
    </w:p>
    <w:p w:rsidR="00CB47B4" w:rsidRPr="002F5AB8" w:rsidRDefault="00CB47B4" w:rsidP="00CB47B4">
      <w:pPr>
        <w:numPr>
          <w:ilvl w:val="0"/>
          <w:numId w:val="13"/>
        </w:numPr>
      </w:pPr>
      <w:r w:rsidRPr="002F5AB8">
        <w:t xml:space="preserve"> </w:t>
      </w:r>
      <w:hyperlink r:id="rId9" w:history="1">
        <w:r w:rsidRPr="002F5AB8">
          <w:t>publishing.unit@accc.gov.au</w:t>
        </w:r>
      </w:hyperlink>
      <w:r w:rsidRPr="002F5AB8">
        <w:t xml:space="preserve"> .</w:t>
      </w:r>
    </w:p>
    <w:p w:rsidR="00CB47B4" w:rsidRPr="002F5AB8" w:rsidRDefault="00CB47B4" w:rsidP="00CB47B4">
      <w:r w:rsidRPr="002F5AB8">
        <w:t>Inquiries about this document should be addressed to:</w:t>
      </w:r>
    </w:p>
    <w:p w:rsidR="00CB47B4" w:rsidRPr="002F5AB8" w:rsidRDefault="00CB47B4" w:rsidP="00CB47B4">
      <w:pPr>
        <w:pStyle w:val="AERbodytextnospace"/>
      </w:pPr>
      <w:r w:rsidRPr="002F5AB8">
        <w:t>Australian Energy Regulator</w:t>
      </w:r>
    </w:p>
    <w:p w:rsidR="00CB47B4" w:rsidRPr="002F5AB8" w:rsidRDefault="00CB47B4" w:rsidP="00CB47B4">
      <w:pPr>
        <w:pStyle w:val="AERbodytextnospace"/>
      </w:pPr>
      <w:r w:rsidRPr="002F5AB8">
        <w:t>GPO Box 520</w:t>
      </w:r>
    </w:p>
    <w:p w:rsidR="00CB47B4" w:rsidRPr="002F5AB8" w:rsidRDefault="00CB47B4" w:rsidP="00CB47B4">
      <w:pPr>
        <w:pStyle w:val="AERbodytextnospace"/>
      </w:pPr>
      <w:r w:rsidRPr="002F5AB8">
        <w:t>Melbourne  Vic  3001</w:t>
      </w:r>
    </w:p>
    <w:p w:rsidR="00CB47B4" w:rsidRPr="002F5AB8" w:rsidRDefault="00CB47B4" w:rsidP="00CB47B4">
      <w:pPr>
        <w:pStyle w:val="AERbodytextnospace"/>
      </w:pPr>
      <w:r w:rsidRPr="002F5AB8">
        <w:t>Tel: (03) 9290 1444</w:t>
      </w:r>
    </w:p>
    <w:p w:rsidR="00CB47B4" w:rsidRPr="002F5AB8" w:rsidRDefault="00CB47B4" w:rsidP="00CB47B4">
      <w:pPr>
        <w:pStyle w:val="AERbodytextnospace"/>
      </w:pPr>
      <w:r w:rsidRPr="002F5AB8">
        <w:t>Fax: (03) 9290 1457</w:t>
      </w:r>
    </w:p>
    <w:p w:rsidR="00CB47B4" w:rsidRPr="002F5AB8" w:rsidRDefault="00CB47B4" w:rsidP="00CB47B4">
      <w:pPr>
        <w:pStyle w:val="AERbodytextnospace"/>
      </w:pPr>
      <w:r w:rsidRPr="002F5AB8">
        <w:t xml:space="preserve">Email: </w:t>
      </w:r>
      <w:hyperlink r:id="rId10" w:history="1">
        <w:r w:rsidRPr="002F5AB8">
          <w:rPr>
            <w:rStyle w:val="Hyperlink"/>
          </w:rPr>
          <w:t>AERInquiry@aer.gov.au</w:t>
        </w:r>
      </w:hyperlink>
    </w:p>
    <w:p w:rsidR="00CB47B4" w:rsidRPr="002F5AB8" w:rsidRDefault="00CB47B4" w:rsidP="00CB47B4"/>
    <w:p w:rsidR="00CB47B4" w:rsidRPr="002F5AB8" w:rsidRDefault="00CB47B4" w:rsidP="00CB47B4">
      <w:pPr>
        <w:pStyle w:val="AERbodytext"/>
      </w:pPr>
      <w:r w:rsidRPr="002F5AB8">
        <w:t>AER reference</w:t>
      </w:r>
      <w:r w:rsidRPr="002F5AB8">
        <w:rPr>
          <w:rStyle w:val="AERbody"/>
        </w:rPr>
        <w:t>:   5344</w:t>
      </w:r>
      <w:r>
        <w:rPr>
          <w:rStyle w:val="AERbody"/>
        </w:rPr>
        <w:t>5</w:t>
      </w:r>
      <w:r w:rsidRPr="002F5AB8">
        <w:rPr>
          <w:rStyle w:val="AERbody"/>
        </w:rPr>
        <w:t xml:space="preserve">   </w:t>
      </w:r>
    </w:p>
    <w:p w:rsidR="00CB47B4" w:rsidRPr="00CB47B4" w:rsidRDefault="00CB47B4" w:rsidP="00CB47B4">
      <w:r>
        <w:br w:type="page"/>
      </w:r>
    </w:p>
    <w:p w:rsidR="00CB47B4" w:rsidRPr="00CB47B4" w:rsidRDefault="00CB47B4" w:rsidP="00CB47B4">
      <w:pPr>
        <w:pStyle w:val="UnnumberedHeading"/>
        <w:rPr>
          <w:rStyle w:val="AERtextblue"/>
          <w:color w:val="E36C0A"/>
        </w:rPr>
      </w:pPr>
      <w:bookmarkStart w:id="2" w:name="_Toc404752515"/>
      <w:r w:rsidRPr="00CB47B4">
        <w:rPr>
          <w:rStyle w:val="AERtextblue"/>
          <w:color w:val="E36C0A"/>
        </w:rPr>
        <w:lastRenderedPageBreak/>
        <w:t>Note</w:t>
      </w:r>
      <w:bookmarkEnd w:id="2"/>
    </w:p>
    <w:p w:rsidR="00CB47B4" w:rsidRDefault="00CB47B4" w:rsidP="00CB47B4">
      <w:r>
        <w:t>This attachment forms part of the AER's draft decision on the transmission determination for TasNetworks' 2015–1</w:t>
      </w:r>
      <w:r w:rsidR="00A54CB5">
        <w:t>9</w:t>
      </w:r>
      <w:r>
        <w:t xml:space="preserve"> regulatory control period. It should be read in conjunction with other parts of the draft decision. </w:t>
      </w:r>
    </w:p>
    <w:p w:rsidR="00CB47B4" w:rsidRDefault="00CB47B4" w:rsidP="00CB47B4">
      <w:r>
        <w:t>The draft decision includes the following documents:</w:t>
      </w:r>
    </w:p>
    <w:p w:rsidR="00CB47B4" w:rsidRDefault="00CB47B4" w:rsidP="00CB47B4">
      <w:r>
        <w:t>Overview</w:t>
      </w:r>
    </w:p>
    <w:p w:rsidR="00CB47B4" w:rsidRDefault="00CB47B4" w:rsidP="00CB47B4">
      <w:r>
        <w:t>Attachment 1 – maximum allowed revenue</w:t>
      </w:r>
    </w:p>
    <w:p w:rsidR="00CB47B4" w:rsidRDefault="00CB47B4" w:rsidP="00CB47B4">
      <w:r>
        <w:t>Attachment 2 – regulatory asset base</w:t>
      </w:r>
    </w:p>
    <w:p w:rsidR="00CB47B4" w:rsidRDefault="00CB47B4" w:rsidP="00CB47B4">
      <w:r>
        <w:t>Attachment 3 – rate of return</w:t>
      </w:r>
    </w:p>
    <w:p w:rsidR="00CB47B4" w:rsidRDefault="00CB47B4" w:rsidP="00CB47B4">
      <w:r>
        <w:t>Attachment 4 – value of imputation credits</w:t>
      </w:r>
    </w:p>
    <w:p w:rsidR="00CB47B4" w:rsidRDefault="00CB47B4" w:rsidP="00CB47B4">
      <w:r>
        <w:t>Attachment 5 – regulatory depreciation</w:t>
      </w:r>
    </w:p>
    <w:p w:rsidR="00CB47B4" w:rsidRDefault="00CB47B4" w:rsidP="00CB47B4">
      <w:r>
        <w:t>Attachment 6 – capital expenditure</w:t>
      </w:r>
      <w:r w:rsidRPr="0012445F">
        <w:t xml:space="preserve"> </w:t>
      </w:r>
    </w:p>
    <w:p w:rsidR="00CB47B4" w:rsidRDefault="00CB47B4" w:rsidP="00CB47B4">
      <w:r>
        <w:t>Attachment 7 – operating expenditure</w:t>
      </w:r>
    </w:p>
    <w:p w:rsidR="00CB47B4" w:rsidRDefault="00CB47B4" w:rsidP="00CB47B4">
      <w:r>
        <w:t>Attachment 8 – corporate income tax</w:t>
      </w:r>
    </w:p>
    <w:p w:rsidR="00CB47B4" w:rsidRDefault="00CB47B4" w:rsidP="00CB47B4">
      <w:r>
        <w:t>Attachment 9 – efficiency benefit sharing scheme</w:t>
      </w:r>
    </w:p>
    <w:p w:rsidR="00CB47B4" w:rsidRDefault="00CB47B4" w:rsidP="00CB47B4">
      <w:r w:rsidRPr="00DF268E">
        <w:t xml:space="preserve">Attachment </w:t>
      </w:r>
      <w:r>
        <w:t>10</w:t>
      </w:r>
      <w:r w:rsidRPr="00DF268E">
        <w:t xml:space="preserve"> –</w:t>
      </w:r>
      <w:r>
        <w:t xml:space="preserve"> capital expenditure sharing scheme</w:t>
      </w:r>
    </w:p>
    <w:p w:rsidR="00CB47B4" w:rsidRDefault="00CB47B4" w:rsidP="00CB47B4">
      <w:r w:rsidRPr="00DF268E">
        <w:t>Attachment 1</w:t>
      </w:r>
      <w:r>
        <w:t>1 – service target performance incentive scheme</w:t>
      </w:r>
    </w:p>
    <w:p w:rsidR="00CB47B4" w:rsidRDefault="00CB47B4" w:rsidP="00CB47B4">
      <w:r w:rsidRPr="00DF268E">
        <w:t>Attachment 1</w:t>
      </w:r>
      <w:r>
        <w:t>2</w:t>
      </w:r>
      <w:r w:rsidRPr="00DF268E">
        <w:t xml:space="preserve"> –</w:t>
      </w:r>
      <w:r>
        <w:t xml:space="preserve"> pricing methodology</w:t>
      </w:r>
    </w:p>
    <w:p w:rsidR="00CB47B4" w:rsidRPr="001E5109" w:rsidRDefault="00CB47B4" w:rsidP="00CB47B4">
      <w:r w:rsidRPr="001E5109">
        <w:t>Attachment 1</w:t>
      </w:r>
      <w:r>
        <w:t>3</w:t>
      </w:r>
      <w:r w:rsidRPr="001E5109">
        <w:t xml:space="preserve"> – </w:t>
      </w:r>
      <w:r>
        <w:t>pass through events</w:t>
      </w:r>
    </w:p>
    <w:p w:rsidR="00CB47B4" w:rsidRPr="001E5109" w:rsidRDefault="00CB47B4" w:rsidP="00CB47B4">
      <w:r w:rsidRPr="001E5109">
        <w:t>Attachment 1</w:t>
      </w:r>
      <w:r>
        <w:t>4</w:t>
      </w:r>
      <w:r w:rsidRPr="001E5109">
        <w:t xml:space="preserve"> – </w:t>
      </w:r>
      <w:r>
        <w:t>negotiated services</w:t>
      </w:r>
    </w:p>
    <w:p w:rsidR="00CB47B4" w:rsidRPr="009528E7" w:rsidRDefault="00CB47B4" w:rsidP="00CB47B4">
      <w:pPr>
        <w:pStyle w:val="UnnumberedHeading"/>
      </w:pPr>
      <w:bookmarkStart w:id="3" w:name="_Toc403125508"/>
      <w:bookmarkStart w:id="4" w:name="_Toc403403331"/>
      <w:bookmarkStart w:id="5" w:name="_Toc404752516"/>
      <w:r w:rsidRPr="009528E7">
        <w:lastRenderedPageBreak/>
        <w:t>Contents</w:t>
      </w:r>
      <w:bookmarkEnd w:id="3"/>
      <w:bookmarkEnd w:id="4"/>
      <w:bookmarkEnd w:id="5"/>
    </w:p>
    <w:sdt>
      <w:sdtPr>
        <w:rPr>
          <w:b w:val="0"/>
          <w:bCs w:val="0"/>
        </w:rPr>
        <w:id w:val="1963686839"/>
        <w:docPartObj>
          <w:docPartGallery w:val="Table of Contents"/>
          <w:docPartUnique/>
        </w:docPartObj>
      </w:sdtPr>
      <w:sdtEndPr/>
      <w:sdtContent>
        <w:p w:rsidR="0002465C" w:rsidRDefault="0002465C">
          <w:pPr>
            <w:pStyle w:val="TOC1"/>
            <w:tabs>
              <w:tab w:val="right" w:leader="dot" w:pos="9016"/>
            </w:tabs>
          </w:pPr>
        </w:p>
        <w:p w:rsidR="000842E8" w:rsidRDefault="00CB47B4">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CB47B4">
            <w:instrText xml:space="preserve"> TOC \o \h \z \u </w:instrText>
          </w:r>
          <w:r>
            <w:fldChar w:fldCharType="separate"/>
          </w:r>
          <w:hyperlink w:anchor="_Toc404752515" w:history="1">
            <w:r w:rsidR="000842E8" w:rsidRPr="00CB31CC">
              <w:rPr>
                <w:rStyle w:val="Hyperlink"/>
                <w:noProof/>
              </w:rPr>
              <w:t>Note</w:t>
            </w:r>
            <w:r w:rsidR="000842E8">
              <w:rPr>
                <w:noProof/>
                <w:webHidden/>
              </w:rPr>
              <w:tab/>
            </w:r>
            <w:r w:rsidR="000842E8">
              <w:rPr>
                <w:noProof/>
                <w:webHidden/>
              </w:rPr>
              <w:fldChar w:fldCharType="begin"/>
            </w:r>
            <w:r w:rsidR="000842E8">
              <w:rPr>
                <w:noProof/>
                <w:webHidden/>
              </w:rPr>
              <w:instrText xml:space="preserve"> PAGEREF _Toc404752515 \h </w:instrText>
            </w:r>
            <w:r w:rsidR="000842E8">
              <w:rPr>
                <w:noProof/>
                <w:webHidden/>
              </w:rPr>
            </w:r>
            <w:r w:rsidR="000842E8">
              <w:rPr>
                <w:noProof/>
                <w:webHidden/>
              </w:rPr>
              <w:fldChar w:fldCharType="separate"/>
            </w:r>
            <w:r w:rsidR="00683440">
              <w:rPr>
                <w:noProof/>
                <w:webHidden/>
              </w:rPr>
              <w:t>3</w:t>
            </w:r>
            <w:r w:rsidR="000842E8">
              <w:rPr>
                <w:noProof/>
                <w:webHidden/>
              </w:rPr>
              <w:fldChar w:fldCharType="end"/>
            </w:r>
          </w:hyperlink>
        </w:p>
        <w:p w:rsidR="000842E8" w:rsidRDefault="005668C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516" w:history="1">
            <w:r w:rsidR="000842E8" w:rsidRPr="00CB31CC">
              <w:rPr>
                <w:rStyle w:val="Hyperlink"/>
                <w:noProof/>
              </w:rPr>
              <w:t>Contents</w:t>
            </w:r>
            <w:r w:rsidR="000842E8">
              <w:rPr>
                <w:noProof/>
                <w:webHidden/>
              </w:rPr>
              <w:tab/>
            </w:r>
            <w:r w:rsidR="000842E8">
              <w:rPr>
                <w:noProof/>
                <w:webHidden/>
              </w:rPr>
              <w:fldChar w:fldCharType="begin"/>
            </w:r>
            <w:r w:rsidR="000842E8">
              <w:rPr>
                <w:noProof/>
                <w:webHidden/>
              </w:rPr>
              <w:instrText xml:space="preserve"> PAGEREF _Toc404752516 \h </w:instrText>
            </w:r>
            <w:r w:rsidR="000842E8">
              <w:rPr>
                <w:noProof/>
                <w:webHidden/>
              </w:rPr>
            </w:r>
            <w:r w:rsidR="000842E8">
              <w:rPr>
                <w:noProof/>
                <w:webHidden/>
              </w:rPr>
              <w:fldChar w:fldCharType="separate"/>
            </w:r>
            <w:r w:rsidR="00683440">
              <w:rPr>
                <w:noProof/>
                <w:webHidden/>
              </w:rPr>
              <w:t>4</w:t>
            </w:r>
            <w:r w:rsidR="000842E8">
              <w:rPr>
                <w:noProof/>
                <w:webHidden/>
              </w:rPr>
              <w:fldChar w:fldCharType="end"/>
            </w:r>
          </w:hyperlink>
        </w:p>
        <w:p w:rsidR="000842E8" w:rsidRDefault="005668C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752517" w:history="1">
            <w:r w:rsidR="000842E8" w:rsidRPr="00CB31CC">
              <w:rPr>
                <w:rStyle w:val="Hyperlink"/>
                <w:noProof/>
              </w:rPr>
              <w:t>Shortened forms</w:t>
            </w:r>
            <w:r w:rsidR="000842E8">
              <w:rPr>
                <w:noProof/>
                <w:webHidden/>
              </w:rPr>
              <w:tab/>
            </w:r>
            <w:r w:rsidR="000842E8">
              <w:rPr>
                <w:noProof/>
                <w:webHidden/>
              </w:rPr>
              <w:fldChar w:fldCharType="begin"/>
            </w:r>
            <w:r w:rsidR="000842E8">
              <w:rPr>
                <w:noProof/>
                <w:webHidden/>
              </w:rPr>
              <w:instrText xml:space="preserve"> PAGEREF _Toc404752517 \h </w:instrText>
            </w:r>
            <w:r w:rsidR="000842E8">
              <w:rPr>
                <w:noProof/>
                <w:webHidden/>
              </w:rPr>
            </w:r>
            <w:r w:rsidR="000842E8">
              <w:rPr>
                <w:noProof/>
                <w:webHidden/>
              </w:rPr>
              <w:fldChar w:fldCharType="separate"/>
            </w:r>
            <w:r w:rsidR="00683440">
              <w:rPr>
                <w:noProof/>
                <w:webHidden/>
              </w:rPr>
              <w:t>5</w:t>
            </w:r>
            <w:r w:rsidR="000842E8">
              <w:rPr>
                <w:noProof/>
                <w:webHidden/>
              </w:rPr>
              <w:fldChar w:fldCharType="end"/>
            </w:r>
          </w:hyperlink>
        </w:p>
        <w:p w:rsidR="000842E8" w:rsidRDefault="005668C4">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752518" w:history="1">
            <w:r w:rsidR="000842E8" w:rsidRPr="00CB31CC">
              <w:rPr>
                <w:rStyle w:val="Hyperlink"/>
                <w:noProof/>
              </w:rPr>
              <w:t>12</w:t>
            </w:r>
            <w:r w:rsidR="000842E8">
              <w:rPr>
                <w:rFonts w:asciiTheme="minorHAnsi" w:eastAsiaTheme="minorEastAsia" w:hAnsiTheme="minorHAnsi" w:cstheme="minorBidi"/>
                <w:b w:val="0"/>
                <w:bCs w:val="0"/>
                <w:noProof/>
                <w:sz w:val="22"/>
                <w:szCs w:val="22"/>
                <w:lang w:eastAsia="en-AU"/>
              </w:rPr>
              <w:tab/>
            </w:r>
            <w:r w:rsidR="000842E8" w:rsidRPr="00CB31CC">
              <w:rPr>
                <w:rStyle w:val="Hyperlink"/>
                <w:noProof/>
              </w:rPr>
              <w:t>Pricing methodology</w:t>
            </w:r>
            <w:r w:rsidR="000842E8">
              <w:rPr>
                <w:noProof/>
                <w:webHidden/>
              </w:rPr>
              <w:tab/>
            </w:r>
            <w:r w:rsidR="000842E8">
              <w:rPr>
                <w:noProof/>
                <w:webHidden/>
              </w:rPr>
              <w:fldChar w:fldCharType="begin"/>
            </w:r>
            <w:r w:rsidR="000842E8">
              <w:rPr>
                <w:noProof/>
                <w:webHidden/>
              </w:rPr>
              <w:instrText xml:space="preserve"> PAGEREF _Toc404752518 \h </w:instrText>
            </w:r>
            <w:r w:rsidR="000842E8">
              <w:rPr>
                <w:noProof/>
                <w:webHidden/>
              </w:rPr>
            </w:r>
            <w:r w:rsidR="000842E8">
              <w:rPr>
                <w:noProof/>
                <w:webHidden/>
              </w:rPr>
              <w:fldChar w:fldCharType="separate"/>
            </w:r>
            <w:r w:rsidR="00683440">
              <w:rPr>
                <w:noProof/>
                <w:webHidden/>
              </w:rPr>
              <w:t>6</w:t>
            </w:r>
            <w:r w:rsidR="000842E8">
              <w:rPr>
                <w:noProof/>
                <w:webHidden/>
              </w:rPr>
              <w:fldChar w:fldCharType="end"/>
            </w:r>
          </w:hyperlink>
        </w:p>
        <w:p w:rsidR="000842E8" w:rsidRDefault="005668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519" w:history="1">
            <w:r w:rsidR="000842E8" w:rsidRPr="00CB31CC">
              <w:rPr>
                <w:rStyle w:val="Hyperlink"/>
                <w:noProof/>
              </w:rPr>
              <w:t>12.1</w:t>
            </w:r>
            <w:r w:rsidR="000842E8">
              <w:rPr>
                <w:rFonts w:asciiTheme="minorHAnsi" w:eastAsiaTheme="minorEastAsia" w:hAnsiTheme="minorHAnsi" w:cstheme="minorBidi"/>
                <w:iCs w:val="0"/>
                <w:noProof/>
                <w:sz w:val="22"/>
                <w:szCs w:val="22"/>
                <w:lang w:eastAsia="en-AU"/>
              </w:rPr>
              <w:tab/>
            </w:r>
            <w:r w:rsidR="000842E8" w:rsidRPr="00CB31CC">
              <w:rPr>
                <w:rStyle w:val="Hyperlink"/>
                <w:noProof/>
              </w:rPr>
              <w:t>Draft decision</w:t>
            </w:r>
            <w:r w:rsidR="000842E8">
              <w:rPr>
                <w:noProof/>
                <w:webHidden/>
              </w:rPr>
              <w:tab/>
            </w:r>
            <w:r w:rsidR="000842E8">
              <w:rPr>
                <w:noProof/>
                <w:webHidden/>
              </w:rPr>
              <w:fldChar w:fldCharType="begin"/>
            </w:r>
            <w:r w:rsidR="000842E8">
              <w:rPr>
                <w:noProof/>
                <w:webHidden/>
              </w:rPr>
              <w:instrText xml:space="preserve"> PAGEREF _Toc404752519 \h </w:instrText>
            </w:r>
            <w:r w:rsidR="000842E8">
              <w:rPr>
                <w:noProof/>
                <w:webHidden/>
              </w:rPr>
            </w:r>
            <w:r w:rsidR="000842E8">
              <w:rPr>
                <w:noProof/>
                <w:webHidden/>
              </w:rPr>
              <w:fldChar w:fldCharType="separate"/>
            </w:r>
            <w:r w:rsidR="00683440">
              <w:rPr>
                <w:noProof/>
                <w:webHidden/>
              </w:rPr>
              <w:t>6</w:t>
            </w:r>
            <w:r w:rsidR="000842E8">
              <w:rPr>
                <w:noProof/>
                <w:webHidden/>
              </w:rPr>
              <w:fldChar w:fldCharType="end"/>
            </w:r>
          </w:hyperlink>
        </w:p>
        <w:p w:rsidR="000842E8" w:rsidRDefault="005668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520" w:history="1">
            <w:r w:rsidR="000842E8" w:rsidRPr="00CB31CC">
              <w:rPr>
                <w:rStyle w:val="Hyperlink"/>
                <w:noProof/>
              </w:rPr>
              <w:t>12.2</w:t>
            </w:r>
            <w:r w:rsidR="000842E8">
              <w:rPr>
                <w:rFonts w:asciiTheme="minorHAnsi" w:eastAsiaTheme="minorEastAsia" w:hAnsiTheme="minorHAnsi" w:cstheme="minorBidi"/>
                <w:iCs w:val="0"/>
                <w:noProof/>
                <w:sz w:val="22"/>
                <w:szCs w:val="22"/>
                <w:lang w:eastAsia="en-AU"/>
              </w:rPr>
              <w:tab/>
            </w:r>
            <w:r w:rsidR="000842E8" w:rsidRPr="00CB31CC">
              <w:rPr>
                <w:rStyle w:val="Hyperlink"/>
                <w:noProof/>
              </w:rPr>
              <w:t>TasNetworks' proposal</w:t>
            </w:r>
            <w:r w:rsidR="000842E8">
              <w:rPr>
                <w:noProof/>
                <w:webHidden/>
              </w:rPr>
              <w:tab/>
            </w:r>
            <w:r w:rsidR="000842E8">
              <w:rPr>
                <w:noProof/>
                <w:webHidden/>
              </w:rPr>
              <w:fldChar w:fldCharType="begin"/>
            </w:r>
            <w:r w:rsidR="000842E8">
              <w:rPr>
                <w:noProof/>
                <w:webHidden/>
              </w:rPr>
              <w:instrText xml:space="preserve"> PAGEREF _Toc404752520 \h </w:instrText>
            </w:r>
            <w:r w:rsidR="000842E8">
              <w:rPr>
                <w:noProof/>
                <w:webHidden/>
              </w:rPr>
            </w:r>
            <w:r w:rsidR="000842E8">
              <w:rPr>
                <w:noProof/>
                <w:webHidden/>
              </w:rPr>
              <w:fldChar w:fldCharType="separate"/>
            </w:r>
            <w:r w:rsidR="00683440">
              <w:rPr>
                <w:noProof/>
                <w:webHidden/>
              </w:rPr>
              <w:t>6</w:t>
            </w:r>
            <w:r w:rsidR="000842E8">
              <w:rPr>
                <w:noProof/>
                <w:webHidden/>
              </w:rPr>
              <w:fldChar w:fldCharType="end"/>
            </w:r>
          </w:hyperlink>
        </w:p>
        <w:p w:rsidR="000842E8" w:rsidRDefault="005668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521" w:history="1">
            <w:r w:rsidR="000842E8" w:rsidRPr="00CB31CC">
              <w:rPr>
                <w:rStyle w:val="Hyperlink"/>
                <w:noProof/>
              </w:rPr>
              <w:t>12.3</w:t>
            </w:r>
            <w:r w:rsidR="000842E8">
              <w:rPr>
                <w:rFonts w:asciiTheme="minorHAnsi" w:eastAsiaTheme="minorEastAsia" w:hAnsiTheme="minorHAnsi" w:cstheme="minorBidi"/>
                <w:iCs w:val="0"/>
                <w:noProof/>
                <w:sz w:val="22"/>
                <w:szCs w:val="22"/>
                <w:lang w:eastAsia="en-AU"/>
              </w:rPr>
              <w:tab/>
            </w:r>
            <w:r w:rsidR="000842E8" w:rsidRPr="00CB31CC">
              <w:rPr>
                <w:rStyle w:val="Hyperlink"/>
                <w:noProof/>
              </w:rPr>
              <w:t>AER's assessment approach</w:t>
            </w:r>
            <w:r w:rsidR="000842E8">
              <w:rPr>
                <w:noProof/>
                <w:webHidden/>
              </w:rPr>
              <w:tab/>
            </w:r>
            <w:r w:rsidR="000842E8">
              <w:rPr>
                <w:noProof/>
                <w:webHidden/>
              </w:rPr>
              <w:fldChar w:fldCharType="begin"/>
            </w:r>
            <w:r w:rsidR="000842E8">
              <w:rPr>
                <w:noProof/>
                <w:webHidden/>
              </w:rPr>
              <w:instrText xml:space="preserve"> PAGEREF _Toc404752521 \h </w:instrText>
            </w:r>
            <w:r w:rsidR="000842E8">
              <w:rPr>
                <w:noProof/>
                <w:webHidden/>
              </w:rPr>
            </w:r>
            <w:r w:rsidR="000842E8">
              <w:rPr>
                <w:noProof/>
                <w:webHidden/>
              </w:rPr>
              <w:fldChar w:fldCharType="separate"/>
            </w:r>
            <w:r w:rsidR="00683440">
              <w:rPr>
                <w:noProof/>
                <w:webHidden/>
              </w:rPr>
              <w:t>6</w:t>
            </w:r>
            <w:r w:rsidR="000842E8">
              <w:rPr>
                <w:noProof/>
                <w:webHidden/>
              </w:rPr>
              <w:fldChar w:fldCharType="end"/>
            </w:r>
          </w:hyperlink>
        </w:p>
        <w:p w:rsidR="000842E8" w:rsidRDefault="005668C4">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752522" w:history="1">
            <w:r w:rsidR="000842E8" w:rsidRPr="00CB31CC">
              <w:rPr>
                <w:rStyle w:val="Hyperlink"/>
                <w:noProof/>
              </w:rPr>
              <w:t>12.4</w:t>
            </w:r>
            <w:r w:rsidR="000842E8">
              <w:rPr>
                <w:rFonts w:asciiTheme="minorHAnsi" w:eastAsiaTheme="minorEastAsia" w:hAnsiTheme="minorHAnsi" w:cstheme="minorBidi"/>
                <w:iCs w:val="0"/>
                <w:noProof/>
                <w:sz w:val="22"/>
                <w:szCs w:val="22"/>
                <w:lang w:eastAsia="en-AU"/>
              </w:rPr>
              <w:tab/>
            </w:r>
            <w:r w:rsidR="000842E8" w:rsidRPr="00CB31CC">
              <w:rPr>
                <w:rStyle w:val="Hyperlink"/>
                <w:noProof/>
              </w:rPr>
              <w:t>Reasons for draft decision</w:t>
            </w:r>
            <w:r w:rsidR="000842E8">
              <w:rPr>
                <w:noProof/>
                <w:webHidden/>
              </w:rPr>
              <w:tab/>
            </w:r>
            <w:r w:rsidR="000842E8">
              <w:rPr>
                <w:noProof/>
                <w:webHidden/>
              </w:rPr>
              <w:fldChar w:fldCharType="begin"/>
            </w:r>
            <w:r w:rsidR="000842E8">
              <w:rPr>
                <w:noProof/>
                <w:webHidden/>
              </w:rPr>
              <w:instrText xml:space="preserve"> PAGEREF _Toc404752522 \h </w:instrText>
            </w:r>
            <w:r w:rsidR="000842E8">
              <w:rPr>
                <w:noProof/>
                <w:webHidden/>
              </w:rPr>
            </w:r>
            <w:r w:rsidR="000842E8">
              <w:rPr>
                <w:noProof/>
                <w:webHidden/>
              </w:rPr>
              <w:fldChar w:fldCharType="separate"/>
            </w:r>
            <w:r w:rsidR="00683440">
              <w:rPr>
                <w:noProof/>
                <w:webHidden/>
              </w:rPr>
              <w:t>7</w:t>
            </w:r>
            <w:r w:rsidR="000842E8">
              <w:rPr>
                <w:noProof/>
                <w:webHidden/>
              </w:rPr>
              <w:fldChar w:fldCharType="end"/>
            </w:r>
          </w:hyperlink>
        </w:p>
        <w:p w:rsidR="000842E8" w:rsidRDefault="005668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523" w:history="1">
            <w:r w:rsidR="000842E8" w:rsidRPr="00CB31CC">
              <w:rPr>
                <w:rStyle w:val="Hyperlink"/>
                <w:noProof/>
              </w:rPr>
              <w:t>12.4.1</w:t>
            </w:r>
            <w:r w:rsidR="000842E8">
              <w:rPr>
                <w:rFonts w:asciiTheme="minorHAnsi" w:eastAsiaTheme="minorEastAsia" w:hAnsiTheme="minorHAnsi" w:cstheme="minorBidi"/>
                <w:noProof/>
                <w:sz w:val="22"/>
                <w:szCs w:val="22"/>
                <w:lang w:eastAsia="en-AU"/>
              </w:rPr>
              <w:tab/>
            </w:r>
            <w:r w:rsidR="000842E8" w:rsidRPr="00CB31CC">
              <w:rPr>
                <w:rStyle w:val="Hyperlink"/>
                <w:noProof/>
              </w:rPr>
              <w:t>Standby service arrangements</w:t>
            </w:r>
            <w:r w:rsidR="000842E8">
              <w:rPr>
                <w:noProof/>
                <w:webHidden/>
              </w:rPr>
              <w:tab/>
            </w:r>
            <w:r w:rsidR="000842E8">
              <w:rPr>
                <w:noProof/>
                <w:webHidden/>
              </w:rPr>
              <w:fldChar w:fldCharType="begin"/>
            </w:r>
            <w:r w:rsidR="000842E8">
              <w:rPr>
                <w:noProof/>
                <w:webHidden/>
              </w:rPr>
              <w:instrText xml:space="preserve"> PAGEREF _Toc404752523 \h </w:instrText>
            </w:r>
            <w:r w:rsidR="000842E8">
              <w:rPr>
                <w:noProof/>
                <w:webHidden/>
              </w:rPr>
            </w:r>
            <w:r w:rsidR="000842E8">
              <w:rPr>
                <w:noProof/>
                <w:webHidden/>
              </w:rPr>
              <w:fldChar w:fldCharType="separate"/>
            </w:r>
            <w:r w:rsidR="00683440">
              <w:rPr>
                <w:noProof/>
                <w:webHidden/>
              </w:rPr>
              <w:t>7</w:t>
            </w:r>
            <w:r w:rsidR="000842E8">
              <w:rPr>
                <w:noProof/>
                <w:webHidden/>
              </w:rPr>
              <w:fldChar w:fldCharType="end"/>
            </w:r>
          </w:hyperlink>
        </w:p>
        <w:p w:rsidR="000842E8" w:rsidRDefault="005668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524" w:history="1">
            <w:r w:rsidR="000842E8" w:rsidRPr="00CB31CC">
              <w:rPr>
                <w:rStyle w:val="Hyperlink"/>
                <w:noProof/>
              </w:rPr>
              <w:t>12.4.2</w:t>
            </w:r>
            <w:r w:rsidR="000842E8">
              <w:rPr>
                <w:rFonts w:asciiTheme="minorHAnsi" w:eastAsiaTheme="minorEastAsia" w:hAnsiTheme="minorHAnsi" w:cstheme="minorBidi"/>
                <w:noProof/>
                <w:sz w:val="22"/>
                <w:szCs w:val="22"/>
                <w:lang w:eastAsia="en-AU"/>
              </w:rPr>
              <w:tab/>
            </w:r>
            <w:r w:rsidR="000842E8" w:rsidRPr="00CB31CC">
              <w:rPr>
                <w:rStyle w:val="Hyperlink"/>
                <w:noProof/>
              </w:rPr>
              <w:t>Pricing of non-locational TUoS and common transmission services</w:t>
            </w:r>
            <w:r w:rsidR="000842E8">
              <w:rPr>
                <w:noProof/>
                <w:webHidden/>
              </w:rPr>
              <w:tab/>
            </w:r>
            <w:r w:rsidR="000842E8">
              <w:rPr>
                <w:noProof/>
                <w:webHidden/>
              </w:rPr>
              <w:fldChar w:fldCharType="begin"/>
            </w:r>
            <w:r w:rsidR="000842E8">
              <w:rPr>
                <w:noProof/>
                <w:webHidden/>
              </w:rPr>
              <w:instrText xml:space="preserve"> PAGEREF _Toc404752524 \h </w:instrText>
            </w:r>
            <w:r w:rsidR="000842E8">
              <w:rPr>
                <w:noProof/>
                <w:webHidden/>
              </w:rPr>
            </w:r>
            <w:r w:rsidR="000842E8">
              <w:rPr>
                <w:noProof/>
                <w:webHidden/>
              </w:rPr>
              <w:fldChar w:fldCharType="separate"/>
            </w:r>
            <w:r w:rsidR="00683440">
              <w:rPr>
                <w:noProof/>
                <w:webHidden/>
              </w:rPr>
              <w:t>8</w:t>
            </w:r>
            <w:r w:rsidR="000842E8">
              <w:rPr>
                <w:noProof/>
                <w:webHidden/>
              </w:rPr>
              <w:fldChar w:fldCharType="end"/>
            </w:r>
          </w:hyperlink>
        </w:p>
        <w:p w:rsidR="000842E8" w:rsidRDefault="005668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525" w:history="1">
            <w:r w:rsidR="000842E8" w:rsidRPr="00CB31CC">
              <w:rPr>
                <w:rStyle w:val="Hyperlink"/>
                <w:noProof/>
              </w:rPr>
              <w:t>12.4.3</w:t>
            </w:r>
            <w:r w:rsidR="000842E8">
              <w:rPr>
                <w:rFonts w:asciiTheme="minorHAnsi" w:eastAsiaTheme="minorEastAsia" w:hAnsiTheme="minorHAnsi" w:cstheme="minorBidi"/>
                <w:noProof/>
                <w:sz w:val="22"/>
                <w:szCs w:val="22"/>
                <w:lang w:eastAsia="en-AU"/>
              </w:rPr>
              <w:tab/>
            </w:r>
            <w:r w:rsidR="000842E8" w:rsidRPr="00CB31CC">
              <w:rPr>
                <w:rStyle w:val="Hyperlink"/>
                <w:noProof/>
              </w:rPr>
              <w:t>Overall assessment against the pricing principles</w:t>
            </w:r>
            <w:r w:rsidR="000842E8">
              <w:rPr>
                <w:noProof/>
                <w:webHidden/>
              </w:rPr>
              <w:tab/>
            </w:r>
            <w:r w:rsidR="000842E8">
              <w:rPr>
                <w:noProof/>
                <w:webHidden/>
              </w:rPr>
              <w:fldChar w:fldCharType="begin"/>
            </w:r>
            <w:r w:rsidR="000842E8">
              <w:rPr>
                <w:noProof/>
                <w:webHidden/>
              </w:rPr>
              <w:instrText xml:space="preserve"> PAGEREF _Toc404752525 \h </w:instrText>
            </w:r>
            <w:r w:rsidR="000842E8">
              <w:rPr>
                <w:noProof/>
                <w:webHidden/>
              </w:rPr>
            </w:r>
            <w:r w:rsidR="000842E8">
              <w:rPr>
                <w:noProof/>
                <w:webHidden/>
              </w:rPr>
              <w:fldChar w:fldCharType="separate"/>
            </w:r>
            <w:r w:rsidR="00683440">
              <w:rPr>
                <w:noProof/>
                <w:webHidden/>
              </w:rPr>
              <w:t>9</w:t>
            </w:r>
            <w:r w:rsidR="000842E8">
              <w:rPr>
                <w:noProof/>
                <w:webHidden/>
              </w:rPr>
              <w:fldChar w:fldCharType="end"/>
            </w:r>
          </w:hyperlink>
        </w:p>
        <w:p w:rsidR="000842E8" w:rsidRDefault="005668C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752526" w:history="1">
            <w:r w:rsidR="000842E8" w:rsidRPr="00CB31CC">
              <w:rPr>
                <w:rStyle w:val="Hyperlink"/>
                <w:noProof/>
              </w:rPr>
              <w:t>12.4.4</w:t>
            </w:r>
            <w:r w:rsidR="000842E8">
              <w:rPr>
                <w:rFonts w:asciiTheme="minorHAnsi" w:eastAsiaTheme="minorEastAsia" w:hAnsiTheme="minorHAnsi" w:cstheme="minorBidi"/>
                <w:noProof/>
                <w:sz w:val="22"/>
                <w:szCs w:val="22"/>
                <w:lang w:eastAsia="en-AU"/>
              </w:rPr>
              <w:tab/>
            </w:r>
            <w:r w:rsidR="000842E8" w:rsidRPr="00CB31CC">
              <w:rPr>
                <w:rStyle w:val="Hyperlink"/>
                <w:noProof/>
              </w:rPr>
              <w:t>Information requirements</w:t>
            </w:r>
            <w:r w:rsidR="000842E8">
              <w:rPr>
                <w:noProof/>
                <w:webHidden/>
              </w:rPr>
              <w:tab/>
            </w:r>
            <w:r w:rsidR="000842E8">
              <w:rPr>
                <w:noProof/>
                <w:webHidden/>
              </w:rPr>
              <w:fldChar w:fldCharType="begin"/>
            </w:r>
            <w:r w:rsidR="000842E8">
              <w:rPr>
                <w:noProof/>
                <w:webHidden/>
              </w:rPr>
              <w:instrText xml:space="preserve"> PAGEREF _Toc404752526 \h </w:instrText>
            </w:r>
            <w:r w:rsidR="000842E8">
              <w:rPr>
                <w:noProof/>
                <w:webHidden/>
              </w:rPr>
            </w:r>
            <w:r w:rsidR="000842E8">
              <w:rPr>
                <w:noProof/>
                <w:webHidden/>
              </w:rPr>
              <w:fldChar w:fldCharType="separate"/>
            </w:r>
            <w:r w:rsidR="00683440">
              <w:rPr>
                <w:noProof/>
                <w:webHidden/>
              </w:rPr>
              <w:t>11</w:t>
            </w:r>
            <w:r w:rsidR="000842E8">
              <w:rPr>
                <w:noProof/>
                <w:webHidden/>
              </w:rPr>
              <w:fldChar w:fldCharType="end"/>
            </w:r>
          </w:hyperlink>
        </w:p>
        <w:p w:rsidR="00CB47B4" w:rsidRPr="00CB47B4" w:rsidRDefault="00CB47B4" w:rsidP="00CB47B4">
          <w:r>
            <w:fldChar w:fldCharType="end"/>
          </w:r>
        </w:p>
      </w:sdtContent>
    </w:sdt>
    <w:p w:rsidR="00CB47B4" w:rsidRDefault="00CB47B4" w:rsidP="00CB47B4">
      <w:r>
        <w:br w:type="page"/>
      </w:r>
    </w:p>
    <w:p w:rsidR="00CB47B4" w:rsidRDefault="00CB47B4" w:rsidP="00CB47B4">
      <w:pPr>
        <w:pStyle w:val="UnnumberedHeading"/>
      </w:pPr>
      <w:bookmarkStart w:id="6" w:name="_Toc402981661"/>
      <w:bookmarkStart w:id="7" w:name="_Toc403403332"/>
      <w:bookmarkStart w:id="8" w:name="_Toc404752517"/>
      <w:r>
        <w:lastRenderedPageBreak/>
        <w:t>Shortened forms</w:t>
      </w:r>
      <w:bookmarkEnd w:id="6"/>
      <w:bookmarkEnd w:id="7"/>
      <w:bookmarkEnd w:id="8"/>
    </w:p>
    <w:tbl>
      <w:tblPr>
        <w:tblStyle w:val="AERtable-numbers"/>
        <w:tblW w:w="0" w:type="auto"/>
        <w:tblLook w:val="04A0" w:firstRow="1" w:lastRow="0" w:firstColumn="1" w:lastColumn="0" w:noHBand="0" w:noVBand="1"/>
      </w:tblPr>
      <w:tblGrid>
        <w:gridCol w:w="4621"/>
        <w:gridCol w:w="4621"/>
      </w:tblGrid>
      <w:tr w:rsidR="00CB47B4" w:rsidTr="002D5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Shortened form</w:t>
            </w:r>
          </w:p>
        </w:tc>
        <w:tc>
          <w:tcPr>
            <w:tcW w:w="4621" w:type="dxa"/>
          </w:tcPr>
          <w:p w:rsidR="00CB47B4" w:rsidRDefault="00CB47B4" w:rsidP="00CB47B4">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AARR</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AASB</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ABS</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Australian Bureau of Statistics</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AEMC</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AEMO</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AER</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ARPC</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rsidRPr="005D1E67">
              <w:t>Australian Reinsurance Pool Corporation</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ASRR</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ASX</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Australian Stock Exchange</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ATO</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Australian Tax Office</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augex</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augmentation expenditure</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Benchmarking report</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2959A4">
              <w:rPr>
                <w:rStyle w:val="AERtextitalic"/>
              </w:rPr>
              <w:t>Electricity transmission network service providers annual benchmarking report</w:t>
            </w:r>
            <w:r>
              <w:t>, November 2014</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capex</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capex incentive guideline</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CCP</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Consumer Challenge Panel</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CEG</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Competition Economics Group</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CESS</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CPI</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CB47B4" w:rsidTr="002D530D">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DAE</w:t>
            </w:r>
          </w:p>
        </w:tc>
        <w:tc>
          <w:tcPr>
            <w:tcW w:w="4621" w:type="dxa"/>
          </w:tcPr>
          <w:p w:rsidR="00CB47B4" w:rsidRDefault="00CB47B4" w:rsidP="00CB47B4">
            <w:pPr>
              <w:pStyle w:val="AERbodytext"/>
              <w:cnfStyle w:val="000000000000" w:firstRow="0" w:lastRow="0" w:firstColumn="0" w:lastColumn="0" w:oddVBand="0" w:evenVBand="0" w:oddHBand="0" w:evenHBand="0" w:firstRowFirstColumn="0" w:firstRowLastColumn="0" w:lastRowFirstColumn="0" w:lastRowLastColumn="0"/>
            </w:pPr>
            <w:r>
              <w:t>Deloitte Access Economic</w:t>
            </w:r>
          </w:p>
        </w:tc>
      </w:tr>
      <w:tr w:rsidR="00CB47B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B47B4" w:rsidRDefault="00CB47B4" w:rsidP="00CB47B4">
            <w:pPr>
              <w:pStyle w:val="AERbodytext"/>
            </w:pPr>
            <w:r>
              <w:t>DRP</w:t>
            </w:r>
          </w:p>
        </w:tc>
        <w:tc>
          <w:tcPr>
            <w:tcW w:w="4621" w:type="dxa"/>
          </w:tcPr>
          <w:p w:rsidR="00CB47B4" w:rsidRDefault="00CB47B4" w:rsidP="00CB47B4">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bl>
    <w:p w:rsidR="009C00B0" w:rsidRDefault="009C00B0">
      <w:pPr>
        <w:spacing w:after="0" w:line="240" w:lineRule="auto"/>
        <w:jc w:val="left"/>
      </w:pPr>
      <w:r>
        <w:br w:type="page"/>
      </w:r>
    </w:p>
    <w:p w:rsidR="00C1164B" w:rsidRPr="00A54CB5" w:rsidRDefault="00C1164B" w:rsidP="000842E8">
      <w:pPr>
        <w:pStyle w:val="Heading1"/>
        <w:numPr>
          <w:ilvl w:val="1"/>
          <w:numId w:val="48"/>
        </w:numPr>
      </w:pPr>
      <w:bookmarkStart w:id="9" w:name="_Toc404752518"/>
      <w:r w:rsidRPr="00A54CB5">
        <w:lastRenderedPageBreak/>
        <w:t>Pricing methodology</w:t>
      </w:r>
      <w:bookmarkEnd w:id="0"/>
      <w:bookmarkEnd w:id="9"/>
    </w:p>
    <w:p w:rsidR="00676E77" w:rsidRDefault="0036075C" w:rsidP="0019537E">
      <w:pPr>
        <w:pStyle w:val="AERbodytext"/>
      </w:pPr>
      <w:r w:rsidRPr="0036075C">
        <w:t xml:space="preserve">This attachment sets out the determination on </w:t>
      </w:r>
      <w:r>
        <w:t>TasNetworks</w:t>
      </w:r>
      <w:r w:rsidR="00A405FA">
        <w:t>'</w:t>
      </w:r>
      <w:r>
        <w:t xml:space="preserve"> proposed</w:t>
      </w:r>
      <w:r w:rsidR="00A405FA">
        <w:t xml:space="preserve"> pricing methodology</w:t>
      </w:r>
      <w:r>
        <w:t xml:space="preserve"> for the 2015–19</w:t>
      </w:r>
      <w:r w:rsidRPr="0036075C">
        <w:t xml:space="preserve"> regulatory control </w:t>
      </w:r>
      <w:proofErr w:type="gramStart"/>
      <w:r w:rsidRPr="0036075C">
        <w:t>period</w:t>
      </w:r>
      <w:proofErr w:type="gramEnd"/>
      <w:r w:rsidRPr="0036075C">
        <w:t>.</w:t>
      </w:r>
      <w:r w:rsidR="00676E77">
        <w:t xml:space="preserve">  </w:t>
      </w:r>
    </w:p>
    <w:p w:rsidR="0019537E" w:rsidRPr="0019537E" w:rsidRDefault="006752A3" w:rsidP="003635A7">
      <w:pPr>
        <w:pStyle w:val="AERbodytext"/>
      </w:pPr>
      <w:r>
        <w:t>A</w:t>
      </w:r>
      <w:r w:rsidR="00676E77">
        <w:t xml:space="preserve"> pricing methodology </w:t>
      </w:r>
      <w:r>
        <w:t>forms</w:t>
      </w:r>
      <w:r w:rsidR="00676E77">
        <w:t xml:space="preserve"> part of our transmission determination</w:t>
      </w:r>
      <w:r w:rsidR="00717506">
        <w:t>.</w:t>
      </w:r>
      <w:r w:rsidR="003635A7">
        <w:rPr>
          <w:rStyle w:val="FootnoteReference"/>
        </w:rPr>
        <w:footnoteReference w:id="1"/>
      </w:r>
      <w:r w:rsidR="003635A7">
        <w:t xml:space="preserve"> </w:t>
      </w:r>
      <w:r w:rsidR="00B07F24">
        <w:t>Its role is to</w:t>
      </w:r>
      <w:r w:rsidR="00676E77">
        <w:t xml:space="preserve"> </w:t>
      </w:r>
      <w:r w:rsidR="00B07F24">
        <w:t>answer</w:t>
      </w:r>
      <w:r w:rsidR="00EF753E">
        <w:t xml:space="preserve"> the question</w:t>
      </w:r>
      <w:r w:rsidR="0019537E">
        <w:t xml:space="preserve"> ‘who should pay how much</w:t>
      </w:r>
      <w:r w:rsidR="006A4423">
        <w:t>'</w:t>
      </w:r>
      <w:r w:rsidR="006A4423">
        <w:rPr>
          <w:rStyle w:val="FootnoteReference"/>
        </w:rPr>
        <w:footnoteReference w:id="2"/>
      </w:r>
      <w:r w:rsidR="0019537E" w:rsidRPr="0019537E">
        <w:t xml:space="preserve"> in order </w:t>
      </w:r>
      <w:r w:rsidR="006A4423">
        <w:t xml:space="preserve">for </w:t>
      </w:r>
      <w:r w:rsidR="0081504C">
        <w:t>a transmission business</w:t>
      </w:r>
      <w:r w:rsidR="006A4423">
        <w:t xml:space="preserve"> </w:t>
      </w:r>
      <w:r w:rsidR="00EF753E">
        <w:t xml:space="preserve">to recover </w:t>
      </w:r>
      <w:r w:rsidR="0081504C">
        <w:t>its</w:t>
      </w:r>
      <w:r w:rsidR="00EF753E">
        <w:t xml:space="preserve"> costs</w:t>
      </w:r>
      <w:r w:rsidR="006A4423">
        <w:t>.</w:t>
      </w:r>
      <w:r w:rsidR="00EF753E">
        <w:t xml:space="preserve"> To do this, </w:t>
      </w:r>
      <w:r w:rsidR="00B07F24">
        <w:t>a pricing methodology</w:t>
      </w:r>
      <w:r w:rsidR="00B24B92">
        <w:t xml:space="preserve"> must </w:t>
      </w:r>
      <w:r w:rsidR="003F796D">
        <w:t>provide</w:t>
      </w:r>
      <w:r w:rsidR="00B24B92">
        <w:t xml:space="preserve"> a 'formula, process or approach'</w:t>
      </w:r>
      <w:r w:rsidR="00B24B92">
        <w:rPr>
          <w:rStyle w:val="FootnoteReference"/>
        </w:rPr>
        <w:footnoteReference w:id="3"/>
      </w:r>
      <w:r w:rsidR="00B24B92">
        <w:t xml:space="preserve"> that when applied</w:t>
      </w:r>
      <w:r w:rsidR="00EF753E">
        <w:t>:</w:t>
      </w:r>
    </w:p>
    <w:p w:rsidR="0036075C" w:rsidRDefault="00A405FA" w:rsidP="00EF753E">
      <w:pPr>
        <w:pStyle w:val="AERbulletlistfirststyle"/>
      </w:pPr>
      <w:r>
        <w:t>allocate</w:t>
      </w:r>
      <w:r w:rsidR="00B24B92">
        <w:t>s</w:t>
      </w:r>
      <w:r>
        <w:t xml:space="preserve"> </w:t>
      </w:r>
      <w:r w:rsidR="002764F6">
        <w:t>the</w:t>
      </w:r>
      <w:r w:rsidR="0036075C" w:rsidRPr="0036075C">
        <w:t xml:space="preserve"> aggregate annual revenue requirement to the categories of prescribed transmission services that </w:t>
      </w:r>
      <w:r w:rsidR="0036075C">
        <w:t>a transmission</w:t>
      </w:r>
      <w:r w:rsidR="0036075C" w:rsidRPr="0036075C">
        <w:t xml:space="preserve"> </w:t>
      </w:r>
      <w:r w:rsidR="0036075C">
        <w:t>business</w:t>
      </w:r>
      <w:r w:rsidR="0036075C" w:rsidRPr="0036075C">
        <w:t xml:space="preserve"> provides and to the connection points of network </w:t>
      </w:r>
      <w:r w:rsidR="0036075C">
        <w:t>users</w:t>
      </w:r>
      <w:r w:rsidR="0036075C">
        <w:rPr>
          <w:rStyle w:val="FootnoteReference"/>
        </w:rPr>
        <w:footnoteReference w:id="4"/>
      </w:r>
    </w:p>
    <w:p w:rsidR="0036075C" w:rsidRDefault="002764F6" w:rsidP="0036075C">
      <w:pPr>
        <w:pStyle w:val="AERbulletlistfirststyle"/>
      </w:pPr>
      <w:r>
        <w:t>determine</w:t>
      </w:r>
      <w:r w:rsidR="00B24B92">
        <w:t>s</w:t>
      </w:r>
      <w:r w:rsidR="0036075C" w:rsidRPr="0036075C">
        <w:t xml:space="preserve"> the structure of prices that a </w:t>
      </w:r>
      <w:r w:rsidR="0036075C">
        <w:t>transmission business</w:t>
      </w:r>
      <w:r w:rsidR="0036075C" w:rsidRPr="0036075C">
        <w:t xml:space="preserve"> may charge for each category of pre</w:t>
      </w:r>
      <w:r w:rsidR="0036075C">
        <w:t>scribed transmission services.</w:t>
      </w:r>
      <w:r w:rsidR="0036075C">
        <w:rPr>
          <w:rStyle w:val="FootnoteReference"/>
        </w:rPr>
        <w:footnoteReference w:id="5"/>
      </w:r>
      <w:r w:rsidR="0036075C">
        <w:t xml:space="preserve"> </w:t>
      </w:r>
    </w:p>
    <w:p w:rsidR="00C1164B" w:rsidRPr="00352762" w:rsidRDefault="005317B8" w:rsidP="008535F5">
      <w:pPr>
        <w:pStyle w:val="AERbodytext"/>
      </w:pPr>
      <w:r>
        <w:t>A pricing methodology relates to prescribed transmission services</w:t>
      </w:r>
      <w:r w:rsidR="0036075C">
        <w:t xml:space="preserve"> only</w:t>
      </w:r>
      <w:r>
        <w:t xml:space="preserve">. For negotiated services, </w:t>
      </w:r>
      <w:r w:rsidR="007402FB">
        <w:t>TasNetworks</w:t>
      </w:r>
      <w:r>
        <w:t xml:space="preserve"> must comply with </w:t>
      </w:r>
      <w:r w:rsidR="00221F22">
        <w:t xml:space="preserve">other requirements, which are discussed in </w:t>
      </w:r>
      <w:r w:rsidR="00154FE6">
        <w:t>attachment 14</w:t>
      </w:r>
      <w:r w:rsidR="00B07F24">
        <w:t xml:space="preserve"> </w:t>
      </w:r>
      <w:r w:rsidR="00221F22">
        <w:t>of this draft decision</w:t>
      </w:r>
      <w:r>
        <w:t xml:space="preserve">. </w:t>
      </w:r>
    </w:p>
    <w:p w:rsidR="00C1164B" w:rsidRDefault="00C1164B" w:rsidP="00C1164B">
      <w:pPr>
        <w:pStyle w:val="Heading2"/>
      </w:pPr>
      <w:bookmarkStart w:id="10" w:name="_Toc396839256"/>
      <w:bookmarkStart w:id="11" w:name="_Toc404752519"/>
      <w:r w:rsidRPr="00B47945">
        <w:t>Draft decision</w:t>
      </w:r>
      <w:bookmarkEnd w:id="10"/>
      <w:bookmarkEnd w:id="11"/>
    </w:p>
    <w:p w:rsidR="00C1164B" w:rsidRPr="00352762" w:rsidRDefault="00824809" w:rsidP="00C1164B">
      <w:pPr>
        <w:pStyle w:val="AERbodytext"/>
      </w:pPr>
      <w:r>
        <w:t xml:space="preserve">We approve TasNetworks' pricing methodology for the 2015–19 regulatory control period. </w:t>
      </w:r>
      <w:r w:rsidR="006752A3">
        <w:t>This is because</w:t>
      </w:r>
      <w:r>
        <w:t xml:space="preserve"> </w:t>
      </w:r>
      <w:r w:rsidR="006752A3">
        <w:t>it</w:t>
      </w:r>
      <w:r>
        <w:t xml:space="preserve"> gives effect to the pricing principles in the </w:t>
      </w:r>
      <w:r w:rsidR="003F60A5">
        <w:t>NER</w:t>
      </w:r>
      <w:r>
        <w:t xml:space="preserve"> and complies with the information requirements </w:t>
      </w:r>
      <w:r w:rsidR="006752A3">
        <w:t>set out in</w:t>
      </w:r>
      <w:r>
        <w:t xml:space="preserve"> the pricing methodology guidelines.</w:t>
      </w:r>
      <w:r>
        <w:rPr>
          <w:rStyle w:val="FootnoteReference"/>
        </w:rPr>
        <w:footnoteReference w:id="6"/>
      </w:r>
    </w:p>
    <w:p w:rsidR="00C1164B" w:rsidRDefault="00824809" w:rsidP="00C1164B">
      <w:pPr>
        <w:pStyle w:val="Heading2"/>
      </w:pPr>
      <w:bookmarkStart w:id="12" w:name="_Toc396839257"/>
      <w:bookmarkStart w:id="13" w:name="_Toc404752520"/>
      <w:r>
        <w:t>TasNetworks'</w:t>
      </w:r>
      <w:r w:rsidR="00C1164B">
        <w:t xml:space="preserve"> proposal</w:t>
      </w:r>
      <w:bookmarkEnd w:id="12"/>
      <w:bookmarkEnd w:id="13"/>
    </w:p>
    <w:p w:rsidR="008F1DCF" w:rsidRDefault="00C97CE9" w:rsidP="008F1DCF">
      <w:pPr>
        <w:pStyle w:val="AERbodytext"/>
      </w:pPr>
      <w:r>
        <w:t>In May</w:t>
      </w:r>
      <w:r w:rsidR="008F1DCF">
        <w:t xml:space="preserve"> 2014, TasNetworks submitted its proposed pricing methodology for the 2015–19 regulatory control period. We assessed TasNetworks' proposal as largely the same as the prici</w:t>
      </w:r>
      <w:r w:rsidR="003F60A5">
        <w:t>ng methodology we approved for the</w:t>
      </w:r>
      <w:r w:rsidR="008F1DCF">
        <w:t xml:space="preserve"> 20</w:t>
      </w:r>
      <w:r w:rsidR="003F60A5">
        <w:t>0</w:t>
      </w:r>
      <w:r w:rsidR="006752A3">
        <w:t>9–14 regulatory control period,</w:t>
      </w:r>
      <w:r w:rsidR="008F1DCF">
        <w:t xml:space="preserve"> with the exception of the introduction of standby service arrangements for network customers.</w:t>
      </w:r>
    </w:p>
    <w:p w:rsidR="008F1DCF" w:rsidRPr="00824809" w:rsidRDefault="008F1DCF" w:rsidP="00A42D0D">
      <w:pPr>
        <w:pStyle w:val="AERbodytext"/>
      </w:pPr>
      <w:r w:rsidRPr="008F1DCF">
        <w:t xml:space="preserve">Standby service arrangements allow network customers to contract to an agreed maximum demand under normal operating conditions and a greater demand on a standby basis. If approved, it would allow some network customers to increase their load above the </w:t>
      </w:r>
      <w:r w:rsidR="003F60A5">
        <w:t xml:space="preserve">contracted </w:t>
      </w:r>
      <w:r w:rsidRPr="008F1DCF">
        <w:t>agreed maximum demand in their connection agreement without incurring a penalty.</w:t>
      </w:r>
      <w:r w:rsidR="00C97CE9">
        <w:rPr>
          <w:rStyle w:val="FootnoteReference"/>
        </w:rPr>
        <w:footnoteReference w:id="7"/>
      </w:r>
      <w:r w:rsidRPr="008F1DCF">
        <w:t xml:space="preserve"> The availability of this </w:t>
      </w:r>
      <w:r w:rsidR="006752A3">
        <w:t>procedure</w:t>
      </w:r>
      <w:r w:rsidR="006752A3" w:rsidRPr="008F1DCF">
        <w:t xml:space="preserve"> </w:t>
      </w:r>
      <w:r w:rsidRPr="008F1DCF">
        <w:t xml:space="preserve">would be subject to the discretion of </w:t>
      </w:r>
      <w:r>
        <w:t>TasNetworks</w:t>
      </w:r>
      <w:r w:rsidRPr="008F1DCF">
        <w:t xml:space="preserve"> and the operational conditions of the transmission network.</w:t>
      </w:r>
      <w:r w:rsidR="00C97CE9">
        <w:rPr>
          <w:rStyle w:val="FootnoteReference"/>
        </w:rPr>
        <w:footnoteReference w:id="8"/>
      </w:r>
      <w:r w:rsidRPr="008F1DCF">
        <w:t xml:space="preserve"> </w:t>
      </w:r>
    </w:p>
    <w:p w:rsidR="00C1164B" w:rsidRDefault="00C1164B" w:rsidP="00C1164B">
      <w:pPr>
        <w:pStyle w:val="Heading2"/>
      </w:pPr>
      <w:bookmarkStart w:id="14" w:name="_Toc396839258"/>
      <w:bookmarkStart w:id="15" w:name="_Toc404752521"/>
      <w:r w:rsidRPr="00B47945">
        <w:t>AER's assessment approach</w:t>
      </w:r>
      <w:bookmarkEnd w:id="14"/>
      <w:bookmarkEnd w:id="15"/>
    </w:p>
    <w:p w:rsidR="00A42D0D" w:rsidRPr="00A42D0D" w:rsidRDefault="006752A3" w:rsidP="00A42D0D">
      <w:pPr>
        <w:pStyle w:val="AERbodytext"/>
      </w:pPr>
      <w:r>
        <w:t>We</w:t>
      </w:r>
      <w:r w:rsidR="00A42D0D" w:rsidRPr="00A42D0D">
        <w:t xml:space="preserve"> must approve a </w:t>
      </w:r>
      <w:r w:rsidR="00A42D0D">
        <w:t xml:space="preserve">proposed pricing methodology </w:t>
      </w:r>
      <w:r w:rsidR="00A42D0D" w:rsidRPr="00A42D0D">
        <w:t xml:space="preserve">if satisfied that </w:t>
      </w:r>
      <w:r>
        <w:t>it</w:t>
      </w:r>
      <w:r w:rsidR="00A42D0D" w:rsidRPr="00A42D0D">
        <w:t>:</w:t>
      </w:r>
    </w:p>
    <w:p w:rsidR="00A42D0D" w:rsidRPr="00A42D0D" w:rsidRDefault="00A42D0D" w:rsidP="00A42D0D">
      <w:pPr>
        <w:pStyle w:val="AERbulletlistfirststyle"/>
      </w:pPr>
      <w:r w:rsidRPr="00A42D0D">
        <w:t xml:space="preserve">gives effect to, and complies with, the pricing principles for prescribed transmission services </w:t>
      </w:r>
    </w:p>
    <w:p w:rsidR="00A42D0D" w:rsidRPr="00A42D0D" w:rsidRDefault="00A42D0D" w:rsidP="00A42D0D">
      <w:pPr>
        <w:pStyle w:val="AERbulletlistfirststyle"/>
      </w:pPr>
      <w:r w:rsidRPr="00A42D0D">
        <w:lastRenderedPageBreak/>
        <w:t xml:space="preserve">complies with the information requirements of the pricing methodology guidelines.  </w:t>
      </w:r>
    </w:p>
    <w:p w:rsidR="00C1164B" w:rsidRPr="00ED09CD" w:rsidRDefault="00A42D0D" w:rsidP="00A42D0D">
      <w:pPr>
        <w:pStyle w:val="AERbodytext"/>
      </w:pPr>
      <w:r>
        <w:t>TasNetworks'</w:t>
      </w:r>
      <w:r w:rsidRPr="00A42D0D">
        <w:t xml:space="preserve"> proposed pricing methodology is largely the sam</w:t>
      </w:r>
      <w:r w:rsidR="006752A3">
        <w:t xml:space="preserve">e as its existing methodology. </w:t>
      </w:r>
      <w:r w:rsidR="00274BE1">
        <w:t>Our</w:t>
      </w:r>
      <w:r w:rsidRPr="00A42D0D">
        <w:t xml:space="preserve"> assessment therefore focused on the changes </w:t>
      </w:r>
      <w:r>
        <w:t>TasNetworks</w:t>
      </w:r>
      <w:r w:rsidR="003F1367">
        <w:t>'</w:t>
      </w:r>
      <w:r w:rsidRPr="00A42D0D">
        <w:t xml:space="preserve"> p</w:t>
      </w:r>
      <w:r>
        <w:t>roposed to introduce in 2015</w:t>
      </w:r>
      <w:r w:rsidR="006752A3">
        <w:t>–</w:t>
      </w:r>
      <w:r>
        <w:t>19</w:t>
      </w:r>
      <w:r w:rsidR="00B07F24">
        <w:t xml:space="preserve"> </w:t>
      </w:r>
      <w:r w:rsidR="007E037D">
        <w:t>(standby service arrangements)</w:t>
      </w:r>
      <w:r w:rsidRPr="00A42D0D">
        <w:t>.</w:t>
      </w:r>
      <w:r w:rsidR="007E037D">
        <w:t xml:space="preserve"> We also consider</w:t>
      </w:r>
      <w:r w:rsidR="00B07F24">
        <w:t>ed</w:t>
      </w:r>
      <w:r w:rsidR="007E037D">
        <w:t xml:space="preserve"> stakeholder submissions which raised concerns about cost reflectivity of network charges under the proposed pricing methodology.</w:t>
      </w:r>
      <w:r w:rsidRPr="00A42D0D">
        <w:t xml:space="preserve"> </w:t>
      </w:r>
    </w:p>
    <w:p w:rsidR="00C1164B" w:rsidRDefault="00C1164B" w:rsidP="005A473B">
      <w:pPr>
        <w:pStyle w:val="Heading2"/>
      </w:pPr>
      <w:bookmarkStart w:id="16" w:name="_Toc396839260"/>
      <w:bookmarkStart w:id="17" w:name="_Toc404752522"/>
      <w:r w:rsidRPr="00B47945">
        <w:t>Reasons for draft decision</w:t>
      </w:r>
      <w:bookmarkEnd w:id="16"/>
      <w:bookmarkEnd w:id="17"/>
    </w:p>
    <w:p w:rsidR="00505C12" w:rsidRDefault="003F796D" w:rsidP="00686311">
      <w:pPr>
        <w:pStyle w:val="AERbodytext"/>
        <w:numPr>
          <w:ilvl w:val="0"/>
          <w:numId w:val="0"/>
        </w:numPr>
        <w:rPr>
          <w:rStyle w:val="AERbody"/>
        </w:rPr>
      </w:pPr>
      <w:r>
        <w:rPr>
          <w:rStyle w:val="AERbody"/>
        </w:rPr>
        <w:t>Our draft decision is to approve</w:t>
      </w:r>
      <w:r w:rsidR="00686311" w:rsidRPr="00686311">
        <w:rPr>
          <w:rStyle w:val="AERbody"/>
        </w:rPr>
        <w:t xml:space="preserve"> </w:t>
      </w:r>
      <w:r w:rsidR="00686311">
        <w:rPr>
          <w:rStyle w:val="AERbody"/>
        </w:rPr>
        <w:t>TasNetworks'</w:t>
      </w:r>
      <w:r w:rsidR="003F5E92">
        <w:rPr>
          <w:rStyle w:val="AERbody"/>
        </w:rPr>
        <w:t xml:space="preserve"> proposed pricing methodology. </w:t>
      </w:r>
      <w:r w:rsidR="00505C12">
        <w:rPr>
          <w:rStyle w:val="AERbody"/>
        </w:rPr>
        <w:t>We concluded that the proposed introduction of standby service arrangements</w:t>
      </w:r>
      <w:r w:rsidR="00247DFF">
        <w:rPr>
          <w:rStyle w:val="AERbody"/>
        </w:rPr>
        <w:t>—</w:t>
      </w:r>
      <w:r w:rsidR="00505C12">
        <w:rPr>
          <w:rStyle w:val="AERbody"/>
        </w:rPr>
        <w:t>the only material change TasNetworks sought to introduce from the 2009–14 regulatory control period</w:t>
      </w:r>
      <w:r w:rsidR="00247DFF">
        <w:rPr>
          <w:rStyle w:val="AERbody"/>
        </w:rPr>
        <w:t>—</w:t>
      </w:r>
      <w:r w:rsidR="00505C12">
        <w:rPr>
          <w:rStyle w:val="AERbody"/>
        </w:rPr>
        <w:t xml:space="preserve">should lead to better pricing outcomes for customers and is therefore consistent with the NER pricing principles.  </w:t>
      </w:r>
    </w:p>
    <w:p w:rsidR="00505C12" w:rsidRDefault="00E05C15" w:rsidP="00686311">
      <w:pPr>
        <w:pStyle w:val="AERbodytext"/>
        <w:numPr>
          <w:ilvl w:val="0"/>
          <w:numId w:val="0"/>
        </w:numPr>
        <w:rPr>
          <w:rStyle w:val="AERbody"/>
        </w:rPr>
      </w:pPr>
      <w:r>
        <w:rPr>
          <w:rStyle w:val="AERbody"/>
        </w:rPr>
        <w:t xml:space="preserve">We received submissions from stakeholders questioning how cost reflective transmission network charges would be under TasNetworks proposed pricing methodology. </w:t>
      </w:r>
      <w:r w:rsidR="003F1367">
        <w:rPr>
          <w:rStyle w:val="AERbody"/>
        </w:rPr>
        <w:t>We reviewed</w:t>
      </w:r>
      <w:r>
        <w:rPr>
          <w:rStyle w:val="AERbody"/>
        </w:rPr>
        <w:t xml:space="preserve"> those submissions</w:t>
      </w:r>
      <w:r w:rsidR="003F1367">
        <w:rPr>
          <w:rStyle w:val="AERbody"/>
        </w:rPr>
        <w:t xml:space="preserve"> but neither those submissions</w:t>
      </w:r>
      <w:r>
        <w:rPr>
          <w:rStyle w:val="AERbody"/>
        </w:rPr>
        <w:t xml:space="preserve"> nor </w:t>
      </w:r>
      <w:r w:rsidR="003F1367">
        <w:rPr>
          <w:rStyle w:val="AERbody"/>
        </w:rPr>
        <w:t>our</w:t>
      </w:r>
      <w:r>
        <w:rPr>
          <w:rStyle w:val="AERbody"/>
        </w:rPr>
        <w:t xml:space="preserve"> assessment of TasNetworks' propos</w:t>
      </w:r>
      <w:r w:rsidR="00247DFF">
        <w:rPr>
          <w:rStyle w:val="AERbody"/>
        </w:rPr>
        <w:t xml:space="preserve">al </w:t>
      </w:r>
      <w:r>
        <w:rPr>
          <w:rStyle w:val="AERbody"/>
        </w:rPr>
        <w:t>identified an aspect of the methodology which was not compliant with the</w:t>
      </w:r>
      <w:r w:rsidR="000D44B3">
        <w:rPr>
          <w:rStyle w:val="AERbody"/>
        </w:rPr>
        <w:t xml:space="preserve"> NER</w:t>
      </w:r>
      <w:r>
        <w:rPr>
          <w:rStyle w:val="AERbody"/>
        </w:rPr>
        <w:t xml:space="preserve"> pricing principles or the information requirements in the pricing methodology guidelines. </w:t>
      </w:r>
      <w:r w:rsidR="003F1367">
        <w:rPr>
          <w:rStyle w:val="AERbody"/>
        </w:rPr>
        <w:t>We</w:t>
      </w:r>
      <w:r>
        <w:rPr>
          <w:rStyle w:val="AERbody"/>
        </w:rPr>
        <w:t xml:space="preserve"> </w:t>
      </w:r>
      <w:r w:rsidR="00505C12">
        <w:rPr>
          <w:rStyle w:val="AERbody"/>
        </w:rPr>
        <w:t>therefore approve</w:t>
      </w:r>
      <w:r>
        <w:rPr>
          <w:rStyle w:val="AERbody"/>
        </w:rPr>
        <w:t xml:space="preserve"> TasNetworks' proposed pricing methodology.</w:t>
      </w:r>
      <w:r w:rsidR="000D44B3">
        <w:rPr>
          <w:rStyle w:val="FootnoteReference"/>
        </w:rPr>
        <w:footnoteReference w:id="9"/>
      </w:r>
      <w:r w:rsidR="00505C12">
        <w:rPr>
          <w:rStyle w:val="AERbody"/>
        </w:rPr>
        <w:t xml:space="preserve"> </w:t>
      </w:r>
    </w:p>
    <w:p w:rsidR="00C1164B" w:rsidRDefault="00B6780E" w:rsidP="005A473B">
      <w:pPr>
        <w:pStyle w:val="Heading3"/>
      </w:pPr>
      <w:bookmarkStart w:id="18" w:name="_Toc404752523"/>
      <w:r>
        <w:t>Standby service arrangements</w:t>
      </w:r>
      <w:bookmarkEnd w:id="18"/>
    </w:p>
    <w:p w:rsidR="00447586" w:rsidRDefault="00432F18" w:rsidP="003F5E92">
      <w:pPr>
        <w:pStyle w:val="AERbodytext"/>
        <w:numPr>
          <w:ilvl w:val="0"/>
          <w:numId w:val="0"/>
        </w:numPr>
      </w:pPr>
      <w:r>
        <w:t xml:space="preserve">We approve the introduction of standby service arrangements. In making our draft decision, the AER </w:t>
      </w:r>
      <w:r w:rsidR="004E612B">
        <w:t>examined</w:t>
      </w:r>
      <w:r>
        <w:t xml:space="preserve"> the proposed arrangements against the pricing principles in </w:t>
      </w:r>
      <w:r w:rsidR="003F1367">
        <w:t xml:space="preserve">the </w:t>
      </w:r>
      <w:r>
        <w:t>NER</w:t>
      </w:r>
      <w:r w:rsidR="00447586">
        <w:t>. In particular, our assessment was based on clause 6A.23.4 which sets out</w:t>
      </w:r>
      <w:r w:rsidR="004E612B">
        <w:t xml:space="preserve"> high level</w:t>
      </w:r>
      <w:r w:rsidR="00447586">
        <w:t xml:space="preserve"> 'price structure principles'.</w:t>
      </w:r>
    </w:p>
    <w:p w:rsidR="00751F3D" w:rsidRDefault="00E65FC2" w:rsidP="003F5E92">
      <w:pPr>
        <w:pStyle w:val="AERbodytext"/>
        <w:numPr>
          <w:ilvl w:val="0"/>
          <w:numId w:val="0"/>
        </w:numPr>
      </w:pPr>
      <w:r>
        <w:t>TasNetworks' proposed standby service would provide network customers with the opportunity to include in their connection agreement:</w:t>
      </w:r>
    </w:p>
    <w:p w:rsidR="00E65FC2" w:rsidRDefault="00E65FC2" w:rsidP="00E65FC2">
      <w:pPr>
        <w:pStyle w:val="AERbulletlistfirststyle"/>
      </w:pPr>
      <w:r>
        <w:t>the contract agreed maximum demand required under normal operating conditions</w:t>
      </w:r>
      <w:r w:rsidR="009A0FD8">
        <w:t>; and</w:t>
      </w:r>
    </w:p>
    <w:p w:rsidR="00E65FC2" w:rsidRDefault="00E65FC2" w:rsidP="00E65FC2">
      <w:pPr>
        <w:pStyle w:val="AERbulletlistfirststyle"/>
      </w:pPr>
      <w:r>
        <w:t>a greater demand that may be soug</w:t>
      </w:r>
      <w:r w:rsidR="008801CD">
        <w:t>ht on a standby basis subject to</w:t>
      </w:r>
      <w:r>
        <w:t xml:space="preserve"> the operational condition of the transmission network</w:t>
      </w:r>
      <w:r w:rsidR="009A0FD8">
        <w:t>.</w:t>
      </w:r>
      <w:r w:rsidR="009A0FD8">
        <w:rPr>
          <w:rStyle w:val="FootnoteReference"/>
        </w:rPr>
        <w:footnoteReference w:id="10"/>
      </w:r>
    </w:p>
    <w:p w:rsidR="0051546C" w:rsidRDefault="00F36C52" w:rsidP="00E65FC2">
      <w:pPr>
        <w:pStyle w:val="AERbulletlistfirststyle"/>
        <w:numPr>
          <w:ilvl w:val="0"/>
          <w:numId w:val="0"/>
        </w:numPr>
      </w:pPr>
      <w:r>
        <w:t>We</w:t>
      </w:r>
      <w:r w:rsidR="009A0FD8">
        <w:t xml:space="preserve"> consider the availability of standby services would lead to better pricing outcomes for customers.</w:t>
      </w:r>
      <w:r w:rsidR="0029127B">
        <w:t xml:space="preserve"> </w:t>
      </w:r>
      <w:r w:rsidR="0051546C">
        <w:t xml:space="preserve">Normally when a customer exceeds its contract agreed maximum demand, it would be liable to pay a penalty known as an </w:t>
      </w:r>
      <w:r w:rsidR="000D44B3">
        <w:t>'</w:t>
      </w:r>
      <w:r w:rsidR="0051546C">
        <w:t>excess demand charge</w:t>
      </w:r>
      <w:r w:rsidR="000D44B3">
        <w:t>'</w:t>
      </w:r>
      <w:r w:rsidR="0051546C">
        <w:t xml:space="preserve">. </w:t>
      </w:r>
      <w:r w:rsidR="00247DFF">
        <w:t>By contrast, t</w:t>
      </w:r>
      <w:r w:rsidR="0051546C">
        <w:t xml:space="preserve">he availability of a standby service, allows </w:t>
      </w:r>
      <w:r w:rsidR="009E3F7E">
        <w:t>a customer</w:t>
      </w:r>
      <w:r w:rsidR="0051546C">
        <w:t xml:space="preserve"> to avoid that penalty</w:t>
      </w:r>
      <w:r w:rsidR="00380C8B">
        <w:t xml:space="preserve"> and instead pay charges based on normal operating conditions, plus the incremental cost of providing the greater demand during the standby service.</w:t>
      </w:r>
      <w:r w:rsidR="0051546C">
        <w:t xml:space="preserve"> </w:t>
      </w:r>
    </w:p>
    <w:p w:rsidR="0051546C" w:rsidRDefault="00380C8B" w:rsidP="00E65FC2">
      <w:pPr>
        <w:pStyle w:val="AERbulletlistfirststyle"/>
        <w:numPr>
          <w:ilvl w:val="0"/>
          <w:numId w:val="0"/>
        </w:numPr>
      </w:pPr>
      <w:r>
        <w:t>TasNetworks identified</w:t>
      </w:r>
      <w:r w:rsidR="00613488">
        <w:t xml:space="preserve"> a customer with an onsite generator</w:t>
      </w:r>
      <w:r w:rsidR="00142BCC">
        <w:t xml:space="preserve"> </w:t>
      </w:r>
      <w:r w:rsidR="00613488">
        <w:t>as a potential beneficiary of a standby service.</w:t>
      </w:r>
      <w:r w:rsidR="00613488">
        <w:rPr>
          <w:rStyle w:val="FootnoteReference"/>
        </w:rPr>
        <w:footnoteReference w:id="11"/>
      </w:r>
      <w:r w:rsidR="00613488">
        <w:t xml:space="preserve"> </w:t>
      </w:r>
      <w:r w:rsidR="007F5047">
        <w:t>If, for example, the customer's</w:t>
      </w:r>
      <w:r w:rsidR="00142BCC">
        <w:t xml:space="preserve"> generator is not available</w:t>
      </w:r>
      <w:r w:rsidR="007F5047">
        <w:t xml:space="preserve"> due to scheduled maintenance, then </w:t>
      </w:r>
      <w:r w:rsidR="003F1367">
        <w:t xml:space="preserve">it </w:t>
      </w:r>
      <w:r w:rsidR="007F5047">
        <w:t xml:space="preserve">could notify TasNetworks in advance and request a standby service for a specified period of time. This would allow the customer to increase </w:t>
      </w:r>
      <w:r w:rsidR="003F1367">
        <w:t xml:space="preserve">its </w:t>
      </w:r>
      <w:r w:rsidR="007F5047">
        <w:t xml:space="preserve">demand above the level it has contracted, without incurring a penalty. </w:t>
      </w:r>
      <w:r w:rsidR="00247DFF">
        <w:t>In comparison</w:t>
      </w:r>
      <w:r w:rsidR="0058369C">
        <w:t xml:space="preserve">, if a standby service </w:t>
      </w:r>
      <w:r w:rsidR="001930C2">
        <w:t>is</w:t>
      </w:r>
      <w:r w:rsidR="0058369C">
        <w:t xml:space="preserve"> unavailable then the customer would pay an 'excess demand charge' if it increased its load above its contracted amount to cover the outage of its generator.</w:t>
      </w:r>
    </w:p>
    <w:p w:rsidR="00380C8B" w:rsidRDefault="00547F5B" w:rsidP="00E65FC2">
      <w:pPr>
        <w:pStyle w:val="AERbulletlistfirststyle"/>
        <w:numPr>
          <w:ilvl w:val="0"/>
          <w:numId w:val="0"/>
        </w:numPr>
        <w:rPr>
          <w:rStyle w:val="AERbody"/>
        </w:rPr>
      </w:pPr>
      <w:r>
        <w:lastRenderedPageBreak/>
        <w:t>In light of this, we accept that the availability of standb</w:t>
      </w:r>
      <w:r w:rsidR="00D52B7E">
        <w:t xml:space="preserve">y services </w:t>
      </w:r>
      <w:r>
        <w:t xml:space="preserve">should lead to better pricing outcomes. </w:t>
      </w:r>
      <w:r w:rsidR="00247DFF">
        <w:t>We</w:t>
      </w:r>
      <w:r w:rsidR="0058369C">
        <w:t xml:space="preserve"> therefore</w:t>
      </w:r>
      <w:r w:rsidR="00D52B7E">
        <w:t xml:space="preserve"> </w:t>
      </w:r>
      <w:r>
        <w:t xml:space="preserve">consider the </w:t>
      </w:r>
      <w:r w:rsidR="0056692C">
        <w:t xml:space="preserve">proposed </w:t>
      </w:r>
      <w:r>
        <w:t xml:space="preserve">introduction of </w:t>
      </w:r>
      <w:r w:rsidR="00D52B7E">
        <w:t>the arrangements</w:t>
      </w:r>
      <w:r>
        <w:t xml:space="preserve"> </w:t>
      </w:r>
      <w:r w:rsidR="0058369C">
        <w:t>are</w:t>
      </w:r>
      <w:r w:rsidR="0056692C">
        <w:t xml:space="preserve"> consistent with the </w:t>
      </w:r>
      <w:r w:rsidR="00247DFF">
        <w:t>NER</w:t>
      </w:r>
      <w:r w:rsidR="00247DFF" w:rsidRPr="00247DFF">
        <w:t xml:space="preserve"> </w:t>
      </w:r>
      <w:r w:rsidR="00D52B7E">
        <w:t xml:space="preserve">pricing principles  which are intended to provide transmission businesses with the scope to implement </w:t>
      </w:r>
      <w:r w:rsidR="00D52B7E">
        <w:rPr>
          <w:rStyle w:val="AERbody"/>
        </w:rPr>
        <w:t>innovative pricing arrangements.</w:t>
      </w:r>
      <w:r w:rsidR="00D52B7E" w:rsidRPr="00D52B7E">
        <w:rPr>
          <w:rStyle w:val="FootnoteReference"/>
        </w:rPr>
        <w:footnoteReference w:id="12"/>
      </w:r>
      <w:r w:rsidR="00D52B7E">
        <w:rPr>
          <w:rStyle w:val="AERbody"/>
        </w:rPr>
        <w:t xml:space="preserve"> This is the position </w:t>
      </w:r>
      <w:r w:rsidR="0058369C">
        <w:rPr>
          <w:rStyle w:val="AERbody"/>
        </w:rPr>
        <w:t>we have</w:t>
      </w:r>
      <w:r w:rsidR="0011546E">
        <w:rPr>
          <w:rStyle w:val="AERbody"/>
        </w:rPr>
        <w:t xml:space="preserve"> previously taken</w:t>
      </w:r>
      <w:r w:rsidR="00D52B7E">
        <w:rPr>
          <w:rStyle w:val="AERbody"/>
        </w:rPr>
        <w:t xml:space="preserve"> </w:t>
      </w:r>
      <w:r w:rsidR="0011546E">
        <w:rPr>
          <w:rStyle w:val="AERbody"/>
        </w:rPr>
        <w:t>when</w:t>
      </w:r>
      <w:r w:rsidR="00D52B7E">
        <w:rPr>
          <w:rStyle w:val="AERbody"/>
        </w:rPr>
        <w:t xml:space="preserve"> standby services </w:t>
      </w:r>
      <w:r w:rsidR="001930C2">
        <w:rPr>
          <w:rStyle w:val="AERbody"/>
        </w:rPr>
        <w:t>have</w:t>
      </w:r>
      <w:r w:rsidR="0011546E">
        <w:rPr>
          <w:rStyle w:val="AERbody"/>
        </w:rPr>
        <w:t xml:space="preserve"> been proposed</w:t>
      </w:r>
      <w:r w:rsidR="00D52B7E">
        <w:rPr>
          <w:rStyle w:val="AERbody"/>
        </w:rPr>
        <w:t>.</w:t>
      </w:r>
      <w:r w:rsidR="00D52B7E">
        <w:rPr>
          <w:rStyle w:val="FootnoteReference"/>
        </w:rPr>
        <w:footnoteReference w:id="13"/>
      </w:r>
    </w:p>
    <w:p w:rsidR="008801CD" w:rsidRDefault="005012EB" w:rsidP="005A473B">
      <w:pPr>
        <w:pStyle w:val="Heading3"/>
      </w:pPr>
      <w:bookmarkStart w:id="19" w:name="_Toc404752524"/>
      <w:r>
        <w:t>Pricing of non-locational TUoS and common transmission services</w:t>
      </w:r>
      <w:bookmarkEnd w:id="19"/>
    </w:p>
    <w:p w:rsidR="00C03520" w:rsidRDefault="00C32606" w:rsidP="008801CD">
      <w:pPr>
        <w:pStyle w:val="AERbodytext"/>
      </w:pPr>
      <w:r>
        <w:t>Some</w:t>
      </w:r>
      <w:r w:rsidR="00C03520">
        <w:t xml:space="preserve"> </w:t>
      </w:r>
      <w:r w:rsidR="00AE401A">
        <w:t>submiss</w:t>
      </w:r>
      <w:r w:rsidR="003F1367">
        <w:t>ions</w:t>
      </w:r>
      <w:r w:rsidR="00247DFF">
        <w:t xml:space="preserve"> </w:t>
      </w:r>
      <w:r w:rsidR="00DB3A64">
        <w:t>raised concerns about</w:t>
      </w:r>
      <w:r w:rsidR="00C03520">
        <w:t xml:space="preserve"> the </w:t>
      </w:r>
      <w:r w:rsidR="00247DFF">
        <w:t xml:space="preserve">proposed pricing methodology </w:t>
      </w:r>
      <w:r w:rsidR="00C03520">
        <w:t>arrangements.</w:t>
      </w:r>
      <w:r w:rsidR="00C03520">
        <w:rPr>
          <w:rStyle w:val="FootnoteReference"/>
        </w:rPr>
        <w:footnoteReference w:id="14"/>
      </w:r>
    </w:p>
    <w:p w:rsidR="007170E5" w:rsidRDefault="00B732B5" w:rsidP="00B732B5">
      <w:pPr>
        <w:pStyle w:val="AERbodytext"/>
      </w:pPr>
      <w:r>
        <w:t>The Major Energy Users</w:t>
      </w:r>
      <w:r w:rsidR="00BC484C">
        <w:t>'</w:t>
      </w:r>
      <w:r>
        <w:t xml:space="preserve"> (MEU) </w:t>
      </w:r>
      <w:r w:rsidR="003F1367">
        <w:t xml:space="preserve">in its </w:t>
      </w:r>
      <w:r w:rsidR="00BC484C">
        <w:t xml:space="preserve">submission </w:t>
      </w:r>
      <w:r>
        <w:t xml:space="preserve">noted that the proposed pricing methodology </w:t>
      </w:r>
      <w:r w:rsidR="00BC484C">
        <w:t>is</w:t>
      </w:r>
      <w:r>
        <w:t xml:space="preserve"> substantially the same as the arrangements the AER approved for TasNetworks' 2009–14 regulatory control period.</w:t>
      </w:r>
      <w:r>
        <w:rPr>
          <w:rStyle w:val="FootnoteReference"/>
        </w:rPr>
        <w:footnoteReference w:id="15"/>
      </w:r>
      <w:r>
        <w:t xml:space="preserve"> </w:t>
      </w:r>
      <w:r w:rsidR="00C32606">
        <w:t>It</w:t>
      </w:r>
      <w:r w:rsidR="00BA4C4A">
        <w:t xml:space="preserve"> was critical of </w:t>
      </w:r>
      <w:r w:rsidR="00A171FC">
        <w:t>the proposal</w:t>
      </w:r>
      <w:r w:rsidR="00BA4C4A">
        <w:t xml:space="preserve"> to maintain </w:t>
      </w:r>
      <w:r w:rsidR="00A171FC">
        <w:t xml:space="preserve">those </w:t>
      </w:r>
      <w:r w:rsidR="00BA4C4A">
        <w:t>arrangements because</w:t>
      </w:r>
      <w:r w:rsidR="00C32606">
        <w:t xml:space="preserve"> b</w:t>
      </w:r>
      <w:r w:rsidR="00A171FC">
        <w:t xml:space="preserve">ased on </w:t>
      </w:r>
      <w:r w:rsidR="00247DFF">
        <w:t xml:space="preserve">its own </w:t>
      </w:r>
      <w:r w:rsidR="00A171FC">
        <w:t>analysis, TasNetworks'</w:t>
      </w:r>
      <w:r w:rsidR="00C32606">
        <w:t xml:space="preserve"> historical transmi</w:t>
      </w:r>
      <w:r w:rsidR="006E54DD">
        <w:t>ssion prices</w:t>
      </w:r>
      <w:r w:rsidR="00DB3A64">
        <w:t xml:space="preserve"> have been volatile and could be altered to be more cost reflective</w:t>
      </w:r>
      <w:r w:rsidR="006E54DD">
        <w:t>.</w:t>
      </w:r>
      <w:r w:rsidR="006E54DD">
        <w:rPr>
          <w:rStyle w:val="FootnoteReference"/>
        </w:rPr>
        <w:footnoteReference w:id="16"/>
      </w:r>
    </w:p>
    <w:p w:rsidR="00BC484C" w:rsidRDefault="00BC484C" w:rsidP="001D5F15">
      <w:pPr>
        <w:pStyle w:val="AERbodytext"/>
      </w:pPr>
      <w:r>
        <w:t>The MEU submitted that certain chan</w:t>
      </w:r>
      <w:r w:rsidR="004D1733">
        <w:t>ges</w:t>
      </w:r>
      <w:r w:rsidR="00247DFF">
        <w:t xml:space="preserve"> were necessary</w:t>
      </w:r>
      <w:r w:rsidR="004D1733">
        <w:t xml:space="preserve">. In particular, </w:t>
      </w:r>
      <w:r w:rsidR="005012EB">
        <w:t xml:space="preserve">that </w:t>
      </w:r>
      <w:r w:rsidR="004D1733">
        <w:t>TasNetworks'</w:t>
      </w:r>
      <w:r>
        <w:t xml:space="preserve"> propos</w:t>
      </w:r>
      <w:r w:rsidR="00247DFF">
        <w:t xml:space="preserve">al </w:t>
      </w:r>
      <w:r>
        <w:t xml:space="preserve">should be revised so that </w:t>
      </w:r>
      <w:r w:rsidR="00DB0DE2">
        <w:t>for</w:t>
      </w:r>
      <w:r>
        <w:t xml:space="preserve"> non-locational transmission use of system (TUoS) and common transmission services</w:t>
      </w:r>
      <w:r w:rsidR="00F726CD">
        <w:t>, the price is not set a</w:t>
      </w:r>
      <w:r w:rsidR="001D5F15">
        <w:t xml:space="preserve">ccording to the lowest charge resulting from </w:t>
      </w:r>
      <w:r w:rsidR="00DB0DE2" w:rsidRPr="004D1733">
        <w:rPr>
          <w:rStyle w:val="AERtextitalic"/>
        </w:rPr>
        <w:t>either</w:t>
      </w:r>
      <w:r w:rsidR="00DB0DE2">
        <w:t xml:space="preserve"> </w:t>
      </w:r>
      <w:r w:rsidR="00DB0DE2" w:rsidRPr="004D1733">
        <w:rPr>
          <w:rStyle w:val="AERbody"/>
        </w:rPr>
        <w:t>contract agreed maximum demand or energy</w:t>
      </w:r>
      <w:r w:rsidR="004D1733">
        <w:t xml:space="preserve">. The MEU stated that this </w:t>
      </w:r>
      <w:r w:rsidR="00DB0DE2">
        <w:t>pricing structure</w:t>
      </w:r>
      <w:r>
        <w:t xml:space="preserve"> has historically advantaged customers with a po</w:t>
      </w:r>
      <w:r w:rsidR="00DB0DE2">
        <w:t>or</w:t>
      </w:r>
      <w:r w:rsidR="000F5E9E">
        <w:t>—</w:t>
      </w:r>
      <w:r>
        <w:t>and discriminated against those with a good</w:t>
      </w:r>
      <w:r w:rsidR="000F5E9E">
        <w:t>—</w:t>
      </w:r>
      <w:r>
        <w:t>load factor.</w:t>
      </w:r>
      <w:r>
        <w:rPr>
          <w:rStyle w:val="FootnoteReference"/>
        </w:rPr>
        <w:footnoteReference w:id="17"/>
      </w:r>
      <w:r>
        <w:t xml:space="preserve"> Norske Skog provided a </w:t>
      </w:r>
      <w:r w:rsidR="006A7F02">
        <w:t xml:space="preserve">similar </w:t>
      </w:r>
      <w:r>
        <w:t>submission to the AER.</w:t>
      </w:r>
      <w:r>
        <w:rPr>
          <w:rStyle w:val="FootnoteReference"/>
        </w:rPr>
        <w:footnoteReference w:id="18"/>
      </w:r>
    </w:p>
    <w:p w:rsidR="004D1733" w:rsidRDefault="004D1733" w:rsidP="005A473B">
      <w:pPr>
        <w:pStyle w:val="AERbodytext"/>
      </w:pPr>
      <w:r>
        <w:t xml:space="preserve">To address its concerns, the MEU stated that TasNetworks should be required to adopt TransGrid's proposed pricing structure for non-locational TUoS and common transmission service. For these services, TransGrid proposed to </w:t>
      </w:r>
      <w:r w:rsidR="00F726CD">
        <w:t>calculate prices</w:t>
      </w:r>
      <w:r w:rsidR="001D5F15">
        <w:t xml:space="preserve"> </w:t>
      </w:r>
      <w:r w:rsidR="001D5F15">
        <w:rPr>
          <w:rStyle w:val="AERtextitalic"/>
        </w:rPr>
        <w:t>only</w:t>
      </w:r>
      <w:r w:rsidR="00F726CD">
        <w:t xml:space="preserve"> using</w:t>
      </w:r>
      <w:r w:rsidR="001D5F15">
        <w:t xml:space="preserve"> a customer's</w:t>
      </w:r>
      <w:r w:rsidR="00F726CD">
        <w:t xml:space="preserve"> </w:t>
      </w:r>
      <w:r>
        <w:t xml:space="preserve">contract agreed maximum demand. </w:t>
      </w:r>
      <w:r w:rsidR="00C92B37">
        <w:t>We note that TransGrid's proposal also involved the application of a side constraint.</w:t>
      </w:r>
    </w:p>
    <w:p w:rsidR="004D1733" w:rsidRDefault="00FE39A4" w:rsidP="005A473B">
      <w:pPr>
        <w:pStyle w:val="AERbodytext"/>
      </w:pPr>
      <w:r>
        <w:t>We have</w:t>
      </w:r>
      <w:r w:rsidR="004D1733">
        <w:t xml:space="preserve"> considered stakeholders</w:t>
      </w:r>
      <w:r w:rsidR="000F5E9E">
        <w:t>' concerns</w:t>
      </w:r>
      <w:r w:rsidR="004D1733">
        <w:t xml:space="preserve">. We accept that </w:t>
      </w:r>
      <w:r w:rsidR="00F726CD">
        <w:t xml:space="preserve">prices based on contract agreed maximum demand are more likely to be cost reflective than energy based prices. </w:t>
      </w:r>
      <w:r w:rsidR="006A7F02">
        <w:t>This is because</w:t>
      </w:r>
      <w:r w:rsidR="00F726CD">
        <w:t xml:space="preserve"> 'demand' typically drives investment in a transmission network, as opposed to 'energy'.</w:t>
      </w:r>
    </w:p>
    <w:p w:rsidR="00BC484C" w:rsidRDefault="00E06640" w:rsidP="00BC484C">
      <w:pPr>
        <w:pStyle w:val="AERbodytext"/>
      </w:pPr>
      <w:r>
        <w:t>However</w:t>
      </w:r>
      <w:r w:rsidR="006A7F02">
        <w:t xml:space="preserve">, </w:t>
      </w:r>
      <w:r>
        <w:t xml:space="preserve">the key NER requirement for the pricing of the </w:t>
      </w:r>
      <w:r w:rsidR="001D5F15">
        <w:t xml:space="preserve">non-locational component of TUoS and common transmission services </w:t>
      </w:r>
      <w:r>
        <w:t xml:space="preserve">is that it </w:t>
      </w:r>
      <w:r w:rsidR="001D5F15">
        <w:t xml:space="preserve">must be subject to a postage stamp structure. The pricing methodology guidelines clarify what this means by specifying structures </w:t>
      </w:r>
      <w:r>
        <w:t>that we accept as consistent with</w:t>
      </w:r>
      <w:r w:rsidR="001D5F15">
        <w:t xml:space="preserve"> the 'postage stamp' requirement.</w:t>
      </w:r>
      <w:r w:rsidR="00E53FF5">
        <w:t xml:space="preserve"> The structure that TasNetworks included in its proposed pricing methodology is </w:t>
      </w:r>
      <w:r w:rsidR="006A7F02">
        <w:t>one of those</w:t>
      </w:r>
      <w:r w:rsidR="000F5E9E">
        <w:t xml:space="preserve"> </w:t>
      </w:r>
      <w:r>
        <w:t xml:space="preserve">accepted by us </w:t>
      </w:r>
      <w:r w:rsidR="00E53FF5">
        <w:t>in the p</w:t>
      </w:r>
      <w:r w:rsidR="00AE401A">
        <w:t>ricing methodology guidelines.</w:t>
      </w:r>
    </w:p>
    <w:p w:rsidR="00603FFF" w:rsidRDefault="00BB06B6" w:rsidP="005A473B">
      <w:pPr>
        <w:pStyle w:val="AERbodytext"/>
        <w:rPr>
          <w:rStyle w:val="AERbody"/>
        </w:rPr>
      </w:pPr>
      <w:r>
        <w:t>Therefore</w:t>
      </w:r>
      <w:r w:rsidR="00E53FF5">
        <w:t>,</w:t>
      </w:r>
      <w:r>
        <w:t xml:space="preserve"> </w:t>
      </w:r>
      <w:r w:rsidR="006A7F02">
        <w:t>f</w:t>
      </w:r>
      <w:r w:rsidR="00E53FF5">
        <w:t>or non-locational TUoS an</w:t>
      </w:r>
      <w:r w:rsidR="00AE401A">
        <w:t>d common transmission services TasNetworks has proposed</w:t>
      </w:r>
      <w:r w:rsidR="006A7F02">
        <w:t xml:space="preserve"> to apply</w:t>
      </w:r>
      <w:r w:rsidR="00E53FF5">
        <w:t xml:space="preserve"> a permissible pricing structure</w:t>
      </w:r>
      <w:r w:rsidR="00E06640">
        <w:t xml:space="preserve"> and we are satisfied that this meets the postage stamp requirement</w:t>
      </w:r>
      <w:r w:rsidR="00E53FF5">
        <w:t>.</w:t>
      </w:r>
      <w:r w:rsidR="005A473B" w:rsidRPr="005A473B">
        <w:rPr>
          <w:rStyle w:val="AERbody"/>
        </w:rPr>
        <w:t xml:space="preserve">      </w:t>
      </w:r>
      <w:r w:rsidR="001264A6" w:rsidRPr="005A473B">
        <w:rPr>
          <w:rStyle w:val="AERbody"/>
        </w:rPr>
        <w:t xml:space="preserve"> </w:t>
      </w:r>
    </w:p>
    <w:p w:rsidR="00B411FD" w:rsidRDefault="005012EB" w:rsidP="005A473B">
      <w:pPr>
        <w:pStyle w:val="Heading3"/>
      </w:pPr>
      <w:bookmarkStart w:id="20" w:name="_Ref398044701"/>
      <w:bookmarkStart w:id="21" w:name="_Toc404752525"/>
      <w:r>
        <w:lastRenderedPageBreak/>
        <w:t>Overall a</w:t>
      </w:r>
      <w:r w:rsidR="00B411FD">
        <w:t>ssessment against the pricing principles</w:t>
      </w:r>
      <w:bookmarkEnd w:id="20"/>
      <w:bookmarkEnd w:id="21"/>
    </w:p>
    <w:p w:rsidR="00C92B37" w:rsidRDefault="00B411FD" w:rsidP="0018283F">
      <w:pPr>
        <w:pStyle w:val="AERbodytext"/>
        <w:numPr>
          <w:ilvl w:val="0"/>
          <w:numId w:val="0"/>
        </w:numPr>
      </w:pPr>
      <w:r>
        <w:t>We consider</w:t>
      </w:r>
      <w:r w:rsidRPr="00B411FD">
        <w:t xml:space="preserve"> </w:t>
      </w:r>
      <w:r>
        <w:t>TasNetworks'</w:t>
      </w:r>
      <w:r w:rsidRPr="00B411FD">
        <w:t xml:space="preserve"> </w:t>
      </w:r>
      <w:r>
        <w:t xml:space="preserve">proposed </w:t>
      </w:r>
      <w:r w:rsidRPr="00B411FD">
        <w:t>pricing methodology meets the requirements of the</w:t>
      </w:r>
      <w:r>
        <w:t xml:space="preserve"> </w:t>
      </w:r>
      <w:r w:rsidR="000F5E9E">
        <w:t>NER</w:t>
      </w:r>
      <w:r w:rsidR="000F5E9E" w:rsidRPr="000F5E9E">
        <w:t xml:space="preserve"> </w:t>
      </w:r>
      <w:r w:rsidRPr="00B411FD">
        <w:t>pricing principles</w:t>
      </w:r>
      <w:r w:rsidR="00AE401A">
        <w:t xml:space="preserve">. </w:t>
      </w:r>
      <w:r w:rsidRPr="00B411FD">
        <w:t xml:space="preserve"> The pricing principles are intended to provide scope for </w:t>
      </w:r>
      <w:r>
        <w:t>transmission businesses</w:t>
      </w:r>
      <w:r w:rsidRPr="00B411FD">
        <w:t xml:space="preserve"> to develop pricing arrangements that address the circumstances in w</w:t>
      </w:r>
      <w:r w:rsidR="008835BC">
        <w:t>hich they operate their network.</w:t>
      </w:r>
      <w:r>
        <w:rPr>
          <w:rStyle w:val="FootnoteReference"/>
        </w:rPr>
        <w:footnoteReference w:id="19"/>
      </w:r>
      <w:r w:rsidR="008835BC">
        <w:t xml:space="preserve"> </w:t>
      </w:r>
    </w:p>
    <w:p w:rsidR="00B411FD" w:rsidRPr="00B411FD" w:rsidRDefault="00B411FD" w:rsidP="00C92B37">
      <w:pPr>
        <w:pStyle w:val="HeadingBoldBlue"/>
      </w:pPr>
      <w:r w:rsidRPr="00B411FD">
        <w:t>Calculation</w:t>
      </w:r>
      <w:r w:rsidR="008835BC">
        <w:t xml:space="preserve"> and allocation</w:t>
      </w:r>
      <w:r w:rsidRPr="00B411FD">
        <w:t xml:space="preserve"> of </w:t>
      </w:r>
      <w:r w:rsidR="008835BC">
        <w:t>the aggregate annual revenue requirement</w:t>
      </w:r>
    </w:p>
    <w:p w:rsidR="008835BC" w:rsidRDefault="008835BC" w:rsidP="008835BC">
      <w:pPr>
        <w:pStyle w:val="AERbodytext"/>
      </w:pPr>
      <w:r>
        <w:t>We</w:t>
      </w:r>
      <w:r w:rsidR="00B411FD" w:rsidRPr="00B411FD">
        <w:t xml:space="preserve"> assessed </w:t>
      </w:r>
      <w:r>
        <w:t>TasNetworks'</w:t>
      </w:r>
      <w:r w:rsidR="00B411FD" w:rsidRPr="00B411FD">
        <w:t xml:space="preserve"> </w:t>
      </w:r>
      <w:r>
        <w:t>method for calculating and allocating its aggregate annual revenue requirement, and consider</w:t>
      </w:r>
      <w:r w:rsidR="00B411FD" w:rsidRPr="00B411FD">
        <w:t xml:space="preserve"> that </w:t>
      </w:r>
      <w:r w:rsidR="007C382C">
        <w:t>it</w:t>
      </w:r>
      <w:r w:rsidR="00B411FD" w:rsidRPr="00B411FD">
        <w:t xml:space="preserve"> meets the NER requirements. </w:t>
      </w:r>
    </w:p>
    <w:p w:rsidR="008835BC" w:rsidRDefault="008835BC" w:rsidP="008835BC">
      <w:pPr>
        <w:pStyle w:val="AERbodytext"/>
      </w:pPr>
      <w:r>
        <w:t xml:space="preserve">The aggregate annual revenue requirement is </w:t>
      </w:r>
      <w:r w:rsidR="001032D0">
        <w:t>the</w:t>
      </w:r>
      <w:r>
        <w:t xml:space="preserve"> 'maximum allowed revenue' </w:t>
      </w:r>
      <w:r w:rsidR="001032D0">
        <w:t>adjusted:</w:t>
      </w:r>
    </w:p>
    <w:p w:rsidR="00B54ADB" w:rsidRDefault="00877F65" w:rsidP="00877F65">
      <w:pPr>
        <w:pStyle w:val="AERbulletlistfirststyle"/>
      </w:pPr>
      <w:r>
        <w:t>in accordance with clause 6A.3.2 of the NER, for a number of factors such as cost pass throughs, service target perfor</w:t>
      </w:r>
      <w:r w:rsidR="00B54ADB">
        <w:t>mance incentive scheme outcomes</w:t>
      </w:r>
      <w:r>
        <w:t xml:space="preserve"> </w:t>
      </w:r>
      <w:r w:rsidR="00B54ADB">
        <w:t xml:space="preserve">and </w:t>
      </w:r>
      <w:r>
        <w:t>contingent projects</w:t>
      </w:r>
    </w:p>
    <w:p w:rsidR="00877F65" w:rsidRDefault="00877F65" w:rsidP="00877F65">
      <w:pPr>
        <w:pStyle w:val="AERbulletlistfirststyle"/>
      </w:pPr>
      <w:r>
        <w:t xml:space="preserve">by subtracting the operating and maintenance costs expected to be incurred in the provision of prescribed common transmission services </w:t>
      </w:r>
    </w:p>
    <w:p w:rsidR="00B54ADB" w:rsidRDefault="00B54ADB" w:rsidP="00B54ADB">
      <w:pPr>
        <w:pStyle w:val="AERbulletlistfirststyle"/>
        <w:numPr>
          <w:ilvl w:val="0"/>
          <w:numId w:val="0"/>
        </w:numPr>
      </w:pPr>
      <w:r w:rsidRPr="00B54ADB">
        <w:t xml:space="preserve">Table 14.1 </w:t>
      </w:r>
      <w:r>
        <w:t xml:space="preserve">summarises our </w:t>
      </w:r>
      <w:r w:rsidR="001032D0">
        <w:t>review</w:t>
      </w:r>
      <w:r>
        <w:t xml:space="preserve"> of how </w:t>
      </w:r>
      <w:r w:rsidR="00766B45">
        <w:t>TasNetworks'</w:t>
      </w:r>
      <w:r w:rsidR="001032D0">
        <w:t xml:space="preserve"> proposed pricing methodology calculate</w:t>
      </w:r>
      <w:r w:rsidR="00766B45">
        <w:t>s and allocates the business's</w:t>
      </w:r>
      <w:r w:rsidR="001032D0">
        <w:t xml:space="preserve"> aggregate annual revenue requirement. </w:t>
      </w:r>
    </w:p>
    <w:p w:rsidR="00BA2F2D" w:rsidRDefault="00BA2F2D" w:rsidP="00BA2F2D">
      <w:pPr>
        <w:pStyle w:val="Caption"/>
      </w:pPr>
      <w:r>
        <w:t xml:space="preserve">Table </w:t>
      </w:r>
      <w:r w:rsidR="005668C4">
        <w:fldChar w:fldCharType="begin"/>
      </w:r>
      <w:r w:rsidR="005668C4">
        <w:instrText xml:space="preserve"> STYLEREF 1 \s </w:instrText>
      </w:r>
      <w:r w:rsidR="005668C4">
        <w:fldChar w:fldCharType="separate"/>
      </w:r>
      <w:r w:rsidR="00683440">
        <w:rPr>
          <w:noProof/>
        </w:rPr>
        <w:t>12</w:t>
      </w:r>
      <w:r w:rsidR="005668C4">
        <w:rPr>
          <w:noProof/>
        </w:rPr>
        <w:fldChar w:fldCharType="end"/>
      </w:r>
      <w:r>
        <w:t>.</w:t>
      </w:r>
      <w:r w:rsidR="005668C4">
        <w:fldChar w:fldCharType="begin"/>
      </w:r>
      <w:r w:rsidR="005668C4">
        <w:instrText xml:space="preserve"> SEQ Table \* ARABIC \s 1 </w:instrText>
      </w:r>
      <w:r w:rsidR="005668C4">
        <w:fldChar w:fldCharType="separate"/>
      </w:r>
      <w:r w:rsidR="00683440">
        <w:rPr>
          <w:noProof/>
        </w:rPr>
        <w:t>1</w:t>
      </w:r>
      <w:r w:rsidR="005668C4">
        <w:rPr>
          <w:noProof/>
        </w:rPr>
        <w:fldChar w:fldCharType="end"/>
      </w:r>
      <w:r>
        <w:tab/>
        <w:t xml:space="preserve">TasNetworks' </w:t>
      </w:r>
      <w:r w:rsidRPr="00BA2F2D">
        <w:t>proposed calculation and allocation of the</w:t>
      </w:r>
      <w:r>
        <w:t xml:space="preserve"> AARR</w:t>
      </w:r>
      <w:r w:rsidR="005012EB">
        <w:t xml:space="preserve"> against </w:t>
      </w:r>
      <w:r>
        <w:t>the NER requirements</w:t>
      </w:r>
    </w:p>
    <w:tbl>
      <w:tblPr>
        <w:tblStyle w:val="AERtable-text"/>
        <w:tblW w:w="0" w:type="auto"/>
        <w:tblLook w:val="04A0" w:firstRow="1" w:lastRow="0" w:firstColumn="1" w:lastColumn="0" w:noHBand="0" w:noVBand="1"/>
      </w:tblPr>
      <w:tblGrid>
        <w:gridCol w:w="4621"/>
        <w:gridCol w:w="4621"/>
      </w:tblGrid>
      <w:tr w:rsidR="00B54ADB" w:rsidTr="00B54ADB">
        <w:trPr>
          <w:cnfStyle w:val="100000000000" w:firstRow="1" w:lastRow="0" w:firstColumn="0" w:lastColumn="0" w:oddVBand="0" w:evenVBand="0" w:oddHBand="0" w:evenHBand="0" w:firstRowFirstColumn="0" w:firstRowLastColumn="0" w:lastRowFirstColumn="0" w:lastRowLastColumn="0"/>
        </w:trPr>
        <w:tc>
          <w:tcPr>
            <w:tcW w:w="4621" w:type="dxa"/>
          </w:tcPr>
          <w:p w:rsidR="00B54ADB" w:rsidRDefault="00B54ADB" w:rsidP="00B54ADB">
            <w:pPr>
              <w:pStyle w:val="AERbulletlistfirststyle"/>
              <w:numPr>
                <w:ilvl w:val="0"/>
                <w:numId w:val="0"/>
              </w:numPr>
            </w:pPr>
            <w:r>
              <w:t>NER requirements</w:t>
            </w:r>
          </w:p>
        </w:tc>
        <w:tc>
          <w:tcPr>
            <w:tcW w:w="4621" w:type="dxa"/>
          </w:tcPr>
          <w:p w:rsidR="00B54ADB" w:rsidRDefault="001032D0" w:rsidP="00B54ADB">
            <w:pPr>
              <w:pStyle w:val="AERbulletlistfirststyle"/>
              <w:numPr>
                <w:ilvl w:val="0"/>
                <w:numId w:val="0"/>
              </w:numPr>
            </w:pPr>
            <w:r>
              <w:t>Assessment</w:t>
            </w:r>
          </w:p>
        </w:tc>
      </w:tr>
      <w:tr w:rsidR="00B54ADB" w:rsidTr="00B54ADB">
        <w:tc>
          <w:tcPr>
            <w:tcW w:w="4621" w:type="dxa"/>
          </w:tcPr>
          <w:p w:rsidR="00B54ADB" w:rsidRDefault="00B54ADB" w:rsidP="00B54ADB">
            <w:pPr>
              <w:pStyle w:val="AERbulletlistfirststyle"/>
              <w:numPr>
                <w:ilvl w:val="0"/>
                <w:numId w:val="0"/>
              </w:numPr>
            </w:pPr>
            <w:r w:rsidRPr="00A40CAF">
              <w:t>Requirement for the AARR to be calculated as defined in the NER—clause 6A.22.1</w:t>
            </w:r>
          </w:p>
        </w:tc>
        <w:tc>
          <w:tcPr>
            <w:tcW w:w="4621" w:type="dxa"/>
          </w:tcPr>
          <w:p w:rsidR="00B54ADB" w:rsidRDefault="00850D63" w:rsidP="00B54ADB">
            <w:pPr>
              <w:pStyle w:val="AERbulletlistfirststyle"/>
              <w:numPr>
                <w:ilvl w:val="0"/>
                <w:numId w:val="0"/>
              </w:numPr>
            </w:pPr>
            <w:r>
              <w:t>Section 6.3 of TasNetworks' proposed pricing methodology satisfies this requirement.</w:t>
            </w:r>
          </w:p>
        </w:tc>
      </w:tr>
      <w:tr w:rsidR="00B54ADB" w:rsidTr="00B54ADB">
        <w:trPr>
          <w:cnfStyle w:val="000000010000" w:firstRow="0" w:lastRow="0" w:firstColumn="0" w:lastColumn="0" w:oddVBand="0" w:evenVBand="0" w:oddHBand="0" w:evenHBand="1" w:firstRowFirstColumn="0" w:firstRowLastColumn="0" w:lastRowFirstColumn="0" w:lastRowLastColumn="0"/>
        </w:trPr>
        <w:tc>
          <w:tcPr>
            <w:tcW w:w="4621" w:type="dxa"/>
          </w:tcPr>
          <w:p w:rsidR="00B54ADB" w:rsidRDefault="00B54ADB" w:rsidP="00B54ADB">
            <w:pPr>
              <w:pStyle w:val="AERbulletlistfirststyle"/>
              <w:numPr>
                <w:ilvl w:val="0"/>
                <w:numId w:val="0"/>
              </w:numPr>
            </w:pPr>
            <w:r w:rsidRPr="00A40CAF">
              <w:t>Requirement for the AARR to be allocated to each category of prescribed transmission services in accordance with attributable cost share for each such category of service—clause 6A.23.2(a)</w:t>
            </w:r>
          </w:p>
        </w:tc>
        <w:tc>
          <w:tcPr>
            <w:tcW w:w="4621" w:type="dxa"/>
          </w:tcPr>
          <w:p w:rsidR="00B54ADB" w:rsidRDefault="00850D63" w:rsidP="00B54ADB">
            <w:pPr>
              <w:pStyle w:val="AERbulletlistfirststyle"/>
              <w:numPr>
                <w:ilvl w:val="0"/>
                <w:numId w:val="0"/>
              </w:numPr>
            </w:pPr>
            <w:r>
              <w:t xml:space="preserve">Section 6.3 and Appendix B </w:t>
            </w:r>
            <w:r w:rsidRPr="00850D63">
              <w:t>of TasNetworks' proposed pricing methodology satisfies this requirement.</w:t>
            </w:r>
          </w:p>
        </w:tc>
      </w:tr>
      <w:tr w:rsidR="00B54ADB" w:rsidTr="00B54ADB">
        <w:tc>
          <w:tcPr>
            <w:tcW w:w="4621" w:type="dxa"/>
          </w:tcPr>
          <w:p w:rsidR="00B54ADB" w:rsidRDefault="00B54ADB" w:rsidP="00B54ADB">
            <w:pPr>
              <w:pStyle w:val="AERbulletlistfirststyle"/>
              <w:numPr>
                <w:ilvl w:val="0"/>
                <w:numId w:val="0"/>
              </w:numPr>
            </w:pPr>
            <w:r w:rsidRPr="00A40CAF">
              <w:t>Requirement for every portion of the AARR to be allocated and for the same portion of AARR not to be allocated more than once—clause 6A.23.2(c)</w:t>
            </w:r>
          </w:p>
        </w:tc>
        <w:tc>
          <w:tcPr>
            <w:tcW w:w="4621" w:type="dxa"/>
          </w:tcPr>
          <w:p w:rsidR="00B54ADB" w:rsidRDefault="00265B4A" w:rsidP="00B54ADB">
            <w:pPr>
              <w:pStyle w:val="AERbulletlistfirststyle"/>
              <w:numPr>
                <w:ilvl w:val="0"/>
                <w:numId w:val="0"/>
              </w:numPr>
            </w:pPr>
            <w:r>
              <w:t xml:space="preserve">Section 6.3 and Appendix B </w:t>
            </w:r>
            <w:r w:rsidRPr="00265B4A">
              <w:t>of TasNetworks' proposed pricing methodology satisfies this requirement.</w:t>
            </w:r>
          </w:p>
        </w:tc>
      </w:tr>
      <w:tr w:rsidR="00B54ADB" w:rsidTr="00B54ADB">
        <w:trPr>
          <w:cnfStyle w:val="000000010000" w:firstRow="0" w:lastRow="0" w:firstColumn="0" w:lastColumn="0" w:oddVBand="0" w:evenVBand="0" w:oddHBand="0" w:evenHBand="1" w:firstRowFirstColumn="0" w:firstRowLastColumn="0" w:lastRowFirstColumn="0" w:lastRowLastColumn="0"/>
        </w:trPr>
        <w:tc>
          <w:tcPr>
            <w:tcW w:w="4621" w:type="dxa"/>
          </w:tcPr>
          <w:p w:rsidR="00B54ADB" w:rsidRDefault="00B54ADB" w:rsidP="00B54ADB">
            <w:pPr>
              <w:pStyle w:val="AERbulletlistfirststyle"/>
              <w:numPr>
                <w:ilvl w:val="0"/>
                <w:numId w:val="0"/>
              </w:numPr>
            </w:pPr>
            <w:r w:rsidRPr="00A40CAF">
              <w:t>Subject to clause 11.6.11 of the NER, 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B54ADB" w:rsidRDefault="00BA2F2D" w:rsidP="00B54ADB">
            <w:pPr>
              <w:pStyle w:val="AERbulletlistfirststyle"/>
              <w:numPr>
                <w:ilvl w:val="0"/>
                <w:numId w:val="0"/>
              </w:numPr>
            </w:pPr>
            <w:r w:rsidRPr="00BA2F2D">
              <w:t>Section 6.3 and Appendix B of TasNetworks' proposed pricing methodology satisfies this requirement.</w:t>
            </w:r>
          </w:p>
        </w:tc>
      </w:tr>
    </w:tbl>
    <w:p w:rsidR="00B54ADB" w:rsidRDefault="00B54ADB" w:rsidP="00B54ADB">
      <w:pPr>
        <w:pStyle w:val="AERbulletlistfirststyle"/>
        <w:numPr>
          <w:ilvl w:val="0"/>
          <w:numId w:val="0"/>
        </w:numPr>
      </w:pPr>
    </w:p>
    <w:p w:rsidR="00BA2F2D" w:rsidRPr="00BA2F2D" w:rsidRDefault="00BA2F2D" w:rsidP="00BA2F2D">
      <w:pPr>
        <w:pStyle w:val="HeadingBoldBlue"/>
      </w:pPr>
      <w:r w:rsidRPr="00BA2F2D">
        <w:t>Allocation of the ASRR to transmission network connection points</w:t>
      </w:r>
    </w:p>
    <w:p w:rsidR="00BA2F2D" w:rsidRPr="00BA2F2D" w:rsidRDefault="007C382C" w:rsidP="00BA2F2D">
      <w:pPr>
        <w:pStyle w:val="AERbodytext"/>
      </w:pPr>
      <w:r>
        <w:t>We</w:t>
      </w:r>
      <w:r w:rsidR="00BA2F2D" w:rsidRPr="00BA2F2D">
        <w:t xml:space="preserve"> assessed </w:t>
      </w:r>
      <w:r w:rsidR="00BA2F2D">
        <w:t>TasNetworks</w:t>
      </w:r>
      <w:r w:rsidR="000C3553">
        <w:t>'</w:t>
      </w:r>
      <w:r w:rsidR="00BA2F2D" w:rsidRPr="00BA2F2D">
        <w:t xml:space="preserve"> proposed pricing methodology for allocating the ASRR, and consider it meets the NER requirements. </w:t>
      </w:r>
      <w:r w:rsidR="00BA2F2D" w:rsidRPr="00BA2F2D">
        <w:fldChar w:fldCharType="begin"/>
      </w:r>
      <w:r w:rsidR="00BA2F2D" w:rsidRPr="00BA2F2D">
        <w:instrText xml:space="preserve"> REF _Ref332705604 \h </w:instrText>
      </w:r>
      <w:r w:rsidR="00BA2F2D" w:rsidRPr="00BA2F2D">
        <w:fldChar w:fldCharType="separate"/>
      </w:r>
      <w:r w:rsidR="00683440" w:rsidRPr="00BA2F2D">
        <w:t xml:space="preserve">Table </w:t>
      </w:r>
      <w:r w:rsidR="00683440">
        <w:rPr>
          <w:noProof/>
        </w:rPr>
        <w:t>12</w:t>
      </w:r>
      <w:r w:rsidR="00683440">
        <w:t>.</w:t>
      </w:r>
      <w:r w:rsidR="00683440">
        <w:rPr>
          <w:noProof/>
        </w:rPr>
        <w:t>2</w:t>
      </w:r>
      <w:r w:rsidR="00BA2F2D" w:rsidRPr="00BA2F2D">
        <w:fldChar w:fldCharType="end"/>
      </w:r>
      <w:r w:rsidR="00BA2F2D" w:rsidRPr="00BA2F2D">
        <w:t xml:space="preserve"> summarises </w:t>
      </w:r>
      <w:r w:rsidR="000F5E9E">
        <w:t>our</w:t>
      </w:r>
      <w:r w:rsidR="00BA2F2D" w:rsidRPr="00BA2F2D">
        <w:t xml:space="preserve"> assessment. </w:t>
      </w:r>
    </w:p>
    <w:p w:rsidR="00BA2F2D" w:rsidRDefault="00BA2F2D" w:rsidP="00BA2F2D">
      <w:pPr>
        <w:pStyle w:val="Caption"/>
      </w:pPr>
      <w:bookmarkStart w:id="22" w:name="_Ref332705604"/>
      <w:r w:rsidRPr="00BA2F2D">
        <w:lastRenderedPageBreak/>
        <w:t xml:space="preserve">Table </w:t>
      </w:r>
      <w:r w:rsidR="005668C4">
        <w:fldChar w:fldCharType="begin"/>
      </w:r>
      <w:r w:rsidR="005668C4">
        <w:instrText xml:space="preserve"> STYLEREF</w:instrText>
      </w:r>
      <w:r w:rsidR="005668C4">
        <w:instrText xml:space="preserve"> 1 \s </w:instrText>
      </w:r>
      <w:r w:rsidR="005668C4">
        <w:fldChar w:fldCharType="separate"/>
      </w:r>
      <w:r w:rsidR="00683440">
        <w:rPr>
          <w:noProof/>
        </w:rPr>
        <w:t>12</w:t>
      </w:r>
      <w:r w:rsidR="005668C4">
        <w:rPr>
          <w:noProof/>
        </w:rPr>
        <w:fldChar w:fldCharType="end"/>
      </w:r>
      <w:r>
        <w:t>.</w:t>
      </w:r>
      <w:r w:rsidR="005668C4">
        <w:fldChar w:fldCharType="begin"/>
      </w:r>
      <w:r w:rsidR="005668C4">
        <w:instrText xml:space="preserve"> SEQ Table \* ARABIC \s 1 </w:instrText>
      </w:r>
      <w:r w:rsidR="005668C4">
        <w:fldChar w:fldCharType="separate"/>
      </w:r>
      <w:r w:rsidR="00683440">
        <w:rPr>
          <w:noProof/>
        </w:rPr>
        <w:t>2</w:t>
      </w:r>
      <w:r w:rsidR="005668C4">
        <w:rPr>
          <w:noProof/>
        </w:rPr>
        <w:fldChar w:fldCharType="end"/>
      </w:r>
      <w:bookmarkEnd w:id="22"/>
      <w:r>
        <w:tab/>
        <w:t>TasNetwork</w:t>
      </w:r>
      <w:r w:rsidRPr="00BA2F2D">
        <w:t>s</w:t>
      </w:r>
      <w:r>
        <w:t>'</w:t>
      </w:r>
      <w:r w:rsidRPr="00BA2F2D">
        <w:t xml:space="preserve"> proposed allocation of the ASRR </w:t>
      </w:r>
      <w:r w:rsidR="005012EB">
        <w:t>against</w:t>
      </w:r>
      <w:r w:rsidR="005012EB" w:rsidRPr="00BA2F2D">
        <w:t xml:space="preserve"> </w:t>
      </w:r>
      <w:r w:rsidRPr="00BA2F2D">
        <w:t>the NER requirements</w:t>
      </w:r>
    </w:p>
    <w:tbl>
      <w:tblPr>
        <w:tblStyle w:val="AERtable-text"/>
        <w:tblW w:w="0" w:type="auto"/>
        <w:tblLook w:val="04A0" w:firstRow="1" w:lastRow="0" w:firstColumn="1" w:lastColumn="0" w:noHBand="0" w:noVBand="1"/>
      </w:tblPr>
      <w:tblGrid>
        <w:gridCol w:w="4621"/>
        <w:gridCol w:w="4621"/>
      </w:tblGrid>
      <w:tr w:rsidR="00BA2F2D" w:rsidTr="00CB7EEF">
        <w:trPr>
          <w:cnfStyle w:val="100000000000" w:firstRow="1" w:lastRow="0" w:firstColumn="0" w:lastColumn="0" w:oddVBand="0" w:evenVBand="0" w:oddHBand="0" w:evenHBand="0" w:firstRowFirstColumn="0" w:firstRowLastColumn="0" w:lastRowFirstColumn="0" w:lastRowLastColumn="0"/>
        </w:trPr>
        <w:tc>
          <w:tcPr>
            <w:tcW w:w="4621" w:type="dxa"/>
          </w:tcPr>
          <w:p w:rsidR="00BA2F2D" w:rsidRDefault="00CB7EEF" w:rsidP="00BA2F2D">
            <w:pPr>
              <w:pStyle w:val="AERbodytext"/>
              <w:numPr>
                <w:ilvl w:val="0"/>
                <w:numId w:val="0"/>
              </w:numPr>
            </w:pPr>
            <w:r>
              <w:t>NER requirements</w:t>
            </w:r>
          </w:p>
        </w:tc>
        <w:tc>
          <w:tcPr>
            <w:tcW w:w="4621" w:type="dxa"/>
          </w:tcPr>
          <w:p w:rsidR="00BA2F2D" w:rsidRDefault="00CB7EEF" w:rsidP="00BA2F2D">
            <w:pPr>
              <w:pStyle w:val="AERbodytext"/>
              <w:numPr>
                <w:ilvl w:val="0"/>
                <w:numId w:val="0"/>
              </w:numPr>
            </w:pPr>
            <w:r>
              <w:t>AER assessment</w:t>
            </w:r>
          </w:p>
        </w:tc>
      </w:tr>
      <w:tr w:rsidR="00BA2F2D" w:rsidTr="00CB7EEF">
        <w:tc>
          <w:tcPr>
            <w:tcW w:w="4621" w:type="dxa"/>
          </w:tcPr>
          <w:p w:rsidR="00BA2F2D" w:rsidRDefault="00CB7EEF" w:rsidP="00BA2F2D">
            <w:pPr>
              <w:pStyle w:val="AERbodytext"/>
              <w:numPr>
                <w:ilvl w:val="0"/>
                <w:numId w:val="0"/>
              </w:numPr>
            </w:pPr>
            <w:r w:rsidRPr="00CB7EEF">
              <w:t>Requirement for whole ASRR for prescribed entry services to be allocated to transmission network connection points in accordance with the attributable connection point cost share for prescribed entry services that are provided by the TNSP at that connection point—clause 6A.23.3(a)</w:t>
            </w:r>
          </w:p>
        </w:tc>
        <w:tc>
          <w:tcPr>
            <w:tcW w:w="4621" w:type="dxa"/>
          </w:tcPr>
          <w:p w:rsidR="00BA2F2D" w:rsidRDefault="000C3553" w:rsidP="00BA2F2D">
            <w:pPr>
              <w:pStyle w:val="AERbodytext"/>
              <w:numPr>
                <w:ilvl w:val="0"/>
                <w:numId w:val="0"/>
              </w:numPr>
            </w:pPr>
            <w:r>
              <w:t xml:space="preserve">Section 6.9.1 </w:t>
            </w:r>
            <w:r w:rsidRPr="000C3553">
              <w:t>of TasNetworks' proposed pricing methodology satisfies this requirement.</w:t>
            </w:r>
          </w:p>
        </w:tc>
      </w:tr>
      <w:tr w:rsidR="00BA2F2D" w:rsidTr="00CB7EEF">
        <w:trPr>
          <w:cnfStyle w:val="000000010000" w:firstRow="0" w:lastRow="0" w:firstColumn="0" w:lastColumn="0" w:oddVBand="0" w:evenVBand="0" w:oddHBand="0" w:evenHBand="1" w:firstRowFirstColumn="0" w:firstRowLastColumn="0" w:lastRowFirstColumn="0" w:lastRowLastColumn="0"/>
        </w:trPr>
        <w:tc>
          <w:tcPr>
            <w:tcW w:w="4621" w:type="dxa"/>
          </w:tcPr>
          <w:p w:rsidR="00BA2F2D" w:rsidRDefault="00CB7EEF" w:rsidP="00BA2F2D">
            <w:pPr>
              <w:pStyle w:val="AERbodytext"/>
              <w:numPr>
                <w:ilvl w:val="0"/>
                <w:numId w:val="0"/>
              </w:numPr>
            </w:pPr>
            <w:r w:rsidRPr="00CB7EEF">
              <w:t>Requirement for the whole ASRR prescribed exit services to be allocated to transmission network connection points in accordance with the attributable connection point cost share for prescribed exit services that are provided by the TNSP at that connection point—clause 6A.23.3(b)</w:t>
            </w:r>
          </w:p>
        </w:tc>
        <w:tc>
          <w:tcPr>
            <w:tcW w:w="4621" w:type="dxa"/>
          </w:tcPr>
          <w:p w:rsidR="00BA2F2D" w:rsidRDefault="000C3553" w:rsidP="00BA2F2D">
            <w:pPr>
              <w:pStyle w:val="AERbodytext"/>
              <w:numPr>
                <w:ilvl w:val="0"/>
                <w:numId w:val="0"/>
              </w:numPr>
            </w:pPr>
            <w:r>
              <w:t>Section 6.9.2</w:t>
            </w:r>
            <w:r w:rsidRPr="000C3553">
              <w:t xml:space="preserve"> of TasNetworks' proposed pricing methodology satisfies this requirement.</w:t>
            </w:r>
          </w:p>
        </w:tc>
      </w:tr>
      <w:tr w:rsidR="00BA2F2D" w:rsidTr="00CB7EEF">
        <w:tc>
          <w:tcPr>
            <w:tcW w:w="4621" w:type="dxa"/>
          </w:tcPr>
          <w:p w:rsidR="00CB7EEF" w:rsidRPr="00CB7EEF" w:rsidRDefault="00CB7EEF" w:rsidP="00CB7EEF">
            <w:pPr>
              <w:pStyle w:val="AERbodytext"/>
            </w:pPr>
            <w:r w:rsidRPr="00CB7EEF">
              <w:t>Requirement for the allocation of the ASRR for:</w:t>
            </w:r>
          </w:p>
          <w:p w:rsidR="00CB7EEF" w:rsidRPr="00CB7EEF" w:rsidRDefault="00CB7EEF" w:rsidP="00CB7EEF">
            <w:pPr>
              <w:pStyle w:val="AERbodytext"/>
            </w:pPr>
            <w:r w:rsidRPr="00CB7EEF">
              <w:t>prescribed TUOS services</w:t>
            </w:r>
          </w:p>
          <w:p w:rsidR="00CB7EEF" w:rsidRPr="00CB7EEF" w:rsidRDefault="00CB7EEF" w:rsidP="00CB7EEF">
            <w:pPr>
              <w:pStyle w:val="AERbodytext"/>
            </w:pPr>
            <w:r w:rsidRPr="00CB7EEF">
              <w:t>locational components</w:t>
            </w:r>
          </w:p>
          <w:p w:rsidR="00CB7EEF" w:rsidRPr="00CB7EEF" w:rsidRDefault="00CB7EEF" w:rsidP="00CB7EEF">
            <w:pPr>
              <w:pStyle w:val="AERbodytext"/>
            </w:pPr>
            <w:r w:rsidRPr="00CB7EEF">
              <w:t>pre-adjusted non</w:t>
            </w:r>
            <w:r w:rsidR="000C3553">
              <w:t>-</w:t>
            </w:r>
            <w:r w:rsidRPr="00CB7EEF">
              <w:t>locational components</w:t>
            </w:r>
          </w:p>
          <w:p w:rsidR="00BA2F2D" w:rsidRDefault="00CB7EEF" w:rsidP="00CB7EEF">
            <w:pPr>
              <w:pStyle w:val="AERbodytext"/>
              <w:numPr>
                <w:ilvl w:val="0"/>
                <w:numId w:val="0"/>
              </w:numPr>
            </w:pPr>
            <w:r w:rsidRPr="00CB7EEF">
              <w:t>—clause 6A.23.3(c)</w:t>
            </w:r>
          </w:p>
        </w:tc>
        <w:tc>
          <w:tcPr>
            <w:tcW w:w="4621" w:type="dxa"/>
          </w:tcPr>
          <w:p w:rsidR="00BA2F2D" w:rsidRDefault="000C3553" w:rsidP="00BA2F2D">
            <w:pPr>
              <w:pStyle w:val="AERbodytext"/>
              <w:numPr>
                <w:ilvl w:val="0"/>
                <w:numId w:val="0"/>
              </w:numPr>
            </w:pPr>
            <w:r w:rsidRPr="000C3553">
              <w:t>Section 6.9.</w:t>
            </w:r>
            <w:r>
              <w:t>3</w:t>
            </w:r>
            <w:r w:rsidRPr="000C3553">
              <w:t xml:space="preserve"> of TasNetworks' proposed pricing methodology satisfies this requirement.</w:t>
            </w:r>
          </w:p>
        </w:tc>
      </w:tr>
      <w:tr w:rsidR="00BA2F2D" w:rsidTr="00CB7EEF">
        <w:trPr>
          <w:cnfStyle w:val="000000010000" w:firstRow="0" w:lastRow="0" w:firstColumn="0" w:lastColumn="0" w:oddVBand="0" w:evenVBand="0" w:oddHBand="0" w:evenHBand="1" w:firstRowFirstColumn="0" w:firstRowLastColumn="0" w:lastRowFirstColumn="0" w:lastRowLastColumn="0"/>
        </w:trPr>
        <w:tc>
          <w:tcPr>
            <w:tcW w:w="4621" w:type="dxa"/>
          </w:tcPr>
          <w:p w:rsidR="00BA2F2D" w:rsidRDefault="00CB7EEF" w:rsidP="00BA2F2D">
            <w:pPr>
              <w:pStyle w:val="AERbodytext"/>
              <w:numPr>
                <w:ilvl w:val="0"/>
                <w:numId w:val="0"/>
              </w:numPr>
            </w:pPr>
            <w:r w:rsidRPr="00CB7EEF">
              <w:t>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BA2F2D" w:rsidRDefault="000C3553" w:rsidP="000C3553">
            <w:pPr>
              <w:pStyle w:val="AERbodytext"/>
              <w:numPr>
                <w:ilvl w:val="0"/>
                <w:numId w:val="0"/>
              </w:numPr>
            </w:pPr>
            <w:r>
              <w:t xml:space="preserve">Appendix D of </w:t>
            </w:r>
            <w:r w:rsidRPr="000C3553">
              <w:t>TasNetworks' proposed pricing methodology satisfies this requirement.</w:t>
            </w:r>
          </w:p>
        </w:tc>
      </w:tr>
      <w:tr w:rsidR="00BA2F2D" w:rsidTr="00CB7EEF">
        <w:tc>
          <w:tcPr>
            <w:tcW w:w="4621" w:type="dxa"/>
          </w:tcPr>
          <w:p w:rsidR="00BA2F2D" w:rsidRDefault="00CB7EEF" w:rsidP="00BA2F2D">
            <w:pPr>
              <w:pStyle w:val="AERbodytext"/>
              <w:numPr>
                <w:ilvl w:val="0"/>
                <w:numId w:val="0"/>
              </w:numPr>
            </w:pPr>
            <w:r w:rsidRPr="00CB7EEF">
              <w:t>Requirement for the recovery of the ASRR for prescribed common transmission services and the operating and maintenance costs incurred in the provision of those services to be recovered through prices charged to transmission customers and network service and network service provider transmission connection points set in accordance with price structure principles set out in clause 6A.23.4—clause 6A.23.3(f)</w:t>
            </w:r>
          </w:p>
        </w:tc>
        <w:tc>
          <w:tcPr>
            <w:tcW w:w="4621" w:type="dxa"/>
          </w:tcPr>
          <w:p w:rsidR="00627DA8" w:rsidRDefault="00627DA8" w:rsidP="00627DA8">
            <w:pPr>
              <w:pStyle w:val="AERbodytext"/>
              <w:numPr>
                <w:ilvl w:val="0"/>
                <w:numId w:val="0"/>
              </w:numPr>
            </w:pPr>
            <w:r>
              <w:t xml:space="preserve">Section 6.11.4 </w:t>
            </w:r>
            <w:r w:rsidRPr="00627DA8">
              <w:t>of TasNetworks' proposed pricing methodology satisfies this requirement.</w:t>
            </w:r>
          </w:p>
        </w:tc>
      </w:tr>
    </w:tbl>
    <w:p w:rsidR="00A54CB5" w:rsidRDefault="00A54CB5" w:rsidP="00BA2F2D">
      <w:pPr>
        <w:pStyle w:val="HeadingBoldBlue"/>
        <w:rPr>
          <w:rStyle w:val="AERtextbold"/>
          <w:b/>
        </w:rPr>
      </w:pPr>
    </w:p>
    <w:p w:rsidR="00BA2F2D" w:rsidRPr="00BA2F2D" w:rsidRDefault="00BA2F2D" w:rsidP="00BA2F2D">
      <w:pPr>
        <w:pStyle w:val="HeadingBoldBlue"/>
        <w:rPr>
          <w:rStyle w:val="AERtextbold"/>
          <w:b/>
        </w:rPr>
      </w:pPr>
      <w:r w:rsidRPr="00BA2F2D">
        <w:rPr>
          <w:rStyle w:val="AERtextbold"/>
          <w:b/>
        </w:rPr>
        <w:t>Development of price structure</w:t>
      </w:r>
    </w:p>
    <w:p w:rsidR="00BA2F2D" w:rsidRPr="00BA2F2D" w:rsidRDefault="000F5E9E" w:rsidP="00BA2F2D">
      <w:pPr>
        <w:pStyle w:val="AERbodytext"/>
        <w:rPr>
          <w:rStyle w:val="AERbody"/>
        </w:rPr>
      </w:pPr>
      <w:r>
        <w:rPr>
          <w:rStyle w:val="AERbody"/>
        </w:rPr>
        <w:t>We</w:t>
      </w:r>
      <w:r w:rsidR="00BA2F2D" w:rsidRPr="00BA2F2D">
        <w:rPr>
          <w:rStyle w:val="AERbody"/>
        </w:rPr>
        <w:t xml:space="preserve"> assessed </w:t>
      </w:r>
      <w:r w:rsidR="0012365E">
        <w:rPr>
          <w:rStyle w:val="AERbody"/>
        </w:rPr>
        <w:t>TasNetworks</w:t>
      </w:r>
      <w:r w:rsidR="0012365E" w:rsidRPr="00BA2F2D">
        <w:rPr>
          <w:rStyle w:val="AERbody"/>
        </w:rPr>
        <w:t>’</w:t>
      </w:r>
      <w:r w:rsidR="00BA2F2D" w:rsidRPr="00BA2F2D">
        <w:rPr>
          <w:rStyle w:val="AERbody"/>
        </w:rPr>
        <w:t xml:space="preserve"> proposed pricing methodology and process for developing different prices for recovering the ASRR, and consider </w:t>
      </w:r>
      <w:r w:rsidR="005012EB">
        <w:rPr>
          <w:rStyle w:val="AERbody"/>
        </w:rPr>
        <w:t>it</w:t>
      </w:r>
      <w:r w:rsidR="00BA2F2D" w:rsidRPr="00BA2F2D">
        <w:rPr>
          <w:rStyle w:val="AERbody"/>
        </w:rPr>
        <w:t xml:space="preserve"> meets the NER requirements. </w:t>
      </w:r>
      <w:r w:rsidR="00BA2F2D" w:rsidRPr="00BA2F2D">
        <w:rPr>
          <w:rStyle w:val="AERbody"/>
        </w:rPr>
        <w:fldChar w:fldCharType="begin"/>
      </w:r>
      <w:r w:rsidR="00BA2F2D" w:rsidRPr="00BA2F2D">
        <w:rPr>
          <w:rStyle w:val="AERbody"/>
        </w:rPr>
        <w:instrText xml:space="preserve"> REF _Ref332705008 \h </w:instrText>
      </w:r>
      <w:r w:rsidR="00BA2F2D" w:rsidRPr="00BA2F2D">
        <w:rPr>
          <w:rStyle w:val="AERbody"/>
        </w:rPr>
      </w:r>
      <w:r w:rsidR="00BA2F2D" w:rsidRPr="00BA2F2D">
        <w:rPr>
          <w:rStyle w:val="AERbody"/>
        </w:rPr>
        <w:fldChar w:fldCharType="separate"/>
      </w:r>
      <w:r w:rsidR="00683440" w:rsidRPr="00BA2F2D">
        <w:t xml:space="preserve">Table </w:t>
      </w:r>
      <w:r w:rsidR="00683440">
        <w:rPr>
          <w:noProof/>
        </w:rPr>
        <w:t>12</w:t>
      </w:r>
      <w:r w:rsidR="00683440">
        <w:t>.</w:t>
      </w:r>
      <w:r w:rsidR="00683440">
        <w:rPr>
          <w:noProof/>
        </w:rPr>
        <w:t>3</w:t>
      </w:r>
      <w:r w:rsidR="00BA2F2D" w:rsidRPr="00BA2F2D">
        <w:rPr>
          <w:rStyle w:val="AERbody"/>
        </w:rPr>
        <w:fldChar w:fldCharType="end"/>
      </w:r>
      <w:r w:rsidR="007F1A44">
        <w:rPr>
          <w:rStyle w:val="AERbody"/>
        </w:rPr>
        <w:t xml:space="preserve"> sets out the </w:t>
      </w:r>
      <w:r w:rsidR="00BA2F2D" w:rsidRPr="00BA2F2D">
        <w:rPr>
          <w:rStyle w:val="AERbody"/>
        </w:rPr>
        <w:t>assessment.</w:t>
      </w:r>
    </w:p>
    <w:p w:rsidR="00CB7EEF" w:rsidRPr="00CB7EEF" w:rsidRDefault="00BA2F2D" w:rsidP="00CB7EEF">
      <w:pPr>
        <w:pStyle w:val="Caption"/>
      </w:pPr>
      <w:bookmarkStart w:id="23" w:name="_Ref332705008"/>
      <w:proofErr w:type="gramStart"/>
      <w:r w:rsidRPr="00BA2F2D">
        <w:t xml:space="preserve">Table </w:t>
      </w:r>
      <w:proofErr w:type="gramEnd"/>
      <w:r w:rsidR="002B55FA">
        <w:fldChar w:fldCharType="begin"/>
      </w:r>
      <w:r w:rsidR="002B55FA">
        <w:instrText xml:space="preserve"> STYLEREF 1 \s </w:instrText>
      </w:r>
      <w:r w:rsidR="002B55FA">
        <w:fldChar w:fldCharType="separate"/>
      </w:r>
      <w:r w:rsidR="00683440">
        <w:rPr>
          <w:noProof/>
        </w:rPr>
        <w:t>12</w:t>
      </w:r>
      <w:r w:rsidR="002B55FA">
        <w:rPr>
          <w:noProof/>
        </w:rPr>
        <w:fldChar w:fldCharType="end"/>
      </w:r>
      <w:proofErr w:type="gramStart"/>
      <w:r>
        <w:t>.</w:t>
      </w:r>
      <w:proofErr w:type="gramEnd"/>
      <w:r w:rsidR="005668C4">
        <w:fldChar w:fldCharType="begin"/>
      </w:r>
      <w:r w:rsidR="005668C4">
        <w:instrText xml:space="preserve"> SEQ Table \* ARABIC \s 1 </w:instrText>
      </w:r>
      <w:r w:rsidR="005668C4">
        <w:fldChar w:fldCharType="separate"/>
      </w:r>
      <w:r w:rsidR="00683440">
        <w:rPr>
          <w:noProof/>
        </w:rPr>
        <w:t>3</w:t>
      </w:r>
      <w:r w:rsidR="005668C4">
        <w:rPr>
          <w:noProof/>
        </w:rPr>
        <w:fldChar w:fldCharType="end"/>
      </w:r>
      <w:bookmarkEnd w:id="23"/>
      <w:r w:rsidRPr="00BA2F2D">
        <w:tab/>
      </w:r>
      <w:r>
        <w:t>TasNetworks</w:t>
      </w:r>
      <w:r w:rsidRPr="00BA2F2D">
        <w:t xml:space="preserve">' proposed pricing structure </w:t>
      </w:r>
      <w:r w:rsidR="005012EB">
        <w:t>against</w:t>
      </w:r>
      <w:r w:rsidR="005012EB" w:rsidRPr="00BA2F2D">
        <w:t xml:space="preserve"> </w:t>
      </w:r>
      <w:r w:rsidRPr="00BA2F2D">
        <w:t>the NER requirements</w:t>
      </w:r>
    </w:p>
    <w:tbl>
      <w:tblPr>
        <w:tblStyle w:val="AERtable-text"/>
        <w:tblW w:w="0" w:type="auto"/>
        <w:tblLook w:val="04A0" w:firstRow="1" w:lastRow="0" w:firstColumn="1" w:lastColumn="0" w:noHBand="0" w:noVBand="1"/>
      </w:tblPr>
      <w:tblGrid>
        <w:gridCol w:w="4621"/>
        <w:gridCol w:w="4621"/>
      </w:tblGrid>
      <w:tr w:rsidR="00BA2F2D" w:rsidTr="00A54CB5">
        <w:trPr>
          <w:cnfStyle w:val="100000000000" w:firstRow="1" w:lastRow="0" w:firstColumn="0" w:lastColumn="0" w:oddVBand="0" w:evenVBand="0" w:oddHBand="0" w:evenHBand="0" w:firstRowFirstColumn="0" w:firstRowLastColumn="0" w:lastRowFirstColumn="0" w:lastRowLastColumn="0"/>
          <w:tblHeader/>
        </w:trPr>
        <w:tc>
          <w:tcPr>
            <w:tcW w:w="4621" w:type="dxa"/>
          </w:tcPr>
          <w:p w:rsidR="00BA2F2D" w:rsidRPr="00BA2F2D" w:rsidRDefault="00BA2F2D" w:rsidP="00BA2F2D">
            <w:pPr>
              <w:pStyle w:val="AERbodytext"/>
            </w:pPr>
            <w:r w:rsidRPr="00BA2F2D">
              <w:t>NER requirements</w:t>
            </w:r>
          </w:p>
        </w:tc>
        <w:tc>
          <w:tcPr>
            <w:tcW w:w="4621" w:type="dxa"/>
          </w:tcPr>
          <w:p w:rsidR="00BA2F2D" w:rsidRPr="00BA2F2D" w:rsidRDefault="00BA2F2D" w:rsidP="00BA2F2D">
            <w:pPr>
              <w:pStyle w:val="AERbodytext"/>
            </w:pPr>
            <w:r w:rsidRPr="00BA2F2D">
              <w:t>AER assessment</w:t>
            </w:r>
          </w:p>
        </w:tc>
      </w:tr>
      <w:tr w:rsidR="00BA2F2D" w:rsidTr="006752A3">
        <w:tc>
          <w:tcPr>
            <w:tcW w:w="4621" w:type="dxa"/>
          </w:tcPr>
          <w:p w:rsidR="00BA2F2D" w:rsidRPr="00BA2F2D" w:rsidRDefault="00BA2F2D" w:rsidP="00BA2F2D">
            <w:pPr>
              <w:pStyle w:val="AERbodytext"/>
            </w:pPr>
            <w:r w:rsidRPr="00BA2F2D">
              <w:t>Requirement for separate prices for each category of prescribed transmission services—clause 6A.23.4(b)</w:t>
            </w:r>
          </w:p>
        </w:tc>
        <w:tc>
          <w:tcPr>
            <w:tcW w:w="4621" w:type="dxa"/>
          </w:tcPr>
          <w:p w:rsidR="00BA2F2D" w:rsidRPr="00BA2F2D" w:rsidRDefault="00627DA8" w:rsidP="00BA2F2D">
            <w:pPr>
              <w:pStyle w:val="AERbodytext"/>
            </w:pPr>
            <w:r>
              <w:t xml:space="preserve">Section 6.11 </w:t>
            </w:r>
            <w:r w:rsidRPr="00627DA8">
              <w:t>of TasNetworks' proposed pricing methodology satisfies this requirement.</w:t>
            </w:r>
          </w:p>
        </w:tc>
      </w:tr>
      <w:tr w:rsidR="00BA2F2D" w:rsidTr="006752A3">
        <w:trPr>
          <w:cnfStyle w:val="000000010000" w:firstRow="0" w:lastRow="0" w:firstColumn="0" w:lastColumn="0" w:oddVBand="0" w:evenVBand="0" w:oddHBand="0" w:evenHBand="1" w:firstRowFirstColumn="0" w:firstRowLastColumn="0" w:lastRowFirstColumn="0" w:lastRowLastColumn="0"/>
        </w:trPr>
        <w:tc>
          <w:tcPr>
            <w:tcW w:w="4621" w:type="dxa"/>
          </w:tcPr>
          <w:p w:rsidR="00BA2F2D" w:rsidRPr="00BA2F2D" w:rsidRDefault="00BA2F2D" w:rsidP="00BA2F2D">
            <w:pPr>
              <w:pStyle w:val="AERbodytext"/>
            </w:pPr>
            <w:r w:rsidRPr="00BA2F2D">
              <w:t xml:space="preserve">Requirement for fixed annual amount prices for prescribed </w:t>
            </w:r>
            <w:r w:rsidRPr="00BA2F2D">
              <w:lastRenderedPageBreak/>
              <w:t>entry services and prescribed exit services—clause 6A.23.4(c)</w:t>
            </w:r>
          </w:p>
        </w:tc>
        <w:tc>
          <w:tcPr>
            <w:tcW w:w="4621" w:type="dxa"/>
          </w:tcPr>
          <w:p w:rsidR="00BA2F2D" w:rsidRPr="00BA2F2D" w:rsidRDefault="00627DA8" w:rsidP="00BA2F2D">
            <w:pPr>
              <w:pStyle w:val="AERbodytext"/>
            </w:pPr>
            <w:r>
              <w:lastRenderedPageBreak/>
              <w:t xml:space="preserve">Section 6.11.1 </w:t>
            </w:r>
            <w:r w:rsidRPr="00627DA8">
              <w:t xml:space="preserve">of TasNetworks' proposed pricing methodology </w:t>
            </w:r>
            <w:r w:rsidRPr="00627DA8">
              <w:lastRenderedPageBreak/>
              <w:t>satisfies this requirement.</w:t>
            </w:r>
          </w:p>
        </w:tc>
      </w:tr>
      <w:tr w:rsidR="00BA2F2D" w:rsidTr="006752A3">
        <w:tc>
          <w:tcPr>
            <w:tcW w:w="4621" w:type="dxa"/>
          </w:tcPr>
          <w:p w:rsidR="00BA2F2D" w:rsidRPr="00BA2F2D" w:rsidRDefault="00BA2F2D" w:rsidP="00BA2F2D">
            <w:pPr>
              <w:pStyle w:val="AERbodytext"/>
            </w:pPr>
            <w:r w:rsidRPr="00BA2F2D">
              <w:lastRenderedPageBreak/>
              <w:t>Requirement for postage stamped prices for prescribed common transmission services—clause 6A.23.4(d)</w:t>
            </w:r>
          </w:p>
        </w:tc>
        <w:tc>
          <w:tcPr>
            <w:tcW w:w="4621" w:type="dxa"/>
          </w:tcPr>
          <w:p w:rsidR="00BA2F2D" w:rsidRPr="00BA2F2D" w:rsidRDefault="00627DA8" w:rsidP="00BA2F2D">
            <w:pPr>
              <w:pStyle w:val="AERbodytext"/>
            </w:pPr>
            <w:r>
              <w:t xml:space="preserve">Section 6.11.4 </w:t>
            </w:r>
            <w:r w:rsidRPr="00627DA8">
              <w:t>of TasNetworks' proposed pricing methodology satisfies this requirement.</w:t>
            </w:r>
          </w:p>
        </w:tc>
      </w:tr>
      <w:tr w:rsidR="00BA2F2D" w:rsidTr="006752A3">
        <w:trPr>
          <w:cnfStyle w:val="000000010000" w:firstRow="0" w:lastRow="0" w:firstColumn="0" w:lastColumn="0" w:oddVBand="0" w:evenVBand="0" w:oddHBand="0" w:evenHBand="1" w:firstRowFirstColumn="0" w:firstRowLastColumn="0" w:lastRowFirstColumn="0" w:lastRowLastColumn="0"/>
        </w:trPr>
        <w:tc>
          <w:tcPr>
            <w:tcW w:w="4621" w:type="dxa"/>
          </w:tcPr>
          <w:p w:rsidR="00BA2F2D" w:rsidRPr="00BA2F2D" w:rsidRDefault="00BA2F2D" w:rsidP="00BA2F2D">
            <w:pPr>
              <w:pStyle w:val="AERbodytext"/>
            </w:pPr>
            <w:r w:rsidRPr="00BA2F2D">
              <w:t>Requirement for prices for locational component of prescribed TUOS services to be based on demand at times of greatest use of the transmission network and for which network investment is most likely to be contemplated—clause 6A.23.4(e)</w:t>
            </w:r>
          </w:p>
        </w:tc>
        <w:tc>
          <w:tcPr>
            <w:tcW w:w="4621" w:type="dxa"/>
          </w:tcPr>
          <w:p w:rsidR="00BA2F2D" w:rsidRPr="00BA2F2D" w:rsidRDefault="00627DA8" w:rsidP="00BA2F2D">
            <w:pPr>
              <w:pStyle w:val="AERbodytext"/>
            </w:pPr>
            <w:r>
              <w:t xml:space="preserve">Section 6.11.2 </w:t>
            </w:r>
            <w:r w:rsidRPr="00627DA8">
              <w:t>of TasNetworks' proposed pricing methodology satisfies this requirement.</w:t>
            </w:r>
          </w:p>
        </w:tc>
      </w:tr>
      <w:tr w:rsidR="00BA2F2D" w:rsidTr="006752A3">
        <w:tc>
          <w:tcPr>
            <w:tcW w:w="4621" w:type="dxa"/>
          </w:tcPr>
          <w:p w:rsidR="00BA2F2D" w:rsidRPr="00BA2F2D" w:rsidRDefault="00BA2F2D" w:rsidP="00BA2F2D">
            <w:pPr>
              <w:pStyle w:val="AERbodytext"/>
            </w:pPr>
            <w:r w:rsidRPr="00BA2F2D">
              <w:t>Requirement for prices for the locational component of ASRR for prescribed TUOS services not to change by more than 2 per cent per year compared with the load weighted average prices for this component for the relevant region—clause 6A.23.4 to clause 6A.23.4(f)</w:t>
            </w:r>
          </w:p>
        </w:tc>
        <w:tc>
          <w:tcPr>
            <w:tcW w:w="4621" w:type="dxa"/>
          </w:tcPr>
          <w:p w:rsidR="00BA2F2D" w:rsidRPr="00BA2F2D" w:rsidRDefault="00627DA8" w:rsidP="00BA2F2D">
            <w:pPr>
              <w:pStyle w:val="AERbodytext"/>
            </w:pPr>
            <w:r w:rsidRPr="00627DA8">
              <w:t>Section 6.11.2 of TasNetworks' proposed pricing methodology satisfies this requirement.</w:t>
            </w:r>
          </w:p>
        </w:tc>
      </w:tr>
      <w:tr w:rsidR="00BA2F2D" w:rsidTr="006752A3">
        <w:trPr>
          <w:cnfStyle w:val="000000010000" w:firstRow="0" w:lastRow="0" w:firstColumn="0" w:lastColumn="0" w:oddVBand="0" w:evenVBand="0" w:oddHBand="0" w:evenHBand="1" w:firstRowFirstColumn="0" w:firstRowLastColumn="0" w:lastRowFirstColumn="0" w:lastRowLastColumn="0"/>
        </w:trPr>
        <w:tc>
          <w:tcPr>
            <w:tcW w:w="4621" w:type="dxa"/>
          </w:tcPr>
          <w:p w:rsidR="00BA2F2D" w:rsidRPr="00BA2F2D" w:rsidRDefault="00BA2F2D" w:rsidP="00BA2F2D">
            <w:pPr>
              <w:pStyle w:val="AERbodytext"/>
            </w:pPr>
            <w:r w:rsidRPr="00BA2F2D">
              <w:t>Requirement for prices for the adjusted non</w:t>
            </w:r>
            <w:r w:rsidR="00627DA8">
              <w:t>-</w:t>
            </w:r>
            <w:r w:rsidRPr="00BA2F2D">
              <w:t>locational component of prescribed TUOS services to be on a postage stamp basis—clause 6A.23.4(j)</w:t>
            </w:r>
          </w:p>
        </w:tc>
        <w:tc>
          <w:tcPr>
            <w:tcW w:w="4621" w:type="dxa"/>
          </w:tcPr>
          <w:p w:rsidR="00BA2F2D" w:rsidRPr="00BA2F2D" w:rsidRDefault="00627DA8" w:rsidP="00BA2F2D">
            <w:pPr>
              <w:pStyle w:val="AERbodytext"/>
            </w:pPr>
            <w:r w:rsidRPr="00627DA8">
              <w:t>Section 6.11.</w:t>
            </w:r>
            <w:r>
              <w:t>3</w:t>
            </w:r>
            <w:r w:rsidRPr="00627DA8">
              <w:t xml:space="preserve"> of TasNetworks' proposed pricing methodology satisfies this requirement.</w:t>
            </w:r>
          </w:p>
        </w:tc>
      </w:tr>
    </w:tbl>
    <w:p w:rsidR="00BA2F2D" w:rsidRPr="00BA2F2D" w:rsidRDefault="00BA2F2D" w:rsidP="00BA2F2D">
      <w:pPr>
        <w:pStyle w:val="AERbodytext"/>
        <w:rPr>
          <w:rStyle w:val="AERbody"/>
        </w:rPr>
      </w:pPr>
    </w:p>
    <w:p w:rsidR="00BA2F2D" w:rsidRPr="00C92B37" w:rsidRDefault="005012EB" w:rsidP="00C92B37">
      <w:pPr>
        <w:pStyle w:val="Heading3"/>
        <w:rPr>
          <w:rStyle w:val="AERbody"/>
          <w:color w:val="E36C0A"/>
          <w:sz w:val="24"/>
        </w:rPr>
      </w:pPr>
      <w:bookmarkStart w:id="24" w:name="_Toc404752526"/>
      <w:r w:rsidRPr="0018283F">
        <w:rPr>
          <w:rStyle w:val="AERbody"/>
          <w:color w:val="E36C0A"/>
          <w:sz w:val="24"/>
        </w:rPr>
        <w:t>Information requirements</w:t>
      </w:r>
      <w:bookmarkEnd w:id="24"/>
    </w:p>
    <w:p w:rsidR="00BA2F2D" w:rsidRPr="00BA2F2D" w:rsidRDefault="0012365E" w:rsidP="00BA2F2D">
      <w:pPr>
        <w:pStyle w:val="AERbodytext"/>
        <w:rPr>
          <w:rStyle w:val="AERbody"/>
        </w:rPr>
      </w:pPr>
      <w:r>
        <w:rPr>
          <w:rStyle w:val="AERbody"/>
        </w:rPr>
        <w:t>We are</w:t>
      </w:r>
      <w:r w:rsidR="00BA2F2D" w:rsidRPr="00BA2F2D">
        <w:rPr>
          <w:rStyle w:val="AERbody"/>
        </w:rPr>
        <w:t xml:space="preserve"> satisfied that </w:t>
      </w:r>
      <w:r>
        <w:rPr>
          <w:rStyle w:val="AERbody"/>
        </w:rPr>
        <w:t>TasNetworks'</w:t>
      </w:r>
      <w:r w:rsidRPr="00BA2F2D">
        <w:rPr>
          <w:rStyle w:val="AERbody"/>
        </w:rPr>
        <w:t xml:space="preserve"> </w:t>
      </w:r>
      <w:r w:rsidR="00BA2F2D" w:rsidRPr="00BA2F2D">
        <w:rPr>
          <w:rStyle w:val="AERbody"/>
        </w:rPr>
        <w:t>proposed pricing methodology complies with the information requirements of the pricing methodology guidelines. Key features of the proposal include:</w:t>
      </w:r>
    </w:p>
    <w:p w:rsidR="00BA2F2D" w:rsidRPr="00BA2F2D" w:rsidRDefault="00BA2F2D" w:rsidP="00BA2F2D">
      <w:pPr>
        <w:pStyle w:val="AERbulletlistfirststyle"/>
        <w:rPr>
          <w:rStyle w:val="AERbody"/>
        </w:rPr>
      </w:pPr>
      <w:r w:rsidRPr="00BA2F2D">
        <w:rPr>
          <w:rStyle w:val="AERbody"/>
        </w:rPr>
        <w:t xml:space="preserve">acknowledging that </w:t>
      </w:r>
      <w:r>
        <w:rPr>
          <w:rStyle w:val="AERbody"/>
        </w:rPr>
        <w:t>TasNetworks</w:t>
      </w:r>
      <w:r w:rsidRPr="00BA2F2D">
        <w:rPr>
          <w:rStyle w:val="AERbody"/>
        </w:rPr>
        <w:t xml:space="preserve"> is the </w:t>
      </w:r>
      <w:r w:rsidR="00627DA8">
        <w:rPr>
          <w:rStyle w:val="AERbody"/>
        </w:rPr>
        <w:t xml:space="preserve">only transmission business in its region (Tasmania) </w:t>
      </w:r>
    </w:p>
    <w:p w:rsidR="00BA2F2D" w:rsidRPr="00BA2F2D" w:rsidRDefault="00BA2F2D" w:rsidP="00BA2F2D">
      <w:pPr>
        <w:pStyle w:val="AERbulletlistfirststyle"/>
        <w:rPr>
          <w:rStyle w:val="AERbody"/>
        </w:rPr>
      </w:pPr>
      <w:r w:rsidRPr="00BA2F2D">
        <w:rPr>
          <w:rStyle w:val="AERbody"/>
        </w:rPr>
        <w:t>calculating the locational component of prescribed TUOS services costs using a cost reflective network pricing methodology</w:t>
      </w:r>
    </w:p>
    <w:p w:rsidR="00BA2F2D" w:rsidRPr="00BA2F2D" w:rsidRDefault="00BA2F2D" w:rsidP="00BA2F2D">
      <w:pPr>
        <w:pStyle w:val="AERbulletlistfirststyle"/>
        <w:rPr>
          <w:rStyle w:val="AERbody"/>
        </w:rPr>
      </w:pPr>
      <w:r w:rsidRPr="00BA2F2D">
        <w:rPr>
          <w:rStyle w:val="AERbody"/>
        </w:rPr>
        <w:t>basing the locational prescribed TUOS services price on an agreed nominated demand and the average half hourly demand</w:t>
      </w:r>
    </w:p>
    <w:p w:rsidR="00BA2F2D" w:rsidRPr="00BA2F2D" w:rsidRDefault="00BA2F2D" w:rsidP="00BA2F2D">
      <w:pPr>
        <w:pStyle w:val="AERbulletlistfirststyle"/>
        <w:rPr>
          <w:rStyle w:val="AERbody"/>
        </w:rPr>
      </w:pPr>
      <w:r w:rsidRPr="00BA2F2D">
        <w:rPr>
          <w:rStyle w:val="AERbody"/>
        </w:rPr>
        <w:t>basing the postage stamp pricing structure for the non-locational component of prescribed TUOS services and prescribed common transmission services on contract agreed maximum demand or historical energy</w:t>
      </w:r>
    </w:p>
    <w:p w:rsidR="00BA2F2D" w:rsidRPr="00BA2F2D" w:rsidRDefault="00BA2F2D" w:rsidP="00BA2F2D">
      <w:pPr>
        <w:pStyle w:val="AERbulletlistfirststyle"/>
        <w:rPr>
          <w:rStyle w:val="AERbody"/>
        </w:rPr>
      </w:pPr>
      <w:r w:rsidRPr="00BA2F2D">
        <w:rPr>
          <w:rStyle w:val="AERbody"/>
        </w:rPr>
        <w:t>using the priority ordering approach under clause 6A.23.3(d) of the NER to implement priority ordering</w:t>
      </w:r>
    </w:p>
    <w:p w:rsidR="00BA2F2D" w:rsidRPr="00BA2F2D" w:rsidRDefault="00BA2F2D" w:rsidP="00BA2F2D">
      <w:pPr>
        <w:pStyle w:val="AERbulletlistfirststyle"/>
        <w:rPr>
          <w:rStyle w:val="AERbody"/>
        </w:rPr>
      </w:pPr>
      <w:r w:rsidRPr="00BA2F2D">
        <w:rPr>
          <w:rStyle w:val="AERbody"/>
        </w:rPr>
        <w:t>describing how asset costs that may be attributable to both prescribed entry services and prescribed exit services will be allocated at a connection point</w:t>
      </w:r>
    </w:p>
    <w:p w:rsidR="00BA2F2D" w:rsidRPr="00BA2F2D" w:rsidRDefault="00BA2F2D" w:rsidP="00BA2F2D">
      <w:pPr>
        <w:pStyle w:val="AERbulletlistfirststyle"/>
        <w:rPr>
          <w:rStyle w:val="AERbody"/>
        </w:rPr>
      </w:pPr>
      <w:r w:rsidRPr="00BA2F2D">
        <w:rPr>
          <w:rStyle w:val="AERbody"/>
        </w:rPr>
        <w:t>describing billing arrangements as in clause 6A.27 of the NER</w:t>
      </w:r>
    </w:p>
    <w:p w:rsidR="00BA2F2D" w:rsidRPr="00BA2F2D" w:rsidRDefault="00BA2F2D" w:rsidP="00BA2F2D">
      <w:pPr>
        <w:pStyle w:val="AERbulletlistfirststyle"/>
        <w:rPr>
          <w:rStyle w:val="AERbody"/>
        </w:rPr>
      </w:pPr>
      <w:r w:rsidRPr="00BA2F2D">
        <w:rPr>
          <w:rStyle w:val="AERbody"/>
        </w:rPr>
        <w:t>describing prudential requirements as in clause 6A.28 of the NER</w:t>
      </w:r>
    </w:p>
    <w:p w:rsidR="00BA2F2D" w:rsidRPr="00BA2F2D" w:rsidRDefault="00BA2F2D" w:rsidP="00BA2F2D">
      <w:pPr>
        <w:pStyle w:val="AERbulletlistfirststyle"/>
        <w:rPr>
          <w:rStyle w:val="AERbody"/>
        </w:rPr>
      </w:pPr>
      <w:r w:rsidRPr="00BA2F2D">
        <w:rPr>
          <w:rStyle w:val="AERbody"/>
        </w:rPr>
        <w:t>including hypothetical examples</w:t>
      </w:r>
    </w:p>
    <w:p w:rsidR="003B7FE3" w:rsidRPr="003324F7" w:rsidRDefault="00BA2F2D" w:rsidP="003F67BC">
      <w:pPr>
        <w:pStyle w:val="AERbulletlistfirststyle"/>
      </w:pPr>
      <w:r w:rsidRPr="00BA2F2D">
        <w:rPr>
          <w:rStyle w:val="AERbody"/>
        </w:rPr>
        <w:lastRenderedPageBreak/>
        <w:t xml:space="preserve">describing how </w:t>
      </w:r>
      <w:r>
        <w:rPr>
          <w:rStyle w:val="AERbody"/>
        </w:rPr>
        <w:t>TasNetworks</w:t>
      </w:r>
      <w:r w:rsidRPr="00BA2F2D">
        <w:rPr>
          <w:rStyle w:val="AERbody"/>
        </w:rPr>
        <w:t xml:space="preserve"> intends to monitor and develop records of its compliance with its approved pricing methodology.</w:t>
      </w:r>
    </w:p>
    <w:sectPr w:rsidR="003B7FE3" w:rsidRPr="003324F7" w:rsidSect="00410798">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67" w:rsidRPr="00AB4345" w:rsidRDefault="003F1367" w:rsidP="00AB4345">
      <w:r>
        <w:separator/>
      </w:r>
    </w:p>
  </w:endnote>
  <w:endnote w:type="continuationSeparator" w:id="0">
    <w:p w:rsidR="003F1367" w:rsidRPr="00AB4345" w:rsidRDefault="003F1367"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F1367" w:rsidRPr="00824CC8" w:rsidRDefault="003F1367" w:rsidP="00824CC8">
        <w:pPr>
          <w:pStyle w:val="Footer"/>
        </w:pPr>
        <w:r w:rsidRPr="00824CC8">
          <w:fldChar w:fldCharType="begin"/>
        </w:r>
        <w:r w:rsidRPr="00824CC8">
          <w:instrText xml:space="preserve"> PAGE   \* MERGEFORMAT </w:instrText>
        </w:r>
        <w:r w:rsidRPr="00824CC8">
          <w:fldChar w:fldCharType="separate"/>
        </w:r>
        <w:r w:rsidR="005668C4">
          <w:rPr>
            <w:noProof/>
          </w:rPr>
          <w:t>4</w:t>
        </w:r>
        <w:r w:rsidRPr="00824CC8">
          <w:fldChar w:fldCharType="end"/>
        </w:r>
        <w:r w:rsidR="002C28DE" w:rsidRPr="002C28DE">
          <w:rPr>
            <w:rStyle w:val="AERbody"/>
          </w:rPr>
          <w:ptab w:relativeTo="margin" w:alignment="left" w:leader="none"/>
        </w:r>
        <w:r w:rsidR="002C28DE">
          <w:rPr>
            <w:rStyle w:val="AERbody"/>
          </w:rPr>
          <w:tab/>
        </w:r>
        <w:r w:rsidR="002C28DE">
          <w:rPr>
            <w:rStyle w:val="AERbody"/>
          </w:rPr>
          <w:tab/>
          <w:t>Attachment 1</w:t>
        </w:r>
        <w:r w:rsidR="00075397">
          <w:rPr>
            <w:rStyle w:val="AERbody"/>
          </w:rPr>
          <w:t>2</w:t>
        </w:r>
        <w:r w:rsidR="002C28DE">
          <w:rPr>
            <w:rStyle w:val="AERbody"/>
          </w:rPr>
          <w:t xml:space="preserve"> </w:t>
        </w:r>
        <w:r w:rsidR="002C28DE" w:rsidRPr="006643F4">
          <w:rPr>
            <w:rStyle w:val="AERbody"/>
          </w:rPr>
          <w:t xml:space="preserve">| </w:t>
        </w:r>
        <w:r w:rsidR="00A54CB5">
          <w:rPr>
            <w:rStyle w:val="AERbody"/>
          </w:rPr>
          <w:t>Pricing methodology</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67" w:rsidRPr="00824CC8" w:rsidRDefault="00A54CB5" w:rsidP="00824CC8">
    <w:pPr>
      <w:pStyle w:val="Footer"/>
      <w:rPr>
        <w:rStyle w:val="AERbody"/>
      </w:rPr>
    </w:pPr>
    <w:r>
      <w:rPr>
        <w:rStyle w:val="AERbody"/>
      </w:rPr>
      <w:t>Draft decision: TasNetworks transmission</w:t>
    </w:r>
    <w:r w:rsidRPr="006643F4">
      <w:rPr>
        <w:rStyle w:val="AERbody"/>
      </w:rPr>
      <w:t xml:space="preserve"> determination</w:t>
    </w:r>
    <w:r w:rsidRPr="006643F4">
      <w:t xml:space="preserve"> 2015-19</w:t>
    </w:r>
    <w:r w:rsidRPr="006643F4">
      <w:rPr>
        <w:rStyle w:val="AERbody"/>
      </w:rPr>
      <w:t xml:space="preserve"> </w:t>
    </w:r>
    <w:r w:rsidR="00410798" w:rsidRPr="006643F4">
      <w:rPr>
        <w:rStyle w:val="AERbody"/>
      </w:rPr>
      <w:t xml:space="preserve">| </w:t>
    </w:r>
    <w:r>
      <w:rPr>
        <w:rStyle w:val="AERbody"/>
      </w:rPr>
      <w:t>Attachment 12</w:t>
    </w:r>
    <w:r w:rsidR="003F1367" w:rsidRPr="00210880">
      <w:rPr>
        <w:rStyle w:val="AERbody"/>
      </w:rPr>
      <w:tab/>
    </w:r>
    <w:r w:rsidR="003F1367" w:rsidRPr="00824CC8">
      <w:rPr>
        <w:rStyle w:val="AERbody"/>
      </w:rPr>
      <w:fldChar w:fldCharType="begin"/>
    </w:r>
    <w:r w:rsidR="003F1367" w:rsidRPr="00824CC8">
      <w:rPr>
        <w:rStyle w:val="AERbody"/>
      </w:rPr>
      <w:instrText xml:space="preserve"> PAGE   \* MERGEFORMAT </w:instrText>
    </w:r>
    <w:r w:rsidR="003F1367" w:rsidRPr="00824CC8">
      <w:rPr>
        <w:rStyle w:val="AERbody"/>
      </w:rPr>
      <w:fldChar w:fldCharType="separate"/>
    </w:r>
    <w:r w:rsidR="005668C4">
      <w:rPr>
        <w:rStyle w:val="AERbody"/>
        <w:noProof/>
      </w:rPr>
      <w:t>3</w:t>
    </w:r>
    <w:r w:rsidR="003F1367"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67" w:rsidRPr="00AB4345" w:rsidRDefault="003F1367" w:rsidP="00AB4345">
      <w:r>
        <w:separator/>
      </w:r>
    </w:p>
  </w:footnote>
  <w:footnote w:type="continuationSeparator" w:id="0">
    <w:p w:rsidR="003F1367" w:rsidRPr="00AB4345" w:rsidRDefault="003F1367" w:rsidP="00AB4345">
      <w:r>
        <w:continuationSeparator/>
      </w:r>
    </w:p>
  </w:footnote>
  <w:footnote w:id="1">
    <w:p w:rsidR="003F1367" w:rsidRDefault="003F1367">
      <w:pPr>
        <w:pStyle w:val="FootnoteText"/>
      </w:pPr>
      <w:r>
        <w:rPr>
          <w:rStyle w:val="FootnoteReference"/>
        </w:rPr>
        <w:footnoteRef/>
      </w:r>
      <w:r>
        <w:t xml:space="preserve"> </w:t>
      </w:r>
      <w:r>
        <w:tab/>
        <w:t>NER, clause 6A.2.2(4).</w:t>
      </w:r>
    </w:p>
  </w:footnote>
  <w:footnote w:id="2">
    <w:p w:rsidR="003F1367" w:rsidRDefault="003F1367">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3">
    <w:p w:rsidR="003F1367" w:rsidRDefault="003F1367">
      <w:pPr>
        <w:pStyle w:val="FootnoteText"/>
      </w:pPr>
      <w:r>
        <w:rPr>
          <w:rStyle w:val="FootnoteReference"/>
        </w:rPr>
        <w:footnoteRef/>
      </w:r>
      <w:r>
        <w:t xml:space="preserve"> </w:t>
      </w:r>
      <w:r>
        <w:tab/>
        <w:t>NER, 6A.24.1(b).</w:t>
      </w:r>
    </w:p>
  </w:footnote>
  <w:footnote w:id="4">
    <w:p w:rsidR="003F1367" w:rsidRDefault="003F1367">
      <w:pPr>
        <w:pStyle w:val="FootnoteText"/>
      </w:pPr>
      <w:r>
        <w:rPr>
          <w:rStyle w:val="FootnoteReference"/>
        </w:rPr>
        <w:footnoteRef/>
      </w:r>
      <w:r>
        <w:t xml:space="preserve"> </w:t>
      </w:r>
      <w:r>
        <w:tab/>
        <w:t>NER, clause 6A.24.1(b)(1).</w:t>
      </w:r>
    </w:p>
  </w:footnote>
  <w:footnote w:id="5">
    <w:p w:rsidR="003F1367" w:rsidRDefault="003F1367">
      <w:pPr>
        <w:pStyle w:val="FootnoteText"/>
      </w:pPr>
      <w:r>
        <w:rPr>
          <w:rStyle w:val="FootnoteReference"/>
        </w:rPr>
        <w:footnoteRef/>
      </w:r>
      <w:r>
        <w:t xml:space="preserve"> </w:t>
      </w:r>
      <w:r>
        <w:tab/>
        <w:t>NER, clause 6A.24.1(b)(2).</w:t>
      </w:r>
    </w:p>
  </w:footnote>
  <w:footnote w:id="6">
    <w:p w:rsidR="003F1367" w:rsidRDefault="003F1367">
      <w:pPr>
        <w:pStyle w:val="FootnoteText"/>
      </w:pPr>
      <w:r>
        <w:rPr>
          <w:rStyle w:val="FootnoteReference"/>
        </w:rPr>
        <w:footnoteRef/>
      </w:r>
      <w:r>
        <w:t xml:space="preserve"> </w:t>
      </w:r>
      <w:r>
        <w:tab/>
        <w:t>NER, clause 6A.24.1(c).</w:t>
      </w:r>
    </w:p>
  </w:footnote>
  <w:footnote w:id="7">
    <w:p w:rsidR="003F1367" w:rsidRDefault="003F1367">
      <w:pPr>
        <w:pStyle w:val="FootnoteText"/>
      </w:pPr>
      <w:r>
        <w:rPr>
          <w:rStyle w:val="FootnoteReference"/>
        </w:rPr>
        <w:footnoteRef/>
      </w:r>
      <w:r>
        <w:t xml:space="preserve"> </w:t>
      </w:r>
      <w:r>
        <w:tab/>
        <w:t xml:space="preserve">TasNetworks, </w:t>
      </w:r>
      <w:r w:rsidRPr="00C97CE9">
        <w:rPr>
          <w:rStyle w:val="AERtextitalic"/>
        </w:rPr>
        <w:t>Proposed pricing methodology for 1 July 2015 to 30 June 2019</w:t>
      </w:r>
      <w:r>
        <w:t>, May 2014, p. 20.</w:t>
      </w:r>
    </w:p>
  </w:footnote>
  <w:footnote w:id="8">
    <w:p w:rsidR="003F1367" w:rsidRDefault="003F1367">
      <w:pPr>
        <w:pStyle w:val="FootnoteText"/>
      </w:pPr>
      <w:r>
        <w:rPr>
          <w:rStyle w:val="FootnoteReference"/>
        </w:rPr>
        <w:footnoteRef/>
      </w:r>
      <w:r>
        <w:t xml:space="preserve"> </w:t>
      </w:r>
      <w:r>
        <w:tab/>
        <w:t xml:space="preserve">TasNetworks, </w:t>
      </w:r>
      <w:r w:rsidRPr="00C97CE9">
        <w:rPr>
          <w:rStyle w:val="AERtextitalic"/>
        </w:rPr>
        <w:t>Proposed pricing methodology for 1 July 2015 to 30 June 2019</w:t>
      </w:r>
      <w:r>
        <w:t xml:space="preserve">, May 2014, p. 20. </w:t>
      </w:r>
    </w:p>
  </w:footnote>
  <w:footnote w:id="9">
    <w:p w:rsidR="003F1367" w:rsidRDefault="003F1367">
      <w:pPr>
        <w:pStyle w:val="FootnoteText"/>
      </w:pPr>
      <w:r>
        <w:rPr>
          <w:rStyle w:val="FootnoteReference"/>
        </w:rPr>
        <w:footnoteRef/>
      </w:r>
      <w:r>
        <w:t xml:space="preserve"> </w:t>
      </w:r>
      <w:r>
        <w:tab/>
        <w:t>NER, clause 6A.24.1(c).</w:t>
      </w:r>
    </w:p>
  </w:footnote>
  <w:footnote w:id="10">
    <w:p w:rsidR="003F1367" w:rsidRDefault="003F1367">
      <w:pPr>
        <w:pStyle w:val="FootnoteText"/>
      </w:pPr>
      <w:r>
        <w:rPr>
          <w:rStyle w:val="FootnoteReference"/>
        </w:rPr>
        <w:footnoteRef/>
      </w:r>
      <w:r>
        <w:t xml:space="preserve"> </w:t>
      </w:r>
      <w:r>
        <w:tab/>
        <w:t xml:space="preserve">TasNetworks, </w:t>
      </w:r>
      <w:r w:rsidRPr="00C97CE9">
        <w:rPr>
          <w:rStyle w:val="AERtextitalic"/>
        </w:rPr>
        <w:t>Proposed pricing methodology for 1 July 2015 to 30 June 2019</w:t>
      </w:r>
      <w:r>
        <w:t>, May 2014, p. 20.</w:t>
      </w:r>
    </w:p>
  </w:footnote>
  <w:footnote w:id="11">
    <w:p w:rsidR="003F1367" w:rsidRDefault="003F1367">
      <w:pPr>
        <w:pStyle w:val="FootnoteText"/>
      </w:pPr>
      <w:r>
        <w:rPr>
          <w:rStyle w:val="FootnoteReference"/>
        </w:rPr>
        <w:footnoteRef/>
      </w:r>
      <w:r>
        <w:t xml:space="preserve"> </w:t>
      </w:r>
      <w:r>
        <w:tab/>
        <w:t xml:space="preserve">TasNetworks, </w:t>
      </w:r>
      <w:r w:rsidRPr="00C97CE9">
        <w:rPr>
          <w:rStyle w:val="AERtextitalic"/>
        </w:rPr>
        <w:t>Proposed pricing methodology for 1 July 2015 to 30 June 2019</w:t>
      </w:r>
      <w:r>
        <w:t>, May 2014, p. 19.</w:t>
      </w:r>
    </w:p>
  </w:footnote>
  <w:footnote w:id="12">
    <w:p w:rsidR="003F1367" w:rsidRDefault="003F1367" w:rsidP="00D52B7E">
      <w:pPr>
        <w:pStyle w:val="FootnoteText"/>
      </w:pPr>
      <w:r>
        <w:rPr>
          <w:rStyle w:val="FootnoteReference"/>
        </w:rPr>
        <w:footnoteRef/>
      </w:r>
      <w:r>
        <w:t xml:space="preserve"> </w:t>
      </w:r>
      <w:r>
        <w:tab/>
        <w:t xml:space="preserve">AEMC, </w:t>
      </w:r>
      <w:r w:rsidRPr="00537ED0">
        <w:rPr>
          <w:rStyle w:val="AERtextitalic"/>
        </w:rPr>
        <w:t xml:space="preserve">Rule Determination: National Electricity Amendment (Pricing of Prescribed Transmission Services) Rule 2006 No </w:t>
      </w:r>
      <w:r w:rsidRPr="00476690">
        <w:rPr>
          <w:rStyle w:val="AERtextitalic"/>
        </w:rPr>
        <w:t>22</w:t>
      </w:r>
      <w:r>
        <w:t>, 21 December 2006, pp. 27–8.</w:t>
      </w:r>
    </w:p>
  </w:footnote>
  <w:footnote w:id="13">
    <w:p w:rsidR="003F1367" w:rsidRDefault="003F1367">
      <w:pPr>
        <w:pStyle w:val="FootnoteText"/>
      </w:pPr>
      <w:r>
        <w:rPr>
          <w:rStyle w:val="FootnoteReference"/>
        </w:rPr>
        <w:footnoteRef/>
      </w:r>
      <w:r>
        <w:t xml:space="preserve"> </w:t>
      </w:r>
      <w:r>
        <w:tab/>
        <w:t xml:space="preserve">AER, </w:t>
      </w:r>
      <w:r w:rsidRPr="00D52B7E">
        <w:rPr>
          <w:rStyle w:val="AERtextitalic"/>
        </w:rPr>
        <w:t xml:space="preserve">Draft decision on </w:t>
      </w:r>
      <w:r w:rsidR="0012365E">
        <w:rPr>
          <w:rStyle w:val="AERtextitalic"/>
        </w:rPr>
        <w:t>TasNetworks</w:t>
      </w:r>
      <w:r w:rsidR="0012365E" w:rsidRPr="00D52B7E">
        <w:rPr>
          <w:rStyle w:val="AERtextitalic"/>
        </w:rPr>
        <w:t>'</w:t>
      </w:r>
      <w:r w:rsidRPr="00D52B7E">
        <w:rPr>
          <w:rStyle w:val="AERtextitalic"/>
        </w:rPr>
        <w:t xml:space="preserve"> 2013–18 regulatory control </w:t>
      </w:r>
      <w:proofErr w:type="gramStart"/>
      <w:r w:rsidRPr="00D52B7E">
        <w:rPr>
          <w:rStyle w:val="AERtextitalic"/>
        </w:rPr>
        <w:t>period</w:t>
      </w:r>
      <w:proofErr w:type="gramEnd"/>
      <w:r>
        <w:t>, November 2012, p. 255.</w:t>
      </w:r>
    </w:p>
  </w:footnote>
  <w:footnote w:id="14">
    <w:p w:rsidR="003F1367" w:rsidRDefault="003F1367" w:rsidP="00C03520">
      <w:pPr>
        <w:pStyle w:val="FootnoteText"/>
      </w:pPr>
      <w:r>
        <w:rPr>
          <w:rStyle w:val="FootnoteReference"/>
        </w:rPr>
        <w:footnoteRef/>
      </w:r>
      <w:r>
        <w:t xml:space="preserve"> </w:t>
      </w:r>
      <w:r>
        <w:tab/>
        <w:t xml:space="preserve">MEU, </w:t>
      </w:r>
      <w:r w:rsidRPr="002C0560">
        <w:rPr>
          <w:rStyle w:val="AERtextitalic"/>
        </w:rPr>
        <w:t>Submission to the AER</w:t>
      </w:r>
      <w:r>
        <w:t xml:space="preserve">, August 2014; EUAA, </w:t>
      </w:r>
      <w:r w:rsidRPr="002C0560">
        <w:rPr>
          <w:rStyle w:val="AERtextitalic"/>
        </w:rPr>
        <w:t>Submission to the AER</w:t>
      </w:r>
      <w:r>
        <w:t xml:space="preserve">, August 2014; Norske Skog, </w:t>
      </w:r>
      <w:r w:rsidRPr="002C0560">
        <w:rPr>
          <w:rStyle w:val="AERtextitalic"/>
        </w:rPr>
        <w:t>Submission to the AER</w:t>
      </w:r>
      <w:r>
        <w:t xml:space="preserve">, August 2014; Bell Bay Aluminium, </w:t>
      </w:r>
      <w:r w:rsidRPr="002C0560">
        <w:rPr>
          <w:rStyle w:val="AERtextitalic"/>
        </w:rPr>
        <w:t>Submission to the AER</w:t>
      </w:r>
      <w:r>
        <w:t>, August 2014.</w:t>
      </w:r>
    </w:p>
  </w:footnote>
  <w:footnote w:id="15">
    <w:p w:rsidR="003F1367" w:rsidRDefault="003F1367" w:rsidP="00B732B5">
      <w:pPr>
        <w:pStyle w:val="FootnoteText"/>
      </w:pPr>
      <w:r>
        <w:rPr>
          <w:rStyle w:val="FootnoteReference"/>
        </w:rPr>
        <w:footnoteRef/>
      </w:r>
      <w:r>
        <w:t xml:space="preserve"> </w:t>
      </w:r>
      <w:r>
        <w:tab/>
        <w:t xml:space="preserve">MEU, </w:t>
      </w:r>
      <w:r w:rsidRPr="002C0560">
        <w:rPr>
          <w:rStyle w:val="AERtextitalic"/>
        </w:rPr>
        <w:t>Submission to the AER</w:t>
      </w:r>
      <w:r>
        <w:t>, August 2014, p. 76.</w:t>
      </w:r>
    </w:p>
  </w:footnote>
  <w:footnote w:id="16">
    <w:p w:rsidR="003F1367" w:rsidRDefault="003F1367">
      <w:pPr>
        <w:pStyle w:val="FootnoteText"/>
      </w:pPr>
      <w:r>
        <w:rPr>
          <w:rStyle w:val="FootnoteReference"/>
        </w:rPr>
        <w:footnoteRef/>
      </w:r>
      <w:r>
        <w:t xml:space="preserve"> </w:t>
      </w:r>
      <w:r>
        <w:tab/>
      </w:r>
    </w:p>
  </w:footnote>
  <w:footnote w:id="17">
    <w:p w:rsidR="003F1367" w:rsidRDefault="003F1367" w:rsidP="00BC484C">
      <w:pPr>
        <w:pStyle w:val="FootnoteText"/>
      </w:pPr>
      <w:r>
        <w:rPr>
          <w:rStyle w:val="FootnoteReference"/>
        </w:rPr>
        <w:footnoteRef/>
      </w:r>
      <w:r>
        <w:t xml:space="preserve"> </w:t>
      </w:r>
      <w:r>
        <w:tab/>
        <w:t xml:space="preserve">MEU, </w:t>
      </w:r>
      <w:r w:rsidRPr="002C0560">
        <w:rPr>
          <w:rStyle w:val="AERtextitalic"/>
        </w:rPr>
        <w:t>Submission to the AER</w:t>
      </w:r>
      <w:r>
        <w:t>, August 2014, p. 74.</w:t>
      </w:r>
    </w:p>
  </w:footnote>
  <w:footnote w:id="18">
    <w:p w:rsidR="003F1367" w:rsidRDefault="003F1367" w:rsidP="00BC484C">
      <w:pPr>
        <w:pStyle w:val="FootnoteText"/>
      </w:pPr>
      <w:r>
        <w:rPr>
          <w:rStyle w:val="FootnoteReference"/>
        </w:rPr>
        <w:footnoteRef/>
      </w:r>
      <w:r>
        <w:t xml:space="preserve"> </w:t>
      </w:r>
      <w:r>
        <w:tab/>
        <w:t xml:space="preserve">Norske Skog, </w:t>
      </w:r>
      <w:r w:rsidRPr="002C0560">
        <w:rPr>
          <w:rStyle w:val="AERtextitalic"/>
        </w:rPr>
        <w:t>Submission to the AER</w:t>
      </w:r>
      <w:r>
        <w:t>, August 2014, p. 10.</w:t>
      </w:r>
    </w:p>
  </w:footnote>
  <w:footnote w:id="19">
    <w:p w:rsidR="003F1367" w:rsidRDefault="003F1367">
      <w:pPr>
        <w:pStyle w:val="FootnoteText"/>
      </w:pPr>
      <w:r>
        <w:rPr>
          <w:rStyle w:val="FootnoteReference"/>
        </w:rPr>
        <w:footnoteRef/>
      </w:r>
      <w:r>
        <w:t xml:space="preserve"> </w:t>
      </w:r>
      <w:r>
        <w:tab/>
      </w:r>
      <w:r w:rsidRPr="00B411FD">
        <w:t xml:space="preserve">AEMC, </w:t>
      </w:r>
      <w:r w:rsidRPr="00B411FD">
        <w:rPr>
          <w:rStyle w:val="AERtextitalic"/>
        </w:rPr>
        <w:t>Rule Determination: National Electricity Amendment (Pricing of Prescribed Transmission Services) Rule 2006 No 22</w:t>
      </w:r>
      <w:r w:rsidRPr="00B411FD">
        <w:t>, 21 December 2006, pp. 27–8.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1" w:cryptProviderType="rsaFull" w:cryptAlgorithmClass="hash" w:cryptAlgorithmType="typeAny" w:cryptAlgorithmSid="4" w:cryptSpinCount="100000" w:hash="zS5R0jM9R9Pox/FTp73YMvrd+B0=" w:salt="Ul1KIa/XiqiDQk/NVG5Lyg=="/>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7368\D14 138062  20141017 - 3.1.6 - Attachment F - TasNetworks proposed pricing methodology.DOCX"/>
  </w:docVars>
  <w:rsids>
    <w:rsidRoot w:val="000C052F"/>
    <w:rsid w:val="00000938"/>
    <w:rsid w:val="00011129"/>
    <w:rsid w:val="00022606"/>
    <w:rsid w:val="0002465C"/>
    <w:rsid w:val="0003484A"/>
    <w:rsid w:val="00040599"/>
    <w:rsid w:val="00040749"/>
    <w:rsid w:val="00075397"/>
    <w:rsid w:val="000842E8"/>
    <w:rsid w:val="00095830"/>
    <w:rsid w:val="00095CF6"/>
    <w:rsid w:val="00097333"/>
    <w:rsid w:val="000A1CC2"/>
    <w:rsid w:val="000A5342"/>
    <w:rsid w:val="000B15CA"/>
    <w:rsid w:val="000B43E5"/>
    <w:rsid w:val="000C052F"/>
    <w:rsid w:val="000C3430"/>
    <w:rsid w:val="000C3553"/>
    <w:rsid w:val="000D03C2"/>
    <w:rsid w:val="000D04B1"/>
    <w:rsid w:val="000D401F"/>
    <w:rsid w:val="000D44B3"/>
    <w:rsid w:val="000E1A25"/>
    <w:rsid w:val="000E220E"/>
    <w:rsid w:val="000F3A6A"/>
    <w:rsid w:val="000F5E9E"/>
    <w:rsid w:val="001032D0"/>
    <w:rsid w:val="001033B3"/>
    <w:rsid w:val="00105636"/>
    <w:rsid w:val="00113C25"/>
    <w:rsid w:val="0011546E"/>
    <w:rsid w:val="0012365E"/>
    <w:rsid w:val="00125078"/>
    <w:rsid w:val="001264A6"/>
    <w:rsid w:val="0013022D"/>
    <w:rsid w:val="00142BCC"/>
    <w:rsid w:val="001512D0"/>
    <w:rsid w:val="001543D2"/>
    <w:rsid w:val="00154FE6"/>
    <w:rsid w:val="00174026"/>
    <w:rsid w:val="0018283F"/>
    <w:rsid w:val="001856EE"/>
    <w:rsid w:val="001930C2"/>
    <w:rsid w:val="00194C3C"/>
    <w:rsid w:val="0019537E"/>
    <w:rsid w:val="001C12E5"/>
    <w:rsid w:val="001D5F15"/>
    <w:rsid w:val="0020711E"/>
    <w:rsid w:val="00210880"/>
    <w:rsid w:val="00221F22"/>
    <w:rsid w:val="002257B9"/>
    <w:rsid w:val="00226BF6"/>
    <w:rsid w:val="0023137D"/>
    <w:rsid w:val="00233AF9"/>
    <w:rsid w:val="00247DFF"/>
    <w:rsid w:val="00265B4A"/>
    <w:rsid w:val="00266710"/>
    <w:rsid w:val="00274BE1"/>
    <w:rsid w:val="002764F6"/>
    <w:rsid w:val="002805B8"/>
    <w:rsid w:val="00284BA3"/>
    <w:rsid w:val="0029127B"/>
    <w:rsid w:val="002938CE"/>
    <w:rsid w:val="002B55FA"/>
    <w:rsid w:val="002B6640"/>
    <w:rsid w:val="002C0560"/>
    <w:rsid w:val="002C28DE"/>
    <w:rsid w:val="002D61AC"/>
    <w:rsid w:val="002E4720"/>
    <w:rsid w:val="00303452"/>
    <w:rsid w:val="003324F7"/>
    <w:rsid w:val="00334F88"/>
    <w:rsid w:val="00336611"/>
    <w:rsid w:val="0036075C"/>
    <w:rsid w:val="003635A7"/>
    <w:rsid w:val="003707DB"/>
    <w:rsid w:val="00375AEC"/>
    <w:rsid w:val="00376236"/>
    <w:rsid w:val="0037652C"/>
    <w:rsid w:val="003800E4"/>
    <w:rsid w:val="00380C8B"/>
    <w:rsid w:val="00380FF5"/>
    <w:rsid w:val="00382846"/>
    <w:rsid w:val="00395438"/>
    <w:rsid w:val="003A6174"/>
    <w:rsid w:val="003A70AC"/>
    <w:rsid w:val="003B7FE3"/>
    <w:rsid w:val="003C49EC"/>
    <w:rsid w:val="003F1367"/>
    <w:rsid w:val="003F5E92"/>
    <w:rsid w:val="003F60A5"/>
    <w:rsid w:val="003F67BC"/>
    <w:rsid w:val="003F796D"/>
    <w:rsid w:val="004030AB"/>
    <w:rsid w:val="00410798"/>
    <w:rsid w:val="00412282"/>
    <w:rsid w:val="004256BA"/>
    <w:rsid w:val="00431999"/>
    <w:rsid w:val="00432F18"/>
    <w:rsid w:val="00433D80"/>
    <w:rsid w:val="00435682"/>
    <w:rsid w:val="00443636"/>
    <w:rsid w:val="004455E7"/>
    <w:rsid w:val="00447586"/>
    <w:rsid w:val="00456081"/>
    <w:rsid w:val="00464F5D"/>
    <w:rsid w:val="00474FBD"/>
    <w:rsid w:val="0049009C"/>
    <w:rsid w:val="00491D7D"/>
    <w:rsid w:val="004C3F45"/>
    <w:rsid w:val="004D1733"/>
    <w:rsid w:val="004E40EF"/>
    <w:rsid w:val="004E612B"/>
    <w:rsid w:val="004E73F7"/>
    <w:rsid w:val="004F76A0"/>
    <w:rsid w:val="00500E7F"/>
    <w:rsid w:val="005012EB"/>
    <w:rsid w:val="00505C12"/>
    <w:rsid w:val="0051546C"/>
    <w:rsid w:val="0052179D"/>
    <w:rsid w:val="00526B91"/>
    <w:rsid w:val="005317B8"/>
    <w:rsid w:val="005374DB"/>
    <w:rsid w:val="005448E9"/>
    <w:rsid w:val="005456A9"/>
    <w:rsid w:val="00547F5B"/>
    <w:rsid w:val="00555D52"/>
    <w:rsid w:val="005566D7"/>
    <w:rsid w:val="00561F7F"/>
    <w:rsid w:val="005668C4"/>
    <w:rsid w:val="0056692C"/>
    <w:rsid w:val="00566B35"/>
    <w:rsid w:val="005732CC"/>
    <w:rsid w:val="00575422"/>
    <w:rsid w:val="0058369C"/>
    <w:rsid w:val="005938C6"/>
    <w:rsid w:val="005A0431"/>
    <w:rsid w:val="005A473B"/>
    <w:rsid w:val="005B3752"/>
    <w:rsid w:val="005B61C2"/>
    <w:rsid w:val="005D26B7"/>
    <w:rsid w:val="005D4AA1"/>
    <w:rsid w:val="0060146C"/>
    <w:rsid w:val="0060207D"/>
    <w:rsid w:val="006039F2"/>
    <w:rsid w:val="00603FFF"/>
    <w:rsid w:val="006061B0"/>
    <w:rsid w:val="0060732E"/>
    <w:rsid w:val="006076A9"/>
    <w:rsid w:val="00613488"/>
    <w:rsid w:val="00627DA8"/>
    <w:rsid w:val="006544EA"/>
    <w:rsid w:val="0066569F"/>
    <w:rsid w:val="006752A3"/>
    <w:rsid w:val="00676E77"/>
    <w:rsid w:val="00683440"/>
    <w:rsid w:val="00686311"/>
    <w:rsid w:val="0069004B"/>
    <w:rsid w:val="006A4423"/>
    <w:rsid w:val="006A7F02"/>
    <w:rsid w:val="006B08EB"/>
    <w:rsid w:val="006B481F"/>
    <w:rsid w:val="006E3127"/>
    <w:rsid w:val="006E54DD"/>
    <w:rsid w:val="006F638E"/>
    <w:rsid w:val="00703E42"/>
    <w:rsid w:val="0071470B"/>
    <w:rsid w:val="007170E5"/>
    <w:rsid w:val="00717506"/>
    <w:rsid w:val="007368AD"/>
    <w:rsid w:val="007402FB"/>
    <w:rsid w:val="00744F11"/>
    <w:rsid w:val="00751D2A"/>
    <w:rsid w:val="00751F3D"/>
    <w:rsid w:val="00755095"/>
    <w:rsid w:val="00766B45"/>
    <w:rsid w:val="007701C7"/>
    <w:rsid w:val="007750EF"/>
    <w:rsid w:val="00795C90"/>
    <w:rsid w:val="00796A07"/>
    <w:rsid w:val="007B1C84"/>
    <w:rsid w:val="007B7578"/>
    <w:rsid w:val="007C382C"/>
    <w:rsid w:val="007E037D"/>
    <w:rsid w:val="007F10E3"/>
    <w:rsid w:val="007F1A44"/>
    <w:rsid w:val="007F2C0E"/>
    <w:rsid w:val="007F5047"/>
    <w:rsid w:val="00803767"/>
    <w:rsid w:val="00804AEB"/>
    <w:rsid w:val="0081504C"/>
    <w:rsid w:val="00824809"/>
    <w:rsid w:val="00824CC8"/>
    <w:rsid w:val="00836D17"/>
    <w:rsid w:val="00840A55"/>
    <w:rsid w:val="00841E25"/>
    <w:rsid w:val="008464CD"/>
    <w:rsid w:val="00850D63"/>
    <w:rsid w:val="008515EE"/>
    <w:rsid w:val="008535F5"/>
    <w:rsid w:val="00861C4E"/>
    <w:rsid w:val="00866D21"/>
    <w:rsid w:val="00872D85"/>
    <w:rsid w:val="00877F65"/>
    <w:rsid w:val="008801CD"/>
    <w:rsid w:val="0088233D"/>
    <w:rsid w:val="008835BC"/>
    <w:rsid w:val="00883DDA"/>
    <w:rsid w:val="00891FF9"/>
    <w:rsid w:val="00893367"/>
    <w:rsid w:val="00893D07"/>
    <w:rsid w:val="008B2A50"/>
    <w:rsid w:val="008B7956"/>
    <w:rsid w:val="008C3722"/>
    <w:rsid w:val="008C3B67"/>
    <w:rsid w:val="008C3F48"/>
    <w:rsid w:val="008D49B4"/>
    <w:rsid w:val="008D7498"/>
    <w:rsid w:val="008F0376"/>
    <w:rsid w:val="008F1DCF"/>
    <w:rsid w:val="00932E96"/>
    <w:rsid w:val="009418E6"/>
    <w:rsid w:val="0094235F"/>
    <w:rsid w:val="0094279F"/>
    <w:rsid w:val="00946B98"/>
    <w:rsid w:val="0095052A"/>
    <w:rsid w:val="0095367F"/>
    <w:rsid w:val="00960E5B"/>
    <w:rsid w:val="009658F0"/>
    <w:rsid w:val="00971655"/>
    <w:rsid w:val="00971C63"/>
    <w:rsid w:val="00973839"/>
    <w:rsid w:val="009A0FD8"/>
    <w:rsid w:val="009A4AE9"/>
    <w:rsid w:val="009C00B0"/>
    <w:rsid w:val="009C71D5"/>
    <w:rsid w:val="009E1225"/>
    <w:rsid w:val="009E3F7E"/>
    <w:rsid w:val="009F7CE4"/>
    <w:rsid w:val="00A11162"/>
    <w:rsid w:val="00A171FC"/>
    <w:rsid w:val="00A405FA"/>
    <w:rsid w:val="00A42CEF"/>
    <w:rsid w:val="00A42D0D"/>
    <w:rsid w:val="00A43227"/>
    <w:rsid w:val="00A46CCD"/>
    <w:rsid w:val="00A54CB5"/>
    <w:rsid w:val="00A65133"/>
    <w:rsid w:val="00A652C5"/>
    <w:rsid w:val="00A85C5A"/>
    <w:rsid w:val="00A96A08"/>
    <w:rsid w:val="00AA0161"/>
    <w:rsid w:val="00AA12B4"/>
    <w:rsid w:val="00AB1D08"/>
    <w:rsid w:val="00AB4345"/>
    <w:rsid w:val="00AB57B0"/>
    <w:rsid w:val="00AB5BD7"/>
    <w:rsid w:val="00AC0135"/>
    <w:rsid w:val="00AC070D"/>
    <w:rsid w:val="00AC1B94"/>
    <w:rsid w:val="00AD0616"/>
    <w:rsid w:val="00AD34FF"/>
    <w:rsid w:val="00AD4DE6"/>
    <w:rsid w:val="00AE401A"/>
    <w:rsid w:val="00AE6DBC"/>
    <w:rsid w:val="00AF3E95"/>
    <w:rsid w:val="00AF7C67"/>
    <w:rsid w:val="00B07F24"/>
    <w:rsid w:val="00B11BB8"/>
    <w:rsid w:val="00B15FE9"/>
    <w:rsid w:val="00B237D9"/>
    <w:rsid w:val="00B24B92"/>
    <w:rsid w:val="00B411FD"/>
    <w:rsid w:val="00B47945"/>
    <w:rsid w:val="00B51883"/>
    <w:rsid w:val="00B54ADB"/>
    <w:rsid w:val="00B61F7F"/>
    <w:rsid w:val="00B61FD4"/>
    <w:rsid w:val="00B674DB"/>
    <w:rsid w:val="00B6780E"/>
    <w:rsid w:val="00B732B5"/>
    <w:rsid w:val="00B82E8D"/>
    <w:rsid w:val="00B9264D"/>
    <w:rsid w:val="00B94D99"/>
    <w:rsid w:val="00BA2F2D"/>
    <w:rsid w:val="00BA4C4A"/>
    <w:rsid w:val="00BB06B6"/>
    <w:rsid w:val="00BB3FA1"/>
    <w:rsid w:val="00BB62BB"/>
    <w:rsid w:val="00BC05C5"/>
    <w:rsid w:val="00BC484C"/>
    <w:rsid w:val="00BC6FAF"/>
    <w:rsid w:val="00BD04BE"/>
    <w:rsid w:val="00BD4DAB"/>
    <w:rsid w:val="00BD4E35"/>
    <w:rsid w:val="00BE6F28"/>
    <w:rsid w:val="00BF29FA"/>
    <w:rsid w:val="00C03520"/>
    <w:rsid w:val="00C04D2B"/>
    <w:rsid w:val="00C1164B"/>
    <w:rsid w:val="00C1244C"/>
    <w:rsid w:val="00C32606"/>
    <w:rsid w:val="00C4694E"/>
    <w:rsid w:val="00C63568"/>
    <w:rsid w:val="00C737C5"/>
    <w:rsid w:val="00C92B37"/>
    <w:rsid w:val="00C97CE9"/>
    <w:rsid w:val="00CA3540"/>
    <w:rsid w:val="00CA46FB"/>
    <w:rsid w:val="00CA6DED"/>
    <w:rsid w:val="00CB47B4"/>
    <w:rsid w:val="00CB7EEF"/>
    <w:rsid w:val="00CC49D4"/>
    <w:rsid w:val="00CE6F5A"/>
    <w:rsid w:val="00CF42CF"/>
    <w:rsid w:val="00D102E9"/>
    <w:rsid w:val="00D1688F"/>
    <w:rsid w:val="00D2117F"/>
    <w:rsid w:val="00D25317"/>
    <w:rsid w:val="00D52B7E"/>
    <w:rsid w:val="00D66E8B"/>
    <w:rsid w:val="00D739F0"/>
    <w:rsid w:val="00D85715"/>
    <w:rsid w:val="00D8706C"/>
    <w:rsid w:val="00DA4C62"/>
    <w:rsid w:val="00DB0DE2"/>
    <w:rsid w:val="00DB3A64"/>
    <w:rsid w:val="00DB6A17"/>
    <w:rsid w:val="00DD4E84"/>
    <w:rsid w:val="00DD5520"/>
    <w:rsid w:val="00DF16C2"/>
    <w:rsid w:val="00E00F76"/>
    <w:rsid w:val="00E05C15"/>
    <w:rsid w:val="00E06640"/>
    <w:rsid w:val="00E21E75"/>
    <w:rsid w:val="00E35D91"/>
    <w:rsid w:val="00E519DC"/>
    <w:rsid w:val="00E53FF5"/>
    <w:rsid w:val="00E604EE"/>
    <w:rsid w:val="00E65FC2"/>
    <w:rsid w:val="00E67C96"/>
    <w:rsid w:val="00E729C7"/>
    <w:rsid w:val="00E807DA"/>
    <w:rsid w:val="00E80B70"/>
    <w:rsid w:val="00E8134A"/>
    <w:rsid w:val="00E84E3A"/>
    <w:rsid w:val="00EA05AF"/>
    <w:rsid w:val="00EB5CDF"/>
    <w:rsid w:val="00EC43B9"/>
    <w:rsid w:val="00ED09CD"/>
    <w:rsid w:val="00ED4D69"/>
    <w:rsid w:val="00EE362F"/>
    <w:rsid w:val="00EF0E19"/>
    <w:rsid w:val="00EF3336"/>
    <w:rsid w:val="00EF4C25"/>
    <w:rsid w:val="00EF753E"/>
    <w:rsid w:val="00F0258A"/>
    <w:rsid w:val="00F114AE"/>
    <w:rsid w:val="00F36C52"/>
    <w:rsid w:val="00F43CA0"/>
    <w:rsid w:val="00F55030"/>
    <w:rsid w:val="00F726CD"/>
    <w:rsid w:val="00F7696F"/>
    <w:rsid w:val="00F8209B"/>
    <w:rsid w:val="00F954DB"/>
    <w:rsid w:val="00F97CD9"/>
    <w:rsid w:val="00FA0576"/>
    <w:rsid w:val="00FA2161"/>
    <w:rsid w:val="00FB50B4"/>
    <w:rsid w:val="00FD3E56"/>
    <w:rsid w:val="00FD4B97"/>
    <w:rsid w:val="00FD5429"/>
    <w:rsid w:val="00FE39A4"/>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12</Pages>
  <Words>3028</Words>
  <Characters>17266</Characters>
  <Application>Microsoft Office Word</Application>
  <DocSecurity>0</DocSecurity>
  <Lines>143</Lines>
  <Paragraphs>40</Paragraphs>
  <ScaleCrop>false</ScaleCrop>
  <Company/>
  <LinksUpToDate>false</LinksUpToDate>
  <CharactersWithSpaces>20254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2014-11-26T04:39:00Z</dcterms:created>
  <dcterms:modified xsi:type="dcterms:W3CDTF">2014-11-26T04:39:00Z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8308398</vt:lpwstr>
  </property>
</Properties>
</file>