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90" w:rsidRDefault="00A032AC" w:rsidP="00C04A90">
      <w:pPr>
        <w:pStyle w:val="AERtitle1"/>
      </w:pPr>
      <w:bookmarkStart w:id="0" w:name="_Toc396839261"/>
      <w:bookmarkStart w:id="1" w:name="_GoBack"/>
      <w:bookmarkEnd w:id="1"/>
      <w:r w:rsidRPr="00926691">
        <w:rPr>
          <w:noProof/>
        </w:rPr>
        <w:drawing>
          <wp:anchor distT="0" distB="0" distL="114300" distR="114300" simplePos="0" relativeHeight="251659264" behindDoc="1" locked="0" layoutInCell="1" allowOverlap="1" wp14:anchorId="05A67DAF" wp14:editId="5F304C15">
            <wp:simplePos x="0" y="0"/>
            <wp:positionH relativeFrom="column">
              <wp:posOffset>-1003935</wp:posOffset>
            </wp:positionH>
            <wp:positionV relativeFrom="paragraph">
              <wp:posOffset>-984885</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C04A90" w:rsidRDefault="00C04A90" w:rsidP="00C04A90">
      <w:pPr>
        <w:pStyle w:val="AERtitle1"/>
      </w:pPr>
    </w:p>
    <w:p w:rsidR="00C04A90" w:rsidRDefault="00C04A90" w:rsidP="00C04A90">
      <w:pPr>
        <w:pStyle w:val="AERtitle1"/>
      </w:pPr>
    </w:p>
    <w:p w:rsidR="00A032AC" w:rsidRDefault="00A032AC" w:rsidP="00C04A90">
      <w:pPr>
        <w:pStyle w:val="AERtitle1"/>
      </w:pPr>
    </w:p>
    <w:p w:rsidR="00C04A90" w:rsidRDefault="00C04A90" w:rsidP="00C04A90">
      <w:pPr>
        <w:pStyle w:val="AERtitle1"/>
      </w:pPr>
      <w:r>
        <w:t>Draft decision</w:t>
      </w:r>
    </w:p>
    <w:p w:rsidR="00C04A90" w:rsidRDefault="00C04A90" w:rsidP="00C04A90">
      <w:pPr>
        <w:pStyle w:val="AERtitle1"/>
      </w:pPr>
    </w:p>
    <w:p w:rsidR="00C04A90" w:rsidRDefault="00C04A90" w:rsidP="00C04A90">
      <w:pPr>
        <w:pStyle w:val="AERtitle1"/>
      </w:pPr>
      <w:r>
        <w:t>TasNetworks transmission determination</w:t>
      </w:r>
    </w:p>
    <w:p w:rsidR="00C04A90" w:rsidRDefault="00C04A90" w:rsidP="00C04A90">
      <w:pPr>
        <w:pStyle w:val="AERtitle1"/>
      </w:pPr>
    </w:p>
    <w:p w:rsidR="00C04A90" w:rsidRDefault="00C04A90" w:rsidP="00C04A90">
      <w:pPr>
        <w:pStyle w:val="AERtitle1"/>
      </w:pPr>
      <w:r>
        <w:t>2015-16 to 2018-19</w:t>
      </w:r>
    </w:p>
    <w:p w:rsidR="00C04A90" w:rsidRDefault="00C04A90" w:rsidP="00C04A90">
      <w:pPr>
        <w:pStyle w:val="AERtitle1"/>
      </w:pPr>
    </w:p>
    <w:p w:rsidR="00C04A90" w:rsidRDefault="00C04A90" w:rsidP="00C04A90">
      <w:pPr>
        <w:pStyle w:val="AERtitle1"/>
      </w:pPr>
    </w:p>
    <w:p w:rsidR="00C04A90" w:rsidRDefault="00C04A90" w:rsidP="00C04A90">
      <w:pPr>
        <w:pStyle w:val="AERtitle1"/>
      </w:pPr>
      <w:r>
        <w:t>Attachment 14: Negotiated services</w:t>
      </w:r>
    </w:p>
    <w:p w:rsidR="00C04A90" w:rsidRDefault="00C04A90" w:rsidP="00C04A90">
      <w:pPr>
        <w:pStyle w:val="AERtitle1"/>
      </w:pPr>
    </w:p>
    <w:p w:rsidR="00C04A90" w:rsidRDefault="00C04A90" w:rsidP="00C04A90"/>
    <w:p w:rsidR="00C04A90" w:rsidRDefault="00C04A90" w:rsidP="00C04A90">
      <w:pPr>
        <w:pStyle w:val="AERtitle2"/>
      </w:pPr>
      <w:r>
        <w:t>November 2014</w:t>
      </w:r>
    </w:p>
    <w:p w:rsidR="00C04A90" w:rsidRDefault="00C04A90">
      <w:pPr>
        <w:spacing w:after="0" w:line="240" w:lineRule="auto"/>
        <w:jc w:val="left"/>
        <w:rPr>
          <w:rFonts w:eastAsia="Times New Roman"/>
          <w:sz w:val="32"/>
          <w:szCs w:val="24"/>
        </w:rPr>
      </w:pPr>
      <w:r>
        <w:br w:type="page"/>
      </w:r>
    </w:p>
    <w:p w:rsidR="00E2590B" w:rsidRDefault="00E2590B">
      <w:pPr>
        <w:spacing w:after="0" w:line="240" w:lineRule="auto"/>
        <w:jc w:val="left"/>
      </w:pPr>
    </w:p>
    <w:p w:rsidR="00E2590B" w:rsidRPr="002F5AB8" w:rsidRDefault="00E2590B" w:rsidP="00E2590B">
      <w:pPr>
        <w:pStyle w:val="AERbodytextnospace"/>
        <w:rPr>
          <w:rStyle w:val="AERtextbold"/>
        </w:rPr>
      </w:pPr>
      <w:r w:rsidRPr="002F5AB8">
        <w:rPr>
          <w:rStyle w:val="AERtextbold"/>
        </w:rPr>
        <w:t>© Commonwealth of Australia 2014</w:t>
      </w:r>
    </w:p>
    <w:p w:rsidR="00E2590B" w:rsidRPr="002F5AB8" w:rsidRDefault="00E2590B" w:rsidP="00E2590B">
      <w:r w:rsidRPr="002F5AB8">
        <w:t>This work is copyright. In addition to any use permitted under the Copyright Act 1968, all material contained within this work is provided under a Creative Commons Attribution 3.0 Australia licence, with the exception of:</w:t>
      </w:r>
    </w:p>
    <w:p w:rsidR="00E2590B" w:rsidRPr="002F5AB8" w:rsidRDefault="00E2590B" w:rsidP="00E2590B">
      <w:pPr>
        <w:pStyle w:val="AERbulletlistfirststyle"/>
      </w:pPr>
      <w:r w:rsidRPr="002F5AB8">
        <w:t>the Commonwealth Coat of Arms</w:t>
      </w:r>
    </w:p>
    <w:p w:rsidR="00E2590B" w:rsidRPr="002F5AB8" w:rsidRDefault="00E2590B" w:rsidP="00E2590B">
      <w:pPr>
        <w:pStyle w:val="AERbulletlistfirststyle"/>
      </w:pPr>
      <w:r w:rsidRPr="002F5AB8">
        <w:t>the ACCC and AER logos</w:t>
      </w:r>
    </w:p>
    <w:p w:rsidR="00E2590B" w:rsidRPr="002F5AB8" w:rsidRDefault="00E2590B" w:rsidP="00E2590B">
      <w:r w:rsidRPr="002F5AB8">
        <w:t>any illustration, diagram, photograph or graphic over which the Australian Competition and Consumer Commission does not hold copyright, but which may be part of or contained within this publication.</w:t>
      </w:r>
    </w:p>
    <w:p w:rsidR="00E2590B" w:rsidRPr="002F5AB8" w:rsidRDefault="00E2590B" w:rsidP="00E2590B">
      <w:r w:rsidRPr="002F5AB8">
        <w:t>The details of the relevant licence conditions are available on the Creative Commons website, as is the full legal code for the CC BY 3.0 AU licence.</w:t>
      </w:r>
    </w:p>
    <w:p w:rsidR="00E2590B" w:rsidRPr="002F5AB8" w:rsidRDefault="00E2590B" w:rsidP="00E2590B">
      <w:pPr>
        <w:numPr>
          <w:ilvl w:val="0"/>
          <w:numId w:val="13"/>
        </w:numPr>
      </w:pPr>
      <w:r w:rsidRPr="002F5AB8">
        <w:t>Requests and inquiries concerning reproduction and rights should be addressed to the Director, Corporate Communications, ACCC, GPO Box 3131, Canberra ACT 2601, or</w:t>
      </w:r>
    </w:p>
    <w:p w:rsidR="00E2590B" w:rsidRPr="002F5AB8" w:rsidRDefault="00E2590B" w:rsidP="00E2590B">
      <w:pPr>
        <w:numPr>
          <w:ilvl w:val="0"/>
          <w:numId w:val="13"/>
        </w:numPr>
      </w:pPr>
      <w:r w:rsidRPr="002F5AB8">
        <w:t xml:space="preserve"> </w:t>
      </w:r>
      <w:hyperlink r:id="rId9" w:history="1">
        <w:r w:rsidRPr="002F5AB8">
          <w:t>publishing.unit@accc.gov.au</w:t>
        </w:r>
      </w:hyperlink>
      <w:r w:rsidRPr="002F5AB8">
        <w:t xml:space="preserve"> .</w:t>
      </w:r>
      <w:r w:rsidR="00A032AC" w:rsidRPr="00A032AC">
        <w:t xml:space="preserve"> </w:t>
      </w:r>
    </w:p>
    <w:p w:rsidR="00E2590B" w:rsidRPr="002F5AB8" w:rsidRDefault="00E2590B" w:rsidP="00E2590B">
      <w:r w:rsidRPr="002F5AB8">
        <w:t>Inquiries about this document should be addressed to:</w:t>
      </w:r>
    </w:p>
    <w:p w:rsidR="00E2590B" w:rsidRPr="002F5AB8" w:rsidRDefault="00E2590B" w:rsidP="00E2590B">
      <w:pPr>
        <w:pStyle w:val="AERbodytextnospace"/>
      </w:pPr>
      <w:r w:rsidRPr="002F5AB8">
        <w:t>Australian Energy Regulator</w:t>
      </w:r>
    </w:p>
    <w:p w:rsidR="00E2590B" w:rsidRPr="002F5AB8" w:rsidRDefault="00E2590B" w:rsidP="00E2590B">
      <w:pPr>
        <w:pStyle w:val="AERbodytextnospace"/>
      </w:pPr>
      <w:r w:rsidRPr="002F5AB8">
        <w:t>GPO Box 520</w:t>
      </w:r>
    </w:p>
    <w:p w:rsidR="00E2590B" w:rsidRPr="002F5AB8" w:rsidRDefault="00E2590B" w:rsidP="00E2590B">
      <w:pPr>
        <w:pStyle w:val="AERbodytextnospace"/>
      </w:pPr>
      <w:r w:rsidRPr="002F5AB8">
        <w:t>Melbourne  Vic  3001</w:t>
      </w:r>
    </w:p>
    <w:p w:rsidR="00E2590B" w:rsidRPr="002F5AB8" w:rsidRDefault="00E2590B" w:rsidP="00E2590B">
      <w:pPr>
        <w:pStyle w:val="AERbodytextnospace"/>
      </w:pPr>
      <w:r w:rsidRPr="002F5AB8">
        <w:t>Tel: (03) 9290 1444</w:t>
      </w:r>
    </w:p>
    <w:p w:rsidR="00E2590B" w:rsidRPr="002F5AB8" w:rsidRDefault="00E2590B" w:rsidP="00E2590B">
      <w:pPr>
        <w:pStyle w:val="AERbodytextnospace"/>
      </w:pPr>
      <w:r w:rsidRPr="002F5AB8">
        <w:t>Fax: (03) 9290 1457</w:t>
      </w:r>
    </w:p>
    <w:p w:rsidR="00E2590B" w:rsidRPr="002F5AB8" w:rsidRDefault="00E2590B" w:rsidP="00E2590B">
      <w:pPr>
        <w:pStyle w:val="AERbodytextnospace"/>
      </w:pPr>
      <w:r w:rsidRPr="002F5AB8">
        <w:t xml:space="preserve">Email: </w:t>
      </w:r>
      <w:hyperlink r:id="rId10" w:history="1">
        <w:r w:rsidRPr="002F5AB8">
          <w:rPr>
            <w:rStyle w:val="Hyperlink"/>
          </w:rPr>
          <w:t>AERInquiry@aer.gov.au</w:t>
        </w:r>
      </w:hyperlink>
    </w:p>
    <w:p w:rsidR="00E2590B" w:rsidRPr="002F5AB8" w:rsidRDefault="00E2590B" w:rsidP="00E2590B"/>
    <w:p w:rsidR="00E2590B" w:rsidRPr="002F5AB8" w:rsidRDefault="00E2590B" w:rsidP="00E2590B">
      <w:pPr>
        <w:pStyle w:val="AERbodytext"/>
      </w:pPr>
      <w:r w:rsidRPr="002F5AB8">
        <w:t>AER reference</w:t>
      </w:r>
      <w:r w:rsidRPr="002F5AB8">
        <w:rPr>
          <w:rStyle w:val="AERbody"/>
        </w:rPr>
        <w:t>:   5344</w:t>
      </w:r>
      <w:r>
        <w:rPr>
          <w:rStyle w:val="AERbody"/>
        </w:rPr>
        <w:t>5</w:t>
      </w:r>
      <w:r w:rsidRPr="002F5AB8">
        <w:rPr>
          <w:rStyle w:val="AERbody"/>
        </w:rPr>
        <w:t xml:space="preserve">   </w:t>
      </w:r>
    </w:p>
    <w:p w:rsidR="00E2590B" w:rsidRPr="00E2590B" w:rsidRDefault="00E2590B" w:rsidP="00E2590B">
      <w:r>
        <w:br w:type="page"/>
      </w:r>
    </w:p>
    <w:p w:rsidR="00E2590B" w:rsidRPr="005B624E" w:rsidRDefault="00E2590B" w:rsidP="005B624E">
      <w:pPr>
        <w:pStyle w:val="UnnumberedHeading"/>
        <w:rPr>
          <w:rStyle w:val="AERtextblue"/>
          <w:color w:val="E36C0A"/>
        </w:rPr>
      </w:pPr>
      <w:bookmarkStart w:id="2" w:name="_Toc404752617"/>
      <w:r w:rsidRPr="005B624E">
        <w:rPr>
          <w:rStyle w:val="AERtextblue"/>
          <w:color w:val="E36C0A"/>
        </w:rPr>
        <w:lastRenderedPageBreak/>
        <w:t>Note</w:t>
      </w:r>
      <w:bookmarkEnd w:id="2"/>
    </w:p>
    <w:p w:rsidR="00E2590B" w:rsidRDefault="00E2590B" w:rsidP="00E2590B">
      <w:r>
        <w:t xml:space="preserve">This attachment forms part of the AER's draft decision on the transmission determination for TasNetworks' 2015–18 regulatory control period. It should be read in conjunction with other parts of the draft decision. </w:t>
      </w:r>
    </w:p>
    <w:p w:rsidR="00E2590B" w:rsidRDefault="00E2590B" w:rsidP="00E2590B">
      <w:r>
        <w:t>The draft decision includes the following documents:</w:t>
      </w:r>
    </w:p>
    <w:p w:rsidR="00E2590B" w:rsidRDefault="00E2590B" w:rsidP="00E2590B">
      <w:r>
        <w:t>Overview</w:t>
      </w:r>
    </w:p>
    <w:p w:rsidR="00E2590B" w:rsidRDefault="00E2590B" w:rsidP="00E2590B">
      <w:r>
        <w:t>Attachment 1 – maximum allowed revenue</w:t>
      </w:r>
    </w:p>
    <w:p w:rsidR="00E2590B" w:rsidRDefault="00E2590B" w:rsidP="00E2590B">
      <w:r>
        <w:t>Attachment 2 – regulatory asset base</w:t>
      </w:r>
    </w:p>
    <w:p w:rsidR="00E2590B" w:rsidRDefault="00E2590B" w:rsidP="00E2590B">
      <w:r>
        <w:t>Attachment 3 – rate of return</w:t>
      </w:r>
    </w:p>
    <w:p w:rsidR="00E2590B" w:rsidRDefault="00E2590B" w:rsidP="00E2590B">
      <w:r>
        <w:t>Attachment 4 – value of imputation credits</w:t>
      </w:r>
    </w:p>
    <w:p w:rsidR="00E2590B" w:rsidRDefault="00E2590B" w:rsidP="00E2590B">
      <w:r>
        <w:t>Attachment 5 – regulatory depreciation</w:t>
      </w:r>
    </w:p>
    <w:p w:rsidR="00E2590B" w:rsidRDefault="00E2590B" w:rsidP="00E2590B">
      <w:r>
        <w:t>Attachment 6 – capital expenditure</w:t>
      </w:r>
      <w:r w:rsidRPr="0012445F">
        <w:t xml:space="preserve"> </w:t>
      </w:r>
    </w:p>
    <w:p w:rsidR="00E2590B" w:rsidRDefault="00E2590B" w:rsidP="00E2590B">
      <w:r>
        <w:t>Attachment 7 – operating expenditure</w:t>
      </w:r>
    </w:p>
    <w:p w:rsidR="00E2590B" w:rsidRDefault="00E2590B" w:rsidP="00E2590B">
      <w:r>
        <w:t>Attachment 8 – corporate income tax</w:t>
      </w:r>
    </w:p>
    <w:p w:rsidR="00E2590B" w:rsidRDefault="00E2590B" w:rsidP="00E2590B">
      <w:r>
        <w:t>Attachment 9 – efficiency benefit sharing scheme</w:t>
      </w:r>
    </w:p>
    <w:p w:rsidR="00E2590B" w:rsidRDefault="00E2590B" w:rsidP="00E2590B">
      <w:r w:rsidRPr="00DF268E">
        <w:t xml:space="preserve">Attachment </w:t>
      </w:r>
      <w:r>
        <w:t>10</w:t>
      </w:r>
      <w:r w:rsidRPr="00DF268E">
        <w:t xml:space="preserve"> –</w:t>
      </w:r>
      <w:r>
        <w:t xml:space="preserve"> capital expenditure sharing scheme</w:t>
      </w:r>
    </w:p>
    <w:p w:rsidR="00E2590B" w:rsidRDefault="00E2590B" w:rsidP="00E2590B">
      <w:r w:rsidRPr="00DF268E">
        <w:t>Attachment 1</w:t>
      </w:r>
      <w:r>
        <w:t>1 – service target performance incentive scheme</w:t>
      </w:r>
    </w:p>
    <w:p w:rsidR="00E2590B" w:rsidRDefault="00E2590B" w:rsidP="00E2590B">
      <w:r w:rsidRPr="00DF268E">
        <w:t>Attachment 1</w:t>
      </w:r>
      <w:r>
        <w:t>2</w:t>
      </w:r>
      <w:r w:rsidRPr="00DF268E">
        <w:t xml:space="preserve"> –</w:t>
      </w:r>
      <w:r>
        <w:t xml:space="preserve"> pricing methodology</w:t>
      </w:r>
    </w:p>
    <w:p w:rsidR="00E2590B" w:rsidRPr="001E5109" w:rsidRDefault="00E2590B" w:rsidP="00E2590B">
      <w:r w:rsidRPr="001E5109">
        <w:t>Attachment 1</w:t>
      </w:r>
      <w:r>
        <w:t>3</w:t>
      </w:r>
      <w:r w:rsidRPr="001E5109">
        <w:t xml:space="preserve"> – </w:t>
      </w:r>
      <w:r>
        <w:t>pass through events</w:t>
      </w:r>
    </w:p>
    <w:p w:rsidR="00E2590B" w:rsidRPr="001E5109" w:rsidRDefault="00E2590B" w:rsidP="00E2590B">
      <w:r w:rsidRPr="001E5109">
        <w:t>Attachment 1</w:t>
      </w:r>
      <w:r>
        <w:t>4</w:t>
      </w:r>
      <w:r w:rsidRPr="001E5109">
        <w:t xml:space="preserve"> – </w:t>
      </w:r>
      <w:r>
        <w:t>negotiated services</w:t>
      </w:r>
    </w:p>
    <w:p w:rsidR="00E2590B" w:rsidRPr="009528E7" w:rsidRDefault="00E2590B" w:rsidP="00E2590B">
      <w:pPr>
        <w:pStyle w:val="UnnumberedHeading"/>
      </w:pPr>
      <w:bookmarkStart w:id="3" w:name="_Toc403125508"/>
      <w:bookmarkStart w:id="4" w:name="_Toc403403331"/>
      <w:bookmarkStart w:id="5" w:name="_Toc404752618"/>
      <w:r w:rsidRPr="009528E7">
        <w:lastRenderedPageBreak/>
        <w:t>Contents</w:t>
      </w:r>
      <w:bookmarkEnd w:id="3"/>
      <w:bookmarkEnd w:id="4"/>
      <w:bookmarkEnd w:id="5"/>
    </w:p>
    <w:sdt>
      <w:sdtPr>
        <w:rPr>
          <w:b w:val="0"/>
          <w:bCs w:val="0"/>
        </w:rPr>
        <w:id w:val="1963686839"/>
        <w:docPartObj>
          <w:docPartGallery w:val="Table of Contents"/>
          <w:docPartUnique/>
        </w:docPartObj>
      </w:sdtPr>
      <w:sdtEndPr/>
      <w:sdtContent>
        <w:p w:rsidR="00BC4BD3" w:rsidRDefault="00E2590B">
          <w:pPr>
            <w:pStyle w:val="TOC1"/>
            <w:tabs>
              <w:tab w:val="right" w:leader="dot" w:pos="9016"/>
            </w:tabs>
            <w:rPr>
              <w:rFonts w:asciiTheme="minorHAnsi" w:eastAsiaTheme="minorEastAsia" w:hAnsiTheme="minorHAnsi" w:cstheme="minorBidi"/>
              <w:b w:val="0"/>
              <w:bCs w:val="0"/>
              <w:noProof/>
              <w:sz w:val="22"/>
              <w:szCs w:val="22"/>
              <w:lang w:eastAsia="en-AU"/>
            </w:rPr>
          </w:pPr>
          <w:r>
            <w:fldChar w:fldCharType="begin"/>
          </w:r>
          <w:r w:rsidRPr="00E2590B">
            <w:instrText xml:space="preserve"> TOC \o \h \z \u </w:instrText>
          </w:r>
          <w:r>
            <w:fldChar w:fldCharType="separate"/>
          </w:r>
          <w:hyperlink w:anchor="_Toc404752617" w:history="1">
            <w:r w:rsidR="00BC4BD3" w:rsidRPr="000359A6">
              <w:rPr>
                <w:rStyle w:val="Hyperlink"/>
                <w:noProof/>
              </w:rPr>
              <w:t>Note</w:t>
            </w:r>
            <w:r w:rsidR="00BC4BD3">
              <w:rPr>
                <w:noProof/>
                <w:webHidden/>
              </w:rPr>
              <w:tab/>
            </w:r>
            <w:r w:rsidR="00BC4BD3">
              <w:rPr>
                <w:noProof/>
                <w:webHidden/>
              </w:rPr>
              <w:fldChar w:fldCharType="begin"/>
            </w:r>
            <w:r w:rsidR="00BC4BD3">
              <w:rPr>
                <w:noProof/>
                <w:webHidden/>
              </w:rPr>
              <w:instrText xml:space="preserve"> PAGEREF _Toc404752617 \h </w:instrText>
            </w:r>
            <w:r w:rsidR="00BC4BD3">
              <w:rPr>
                <w:noProof/>
                <w:webHidden/>
              </w:rPr>
            </w:r>
            <w:r w:rsidR="00BC4BD3">
              <w:rPr>
                <w:noProof/>
                <w:webHidden/>
              </w:rPr>
              <w:fldChar w:fldCharType="separate"/>
            </w:r>
            <w:r w:rsidR="00A12023">
              <w:rPr>
                <w:noProof/>
                <w:webHidden/>
              </w:rPr>
              <w:t>14-3</w:t>
            </w:r>
            <w:r w:rsidR="00BC4BD3">
              <w:rPr>
                <w:noProof/>
                <w:webHidden/>
              </w:rPr>
              <w:fldChar w:fldCharType="end"/>
            </w:r>
          </w:hyperlink>
        </w:p>
        <w:p w:rsidR="00BC4BD3" w:rsidRDefault="00CC7BB3">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752618" w:history="1">
            <w:r w:rsidR="00BC4BD3" w:rsidRPr="000359A6">
              <w:rPr>
                <w:rStyle w:val="Hyperlink"/>
                <w:noProof/>
              </w:rPr>
              <w:t>Contents</w:t>
            </w:r>
            <w:r w:rsidR="00BC4BD3">
              <w:rPr>
                <w:noProof/>
                <w:webHidden/>
              </w:rPr>
              <w:tab/>
            </w:r>
            <w:r w:rsidR="00BC4BD3">
              <w:rPr>
                <w:noProof/>
                <w:webHidden/>
              </w:rPr>
              <w:fldChar w:fldCharType="begin"/>
            </w:r>
            <w:r w:rsidR="00BC4BD3">
              <w:rPr>
                <w:noProof/>
                <w:webHidden/>
              </w:rPr>
              <w:instrText xml:space="preserve"> PAGEREF _Toc404752618 \h </w:instrText>
            </w:r>
            <w:r w:rsidR="00BC4BD3">
              <w:rPr>
                <w:noProof/>
                <w:webHidden/>
              </w:rPr>
            </w:r>
            <w:r w:rsidR="00BC4BD3">
              <w:rPr>
                <w:noProof/>
                <w:webHidden/>
              </w:rPr>
              <w:fldChar w:fldCharType="separate"/>
            </w:r>
            <w:r w:rsidR="00A12023">
              <w:rPr>
                <w:noProof/>
                <w:webHidden/>
              </w:rPr>
              <w:t>14-4</w:t>
            </w:r>
            <w:r w:rsidR="00BC4BD3">
              <w:rPr>
                <w:noProof/>
                <w:webHidden/>
              </w:rPr>
              <w:fldChar w:fldCharType="end"/>
            </w:r>
          </w:hyperlink>
        </w:p>
        <w:p w:rsidR="00BC4BD3" w:rsidRDefault="00CC7BB3">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752619" w:history="1">
            <w:r w:rsidR="00BC4BD3" w:rsidRPr="000359A6">
              <w:rPr>
                <w:rStyle w:val="Hyperlink"/>
                <w:noProof/>
              </w:rPr>
              <w:t>Shortened forms</w:t>
            </w:r>
            <w:r w:rsidR="00BC4BD3">
              <w:rPr>
                <w:noProof/>
                <w:webHidden/>
              </w:rPr>
              <w:tab/>
            </w:r>
            <w:r w:rsidR="00BC4BD3">
              <w:rPr>
                <w:noProof/>
                <w:webHidden/>
              </w:rPr>
              <w:fldChar w:fldCharType="begin"/>
            </w:r>
            <w:r w:rsidR="00BC4BD3">
              <w:rPr>
                <w:noProof/>
                <w:webHidden/>
              </w:rPr>
              <w:instrText xml:space="preserve"> PAGEREF _Toc404752619 \h </w:instrText>
            </w:r>
            <w:r w:rsidR="00BC4BD3">
              <w:rPr>
                <w:noProof/>
                <w:webHidden/>
              </w:rPr>
            </w:r>
            <w:r w:rsidR="00BC4BD3">
              <w:rPr>
                <w:noProof/>
                <w:webHidden/>
              </w:rPr>
              <w:fldChar w:fldCharType="separate"/>
            </w:r>
            <w:r w:rsidR="00A12023">
              <w:rPr>
                <w:noProof/>
                <w:webHidden/>
              </w:rPr>
              <w:t>14-5</w:t>
            </w:r>
            <w:r w:rsidR="00BC4BD3">
              <w:rPr>
                <w:noProof/>
                <w:webHidden/>
              </w:rPr>
              <w:fldChar w:fldCharType="end"/>
            </w:r>
          </w:hyperlink>
        </w:p>
        <w:p w:rsidR="00BC4BD3" w:rsidRDefault="00CC7BB3">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752620" w:history="1">
            <w:r w:rsidR="00BC4BD3" w:rsidRPr="000359A6">
              <w:rPr>
                <w:rStyle w:val="Hyperlink"/>
                <w:noProof/>
              </w:rPr>
              <w:t>14</w:t>
            </w:r>
            <w:r w:rsidR="00BC4BD3">
              <w:rPr>
                <w:rFonts w:asciiTheme="minorHAnsi" w:eastAsiaTheme="minorEastAsia" w:hAnsiTheme="minorHAnsi" w:cstheme="minorBidi"/>
                <w:b w:val="0"/>
                <w:bCs w:val="0"/>
                <w:noProof/>
                <w:sz w:val="22"/>
                <w:szCs w:val="22"/>
                <w:lang w:eastAsia="en-AU"/>
              </w:rPr>
              <w:tab/>
            </w:r>
            <w:r w:rsidR="00BC4BD3" w:rsidRPr="000359A6">
              <w:rPr>
                <w:rStyle w:val="Hyperlink"/>
                <w:noProof/>
              </w:rPr>
              <w:t>Negotiated services</w:t>
            </w:r>
            <w:r w:rsidR="00BC4BD3">
              <w:rPr>
                <w:noProof/>
                <w:webHidden/>
              </w:rPr>
              <w:tab/>
            </w:r>
            <w:r w:rsidR="00BC4BD3">
              <w:rPr>
                <w:noProof/>
                <w:webHidden/>
              </w:rPr>
              <w:fldChar w:fldCharType="begin"/>
            </w:r>
            <w:r w:rsidR="00BC4BD3">
              <w:rPr>
                <w:noProof/>
                <w:webHidden/>
              </w:rPr>
              <w:instrText xml:space="preserve"> PAGEREF _Toc404752620 \h </w:instrText>
            </w:r>
            <w:r w:rsidR="00BC4BD3">
              <w:rPr>
                <w:noProof/>
                <w:webHidden/>
              </w:rPr>
            </w:r>
            <w:r w:rsidR="00BC4BD3">
              <w:rPr>
                <w:noProof/>
                <w:webHidden/>
              </w:rPr>
              <w:fldChar w:fldCharType="separate"/>
            </w:r>
            <w:r w:rsidR="00A12023">
              <w:rPr>
                <w:noProof/>
                <w:webHidden/>
              </w:rPr>
              <w:t>14-8</w:t>
            </w:r>
            <w:r w:rsidR="00BC4BD3">
              <w:rPr>
                <w:noProof/>
                <w:webHidden/>
              </w:rPr>
              <w:fldChar w:fldCharType="end"/>
            </w:r>
          </w:hyperlink>
        </w:p>
        <w:p w:rsidR="00BC4BD3" w:rsidRDefault="00CC7BB3">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752621" w:history="1">
            <w:r w:rsidR="00BC4BD3" w:rsidRPr="000359A6">
              <w:rPr>
                <w:rStyle w:val="Hyperlink"/>
                <w:noProof/>
              </w:rPr>
              <w:t>14.1</w:t>
            </w:r>
            <w:r w:rsidR="00BC4BD3">
              <w:rPr>
                <w:rFonts w:asciiTheme="minorHAnsi" w:eastAsiaTheme="minorEastAsia" w:hAnsiTheme="minorHAnsi" w:cstheme="minorBidi"/>
                <w:iCs w:val="0"/>
                <w:noProof/>
                <w:sz w:val="22"/>
                <w:szCs w:val="22"/>
                <w:lang w:eastAsia="en-AU"/>
              </w:rPr>
              <w:tab/>
            </w:r>
            <w:r w:rsidR="00BC4BD3" w:rsidRPr="000359A6">
              <w:rPr>
                <w:rStyle w:val="Hyperlink"/>
                <w:noProof/>
              </w:rPr>
              <w:t>Draft decision</w:t>
            </w:r>
            <w:r w:rsidR="00BC4BD3">
              <w:rPr>
                <w:noProof/>
                <w:webHidden/>
              </w:rPr>
              <w:tab/>
            </w:r>
            <w:r w:rsidR="00BC4BD3">
              <w:rPr>
                <w:noProof/>
                <w:webHidden/>
              </w:rPr>
              <w:fldChar w:fldCharType="begin"/>
            </w:r>
            <w:r w:rsidR="00BC4BD3">
              <w:rPr>
                <w:noProof/>
                <w:webHidden/>
              </w:rPr>
              <w:instrText xml:space="preserve"> PAGEREF _Toc404752621 \h </w:instrText>
            </w:r>
            <w:r w:rsidR="00BC4BD3">
              <w:rPr>
                <w:noProof/>
                <w:webHidden/>
              </w:rPr>
            </w:r>
            <w:r w:rsidR="00BC4BD3">
              <w:rPr>
                <w:noProof/>
                <w:webHidden/>
              </w:rPr>
              <w:fldChar w:fldCharType="separate"/>
            </w:r>
            <w:r w:rsidR="00A12023">
              <w:rPr>
                <w:noProof/>
                <w:webHidden/>
              </w:rPr>
              <w:t>14-8</w:t>
            </w:r>
            <w:r w:rsidR="00BC4BD3">
              <w:rPr>
                <w:noProof/>
                <w:webHidden/>
              </w:rPr>
              <w:fldChar w:fldCharType="end"/>
            </w:r>
          </w:hyperlink>
        </w:p>
        <w:p w:rsidR="00BC4BD3" w:rsidRDefault="00CC7BB3">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752622" w:history="1">
            <w:r w:rsidR="00BC4BD3" w:rsidRPr="000359A6">
              <w:rPr>
                <w:rStyle w:val="Hyperlink"/>
                <w:noProof/>
              </w:rPr>
              <w:t>14.2</w:t>
            </w:r>
            <w:r w:rsidR="00BC4BD3">
              <w:rPr>
                <w:rFonts w:asciiTheme="minorHAnsi" w:eastAsiaTheme="minorEastAsia" w:hAnsiTheme="minorHAnsi" w:cstheme="minorBidi"/>
                <w:iCs w:val="0"/>
                <w:noProof/>
                <w:sz w:val="22"/>
                <w:szCs w:val="22"/>
                <w:lang w:eastAsia="en-AU"/>
              </w:rPr>
              <w:tab/>
            </w:r>
            <w:r w:rsidR="00BC4BD3" w:rsidRPr="000359A6">
              <w:rPr>
                <w:rStyle w:val="Hyperlink"/>
                <w:noProof/>
              </w:rPr>
              <w:t>TasNetworks' proposal</w:t>
            </w:r>
            <w:r w:rsidR="00BC4BD3">
              <w:rPr>
                <w:noProof/>
                <w:webHidden/>
              </w:rPr>
              <w:tab/>
            </w:r>
            <w:r w:rsidR="00BC4BD3">
              <w:rPr>
                <w:noProof/>
                <w:webHidden/>
              </w:rPr>
              <w:fldChar w:fldCharType="begin"/>
            </w:r>
            <w:r w:rsidR="00BC4BD3">
              <w:rPr>
                <w:noProof/>
                <w:webHidden/>
              </w:rPr>
              <w:instrText xml:space="preserve"> PAGEREF _Toc404752622 \h </w:instrText>
            </w:r>
            <w:r w:rsidR="00BC4BD3">
              <w:rPr>
                <w:noProof/>
                <w:webHidden/>
              </w:rPr>
            </w:r>
            <w:r w:rsidR="00BC4BD3">
              <w:rPr>
                <w:noProof/>
                <w:webHidden/>
              </w:rPr>
              <w:fldChar w:fldCharType="separate"/>
            </w:r>
            <w:r w:rsidR="00A12023">
              <w:rPr>
                <w:noProof/>
                <w:webHidden/>
              </w:rPr>
              <w:t>14-8</w:t>
            </w:r>
            <w:r w:rsidR="00BC4BD3">
              <w:rPr>
                <w:noProof/>
                <w:webHidden/>
              </w:rPr>
              <w:fldChar w:fldCharType="end"/>
            </w:r>
          </w:hyperlink>
        </w:p>
        <w:p w:rsidR="00BC4BD3" w:rsidRDefault="00CC7BB3">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752623" w:history="1">
            <w:r w:rsidR="00BC4BD3" w:rsidRPr="000359A6">
              <w:rPr>
                <w:rStyle w:val="Hyperlink"/>
                <w:noProof/>
              </w:rPr>
              <w:t>14.3</w:t>
            </w:r>
            <w:r w:rsidR="00BC4BD3">
              <w:rPr>
                <w:rFonts w:asciiTheme="minorHAnsi" w:eastAsiaTheme="minorEastAsia" w:hAnsiTheme="minorHAnsi" w:cstheme="minorBidi"/>
                <w:iCs w:val="0"/>
                <w:noProof/>
                <w:sz w:val="22"/>
                <w:szCs w:val="22"/>
                <w:lang w:eastAsia="en-AU"/>
              </w:rPr>
              <w:tab/>
            </w:r>
            <w:r w:rsidR="00BC4BD3" w:rsidRPr="000359A6">
              <w:rPr>
                <w:rStyle w:val="Hyperlink"/>
                <w:noProof/>
              </w:rPr>
              <w:t>AER's assessment approach</w:t>
            </w:r>
            <w:r w:rsidR="00BC4BD3">
              <w:rPr>
                <w:noProof/>
                <w:webHidden/>
              </w:rPr>
              <w:tab/>
            </w:r>
            <w:r w:rsidR="00BC4BD3">
              <w:rPr>
                <w:noProof/>
                <w:webHidden/>
              </w:rPr>
              <w:fldChar w:fldCharType="begin"/>
            </w:r>
            <w:r w:rsidR="00BC4BD3">
              <w:rPr>
                <w:noProof/>
                <w:webHidden/>
              </w:rPr>
              <w:instrText xml:space="preserve"> PAGEREF _Toc404752623 \h </w:instrText>
            </w:r>
            <w:r w:rsidR="00BC4BD3">
              <w:rPr>
                <w:noProof/>
                <w:webHidden/>
              </w:rPr>
            </w:r>
            <w:r w:rsidR="00BC4BD3">
              <w:rPr>
                <w:noProof/>
                <w:webHidden/>
              </w:rPr>
              <w:fldChar w:fldCharType="separate"/>
            </w:r>
            <w:r w:rsidR="00A12023">
              <w:rPr>
                <w:noProof/>
                <w:webHidden/>
              </w:rPr>
              <w:t>14-8</w:t>
            </w:r>
            <w:r w:rsidR="00BC4BD3">
              <w:rPr>
                <w:noProof/>
                <w:webHidden/>
              </w:rPr>
              <w:fldChar w:fldCharType="end"/>
            </w:r>
          </w:hyperlink>
        </w:p>
        <w:p w:rsidR="00BC4BD3" w:rsidRDefault="00CC7BB3">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752624" w:history="1">
            <w:r w:rsidR="00BC4BD3" w:rsidRPr="000359A6">
              <w:rPr>
                <w:rStyle w:val="Hyperlink"/>
                <w:noProof/>
              </w:rPr>
              <w:t>14.4</w:t>
            </w:r>
            <w:r w:rsidR="00BC4BD3">
              <w:rPr>
                <w:rFonts w:asciiTheme="minorHAnsi" w:eastAsiaTheme="minorEastAsia" w:hAnsiTheme="minorHAnsi" w:cstheme="minorBidi"/>
                <w:iCs w:val="0"/>
                <w:noProof/>
                <w:sz w:val="22"/>
                <w:szCs w:val="22"/>
                <w:lang w:eastAsia="en-AU"/>
              </w:rPr>
              <w:tab/>
            </w:r>
            <w:r w:rsidR="00BC4BD3" w:rsidRPr="000359A6">
              <w:rPr>
                <w:rStyle w:val="Hyperlink"/>
                <w:noProof/>
              </w:rPr>
              <w:t>Reasons for draft decision</w:t>
            </w:r>
            <w:r w:rsidR="00BC4BD3">
              <w:rPr>
                <w:noProof/>
                <w:webHidden/>
              </w:rPr>
              <w:tab/>
            </w:r>
            <w:r w:rsidR="00BC4BD3">
              <w:rPr>
                <w:noProof/>
                <w:webHidden/>
              </w:rPr>
              <w:fldChar w:fldCharType="begin"/>
            </w:r>
            <w:r w:rsidR="00BC4BD3">
              <w:rPr>
                <w:noProof/>
                <w:webHidden/>
              </w:rPr>
              <w:instrText xml:space="preserve"> PAGEREF _Toc404752624 \h </w:instrText>
            </w:r>
            <w:r w:rsidR="00BC4BD3">
              <w:rPr>
                <w:noProof/>
                <w:webHidden/>
              </w:rPr>
            </w:r>
            <w:r w:rsidR="00BC4BD3">
              <w:rPr>
                <w:noProof/>
                <w:webHidden/>
              </w:rPr>
              <w:fldChar w:fldCharType="separate"/>
            </w:r>
            <w:r w:rsidR="00A12023">
              <w:rPr>
                <w:noProof/>
                <w:webHidden/>
              </w:rPr>
              <w:t>14-9</w:t>
            </w:r>
            <w:r w:rsidR="00BC4BD3">
              <w:rPr>
                <w:noProof/>
                <w:webHidden/>
              </w:rPr>
              <w:fldChar w:fldCharType="end"/>
            </w:r>
          </w:hyperlink>
        </w:p>
        <w:p w:rsidR="00BC4BD3" w:rsidRDefault="00CC7BB3">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752625" w:history="1">
            <w:r w:rsidR="00BC4BD3" w:rsidRPr="000359A6">
              <w:rPr>
                <w:rStyle w:val="Hyperlink"/>
                <w:noProof/>
              </w:rPr>
              <w:t>14.5</w:t>
            </w:r>
            <w:r w:rsidR="00BC4BD3">
              <w:rPr>
                <w:rFonts w:asciiTheme="minorHAnsi" w:eastAsiaTheme="minorEastAsia" w:hAnsiTheme="minorHAnsi" w:cstheme="minorBidi"/>
                <w:iCs w:val="0"/>
                <w:noProof/>
                <w:sz w:val="22"/>
                <w:szCs w:val="22"/>
                <w:lang w:eastAsia="en-AU"/>
              </w:rPr>
              <w:tab/>
            </w:r>
            <w:r w:rsidR="00BC4BD3" w:rsidRPr="000359A6">
              <w:rPr>
                <w:rStyle w:val="Hyperlink"/>
                <w:noProof/>
              </w:rPr>
              <w:t>Negotiated transmission service criteria</w:t>
            </w:r>
            <w:r w:rsidR="00BC4BD3">
              <w:rPr>
                <w:noProof/>
                <w:webHidden/>
              </w:rPr>
              <w:tab/>
            </w:r>
            <w:r w:rsidR="00BC4BD3">
              <w:rPr>
                <w:noProof/>
                <w:webHidden/>
              </w:rPr>
              <w:fldChar w:fldCharType="begin"/>
            </w:r>
            <w:r w:rsidR="00BC4BD3">
              <w:rPr>
                <w:noProof/>
                <w:webHidden/>
              </w:rPr>
              <w:instrText xml:space="preserve"> PAGEREF _Toc404752625 \h </w:instrText>
            </w:r>
            <w:r w:rsidR="00BC4BD3">
              <w:rPr>
                <w:noProof/>
                <w:webHidden/>
              </w:rPr>
            </w:r>
            <w:r w:rsidR="00BC4BD3">
              <w:rPr>
                <w:noProof/>
                <w:webHidden/>
              </w:rPr>
              <w:fldChar w:fldCharType="separate"/>
            </w:r>
            <w:r w:rsidR="00A12023">
              <w:rPr>
                <w:noProof/>
                <w:webHidden/>
              </w:rPr>
              <w:t>14-10</w:t>
            </w:r>
            <w:r w:rsidR="00BC4BD3">
              <w:rPr>
                <w:noProof/>
                <w:webHidden/>
              </w:rPr>
              <w:fldChar w:fldCharType="end"/>
            </w:r>
          </w:hyperlink>
        </w:p>
        <w:p w:rsidR="00E2590B" w:rsidRPr="00E2590B" w:rsidRDefault="00E2590B" w:rsidP="00E2590B">
          <w:r>
            <w:fldChar w:fldCharType="end"/>
          </w:r>
        </w:p>
      </w:sdtContent>
    </w:sdt>
    <w:p w:rsidR="00E2590B" w:rsidRDefault="00E2590B" w:rsidP="00E2590B">
      <w:r>
        <w:br w:type="page"/>
      </w:r>
    </w:p>
    <w:p w:rsidR="00E2590B" w:rsidRDefault="00E2590B" w:rsidP="00E2590B">
      <w:pPr>
        <w:pStyle w:val="UnnumberedHeading"/>
      </w:pPr>
      <w:bookmarkStart w:id="6" w:name="_Toc402981661"/>
      <w:bookmarkStart w:id="7" w:name="_Toc403403332"/>
      <w:bookmarkStart w:id="8" w:name="_Toc404752619"/>
      <w:r>
        <w:lastRenderedPageBreak/>
        <w:t>Shortened forms</w:t>
      </w:r>
      <w:bookmarkEnd w:id="6"/>
      <w:bookmarkEnd w:id="7"/>
      <w:bookmarkEnd w:id="8"/>
    </w:p>
    <w:tbl>
      <w:tblPr>
        <w:tblStyle w:val="AERtable-numbers"/>
        <w:tblW w:w="0" w:type="auto"/>
        <w:tblLook w:val="04A0" w:firstRow="1" w:lastRow="0" w:firstColumn="1" w:lastColumn="0" w:noHBand="0" w:noVBand="1"/>
      </w:tblPr>
      <w:tblGrid>
        <w:gridCol w:w="4621"/>
        <w:gridCol w:w="4621"/>
      </w:tblGrid>
      <w:tr w:rsidR="00E2590B" w:rsidTr="004032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Shortened form</w:t>
            </w:r>
          </w:p>
        </w:tc>
        <w:tc>
          <w:tcPr>
            <w:tcW w:w="4621" w:type="dxa"/>
          </w:tcPr>
          <w:p w:rsidR="00E2590B" w:rsidRDefault="00E2590B" w:rsidP="00E2590B">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E2590B" w:rsidTr="002D530D">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AARR</w:t>
            </w:r>
          </w:p>
        </w:tc>
        <w:tc>
          <w:tcPr>
            <w:tcW w:w="4621" w:type="dxa"/>
          </w:tcPr>
          <w:p w:rsidR="00E2590B" w:rsidRDefault="00E2590B" w:rsidP="00E2590B">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E2590B"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AASB</w:t>
            </w:r>
          </w:p>
        </w:tc>
        <w:tc>
          <w:tcPr>
            <w:tcW w:w="4621" w:type="dxa"/>
          </w:tcPr>
          <w:p w:rsidR="00E2590B" w:rsidRDefault="00E2590B" w:rsidP="00E2590B">
            <w:pPr>
              <w:pStyle w:val="AERbodytext"/>
              <w:cnfStyle w:val="000000010000" w:firstRow="0" w:lastRow="0" w:firstColumn="0" w:lastColumn="0" w:oddVBand="0" w:evenVBand="0" w:oddHBand="0" w:evenHBand="1" w:firstRowFirstColumn="0" w:firstRowLastColumn="0" w:lastRowFirstColumn="0" w:lastRowLastColumn="0"/>
            </w:pPr>
            <w:r>
              <w:t>Australian Accounting Standards Board</w:t>
            </w:r>
          </w:p>
        </w:tc>
      </w:tr>
      <w:tr w:rsidR="00E2590B" w:rsidTr="002D530D">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AEMC</w:t>
            </w:r>
          </w:p>
        </w:tc>
        <w:tc>
          <w:tcPr>
            <w:tcW w:w="4621" w:type="dxa"/>
          </w:tcPr>
          <w:p w:rsidR="00E2590B" w:rsidRDefault="00E2590B" w:rsidP="00E2590B">
            <w:pPr>
              <w:pStyle w:val="AERbodytex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E2590B"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AEMO</w:t>
            </w:r>
          </w:p>
        </w:tc>
        <w:tc>
          <w:tcPr>
            <w:tcW w:w="4621" w:type="dxa"/>
          </w:tcPr>
          <w:p w:rsidR="00E2590B" w:rsidRDefault="00E2590B" w:rsidP="00E2590B">
            <w:pPr>
              <w:pStyle w:val="AERbodytext"/>
              <w:cnfStyle w:val="000000010000" w:firstRow="0" w:lastRow="0" w:firstColumn="0" w:lastColumn="0" w:oddVBand="0" w:evenVBand="0" w:oddHBand="0" w:evenHBand="1" w:firstRowFirstColumn="0" w:firstRowLastColumn="0" w:lastRowFirstColumn="0" w:lastRowLastColumn="0"/>
            </w:pPr>
            <w:r>
              <w:t>Australian Energy Market Operator</w:t>
            </w:r>
          </w:p>
        </w:tc>
      </w:tr>
      <w:tr w:rsidR="00E2590B" w:rsidTr="002D530D">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AER</w:t>
            </w:r>
          </w:p>
        </w:tc>
        <w:tc>
          <w:tcPr>
            <w:tcW w:w="4621" w:type="dxa"/>
          </w:tcPr>
          <w:p w:rsidR="00E2590B" w:rsidRDefault="00E2590B" w:rsidP="00E2590B">
            <w:pPr>
              <w:pStyle w:val="AERbodytext"/>
              <w:cnfStyle w:val="000000000000" w:firstRow="0" w:lastRow="0" w:firstColumn="0" w:lastColumn="0" w:oddVBand="0" w:evenVBand="0" w:oddHBand="0" w:evenHBand="0" w:firstRowFirstColumn="0" w:firstRowLastColumn="0" w:lastRowFirstColumn="0" w:lastRowLastColumn="0"/>
            </w:pPr>
            <w:r>
              <w:t>Australian Energy Regulator</w:t>
            </w:r>
          </w:p>
        </w:tc>
      </w:tr>
      <w:tr w:rsidR="00E2590B"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ARPC</w:t>
            </w:r>
          </w:p>
        </w:tc>
        <w:tc>
          <w:tcPr>
            <w:tcW w:w="4621" w:type="dxa"/>
          </w:tcPr>
          <w:p w:rsidR="00E2590B" w:rsidRDefault="00E2590B" w:rsidP="00E2590B">
            <w:pPr>
              <w:pStyle w:val="AERbodytext"/>
              <w:cnfStyle w:val="000000010000" w:firstRow="0" w:lastRow="0" w:firstColumn="0" w:lastColumn="0" w:oddVBand="0" w:evenVBand="0" w:oddHBand="0" w:evenHBand="1" w:firstRowFirstColumn="0" w:firstRowLastColumn="0" w:lastRowFirstColumn="0" w:lastRowLastColumn="0"/>
            </w:pPr>
            <w:r w:rsidRPr="005D1E67">
              <w:t>Australian Reinsurance Pool Corporation</w:t>
            </w:r>
          </w:p>
        </w:tc>
      </w:tr>
      <w:tr w:rsidR="00E2590B" w:rsidTr="002D530D">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ASRR</w:t>
            </w:r>
          </w:p>
        </w:tc>
        <w:tc>
          <w:tcPr>
            <w:tcW w:w="4621" w:type="dxa"/>
          </w:tcPr>
          <w:p w:rsidR="00E2590B" w:rsidRDefault="00E2590B" w:rsidP="00E2590B">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E2590B"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augex</w:t>
            </w:r>
          </w:p>
        </w:tc>
        <w:tc>
          <w:tcPr>
            <w:tcW w:w="4621" w:type="dxa"/>
          </w:tcPr>
          <w:p w:rsidR="00E2590B" w:rsidRDefault="00E2590B" w:rsidP="00E2590B">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E2590B" w:rsidTr="002D530D">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capex</w:t>
            </w:r>
          </w:p>
        </w:tc>
        <w:tc>
          <w:tcPr>
            <w:tcW w:w="4621" w:type="dxa"/>
          </w:tcPr>
          <w:p w:rsidR="00E2590B" w:rsidRDefault="00E2590B" w:rsidP="00E2590B">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E2590B"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capex incentive guideline</w:t>
            </w:r>
          </w:p>
        </w:tc>
        <w:tc>
          <w:tcPr>
            <w:tcW w:w="4621" w:type="dxa"/>
          </w:tcPr>
          <w:p w:rsidR="00E2590B" w:rsidRDefault="00E2590B" w:rsidP="00E2590B">
            <w:pPr>
              <w:pStyle w:val="AERbodytext"/>
              <w:cnfStyle w:val="000000010000" w:firstRow="0" w:lastRow="0" w:firstColumn="0" w:lastColumn="0" w:oddVBand="0" w:evenVBand="0" w:oddHBand="0" w:evenHBand="1" w:firstRowFirstColumn="0" w:firstRowLastColumn="0" w:lastRowFirstColumn="0" w:lastRowLastColumn="0"/>
            </w:pPr>
            <w:r w:rsidRPr="00F007E7">
              <w:t xml:space="preserve">AER, </w:t>
            </w:r>
            <w:r w:rsidRPr="004A7AE9">
              <w:rPr>
                <w:rStyle w:val="AERtextitalic"/>
              </w:rPr>
              <w:t>Capital Expenditure Incentive Guideline for Electricity Network Service Providers</w:t>
            </w:r>
            <w:r w:rsidRPr="00F007E7">
              <w:t>, November 2013</w:t>
            </w:r>
          </w:p>
        </w:tc>
      </w:tr>
      <w:tr w:rsidR="00E2590B" w:rsidTr="002D530D">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CCP</w:t>
            </w:r>
          </w:p>
        </w:tc>
        <w:tc>
          <w:tcPr>
            <w:tcW w:w="4621" w:type="dxa"/>
          </w:tcPr>
          <w:p w:rsidR="00E2590B" w:rsidRDefault="00E2590B" w:rsidP="00E2590B">
            <w:pPr>
              <w:pStyle w:val="AERbodytext"/>
              <w:cnfStyle w:val="000000000000" w:firstRow="0" w:lastRow="0" w:firstColumn="0" w:lastColumn="0" w:oddVBand="0" w:evenVBand="0" w:oddHBand="0" w:evenHBand="0" w:firstRowFirstColumn="0" w:firstRowLastColumn="0" w:lastRowFirstColumn="0" w:lastRowLastColumn="0"/>
            </w:pPr>
            <w:r>
              <w:t>Consumer Challenge Panel</w:t>
            </w:r>
          </w:p>
        </w:tc>
      </w:tr>
      <w:tr w:rsidR="00E2590B"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CESS</w:t>
            </w:r>
          </w:p>
        </w:tc>
        <w:tc>
          <w:tcPr>
            <w:tcW w:w="4621" w:type="dxa"/>
          </w:tcPr>
          <w:p w:rsidR="00E2590B" w:rsidRDefault="00E2590B" w:rsidP="00E2590B">
            <w:pPr>
              <w:pStyle w:val="AERbodytext"/>
              <w:cnfStyle w:val="000000010000" w:firstRow="0" w:lastRow="0" w:firstColumn="0" w:lastColumn="0" w:oddVBand="0" w:evenVBand="0" w:oddHBand="0" w:evenHBand="1" w:firstRowFirstColumn="0" w:firstRowLastColumn="0" w:lastRowFirstColumn="0" w:lastRowLastColumn="0"/>
            </w:pPr>
            <w:r>
              <w:t>capital expenditure sharing scheme</w:t>
            </w:r>
          </w:p>
        </w:tc>
      </w:tr>
      <w:tr w:rsidR="00E2590B" w:rsidTr="002D530D">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CPI</w:t>
            </w:r>
          </w:p>
        </w:tc>
        <w:tc>
          <w:tcPr>
            <w:tcW w:w="4621" w:type="dxa"/>
          </w:tcPr>
          <w:p w:rsidR="00E2590B" w:rsidRDefault="00E2590B" w:rsidP="00E2590B">
            <w:pPr>
              <w:pStyle w:val="AERbodytext"/>
              <w:cnfStyle w:val="000000000000" w:firstRow="0" w:lastRow="0" w:firstColumn="0" w:lastColumn="0" w:oddVBand="0" w:evenVBand="0" w:oddHBand="0" w:evenHBand="0" w:firstRowFirstColumn="0" w:firstRowLastColumn="0" w:lastRowFirstColumn="0" w:lastRowLastColumn="0"/>
            </w:pPr>
            <w:r>
              <w:t>consumer price index</w:t>
            </w:r>
          </w:p>
        </w:tc>
      </w:tr>
      <w:tr w:rsidR="00E2590B"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DRP</w:t>
            </w:r>
          </w:p>
        </w:tc>
        <w:tc>
          <w:tcPr>
            <w:tcW w:w="4621" w:type="dxa"/>
          </w:tcPr>
          <w:p w:rsidR="00E2590B" w:rsidRDefault="00E2590B" w:rsidP="00E2590B">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E2590B" w:rsidTr="002D530D">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EBSS</w:t>
            </w:r>
          </w:p>
        </w:tc>
        <w:tc>
          <w:tcPr>
            <w:tcW w:w="4621" w:type="dxa"/>
          </w:tcPr>
          <w:p w:rsidR="00E2590B" w:rsidRDefault="00E2590B" w:rsidP="00E2590B">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E2590B"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EMCa</w:t>
            </w:r>
          </w:p>
        </w:tc>
        <w:tc>
          <w:tcPr>
            <w:tcW w:w="4621" w:type="dxa"/>
          </w:tcPr>
          <w:p w:rsidR="00E2590B" w:rsidRDefault="00E2590B" w:rsidP="00E2590B">
            <w:pPr>
              <w:pStyle w:val="AERbodytext"/>
              <w:cnfStyle w:val="000000010000" w:firstRow="0" w:lastRow="0" w:firstColumn="0" w:lastColumn="0" w:oddVBand="0" w:evenVBand="0" w:oddHBand="0" w:evenHBand="1" w:firstRowFirstColumn="0" w:firstRowLastColumn="0" w:lastRowFirstColumn="0" w:lastRowLastColumn="0"/>
            </w:pPr>
            <w:r>
              <w:t>Energy Market Consulting associates</w:t>
            </w:r>
          </w:p>
        </w:tc>
      </w:tr>
      <w:tr w:rsidR="00E2590B" w:rsidTr="002D530D">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ERP</w:t>
            </w:r>
          </w:p>
        </w:tc>
        <w:tc>
          <w:tcPr>
            <w:tcW w:w="4621" w:type="dxa"/>
          </w:tcPr>
          <w:p w:rsidR="00E2590B" w:rsidRDefault="00E2590B" w:rsidP="00E2590B">
            <w:pPr>
              <w:pStyle w:val="AERbodytext"/>
              <w:cnfStyle w:val="000000000000" w:firstRow="0" w:lastRow="0" w:firstColumn="0" w:lastColumn="0" w:oddVBand="0" w:evenVBand="0" w:oddHBand="0" w:evenHBand="0" w:firstRowFirstColumn="0" w:firstRowLastColumn="0" w:lastRowFirstColumn="0" w:lastRowLastColumn="0"/>
            </w:pPr>
            <w:r>
              <w:t>equity risk premium</w:t>
            </w:r>
          </w:p>
        </w:tc>
      </w:tr>
      <w:tr w:rsidR="00E2590B"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EUAA</w:t>
            </w:r>
          </w:p>
        </w:tc>
        <w:tc>
          <w:tcPr>
            <w:tcW w:w="4621" w:type="dxa"/>
          </w:tcPr>
          <w:p w:rsidR="00E2590B" w:rsidRDefault="00E2590B" w:rsidP="00E2590B">
            <w:pPr>
              <w:pStyle w:val="AERbodytext"/>
              <w:cnfStyle w:val="000000010000" w:firstRow="0" w:lastRow="0" w:firstColumn="0" w:lastColumn="0" w:oddVBand="0" w:evenVBand="0" w:oddHBand="0" w:evenHBand="1" w:firstRowFirstColumn="0" w:firstRowLastColumn="0" w:lastRowFirstColumn="0" w:lastRowLastColumn="0"/>
            </w:pPr>
            <w:r>
              <w:t>Energy Users Association of Australia</w:t>
            </w:r>
          </w:p>
        </w:tc>
      </w:tr>
      <w:tr w:rsidR="00E2590B" w:rsidTr="002D530D">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MAR</w:t>
            </w:r>
          </w:p>
        </w:tc>
        <w:tc>
          <w:tcPr>
            <w:tcW w:w="4621" w:type="dxa"/>
          </w:tcPr>
          <w:p w:rsidR="00E2590B" w:rsidRDefault="00E2590B" w:rsidP="00E2590B">
            <w:pPr>
              <w:pStyle w:val="AERbodytext"/>
              <w:cnfStyle w:val="000000000000" w:firstRow="0" w:lastRow="0" w:firstColumn="0" w:lastColumn="0" w:oddVBand="0" w:evenVBand="0" w:oddHBand="0" w:evenHBand="0" w:firstRowFirstColumn="0" w:firstRowLastColumn="0" w:lastRowFirstColumn="0" w:lastRowLastColumn="0"/>
            </w:pPr>
            <w:r>
              <w:t>maximum allowed revenue</w:t>
            </w:r>
          </w:p>
        </w:tc>
      </w:tr>
      <w:tr w:rsidR="00E2590B"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MEU</w:t>
            </w:r>
          </w:p>
        </w:tc>
        <w:tc>
          <w:tcPr>
            <w:tcW w:w="4621" w:type="dxa"/>
          </w:tcPr>
          <w:p w:rsidR="00E2590B" w:rsidRDefault="00E2590B" w:rsidP="00E2590B">
            <w:pPr>
              <w:pStyle w:val="AERbodytext"/>
              <w:cnfStyle w:val="000000010000" w:firstRow="0" w:lastRow="0" w:firstColumn="0" w:lastColumn="0" w:oddVBand="0" w:evenVBand="0" w:oddHBand="0" w:evenHBand="1" w:firstRowFirstColumn="0" w:firstRowLastColumn="0" w:lastRowFirstColumn="0" w:lastRowLastColumn="0"/>
            </w:pPr>
            <w:r>
              <w:t>Major Energy Users</w:t>
            </w:r>
          </w:p>
        </w:tc>
      </w:tr>
      <w:tr w:rsidR="00E2590B" w:rsidTr="002D530D">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MJA</w:t>
            </w:r>
          </w:p>
        </w:tc>
        <w:tc>
          <w:tcPr>
            <w:tcW w:w="4621" w:type="dxa"/>
          </w:tcPr>
          <w:p w:rsidR="00E2590B" w:rsidRDefault="00E2590B" w:rsidP="00E2590B">
            <w:pPr>
              <w:pStyle w:val="AERbodytext"/>
              <w:cnfStyle w:val="000000000000" w:firstRow="0" w:lastRow="0" w:firstColumn="0" w:lastColumn="0" w:oddVBand="0" w:evenVBand="0" w:oddHBand="0" w:evenHBand="0" w:firstRowFirstColumn="0" w:firstRowLastColumn="0" w:lastRowFirstColumn="0" w:lastRowLastColumn="0"/>
            </w:pPr>
            <w:r>
              <w:t>Marsden Jacob Associates</w:t>
            </w:r>
          </w:p>
        </w:tc>
      </w:tr>
      <w:tr w:rsidR="00E2590B"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lastRenderedPageBreak/>
              <w:t>MRP</w:t>
            </w:r>
          </w:p>
        </w:tc>
        <w:tc>
          <w:tcPr>
            <w:tcW w:w="4621" w:type="dxa"/>
          </w:tcPr>
          <w:p w:rsidR="00E2590B" w:rsidRDefault="00E2590B" w:rsidP="00E2590B">
            <w:pPr>
              <w:pStyle w:val="AERbodytext"/>
              <w:cnfStyle w:val="000000010000" w:firstRow="0" w:lastRow="0" w:firstColumn="0" w:lastColumn="0" w:oddVBand="0" w:evenVBand="0" w:oddHBand="0" w:evenHBand="1" w:firstRowFirstColumn="0" w:firstRowLastColumn="0" w:lastRowFirstColumn="0" w:lastRowLastColumn="0"/>
            </w:pPr>
            <w:r>
              <w:t>market risk premium</w:t>
            </w:r>
          </w:p>
        </w:tc>
      </w:tr>
      <w:tr w:rsidR="00E2590B" w:rsidTr="002D530D">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NEL</w:t>
            </w:r>
          </w:p>
        </w:tc>
        <w:tc>
          <w:tcPr>
            <w:tcW w:w="4621" w:type="dxa"/>
          </w:tcPr>
          <w:p w:rsidR="00E2590B" w:rsidRDefault="00E2590B" w:rsidP="00E2590B">
            <w:pPr>
              <w:pStyle w:val="AERbodytext"/>
              <w:cnfStyle w:val="000000000000" w:firstRow="0" w:lastRow="0" w:firstColumn="0" w:lastColumn="0" w:oddVBand="0" w:evenVBand="0" w:oddHBand="0" w:evenHBand="0" w:firstRowFirstColumn="0" w:firstRowLastColumn="0" w:lastRowFirstColumn="0" w:lastRowLastColumn="0"/>
            </w:pPr>
            <w:r>
              <w:t>national electricity law</w:t>
            </w:r>
          </w:p>
        </w:tc>
      </w:tr>
      <w:tr w:rsidR="00E2590B"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NEM</w:t>
            </w:r>
          </w:p>
        </w:tc>
        <w:tc>
          <w:tcPr>
            <w:tcW w:w="4621" w:type="dxa"/>
          </w:tcPr>
          <w:p w:rsidR="00E2590B" w:rsidRDefault="00E2590B" w:rsidP="00E2590B">
            <w:pPr>
              <w:pStyle w:val="AERbodytext"/>
              <w:cnfStyle w:val="000000010000" w:firstRow="0" w:lastRow="0" w:firstColumn="0" w:lastColumn="0" w:oddVBand="0" w:evenVBand="0" w:oddHBand="0" w:evenHBand="1" w:firstRowFirstColumn="0" w:firstRowLastColumn="0" w:lastRowFirstColumn="0" w:lastRowLastColumn="0"/>
            </w:pPr>
            <w:r>
              <w:t>national electricity market</w:t>
            </w:r>
          </w:p>
        </w:tc>
      </w:tr>
      <w:tr w:rsidR="00E2590B" w:rsidTr="002D530D">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NEO</w:t>
            </w:r>
          </w:p>
        </w:tc>
        <w:tc>
          <w:tcPr>
            <w:tcW w:w="4621" w:type="dxa"/>
          </w:tcPr>
          <w:p w:rsidR="00E2590B" w:rsidRDefault="00E2590B" w:rsidP="00E2590B">
            <w:pPr>
              <w:pStyle w:val="AERbodytext"/>
              <w:cnfStyle w:val="000000000000" w:firstRow="0" w:lastRow="0" w:firstColumn="0" w:lastColumn="0" w:oddVBand="0" w:evenVBand="0" w:oddHBand="0" w:evenHBand="0" w:firstRowFirstColumn="0" w:firstRowLastColumn="0" w:lastRowFirstColumn="0" w:lastRowLastColumn="0"/>
            </w:pPr>
            <w:r>
              <w:t>national electricity objective</w:t>
            </w:r>
          </w:p>
        </w:tc>
      </w:tr>
      <w:tr w:rsidR="00E2590B"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NER</w:t>
            </w:r>
          </w:p>
        </w:tc>
        <w:tc>
          <w:tcPr>
            <w:tcW w:w="4621" w:type="dxa"/>
          </w:tcPr>
          <w:p w:rsidR="00E2590B" w:rsidRDefault="00E2590B" w:rsidP="00E2590B">
            <w:pPr>
              <w:pStyle w:val="AERbodytext"/>
              <w:cnfStyle w:val="000000010000" w:firstRow="0" w:lastRow="0" w:firstColumn="0" w:lastColumn="0" w:oddVBand="0" w:evenVBand="0" w:oddHBand="0" w:evenHBand="1" w:firstRowFirstColumn="0" w:firstRowLastColumn="0" w:lastRowFirstColumn="0" w:lastRowLastColumn="0"/>
            </w:pPr>
            <w:r>
              <w:t>national electricity rules</w:t>
            </w:r>
          </w:p>
        </w:tc>
      </w:tr>
      <w:tr w:rsidR="00E2590B" w:rsidTr="002D530D">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NSP</w:t>
            </w:r>
          </w:p>
        </w:tc>
        <w:tc>
          <w:tcPr>
            <w:tcW w:w="4621" w:type="dxa"/>
          </w:tcPr>
          <w:p w:rsidR="00E2590B" w:rsidRDefault="00E2590B" w:rsidP="00E2590B">
            <w:pPr>
              <w:pStyle w:val="AERbodytext"/>
              <w:cnfStyle w:val="000000000000" w:firstRow="0" w:lastRow="0" w:firstColumn="0" w:lastColumn="0" w:oddVBand="0" w:evenVBand="0" w:oddHBand="0" w:evenHBand="0" w:firstRowFirstColumn="0" w:firstRowLastColumn="0" w:lastRowFirstColumn="0" w:lastRowLastColumn="0"/>
            </w:pPr>
            <w:r>
              <w:t>network service provider</w:t>
            </w:r>
          </w:p>
        </w:tc>
      </w:tr>
      <w:tr w:rsidR="00E2590B"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NTSC</w:t>
            </w:r>
          </w:p>
        </w:tc>
        <w:tc>
          <w:tcPr>
            <w:tcW w:w="4621" w:type="dxa"/>
          </w:tcPr>
          <w:p w:rsidR="00E2590B" w:rsidRDefault="00E2590B" w:rsidP="00E2590B">
            <w:pPr>
              <w:pStyle w:val="AERbodytext"/>
              <w:cnfStyle w:val="000000010000" w:firstRow="0" w:lastRow="0" w:firstColumn="0" w:lastColumn="0" w:oddVBand="0" w:evenVBand="0" w:oddHBand="0" w:evenHBand="1" w:firstRowFirstColumn="0" w:firstRowLastColumn="0" w:lastRowFirstColumn="0" w:lastRowLastColumn="0"/>
            </w:pPr>
            <w:r>
              <w:t>negotiated transmission service criteria</w:t>
            </w:r>
          </w:p>
        </w:tc>
      </w:tr>
      <w:tr w:rsidR="00E2590B" w:rsidTr="002D530D">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opex</w:t>
            </w:r>
          </w:p>
        </w:tc>
        <w:tc>
          <w:tcPr>
            <w:tcW w:w="4621" w:type="dxa"/>
          </w:tcPr>
          <w:p w:rsidR="00E2590B" w:rsidRDefault="00E2590B" w:rsidP="00E2590B">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E2590B"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PPI</w:t>
            </w:r>
          </w:p>
        </w:tc>
        <w:tc>
          <w:tcPr>
            <w:tcW w:w="4621" w:type="dxa"/>
          </w:tcPr>
          <w:p w:rsidR="00E2590B" w:rsidRDefault="00E2590B" w:rsidP="00E2590B">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E2590B" w:rsidTr="002D530D">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PTRM</w:t>
            </w:r>
          </w:p>
        </w:tc>
        <w:tc>
          <w:tcPr>
            <w:tcW w:w="4621" w:type="dxa"/>
          </w:tcPr>
          <w:p w:rsidR="00E2590B" w:rsidRDefault="00E2590B" w:rsidP="00E2590B">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E2590B"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RAB</w:t>
            </w:r>
          </w:p>
        </w:tc>
        <w:tc>
          <w:tcPr>
            <w:tcW w:w="4621" w:type="dxa"/>
          </w:tcPr>
          <w:p w:rsidR="00E2590B" w:rsidRDefault="00E2590B" w:rsidP="00E2590B">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E2590B" w:rsidTr="002D530D">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RBA</w:t>
            </w:r>
          </w:p>
        </w:tc>
        <w:tc>
          <w:tcPr>
            <w:tcW w:w="4621" w:type="dxa"/>
          </w:tcPr>
          <w:p w:rsidR="00E2590B" w:rsidRDefault="00E2590B" w:rsidP="00E2590B">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E2590B"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repex</w:t>
            </w:r>
          </w:p>
        </w:tc>
        <w:tc>
          <w:tcPr>
            <w:tcW w:w="4621" w:type="dxa"/>
          </w:tcPr>
          <w:p w:rsidR="00E2590B" w:rsidRDefault="00E2590B" w:rsidP="00E2590B">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E2590B" w:rsidTr="002D530D">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RFM</w:t>
            </w:r>
          </w:p>
        </w:tc>
        <w:tc>
          <w:tcPr>
            <w:tcW w:w="4621" w:type="dxa"/>
          </w:tcPr>
          <w:p w:rsidR="00E2590B" w:rsidRDefault="00E2590B" w:rsidP="00E2590B">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E2590B"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RIN</w:t>
            </w:r>
          </w:p>
        </w:tc>
        <w:tc>
          <w:tcPr>
            <w:tcW w:w="4621" w:type="dxa"/>
          </w:tcPr>
          <w:p w:rsidR="00E2590B" w:rsidRDefault="00E2590B" w:rsidP="00E2590B">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E2590B" w:rsidTr="002D530D">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RPP</w:t>
            </w:r>
          </w:p>
        </w:tc>
        <w:tc>
          <w:tcPr>
            <w:tcW w:w="4621" w:type="dxa"/>
          </w:tcPr>
          <w:p w:rsidR="00E2590B" w:rsidRDefault="00E2590B" w:rsidP="00E2590B">
            <w:pPr>
              <w:pStyle w:val="AERbodytext"/>
              <w:cnfStyle w:val="000000000000" w:firstRow="0" w:lastRow="0" w:firstColumn="0" w:lastColumn="0" w:oddVBand="0" w:evenVBand="0" w:oddHBand="0" w:evenHBand="0" w:firstRowFirstColumn="0" w:firstRowLastColumn="0" w:lastRowFirstColumn="0" w:lastRowLastColumn="0"/>
            </w:pPr>
            <w:r>
              <w:t>revenue and pricing principles</w:t>
            </w:r>
          </w:p>
        </w:tc>
      </w:tr>
      <w:tr w:rsidR="00E2590B"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SLCAPM</w:t>
            </w:r>
          </w:p>
        </w:tc>
        <w:tc>
          <w:tcPr>
            <w:tcW w:w="4621" w:type="dxa"/>
          </w:tcPr>
          <w:p w:rsidR="00E2590B" w:rsidRDefault="00E2590B" w:rsidP="00E2590B">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E2590B" w:rsidTr="002D530D">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STPIS</w:t>
            </w:r>
          </w:p>
        </w:tc>
        <w:tc>
          <w:tcPr>
            <w:tcW w:w="4621" w:type="dxa"/>
          </w:tcPr>
          <w:p w:rsidR="00E2590B" w:rsidRDefault="00E2590B" w:rsidP="00E2590B">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E2590B"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TNSP</w:t>
            </w:r>
          </w:p>
        </w:tc>
        <w:tc>
          <w:tcPr>
            <w:tcW w:w="4621" w:type="dxa"/>
          </w:tcPr>
          <w:p w:rsidR="00E2590B" w:rsidRDefault="00E2590B" w:rsidP="00E2590B">
            <w:pPr>
              <w:pStyle w:val="AERbodytext"/>
              <w:cnfStyle w:val="000000010000" w:firstRow="0" w:lastRow="0" w:firstColumn="0" w:lastColumn="0" w:oddVBand="0" w:evenVBand="0" w:oddHBand="0" w:evenHBand="1" w:firstRowFirstColumn="0" w:firstRowLastColumn="0" w:lastRowFirstColumn="0" w:lastRowLastColumn="0"/>
            </w:pPr>
            <w:r>
              <w:t>transmission network service provider</w:t>
            </w:r>
          </w:p>
        </w:tc>
      </w:tr>
      <w:tr w:rsidR="00E2590B" w:rsidTr="002D530D">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TUoS</w:t>
            </w:r>
          </w:p>
        </w:tc>
        <w:tc>
          <w:tcPr>
            <w:tcW w:w="4621" w:type="dxa"/>
          </w:tcPr>
          <w:p w:rsidR="00E2590B" w:rsidRDefault="00E2590B" w:rsidP="00E2590B">
            <w:pPr>
              <w:pStyle w:val="AERbodytext"/>
              <w:cnfStyle w:val="000000000000" w:firstRow="0" w:lastRow="0" w:firstColumn="0" w:lastColumn="0" w:oddVBand="0" w:evenVBand="0" w:oddHBand="0" w:evenHBand="0" w:firstRowFirstColumn="0" w:firstRowLastColumn="0" w:lastRowFirstColumn="0" w:lastRowLastColumn="0"/>
            </w:pPr>
            <w:r>
              <w:t>transmission use of system</w:t>
            </w:r>
          </w:p>
        </w:tc>
      </w:tr>
      <w:tr w:rsidR="00E2590B"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version one of the EBSS</w:t>
            </w:r>
          </w:p>
        </w:tc>
        <w:tc>
          <w:tcPr>
            <w:tcW w:w="4621" w:type="dxa"/>
          </w:tcPr>
          <w:p w:rsidR="00E2590B" w:rsidRDefault="00E2590B" w:rsidP="00E2590B">
            <w:pPr>
              <w:pStyle w:val="AERbodytext"/>
              <w:cnfStyle w:val="000000010000" w:firstRow="0" w:lastRow="0" w:firstColumn="0" w:lastColumn="0" w:oddVBand="0" w:evenVBand="0" w:oddHBand="0" w:evenHBand="1" w:firstRowFirstColumn="0" w:firstRowLastColumn="0" w:lastRowFirstColumn="0" w:lastRowLastColumn="0"/>
            </w:pPr>
            <w:r>
              <w:t xml:space="preserve">AER, </w:t>
            </w:r>
            <w:r w:rsidRPr="00135689">
              <w:rPr>
                <w:rStyle w:val="AERtextitalic"/>
              </w:rPr>
              <w:t>Electricity transmission network service providers: Efficiency benefit sharing scheme</w:t>
            </w:r>
            <w:r>
              <w:t>, September 2007</w:t>
            </w:r>
          </w:p>
        </w:tc>
      </w:tr>
      <w:tr w:rsidR="00E2590B" w:rsidTr="002D530D">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t>version two of the EBSS</w:t>
            </w:r>
          </w:p>
        </w:tc>
        <w:tc>
          <w:tcPr>
            <w:tcW w:w="4621" w:type="dxa"/>
          </w:tcPr>
          <w:p w:rsidR="00E2590B" w:rsidRDefault="00E2590B" w:rsidP="00E2590B">
            <w:pPr>
              <w:pStyle w:val="AERbodytext"/>
              <w:cnfStyle w:val="000000000000" w:firstRow="0" w:lastRow="0" w:firstColumn="0" w:lastColumn="0" w:oddVBand="0" w:evenVBand="0" w:oddHBand="0" w:evenHBand="0" w:firstRowFirstColumn="0" w:firstRowLastColumn="0" w:lastRowFirstColumn="0" w:lastRowLastColumn="0"/>
            </w:pPr>
            <w:r>
              <w:t xml:space="preserve">AER, </w:t>
            </w:r>
            <w:r w:rsidRPr="00EA74C7">
              <w:rPr>
                <w:rStyle w:val="AERtextitalic"/>
              </w:rPr>
              <w:t>Efficiency benefit sharing scheme for electricity network service providers</w:t>
            </w:r>
            <w:r>
              <w:t>, November 2013</w:t>
            </w:r>
          </w:p>
        </w:tc>
      </w:tr>
      <w:tr w:rsidR="00E2590B"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2590B" w:rsidRDefault="00E2590B" w:rsidP="00E2590B">
            <w:pPr>
              <w:pStyle w:val="AERbodytext"/>
            </w:pPr>
            <w:r>
              <w:lastRenderedPageBreak/>
              <w:t>WACC</w:t>
            </w:r>
          </w:p>
        </w:tc>
        <w:tc>
          <w:tcPr>
            <w:tcW w:w="4621" w:type="dxa"/>
          </w:tcPr>
          <w:p w:rsidR="00E2590B" w:rsidRDefault="00E2590B" w:rsidP="00E2590B">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C1164B" w:rsidRPr="004032C9" w:rsidRDefault="00C1164B" w:rsidP="004032C9">
      <w:pPr>
        <w:pStyle w:val="Heading1"/>
      </w:pPr>
      <w:bookmarkStart w:id="9" w:name="_Toc404752620"/>
      <w:r w:rsidRPr="004032C9">
        <w:lastRenderedPageBreak/>
        <w:t>Negotiated services</w:t>
      </w:r>
      <w:bookmarkEnd w:id="0"/>
      <w:bookmarkEnd w:id="9"/>
    </w:p>
    <w:p w:rsidR="005166D0" w:rsidRPr="00841FE0" w:rsidRDefault="005166D0" w:rsidP="005166D0">
      <w:pPr>
        <w:numPr>
          <w:ilvl w:val="0"/>
          <w:numId w:val="13"/>
        </w:numPr>
      </w:pPr>
      <w:bookmarkStart w:id="10" w:name="_Toc396839262"/>
      <w:r w:rsidRPr="00841FE0">
        <w:t xml:space="preserve">This chapter set outs our determination on </w:t>
      </w:r>
      <w:r>
        <w:t>TasNetworks</w:t>
      </w:r>
      <w:r w:rsidRPr="00841FE0">
        <w:t xml:space="preserve"> negot</w:t>
      </w:r>
      <w:r w:rsidR="00FA7868">
        <w:t>iating framework for the 2015–19</w:t>
      </w:r>
      <w:r w:rsidRPr="00841FE0">
        <w:t xml:space="preserve"> regulatory control period.</w:t>
      </w:r>
      <w:r>
        <w:rPr>
          <w:rStyle w:val="FootnoteReference"/>
        </w:rPr>
        <w:footnoteReference w:id="1"/>
      </w:r>
      <w:r w:rsidRPr="00841FE0">
        <w:t xml:space="preserve"> We also specify the NTSC that are to apply to </w:t>
      </w:r>
      <w:r>
        <w:t>TasNetworks</w:t>
      </w:r>
      <w:r w:rsidRPr="00841FE0">
        <w:t>.</w:t>
      </w:r>
      <w:r>
        <w:rPr>
          <w:rStyle w:val="FootnoteReference"/>
        </w:rPr>
        <w:footnoteReference w:id="2"/>
      </w:r>
      <w:r w:rsidRPr="00841FE0">
        <w:t xml:space="preserve"> </w:t>
      </w:r>
    </w:p>
    <w:p w:rsidR="005166D0" w:rsidRPr="00841FE0" w:rsidRDefault="005166D0" w:rsidP="005166D0">
      <w:r>
        <w:t>In contrast to our regulation of prescribed transmission services</w:t>
      </w:r>
      <w:r w:rsidRPr="00841FE0">
        <w:t xml:space="preserve">, </w:t>
      </w:r>
      <w:r w:rsidR="009D28AA">
        <w:t xml:space="preserve">we regulate less directly </w:t>
      </w:r>
      <w:r w:rsidRPr="00841FE0">
        <w:t>the provision of negotiated transmission services</w:t>
      </w:r>
      <w:r w:rsidR="009D28AA">
        <w:t>.</w:t>
      </w:r>
      <w:r w:rsidRPr="00841FE0">
        <w:t xml:space="preserve"> Instead, under the NER, these services are subject to negotiation between parties, or alternatively arbitration and dispute resolution by a commercial arbitrator. </w:t>
      </w:r>
    </w:p>
    <w:p w:rsidR="00702FCB" w:rsidRDefault="00702FCB" w:rsidP="00702FCB">
      <w:r w:rsidRPr="00841FE0">
        <w:t xml:space="preserve">For the purpose of facilitating such negotiation and arbitration, a </w:t>
      </w:r>
      <w:r>
        <w:t>transmission business</w:t>
      </w:r>
      <w:r w:rsidRPr="00841FE0">
        <w:t xml:space="preserve"> must prepare, for </w:t>
      </w:r>
      <w:r w:rsidR="00AC6AA7">
        <w:t>our</w:t>
      </w:r>
      <w:r w:rsidR="00AC6AA7" w:rsidRPr="00841FE0">
        <w:t xml:space="preserve"> </w:t>
      </w:r>
      <w:r w:rsidRPr="00841FE0">
        <w:t>approval, a negotiating framework which sets out procedures for negotiating the terms and conditions of access to a negotiated transmission service.</w:t>
      </w:r>
      <w:r>
        <w:rPr>
          <w:rStyle w:val="FootnoteReference"/>
        </w:rPr>
        <w:footnoteReference w:id="3"/>
      </w:r>
      <w:r w:rsidRPr="00841FE0">
        <w:t xml:space="preserve"> In addition, </w:t>
      </w:r>
      <w:r w:rsidR="00AC6AA7">
        <w:t>we</w:t>
      </w:r>
      <w:r w:rsidRPr="00841FE0">
        <w:t xml:space="preserve"> </w:t>
      </w:r>
      <w:r w:rsidR="00AC6AA7" w:rsidRPr="00841FE0">
        <w:t>specif</w:t>
      </w:r>
      <w:r w:rsidR="00AC6AA7">
        <w:t>y</w:t>
      </w:r>
      <w:r w:rsidR="00AC6AA7" w:rsidRPr="00841FE0">
        <w:t xml:space="preserve"> </w:t>
      </w:r>
      <w:r w:rsidRPr="00841FE0">
        <w:t xml:space="preserve">for each </w:t>
      </w:r>
      <w:r>
        <w:t xml:space="preserve">transmission business the </w:t>
      </w:r>
      <w:r w:rsidRPr="00841FE0">
        <w:t xml:space="preserve">NTSC that </w:t>
      </w:r>
      <w:r>
        <w:t>it</w:t>
      </w:r>
      <w:r w:rsidRPr="00841FE0">
        <w:t xml:space="preserve"> must apply in negotiating terms and conditions of access, including the prices and access charges for negotiated transmission services.</w:t>
      </w:r>
      <w:r>
        <w:rPr>
          <w:rStyle w:val="FootnoteReference"/>
        </w:rPr>
        <w:footnoteReference w:id="4"/>
      </w:r>
      <w:r w:rsidRPr="00841FE0">
        <w:t xml:space="preserve"> They also contain the criteria that a commercial arbitrator must apply to resolve disputes about such terms and conditions and/or access charges.</w:t>
      </w:r>
      <w:r>
        <w:rPr>
          <w:rStyle w:val="FootnoteReference"/>
        </w:rPr>
        <w:footnoteReference w:id="5"/>
      </w:r>
      <w:r w:rsidRPr="00841FE0">
        <w:t xml:space="preserve"> </w:t>
      </w:r>
    </w:p>
    <w:p w:rsidR="00C1164B" w:rsidRDefault="00C1164B" w:rsidP="00C1164B">
      <w:pPr>
        <w:pStyle w:val="Heading2"/>
      </w:pPr>
      <w:bookmarkStart w:id="11" w:name="_Toc404752621"/>
      <w:r w:rsidRPr="00B47945">
        <w:t>Draft decision</w:t>
      </w:r>
      <w:bookmarkEnd w:id="10"/>
      <w:bookmarkEnd w:id="11"/>
    </w:p>
    <w:p w:rsidR="005166D0" w:rsidRDefault="005166D0" w:rsidP="005166D0">
      <w:pPr>
        <w:pStyle w:val="AERbodytext"/>
      </w:pPr>
      <w:r w:rsidRPr="00466A14">
        <w:t xml:space="preserve">We approve </w:t>
      </w:r>
      <w:r>
        <w:t>TasNetworks</w:t>
      </w:r>
      <w:r w:rsidRPr="00466A14">
        <w:t xml:space="preserve"> proposed n</w:t>
      </w:r>
      <w:r w:rsidR="00702FCB">
        <w:t>egotiating framework.</w:t>
      </w:r>
    </w:p>
    <w:p w:rsidR="00C1164B" w:rsidRPr="00352762" w:rsidRDefault="005166D0" w:rsidP="005166D0">
      <w:pPr>
        <w:pStyle w:val="AERbodytext"/>
      </w:pPr>
      <w:r>
        <w:t>We will apply to TasNetworks the NTSC we published in May 2014.</w:t>
      </w:r>
      <w:r>
        <w:rPr>
          <w:rStyle w:val="FootnoteReference"/>
        </w:rPr>
        <w:footnoteReference w:id="6"/>
      </w:r>
      <w:r>
        <w:t xml:space="preserve"> </w:t>
      </w:r>
      <w:r w:rsidR="00FA3753">
        <w:t xml:space="preserve">   </w:t>
      </w:r>
    </w:p>
    <w:p w:rsidR="00C1164B" w:rsidRDefault="00FA3753" w:rsidP="00C1164B">
      <w:pPr>
        <w:pStyle w:val="Heading2"/>
      </w:pPr>
      <w:bookmarkStart w:id="12" w:name="_Toc396839263"/>
      <w:bookmarkStart w:id="13" w:name="_Toc404752622"/>
      <w:r>
        <w:t>TasNetworks'</w:t>
      </w:r>
      <w:r w:rsidR="00C1164B">
        <w:t xml:space="preserve"> proposal</w:t>
      </w:r>
      <w:bookmarkEnd w:id="12"/>
      <w:bookmarkEnd w:id="13"/>
    </w:p>
    <w:p w:rsidR="00FA3753" w:rsidRPr="00FA3753" w:rsidRDefault="00FA3753" w:rsidP="00FA3753">
      <w:pPr>
        <w:pStyle w:val="AERbodytext"/>
        <w:numPr>
          <w:ilvl w:val="0"/>
          <w:numId w:val="0"/>
        </w:numPr>
      </w:pPr>
      <w:bookmarkStart w:id="14" w:name="_Toc396839264"/>
      <w:r>
        <w:t>TasNetworks</w:t>
      </w:r>
      <w:r w:rsidRPr="00FA3753">
        <w:t xml:space="preserve"> stated that its proposed negotiating framework should be approved because it has been prepared in accordance with its obligations under clause 6A.9.5 of the NER.  Those obligations relate to the procedures for negotiating the terms and conditions of access to a n</w:t>
      </w:r>
      <w:r>
        <w:t>egotiated transmission service.</w:t>
      </w:r>
    </w:p>
    <w:p w:rsidR="00C1164B" w:rsidRDefault="00C1164B" w:rsidP="00C1164B">
      <w:pPr>
        <w:pStyle w:val="Heading2"/>
      </w:pPr>
      <w:bookmarkStart w:id="15" w:name="_Toc404752623"/>
      <w:r w:rsidRPr="00B47945">
        <w:t>AER's assessment approach</w:t>
      </w:r>
      <w:bookmarkEnd w:id="14"/>
      <w:bookmarkEnd w:id="15"/>
    </w:p>
    <w:p w:rsidR="005166D0" w:rsidRPr="005166D0" w:rsidRDefault="005166D0" w:rsidP="005166D0">
      <w:pPr>
        <w:pStyle w:val="AERbulletlistfirststyle"/>
        <w:numPr>
          <w:ilvl w:val="0"/>
          <w:numId w:val="0"/>
        </w:numPr>
        <w:ind w:left="357" w:hanging="357"/>
      </w:pPr>
      <w:r>
        <w:t>In reaching our draft decision, we</w:t>
      </w:r>
      <w:r w:rsidRPr="005166D0">
        <w:t xml:space="preserve"> considered whether:</w:t>
      </w:r>
    </w:p>
    <w:p w:rsidR="005166D0" w:rsidRPr="00E00493" w:rsidRDefault="005166D0" w:rsidP="005166D0">
      <w:pPr>
        <w:pStyle w:val="AERbulletlistfirststyle"/>
      </w:pPr>
      <w:r w:rsidRPr="00E00493">
        <w:t>the proposed negotiating framework specified the minimum requirements in clause 6A.9.5(c) of the NER</w:t>
      </w:r>
      <w:r w:rsidRPr="00E00493">
        <w:rPr>
          <w:rStyle w:val="FootnoteReference"/>
        </w:rPr>
        <w:footnoteReference w:id="7"/>
      </w:r>
      <w:r w:rsidRPr="00E00493">
        <w:t xml:space="preserve"> </w:t>
      </w:r>
    </w:p>
    <w:p w:rsidR="005166D0" w:rsidRPr="00352762" w:rsidRDefault="005166D0" w:rsidP="005166D0">
      <w:pPr>
        <w:pStyle w:val="AERbulletlistfirststyle"/>
      </w:pPr>
      <w:r w:rsidRPr="00E00493">
        <w:t>the NTSC sets out the required criteria and reflects the negotiated transmission service principles in clause 6A.9.1 of the NER</w:t>
      </w:r>
      <w:r w:rsidRPr="00E00493">
        <w:rPr>
          <w:rStyle w:val="FootnoteReference"/>
        </w:rPr>
        <w:footnoteReference w:id="8"/>
      </w:r>
    </w:p>
    <w:p w:rsidR="00C1164B" w:rsidRDefault="00C1164B" w:rsidP="00C1164B">
      <w:pPr>
        <w:pStyle w:val="Heading2"/>
      </w:pPr>
      <w:bookmarkStart w:id="16" w:name="_Toc396839266"/>
      <w:bookmarkStart w:id="17" w:name="_Toc404752624"/>
      <w:r w:rsidRPr="00B47945">
        <w:lastRenderedPageBreak/>
        <w:t>Reasons for draft decision</w:t>
      </w:r>
      <w:bookmarkEnd w:id="16"/>
      <w:bookmarkEnd w:id="17"/>
    </w:p>
    <w:p w:rsidR="00FA3753" w:rsidRDefault="00FA3753" w:rsidP="00FA3753">
      <w:pPr>
        <w:pStyle w:val="AERbodytext"/>
      </w:pPr>
      <w:r w:rsidRPr="007318BF">
        <w:t xml:space="preserve">We approve </w:t>
      </w:r>
      <w:r>
        <w:t>TasNetworks</w:t>
      </w:r>
      <w:r w:rsidRPr="007318BF">
        <w:t xml:space="preserve"> proposed negotiating framework because it specifies the minimum requirements in the NER.</w:t>
      </w:r>
      <w:r>
        <w:rPr>
          <w:rStyle w:val="FootnoteReference"/>
        </w:rPr>
        <w:footnoteReference w:id="9"/>
      </w:r>
      <w:r w:rsidRPr="007318BF">
        <w:t xml:space="preserve">  Those requirements include, among other things, a statement that </w:t>
      </w:r>
      <w:r>
        <w:t xml:space="preserve">TasNetworks </w:t>
      </w:r>
      <w:r w:rsidRPr="007318BF">
        <w:t>will negotiate in good faith and a description of procedures for dealing with disputes.</w:t>
      </w:r>
    </w:p>
    <w:p w:rsidR="00FA3753" w:rsidRPr="007318BF" w:rsidRDefault="00FA3753" w:rsidP="00FA3753">
      <w:pPr>
        <w:pStyle w:val="AERbodytext"/>
      </w:pPr>
      <w:r>
        <w:rPr>
          <w:rStyle w:val="AERbody"/>
        </w:rPr>
        <w:fldChar w:fldCharType="begin"/>
      </w:r>
      <w:r>
        <w:rPr>
          <w:rStyle w:val="AERbody"/>
        </w:rPr>
        <w:instrText xml:space="preserve"> REF _Ref397608394 \h </w:instrText>
      </w:r>
      <w:r>
        <w:rPr>
          <w:rStyle w:val="AERbody"/>
        </w:rPr>
      </w:r>
      <w:r>
        <w:rPr>
          <w:rStyle w:val="AERbody"/>
        </w:rPr>
        <w:fldChar w:fldCharType="separate"/>
      </w:r>
      <w:r w:rsidR="00A12023">
        <w:t xml:space="preserve">Table </w:t>
      </w:r>
      <w:r w:rsidR="00A12023">
        <w:rPr>
          <w:noProof/>
        </w:rPr>
        <w:t>14</w:t>
      </w:r>
      <w:r w:rsidR="00A12023">
        <w:t>.</w:t>
      </w:r>
      <w:r w:rsidR="00A12023">
        <w:rPr>
          <w:noProof/>
        </w:rPr>
        <w:t>1</w:t>
      </w:r>
      <w:r>
        <w:rPr>
          <w:rStyle w:val="AERbody"/>
        </w:rPr>
        <w:fldChar w:fldCharType="end"/>
      </w:r>
      <w:r>
        <w:rPr>
          <w:rStyle w:val="AERbody"/>
        </w:rPr>
        <w:t xml:space="preserve"> </w:t>
      </w:r>
      <w:r w:rsidRPr="00CF4568">
        <w:rPr>
          <w:rStyle w:val="AERbody"/>
        </w:rPr>
        <w:t>s</w:t>
      </w:r>
      <w:r>
        <w:t xml:space="preserve">ummarises </w:t>
      </w:r>
      <w:r w:rsidRPr="007318BF">
        <w:t xml:space="preserve">our findings on </w:t>
      </w:r>
      <w:r>
        <w:t xml:space="preserve">TasNetworks </w:t>
      </w:r>
      <w:r w:rsidRPr="007318BF">
        <w:t>proposed negotiating framework. It shows that each of the requirements under the NER for a negotiating framework is satisfactorily addressed.</w:t>
      </w:r>
    </w:p>
    <w:p w:rsidR="00FA3753" w:rsidRPr="00ED09CD" w:rsidRDefault="00FA3753" w:rsidP="00FA3753">
      <w:pPr>
        <w:pStyle w:val="Caption"/>
      </w:pPr>
      <w:bookmarkStart w:id="18" w:name="_Ref397608394"/>
      <w:r>
        <w:t xml:space="preserve">Table </w:t>
      </w:r>
      <w:fldSimple w:instr=" STYLEREF 1 \s ">
        <w:r w:rsidR="00A12023">
          <w:rPr>
            <w:noProof/>
          </w:rPr>
          <w:t>14</w:t>
        </w:r>
      </w:fldSimple>
      <w:r>
        <w:t>.</w:t>
      </w:r>
      <w:fldSimple w:instr=" SEQ Table \* ARABIC \s 1 ">
        <w:r w:rsidR="00A12023">
          <w:rPr>
            <w:noProof/>
          </w:rPr>
          <w:t>1</w:t>
        </w:r>
      </w:fldSimple>
      <w:bookmarkEnd w:id="18"/>
      <w:r>
        <w:tab/>
        <w:t>AER's assessment of TasNetworks proposed negotiating framework</w:t>
      </w:r>
    </w:p>
    <w:tbl>
      <w:tblPr>
        <w:tblStyle w:val="AERtable-text"/>
        <w:tblW w:w="0" w:type="auto"/>
        <w:tblLook w:val="04A0" w:firstRow="1" w:lastRow="0" w:firstColumn="1" w:lastColumn="0" w:noHBand="0" w:noVBand="1"/>
      </w:tblPr>
      <w:tblGrid>
        <w:gridCol w:w="4621"/>
        <w:gridCol w:w="4621"/>
      </w:tblGrid>
      <w:tr w:rsidR="00FA3753" w:rsidTr="004032C9">
        <w:trPr>
          <w:cnfStyle w:val="100000000000" w:firstRow="1" w:lastRow="0" w:firstColumn="0" w:lastColumn="0" w:oddVBand="0" w:evenVBand="0" w:oddHBand="0" w:evenHBand="0" w:firstRowFirstColumn="0" w:firstRowLastColumn="0" w:lastRowFirstColumn="0" w:lastRowLastColumn="0"/>
          <w:tblHeader/>
        </w:trPr>
        <w:tc>
          <w:tcPr>
            <w:tcW w:w="4621" w:type="dxa"/>
          </w:tcPr>
          <w:p w:rsidR="00FA3753" w:rsidRPr="00FA3753" w:rsidRDefault="00FA3753" w:rsidP="00FA3753">
            <w:pPr>
              <w:pStyle w:val="AERbodytext"/>
            </w:pPr>
            <w:r>
              <w:t>NER requirements</w:t>
            </w:r>
          </w:p>
        </w:tc>
        <w:tc>
          <w:tcPr>
            <w:tcW w:w="4621" w:type="dxa"/>
          </w:tcPr>
          <w:p w:rsidR="00FA3753" w:rsidRPr="00FA3753" w:rsidRDefault="00FA3753" w:rsidP="00FA3753">
            <w:pPr>
              <w:pStyle w:val="AERbodytext"/>
            </w:pPr>
            <w:r>
              <w:t>AER assessment</w:t>
            </w:r>
          </w:p>
        </w:tc>
      </w:tr>
      <w:tr w:rsidR="00FA3753" w:rsidTr="00341FFE">
        <w:tc>
          <w:tcPr>
            <w:tcW w:w="4621" w:type="dxa"/>
          </w:tcPr>
          <w:p w:rsidR="00FA3753" w:rsidRPr="00FA3753" w:rsidRDefault="00FA3753" w:rsidP="00FA3753">
            <w:pPr>
              <w:pStyle w:val="AERbodytext"/>
            </w:pPr>
            <w:r w:rsidRPr="007318BF">
              <w:t xml:space="preserve">Requirement for </w:t>
            </w:r>
            <w:r>
              <w:t>TasNetworks</w:t>
            </w:r>
            <w:r w:rsidRPr="00FA3753">
              <w:t xml:space="preserve"> and the applicant of a negotiated transmission service to negotiate in good faith—clause 6A.9.5(c)(1)</w:t>
            </w:r>
          </w:p>
        </w:tc>
        <w:tc>
          <w:tcPr>
            <w:tcW w:w="4621" w:type="dxa"/>
          </w:tcPr>
          <w:p w:rsidR="00FA3753" w:rsidRPr="00FA3753" w:rsidRDefault="00FA3753" w:rsidP="00FA3753">
            <w:pPr>
              <w:pStyle w:val="AERbodytext"/>
            </w:pPr>
            <w:r>
              <w:t>Section 4 of TasNetworks</w:t>
            </w:r>
            <w:r w:rsidRPr="00FA3753">
              <w:t>' proposed negotiating framework satisfies this requirement.</w:t>
            </w:r>
          </w:p>
        </w:tc>
      </w:tr>
      <w:tr w:rsidR="00FA3753" w:rsidTr="00341FFE">
        <w:trPr>
          <w:cnfStyle w:val="000000010000" w:firstRow="0" w:lastRow="0" w:firstColumn="0" w:lastColumn="0" w:oddVBand="0" w:evenVBand="0" w:oddHBand="0" w:evenHBand="1" w:firstRowFirstColumn="0" w:firstRowLastColumn="0" w:lastRowFirstColumn="0" w:lastRowLastColumn="0"/>
        </w:trPr>
        <w:tc>
          <w:tcPr>
            <w:tcW w:w="4621" w:type="dxa"/>
          </w:tcPr>
          <w:p w:rsidR="00FA3753" w:rsidRPr="00FA3753" w:rsidRDefault="00FA3753" w:rsidP="00FA3753">
            <w:pPr>
              <w:pStyle w:val="AERbodytext"/>
            </w:pPr>
            <w:r w:rsidRPr="007318BF">
              <w:t xml:space="preserve">Requirement for </w:t>
            </w:r>
            <w:r>
              <w:t>TasNetworks</w:t>
            </w:r>
            <w:r w:rsidRPr="00FA3753">
              <w:t xml:space="preserve"> to provide all such commercial information reasonably required to enable the applicant of a negotiated transmission service to engage in effective negotiations—clause 6A.9.5(c)(2)</w:t>
            </w:r>
          </w:p>
        </w:tc>
        <w:tc>
          <w:tcPr>
            <w:tcW w:w="4621" w:type="dxa"/>
          </w:tcPr>
          <w:p w:rsidR="00FA3753" w:rsidRPr="00FA3753" w:rsidRDefault="00FA3753" w:rsidP="00FA3753">
            <w:pPr>
              <w:pStyle w:val="AERbodytext"/>
            </w:pPr>
            <w:r>
              <w:t>Section 7 of TasNetworks</w:t>
            </w:r>
            <w:r w:rsidRPr="00FA3753">
              <w:t>' proposed negotiating framework satisfies this requirement.</w:t>
            </w:r>
          </w:p>
        </w:tc>
      </w:tr>
      <w:tr w:rsidR="00FA3753" w:rsidTr="00341FFE">
        <w:tc>
          <w:tcPr>
            <w:tcW w:w="4621" w:type="dxa"/>
          </w:tcPr>
          <w:p w:rsidR="00FA3753" w:rsidRPr="00FA3753" w:rsidRDefault="00FA3753" w:rsidP="00FA3753">
            <w:pPr>
              <w:pStyle w:val="AERbodytext"/>
            </w:pPr>
            <w:r w:rsidRPr="007318BF">
              <w:t xml:space="preserve">Requirement for </w:t>
            </w:r>
            <w:r>
              <w:t>TasNetworks</w:t>
            </w:r>
            <w:r w:rsidRPr="00FA3753">
              <w:t xml:space="preserve"> to identify and inform the negotiated transmission service applicant of the reasonable costs of providing the negotiated service; and demonstrate that charges reflect costs—clause 6A.9.5(c)(3)</w:t>
            </w:r>
          </w:p>
        </w:tc>
        <w:tc>
          <w:tcPr>
            <w:tcW w:w="4621" w:type="dxa"/>
          </w:tcPr>
          <w:p w:rsidR="00FA3753" w:rsidRPr="00FA3753" w:rsidRDefault="00FA3753" w:rsidP="00FA3753">
            <w:pPr>
              <w:pStyle w:val="AERbodytext"/>
            </w:pPr>
            <w:r>
              <w:t>Section 8 of TasNetworks</w:t>
            </w:r>
            <w:r w:rsidRPr="00FA3753">
              <w:t>' proposed negotiating framework satisfies this requirement.</w:t>
            </w:r>
          </w:p>
        </w:tc>
      </w:tr>
      <w:tr w:rsidR="00FA3753" w:rsidTr="00341FFE">
        <w:trPr>
          <w:cnfStyle w:val="000000010000" w:firstRow="0" w:lastRow="0" w:firstColumn="0" w:lastColumn="0" w:oddVBand="0" w:evenVBand="0" w:oddHBand="0" w:evenHBand="1" w:firstRowFirstColumn="0" w:firstRowLastColumn="0" w:lastRowFirstColumn="0" w:lastRowLastColumn="0"/>
        </w:trPr>
        <w:tc>
          <w:tcPr>
            <w:tcW w:w="4621" w:type="dxa"/>
          </w:tcPr>
          <w:p w:rsidR="00FA3753" w:rsidRPr="00FA3753" w:rsidRDefault="00FA3753" w:rsidP="00FA3753">
            <w:pPr>
              <w:pStyle w:val="AERbodytext"/>
            </w:pPr>
            <w:r w:rsidRPr="007318BF">
              <w:t xml:space="preserve">Requirement for a negotiated transmission service applicant to provide all such commercial information reasonably required to enable </w:t>
            </w:r>
            <w:r>
              <w:t>TasNetworks</w:t>
            </w:r>
            <w:r w:rsidRPr="00FA3753">
              <w:t xml:space="preserve"> to engage in effective negotiation—clause 6A.9.5(c)(4)</w:t>
            </w:r>
          </w:p>
        </w:tc>
        <w:tc>
          <w:tcPr>
            <w:tcW w:w="4621" w:type="dxa"/>
          </w:tcPr>
          <w:p w:rsidR="00FA3753" w:rsidRPr="00FA3753" w:rsidRDefault="00FA3753" w:rsidP="00FA3753">
            <w:pPr>
              <w:pStyle w:val="AERbodytext"/>
            </w:pPr>
            <w:r>
              <w:t>Section 9 of TasNetworks</w:t>
            </w:r>
            <w:r w:rsidRPr="00FA3753">
              <w:t>' proposed negotiating framework satisfies this requirement.</w:t>
            </w:r>
          </w:p>
        </w:tc>
      </w:tr>
      <w:tr w:rsidR="00FA3753" w:rsidTr="00341FFE">
        <w:tc>
          <w:tcPr>
            <w:tcW w:w="4621" w:type="dxa"/>
          </w:tcPr>
          <w:p w:rsidR="00FA3753" w:rsidRPr="00FA3753" w:rsidRDefault="00FA3753" w:rsidP="00FA3753">
            <w:pPr>
              <w:pStyle w:val="AERbodytext"/>
            </w:pPr>
            <w:r w:rsidRPr="007318BF">
              <w:t>Requirement to specify a reasonable period of time for commencing, progressing and finalising negotiations; and a requirement for each party to use their reasonable endeavours to adhere to those time periods during the negotiation—clause 6A.9.5(c)(5)</w:t>
            </w:r>
          </w:p>
        </w:tc>
        <w:tc>
          <w:tcPr>
            <w:tcW w:w="4621" w:type="dxa"/>
          </w:tcPr>
          <w:p w:rsidR="00FA3753" w:rsidRPr="00FA3753" w:rsidRDefault="00FA3753" w:rsidP="00FA3753">
            <w:pPr>
              <w:pStyle w:val="AERbodytext"/>
            </w:pPr>
            <w:r>
              <w:t>Sections 10, 10.1, and 10.2 of TasNetworks</w:t>
            </w:r>
            <w:r w:rsidRPr="00FA3753">
              <w:t>' proposed negotiating framework satisfy this requirement.</w:t>
            </w:r>
          </w:p>
        </w:tc>
      </w:tr>
      <w:tr w:rsidR="00FA3753" w:rsidTr="00341FFE">
        <w:trPr>
          <w:cnfStyle w:val="000000010000" w:firstRow="0" w:lastRow="0" w:firstColumn="0" w:lastColumn="0" w:oddVBand="0" w:evenVBand="0" w:oddHBand="0" w:evenHBand="1" w:firstRowFirstColumn="0" w:firstRowLastColumn="0" w:lastRowFirstColumn="0" w:lastRowLastColumn="0"/>
        </w:trPr>
        <w:tc>
          <w:tcPr>
            <w:tcW w:w="4621" w:type="dxa"/>
          </w:tcPr>
          <w:p w:rsidR="00FA3753" w:rsidRPr="00FA3753" w:rsidRDefault="00FA3753" w:rsidP="00FA3753">
            <w:pPr>
              <w:pStyle w:val="AERbodytext"/>
            </w:pPr>
            <w:r w:rsidRPr="007318BF">
              <w:t>Requirement to specify a process for disputes to be dealt with in accordance with the relevant provisions for dispute resolution —clause 6A.9.5(c)(6)</w:t>
            </w:r>
          </w:p>
        </w:tc>
        <w:tc>
          <w:tcPr>
            <w:tcW w:w="4621" w:type="dxa"/>
          </w:tcPr>
          <w:p w:rsidR="00FA3753" w:rsidRPr="00FA3753" w:rsidRDefault="00FA3753" w:rsidP="00FA3753">
            <w:pPr>
              <w:pStyle w:val="AERbodytext"/>
            </w:pPr>
            <w:r>
              <w:t>Section 11 of TasNetworks</w:t>
            </w:r>
            <w:r w:rsidRPr="00FA3753">
              <w:t>' proposed negotiating framework satisfies this requirement.</w:t>
            </w:r>
          </w:p>
        </w:tc>
      </w:tr>
      <w:tr w:rsidR="00FA3753" w:rsidTr="00341FFE">
        <w:tc>
          <w:tcPr>
            <w:tcW w:w="4621" w:type="dxa"/>
          </w:tcPr>
          <w:p w:rsidR="00FA3753" w:rsidRPr="00FA3753" w:rsidRDefault="00FA3753" w:rsidP="00FA3753">
            <w:pPr>
              <w:pStyle w:val="AERbodytext"/>
            </w:pPr>
            <w:r w:rsidRPr="007318BF">
              <w:t xml:space="preserve">Requirement to specify arrangements for the payment of </w:t>
            </w:r>
            <w:proofErr w:type="spellStart"/>
            <w:r>
              <w:t>TasNetworks</w:t>
            </w:r>
            <w:r w:rsidRPr="00FA3753">
              <w:t>’s</w:t>
            </w:r>
            <w:proofErr w:type="spellEnd"/>
            <w:r w:rsidRPr="00FA3753">
              <w:t xml:space="preserve"> reasonable direct expenses incurred in processing the application to provide the negotiated transmission service—clause 6A.9.5(c)(7)</w:t>
            </w:r>
          </w:p>
        </w:tc>
        <w:tc>
          <w:tcPr>
            <w:tcW w:w="4621" w:type="dxa"/>
          </w:tcPr>
          <w:p w:rsidR="00FA3753" w:rsidRPr="00FA3753" w:rsidRDefault="00FA3753" w:rsidP="00FA3753">
            <w:pPr>
              <w:pStyle w:val="AERbodytext"/>
            </w:pPr>
            <w:r>
              <w:t>Section 13 of TasNetworks</w:t>
            </w:r>
            <w:r w:rsidRPr="00FA3753">
              <w:t>' proposed negotiating framework satisfies this requirement.</w:t>
            </w:r>
          </w:p>
        </w:tc>
      </w:tr>
      <w:tr w:rsidR="00FA3753" w:rsidTr="00341FFE">
        <w:trPr>
          <w:cnfStyle w:val="000000010000" w:firstRow="0" w:lastRow="0" w:firstColumn="0" w:lastColumn="0" w:oddVBand="0" w:evenVBand="0" w:oddHBand="0" w:evenHBand="1" w:firstRowFirstColumn="0" w:firstRowLastColumn="0" w:lastRowFirstColumn="0" w:lastRowLastColumn="0"/>
        </w:trPr>
        <w:tc>
          <w:tcPr>
            <w:tcW w:w="4621" w:type="dxa"/>
          </w:tcPr>
          <w:p w:rsidR="00FA3753" w:rsidRPr="00FA3753" w:rsidRDefault="00FA3753" w:rsidP="00FA3753">
            <w:pPr>
              <w:pStyle w:val="AERbodytext"/>
            </w:pPr>
            <w:r w:rsidRPr="007318BF">
              <w:t xml:space="preserve">Requirement for </w:t>
            </w:r>
            <w:r>
              <w:t>TasNetworks</w:t>
            </w:r>
            <w:r w:rsidRPr="00FA3753">
              <w:t xml:space="preserve"> to determine the potential impact of the provision of a negotiated transmission service on other network users—clause 6A.9.5(c)(8)</w:t>
            </w:r>
          </w:p>
        </w:tc>
        <w:tc>
          <w:tcPr>
            <w:tcW w:w="4621" w:type="dxa"/>
          </w:tcPr>
          <w:p w:rsidR="00FA3753" w:rsidRPr="00FA3753" w:rsidRDefault="00FA3753" w:rsidP="00FA3753">
            <w:pPr>
              <w:pStyle w:val="AERbodytext"/>
            </w:pPr>
            <w:r>
              <w:t>Section 14 of TasNetworks</w:t>
            </w:r>
            <w:r w:rsidRPr="00FA3753">
              <w:t>' proposed negotiating framework satisfies this requirement.</w:t>
            </w:r>
          </w:p>
        </w:tc>
      </w:tr>
      <w:tr w:rsidR="00FA3753" w:rsidTr="00341FFE">
        <w:tc>
          <w:tcPr>
            <w:tcW w:w="4621" w:type="dxa"/>
          </w:tcPr>
          <w:p w:rsidR="00FA3753" w:rsidRPr="00FA3753" w:rsidRDefault="00FA3753" w:rsidP="00FA3753">
            <w:pPr>
              <w:pStyle w:val="AERbodytext"/>
            </w:pPr>
            <w:r w:rsidRPr="007318BF">
              <w:t xml:space="preserve">Requirement for </w:t>
            </w:r>
            <w:r>
              <w:t>TasNetworks</w:t>
            </w:r>
            <w:r w:rsidRPr="00FA3753">
              <w:t xml:space="preserve"> to notify and consult with any </w:t>
            </w:r>
            <w:r w:rsidRPr="00FA3753">
              <w:lastRenderedPageBreak/>
              <w:t>affected network user and ensure the negotiated transmission service does not result in noncompliance with obligations in relation to other network users under the NER—clause 6A.9.5(c)(9)</w:t>
            </w:r>
          </w:p>
        </w:tc>
        <w:tc>
          <w:tcPr>
            <w:tcW w:w="4621" w:type="dxa"/>
          </w:tcPr>
          <w:p w:rsidR="00FA3753" w:rsidRPr="00FA3753" w:rsidRDefault="00FA3753" w:rsidP="00FA3753">
            <w:pPr>
              <w:pStyle w:val="AERbodytext"/>
            </w:pPr>
            <w:r>
              <w:lastRenderedPageBreak/>
              <w:t>Section 14 of TasNetworks</w:t>
            </w:r>
            <w:r w:rsidRPr="00FA3753">
              <w:t xml:space="preserve">' proposed negotiating framework </w:t>
            </w:r>
            <w:r w:rsidRPr="00FA3753">
              <w:lastRenderedPageBreak/>
              <w:t>satisfies this requirement.</w:t>
            </w:r>
          </w:p>
        </w:tc>
      </w:tr>
    </w:tbl>
    <w:p w:rsidR="00FA3753" w:rsidRDefault="00FA3753" w:rsidP="00FA3753">
      <w:pPr>
        <w:pStyle w:val="AERbodytext"/>
      </w:pPr>
    </w:p>
    <w:p w:rsidR="00FA3753" w:rsidRDefault="00FA3753" w:rsidP="00FA3753">
      <w:pPr>
        <w:pStyle w:val="Heading2"/>
      </w:pPr>
      <w:bookmarkStart w:id="19" w:name="_Toc404752625"/>
      <w:r>
        <w:t>Negotiated transmission service criteria</w:t>
      </w:r>
      <w:bookmarkEnd w:id="19"/>
    </w:p>
    <w:p w:rsidR="005166D0" w:rsidRPr="005166D0" w:rsidRDefault="006B46F9" w:rsidP="005166D0">
      <w:pPr>
        <w:pStyle w:val="AERbulletlistfirststyle"/>
        <w:numPr>
          <w:ilvl w:val="0"/>
          <w:numId w:val="0"/>
        </w:numPr>
      </w:pPr>
      <w:bookmarkStart w:id="20" w:name="_Ref397444949"/>
      <w:r>
        <w:t xml:space="preserve">We </w:t>
      </w:r>
      <w:r w:rsidR="005166D0">
        <w:t>have set out</w:t>
      </w:r>
      <w:r w:rsidR="005166D0" w:rsidRPr="005166D0">
        <w:t xml:space="preserve"> </w:t>
      </w:r>
      <w:r>
        <w:t xml:space="preserve">below </w:t>
      </w:r>
      <w:r w:rsidR="005166D0" w:rsidRPr="005166D0">
        <w:t xml:space="preserve">the NTSC </w:t>
      </w:r>
      <w:r>
        <w:t xml:space="preserve">we </w:t>
      </w:r>
      <w:r w:rsidR="005166D0" w:rsidRPr="005166D0">
        <w:t>published in June 2014.</w:t>
      </w:r>
      <w:r w:rsidR="005166D0" w:rsidRPr="005166D0">
        <w:rPr>
          <w:rStyle w:val="FootnoteReference"/>
        </w:rPr>
        <w:footnoteReference w:id="10"/>
      </w:r>
      <w:r w:rsidR="005166D0" w:rsidRPr="005166D0">
        <w:t xml:space="preserve"> </w:t>
      </w:r>
      <w:r w:rsidR="00505840">
        <w:t>These</w:t>
      </w:r>
      <w:r w:rsidR="00505840" w:rsidRPr="005166D0">
        <w:t xml:space="preserve"> </w:t>
      </w:r>
      <w:r w:rsidR="005166D0" w:rsidRPr="005166D0">
        <w:t xml:space="preserve">NTSC will apply to </w:t>
      </w:r>
      <w:r w:rsidR="005166D0">
        <w:t>TasNetworks</w:t>
      </w:r>
      <w:r w:rsidR="005166D0" w:rsidRPr="005166D0">
        <w:t xml:space="preserve">. We consider that the NTSC set out the required criteria to be applied by </w:t>
      </w:r>
      <w:r w:rsidR="005166D0">
        <w:t>TasNetworks</w:t>
      </w:r>
      <w:r w:rsidR="005166D0" w:rsidRPr="005166D0">
        <w:t xml:space="preserve"> in negotiating terms and conditions of access for negotiated transmission services and any access charges.  </w:t>
      </w:r>
      <w:r w:rsidR="00505840">
        <w:t>These</w:t>
      </w:r>
      <w:r w:rsidR="00505840" w:rsidRPr="005166D0">
        <w:t xml:space="preserve"> </w:t>
      </w:r>
      <w:r w:rsidR="005166D0" w:rsidRPr="005166D0">
        <w:t>also set out the criteria to be applied by a commercial arbitrator in resolving any dispute in relation to those matters.</w:t>
      </w:r>
      <w:r w:rsidR="005166D0" w:rsidRPr="005166D0">
        <w:rPr>
          <w:rStyle w:val="FootnoteReference"/>
        </w:rPr>
        <w:footnoteReference w:id="11"/>
      </w:r>
      <w:r w:rsidR="005166D0" w:rsidRPr="005166D0">
        <w:t xml:space="preserve"> The NTSC give effect to and are consistent with the Negotiated Transmission Service Principles in clause 6A.9.1 of the NER</w:t>
      </w:r>
      <w:r w:rsidR="005166D0" w:rsidRPr="005166D0">
        <w:rPr>
          <w:rStyle w:val="FootnoteReference"/>
        </w:rPr>
        <w:footnoteReference w:id="12"/>
      </w:r>
    </w:p>
    <w:p w:rsidR="00FA3753" w:rsidRPr="00D0108A" w:rsidRDefault="00FA3753" w:rsidP="005166D0">
      <w:pPr>
        <w:pStyle w:val="HeadingBoldBlue"/>
      </w:pPr>
      <w:r w:rsidRPr="00D0108A">
        <w:t>The NTSC</w:t>
      </w:r>
      <w:bookmarkEnd w:id="20"/>
    </w:p>
    <w:p w:rsidR="00FA3753" w:rsidRPr="005166D0" w:rsidRDefault="00FA3753" w:rsidP="005166D0">
      <w:pPr>
        <w:rPr>
          <w:rStyle w:val="AERtextbold"/>
        </w:rPr>
      </w:pPr>
      <w:r w:rsidRPr="005166D0">
        <w:rPr>
          <w:rStyle w:val="AERtextbold"/>
        </w:rPr>
        <w:t>National Electricity Objective</w:t>
      </w:r>
    </w:p>
    <w:p w:rsidR="00FA3753" w:rsidRDefault="00FA3753" w:rsidP="00FA3753">
      <w:pPr>
        <w:pStyle w:val="AERnumberedlistfirststyle"/>
      </w:pPr>
      <w:r w:rsidRPr="00D0108A">
        <w:t>The terms and conditions of access for a negotiated transmission service, including the price that is to be charged for the provision of that service and any access charges, should promote the achievement of the National Electricity Objective.</w:t>
      </w:r>
    </w:p>
    <w:p w:rsidR="00FA3753" w:rsidRPr="005166D0" w:rsidRDefault="00FA3753" w:rsidP="005166D0">
      <w:pPr>
        <w:rPr>
          <w:rStyle w:val="AERtextbold"/>
        </w:rPr>
      </w:pPr>
      <w:r w:rsidRPr="005166D0">
        <w:rPr>
          <w:rStyle w:val="AERtextbold"/>
        </w:rPr>
        <w:t>Criteria for terms and conditions of access</w:t>
      </w:r>
    </w:p>
    <w:p w:rsidR="00FA3753" w:rsidRPr="005166D0" w:rsidRDefault="00FA3753" w:rsidP="005166D0">
      <w:pPr>
        <w:rPr>
          <w:rStyle w:val="AERtextitalic"/>
        </w:rPr>
      </w:pPr>
      <w:r w:rsidRPr="005166D0">
        <w:rPr>
          <w:rStyle w:val="AERtextitalic"/>
        </w:rPr>
        <w:t>Terms and conditions of access</w:t>
      </w:r>
    </w:p>
    <w:p w:rsidR="00FA3753" w:rsidRPr="00FA3753" w:rsidRDefault="00FA3753" w:rsidP="00FA3753">
      <w:pPr>
        <w:pStyle w:val="AERnumberedlistfirststyle"/>
        <w:numPr>
          <w:ilvl w:val="0"/>
          <w:numId w:val="0"/>
        </w:numPr>
        <w:ind w:left="357" w:hanging="357"/>
      </w:pPr>
      <w:r>
        <w:t>2.</w:t>
      </w:r>
      <w:r>
        <w:tab/>
      </w:r>
      <w:r w:rsidRPr="00FA3753">
        <w:t>The terms and conditions of access for a negotiated transmission service must be fair, reasonable and consistent with the safe and reliable operation of the power system in accordance with the NER.</w:t>
      </w:r>
    </w:p>
    <w:p w:rsidR="00FA3753" w:rsidRPr="00FA3753" w:rsidRDefault="00FA3753" w:rsidP="00FA3753">
      <w:pPr>
        <w:pStyle w:val="AERnumberedlistfirststyle"/>
        <w:numPr>
          <w:ilvl w:val="0"/>
          <w:numId w:val="0"/>
        </w:numPr>
        <w:ind w:left="357" w:hanging="357"/>
      </w:pPr>
      <w:r>
        <w:t xml:space="preserve">3. </w:t>
      </w:r>
      <w:r w:rsidRPr="00FA3753">
        <w:t>The terms and conditions of access for negotiated transmission services, particularly any exclusions and limitations of liability and indemnities, must not be unreasonably onerous. Relevant considerations include the allocation of risk between the TNSP and the other party, the price for the negotiated transmission service and the cost to the TNSP of providing the negotiated service.</w:t>
      </w:r>
    </w:p>
    <w:p w:rsidR="00FA3753" w:rsidRPr="00FA3753" w:rsidRDefault="00FA3753" w:rsidP="00FA3753">
      <w:pPr>
        <w:pStyle w:val="AERnumberedlistfirststyle"/>
        <w:numPr>
          <w:ilvl w:val="0"/>
          <w:numId w:val="0"/>
        </w:numPr>
        <w:ind w:left="357" w:hanging="357"/>
      </w:pPr>
      <w:r>
        <w:t>4.</w:t>
      </w:r>
      <w:r>
        <w:tab/>
      </w:r>
      <w:r w:rsidRPr="00FA3753">
        <w:t>The terms and conditions of access for a negotiated transmission service must take into account the need for the service to be provided in a manner that does not adversely affect the safe and reliable operation of the power system in accordance with the NER.</w:t>
      </w:r>
    </w:p>
    <w:p w:rsidR="00FA3753" w:rsidRPr="005166D0" w:rsidRDefault="00FA3753" w:rsidP="005166D0">
      <w:pPr>
        <w:rPr>
          <w:rStyle w:val="AERtextbold"/>
        </w:rPr>
      </w:pPr>
      <w:r w:rsidRPr="005166D0">
        <w:rPr>
          <w:rStyle w:val="AERtextbold"/>
        </w:rPr>
        <w:t>Price of services</w:t>
      </w:r>
    </w:p>
    <w:p w:rsidR="00FA3753" w:rsidRPr="00FA3753" w:rsidRDefault="00FA3753" w:rsidP="00FA3753">
      <w:pPr>
        <w:pStyle w:val="AERnumberedlistfirststyle"/>
        <w:numPr>
          <w:ilvl w:val="0"/>
          <w:numId w:val="0"/>
        </w:numPr>
        <w:ind w:left="357" w:hanging="357"/>
      </w:pPr>
      <w:r>
        <w:t>5.</w:t>
      </w:r>
      <w:r>
        <w:tab/>
      </w:r>
      <w:r w:rsidRPr="00FA3753">
        <w:t>The price of a negotiated transmission service must reflect the cost that the TNSP has incurred or incurs in providing that service, and must be determined in accordance with the principles and policies set out in the Cost Allocation Methodology.</w:t>
      </w:r>
    </w:p>
    <w:p w:rsidR="00FA3753" w:rsidRPr="00FA3753" w:rsidRDefault="00FA3753" w:rsidP="00FA3753">
      <w:pPr>
        <w:pStyle w:val="AERnumberedlistfirststyle"/>
        <w:numPr>
          <w:ilvl w:val="0"/>
          <w:numId w:val="0"/>
        </w:numPr>
        <w:ind w:left="357" w:hanging="357"/>
      </w:pPr>
      <w:r>
        <w:lastRenderedPageBreak/>
        <w:t>6.</w:t>
      </w:r>
      <w:r>
        <w:tab/>
      </w:r>
      <w:r w:rsidRPr="00FA3753">
        <w:t xml:space="preserve">Subject to criteria 7 and 8, the price for a negotiated transmission service must be at least equal to the avoided cost of providing that service but no more than the cost of providing it on a </w:t>
      </w:r>
      <w:proofErr w:type="spellStart"/>
      <w:r w:rsidRPr="00FA3753">
        <w:t>stand alone</w:t>
      </w:r>
      <w:proofErr w:type="spellEnd"/>
      <w:r w:rsidRPr="00FA3753">
        <w:t xml:space="preserve"> basis.</w:t>
      </w:r>
    </w:p>
    <w:p w:rsidR="00FA3753" w:rsidRPr="00FA3753" w:rsidRDefault="00FA3753" w:rsidP="00FA3753">
      <w:pPr>
        <w:pStyle w:val="AERnumberedlistfirststyle"/>
        <w:numPr>
          <w:ilvl w:val="0"/>
          <w:numId w:val="0"/>
        </w:numPr>
        <w:ind w:left="357" w:hanging="357"/>
      </w:pPr>
      <w:r>
        <w:t>7.</w:t>
      </w:r>
      <w:r>
        <w:tab/>
      </w:r>
      <w:r w:rsidRPr="00FA3753">
        <w:t>If the negotiated transmission service is a shared transmission service that:</w:t>
      </w:r>
    </w:p>
    <w:p w:rsidR="00FA3753" w:rsidRDefault="00FA3753" w:rsidP="00FA3753">
      <w:pPr>
        <w:pStyle w:val="AERnumberedlistsecondstyle"/>
      </w:pPr>
      <w:r w:rsidRPr="00D0108A">
        <w:t>exceeds any network performance requirements which it is required to meet under any relevant electricity legislation; or</w:t>
      </w:r>
    </w:p>
    <w:p w:rsidR="00FA3753" w:rsidRPr="00D0108A" w:rsidRDefault="00FA3753" w:rsidP="00FA3753">
      <w:pPr>
        <w:pStyle w:val="AERnumberedlistsecondstyle"/>
      </w:pPr>
      <w:r w:rsidRPr="00D0108A">
        <w:t>exceeds the network performance requirements set out in schedule 5.1a and 5.1 of the NER</w:t>
      </w:r>
    </w:p>
    <w:p w:rsidR="00FA3753" w:rsidRPr="00FA3753" w:rsidRDefault="00FA3753" w:rsidP="00FA3753">
      <w:pPr>
        <w:pStyle w:val="AERnumberedlistfirststyle"/>
        <w:numPr>
          <w:ilvl w:val="0"/>
          <w:numId w:val="0"/>
        </w:numPr>
        <w:ind w:left="357"/>
      </w:pPr>
      <w:r w:rsidRPr="00D0108A">
        <w:t>then the difference between the price for that service and the price for the shared transmission service which meets network performance requirements must reflect the TNSP's incremental cost of providing that service (as appropriate).</w:t>
      </w:r>
    </w:p>
    <w:p w:rsidR="00FA3753" w:rsidRPr="00FA3753" w:rsidRDefault="00FA3753" w:rsidP="00FA3753">
      <w:pPr>
        <w:pStyle w:val="AERnumberedlistfirststyle"/>
        <w:numPr>
          <w:ilvl w:val="0"/>
          <w:numId w:val="0"/>
        </w:numPr>
        <w:ind w:left="357" w:hanging="357"/>
      </w:pPr>
      <w:r>
        <w:t>8.</w:t>
      </w:r>
      <w:r>
        <w:tab/>
      </w:r>
      <w:r w:rsidRPr="00FA3753">
        <w:t>For shared transmission services, the difference in price between a negotiated transmission service that does not meet or exceed network performance requirements and a service that meets those requirements should reflect the TNSP's avoided costs. Schedule 5.1a and 5.1 of the NER or any relevant electricity legislation must be considered in determining whether any network service performance requirements have not been met or exceeded.</w:t>
      </w:r>
    </w:p>
    <w:p w:rsidR="00FA3753" w:rsidRPr="00FA3753" w:rsidRDefault="00FA3753" w:rsidP="00FA3753">
      <w:pPr>
        <w:pStyle w:val="AERnumberedlistfirststyle"/>
        <w:numPr>
          <w:ilvl w:val="0"/>
          <w:numId w:val="0"/>
        </w:numPr>
        <w:ind w:left="357" w:hanging="357"/>
      </w:pPr>
      <w:r>
        <w:t>9.</w:t>
      </w:r>
      <w:r>
        <w:tab/>
      </w:r>
      <w:r w:rsidRPr="00FA3753">
        <w:t>The price for a negotiated transmission service must be the same for all Transmission Network Users. The exception is if there is a material difference in the costs of providing the negotiated transmission service to different Transmission Network Users or classes of Transmission Network Users.</w:t>
      </w:r>
    </w:p>
    <w:p w:rsidR="00FA3753" w:rsidRPr="00FA3753" w:rsidRDefault="00FA3753" w:rsidP="00FA3753">
      <w:pPr>
        <w:pStyle w:val="AERnumberedlistfirststyle"/>
        <w:numPr>
          <w:ilvl w:val="0"/>
          <w:numId w:val="0"/>
        </w:numPr>
        <w:ind w:left="357" w:hanging="357"/>
      </w:pPr>
      <w:r>
        <w:t>10.</w:t>
      </w:r>
      <w:r>
        <w:tab/>
      </w:r>
      <w:r w:rsidRPr="00FA3753">
        <w:t>The price for a negotiated transmission service must be subject to adjustment over time to the extent that the assets used to provide that service are subsequently used to provide services to another person. In such cases the adjustment must reflect the extent to which the costs of that asset are being recovered through charges to that other person.</w:t>
      </w:r>
    </w:p>
    <w:p w:rsidR="00FA3753" w:rsidRPr="00FA3753" w:rsidRDefault="00FA3753" w:rsidP="00FA3753">
      <w:pPr>
        <w:pStyle w:val="AERnumberedlistfirststyle"/>
        <w:numPr>
          <w:ilvl w:val="0"/>
          <w:numId w:val="0"/>
        </w:numPr>
        <w:ind w:left="357" w:hanging="357"/>
      </w:pPr>
      <w:r>
        <w:t>11.</w:t>
      </w:r>
      <w:r>
        <w:tab/>
      </w:r>
      <w:r w:rsidRPr="00FA3753">
        <w:t>The price for a negotiated transmission service must be such as to enable the TNSP to recover the efficient costs of complying with all regulatory obligations associated with the provision of the negotiated transmission service.</w:t>
      </w:r>
    </w:p>
    <w:p w:rsidR="00FA3753" w:rsidRPr="005166D0" w:rsidRDefault="00FA3753" w:rsidP="005166D0">
      <w:pPr>
        <w:rPr>
          <w:rStyle w:val="AERtextbold"/>
        </w:rPr>
      </w:pPr>
      <w:r w:rsidRPr="005166D0">
        <w:rPr>
          <w:rStyle w:val="AERtextbold"/>
        </w:rPr>
        <w:t>Criteria for access charges</w:t>
      </w:r>
    </w:p>
    <w:p w:rsidR="00FA3753" w:rsidRPr="005166D0" w:rsidRDefault="00FA3753" w:rsidP="005166D0">
      <w:pPr>
        <w:rPr>
          <w:rStyle w:val="AERtextitalic"/>
        </w:rPr>
      </w:pPr>
      <w:r w:rsidRPr="005166D0">
        <w:rPr>
          <w:rStyle w:val="AERtextitalic"/>
        </w:rPr>
        <w:t>Access charges</w:t>
      </w:r>
    </w:p>
    <w:p w:rsidR="00FA3753" w:rsidRPr="00FA3753" w:rsidRDefault="00FA3753" w:rsidP="00FA3753">
      <w:pPr>
        <w:pStyle w:val="AERnumberedlistfirststyle"/>
        <w:numPr>
          <w:ilvl w:val="0"/>
          <w:numId w:val="0"/>
        </w:numPr>
        <w:ind w:left="357" w:hanging="357"/>
      </w:pPr>
      <w:r>
        <w:t>12.</w:t>
      </w:r>
      <w:r>
        <w:tab/>
      </w:r>
      <w:r w:rsidRPr="00FA3753">
        <w:t>Any access charges must be based on the costs reasonably incurred by the TNSP in providing Transmission Network User access. This includes the compensation for forgone revenue referred to in clause 5.4A(h) to (j) of the NER and the costs that are likely to be incurred by a person referred to in clause 5.4A(h) to (j) of the NER (as appropriate).</w:t>
      </w:r>
    </w:p>
    <w:p w:rsidR="00FA3753" w:rsidRPr="00D0108A" w:rsidRDefault="00FA3753" w:rsidP="00FA3753">
      <w:pPr>
        <w:pStyle w:val="AERbodytext"/>
      </w:pPr>
    </w:p>
    <w:p w:rsidR="00C1164B" w:rsidRPr="00ED09CD" w:rsidRDefault="00C1164B" w:rsidP="00C1164B">
      <w:pPr>
        <w:pStyle w:val="AERbodytext"/>
      </w:pPr>
    </w:p>
    <w:p w:rsidR="00C1164B" w:rsidRDefault="00C1164B" w:rsidP="00C1164B">
      <w:pPr>
        <w:pStyle w:val="AERbodytext"/>
      </w:pPr>
    </w:p>
    <w:p w:rsidR="00C1164B" w:rsidRPr="00ED09CD" w:rsidRDefault="00C1164B" w:rsidP="00C1164B">
      <w:pPr>
        <w:pStyle w:val="AERbodytext"/>
      </w:pPr>
    </w:p>
    <w:p w:rsidR="00C1164B" w:rsidRDefault="00C1164B" w:rsidP="00C1164B">
      <w:pPr>
        <w:pStyle w:val="AERbodytext"/>
      </w:pPr>
    </w:p>
    <w:sectPr w:rsidR="00C1164B" w:rsidSect="00443001">
      <w:footerReference w:type="even" r:id="rId11"/>
      <w:footerReference w:type="default" r:id="rId12"/>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FE3" w:rsidRPr="00AB4345" w:rsidRDefault="003B7FE3" w:rsidP="00AB4345">
      <w:r>
        <w:separator/>
      </w:r>
    </w:p>
  </w:endnote>
  <w:endnote w:type="continuationSeparator" w:id="0">
    <w:p w:rsidR="003B7FE3" w:rsidRPr="00AB4345" w:rsidRDefault="003B7FE3"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142DAC" w:rsidRDefault="00C1164B" w:rsidP="00142DAC">
        <w:pPr>
          <w:pStyle w:val="Footer"/>
          <w:rPr>
            <w:rStyle w:val="AERbody"/>
          </w:rPr>
        </w:pPr>
        <w:r w:rsidRPr="00824CC8">
          <w:fldChar w:fldCharType="begin"/>
        </w:r>
        <w:r w:rsidRPr="00824CC8">
          <w:instrText xml:space="preserve"> PAGE   \* MERGEFORMAT </w:instrText>
        </w:r>
        <w:r w:rsidRPr="00824CC8">
          <w:fldChar w:fldCharType="separate"/>
        </w:r>
        <w:r w:rsidR="00CC7BB3">
          <w:rPr>
            <w:noProof/>
          </w:rPr>
          <w:t>14-4</w:t>
        </w:r>
        <w:r w:rsidRPr="00824CC8">
          <w:fldChar w:fldCharType="end"/>
        </w:r>
        <w:r w:rsidR="005B624E">
          <w:rPr>
            <w:rStyle w:val="AERbody"/>
          </w:rPr>
          <w:t xml:space="preserve"> </w:t>
        </w:r>
        <w:r w:rsidR="005B624E">
          <w:rPr>
            <w:rStyle w:val="AERbody"/>
          </w:rPr>
          <w:tab/>
        </w:r>
        <w:r w:rsidR="00142DAC">
          <w:rPr>
            <w:rStyle w:val="AERbody"/>
          </w:rPr>
          <w:t>Attachment 1</w:t>
        </w:r>
        <w:r w:rsidR="005B624E">
          <w:rPr>
            <w:rStyle w:val="AERbody"/>
          </w:rPr>
          <w:t>4</w:t>
        </w:r>
        <w:r w:rsidR="00142DAC">
          <w:rPr>
            <w:rStyle w:val="AERbody"/>
          </w:rPr>
          <w:t xml:space="preserve"> </w:t>
        </w:r>
        <w:r w:rsidR="00142DAC" w:rsidRPr="006643F4">
          <w:rPr>
            <w:rStyle w:val="AERbody"/>
          </w:rPr>
          <w:t xml:space="preserve">| </w:t>
        </w:r>
        <w:r w:rsidR="004032C9">
          <w:rPr>
            <w:rStyle w:val="AERbody"/>
          </w:rPr>
          <w:t>Negotiated services</w:t>
        </w:r>
      </w:p>
      <w:p w:rsidR="0055232A" w:rsidRPr="00824CC8" w:rsidRDefault="00CC7BB3" w:rsidP="00824CC8">
        <w:pPr>
          <w:pStyle w:val="Foo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32A" w:rsidRPr="00824CC8" w:rsidRDefault="004032C9" w:rsidP="00C556D3">
    <w:pPr>
      <w:pStyle w:val="Header"/>
      <w:rPr>
        <w:rStyle w:val="AERbody"/>
      </w:rPr>
    </w:pPr>
    <w:r>
      <w:rPr>
        <w:rStyle w:val="AERbody"/>
      </w:rPr>
      <w:t>Draft decision: TasNetworks transmission</w:t>
    </w:r>
    <w:r w:rsidRPr="006643F4">
      <w:rPr>
        <w:rStyle w:val="AERbody"/>
      </w:rPr>
      <w:t xml:space="preserve"> determination</w:t>
    </w:r>
    <w:r w:rsidRPr="006643F4">
      <w:t xml:space="preserve"> 2015-19</w:t>
    </w:r>
    <w:r w:rsidRPr="006643F4">
      <w:rPr>
        <w:rStyle w:val="AERbody"/>
      </w:rPr>
      <w:t xml:space="preserve"> </w:t>
    </w:r>
    <w:r w:rsidR="005B624E" w:rsidRPr="006643F4">
      <w:rPr>
        <w:rStyle w:val="AERbody"/>
      </w:rPr>
      <w:t>|</w:t>
    </w:r>
    <w:r>
      <w:rPr>
        <w:rStyle w:val="AERbody"/>
      </w:rPr>
      <w:t xml:space="preserve"> Attachment 14</w:t>
    </w:r>
    <w:r w:rsidR="00C556D3">
      <w:tab/>
    </w:r>
    <w:r w:rsidR="00C1164B" w:rsidRPr="00824CC8">
      <w:rPr>
        <w:rStyle w:val="AERbody"/>
      </w:rPr>
      <w:fldChar w:fldCharType="begin"/>
    </w:r>
    <w:r w:rsidR="00C1164B" w:rsidRPr="00824CC8">
      <w:rPr>
        <w:rStyle w:val="AERbody"/>
      </w:rPr>
      <w:instrText xml:space="preserve"> PAGE   \* MERGEFORMAT </w:instrText>
    </w:r>
    <w:r w:rsidR="00C1164B" w:rsidRPr="00824CC8">
      <w:rPr>
        <w:rStyle w:val="AERbody"/>
      </w:rPr>
      <w:fldChar w:fldCharType="separate"/>
    </w:r>
    <w:r w:rsidR="00CC7BB3">
      <w:rPr>
        <w:rStyle w:val="AERbody"/>
        <w:noProof/>
      </w:rPr>
      <w:t>14-3</w:t>
    </w:r>
    <w:r w:rsidR="00C1164B"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FE3" w:rsidRPr="00AB4345" w:rsidRDefault="003B7FE3" w:rsidP="00AB4345">
      <w:r>
        <w:separator/>
      </w:r>
    </w:p>
  </w:footnote>
  <w:footnote w:type="continuationSeparator" w:id="0">
    <w:p w:rsidR="003B7FE3" w:rsidRPr="00AB4345" w:rsidRDefault="003B7FE3" w:rsidP="00AB4345">
      <w:r>
        <w:continuationSeparator/>
      </w:r>
    </w:p>
  </w:footnote>
  <w:footnote w:id="1">
    <w:p w:rsidR="005166D0" w:rsidRDefault="005166D0" w:rsidP="005166D0">
      <w:pPr>
        <w:pStyle w:val="FootnoteText"/>
      </w:pPr>
      <w:r>
        <w:rPr>
          <w:rStyle w:val="FootnoteReference"/>
        </w:rPr>
        <w:footnoteRef/>
      </w:r>
      <w:r>
        <w:t xml:space="preserve"> </w:t>
      </w:r>
      <w:r>
        <w:tab/>
        <w:t>NER, clause 6A.2.2(2); 6A.14.1(6)</w:t>
      </w:r>
    </w:p>
  </w:footnote>
  <w:footnote w:id="2">
    <w:p w:rsidR="005166D0" w:rsidRDefault="005166D0" w:rsidP="005166D0">
      <w:pPr>
        <w:pStyle w:val="FootnoteText"/>
      </w:pPr>
      <w:r>
        <w:rPr>
          <w:rStyle w:val="FootnoteReference"/>
        </w:rPr>
        <w:footnoteRef/>
      </w:r>
      <w:r>
        <w:t xml:space="preserve"> </w:t>
      </w:r>
      <w:r>
        <w:tab/>
        <w:t>NER, clause 6A.2.2(3).</w:t>
      </w:r>
      <w:r w:rsidRPr="00841FE0">
        <w:t xml:space="preserve"> </w:t>
      </w:r>
      <w:r>
        <w:t>6A.14.1(7</w:t>
      </w:r>
    </w:p>
  </w:footnote>
  <w:footnote w:id="3">
    <w:p w:rsidR="00702FCB" w:rsidRDefault="00702FCB" w:rsidP="00702FCB">
      <w:pPr>
        <w:pStyle w:val="FootnoteText"/>
      </w:pPr>
      <w:r>
        <w:rPr>
          <w:rStyle w:val="FootnoteReference"/>
        </w:rPr>
        <w:footnoteRef/>
      </w:r>
      <w:r>
        <w:t xml:space="preserve"> </w:t>
      </w:r>
      <w:r>
        <w:tab/>
        <w:t>NER, clause 6A.9.5(a).</w:t>
      </w:r>
    </w:p>
  </w:footnote>
  <w:footnote w:id="4">
    <w:p w:rsidR="00702FCB" w:rsidRDefault="00702FCB" w:rsidP="00702FCB">
      <w:pPr>
        <w:pStyle w:val="FootnoteText"/>
      </w:pPr>
      <w:r>
        <w:rPr>
          <w:rStyle w:val="FootnoteReference"/>
        </w:rPr>
        <w:footnoteRef/>
      </w:r>
      <w:r>
        <w:t xml:space="preserve"> </w:t>
      </w:r>
      <w:r>
        <w:tab/>
        <w:t>NER, clause 6A.9.4(a)(1).</w:t>
      </w:r>
    </w:p>
  </w:footnote>
  <w:footnote w:id="5">
    <w:p w:rsidR="00702FCB" w:rsidRDefault="00702FCB" w:rsidP="00702FCB">
      <w:pPr>
        <w:pStyle w:val="FootnoteText"/>
      </w:pPr>
      <w:r>
        <w:rPr>
          <w:rStyle w:val="FootnoteReference"/>
        </w:rPr>
        <w:footnoteRef/>
      </w:r>
      <w:r>
        <w:t xml:space="preserve"> </w:t>
      </w:r>
      <w:r>
        <w:tab/>
        <w:t>NER, clause 6A.9.4(a)(2).</w:t>
      </w:r>
    </w:p>
  </w:footnote>
  <w:footnote w:id="6">
    <w:p w:rsidR="005166D0" w:rsidRDefault="005166D0" w:rsidP="005166D0">
      <w:pPr>
        <w:pStyle w:val="FootnoteText"/>
      </w:pPr>
      <w:r>
        <w:rPr>
          <w:rStyle w:val="FootnoteReference"/>
        </w:rPr>
        <w:footnoteRef/>
      </w:r>
      <w:r>
        <w:t xml:space="preserve"> </w:t>
      </w:r>
      <w:r>
        <w:tab/>
        <w:t>NER, clause 6A.9.1.</w:t>
      </w:r>
    </w:p>
  </w:footnote>
  <w:footnote w:id="7">
    <w:p w:rsidR="005166D0" w:rsidRDefault="005166D0" w:rsidP="005166D0">
      <w:pPr>
        <w:pStyle w:val="FootnoteText"/>
      </w:pPr>
      <w:r>
        <w:rPr>
          <w:rStyle w:val="FootnoteReference"/>
        </w:rPr>
        <w:footnoteRef/>
      </w:r>
      <w:r>
        <w:t xml:space="preserve"> </w:t>
      </w:r>
      <w:r>
        <w:tab/>
        <w:t>NER, clause 6A.9.5(b)(2); 6A.14.3(f).</w:t>
      </w:r>
    </w:p>
  </w:footnote>
  <w:footnote w:id="8">
    <w:p w:rsidR="005166D0" w:rsidRDefault="005166D0" w:rsidP="005166D0">
      <w:pPr>
        <w:pStyle w:val="FootnoteText"/>
      </w:pPr>
      <w:r>
        <w:rPr>
          <w:rStyle w:val="FootnoteReference"/>
        </w:rPr>
        <w:footnoteRef/>
      </w:r>
      <w:r>
        <w:t xml:space="preserve"> </w:t>
      </w:r>
      <w:r>
        <w:tab/>
        <w:t>NER, clause 6A.9.4(a) and (b); 6A.14.1(i)`</w:t>
      </w:r>
    </w:p>
  </w:footnote>
  <w:footnote w:id="9">
    <w:p w:rsidR="00FA3753" w:rsidRDefault="00FA3753" w:rsidP="00FA3753">
      <w:pPr>
        <w:pStyle w:val="FootnoteText"/>
      </w:pPr>
      <w:r>
        <w:rPr>
          <w:rStyle w:val="FootnoteReference"/>
        </w:rPr>
        <w:footnoteRef/>
      </w:r>
      <w:r>
        <w:t xml:space="preserve"> </w:t>
      </w:r>
      <w:r>
        <w:tab/>
        <w:t>NER, clause 6A.9.5(c).</w:t>
      </w:r>
    </w:p>
  </w:footnote>
  <w:footnote w:id="10">
    <w:p w:rsidR="005166D0" w:rsidRDefault="005166D0" w:rsidP="005166D0">
      <w:pPr>
        <w:pStyle w:val="FootnoteText"/>
      </w:pPr>
      <w:r>
        <w:rPr>
          <w:rStyle w:val="FootnoteReference"/>
        </w:rPr>
        <w:footnoteRef/>
      </w:r>
      <w:r>
        <w:t xml:space="preserve"> </w:t>
      </w:r>
      <w:r>
        <w:tab/>
        <w:t>AER</w:t>
      </w:r>
      <w:r w:rsidRPr="002B5E22">
        <w:rPr>
          <w:rStyle w:val="AERtextitalic"/>
        </w:rPr>
        <w:t xml:space="preserve">, Proposed negotiating transmission service criteria </w:t>
      </w:r>
      <w:r>
        <w:rPr>
          <w:rStyle w:val="AERtextitalic"/>
        </w:rPr>
        <w:t xml:space="preserve">for </w:t>
      </w:r>
      <w:r w:rsidR="00702FCB">
        <w:rPr>
          <w:rStyle w:val="AERtextitalic"/>
        </w:rPr>
        <w:t>TasNetworks</w:t>
      </w:r>
      <w:r w:rsidRPr="00D94C51">
        <w:t>,</w:t>
      </w:r>
      <w:r w:rsidR="00702FCB">
        <w:t xml:space="preserve"> June 2014</w:t>
      </w:r>
      <w:r>
        <w:t>.</w:t>
      </w:r>
    </w:p>
  </w:footnote>
  <w:footnote w:id="11">
    <w:p w:rsidR="005166D0" w:rsidRDefault="005166D0" w:rsidP="005166D0">
      <w:pPr>
        <w:pStyle w:val="FootnoteText"/>
      </w:pPr>
      <w:r>
        <w:rPr>
          <w:rStyle w:val="FootnoteReference"/>
        </w:rPr>
        <w:footnoteRef/>
      </w:r>
      <w:r>
        <w:t xml:space="preserve"> </w:t>
      </w:r>
      <w:r>
        <w:tab/>
        <w:t>NER, clause 6A.9.4(a)</w:t>
      </w:r>
    </w:p>
  </w:footnote>
  <w:footnote w:id="12">
    <w:p w:rsidR="005166D0" w:rsidRDefault="005166D0" w:rsidP="005166D0">
      <w:pPr>
        <w:pStyle w:val="FootnoteText"/>
      </w:pPr>
      <w:r>
        <w:rPr>
          <w:rStyle w:val="FootnoteReference"/>
        </w:rPr>
        <w:footnoteRef/>
      </w:r>
      <w:r>
        <w:t xml:space="preserve"> </w:t>
      </w:r>
      <w:r>
        <w:tab/>
        <w:t>NER, clause 6A.9.4(b)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4"/>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removePersonalInformation/>
  <w:removeDateAndTime/>
  <w:proofState w:spelling="clean" w:grammar="clean"/>
  <w:documentProtection w:formatting="1" w:enforcement="1" w:cryptProviderType="rsaFull" w:cryptAlgorithmClass="hash" w:cryptAlgorithmType="typeAny" w:cryptAlgorithmSid="4" w:cryptSpinCount="100000" w:hash="/qDVBJvfdns5X3FDr4GV/gl2DMQ=" w:salt="Kc5LCnxRLCmrLmkYzwC26g=="/>
  <w:defaultTabStop w:val="720"/>
  <w:evenAndOddHeaders/>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5964\D14 138064  20141017 - 3.1.7 - Attachment G - TasNetworks negotiated services attachment.DOCX"/>
  </w:docVars>
  <w:rsids>
    <w:rsidRoot w:val="000C052F"/>
    <w:rsid w:val="00011129"/>
    <w:rsid w:val="00022606"/>
    <w:rsid w:val="0003484A"/>
    <w:rsid w:val="00040599"/>
    <w:rsid w:val="00040749"/>
    <w:rsid w:val="00095CF6"/>
    <w:rsid w:val="000A1CC2"/>
    <w:rsid w:val="000A5342"/>
    <w:rsid w:val="000B15CA"/>
    <w:rsid w:val="000B43E5"/>
    <w:rsid w:val="000C052F"/>
    <w:rsid w:val="000C3430"/>
    <w:rsid w:val="000D03C2"/>
    <w:rsid w:val="000D04B1"/>
    <w:rsid w:val="000D401F"/>
    <w:rsid w:val="000E1A25"/>
    <w:rsid w:val="000F3A6A"/>
    <w:rsid w:val="001033B3"/>
    <w:rsid w:val="00105636"/>
    <w:rsid w:val="00113C25"/>
    <w:rsid w:val="0013022D"/>
    <w:rsid w:val="00142DAC"/>
    <w:rsid w:val="001543D2"/>
    <w:rsid w:val="00174026"/>
    <w:rsid w:val="001856EE"/>
    <w:rsid w:val="00194C3C"/>
    <w:rsid w:val="001C12E5"/>
    <w:rsid w:val="001D224C"/>
    <w:rsid w:val="0020711E"/>
    <w:rsid w:val="00210880"/>
    <w:rsid w:val="002257B9"/>
    <w:rsid w:val="0023137D"/>
    <w:rsid w:val="00266710"/>
    <w:rsid w:val="002805B8"/>
    <w:rsid w:val="002938CE"/>
    <w:rsid w:val="002B6640"/>
    <w:rsid w:val="002D61AC"/>
    <w:rsid w:val="002E4720"/>
    <w:rsid w:val="00303452"/>
    <w:rsid w:val="003324F7"/>
    <w:rsid w:val="00334F88"/>
    <w:rsid w:val="003707DB"/>
    <w:rsid w:val="00375AEC"/>
    <w:rsid w:val="00376236"/>
    <w:rsid w:val="0037652C"/>
    <w:rsid w:val="003800E4"/>
    <w:rsid w:val="00380FF5"/>
    <w:rsid w:val="00395438"/>
    <w:rsid w:val="003A6174"/>
    <w:rsid w:val="003B7FE3"/>
    <w:rsid w:val="004030AB"/>
    <w:rsid w:val="004032C9"/>
    <w:rsid w:val="00412282"/>
    <w:rsid w:val="004256BA"/>
    <w:rsid w:val="00431999"/>
    <w:rsid w:val="00433D80"/>
    <w:rsid w:val="00435682"/>
    <w:rsid w:val="00443001"/>
    <w:rsid w:val="00443636"/>
    <w:rsid w:val="00456081"/>
    <w:rsid w:val="00464F5D"/>
    <w:rsid w:val="00474FBD"/>
    <w:rsid w:val="00491D7D"/>
    <w:rsid w:val="004C3E97"/>
    <w:rsid w:val="004C3F45"/>
    <w:rsid w:val="004E40EF"/>
    <w:rsid w:val="004E73F7"/>
    <w:rsid w:val="004F76A0"/>
    <w:rsid w:val="00500E7F"/>
    <w:rsid w:val="00505840"/>
    <w:rsid w:val="005166D0"/>
    <w:rsid w:val="0052179D"/>
    <w:rsid w:val="00526B91"/>
    <w:rsid w:val="005374DB"/>
    <w:rsid w:val="005456A9"/>
    <w:rsid w:val="00555D52"/>
    <w:rsid w:val="005566D7"/>
    <w:rsid w:val="00561F7F"/>
    <w:rsid w:val="00566B35"/>
    <w:rsid w:val="005732CC"/>
    <w:rsid w:val="00575422"/>
    <w:rsid w:val="005938C6"/>
    <w:rsid w:val="005A0431"/>
    <w:rsid w:val="005B3752"/>
    <w:rsid w:val="005B61C2"/>
    <w:rsid w:val="005B624E"/>
    <w:rsid w:val="005D26B7"/>
    <w:rsid w:val="005D4AA1"/>
    <w:rsid w:val="005D7A4C"/>
    <w:rsid w:val="005F5D52"/>
    <w:rsid w:val="0060146C"/>
    <w:rsid w:val="0060207D"/>
    <w:rsid w:val="006039F2"/>
    <w:rsid w:val="006061B0"/>
    <w:rsid w:val="0060732E"/>
    <w:rsid w:val="006076A9"/>
    <w:rsid w:val="006544EA"/>
    <w:rsid w:val="0066569F"/>
    <w:rsid w:val="0069004B"/>
    <w:rsid w:val="006B08EB"/>
    <w:rsid w:val="006B46F9"/>
    <w:rsid w:val="006B481F"/>
    <w:rsid w:val="006E3127"/>
    <w:rsid w:val="006F638E"/>
    <w:rsid w:val="00702FCB"/>
    <w:rsid w:val="00703E42"/>
    <w:rsid w:val="0071470B"/>
    <w:rsid w:val="007368AD"/>
    <w:rsid w:val="00751D2A"/>
    <w:rsid w:val="00755095"/>
    <w:rsid w:val="00796A07"/>
    <w:rsid w:val="007F10E3"/>
    <w:rsid w:val="007F2C0E"/>
    <w:rsid w:val="00803767"/>
    <w:rsid w:val="00804AEB"/>
    <w:rsid w:val="00824CC8"/>
    <w:rsid w:val="00836D17"/>
    <w:rsid w:val="00840A55"/>
    <w:rsid w:val="00841E25"/>
    <w:rsid w:val="008464CD"/>
    <w:rsid w:val="008515EE"/>
    <w:rsid w:val="00861C4E"/>
    <w:rsid w:val="00866D21"/>
    <w:rsid w:val="00872D85"/>
    <w:rsid w:val="00883DDA"/>
    <w:rsid w:val="00891FF9"/>
    <w:rsid w:val="00893367"/>
    <w:rsid w:val="00893D07"/>
    <w:rsid w:val="008B2A50"/>
    <w:rsid w:val="008B7956"/>
    <w:rsid w:val="008C3722"/>
    <w:rsid w:val="008C3B67"/>
    <w:rsid w:val="008C3F48"/>
    <w:rsid w:val="008D49B4"/>
    <w:rsid w:val="008D7498"/>
    <w:rsid w:val="00932E96"/>
    <w:rsid w:val="009418E6"/>
    <w:rsid w:val="0094235F"/>
    <w:rsid w:val="0094279F"/>
    <w:rsid w:val="00946B98"/>
    <w:rsid w:val="0095052A"/>
    <w:rsid w:val="009658F0"/>
    <w:rsid w:val="00971655"/>
    <w:rsid w:val="00971C63"/>
    <w:rsid w:val="009A4AE9"/>
    <w:rsid w:val="009C71D5"/>
    <w:rsid w:val="009D28AA"/>
    <w:rsid w:val="009F7CE4"/>
    <w:rsid w:val="00A032AC"/>
    <w:rsid w:val="00A11162"/>
    <w:rsid w:val="00A12023"/>
    <w:rsid w:val="00A43227"/>
    <w:rsid w:val="00A46CCD"/>
    <w:rsid w:val="00A61255"/>
    <w:rsid w:val="00A65133"/>
    <w:rsid w:val="00A652C5"/>
    <w:rsid w:val="00A85C5A"/>
    <w:rsid w:val="00A96A08"/>
    <w:rsid w:val="00AA0161"/>
    <w:rsid w:val="00AA12B4"/>
    <w:rsid w:val="00AB1D08"/>
    <w:rsid w:val="00AB4345"/>
    <w:rsid w:val="00AB57B0"/>
    <w:rsid w:val="00AB5BD7"/>
    <w:rsid w:val="00AC0135"/>
    <w:rsid w:val="00AC070D"/>
    <w:rsid w:val="00AC1B94"/>
    <w:rsid w:val="00AC6AA7"/>
    <w:rsid w:val="00AD0616"/>
    <w:rsid w:val="00AD34FF"/>
    <w:rsid w:val="00AD4DE6"/>
    <w:rsid w:val="00AE6DBC"/>
    <w:rsid w:val="00AF3E95"/>
    <w:rsid w:val="00AF7C67"/>
    <w:rsid w:val="00B11BB8"/>
    <w:rsid w:val="00B15FE9"/>
    <w:rsid w:val="00B47945"/>
    <w:rsid w:val="00B51883"/>
    <w:rsid w:val="00B61FD4"/>
    <w:rsid w:val="00B674DB"/>
    <w:rsid w:val="00B82E8D"/>
    <w:rsid w:val="00B9264D"/>
    <w:rsid w:val="00B94D99"/>
    <w:rsid w:val="00BB3FA1"/>
    <w:rsid w:val="00BB62BB"/>
    <w:rsid w:val="00BC05C5"/>
    <w:rsid w:val="00BC49C5"/>
    <w:rsid w:val="00BC4BD3"/>
    <w:rsid w:val="00BD04BE"/>
    <w:rsid w:val="00BD4E35"/>
    <w:rsid w:val="00BE6F28"/>
    <w:rsid w:val="00BF29FA"/>
    <w:rsid w:val="00C04A90"/>
    <w:rsid w:val="00C04D2B"/>
    <w:rsid w:val="00C1164B"/>
    <w:rsid w:val="00C4694E"/>
    <w:rsid w:val="00C556D3"/>
    <w:rsid w:val="00C737C5"/>
    <w:rsid w:val="00CA3540"/>
    <w:rsid w:val="00CA46FB"/>
    <w:rsid w:val="00CA6DED"/>
    <w:rsid w:val="00CC49D4"/>
    <w:rsid w:val="00CC7BB3"/>
    <w:rsid w:val="00CE6F5A"/>
    <w:rsid w:val="00CF42CF"/>
    <w:rsid w:val="00D102E9"/>
    <w:rsid w:val="00D1688F"/>
    <w:rsid w:val="00D2117F"/>
    <w:rsid w:val="00D25317"/>
    <w:rsid w:val="00D66E8B"/>
    <w:rsid w:val="00D739F0"/>
    <w:rsid w:val="00D85715"/>
    <w:rsid w:val="00D8706C"/>
    <w:rsid w:val="00DA4C62"/>
    <w:rsid w:val="00DB6A17"/>
    <w:rsid w:val="00DD4E84"/>
    <w:rsid w:val="00DD5520"/>
    <w:rsid w:val="00DF16C2"/>
    <w:rsid w:val="00DF4066"/>
    <w:rsid w:val="00E00F76"/>
    <w:rsid w:val="00E21E75"/>
    <w:rsid w:val="00E2590B"/>
    <w:rsid w:val="00E35D91"/>
    <w:rsid w:val="00E519DC"/>
    <w:rsid w:val="00E604EE"/>
    <w:rsid w:val="00E807DA"/>
    <w:rsid w:val="00E8134A"/>
    <w:rsid w:val="00E84E3A"/>
    <w:rsid w:val="00EA05AF"/>
    <w:rsid w:val="00EB5CDF"/>
    <w:rsid w:val="00EC43B9"/>
    <w:rsid w:val="00ED09CD"/>
    <w:rsid w:val="00ED4D69"/>
    <w:rsid w:val="00EE362F"/>
    <w:rsid w:val="00EF0E19"/>
    <w:rsid w:val="00EF4C25"/>
    <w:rsid w:val="00F0258A"/>
    <w:rsid w:val="00F114AE"/>
    <w:rsid w:val="00F42271"/>
    <w:rsid w:val="00F43CA0"/>
    <w:rsid w:val="00F55030"/>
    <w:rsid w:val="00F7696F"/>
    <w:rsid w:val="00F8209B"/>
    <w:rsid w:val="00F97CD9"/>
    <w:rsid w:val="00FA0576"/>
    <w:rsid w:val="00FA2161"/>
    <w:rsid w:val="00FA3753"/>
    <w:rsid w:val="00FA7868"/>
    <w:rsid w:val="00FB50B4"/>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aliases w:val="h1"/>
    <w:next w:val="AERbodytext"/>
    <w:link w:val="Heading1Char"/>
    <w:uiPriority w:val="9"/>
    <w:qFormat/>
    <w:rsid w:val="00B94D99"/>
    <w:pPr>
      <w:keepNext/>
      <w:keepLines/>
      <w:pageBreakBefore/>
      <w:numPr>
        <w:ilvl w:val="1"/>
        <w:numId w:val="2"/>
      </w:numPr>
      <w:spacing w:before="120" w:after="120" w:line="288" w:lineRule="auto"/>
      <w:outlineLvl w:val="0"/>
    </w:pPr>
    <w:rPr>
      <w:rFonts w:eastAsia="Times New Roman"/>
      <w:b/>
      <w:bCs/>
      <w:color w:val="E36C0A"/>
      <w:sz w:val="36"/>
      <w:szCs w:val="28"/>
      <w:lang w:eastAsia="en-US"/>
    </w:rPr>
  </w:style>
  <w:style w:type="paragraph" w:styleId="Heading2">
    <w:name w:val="heading 2"/>
    <w:aliases w:val="h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aliases w:val="h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aliases w:val="Legal Level 1.1.,H7,i.,(1),heading 7,h7"/>
    <w:basedOn w:val="UnnumberedHeading"/>
    <w:next w:val="AERbodytext"/>
    <w:link w:val="Heading7Char"/>
    <w:uiPriority w:val="9"/>
    <w:qFormat/>
    <w:rsid w:val="00303452"/>
    <w:pPr>
      <w:numPr>
        <w:ilvl w:val="4"/>
      </w:numPr>
      <w:outlineLvl w:val="6"/>
    </w:pPr>
    <w:rPr>
      <w:iCs/>
      <w:szCs w:val="24"/>
    </w:rPr>
  </w:style>
  <w:style w:type="paragraph" w:styleId="Heading8">
    <w:name w:val="heading 8"/>
    <w:aliases w:val="H8,Legal Level 1.1.1.,Annex,h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aliases w:val="Heading 9 Char1,Heading 9 Char Char,Legal Level 1.1.1.1. Char Char,H9 Char Char,Legal Level 1.1.1.1. Char,H9 Char,Annex1, Appen 1,Appen 1,Legal Level 1.1.1.1.,H9,h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aliases w:val="h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aliases w:val="h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aliases w:val="h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aliases w:val="Legal Level 1.1. Char,H7 Char,i. Char,(1) Char,heading 7 Char,h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aliases w:val="H8 Char,Legal Level 1.1.1. Char,Annex Char,h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aliases w:val="Heading 9 Char1 Char,Heading 9 Char Char Char,Legal Level 1.1.1.1. Char Char Char,H9 Char Char Char,Legal Level 1.1.1.1. Char Char1,H9 Char Char1,Annex1 Char, Appen 1 Char,Appen 1 Char,Legal Level 1.1.1.1. Char1,H9 Char1,h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3B7FE3"/>
    <w:rPr>
      <w:lang w:eastAsia="en-US"/>
    </w:rPr>
  </w:style>
  <w:style w:type="character" w:styleId="FollowedHyperlink">
    <w:name w:val="FollowedHyperlink"/>
    <w:basedOn w:val="DefaultParagraphFont"/>
    <w:uiPriority w:val="99"/>
    <w:semiHidden/>
    <w:unhideWhenUsed/>
    <w:rsid w:val="003B7FE3"/>
    <w:rPr>
      <w:color w:val="800080" w:themeColor="followedHyperlink"/>
      <w:u w:val="single"/>
    </w:rPr>
  </w:style>
  <w:style w:type="paragraph" w:styleId="Quote">
    <w:name w:val="Quote"/>
    <w:basedOn w:val="Normal"/>
    <w:next w:val="Normal"/>
    <w:link w:val="QuoteChar"/>
    <w:uiPriority w:val="29"/>
    <w:unhideWhenUsed/>
    <w:qFormat/>
    <w:rsid w:val="003B7FE3"/>
    <w:rPr>
      <w:i/>
      <w:iCs/>
      <w:color w:val="000000"/>
    </w:rPr>
  </w:style>
  <w:style w:type="character" w:customStyle="1" w:styleId="QuoteChar">
    <w:name w:val="Quote Char"/>
    <w:basedOn w:val="DefaultParagraphFont"/>
    <w:link w:val="Quote"/>
    <w:uiPriority w:val="29"/>
    <w:rsid w:val="003B7FE3"/>
    <w:rPr>
      <w:i/>
      <w:i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F258722C.dotm</Template>
  <TotalTime>0</TotalTime>
  <Pages>11</Pages>
  <Words>2170</Words>
  <Characters>12374</Characters>
  <Application>Microsoft Office Word</Application>
  <DocSecurity>0</DocSecurity>
  <Lines>103</Lines>
  <Paragraphs>29</Paragraphs>
  <ScaleCrop>false</ScaleCrop>
  <Company/>
  <LinksUpToDate>false</LinksUpToDate>
  <CharactersWithSpaces>14515</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2014-11-26T04:40:00Z</dcterms:created>
  <dcterms:modified xsi:type="dcterms:W3CDTF">2014-11-26T04:40:00Z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8308253</vt:lpwstr>
  </property>
</Properties>
</file>