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20" w:rsidRDefault="00357620" w:rsidP="00357620">
      <w:pPr>
        <w:pStyle w:val="AERtitle1"/>
      </w:pPr>
      <w:bookmarkStart w:id="0" w:name="_GoBack"/>
      <w:bookmarkEnd w:id="0"/>
      <w:r w:rsidRPr="00357620">
        <w:rPr>
          <w:noProof/>
        </w:rPr>
        <w:drawing>
          <wp:anchor distT="0" distB="0" distL="114300" distR="114300" simplePos="0" relativeHeight="251659264" behindDoc="1" locked="0" layoutInCell="1" allowOverlap="1" wp14:anchorId="15DE2586" wp14:editId="065232DE">
            <wp:simplePos x="0" y="0"/>
            <wp:positionH relativeFrom="column">
              <wp:posOffset>-1003935</wp:posOffset>
            </wp:positionH>
            <wp:positionV relativeFrom="paragraph">
              <wp:posOffset>-984885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357620" w:rsidRDefault="00357620" w:rsidP="00357620">
      <w:pPr>
        <w:pStyle w:val="AERtitle1"/>
      </w:pPr>
    </w:p>
    <w:p w:rsidR="00357620" w:rsidRDefault="00357620" w:rsidP="00357620">
      <w:pPr>
        <w:pStyle w:val="AERtitle1"/>
      </w:pPr>
    </w:p>
    <w:p w:rsidR="00357620" w:rsidRDefault="00357620" w:rsidP="00357620">
      <w:pPr>
        <w:pStyle w:val="AERtitle1"/>
      </w:pPr>
    </w:p>
    <w:p w:rsidR="005655E9" w:rsidRDefault="005655E9" w:rsidP="00357620">
      <w:pPr>
        <w:pStyle w:val="AERtitle1"/>
      </w:pPr>
    </w:p>
    <w:p w:rsidR="005655E9" w:rsidRDefault="005655E9" w:rsidP="00357620">
      <w:pPr>
        <w:pStyle w:val="AERtitle1"/>
      </w:pPr>
    </w:p>
    <w:p w:rsidR="00357620" w:rsidRDefault="00357620" w:rsidP="00357620">
      <w:pPr>
        <w:pStyle w:val="AERtitle1"/>
      </w:pPr>
      <w:r>
        <w:t>Draft decision</w:t>
      </w:r>
    </w:p>
    <w:p w:rsidR="00357620" w:rsidRDefault="00357620" w:rsidP="00357620">
      <w:pPr>
        <w:pStyle w:val="AERtitle1"/>
      </w:pPr>
      <w:r>
        <w:t>TasNetworks transmission determination</w:t>
      </w:r>
    </w:p>
    <w:p w:rsidR="00357620" w:rsidRDefault="00357620" w:rsidP="00357620">
      <w:pPr>
        <w:pStyle w:val="AERtitle1"/>
      </w:pPr>
      <w:r>
        <w:t>2015-16 to 2018-19</w:t>
      </w:r>
    </w:p>
    <w:p w:rsidR="00357620" w:rsidRDefault="00357620" w:rsidP="00357620">
      <w:pPr>
        <w:pStyle w:val="AERtitle1"/>
      </w:pPr>
      <w:r>
        <w:t xml:space="preserve">Attachment </w:t>
      </w:r>
      <w:r w:rsidR="00E35E31">
        <w:t>5</w:t>
      </w:r>
      <w:r>
        <w:t xml:space="preserve">: Regulatory </w:t>
      </w:r>
      <w:r w:rsidR="00E35E31">
        <w:t>depreciation</w:t>
      </w:r>
    </w:p>
    <w:p w:rsidR="00357620" w:rsidRDefault="00357620" w:rsidP="00357620">
      <w:pPr>
        <w:pStyle w:val="AERtitle1"/>
      </w:pPr>
    </w:p>
    <w:p w:rsidR="00357620" w:rsidRDefault="00357620" w:rsidP="00357620"/>
    <w:p w:rsidR="00357620" w:rsidRDefault="00357620" w:rsidP="00357620">
      <w:pPr>
        <w:pStyle w:val="AERtitle2"/>
      </w:pPr>
      <w:r>
        <w:t>November 2014</w:t>
      </w:r>
    </w:p>
    <w:p w:rsidR="00357620" w:rsidRPr="00357620" w:rsidRDefault="00357620" w:rsidP="00357620">
      <w:r>
        <w:br w:type="page"/>
      </w:r>
    </w:p>
    <w:p w:rsidR="00357620" w:rsidRDefault="00357620" w:rsidP="00357620"/>
    <w:p w:rsidR="00357620" w:rsidRPr="002F5AB8" w:rsidRDefault="00357620" w:rsidP="00357620">
      <w:pPr>
        <w:pStyle w:val="AERbodytextnospace"/>
        <w:rPr>
          <w:rStyle w:val="AERtextbold"/>
        </w:rPr>
      </w:pPr>
      <w:r w:rsidRPr="002F5AB8">
        <w:rPr>
          <w:rStyle w:val="AERtextbold"/>
        </w:rPr>
        <w:t>© Commonwealth of Australia 2014</w:t>
      </w:r>
    </w:p>
    <w:p w:rsidR="00357620" w:rsidRPr="002F5AB8" w:rsidRDefault="00357620" w:rsidP="00357620">
      <w:r w:rsidRPr="002F5AB8">
        <w:t>This work is copyright. In addition to any use permitted under the Copyright Act 1968, all material contained within this work is provided under a Creative Commons Attribution 3.0 Australia licence, with the exception of:</w:t>
      </w:r>
    </w:p>
    <w:p w:rsidR="00357620" w:rsidRPr="002F5AB8" w:rsidRDefault="00357620" w:rsidP="00357620">
      <w:pPr>
        <w:pStyle w:val="AERbulletlistfirststyle"/>
      </w:pPr>
      <w:r w:rsidRPr="002F5AB8">
        <w:t>the Commonwealth Coat of Arms</w:t>
      </w:r>
    </w:p>
    <w:p w:rsidR="00357620" w:rsidRPr="002F5AB8" w:rsidRDefault="00357620" w:rsidP="00357620">
      <w:pPr>
        <w:pStyle w:val="AERbulletlistfirststyle"/>
      </w:pPr>
      <w:r w:rsidRPr="002F5AB8">
        <w:t>the ACCC and AER logos</w:t>
      </w:r>
    </w:p>
    <w:p w:rsidR="00357620" w:rsidRPr="002F5AB8" w:rsidRDefault="00357620" w:rsidP="00357620">
      <w:r w:rsidRPr="002F5AB8">
        <w:t>any illustration, diagram, photograph or graphic over which the Australian Competition and Consumer Commission does not hold copyright, but which may be part of or contained within this publication.</w:t>
      </w:r>
    </w:p>
    <w:p w:rsidR="00357620" w:rsidRPr="002F5AB8" w:rsidRDefault="00357620" w:rsidP="00357620">
      <w:r w:rsidRPr="002F5AB8">
        <w:t>The details of the relevant licence conditions are available on the Creative Commons website, as is the full legal code for the CC BY 3.0 AU licence.</w:t>
      </w:r>
    </w:p>
    <w:p w:rsidR="00357620" w:rsidRPr="002F5AB8" w:rsidRDefault="00357620" w:rsidP="00357620">
      <w:pPr>
        <w:numPr>
          <w:ilvl w:val="0"/>
          <w:numId w:val="13"/>
        </w:numPr>
      </w:pPr>
      <w:r w:rsidRPr="002F5AB8">
        <w:t>Requests and inquiries concerning reproduction and rights should be addressed to the Director, Corporate Communications, ACCC, GPO Box 3131, Canberra ACT 2601, or</w:t>
      </w:r>
    </w:p>
    <w:p w:rsidR="00357620" w:rsidRPr="002F5AB8" w:rsidRDefault="00357620" w:rsidP="00357620">
      <w:pPr>
        <w:numPr>
          <w:ilvl w:val="0"/>
          <w:numId w:val="13"/>
        </w:numPr>
      </w:pPr>
      <w:r w:rsidRPr="002F5AB8">
        <w:t xml:space="preserve"> </w:t>
      </w:r>
      <w:hyperlink r:id="rId9" w:history="1">
        <w:r w:rsidRPr="002F5AB8">
          <w:t>publishing.unit@accc.gov.au</w:t>
        </w:r>
      </w:hyperlink>
      <w:r w:rsidRPr="002F5AB8">
        <w:t xml:space="preserve"> .</w:t>
      </w:r>
      <w:r w:rsidRPr="00A032AC">
        <w:t xml:space="preserve"> </w:t>
      </w:r>
    </w:p>
    <w:p w:rsidR="00357620" w:rsidRPr="002F5AB8" w:rsidRDefault="00357620" w:rsidP="00357620">
      <w:r w:rsidRPr="002F5AB8">
        <w:t>Inquiries about this document should be addressed to:</w:t>
      </w:r>
    </w:p>
    <w:p w:rsidR="00357620" w:rsidRPr="002F5AB8" w:rsidRDefault="00357620" w:rsidP="00357620">
      <w:pPr>
        <w:pStyle w:val="AERbodytextnospace"/>
      </w:pPr>
      <w:r w:rsidRPr="002F5AB8">
        <w:t>Australian Energy Regulator</w:t>
      </w:r>
    </w:p>
    <w:p w:rsidR="00357620" w:rsidRPr="002F5AB8" w:rsidRDefault="00357620" w:rsidP="00357620">
      <w:pPr>
        <w:pStyle w:val="AERbodytextnospace"/>
      </w:pPr>
      <w:r w:rsidRPr="002F5AB8">
        <w:t>GPO Box 520</w:t>
      </w:r>
    </w:p>
    <w:p w:rsidR="00357620" w:rsidRPr="002F5AB8" w:rsidRDefault="00357620" w:rsidP="00357620">
      <w:pPr>
        <w:pStyle w:val="AERbodytextnospace"/>
      </w:pPr>
      <w:r w:rsidRPr="002F5AB8">
        <w:t>Melbourne  Vic  3001</w:t>
      </w:r>
    </w:p>
    <w:p w:rsidR="00357620" w:rsidRPr="002F5AB8" w:rsidRDefault="00357620" w:rsidP="00357620">
      <w:pPr>
        <w:pStyle w:val="AERbodytextnospace"/>
      </w:pPr>
      <w:r w:rsidRPr="002F5AB8">
        <w:t>Tel: (03) 9290 1444</w:t>
      </w:r>
    </w:p>
    <w:p w:rsidR="00357620" w:rsidRPr="002F5AB8" w:rsidRDefault="00357620" w:rsidP="00357620">
      <w:pPr>
        <w:pStyle w:val="AERbodytextnospace"/>
      </w:pPr>
      <w:r w:rsidRPr="002F5AB8">
        <w:t>Fax: (03) 9290 1457</w:t>
      </w:r>
    </w:p>
    <w:p w:rsidR="00357620" w:rsidRPr="002F5AB8" w:rsidRDefault="00357620" w:rsidP="00357620">
      <w:pPr>
        <w:pStyle w:val="AERbodytextnospace"/>
      </w:pPr>
      <w:r w:rsidRPr="002F5AB8">
        <w:t xml:space="preserve">Email: </w:t>
      </w:r>
      <w:hyperlink r:id="rId10" w:history="1">
        <w:r w:rsidRPr="002F5AB8">
          <w:rPr>
            <w:rStyle w:val="Hyperlink"/>
          </w:rPr>
          <w:t>AERInquiry@aer.gov.au</w:t>
        </w:r>
      </w:hyperlink>
    </w:p>
    <w:p w:rsidR="00357620" w:rsidRPr="002F5AB8" w:rsidRDefault="00357620" w:rsidP="00357620"/>
    <w:p w:rsidR="00357620" w:rsidRPr="002F5AB8" w:rsidRDefault="00357620" w:rsidP="00357620">
      <w:pPr>
        <w:pStyle w:val="AERbodytext"/>
      </w:pPr>
      <w:r w:rsidRPr="002F5AB8">
        <w:t>AER reference</w:t>
      </w:r>
      <w:r w:rsidRPr="002F5AB8">
        <w:rPr>
          <w:rStyle w:val="AERbody"/>
        </w:rPr>
        <w:t>:   5344</w:t>
      </w:r>
      <w:r>
        <w:rPr>
          <w:rStyle w:val="AERbody"/>
        </w:rPr>
        <w:t>5</w:t>
      </w:r>
      <w:r w:rsidRPr="002F5AB8">
        <w:rPr>
          <w:rStyle w:val="AERbody"/>
        </w:rPr>
        <w:t xml:space="preserve">   </w:t>
      </w:r>
    </w:p>
    <w:p w:rsidR="00357620" w:rsidRPr="00E2590B" w:rsidRDefault="00357620" w:rsidP="00357620">
      <w:r>
        <w:br w:type="page"/>
      </w:r>
    </w:p>
    <w:p w:rsidR="00357620" w:rsidRPr="00E35E31" w:rsidRDefault="00357620" w:rsidP="00E35E31">
      <w:pPr>
        <w:pStyle w:val="UnnumberedHeading"/>
        <w:rPr>
          <w:rStyle w:val="AERtextblue"/>
          <w:color w:val="E36C0A"/>
        </w:rPr>
      </w:pPr>
      <w:bookmarkStart w:id="1" w:name="_Toc404752305"/>
      <w:r w:rsidRPr="00E35E31">
        <w:rPr>
          <w:rStyle w:val="AERtextblue"/>
          <w:color w:val="E36C0A"/>
        </w:rPr>
        <w:lastRenderedPageBreak/>
        <w:t>Note</w:t>
      </w:r>
      <w:bookmarkEnd w:id="1"/>
    </w:p>
    <w:p w:rsidR="00357620" w:rsidRDefault="00357620" w:rsidP="00357620">
      <w:r>
        <w:t xml:space="preserve">This attachment forms part of the AER's draft decision on the transmission determination for TasNetworks' 2015–18 regulatory control period. It should be read in conjunction with other parts of the draft decision. </w:t>
      </w:r>
    </w:p>
    <w:p w:rsidR="00357620" w:rsidRDefault="00357620" w:rsidP="00357620">
      <w:r>
        <w:t>The draft decision includes the following documents:</w:t>
      </w:r>
    </w:p>
    <w:p w:rsidR="00357620" w:rsidRDefault="00357620" w:rsidP="00357620">
      <w:r>
        <w:t>Overview</w:t>
      </w:r>
    </w:p>
    <w:p w:rsidR="00357620" w:rsidRDefault="00357620" w:rsidP="00357620">
      <w:r>
        <w:t>Attachment 1 – maximum allowed revenue</w:t>
      </w:r>
    </w:p>
    <w:p w:rsidR="00357620" w:rsidRDefault="00357620" w:rsidP="00357620">
      <w:r>
        <w:t>Attachment 2 – regulatory asset base</w:t>
      </w:r>
    </w:p>
    <w:p w:rsidR="00357620" w:rsidRDefault="00357620" w:rsidP="00357620">
      <w:r>
        <w:t>Attachment 3 – rate of return</w:t>
      </w:r>
    </w:p>
    <w:p w:rsidR="00357620" w:rsidRDefault="00357620" w:rsidP="00357620">
      <w:r>
        <w:t>Attachment 4 – value of imputation credits</w:t>
      </w:r>
    </w:p>
    <w:p w:rsidR="00357620" w:rsidRDefault="00357620" w:rsidP="00357620">
      <w:r>
        <w:t>Attachment 5 – regulatory depreciation</w:t>
      </w:r>
    </w:p>
    <w:p w:rsidR="00357620" w:rsidRDefault="00357620" w:rsidP="00357620">
      <w:r>
        <w:t>Attachment 6 – capital expenditure</w:t>
      </w:r>
      <w:r w:rsidRPr="0012445F">
        <w:t xml:space="preserve"> </w:t>
      </w:r>
    </w:p>
    <w:p w:rsidR="00357620" w:rsidRDefault="00357620" w:rsidP="00357620">
      <w:r>
        <w:t>Attachment 7 – operating expenditure</w:t>
      </w:r>
    </w:p>
    <w:p w:rsidR="00357620" w:rsidRDefault="00357620" w:rsidP="00357620">
      <w:r>
        <w:t>Attachment 8 – corporate income tax</w:t>
      </w:r>
    </w:p>
    <w:p w:rsidR="00357620" w:rsidRDefault="00357620" w:rsidP="00357620">
      <w:r>
        <w:t>Attachment 9 – efficiency benefit sharing scheme</w:t>
      </w:r>
    </w:p>
    <w:p w:rsidR="00357620" w:rsidRDefault="00357620" w:rsidP="00357620">
      <w:r w:rsidRPr="00DF268E">
        <w:t xml:space="preserve">Attachment </w:t>
      </w:r>
      <w:r>
        <w:t>10</w:t>
      </w:r>
      <w:r w:rsidRPr="00DF268E">
        <w:t xml:space="preserve"> –</w:t>
      </w:r>
      <w:r>
        <w:t xml:space="preserve"> capital expenditure sharing scheme</w:t>
      </w:r>
    </w:p>
    <w:p w:rsidR="00357620" w:rsidRDefault="00357620" w:rsidP="00357620">
      <w:r w:rsidRPr="00DF268E">
        <w:t>Attachment 1</w:t>
      </w:r>
      <w:r>
        <w:t>1 – service target performance incentive scheme</w:t>
      </w:r>
    </w:p>
    <w:p w:rsidR="00357620" w:rsidRDefault="00357620" w:rsidP="00357620">
      <w:r w:rsidRPr="00DF268E">
        <w:t>Attachment 1</w:t>
      </w:r>
      <w:r>
        <w:t>2</w:t>
      </w:r>
      <w:r w:rsidRPr="00DF268E">
        <w:t xml:space="preserve"> –</w:t>
      </w:r>
      <w:r>
        <w:t xml:space="preserve"> pricing methodology</w:t>
      </w:r>
    </w:p>
    <w:p w:rsidR="00357620" w:rsidRPr="001E5109" w:rsidRDefault="00357620" w:rsidP="00357620">
      <w:r w:rsidRPr="001E5109">
        <w:t>Attachment 1</w:t>
      </w:r>
      <w:r>
        <w:t>3</w:t>
      </w:r>
      <w:r w:rsidRPr="001E5109">
        <w:t xml:space="preserve"> – </w:t>
      </w:r>
      <w:r>
        <w:t>pass through events</w:t>
      </w:r>
    </w:p>
    <w:p w:rsidR="00357620" w:rsidRPr="001E5109" w:rsidRDefault="00357620" w:rsidP="00357620">
      <w:r w:rsidRPr="001E5109">
        <w:t>Attachment 1</w:t>
      </w:r>
      <w:r>
        <w:t>4</w:t>
      </w:r>
      <w:r w:rsidRPr="001E5109">
        <w:t xml:space="preserve"> – </w:t>
      </w:r>
      <w:r>
        <w:t>negotiated services</w:t>
      </w:r>
    </w:p>
    <w:p w:rsidR="00357620" w:rsidRPr="009528E7" w:rsidRDefault="00357620" w:rsidP="00357620">
      <w:pPr>
        <w:pStyle w:val="UnnumberedHeading"/>
        <w:numPr>
          <w:ilvl w:val="0"/>
          <w:numId w:val="2"/>
        </w:numPr>
      </w:pPr>
      <w:bookmarkStart w:id="2" w:name="_Toc403125508"/>
      <w:bookmarkStart w:id="3" w:name="_Toc403403331"/>
      <w:bookmarkStart w:id="4" w:name="_Toc404752306"/>
      <w:r w:rsidRPr="009528E7">
        <w:lastRenderedPageBreak/>
        <w:t>Contents</w:t>
      </w:r>
      <w:bookmarkEnd w:id="2"/>
      <w:bookmarkEnd w:id="3"/>
      <w:bookmarkEnd w:id="4"/>
    </w:p>
    <w:sdt>
      <w:sdtPr>
        <w:rPr>
          <w:b w:val="0"/>
          <w:bCs w:val="0"/>
        </w:rPr>
        <w:id w:val="1963686839"/>
        <w:docPartObj>
          <w:docPartGallery w:val="Table of Contents"/>
          <w:docPartUnique/>
        </w:docPartObj>
      </w:sdtPr>
      <w:sdtEndPr/>
      <w:sdtContent>
        <w:p w:rsidR="009076D0" w:rsidRDefault="00357620">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Pr="00357620">
            <w:instrText xml:space="preserve"> TOC \o \h \z \u </w:instrText>
          </w:r>
          <w:r>
            <w:fldChar w:fldCharType="separate"/>
          </w:r>
          <w:hyperlink w:anchor="_Toc404752305" w:history="1">
            <w:r w:rsidR="009076D0" w:rsidRPr="0025498D">
              <w:rPr>
                <w:rStyle w:val="Hyperlink"/>
                <w:noProof/>
              </w:rPr>
              <w:t>Note</w:t>
            </w:r>
            <w:r w:rsidR="009076D0">
              <w:rPr>
                <w:noProof/>
                <w:webHidden/>
              </w:rPr>
              <w:tab/>
            </w:r>
            <w:r w:rsidR="009076D0">
              <w:rPr>
                <w:noProof/>
                <w:webHidden/>
              </w:rPr>
              <w:fldChar w:fldCharType="begin"/>
            </w:r>
            <w:r w:rsidR="009076D0">
              <w:rPr>
                <w:noProof/>
                <w:webHidden/>
              </w:rPr>
              <w:instrText xml:space="preserve"> PAGEREF _Toc404752305 \h </w:instrText>
            </w:r>
            <w:r w:rsidR="009076D0">
              <w:rPr>
                <w:noProof/>
                <w:webHidden/>
              </w:rPr>
            </w:r>
            <w:r w:rsidR="009076D0">
              <w:rPr>
                <w:noProof/>
                <w:webHidden/>
              </w:rPr>
              <w:fldChar w:fldCharType="separate"/>
            </w:r>
            <w:r w:rsidR="002E7B38">
              <w:rPr>
                <w:noProof/>
                <w:webHidden/>
              </w:rPr>
              <w:t>5-3</w:t>
            </w:r>
            <w:r w:rsidR="009076D0">
              <w:rPr>
                <w:noProof/>
                <w:webHidden/>
              </w:rPr>
              <w:fldChar w:fldCharType="end"/>
            </w:r>
          </w:hyperlink>
        </w:p>
        <w:p w:rsidR="009076D0" w:rsidRDefault="001600AA">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752306" w:history="1">
            <w:r w:rsidR="009076D0" w:rsidRPr="0025498D">
              <w:rPr>
                <w:rStyle w:val="Hyperlink"/>
                <w:noProof/>
              </w:rPr>
              <w:t>Contents</w:t>
            </w:r>
            <w:r w:rsidR="009076D0">
              <w:rPr>
                <w:noProof/>
                <w:webHidden/>
              </w:rPr>
              <w:tab/>
            </w:r>
            <w:r w:rsidR="009076D0">
              <w:rPr>
                <w:noProof/>
                <w:webHidden/>
              </w:rPr>
              <w:fldChar w:fldCharType="begin"/>
            </w:r>
            <w:r w:rsidR="009076D0">
              <w:rPr>
                <w:noProof/>
                <w:webHidden/>
              </w:rPr>
              <w:instrText xml:space="preserve"> PAGEREF _Toc404752306 \h </w:instrText>
            </w:r>
            <w:r w:rsidR="009076D0">
              <w:rPr>
                <w:noProof/>
                <w:webHidden/>
              </w:rPr>
            </w:r>
            <w:r w:rsidR="009076D0">
              <w:rPr>
                <w:noProof/>
                <w:webHidden/>
              </w:rPr>
              <w:fldChar w:fldCharType="separate"/>
            </w:r>
            <w:r w:rsidR="002E7B38">
              <w:rPr>
                <w:noProof/>
                <w:webHidden/>
              </w:rPr>
              <w:t>5-4</w:t>
            </w:r>
            <w:r w:rsidR="009076D0">
              <w:rPr>
                <w:noProof/>
                <w:webHidden/>
              </w:rPr>
              <w:fldChar w:fldCharType="end"/>
            </w:r>
          </w:hyperlink>
        </w:p>
        <w:p w:rsidR="009076D0" w:rsidRDefault="001600AA">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752307" w:history="1">
            <w:r w:rsidR="009076D0" w:rsidRPr="0025498D">
              <w:rPr>
                <w:rStyle w:val="Hyperlink"/>
                <w:noProof/>
              </w:rPr>
              <w:t>Shortened forms</w:t>
            </w:r>
            <w:r w:rsidR="009076D0">
              <w:rPr>
                <w:noProof/>
                <w:webHidden/>
              </w:rPr>
              <w:tab/>
            </w:r>
            <w:r w:rsidR="009076D0">
              <w:rPr>
                <w:noProof/>
                <w:webHidden/>
              </w:rPr>
              <w:fldChar w:fldCharType="begin"/>
            </w:r>
            <w:r w:rsidR="009076D0">
              <w:rPr>
                <w:noProof/>
                <w:webHidden/>
              </w:rPr>
              <w:instrText xml:space="preserve"> PAGEREF _Toc404752307 \h </w:instrText>
            </w:r>
            <w:r w:rsidR="009076D0">
              <w:rPr>
                <w:noProof/>
                <w:webHidden/>
              </w:rPr>
            </w:r>
            <w:r w:rsidR="009076D0">
              <w:rPr>
                <w:noProof/>
                <w:webHidden/>
              </w:rPr>
              <w:fldChar w:fldCharType="separate"/>
            </w:r>
            <w:r w:rsidR="002E7B38">
              <w:rPr>
                <w:noProof/>
                <w:webHidden/>
              </w:rPr>
              <w:t>5-5</w:t>
            </w:r>
            <w:r w:rsidR="009076D0">
              <w:rPr>
                <w:noProof/>
                <w:webHidden/>
              </w:rPr>
              <w:fldChar w:fldCharType="end"/>
            </w:r>
          </w:hyperlink>
        </w:p>
        <w:p w:rsidR="009076D0" w:rsidRDefault="001600A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752308" w:history="1">
            <w:r w:rsidR="009076D0" w:rsidRPr="0025498D">
              <w:rPr>
                <w:rStyle w:val="Hyperlink"/>
                <w:noProof/>
              </w:rPr>
              <w:t>5</w:t>
            </w:r>
            <w:r w:rsidR="009076D0">
              <w:rPr>
                <w:rFonts w:asciiTheme="minorHAnsi" w:eastAsiaTheme="minorEastAsia" w:hAnsiTheme="minorHAnsi" w:cstheme="minorBidi"/>
                <w:b w:val="0"/>
                <w:bCs w:val="0"/>
                <w:noProof/>
                <w:sz w:val="22"/>
                <w:szCs w:val="22"/>
                <w:lang w:eastAsia="en-AU"/>
              </w:rPr>
              <w:tab/>
            </w:r>
            <w:r w:rsidR="009076D0" w:rsidRPr="0025498D">
              <w:rPr>
                <w:rStyle w:val="Hyperlink"/>
                <w:noProof/>
              </w:rPr>
              <w:t>Regulatory depreciation</w:t>
            </w:r>
            <w:r w:rsidR="009076D0">
              <w:rPr>
                <w:noProof/>
                <w:webHidden/>
              </w:rPr>
              <w:tab/>
            </w:r>
            <w:r w:rsidR="009076D0">
              <w:rPr>
                <w:noProof/>
                <w:webHidden/>
              </w:rPr>
              <w:fldChar w:fldCharType="begin"/>
            </w:r>
            <w:r w:rsidR="009076D0">
              <w:rPr>
                <w:noProof/>
                <w:webHidden/>
              </w:rPr>
              <w:instrText xml:space="preserve"> PAGEREF _Toc404752308 \h </w:instrText>
            </w:r>
            <w:r w:rsidR="009076D0">
              <w:rPr>
                <w:noProof/>
                <w:webHidden/>
              </w:rPr>
            </w:r>
            <w:r w:rsidR="009076D0">
              <w:rPr>
                <w:noProof/>
                <w:webHidden/>
              </w:rPr>
              <w:fldChar w:fldCharType="separate"/>
            </w:r>
            <w:r w:rsidR="002E7B38">
              <w:rPr>
                <w:noProof/>
                <w:webHidden/>
              </w:rPr>
              <w:t>5-9</w:t>
            </w:r>
            <w:r w:rsidR="009076D0">
              <w:rPr>
                <w:noProof/>
                <w:webHidden/>
              </w:rPr>
              <w:fldChar w:fldCharType="end"/>
            </w:r>
          </w:hyperlink>
        </w:p>
        <w:p w:rsidR="009076D0" w:rsidRDefault="001600A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309" w:history="1">
            <w:r w:rsidR="009076D0" w:rsidRPr="0025498D">
              <w:rPr>
                <w:rStyle w:val="Hyperlink"/>
                <w:noProof/>
              </w:rPr>
              <w:t>5.1</w:t>
            </w:r>
            <w:r w:rsidR="009076D0">
              <w:rPr>
                <w:rFonts w:asciiTheme="minorHAnsi" w:eastAsiaTheme="minorEastAsia" w:hAnsiTheme="minorHAnsi" w:cstheme="minorBidi"/>
                <w:iCs w:val="0"/>
                <w:noProof/>
                <w:sz w:val="22"/>
                <w:szCs w:val="22"/>
                <w:lang w:eastAsia="en-AU"/>
              </w:rPr>
              <w:tab/>
            </w:r>
            <w:r w:rsidR="009076D0" w:rsidRPr="0025498D">
              <w:rPr>
                <w:rStyle w:val="Hyperlink"/>
                <w:noProof/>
              </w:rPr>
              <w:t>Draft decision</w:t>
            </w:r>
            <w:r w:rsidR="009076D0">
              <w:rPr>
                <w:noProof/>
                <w:webHidden/>
              </w:rPr>
              <w:tab/>
            </w:r>
            <w:r w:rsidR="009076D0">
              <w:rPr>
                <w:noProof/>
                <w:webHidden/>
              </w:rPr>
              <w:fldChar w:fldCharType="begin"/>
            </w:r>
            <w:r w:rsidR="009076D0">
              <w:rPr>
                <w:noProof/>
                <w:webHidden/>
              </w:rPr>
              <w:instrText xml:space="preserve"> PAGEREF _Toc404752309 \h </w:instrText>
            </w:r>
            <w:r w:rsidR="009076D0">
              <w:rPr>
                <w:noProof/>
                <w:webHidden/>
              </w:rPr>
            </w:r>
            <w:r w:rsidR="009076D0">
              <w:rPr>
                <w:noProof/>
                <w:webHidden/>
              </w:rPr>
              <w:fldChar w:fldCharType="separate"/>
            </w:r>
            <w:r w:rsidR="002E7B38">
              <w:rPr>
                <w:noProof/>
                <w:webHidden/>
              </w:rPr>
              <w:t>5-9</w:t>
            </w:r>
            <w:r w:rsidR="009076D0">
              <w:rPr>
                <w:noProof/>
                <w:webHidden/>
              </w:rPr>
              <w:fldChar w:fldCharType="end"/>
            </w:r>
          </w:hyperlink>
        </w:p>
        <w:p w:rsidR="009076D0" w:rsidRDefault="001600A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310" w:history="1">
            <w:r w:rsidR="009076D0" w:rsidRPr="0025498D">
              <w:rPr>
                <w:rStyle w:val="Hyperlink"/>
                <w:noProof/>
              </w:rPr>
              <w:t>5.2</w:t>
            </w:r>
            <w:r w:rsidR="009076D0">
              <w:rPr>
                <w:rFonts w:asciiTheme="minorHAnsi" w:eastAsiaTheme="minorEastAsia" w:hAnsiTheme="minorHAnsi" w:cstheme="minorBidi"/>
                <w:iCs w:val="0"/>
                <w:noProof/>
                <w:sz w:val="22"/>
                <w:szCs w:val="22"/>
                <w:lang w:eastAsia="en-AU"/>
              </w:rPr>
              <w:tab/>
            </w:r>
            <w:r w:rsidR="009076D0" w:rsidRPr="0025498D">
              <w:rPr>
                <w:rStyle w:val="Hyperlink"/>
                <w:noProof/>
              </w:rPr>
              <w:t>TasNetworks' proposal</w:t>
            </w:r>
            <w:r w:rsidR="009076D0">
              <w:rPr>
                <w:noProof/>
                <w:webHidden/>
              </w:rPr>
              <w:tab/>
            </w:r>
            <w:r w:rsidR="009076D0">
              <w:rPr>
                <w:noProof/>
                <w:webHidden/>
              </w:rPr>
              <w:fldChar w:fldCharType="begin"/>
            </w:r>
            <w:r w:rsidR="009076D0">
              <w:rPr>
                <w:noProof/>
                <w:webHidden/>
              </w:rPr>
              <w:instrText xml:space="preserve"> PAGEREF _Toc404752310 \h </w:instrText>
            </w:r>
            <w:r w:rsidR="009076D0">
              <w:rPr>
                <w:noProof/>
                <w:webHidden/>
              </w:rPr>
            </w:r>
            <w:r w:rsidR="009076D0">
              <w:rPr>
                <w:noProof/>
                <w:webHidden/>
              </w:rPr>
              <w:fldChar w:fldCharType="separate"/>
            </w:r>
            <w:r w:rsidR="002E7B38">
              <w:rPr>
                <w:noProof/>
                <w:webHidden/>
              </w:rPr>
              <w:t>5-10</w:t>
            </w:r>
            <w:r w:rsidR="009076D0">
              <w:rPr>
                <w:noProof/>
                <w:webHidden/>
              </w:rPr>
              <w:fldChar w:fldCharType="end"/>
            </w:r>
          </w:hyperlink>
        </w:p>
        <w:p w:rsidR="009076D0" w:rsidRDefault="001600A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311" w:history="1">
            <w:r w:rsidR="009076D0" w:rsidRPr="0025498D">
              <w:rPr>
                <w:rStyle w:val="Hyperlink"/>
                <w:noProof/>
              </w:rPr>
              <w:t>5.3</w:t>
            </w:r>
            <w:r w:rsidR="009076D0">
              <w:rPr>
                <w:rFonts w:asciiTheme="minorHAnsi" w:eastAsiaTheme="minorEastAsia" w:hAnsiTheme="minorHAnsi" w:cstheme="minorBidi"/>
                <w:iCs w:val="0"/>
                <w:noProof/>
                <w:sz w:val="22"/>
                <w:szCs w:val="22"/>
                <w:lang w:eastAsia="en-AU"/>
              </w:rPr>
              <w:tab/>
            </w:r>
            <w:r w:rsidR="009076D0" w:rsidRPr="0025498D">
              <w:rPr>
                <w:rStyle w:val="Hyperlink"/>
                <w:noProof/>
              </w:rPr>
              <w:t>AER's assessment approach</w:t>
            </w:r>
            <w:r w:rsidR="009076D0">
              <w:rPr>
                <w:noProof/>
                <w:webHidden/>
              </w:rPr>
              <w:tab/>
            </w:r>
            <w:r w:rsidR="009076D0">
              <w:rPr>
                <w:noProof/>
                <w:webHidden/>
              </w:rPr>
              <w:fldChar w:fldCharType="begin"/>
            </w:r>
            <w:r w:rsidR="009076D0">
              <w:rPr>
                <w:noProof/>
                <w:webHidden/>
              </w:rPr>
              <w:instrText xml:space="preserve"> PAGEREF _Toc404752311 \h </w:instrText>
            </w:r>
            <w:r w:rsidR="009076D0">
              <w:rPr>
                <w:noProof/>
                <w:webHidden/>
              </w:rPr>
            </w:r>
            <w:r w:rsidR="009076D0">
              <w:rPr>
                <w:noProof/>
                <w:webHidden/>
              </w:rPr>
              <w:fldChar w:fldCharType="separate"/>
            </w:r>
            <w:r w:rsidR="002E7B38">
              <w:rPr>
                <w:noProof/>
                <w:webHidden/>
              </w:rPr>
              <w:t>5-10</w:t>
            </w:r>
            <w:r w:rsidR="009076D0">
              <w:rPr>
                <w:noProof/>
                <w:webHidden/>
              </w:rPr>
              <w:fldChar w:fldCharType="end"/>
            </w:r>
          </w:hyperlink>
        </w:p>
        <w:p w:rsidR="009076D0" w:rsidRDefault="001600A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312" w:history="1">
            <w:r w:rsidR="009076D0" w:rsidRPr="0025498D">
              <w:rPr>
                <w:rStyle w:val="Hyperlink"/>
                <w:noProof/>
              </w:rPr>
              <w:t>5.3.1</w:t>
            </w:r>
            <w:r w:rsidR="009076D0">
              <w:rPr>
                <w:rFonts w:asciiTheme="minorHAnsi" w:eastAsiaTheme="minorEastAsia" w:hAnsiTheme="minorHAnsi" w:cstheme="minorBidi"/>
                <w:noProof/>
                <w:sz w:val="22"/>
                <w:szCs w:val="22"/>
                <w:lang w:eastAsia="en-AU"/>
              </w:rPr>
              <w:tab/>
            </w:r>
            <w:r w:rsidR="009076D0" w:rsidRPr="0025498D">
              <w:rPr>
                <w:rStyle w:val="Hyperlink"/>
                <w:noProof/>
              </w:rPr>
              <w:t>Interrelationships</w:t>
            </w:r>
            <w:r w:rsidR="009076D0">
              <w:rPr>
                <w:noProof/>
                <w:webHidden/>
              </w:rPr>
              <w:tab/>
            </w:r>
            <w:r w:rsidR="009076D0">
              <w:rPr>
                <w:noProof/>
                <w:webHidden/>
              </w:rPr>
              <w:fldChar w:fldCharType="begin"/>
            </w:r>
            <w:r w:rsidR="009076D0">
              <w:rPr>
                <w:noProof/>
                <w:webHidden/>
              </w:rPr>
              <w:instrText xml:space="preserve"> PAGEREF _Toc404752312 \h </w:instrText>
            </w:r>
            <w:r w:rsidR="009076D0">
              <w:rPr>
                <w:noProof/>
                <w:webHidden/>
              </w:rPr>
            </w:r>
            <w:r w:rsidR="009076D0">
              <w:rPr>
                <w:noProof/>
                <w:webHidden/>
              </w:rPr>
              <w:fldChar w:fldCharType="separate"/>
            </w:r>
            <w:r w:rsidR="002E7B38">
              <w:rPr>
                <w:noProof/>
                <w:webHidden/>
              </w:rPr>
              <w:t>5-12</w:t>
            </w:r>
            <w:r w:rsidR="009076D0">
              <w:rPr>
                <w:noProof/>
                <w:webHidden/>
              </w:rPr>
              <w:fldChar w:fldCharType="end"/>
            </w:r>
          </w:hyperlink>
        </w:p>
        <w:p w:rsidR="009076D0" w:rsidRDefault="001600A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313" w:history="1">
            <w:r w:rsidR="009076D0" w:rsidRPr="0025498D">
              <w:rPr>
                <w:rStyle w:val="Hyperlink"/>
                <w:noProof/>
              </w:rPr>
              <w:t>5.4</w:t>
            </w:r>
            <w:r w:rsidR="009076D0">
              <w:rPr>
                <w:rFonts w:asciiTheme="minorHAnsi" w:eastAsiaTheme="minorEastAsia" w:hAnsiTheme="minorHAnsi" w:cstheme="minorBidi"/>
                <w:iCs w:val="0"/>
                <w:noProof/>
                <w:sz w:val="22"/>
                <w:szCs w:val="22"/>
                <w:lang w:eastAsia="en-AU"/>
              </w:rPr>
              <w:tab/>
            </w:r>
            <w:r w:rsidR="009076D0" w:rsidRPr="0025498D">
              <w:rPr>
                <w:rStyle w:val="Hyperlink"/>
                <w:noProof/>
              </w:rPr>
              <w:t>Reasons for draft decision</w:t>
            </w:r>
            <w:r w:rsidR="009076D0">
              <w:rPr>
                <w:noProof/>
                <w:webHidden/>
              </w:rPr>
              <w:tab/>
            </w:r>
            <w:r w:rsidR="009076D0">
              <w:rPr>
                <w:noProof/>
                <w:webHidden/>
              </w:rPr>
              <w:fldChar w:fldCharType="begin"/>
            </w:r>
            <w:r w:rsidR="009076D0">
              <w:rPr>
                <w:noProof/>
                <w:webHidden/>
              </w:rPr>
              <w:instrText xml:space="preserve"> PAGEREF _Toc404752313 \h </w:instrText>
            </w:r>
            <w:r w:rsidR="009076D0">
              <w:rPr>
                <w:noProof/>
                <w:webHidden/>
              </w:rPr>
            </w:r>
            <w:r w:rsidR="009076D0">
              <w:rPr>
                <w:noProof/>
                <w:webHidden/>
              </w:rPr>
              <w:fldChar w:fldCharType="separate"/>
            </w:r>
            <w:r w:rsidR="002E7B38">
              <w:rPr>
                <w:noProof/>
                <w:webHidden/>
              </w:rPr>
              <w:t>5-12</w:t>
            </w:r>
            <w:r w:rsidR="009076D0">
              <w:rPr>
                <w:noProof/>
                <w:webHidden/>
              </w:rPr>
              <w:fldChar w:fldCharType="end"/>
            </w:r>
          </w:hyperlink>
        </w:p>
        <w:p w:rsidR="009076D0" w:rsidRDefault="001600A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314" w:history="1">
            <w:r w:rsidR="009076D0" w:rsidRPr="0025498D">
              <w:rPr>
                <w:rStyle w:val="Hyperlink"/>
                <w:noProof/>
              </w:rPr>
              <w:t>5.4.1</w:t>
            </w:r>
            <w:r w:rsidR="009076D0">
              <w:rPr>
                <w:rFonts w:asciiTheme="minorHAnsi" w:eastAsiaTheme="minorEastAsia" w:hAnsiTheme="minorHAnsi" w:cstheme="minorBidi"/>
                <w:noProof/>
                <w:sz w:val="22"/>
                <w:szCs w:val="22"/>
                <w:lang w:eastAsia="en-AU"/>
              </w:rPr>
              <w:tab/>
            </w:r>
            <w:r w:rsidR="009076D0" w:rsidRPr="0025498D">
              <w:rPr>
                <w:rStyle w:val="Hyperlink"/>
                <w:noProof/>
              </w:rPr>
              <w:t>Standard asset lives</w:t>
            </w:r>
            <w:r w:rsidR="009076D0">
              <w:rPr>
                <w:noProof/>
                <w:webHidden/>
              </w:rPr>
              <w:tab/>
            </w:r>
            <w:r w:rsidR="009076D0">
              <w:rPr>
                <w:noProof/>
                <w:webHidden/>
              </w:rPr>
              <w:fldChar w:fldCharType="begin"/>
            </w:r>
            <w:r w:rsidR="009076D0">
              <w:rPr>
                <w:noProof/>
                <w:webHidden/>
              </w:rPr>
              <w:instrText xml:space="preserve"> PAGEREF _Toc404752314 \h </w:instrText>
            </w:r>
            <w:r w:rsidR="009076D0">
              <w:rPr>
                <w:noProof/>
                <w:webHidden/>
              </w:rPr>
            </w:r>
            <w:r w:rsidR="009076D0">
              <w:rPr>
                <w:noProof/>
                <w:webHidden/>
              </w:rPr>
              <w:fldChar w:fldCharType="separate"/>
            </w:r>
            <w:r w:rsidR="002E7B38">
              <w:rPr>
                <w:noProof/>
                <w:webHidden/>
              </w:rPr>
              <w:t>5-12</w:t>
            </w:r>
            <w:r w:rsidR="009076D0">
              <w:rPr>
                <w:noProof/>
                <w:webHidden/>
              </w:rPr>
              <w:fldChar w:fldCharType="end"/>
            </w:r>
          </w:hyperlink>
        </w:p>
        <w:p w:rsidR="009076D0" w:rsidRDefault="001600A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315" w:history="1">
            <w:r w:rsidR="009076D0" w:rsidRPr="0025498D">
              <w:rPr>
                <w:rStyle w:val="Hyperlink"/>
                <w:noProof/>
              </w:rPr>
              <w:t>5.4.2</w:t>
            </w:r>
            <w:r w:rsidR="009076D0">
              <w:rPr>
                <w:rFonts w:asciiTheme="minorHAnsi" w:eastAsiaTheme="minorEastAsia" w:hAnsiTheme="minorHAnsi" w:cstheme="minorBidi"/>
                <w:noProof/>
                <w:sz w:val="22"/>
                <w:szCs w:val="22"/>
                <w:lang w:eastAsia="en-AU"/>
              </w:rPr>
              <w:tab/>
            </w:r>
            <w:r w:rsidR="009076D0" w:rsidRPr="0025498D">
              <w:rPr>
                <w:rStyle w:val="Hyperlink"/>
                <w:noProof/>
              </w:rPr>
              <w:t>Remaining asset lives</w:t>
            </w:r>
            <w:r w:rsidR="009076D0">
              <w:rPr>
                <w:noProof/>
                <w:webHidden/>
              </w:rPr>
              <w:tab/>
            </w:r>
            <w:r w:rsidR="009076D0">
              <w:rPr>
                <w:noProof/>
                <w:webHidden/>
              </w:rPr>
              <w:fldChar w:fldCharType="begin"/>
            </w:r>
            <w:r w:rsidR="009076D0">
              <w:rPr>
                <w:noProof/>
                <w:webHidden/>
              </w:rPr>
              <w:instrText xml:space="preserve"> PAGEREF _Toc404752315 \h </w:instrText>
            </w:r>
            <w:r w:rsidR="009076D0">
              <w:rPr>
                <w:noProof/>
                <w:webHidden/>
              </w:rPr>
            </w:r>
            <w:r w:rsidR="009076D0">
              <w:rPr>
                <w:noProof/>
                <w:webHidden/>
              </w:rPr>
              <w:fldChar w:fldCharType="separate"/>
            </w:r>
            <w:r w:rsidR="002E7B38">
              <w:rPr>
                <w:noProof/>
                <w:webHidden/>
              </w:rPr>
              <w:t>5-13</w:t>
            </w:r>
            <w:r w:rsidR="009076D0">
              <w:rPr>
                <w:noProof/>
                <w:webHidden/>
              </w:rPr>
              <w:fldChar w:fldCharType="end"/>
            </w:r>
          </w:hyperlink>
        </w:p>
        <w:p w:rsidR="00357620" w:rsidRPr="00E2590B" w:rsidRDefault="00357620" w:rsidP="00357620">
          <w:r>
            <w:fldChar w:fldCharType="end"/>
          </w:r>
        </w:p>
      </w:sdtContent>
    </w:sdt>
    <w:p w:rsidR="00357620" w:rsidRDefault="00357620" w:rsidP="00357620">
      <w:r>
        <w:br w:type="page"/>
      </w:r>
    </w:p>
    <w:p w:rsidR="00357620" w:rsidRDefault="00357620" w:rsidP="00357620">
      <w:pPr>
        <w:pStyle w:val="UnnumberedHeading"/>
        <w:numPr>
          <w:ilvl w:val="0"/>
          <w:numId w:val="2"/>
        </w:numPr>
      </w:pPr>
      <w:bookmarkStart w:id="5" w:name="_Toc402981661"/>
      <w:bookmarkStart w:id="6" w:name="_Toc403403332"/>
      <w:bookmarkStart w:id="7" w:name="_Toc404752307"/>
      <w:r>
        <w:lastRenderedPageBreak/>
        <w:t>Shortened forms</w:t>
      </w:r>
      <w:bookmarkEnd w:id="5"/>
      <w:bookmarkEnd w:id="6"/>
      <w:bookmarkEnd w:id="7"/>
    </w:p>
    <w:tbl>
      <w:tblPr>
        <w:tblStyle w:val="AERtable-numbers"/>
        <w:tblW w:w="0" w:type="auto"/>
        <w:tblLook w:val="04A0" w:firstRow="1" w:lastRow="0" w:firstColumn="1" w:lastColumn="0" w:noHBand="0" w:noVBand="1"/>
      </w:tblPr>
      <w:tblGrid>
        <w:gridCol w:w="4621"/>
        <w:gridCol w:w="4621"/>
      </w:tblGrid>
      <w:tr w:rsidR="004E1273" w:rsidTr="003158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Shortened form</w:t>
            </w:r>
          </w:p>
        </w:tc>
        <w:tc>
          <w:tcPr>
            <w:tcW w:w="4621" w:type="dxa"/>
          </w:tcPr>
          <w:p w:rsidR="004E1273" w:rsidRDefault="004E1273" w:rsidP="004E1273">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AARR</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AASB</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Australian Accounting Standards Board</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ABS</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Australian Bureau of Statistics</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AEMC</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AEMO</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AER</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ARPC</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rsidRPr="005D1E67">
              <w:t>Australian Reinsurance Pool Corporation</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ASRR</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aggregate service revenue requirement</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ASX</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Australian Stock Exchange</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ATO</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Australian Tax Office</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augex</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augmentation expenditure</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Benchmarking report</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 xml:space="preserve">AER, </w:t>
            </w:r>
            <w:r w:rsidRPr="002959A4">
              <w:rPr>
                <w:rStyle w:val="AERtextitalic"/>
              </w:rPr>
              <w:t>Electricity transmission network service providers annual benchmarking report</w:t>
            </w:r>
            <w:r>
              <w:t>, November 2014</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capex</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capex incentive guideline</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rsidRPr="00F007E7">
              <w:t xml:space="preserve">AER, </w:t>
            </w:r>
            <w:r w:rsidRPr="004A7AE9">
              <w:rPr>
                <w:rStyle w:val="AERtextitalic"/>
              </w:rPr>
              <w:t>Capital Expenditure Incentive Guideline for Electricity Network Service Providers</w:t>
            </w:r>
            <w:r w:rsidRPr="00F007E7">
              <w:t>, November 2013</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CCP</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Consumer Challenge Panel</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CEG</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Competition Economics Group</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CESS</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CPI</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DAE</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Deloitte Access Economic</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DRP</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EBA</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enterprise bargaining agreement</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lastRenderedPageBreak/>
              <w:t>EBSS</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efficiency benefit sharing scheme</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EGWWS</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electricity, gas, water and waste services</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EMCa</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Energy Market Consulting associates</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ERA</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Economic Regulation Authority of Western Australia</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ERP</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EUAA</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Energy Users Association of Australia</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Guideline</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 xml:space="preserve">AER, </w:t>
            </w:r>
            <w:r w:rsidRPr="000E4CB3">
              <w:rPr>
                <w:rStyle w:val="AERtextitalic"/>
              </w:rPr>
              <w:t xml:space="preserve">Expenditure </w:t>
            </w:r>
            <w:r>
              <w:rPr>
                <w:rStyle w:val="AERtextitalic"/>
              </w:rPr>
              <w:t>f</w:t>
            </w:r>
            <w:r w:rsidRPr="000E4CB3">
              <w:rPr>
                <w:rStyle w:val="AERtextitalic"/>
              </w:rPr>
              <w:t>orecast</w:t>
            </w:r>
            <w:r>
              <w:rPr>
                <w:rStyle w:val="AERtextitalic"/>
              </w:rPr>
              <w:t xml:space="preserve"> a</w:t>
            </w:r>
            <w:r w:rsidRPr="000E4CB3">
              <w:rPr>
                <w:rStyle w:val="AERtextitalic"/>
              </w:rPr>
              <w:t xml:space="preserve">ssessment </w:t>
            </w:r>
            <w:r>
              <w:rPr>
                <w:rStyle w:val="AERtextitalic"/>
              </w:rPr>
              <w:t>g</w:t>
            </w:r>
            <w:r w:rsidRPr="000E4CB3">
              <w:rPr>
                <w:rStyle w:val="AERtextitalic"/>
              </w:rPr>
              <w:t xml:space="preserve">uideline for </w:t>
            </w:r>
            <w:r>
              <w:rPr>
                <w:rStyle w:val="AERtextitalic"/>
              </w:rPr>
              <w:t>e</w:t>
            </w:r>
            <w:r w:rsidRPr="000E4CB3">
              <w:rPr>
                <w:rStyle w:val="AERtextitalic"/>
              </w:rPr>
              <w:t xml:space="preserve">lectricity </w:t>
            </w:r>
            <w:r>
              <w:rPr>
                <w:rStyle w:val="AERtextitalic"/>
              </w:rPr>
              <w:t>t</w:t>
            </w:r>
            <w:r w:rsidRPr="000E4CB3">
              <w:rPr>
                <w:rStyle w:val="AERtextitalic"/>
              </w:rPr>
              <w:t>ransmission</w:t>
            </w:r>
            <w:r>
              <w:t>, November 2013</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JGN</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Jemena Gas Networks</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MAR</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maximum allowed revenue</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MEU</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Major Energy Users</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MJA</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Marsden Jacob Associates</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MRP</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MTFP</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multilateral total factor productivity</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MW</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megawatts</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NEL</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NEM</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NEO</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NER</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NERA</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NERA Economic Consulting</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NSP</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network service provider</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NTNDP</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National Transmission Network Development Plan</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NTSC</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lastRenderedPageBreak/>
              <w:t>NSW</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New South Wales</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opex</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PFP</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partial factor productivity</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PPI</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PPI</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producer price index</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PTRM</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QCA</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Queensland Competition Authority</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RAB</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RBA</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repex</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replacement expenditure</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RFM</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RIN</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RPP</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revenue and pricing principles</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SFG</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SFG Consulting</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SLCAPM</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STPIS</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TFP</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total factor productivity</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TNSP</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TSBC</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Tasmanian Small Business Council</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TUoS</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transmission use of system</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version one of the EBSS</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 xml:space="preserve">AER, </w:t>
            </w:r>
            <w:r w:rsidRPr="00135689">
              <w:rPr>
                <w:rStyle w:val="AERtextitalic"/>
              </w:rPr>
              <w:t>Electricity transmission network service providers: Efficiency benefit sharing scheme</w:t>
            </w:r>
            <w:r>
              <w:t>, September 2007</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version two of the EBSS</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 xml:space="preserve">AER, </w:t>
            </w:r>
            <w:r w:rsidRPr="00EA74C7">
              <w:rPr>
                <w:rStyle w:val="AERtextitalic"/>
              </w:rPr>
              <w:t>Efficiency benefit sharing scheme for electricity network service providers</w:t>
            </w:r>
            <w:r>
              <w:t>, November 2013</w:t>
            </w:r>
          </w:p>
        </w:tc>
      </w:tr>
      <w:tr w:rsidR="004E1273"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lastRenderedPageBreak/>
              <w:t>WACC</w:t>
            </w:r>
          </w:p>
        </w:tc>
        <w:tc>
          <w:tcPr>
            <w:tcW w:w="4621" w:type="dxa"/>
          </w:tcPr>
          <w:p w:rsidR="004E1273" w:rsidRDefault="004E1273" w:rsidP="004E1273">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r w:rsidR="004E1273" w:rsidTr="0002114E">
        <w:tc>
          <w:tcPr>
            <w:cnfStyle w:val="001000000000" w:firstRow="0" w:lastRow="0" w:firstColumn="1" w:lastColumn="0" w:oddVBand="0" w:evenVBand="0" w:oddHBand="0" w:evenHBand="0" w:firstRowFirstColumn="0" w:firstRowLastColumn="0" w:lastRowFirstColumn="0" w:lastRowLastColumn="0"/>
            <w:tcW w:w="4621" w:type="dxa"/>
          </w:tcPr>
          <w:p w:rsidR="004E1273" w:rsidRDefault="004E1273" w:rsidP="004E1273">
            <w:pPr>
              <w:pStyle w:val="AERbodytext"/>
            </w:pPr>
            <w:r>
              <w:t>WPI</w:t>
            </w:r>
          </w:p>
        </w:tc>
        <w:tc>
          <w:tcPr>
            <w:tcW w:w="4621" w:type="dxa"/>
          </w:tcPr>
          <w:p w:rsidR="004E1273" w:rsidRDefault="004E1273" w:rsidP="004E1273">
            <w:pPr>
              <w:pStyle w:val="AERbodytext"/>
              <w:cnfStyle w:val="000000000000" w:firstRow="0" w:lastRow="0" w:firstColumn="0" w:lastColumn="0" w:oddVBand="0" w:evenVBand="0" w:oddHBand="0" w:evenHBand="0" w:firstRowFirstColumn="0" w:firstRowLastColumn="0" w:lastRowFirstColumn="0" w:lastRowLastColumn="0"/>
            </w:pPr>
            <w:r>
              <w:t>wage price index</w:t>
            </w:r>
          </w:p>
        </w:tc>
      </w:tr>
    </w:tbl>
    <w:p w:rsidR="00B47945" w:rsidRPr="0031588A" w:rsidRDefault="00B47945" w:rsidP="0031588A">
      <w:pPr>
        <w:pStyle w:val="Heading1"/>
      </w:pPr>
      <w:bookmarkStart w:id="8" w:name="_Toc402186982"/>
      <w:bookmarkStart w:id="9" w:name="_Toc404752308"/>
      <w:r w:rsidRPr="0031588A">
        <w:lastRenderedPageBreak/>
        <w:t>Regulatory depreciation</w:t>
      </w:r>
      <w:bookmarkEnd w:id="8"/>
      <w:bookmarkEnd w:id="9"/>
    </w:p>
    <w:p w:rsidR="00EF3952" w:rsidRPr="00592E76" w:rsidRDefault="00EF3952" w:rsidP="00EF3952">
      <w:pPr>
        <w:pStyle w:val="AERbodytext"/>
      </w:pPr>
      <w:r>
        <w:t xml:space="preserve">The AER is required to decide on the indexation of the </w:t>
      </w:r>
      <w:r w:rsidRPr="00592E76">
        <w:t>regulatory asset base (RAB) and depreciation building block</w:t>
      </w:r>
      <w:r w:rsidR="004B3DEA">
        <w:t>s</w:t>
      </w:r>
      <w:r w:rsidRPr="00592E76">
        <w:t xml:space="preserve"> for </w:t>
      </w:r>
      <w:r w:rsidRPr="005C515A">
        <w:t>T</w:t>
      </w:r>
      <w:r>
        <w:t>asNetworks</w:t>
      </w:r>
      <w:r w:rsidRPr="005C515A">
        <w:t xml:space="preserve">' </w:t>
      </w:r>
      <w:r>
        <w:t>2014–19</w:t>
      </w:r>
      <w:r w:rsidRPr="005C515A">
        <w:t xml:space="preserve"> </w:t>
      </w:r>
      <w:r>
        <w:t>period</w:t>
      </w:r>
      <w:r w:rsidRPr="00592E76">
        <w:t>.</w:t>
      </w:r>
      <w:r w:rsidRPr="00592E76">
        <w:rPr>
          <w:rStyle w:val="FootnoteReference"/>
        </w:rPr>
        <w:footnoteReference w:id="1"/>
      </w:r>
      <w:r w:rsidRPr="00592E76">
        <w:t xml:space="preserve"> The regulatory depreciation allowance (or return of capital) is the net total of the straight-line depreciation (negative) and the indexation of the RAB (positive). </w:t>
      </w:r>
    </w:p>
    <w:p w:rsidR="00EF3952" w:rsidRPr="00EF3952" w:rsidRDefault="00EF3952" w:rsidP="00EF3952">
      <w:pPr>
        <w:pStyle w:val="AERbodytext"/>
      </w:pPr>
      <w:r w:rsidRPr="00446E00">
        <w:t xml:space="preserve">This </w:t>
      </w:r>
      <w:r w:rsidRPr="00592E76">
        <w:t xml:space="preserve">attachment sets out our draft decision on </w:t>
      </w:r>
      <w:r>
        <w:t>TasNetworks</w:t>
      </w:r>
      <w:r w:rsidRPr="00592E76">
        <w:t xml:space="preserve">' regulatory depreciation allowance. It also presents our draft decision on </w:t>
      </w:r>
      <w:r>
        <w:t>the</w:t>
      </w:r>
      <w:r w:rsidRPr="00592E76">
        <w:t xml:space="preserve"> proposed depreciation schedule</w:t>
      </w:r>
      <w:r>
        <w:t>s</w:t>
      </w:r>
      <w:r w:rsidRPr="00592E76">
        <w:t xml:space="preserve">, including an assessment of the </w:t>
      </w:r>
      <w:r>
        <w:t xml:space="preserve">proposed </w:t>
      </w:r>
      <w:r w:rsidRPr="00592E76">
        <w:t xml:space="preserve">standard and remaining asset lives to be used for </w:t>
      </w:r>
      <w:r>
        <w:t xml:space="preserve">forecasting </w:t>
      </w:r>
      <w:r w:rsidRPr="00592E76">
        <w:t>depreciation</w:t>
      </w:r>
      <w:r>
        <w:t xml:space="preserve"> allowances.</w:t>
      </w:r>
    </w:p>
    <w:p w:rsidR="00B47945" w:rsidRDefault="00B47945" w:rsidP="00F0258A">
      <w:pPr>
        <w:pStyle w:val="Heading2"/>
      </w:pPr>
      <w:bookmarkStart w:id="10" w:name="_Toc402186983"/>
      <w:bookmarkStart w:id="11" w:name="_Toc404752309"/>
      <w:r w:rsidRPr="00B47945">
        <w:t>Draft decision</w:t>
      </w:r>
      <w:bookmarkEnd w:id="10"/>
      <w:bookmarkEnd w:id="11"/>
    </w:p>
    <w:p w:rsidR="00EF3952" w:rsidRDefault="00EF3952" w:rsidP="00EF3952">
      <w:pPr>
        <w:pStyle w:val="AERbodytext"/>
      </w:pPr>
      <w:r>
        <w:t>We do</w:t>
      </w:r>
      <w:r w:rsidRPr="00B63AFD">
        <w:t xml:space="preserve"> not accept </w:t>
      </w:r>
      <w:r>
        <w:t>T</w:t>
      </w:r>
      <w:r w:rsidR="008C369F">
        <w:t>asNetworks</w:t>
      </w:r>
      <w:r>
        <w:t xml:space="preserve">' </w:t>
      </w:r>
      <w:r w:rsidRPr="00B63AFD">
        <w:t xml:space="preserve">proposed regulatory depreciation allowance </w:t>
      </w:r>
      <w:r>
        <w:t>of $</w:t>
      </w:r>
      <w:r w:rsidR="0064274E">
        <w:t>113.1</w:t>
      </w:r>
      <w:r>
        <w:t xml:space="preserve"> million ($</w:t>
      </w:r>
      <w:r w:rsidR="0064274E">
        <w:t> </w:t>
      </w:r>
      <w:r>
        <w:t>nominal) for the 2014–19 period</w:t>
      </w:r>
      <w:r w:rsidRPr="00B63AFD">
        <w:t>. Instead, we determine a regulatory depreciation allowance of</w:t>
      </w:r>
      <w:r>
        <w:t xml:space="preserve"> </w:t>
      </w:r>
      <w:r w:rsidRPr="00B63AFD">
        <w:t>$</w:t>
      </w:r>
      <w:r w:rsidR="00433077">
        <w:t>115.0</w:t>
      </w:r>
      <w:r w:rsidRPr="00B63AFD">
        <w:t> million ($ nominal)</w:t>
      </w:r>
      <w:r>
        <w:t xml:space="preserve"> for T</w:t>
      </w:r>
      <w:r w:rsidR="008C369F">
        <w:t>asNetworks</w:t>
      </w:r>
      <w:r>
        <w:t>, a</w:t>
      </w:r>
      <w:r w:rsidR="00433077">
        <w:t xml:space="preserve">n increase </w:t>
      </w:r>
      <w:r>
        <w:t>of $</w:t>
      </w:r>
      <w:r w:rsidR="00433077">
        <w:t>1.9</w:t>
      </w:r>
      <w:r>
        <w:t xml:space="preserve"> </w:t>
      </w:r>
      <w:r w:rsidR="002318E8">
        <w:t xml:space="preserve">million </w:t>
      </w:r>
      <w:r>
        <w:t xml:space="preserve">(or </w:t>
      </w:r>
      <w:r w:rsidR="00433077">
        <w:t xml:space="preserve">1.7 </w:t>
      </w:r>
      <w:r>
        <w:t>per cent) from the proposal, made for the following reasons:</w:t>
      </w:r>
    </w:p>
    <w:p w:rsidR="006719D1" w:rsidRDefault="006719D1" w:rsidP="006719D1">
      <w:pPr>
        <w:pStyle w:val="AERbulletlistfirststyle"/>
      </w:pPr>
      <w:r>
        <w:t>We a</w:t>
      </w:r>
      <w:r w:rsidRPr="00157483">
        <w:t xml:space="preserve">ccept </w:t>
      </w:r>
      <w:r>
        <w:t>TasNetworks</w:t>
      </w:r>
      <w:r w:rsidRPr="00157483">
        <w:t>' proposed straight-line method</w:t>
      </w:r>
      <w:r>
        <w:t xml:space="preserve">, and </w:t>
      </w:r>
      <w:r w:rsidRPr="00157483">
        <w:t xml:space="preserve">standard </w:t>
      </w:r>
      <w:r>
        <w:t xml:space="preserve">asset </w:t>
      </w:r>
      <w:r w:rsidRPr="00157483">
        <w:t xml:space="preserve">lives </w:t>
      </w:r>
      <w:r>
        <w:t xml:space="preserve">used </w:t>
      </w:r>
      <w:r w:rsidRPr="00157483">
        <w:t>to calculate the regulatory depr</w:t>
      </w:r>
      <w:r>
        <w:t>eciation allowance. We consider</w:t>
      </w:r>
      <w:r w:rsidRPr="00157483">
        <w:t xml:space="preserve"> that </w:t>
      </w:r>
      <w:r>
        <w:t>TasNetworks'</w:t>
      </w:r>
      <w:r w:rsidRPr="00157483">
        <w:t xml:space="preserve"> proposed standard asset lives are consistent with those approved at the 2009–1</w:t>
      </w:r>
      <w:r>
        <w:t>4 transmission</w:t>
      </w:r>
      <w:r w:rsidRPr="00157483">
        <w:t xml:space="preserve"> determination and reflect the nature and economic lives of the assets.</w:t>
      </w:r>
      <w:r w:rsidRPr="00157483">
        <w:rPr>
          <w:rStyle w:val="FootnoteReference"/>
        </w:rPr>
        <w:footnoteReference w:id="2"/>
      </w:r>
      <w:r w:rsidRPr="00157483">
        <w:t xml:space="preserve"> </w:t>
      </w:r>
    </w:p>
    <w:p w:rsidR="00EF3952" w:rsidRDefault="00EF3952" w:rsidP="00EF3952">
      <w:pPr>
        <w:pStyle w:val="AERbulletlistfirststyle"/>
      </w:pPr>
      <w:r w:rsidRPr="009D12F2">
        <w:t>We accept T</w:t>
      </w:r>
      <w:r w:rsidR="008C369F">
        <w:t>asNetworks</w:t>
      </w:r>
      <w:r w:rsidRPr="009D12F2">
        <w:t>' proposed weighted average method to calculate the remaining asset lives as at 1 July 2014.</w:t>
      </w:r>
      <w:r>
        <w:t xml:space="preserve"> </w:t>
      </w:r>
      <w:r w:rsidRPr="009D12F2">
        <w:t>In accepting the weighted average method, we have updated T</w:t>
      </w:r>
      <w:r w:rsidR="008C369F">
        <w:t>asNetworks'</w:t>
      </w:r>
      <w:r w:rsidRPr="009D12F2">
        <w:t xml:space="preserve"> remaining asset lives as at 1 July 2014 to reflect our adjustments to the RAB in the </w:t>
      </w:r>
      <w:r w:rsidR="00E65FE4">
        <w:t>roll forward model (</w:t>
      </w:r>
      <w:r w:rsidRPr="009D12F2">
        <w:t>RFM</w:t>
      </w:r>
      <w:r w:rsidR="00E65FE4">
        <w:t>)</w:t>
      </w:r>
      <w:r w:rsidRPr="009D12F2">
        <w:t xml:space="preserve">, as discussed in attachment </w:t>
      </w:r>
      <w:r w:rsidR="00433077">
        <w:t>2</w:t>
      </w:r>
      <w:r w:rsidRPr="009D12F2">
        <w:t>.</w:t>
      </w:r>
    </w:p>
    <w:p w:rsidR="00EF3952" w:rsidRPr="00EF3952" w:rsidRDefault="00EF3952" w:rsidP="00EF3952">
      <w:pPr>
        <w:pStyle w:val="AERbulletlistfirststyle"/>
        <w:rPr>
          <w:rStyle w:val="AERsuperscript"/>
          <w:vertAlign w:val="baseline"/>
        </w:rPr>
      </w:pPr>
      <w:r w:rsidRPr="00EF3952">
        <w:t>Our determinations on other components of T</w:t>
      </w:r>
      <w:r w:rsidR="008C369F">
        <w:t>asNetworks</w:t>
      </w:r>
      <w:r w:rsidRPr="00EF3952">
        <w:t xml:space="preserve">' proposal also affect the forecast regulatory depreciation allowance—for example, the </w:t>
      </w:r>
      <w:r w:rsidR="00433077">
        <w:t xml:space="preserve">forecast inflation rate (attachment 3), </w:t>
      </w:r>
      <w:r w:rsidRPr="00EF3952">
        <w:t xml:space="preserve">forecast capital expenditure (capex) (attachment </w:t>
      </w:r>
      <w:r w:rsidR="00433077">
        <w:t>6</w:t>
      </w:r>
      <w:r w:rsidRPr="00EF3952">
        <w:t xml:space="preserve">) and the opening RAB value (attachment </w:t>
      </w:r>
      <w:r w:rsidR="0031588A">
        <w:t>2</w:t>
      </w:r>
      <w:r w:rsidRPr="00617AED">
        <w:t>).</w:t>
      </w:r>
      <w:r w:rsidRPr="00783192">
        <w:rPr>
          <w:rStyle w:val="AERsuperscript"/>
        </w:rPr>
        <w:t xml:space="preserve"> </w:t>
      </w:r>
    </w:p>
    <w:p w:rsidR="00EF3952" w:rsidRPr="00B63AFD" w:rsidRDefault="001C25D9" w:rsidP="00EF3952">
      <w:pPr>
        <w:pStyle w:val="AERbodytext"/>
      </w:pPr>
      <w:r>
        <w:fldChar w:fldCharType="begin"/>
      </w:r>
      <w:r>
        <w:instrText xml:space="preserve"> REF _Ref402187198 \h </w:instrText>
      </w:r>
      <w:r>
        <w:fldChar w:fldCharType="separate"/>
      </w:r>
      <w:r w:rsidR="002E7B38">
        <w:t xml:space="preserve">Table </w:t>
      </w:r>
      <w:r w:rsidR="002E7B38">
        <w:rPr>
          <w:noProof/>
        </w:rPr>
        <w:t>5</w:t>
      </w:r>
      <w:r w:rsidR="002E7B38">
        <w:noBreakHyphen/>
      </w:r>
      <w:r w:rsidR="002E7B38">
        <w:rPr>
          <w:noProof/>
        </w:rPr>
        <w:t>1</w:t>
      </w:r>
      <w:r>
        <w:fldChar w:fldCharType="end"/>
      </w:r>
      <w:r w:rsidR="00EF3952">
        <w:t xml:space="preserve"> </w:t>
      </w:r>
      <w:r w:rsidR="00EF3952" w:rsidRPr="00B63AFD">
        <w:t>set</w:t>
      </w:r>
      <w:r w:rsidR="00EF3952">
        <w:t>s</w:t>
      </w:r>
      <w:r w:rsidR="00EF3952" w:rsidRPr="00B63AFD">
        <w:t xml:space="preserve"> out our draft decision on </w:t>
      </w:r>
      <w:r w:rsidR="00EF3952">
        <w:t xml:space="preserve">the </w:t>
      </w:r>
      <w:r w:rsidR="00EF3952" w:rsidRPr="00B63AFD">
        <w:t>annual regulatory depreciation allowance</w:t>
      </w:r>
      <w:r w:rsidR="00EF3952" w:rsidRPr="00806736">
        <w:t xml:space="preserve"> </w:t>
      </w:r>
      <w:r w:rsidR="00EF3952">
        <w:t xml:space="preserve">for </w:t>
      </w:r>
      <w:r w:rsidR="00EF3952" w:rsidRPr="00806736">
        <w:t>T</w:t>
      </w:r>
      <w:r w:rsidR="008C369F">
        <w:t>asNetworks</w:t>
      </w:r>
      <w:r w:rsidR="00EF3952">
        <w:t>' 2014–19 regulatory control period.</w:t>
      </w:r>
    </w:p>
    <w:p w:rsidR="00EF3952" w:rsidRDefault="00EF3952" w:rsidP="00EF3952">
      <w:pPr>
        <w:pStyle w:val="Caption"/>
      </w:pPr>
      <w:bookmarkStart w:id="12" w:name="_Ref402187198"/>
      <w:r>
        <w:t xml:space="preserve">Table </w:t>
      </w:r>
      <w:fldSimple w:instr=" STYLEREF 1 \s ">
        <w:r w:rsidR="002E7B38">
          <w:rPr>
            <w:noProof/>
          </w:rPr>
          <w:t>5</w:t>
        </w:r>
      </w:fldSimple>
      <w:r w:rsidR="001C25D9">
        <w:noBreakHyphen/>
      </w:r>
      <w:fldSimple w:instr=" SEQ Table \* ARABIC \s 1 ">
        <w:r w:rsidR="002E7B38">
          <w:rPr>
            <w:noProof/>
          </w:rPr>
          <w:t>1</w:t>
        </w:r>
      </w:fldSimple>
      <w:bookmarkEnd w:id="12"/>
      <w:r>
        <w:tab/>
        <w:t xml:space="preserve">AER's draft </w:t>
      </w:r>
      <w:r w:rsidRPr="005E709D">
        <w:t xml:space="preserve">decision on </w:t>
      </w:r>
      <w:r>
        <w:t>T</w:t>
      </w:r>
      <w:r w:rsidR="008C369F">
        <w:t>asNetworks'</w:t>
      </w:r>
      <w:r w:rsidRPr="005E709D">
        <w:t xml:space="preserve"> depreciation</w:t>
      </w:r>
      <w:r>
        <w:t xml:space="preserve"> allowance for the 2014–19 </w:t>
      </w:r>
      <w:r w:rsidRPr="005E709D">
        <w:t>period ($</w:t>
      </w:r>
      <w:r>
        <w:t> </w:t>
      </w:r>
      <w:r w:rsidRPr="005E709D">
        <w:t>million, nominal)</w:t>
      </w:r>
    </w:p>
    <w:tbl>
      <w:tblPr>
        <w:tblStyle w:val="AERtable-numbers"/>
        <w:tblW w:w="9258" w:type="dxa"/>
        <w:tblLayout w:type="fixed"/>
        <w:tblLook w:val="01E0" w:firstRow="1" w:lastRow="1" w:firstColumn="1" w:lastColumn="1" w:noHBand="0" w:noVBand="0"/>
      </w:tblPr>
      <w:tblGrid>
        <w:gridCol w:w="2634"/>
        <w:gridCol w:w="1142"/>
        <w:gridCol w:w="998"/>
        <w:gridCol w:w="998"/>
        <w:gridCol w:w="1162"/>
        <w:gridCol w:w="1162"/>
        <w:gridCol w:w="1162"/>
      </w:tblGrid>
      <w:tr w:rsidR="00EF3952" w:rsidRPr="005E709D" w:rsidTr="00B91BDC">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634" w:type="dxa"/>
          </w:tcPr>
          <w:p w:rsidR="00EF3952" w:rsidRPr="00B63AFD" w:rsidRDefault="00EF3952" w:rsidP="00EF3952"/>
        </w:tc>
        <w:tc>
          <w:tcPr>
            <w:tcW w:w="1142" w:type="dxa"/>
          </w:tcPr>
          <w:p w:rsidR="00EF3952" w:rsidRPr="00B63AFD" w:rsidRDefault="00EF3952" w:rsidP="00EF3952">
            <w:pPr>
              <w:pStyle w:val="AERtabletextright"/>
              <w:cnfStyle w:val="100000000000" w:firstRow="1" w:lastRow="0" w:firstColumn="0" w:lastColumn="0" w:oddVBand="0" w:evenVBand="0" w:oddHBand="0" w:evenHBand="0" w:firstRowFirstColumn="0" w:firstRowLastColumn="0" w:lastRowFirstColumn="0" w:lastRowLastColumn="0"/>
            </w:pPr>
            <w:r w:rsidRPr="00B63AFD">
              <w:t>2014–15</w:t>
            </w:r>
          </w:p>
        </w:tc>
        <w:tc>
          <w:tcPr>
            <w:tcW w:w="998" w:type="dxa"/>
          </w:tcPr>
          <w:p w:rsidR="00EF3952" w:rsidRPr="00B63AFD" w:rsidRDefault="00EF3952" w:rsidP="00EF3952">
            <w:pPr>
              <w:pStyle w:val="AERtabletextright"/>
              <w:cnfStyle w:val="100000000000" w:firstRow="1" w:lastRow="0" w:firstColumn="0" w:lastColumn="0" w:oddVBand="0" w:evenVBand="0" w:oddHBand="0" w:evenHBand="0" w:firstRowFirstColumn="0" w:firstRowLastColumn="0" w:lastRowFirstColumn="0" w:lastRowLastColumn="0"/>
            </w:pPr>
            <w:r w:rsidRPr="00B63AFD">
              <w:t>2015–16</w:t>
            </w:r>
          </w:p>
        </w:tc>
        <w:tc>
          <w:tcPr>
            <w:tcW w:w="998" w:type="dxa"/>
          </w:tcPr>
          <w:p w:rsidR="00EF3952" w:rsidRPr="00B63AFD" w:rsidRDefault="00EF3952" w:rsidP="00EF3952">
            <w:pPr>
              <w:pStyle w:val="AERtabletextright"/>
              <w:cnfStyle w:val="100000000000" w:firstRow="1" w:lastRow="0" w:firstColumn="0" w:lastColumn="0" w:oddVBand="0" w:evenVBand="0" w:oddHBand="0" w:evenHBand="0" w:firstRowFirstColumn="0" w:firstRowLastColumn="0" w:lastRowFirstColumn="0" w:lastRowLastColumn="0"/>
            </w:pPr>
            <w:r w:rsidRPr="00B63AFD">
              <w:t>2016–17</w:t>
            </w:r>
          </w:p>
        </w:tc>
        <w:tc>
          <w:tcPr>
            <w:tcW w:w="1162" w:type="dxa"/>
          </w:tcPr>
          <w:p w:rsidR="00EF3952" w:rsidRPr="00EF3952" w:rsidRDefault="00EF3952" w:rsidP="00EF3952">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162" w:type="dxa"/>
          </w:tcPr>
          <w:p w:rsidR="00EF3952" w:rsidRPr="00EF3952" w:rsidRDefault="00EF3952" w:rsidP="00EF3952">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162" w:type="dxa"/>
          </w:tcPr>
          <w:p w:rsidR="00EF3952" w:rsidRPr="00B63AFD" w:rsidRDefault="00EF3952" w:rsidP="00EF3952">
            <w:pPr>
              <w:pStyle w:val="AERtabletextright"/>
              <w:cnfStyle w:val="100000000000" w:firstRow="1" w:lastRow="0" w:firstColumn="0" w:lastColumn="0" w:oddVBand="0" w:evenVBand="0" w:oddHBand="0" w:evenHBand="0" w:firstRowFirstColumn="0" w:firstRowLastColumn="0" w:lastRowFirstColumn="0" w:lastRowLastColumn="0"/>
            </w:pPr>
            <w:r w:rsidRPr="00B63AFD">
              <w:t>Total</w:t>
            </w:r>
          </w:p>
        </w:tc>
      </w:tr>
      <w:tr w:rsidR="00EF3952" w:rsidRPr="005E709D" w:rsidTr="00B91BDC">
        <w:trPr>
          <w:trHeight w:val="429"/>
        </w:trPr>
        <w:tc>
          <w:tcPr>
            <w:cnfStyle w:val="001000000000" w:firstRow="0" w:lastRow="0" w:firstColumn="1" w:lastColumn="0" w:oddVBand="0" w:evenVBand="0" w:oddHBand="0" w:evenHBand="0" w:firstRowFirstColumn="0" w:firstRowLastColumn="0" w:lastRowFirstColumn="0" w:lastRowLastColumn="0"/>
            <w:tcW w:w="2634" w:type="dxa"/>
          </w:tcPr>
          <w:p w:rsidR="00EF3952" w:rsidRPr="00EF3952" w:rsidRDefault="00EF3952" w:rsidP="00EF3952">
            <w:pPr>
              <w:pStyle w:val="AERtabletextleft"/>
            </w:pPr>
            <w:r w:rsidRPr="00CC73F9">
              <w:t>Straight-line depreciation</w:t>
            </w:r>
          </w:p>
        </w:tc>
        <w:tc>
          <w:tcPr>
            <w:tcW w:w="1142" w:type="dxa"/>
          </w:tcPr>
          <w:p w:rsidR="00EF3952" w:rsidRPr="00EF3952" w:rsidRDefault="00433077" w:rsidP="00EF3952">
            <w:pPr>
              <w:pStyle w:val="AERtabletextright"/>
              <w:cnfStyle w:val="000000000000" w:firstRow="0" w:lastRow="0" w:firstColumn="0" w:lastColumn="0" w:oddVBand="0" w:evenVBand="0" w:oddHBand="0" w:evenHBand="0" w:firstRowFirstColumn="0" w:firstRowLastColumn="0" w:lastRowFirstColumn="0" w:lastRowLastColumn="0"/>
            </w:pPr>
            <w:r>
              <w:t>53.2</w:t>
            </w:r>
          </w:p>
        </w:tc>
        <w:tc>
          <w:tcPr>
            <w:tcW w:w="998" w:type="dxa"/>
          </w:tcPr>
          <w:p w:rsidR="00EF3952" w:rsidRPr="00EF3952" w:rsidRDefault="00433077" w:rsidP="00EF3952">
            <w:pPr>
              <w:pStyle w:val="AERtabletextright"/>
              <w:cnfStyle w:val="000000000000" w:firstRow="0" w:lastRow="0" w:firstColumn="0" w:lastColumn="0" w:oddVBand="0" w:evenVBand="0" w:oddHBand="0" w:evenHBand="0" w:firstRowFirstColumn="0" w:firstRowLastColumn="0" w:lastRowFirstColumn="0" w:lastRowLastColumn="0"/>
            </w:pPr>
            <w:r>
              <w:t>57.6</w:t>
            </w:r>
          </w:p>
        </w:tc>
        <w:tc>
          <w:tcPr>
            <w:tcW w:w="998" w:type="dxa"/>
          </w:tcPr>
          <w:p w:rsidR="00EF3952" w:rsidRPr="00EF3952" w:rsidRDefault="00433077" w:rsidP="00EF3952">
            <w:pPr>
              <w:pStyle w:val="AERtabletextright"/>
              <w:cnfStyle w:val="000000000000" w:firstRow="0" w:lastRow="0" w:firstColumn="0" w:lastColumn="0" w:oddVBand="0" w:evenVBand="0" w:oddHBand="0" w:evenHBand="0" w:firstRowFirstColumn="0" w:firstRowLastColumn="0" w:lastRowFirstColumn="0" w:lastRowLastColumn="0"/>
            </w:pPr>
            <w:r>
              <w:t>62.0</w:t>
            </w:r>
          </w:p>
        </w:tc>
        <w:tc>
          <w:tcPr>
            <w:tcW w:w="1162" w:type="dxa"/>
          </w:tcPr>
          <w:p w:rsidR="00EF3952" w:rsidRDefault="00433077" w:rsidP="00EF3952">
            <w:pPr>
              <w:pStyle w:val="AERtabletextright"/>
              <w:cnfStyle w:val="000000000000" w:firstRow="0" w:lastRow="0" w:firstColumn="0" w:lastColumn="0" w:oddVBand="0" w:evenVBand="0" w:oddHBand="0" w:evenHBand="0" w:firstRowFirstColumn="0" w:firstRowLastColumn="0" w:lastRowFirstColumn="0" w:lastRowLastColumn="0"/>
            </w:pPr>
            <w:r>
              <w:t>63.1</w:t>
            </w:r>
          </w:p>
        </w:tc>
        <w:tc>
          <w:tcPr>
            <w:tcW w:w="1162" w:type="dxa"/>
          </w:tcPr>
          <w:p w:rsidR="00EF3952" w:rsidRDefault="00433077" w:rsidP="00EF3952">
            <w:pPr>
              <w:pStyle w:val="AERtabletextright"/>
              <w:cnfStyle w:val="000000000000" w:firstRow="0" w:lastRow="0" w:firstColumn="0" w:lastColumn="0" w:oddVBand="0" w:evenVBand="0" w:oddHBand="0" w:evenHBand="0" w:firstRowFirstColumn="0" w:firstRowLastColumn="0" w:lastRowFirstColumn="0" w:lastRowLastColumn="0"/>
            </w:pPr>
            <w:r>
              <w:t>65.0</w:t>
            </w:r>
          </w:p>
        </w:tc>
        <w:tc>
          <w:tcPr>
            <w:tcW w:w="1162" w:type="dxa"/>
          </w:tcPr>
          <w:p w:rsidR="00EF3952" w:rsidRPr="00EF3952" w:rsidRDefault="00433077" w:rsidP="00EF3952">
            <w:pPr>
              <w:pStyle w:val="AERtabletextright"/>
              <w:cnfStyle w:val="000000000000" w:firstRow="0" w:lastRow="0" w:firstColumn="0" w:lastColumn="0" w:oddVBand="0" w:evenVBand="0" w:oddHBand="0" w:evenHBand="0" w:firstRowFirstColumn="0" w:firstRowLastColumn="0" w:lastRowFirstColumn="0" w:lastRowLastColumn="0"/>
            </w:pPr>
            <w:r>
              <w:t>300.9</w:t>
            </w:r>
          </w:p>
        </w:tc>
      </w:tr>
      <w:tr w:rsidR="00EF3952" w:rsidRPr="005E709D" w:rsidTr="00B91BDC">
        <w:trPr>
          <w:cnfStyle w:val="000000010000" w:firstRow="0" w:lastRow="0" w:firstColumn="0" w:lastColumn="0" w:oddVBand="0" w:evenVBand="0" w:oddHBand="0" w:evenHBand="1"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634" w:type="dxa"/>
          </w:tcPr>
          <w:p w:rsidR="00EF3952" w:rsidRPr="00EF3952" w:rsidRDefault="00EF3952" w:rsidP="00EF3952">
            <w:pPr>
              <w:pStyle w:val="AERtabletextleft"/>
            </w:pPr>
            <w:r w:rsidRPr="00CC73F9">
              <w:rPr>
                <w:rStyle w:val="AERtextitalic"/>
              </w:rPr>
              <w:t>Less</w:t>
            </w:r>
            <w:r w:rsidRPr="00EF3952">
              <w:t>: inflation indexation on opening RAB</w:t>
            </w:r>
          </w:p>
        </w:tc>
        <w:tc>
          <w:tcPr>
            <w:tcW w:w="1142" w:type="dxa"/>
          </w:tcPr>
          <w:p w:rsidR="00EF3952" w:rsidRPr="00EF3952" w:rsidRDefault="00433077" w:rsidP="00EF3952">
            <w:pPr>
              <w:pStyle w:val="AERtabletextright"/>
              <w:cnfStyle w:val="000000010000" w:firstRow="0" w:lastRow="0" w:firstColumn="0" w:lastColumn="0" w:oddVBand="0" w:evenVBand="0" w:oddHBand="0" w:evenHBand="1" w:firstRowFirstColumn="0" w:firstRowLastColumn="0" w:lastRowFirstColumn="0" w:lastRowLastColumn="0"/>
            </w:pPr>
            <w:r>
              <w:t>35.3</w:t>
            </w:r>
          </w:p>
        </w:tc>
        <w:tc>
          <w:tcPr>
            <w:tcW w:w="998" w:type="dxa"/>
          </w:tcPr>
          <w:p w:rsidR="00EF3952" w:rsidRPr="00EF3952" w:rsidRDefault="00433077" w:rsidP="00EF3952">
            <w:pPr>
              <w:pStyle w:val="AERtabletextright"/>
              <w:cnfStyle w:val="000000010000" w:firstRow="0" w:lastRow="0" w:firstColumn="0" w:lastColumn="0" w:oddVBand="0" w:evenVBand="0" w:oddHBand="0" w:evenHBand="1" w:firstRowFirstColumn="0" w:firstRowLastColumn="0" w:lastRowFirstColumn="0" w:lastRowLastColumn="0"/>
            </w:pPr>
            <w:r>
              <w:t>36.2</w:t>
            </w:r>
          </w:p>
        </w:tc>
        <w:tc>
          <w:tcPr>
            <w:tcW w:w="998" w:type="dxa"/>
          </w:tcPr>
          <w:p w:rsidR="00EF3952" w:rsidRPr="00EF3952" w:rsidRDefault="00433077" w:rsidP="00EF3952">
            <w:pPr>
              <w:pStyle w:val="AERtabletextright"/>
              <w:cnfStyle w:val="000000010000" w:firstRow="0" w:lastRow="0" w:firstColumn="0" w:lastColumn="0" w:oddVBand="0" w:evenVBand="0" w:oddHBand="0" w:evenHBand="1" w:firstRowFirstColumn="0" w:firstRowLastColumn="0" w:lastRowFirstColumn="0" w:lastRowLastColumn="0"/>
            </w:pPr>
            <w:r>
              <w:t>37.4</w:t>
            </w:r>
          </w:p>
        </w:tc>
        <w:tc>
          <w:tcPr>
            <w:tcW w:w="1162" w:type="dxa"/>
          </w:tcPr>
          <w:p w:rsidR="00EF3952" w:rsidRDefault="00433077" w:rsidP="00EF3952">
            <w:pPr>
              <w:pStyle w:val="AERtabletextright"/>
              <w:cnfStyle w:val="000000010000" w:firstRow="0" w:lastRow="0" w:firstColumn="0" w:lastColumn="0" w:oddVBand="0" w:evenVBand="0" w:oddHBand="0" w:evenHBand="1" w:firstRowFirstColumn="0" w:firstRowLastColumn="0" w:lastRowFirstColumn="0" w:lastRowLastColumn="0"/>
            </w:pPr>
            <w:r>
              <w:t>38.2</w:t>
            </w:r>
          </w:p>
        </w:tc>
        <w:tc>
          <w:tcPr>
            <w:tcW w:w="1162" w:type="dxa"/>
          </w:tcPr>
          <w:p w:rsidR="00EF3952" w:rsidRDefault="00433077" w:rsidP="00EF3952">
            <w:pPr>
              <w:pStyle w:val="AERtabletextright"/>
              <w:cnfStyle w:val="000000010000" w:firstRow="0" w:lastRow="0" w:firstColumn="0" w:lastColumn="0" w:oddVBand="0" w:evenVBand="0" w:oddHBand="0" w:evenHBand="1" w:firstRowFirstColumn="0" w:firstRowLastColumn="0" w:lastRowFirstColumn="0" w:lastRowLastColumn="0"/>
            </w:pPr>
            <w:r>
              <w:t>38.8</w:t>
            </w:r>
          </w:p>
        </w:tc>
        <w:tc>
          <w:tcPr>
            <w:tcW w:w="1162" w:type="dxa"/>
          </w:tcPr>
          <w:p w:rsidR="00EF3952" w:rsidRPr="00EF3952" w:rsidRDefault="00433077" w:rsidP="00EF3952">
            <w:pPr>
              <w:pStyle w:val="AERtabletextright"/>
              <w:cnfStyle w:val="000000010000" w:firstRow="0" w:lastRow="0" w:firstColumn="0" w:lastColumn="0" w:oddVBand="0" w:evenVBand="0" w:oddHBand="0" w:evenHBand="1" w:firstRowFirstColumn="0" w:firstRowLastColumn="0" w:lastRowFirstColumn="0" w:lastRowLastColumn="0"/>
            </w:pPr>
            <w:r>
              <w:t>185.9</w:t>
            </w:r>
          </w:p>
        </w:tc>
      </w:tr>
      <w:tr w:rsidR="00EF3952" w:rsidRPr="00932CD0" w:rsidTr="00B91BDC">
        <w:trPr>
          <w:trHeight w:val="439"/>
        </w:trPr>
        <w:tc>
          <w:tcPr>
            <w:cnfStyle w:val="001000000000" w:firstRow="0" w:lastRow="0" w:firstColumn="1" w:lastColumn="0" w:oddVBand="0" w:evenVBand="0" w:oddHBand="0" w:evenHBand="0" w:firstRowFirstColumn="0" w:firstRowLastColumn="0" w:lastRowFirstColumn="0" w:lastRowLastColumn="0"/>
            <w:tcW w:w="2634" w:type="dxa"/>
          </w:tcPr>
          <w:p w:rsidR="00EF3952" w:rsidRPr="00932CD0" w:rsidRDefault="00EF3952" w:rsidP="00EF3952">
            <w:pPr>
              <w:pStyle w:val="AERtabletextleft"/>
              <w:rPr>
                <w:rStyle w:val="AERtextbold"/>
              </w:rPr>
            </w:pPr>
            <w:r w:rsidRPr="00932CD0">
              <w:rPr>
                <w:rStyle w:val="AERtextbold"/>
              </w:rPr>
              <w:t>Regulatory depreciation</w:t>
            </w:r>
          </w:p>
        </w:tc>
        <w:tc>
          <w:tcPr>
            <w:tcW w:w="1142" w:type="dxa"/>
          </w:tcPr>
          <w:p w:rsidR="00EF3952" w:rsidRPr="00932CD0" w:rsidRDefault="00433077" w:rsidP="00EF395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17.9</w:t>
            </w:r>
          </w:p>
        </w:tc>
        <w:tc>
          <w:tcPr>
            <w:tcW w:w="998" w:type="dxa"/>
          </w:tcPr>
          <w:p w:rsidR="00EF3952" w:rsidRPr="00932CD0" w:rsidRDefault="00433077" w:rsidP="00EF395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21.4</w:t>
            </w:r>
          </w:p>
        </w:tc>
        <w:tc>
          <w:tcPr>
            <w:tcW w:w="998" w:type="dxa"/>
          </w:tcPr>
          <w:p w:rsidR="00EF3952" w:rsidRPr="00932CD0" w:rsidRDefault="00433077" w:rsidP="00EF395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24.6</w:t>
            </w:r>
          </w:p>
        </w:tc>
        <w:tc>
          <w:tcPr>
            <w:tcW w:w="1162" w:type="dxa"/>
          </w:tcPr>
          <w:p w:rsidR="00EF3952" w:rsidRPr="00932CD0" w:rsidRDefault="00433077" w:rsidP="00EF395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24.9</w:t>
            </w:r>
          </w:p>
        </w:tc>
        <w:tc>
          <w:tcPr>
            <w:tcW w:w="1162" w:type="dxa"/>
          </w:tcPr>
          <w:p w:rsidR="00EF3952" w:rsidRPr="00932CD0" w:rsidRDefault="00433077" w:rsidP="00EF395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26.1</w:t>
            </w:r>
          </w:p>
        </w:tc>
        <w:tc>
          <w:tcPr>
            <w:tcW w:w="1162" w:type="dxa"/>
          </w:tcPr>
          <w:p w:rsidR="00EF3952" w:rsidRPr="00932CD0" w:rsidRDefault="00433077" w:rsidP="00EF395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115.0</w:t>
            </w:r>
          </w:p>
        </w:tc>
      </w:tr>
    </w:tbl>
    <w:p w:rsidR="00EF3952" w:rsidRPr="00EF3952" w:rsidRDefault="00EF3952" w:rsidP="00EF3952">
      <w:pPr>
        <w:pStyle w:val="AERtablesource"/>
      </w:pPr>
      <w:r w:rsidRPr="005E06AC">
        <w:t>Source:</w:t>
      </w:r>
      <w:r w:rsidRPr="005E06AC">
        <w:tab/>
      </w:r>
      <w:r>
        <w:t>AER analysis.</w:t>
      </w:r>
    </w:p>
    <w:p w:rsidR="00ED09CD" w:rsidRDefault="008C369F" w:rsidP="00ED09CD">
      <w:pPr>
        <w:pStyle w:val="Heading2"/>
      </w:pPr>
      <w:bookmarkStart w:id="13" w:name="_Toc402186984"/>
      <w:bookmarkStart w:id="14" w:name="_Toc404752310"/>
      <w:r>
        <w:lastRenderedPageBreak/>
        <w:t>TasNetworks'</w:t>
      </w:r>
      <w:r w:rsidR="00ED09CD">
        <w:t xml:space="preserve"> proposal</w:t>
      </w:r>
      <w:bookmarkEnd w:id="13"/>
      <w:bookmarkEnd w:id="14"/>
    </w:p>
    <w:p w:rsidR="00F810E5" w:rsidRPr="00B31D82" w:rsidRDefault="00F810E5" w:rsidP="00F810E5">
      <w:pPr>
        <w:pStyle w:val="AERbodytext"/>
      </w:pPr>
      <w:bookmarkStart w:id="15" w:name="_Ref341359274"/>
      <w:r>
        <w:t>TasNetworks</w:t>
      </w:r>
      <w:r w:rsidRPr="00B31D82">
        <w:t xml:space="preserve"> proposed a forecast regulatory depreciation allowance of $</w:t>
      </w:r>
      <w:r>
        <w:t>113.1</w:t>
      </w:r>
      <w:r w:rsidRPr="00B31D82">
        <w:t> million ($ nominal) over the 2014–1</w:t>
      </w:r>
      <w:r>
        <w:t>9</w:t>
      </w:r>
      <w:r w:rsidRPr="00B31D82">
        <w:t xml:space="preserve"> period</w:t>
      </w:r>
      <w:r>
        <w:t xml:space="preserve"> </w:t>
      </w:r>
      <w:r w:rsidRPr="0052422F">
        <w:t xml:space="preserve">as shown in </w:t>
      </w:r>
      <w:r w:rsidR="001C25D9">
        <w:fldChar w:fldCharType="begin"/>
      </w:r>
      <w:r w:rsidR="001C25D9">
        <w:instrText xml:space="preserve"> REF _Ref402187220 \h </w:instrText>
      </w:r>
      <w:r w:rsidR="001C25D9">
        <w:fldChar w:fldCharType="separate"/>
      </w:r>
      <w:r w:rsidR="002E7B38" w:rsidRPr="00B31D82">
        <w:t xml:space="preserve">Table </w:t>
      </w:r>
      <w:r w:rsidR="002E7B38">
        <w:rPr>
          <w:noProof/>
        </w:rPr>
        <w:t>5</w:t>
      </w:r>
      <w:r w:rsidR="002E7B38">
        <w:noBreakHyphen/>
      </w:r>
      <w:r w:rsidR="002E7B38">
        <w:rPr>
          <w:noProof/>
        </w:rPr>
        <w:t>2</w:t>
      </w:r>
      <w:r w:rsidR="001C25D9">
        <w:fldChar w:fldCharType="end"/>
      </w:r>
      <w:r>
        <w:t>.</w:t>
      </w:r>
      <w:r w:rsidRPr="00B31D82">
        <w:t xml:space="preserve"> To calculate the depreciation allowance, </w:t>
      </w:r>
      <w:r>
        <w:t>Tas</w:t>
      </w:r>
      <w:r w:rsidR="009457BA">
        <w:t xml:space="preserve">Networks </w:t>
      </w:r>
      <w:r w:rsidR="00E65FE4">
        <w:t>proposed to use:</w:t>
      </w:r>
      <w:r w:rsidRPr="003200DF">
        <w:rPr>
          <w:rStyle w:val="FootnoteReference"/>
        </w:rPr>
        <w:footnoteReference w:id="3"/>
      </w:r>
    </w:p>
    <w:p w:rsidR="00E65FE4" w:rsidRDefault="00E65FE4" w:rsidP="00F810E5">
      <w:pPr>
        <w:pStyle w:val="AERbulletlistfirststyle"/>
      </w:pPr>
      <w:r>
        <w:t>the straight-line depreciation method employed in the AER's post-tax revenue model (PTRM)</w:t>
      </w:r>
    </w:p>
    <w:p w:rsidR="00F810E5" w:rsidRDefault="00F810E5" w:rsidP="00F810E5">
      <w:pPr>
        <w:pStyle w:val="AERbulletlistfirststyle"/>
      </w:pPr>
      <w:r>
        <w:t>The closing RAB value as at 30 June 2014 derived from the AER's RFM</w:t>
      </w:r>
    </w:p>
    <w:p w:rsidR="00F810E5" w:rsidRDefault="00E65FE4" w:rsidP="00F810E5">
      <w:pPr>
        <w:pStyle w:val="AERbulletlistfirststyle"/>
      </w:pPr>
      <w:r>
        <w:t>t</w:t>
      </w:r>
      <w:r w:rsidR="00F810E5">
        <w:t xml:space="preserve">he </w:t>
      </w:r>
      <w:r>
        <w:t xml:space="preserve">weighted average </w:t>
      </w:r>
      <w:r w:rsidR="00F810E5">
        <w:t>remaining asset lives of assets in existence as at 30 June 2014 derived from the RFM</w:t>
      </w:r>
      <w:r>
        <w:t xml:space="preserve"> for the majority of its asset classes</w:t>
      </w:r>
      <w:r w:rsidR="00F810E5">
        <w:t>.</w:t>
      </w:r>
      <w:r>
        <w:t xml:space="preserve"> However,</w:t>
      </w:r>
      <w:r w:rsidR="00F810E5">
        <w:t xml:space="preserve"> </w:t>
      </w:r>
      <w:r w:rsidR="004E1273">
        <w:t>TasNetworks</w:t>
      </w:r>
      <w:r w:rsidR="00F810E5" w:rsidRPr="00C2686F">
        <w:t xml:space="preserve"> proposed to i</w:t>
      </w:r>
      <w:r w:rsidR="00F810E5">
        <w:t>ncrease the remaining asset lives</w:t>
      </w:r>
      <w:r w:rsidR="00F810E5" w:rsidRPr="00C2686F">
        <w:t xml:space="preserve"> of the ‘Transmission </w:t>
      </w:r>
      <w:r w:rsidR="00F810E5">
        <w:t>l</w:t>
      </w:r>
      <w:r w:rsidR="00F810E5" w:rsidRPr="00C2686F">
        <w:t xml:space="preserve">ines and </w:t>
      </w:r>
      <w:r w:rsidR="00F810E5">
        <w:t>c</w:t>
      </w:r>
      <w:r w:rsidR="00F810E5" w:rsidRPr="00C2686F">
        <w:t xml:space="preserve">ables’ </w:t>
      </w:r>
      <w:r w:rsidR="00F810E5">
        <w:t xml:space="preserve">and </w:t>
      </w:r>
      <w:r w:rsidR="00F810E5" w:rsidRPr="00C2686F">
        <w:t xml:space="preserve">‘Transmission </w:t>
      </w:r>
      <w:r w:rsidR="00F810E5">
        <w:t>substations</w:t>
      </w:r>
      <w:r w:rsidR="00F810E5" w:rsidRPr="00C2686F">
        <w:t>’</w:t>
      </w:r>
      <w:r w:rsidR="00F810E5">
        <w:t xml:space="preserve"> asset classes </w:t>
      </w:r>
      <w:r w:rsidR="00F810E5" w:rsidRPr="00C2686F">
        <w:t>to 3</w:t>
      </w:r>
      <w:r w:rsidR="00F810E5">
        <w:t>4</w:t>
      </w:r>
      <w:r w:rsidR="00F810E5" w:rsidRPr="00C2686F">
        <w:t xml:space="preserve"> years</w:t>
      </w:r>
      <w:r w:rsidR="00F810E5">
        <w:t xml:space="preserve"> and 32 years</w:t>
      </w:r>
      <w:r w:rsidR="00F810E5" w:rsidRPr="00C2686F">
        <w:t xml:space="preserve"> from the RFM </w:t>
      </w:r>
      <w:r w:rsidR="00F810E5">
        <w:t>derived lives</w:t>
      </w:r>
      <w:r w:rsidR="00F810E5" w:rsidRPr="00C2686F">
        <w:t xml:space="preserve"> of 16 years</w:t>
      </w:r>
      <w:r w:rsidR="00F810E5">
        <w:t xml:space="preserve"> and 23 years, respectively</w:t>
      </w:r>
    </w:p>
    <w:p w:rsidR="00F810E5" w:rsidRDefault="00E65FE4" w:rsidP="00F810E5">
      <w:pPr>
        <w:pStyle w:val="AERbulletlistfirststyle"/>
      </w:pPr>
      <w:r>
        <w:t>t</w:t>
      </w:r>
      <w:r w:rsidR="00F810E5">
        <w:t xml:space="preserve">he proposed forecast capex for the 2014–19 </w:t>
      </w:r>
      <w:r>
        <w:t>period</w:t>
      </w:r>
    </w:p>
    <w:p w:rsidR="00F810E5" w:rsidRPr="00B31D82" w:rsidRDefault="00E65FE4" w:rsidP="00F810E5">
      <w:pPr>
        <w:pStyle w:val="AERbulletlistfirststyle"/>
      </w:pPr>
      <w:r>
        <w:t>t</w:t>
      </w:r>
      <w:r w:rsidR="00F810E5">
        <w:t xml:space="preserve">he </w:t>
      </w:r>
      <w:r w:rsidR="00F810E5" w:rsidRPr="00B31D82">
        <w:t xml:space="preserve">standard asset lives for depreciating new assets associated with forecast capex for the </w:t>
      </w:r>
      <w:r w:rsidR="00F810E5" w:rsidRPr="00B31D82">
        <w:br/>
        <w:t>2014–1</w:t>
      </w:r>
      <w:r w:rsidR="00F810E5">
        <w:t>9</w:t>
      </w:r>
      <w:r w:rsidR="00F810E5" w:rsidRPr="00B31D82">
        <w:t xml:space="preserve"> period. </w:t>
      </w:r>
      <w:r w:rsidR="00F810E5">
        <w:t>TasNetworks</w:t>
      </w:r>
      <w:r w:rsidR="00F810E5" w:rsidRPr="00B31D82">
        <w:t xml:space="preserve"> did not propose any change</w:t>
      </w:r>
      <w:r w:rsidR="00F810E5">
        <w:t>s</w:t>
      </w:r>
      <w:r w:rsidR="00F810E5" w:rsidRPr="00B31D82">
        <w:t xml:space="preserve"> to its standard asset lives approved in </w:t>
      </w:r>
      <w:r w:rsidR="00F810E5">
        <w:t>its</w:t>
      </w:r>
      <w:r w:rsidR="00F810E5" w:rsidRPr="00B31D82">
        <w:t xml:space="preserve"> 2009 transmission determination. </w:t>
      </w:r>
      <w:r w:rsidR="00F810E5">
        <w:t>However, i</w:t>
      </w:r>
      <w:r w:rsidR="00F810E5" w:rsidRPr="00B31D82">
        <w:t>t propose</w:t>
      </w:r>
      <w:r w:rsidR="00F810E5">
        <w:t>d three</w:t>
      </w:r>
      <w:r w:rsidR="00F810E5" w:rsidRPr="00B31D82">
        <w:t xml:space="preserve"> new </w:t>
      </w:r>
      <w:r w:rsidR="00B91BDC">
        <w:t xml:space="preserve">'Communications assets' </w:t>
      </w:r>
      <w:r w:rsidR="00F810E5" w:rsidRPr="00B31D82">
        <w:t xml:space="preserve">asset classes </w:t>
      </w:r>
      <w:r w:rsidR="00F810E5" w:rsidRPr="00866650">
        <w:t>with standard asset lives of 45 years (medium life), 10 years (short life) and 5 years (very short life).</w:t>
      </w:r>
    </w:p>
    <w:bookmarkStart w:id="16" w:name="_Ref363746834"/>
    <w:bookmarkEnd w:id="15"/>
    <w:p w:rsidR="00F810E5" w:rsidRDefault="001C25D9" w:rsidP="00F810E5">
      <w:pPr>
        <w:pStyle w:val="AERbodytext"/>
      </w:pPr>
      <w:r>
        <w:fldChar w:fldCharType="begin"/>
      </w:r>
      <w:r>
        <w:instrText xml:space="preserve"> REF _Ref402187220 \h </w:instrText>
      </w:r>
      <w:r>
        <w:fldChar w:fldCharType="separate"/>
      </w:r>
      <w:r w:rsidR="002E7B38" w:rsidRPr="00B31D82">
        <w:t xml:space="preserve">Table </w:t>
      </w:r>
      <w:r w:rsidR="002E7B38">
        <w:rPr>
          <w:noProof/>
        </w:rPr>
        <w:t>5</w:t>
      </w:r>
      <w:r w:rsidR="002E7B38">
        <w:noBreakHyphen/>
      </w:r>
      <w:r w:rsidR="002E7B38">
        <w:rPr>
          <w:noProof/>
        </w:rPr>
        <w:t>2</w:t>
      </w:r>
      <w:r>
        <w:fldChar w:fldCharType="end"/>
      </w:r>
      <w:r>
        <w:t xml:space="preserve"> </w:t>
      </w:r>
      <w:r w:rsidR="00F810E5" w:rsidRPr="00857BEB">
        <w:t xml:space="preserve">sets out </w:t>
      </w:r>
      <w:r w:rsidR="00F810E5">
        <w:t>TasNetworks'</w:t>
      </w:r>
      <w:r w:rsidR="00F810E5" w:rsidRPr="00857BEB">
        <w:t xml:space="preserve"> proposed depreciation allowance for </w:t>
      </w:r>
      <w:r w:rsidR="00F810E5">
        <w:t xml:space="preserve">the </w:t>
      </w:r>
      <w:r w:rsidR="00F810E5" w:rsidRPr="00857BEB">
        <w:t>201</w:t>
      </w:r>
      <w:r w:rsidR="00F810E5">
        <w:t>4–19</w:t>
      </w:r>
      <w:r w:rsidR="00F810E5" w:rsidRPr="00857BEB">
        <w:t xml:space="preserve"> period.</w:t>
      </w:r>
    </w:p>
    <w:p w:rsidR="00F810E5" w:rsidRPr="00B31D82" w:rsidRDefault="00F810E5" w:rsidP="00F810E5">
      <w:pPr>
        <w:pStyle w:val="Caption"/>
      </w:pPr>
      <w:bookmarkStart w:id="17" w:name="_Ref402187220"/>
      <w:r w:rsidRPr="00B31D82">
        <w:t xml:space="preserve">Table </w:t>
      </w:r>
      <w:fldSimple w:instr=" STYLEREF 1 \s ">
        <w:r w:rsidR="002E7B38">
          <w:rPr>
            <w:noProof/>
          </w:rPr>
          <w:t>5</w:t>
        </w:r>
      </w:fldSimple>
      <w:r w:rsidR="001C25D9">
        <w:noBreakHyphen/>
      </w:r>
      <w:fldSimple w:instr=" SEQ Table \* ARABIC \s 1 ">
        <w:r w:rsidR="002E7B38">
          <w:rPr>
            <w:noProof/>
          </w:rPr>
          <w:t>2</w:t>
        </w:r>
      </w:fldSimple>
      <w:bookmarkEnd w:id="16"/>
      <w:bookmarkEnd w:id="17"/>
      <w:r w:rsidRPr="00B31D82">
        <w:tab/>
      </w:r>
      <w:r>
        <w:t>TasNetworks</w:t>
      </w:r>
      <w:r w:rsidRPr="00B31D82">
        <w:t>' proposed</w:t>
      </w:r>
      <w:r>
        <w:t xml:space="preserve"> depreciation allowance for the 2014–19</w:t>
      </w:r>
      <w:r w:rsidRPr="00B31D82">
        <w:t xml:space="preserve"> period ($ million, nominal)</w:t>
      </w:r>
    </w:p>
    <w:tbl>
      <w:tblPr>
        <w:tblStyle w:val="AERtable-numbers"/>
        <w:tblW w:w="9277" w:type="dxa"/>
        <w:tblLook w:val="04A0" w:firstRow="1" w:lastRow="0" w:firstColumn="1" w:lastColumn="0" w:noHBand="0" w:noVBand="1"/>
      </w:tblPr>
      <w:tblGrid>
        <w:gridCol w:w="2671"/>
        <w:gridCol w:w="1101"/>
        <w:gridCol w:w="1101"/>
        <w:gridCol w:w="1101"/>
        <w:gridCol w:w="1101"/>
        <w:gridCol w:w="1101"/>
        <w:gridCol w:w="1101"/>
      </w:tblGrid>
      <w:tr w:rsidR="00F810E5" w:rsidTr="00B91BDC">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671" w:type="dxa"/>
          </w:tcPr>
          <w:p w:rsidR="00F810E5" w:rsidRPr="00B31D82" w:rsidRDefault="00F810E5" w:rsidP="00F810E5">
            <w:pPr>
              <w:pStyle w:val="AERbodytext"/>
            </w:pPr>
          </w:p>
        </w:tc>
        <w:tc>
          <w:tcPr>
            <w:tcW w:w="1101" w:type="dxa"/>
          </w:tcPr>
          <w:p w:rsidR="00F810E5" w:rsidRPr="00B31D82" w:rsidRDefault="00F810E5" w:rsidP="00F810E5">
            <w:pPr>
              <w:pStyle w:val="AERtabletextright"/>
              <w:cnfStyle w:val="100000000000" w:firstRow="1" w:lastRow="0" w:firstColumn="0" w:lastColumn="0" w:oddVBand="0" w:evenVBand="0" w:oddHBand="0" w:evenHBand="0" w:firstRowFirstColumn="0" w:firstRowLastColumn="0" w:lastRowFirstColumn="0" w:lastRowLastColumn="0"/>
            </w:pPr>
            <w:r w:rsidRPr="00B31D82">
              <w:t>2014–15</w:t>
            </w:r>
          </w:p>
        </w:tc>
        <w:tc>
          <w:tcPr>
            <w:tcW w:w="1101" w:type="dxa"/>
          </w:tcPr>
          <w:p w:rsidR="00F810E5" w:rsidRPr="00B31D82" w:rsidRDefault="00F810E5" w:rsidP="00F810E5">
            <w:pPr>
              <w:pStyle w:val="AERtabletextright"/>
              <w:cnfStyle w:val="100000000000" w:firstRow="1" w:lastRow="0" w:firstColumn="0" w:lastColumn="0" w:oddVBand="0" w:evenVBand="0" w:oddHBand="0" w:evenHBand="0" w:firstRowFirstColumn="0" w:firstRowLastColumn="0" w:lastRowFirstColumn="0" w:lastRowLastColumn="0"/>
            </w:pPr>
            <w:r w:rsidRPr="00B31D82">
              <w:t>2015–16</w:t>
            </w:r>
          </w:p>
        </w:tc>
        <w:tc>
          <w:tcPr>
            <w:tcW w:w="1101" w:type="dxa"/>
          </w:tcPr>
          <w:p w:rsidR="00F810E5" w:rsidRPr="00B31D82" w:rsidRDefault="00F810E5" w:rsidP="00F810E5">
            <w:pPr>
              <w:pStyle w:val="AERtabletextright"/>
              <w:cnfStyle w:val="100000000000" w:firstRow="1" w:lastRow="0" w:firstColumn="0" w:lastColumn="0" w:oddVBand="0" w:evenVBand="0" w:oddHBand="0" w:evenHBand="0" w:firstRowFirstColumn="0" w:firstRowLastColumn="0" w:lastRowFirstColumn="0" w:lastRowLastColumn="0"/>
            </w:pPr>
            <w:r w:rsidRPr="00B31D82">
              <w:t>2016–17</w:t>
            </w:r>
          </w:p>
        </w:tc>
        <w:tc>
          <w:tcPr>
            <w:tcW w:w="1101" w:type="dxa"/>
          </w:tcPr>
          <w:p w:rsidR="00F810E5" w:rsidRPr="00F810E5" w:rsidRDefault="00F810E5" w:rsidP="00F810E5">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101" w:type="dxa"/>
          </w:tcPr>
          <w:p w:rsidR="00F810E5" w:rsidRPr="00F810E5" w:rsidRDefault="00F810E5" w:rsidP="00F810E5">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101" w:type="dxa"/>
          </w:tcPr>
          <w:p w:rsidR="00F810E5" w:rsidRPr="00B31D82" w:rsidRDefault="00F810E5" w:rsidP="00F810E5">
            <w:pPr>
              <w:pStyle w:val="AERtabletextright"/>
              <w:cnfStyle w:val="100000000000" w:firstRow="1" w:lastRow="0" w:firstColumn="0" w:lastColumn="0" w:oddVBand="0" w:evenVBand="0" w:oddHBand="0" w:evenHBand="0" w:firstRowFirstColumn="0" w:firstRowLastColumn="0" w:lastRowFirstColumn="0" w:lastRowLastColumn="0"/>
            </w:pPr>
            <w:r w:rsidRPr="00B31D82">
              <w:t>Total</w:t>
            </w:r>
          </w:p>
        </w:tc>
      </w:tr>
      <w:tr w:rsidR="00F810E5" w:rsidTr="00B91BDC">
        <w:trPr>
          <w:trHeight w:val="378"/>
        </w:trPr>
        <w:tc>
          <w:tcPr>
            <w:cnfStyle w:val="001000000000" w:firstRow="0" w:lastRow="0" w:firstColumn="1" w:lastColumn="0" w:oddVBand="0" w:evenVBand="0" w:oddHBand="0" w:evenHBand="0" w:firstRowFirstColumn="0" w:firstRowLastColumn="0" w:lastRowFirstColumn="0" w:lastRowLastColumn="0"/>
            <w:tcW w:w="2671" w:type="dxa"/>
          </w:tcPr>
          <w:p w:rsidR="00F810E5" w:rsidRPr="00B31D82" w:rsidRDefault="00F810E5" w:rsidP="00F810E5">
            <w:pPr>
              <w:pStyle w:val="AERtabletextleft"/>
            </w:pPr>
            <w:r w:rsidRPr="00B31D82">
              <w:t>Straight-line depreciation</w:t>
            </w:r>
          </w:p>
        </w:tc>
        <w:tc>
          <w:tcPr>
            <w:tcW w:w="1101" w:type="dxa"/>
          </w:tcPr>
          <w:p w:rsidR="00F810E5" w:rsidRPr="00F810E5" w:rsidRDefault="00F810E5" w:rsidP="00F810E5">
            <w:pPr>
              <w:pStyle w:val="AERtabletextright"/>
              <w:cnfStyle w:val="000000000000" w:firstRow="0" w:lastRow="0" w:firstColumn="0" w:lastColumn="0" w:oddVBand="0" w:evenVBand="0" w:oddHBand="0" w:evenHBand="0" w:firstRowFirstColumn="0" w:firstRowLastColumn="0" w:lastRowFirstColumn="0" w:lastRowLastColumn="0"/>
            </w:pPr>
            <w:r>
              <w:t>53.3</w:t>
            </w:r>
          </w:p>
        </w:tc>
        <w:tc>
          <w:tcPr>
            <w:tcW w:w="1101" w:type="dxa"/>
          </w:tcPr>
          <w:p w:rsidR="00F810E5" w:rsidRPr="00F810E5" w:rsidRDefault="00F810E5" w:rsidP="00F810E5">
            <w:pPr>
              <w:pStyle w:val="AERtabletextright"/>
              <w:cnfStyle w:val="000000000000" w:firstRow="0" w:lastRow="0" w:firstColumn="0" w:lastColumn="0" w:oddVBand="0" w:evenVBand="0" w:oddHBand="0" w:evenHBand="0" w:firstRowFirstColumn="0" w:firstRowLastColumn="0" w:lastRowFirstColumn="0" w:lastRowLastColumn="0"/>
            </w:pPr>
            <w:r>
              <w:t>57.7</w:t>
            </w:r>
          </w:p>
        </w:tc>
        <w:tc>
          <w:tcPr>
            <w:tcW w:w="1101" w:type="dxa"/>
          </w:tcPr>
          <w:p w:rsidR="00F810E5" w:rsidRPr="00F810E5" w:rsidRDefault="00F810E5" w:rsidP="00F810E5">
            <w:pPr>
              <w:pStyle w:val="AERtabletextright"/>
              <w:cnfStyle w:val="000000000000" w:firstRow="0" w:lastRow="0" w:firstColumn="0" w:lastColumn="0" w:oddVBand="0" w:evenVBand="0" w:oddHBand="0" w:evenHBand="0" w:firstRowFirstColumn="0" w:firstRowLastColumn="0" w:lastRowFirstColumn="0" w:lastRowLastColumn="0"/>
            </w:pPr>
            <w:r>
              <w:t>62.0</w:t>
            </w:r>
          </w:p>
        </w:tc>
        <w:tc>
          <w:tcPr>
            <w:tcW w:w="1101" w:type="dxa"/>
          </w:tcPr>
          <w:p w:rsidR="00F810E5" w:rsidRPr="00F810E5" w:rsidRDefault="00F810E5" w:rsidP="00F810E5">
            <w:pPr>
              <w:pStyle w:val="AERtabletextright"/>
              <w:cnfStyle w:val="000000000000" w:firstRow="0" w:lastRow="0" w:firstColumn="0" w:lastColumn="0" w:oddVBand="0" w:evenVBand="0" w:oddHBand="0" w:evenHBand="0" w:firstRowFirstColumn="0" w:firstRowLastColumn="0" w:lastRowFirstColumn="0" w:lastRowLastColumn="0"/>
            </w:pPr>
            <w:r>
              <w:t>63.6</w:t>
            </w:r>
          </w:p>
        </w:tc>
        <w:tc>
          <w:tcPr>
            <w:tcW w:w="1101" w:type="dxa"/>
          </w:tcPr>
          <w:p w:rsidR="00F810E5" w:rsidRPr="00F810E5" w:rsidRDefault="00F810E5" w:rsidP="00F810E5">
            <w:pPr>
              <w:pStyle w:val="AERtabletextright"/>
              <w:cnfStyle w:val="000000000000" w:firstRow="0" w:lastRow="0" w:firstColumn="0" w:lastColumn="0" w:oddVBand="0" w:evenVBand="0" w:oddHBand="0" w:evenHBand="0" w:firstRowFirstColumn="0" w:firstRowLastColumn="0" w:lastRowFirstColumn="0" w:lastRowLastColumn="0"/>
            </w:pPr>
            <w:r>
              <w:t>65.5</w:t>
            </w:r>
          </w:p>
        </w:tc>
        <w:tc>
          <w:tcPr>
            <w:tcW w:w="1101" w:type="dxa"/>
          </w:tcPr>
          <w:p w:rsidR="00F810E5" w:rsidRPr="00F810E5" w:rsidRDefault="00F810E5" w:rsidP="00F810E5">
            <w:pPr>
              <w:pStyle w:val="AERtabletextright"/>
              <w:cnfStyle w:val="000000000000" w:firstRow="0" w:lastRow="0" w:firstColumn="0" w:lastColumn="0" w:oddVBand="0" w:evenVBand="0" w:oddHBand="0" w:evenHBand="0" w:firstRowFirstColumn="0" w:firstRowLastColumn="0" w:lastRowFirstColumn="0" w:lastRowLastColumn="0"/>
            </w:pPr>
            <w:r>
              <w:t>302.0</w:t>
            </w:r>
          </w:p>
        </w:tc>
      </w:tr>
      <w:tr w:rsidR="00F810E5" w:rsidTr="00B91BDC">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671" w:type="dxa"/>
          </w:tcPr>
          <w:p w:rsidR="00F810E5" w:rsidRPr="00F810E5" w:rsidRDefault="00F810E5" w:rsidP="00F810E5">
            <w:pPr>
              <w:pStyle w:val="AERtabletextleft"/>
            </w:pPr>
            <w:r w:rsidRPr="00B31D82">
              <w:rPr>
                <w:rStyle w:val="AERtextitalic"/>
              </w:rPr>
              <w:t>Less</w:t>
            </w:r>
            <w:r w:rsidRPr="00F810E5">
              <w:t>: inflation indexation on opening RAB</w:t>
            </w:r>
          </w:p>
        </w:tc>
        <w:tc>
          <w:tcPr>
            <w:tcW w:w="1101" w:type="dxa"/>
          </w:tcPr>
          <w:p w:rsidR="00F810E5" w:rsidRPr="00F810E5" w:rsidRDefault="00F810E5" w:rsidP="00F810E5">
            <w:pPr>
              <w:pStyle w:val="AERtabletextright"/>
              <w:cnfStyle w:val="000000010000" w:firstRow="0" w:lastRow="0" w:firstColumn="0" w:lastColumn="0" w:oddVBand="0" w:evenVBand="0" w:oddHBand="0" w:evenHBand="1" w:firstRowFirstColumn="0" w:firstRowLastColumn="0" w:lastRowFirstColumn="0" w:lastRowLastColumn="0"/>
            </w:pPr>
            <w:r>
              <w:t>35.7</w:t>
            </w:r>
          </w:p>
        </w:tc>
        <w:tc>
          <w:tcPr>
            <w:tcW w:w="1101" w:type="dxa"/>
          </w:tcPr>
          <w:p w:rsidR="00F810E5" w:rsidRPr="00F810E5" w:rsidRDefault="00F810E5" w:rsidP="00F810E5">
            <w:pPr>
              <w:pStyle w:val="AERtabletextright"/>
              <w:cnfStyle w:val="000000010000" w:firstRow="0" w:lastRow="0" w:firstColumn="0" w:lastColumn="0" w:oddVBand="0" w:evenVBand="0" w:oddHBand="0" w:evenHBand="1" w:firstRowFirstColumn="0" w:firstRowLastColumn="0" w:lastRowFirstColumn="0" w:lastRowLastColumn="0"/>
            </w:pPr>
            <w:r>
              <w:t>36.6</w:t>
            </w:r>
          </w:p>
        </w:tc>
        <w:tc>
          <w:tcPr>
            <w:tcW w:w="1101" w:type="dxa"/>
          </w:tcPr>
          <w:p w:rsidR="00F810E5" w:rsidRPr="00F810E5" w:rsidRDefault="00F810E5" w:rsidP="00F810E5">
            <w:pPr>
              <w:pStyle w:val="AERtabletextright"/>
              <w:cnfStyle w:val="000000010000" w:firstRow="0" w:lastRow="0" w:firstColumn="0" w:lastColumn="0" w:oddVBand="0" w:evenVBand="0" w:oddHBand="0" w:evenHBand="1" w:firstRowFirstColumn="0" w:firstRowLastColumn="0" w:lastRowFirstColumn="0" w:lastRowLastColumn="0"/>
            </w:pPr>
            <w:r>
              <w:t>37.8</w:t>
            </w:r>
          </w:p>
        </w:tc>
        <w:tc>
          <w:tcPr>
            <w:tcW w:w="1101" w:type="dxa"/>
          </w:tcPr>
          <w:p w:rsidR="00F810E5" w:rsidRPr="00F810E5" w:rsidRDefault="00F810E5" w:rsidP="00F810E5">
            <w:pPr>
              <w:pStyle w:val="AERtabletextright"/>
              <w:cnfStyle w:val="000000010000" w:firstRow="0" w:lastRow="0" w:firstColumn="0" w:lastColumn="0" w:oddVBand="0" w:evenVBand="0" w:oddHBand="0" w:evenHBand="1" w:firstRowFirstColumn="0" w:firstRowLastColumn="0" w:lastRowFirstColumn="0" w:lastRowLastColumn="0"/>
            </w:pPr>
            <w:r>
              <w:t>38.9</w:t>
            </w:r>
          </w:p>
        </w:tc>
        <w:tc>
          <w:tcPr>
            <w:tcW w:w="1101" w:type="dxa"/>
          </w:tcPr>
          <w:p w:rsidR="00F810E5" w:rsidRPr="00F810E5" w:rsidRDefault="00F810E5" w:rsidP="00F810E5">
            <w:pPr>
              <w:pStyle w:val="AERtabletextright"/>
              <w:cnfStyle w:val="000000010000" w:firstRow="0" w:lastRow="0" w:firstColumn="0" w:lastColumn="0" w:oddVBand="0" w:evenVBand="0" w:oddHBand="0" w:evenHBand="1" w:firstRowFirstColumn="0" w:firstRowLastColumn="0" w:lastRowFirstColumn="0" w:lastRowLastColumn="0"/>
            </w:pPr>
            <w:r>
              <w:t>39.8</w:t>
            </w:r>
          </w:p>
        </w:tc>
        <w:tc>
          <w:tcPr>
            <w:tcW w:w="1101" w:type="dxa"/>
          </w:tcPr>
          <w:p w:rsidR="00F810E5" w:rsidRPr="00F810E5" w:rsidRDefault="00F810E5" w:rsidP="00F810E5">
            <w:pPr>
              <w:pStyle w:val="AERtabletextright"/>
              <w:cnfStyle w:val="000000010000" w:firstRow="0" w:lastRow="0" w:firstColumn="0" w:lastColumn="0" w:oddVBand="0" w:evenVBand="0" w:oddHBand="0" w:evenHBand="1" w:firstRowFirstColumn="0" w:firstRowLastColumn="0" w:lastRowFirstColumn="0" w:lastRowLastColumn="0"/>
            </w:pPr>
            <w:r>
              <w:t>188.8</w:t>
            </w:r>
          </w:p>
        </w:tc>
      </w:tr>
      <w:tr w:rsidR="00F810E5" w:rsidRPr="00932CD0" w:rsidTr="00B91BDC">
        <w:trPr>
          <w:trHeight w:val="231"/>
        </w:trPr>
        <w:tc>
          <w:tcPr>
            <w:cnfStyle w:val="001000000000" w:firstRow="0" w:lastRow="0" w:firstColumn="1" w:lastColumn="0" w:oddVBand="0" w:evenVBand="0" w:oddHBand="0" w:evenHBand="0" w:firstRowFirstColumn="0" w:firstRowLastColumn="0" w:lastRowFirstColumn="0" w:lastRowLastColumn="0"/>
            <w:tcW w:w="2671" w:type="dxa"/>
          </w:tcPr>
          <w:p w:rsidR="00F810E5" w:rsidRPr="00932CD0" w:rsidRDefault="00F810E5" w:rsidP="00F810E5">
            <w:pPr>
              <w:pStyle w:val="AERtabletextleft"/>
              <w:rPr>
                <w:rStyle w:val="AERtextbold"/>
              </w:rPr>
            </w:pPr>
            <w:r w:rsidRPr="00932CD0">
              <w:rPr>
                <w:rStyle w:val="AERtextbold"/>
              </w:rPr>
              <w:t>Regulatory depreciation</w:t>
            </w:r>
          </w:p>
        </w:tc>
        <w:tc>
          <w:tcPr>
            <w:tcW w:w="1101" w:type="dxa"/>
          </w:tcPr>
          <w:p w:rsidR="00F810E5" w:rsidRPr="00932CD0" w:rsidRDefault="00F810E5" w:rsidP="00F810E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17.6</w:t>
            </w:r>
          </w:p>
        </w:tc>
        <w:tc>
          <w:tcPr>
            <w:tcW w:w="1101" w:type="dxa"/>
          </w:tcPr>
          <w:p w:rsidR="00F810E5" w:rsidRPr="00932CD0" w:rsidRDefault="00F810E5" w:rsidP="00F810E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21.1</w:t>
            </w:r>
          </w:p>
        </w:tc>
        <w:tc>
          <w:tcPr>
            <w:tcW w:w="1101" w:type="dxa"/>
          </w:tcPr>
          <w:p w:rsidR="00F810E5" w:rsidRPr="00932CD0" w:rsidRDefault="00F810E5" w:rsidP="00F810E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24.2</w:t>
            </w:r>
          </w:p>
        </w:tc>
        <w:tc>
          <w:tcPr>
            <w:tcW w:w="1101" w:type="dxa"/>
          </w:tcPr>
          <w:p w:rsidR="00F810E5" w:rsidRPr="00932CD0" w:rsidRDefault="00F810E5" w:rsidP="00F810E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24.6</w:t>
            </w:r>
          </w:p>
        </w:tc>
        <w:tc>
          <w:tcPr>
            <w:tcW w:w="1101" w:type="dxa"/>
          </w:tcPr>
          <w:p w:rsidR="00F810E5" w:rsidRPr="00932CD0" w:rsidRDefault="00F810E5" w:rsidP="00F810E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25.6</w:t>
            </w:r>
          </w:p>
        </w:tc>
        <w:tc>
          <w:tcPr>
            <w:tcW w:w="1101" w:type="dxa"/>
          </w:tcPr>
          <w:p w:rsidR="00F810E5" w:rsidRPr="00932CD0" w:rsidRDefault="00F810E5" w:rsidP="00F810E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32CD0">
              <w:rPr>
                <w:rStyle w:val="AERtextbold"/>
              </w:rPr>
              <w:t>113.1</w:t>
            </w:r>
          </w:p>
        </w:tc>
      </w:tr>
    </w:tbl>
    <w:p w:rsidR="00F810E5" w:rsidRDefault="00F810E5" w:rsidP="00F810E5">
      <w:pPr>
        <w:pStyle w:val="AERtablesource"/>
      </w:pPr>
      <w:r w:rsidRPr="00B31D82">
        <w:t>Source:</w:t>
      </w:r>
      <w:r w:rsidRPr="00B31D82">
        <w:tab/>
      </w:r>
      <w:r>
        <w:t>Transend</w:t>
      </w:r>
      <w:r w:rsidRPr="00B31D82">
        <w:t xml:space="preserve">, </w:t>
      </w:r>
      <w:r w:rsidRPr="00B31D82">
        <w:rPr>
          <w:rStyle w:val="AERtextitalic"/>
        </w:rPr>
        <w:t>Revenue proposal</w:t>
      </w:r>
      <w:r w:rsidRPr="00B31D82">
        <w:t xml:space="preserve">, p. </w:t>
      </w:r>
      <w:r>
        <w:t>104</w:t>
      </w:r>
      <w:r w:rsidRPr="00B31D82">
        <w:t>.</w:t>
      </w:r>
    </w:p>
    <w:p w:rsidR="00B47945" w:rsidRDefault="00B47945" w:rsidP="00F0258A">
      <w:pPr>
        <w:pStyle w:val="Heading2"/>
      </w:pPr>
      <w:bookmarkStart w:id="18" w:name="_Toc402186985"/>
      <w:bookmarkStart w:id="19" w:name="_Toc404752311"/>
      <w:r w:rsidRPr="00B47945">
        <w:t>AER's assessment approach</w:t>
      </w:r>
      <w:bookmarkEnd w:id="18"/>
      <w:bookmarkEnd w:id="19"/>
    </w:p>
    <w:p w:rsidR="00F810E5" w:rsidRPr="00C222DE" w:rsidRDefault="00F810E5" w:rsidP="00F810E5">
      <w:pPr>
        <w:pStyle w:val="AERbodytext"/>
      </w:pPr>
      <w:r>
        <w:t>We are</w:t>
      </w:r>
      <w:r w:rsidRPr="00C222DE">
        <w:t xml:space="preserve"> required to determine the regulat</w:t>
      </w:r>
      <w:r>
        <w:t xml:space="preserve">ory depreciation allowance as </w:t>
      </w:r>
      <w:r w:rsidRPr="00C222DE">
        <w:t>part of a TNSP’s annual building block revenue requirement.</w:t>
      </w:r>
      <w:r w:rsidRPr="00C222DE">
        <w:rPr>
          <w:rStyle w:val="FootnoteReference"/>
        </w:rPr>
        <w:footnoteReference w:id="4"/>
      </w:r>
      <w:r w:rsidRPr="00C222DE">
        <w:t xml:space="preserve"> </w:t>
      </w:r>
      <w:r>
        <w:t>Our</w:t>
      </w:r>
      <w:r w:rsidRPr="00C222DE">
        <w:t xml:space="preserve"> calculation of </w:t>
      </w:r>
      <w:r>
        <w:t>a TNSP</w:t>
      </w:r>
      <w:r w:rsidRPr="00C222DE">
        <w:t xml:space="preserve">’s regulatory depreciation building block is made in the PTRM and depends on several components. The calculation of depreciation in each year is governed by the value of assets included in the RAB at the beginning of the regulatory year and the depreciation schedules. </w:t>
      </w:r>
    </w:p>
    <w:p w:rsidR="00F810E5" w:rsidRPr="00C222DE" w:rsidRDefault="00F810E5" w:rsidP="00F810E5">
      <w:pPr>
        <w:pStyle w:val="AERbodytext"/>
      </w:pPr>
      <w:r>
        <w:t xml:space="preserve">Our </w:t>
      </w:r>
      <w:r w:rsidRPr="00C222DE">
        <w:t xml:space="preserve">standard approach to calculating depreciation is to employ the straight-line method as set out in the PTRM. </w:t>
      </w:r>
      <w:r>
        <w:t>We</w:t>
      </w:r>
      <w:r w:rsidRPr="00C222DE">
        <w:t xml:space="preserve"> consider that the straight-line method of depreciation satisfies the National Electricity Rules (NER) requirements in clause 6A.6.3(b). It provides an expenditure profile that reflects the </w:t>
      </w:r>
      <w:r w:rsidRPr="00C222DE">
        <w:lastRenderedPageBreak/>
        <w:t>nature of the assets over their economic life.</w:t>
      </w:r>
      <w:r w:rsidRPr="00C222DE">
        <w:rPr>
          <w:rStyle w:val="FootnoteReference"/>
        </w:rPr>
        <w:footnoteReference w:id="5"/>
      </w:r>
      <w:r w:rsidRPr="00C222DE">
        <w:t xml:space="preserve"> Regulatory practice has been to assign a standard asset life to each category of assets that represents the economic or technical life of the asset or asset class. </w:t>
      </w:r>
      <w:r>
        <w:t>We must</w:t>
      </w:r>
      <w:r w:rsidRPr="00C222DE">
        <w:t xml:space="preserve"> consider whether the proposed depreciation schedules conform to the following requirements: </w:t>
      </w:r>
    </w:p>
    <w:p w:rsidR="00F810E5" w:rsidRPr="00C222DE" w:rsidRDefault="00F810E5" w:rsidP="00F810E5">
      <w:pPr>
        <w:pStyle w:val="AERbulletlistfirststyle"/>
      </w:pPr>
      <w:r w:rsidRPr="00C222DE">
        <w:t>The schedules depreciate using a profile that reflects the nature of the assets or category of assets over the economic life of that asset or category of assets.</w:t>
      </w:r>
      <w:r w:rsidRPr="00C222DE">
        <w:rPr>
          <w:rStyle w:val="FootnoteReference"/>
        </w:rPr>
        <w:footnoteReference w:id="6"/>
      </w:r>
      <w:r w:rsidRPr="00C222DE">
        <w:t xml:space="preserve"> </w:t>
      </w:r>
    </w:p>
    <w:p w:rsidR="00F810E5" w:rsidRPr="00C222DE" w:rsidRDefault="00F810E5" w:rsidP="00F810E5">
      <w:pPr>
        <w:pStyle w:val="AERbulletlistfirststyle"/>
      </w:pPr>
      <w:r w:rsidRPr="00C222DE">
        <w:t>The sum of the real value of the depreciation attributable to any asset or category of assets must be equivalent to the value at which that asset or category of assets was first included in the RAB for the relevant transmission system.</w:t>
      </w:r>
      <w:r w:rsidRPr="00C222DE">
        <w:rPr>
          <w:rStyle w:val="FootnoteReference"/>
        </w:rPr>
        <w:footnoteReference w:id="7"/>
      </w:r>
    </w:p>
    <w:p w:rsidR="00F810E5" w:rsidRPr="00C222DE" w:rsidRDefault="00F810E5" w:rsidP="00F810E5">
      <w:pPr>
        <w:pStyle w:val="AERbodytext"/>
      </w:pPr>
      <w:r w:rsidRPr="00C222DE">
        <w:t xml:space="preserve">To the extent that a TNSP’s revenue proposal does not comply with the above requirements, </w:t>
      </w:r>
      <w:r>
        <w:t>we</w:t>
      </w:r>
      <w:r w:rsidRPr="00C222DE">
        <w:t xml:space="preserve"> must determine the depreciation schedules for calculating the depreciation for each regulatory year.</w:t>
      </w:r>
      <w:r w:rsidRPr="00C222DE">
        <w:rPr>
          <w:rStyle w:val="FootnoteReference"/>
        </w:rPr>
        <w:footnoteReference w:id="8"/>
      </w:r>
      <w:r w:rsidRPr="00C222DE">
        <w:t xml:space="preserve"> </w:t>
      </w:r>
    </w:p>
    <w:p w:rsidR="00F810E5" w:rsidRPr="00C222DE" w:rsidRDefault="00F810E5" w:rsidP="00F810E5">
      <w:pPr>
        <w:pStyle w:val="AERbodytext"/>
      </w:pPr>
      <w:r w:rsidRPr="00C222DE">
        <w:t xml:space="preserve">The regulatory depreciation allowance is an output of the PTRM. </w:t>
      </w:r>
      <w:r>
        <w:t>We</w:t>
      </w:r>
      <w:r w:rsidRPr="00C222DE">
        <w:t xml:space="preserve"> therefore have assessed </w:t>
      </w:r>
      <w:r>
        <w:t>the TNSP's</w:t>
      </w:r>
      <w:r w:rsidRPr="00C222DE">
        <w:t xml:space="preserve"> proposed regulatory depreciation allowance by analysing the proposed inputs to the PTRM for calculating the regulatory depreciation allowance. These inputs include:</w:t>
      </w:r>
    </w:p>
    <w:p w:rsidR="00F810E5" w:rsidRPr="001B7AE9" w:rsidRDefault="00F810E5" w:rsidP="00F810E5">
      <w:pPr>
        <w:pStyle w:val="AERbulletlistfirststyle"/>
      </w:pPr>
      <w:r w:rsidRPr="001B7AE9">
        <w:t>the opening RAB as at 1 July 201</w:t>
      </w:r>
      <w:r>
        <w:t>4</w:t>
      </w:r>
    </w:p>
    <w:p w:rsidR="00F810E5" w:rsidRPr="00C222DE" w:rsidRDefault="00F810E5" w:rsidP="00F810E5">
      <w:pPr>
        <w:pStyle w:val="AERbulletlistfirststyle"/>
      </w:pPr>
      <w:r w:rsidRPr="00C222DE">
        <w:t xml:space="preserve">the forecast net capex in the </w:t>
      </w:r>
      <w:r>
        <w:t xml:space="preserve">2014–19 </w:t>
      </w:r>
      <w:r w:rsidRPr="00C222DE">
        <w:t>period</w:t>
      </w:r>
    </w:p>
    <w:p w:rsidR="00F810E5" w:rsidRPr="00C222DE" w:rsidRDefault="00F810E5" w:rsidP="00F810E5">
      <w:pPr>
        <w:pStyle w:val="AERbulletlistfirststyle"/>
      </w:pPr>
      <w:r w:rsidRPr="00C222DE">
        <w:t>the fore</w:t>
      </w:r>
      <w:r>
        <w:t>cast inflation rate for the above</w:t>
      </w:r>
      <w:r w:rsidRPr="00C222DE">
        <w:t xml:space="preserve"> period</w:t>
      </w:r>
    </w:p>
    <w:p w:rsidR="00F810E5" w:rsidRPr="00C222DE" w:rsidRDefault="00F810E5" w:rsidP="00F810E5">
      <w:pPr>
        <w:pStyle w:val="AERbulletlistfirststyle"/>
      </w:pPr>
      <w:r w:rsidRPr="00C222DE">
        <w:t xml:space="preserve">the standard asset life for each asset class—used for calculating the depreciation of new assets associated with forecast net capex in the </w:t>
      </w:r>
      <w:r>
        <w:t>above</w:t>
      </w:r>
      <w:r w:rsidRPr="00C222DE">
        <w:t xml:space="preserve"> period</w:t>
      </w:r>
    </w:p>
    <w:p w:rsidR="00F810E5" w:rsidRPr="00C222DE" w:rsidRDefault="00F810E5" w:rsidP="00F810E5">
      <w:pPr>
        <w:pStyle w:val="AERbulletlistfirststyle"/>
      </w:pPr>
      <w:r w:rsidRPr="00C222DE">
        <w:t>the remaining asset life for each asset class—used for calculating the depreciation of existing assets associated with t</w:t>
      </w:r>
      <w:r>
        <w:t>he opening RAB as at 1 July 2014.</w:t>
      </w:r>
    </w:p>
    <w:p w:rsidR="00F810E5" w:rsidRPr="00526FA3" w:rsidRDefault="00F810E5" w:rsidP="00F810E5">
      <w:pPr>
        <w:pStyle w:val="AERbodytext"/>
      </w:pPr>
      <w:r w:rsidRPr="00C02878">
        <w:t xml:space="preserve">Our draft decision on </w:t>
      </w:r>
      <w:r>
        <w:t>a TNSP</w:t>
      </w:r>
      <w:r w:rsidRPr="00C02878">
        <w:t xml:space="preserve">'s regulatory depreciation allowance reflects our determinations on the </w:t>
      </w:r>
      <w:r w:rsidR="002318E8" w:rsidRPr="00C02878">
        <w:t xml:space="preserve">opening RAB as at 1 </w:t>
      </w:r>
      <w:r w:rsidR="002318E8">
        <w:t>July</w:t>
      </w:r>
      <w:r w:rsidR="002318E8" w:rsidRPr="00C02878">
        <w:t xml:space="preserve"> 2014</w:t>
      </w:r>
      <w:r w:rsidR="002318E8">
        <w:t>,</w:t>
      </w:r>
      <w:r w:rsidR="002318E8" w:rsidRPr="00C02878">
        <w:t xml:space="preserve"> </w:t>
      </w:r>
      <w:r w:rsidRPr="00C02878">
        <w:t xml:space="preserve">forecast capex, </w:t>
      </w:r>
      <w:r w:rsidR="002318E8" w:rsidRPr="00C02878">
        <w:t xml:space="preserve">and </w:t>
      </w:r>
      <w:r w:rsidRPr="00C02878">
        <w:t xml:space="preserve">forecast inflation building block components (the first three inputs in the above list). </w:t>
      </w:r>
      <w:r w:rsidRPr="00526FA3">
        <w:t xml:space="preserve">Our determinations on these components of </w:t>
      </w:r>
      <w:r>
        <w:t>the TNSP</w:t>
      </w:r>
      <w:r w:rsidRPr="00526FA3">
        <w:t>'s proposal are discussed in attachment</w:t>
      </w:r>
      <w:r>
        <w:t>s</w:t>
      </w:r>
      <w:r w:rsidRPr="00526FA3">
        <w:t xml:space="preserve"> </w:t>
      </w:r>
      <w:r w:rsidR="002318E8">
        <w:t>2</w:t>
      </w:r>
      <w:r w:rsidR="008E06DD">
        <w:t xml:space="preserve">, </w:t>
      </w:r>
      <w:r w:rsidR="002318E8">
        <w:t>6</w:t>
      </w:r>
      <w:r w:rsidRPr="00526FA3">
        <w:t xml:space="preserve"> and </w:t>
      </w:r>
      <w:r w:rsidR="002318E8">
        <w:t xml:space="preserve">3 </w:t>
      </w:r>
      <w:r w:rsidRPr="00526FA3">
        <w:t>respectively.</w:t>
      </w:r>
    </w:p>
    <w:p w:rsidR="00F810E5" w:rsidRPr="00C222DE" w:rsidRDefault="00F810E5" w:rsidP="00F810E5">
      <w:pPr>
        <w:pStyle w:val="AERbodytext"/>
      </w:pPr>
      <w:r>
        <w:t xml:space="preserve">In this attachment, we </w:t>
      </w:r>
      <w:r w:rsidRPr="00C222DE">
        <w:t>assesse</w:t>
      </w:r>
      <w:r>
        <w:t>d</w:t>
      </w:r>
      <w:r w:rsidRPr="00C222DE">
        <w:t xml:space="preserve"> </w:t>
      </w:r>
      <w:r w:rsidR="009457BA">
        <w:t>the</w:t>
      </w:r>
      <w:r>
        <w:t xml:space="preserve"> TNSP</w:t>
      </w:r>
      <w:r w:rsidRPr="00C222DE">
        <w:t>'s proposed standard asset lives</w:t>
      </w:r>
      <w:r>
        <w:t xml:space="preserve"> </w:t>
      </w:r>
      <w:r w:rsidRPr="00C222DE">
        <w:t>against:</w:t>
      </w:r>
    </w:p>
    <w:p w:rsidR="00F810E5" w:rsidRPr="00C222DE" w:rsidRDefault="00F810E5" w:rsidP="00F810E5">
      <w:pPr>
        <w:pStyle w:val="AERbulletlistfirststyle"/>
      </w:pPr>
      <w:r w:rsidRPr="00C222DE">
        <w:t xml:space="preserve">the approved standard asset lives in the transmission determination for </w:t>
      </w:r>
      <w:r>
        <w:t xml:space="preserve">the current </w:t>
      </w:r>
      <w:r w:rsidRPr="00C222DE">
        <w:t>regulatory control period</w:t>
      </w:r>
    </w:p>
    <w:p w:rsidR="00F810E5" w:rsidRPr="00C222DE" w:rsidRDefault="00F810E5" w:rsidP="00F810E5">
      <w:pPr>
        <w:pStyle w:val="AERbulletlistfirststyle"/>
      </w:pPr>
      <w:r w:rsidRPr="00C222DE">
        <w:t xml:space="preserve">the standard asset lives of comparable asset classes approved in </w:t>
      </w:r>
      <w:r>
        <w:t>our</w:t>
      </w:r>
      <w:r w:rsidRPr="00C222DE">
        <w:t xml:space="preserve"> recent transmission determinations for other TNSPs.</w:t>
      </w:r>
    </w:p>
    <w:p w:rsidR="00F810E5" w:rsidRPr="00F810E5" w:rsidRDefault="00F810E5" w:rsidP="00F810E5">
      <w:pPr>
        <w:pStyle w:val="AERbodytext"/>
      </w:pPr>
      <w:r>
        <w:t>Our</w:t>
      </w:r>
      <w:r w:rsidRPr="00AB2793">
        <w:t xml:space="preserve"> standard approach for depreciating a TNSP's existing assets </w:t>
      </w:r>
      <w:r>
        <w:t xml:space="preserve">in the PTRM </w:t>
      </w:r>
      <w:r w:rsidRPr="00AB2793">
        <w:t xml:space="preserve">is to use the remaining asset lives at the start of a regulatory control period as determined in the RFM. Our RFM uses the weighted average method to establish a remaining asset life for each asset class. The weighted average method rolls forward the remaining asset life for an asset class from the beginning of the current regulatory control period. </w:t>
      </w:r>
      <w:r w:rsidR="00190F53">
        <w:t>We consider t</w:t>
      </w:r>
      <w:r w:rsidRPr="00AB2793">
        <w:t xml:space="preserve">his </w:t>
      </w:r>
      <w:r w:rsidR="00190F53">
        <w:t>method better</w:t>
      </w:r>
      <w:r w:rsidRPr="00AB2793">
        <w:t xml:space="preserve"> reflects the mix of assets within that </w:t>
      </w:r>
      <w:r w:rsidRPr="00AB2793">
        <w:lastRenderedPageBreak/>
        <w:t xml:space="preserve">asset class, when they were acquired over that period (or if they were existing assets), and the remaining value of those assets (used as a weight) at the end of the period. </w:t>
      </w:r>
      <w:r>
        <w:t>We</w:t>
      </w:r>
      <w:r w:rsidRPr="00C222DE">
        <w:t xml:space="preserve"> will assess the outcomes of other approaches against the outcomes of this standard </w:t>
      </w:r>
      <w:r w:rsidR="00190F53">
        <w:t>method in the RFM</w:t>
      </w:r>
      <w:r w:rsidRPr="00C222DE">
        <w:t>.</w:t>
      </w:r>
    </w:p>
    <w:p w:rsidR="00ED09CD" w:rsidRPr="00ED09CD" w:rsidRDefault="00ED09CD" w:rsidP="00ED09CD">
      <w:pPr>
        <w:pStyle w:val="Heading3"/>
      </w:pPr>
      <w:bookmarkStart w:id="20" w:name="_Toc402186986"/>
      <w:bookmarkStart w:id="21" w:name="_Toc404752312"/>
      <w:r w:rsidRPr="00ED09CD">
        <w:t>Interrelationships</w:t>
      </w:r>
      <w:bookmarkEnd w:id="20"/>
      <w:bookmarkEnd w:id="21"/>
    </w:p>
    <w:p w:rsidR="00BD2791" w:rsidRPr="00847540" w:rsidRDefault="00BD2791" w:rsidP="00BD2791">
      <w:pPr>
        <w:pStyle w:val="AERbodytext"/>
      </w:pPr>
      <w:r w:rsidRPr="00847540">
        <w:t>The regulatory depreciation allowance is a building block component of the annual</w:t>
      </w:r>
      <w:r>
        <w:t xml:space="preserve"> building block</w:t>
      </w:r>
      <w:r w:rsidRPr="00847540">
        <w:t xml:space="preserve"> revenue requirement.</w:t>
      </w:r>
      <w:r>
        <w:rPr>
          <w:rStyle w:val="FootnoteReference"/>
        </w:rPr>
        <w:footnoteReference w:id="9"/>
      </w:r>
      <w:r w:rsidRPr="00847540">
        <w:t xml:space="preserve"> Higher (or quicker) depreciation leads to higher revenues over the regulatory control period. It also causes the RAB to reduce more quickly (assuming no further capex). This reduces the return on capital allowance, although this impact is usually secondary to the increased depreciation allowance. </w:t>
      </w:r>
    </w:p>
    <w:p w:rsidR="00BD2791" w:rsidRPr="00847540" w:rsidRDefault="00BD2791" w:rsidP="00BD2791">
      <w:pPr>
        <w:pStyle w:val="AERbodytext"/>
      </w:pPr>
      <w:r w:rsidRPr="00847540">
        <w:t xml:space="preserve">Ultimately, however, a </w:t>
      </w:r>
      <w:r w:rsidR="00390108">
        <w:t>TNSP</w:t>
      </w:r>
      <w:r w:rsidRPr="00847540">
        <w:t xml:space="preserve"> can only recover the capex it has incurred on assets once. The depreciation allowance therefore reflects how quickly the RAB is being recovered and is based on the remaining and standard asset lives used in the depreciation calculation. </w:t>
      </w:r>
    </w:p>
    <w:p w:rsidR="00BD2791" w:rsidRPr="00847540" w:rsidRDefault="00BD2791" w:rsidP="00BD2791">
      <w:pPr>
        <w:pStyle w:val="AERbodytext"/>
      </w:pPr>
      <w:r w:rsidRPr="00847540">
        <w:t xml:space="preserve">The depreciation allowance depends on the level of the opening RAB and the forecast capex. Any increase in these factors also increases the depreciation allowance. </w:t>
      </w:r>
    </w:p>
    <w:p w:rsidR="00ED09CD" w:rsidRDefault="00BD2791" w:rsidP="00ED09CD">
      <w:pPr>
        <w:pStyle w:val="AERbodytext"/>
      </w:pPr>
      <w:r w:rsidRPr="00847540">
        <w:t>To prevent double counting of inflation through the WACC and RAB, the regulatory depreciation allowance also has an offsetting reduction for indexation of the RAB.</w:t>
      </w:r>
      <w:r w:rsidRPr="00BD2791">
        <w:rPr>
          <w:rStyle w:val="FootnoteReference"/>
        </w:rPr>
        <w:footnoteReference w:id="10"/>
      </w:r>
      <w:r w:rsidRPr="00BD2791">
        <w:t xml:space="preserve"> Factors that affect forecast inflation and/or the size of the RAB will therefore affect the size of this indexation adjustment.</w:t>
      </w:r>
    </w:p>
    <w:p w:rsidR="000150E1" w:rsidRPr="00ED09CD" w:rsidRDefault="002318E8" w:rsidP="002318E8">
      <w:pPr>
        <w:pStyle w:val="AERbodytext"/>
        <w:numPr>
          <w:ilvl w:val="0"/>
          <w:numId w:val="0"/>
        </w:numPr>
      </w:pPr>
      <w:r>
        <w:t xml:space="preserve">Figure 2.1 </w:t>
      </w:r>
      <w:r w:rsidR="00810C17" w:rsidRPr="00810C17">
        <w:t xml:space="preserve">(in attachment 2) </w:t>
      </w:r>
      <w:r w:rsidR="000150E1" w:rsidRPr="000150E1">
        <w:t>shows the relative size of the inflation and straight-line depreciation and their impact on the RAB based on T</w:t>
      </w:r>
      <w:r w:rsidR="000150E1">
        <w:t>asNetwork</w:t>
      </w:r>
      <w:r w:rsidR="000150E1" w:rsidRPr="000150E1">
        <w:t>s</w:t>
      </w:r>
      <w:r w:rsidR="000150E1">
        <w:t>'</w:t>
      </w:r>
      <w:r w:rsidR="000150E1" w:rsidRPr="000150E1">
        <w:t xml:space="preserve"> proposal. A </w:t>
      </w:r>
      <w:r w:rsidR="0042038E">
        <w:t>ten</w:t>
      </w:r>
      <w:r w:rsidR="000150E1" w:rsidRPr="000150E1">
        <w:t xml:space="preserve"> per cent increase in the </w:t>
      </w:r>
      <w:r w:rsidR="00454BA9">
        <w:t xml:space="preserve">straight-line </w:t>
      </w:r>
      <w:r w:rsidR="000150E1" w:rsidRPr="000150E1">
        <w:t xml:space="preserve">depreciation causes revenues to increase by about </w:t>
      </w:r>
      <w:r w:rsidR="00454BA9">
        <w:t>3.1</w:t>
      </w:r>
      <w:r w:rsidR="000150E1" w:rsidRPr="000150E1">
        <w:t xml:space="preserve"> per cent.</w:t>
      </w:r>
    </w:p>
    <w:p w:rsidR="00B47945" w:rsidRDefault="00B47945" w:rsidP="00F0258A">
      <w:pPr>
        <w:pStyle w:val="Heading2"/>
      </w:pPr>
      <w:bookmarkStart w:id="22" w:name="_Toc402186987"/>
      <w:bookmarkStart w:id="23" w:name="_Toc404752313"/>
      <w:r w:rsidRPr="00B47945">
        <w:t>Reasons for draft decision</w:t>
      </w:r>
      <w:bookmarkEnd w:id="22"/>
      <w:bookmarkEnd w:id="23"/>
    </w:p>
    <w:p w:rsidR="00ED09CD" w:rsidRPr="00ED09CD" w:rsidRDefault="00F810E5" w:rsidP="00ED09CD">
      <w:pPr>
        <w:pStyle w:val="AERbodytext"/>
      </w:pPr>
      <w:r w:rsidRPr="00772791">
        <w:t xml:space="preserve">We accept </w:t>
      </w:r>
      <w:r>
        <w:t>T</w:t>
      </w:r>
      <w:r w:rsidR="00B91BDC">
        <w:t>asNetworks</w:t>
      </w:r>
      <w:r>
        <w:t xml:space="preserve">' </w:t>
      </w:r>
      <w:r w:rsidRPr="00772791">
        <w:t>proposed straight-line depreciation method for calculating the regulatory depreciation allowance</w:t>
      </w:r>
      <w:r>
        <w:t xml:space="preserve"> as set out in the PTRM</w:t>
      </w:r>
      <w:r w:rsidRPr="00772791">
        <w:t xml:space="preserve">. However, we </w:t>
      </w:r>
      <w:r w:rsidR="002318E8">
        <w:t>increase</w:t>
      </w:r>
      <w:r w:rsidRPr="00772791">
        <w:t xml:space="preserve"> </w:t>
      </w:r>
      <w:r>
        <w:t>T</w:t>
      </w:r>
      <w:r w:rsidR="00B91BDC">
        <w:t>asNetworks</w:t>
      </w:r>
      <w:r>
        <w:t xml:space="preserve">' </w:t>
      </w:r>
      <w:r w:rsidRPr="00772791">
        <w:t>propos</w:t>
      </w:r>
      <w:r>
        <w:t>ed forecast</w:t>
      </w:r>
      <w:r w:rsidRPr="00772791">
        <w:t xml:space="preserve"> regulatory depreciation allowance by $</w:t>
      </w:r>
      <w:r w:rsidR="002318E8">
        <w:t xml:space="preserve">1.9 </w:t>
      </w:r>
      <w:r w:rsidRPr="00772791">
        <w:t xml:space="preserve">million </w:t>
      </w:r>
      <w:r>
        <w:t>(</w:t>
      </w:r>
      <w:r w:rsidRPr="00772791">
        <w:t xml:space="preserve">or </w:t>
      </w:r>
      <w:r w:rsidR="002318E8">
        <w:t>1.7</w:t>
      </w:r>
      <w:r>
        <w:t xml:space="preserve"> per cent) to $</w:t>
      </w:r>
      <w:r w:rsidR="002318E8">
        <w:t>115.0</w:t>
      </w:r>
      <w:r>
        <w:t xml:space="preserve"> million. Our amendment is mainly driven by o</w:t>
      </w:r>
      <w:r w:rsidRPr="00772791">
        <w:t xml:space="preserve">ur determination on other components of </w:t>
      </w:r>
      <w:r>
        <w:t>T</w:t>
      </w:r>
      <w:r w:rsidR="00B91BDC">
        <w:t>asNetworks</w:t>
      </w:r>
      <w:r>
        <w:t>'</w:t>
      </w:r>
      <w:r w:rsidRPr="00772791">
        <w:t xml:space="preserve"> revenue proposal—for example, the </w:t>
      </w:r>
      <w:r w:rsidR="002318E8">
        <w:t xml:space="preserve">forecast inflation rate (attachment 3), </w:t>
      </w:r>
      <w:r w:rsidRPr="00772791">
        <w:t xml:space="preserve">forecast capex (attachment </w:t>
      </w:r>
      <w:r w:rsidR="002318E8">
        <w:t>6</w:t>
      </w:r>
      <w:r w:rsidRPr="00772791">
        <w:t>) and the opening RAB as at 1 </w:t>
      </w:r>
      <w:r>
        <w:t>July</w:t>
      </w:r>
      <w:r w:rsidRPr="00772791">
        <w:t xml:space="preserve"> 2014 (attachment </w:t>
      </w:r>
      <w:r w:rsidR="002318E8">
        <w:t>2</w:t>
      </w:r>
      <w:r w:rsidRPr="00772791">
        <w:t>)—affect</w:t>
      </w:r>
      <w:r>
        <w:t>ing</w:t>
      </w:r>
      <w:r w:rsidRPr="00772791">
        <w:t xml:space="preserve"> the forecast regulatory depreciation allowance.</w:t>
      </w:r>
      <w:r w:rsidR="00C71BA7">
        <w:t xml:space="preserve"> In particular, the lower forecast inflation rate used in this draft decision means the resulting regulatory depreciation allowance (which nets out the inflation indexation on the opening RAB) is higher than proposed.</w:t>
      </w:r>
    </w:p>
    <w:p w:rsidR="00B47945" w:rsidRDefault="00B91BDC" w:rsidP="00F0258A">
      <w:pPr>
        <w:pStyle w:val="Heading3"/>
      </w:pPr>
      <w:bookmarkStart w:id="24" w:name="_Toc402186988"/>
      <w:bookmarkStart w:id="25" w:name="_Toc404752314"/>
      <w:r>
        <w:t>Standard asset lives</w:t>
      </w:r>
      <w:bookmarkEnd w:id="24"/>
      <w:bookmarkEnd w:id="25"/>
    </w:p>
    <w:p w:rsidR="00B91BDC" w:rsidRPr="002571B6" w:rsidRDefault="00B91BDC" w:rsidP="00B91BDC">
      <w:pPr>
        <w:pStyle w:val="AERbodytext"/>
      </w:pPr>
      <w:r w:rsidRPr="002571B6">
        <w:t>We accept T</w:t>
      </w:r>
      <w:r>
        <w:t>asNetwork</w:t>
      </w:r>
      <w:r w:rsidRPr="002571B6">
        <w:t>s</w:t>
      </w:r>
      <w:r>
        <w:t>'</w:t>
      </w:r>
      <w:r w:rsidRPr="002571B6">
        <w:t xml:space="preserve"> proposed standard asset lives for its existing </w:t>
      </w:r>
      <w:r w:rsidR="00663015">
        <w:t xml:space="preserve">asset classes, because they are </w:t>
      </w:r>
      <w:r w:rsidRPr="002571B6">
        <w:t xml:space="preserve">consistent with </w:t>
      </w:r>
      <w:r w:rsidR="00A62E81">
        <w:t>the</w:t>
      </w:r>
      <w:r w:rsidR="00A62E81" w:rsidRPr="002571B6">
        <w:t xml:space="preserve"> </w:t>
      </w:r>
      <w:r w:rsidRPr="002571B6">
        <w:t xml:space="preserve">approved standard asset lives </w:t>
      </w:r>
      <w:r w:rsidR="007A2075">
        <w:t xml:space="preserve">in </w:t>
      </w:r>
      <w:r w:rsidR="00663015">
        <w:t xml:space="preserve">our </w:t>
      </w:r>
      <w:r w:rsidR="007A2075">
        <w:t xml:space="preserve">determination </w:t>
      </w:r>
      <w:r w:rsidRPr="002571B6">
        <w:t xml:space="preserve">for </w:t>
      </w:r>
      <w:r>
        <w:t>the</w:t>
      </w:r>
      <w:r w:rsidRPr="002571B6">
        <w:t xml:space="preserve"> 2009–14 regulatory control period.</w:t>
      </w:r>
      <w:r w:rsidR="00663015">
        <w:t xml:space="preserve"> We are satisfied these proposed standard asset lives reflect the nature of the assets</w:t>
      </w:r>
      <w:r w:rsidR="00663015" w:rsidRPr="00196D33">
        <w:t xml:space="preserve"> </w:t>
      </w:r>
      <w:r w:rsidR="00663015">
        <w:t xml:space="preserve">over the </w:t>
      </w:r>
      <w:r w:rsidR="00663015" w:rsidRPr="00196D33">
        <w:t>economic lives of the asset</w:t>
      </w:r>
      <w:r w:rsidR="00663015">
        <w:t xml:space="preserve"> classes.</w:t>
      </w:r>
      <w:r w:rsidR="00663015">
        <w:rPr>
          <w:rStyle w:val="FootnoteReference"/>
        </w:rPr>
        <w:footnoteReference w:id="11"/>
      </w:r>
    </w:p>
    <w:p w:rsidR="00B91BDC" w:rsidRDefault="00B91BDC" w:rsidP="00B91BDC">
      <w:pPr>
        <w:pStyle w:val="AERbodytext"/>
      </w:pPr>
      <w:r>
        <w:lastRenderedPageBreak/>
        <w:t>We also accept TasNetworks' proposed standard asset lives for the new 'C</w:t>
      </w:r>
      <w:r w:rsidRPr="008445EE">
        <w:t>ommunication</w:t>
      </w:r>
      <w:r>
        <w:t xml:space="preserve"> assets'</w:t>
      </w:r>
      <w:r w:rsidRPr="008445EE">
        <w:t xml:space="preserve"> asset classes</w:t>
      </w:r>
      <w:r>
        <w:t xml:space="preserve">. This is </w:t>
      </w:r>
      <w:r w:rsidRPr="008445EE">
        <w:t xml:space="preserve">because </w:t>
      </w:r>
      <w:r>
        <w:t>we consider the proposed standard asset life for each asset class reflects the expected economic life of the assets allocated to it.</w:t>
      </w:r>
      <w:r>
        <w:rPr>
          <w:rStyle w:val="FootnoteReference"/>
        </w:rPr>
        <w:footnoteReference w:id="12"/>
      </w:r>
      <w:r>
        <w:t xml:space="preserve"> TasNetworks</w:t>
      </w:r>
      <w:r w:rsidRPr="00B31D82">
        <w:t xml:space="preserve"> propose</w:t>
      </w:r>
      <w:r>
        <w:t>d three</w:t>
      </w:r>
      <w:r w:rsidRPr="00B31D82">
        <w:t xml:space="preserve"> new asset classes for </w:t>
      </w:r>
      <w:r>
        <w:t xml:space="preserve">its communications assets </w:t>
      </w:r>
      <w:r w:rsidRPr="00866650">
        <w:t>with standard asset lives of</w:t>
      </w:r>
      <w:r>
        <w:t>:</w:t>
      </w:r>
      <w:r>
        <w:rPr>
          <w:rStyle w:val="FootnoteReference"/>
        </w:rPr>
        <w:footnoteReference w:id="13"/>
      </w:r>
    </w:p>
    <w:p w:rsidR="00B91BDC" w:rsidRDefault="00B91BDC" w:rsidP="00B91BDC">
      <w:pPr>
        <w:pStyle w:val="AERbulletlistfirststyle"/>
      </w:pPr>
      <w:r>
        <w:t xml:space="preserve">45 years (medium life)—main assets included are towers, buildings, access tracks, poles, optical fibre cables, fall arrest system, AC connection and earthing system </w:t>
      </w:r>
    </w:p>
    <w:p w:rsidR="00B91BDC" w:rsidRDefault="00B91BDC" w:rsidP="00B91BDC">
      <w:pPr>
        <w:pStyle w:val="AERbulletlistfirststyle"/>
      </w:pPr>
      <w:r w:rsidRPr="00866650">
        <w:t>10 years (short life)</w:t>
      </w:r>
      <w:r>
        <w:t>—main assets included are</w:t>
      </w:r>
      <w:r w:rsidRPr="00866650">
        <w:t xml:space="preserve"> </w:t>
      </w:r>
      <w:r>
        <w:t>transportable buildings, fences and gates, bearer equipment, voice network end equipment, DC supply system, security and fire protection</w:t>
      </w:r>
    </w:p>
    <w:p w:rsidR="00B91BDC" w:rsidRDefault="00B91BDC" w:rsidP="00B91BDC">
      <w:pPr>
        <w:pStyle w:val="AERbulletlistfirststyle"/>
      </w:pPr>
      <w:r w:rsidRPr="00866650">
        <w:t>5 years (very short life</w:t>
      </w:r>
      <w:r>
        <w:t>)—main assets included are Ethernet switches, routers, wireless equipment, voice network core equipment and test equipment.</w:t>
      </w:r>
    </w:p>
    <w:p w:rsidR="00B91BDC" w:rsidRPr="00B91BDC" w:rsidRDefault="00B91BDC" w:rsidP="00B91BDC">
      <w:pPr>
        <w:pStyle w:val="AERbulletlistfirststyle"/>
        <w:numPr>
          <w:ilvl w:val="0"/>
          <w:numId w:val="0"/>
        </w:numPr>
      </w:pPr>
      <w:r>
        <w:t>We consider that t</w:t>
      </w:r>
      <w:r w:rsidRPr="00B91BDC">
        <w:t>he proposed standard asset lives are comparable with those approved in our recent transmission determinations for similar asset classes.</w:t>
      </w:r>
      <w:r w:rsidR="00663015">
        <w:rPr>
          <w:rStyle w:val="FootnoteReference"/>
        </w:rPr>
        <w:footnoteReference w:id="14"/>
      </w:r>
      <w:r w:rsidRPr="00B91BDC">
        <w:t xml:space="preserve"> We also note that T</w:t>
      </w:r>
      <w:r w:rsidR="000A3192">
        <w:t>asNetworks</w:t>
      </w:r>
      <w:r w:rsidRPr="00B91BDC">
        <w:t xml:space="preserve"> engaged SKM to review the proposed standard asset lives. SKM considered that T</w:t>
      </w:r>
      <w:r w:rsidR="000A3192">
        <w:t>asNetworks'</w:t>
      </w:r>
      <w:r w:rsidRPr="00B91BDC">
        <w:t xml:space="preserve"> proposed standard asset lives for the communications asset classes </w:t>
      </w:r>
      <w:r>
        <w:t>wer</w:t>
      </w:r>
      <w:r w:rsidRPr="00B91BDC">
        <w:t>e reasonable.</w:t>
      </w:r>
      <w:r w:rsidRPr="00B91BDC">
        <w:rPr>
          <w:rStyle w:val="FootnoteReference"/>
        </w:rPr>
        <w:footnoteReference w:id="15"/>
      </w:r>
      <w:r w:rsidRPr="00B91BDC">
        <w:t xml:space="preserve"> We have taken into account the detailed assessment provided by SKM in making our decision on the proposed asset lives.</w:t>
      </w:r>
    </w:p>
    <w:p w:rsidR="00B91BDC" w:rsidRPr="00B91BDC" w:rsidRDefault="001C25D9" w:rsidP="00B91BDC">
      <w:pPr>
        <w:pStyle w:val="AERbodytext"/>
      </w:pPr>
      <w:r>
        <w:fldChar w:fldCharType="begin"/>
      </w:r>
      <w:r>
        <w:instrText xml:space="preserve"> REF _Ref402187266 \h </w:instrText>
      </w:r>
      <w:r>
        <w:fldChar w:fldCharType="separate"/>
      </w:r>
      <w:r w:rsidR="002E7B38" w:rsidRPr="00725E0C">
        <w:t xml:space="preserve">Table </w:t>
      </w:r>
      <w:r w:rsidR="002E7B38">
        <w:rPr>
          <w:noProof/>
        </w:rPr>
        <w:t>5</w:t>
      </w:r>
      <w:r w:rsidR="002E7B38">
        <w:noBreakHyphen/>
      </w:r>
      <w:r w:rsidR="002E7B38">
        <w:rPr>
          <w:noProof/>
        </w:rPr>
        <w:t>3</w:t>
      </w:r>
      <w:r>
        <w:fldChar w:fldCharType="end"/>
      </w:r>
      <w:r w:rsidR="00B91BDC" w:rsidRPr="00896831">
        <w:t xml:space="preserve"> sets out our draft decision on </w:t>
      </w:r>
      <w:r w:rsidR="00B91BDC">
        <w:t xml:space="preserve">TasNetworks' </w:t>
      </w:r>
      <w:r w:rsidR="00B91BDC" w:rsidRPr="00896831">
        <w:t>standard asset lives</w:t>
      </w:r>
      <w:r w:rsidR="00B91BDC">
        <w:t xml:space="preserve"> for the 2014–19 period.</w:t>
      </w:r>
    </w:p>
    <w:p w:rsidR="00B47945" w:rsidRDefault="00B91BDC" w:rsidP="00F0258A">
      <w:pPr>
        <w:pStyle w:val="Heading3"/>
      </w:pPr>
      <w:bookmarkStart w:id="26" w:name="_Toc402186989"/>
      <w:bookmarkStart w:id="27" w:name="_Toc404752315"/>
      <w:r>
        <w:t>Remaining asset lives</w:t>
      </w:r>
      <w:bookmarkEnd w:id="26"/>
      <w:bookmarkEnd w:id="27"/>
    </w:p>
    <w:p w:rsidR="00B91BDC" w:rsidRPr="00500699" w:rsidRDefault="00B91BDC" w:rsidP="00B91BDC">
      <w:pPr>
        <w:pStyle w:val="AERbodytext"/>
      </w:pPr>
      <w:r>
        <w:t>We accept T</w:t>
      </w:r>
      <w:r w:rsidR="000A3192">
        <w:t>asNetworks</w:t>
      </w:r>
      <w:r w:rsidRPr="00500699">
        <w:t xml:space="preserve">' proposed weighted average method to calculate the remaining asset lives as at 1 July 2014. </w:t>
      </w:r>
      <w:r>
        <w:t xml:space="preserve">The proposed method </w:t>
      </w:r>
      <w:r w:rsidR="00110BDA">
        <w:t>applies</w:t>
      </w:r>
      <w:r>
        <w:t xml:space="preserve"> </w:t>
      </w:r>
      <w:r w:rsidR="00D7053C">
        <w:t>the</w:t>
      </w:r>
      <w:r>
        <w:t xml:space="preserve"> approach as set out in the RFM.</w:t>
      </w:r>
      <w:r w:rsidRPr="00500699">
        <w:t xml:space="preserve"> In accepting the weighted average method, we have updated </w:t>
      </w:r>
      <w:r>
        <w:t>its</w:t>
      </w:r>
      <w:r w:rsidRPr="00500699">
        <w:t xml:space="preserve"> remain</w:t>
      </w:r>
      <w:r>
        <w:t xml:space="preserve">ing asset lives </w:t>
      </w:r>
      <w:r w:rsidRPr="00500699">
        <w:t xml:space="preserve">to reflect our adjustments to the actual capex in the RAB roll forward in the RFM, as discussed in attachment </w:t>
      </w:r>
      <w:r w:rsidR="002318E8">
        <w:t>2</w:t>
      </w:r>
      <w:r w:rsidRPr="00500699">
        <w:t>.</w:t>
      </w:r>
      <w:r w:rsidRPr="00500699">
        <w:rPr>
          <w:rStyle w:val="FootnoteReference"/>
        </w:rPr>
        <w:footnoteReference w:id="16"/>
      </w:r>
      <w:r w:rsidRPr="00500699">
        <w:t xml:space="preserve"> This is because the actual capex values are inputs for calculating the weighted average remaining asset lives in the RFM.  </w:t>
      </w:r>
    </w:p>
    <w:p w:rsidR="00B91BDC" w:rsidRDefault="00B91BDC" w:rsidP="00B91BDC">
      <w:pPr>
        <w:pStyle w:val="AERbodytext"/>
      </w:pPr>
      <w:r>
        <w:t>We also accept T</w:t>
      </w:r>
      <w:r w:rsidR="000A3192">
        <w:t>asNetworks</w:t>
      </w:r>
      <w:r>
        <w:t xml:space="preserve">' proposal to increase </w:t>
      </w:r>
      <w:r w:rsidRPr="002F7411">
        <w:t xml:space="preserve">the remaining asset life of the </w:t>
      </w:r>
      <w:r w:rsidRPr="00C2686F">
        <w:t xml:space="preserve">‘Transmission </w:t>
      </w:r>
      <w:r>
        <w:t>li</w:t>
      </w:r>
      <w:r w:rsidRPr="00C2686F">
        <w:t xml:space="preserve">nes and </w:t>
      </w:r>
      <w:r>
        <w:t>c</w:t>
      </w:r>
      <w:r w:rsidRPr="00C2686F">
        <w:t xml:space="preserve">ables’ </w:t>
      </w:r>
      <w:r>
        <w:t xml:space="preserve">and </w:t>
      </w:r>
      <w:r w:rsidRPr="00C2686F">
        <w:t xml:space="preserve">‘Transmission </w:t>
      </w:r>
      <w:r>
        <w:t>substations</w:t>
      </w:r>
      <w:r w:rsidRPr="00C2686F">
        <w:t>’</w:t>
      </w:r>
      <w:r>
        <w:t xml:space="preserve"> asset classes </w:t>
      </w:r>
      <w:r w:rsidRPr="00C2686F">
        <w:t>to 3</w:t>
      </w:r>
      <w:r>
        <w:t>4</w:t>
      </w:r>
      <w:r w:rsidRPr="00C2686F">
        <w:t xml:space="preserve"> years</w:t>
      </w:r>
      <w:r>
        <w:t xml:space="preserve"> and 32 years</w:t>
      </w:r>
      <w:r w:rsidRPr="00C2686F">
        <w:t xml:space="preserve"> from the RFM</w:t>
      </w:r>
      <w:r>
        <w:t xml:space="preserve"> derived lives</w:t>
      </w:r>
      <w:r w:rsidRPr="00C2686F">
        <w:t xml:space="preserve"> of 16 years</w:t>
      </w:r>
      <w:r>
        <w:t xml:space="preserve"> and 23 years, respectively</w:t>
      </w:r>
      <w:r w:rsidRPr="00C2686F">
        <w:t>.</w:t>
      </w:r>
      <w:r>
        <w:t xml:space="preserve"> We </w:t>
      </w:r>
      <w:r w:rsidR="00AA343A">
        <w:t>are satisfied that TasNetworks'</w:t>
      </w:r>
      <w:r>
        <w:t xml:space="preserve"> proposed increases to these remaining </w:t>
      </w:r>
      <w:r w:rsidR="00AA343A">
        <w:t>asset lives are reasonable as they better reflect</w:t>
      </w:r>
      <w:r>
        <w:t xml:space="preserve"> the expected economic lives of the transmission lines, cables and substations assets.</w:t>
      </w:r>
      <w:r>
        <w:rPr>
          <w:rStyle w:val="FootnoteReference"/>
        </w:rPr>
        <w:footnoteReference w:id="17"/>
      </w:r>
      <w:r>
        <w:t xml:space="preserve"> </w:t>
      </w:r>
      <w:r w:rsidR="008C2919">
        <w:t>Submissions from the Energy Users Association of Australia, Major Energy Users and Tasmanian Small Business Council supported TasNetworks' proposal to extend some of its remaining asset lives.</w:t>
      </w:r>
      <w:r w:rsidR="008C2919">
        <w:rPr>
          <w:rStyle w:val="FootnoteReference"/>
        </w:rPr>
        <w:footnoteReference w:id="18"/>
      </w:r>
      <w:r w:rsidR="008C2919">
        <w:t xml:space="preserve"> </w:t>
      </w:r>
      <w:r>
        <w:t xml:space="preserve">We also note that the effect of the proposed increase to the remaining asset lives is that depreciation of these assets will be </w:t>
      </w:r>
      <w:r>
        <w:lastRenderedPageBreak/>
        <w:t xml:space="preserve">recovered over a longer period, resulting in a reduction to the </w:t>
      </w:r>
      <w:r w:rsidR="00AA343A">
        <w:t xml:space="preserve">total </w:t>
      </w:r>
      <w:r>
        <w:t xml:space="preserve">forecast </w:t>
      </w:r>
      <w:r w:rsidR="00AA343A">
        <w:t>revenue requirement over</w:t>
      </w:r>
      <w:r w:rsidRPr="00184784">
        <w:t xml:space="preserve"> the</w:t>
      </w:r>
      <w:r w:rsidR="00AA343A">
        <w:t xml:space="preserve"> </w:t>
      </w:r>
      <w:r w:rsidRPr="00184784">
        <w:t>2014–19 period</w:t>
      </w:r>
      <w:r>
        <w:t xml:space="preserve"> by about $</w:t>
      </w:r>
      <w:r w:rsidR="00AA343A">
        <w:t>64</w:t>
      </w:r>
      <w:r>
        <w:t xml:space="preserve"> million. </w:t>
      </w:r>
    </w:p>
    <w:p w:rsidR="00B91BDC" w:rsidRDefault="001C25D9" w:rsidP="00B91BDC">
      <w:pPr>
        <w:pStyle w:val="AERbodytext"/>
      </w:pPr>
      <w:r>
        <w:fldChar w:fldCharType="begin"/>
      </w:r>
      <w:r>
        <w:instrText xml:space="preserve"> REF _Ref402187266 \h </w:instrText>
      </w:r>
      <w:r>
        <w:fldChar w:fldCharType="separate"/>
      </w:r>
      <w:r w:rsidR="002E7B38" w:rsidRPr="00725E0C">
        <w:t xml:space="preserve">Table </w:t>
      </w:r>
      <w:r w:rsidR="002E7B38">
        <w:rPr>
          <w:noProof/>
        </w:rPr>
        <w:t>5</w:t>
      </w:r>
      <w:r w:rsidR="002E7B38">
        <w:noBreakHyphen/>
      </w:r>
      <w:r w:rsidR="002E7B38">
        <w:rPr>
          <w:noProof/>
        </w:rPr>
        <w:t>3</w:t>
      </w:r>
      <w:r>
        <w:fldChar w:fldCharType="end"/>
      </w:r>
      <w:r>
        <w:t xml:space="preserve"> </w:t>
      </w:r>
      <w:r w:rsidR="00B91BDC" w:rsidRPr="00060638">
        <w:t>set</w:t>
      </w:r>
      <w:r w:rsidR="00B91BDC">
        <w:t>s</w:t>
      </w:r>
      <w:r w:rsidR="00B91BDC" w:rsidRPr="00060638">
        <w:t xml:space="preserve"> out our draft decision on the remaining asset lives </w:t>
      </w:r>
      <w:r w:rsidR="00B91BDC" w:rsidRPr="00060638">
        <w:rPr>
          <w:rStyle w:val="AERbody"/>
        </w:rPr>
        <w:t>as at 1 July 2014 for T</w:t>
      </w:r>
      <w:r w:rsidR="000A3192">
        <w:rPr>
          <w:rStyle w:val="AERbody"/>
        </w:rPr>
        <w:t>asNetworks</w:t>
      </w:r>
      <w:r w:rsidR="00B91BDC" w:rsidRPr="00060638">
        <w:t>.</w:t>
      </w:r>
    </w:p>
    <w:p w:rsidR="00B91BDC" w:rsidRPr="00725E0C" w:rsidRDefault="00B91BDC" w:rsidP="00B91BDC">
      <w:pPr>
        <w:pStyle w:val="Caption"/>
      </w:pPr>
      <w:bookmarkStart w:id="28" w:name="_Ref402187266"/>
      <w:r w:rsidRPr="00725E0C">
        <w:t xml:space="preserve">Table </w:t>
      </w:r>
      <w:fldSimple w:instr=" STYLEREF 1 \s ">
        <w:r w:rsidR="002E7B38">
          <w:rPr>
            <w:noProof/>
          </w:rPr>
          <w:t>5</w:t>
        </w:r>
      </w:fldSimple>
      <w:r w:rsidR="001C25D9">
        <w:noBreakHyphen/>
      </w:r>
      <w:fldSimple w:instr=" SEQ Table \* ARABIC \s 1 ">
        <w:r w:rsidR="002E7B38">
          <w:rPr>
            <w:noProof/>
          </w:rPr>
          <w:t>3</w:t>
        </w:r>
      </w:fldSimple>
      <w:bookmarkEnd w:id="28"/>
      <w:r w:rsidRPr="00725E0C">
        <w:tab/>
        <w:t>AER's draft decision on T</w:t>
      </w:r>
      <w:r w:rsidR="000A3192">
        <w:t>asNetworks'</w:t>
      </w:r>
      <w:r w:rsidRPr="00725E0C">
        <w:t xml:space="preserve"> standard and remaining asset li</w:t>
      </w:r>
      <w:r>
        <w:t>ves</w:t>
      </w:r>
      <w:r w:rsidRPr="00725E0C">
        <w:t xml:space="preserve"> as at 1 July 2014 (years)</w:t>
      </w:r>
    </w:p>
    <w:tbl>
      <w:tblPr>
        <w:tblStyle w:val="AERtable-numbers"/>
        <w:tblW w:w="9147" w:type="dxa"/>
        <w:tblLook w:val="01E0" w:firstRow="1" w:lastRow="1" w:firstColumn="1" w:lastColumn="1" w:noHBand="0" w:noVBand="0"/>
      </w:tblPr>
      <w:tblGrid>
        <w:gridCol w:w="3451"/>
        <w:gridCol w:w="2430"/>
        <w:gridCol w:w="3266"/>
      </w:tblGrid>
      <w:tr w:rsidR="00B91BDC" w:rsidRPr="00257BC0" w:rsidTr="0031588A">
        <w:trPr>
          <w:cnfStyle w:val="100000000000" w:firstRow="1" w:lastRow="0" w:firstColumn="0" w:lastColumn="0" w:oddVBand="0" w:evenVBand="0" w:oddHBand="0" w:evenHBand="0" w:firstRowFirstColumn="0" w:firstRowLastColumn="0" w:lastRowFirstColumn="0" w:lastRowLastColumn="0"/>
          <w:trHeight w:hRule="exact" w:val="586"/>
          <w:tblHeader/>
        </w:trPr>
        <w:tc>
          <w:tcPr>
            <w:cnfStyle w:val="001000000000" w:firstRow="0" w:lastRow="0" w:firstColumn="1" w:lastColumn="0" w:oddVBand="0" w:evenVBand="0" w:oddHBand="0" w:evenHBand="0" w:firstRowFirstColumn="0" w:firstRowLastColumn="0" w:lastRowFirstColumn="0" w:lastRowLastColumn="0"/>
            <w:tcW w:w="3451" w:type="dxa"/>
          </w:tcPr>
          <w:p w:rsidR="00B91BDC" w:rsidRPr="00725E0C" w:rsidRDefault="00B91BDC" w:rsidP="00B91BDC">
            <w:pPr>
              <w:pStyle w:val="AERtabletextleft"/>
            </w:pPr>
            <w:r w:rsidRPr="00725E0C">
              <w:t>Asset class</w:t>
            </w:r>
          </w:p>
        </w:tc>
        <w:tc>
          <w:tcPr>
            <w:tcW w:w="2430" w:type="dxa"/>
          </w:tcPr>
          <w:p w:rsidR="00B91BDC" w:rsidRPr="00725E0C" w:rsidRDefault="00B91BDC" w:rsidP="00B91BDC">
            <w:pPr>
              <w:pStyle w:val="AERtabletextright"/>
              <w:cnfStyle w:val="100000000000" w:firstRow="1" w:lastRow="0" w:firstColumn="0" w:lastColumn="0" w:oddVBand="0" w:evenVBand="0" w:oddHBand="0" w:evenHBand="0" w:firstRowFirstColumn="0" w:firstRowLastColumn="0" w:lastRowFirstColumn="0" w:lastRowLastColumn="0"/>
            </w:pPr>
            <w:r w:rsidRPr="00725E0C">
              <w:t xml:space="preserve">Standard asset life </w:t>
            </w:r>
          </w:p>
        </w:tc>
        <w:tc>
          <w:tcPr>
            <w:tcW w:w="3266" w:type="dxa"/>
          </w:tcPr>
          <w:p w:rsidR="00B91BDC" w:rsidRPr="00725E0C" w:rsidRDefault="00B91BDC" w:rsidP="00B91BDC">
            <w:pPr>
              <w:pStyle w:val="AERtabletextright"/>
              <w:cnfStyle w:val="100000000000" w:firstRow="1" w:lastRow="0" w:firstColumn="0" w:lastColumn="0" w:oddVBand="0" w:evenVBand="0" w:oddHBand="0" w:evenHBand="0" w:firstRowFirstColumn="0" w:firstRowLastColumn="0" w:lastRowFirstColumn="0" w:lastRowLastColumn="0"/>
            </w:pPr>
            <w:r w:rsidRPr="00725E0C">
              <w:t xml:space="preserve">Remaining asset life as at 1 July 2014 </w:t>
            </w:r>
          </w:p>
        </w:tc>
      </w:tr>
      <w:tr w:rsidR="00B91BDC" w:rsidRPr="00257BC0" w:rsidTr="00B91BDC">
        <w:trPr>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B91BDC" w:rsidRPr="00B91BDC" w:rsidRDefault="00B91BDC" w:rsidP="00B91BDC">
            <w:pPr>
              <w:pStyle w:val="AERtabletextleft"/>
            </w:pPr>
            <w:bookmarkStart w:id="29" w:name="RANGE!G7"/>
            <w:r w:rsidRPr="000766DA">
              <w:t>Transmission lines and cables</w:t>
            </w:r>
            <w:bookmarkEnd w:id="29"/>
            <w:r w:rsidRPr="00B91BDC">
              <w:t>*</w:t>
            </w:r>
          </w:p>
        </w:tc>
        <w:tc>
          <w:tcPr>
            <w:tcW w:w="2430" w:type="dxa"/>
            <w:vAlign w:val="bottom"/>
          </w:tcPr>
          <w:p w:rsidR="00B91BDC" w:rsidRPr="00B91BDC" w:rsidRDefault="00B91BDC" w:rsidP="00B91BDC">
            <w:pPr>
              <w:pStyle w:val="AERtabletextleft"/>
              <w:cnfStyle w:val="000000000000" w:firstRow="0" w:lastRow="0" w:firstColumn="0" w:lastColumn="0" w:oddVBand="0" w:evenVBand="0" w:oddHBand="0" w:evenHBand="0" w:firstRowFirstColumn="0" w:firstRowLastColumn="0" w:lastRowFirstColumn="0" w:lastRowLastColumn="0"/>
            </w:pPr>
            <w:r>
              <w:t>n/a</w:t>
            </w:r>
          </w:p>
        </w:tc>
        <w:tc>
          <w:tcPr>
            <w:tcW w:w="3266" w:type="dxa"/>
          </w:tcPr>
          <w:p w:rsidR="00B91BDC" w:rsidRPr="000766DA" w:rsidRDefault="00384D6C" w:rsidP="00B91BDC">
            <w:pPr>
              <w:pStyle w:val="AERtabletextright"/>
              <w:cnfStyle w:val="000000000000" w:firstRow="0" w:lastRow="0" w:firstColumn="0" w:lastColumn="0" w:oddVBand="0" w:evenVBand="0" w:oddHBand="0" w:evenHBand="0" w:firstRowFirstColumn="0" w:firstRowLastColumn="0" w:lastRowFirstColumn="0" w:lastRowLastColumn="0"/>
            </w:pPr>
            <w:r>
              <w:t>33.9</w:t>
            </w:r>
          </w:p>
        </w:tc>
      </w:tr>
      <w:tr w:rsidR="00B91BDC" w:rsidRPr="00257BC0" w:rsidTr="00B91BDC">
        <w:trPr>
          <w:cnfStyle w:val="000000010000" w:firstRow="0" w:lastRow="0" w:firstColumn="0" w:lastColumn="0" w:oddVBand="0" w:evenVBand="0" w:oddHBand="0" w:evenHBand="1" w:firstRowFirstColumn="0" w:firstRowLastColumn="0" w:lastRowFirstColumn="0" w:lastRowLastColumn="0"/>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B91BDC" w:rsidRPr="00B91BDC" w:rsidRDefault="00B91BDC" w:rsidP="00B91BDC">
            <w:pPr>
              <w:pStyle w:val="AERtabletextleft"/>
            </w:pPr>
            <w:bookmarkStart w:id="30" w:name="RANGE!G8"/>
            <w:r w:rsidRPr="000766DA">
              <w:t>Transmission substations</w:t>
            </w:r>
            <w:bookmarkEnd w:id="30"/>
            <w:r w:rsidRPr="00B91BDC">
              <w:t>*</w:t>
            </w:r>
          </w:p>
        </w:tc>
        <w:tc>
          <w:tcPr>
            <w:tcW w:w="2430" w:type="dxa"/>
            <w:vAlign w:val="bottom"/>
          </w:tcPr>
          <w:p w:rsidR="00B91BDC" w:rsidRPr="00B91BDC" w:rsidRDefault="00B91BDC" w:rsidP="00B91BDC">
            <w:pPr>
              <w:pStyle w:val="AERtabletextleft"/>
              <w:cnfStyle w:val="000000010000" w:firstRow="0" w:lastRow="0" w:firstColumn="0" w:lastColumn="0" w:oddVBand="0" w:evenVBand="0" w:oddHBand="0" w:evenHBand="1" w:firstRowFirstColumn="0" w:firstRowLastColumn="0" w:lastRowFirstColumn="0" w:lastRowLastColumn="0"/>
            </w:pPr>
            <w:bookmarkStart w:id="31" w:name="RANGE!M8"/>
            <w:r>
              <w:t>n/a</w:t>
            </w:r>
            <w:bookmarkEnd w:id="31"/>
          </w:p>
        </w:tc>
        <w:tc>
          <w:tcPr>
            <w:tcW w:w="3266" w:type="dxa"/>
          </w:tcPr>
          <w:p w:rsidR="00B91BDC" w:rsidRPr="000766DA" w:rsidRDefault="00384D6C" w:rsidP="00B91BDC">
            <w:pPr>
              <w:pStyle w:val="AERtabletextright"/>
              <w:cnfStyle w:val="000000010000" w:firstRow="0" w:lastRow="0" w:firstColumn="0" w:lastColumn="0" w:oddVBand="0" w:evenVBand="0" w:oddHBand="0" w:evenHBand="1" w:firstRowFirstColumn="0" w:firstRowLastColumn="0" w:lastRowFirstColumn="0" w:lastRowLastColumn="0"/>
            </w:pPr>
            <w:r>
              <w:t>32.1</w:t>
            </w:r>
          </w:p>
        </w:tc>
      </w:tr>
      <w:tr w:rsidR="00B91BDC" w:rsidRPr="00257BC0" w:rsidTr="00B91BDC">
        <w:trPr>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B91BDC" w:rsidRPr="00B91BDC" w:rsidRDefault="00B91BDC" w:rsidP="00B91BDC">
            <w:pPr>
              <w:pStyle w:val="AERtabletextleft"/>
            </w:pPr>
            <w:bookmarkStart w:id="32" w:name="RANGE!G9"/>
            <w:r w:rsidRPr="000766DA">
              <w:t>Protection and control</w:t>
            </w:r>
            <w:bookmarkEnd w:id="32"/>
            <w:r w:rsidRPr="00B91BDC">
              <w:t>*</w:t>
            </w:r>
          </w:p>
        </w:tc>
        <w:tc>
          <w:tcPr>
            <w:tcW w:w="2430" w:type="dxa"/>
          </w:tcPr>
          <w:p w:rsidR="00B91BDC" w:rsidRPr="00B91BDC" w:rsidRDefault="00B91BDC" w:rsidP="00B91BDC">
            <w:pPr>
              <w:pStyle w:val="AERtabletextleft"/>
              <w:cnfStyle w:val="000000000000" w:firstRow="0" w:lastRow="0" w:firstColumn="0" w:lastColumn="0" w:oddVBand="0" w:evenVBand="0" w:oddHBand="0" w:evenHBand="0" w:firstRowFirstColumn="0" w:firstRowLastColumn="0" w:lastRowFirstColumn="0" w:lastRowLastColumn="0"/>
            </w:pPr>
            <w:bookmarkStart w:id="33" w:name="RANGE!M9"/>
            <w:r>
              <w:t>n/a</w:t>
            </w:r>
            <w:bookmarkEnd w:id="33"/>
          </w:p>
        </w:tc>
        <w:tc>
          <w:tcPr>
            <w:tcW w:w="3266" w:type="dxa"/>
          </w:tcPr>
          <w:p w:rsidR="00B91BDC" w:rsidRPr="000766DA" w:rsidRDefault="00384D6C" w:rsidP="00B91BDC">
            <w:pPr>
              <w:pStyle w:val="AERtabletextright"/>
              <w:cnfStyle w:val="000000000000" w:firstRow="0" w:lastRow="0" w:firstColumn="0" w:lastColumn="0" w:oddVBand="0" w:evenVBand="0" w:oddHBand="0" w:evenHBand="0" w:firstRowFirstColumn="0" w:firstRowLastColumn="0" w:lastRowFirstColumn="0" w:lastRowLastColumn="0"/>
            </w:pPr>
            <w:r>
              <w:t>3.6</w:t>
            </w:r>
          </w:p>
        </w:tc>
      </w:tr>
      <w:tr w:rsidR="00B91BDC" w:rsidRPr="00257BC0" w:rsidTr="00B91BDC">
        <w:trPr>
          <w:cnfStyle w:val="000000010000" w:firstRow="0" w:lastRow="0" w:firstColumn="0" w:lastColumn="0" w:oddVBand="0" w:evenVBand="0" w:oddHBand="0" w:evenHBand="1" w:firstRowFirstColumn="0" w:firstRowLastColumn="0" w:lastRowFirstColumn="0" w:lastRowLastColumn="0"/>
          <w:trHeight w:hRule="exact" w:val="504"/>
        </w:trPr>
        <w:tc>
          <w:tcPr>
            <w:cnfStyle w:val="001000000000" w:firstRow="0" w:lastRow="0" w:firstColumn="1" w:lastColumn="0" w:oddVBand="0" w:evenVBand="0" w:oddHBand="0" w:evenHBand="0" w:firstRowFirstColumn="0" w:firstRowLastColumn="0" w:lastRowFirstColumn="0" w:lastRowLastColumn="0"/>
            <w:tcW w:w="3451" w:type="dxa"/>
          </w:tcPr>
          <w:p w:rsidR="00B91BDC" w:rsidRPr="00B91BDC" w:rsidRDefault="00B91BDC" w:rsidP="00B91BDC">
            <w:pPr>
              <w:pStyle w:val="AERtabletextleft"/>
            </w:pPr>
            <w:bookmarkStart w:id="34" w:name="RANGE!G10"/>
            <w:r w:rsidRPr="000766DA">
              <w:t>Refurbishment</w:t>
            </w:r>
            <w:bookmarkEnd w:id="34"/>
            <w:r w:rsidRPr="00B91BDC">
              <w:t>*</w:t>
            </w:r>
          </w:p>
        </w:tc>
        <w:tc>
          <w:tcPr>
            <w:tcW w:w="2430" w:type="dxa"/>
          </w:tcPr>
          <w:p w:rsidR="00B91BDC" w:rsidRPr="00B91BDC" w:rsidRDefault="00B91BDC" w:rsidP="00B91BDC">
            <w:pPr>
              <w:pStyle w:val="AERtabletextleft"/>
              <w:cnfStyle w:val="000000010000" w:firstRow="0" w:lastRow="0" w:firstColumn="0" w:lastColumn="0" w:oddVBand="0" w:evenVBand="0" w:oddHBand="0" w:evenHBand="1" w:firstRowFirstColumn="0" w:firstRowLastColumn="0" w:lastRowFirstColumn="0" w:lastRowLastColumn="0"/>
            </w:pPr>
            <w:bookmarkStart w:id="35" w:name="RANGE!M10"/>
            <w:r>
              <w:t>n</w:t>
            </w:r>
            <w:r w:rsidRPr="00B91BDC">
              <w:t>/a</w:t>
            </w:r>
            <w:bookmarkEnd w:id="35"/>
          </w:p>
        </w:tc>
        <w:tc>
          <w:tcPr>
            <w:tcW w:w="3266" w:type="dxa"/>
          </w:tcPr>
          <w:p w:rsidR="00B91BDC" w:rsidRPr="000766DA" w:rsidRDefault="00384D6C" w:rsidP="00B91BDC">
            <w:pPr>
              <w:pStyle w:val="AERtabletextright"/>
              <w:cnfStyle w:val="000000010000" w:firstRow="0" w:lastRow="0" w:firstColumn="0" w:lastColumn="0" w:oddVBand="0" w:evenVBand="0" w:oddHBand="0" w:evenHBand="1" w:firstRowFirstColumn="0" w:firstRowLastColumn="0" w:lastRowFirstColumn="0" w:lastRowLastColumn="0"/>
            </w:pPr>
            <w:r>
              <w:t>5.0</w:t>
            </w:r>
          </w:p>
        </w:tc>
      </w:tr>
      <w:tr w:rsidR="00B91BDC" w:rsidRPr="00257BC0" w:rsidTr="00B91BDC">
        <w:trPr>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B91BDC" w:rsidRPr="00B91BDC" w:rsidRDefault="00B91BDC" w:rsidP="00B91BDC">
            <w:pPr>
              <w:pStyle w:val="AERtabletextleft"/>
            </w:pPr>
            <w:bookmarkStart w:id="36" w:name="RANGE!G11"/>
            <w:r w:rsidRPr="000766DA">
              <w:t>Other</w:t>
            </w:r>
            <w:bookmarkEnd w:id="36"/>
            <w:r w:rsidRPr="00B91BDC">
              <w:t>*</w:t>
            </w:r>
          </w:p>
        </w:tc>
        <w:tc>
          <w:tcPr>
            <w:tcW w:w="2430" w:type="dxa"/>
          </w:tcPr>
          <w:p w:rsidR="00B91BDC" w:rsidRPr="000766DA" w:rsidRDefault="00B91BDC" w:rsidP="00B91BDC">
            <w:pPr>
              <w:pStyle w:val="AERtabletextleft"/>
              <w:cnfStyle w:val="000000000000" w:firstRow="0" w:lastRow="0" w:firstColumn="0" w:lastColumn="0" w:oddVBand="0" w:evenVBand="0" w:oddHBand="0" w:evenHBand="0" w:firstRowFirstColumn="0" w:firstRowLastColumn="0" w:lastRowFirstColumn="0" w:lastRowLastColumn="0"/>
            </w:pPr>
            <w:bookmarkStart w:id="37" w:name="RANGE!M11"/>
            <w:r w:rsidRPr="000766DA">
              <w:t>n/a</w:t>
            </w:r>
            <w:bookmarkEnd w:id="37"/>
          </w:p>
        </w:tc>
        <w:tc>
          <w:tcPr>
            <w:tcW w:w="3266" w:type="dxa"/>
          </w:tcPr>
          <w:p w:rsidR="00B91BDC" w:rsidRPr="000766DA" w:rsidRDefault="00384D6C" w:rsidP="00B91BDC">
            <w:pPr>
              <w:pStyle w:val="AERtabletextright"/>
              <w:cnfStyle w:val="000000000000" w:firstRow="0" w:lastRow="0" w:firstColumn="0" w:lastColumn="0" w:oddVBand="0" w:evenVBand="0" w:oddHBand="0" w:evenHBand="0" w:firstRowFirstColumn="0" w:firstRowLastColumn="0" w:lastRowFirstColumn="0" w:lastRowLastColumn="0"/>
            </w:pPr>
            <w:r>
              <w:t>0.3</w:t>
            </w:r>
          </w:p>
        </w:tc>
      </w:tr>
      <w:tr w:rsidR="00B91BDC" w:rsidRPr="00257BC0" w:rsidTr="00B91BDC">
        <w:trPr>
          <w:cnfStyle w:val="000000010000" w:firstRow="0" w:lastRow="0" w:firstColumn="0" w:lastColumn="0" w:oddVBand="0" w:evenVBand="0" w:oddHBand="0" w:evenHBand="1" w:firstRowFirstColumn="0" w:firstRowLastColumn="0" w:lastRowFirstColumn="0" w:lastRowLastColumn="0"/>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B91BDC" w:rsidRPr="00B91BDC" w:rsidRDefault="00B91BDC" w:rsidP="00B91BDC">
            <w:pPr>
              <w:pStyle w:val="AERtabletextleft"/>
            </w:pPr>
            <w:bookmarkStart w:id="38" w:name="RANGE!G12"/>
            <w:r w:rsidRPr="000766DA">
              <w:t>Other - IT</w:t>
            </w:r>
            <w:bookmarkEnd w:id="38"/>
            <w:r w:rsidRPr="00B91BDC">
              <w:t>*</w:t>
            </w:r>
          </w:p>
        </w:tc>
        <w:tc>
          <w:tcPr>
            <w:tcW w:w="2430" w:type="dxa"/>
          </w:tcPr>
          <w:p w:rsidR="00B91BDC" w:rsidRPr="00B91BDC" w:rsidRDefault="00B91BDC" w:rsidP="00B91BDC">
            <w:pPr>
              <w:pStyle w:val="AERtabletextleft"/>
              <w:cnfStyle w:val="000000010000" w:firstRow="0" w:lastRow="0" w:firstColumn="0" w:lastColumn="0" w:oddVBand="0" w:evenVBand="0" w:oddHBand="0" w:evenHBand="1" w:firstRowFirstColumn="0" w:firstRowLastColumn="0" w:lastRowFirstColumn="0" w:lastRowLastColumn="0"/>
            </w:pPr>
            <w:bookmarkStart w:id="39" w:name="RANGE!M12"/>
            <w:r>
              <w:t>n</w:t>
            </w:r>
            <w:r w:rsidRPr="00B91BDC">
              <w:t>/a</w:t>
            </w:r>
            <w:bookmarkEnd w:id="39"/>
          </w:p>
        </w:tc>
        <w:tc>
          <w:tcPr>
            <w:tcW w:w="3266" w:type="dxa"/>
          </w:tcPr>
          <w:p w:rsidR="00B91BDC" w:rsidRPr="000766DA" w:rsidRDefault="00384D6C" w:rsidP="00B91BDC">
            <w:pPr>
              <w:pStyle w:val="AERtabletextright"/>
              <w:cnfStyle w:val="000000010000" w:firstRow="0" w:lastRow="0" w:firstColumn="0" w:lastColumn="0" w:oddVBand="0" w:evenVBand="0" w:oddHBand="0" w:evenHBand="1" w:firstRowFirstColumn="0" w:firstRowLastColumn="0" w:lastRowFirstColumn="0" w:lastRowLastColumn="0"/>
            </w:pPr>
            <w:r>
              <w:t>5.0</w:t>
            </w:r>
          </w:p>
        </w:tc>
      </w:tr>
      <w:tr w:rsidR="00B91BDC" w:rsidRPr="00257BC0" w:rsidTr="00B91BDC">
        <w:trPr>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B91BDC" w:rsidRPr="00B91BDC" w:rsidRDefault="00B91BDC" w:rsidP="00B91BDC">
            <w:pPr>
              <w:pStyle w:val="AERtabletextleft"/>
            </w:pPr>
            <w:bookmarkStart w:id="40" w:name="RANGE!G13"/>
            <w:r w:rsidRPr="000766DA">
              <w:t>Other - general</w:t>
            </w:r>
            <w:bookmarkEnd w:id="40"/>
            <w:r w:rsidRPr="00B91BDC">
              <w:t>*</w:t>
            </w:r>
          </w:p>
        </w:tc>
        <w:tc>
          <w:tcPr>
            <w:tcW w:w="2430" w:type="dxa"/>
          </w:tcPr>
          <w:p w:rsidR="00B91BDC" w:rsidRPr="00B91BDC" w:rsidRDefault="00B91BDC" w:rsidP="00B91BDC">
            <w:pPr>
              <w:pStyle w:val="AERtabletextleft"/>
              <w:cnfStyle w:val="000000000000" w:firstRow="0" w:lastRow="0" w:firstColumn="0" w:lastColumn="0" w:oddVBand="0" w:evenVBand="0" w:oddHBand="0" w:evenHBand="0" w:firstRowFirstColumn="0" w:firstRowLastColumn="0" w:lastRowFirstColumn="0" w:lastRowLastColumn="0"/>
            </w:pPr>
            <w:bookmarkStart w:id="41" w:name="RANGE!M13"/>
            <w:r>
              <w:t>n</w:t>
            </w:r>
            <w:r w:rsidRPr="00B91BDC">
              <w:t>/a</w:t>
            </w:r>
            <w:bookmarkEnd w:id="41"/>
          </w:p>
        </w:tc>
        <w:tc>
          <w:tcPr>
            <w:tcW w:w="3266" w:type="dxa"/>
          </w:tcPr>
          <w:p w:rsidR="00B91BDC" w:rsidRPr="000766DA" w:rsidRDefault="00384D6C" w:rsidP="00B91BDC">
            <w:pPr>
              <w:pStyle w:val="AERtabletextright"/>
              <w:cnfStyle w:val="000000000000" w:firstRow="0" w:lastRow="0" w:firstColumn="0" w:lastColumn="0" w:oddVBand="0" w:evenVBand="0" w:oddHBand="0" w:evenHBand="0" w:firstRowFirstColumn="0" w:firstRowLastColumn="0" w:lastRowFirstColumn="0" w:lastRowLastColumn="0"/>
            </w:pPr>
            <w:r>
              <w:t>5.0</w:t>
            </w:r>
          </w:p>
        </w:tc>
      </w:tr>
      <w:tr w:rsidR="00B91BDC" w:rsidRPr="00257BC0" w:rsidTr="00B91BDC">
        <w:trPr>
          <w:cnfStyle w:val="000000010000" w:firstRow="0" w:lastRow="0" w:firstColumn="0" w:lastColumn="0" w:oddVBand="0" w:evenVBand="0" w:oddHBand="0" w:evenHBand="1" w:firstRowFirstColumn="0" w:firstRowLastColumn="0" w:lastRowFirstColumn="0" w:lastRowLastColumn="0"/>
          <w:trHeight w:hRule="exact" w:val="404"/>
        </w:trPr>
        <w:tc>
          <w:tcPr>
            <w:cnfStyle w:val="001000000000" w:firstRow="0" w:lastRow="0" w:firstColumn="1" w:lastColumn="0" w:oddVBand="0" w:evenVBand="0" w:oddHBand="0" w:evenHBand="0" w:firstRowFirstColumn="0" w:firstRowLastColumn="0" w:lastRowFirstColumn="0" w:lastRowLastColumn="0"/>
            <w:tcW w:w="3451" w:type="dxa"/>
          </w:tcPr>
          <w:p w:rsidR="00B91BDC" w:rsidRPr="00B91BDC" w:rsidRDefault="00B91BDC" w:rsidP="00B91BDC">
            <w:pPr>
              <w:pStyle w:val="AERtabletextleft"/>
            </w:pPr>
            <w:bookmarkStart w:id="42" w:name="RANGE!G14"/>
            <w:r w:rsidRPr="000766DA">
              <w:t>Other - buildings</w:t>
            </w:r>
            <w:bookmarkEnd w:id="42"/>
            <w:r w:rsidRPr="00B91BDC">
              <w:t>*</w:t>
            </w:r>
          </w:p>
        </w:tc>
        <w:tc>
          <w:tcPr>
            <w:tcW w:w="2430" w:type="dxa"/>
          </w:tcPr>
          <w:p w:rsidR="00B91BDC" w:rsidRPr="00B91BDC" w:rsidRDefault="00B91BDC" w:rsidP="00B91BDC">
            <w:pPr>
              <w:pStyle w:val="AERtabletextleft"/>
              <w:cnfStyle w:val="000000010000" w:firstRow="0" w:lastRow="0" w:firstColumn="0" w:lastColumn="0" w:oddVBand="0" w:evenVBand="0" w:oddHBand="0" w:evenHBand="1" w:firstRowFirstColumn="0" w:firstRowLastColumn="0" w:lastRowFirstColumn="0" w:lastRowLastColumn="0"/>
            </w:pPr>
            <w:bookmarkStart w:id="43" w:name="RANGE!M14"/>
            <w:r>
              <w:t>n</w:t>
            </w:r>
            <w:r w:rsidRPr="00B91BDC">
              <w:t>/a</w:t>
            </w:r>
            <w:bookmarkEnd w:id="43"/>
          </w:p>
        </w:tc>
        <w:tc>
          <w:tcPr>
            <w:tcW w:w="3266" w:type="dxa"/>
          </w:tcPr>
          <w:p w:rsidR="00B91BDC" w:rsidRPr="000766DA" w:rsidRDefault="00384D6C" w:rsidP="00B91BDC">
            <w:pPr>
              <w:pStyle w:val="AERtabletextright"/>
              <w:cnfStyle w:val="000000010000" w:firstRow="0" w:lastRow="0" w:firstColumn="0" w:lastColumn="0" w:oddVBand="0" w:evenVBand="0" w:oddHBand="0" w:evenHBand="1" w:firstRowFirstColumn="0" w:firstRowLastColumn="0" w:lastRowFirstColumn="0" w:lastRowLastColumn="0"/>
            </w:pPr>
            <w:r>
              <w:t>31.2</w:t>
            </w:r>
          </w:p>
        </w:tc>
      </w:tr>
      <w:tr w:rsidR="00B91BDC" w:rsidRPr="00257BC0" w:rsidTr="00B91BDC">
        <w:trPr>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44" w:name="RANGE!G15"/>
            <w:r w:rsidRPr="000766DA">
              <w:t>Land and easements</w:t>
            </w:r>
            <w:bookmarkEnd w:id="44"/>
          </w:p>
        </w:tc>
        <w:tc>
          <w:tcPr>
            <w:tcW w:w="2430" w:type="dxa"/>
          </w:tcPr>
          <w:p w:rsidR="00B91BDC" w:rsidRPr="000766DA" w:rsidRDefault="00B91BDC" w:rsidP="00B91BDC">
            <w:pPr>
              <w:pStyle w:val="AERtabletextleft"/>
              <w:cnfStyle w:val="000000000000" w:firstRow="0" w:lastRow="0" w:firstColumn="0" w:lastColumn="0" w:oddVBand="0" w:evenVBand="0" w:oddHBand="0" w:evenHBand="0" w:firstRowFirstColumn="0" w:firstRowLastColumn="0" w:lastRowFirstColumn="0" w:lastRowLastColumn="0"/>
            </w:pPr>
            <w:bookmarkStart w:id="45" w:name="RANGE!M15"/>
            <w:r w:rsidRPr="000766DA">
              <w:t>n/a</w:t>
            </w:r>
            <w:bookmarkEnd w:id="45"/>
          </w:p>
        </w:tc>
        <w:tc>
          <w:tcPr>
            <w:tcW w:w="3266" w:type="dxa"/>
          </w:tcPr>
          <w:p w:rsidR="00B91BDC" w:rsidRPr="000766DA" w:rsidRDefault="00384D6C" w:rsidP="00B91BDC">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B91BDC" w:rsidRPr="00257BC0" w:rsidTr="00B91BDC">
        <w:trPr>
          <w:cnfStyle w:val="000000010000" w:firstRow="0" w:lastRow="0" w:firstColumn="0" w:lastColumn="0" w:oddVBand="0" w:evenVBand="0" w:oddHBand="0" w:evenHBand="1" w:firstRowFirstColumn="0" w:firstRowLastColumn="0" w:lastRowFirstColumn="0" w:lastRowLastColumn="0"/>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46" w:name="RANGE!G16"/>
            <w:r w:rsidRPr="000766DA">
              <w:t>Transmission line assets - long life (60)</w:t>
            </w:r>
            <w:bookmarkEnd w:id="46"/>
          </w:p>
        </w:tc>
        <w:tc>
          <w:tcPr>
            <w:tcW w:w="2430" w:type="dxa"/>
          </w:tcPr>
          <w:p w:rsidR="00B91BDC" w:rsidRPr="000766DA" w:rsidRDefault="00B91BDC" w:rsidP="00B91BDC">
            <w:pPr>
              <w:pStyle w:val="AERtabletextleft"/>
              <w:cnfStyle w:val="000000010000" w:firstRow="0" w:lastRow="0" w:firstColumn="0" w:lastColumn="0" w:oddVBand="0" w:evenVBand="0" w:oddHBand="0" w:evenHBand="1" w:firstRowFirstColumn="0" w:firstRowLastColumn="0" w:lastRowFirstColumn="0" w:lastRowLastColumn="0"/>
            </w:pPr>
            <w:bookmarkStart w:id="47" w:name="RANGE!M16"/>
            <w:r w:rsidRPr="000766DA">
              <w:t>60.0</w:t>
            </w:r>
            <w:bookmarkEnd w:id="47"/>
          </w:p>
        </w:tc>
        <w:tc>
          <w:tcPr>
            <w:tcW w:w="3266" w:type="dxa"/>
          </w:tcPr>
          <w:p w:rsidR="00B91BDC" w:rsidRPr="000766DA" w:rsidRDefault="00384D6C" w:rsidP="00B91BDC">
            <w:pPr>
              <w:pStyle w:val="AERtabletextright"/>
              <w:cnfStyle w:val="000000010000" w:firstRow="0" w:lastRow="0" w:firstColumn="0" w:lastColumn="0" w:oddVBand="0" w:evenVBand="0" w:oddHBand="0" w:evenHBand="1" w:firstRowFirstColumn="0" w:firstRowLastColumn="0" w:lastRowFirstColumn="0" w:lastRowLastColumn="0"/>
            </w:pPr>
            <w:r>
              <w:t>57.9</w:t>
            </w:r>
          </w:p>
        </w:tc>
      </w:tr>
      <w:tr w:rsidR="00B91BDC" w:rsidRPr="00257BC0" w:rsidTr="00B91BDC">
        <w:trPr>
          <w:trHeight w:hRule="exact" w:val="519"/>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48" w:name="RANGE!G17"/>
            <w:r w:rsidRPr="000766DA">
              <w:t>Transmission line assets - medium life (45)</w:t>
            </w:r>
            <w:bookmarkEnd w:id="48"/>
          </w:p>
        </w:tc>
        <w:tc>
          <w:tcPr>
            <w:tcW w:w="2430" w:type="dxa"/>
          </w:tcPr>
          <w:p w:rsidR="00B91BDC" w:rsidRPr="000766DA" w:rsidRDefault="00B91BDC" w:rsidP="00B91BDC">
            <w:pPr>
              <w:pStyle w:val="AERtabletextleft"/>
              <w:cnfStyle w:val="000000000000" w:firstRow="0" w:lastRow="0" w:firstColumn="0" w:lastColumn="0" w:oddVBand="0" w:evenVBand="0" w:oddHBand="0" w:evenHBand="0" w:firstRowFirstColumn="0" w:firstRowLastColumn="0" w:lastRowFirstColumn="0" w:lastRowLastColumn="0"/>
            </w:pPr>
            <w:bookmarkStart w:id="49" w:name="RANGE!M17"/>
            <w:r w:rsidRPr="000766DA">
              <w:t>45.0</w:t>
            </w:r>
            <w:bookmarkEnd w:id="49"/>
          </w:p>
        </w:tc>
        <w:tc>
          <w:tcPr>
            <w:tcW w:w="3266" w:type="dxa"/>
          </w:tcPr>
          <w:p w:rsidR="00B91BDC" w:rsidRPr="000766DA" w:rsidRDefault="00384D6C" w:rsidP="00B91BDC">
            <w:pPr>
              <w:pStyle w:val="AERtabletextright"/>
              <w:cnfStyle w:val="000000000000" w:firstRow="0" w:lastRow="0" w:firstColumn="0" w:lastColumn="0" w:oddVBand="0" w:evenVBand="0" w:oddHBand="0" w:evenHBand="0" w:firstRowFirstColumn="0" w:firstRowLastColumn="0" w:lastRowFirstColumn="0" w:lastRowLastColumn="0"/>
            </w:pPr>
            <w:r>
              <w:t>43.7</w:t>
            </w:r>
          </w:p>
        </w:tc>
      </w:tr>
      <w:tr w:rsidR="00B91BDC" w:rsidRPr="00257BC0" w:rsidTr="00B91BDC">
        <w:trPr>
          <w:cnfStyle w:val="000000010000" w:firstRow="0" w:lastRow="0" w:firstColumn="0" w:lastColumn="0" w:oddVBand="0" w:evenVBand="0" w:oddHBand="0" w:evenHBand="1" w:firstRowFirstColumn="0" w:firstRowLastColumn="0" w:lastRowFirstColumn="0" w:lastRowLastColumn="0"/>
          <w:trHeight w:hRule="exact" w:val="418"/>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50" w:name="RANGE!G18"/>
            <w:r w:rsidRPr="000766DA">
              <w:t>Transmission line assets - short life (10)</w:t>
            </w:r>
            <w:bookmarkEnd w:id="50"/>
          </w:p>
        </w:tc>
        <w:tc>
          <w:tcPr>
            <w:tcW w:w="2430" w:type="dxa"/>
          </w:tcPr>
          <w:p w:rsidR="00B91BDC" w:rsidRPr="000766DA" w:rsidRDefault="00B91BDC" w:rsidP="00B91BDC">
            <w:pPr>
              <w:pStyle w:val="AERtabletextleft"/>
              <w:cnfStyle w:val="000000010000" w:firstRow="0" w:lastRow="0" w:firstColumn="0" w:lastColumn="0" w:oddVBand="0" w:evenVBand="0" w:oddHBand="0" w:evenHBand="1" w:firstRowFirstColumn="0" w:firstRowLastColumn="0" w:lastRowFirstColumn="0" w:lastRowLastColumn="0"/>
            </w:pPr>
            <w:bookmarkStart w:id="51" w:name="RANGE!M18"/>
            <w:r w:rsidRPr="000766DA">
              <w:t>10.0</w:t>
            </w:r>
            <w:bookmarkEnd w:id="51"/>
          </w:p>
        </w:tc>
        <w:tc>
          <w:tcPr>
            <w:tcW w:w="3266" w:type="dxa"/>
          </w:tcPr>
          <w:p w:rsidR="00B91BDC" w:rsidRPr="000766DA" w:rsidRDefault="00384D6C" w:rsidP="00B91BDC">
            <w:pPr>
              <w:pStyle w:val="AERtabletextright"/>
              <w:cnfStyle w:val="000000010000" w:firstRow="0" w:lastRow="0" w:firstColumn="0" w:lastColumn="0" w:oddVBand="0" w:evenVBand="0" w:oddHBand="0" w:evenHBand="1" w:firstRowFirstColumn="0" w:firstRowLastColumn="0" w:lastRowFirstColumn="0" w:lastRowLastColumn="0"/>
            </w:pPr>
            <w:r>
              <w:t>9.4</w:t>
            </w:r>
          </w:p>
        </w:tc>
      </w:tr>
      <w:tr w:rsidR="00B91BDC" w:rsidRPr="00257BC0" w:rsidTr="00B91BDC">
        <w:trPr>
          <w:trHeight w:hRule="exact" w:val="485"/>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52" w:name="RANGE!G19"/>
            <w:r w:rsidRPr="000766DA">
              <w:t>Substation assets - long life (60)</w:t>
            </w:r>
            <w:bookmarkEnd w:id="52"/>
          </w:p>
        </w:tc>
        <w:tc>
          <w:tcPr>
            <w:tcW w:w="2430" w:type="dxa"/>
          </w:tcPr>
          <w:p w:rsidR="00B91BDC" w:rsidRPr="000766DA" w:rsidRDefault="00B91BDC" w:rsidP="00B91BDC">
            <w:pPr>
              <w:pStyle w:val="AERtabletextleft"/>
              <w:cnfStyle w:val="000000000000" w:firstRow="0" w:lastRow="0" w:firstColumn="0" w:lastColumn="0" w:oddVBand="0" w:evenVBand="0" w:oddHBand="0" w:evenHBand="0" w:firstRowFirstColumn="0" w:firstRowLastColumn="0" w:lastRowFirstColumn="0" w:lastRowLastColumn="0"/>
            </w:pPr>
            <w:bookmarkStart w:id="53" w:name="RANGE!M19"/>
            <w:r w:rsidRPr="000766DA">
              <w:t>60.0</w:t>
            </w:r>
            <w:bookmarkEnd w:id="53"/>
          </w:p>
        </w:tc>
        <w:tc>
          <w:tcPr>
            <w:tcW w:w="3266" w:type="dxa"/>
          </w:tcPr>
          <w:p w:rsidR="00B91BDC" w:rsidRPr="000766DA" w:rsidRDefault="00384D6C" w:rsidP="00B91BDC">
            <w:pPr>
              <w:pStyle w:val="AERtabletextright"/>
              <w:cnfStyle w:val="000000000000" w:firstRow="0" w:lastRow="0" w:firstColumn="0" w:lastColumn="0" w:oddVBand="0" w:evenVBand="0" w:oddHBand="0" w:evenHBand="0" w:firstRowFirstColumn="0" w:firstRowLastColumn="0" w:lastRowFirstColumn="0" w:lastRowLastColumn="0"/>
            </w:pPr>
            <w:r>
              <w:t>58.2</w:t>
            </w:r>
          </w:p>
        </w:tc>
      </w:tr>
      <w:tr w:rsidR="00B91BDC" w:rsidRPr="00257BC0" w:rsidTr="00B91BDC">
        <w:trPr>
          <w:cnfStyle w:val="000000010000" w:firstRow="0" w:lastRow="0" w:firstColumn="0" w:lastColumn="0" w:oddVBand="0" w:evenVBand="0" w:oddHBand="0" w:evenHBand="1" w:firstRowFirstColumn="0" w:firstRowLastColumn="0" w:lastRowFirstColumn="0" w:lastRowLastColumn="0"/>
          <w:trHeight w:hRule="exact" w:val="463"/>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54" w:name="RANGE!G20"/>
            <w:r w:rsidRPr="000766DA">
              <w:t>Substation assets - medium life (45)</w:t>
            </w:r>
            <w:bookmarkEnd w:id="54"/>
          </w:p>
        </w:tc>
        <w:tc>
          <w:tcPr>
            <w:tcW w:w="2430" w:type="dxa"/>
          </w:tcPr>
          <w:p w:rsidR="00B91BDC" w:rsidRPr="000766DA" w:rsidRDefault="00B91BDC" w:rsidP="00B91BDC">
            <w:pPr>
              <w:pStyle w:val="AERtabletextleft"/>
              <w:cnfStyle w:val="000000010000" w:firstRow="0" w:lastRow="0" w:firstColumn="0" w:lastColumn="0" w:oddVBand="0" w:evenVBand="0" w:oddHBand="0" w:evenHBand="1" w:firstRowFirstColumn="0" w:firstRowLastColumn="0" w:lastRowFirstColumn="0" w:lastRowLastColumn="0"/>
            </w:pPr>
            <w:bookmarkStart w:id="55" w:name="RANGE!M20"/>
            <w:r w:rsidRPr="000766DA">
              <w:t>45.0</w:t>
            </w:r>
            <w:bookmarkEnd w:id="55"/>
          </w:p>
        </w:tc>
        <w:tc>
          <w:tcPr>
            <w:tcW w:w="3266" w:type="dxa"/>
          </w:tcPr>
          <w:p w:rsidR="00B91BDC" w:rsidRPr="000766DA" w:rsidRDefault="00384D6C" w:rsidP="00B91BDC">
            <w:pPr>
              <w:pStyle w:val="AERtabletextright"/>
              <w:cnfStyle w:val="000000010000" w:firstRow="0" w:lastRow="0" w:firstColumn="0" w:lastColumn="0" w:oddVBand="0" w:evenVBand="0" w:oddHBand="0" w:evenHBand="1" w:firstRowFirstColumn="0" w:firstRowLastColumn="0" w:lastRowFirstColumn="0" w:lastRowLastColumn="0"/>
            </w:pPr>
            <w:r>
              <w:t>43.2</w:t>
            </w:r>
          </w:p>
        </w:tc>
      </w:tr>
      <w:tr w:rsidR="00B91BDC" w:rsidRPr="00257BC0" w:rsidTr="00B91BDC">
        <w:trPr>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56" w:name="RANGE!G21"/>
            <w:r w:rsidRPr="000766DA">
              <w:t>Substation assets - short life (15)</w:t>
            </w:r>
            <w:bookmarkEnd w:id="56"/>
          </w:p>
        </w:tc>
        <w:tc>
          <w:tcPr>
            <w:tcW w:w="2430" w:type="dxa"/>
          </w:tcPr>
          <w:p w:rsidR="00B91BDC" w:rsidRPr="000766DA" w:rsidRDefault="00B91BDC" w:rsidP="00B91BDC">
            <w:pPr>
              <w:pStyle w:val="AERtabletextleft"/>
              <w:cnfStyle w:val="000000000000" w:firstRow="0" w:lastRow="0" w:firstColumn="0" w:lastColumn="0" w:oddVBand="0" w:evenVBand="0" w:oddHBand="0" w:evenHBand="0" w:firstRowFirstColumn="0" w:firstRowLastColumn="0" w:lastRowFirstColumn="0" w:lastRowLastColumn="0"/>
            </w:pPr>
            <w:bookmarkStart w:id="57" w:name="RANGE!M21"/>
            <w:r w:rsidRPr="000766DA">
              <w:t>15.0</w:t>
            </w:r>
            <w:bookmarkEnd w:id="57"/>
          </w:p>
        </w:tc>
        <w:tc>
          <w:tcPr>
            <w:tcW w:w="3266" w:type="dxa"/>
          </w:tcPr>
          <w:p w:rsidR="00B91BDC" w:rsidRPr="000766DA" w:rsidRDefault="00384D6C" w:rsidP="00B91BDC">
            <w:pPr>
              <w:pStyle w:val="AERtabletextright"/>
              <w:cnfStyle w:val="000000000000" w:firstRow="0" w:lastRow="0" w:firstColumn="0" w:lastColumn="0" w:oddVBand="0" w:evenVBand="0" w:oddHBand="0" w:evenHBand="0" w:firstRowFirstColumn="0" w:firstRowLastColumn="0" w:lastRowFirstColumn="0" w:lastRowLastColumn="0"/>
            </w:pPr>
            <w:r>
              <w:t>12.7</w:t>
            </w:r>
          </w:p>
        </w:tc>
      </w:tr>
      <w:tr w:rsidR="00B91BDC" w:rsidRPr="00257BC0" w:rsidTr="00B91BDC">
        <w:trPr>
          <w:cnfStyle w:val="000000010000" w:firstRow="0" w:lastRow="0" w:firstColumn="0" w:lastColumn="0" w:oddVBand="0" w:evenVBand="0" w:oddHBand="0" w:evenHBand="1" w:firstRowFirstColumn="0" w:firstRowLastColumn="0" w:lastRowFirstColumn="0" w:lastRowLastColumn="0"/>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58" w:name="RANGE!G22"/>
            <w:r w:rsidRPr="000766DA">
              <w:t>Protection and control - short life (15)</w:t>
            </w:r>
            <w:bookmarkEnd w:id="58"/>
          </w:p>
        </w:tc>
        <w:tc>
          <w:tcPr>
            <w:tcW w:w="2430" w:type="dxa"/>
          </w:tcPr>
          <w:p w:rsidR="00B91BDC" w:rsidRPr="000766DA" w:rsidRDefault="00B91BDC" w:rsidP="00B91BDC">
            <w:pPr>
              <w:pStyle w:val="AERtabletextleft"/>
              <w:cnfStyle w:val="000000010000" w:firstRow="0" w:lastRow="0" w:firstColumn="0" w:lastColumn="0" w:oddVBand="0" w:evenVBand="0" w:oddHBand="0" w:evenHBand="1" w:firstRowFirstColumn="0" w:firstRowLastColumn="0" w:lastRowFirstColumn="0" w:lastRowLastColumn="0"/>
            </w:pPr>
            <w:bookmarkStart w:id="59" w:name="RANGE!M22"/>
            <w:r w:rsidRPr="000766DA">
              <w:t>15.0</w:t>
            </w:r>
            <w:bookmarkEnd w:id="59"/>
          </w:p>
        </w:tc>
        <w:tc>
          <w:tcPr>
            <w:tcW w:w="3266" w:type="dxa"/>
          </w:tcPr>
          <w:p w:rsidR="00B91BDC" w:rsidRPr="000766DA" w:rsidRDefault="00384D6C" w:rsidP="00B91BDC">
            <w:pPr>
              <w:pStyle w:val="AERtabletextright"/>
              <w:cnfStyle w:val="000000010000" w:firstRow="0" w:lastRow="0" w:firstColumn="0" w:lastColumn="0" w:oddVBand="0" w:evenVBand="0" w:oddHBand="0" w:evenHBand="1" w:firstRowFirstColumn="0" w:firstRowLastColumn="0" w:lastRowFirstColumn="0" w:lastRowLastColumn="0"/>
            </w:pPr>
            <w:r>
              <w:t>13.4</w:t>
            </w:r>
          </w:p>
        </w:tc>
      </w:tr>
      <w:tr w:rsidR="00B91BDC" w:rsidRPr="00257BC0" w:rsidTr="00B91BDC">
        <w:trPr>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60" w:name="RANGE!G23"/>
            <w:r w:rsidRPr="000766DA">
              <w:t>Protection and control - short life (4)</w:t>
            </w:r>
            <w:bookmarkEnd w:id="60"/>
          </w:p>
        </w:tc>
        <w:tc>
          <w:tcPr>
            <w:tcW w:w="2430" w:type="dxa"/>
          </w:tcPr>
          <w:p w:rsidR="00B91BDC" w:rsidRPr="000766DA" w:rsidRDefault="00B91BDC" w:rsidP="00B91BDC">
            <w:pPr>
              <w:pStyle w:val="AERtabletextleft"/>
              <w:cnfStyle w:val="000000000000" w:firstRow="0" w:lastRow="0" w:firstColumn="0" w:lastColumn="0" w:oddVBand="0" w:evenVBand="0" w:oddHBand="0" w:evenHBand="0" w:firstRowFirstColumn="0" w:firstRowLastColumn="0" w:lastRowFirstColumn="0" w:lastRowLastColumn="0"/>
            </w:pPr>
            <w:bookmarkStart w:id="61" w:name="RANGE!M23"/>
            <w:r w:rsidRPr="000766DA">
              <w:t>4.0</w:t>
            </w:r>
            <w:bookmarkEnd w:id="61"/>
          </w:p>
        </w:tc>
        <w:tc>
          <w:tcPr>
            <w:tcW w:w="3266" w:type="dxa"/>
          </w:tcPr>
          <w:p w:rsidR="00B91BDC" w:rsidRPr="000766DA" w:rsidRDefault="00384D6C" w:rsidP="00B91BDC">
            <w:pPr>
              <w:pStyle w:val="AERtabletextright"/>
              <w:cnfStyle w:val="000000000000" w:firstRow="0" w:lastRow="0" w:firstColumn="0" w:lastColumn="0" w:oddVBand="0" w:evenVBand="0" w:oddHBand="0" w:evenHBand="0" w:firstRowFirstColumn="0" w:firstRowLastColumn="0" w:lastRowFirstColumn="0" w:lastRowLastColumn="0"/>
            </w:pPr>
            <w:r>
              <w:t>2.2</w:t>
            </w:r>
          </w:p>
        </w:tc>
      </w:tr>
      <w:tr w:rsidR="00B91BDC" w:rsidRPr="00257BC0" w:rsidTr="00B91BDC">
        <w:trPr>
          <w:cnfStyle w:val="000000010000" w:firstRow="0" w:lastRow="0" w:firstColumn="0" w:lastColumn="0" w:oddVBand="0" w:evenVBand="0" w:oddHBand="0" w:evenHBand="1" w:firstRowFirstColumn="0" w:firstRowLastColumn="0" w:lastRowFirstColumn="0" w:lastRowLastColumn="0"/>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62" w:name="RANGE!G24"/>
            <w:r w:rsidRPr="000766DA">
              <w:t>Transmission operations - short life (10)</w:t>
            </w:r>
            <w:bookmarkEnd w:id="62"/>
          </w:p>
        </w:tc>
        <w:tc>
          <w:tcPr>
            <w:tcW w:w="2430" w:type="dxa"/>
          </w:tcPr>
          <w:p w:rsidR="00B91BDC" w:rsidRPr="000766DA" w:rsidRDefault="00B91BDC" w:rsidP="00B91BDC">
            <w:pPr>
              <w:pStyle w:val="AERtabletextleft"/>
              <w:cnfStyle w:val="000000010000" w:firstRow="0" w:lastRow="0" w:firstColumn="0" w:lastColumn="0" w:oddVBand="0" w:evenVBand="0" w:oddHBand="0" w:evenHBand="1" w:firstRowFirstColumn="0" w:firstRowLastColumn="0" w:lastRowFirstColumn="0" w:lastRowLastColumn="0"/>
            </w:pPr>
            <w:bookmarkStart w:id="63" w:name="RANGE!M24"/>
            <w:r w:rsidRPr="000766DA">
              <w:t>10.0</w:t>
            </w:r>
            <w:bookmarkEnd w:id="63"/>
          </w:p>
        </w:tc>
        <w:tc>
          <w:tcPr>
            <w:tcW w:w="3266" w:type="dxa"/>
          </w:tcPr>
          <w:p w:rsidR="00B91BDC" w:rsidRPr="000766DA" w:rsidRDefault="00384D6C" w:rsidP="00B91BDC">
            <w:pPr>
              <w:pStyle w:val="AERtabletextright"/>
              <w:cnfStyle w:val="000000010000" w:firstRow="0" w:lastRow="0" w:firstColumn="0" w:lastColumn="0" w:oddVBand="0" w:evenVBand="0" w:oddHBand="0" w:evenHBand="1" w:firstRowFirstColumn="0" w:firstRowLastColumn="0" w:lastRowFirstColumn="0" w:lastRowLastColumn="0"/>
            </w:pPr>
            <w:r>
              <w:t>8.2</w:t>
            </w:r>
          </w:p>
        </w:tc>
      </w:tr>
      <w:tr w:rsidR="00B91BDC" w:rsidRPr="00257BC0" w:rsidTr="00B91BDC">
        <w:trPr>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64" w:name="RANGE!G25"/>
            <w:r w:rsidRPr="000766DA">
              <w:t>Transmission operations - short life (4)</w:t>
            </w:r>
            <w:bookmarkEnd w:id="64"/>
          </w:p>
        </w:tc>
        <w:tc>
          <w:tcPr>
            <w:tcW w:w="2430" w:type="dxa"/>
          </w:tcPr>
          <w:p w:rsidR="00B91BDC" w:rsidRPr="000766DA" w:rsidRDefault="00B91BDC" w:rsidP="00B91BDC">
            <w:pPr>
              <w:pStyle w:val="AERtabletextleft"/>
              <w:cnfStyle w:val="000000000000" w:firstRow="0" w:lastRow="0" w:firstColumn="0" w:lastColumn="0" w:oddVBand="0" w:evenVBand="0" w:oddHBand="0" w:evenHBand="0" w:firstRowFirstColumn="0" w:firstRowLastColumn="0" w:lastRowFirstColumn="0" w:lastRowLastColumn="0"/>
            </w:pPr>
            <w:bookmarkStart w:id="65" w:name="RANGE!M25"/>
            <w:r w:rsidRPr="000766DA">
              <w:t>4.0</w:t>
            </w:r>
            <w:bookmarkEnd w:id="65"/>
          </w:p>
        </w:tc>
        <w:tc>
          <w:tcPr>
            <w:tcW w:w="3266" w:type="dxa"/>
          </w:tcPr>
          <w:p w:rsidR="00B91BDC" w:rsidRPr="000766DA" w:rsidRDefault="00384D6C" w:rsidP="00B91BDC">
            <w:pPr>
              <w:pStyle w:val="AERtabletextright"/>
              <w:cnfStyle w:val="000000000000" w:firstRow="0" w:lastRow="0" w:firstColumn="0" w:lastColumn="0" w:oddVBand="0" w:evenVBand="0" w:oddHBand="0" w:evenHBand="0" w:firstRowFirstColumn="0" w:firstRowLastColumn="0" w:lastRowFirstColumn="0" w:lastRowLastColumn="0"/>
            </w:pPr>
            <w:r>
              <w:t>2.8</w:t>
            </w:r>
          </w:p>
        </w:tc>
      </w:tr>
      <w:tr w:rsidR="00B91BDC" w:rsidRPr="00257BC0" w:rsidTr="00B91BDC">
        <w:trPr>
          <w:cnfStyle w:val="000000010000" w:firstRow="0" w:lastRow="0" w:firstColumn="0" w:lastColumn="0" w:oddVBand="0" w:evenVBand="0" w:oddHBand="0" w:evenHBand="1" w:firstRowFirstColumn="0" w:firstRowLastColumn="0" w:lastRowFirstColumn="0" w:lastRowLastColumn="0"/>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66" w:name="RANGE!G26"/>
            <w:r w:rsidRPr="000766DA">
              <w:t>Other - medium life (40)</w:t>
            </w:r>
            <w:bookmarkEnd w:id="66"/>
          </w:p>
        </w:tc>
        <w:tc>
          <w:tcPr>
            <w:tcW w:w="2430" w:type="dxa"/>
          </w:tcPr>
          <w:p w:rsidR="00B91BDC" w:rsidRPr="000766DA" w:rsidRDefault="00B91BDC" w:rsidP="00B91BDC">
            <w:pPr>
              <w:pStyle w:val="AERtabletextleft"/>
              <w:cnfStyle w:val="000000010000" w:firstRow="0" w:lastRow="0" w:firstColumn="0" w:lastColumn="0" w:oddVBand="0" w:evenVBand="0" w:oddHBand="0" w:evenHBand="1" w:firstRowFirstColumn="0" w:firstRowLastColumn="0" w:lastRowFirstColumn="0" w:lastRowLastColumn="0"/>
            </w:pPr>
            <w:bookmarkStart w:id="67" w:name="RANGE!M26"/>
            <w:r w:rsidRPr="000766DA">
              <w:t>40.0</w:t>
            </w:r>
            <w:bookmarkEnd w:id="67"/>
          </w:p>
        </w:tc>
        <w:tc>
          <w:tcPr>
            <w:tcW w:w="3266" w:type="dxa"/>
          </w:tcPr>
          <w:p w:rsidR="00B91BDC" w:rsidRPr="000766DA" w:rsidRDefault="00384D6C" w:rsidP="00B91BDC">
            <w:pPr>
              <w:pStyle w:val="AERtabletextright"/>
              <w:cnfStyle w:val="000000010000" w:firstRow="0" w:lastRow="0" w:firstColumn="0" w:lastColumn="0" w:oddVBand="0" w:evenVBand="0" w:oddHBand="0" w:evenHBand="1" w:firstRowFirstColumn="0" w:firstRowLastColumn="0" w:lastRowFirstColumn="0" w:lastRowLastColumn="0"/>
            </w:pPr>
            <w:r>
              <w:t>37.1</w:t>
            </w:r>
          </w:p>
        </w:tc>
      </w:tr>
      <w:tr w:rsidR="00B91BDC" w:rsidRPr="00257BC0" w:rsidTr="00B91BDC">
        <w:trPr>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68" w:name="RANGE!G27"/>
            <w:r w:rsidRPr="000766DA">
              <w:t>Other - short life (9)</w:t>
            </w:r>
            <w:bookmarkEnd w:id="68"/>
          </w:p>
        </w:tc>
        <w:tc>
          <w:tcPr>
            <w:tcW w:w="2430" w:type="dxa"/>
          </w:tcPr>
          <w:p w:rsidR="00B91BDC" w:rsidRPr="000766DA" w:rsidRDefault="00B91BDC" w:rsidP="00B91BDC">
            <w:pPr>
              <w:pStyle w:val="AERtabletextleft"/>
              <w:cnfStyle w:val="000000000000" w:firstRow="0" w:lastRow="0" w:firstColumn="0" w:lastColumn="0" w:oddVBand="0" w:evenVBand="0" w:oddHBand="0" w:evenHBand="0" w:firstRowFirstColumn="0" w:firstRowLastColumn="0" w:lastRowFirstColumn="0" w:lastRowLastColumn="0"/>
            </w:pPr>
            <w:bookmarkStart w:id="69" w:name="RANGE!M27"/>
            <w:r w:rsidRPr="000766DA">
              <w:t>9.0</w:t>
            </w:r>
            <w:bookmarkEnd w:id="69"/>
          </w:p>
        </w:tc>
        <w:tc>
          <w:tcPr>
            <w:tcW w:w="3266" w:type="dxa"/>
          </w:tcPr>
          <w:p w:rsidR="00B91BDC" w:rsidRPr="000766DA" w:rsidRDefault="00384D6C" w:rsidP="00B91BDC">
            <w:pPr>
              <w:pStyle w:val="AERtabletextright"/>
              <w:cnfStyle w:val="000000000000" w:firstRow="0" w:lastRow="0" w:firstColumn="0" w:lastColumn="0" w:oddVBand="0" w:evenVBand="0" w:oddHBand="0" w:evenHBand="0" w:firstRowFirstColumn="0" w:firstRowLastColumn="0" w:lastRowFirstColumn="0" w:lastRowLastColumn="0"/>
            </w:pPr>
            <w:r>
              <w:t>6.8</w:t>
            </w:r>
          </w:p>
        </w:tc>
      </w:tr>
      <w:tr w:rsidR="00B91BDC" w:rsidRPr="00257BC0" w:rsidTr="00B91BDC">
        <w:trPr>
          <w:cnfStyle w:val="000000010000" w:firstRow="0" w:lastRow="0" w:firstColumn="0" w:lastColumn="0" w:oddVBand="0" w:evenVBand="0" w:oddHBand="0" w:evenHBand="1" w:firstRowFirstColumn="0" w:firstRowLastColumn="0" w:lastRowFirstColumn="0" w:lastRowLastColumn="0"/>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70" w:name="RANGE!G28"/>
            <w:r w:rsidRPr="000766DA">
              <w:t>Other - short life (4)</w:t>
            </w:r>
            <w:bookmarkEnd w:id="70"/>
          </w:p>
        </w:tc>
        <w:tc>
          <w:tcPr>
            <w:tcW w:w="2430" w:type="dxa"/>
          </w:tcPr>
          <w:p w:rsidR="00B91BDC" w:rsidRPr="000766DA" w:rsidRDefault="00B91BDC" w:rsidP="00B91BDC">
            <w:pPr>
              <w:pStyle w:val="AERtabletextleft"/>
              <w:cnfStyle w:val="000000010000" w:firstRow="0" w:lastRow="0" w:firstColumn="0" w:lastColumn="0" w:oddVBand="0" w:evenVBand="0" w:oddHBand="0" w:evenHBand="1" w:firstRowFirstColumn="0" w:firstRowLastColumn="0" w:lastRowFirstColumn="0" w:lastRowLastColumn="0"/>
            </w:pPr>
            <w:bookmarkStart w:id="71" w:name="RANGE!M28"/>
            <w:r w:rsidRPr="000766DA">
              <w:t>4.0</w:t>
            </w:r>
            <w:bookmarkEnd w:id="71"/>
          </w:p>
        </w:tc>
        <w:tc>
          <w:tcPr>
            <w:tcW w:w="3266" w:type="dxa"/>
          </w:tcPr>
          <w:p w:rsidR="00B91BDC" w:rsidRPr="000766DA" w:rsidRDefault="00384D6C" w:rsidP="00B91BDC">
            <w:pPr>
              <w:pStyle w:val="AERtabletextright"/>
              <w:cnfStyle w:val="000000010000" w:firstRow="0" w:lastRow="0" w:firstColumn="0" w:lastColumn="0" w:oddVBand="0" w:evenVBand="0" w:oddHBand="0" w:evenHBand="1" w:firstRowFirstColumn="0" w:firstRowLastColumn="0" w:lastRowFirstColumn="0" w:lastRowLastColumn="0"/>
            </w:pPr>
            <w:r>
              <w:t>2.8</w:t>
            </w:r>
          </w:p>
        </w:tc>
      </w:tr>
      <w:tr w:rsidR="00B91BDC" w:rsidRPr="00257BC0" w:rsidTr="00B91BDC">
        <w:trPr>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72" w:name="RANGE!G29"/>
            <w:r w:rsidRPr="000766DA">
              <w:t>Land and easements</w:t>
            </w:r>
            <w:bookmarkEnd w:id="72"/>
          </w:p>
        </w:tc>
        <w:tc>
          <w:tcPr>
            <w:tcW w:w="2430" w:type="dxa"/>
          </w:tcPr>
          <w:p w:rsidR="00B91BDC" w:rsidRPr="000766DA" w:rsidRDefault="00B91BDC" w:rsidP="00B91BDC">
            <w:pPr>
              <w:pStyle w:val="AERtabletextleft"/>
              <w:cnfStyle w:val="000000000000" w:firstRow="0" w:lastRow="0" w:firstColumn="0" w:lastColumn="0" w:oddVBand="0" w:evenVBand="0" w:oddHBand="0" w:evenHBand="0" w:firstRowFirstColumn="0" w:firstRowLastColumn="0" w:lastRowFirstColumn="0" w:lastRowLastColumn="0"/>
            </w:pPr>
            <w:bookmarkStart w:id="73" w:name="RANGE!M29"/>
            <w:r w:rsidRPr="000766DA">
              <w:t>n/a</w:t>
            </w:r>
            <w:bookmarkEnd w:id="73"/>
          </w:p>
        </w:tc>
        <w:tc>
          <w:tcPr>
            <w:tcW w:w="3266" w:type="dxa"/>
          </w:tcPr>
          <w:p w:rsidR="00B91BDC" w:rsidRPr="000766DA" w:rsidRDefault="00384D6C" w:rsidP="00B91BDC">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B91BDC" w:rsidRPr="00257BC0" w:rsidTr="00B91BDC">
        <w:trPr>
          <w:cnfStyle w:val="000000010000" w:firstRow="0" w:lastRow="0" w:firstColumn="0" w:lastColumn="0" w:oddVBand="0" w:evenVBand="0" w:oddHBand="0" w:evenHBand="1" w:firstRowFirstColumn="0" w:firstRowLastColumn="0" w:lastRowFirstColumn="0" w:lastRowLastColumn="0"/>
          <w:trHeight w:hRule="exact" w:val="457"/>
        </w:trPr>
        <w:tc>
          <w:tcPr>
            <w:cnfStyle w:val="001000000000" w:firstRow="0" w:lastRow="0" w:firstColumn="1" w:lastColumn="0" w:oddVBand="0" w:evenVBand="0" w:oddHBand="0" w:evenHBand="0" w:firstRowFirstColumn="0" w:firstRowLastColumn="0" w:lastRowFirstColumn="0" w:lastRowLastColumn="0"/>
            <w:tcW w:w="3451" w:type="dxa"/>
          </w:tcPr>
          <w:p w:rsidR="00B91BDC" w:rsidRPr="00B91BDC" w:rsidRDefault="00B91BDC" w:rsidP="00B91BDC">
            <w:pPr>
              <w:pStyle w:val="AERtabletextleft"/>
            </w:pPr>
            <w:bookmarkStart w:id="74" w:name="RANGE!G30"/>
            <w:r w:rsidRPr="000766DA">
              <w:t>Equity raising</w:t>
            </w:r>
            <w:bookmarkEnd w:id="74"/>
            <w:r w:rsidRPr="000766DA">
              <w:t xml:space="preserve"> </w:t>
            </w:r>
            <w:proofErr w:type="spellStart"/>
            <w:r w:rsidRPr="000766DA">
              <w:t>costs</w:t>
            </w:r>
            <w:r w:rsidRPr="00B91BDC">
              <w:rPr>
                <w:rStyle w:val="AERsuperscript"/>
              </w:rPr>
              <w:t>a</w:t>
            </w:r>
            <w:proofErr w:type="spellEnd"/>
          </w:p>
        </w:tc>
        <w:tc>
          <w:tcPr>
            <w:tcW w:w="2430" w:type="dxa"/>
          </w:tcPr>
          <w:p w:rsidR="00B91BDC" w:rsidRPr="00B91BDC" w:rsidRDefault="00B91BDC" w:rsidP="00B91BDC">
            <w:pPr>
              <w:pStyle w:val="AERtabletextleft"/>
              <w:cnfStyle w:val="000000010000" w:firstRow="0" w:lastRow="0" w:firstColumn="0" w:lastColumn="0" w:oddVBand="0" w:evenVBand="0" w:oddHBand="0" w:evenHBand="1" w:firstRowFirstColumn="0" w:firstRowLastColumn="0" w:lastRowFirstColumn="0" w:lastRowLastColumn="0"/>
            </w:pPr>
            <w:r>
              <w:t>n/a</w:t>
            </w:r>
          </w:p>
        </w:tc>
        <w:tc>
          <w:tcPr>
            <w:tcW w:w="3266" w:type="dxa"/>
          </w:tcPr>
          <w:p w:rsidR="00B91BDC" w:rsidRPr="000766DA" w:rsidRDefault="00384D6C" w:rsidP="00B91BDC">
            <w:pPr>
              <w:pStyle w:val="AERtabletextright"/>
              <w:cnfStyle w:val="000000010000" w:firstRow="0" w:lastRow="0" w:firstColumn="0" w:lastColumn="0" w:oddVBand="0" w:evenVBand="0" w:oddHBand="0" w:evenHBand="1" w:firstRowFirstColumn="0" w:firstRowLastColumn="0" w:lastRowFirstColumn="0" w:lastRowLastColumn="0"/>
            </w:pPr>
            <w:r>
              <w:t>37.7</w:t>
            </w:r>
          </w:p>
        </w:tc>
      </w:tr>
      <w:tr w:rsidR="00B91BDC" w:rsidRPr="00257BC0" w:rsidTr="00AA343A">
        <w:trPr>
          <w:trHeight w:hRule="exact" w:val="519"/>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75" w:name="RANGE!G31"/>
            <w:r w:rsidRPr="000766DA">
              <w:t>Communication assets - long life (45)</w:t>
            </w:r>
            <w:bookmarkEnd w:id="75"/>
          </w:p>
        </w:tc>
        <w:tc>
          <w:tcPr>
            <w:tcW w:w="2430" w:type="dxa"/>
          </w:tcPr>
          <w:p w:rsidR="00B91BDC" w:rsidRPr="000766DA" w:rsidRDefault="00B91BDC" w:rsidP="00B91BDC">
            <w:pPr>
              <w:pStyle w:val="AERtabletextleft"/>
              <w:cnfStyle w:val="000000000000" w:firstRow="0" w:lastRow="0" w:firstColumn="0" w:lastColumn="0" w:oddVBand="0" w:evenVBand="0" w:oddHBand="0" w:evenHBand="0" w:firstRowFirstColumn="0" w:firstRowLastColumn="0" w:lastRowFirstColumn="0" w:lastRowLastColumn="0"/>
            </w:pPr>
            <w:bookmarkStart w:id="76" w:name="RANGE!M31"/>
            <w:r w:rsidRPr="000766DA">
              <w:t>45.0</w:t>
            </w:r>
            <w:bookmarkEnd w:id="76"/>
          </w:p>
        </w:tc>
        <w:tc>
          <w:tcPr>
            <w:tcW w:w="3266" w:type="dxa"/>
          </w:tcPr>
          <w:p w:rsidR="00B91BDC" w:rsidRPr="000766DA" w:rsidRDefault="00384D6C" w:rsidP="00B91BDC">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B91BDC" w:rsidRPr="00257BC0" w:rsidTr="00B91BDC">
        <w:trPr>
          <w:cnfStyle w:val="000000010000" w:firstRow="0" w:lastRow="0" w:firstColumn="0" w:lastColumn="0" w:oddVBand="0" w:evenVBand="0" w:oddHBand="0" w:evenHBand="1"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77" w:name="RANGE!G32"/>
            <w:r w:rsidRPr="000766DA">
              <w:lastRenderedPageBreak/>
              <w:t>Communication assets - medium life (10)</w:t>
            </w:r>
            <w:bookmarkEnd w:id="77"/>
          </w:p>
        </w:tc>
        <w:tc>
          <w:tcPr>
            <w:tcW w:w="2430" w:type="dxa"/>
          </w:tcPr>
          <w:p w:rsidR="00B91BDC" w:rsidRPr="000766DA" w:rsidRDefault="00B91BDC" w:rsidP="00B91BDC">
            <w:pPr>
              <w:pStyle w:val="AERtabletextleft"/>
              <w:cnfStyle w:val="000000010000" w:firstRow="0" w:lastRow="0" w:firstColumn="0" w:lastColumn="0" w:oddVBand="0" w:evenVBand="0" w:oddHBand="0" w:evenHBand="1" w:firstRowFirstColumn="0" w:firstRowLastColumn="0" w:lastRowFirstColumn="0" w:lastRowLastColumn="0"/>
            </w:pPr>
            <w:bookmarkStart w:id="78" w:name="RANGE!M32"/>
            <w:r w:rsidRPr="000766DA">
              <w:t>10.0</w:t>
            </w:r>
            <w:bookmarkEnd w:id="78"/>
          </w:p>
        </w:tc>
        <w:tc>
          <w:tcPr>
            <w:tcW w:w="3266" w:type="dxa"/>
          </w:tcPr>
          <w:p w:rsidR="00B91BDC" w:rsidRPr="000766DA" w:rsidRDefault="00384D6C" w:rsidP="00B91BDC">
            <w:pPr>
              <w:pStyle w:val="AERtabletextright"/>
              <w:cnfStyle w:val="000000010000" w:firstRow="0" w:lastRow="0" w:firstColumn="0" w:lastColumn="0" w:oddVBand="0" w:evenVBand="0" w:oddHBand="0" w:evenHBand="1" w:firstRowFirstColumn="0" w:firstRowLastColumn="0" w:lastRowFirstColumn="0" w:lastRowLastColumn="0"/>
            </w:pPr>
            <w:r>
              <w:t>n/a</w:t>
            </w:r>
          </w:p>
        </w:tc>
      </w:tr>
      <w:tr w:rsidR="00B91BDC" w:rsidRPr="00257BC0" w:rsidTr="00AA343A">
        <w:trPr>
          <w:trHeight w:hRule="exact" w:val="426"/>
        </w:trPr>
        <w:tc>
          <w:tcPr>
            <w:cnfStyle w:val="001000000000" w:firstRow="0" w:lastRow="0" w:firstColumn="1" w:lastColumn="0" w:oddVBand="0" w:evenVBand="0" w:oddHBand="0" w:evenHBand="0" w:firstRowFirstColumn="0" w:firstRowLastColumn="0" w:lastRowFirstColumn="0" w:lastRowLastColumn="0"/>
            <w:tcW w:w="3451" w:type="dxa"/>
          </w:tcPr>
          <w:p w:rsidR="00B91BDC" w:rsidRPr="000766DA" w:rsidRDefault="00B91BDC" w:rsidP="00B91BDC">
            <w:pPr>
              <w:pStyle w:val="AERtabletextleft"/>
            </w:pPr>
            <w:bookmarkStart w:id="79" w:name="RANGE!G33"/>
            <w:r w:rsidRPr="000766DA">
              <w:t>Communication assets - short life (5)</w:t>
            </w:r>
            <w:bookmarkEnd w:id="79"/>
          </w:p>
        </w:tc>
        <w:tc>
          <w:tcPr>
            <w:tcW w:w="2430" w:type="dxa"/>
          </w:tcPr>
          <w:p w:rsidR="00B91BDC" w:rsidRPr="000766DA" w:rsidRDefault="00B91BDC" w:rsidP="00B91BDC">
            <w:pPr>
              <w:pStyle w:val="AERtabletextleft"/>
              <w:cnfStyle w:val="000000000000" w:firstRow="0" w:lastRow="0" w:firstColumn="0" w:lastColumn="0" w:oddVBand="0" w:evenVBand="0" w:oddHBand="0" w:evenHBand="0" w:firstRowFirstColumn="0" w:firstRowLastColumn="0" w:lastRowFirstColumn="0" w:lastRowLastColumn="0"/>
            </w:pPr>
            <w:bookmarkStart w:id="80" w:name="RANGE!M33"/>
            <w:r w:rsidRPr="000766DA">
              <w:t>5.0</w:t>
            </w:r>
            <w:bookmarkEnd w:id="80"/>
          </w:p>
        </w:tc>
        <w:tc>
          <w:tcPr>
            <w:tcW w:w="3266" w:type="dxa"/>
          </w:tcPr>
          <w:p w:rsidR="00B91BDC" w:rsidRPr="000766DA" w:rsidRDefault="00384D6C" w:rsidP="00B91BDC">
            <w:pPr>
              <w:pStyle w:val="AERtabletextright"/>
              <w:cnfStyle w:val="000000000000" w:firstRow="0" w:lastRow="0" w:firstColumn="0" w:lastColumn="0" w:oddVBand="0" w:evenVBand="0" w:oddHBand="0" w:evenHBand="0" w:firstRowFirstColumn="0" w:firstRowLastColumn="0" w:lastRowFirstColumn="0" w:lastRowLastColumn="0"/>
            </w:pPr>
            <w:r>
              <w:t>n/a</w:t>
            </w:r>
          </w:p>
        </w:tc>
      </w:tr>
    </w:tbl>
    <w:p w:rsidR="00B91BDC" w:rsidRPr="00725E0C" w:rsidRDefault="00B91BDC" w:rsidP="00B91BDC">
      <w:pPr>
        <w:pStyle w:val="AERtablesource"/>
      </w:pPr>
      <w:r w:rsidRPr="00725E0C">
        <w:t>Source:</w:t>
      </w:r>
      <w:r w:rsidRPr="00725E0C">
        <w:tab/>
        <w:t xml:space="preserve">AER analysis. </w:t>
      </w:r>
    </w:p>
    <w:p w:rsidR="00B91BDC" w:rsidRDefault="00B91BDC" w:rsidP="00B91BDC">
      <w:pPr>
        <w:pStyle w:val="AERtablesource"/>
      </w:pPr>
      <w:r w:rsidRPr="00725E0C">
        <w:t xml:space="preserve">n/a: </w:t>
      </w:r>
      <w:r w:rsidRPr="00725E0C">
        <w:tab/>
        <w:t xml:space="preserve">not applicable. </w:t>
      </w:r>
    </w:p>
    <w:p w:rsidR="00B91BDC" w:rsidRPr="00B25063" w:rsidRDefault="00B91BDC" w:rsidP="00B25063">
      <w:pPr>
        <w:pStyle w:val="AERtablesource"/>
        <w:rPr>
          <w:rStyle w:val="AERtexthighlight"/>
          <w:shd w:val="clear" w:color="auto" w:fill="auto"/>
        </w:rPr>
      </w:pPr>
      <w:r>
        <w:t>*</w:t>
      </w:r>
      <w:r>
        <w:tab/>
      </w:r>
      <w:r w:rsidR="00B25063">
        <w:t>W</w:t>
      </w:r>
      <w:r w:rsidR="00B25063" w:rsidRPr="006A4A86">
        <w:t xml:space="preserve">e have changed </w:t>
      </w:r>
      <w:r w:rsidR="00ED20CB">
        <w:t xml:space="preserve">the standard </w:t>
      </w:r>
      <w:r w:rsidR="00B25063" w:rsidRPr="00F41E02">
        <w:t xml:space="preserve">asset lives to </w:t>
      </w:r>
      <w:r w:rsidR="00B25063">
        <w:t>'</w:t>
      </w:r>
      <w:r w:rsidR="00B25063" w:rsidRPr="00F41E02">
        <w:t>n/a</w:t>
      </w:r>
      <w:r w:rsidR="00B25063">
        <w:t>'</w:t>
      </w:r>
      <w:r w:rsidR="00B25063" w:rsidRPr="00F41E02">
        <w:t xml:space="preserve"> for </w:t>
      </w:r>
      <w:r w:rsidR="00B25063">
        <w:t>t</w:t>
      </w:r>
      <w:r w:rsidR="00B25063" w:rsidRPr="00F41E02">
        <w:t xml:space="preserve">hese asset classes because </w:t>
      </w:r>
      <w:r w:rsidR="00B25063">
        <w:t xml:space="preserve">they do not need to have standard asset lives assigned as a </w:t>
      </w:r>
      <w:r w:rsidR="00B25063" w:rsidRPr="00B25063">
        <w:t xml:space="preserve">result of </w:t>
      </w:r>
      <w:r w:rsidR="00B25063" w:rsidRPr="00B25063">
        <w:rPr>
          <w:rStyle w:val="AERtexthighlight"/>
          <w:shd w:val="clear" w:color="auto" w:fill="auto"/>
        </w:rPr>
        <w:t>forecast capex no longer being allocated to them.</w:t>
      </w:r>
    </w:p>
    <w:p w:rsidR="00B91BDC" w:rsidRPr="00E1412A" w:rsidRDefault="00C73A0D" w:rsidP="00B91BDC">
      <w:pPr>
        <w:pStyle w:val="AERtablesource"/>
      </w:pPr>
      <w:r>
        <w:t>(</w:t>
      </w:r>
      <w:r w:rsidR="00B91BDC">
        <w:t>a</w:t>
      </w:r>
      <w:r>
        <w:t>)</w:t>
      </w:r>
      <w:r w:rsidR="00B91BDC">
        <w:t xml:space="preserve"> </w:t>
      </w:r>
      <w:r w:rsidR="00B91BDC">
        <w:tab/>
        <w:t>For this draft decision, T</w:t>
      </w:r>
      <w:r w:rsidR="006C28B6">
        <w:t xml:space="preserve">asNetworks </w:t>
      </w:r>
      <w:r w:rsidR="00B91BDC">
        <w:t>d</w:t>
      </w:r>
      <w:r w:rsidR="006C28B6">
        <w:t>o</w:t>
      </w:r>
      <w:r w:rsidR="00B91BDC">
        <w:t xml:space="preserve"> not satisfy the requirements to incur benchmark equity raising costs associated with its forecast capex for the 2014–19 regulatory control period. Therefore, a standard asset life for equity raising costs is not required.</w:t>
      </w:r>
    </w:p>
    <w:p w:rsidR="00B91BDC" w:rsidRPr="00B91BDC" w:rsidRDefault="00B91BDC" w:rsidP="00B91BDC">
      <w:pPr>
        <w:pStyle w:val="AERbodytext"/>
      </w:pPr>
    </w:p>
    <w:sectPr w:rsidR="00B91BDC" w:rsidRPr="00B91BDC" w:rsidSect="005B0558">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E31" w:rsidRPr="00AB4345" w:rsidRDefault="00E35E31" w:rsidP="00AB4345">
      <w:r>
        <w:separator/>
      </w:r>
    </w:p>
  </w:endnote>
  <w:endnote w:type="continuationSeparator" w:id="0">
    <w:p w:rsidR="00E35E31" w:rsidRPr="00AB4345" w:rsidRDefault="00E35E31"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E35E31" w:rsidRPr="00824CC8" w:rsidRDefault="00E35E31" w:rsidP="00824CC8">
        <w:pPr>
          <w:pStyle w:val="Footer"/>
        </w:pPr>
        <w:r w:rsidRPr="00824CC8">
          <w:fldChar w:fldCharType="begin"/>
        </w:r>
        <w:r w:rsidRPr="00824CC8">
          <w:instrText xml:space="preserve"> PAGE   \* MERGEFORMAT </w:instrText>
        </w:r>
        <w:r w:rsidRPr="00824CC8">
          <w:fldChar w:fldCharType="separate"/>
        </w:r>
        <w:r w:rsidR="001600AA">
          <w:rPr>
            <w:noProof/>
          </w:rPr>
          <w:t>5-14</w:t>
        </w:r>
        <w:r w:rsidRPr="00824CC8">
          <w:fldChar w:fldCharType="end"/>
        </w:r>
        <w:r w:rsidRPr="00824CC8">
          <w:tab/>
        </w:r>
        <w:r w:rsidR="00157A7D">
          <w:t xml:space="preserve">                                                                                    </w:t>
        </w:r>
        <w:r>
          <w:rPr>
            <w:rStyle w:val="AERbody"/>
          </w:rPr>
          <w:t xml:space="preserve">Attachment 5 </w:t>
        </w:r>
        <w:r w:rsidRPr="006643F4">
          <w:rPr>
            <w:rStyle w:val="AERbody"/>
          </w:rPr>
          <w:t xml:space="preserve">| </w:t>
        </w:r>
        <w:r w:rsidR="0031588A">
          <w:rPr>
            <w:rStyle w:val="AERbody"/>
          </w:rPr>
          <w:t>Regulatory depreciation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31" w:rsidRPr="00824CC8" w:rsidRDefault="0031588A" w:rsidP="00824CC8">
    <w:pPr>
      <w:pStyle w:val="Footer"/>
      <w:rPr>
        <w:rStyle w:val="AERbody"/>
      </w:rPr>
    </w:pPr>
    <w:r>
      <w:rPr>
        <w:rStyle w:val="AERbody"/>
      </w:rPr>
      <w:t>TasNetworks transmission</w:t>
    </w:r>
    <w:r w:rsidRPr="006643F4">
      <w:rPr>
        <w:rStyle w:val="AERbody"/>
      </w:rPr>
      <w:t xml:space="preserve"> determination</w:t>
    </w:r>
    <w:r w:rsidRPr="006643F4">
      <w:t xml:space="preserve"> 2015-19</w:t>
    </w:r>
    <w:r w:rsidR="00E35E31" w:rsidRPr="006643F4">
      <w:rPr>
        <w:rStyle w:val="AERbody"/>
      </w:rPr>
      <w:t xml:space="preserve"> |</w:t>
    </w:r>
    <w:r w:rsidR="00E35E31" w:rsidRPr="00210880">
      <w:rPr>
        <w:rStyle w:val="AERbody"/>
      </w:rPr>
      <w:tab/>
    </w:r>
    <w:r>
      <w:rPr>
        <w:rStyle w:val="AERbody"/>
      </w:rPr>
      <w:t xml:space="preserve"> Attachment 5</w:t>
    </w:r>
    <w:r>
      <w:rPr>
        <w:rStyle w:val="AERbody"/>
      </w:rPr>
      <w:tab/>
    </w:r>
    <w:r w:rsidR="00E35E31" w:rsidRPr="00824CC8">
      <w:rPr>
        <w:rStyle w:val="AERbody"/>
      </w:rPr>
      <w:fldChar w:fldCharType="begin"/>
    </w:r>
    <w:r w:rsidR="00E35E31" w:rsidRPr="00824CC8">
      <w:rPr>
        <w:rStyle w:val="AERbody"/>
      </w:rPr>
      <w:instrText xml:space="preserve"> PAGE   \* MERGEFORMAT </w:instrText>
    </w:r>
    <w:r w:rsidR="00E35E31" w:rsidRPr="00824CC8">
      <w:rPr>
        <w:rStyle w:val="AERbody"/>
      </w:rPr>
      <w:fldChar w:fldCharType="separate"/>
    </w:r>
    <w:r w:rsidR="001600AA">
      <w:rPr>
        <w:rStyle w:val="AERbody"/>
        <w:noProof/>
      </w:rPr>
      <w:t>5-15</w:t>
    </w:r>
    <w:r w:rsidR="00E35E31"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E31" w:rsidRPr="00AB4345" w:rsidRDefault="00E35E31" w:rsidP="00AB4345">
      <w:r>
        <w:separator/>
      </w:r>
    </w:p>
  </w:footnote>
  <w:footnote w:type="continuationSeparator" w:id="0">
    <w:p w:rsidR="00E35E31" w:rsidRPr="00AB4345" w:rsidRDefault="00E35E31" w:rsidP="00AB4345">
      <w:r>
        <w:continuationSeparator/>
      </w:r>
    </w:p>
  </w:footnote>
  <w:footnote w:id="1">
    <w:p w:rsidR="00E35E31" w:rsidRPr="00875E28" w:rsidRDefault="00E35E31" w:rsidP="00EF3952">
      <w:pPr>
        <w:pStyle w:val="FootnoteText"/>
      </w:pPr>
      <w:r>
        <w:rPr>
          <w:rStyle w:val="FootnoteReference"/>
        </w:rPr>
        <w:footnoteRef/>
      </w:r>
      <w:r>
        <w:t xml:space="preserve"> </w:t>
      </w:r>
      <w:r>
        <w:tab/>
      </w:r>
      <w:r w:rsidRPr="00875E28">
        <w:t>NER, clause</w:t>
      </w:r>
      <w:r>
        <w:t>s</w:t>
      </w:r>
      <w:r w:rsidRPr="00875E28">
        <w:t xml:space="preserve"> 6A.5.4(a)</w:t>
      </w:r>
      <w:r>
        <w:t xml:space="preserve">(1) and </w:t>
      </w:r>
      <w:r w:rsidRPr="00875E28">
        <w:t>(3).</w:t>
      </w:r>
    </w:p>
  </w:footnote>
  <w:footnote w:id="2">
    <w:p w:rsidR="00E35E31" w:rsidRDefault="00E35E31" w:rsidP="006719D1">
      <w:pPr>
        <w:pStyle w:val="FootnoteText"/>
      </w:pPr>
      <w:r>
        <w:rPr>
          <w:rStyle w:val="FootnoteReference"/>
        </w:rPr>
        <w:footnoteRef/>
      </w:r>
      <w:r>
        <w:t xml:space="preserve"> </w:t>
      </w:r>
      <w:r>
        <w:tab/>
        <w:t>NER, clause 6A.6.3(b).</w:t>
      </w:r>
    </w:p>
  </w:footnote>
  <w:footnote w:id="3">
    <w:p w:rsidR="00E35E31" w:rsidRDefault="00E35E31" w:rsidP="00F810E5">
      <w:pPr>
        <w:pStyle w:val="FootnoteText"/>
      </w:pPr>
      <w:r>
        <w:rPr>
          <w:rStyle w:val="FootnoteReference"/>
        </w:rPr>
        <w:footnoteRef/>
      </w:r>
      <w:r>
        <w:t xml:space="preserve"> </w:t>
      </w:r>
      <w:r>
        <w:tab/>
        <w:t xml:space="preserve">Transend, </w:t>
      </w:r>
      <w:r w:rsidRPr="002852F8">
        <w:rPr>
          <w:rStyle w:val="AERtextitalic"/>
        </w:rPr>
        <w:t>Revenue proposal</w:t>
      </w:r>
      <w:r>
        <w:t>, pp. 102–104.</w:t>
      </w:r>
    </w:p>
  </w:footnote>
  <w:footnote w:id="4">
    <w:p w:rsidR="00E35E31" w:rsidRDefault="00E35E31" w:rsidP="00F810E5">
      <w:pPr>
        <w:pStyle w:val="FootnoteText"/>
      </w:pPr>
      <w:r>
        <w:rPr>
          <w:rStyle w:val="FootnoteReference"/>
        </w:rPr>
        <w:footnoteRef/>
      </w:r>
      <w:r>
        <w:t xml:space="preserve"> </w:t>
      </w:r>
      <w:r>
        <w:tab/>
        <w:t>NER, clause 6A.5.4(a)(3).</w:t>
      </w:r>
    </w:p>
  </w:footnote>
  <w:footnote w:id="5">
    <w:p w:rsidR="00E35E31" w:rsidRDefault="00E35E31" w:rsidP="00F810E5">
      <w:pPr>
        <w:pStyle w:val="FootnoteText"/>
      </w:pPr>
      <w:r>
        <w:rPr>
          <w:rStyle w:val="FootnoteReference"/>
        </w:rPr>
        <w:footnoteRef/>
      </w:r>
      <w:r>
        <w:t xml:space="preserve"> </w:t>
      </w:r>
      <w:r>
        <w:tab/>
        <w:t>NER, clause 6A.6.3(b)(1).</w:t>
      </w:r>
    </w:p>
  </w:footnote>
  <w:footnote w:id="6">
    <w:p w:rsidR="00E35E31" w:rsidRDefault="00E35E31" w:rsidP="00F810E5">
      <w:pPr>
        <w:pStyle w:val="FootnoteText"/>
      </w:pPr>
      <w:r>
        <w:rPr>
          <w:rStyle w:val="FootnoteReference"/>
        </w:rPr>
        <w:footnoteRef/>
      </w:r>
      <w:r>
        <w:t xml:space="preserve"> </w:t>
      </w:r>
      <w:r>
        <w:tab/>
        <w:t>NER, clause 6A.6.3(b)(1).</w:t>
      </w:r>
    </w:p>
  </w:footnote>
  <w:footnote w:id="7">
    <w:p w:rsidR="00E35E31" w:rsidRDefault="00E35E31" w:rsidP="00F810E5">
      <w:pPr>
        <w:pStyle w:val="FootnoteText"/>
      </w:pPr>
      <w:r>
        <w:rPr>
          <w:rStyle w:val="FootnoteReference"/>
        </w:rPr>
        <w:footnoteRef/>
      </w:r>
      <w:r>
        <w:t xml:space="preserve"> </w:t>
      </w:r>
      <w:r>
        <w:tab/>
        <w:t>NER, clause 6A.6.3(b)(2).</w:t>
      </w:r>
    </w:p>
  </w:footnote>
  <w:footnote w:id="8">
    <w:p w:rsidR="00E35E31" w:rsidRDefault="00E35E31" w:rsidP="00F810E5">
      <w:pPr>
        <w:pStyle w:val="FootnoteText"/>
      </w:pPr>
      <w:r>
        <w:rPr>
          <w:rStyle w:val="FootnoteReference"/>
        </w:rPr>
        <w:footnoteRef/>
      </w:r>
      <w:r>
        <w:t xml:space="preserve"> </w:t>
      </w:r>
      <w:r>
        <w:tab/>
        <w:t>NER, clause 6A.6.3(a)(2)(ii).</w:t>
      </w:r>
    </w:p>
  </w:footnote>
  <w:footnote w:id="9">
    <w:p w:rsidR="00E35E31" w:rsidRDefault="00E35E31" w:rsidP="00BD2791">
      <w:pPr>
        <w:pStyle w:val="FootnoteText"/>
      </w:pPr>
      <w:r>
        <w:rPr>
          <w:rStyle w:val="FootnoteReference"/>
        </w:rPr>
        <w:footnoteRef/>
      </w:r>
      <w:r>
        <w:t xml:space="preserve"> </w:t>
      </w:r>
      <w:r>
        <w:tab/>
      </w:r>
      <w:r w:rsidRPr="00847540">
        <w:t>In the PTRM, the distinction is made between straight-line depreciation and regulatory depreciation. The difference being that regulatory depreciation is the straight-line depreciation minus the indexation adjustment.</w:t>
      </w:r>
    </w:p>
  </w:footnote>
  <w:footnote w:id="10">
    <w:p w:rsidR="00E35E31" w:rsidRDefault="00E35E31" w:rsidP="00BD2791">
      <w:pPr>
        <w:pStyle w:val="FootnoteText"/>
      </w:pPr>
      <w:r>
        <w:rPr>
          <w:rStyle w:val="FootnoteReference"/>
        </w:rPr>
        <w:footnoteRef/>
      </w:r>
      <w:r>
        <w:t xml:space="preserve"> </w:t>
      </w:r>
      <w:r>
        <w:tab/>
      </w:r>
      <w:r w:rsidRPr="00847540">
        <w:t>If the asset lives are extremely long, such that the straight-line depreciation rate is lower than the inflation rate, then negative regulatory depreciation can emerge. The indexation adjustment is greater than the straight-line depreciation in such circumstances.</w:t>
      </w:r>
    </w:p>
  </w:footnote>
  <w:footnote w:id="11">
    <w:p w:rsidR="00E35E31" w:rsidRDefault="00E35E31" w:rsidP="00663015">
      <w:pPr>
        <w:pStyle w:val="FootnoteText"/>
      </w:pPr>
      <w:r>
        <w:rPr>
          <w:rStyle w:val="FootnoteReference"/>
        </w:rPr>
        <w:footnoteRef/>
      </w:r>
      <w:r>
        <w:t xml:space="preserve"> </w:t>
      </w:r>
      <w:r>
        <w:tab/>
        <w:t>NER, clause 6A.6.3(b)(1).</w:t>
      </w:r>
    </w:p>
  </w:footnote>
  <w:footnote w:id="12">
    <w:p w:rsidR="00E35E31" w:rsidRDefault="00E35E31" w:rsidP="00B91BDC">
      <w:pPr>
        <w:pStyle w:val="FootnoteText"/>
      </w:pPr>
      <w:r>
        <w:rPr>
          <w:rStyle w:val="FootnoteReference"/>
        </w:rPr>
        <w:footnoteRef/>
      </w:r>
      <w:r>
        <w:t xml:space="preserve"> </w:t>
      </w:r>
      <w:r>
        <w:tab/>
        <w:t>NER, clause 6A.6.3(b)(1).</w:t>
      </w:r>
    </w:p>
  </w:footnote>
  <w:footnote w:id="13">
    <w:p w:rsidR="00E35E31" w:rsidRDefault="00E35E31" w:rsidP="00B91BDC">
      <w:pPr>
        <w:pStyle w:val="FootnoteText"/>
      </w:pPr>
      <w:r>
        <w:rPr>
          <w:rStyle w:val="FootnoteReference"/>
        </w:rPr>
        <w:footnoteRef/>
      </w:r>
      <w:r>
        <w:t xml:space="preserve"> </w:t>
      </w:r>
      <w:r>
        <w:tab/>
        <w:t xml:space="preserve">Transend, </w:t>
      </w:r>
      <w:r w:rsidRPr="00F41E02">
        <w:rPr>
          <w:rStyle w:val="AERtextitalic"/>
        </w:rPr>
        <w:t>Revenue proposal attachment 19</w:t>
      </w:r>
      <w:r w:rsidRPr="00F41E02">
        <w:rPr>
          <w:rStyle w:val="AERtextitalic"/>
          <w:rFonts w:hint="eastAsia"/>
        </w:rPr>
        <w:t>—</w:t>
      </w:r>
      <w:r w:rsidRPr="00F41E02">
        <w:rPr>
          <w:rStyle w:val="AERtextitalic"/>
        </w:rPr>
        <w:t>SKM: Assessment of proposed regulatory asset lives</w:t>
      </w:r>
      <w:r>
        <w:t xml:space="preserve">, May 2014, pp. 38–44. </w:t>
      </w:r>
    </w:p>
  </w:footnote>
  <w:footnote w:id="14">
    <w:p w:rsidR="00E35E31" w:rsidRDefault="00E35E31">
      <w:pPr>
        <w:pStyle w:val="FootnoteText"/>
      </w:pPr>
      <w:r>
        <w:rPr>
          <w:rStyle w:val="FootnoteReference"/>
        </w:rPr>
        <w:footnoteRef/>
      </w:r>
      <w:r>
        <w:t xml:space="preserve"> </w:t>
      </w:r>
      <w:r>
        <w:tab/>
        <w:t xml:space="preserve">AER, </w:t>
      </w:r>
      <w:r w:rsidRPr="00F02C7F">
        <w:rPr>
          <w:rStyle w:val="AERtextitalic"/>
        </w:rPr>
        <w:t xml:space="preserve">Final decision: </w:t>
      </w:r>
      <w:proofErr w:type="spellStart"/>
      <w:r w:rsidRPr="00954948">
        <w:rPr>
          <w:rStyle w:val="AERtextitalic"/>
        </w:rPr>
        <w:t>Powerlink</w:t>
      </w:r>
      <w:proofErr w:type="spellEnd"/>
      <w:r w:rsidRPr="00954948">
        <w:rPr>
          <w:rStyle w:val="AERtextitalic"/>
        </w:rPr>
        <w:t xml:space="preserve"> </w:t>
      </w:r>
      <w:r w:rsidRPr="00C86D65">
        <w:rPr>
          <w:rStyle w:val="AERtextitalic"/>
        </w:rPr>
        <w:t xml:space="preserve">transmission determination </w:t>
      </w:r>
      <w:r>
        <w:rPr>
          <w:rStyle w:val="AERtextitalic"/>
        </w:rPr>
        <w:t xml:space="preserve">2012–13 to 2016–17, April 2012, </w:t>
      </w:r>
      <w:r w:rsidRPr="00663015">
        <w:rPr>
          <w:rStyle w:val="AERtextitalic"/>
        </w:rPr>
        <w:t>p</w:t>
      </w:r>
      <w:r>
        <w:rPr>
          <w:rStyle w:val="AERtextitalic"/>
        </w:rPr>
        <w:t xml:space="preserve">. </w:t>
      </w:r>
      <w:r w:rsidRPr="00663015">
        <w:rPr>
          <w:rStyle w:val="AERtextitalic"/>
        </w:rPr>
        <w:t>209;</w:t>
      </w:r>
      <w:r>
        <w:rPr>
          <w:rStyle w:val="AERtextitalic"/>
        </w:rPr>
        <w:t xml:space="preserve"> </w:t>
      </w:r>
      <w:r>
        <w:t xml:space="preserve">AER, </w:t>
      </w:r>
      <w:r w:rsidRPr="00C86D65">
        <w:rPr>
          <w:rStyle w:val="AERtextitalic"/>
        </w:rPr>
        <w:t>Final decision: ElectraNet transmission determination 2013–14 to 2017–18</w:t>
      </w:r>
      <w:r>
        <w:t xml:space="preserve">, April 2013, p. 149; AER, </w:t>
      </w:r>
      <w:r w:rsidRPr="00F02C7F">
        <w:rPr>
          <w:rStyle w:val="AERtextitalic"/>
        </w:rPr>
        <w:t>Draft decision:</w:t>
      </w:r>
      <w:r>
        <w:t xml:space="preserve"> </w:t>
      </w:r>
      <w:r w:rsidRPr="00954948">
        <w:rPr>
          <w:rStyle w:val="AERtextitalic"/>
        </w:rPr>
        <w:t>SP AusNet transmission determination 2014</w:t>
      </w:r>
      <w:r w:rsidRPr="00954948">
        <w:rPr>
          <w:rStyle w:val="AERtextitalic"/>
          <w:rFonts w:hint="eastAsia"/>
        </w:rPr>
        <w:t>–</w:t>
      </w:r>
      <w:r w:rsidRPr="00954948">
        <w:rPr>
          <w:rStyle w:val="AERtextitalic"/>
        </w:rPr>
        <w:t>15 to 2016</w:t>
      </w:r>
      <w:r w:rsidRPr="00954948">
        <w:rPr>
          <w:rStyle w:val="AERtextitalic"/>
          <w:rFonts w:hint="eastAsia"/>
        </w:rPr>
        <w:t>–</w:t>
      </w:r>
      <w:r w:rsidRPr="00954948">
        <w:rPr>
          <w:rStyle w:val="AERtextitalic"/>
        </w:rPr>
        <w:t>17</w:t>
      </w:r>
      <w:r>
        <w:t>, August 2013, p. 146.</w:t>
      </w:r>
    </w:p>
  </w:footnote>
  <w:footnote w:id="15">
    <w:p w:rsidR="00E35E31" w:rsidRDefault="00E35E31" w:rsidP="00B91BDC">
      <w:pPr>
        <w:pStyle w:val="FootnoteText"/>
      </w:pPr>
      <w:r>
        <w:rPr>
          <w:rStyle w:val="FootnoteReference"/>
        </w:rPr>
        <w:footnoteRef/>
      </w:r>
      <w:r>
        <w:t xml:space="preserve"> </w:t>
      </w:r>
      <w:r>
        <w:tab/>
        <w:t xml:space="preserve">Transend, </w:t>
      </w:r>
      <w:r w:rsidRPr="00F41E02">
        <w:rPr>
          <w:rStyle w:val="AERtextitalic"/>
        </w:rPr>
        <w:t>Revenue proposal attachment 19</w:t>
      </w:r>
      <w:r w:rsidRPr="00F41E02">
        <w:rPr>
          <w:rStyle w:val="AERtextitalic"/>
          <w:rFonts w:hint="eastAsia"/>
        </w:rPr>
        <w:t>—</w:t>
      </w:r>
      <w:r w:rsidRPr="00F41E02">
        <w:rPr>
          <w:rStyle w:val="AERtextitalic"/>
        </w:rPr>
        <w:t>SKM: Assessment of proposed regulatory asset lives</w:t>
      </w:r>
      <w:r>
        <w:t xml:space="preserve">, May 2014, pp. 38–44.  </w:t>
      </w:r>
    </w:p>
  </w:footnote>
  <w:footnote w:id="16">
    <w:p w:rsidR="00E35E31" w:rsidRDefault="00E35E31" w:rsidP="00B91BDC">
      <w:pPr>
        <w:pStyle w:val="FootnoteText"/>
      </w:pPr>
      <w:r>
        <w:rPr>
          <w:rStyle w:val="FootnoteReference"/>
        </w:rPr>
        <w:footnoteRef/>
      </w:r>
      <w:r>
        <w:t xml:space="preserve"> </w:t>
      </w:r>
      <w:r>
        <w:tab/>
      </w:r>
      <w:r w:rsidRPr="008914BF">
        <w:t>At the time of this draft decision</w:t>
      </w:r>
      <w:r>
        <w:t>,</w:t>
      </w:r>
      <w:r w:rsidRPr="008914BF">
        <w:t xml:space="preserve"> the roll forward of </w:t>
      </w:r>
      <w:r>
        <w:t>TasNetworks' RAB</w:t>
      </w:r>
      <w:r w:rsidRPr="008914BF">
        <w:t xml:space="preserve"> includes </w:t>
      </w:r>
      <w:r>
        <w:t>estimated</w:t>
      </w:r>
      <w:r w:rsidRPr="008914BF">
        <w:t xml:space="preserve"> capex</w:t>
      </w:r>
      <w:r>
        <w:t xml:space="preserve"> values</w:t>
      </w:r>
      <w:r w:rsidRPr="008914BF">
        <w:t xml:space="preserve"> for </w:t>
      </w:r>
      <w:r>
        <w:t xml:space="preserve">2013–14. </w:t>
      </w:r>
      <w:r w:rsidRPr="00516A5D">
        <w:t>We will update the 2013–14 estimated capex value</w:t>
      </w:r>
      <w:r>
        <w:t>s</w:t>
      </w:r>
      <w:r w:rsidRPr="00516A5D">
        <w:t xml:space="preserve"> with the actual value</w:t>
      </w:r>
      <w:r>
        <w:t>s</w:t>
      </w:r>
      <w:r w:rsidRPr="00EF2907">
        <w:t xml:space="preserve"> </w:t>
      </w:r>
      <w:r w:rsidRPr="00516A5D">
        <w:t>for the final decision</w:t>
      </w:r>
      <w:r>
        <w:t>. The 2013–14</w:t>
      </w:r>
      <w:r w:rsidRPr="008914BF">
        <w:t xml:space="preserve"> capex </w:t>
      </w:r>
      <w:r>
        <w:t>values are</w:t>
      </w:r>
      <w:r w:rsidRPr="008914BF">
        <w:t xml:space="preserve"> used to calculate the weighted average remaining asset lives </w:t>
      </w:r>
      <w:r>
        <w:t>in the RFM</w:t>
      </w:r>
      <w:r w:rsidRPr="008914BF">
        <w:t xml:space="preserve">. Therefore, </w:t>
      </w:r>
      <w:r>
        <w:t>for the final decision we</w:t>
      </w:r>
      <w:r w:rsidRPr="008914BF">
        <w:t xml:space="preserve"> </w:t>
      </w:r>
      <w:r>
        <w:t>will</w:t>
      </w:r>
      <w:r w:rsidRPr="008914BF">
        <w:t xml:space="preserve"> recalculate </w:t>
      </w:r>
      <w:r>
        <w:t>TasNetworks'</w:t>
      </w:r>
      <w:r w:rsidRPr="008914BF">
        <w:t xml:space="preserve"> remaining asset lives</w:t>
      </w:r>
      <w:r>
        <w:t xml:space="preserve"> as at 1 July 2014</w:t>
      </w:r>
      <w:r w:rsidRPr="008914BF">
        <w:t xml:space="preserve"> using the method approved in this draft decision.</w:t>
      </w:r>
    </w:p>
  </w:footnote>
  <w:footnote w:id="17">
    <w:p w:rsidR="00E35E31" w:rsidRDefault="00E35E31" w:rsidP="00B91BDC">
      <w:pPr>
        <w:pStyle w:val="FootnoteText"/>
      </w:pPr>
      <w:r>
        <w:rPr>
          <w:rStyle w:val="FootnoteReference"/>
        </w:rPr>
        <w:footnoteRef/>
      </w:r>
      <w:r>
        <w:t xml:space="preserve"> </w:t>
      </w:r>
      <w:r>
        <w:tab/>
        <w:t>NER, clause 6A.6.3(b)(1).</w:t>
      </w:r>
    </w:p>
  </w:footnote>
  <w:footnote w:id="18">
    <w:p w:rsidR="00E35E31" w:rsidRDefault="00E35E31">
      <w:pPr>
        <w:pStyle w:val="FootnoteText"/>
      </w:pPr>
      <w:r>
        <w:rPr>
          <w:rStyle w:val="FootnoteReference"/>
        </w:rPr>
        <w:footnoteRef/>
      </w:r>
      <w:r>
        <w:t xml:space="preserve"> </w:t>
      </w:r>
      <w:r>
        <w:tab/>
        <w:t xml:space="preserve">EUAA, </w:t>
      </w:r>
      <w:r w:rsidRPr="008C2919">
        <w:rPr>
          <w:rStyle w:val="AERtextitalic"/>
        </w:rPr>
        <w:t>EUAA submission on Transend's revenue proposal 2014–19</w:t>
      </w:r>
      <w:r>
        <w:t xml:space="preserve">, 8 August 2014, p. 11; MEU, </w:t>
      </w:r>
      <w:r w:rsidRPr="008C2919">
        <w:rPr>
          <w:rStyle w:val="AERtextitalic"/>
        </w:rPr>
        <w:t xml:space="preserve">TasNetworks </w:t>
      </w:r>
      <w:r>
        <w:rPr>
          <w:rStyle w:val="AERtextitalic"/>
        </w:rPr>
        <w:t xml:space="preserve">application, A response by the MEU </w:t>
      </w:r>
      <w:proofErr w:type="spellStart"/>
      <w:r>
        <w:rPr>
          <w:rStyle w:val="AERtextitalic"/>
        </w:rPr>
        <w:t>Inc</w:t>
      </w:r>
      <w:proofErr w:type="spellEnd"/>
      <w:r>
        <w:t xml:space="preserve">, August 2014, p. 41; TSBS, </w:t>
      </w:r>
      <w:r w:rsidRPr="008C2919">
        <w:rPr>
          <w:rStyle w:val="AERtextitalic"/>
        </w:rPr>
        <w:t>TasNetworks transmission revenue proposal 2014/15 to 2018/19 submission</w:t>
      </w:r>
      <w:r>
        <w:t>, August 2014, p. 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5"/>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proofState w:spelling="clean" w:grammar="clean"/>
  <w:documentProtection w:formatting="1" w:enforcement="1" w:cryptProviderType="rsaFull" w:cryptAlgorithmClass="hash" w:cryptAlgorithmType="typeAny" w:cryptAlgorithmSid="4" w:cryptSpinCount="100000" w:hash="j1BcxcTSyZe6p/fpgF1uRTI0Ipw=" w:salt="Lb0nIDgs60KLMqp9nHH2Qw=="/>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cdchnas-evs02\home$\jmana\tasnetworks draft decision - r (D2014-00097833).docx"/>
  </w:docVars>
  <w:rsids>
    <w:rsidRoot w:val="000C052F"/>
    <w:rsid w:val="00011129"/>
    <w:rsid w:val="000150E1"/>
    <w:rsid w:val="00022606"/>
    <w:rsid w:val="00022B26"/>
    <w:rsid w:val="0003484A"/>
    <w:rsid w:val="00040599"/>
    <w:rsid w:val="00040749"/>
    <w:rsid w:val="000545D7"/>
    <w:rsid w:val="000570DF"/>
    <w:rsid w:val="00080832"/>
    <w:rsid w:val="000A1CC2"/>
    <w:rsid w:val="000A3192"/>
    <w:rsid w:val="000A5342"/>
    <w:rsid w:val="000A61A5"/>
    <w:rsid w:val="000B15CA"/>
    <w:rsid w:val="000B43E5"/>
    <w:rsid w:val="000C052F"/>
    <w:rsid w:val="000C3430"/>
    <w:rsid w:val="000D03C2"/>
    <w:rsid w:val="000D04B1"/>
    <w:rsid w:val="000D401F"/>
    <w:rsid w:val="000E1A25"/>
    <w:rsid w:val="000E6B71"/>
    <w:rsid w:val="000F3A6A"/>
    <w:rsid w:val="001033B3"/>
    <w:rsid w:val="00105636"/>
    <w:rsid w:val="00110BDA"/>
    <w:rsid w:val="00121821"/>
    <w:rsid w:val="0013022D"/>
    <w:rsid w:val="00146311"/>
    <w:rsid w:val="001543D2"/>
    <w:rsid w:val="00157A7D"/>
    <w:rsid w:val="001600AA"/>
    <w:rsid w:val="00162233"/>
    <w:rsid w:val="0016512B"/>
    <w:rsid w:val="00174026"/>
    <w:rsid w:val="00183AF4"/>
    <w:rsid w:val="001856EE"/>
    <w:rsid w:val="00190F53"/>
    <w:rsid w:val="00194C3C"/>
    <w:rsid w:val="001B13AD"/>
    <w:rsid w:val="001C12E5"/>
    <w:rsid w:val="001C25D9"/>
    <w:rsid w:val="00206D68"/>
    <w:rsid w:val="0020711E"/>
    <w:rsid w:val="00210880"/>
    <w:rsid w:val="002257B9"/>
    <w:rsid w:val="0023137D"/>
    <w:rsid w:val="002318E8"/>
    <w:rsid w:val="0025471C"/>
    <w:rsid w:val="00266710"/>
    <w:rsid w:val="002805B8"/>
    <w:rsid w:val="002938CE"/>
    <w:rsid w:val="002B6640"/>
    <w:rsid w:val="002C17CA"/>
    <w:rsid w:val="002D39CF"/>
    <w:rsid w:val="002D61AC"/>
    <w:rsid w:val="002E4720"/>
    <w:rsid w:val="002E7B38"/>
    <w:rsid w:val="00303452"/>
    <w:rsid w:val="0031419F"/>
    <w:rsid w:val="0031588A"/>
    <w:rsid w:val="003324F7"/>
    <w:rsid w:val="00334F88"/>
    <w:rsid w:val="00357620"/>
    <w:rsid w:val="003707DB"/>
    <w:rsid w:val="00375AEC"/>
    <w:rsid w:val="00376236"/>
    <w:rsid w:val="0037652C"/>
    <w:rsid w:val="003800E4"/>
    <w:rsid w:val="00380FF5"/>
    <w:rsid w:val="00384D6C"/>
    <w:rsid w:val="00390108"/>
    <w:rsid w:val="00395438"/>
    <w:rsid w:val="003A6174"/>
    <w:rsid w:val="003B2355"/>
    <w:rsid w:val="003B7FE3"/>
    <w:rsid w:val="003D31F8"/>
    <w:rsid w:val="003E6F54"/>
    <w:rsid w:val="003F095F"/>
    <w:rsid w:val="004030AB"/>
    <w:rsid w:val="00412282"/>
    <w:rsid w:val="0042038E"/>
    <w:rsid w:val="004256BA"/>
    <w:rsid w:val="004318FD"/>
    <w:rsid w:val="00431999"/>
    <w:rsid w:val="00433077"/>
    <w:rsid w:val="00433D80"/>
    <w:rsid w:val="00435682"/>
    <w:rsid w:val="00454BA9"/>
    <w:rsid w:val="00456081"/>
    <w:rsid w:val="00464F5D"/>
    <w:rsid w:val="00474FBD"/>
    <w:rsid w:val="00491D7D"/>
    <w:rsid w:val="004A6E7E"/>
    <w:rsid w:val="004B034D"/>
    <w:rsid w:val="004B3DEA"/>
    <w:rsid w:val="004C3F45"/>
    <w:rsid w:val="004E1273"/>
    <w:rsid w:val="004E40EF"/>
    <w:rsid w:val="004E73F7"/>
    <w:rsid w:val="004F1EBE"/>
    <w:rsid w:val="004F76A0"/>
    <w:rsid w:val="00500E7F"/>
    <w:rsid w:val="0050183A"/>
    <w:rsid w:val="0052179D"/>
    <w:rsid w:val="005456A9"/>
    <w:rsid w:val="005506FF"/>
    <w:rsid w:val="00555D52"/>
    <w:rsid w:val="005566D7"/>
    <w:rsid w:val="00561F7F"/>
    <w:rsid w:val="005655E9"/>
    <w:rsid w:val="00566B35"/>
    <w:rsid w:val="005732CC"/>
    <w:rsid w:val="00575422"/>
    <w:rsid w:val="00576294"/>
    <w:rsid w:val="005810C9"/>
    <w:rsid w:val="005938C6"/>
    <w:rsid w:val="005A0431"/>
    <w:rsid w:val="005B0558"/>
    <w:rsid w:val="005B3752"/>
    <w:rsid w:val="005B61C2"/>
    <w:rsid w:val="005C5B7B"/>
    <w:rsid w:val="005D26B7"/>
    <w:rsid w:val="005D4AA1"/>
    <w:rsid w:val="0060146C"/>
    <w:rsid w:val="0060207D"/>
    <w:rsid w:val="006039F2"/>
    <w:rsid w:val="006041FE"/>
    <w:rsid w:val="006061B0"/>
    <w:rsid w:val="0060732E"/>
    <w:rsid w:val="006076A9"/>
    <w:rsid w:val="0064274E"/>
    <w:rsid w:val="00654291"/>
    <w:rsid w:val="006544EA"/>
    <w:rsid w:val="00663015"/>
    <w:rsid w:val="0066569F"/>
    <w:rsid w:val="006719D1"/>
    <w:rsid w:val="0069004B"/>
    <w:rsid w:val="006B08EB"/>
    <w:rsid w:val="006B481F"/>
    <w:rsid w:val="006C28B6"/>
    <w:rsid w:val="006F221B"/>
    <w:rsid w:val="006F638E"/>
    <w:rsid w:val="00703E42"/>
    <w:rsid w:val="007134BC"/>
    <w:rsid w:val="00735DAC"/>
    <w:rsid w:val="007368AD"/>
    <w:rsid w:val="00751D2A"/>
    <w:rsid w:val="00755095"/>
    <w:rsid w:val="00771A80"/>
    <w:rsid w:val="00796A07"/>
    <w:rsid w:val="007A2075"/>
    <w:rsid w:val="007A66F3"/>
    <w:rsid w:val="007A7029"/>
    <w:rsid w:val="007B6A10"/>
    <w:rsid w:val="007C05AB"/>
    <w:rsid w:val="007F10E3"/>
    <w:rsid w:val="007F2C0E"/>
    <w:rsid w:val="007F39ED"/>
    <w:rsid w:val="00800CCB"/>
    <w:rsid w:val="00803767"/>
    <w:rsid w:val="00804AEB"/>
    <w:rsid w:val="00810C17"/>
    <w:rsid w:val="00824CC8"/>
    <w:rsid w:val="0083405F"/>
    <w:rsid w:val="00836D17"/>
    <w:rsid w:val="00840A55"/>
    <w:rsid w:val="00841E25"/>
    <w:rsid w:val="00845D4B"/>
    <w:rsid w:val="008464CD"/>
    <w:rsid w:val="008515EE"/>
    <w:rsid w:val="0085661B"/>
    <w:rsid w:val="00861C4E"/>
    <w:rsid w:val="00866D21"/>
    <w:rsid w:val="00872D85"/>
    <w:rsid w:val="00883DDA"/>
    <w:rsid w:val="0088444C"/>
    <w:rsid w:val="00891FF9"/>
    <w:rsid w:val="00893367"/>
    <w:rsid w:val="00893D07"/>
    <w:rsid w:val="008B7956"/>
    <w:rsid w:val="008C2919"/>
    <w:rsid w:val="008C369F"/>
    <w:rsid w:val="008C3722"/>
    <w:rsid w:val="008C3B67"/>
    <w:rsid w:val="008C3F48"/>
    <w:rsid w:val="008D49B4"/>
    <w:rsid w:val="008D7498"/>
    <w:rsid w:val="008E06DD"/>
    <w:rsid w:val="008E7282"/>
    <w:rsid w:val="009076D0"/>
    <w:rsid w:val="00907B79"/>
    <w:rsid w:val="009110FC"/>
    <w:rsid w:val="00924034"/>
    <w:rsid w:val="00926E20"/>
    <w:rsid w:val="00932CD0"/>
    <w:rsid w:val="00932E96"/>
    <w:rsid w:val="009418E6"/>
    <w:rsid w:val="0094235F"/>
    <w:rsid w:val="0094279F"/>
    <w:rsid w:val="009457BA"/>
    <w:rsid w:val="00946B98"/>
    <w:rsid w:val="0095052A"/>
    <w:rsid w:val="009658F0"/>
    <w:rsid w:val="00971655"/>
    <w:rsid w:val="00971665"/>
    <w:rsid w:val="00971C63"/>
    <w:rsid w:val="009A4AE9"/>
    <w:rsid w:val="009B5019"/>
    <w:rsid w:val="009C71D5"/>
    <w:rsid w:val="009F7CE4"/>
    <w:rsid w:val="00A11162"/>
    <w:rsid w:val="00A14558"/>
    <w:rsid w:val="00A43227"/>
    <w:rsid w:val="00A46CCD"/>
    <w:rsid w:val="00A62E81"/>
    <w:rsid w:val="00A65133"/>
    <w:rsid w:val="00A652C5"/>
    <w:rsid w:val="00A85C5A"/>
    <w:rsid w:val="00A90014"/>
    <w:rsid w:val="00A96A08"/>
    <w:rsid w:val="00AA0161"/>
    <w:rsid w:val="00AA1547"/>
    <w:rsid w:val="00AA343A"/>
    <w:rsid w:val="00AB1D08"/>
    <w:rsid w:val="00AB4345"/>
    <w:rsid w:val="00AB57B0"/>
    <w:rsid w:val="00AB5BD7"/>
    <w:rsid w:val="00AB6A65"/>
    <w:rsid w:val="00AC0135"/>
    <w:rsid w:val="00AC070D"/>
    <w:rsid w:val="00AC1B94"/>
    <w:rsid w:val="00AD0616"/>
    <w:rsid w:val="00AD34FF"/>
    <w:rsid w:val="00AD4DE6"/>
    <w:rsid w:val="00AE6DBC"/>
    <w:rsid w:val="00AF0F30"/>
    <w:rsid w:val="00AF3E95"/>
    <w:rsid w:val="00AF7C67"/>
    <w:rsid w:val="00B064D5"/>
    <w:rsid w:val="00B11BB8"/>
    <w:rsid w:val="00B14F00"/>
    <w:rsid w:val="00B15120"/>
    <w:rsid w:val="00B15FE9"/>
    <w:rsid w:val="00B23186"/>
    <w:rsid w:val="00B25063"/>
    <w:rsid w:val="00B47945"/>
    <w:rsid w:val="00B51883"/>
    <w:rsid w:val="00B61FD4"/>
    <w:rsid w:val="00B632E4"/>
    <w:rsid w:val="00B674DB"/>
    <w:rsid w:val="00B718A3"/>
    <w:rsid w:val="00B82E8D"/>
    <w:rsid w:val="00B91BDC"/>
    <w:rsid w:val="00B9264D"/>
    <w:rsid w:val="00B94D99"/>
    <w:rsid w:val="00BB01B3"/>
    <w:rsid w:val="00BB3E21"/>
    <w:rsid w:val="00BB3FA1"/>
    <w:rsid w:val="00BB62BB"/>
    <w:rsid w:val="00BC05C5"/>
    <w:rsid w:val="00BD04BE"/>
    <w:rsid w:val="00BD2791"/>
    <w:rsid w:val="00BD45E7"/>
    <w:rsid w:val="00BD4E35"/>
    <w:rsid w:val="00BE2CDE"/>
    <w:rsid w:val="00BE6F28"/>
    <w:rsid w:val="00BF29FA"/>
    <w:rsid w:val="00C04D2B"/>
    <w:rsid w:val="00C06851"/>
    <w:rsid w:val="00C109BB"/>
    <w:rsid w:val="00C34218"/>
    <w:rsid w:val="00C43870"/>
    <w:rsid w:val="00C4694E"/>
    <w:rsid w:val="00C530C1"/>
    <w:rsid w:val="00C71BA7"/>
    <w:rsid w:val="00C737C5"/>
    <w:rsid w:val="00C73A0D"/>
    <w:rsid w:val="00CA3540"/>
    <w:rsid w:val="00CA6DED"/>
    <w:rsid w:val="00CC00A2"/>
    <w:rsid w:val="00CC49D4"/>
    <w:rsid w:val="00CE6F5A"/>
    <w:rsid w:val="00CF110B"/>
    <w:rsid w:val="00CF42CF"/>
    <w:rsid w:val="00D067B3"/>
    <w:rsid w:val="00D102E9"/>
    <w:rsid w:val="00D1688F"/>
    <w:rsid w:val="00D2117F"/>
    <w:rsid w:val="00D25317"/>
    <w:rsid w:val="00D66E8B"/>
    <w:rsid w:val="00D7053C"/>
    <w:rsid w:val="00D85715"/>
    <w:rsid w:val="00D8706C"/>
    <w:rsid w:val="00DA08EC"/>
    <w:rsid w:val="00DA4C62"/>
    <w:rsid w:val="00DB6A17"/>
    <w:rsid w:val="00DC7CDB"/>
    <w:rsid w:val="00DD4E84"/>
    <w:rsid w:val="00DD5520"/>
    <w:rsid w:val="00DF0B13"/>
    <w:rsid w:val="00DF16C2"/>
    <w:rsid w:val="00E00F76"/>
    <w:rsid w:val="00E00F8B"/>
    <w:rsid w:val="00E2003F"/>
    <w:rsid w:val="00E21E75"/>
    <w:rsid w:val="00E33BDF"/>
    <w:rsid w:val="00E35D91"/>
    <w:rsid w:val="00E35E31"/>
    <w:rsid w:val="00E370B7"/>
    <w:rsid w:val="00E4033C"/>
    <w:rsid w:val="00E519DC"/>
    <w:rsid w:val="00E65FE4"/>
    <w:rsid w:val="00E719F6"/>
    <w:rsid w:val="00E7416A"/>
    <w:rsid w:val="00E807DA"/>
    <w:rsid w:val="00E84E3A"/>
    <w:rsid w:val="00EA05AF"/>
    <w:rsid w:val="00EB3F90"/>
    <w:rsid w:val="00EB5CDF"/>
    <w:rsid w:val="00EC43B9"/>
    <w:rsid w:val="00EC4E4D"/>
    <w:rsid w:val="00ED09CD"/>
    <w:rsid w:val="00ED20CB"/>
    <w:rsid w:val="00ED322D"/>
    <w:rsid w:val="00ED4D69"/>
    <w:rsid w:val="00ED5629"/>
    <w:rsid w:val="00EE362F"/>
    <w:rsid w:val="00EF0E19"/>
    <w:rsid w:val="00EF2907"/>
    <w:rsid w:val="00EF3952"/>
    <w:rsid w:val="00F0258A"/>
    <w:rsid w:val="00F114AE"/>
    <w:rsid w:val="00F43CA0"/>
    <w:rsid w:val="00F542DB"/>
    <w:rsid w:val="00F55030"/>
    <w:rsid w:val="00F6154F"/>
    <w:rsid w:val="00F7696F"/>
    <w:rsid w:val="00F810E5"/>
    <w:rsid w:val="00F8209B"/>
    <w:rsid w:val="00F97CD9"/>
    <w:rsid w:val="00FA0576"/>
    <w:rsid w:val="00FA2161"/>
    <w:rsid w:val="00FB50B4"/>
    <w:rsid w:val="00FC780B"/>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aliases w:val="h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aliases w:val="h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aliases w:val="h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aliases w:val="Legal Level 1.1.,H7,i.,(1),heading 7,h7"/>
    <w:basedOn w:val="UnnumberedHeading"/>
    <w:next w:val="AERbodytext"/>
    <w:link w:val="Heading7Char"/>
    <w:uiPriority w:val="9"/>
    <w:qFormat/>
    <w:rsid w:val="00303452"/>
    <w:pPr>
      <w:numPr>
        <w:ilvl w:val="4"/>
      </w:numPr>
      <w:outlineLvl w:val="6"/>
    </w:pPr>
    <w:rPr>
      <w:iCs/>
      <w:szCs w:val="24"/>
    </w:rPr>
  </w:style>
  <w:style w:type="paragraph" w:styleId="Heading8">
    <w:name w:val="heading 8"/>
    <w:aliases w:val="H8,Legal Level 1.1.1.,Annex,h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aliases w:val="Heading 9 Char1,Heading 9 Char Char,Legal Level 1.1.1.1. Char Char,H9 Char Char,Legal Level 1.1.1.1. Char,H9 Char,Annex1, Appen 1,Appen 1,Legal Level 1.1.1.1.,H9,h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aliases w:val="h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aliases w:val="h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aliases w:val="h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aliases w:val="Legal Level 1.1. Char,H7 Char,i. Char,(1) Char,heading 7 Char,h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aliases w:val="H8 Char,Legal Level 1.1.1. Char,Annex Char,h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aliases w:val="Heading 9 Char1 Char,Heading 9 Char Char Char,Legal Level 1.1.1.1. Char Char Char,H9 Char Char Char,Legal Level 1.1.1.1. Char Char1,H9 Char Char1,Annex1 Char, Appen 1 Char,Appen 1 Char,Legal Level 1.1.1.1. Char1,H9 Char1,h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F258722C.dotm</Template>
  <TotalTime>0</TotalTime>
  <Pages>15</Pages>
  <Words>3215</Words>
  <Characters>18331</Characters>
  <Application>Microsoft Office Word</Application>
  <DocSecurity>0</DocSecurity>
  <Lines>152</Lines>
  <Paragraphs>43</Paragraphs>
  <ScaleCrop>false</ScaleCrop>
  <Company/>
  <LinksUpToDate>false</LinksUpToDate>
  <CharactersWithSpaces>21503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2014-11-26T04:33:00Z</dcterms:created>
  <dcterms:modified xsi:type="dcterms:W3CDTF">2014-11-26T04:33:00Z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8308765</vt:lpwstr>
  </property>
</Properties>
</file>