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96" w:rsidRDefault="00867C96" w:rsidP="00867C96">
      <w:pPr>
        <w:pStyle w:val="AERtitle1"/>
      </w:pPr>
      <w:bookmarkStart w:id="0" w:name="_GoBack"/>
      <w:bookmarkEnd w:id="0"/>
      <w:r w:rsidRPr="00867C96">
        <w:rPr>
          <w:noProof/>
        </w:rPr>
        <w:drawing>
          <wp:anchor distT="0" distB="0" distL="114300" distR="114300" simplePos="0" relativeHeight="251659264" behindDoc="1" locked="0" layoutInCell="1" allowOverlap="1" wp14:anchorId="0593D225" wp14:editId="12F189BF">
            <wp:simplePos x="0" y="0"/>
            <wp:positionH relativeFrom="column">
              <wp:posOffset>-939800</wp:posOffset>
            </wp:positionH>
            <wp:positionV relativeFrom="paragraph">
              <wp:posOffset>-977900</wp:posOffset>
            </wp:positionV>
            <wp:extent cx="7658100" cy="10881620"/>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880718"/>
                    </a:xfrm>
                    <a:prstGeom prst="rect">
                      <a:avLst/>
                    </a:prstGeom>
                    <a:noFill/>
                    <a:ln w="9525">
                      <a:noFill/>
                      <a:miter lim="800000"/>
                      <a:headEnd/>
                      <a:tailEnd/>
                    </a:ln>
                  </pic:spPr>
                </pic:pic>
              </a:graphicData>
            </a:graphic>
            <wp14:sizeRelV relativeFrom="margin">
              <wp14:pctHeight>0</wp14:pctHeight>
            </wp14:sizeRelV>
          </wp:anchor>
        </w:drawing>
      </w:r>
    </w:p>
    <w:p w:rsidR="00867C96" w:rsidRDefault="00867C96" w:rsidP="00867C96">
      <w:pPr>
        <w:pStyle w:val="AERtitle1"/>
      </w:pPr>
    </w:p>
    <w:p w:rsidR="00867C96" w:rsidRDefault="00867C96" w:rsidP="00867C96">
      <w:pPr>
        <w:pStyle w:val="AERtitle1"/>
      </w:pPr>
    </w:p>
    <w:p w:rsidR="00867C96" w:rsidRDefault="00867C96" w:rsidP="00867C96">
      <w:pPr>
        <w:pStyle w:val="AERtitle1"/>
      </w:pPr>
    </w:p>
    <w:p w:rsidR="00867C96" w:rsidRDefault="00867C96" w:rsidP="00867C96">
      <w:pPr>
        <w:pStyle w:val="AERtitle1"/>
      </w:pPr>
    </w:p>
    <w:p w:rsidR="004E628B" w:rsidRDefault="004E628B" w:rsidP="00867C96">
      <w:pPr>
        <w:pStyle w:val="AERtitle1"/>
      </w:pPr>
    </w:p>
    <w:p w:rsidR="004E628B" w:rsidRDefault="004E628B" w:rsidP="00867C96">
      <w:pPr>
        <w:pStyle w:val="AERtitle1"/>
      </w:pPr>
    </w:p>
    <w:p w:rsidR="00867C96" w:rsidRDefault="00867C96" w:rsidP="00867C96">
      <w:pPr>
        <w:pStyle w:val="AERtitle1"/>
      </w:pPr>
      <w:r>
        <w:t>Draft decision</w:t>
      </w:r>
    </w:p>
    <w:p w:rsidR="00867C96" w:rsidRDefault="00867C96" w:rsidP="00867C96">
      <w:pPr>
        <w:pStyle w:val="AERtitle1"/>
      </w:pPr>
      <w:r>
        <w:t>TasNetworks transmission determination</w:t>
      </w:r>
    </w:p>
    <w:p w:rsidR="00867C96" w:rsidRDefault="00867C96" w:rsidP="00867C96">
      <w:pPr>
        <w:pStyle w:val="AERtitle1"/>
      </w:pPr>
      <w:r>
        <w:t>2015-16 to 2018-19</w:t>
      </w:r>
    </w:p>
    <w:p w:rsidR="00867C96" w:rsidRDefault="00867C96" w:rsidP="00867C96">
      <w:pPr>
        <w:pStyle w:val="AERtitle1"/>
      </w:pPr>
      <w:r>
        <w:t>Attachment 9</w:t>
      </w:r>
      <w:r w:rsidR="00CD2329">
        <w:t>:</w:t>
      </w:r>
      <w:r>
        <w:t xml:space="preserve"> Efficiency benefit sharing scheme (EBSS)</w:t>
      </w:r>
    </w:p>
    <w:p w:rsidR="00867C96" w:rsidRDefault="00867C96" w:rsidP="00867C96">
      <w:pPr>
        <w:pStyle w:val="AERtitle1"/>
      </w:pPr>
    </w:p>
    <w:p w:rsidR="00867C96" w:rsidRDefault="00867C96" w:rsidP="00867C96">
      <w:pPr>
        <w:pStyle w:val="AERtitle1"/>
      </w:pPr>
    </w:p>
    <w:p w:rsidR="00867C96" w:rsidRDefault="00867C96" w:rsidP="00867C96"/>
    <w:p w:rsidR="00EA1440" w:rsidRDefault="00867C96" w:rsidP="00867C96">
      <w:pPr>
        <w:pStyle w:val="AERtitle2"/>
      </w:pPr>
      <w:r>
        <w:t>November 2014</w:t>
      </w:r>
    </w:p>
    <w:p w:rsidR="00613AB5" w:rsidRDefault="00613AB5">
      <w:pPr>
        <w:spacing w:after="0" w:line="240" w:lineRule="auto"/>
        <w:jc w:val="left"/>
        <w:rPr>
          <w:rFonts w:eastAsia="Times New Roman"/>
          <w:sz w:val="32"/>
          <w:szCs w:val="24"/>
        </w:rPr>
      </w:pPr>
      <w:r>
        <w:br w:type="page"/>
      </w:r>
    </w:p>
    <w:p w:rsidR="00613AB5" w:rsidRPr="002F5AB8" w:rsidRDefault="00613AB5" w:rsidP="00613AB5">
      <w:pPr>
        <w:pStyle w:val="AERbodytextnospace"/>
        <w:rPr>
          <w:rStyle w:val="AERtextbold"/>
        </w:rPr>
      </w:pPr>
      <w:r w:rsidRPr="002F5AB8">
        <w:rPr>
          <w:rStyle w:val="AERtextbold"/>
        </w:rPr>
        <w:lastRenderedPageBreak/>
        <w:t>© Commonwealth of Australia 2014</w:t>
      </w:r>
    </w:p>
    <w:p w:rsidR="00613AB5" w:rsidRPr="002F5AB8" w:rsidRDefault="00613AB5" w:rsidP="00613AB5">
      <w:r w:rsidRPr="002F5AB8">
        <w:t>This work is copyright. In addition to any use permitted under the Copyright Act 1968, all material contained within this work is provided under a Creative Commons Attribution 3.0 Australia licence, with the exception of:</w:t>
      </w:r>
    </w:p>
    <w:p w:rsidR="00613AB5" w:rsidRPr="002F5AB8" w:rsidRDefault="00613AB5" w:rsidP="00613AB5">
      <w:pPr>
        <w:pStyle w:val="AERbulletlistfirststyle"/>
      </w:pPr>
      <w:r w:rsidRPr="002F5AB8">
        <w:t>the Commonwealth Coat of Arms</w:t>
      </w:r>
    </w:p>
    <w:p w:rsidR="00613AB5" w:rsidRPr="002F5AB8" w:rsidRDefault="00613AB5" w:rsidP="00613AB5">
      <w:pPr>
        <w:pStyle w:val="AERbulletlistfirststyle"/>
      </w:pPr>
      <w:r w:rsidRPr="002F5AB8">
        <w:t>the ACCC and AER logos</w:t>
      </w:r>
    </w:p>
    <w:p w:rsidR="00613AB5" w:rsidRPr="002F5AB8" w:rsidRDefault="00613AB5" w:rsidP="00613AB5">
      <w:r w:rsidRPr="002F5AB8">
        <w:t>any illustration, diagram, photograph or graphic over which the Australian Competition and Consumer Commission does not hold copyright, but which may be part of or contained within this publication.</w:t>
      </w:r>
    </w:p>
    <w:p w:rsidR="00613AB5" w:rsidRPr="002F5AB8" w:rsidRDefault="00613AB5" w:rsidP="00613AB5">
      <w:r w:rsidRPr="002F5AB8">
        <w:t>The details of the relevant licence conditions are available on the Creative Commons website, as is the full legal code for the CC BY 3.0 AU licence.</w:t>
      </w:r>
    </w:p>
    <w:p w:rsidR="00613AB5" w:rsidRPr="002F5AB8" w:rsidRDefault="00613AB5" w:rsidP="00613AB5">
      <w:pPr>
        <w:numPr>
          <w:ilvl w:val="0"/>
          <w:numId w:val="13"/>
        </w:numPr>
      </w:pPr>
      <w:r w:rsidRPr="002F5AB8">
        <w:t>Requests and inquiries concerning reproduction and rights should be addressed to the Director, Corporate Communications, ACCC, GPO Box 3131, Canberra ACT 2601, or</w:t>
      </w:r>
    </w:p>
    <w:p w:rsidR="00613AB5" w:rsidRPr="002F5AB8" w:rsidRDefault="00613AB5" w:rsidP="00613AB5">
      <w:pPr>
        <w:numPr>
          <w:ilvl w:val="0"/>
          <w:numId w:val="13"/>
        </w:numPr>
      </w:pPr>
      <w:r w:rsidRPr="002F5AB8">
        <w:t xml:space="preserve"> </w:t>
      </w:r>
      <w:hyperlink r:id="rId9" w:history="1">
        <w:r w:rsidRPr="002F5AB8">
          <w:t>publishing.unit@accc.gov.au</w:t>
        </w:r>
      </w:hyperlink>
      <w:r w:rsidRPr="002F5AB8">
        <w:t xml:space="preserve"> .</w:t>
      </w:r>
    </w:p>
    <w:p w:rsidR="00613AB5" w:rsidRPr="002F5AB8" w:rsidRDefault="00613AB5" w:rsidP="00613AB5">
      <w:r w:rsidRPr="002F5AB8">
        <w:t>Inquiries about this document should be addressed to:</w:t>
      </w:r>
    </w:p>
    <w:p w:rsidR="00613AB5" w:rsidRPr="002F5AB8" w:rsidRDefault="00613AB5" w:rsidP="00613AB5">
      <w:pPr>
        <w:pStyle w:val="AERbodytextnospace"/>
      </w:pPr>
      <w:r w:rsidRPr="002F5AB8">
        <w:t>Australian Energy Regulator</w:t>
      </w:r>
    </w:p>
    <w:p w:rsidR="00613AB5" w:rsidRPr="002F5AB8" w:rsidRDefault="00613AB5" w:rsidP="00613AB5">
      <w:pPr>
        <w:pStyle w:val="AERbodytextnospace"/>
      </w:pPr>
      <w:r w:rsidRPr="002F5AB8">
        <w:t>GPO Box 520</w:t>
      </w:r>
    </w:p>
    <w:p w:rsidR="00613AB5" w:rsidRPr="002F5AB8" w:rsidRDefault="00613AB5" w:rsidP="00613AB5">
      <w:pPr>
        <w:pStyle w:val="AERbodytextnospace"/>
      </w:pPr>
      <w:r w:rsidRPr="002F5AB8">
        <w:t>Melbourne  Vic  3001</w:t>
      </w:r>
    </w:p>
    <w:p w:rsidR="00613AB5" w:rsidRPr="002F5AB8" w:rsidRDefault="00613AB5" w:rsidP="00613AB5">
      <w:pPr>
        <w:pStyle w:val="AERbodytextnospace"/>
      </w:pPr>
      <w:r w:rsidRPr="002F5AB8">
        <w:t>Tel: (03) 9290 1444</w:t>
      </w:r>
    </w:p>
    <w:p w:rsidR="00613AB5" w:rsidRPr="002F5AB8" w:rsidRDefault="00613AB5" w:rsidP="00613AB5">
      <w:pPr>
        <w:pStyle w:val="AERbodytextnospace"/>
      </w:pPr>
      <w:r w:rsidRPr="002F5AB8">
        <w:t>Fax: (03) 9290 1457</w:t>
      </w:r>
    </w:p>
    <w:p w:rsidR="00613AB5" w:rsidRPr="002F5AB8" w:rsidRDefault="00613AB5" w:rsidP="00613AB5">
      <w:pPr>
        <w:pStyle w:val="AERbodytextnospace"/>
      </w:pPr>
      <w:r w:rsidRPr="002F5AB8">
        <w:t xml:space="preserve">Email: </w:t>
      </w:r>
      <w:hyperlink r:id="rId10" w:history="1">
        <w:r w:rsidRPr="002F5AB8">
          <w:rPr>
            <w:rStyle w:val="Hyperlink"/>
          </w:rPr>
          <w:t>AERInquiry@aer.gov.au</w:t>
        </w:r>
      </w:hyperlink>
    </w:p>
    <w:p w:rsidR="00613AB5" w:rsidRPr="002F5AB8" w:rsidRDefault="00613AB5" w:rsidP="00613AB5"/>
    <w:p w:rsidR="00613AB5" w:rsidRPr="002F5AB8" w:rsidRDefault="00613AB5" w:rsidP="00613AB5">
      <w:pPr>
        <w:pStyle w:val="AERbodytext"/>
      </w:pPr>
      <w:r w:rsidRPr="002F5AB8">
        <w:t>AER reference</w:t>
      </w:r>
      <w:r w:rsidRPr="002F5AB8">
        <w:rPr>
          <w:rStyle w:val="AERbody"/>
        </w:rPr>
        <w:t>:   5344</w:t>
      </w:r>
      <w:r>
        <w:rPr>
          <w:rStyle w:val="AERbody"/>
        </w:rPr>
        <w:t>5</w:t>
      </w:r>
      <w:r w:rsidRPr="002F5AB8">
        <w:rPr>
          <w:rStyle w:val="AERbody"/>
        </w:rPr>
        <w:t xml:space="preserve">   </w:t>
      </w:r>
    </w:p>
    <w:p w:rsidR="002939D0" w:rsidRDefault="002939D0">
      <w:pPr>
        <w:spacing w:after="0" w:line="240" w:lineRule="auto"/>
        <w:jc w:val="left"/>
        <w:rPr>
          <w:rFonts w:eastAsia="Times New Roman"/>
          <w:sz w:val="32"/>
          <w:szCs w:val="24"/>
        </w:rPr>
      </w:pPr>
      <w:r>
        <w:br w:type="page"/>
      </w:r>
    </w:p>
    <w:p w:rsidR="00514994" w:rsidRPr="00514994" w:rsidRDefault="00514994" w:rsidP="00514994">
      <w:pPr>
        <w:pStyle w:val="UnnumberedHeading"/>
        <w:rPr>
          <w:rStyle w:val="AERtextblue"/>
          <w:color w:val="E36C0A"/>
        </w:rPr>
      </w:pPr>
      <w:r w:rsidRPr="00514994">
        <w:rPr>
          <w:rStyle w:val="AERtextblue"/>
          <w:color w:val="E36C0A"/>
        </w:rPr>
        <w:lastRenderedPageBreak/>
        <w:t>Note</w:t>
      </w:r>
    </w:p>
    <w:p w:rsidR="00514994" w:rsidRDefault="00514994" w:rsidP="00514994">
      <w:r>
        <w:t>This attachment forms part of the AER's draft decision on the transmission determination for TasNetworks' 2015–1</w:t>
      </w:r>
      <w:r w:rsidR="00187042">
        <w:t>9</w:t>
      </w:r>
      <w:r>
        <w:t xml:space="preserve"> regulatory control period. It should be read in conjunction with other parts of the draft decision. </w:t>
      </w:r>
    </w:p>
    <w:p w:rsidR="00514994" w:rsidRDefault="00514994" w:rsidP="00514994">
      <w:r>
        <w:t>The draft decision includes the following documents:</w:t>
      </w:r>
    </w:p>
    <w:p w:rsidR="00514994" w:rsidRDefault="00514994" w:rsidP="00514994">
      <w:r>
        <w:t>Overview</w:t>
      </w:r>
    </w:p>
    <w:p w:rsidR="00514994" w:rsidRDefault="00514994" w:rsidP="00514994">
      <w:r>
        <w:t>Attachment 1 – maximum allowed revenue</w:t>
      </w:r>
    </w:p>
    <w:p w:rsidR="00514994" w:rsidRDefault="00514994" w:rsidP="00514994">
      <w:r>
        <w:t>Attachment 2 – regulatory asset base</w:t>
      </w:r>
    </w:p>
    <w:p w:rsidR="00514994" w:rsidRDefault="00514994" w:rsidP="00514994">
      <w:r>
        <w:t>Attachment 3 – rate of return</w:t>
      </w:r>
    </w:p>
    <w:p w:rsidR="00514994" w:rsidRDefault="00514994" w:rsidP="00514994">
      <w:r>
        <w:t>Attachment 4 – value of imputation credits</w:t>
      </w:r>
    </w:p>
    <w:p w:rsidR="00514994" w:rsidRDefault="00514994" w:rsidP="00514994">
      <w:r>
        <w:t>Attachment 5 – regulatory depreciation</w:t>
      </w:r>
    </w:p>
    <w:p w:rsidR="00514994" w:rsidRDefault="00514994" w:rsidP="00514994">
      <w:r>
        <w:t>Attachment 6 – capital expenditure</w:t>
      </w:r>
      <w:r w:rsidRPr="0012445F">
        <w:t xml:space="preserve"> </w:t>
      </w:r>
    </w:p>
    <w:p w:rsidR="00514994" w:rsidRDefault="00514994" w:rsidP="00514994">
      <w:r>
        <w:t>Attachment 7 – operating expenditure</w:t>
      </w:r>
    </w:p>
    <w:p w:rsidR="00514994" w:rsidRDefault="00514994" w:rsidP="00514994">
      <w:r>
        <w:t>Attachment 8 – corporate income tax</w:t>
      </w:r>
    </w:p>
    <w:p w:rsidR="00514994" w:rsidRDefault="00514994" w:rsidP="00514994">
      <w:r>
        <w:t>Attachment 9 – efficiency benefit sharing scheme</w:t>
      </w:r>
    </w:p>
    <w:p w:rsidR="00514994" w:rsidRDefault="00514994" w:rsidP="00514994">
      <w:r w:rsidRPr="00DF268E">
        <w:t xml:space="preserve">Attachment </w:t>
      </w:r>
      <w:r>
        <w:t>10</w:t>
      </w:r>
      <w:r w:rsidRPr="00DF268E">
        <w:t xml:space="preserve"> –</w:t>
      </w:r>
      <w:r>
        <w:t xml:space="preserve"> capital expenditure sharing scheme</w:t>
      </w:r>
    </w:p>
    <w:p w:rsidR="00514994" w:rsidRDefault="00514994" w:rsidP="00514994">
      <w:r w:rsidRPr="00DF268E">
        <w:t>Attachment 1</w:t>
      </w:r>
      <w:r>
        <w:t>1 – service target performance incentive scheme</w:t>
      </w:r>
    </w:p>
    <w:p w:rsidR="00514994" w:rsidRDefault="00514994" w:rsidP="00514994">
      <w:r w:rsidRPr="00DF268E">
        <w:t>Attachment 1</w:t>
      </w:r>
      <w:r>
        <w:t>2</w:t>
      </w:r>
      <w:r w:rsidRPr="00DF268E">
        <w:t xml:space="preserve"> –</w:t>
      </w:r>
      <w:r>
        <w:t xml:space="preserve"> pricing methodology</w:t>
      </w:r>
    </w:p>
    <w:p w:rsidR="00514994" w:rsidRPr="001E5109" w:rsidRDefault="00514994" w:rsidP="00514994">
      <w:r w:rsidRPr="001E5109">
        <w:t>Attachment 1</w:t>
      </w:r>
      <w:r>
        <w:t>3</w:t>
      </w:r>
      <w:r w:rsidRPr="001E5109">
        <w:t xml:space="preserve"> – </w:t>
      </w:r>
      <w:r>
        <w:t>pass through events</w:t>
      </w:r>
    </w:p>
    <w:p w:rsidR="00514994" w:rsidRPr="001E5109" w:rsidRDefault="00514994" w:rsidP="00514994">
      <w:r w:rsidRPr="001E5109">
        <w:t>Attachment 1</w:t>
      </w:r>
      <w:r>
        <w:t>4</w:t>
      </w:r>
      <w:r w:rsidRPr="001E5109">
        <w:t xml:space="preserve"> – </w:t>
      </w:r>
      <w:r>
        <w:t>negotiated services</w:t>
      </w:r>
    </w:p>
    <w:p w:rsidR="00514994" w:rsidRPr="0012445F" w:rsidRDefault="00514994" w:rsidP="00514994"/>
    <w:p w:rsidR="00613AB5" w:rsidRDefault="00613AB5" w:rsidP="00867C96">
      <w:pPr>
        <w:pStyle w:val="AERtitle2"/>
      </w:pPr>
    </w:p>
    <w:p w:rsidR="00EA1440" w:rsidRPr="009528E7" w:rsidRDefault="00EA1440" w:rsidP="00EA1440">
      <w:pPr>
        <w:pStyle w:val="UnnumberedHeading"/>
      </w:pPr>
      <w:bookmarkStart w:id="1" w:name="_Toc403125508"/>
      <w:bookmarkStart w:id="2" w:name="_Toc403403331"/>
      <w:bookmarkStart w:id="3" w:name="_Toc404160282"/>
      <w:r w:rsidRPr="009528E7">
        <w:lastRenderedPageBreak/>
        <w:t>Contents</w:t>
      </w:r>
      <w:bookmarkEnd w:id="1"/>
      <w:bookmarkEnd w:id="2"/>
      <w:bookmarkEnd w:id="3"/>
    </w:p>
    <w:sdt>
      <w:sdtPr>
        <w:rPr>
          <w:b w:val="0"/>
          <w:bCs w:val="0"/>
          <w:lang w:val="en-US" w:eastAsia="ja-JP"/>
        </w:rPr>
        <w:id w:val="1963686839"/>
        <w:docPartObj>
          <w:docPartGallery w:val="Table of Contents"/>
          <w:docPartUnique/>
        </w:docPartObj>
      </w:sdtPr>
      <w:sdtEndPr>
        <w:rPr>
          <w:lang w:val="en-AU" w:eastAsia="en-US"/>
        </w:rPr>
      </w:sdtEndPr>
      <w:sdtContent>
        <w:p w:rsidR="00514994" w:rsidRDefault="00EA1440">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sidRPr="00EA1440">
            <w:instrText xml:space="preserve"> TOC \o \h \z \u </w:instrText>
          </w:r>
          <w:r>
            <w:rPr>
              <w:lang w:val="en-US" w:eastAsia="ja-JP"/>
            </w:rPr>
            <w:fldChar w:fldCharType="separate"/>
          </w:r>
          <w:hyperlink w:anchor="_Toc404160282" w:history="1">
            <w:r w:rsidR="00514994" w:rsidRPr="007617A7">
              <w:rPr>
                <w:rStyle w:val="Hyperlink"/>
                <w:noProof/>
              </w:rPr>
              <w:t>Contents</w:t>
            </w:r>
            <w:r w:rsidR="00514994">
              <w:rPr>
                <w:noProof/>
                <w:webHidden/>
              </w:rPr>
              <w:tab/>
            </w:r>
            <w:r w:rsidR="00514994">
              <w:rPr>
                <w:noProof/>
                <w:webHidden/>
              </w:rPr>
              <w:fldChar w:fldCharType="begin"/>
            </w:r>
            <w:r w:rsidR="00514994">
              <w:rPr>
                <w:noProof/>
                <w:webHidden/>
              </w:rPr>
              <w:instrText xml:space="preserve"> PAGEREF _Toc404160282 \h </w:instrText>
            </w:r>
            <w:r w:rsidR="00514994">
              <w:rPr>
                <w:noProof/>
                <w:webHidden/>
              </w:rPr>
            </w:r>
            <w:r w:rsidR="00514994">
              <w:rPr>
                <w:noProof/>
                <w:webHidden/>
              </w:rPr>
              <w:fldChar w:fldCharType="separate"/>
            </w:r>
            <w:r w:rsidR="00514994">
              <w:rPr>
                <w:noProof/>
                <w:webHidden/>
              </w:rPr>
              <w:t>4</w:t>
            </w:r>
            <w:r w:rsidR="00514994">
              <w:rPr>
                <w:noProof/>
                <w:webHidden/>
              </w:rPr>
              <w:fldChar w:fldCharType="end"/>
            </w:r>
          </w:hyperlink>
        </w:p>
        <w:p w:rsidR="00514994" w:rsidRDefault="00A00B2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60283" w:history="1">
            <w:r w:rsidR="00514994" w:rsidRPr="007617A7">
              <w:rPr>
                <w:rStyle w:val="Hyperlink"/>
                <w:noProof/>
              </w:rPr>
              <w:t>Shortened forms</w:t>
            </w:r>
            <w:r w:rsidR="00514994">
              <w:rPr>
                <w:noProof/>
                <w:webHidden/>
              </w:rPr>
              <w:tab/>
            </w:r>
            <w:r w:rsidR="00514994">
              <w:rPr>
                <w:noProof/>
                <w:webHidden/>
              </w:rPr>
              <w:fldChar w:fldCharType="begin"/>
            </w:r>
            <w:r w:rsidR="00514994">
              <w:rPr>
                <w:noProof/>
                <w:webHidden/>
              </w:rPr>
              <w:instrText xml:space="preserve"> PAGEREF _Toc404160283 \h </w:instrText>
            </w:r>
            <w:r w:rsidR="00514994">
              <w:rPr>
                <w:noProof/>
                <w:webHidden/>
              </w:rPr>
            </w:r>
            <w:r w:rsidR="00514994">
              <w:rPr>
                <w:noProof/>
                <w:webHidden/>
              </w:rPr>
              <w:fldChar w:fldCharType="separate"/>
            </w:r>
            <w:r w:rsidR="00514994">
              <w:rPr>
                <w:noProof/>
                <w:webHidden/>
              </w:rPr>
              <w:t>5</w:t>
            </w:r>
            <w:r w:rsidR="00514994">
              <w:rPr>
                <w:noProof/>
                <w:webHidden/>
              </w:rPr>
              <w:fldChar w:fldCharType="end"/>
            </w:r>
          </w:hyperlink>
        </w:p>
        <w:p w:rsidR="00514994" w:rsidRDefault="00A00B2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60284" w:history="1">
            <w:r w:rsidR="00514994" w:rsidRPr="007617A7">
              <w:rPr>
                <w:rStyle w:val="Hyperlink"/>
                <w:noProof/>
              </w:rPr>
              <w:t>9</w:t>
            </w:r>
            <w:r w:rsidR="00514994">
              <w:rPr>
                <w:rFonts w:asciiTheme="minorHAnsi" w:eastAsiaTheme="minorEastAsia" w:hAnsiTheme="minorHAnsi" w:cstheme="minorBidi"/>
                <w:b w:val="0"/>
                <w:bCs w:val="0"/>
                <w:noProof/>
                <w:sz w:val="22"/>
                <w:szCs w:val="22"/>
                <w:lang w:eastAsia="en-AU"/>
              </w:rPr>
              <w:tab/>
            </w:r>
            <w:r w:rsidR="00514994" w:rsidRPr="007617A7">
              <w:rPr>
                <w:rStyle w:val="Hyperlink"/>
                <w:noProof/>
              </w:rPr>
              <w:t>Efficiency benefit sharing scheme</w:t>
            </w:r>
            <w:r w:rsidR="00514994">
              <w:rPr>
                <w:noProof/>
                <w:webHidden/>
              </w:rPr>
              <w:tab/>
            </w:r>
            <w:r w:rsidR="00514994">
              <w:rPr>
                <w:noProof/>
                <w:webHidden/>
              </w:rPr>
              <w:fldChar w:fldCharType="begin"/>
            </w:r>
            <w:r w:rsidR="00514994">
              <w:rPr>
                <w:noProof/>
                <w:webHidden/>
              </w:rPr>
              <w:instrText xml:space="preserve"> PAGEREF _Toc404160284 \h </w:instrText>
            </w:r>
            <w:r w:rsidR="00514994">
              <w:rPr>
                <w:noProof/>
                <w:webHidden/>
              </w:rPr>
            </w:r>
            <w:r w:rsidR="00514994">
              <w:rPr>
                <w:noProof/>
                <w:webHidden/>
              </w:rPr>
              <w:fldChar w:fldCharType="separate"/>
            </w:r>
            <w:r w:rsidR="00514994">
              <w:rPr>
                <w:noProof/>
                <w:webHidden/>
              </w:rPr>
              <w:t>7</w:t>
            </w:r>
            <w:r w:rsidR="00514994">
              <w:rPr>
                <w:noProof/>
                <w:webHidden/>
              </w:rPr>
              <w:fldChar w:fldCharType="end"/>
            </w:r>
          </w:hyperlink>
        </w:p>
        <w:p w:rsidR="00514994" w:rsidRDefault="00A00B2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60285" w:history="1">
            <w:r w:rsidR="00514994" w:rsidRPr="007617A7">
              <w:rPr>
                <w:rStyle w:val="Hyperlink"/>
                <w:noProof/>
              </w:rPr>
              <w:t>9.1</w:t>
            </w:r>
            <w:r w:rsidR="00514994">
              <w:rPr>
                <w:rFonts w:asciiTheme="minorHAnsi" w:eastAsiaTheme="minorEastAsia" w:hAnsiTheme="minorHAnsi" w:cstheme="minorBidi"/>
                <w:iCs w:val="0"/>
                <w:noProof/>
                <w:sz w:val="22"/>
                <w:szCs w:val="22"/>
                <w:lang w:eastAsia="en-AU"/>
              </w:rPr>
              <w:tab/>
            </w:r>
            <w:r w:rsidR="00514994" w:rsidRPr="007617A7">
              <w:rPr>
                <w:rStyle w:val="Hyperlink"/>
                <w:noProof/>
              </w:rPr>
              <w:t>Draft decision</w:t>
            </w:r>
            <w:r w:rsidR="00514994">
              <w:rPr>
                <w:noProof/>
                <w:webHidden/>
              </w:rPr>
              <w:tab/>
            </w:r>
            <w:r w:rsidR="00514994">
              <w:rPr>
                <w:noProof/>
                <w:webHidden/>
              </w:rPr>
              <w:fldChar w:fldCharType="begin"/>
            </w:r>
            <w:r w:rsidR="00514994">
              <w:rPr>
                <w:noProof/>
                <w:webHidden/>
              </w:rPr>
              <w:instrText xml:space="preserve"> PAGEREF _Toc404160285 \h </w:instrText>
            </w:r>
            <w:r w:rsidR="00514994">
              <w:rPr>
                <w:noProof/>
                <w:webHidden/>
              </w:rPr>
            </w:r>
            <w:r w:rsidR="00514994">
              <w:rPr>
                <w:noProof/>
                <w:webHidden/>
              </w:rPr>
              <w:fldChar w:fldCharType="separate"/>
            </w:r>
            <w:r w:rsidR="00514994">
              <w:rPr>
                <w:noProof/>
                <w:webHidden/>
              </w:rPr>
              <w:t>7</w:t>
            </w:r>
            <w:r w:rsidR="00514994">
              <w:rPr>
                <w:noProof/>
                <w:webHidden/>
              </w:rPr>
              <w:fldChar w:fldCharType="end"/>
            </w:r>
          </w:hyperlink>
        </w:p>
        <w:p w:rsidR="00514994" w:rsidRDefault="00A00B2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60286" w:history="1">
            <w:r w:rsidR="00514994" w:rsidRPr="007617A7">
              <w:rPr>
                <w:rStyle w:val="Hyperlink"/>
                <w:noProof/>
              </w:rPr>
              <w:t>9.2</w:t>
            </w:r>
            <w:r w:rsidR="00514994">
              <w:rPr>
                <w:rFonts w:asciiTheme="minorHAnsi" w:eastAsiaTheme="minorEastAsia" w:hAnsiTheme="minorHAnsi" w:cstheme="minorBidi"/>
                <w:iCs w:val="0"/>
                <w:noProof/>
                <w:sz w:val="22"/>
                <w:szCs w:val="22"/>
                <w:lang w:eastAsia="en-AU"/>
              </w:rPr>
              <w:tab/>
            </w:r>
            <w:r w:rsidR="00514994" w:rsidRPr="007617A7">
              <w:rPr>
                <w:rStyle w:val="Hyperlink"/>
                <w:noProof/>
              </w:rPr>
              <w:t>Proposal</w:t>
            </w:r>
            <w:r w:rsidR="00514994">
              <w:rPr>
                <w:noProof/>
                <w:webHidden/>
              </w:rPr>
              <w:tab/>
            </w:r>
            <w:r w:rsidR="00514994">
              <w:rPr>
                <w:noProof/>
                <w:webHidden/>
              </w:rPr>
              <w:fldChar w:fldCharType="begin"/>
            </w:r>
            <w:r w:rsidR="00514994">
              <w:rPr>
                <w:noProof/>
                <w:webHidden/>
              </w:rPr>
              <w:instrText xml:space="preserve"> PAGEREF _Toc404160286 \h </w:instrText>
            </w:r>
            <w:r w:rsidR="00514994">
              <w:rPr>
                <w:noProof/>
                <w:webHidden/>
              </w:rPr>
            </w:r>
            <w:r w:rsidR="00514994">
              <w:rPr>
                <w:noProof/>
                <w:webHidden/>
              </w:rPr>
              <w:fldChar w:fldCharType="separate"/>
            </w:r>
            <w:r w:rsidR="00514994">
              <w:rPr>
                <w:noProof/>
                <w:webHidden/>
              </w:rPr>
              <w:t>8</w:t>
            </w:r>
            <w:r w:rsidR="00514994">
              <w:rPr>
                <w:noProof/>
                <w:webHidden/>
              </w:rPr>
              <w:fldChar w:fldCharType="end"/>
            </w:r>
          </w:hyperlink>
        </w:p>
        <w:p w:rsidR="00514994" w:rsidRDefault="00A00B2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60287" w:history="1">
            <w:r w:rsidR="00514994" w:rsidRPr="007617A7">
              <w:rPr>
                <w:rStyle w:val="Hyperlink"/>
                <w:noProof/>
              </w:rPr>
              <w:t>9.3</w:t>
            </w:r>
            <w:r w:rsidR="00514994">
              <w:rPr>
                <w:rFonts w:asciiTheme="minorHAnsi" w:eastAsiaTheme="minorEastAsia" w:hAnsiTheme="minorHAnsi" w:cstheme="minorBidi"/>
                <w:iCs w:val="0"/>
                <w:noProof/>
                <w:sz w:val="22"/>
                <w:szCs w:val="22"/>
                <w:lang w:eastAsia="en-AU"/>
              </w:rPr>
              <w:tab/>
            </w:r>
            <w:r w:rsidR="00514994" w:rsidRPr="007617A7">
              <w:rPr>
                <w:rStyle w:val="Hyperlink"/>
                <w:noProof/>
              </w:rPr>
              <w:t>Assessment approach</w:t>
            </w:r>
            <w:r w:rsidR="00514994">
              <w:rPr>
                <w:noProof/>
                <w:webHidden/>
              </w:rPr>
              <w:tab/>
            </w:r>
            <w:r w:rsidR="00514994">
              <w:rPr>
                <w:noProof/>
                <w:webHidden/>
              </w:rPr>
              <w:fldChar w:fldCharType="begin"/>
            </w:r>
            <w:r w:rsidR="00514994">
              <w:rPr>
                <w:noProof/>
                <w:webHidden/>
              </w:rPr>
              <w:instrText xml:space="preserve"> PAGEREF _Toc404160287 \h </w:instrText>
            </w:r>
            <w:r w:rsidR="00514994">
              <w:rPr>
                <w:noProof/>
                <w:webHidden/>
              </w:rPr>
            </w:r>
            <w:r w:rsidR="00514994">
              <w:rPr>
                <w:noProof/>
                <w:webHidden/>
              </w:rPr>
              <w:fldChar w:fldCharType="separate"/>
            </w:r>
            <w:r w:rsidR="00514994">
              <w:rPr>
                <w:noProof/>
                <w:webHidden/>
              </w:rPr>
              <w:t>9</w:t>
            </w:r>
            <w:r w:rsidR="00514994">
              <w:rPr>
                <w:noProof/>
                <w:webHidden/>
              </w:rPr>
              <w:fldChar w:fldCharType="end"/>
            </w:r>
          </w:hyperlink>
        </w:p>
        <w:p w:rsidR="00514994" w:rsidRDefault="00A00B2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60288" w:history="1">
            <w:r w:rsidR="00514994" w:rsidRPr="007617A7">
              <w:rPr>
                <w:rStyle w:val="Hyperlink"/>
                <w:noProof/>
              </w:rPr>
              <w:t>9.4</w:t>
            </w:r>
            <w:r w:rsidR="00514994">
              <w:rPr>
                <w:rFonts w:asciiTheme="minorHAnsi" w:eastAsiaTheme="minorEastAsia" w:hAnsiTheme="minorHAnsi" w:cstheme="minorBidi"/>
                <w:iCs w:val="0"/>
                <w:noProof/>
                <w:sz w:val="22"/>
                <w:szCs w:val="22"/>
                <w:lang w:eastAsia="en-AU"/>
              </w:rPr>
              <w:tab/>
            </w:r>
            <w:r w:rsidR="00514994" w:rsidRPr="007617A7">
              <w:rPr>
                <w:rStyle w:val="Hyperlink"/>
                <w:noProof/>
              </w:rPr>
              <w:t>Interrelationships</w:t>
            </w:r>
            <w:r w:rsidR="00514994">
              <w:rPr>
                <w:noProof/>
                <w:webHidden/>
              </w:rPr>
              <w:tab/>
            </w:r>
            <w:r w:rsidR="00514994">
              <w:rPr>
                <w:noProof/>
                <w:webHidden/>
              </w:rPr>
              <w:fldChar w:fldCharType="begin"/>
            </w:r>
            <w:r w:rsidR="00514994">
              <w:rPr>
                <w:noProof/>
                <w:webHidden/>
              </w:rPr>
              <w:instrText xml:space="preserve"> PAGEREF _Toc404160288 \h </w:instrText>
            </w:r>
            <w:r w:rsidR="00514994">
              <w:rPr>
                <w:noProof/>
                <w:webHidden/>
              </w:rPr>
            </w:r>
            <w:r w:rsidR="00514994">
              <w:rPr>
                <w:noProof/>
                <w:webHidden/>
              </w:rPr>
              <w:fldChar w:fldCharType="separate"/>
            </w:r>
            <w:r w:rsidR="00514994">
              <w:rPr>
                <w:noProof/>
                <w:webHidden/>
              </w:rPr>
              <w:t>9</w:t>
            </w:r>
            <w:r w:rsidR="00514994">
              <w:rPr>
                <w:noProof/>
                <w:webHidden/>
              </w:rPr>
              <w:fldChar w:fldCharType="end"/>
            </w:r>
          </w:hyperlink>
        </w:p>
        <w:p w:rsidR="00514994" w:rsidRDefault="00A00B2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60289" w:history="1">
            <w:r w:rsidR="00514994" w:rsidRPr="007617A7">
              <w:rPr>
                <w:rStyle w:val="Hyperlink"/>
                <w:noProof/>
              </w:rPr>
              <w:t>9.5</w:t>
            </w:r>
            <w:r w:rsidR="00514994">
              <w:rPr>
                <w:rFonts w:asciiTheme="minorHAnsi" w:eastAsiaTheme="minorEastAsia" w:hAnsiTheme="minorHAnsi" w:cstheme="minorBidi"/>
                <w:iCs w:val="0"/>
                <w:noProof/>
                <w:sz w:val="22"/>
                <w:szCs w:val="22"/>
                <w:lang w:eastAsia="en-AU"/>
              </w:rPr>
              <w:tab/>
            </w:r>
            <w:r w:rsidR="00514994" w:rsidRPr="007617A7">
              <w:rPr>
                <w:rStyle w:val="Hyperlink"/>
                <w:noProof/>
              </w:rPr>
              <w:t>Reasons for draft decision</w:t>
            </w:r>
            <w:r w:rsidR="00514994">
              <w:rPr>
                <w:noProof/>
                <w:webHidden/>
              </w:rPr>
              <w:tab/>
            </w:r>
            <w:r w:rsidR="00514994">
              <w:rPr>
                <w:noProof/>
                <w:webHidden/>
              </w:rPr>
              <w:fldChar w:fldCharType="begin"/>
            </w:r>
            <w:r w:rsidR="00514994">
              <w:rPr>
                <w:noProof/>
                <w:webHidden/>
              </w:rPr>
              <w:instrText xml:space="preserve"> PAGEREF _Toc404160289 \h </w:instrText>
            </w:r>
            <w:r w:rsidR="00514994">
              <w:rPr>
                <w:noProof/>
                <w:webHidden/>
              </w:rPr>
            </w:r>
            <w:r w:rsidR="00514994">
              <w:rPr>
                <w:noProof/>
                <w:webHidden/>
              </w:rPr>
              <w:fldChar w:fldCharType="separate"/>
            </w:r>
            <w:r w:rsidR="00514994">
              <w:rPr>
                <w:noProof/>
                <w:webHidden/>
              </w:rPr>
              <w:t>10</w:t>
            </w:r>
            <w:r w:rsidR="00514994">
              <w:rPr>
                <w:noProof/>
                <w:webHidden/>
              </w:rPr>
              <w:fldChar w:fldCharType="end"/>
            </w:r>
          </w:hyperlink>
        </w:p>
        <w:p w:rsidR="00514994" w:rsidRDefault="00A00B2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60290" w:history="1">
            <w:r w:rsidR="00514994" w:rsidRPr="007617A7">
              <w:rPr>
                <w:rStyle w:val="Hyperlink"/>
                <w:noProof/>
              </w:rPr>
              <w:t>9.5.1</w:t>
            </w:r>
            <w:r w:rsidR="00514994">
              <w:rPr>
                <w:rFonts w:asciiTheme="minorHAnsi" w:eastAsiaTheme="minorEastAsia" w:hAnsiTheme="minorHAnsi" w:cstheme="minorBidi"/>
                <w:noProof/>
                <w:sz w:val="22"/>
                <w:szCs w:val="22"/>
                <w:lang w:eastAsia="en-AU"/>
              </w:rPr>
              <w:tab/>
            </w:r>
            <w:r w:rsidR="00514994" w:rsidRPr="007617A7">
              <w:rPr>
                <w:rStyle w:val="Hyperlink"/>
                <w:noProof/>
              </w:rPr>
              <w:t>Carryover amounts from the 2009–14 regulatory control period</w:t>
            </w:r>
            <w:r w:rsidR="00514994">
              <w:rPr>
                <w:noProof/>
                <w:webHidden/>
              </w:rPr>
              <w:tab/>
            </w:r>
            <w:r w:rsidR="00514994">
              <w:rPr>
                <w:noProof/>
                <w:webHidden/>
              </w:rPr>
              <w:fldChar w:fldCharType="begin"/>
            </w:r>
            <w:r w:rsidR="00514994">
              <w:rPr>
                <w:noProof/>
                <w:webHidden/>
              </w:rPr>
              <w:instrText xml:space="preserve"> PAGEREF _Toc404160290 \h </w:instrText>
            </w:r>
            <w:r w:rsidR="00514994">
              <w:rPr>
                <w:noProof/>
                <w:webHidden/>
              </w:rPr>
            </w:r>
            <w:r w:rsidR="00514994">
              <w:rPr>
                <w:noProof/>
                <w:webHidden/>
              </w:rPr>
              <w:fldChar w:fldCharType="separate"/>
            </w:r>
            <w:r w:rsidR="00514994">
              <w:rPr>
                <w:noProof/>
                <w:webHidden/>
              </w:rPr>
              <w:t>10</w:t>
            </w:r>
            <w:r w:rsidR="00514994">
              <w:rPr>
                <w:noProof/>
                <w:webHidden/>
              </w:rPr>
              <w:fldChar w:fldCharType="end"/>
            </w:r>
          </w:hyperlink>
        </w:p>
        <w:p w:rsidR="00514994" w:rsidRDefault="00A00B2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60291" w:history="1">
            <w:r w:rsidR="00514994" w:rsidRPr="007617A7">
              <w:rPr>
                <w:rStyle w:val="Hyperlink"/>
                <w:noProof/>
              </w:rPr>
              <w:t>9.5.2</w:t>
            </w:r>
            <w:r w:rsidR="00514994">
              <w:rPr>
                <w:rFonts w:asciiTheme="minorHAnsi" w:eastAsiaTheme="minorEastAsia" w:hAnsiTheme="minorHAnsi" w:cstheme="minorBidi"/>
                <w:noProof/>
                <w:sz w:val="22"/>
                <w:szCs w:val="22"/>
                <w:lang w:eastAsia="en-AU"/>
              </w:rPr>
              <w:tab/>
            </w:r>
            <w:r w:rsidR="00514994" w:rsidRPr="007617A7">
              <w:rPr>
                <w:rStyle w:val="Hyperlink"/>
                <w:noProof/>
              </w:rPr>
              <w:t>How the EBSS will apply in the 2014–19 period</w:t>
            </w:r>
            <w:r w:rsidR="00514994">
              <w:rPr>
                <w:noProof/>
                <w:webHidden/>
              </w:rPr>
              <w:tab/>
            </w:r>
            <w:r w:rsidR="00514994">
              <w:rPr>
                <w:noProof/>
                <w:webHidden/>
              </w:rPr>
              <w:fldChar w:fldCharType="begin"/>
            </w:r>
            <w:r w:rsidR="00514994">
              <w:rPr>
                <w:noProof/>
                <w:webHidden/>
              </w:rPr>
              <w:instrText xml:space="preserve"> PAGEREF _Toc404160291 \h </w:instrText>
            </w:r>
            <w:r w:rsidR="00514994">
              <w:rPr>
                <w:noProof/>
                <w:webHidden/>
              </w:rPr>
            </w:r>
            <w:r w:rsidR="00514994">
              <w:rPr>
                <w:noProof/>
                <w:webHidden/>
              </w:rPr>
              <w:fldChar w:fldCharType="separate"/>
            </w:r>
            <w:r w:rsidR="00514994">
              <w:rPr>
                <w:noProof/>
                <w:webHidden/>
              </w:rPr>
              <w:t>11</w:t>
            </w:r>
            <w:r w:rsidR="00514994">
              <w:rPr>
                <w:noProof/>
                <w:webHidden/>
              </w:rPr>
              <w:fldChar w:fldCharType="end"/>
            </w:r>
          </w:hyperlink>
        </w:p>
        <w:p w:rsidR="00EA1440" w:rsidRDefault="00EA1440">
          <w:pPr>
            <w:spacing w:after="0" w:line="240" w:lineRule="auto"/>
            <w:jc w:val="left"/>
            <w:rPr>
              <w:rFonts w:eastAsia="Times New Roman"/>
              <w:sz w:val="32"/>
              <w:szCs w:val="24"/>
            </w:rPr>
          </w:pPr>
          <w:r>
            <w:fldChar w:fldCharType="end"/>
          </w:r>
        </w:p>
      </w:sdtContent>
    </w:sdt>
    <w:p w:rsidR="00EA1440" w:rsidRDefault="00EA1440">
      <w:pPr>
        <w:spacing w:after="0" w:line="240" w:lineRule="auto"/>
        <w:jc w:val="left"/>
        <w:rPr>
          <w:rFonts w:eastAsia="Times New Roman"/>
          <w:sz w:val="32"/>
          <w:szCs w:val="24"/>
        </w:rPr>
      </w:pPr>
      <w:r>
        <w:br w:type="page"/>
      </w:r>
    </w:p>
    <w:p w:rsidR="00EA1440" w:rsidRDefault="00EA1440" w:rsidP="00EA1440">
      <w:pPr>
        <w:pStyle w:val="UnnumberedHeading"/>
      </w:pPr>
      <w:bookmarkStart w:id="4" w:name="_Toc402981661"/>
      <w:bookmarkStart w:id="5" w:name="_Toc403403332"/>
      <w:bookmarkStart w:id="6" w:name="_Toc404160283"/>
      <w:r>
        <w:lastRenderedPageBreak/>
        <w:t>Shortened forms</w:t>
      </w:r>
      <w:bookmarkEnd w:id="4"/>
      <w:bookmarkEnd w:id="5"/>
      <w:bookmarkEnd w:id="6"/>
    </w:p>
    <w:tbl>
      <w:tblPr>
        <w:tblStyle w:val="AERtable-numbers"/>
        <w:tblW w:w="0" w:type="auto"/>
        <w:tblLook w:val="04A0" w:firstRow="1" w:lastRow="0" w:firstColumn="1" w:lastColumn="0" w:noHBand="0" w:noVBand="1"/>
      </w:tblPr>
      <w:tblGrid>
        <w:gridCol w:w="4621"/>
        <w:gridCol w:w="4621"/>
      </w:tblGrid>
      <w:tr w:rsidR="00B73047" w:rsidTr="001870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Shortened form</w:t>
            </w:r>
          </w:p>
        </w:tc>
        <w:tc>
          <w:tcPr>
            <w:tcW w:w="4621" w:type="dxa"/>
          </w:tcPr>
          <w:p w:rsidR="00B73047" w:rsidRDefault="00B73047" w:rsidP="002D530D">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AARR</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B9775F"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9775F" w:rsidRDefault="00B9775F" w:rsidP="002D530D">
            <w:pPr>
              <w:pStyle w:val="AERbodytext"/>
            </w:pPr>
            <w:r>
              <w:t>AASB</w:t>
            </w:r>
          </w:p>
        </w:tc>
        <w:tc>
          <w:tcPr>
            <w:tcW w:w="4621" w:type="dxa"/>
          </w:tcPr>
          <w:p w:rsidR="00B9775F" w:rsidRDefault="00B9775F" w:rsidP="002D530D">
            <w:pPr>
              <w:pStyle w:val="AERbodytext"/>
              <w:cnfStyle w:val="000000010000" w:firstRow="0" w:lastRow="0" w:firstColumn="0" w:lastColumn="0" w:oddVBand="0" w:evenVBand="0" w:oddHBand="0" w:evenHBand="1" w:firstRowFirstColumn="0" w:firstRowLastColumn="0" w:lastRowFirstColumn="0" w:lastRowLastColumn="0"/>
            </w:pPr>
            <w:r>
              <w:t>Australian Accounting Standards Board</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AEMC</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AEMO</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Australian Energy Market Operator</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AER</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Australian Energy Regulator</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ASRR</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aggregate service revenue requirement</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augex</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augmentation expenditure</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capex</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capital expenditure</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CCP</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Consumer Challenge Panel</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CESS</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capital expenditure sharing scheme</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CPI</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consumer price index</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DRP</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EBSS</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EMCa</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Energy Market Consulting associates</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ERP</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equity risk premium</w:t>
            </w:r>
          </w:p>
        </w:tc>
      </w:tr>
      <w:tr w:rsidR="00B9775F"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9775F" w:rsidRDefault="00B9775F" w:rsidP="002D530D">
            <w:pPr>
              <w:pStyle w:val="AERbodytext"/>
            </w:pPr>
            <w:r>
              <w:t>EUAA</w:t>
            </w:r>
          </w:p>
        </w:tc>
        <w:tc>
          <w:tcPr>
            <w:tcW w:w="4621" w:type="dxa"/>
          </w:tcPr>
          <w:p w:rsidR="00B9775F" w:rsidRDefault="00B9775F" w:rsidP="002D530D">
            <w:pPr>
              <w:pStyle w:val="AERbodytext"/>
              <w:cnfStyle w:val="000000010000" w:firstRow="0" w:lastRow="0" w:firstColumn="0" w:lastColumn="0" w:oddVBand="0" w:evenVBand="0" w:oddHBand="0" w:evenHBand="1" w:firstRowFirstColumn="0" w:firstRowLastColumn="0" w:lastRowFirstColumn="0" w:lastRowLastColumn="0"/>
            </w:pPr>
            <w:r>
              <w:t>Energy Users Association of Australia</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MAR</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maximum allowed revenue</w:t>
            </w:r>
          </w:p>
        </w:tc>
      </w:tr>
      <w:tr w:rsidR="00850784"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50784" w:rsidRDefault="00850784" w:rsidP="002D530D">
            <w:pPr>
              <w:pStyle w:val="AERbodytext"/>
            </w:pPr>
            <w:r>
              <w:t>MEU</w:t>
            </w:r>
          </w:p>
        </w:tc>
        <w:tc>
          <w:tcPr>
            <w:tcW w:w="4621" w:type="dxa"/>
          </w:tcPr>
          <w:p w:rsidR="00850784" w:rsidRDefault="00850784" w:rsidP="002D530D">
            <w:pPr>
              <w:pStyle w:val="AERbodytext"/>
              <w:cnfStyle w:val="000000010000" w:firstRow="0" w:lastRow="0" w:firstColumn="0" w:lastColumn="0" w:oddVBand="0" w:evenVBand="0" w:oddHBand="0" w:evenHBand="1" w:firstRowFirstColumn="0" w:firstRowLastColumn="0" w:lastRowFirstColumn="0" w:lastRowLastColumn="0"/>
            </w:pPr>
            <w:r>
              <w:t>Major Energy Users</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MJA</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Marsden Jacob Associates</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MRP</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market risk premium</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NEL</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national electricity law</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lastRenderedPageBreak/>
              <w:t>NEM</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national electricity market</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NEO</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national electricity objective</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NER</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national electricity rules</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NSP</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network service provider</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NTSC</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negotiated transmission service criteria</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opex</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PPI</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PTRM</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RAB</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RBA</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repex</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RFM</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RIN</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RPP</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SLCAPM</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STPIS</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TNSP</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transmission network service provider</w:t>
            </w:r>
          </w:p>
        </w:tc>
      </w:tr>
      <w:tr w:rsidR="00B73047" w:rsidTr="002D530D">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TUoS</w:t>
            </w:r>
          </w:p>
        </w:tc>
        <w:tc>
          <w:tcPr>
            <w:tcW w:w="4621" w:type="dxa"/>
          </w:tcPr>
          <w:p w:rsidR="00B73047" w:rsidRDefault="00B73047" w:rsidP="002D530D">
            <w:pPr>
              <w:pStyle w:val="AERbodytext"/>
              <w:cnfStyle w:val="000000000000" w:firstRow="0" w:lastRow="0" w:firstColumn="0" w:lastColumn="0" w:oddVBand="0" w:evenVBand="0" w:oddHBand="0" w:evenHBand="0" w:firstRowFirstColumn="0" w:firstRowLastColumn="0" w:lastRowFirstColumn="0" w:lastRowLastColumn="0"/>
            </w:pPr>
            <w:r>
              <w:t>transmission use of system</w:t>
            </w:r>
          </w:p>
        </w:tc>
      </w:tr>
      <w:tr w:rsidR="002D7BC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2D7BC7" w:rsidRDefault="002D7BC7" w:rsidP="002D530D">
            <w:pPr>
              <w:pStyle w:val="AERbodytext"/>
            </w:pPr>
            <w:r>
              <w:t>version one of the EBSS</w:t>
            </w:r>
          </w:p>
        </w:tc>
        <w:tc>
          <w:tcPr>
            <w:tcW w:w="4621" w:type="dxa"/>
          </w:tcPr>
          <w:p w:rsidR="002D7BC7" w:rsidRDefault="002D7BC7" w:rsidP="002D530D">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135689">
              <w:rPr>
                <w:rStyle w:val="AERtextitalic"/>
              </w:rPr>
              <w:t>Electricity transmission network service providers: Efficiency benefit sharing scheme</w:t>
            </w:r>
            <w:r>
              <w:t>, September 2007</w:t>
            </w:r>
          </w:p>
        </w:tc>
      </w:tr>
      <w:tr w:rsidR="002D7BC7" w:rsidTr="002D530D">
        <w:tc>
          <w:tcPr>
            <w:cnfStyle w:val="001000000000" w:firstRow="0" w:lastRow="0" w:firstColumn="1" w:lastColumn="0" w:oddVBand="0" w:evenVBand="0" w:oddHBand="0" w:evenHBand="0" w:firstRowFirstColumn="0" w:firstRowLastColumn="0" w:lastRowFirstColumn="0" w:lastRowLastColumn="0"/>
            <w:tcW w:w="4621" w:type="dxa"/>
          </w:tcPr>
          <w:p w:rsidR="002D7BC7" w:rsidRDefault="002D7BC7" w:rsidP="002D530D">
            <w:pPr>
              <w:pStyle w:val="AERbodytext"/>
            </w:pPr>
            <w:r>
              <w:t>version two of the EBSS</w:t>
            </w:r>
          </w:p>
        </w:tc>
        <w:tc>
          <w:tcPr>
            <w:tcW w:w="4621" w:type="dxa"/>
          </w:tcPr>
          <w:p w:rsidR="002D7BC7" w:rsidRDefault="002D7BC7" w:rsidP="002D530D">
            <w:pPr>
              <w:pStyle w:val="AERbodytext"/>
              <w:cnfStyle w:val="000000000000" w:firstRow="0" w:lastRow="0" w:firstColumn="0" w:lastColumn="0" w:oddVBand="0" w:evenVBand="0" w:oddHBand="0" w:evenHBand="0" w:firstRowFirstColumn="0" w:firstRowLastColumn="0" w:lastRowFirstColumn="0" w:lastRowLastColumn="0"/>
            </w:pPr>
            <w:r>
              <w:t xml:space="preserve">AER, </w:t>
            </w:r>
            <w:r w:rsidRPr="00EA74C7">
              <w:rPr>
                <w:rStyle w:val="AERtextitalic"/>
              </w:rPr>
              <w:t>Efficiency benefit sharing scheme for electricity network service providers</w:t>
            </w:r>
            <w:r>
              <w:t>, November 2013</w:t>
            </w:r>
          </w:p>
        </w:tc>
      </w:tr>
      <w:tr w:rsidR="00B73047" w:rsidTr="002D53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3047" w:rsidRDefault="00B73047" w:rsidP="002D530D">
            <w:pPr>
              <w:pStyle w:val="AERbodytext"/>
            </w:pPr>
            <w:r>
              <w:t>WACC</w:t>
            </w:r>
          </w:p>
        </w:tc>
        <w:tc>
          <w:tcPr>
            <w:tcW w:w="4621" w:type="dxa"/>
          </w:tcPr>
          <w:p w:rsidR="00B73047" w:rsidRDefault="00B73047" w:rsidP="002D530D">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867C96" w:rsidRDefault="00867C96" w:rsidP="00D35514"/>
    <w:p w:rsidR="00D35514" w:rsidRPr="00187042" w:rsidRDefault="00D35514" w:rsidP="00187042">
      <w:pPr>
        <w:pStyle w:val="Heading1"/>
      </w:pPr>
      <w:bookmarkStart w:id="7" w:name="_Toc404160284"/>
      <w:r w:rsidRPr="00187042">
        <w:lastRenderedPageBreak/>
        <w:t>Efficiency benefit sharing scheme</w:t>
      </w:r>
      <w:bookmarkEnd w:id="7"/>
    </w:p>
    <w:p w:rsidR="00764CC0" w:rsidRDefault="00764CC0" w:rsidP="00105BD2">
      <w:pPr>
        <w:pStyle w:val="AERbodytext"/>
        <w:rPr>
          <w:rStyle w:val="AERbody"/>
        </w:rPr>
      </w:pPr>
      <w:r w:rsidRPr="00BD6729">
        <w:rPr>
          <w:rStyle w:val="AERbody"/>
        </w:rPr>
        <w:t>The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p>
    <w:p w:rsidR="00105BD2" w:rsidRDefault="00764CC0" w:rsidP="00105BD2">
      <w:pPr>
        <w:pStyle w:val="AERbodytext"/>
      </w:pPr>
      <w:r>
        <w:t>It</w:t>
      </w:r>
      <w:r w:rsidR="00105BD2" w:rsidRPr="0095175F">
        <w:t xml:space="preserve"> is a key component of incentive regulation under the </w:t>
      </w:r>
      <w:r w:rsidR="00105BD2">
        <w:t>NER</w:t>
      </w:r>
      <w:r w:rsidR="00105BD2" w:rsidRPr="0095175F">
        <w:t xml:space="preserve">. Because opex is largely recurrent and predictable, opex in one period is generally a good indicator of opex in the next period. </w:t>
      </w:r>
      <w:r w:rsidR="00105BD2">
        <w:t>Where a service provider is relatively efficient, w</w:t>
      </w:r>
      <w:r w:rsidR="00105BD2" w:rsidRPr="0095175F">
        <w:t xml:space="preserve">e </w:t>
      </w:r>
      <w:r w:rsidR="00105BD2">
        <w:t>use the</w:t>
      </w:r>
      <w:r w:rsidR="00105BD2" w:rsidRPr="0095175F">
        <w:t xml:space="preserve"> actual opex </w:t>
      </w:r>
      <w:r w:rsidR="00105BD2">
        <w:t xml:space="preserve">it </w:t>
      </w:r>
      <w:r w:rsidR="00105BD2" w:rsidRPr="0095175F">
        <w:t xml:space="preserve">incurred in a base year of the regulatory control period to forecast opex for the next regulatory control period. </w:t>
      </w:r>
    </w:p>
    <w:p w:rsidR="00105BD2" w:rsidRDefault="00105BD2" w:rsidP="00105BD2">
      <w:pPr>
        <w:pStyle w:val="AERbodytext"/>
      </w:pPr>
      <w:r w:rsidRPr="0095175F">
        <w:t xml:space="preserve">To encourage </w:t>
      </w:r>
      <w:r>
        <w:t>a service provider</w:t>
      </w:r>
      <w:r w:rsidRPr="0095175F">
        <w:t xml:space="preserve"> to become more efficient </w:t>
      </w:r>
      <w:r>
        <w:t>it is allowed to keep any difference between its approved forecast and its actual opex during a regulatory control period</w:t>
      </w:r>
      <w:r w:rsidRPr="0095175F">
        <w:t xml:space="preserve">. </w:t>
      </w:r>
      <w:r>
        <w:t xml:space="preserve">This is supplemented by the </w:t>
      </w:r>
      <w:r w:rsidRPr="0095175F">
        <w:t>EBSS</w:t>
      </w:r>
      <w:r>
        <w:t xml:space="preserve"> which provides the service provider with an additional reward for any reductions in opex it makes and additional penalties for any increases in opex. In total these rewards and penalties work together to </w:t>
      </w:r>
      <w:r w:rsidRPr="00A86CDD">
        <w:t xml:space="preserve">provide a constant incentive </w:t>
      </w:r>
      <w:r>
        <w:t>for a service provider to</w:t>
      </w:r>
      <w:r w:rsidRPr="00A86CDD">
        <w:t xml:space="preserve"> pursue efficiency gains over </w:t>
      </w:r>
      <w:r>
        <w:t>the</w:t>
      </w:r>
      <w:r w:rsidRPr="00A86CDD">
        <w:t xml:space="preserve"> regulatory control period.</w:t>
      </w:r>
      <w:r w:rsidRPr="0028525B">
        <w:t xml:space="preserve"> </w:t>
      </w:r>
      <w:r>
        <w:t>The EBSS also discourages a service provider from incurring opex in the expected base year in order to receive a higher opex allowance in the following regulatory control period.</w:t>
      </w:r>
      <w:r>
        <w:rPr>
          <w:rStyle w:val="FootnoteReference"/>
        </w:rPr>
        <w:footnoteReference w:id="1"/>
      </w:r>
    </w:p>
    <w:p w:rsidR="00105BD2" w:rsidRDefault="00105BD2" w:rsidP="00105BD2">
      <w:pPr>
        <w:pStyle w:val="AERbodytext"/>
      </w:pPr>
      <w:r>
        <w:t>When a service provider is rewarded for making efficiency gains, c</w:t>
      </w:r>
      <w:r w:rsidRPr="0095175F">
        <w:t>onsumers benefit through lower prices in the next regulatory control period</w:t>
      </w:r>
      <w:r>
        <w:t>. This is because</w:t>
      </w:r>
      <w:r w:rsidRPr="0095175F">
        <w:t xml:space="preserve"> forecast opex in the next regulatory control period will reflect the </w:t>
      </w:r>
      <w:r>
        <w:t>service provider</w:t>
      </w:r>
      <w:r w:rsidRPr="0095175F">
        <w:t xml:space="preserve">'s lower level of opex in the current regulatory control period, </w:t>
      </w:r>
      <w:r>
        <w:t>and as a result,</w:t>
      </w:r>
      <w:r w:rsidRPr="0095175F">
        <w:t xml:space="preserve"> reg</w:t>
      </w:r>
      <w:r>
        <w:t xml:space="preserve">ulated prices will be lower. </w:t>
      </w:r>
    </w:p>
    <w:p w:rsidR="00D35514" w:rsidRDefault="00D35514" w:rsidP="00D35514">
      <w:pPr>
        <w:pStyle w:val="AERbodytext"/>
      </w:pPr>
      <w:r>
        <w:t>During the 2009–</w:t>
      </w:r>
      <w:r w:rsidRPr="00135689">
        <w:t xml:space="preserve">14 regulatory control period </w:t>
      </w:r>
      <w:r>
        <w:t xml:space="preserve">TasNetworks </w:t>
      </w:r>
      <w:r w:rsidRPr="00135689">
        <w:t xml:space="preserve">operated under the EBSS released in </w:t>
      </w:r>
      <w:r>
        <w:t>September 2007</w:t>
      </w:r>
      <w:r w:rsidRPr="00135689">
        <w:t xml:space="preserve"> for </w:t>
      </w:r>
      <w:r>
        <w:t>T</w:t>
      </w:r>
      <w:r w:rsidRPr="00135689">
        <w:t>NSPs</w:t>
      </w:r>
      <w:r w:rsidR="00801193">
        <w:t xml:space="preserve"> </w:t>
      </w:r>
      <w:r w:rsidR="0011041A">
        <w:t>(version one of the EBSS)</w:t>
      </w:r>
      <w:r w:rsidRPr="00135689">
        <w:t>.</w:t>
      </w:r>
      <w:r>
        <w:rPr>
          <w:rStyle w:val="FootnoteReference"/>
        </w:rPr>
        <w:footnoteReference w:id="2"/>
      </w:r>
      <w:r>
        <w:t xml:space="preserve"> In the 2014–19 period TasNetworks</w:t>
      </w:r>
      <w:r w:rsidRPr="00135689">
        <w:t xml:space="preserve"> will receive </w:t>
      </w:r>
      <w:r>
        <w:t xml:space="preserve">an adjustment to its revenue for carryover amounts from the application of </w:t>
      </w:r>
      <w:r w:rsidR="00722BFD">
        <w:t xml:space="preserve">this </w:t>
      </w:r>
      <w:r>
        <w:t>version of the EBSS.</w:t>
      </w:r>
    </w:p>
    <w:p w:rsidR="00D35514" w:rsidRDefault="00D35514" w:rsidP="00D35514">
      <w:pPr>
        <w:pStyle w:val="AERbodytext"/>
      </w:pPr>
      <w:r>
        <w:t>In November 2013 we released version two of the EBSS.</w:t>
      </w:r>
      <w:r>
        <w:rPr>
          <w:rStyle w:val="FootnoteReference"/>
        </w:rPr>
        <w:footnoteReference w:id="3"/>
      </w:r>
      <w:r>
        <w:t xml:space="preserve"> We </w:t>
      </w:r>
      <w:r w:rsidR="00526B44">
        <w:t xml:space="preserve">will </w:t>
      </w:r>
      <w:r>
        <w:t>apply this version of the EBSS to TasNetworks during the 2014–1</w:t>
      </w:r>
      <w:r w:rsidR="00105BD2">
        <w:t>9</w:t>
      </w:r>
      <w:r>
        <w:t xml:space="preserve"> period.</w:t>
      </w:r>
      <w:r w:rsidR="00C97D29">
        <w:rPr>
          <w:rStyle w:val="FootnoteReference"/>
        </w:rPr>
        <w:footnoteReference w:id="4"/>
      </w:r>
    </w:p>
    <w:p w:rsidR="00D35514" w:rsidRDefault="00D35514" w:rsidP="00D35514">
      <w:pPr>
        <w:pStyle w:val="Heading2"/>
      </w:pPr>
      <w:bookmarkStart w:id="8" w:name="_Toc404160285"/>
      <w:r w:rsidRPr="00B64598">
        <w:t>Draft decision</w:t>
      </w:r>
      <w:bookmarkEnd w:id="8"/>
    </w:p>
    <w:p w:rsidR="00D35514" w:rsidRDefault="00D35514" w:rsidP="00D35514">
      <w:pPr>
        <w:pStyle w:val="AERbodytext"/>
      </w:pPr>
      <w:r>
        <w:t>We are not</w:t>
      </w:r>
      <w:r w:rsidRPr="00BD4587">
        <w:t xml:space="preserve"> satisfied </w:t>
      </w:r>
      <w:r w:rsidR="001B69EB">
        <w:t>TasNetworks'</w:t>
      </w:r>
      <w:r>
        <w:t xml:space="preserve"> </w:t>
      </w:r>
      <w:r w:rsidRPr="00BD4587">
        <w:t xml:space="preserve">proposed EBSS carryover amounts comply with the requirements </w:t>
      </w:r>
      <w:r w:rsidR="00287C97">
        <w:t>of</w:t>
      </w:r>
      <w:r w:rsidR="00287C97" w:rsidRPr="00BD4587">
        <w:t xml:space="preserve"> </w:t>
      </w:r>
      <w:r w:rsidRPr="00BD4587">
        <w:t>the EBSS</w:t>
      </w:r>
      <w:r w:rsidR="002F3CF7" w:rsidRPr="002F3CF7">
        <w:t xml:space="preserve"> </w:t>
      </w:r>
      <w:r w:rsidR="002F3CF7">
        <w:t xml:space="preserve">that applied </w:t>
      </w:r>
      <w:r w:rsidR="002F3CF7" w:rsidRPr="00BD4587">
        <w:t>during 2009–14 regulatory control period</w:t>
      </w:r>
      <w:r w:rsidRPr="00BD4587">
        <w:t xml:space="preserve">. We consider that the carryover amounts in </w:t>
      </w:r>
      <w:r w:rsidR="00EF1CCC">
        <w:fldChar w:fldCharType="begin"/>
      </w:r>
      <w:r w:rsidR="00EF1CCC">
        <w:instrText xml:space="preserve"> REF _Ref398823557 \h </w:instrText>
      </w:r>
      <w:r w:rsidR="00EF1CCC">
        <w:fldChar w:fldCharType="separate"/>
      </w:r>
      <w:r w:rsidR="004D6E39">
        <w:t xml:space="preserve">Table </w:t>
      </w:r>
      <w:r w:rsidR="004D6E39">
        <w:rPr>
          <w:noProof/>
        </w:rPr>
        <w:t>9</w:t>
      </w:r>
      <w:r w:rsidR="004D6E39">
        <w:t>.</w:t>
      </w:r>
      <w:r w:rsidR="004D6E39">
        <w:rPr>
          <w:noProof/>
        </w:rPr>
        <w:t>1</w:t>
      </w:r>
      <w:r w:rsidR="00EF1CCC">
        <w:fldChar w:fldCharType="end"/>
      </w:r>
      <w:r w:rsidR="00EF1CCC">
        <w:t xml:space="preserve"> </w:t>
      </w:r>
      <w:r w:rsidRPr="00BD4587">
        <w:t xml:space="preserve">comply </w:t>
      </w:r>
      <w:r>
        <w:t>with the relevant requirements.</w:t>
      </w:r>
    </w:p>
    <w:p w:rsidR="00D35514" w:rsidRDefault="00D35514" w:rsidP="00D35514">
      <w:pPr>
        <w:pStyle w:val="Caption"/>
      </w:pPr>
      <w:bookmarkStart w:id="9" w:name="_Ref398823557"/>
      <w:r>
        <w:t xml:space="preserve">Table </w:t>
      </w:r>
      <w:r w:rsidR="00A00B2F">
        <w:fldChar w:fldCharType="begin"/>
      </w:r>
      <w:r w:rsidR="00A00B2F">
        <w:instrText xml:space="preserve"> STYLEREF 1 \s </w:instrText>
      </w:r>
      <w:r w:rsidR="00A00B2F">
        <w:fldChar w:fldCharType="separate"/>
      </w:r>
      <w:r w:rsidR="004D6E39">
        <w:rPr>
          <w:noProof/>
        </w:rPr>
        <w:t>9</w:t>
      </w:r>
      <w:r w:rsidR="00A00B2F">
        <w:rPr>
          <w:noProof/>
        </w:rPr>
        <w:fldChar w:fldCharType="end"/>
      </w:r>
      <w:r w:rsidR="00722BFD">
        <w:t>.</w:t>
      </w:r>
      <w:r w:rsidR="00A00B2F">
        <w:fldChar w:fldCharType="begin"/>
      </w:r>
      <w:r w:rsidR="00A00B2F">
        <w:instrText xml:space="preserve"> SEQ Table \* ARABIC \s 1 </w:instrText>
      </w:r>
      <w:r w:rsidR="00A00B2F">
        <w:fldChar w:fldCharType="separate"/>
      </w:r>
      <w:r w:rsidR="004D6E39">
        <w:rPr>
          <w:noProof/>
        </w:rPr>
        <w:t>1</w:t>
      </w:r>
      <w:r w:rsidR="00A00B2F">
        <w:rPr>
          <w:noProof/>
        </w:rPr>
        <w:fldChar w:fldCharType="end"/>
      </w:r>
      <w:bookmarkEnd w:id="9"/>
      <w:r>
        <w:tab/>
        <w:t xml:space="preserve">AER’s draft </w:t>
      </w:r>
      <w:r w:rsidRPr="00A3346F">
        <w:t xml:space="preserve">decision on </w:t>
      </w:r>
      <w:r w:rsidR="001B69EB">
        <w:t>TasNetworks'</w:t>
      </w:r>
      <w:r w:rsidRPr="00A3346F">
        <w:t xml:space="preserve"> </w:t>
      </w:r>
      <w:r>
        <w:t>carryover amounts ($ million, 2013–14)</w:t>
      </w:r>
    </w:p>
    <w:tbl>
      <w:tblPr>
        <w:tblStyle w:val="AERtable-numbers"/>
        <w:tblW w:w="0" w:type="auto"/>
        <w:tblLook w:val="04A0" w:firstRow="1" w:lastRow="0" w:firstColumn="1" w:lastColumn="0" w:noHBand="0" w:noVBand="1"/>
      </w:tblPr>
      <w:tblGrid>
        <w:gridCol w:w="2802"/>
        <w:gridCol w:w="1073"/>
        <w:gridCol w:w="1073"/>
        <w:gridCol w:w="1074"/>
        <w:gridCol w:w="1073"/>
        <w:gridCol w:w="1073"/>
        <w:gridCol w:w="1074"/>
      </w:tblGrid>
      <w:tr w:rsidR="00D35514" w:rsidTr="005149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35514" w:rsidRDefault="00D35514" w:rsidP="00D35514">
            <w:pPr>
              <w:pStyle w:val="AERtabletextleft"/>
            </w:pPr>
          </w:p>
        </w:tc>
        <w:tc>
          <w:tcPr>
            <w:tcW w:w="1073" w:type="dxa"/>
          </w:tcPr>
          <w:p w:rsidR="00D35514" w:rsidRPr="00D35514" w:rsidRDefault="00D35514" w:rsidP="00D35514">
            <w:pPr>
              <w:pStyle w:val="AERtabletextright"/>
              <w:cnfStyle w:val="100000000000" w:firstRow="1" w:lastRow="0" w:firstColumn="0" w:lastColumn="0" w:oddVBand="0" w:evenVBand="0" w:oddHBand="0" w:evenHBand="0" w:firstRowFirstColumn="0" w:firstRowLastColumn="0" w:lastRowFirstColumn="0" w:lastRowLastColumn="0"/>
            </w:pPr>
            <w:r w:rsidRPr="005B7AD2">
              <w:t>2014</w:t>
            </w:r>
            <w:r w:rsidRPr="00D35514">
              <w:t>–15</w:t>
            </w:r>
          </w:p>
        </w:tc>
        <w:tc>
          <w:tcPr>
            <w:tcW w:w="1073" w:type="dxa"/>
          </w:tcPr>
          <w:p w:rsidR="00D35514" w:rsidRPr="00D35514" w:rsidRDefault="00D35514" w:rsidP="00D35514">
            <w:pPr>
              <w:pStyle w:val="AERtabletextright"/>
              <w:cnfStyle w:val="100000000000" w:firstRow="1" w:lastRow="0" w:firstColumn="0" w:lastColumn="0" w:oddVBand="0" w:evenVBand="0" w:oddHBand="0" w:evenHBand="0" w:firstRowFirstColumn="0" w:firstRowLastColumn="0" w:lastRowFirstColumn="0" w:lastRowLastColumn="0"/>
            </w:pPr>
            <w:r>
              <w:t>2015</w:t>
            </w:r>
            <w:r w:rsidRPr="00D35514">
              <w:t>–16</w:t>
            </w:r>
          </w:p>
        </w:tc>
        <w:tc>
          <w:tcPr>
            <w:tcW w:w="1074" w:type="dxa"/>
          </w:tcPr>
          <w:p w:rsidR="00D35514" w:rsidRPr="00D35514" w:rsidRDefault="00D35514" w:rsidP="00D35514">
            <w:pPr>
              <w:pStyle w:val="AERtabletextright"/>
              <w:cnfStyle w:val="100000000000" w:firstRow="1" w:lastRow="0" w:firstColumn="0" w:lastColumn="0" w:oddVBand="0" w:evenVBand="0" w:oddHBand="0" w:evenHBand="0" w:firstRowFirstColumn="0" w:firstRowLastColumn="0" w:lastRowFirstColumn="0" w:lastRowLastColumn="0"/>
            </w:pPr>
            <w:r>
              <w:t>2016</w:t>
            </w:r>
            <w:r w:rsidRPr="00D35514">
              <w:t>–17</w:t>
            </w:r>
          </w:p>
        </w:tc>
        <w:tc>
          <w:tcPr>
            <w:tcW w:w="1073" w:type="dxa"/>
          </w:tcPr>
          <w:p w:rsidR="00D35514" w:rsidRPr="00D35514" w:rsidRDefault="00D35514" w:rsidP="00D35514">
            <w:pPr>
              <w:pStyle w:val="AERtabletextright"/>
              <w:cnfStyle w:val="100000000000" w:firstRow="1" w:lastRow="0" w:firstColumn="0" w:lastColumn="0" w:oddVBand="0" w:evenVBand="0" w:oddHBand="0" w:evenHBand="0" w:firstRowFirstColumn="0" w:firstRowLastColumn="0" w:lastRowFirstColumn="0" w:lastRowLastColumn="0"/>
            </w:pPr>
            <w:r>
              <w:t>2017</w:t>
            </w:r>
            <w:r w:rsidRPr="00D35514">
              <w:t>–18</w:t>
            </w:r>
          </w:p>
        </w:tc>
        <w:tc>
          <w:tcPr>
            <w:tcW w:w="1073" w:type="dxa"/>
          </w:tcPr>
          <w:p w:rsidR="00D35514" w:rsidRPr="00D35514" w:rsidRDefault="00D35514" w:rsidP="00D35514">
            <w:pPr>
              <w:pStyle w:val="AERtabletextright"/>
              <w:cnfStyle w:val="100000000000" w:firstRow="1" w:lastRow="0" w:firstColumn="0" w:lastColumn="0" w:oddVBand="0" w:evenVBand="0" w:oddHBand="0" w:evenHBand="0" w:firstRowFirstColumn="0" w:firstRowLastColumn="0" w:lastRowFirstColumn="0" w:lastRowLastColumn="0"/>
            </w:pPr>
            <w:r>
              <w:t>2018</w:t>
            </w:r>
            <w:r w:rsidRPr="00D35514">
              <w:t>–19</w:t>
            </w:r>
          </w:p>
        </w:tc>
        <w:tc>
          <w:tcPr>
            <w:tcW w:w="1074" w:type="dxa"/>
          </w:tcPr>
          <w:p w:rsidR="00D35514" w:rsidRPr="00D35514" w:rsidRDefault="00D35514" w:rsidP="00D35514">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D35514" w:rsidTr="00514994">
        <w:tc>
          <w:tcPr>
            <w:cnfStyle w:val="001000000000" w:firstRow="0" w:lastRow="0" w:firstColumn="1" w:lastColumn="0" w:oddVBand="0" w:evenVBand="0" w:oddHBand="0" w:evenHBand="0" w:firstRowFirstColumn="0" w:firstRowLastColumn="0" w:lastRowFirstColumn="0" w:lastRowLastColumn="0"/>
            <w:tcW w:w="2802" w:type="dxa"/>
          </w:tcPr>
          <w:p w:rsidR="00D35514" w:rsidRPr="00D35514" w:rsidRDefault="001B69EB" w:rsidP="00D35514">
            <w:pPr>
              <w:pStyle w:val="AERtabletextleft"/>
            </w:pPr>
            <w:r>
              <w:t>TasNetworks'</w:t>
            </w:r>
            <w:r w:rsidR="00D35514" w:rsidRPr="00D35514">
              <w:t xml:space="preserve"> proposed carryover</w:t>
            </w:r>
          </w:p>
        </w:tc>
        <w:tc>
          <w:tcPr>
            <w:tcW w:w="1073" w:type="dxa"/>
          </w:tcPr>
          <w:p w:rsidR="00D35514" w:rsidRDefault="00AC42FB" w:rsidP="00D35514">
            <w:pPr>
              <w:pStyle w:val="AERtabletextright"/>
              <w:cnfStyle w:val="000000000000" w:firstRow="0" w:lastRow="0" w:firstColumn="0" w:lastColumn="0" w:oddVBand="0" w:evenVBand="0" w:oddHBand="0" w:evenHBand="0" w:firstRowFirstColumn="0" w:firstRowLastColumn="0" w:lastRowFirstColumn="0" w:lastRowLastColumn="0"/>
            </w:pPr>
            <w:r>
              <w:t>11.4</w:t>
            </w:r>
          </w:p>
        </w:tc>
        <w:tc>
          <w:tcPr>
            <w:tcW w:w="1073" w:type="dxa"/>
          </w:tcPr>
          <w:p w:rsidR="00D35514" w:rsidRDefault="00AC42FB" w:rsidP="00D35514">
            <w:pPr>
              <w:pStyle w:val="AERtabletextright"/>
              <w:cnfStyle w:val="000000000000" w:firstRow="0" w:lastRow="0" w:firstColumn="0" w:lastColumn="0" w:oddVBand="0" w:evenVBand="0" w:oddHBand="0" w:evenHBand="0" w:firstRowFirstColumn="0" w:firstRowLastColumn="0" w:lastRowFirstColumn="0" w:lastRowLastColumn="0"/>
            </w:pPr>
            <w:r>
              <w:t>9.6</w:t>
            </w:r>
          </w:p>
        </w:tc>
        <w:tc>
          <w:tcPr>
            <w:tcW w:w="1074" w:type="dxa"/>
          </w:tcPr>
          <w:p w:rsidR="00D35514" w:rsidRDefault="00AC42FB" w:rsidP="00D35514">
            <w:pPr>
              <w:pStyle w:val="AERtabletextright"/>
              <w:cnfStyle w:val="000000000000" w:firstRow="0" w:lastRow="0" w:firstColumn="0" w:lastColumn="0" w:oddVBand="0" w:evenVBand="0" w:oddHBand="0" w:evenHBand="0" w:firstRowFirstColumn="0" w:firstRowLastColumn="0" w:lastRowFirstColumn="0" w:lastRowLastColumn="0"/>
            </w:pPr>
            <w:r>
              <w:t>6.4</w:t>
            </w:r>
          </w:p>
        </w:tc>
        <w:tc>
          <w:tcPr>
            <w:tcW w:w="1073" w:type="dxa"/>
          </w:tcPr>
          <w:p w:rsidR="00D35514" w:rsidRDefault="00AC42FB" w:rsidP="00D35514">
            <w:pPr>
              <w:pStyle w:val="AERtabletextright"/>
              <w:cnfStyle w:val="000000000000" w:firstRow="0" w:lastRow="0" w:firstColumn="0" w:lastColumn="0" w:oddVBand="0" w:evenVBand="0" w:oddHBand="0" w:evenHBand="0" w:firstRowFirstColumn="0" w:firstRowLastColumn="0" w:lastRowFirstColumn="0" w:lastRowLastColumn="0"/>
            </w:pPr>
            <w:r>
              <w:t>5.0</w:t>
            </w:r>
          </w:p>
        </w:tc>
        <w:tc>
          <w:tcPr>
            <w:tcW w:w="1073" w:type="dxa"/>
          </w:tcPr>
          <w:p w:rsidR="00D35514" w:rsidRDefault="00AC42FB" w:rsidP="00D35514">
            <w:pPr>
              <w:pStyle w:val="AERtabletextright"/>
              <w:cnfStyle w:val="000000000000" w:firstRow="0" w:lastRow="0" w:firstColumn="0" w:lastColumn="0" w:oddVBand="0" w:evenVBand="0" w:oddHBand="0" w:evenHBand="0" w:firstRowFirstColumn="0" w:firstRowLastColumn="0" w:lastRowFirstColumn="0" w:lastRowLastColumn="0"/>
            </w:pPr>
            <w:r>
              <w:t>0.0</w:t>
            </w:r>
          </w:p>
        </w:tc>
        <w:tc>
          <w:tcPr>
            <w:tcW w:w="1074" w:type="dxa"/>
          </w:tcPr>
          <w:p w:rsidR="00D35514" w:rsidRDefault="00AC42FB" w:rsidP="00D35514">
            <w:pPr>
              <w:pStyle w:val="AERtabletextright"/>
              <w:cnfStyle w:val="000000000000" w:firstRow="0" w:lastRow="0" w:firstColumn="0" w:lastColumn="0" w:oddVBand="0" w:evenVBand="0" w:oddHBand="0" w:evenHBand="0" w:firstRowFirstColumn="0" w:firstRowLastColumn="0" w:lastRowFirstColumn="0" w:lastRowLastColumn="0"/>
            </w:pPr>
            <w:r>
              <w:t>32.3</w:t>
            </w:r>
          </w:p>
        </w:tc>
      </w:tr>
      <w:tr w:rsidR="00D35514" w:rsidTr="005149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35514" w:rsidRPr="00D35514" w:rsidRDefault="00562FE6" w:rsidP="00D35514">
            <w:pPr>
              <w:pStyle w:val="AERtabletextleft"/>
            </w:pPr>
            <w:r>
              <w:t>Draft decision</w:t>
            </w:r>
            <w:r w:rsidR="00D35514" w:rsidRPr="005B7AD2">
              <w:t xml:space="preserve"> </w:t>
            </w:r>
          </w:p>
        </w:tc>
        <w:tc>
          <w:tcPr>
            <w:tcW w:w="1073" w:type="dxa"/>
          </w:tcPr>
          <w:p w:rsidR="00D35514" w:rsidRDefault="00F41675" w:rsidP="00D35514">
            <w:pPr>
              <w:pStyle w:val="AERtabletextright"/>
              <w:cnfStyle w:val="000000010000" w:firstRow="0" w:lastRow="0" w:firstColumn="0" w:lastColumn="0" w:oddVBand="0" w:evenVBand="0" w:oddHBand="0" w:evenHBand="1" w:firstRowFirstColumn="0" w:firstRowLastColumn="0" w:lastRowFirstColumn="0" w:lastRowLastColumn="0"/>
            </w:pPr>
            <w:r>
              <w:t>12.2</w:t>
            </w:r>
          </w:p>
        </w:tc>
        <w:tc>
          <w:tcPr>
            <w:tcW w:w="1073" w:type="dxa"/>
          </w:tcPr>
          <w:p w:rsidR="00D35514" w:rsidRDefault="00AC42FB" w:rsidP="00D35514">
            <w:pPr>
              <w:pStyle w:val="AERtabletextright"/>
              <w:cnfStyle w:val="000000010000" w:firstRow="0" w:lastRow="0" w:firstColumn="0" w:lastColumn="0" w:oddVBand="0" w:evenVBand="0" w:oddHBand="0" w:evenHBand="1" w:firstRowFirstColumn="0" w:firstRowLastColumn="0" w:lastRowFirstColumn="0" w:lastRowLastColumn="0"/>
            </w:pPr>
            <w:r>
              <w:t>8.</w:t>
            </w:r>
            <w:r w:rsidR="00F41675">
              <w:t>4</w:t>
            </w:r>
          </w:p>
        </w:tc>
        <w:tc>
          <w:tcPr>
            <w:tcW w:w="1074" w:type="dxa"/>
          </w:tcPr>
          <w:p w:rsidR="00D35514" w:rsidRDefault="00AC42FB" w:rsidP="00D35514">
            <w:pPr>
              <w:pStyle w:val="AERtabletextright"/>
              <w:cnfStyle w:val="000000010000" w:firstRow="0" w:lastRow="0" w:firstColumn="0" w:lastColumn="0" w:oddVBand="0" w:evenVBand="0" w:oddHBand="0" w:evenHBand="1" w:firstRowFirstColumn="0" w:firstRowLastColumn="0" w:lastRowFirstColumn="0" w:lastRowLastColumn="0"/>
            </w:pPr>
            <w:r>
              <w:t>6.</w:t>
            </w:r>
            <w:r w:rsidR="00562FE6">
              <w:t>7</w:t>
            </w:r>
          </w:p>
        </w:tc>
        <w:tc>
          <w:tcPr>
            <w:tcW w:w="1073" w:type="dxa"/>
          </w:tcPr>
          <w:p w:rsidR="00D35514" w:rsidRDefault="00947D40" w:rsidP="00D35514">
            <w:pPr>
              <w:pStyle w:val="AERtabletextright"/>
              <w:cnfStyle w:val="000000010000" w:firstRow="0" w:lastRow="0" w:firstColumn="0" w:lastColumn="0" w:oddVBand="0" w:evenVBand="0" w:oddHBand="0" w:evenHBand="1" w:firstRowFirstColumn="0" w:firstRowLastColumn="0" w:lastRowFirstColumn="0" w:lastRowLastColumn="0"/>
            </w:pPr>
            <w:r>
              <w:t>4.1</w:t>
            </w:r>
          </w:p>
        </w:tc>
        <w:tc>
          <w:tcPr>
            <w:tcW w:w="1073" w:type="dxa"/>
          </w:tcPr>
          <w:p w:rsidR="00D35514" w:rsidRDefault="00AC42FB" w:rsidP="00D35514">
            <w:pPr>
              <w:pStyle w:val="AERtabletextright"/>
              <w:cnfStyle w:val="000000010000" w:firstRow="0" w:lastRow="0" w:firstColumn="0" w:lastColumn="0" w:oddVBand="0" w:evenVBand="0" w:oddHBand="0" w:evenHBand="1" w:firstRowFirstColumn="0" w:firstRowLastColumn="0" w:lastRowFirstColumn="0" w:lastRowLastColumn="0"/>
            </w:pPr>
            <w:r>
              <w:t>0.0</w:t>
            </w:r>
          </w:p>
        </w:tc>
        <w:tc>
          <w:tcPr>
            <w:tcW w:w="1074" w:type="dxa"/>
          </w:tcPr>
          <w:p w:rsidR="00D35514" w:rsidRDefault="00AC42FB" w:rsidP="00D35514">
            <w:pPr>
              <w:pStyle w:val="AERtabletextright"/>
              <w:cnfStyle w:val="000000010000" w:firstRow="0" w:lastRow="0" w:firstColumn="0" w:lastColumn="0" w:oddVBand="0" w:evenVBand="0" w:oddHBand="0" w:evenHBand="1" w:firstRowFirstColumn="0" w:firstRowLastColumn="0" w:lastRowFirstColumn="0" w:lastRowLastColumn="0"/>
            </w:pPr>
            <w:r>
              <w:t>3</w:t>
            </w:r>
            <w:r w:rsidR="00947D40">
              <w:t>1.4</w:t>
            </w:r>
          </w:p>
        </w:tc>
      </w:tr>
    </w:tbl>
    <w:p w:rsidR="00D35514" w:rsidRDefault="000540F7" w:rsidP="000540F7">
      <w:pPr>
        <w:pStyle w:val="AERtablesource"/>
      </w:pPr>
      <w:r>
        <w:t>Source: AER analysis</w:t>
      </w:r>
    </w:p>
    <w:p w:rsidR="00D35514" w:rsidRDefault="00D35514" w:rsidP="00D35514">
      <w:pPr>
        <w:pStyle w:val="AERbodytext"/>
      </w:pPr>
      <w:r w:rsidRPr="00BD4587">
        <w:lastRenderedPageBreak/>
        <w:t xml:space="preserve">When we apply version </w:t>
      </w:r>
      <w:r>
        <w:t>two</w:t>
      </w:r>
      <w:r w:rsidRPr="00BD4587">
        <w:t xml:space="preserve"> of the EBSS to </w:t>
      </w:r>
      <w:r>
        <w:t>TasNetworks in the 2014–19</w:t>
      </w:r>
      <w:r w:rsidRPr="00BD4587">
        <w:t xml:space="preserve"> period we will exclude the cost categories listed in section </w:t>
      </w:r>
      <w:r w:rsidR="00EF1CCC">
        <w:fldChar w:fldCharType="begin"/>
      </w:r>
      <w:r w:rsidR="00EF1CCC">
        <w:instrText xml:space="preserve"> REF _Ref398823659 \r \h </w:instrText>
      </w:r>
      <w:r w:rsidR="00EF1CCC">
        <w:fldChar w:fldCharType="separate"/>
      </w:r>
      <w:r w:rsidR="004D6E39">
        <w:t>9.5.2</w:t>
      </w:r>
      <w:r w:rsidR="00EF1CCC">
        <w:fldChar w:fldCharType="end"/>
      </w:r>
      <w:r w:rsidR="00EF1CCC">
        <w:t xml:space="preserve"> </w:t>
      </w:r>
      <w:r w:rsidRPr="00BD4587">
        <w:t>from forecast and actual opex for the calculat</w:t>
      </w:r>
      <w:r>
        <w:t xml:space="preserve">ion of EBSS carryover amounts. </w:t>
      </w:r>
      <w:r w:rsidR="00801193">
        <w:fldChar w:fldCharType="begin"/>
      </w:r>
      <w:r w:rsidR="00801193">
        <w:instrText xml:space="preserve"> REF _Ref402360609 \h </w:instrText>
      </w:r>
      <w:r w:rsidR="00801193">
        <w:fldChar w:fldCharType="separate"/>
      </w:r>
      <w:r w:rsidR="004D6E39">
        <w:t xml:space="preserve">Table </w:t>
      </w:r>
      <w:r w:rsidR="004D6E39">
        <w:rPr>
          <w:noProof/>
        </w:rPr>
        <w:t>9</w:t>
      </w:r>
      <w:r w:rsidR="004D6E39">
        <w:t>.</w:t>
      </w:r>
      <w:r w:rsidR="004D6E39">
        <w:rPr>
          <w:noProof/>
        </w:rPr>
        <w:t>2</w:t>
      </w:r>
      <w:r w:rsidR="00801193">
        <w:fldChar w:fldCharType="end"/>
      </w:r>
      <w:r w:rsidR="00801193">
        <w:t xml:space="preserve"> </w:t>
      </w:r>
      <w:r>
        <w:t>illustrates</w:t>
      </w:r>
      <w:r w:rsidRPr="00BD4587">
        <w:t xml:space="preserve"> the opex forecasts we </w:t>
      </w:r>
      <w:r>
        <w:t xml:space="preserve">expect </w:t>
      </w:r>
      <w:r w:rsidRPr="00BD4587">
        <w:t xml:space="preserve">will use to calculate efficiency </w:t>
      </w:r>
      <w:r>
        <w:t xml:space="preserve">gains and losses for the </w:t>
      </w:r>
      <w:r w:rsidR="00105BD2">
        <w:t xml:space="preserve">2014–19 </w:t>
      </w:r>
      <w:proofErr w:type="gramStart"/>
      <w:r w:rsidR="00105BD2">
        <w:t>period</w:t>
      </w:r>
      <w:proofErr w:type="gramEnd"/>
      <w:r>
        <w:t xml:space="preserve">. </w:t>
      </w:r>
    </w:p>
    <w:p w:rsidR="00D35514" w:rsidRPr="003F5EF6" w:rsidRDefault="00722BFD" w:rsidP="00722BFD">
      <w:pPr>
        <w:pStyle w:val="Caption"/>
      </w:pPr>
      <w:bookmarkStart w:id="10" w:name="_Ref402360609"/>
      <w:r>
        <w:t xml:space="preserve">Table </w:t>
      </w:r>
      <w:r w:rsidR="00A00B2F">
        <w:fldChar w:fldCharType="begin"/>
      </w:r>
      <w:r w:rsidR="00A00B2F">
        <w:instrText xml:space="preserve"> STYLEREF 1 \s </w:instrText>
      </w:r>
      <w:r w:rsidR="00A00B2F">
        <w:fldChar w:fldCharType="separate"/>
      </w:r>
      <w:r w:rsidR="004D6E39">
        <w:rPr>
          <w:noProof/>
        </w:rPr>
        <w:t>9</w:t>
      </w:r>
      <w:r w:rsidR="00A00B2F">
        <w:rPr>
          <w:noProof/>
        </w:rPr>
        <w:fldChar w:fldCharType="end"/>
      </w:r>
      <w:r>
        <w:t>.</w:t>
      </w:r>
      <w:r w:rsidR="00A00B2F">
        <w:fldChar w:fldCharType="begin"/>
      </w:r>
      <w:r w:rsidR="00A00B2F">
        <w:instrText xml:space="preserve"> SEQ Table \* ARABIC \s 1 </w:instrText>
      </w:r>
      <w:r w:rsidR="00A00B2F">
        <w:fldChar w:fldCharType="separate"/>
      </w:r>
      <w:r w:rsidR="004D6E39">
        <w:rPr>
          <w:noProof/>
        </w:rPr>
        <w:t>2</w:t>
      </w:r>
      <w:r w:rsidR="00A00B2F">
        <w:rPr>
          <w:noProof/>
        </w:rPr>
        <w:fldChar w:fldCharType="end"/>
      </w:r>
      <w:bookmarkEnd w:id="10"/>
      <w:r w:rsidR="00D35514">
        <w:tab/>
        <w:t xml:space="preserve">AER's draft decision on </w:t>
      </w:r>
      <w:r w:rsidR="001B69EB">
        <w:t>TasNetworks'</w:t>
      </w:r>
      <w:r w:rsidR="00D35514">
        <w:t xml:space="preserve"> forecast opex for the EBSS ($ million,</w:t>
      </w:r>
      <w:r w:rsidR="007313D0">
        <w:t> </w:t>
      </w:r>
      <w:r w:rsidR="00D35514">
        <w:t>2013–14)</w:t>
      </w:r>
    </w:p>
    <w:tbl>
      <w:tblPr>
        <w:tblStyle w:val="AERtable-numbers"/>
        <w:tblW w:w="5000" w:type="pct"/>
        <w:tblLook w:val="04A0" w:firstRow="1" w:lastRow="0" w:firstColumn="1" w:lastColumn="0" w:noHBand="0" w:noVBand="1"/>
      </w:tblPr>
      <w:tblGrid>
        <w:gridCol w:w="3178"/>
        <w:gridCol w:w="1215"/>
        <w:gridCol w:w="1214"/>
        <w:gridCol w:w="1214"/>
        <w:gridCol w:w="1214"/>
        <w:gridCol w:w="1207"/>
      </w:tblGrid>
      <w:tr w:rsidR="00DB70C9" w:rsidTr="00054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9" w:type="pct"/>
          </w:tcPr>
          <w:p w:rsidR="00DB70C9" w:rsidRDefault="00DB70C9" w:rsidP="00D35514">
            <w:pPr>
              <w:pStyle w:val="AERtabletextleft"/>
            </w:pPr>
          </w:p>
        </w:tc>
        <w:tc>
          <w:tcPr>
            <w:tcW w:w="657" w:type="pct"/>
          </w:tcPr>
          <w:p w:rsidR="00DB70C9" w:rsidRPr="00D35514" w:rsidRDefault="00DB70C9" w:rsidP="00D35514">
            <w:pPr>
              <w:pStyle w:val="AERtabletextright"/>
              <w:cnfStyle w:val="100000000000" w:firstRow="1" w:lastRow="0" w:firstColumn="0" w:lastColumn="0" w:oddVBand="0" w:evenVBand="0" w:oddHBand="0" w:evenHBand="0" w:firstRowFirstColumn="0" w:firstRowLastColumn="0" w:lastRowFirstColumn="0" w:lastRowLastColumn="0"/>
            </w:pPr>
            <w:r w:rsidRPr="005B7AD2">
              <w:t>2014</w:t>
            </w:r>
            <w:r w:rsidRPr="00D35514">
              <w:t>–15</w:t>
            </w:r>
          </w:p>
        </w:tc>
        <w:tc>
          <w:tcPr>
            <w:tcW w:w="657" w:type="pct"/>
          </w:tcPr>
          <w:p w:rsidR="00DB70C9" w:rsidRPr="00D35514" w:rsidRDefault="00DB70C9" w:rsidP="00D35514">
            <w:pPr>
              <w:pStyle w:val="AERtabletextright"/>
              <w:cnfStyle w:val="100000000000" w:firstRow="1" w:lastRow="0" w:firstColumn="0" w:lastColumn="0" w:oddVBand="0" w:evenVBand="0" w:oddHBand="0" w:evenHBand="0" w:firstRowFirstColumn="0" w:firstRowLastColumn="0" w:lastRowFirstColumn="0" w:lastRowLastColumn="0"/>
            </w:pPr>
            <w:r>
              <w:t>2015</w:t>
            </w:r>
            <w:r w:rsidRPr="00D35514">
              <w:t>–16</w:t>
            </w:r>
          </w:p>
        </w:tc>
        <w:tc>
          <w:tcPr>
            <w:tcW w:w="657" w:type="pct"/>
          </w:tcPr>
          <w:p w:rsidR="00DB70C9" w:rsidRPr="00D35514" w:rsidRDefault="00DB70C9" w:rsidP="00D35514">
            <w:pPr>
              <w:pStyle w:val="AERtabletextright"/>
              <w:cnfStyle w:val="100000000000" w:firstRow="1" w:lastRow="0" w:firstColumn="0" w:lastColumn="0" w:oddVBand="0" w:evenVBand="0" w:oddHBand="0" w:evenHBand="0" w:firstRowFirstColumn="0" w:firstRowLastColumn="0" w:lastRowFirstColumn="0" w:lastRowLastColumn="0"/>
            </w:pPr>
            <w:r>
              <w:t>2016</w:t>
            </w:r>
            <w:r w:rsidRPr="00D35514">
              <w:t>–17</w:t>
            </w:r>
          </w:p>
        </w:tc>
        <w:tc>
          <w:tcPr>
            <w:tcW w:w="657" w:type="pct"/>
          </w:tcPr>
          <w:p w:rsidR="00DB70C9" w:rsidRPr="00D35514" w:rsidRDefault="00DB70C9" w:rsidP="00D35514">
            <w:pPr>
              <w:pStyle w:val="AERtabletextright"/>
              <w:cnfStyle w:val="100000000000" w:firstRow="1" w:lastRow="0" w:firstColumn="0" w:lastColumn="0" w:oddVBand="0" w:evenVBand="0" w:oddHBand="0" w:evenHBand="0" w:firstRowFirstColumn="0" w:firstRowLastColumn="0" w:lastRowFirstColumn="0" w:lastRowLastColumn="0"/>
            </w:pPr>
            <w:r>
              <w:t>2017</w:t>
            </w:r>
            <w:r w:rsidRPr="00D35514">
              <w:t>–18</w:t>
            </w:r>
          </w:p>
        </w:tc>
        <w:tc>
          <w:tcPr>
            <w:tcW w:w="654" w:type="pct"/>
          </w:tcPr>
          <w:p w:rsidR="00DB70C9" w:rsidRDefault="00DB70C9" w:rsidP="00D35514">
            <w:pPr>
              <w:pStyle w:val="AERtabletextright"/>
              <w:cnfStyle w:val="100000000000" w:firstRow="1" w:lastRow="0" w:firstColumn="0" w:lastColumn="0" w:oddVBand="0" w:evenVBand="0" w:oddHBand="0" w:evenHBand="0" w:firstRowFirstColumn="0" w:firstRowLastColumn="0" w:lastRowFirstColumn="0" w:lastRowLastColumn="0"/>
            </w:pPr>
            <w:r>
              <w:t>2018–19</w:t>
            </w:r>
          </w:p>
        </w:tc>
      </w:tr>
      <w:tr w:rsidR="00DB70C9" w:rsidTr="000540F7">
        <w:tc>
          <w:tcPr>
            <w:cnfStyle w:val="001000000000" w:firstRow="0" w:lastRow="0" w:firstColumn="1" w:lastColumn="0" w:oddVBand="0" w:evenVBand="0" w:oddHBand="0" w:evenHBand="0" w:firstRowFirstColumn="0" w:firstRowLastColumn="0" w:lastRowFirstColumn="0" w:lastRowLastColumn="0"/>
            <w:tcW w:w="1719" w:type="pct"/>
          </w:tcPr>
          <w:p w:rsidR="00DB70C9" w:rsidRPr="00DB70C9" w:rsidRDefault="00DB70C9" w:rsidP="00DB70C9">
            <w:pPr>
              <w:pStyle w:val="AERtabletextleft"/>
            </w:pPr>
            <w:r w:rsidRPr="00DB70C9">
              <w:t>Approved forecast opex for EBSS</w:t>
            </w:r>
          </w:p>
        </w:tc>
        <w:tc>
          <w:tcPr>
            <w:tcW w:w="657" w:type="pct"/>
          </w:tcPr>
          <w:p w:rsidR="00DB70C9" w:rsidRPr="00DB70C9" w:rsidRDefault="00DB70C9" w:rsidP="00DB70C9">
            <w:pPr>
              <w:pStyle w:val="AERtabletextright"/>
              <w:cnfStyle w:val="000000000000" w:firstRow="0" w:lastRow="0" w:firstColumn="0" w:lastColumn="0" w:oddVBand="0" w:evenVBand="0" w:oddHBand="0" w:evenHBand="0" w:firstRowFirstColumn="0" w:firstRowLastColumn="0" w:lastRowFirstColumn="0" w:lastRowLastColumn="0"/>
            </w:pPr>
            <w:r w:rsidRPr="00DB70C9">
              <w:t>42.4</w:t>
            </w:r>
          </w:p>
        </w:tc>
        <w:tc>
          <w:tcPr>
            <w:tcW w:w="657" w:type="pct"/>
          </w:tcPr>
          <w:p w:rsidR="00DB70C9" w:rsidRPr="00DB70C9" w:rsidRDefault="00DB70C9" w:rsidP="00DB70C9">
            <w:pPr>
              <w:pStyle w:val="AERtabletextright"/>
              <w:cnfStyle w:val="000000000000" w:firstRow="0" w:lastRow="0" w:firstColumn="0" w:lastColumn="0" w:oddVBand="0" w:evenVBand="0" w:oddHBand="0" w:evenHBand="0" w:firstRowFirstColumn="0" w:firstRowLastColumn="0" w:lastRowFirstColumn="0" w:lastRowLastColumn="0"/>
            </w:pPr>
            <w:r w:rsidRPr="00DB70C9">
              <w:t>41.8</w:t>
            </w:r>
          </w:p>
        </w:tc>
        <w:tc>
          <w:tcPr>
            <w:tcW w:w="657" w:type="pct"/>
          </w:tcPr>
          <w:p w:rsidR="00DB70C9" w:rsidRPr="00DB70C9" w:rsidRDefault="00DB70C9" w:rsidP="00DB70C9">
            <w:pPr>
              <w:pStyle w:val="AERtabletextright"/>
              <w:cnfStyle w:val="000000000000" w:firstRow="0" w:lastRow="0" w:firstColumn="0" w:lastColumn="0" w:oddVBand="0" w:evenVBand="0" w:oddHBand="0" w:evenHBand="0" w:firstRowFirstColumn="0" w:firstRowLastColumn="0" w:lastRowFirstColumn="0" w:lastRowLastColumn="0"/>
            </w:pPr>
            <w:r w:rsidRPr="00DB70C9">
              <w:t>42.0</w:t>
            </w:r>
          </w:p>
        </w:tc>
        <w:tc>
          <w:tcPr>
            <w:tcW w:w="657" w:type="pct"/>
          </w:tcPr>
          <w:p w:rsidR="00DB70C9" w:rsidRPr="00DB70C9" w:rsidRDefault="00DB70C9" w:rsidP="00DB70C9">
            <w:pPr>
              <w:pStyle w:val="AERtabletextright"/>
              <w:cnfStyle w:val="000000000000" w:firstRow="0" w:lastRow="0" w:firstColumn="0" w:lastColumn="0" w:oddVBand="0" w:evenVBand="0" w:oddHBand="0" w:evenHBand="0" w:firstRowFirstColumn="0" w:firstRowLastColumn="0" w:lastRowFirstColumn="0" w:lastRowLastColumn="0"/>
            </w:pPr>
            <w:r w:rsidRPr="00DB70C9">
              <w:t>42.2</w:t>
            </w:r>
          </w:p>
        </w:tc>
        <w:tc>
          <w:tcPr>
            <w:tcW w:w="654" w:type="pct"/>
          </w:tcPr>
          <w:p w:rsidR="00DB70C9" w:rsidRPr="00DB70C9" w:rsidRDefault="00DB70C9" w:rsidP="00DB70C9">
            <w:pPr>
              <w:pStyle w:val="AERtabletextright"/>
              <w:cnfStyle w:val="000000000000" w:firstRow="0" w:lastRow="0" w:firstColumn="0" w:lastColumn="0" w:oddVBand="0" w:evenVBand="0" w:oddHBand="0" w:evenHBand="0" w:firstRowFirstColumn="0" w:firstRowLastColumn="0" w:lastRowFirstColumn="0" w:lastRowLastColumn="0"/>
            </w:pPr>
            <w:r w:rsidRPr="00DB70C9">
              <w:t>41.7</w:t>
            </w:r>
          </w:p>
        </w:tc>
      </w:tr>
    </w:tbl>
    <w:p w:rsidR="000540F7" w:rsidRPr="000540F7" w:rsidRDefault="000540F7" w:rsidP="000540F7">
      <w:pPr>
        <w:pStyle w:val="AERtablesource"/>
      </w:pPr>
      <w:r w:rsidRPr="000540F7">
        <w:t>Source: AER analysis</w:t>
      </w:r>
    </w:p>
    <w:p w:rsidR="00D35514" w:rsidRDefault="00D35514" w:rsidP="00D35514">
      <w:pPr>
        <w:pStyle w:val="Heading2"/>
      </w:pPr>
      <w:bookmarkStart w:id="11" w:name="_Toc404160286"/>
      <w:r>
        <w:t>Proposal</w:t>
      </w:r>
      <w:bookmarkEnd w:id="11"/>
    </w:p>
    <w:p w:rsidR="00D35514" w:rsidRDefault="00D35514" w:rsidP="00D35514">
      <w:pPr>
        <w:pStyle w:val="HeadingBoldBlue"/>
      </w:pPr>
      <w:r>
        <w:t>Carryover amounts accrued during the 2009</w:t>
      </w:r>
      <w:r w:rsidRPr="00D06BEA">
        <w:t>–14 regulatory control period</w:t>
      </w:r>
    </w:p>
    <w:p w:rsidR="00105BD2" w:rsidRDefault="00105BD2" w:rsidP="00105BD2">
      <w:pPr>
        <w:pStyle w:val="AERbodytext"/>
      </w:pPr>
      <w:r>
        <w:t>In the 2009–</w:t>
      </w:r>
      <w:r w:rsidRPr="00135689">
        <w:t xml:space="preserve">14 </w:t>
      </w:r>
      <w:r>
        <w:t xml:space="preserve">regulatory control period, TasNetworks was subject to version </w:t>
      </w:r>
      <w:r w:rsidR="0011041A">
        <w:t>one</w:t>
      </w:r>
      <w:r>
        <w:t xml:space="preserve"> of the EBSS. Under this scheme the EBSS carryover amounts are to be based on the difference between:</w:t>
      </w:r>
    </w:p>
    <w:p w:rsidR="00105BD2" w:rsidRDefault="00105BD2" w:rsidP="00105BD2">
      <w:pPr>
        <w:pStyle w:val="AERbulletlistfirststyle"/>
      </w:pPr>
      <w:r>
        <w:t>approved forecast opex which is set out in our determination for TasNetworks for the 2009–</w:t>
      </w:r>
      <w:r w:rsidRPr="00135689">
        <w:t>14</w:t>
      </w:r>
      <w:r>
        <w:t xml:space="preserve"> regulatory control period, and</w:t>
      </w:r>
    </w:p>
    <w:p w:rsidR="00105BD2" w:rsidRDefault="00105BD2" w:rsidP="00105BD2">
      <w:pPr>
        <w:pStyle w:val="AERbulletlistfirststyle"/>
      </w:pPr>
      <w:r>
        <w:t>actual opex for the regulatory years from 2009–10</w:t>
      </w:r>
      <w:r w:rsidRPr="00135689">
        <w:t xml:space="preserve"> </w:t>
      </w:r>
      <w:r>
        <w:t>to 2012–13,</w:t>
      </w:r>
      <w:r w:rsidRPr="00135689">
        <w:t xml:space="preserve"> </w:t>
      </w:r>
      <w:r>
        <w:t>less excluded cost categories.</w:t>
      </w:r>
    </w:p>
    <w:p w:rsidR="00105BD2" w:rsidRPr="00105BD2" w:rsidRDefault="00105BD2" w:rsidP="005758A1">
      <w:pPr>
        <w:pStyle w:val="AERbulletlistfirststyle"/>
        <w:numPr>
          <w:ilvl w:val="0"/>
          <w:numId w:val="0"/>
        </w:numPr>
      </w:pPr>
      <w:r>
        <w:t>The formula</w:t>
      </w:r>
      <w:r w:rsidR="002F3CF7">
        <w:t>s</w:t>
      </w:r>
      <w:r>
        <w:t xml:space="preserve"> for calculating the ca</w:t>
      </w:r>
      <w:r w:rsidR="0011041A">
        <w:t>rryover amounts are set out in v</w:t>
      </w:r>
      <w:r>
        <w:t xml:space="preserve">ersion </w:t>
      </w:r>
      <w:r w:rsidR="0011041A">
        <w:t>one</w:t>
      </w:r>
      <w:r>
        <w:t xml:space="preserve"> of the </w:t>
      </w:r>
      <w:r w:rsidR="0011041A">
        <w:t>EBSS</w:t>
      </w:r>
      <w:r>
        <w:t>.</w:t>
      </w:r>
    </w:p>
    <w:p w:rsidR="00105BD2" w:rsidRPr="00105BD2" w:rsidRDefault="00105BD2" w:rsidP="005758A1">
      <w:pPr>
        <w:pStyle w:val="AERbodytext"/>
      </w:pPr>
      <w:r>
        <w:t>TasNetworks</w:t>
      </w:r>
      <w:r w:rsidRPr="00105BD2">
        <w:t xml:space="preserve"> proposed the following EBSS carryover amounts from the 2009–14 regulatory control period be added to its regulated revenue in the </w:t>
      </w:r>
      <w:r>
        <w:t>2014–19 period</w:t>
      </w:r>
      <w:r w:rsidR="004733BD">
        <w:t>:</w:t>
      </w:r>
    </w:p>
    <w:p w:rsidR="00D35514" w:rsidRDefault="00D35514" w:rsidP="00D35514">
      <w:pPr>
        <w:pStyle w:val="Caption"/>
      </w:pPr>
      <w:r>
        <w:t xml:space="preserve">Table </w:t>
      </w:r>
      <w:r w:rsidR="00A00B2F">
        <w:fldChar w:fldCharType="begin"/>
      </w:r>
      <w:r w:rsidR="00A00B2F">
        <w:instrText xml:space="preserve"> STYLEREF 1 \s </w:instrText>
      </w:r>
      <w:r w:rsidR="00A00B2F">
        <w:fldChar w:fldCharType="separate"/>
      </w:r>
      <w:r w:rsidR="004D6E39">
        <w:rPr>
          <w:noProof/>
        </w:rPr>
        <w:t>9</w:t>
      </w:r>
      <w:r w:rsidR="00A00B2F">
        <w:rPr>
          <w:noProof/>
        </w:rPr>
        <w:fldChar w:fldCharType="end"/>
      </w:r>
      <w:r w:rsidR="00722BFD">
        <w:t>.</w:t>
      </w:r>
      <w:r w:rsidR="00A00B2F">
        <w:fldChar w:fldCharType="begin"/>
      </w:r>
      <w:r w:rsidR="00A00B2F">
        <w:instrText xml:space="preserve"> SEQ Table \* ARABIC \s 1 </w:instrText>
      </w:r>
      <w:r w:rsidR="00A00B2F">
        <w:fldChar w:fldCharType="separate"/>
      </w:r>
      <w:r w:rsidR="004D6E39">
        <w:rPr>
          <w:noProof/>
        </w:rPr>
        <w:t>3</w:t>
      </w:r>
      <w:r w:rsidR="00A00B2F">
        <w:rPr>
          <w:noProof/>
        </w:rPr>
        <w:fldChar w:fldCharType="end"/>
      </w:r>
      <w:r>
        <w:tab/>
        <w:t>Proposed EBSS carryover amounts from the 2009</w:t>
      </w:r>
      <w:r w:rsidRPr="00D06BEA">
        <w:t>–14 regulatory control period</w:t>
      </w:r>
      <w:r>
        <w:t xml:space="preserve"> ($ million,</w:t>
      </w:r>
      <w:r w:rsidR="007313D0">
        <w:t> </w:t>
      </w:r>
      <w:r>
        <w:t>2013–14)</w:t>
      </w:r>
    </w:p>
    <w:tbl>
      <w:tblPr>
        <w:tblStyle w:val="AERtable-numbers"/>
        <w:tblW w:w="5000" w:type="pct"/>
        <w:tblLook w:val="04A0" w:firstRow="1" w:lastRow="0" w:firstColumn="1" w:lastColumn="0" w:noHBand="0" w:noVBand="1"/>
      </w:tblPr>
      <w:tblGrid>
        <w:gridCol w:w="2808"/>
        <w:gridCol w:w="1074"/>
        <w:gridCol w:w="1074"/>
        <w:gridCol w:w="1074"/>
        <w:gridCol w:w="1074"/>
        <w:gridCol w:w="1070"/>
        <w:gridCol w:w="1068"/>
      </w:tblGrid>
      <w:tr w:rsidR="00D35514" w:rsidTr="005149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pct"/>
          </w:tcPr>
          <w:p w:rsidR="00D35514" w:rsidRDefault="00D35514" w:rsidP="00D35514">
            <w:pPr>
              <w:pStyle w:val="AERtabletextleft"/>
            </w:pPr>
          </w:p>
        </w:tc>
        <w:tc>
          <w:tcPr>
            <w:tcW w:w="581" w:type="pct"/>
          </w:tcPr>
          <w:p w:rsidR="00D35514" w:rsidRPr="00D35514" w:rsidRDefault="00D35514" w:rsidP="00D35514">
            <w:pPr>
              <w:pStyle w:val="AERtabletextright"/>
              <w:cnfStyle w:val="100000000000" w:firstRow="1" w:lastRow="0" w:firstColumn="0" w:lastColumn="0" w:oddVBand="0" w:evenVBand="0" w:oddHBand="0" w:evenHBand="0" w:firstRowFirstColumn="0" w:firstRowLastColumn="0" w:lastRowFirstColumn="0" w:lastRowLastColumn="0"/>
            </w:pPr>
            <w:r w:rsidRPr="005B7AD2">
              <w:t>2014</w:t>
            </w:r>
            <w:r w:rsidRPr="00D35514">
              <w:t>–15</w:t>
            </w:r>
          </w:p>
        </w:tc>
        <w:tc>
          <w:tcPr>
            <w:tcW w:w="581" w:type="pct"/>
          </w:tcPr>
          <w:p w:rsidR="00D35514" w:rsidRPr="00D35514" w:rsidRDefault="00D35514" w:rsidP="00D35514">
            <w:pPr>
              <w:pStyle w:val="AERtabletextright"/>
              <w:cnfStyle w:val="100000000000" w:firstRow="1" w:lastRow="0" w:firstColumn="0" w:lastColumn="0" w:oddVBand="0" w:evenVBand="0" w:oddHBand="0" w:evenHBand="0" w:firstRowFirstColumn="0" w:firstRowLastColumn="0" w:lastRowFirstColumn="0" w:lastRowLastColumn="0"/>
            </w:pPr>
            <w:r>
              <w:t>2015</w:t>
            </w:r>
            <w:r w:rsidRPr="00D35514">
              <w:t>–16</w:t>
            </w:r>
          </w:p>
        </w:tc>
        <w:tc>
          <w:tcPr>
            <w:tcW w:w="581" w:type="pct"/>
          </w:tcPr>
          <w:p w:rsidR="00D35514" w:rsidRPr="00D35514" w:rsidRDefault="00D35514" w:rsidP="00D35514">
            <w:pPr>
              <w:pStyle w:val="AERtabletextright"/>
              <w:cnfStyle w:val="100000000000" w:firstRow="1" w:lastRow="0" w:firstColumn="0" w:lastColumn="0" w:oddVBand="0" w:evenVBand="0" w:oddHBand="0" w:evenHBand="0" w:firstRowFirstColumn="0" w:firstRowLastColumn="0" w:lastRowFirstColumn="0" w:lastRowLastColumn="0"/>
            </w:pPr>
            <w:r>
              <w:t>2016</w:t>
            </w:r>
            <w:r w:rsidRPr="00D35514">
              <w:t>–17</w:t>
            </w:r>
          </w:p>
        </w:tc>
        <w:tc>
          <w:tcPr>
            <w:tcW w:w="581" w:type="pct"/>
          </w:tcPr>
          <w:p w:rsidR="00D35514" w:rsidRPr="00D35514" w:rsidRDefault="00D35514" w:rsidP="00D35514">
            <w:pPr>
              <w:pStyle w:val="AERtabletextright"/>
              <w:cnfStyle w:val="100000000000" w:firstRow="1" w:lastRow="0" w:firstColumn="0" w:lastColumn="0" w:oddVBand="0" w:evenVBand="0" w:oddHBand="0" w:evenHBand="0" w:firstRowFirstColumn="0" w:firstRowLastColumn="0" w:lastRowFirstColumn="0" w:lastRowLastColumn="0"/>
            </w:pPr>
            <w:r>
              <w:t>2017</w:t>
            </w:r>
            <w:r w:rsidRPr="00D35514">
              <w:t>–18</w:t>
            </w:r>
          </w:p>
        </w:tc>
        <w:tc>
          <w:tcPr>
            <w:tcW w:w="579" w:type="pct"/>
          </w:tcPr>
          <w:p w:rsidR="00D35514" w:rsidRPr="00D35514" w:rsidRDefault="00D35514" w:rsidP="00D35514">
            <w:pPr>
              <w:pStyle w:val="AERtabletextright"/>
              <w:cnfStyle w:val="100000000000" w:firstRow="1" w:lastRow="0" w:firstColumn="0" w:lastColumn="0" w:oddVBand="0" w:evenVBand="0" w:oddHBand="0" w:evenHBand="0" w:firstRowFirstColumn="0" w:firstRowLastColumn="0" w:lastRowFirstColumn="0" w:lastRowLastColumn="0"/>
            </w:pPr>
            <w:r>
              <w:t>201</w:t>
            </w:r>
            <w:r w:rsidRPr="00D35514">
              <w:t>8–19</w:t>
            </w:r>
          </w:p>
        </w:tc>
        <w:tc>
          <w:tcPr>
            <w:tcW w:w="578" w:type="pct"/>
          </w:tcPr>
          <w:p w:rsidR="00D35514" w:rsidRDefault="00D35514" w:rsidP="00D35514">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EF1CCC" w:rsidTr="00514994">
        <w:tc>
          <w:tcPr>
            <w:cnfStyle w:val="001000000000" w:firstRow="0" w:lastRow="0" w:firstColumn="1" w:lastColumn="0" w:oddVBand="0" w:evenVBand="0" w:oddHBand="0" w:evenHBand="0" w:firstRowFirstColumn="0" w:firstRowLastColumn="0" w:lastRowFirstColumn="0" w:lastRowLastColumn="0"/>
            <w:tcW w:w="1519" w:type="pct"/>
          </w:tcPr>
          <w:p w:rsidR="00EF1CCC" w:rsidRPr="00EF1CCC" w:rsidRDefault="00EF1CCC" w:rsidP="00EF1CCC">
            <w:pPr>
              <w:pStyle w:val="AERtabletextleft"/>
            </w:pPr>
            <w:r>
              <w:t>Proposed EBSS carryover amounts</w:t>
            </w:r>
          </w:p>
        </w:tc>
        <w:tc>
          <w:tcPr>
            <w:tcW w:w="581" w:type="pct"/>
          </w:tcPr>
          <w:p w:rsidR="00EF1CCC" w:rsidRPr="00EF1CCC" w:rsidRDefault="00EF1CCC" w:rsidP="00EF1CCC">
            <w:pPr>
              <w:pStyle w:val="AERtabletextright"/>
              <w:cnfStyle w:val="000000000000" w:firstRow="0" w:lastRow="0" w:firstColumn="0" w:lastColumn="0" w:oddVBand="0" w:evenVBand="0" w:oddHBand="0" w:evenHBand="0" w:firstRowFirstColumn="0" w:firstRowLastColumn="0" w:lastRowFirstColumn="0" w:lastRowLastColumn="0"/>
            </w:pPr>
            <w:r>
              <w:t>11.4</w:t>
            </w:r>
          </w:p>
        </w:tc>
        <w:tc>
          <w:tcPr>
            <w:tcW w:w="581" w:type="pct"/>
          </w:tcPr>
          <w:p w:rsidR="00EF1CCC" w:rsidRPr="00EF1CCC" w:rsidRDefault="00EF1CCC" w:rsidP="00EF1CCC">
            <w:pPr>
              <w:pStyle w:val="AERtabletextright"/>
              <w:cnfStyle w:val="000000000000" w:firstRow="0" w:lastRow="0" w:firstColumn="0" w:lastColumn="0" w:oddVBand="0" w:evenVBand="0" w:oddHBand="0" w:evenHBand="0" w:firstRowFirstColumn="0" w:firstRowLastColumn="0" w:lastRowFirstColumn="0" w:lastRowLastColumn="0"/>
            </w:pPr>
            <w:r>
              <w:t>9.6</w:t>
            </w:r>
          </w:p>
        </w:tc>
        <w:tc>
          <w:tcPr>
            <w:tcW w:w="581" w:type="pct"/>
          </w:tcPr>
          <w:p w:rsidR="00EF1CCC" w:rsidRPr="00EF1CCC" w:rsidRDefault="00EF1CCC" w:rsidP="00EF1CCC">
            <w:pPr>
              <w:pStyle w:val="AERtabletextright"/>
              <w:cnfStyle w:val="000000000000" w:firstRow="0" w:lastRow="0" w:firstColumn="0" w:lastColumn="0" w:oddVBand="0" w:evenVBand="0" w:oddHBand="0" w:evenHBand="0" w:firstRowFirstColumn="0" w:firstRowLastColumn="0" w:lastRowFirstColumn="0" w:lastRowLastColumn="0"/>
            </w:pPr>
            <w:r>
              <w:t>6.4</w:t>
            </w:r>
          </w:p>
        </w:tc>
        <w:tc>
          <w:tcPr>
            <w:tcW w:w="581" w:type="pct"/>
          </w:tcPr>
          <w:p w:rsidR="00EF1CCC" w:rsidRPr="00EF1CCC" w:rsidRDefault="00EF1CCC" w:rsidP="00EF1CCC">
            <w:pPr>
              <w:pStyle w:val="AERtabletextright"/>
              <w:cnfStyle w:val="000000000000" w:firstRow="0" w:lastRow="0" w:firstColumn="0" w:lastColumn="0" w:oddVBand="0" w:evenVBand="0" w:oddHBand="0" w:evenHBand="0" w:firstRowFirstColumn="0" w:firstRowLastColumn="0" w:lastRowFirstColumn="0" w:lastRowLastColumn="0"/>
            </w:pPr>
            <w:r>
              <w:t>5.0</w:t>
            </w:r>
          </w:p>
        </w:tc>
        <w:tc>
          <w:tcPr>
            <w:tcW w:w="579" w:type="pct"/>
          </w:tcPr>
          <w:p w:rsidR="00EF1CCC" w:rsidRPr="00EF1CCC" w:rsidRDefault="00EF1CCC" w:rsidP="00EF1CCC">
            <w:pPr>
              <w:pStyle w:val="AERtabletextright"/>
              <w:cnfStyle w:val="000000000000" w:firstRow="0" w:lastRow="0" w:firstColumn="0" w:lastColumn="0" w:oddVBand="0" w:evenVBand="0" w:oddHBand="0" w:evenHBand="0" w:firstRowFirstColumn="0" w:firstRowLastColumn="0" w:lastRowFirstColumn="0" w:lastRowLastColumn="0"/>
            </w:pPr>
            <w:r>
              <w:t>0.0</w:t>
            </w:r>
          </w:p>
        </w:tc>
        <w:tc>
          <w:tcPr>
            <w:tcW w:w="578" w:type="pct"/>
          </w:tcPr>
          <w:p w:rsidR="00EF1CCC" w:rsidRPr="00EF1CCC" w:rsidRDefault="00EF1CCC" w:rsidP="00EF1CCC">
            <w:pPr>
              <w:pStyle w:val="AERtabletextright"/>
              <w:cnfStyle w:val="000000000000" w:firstRow="0" w:lastRow="0" w:firstColumn="0" w:lastColumn="0" w:oddVBand="0" w:evenVBand="0" w:oddHBand="0" w:evenHBand="0" w:firstRowFirstColumn="0" w:firstRowLastColumn="0" w:lastRowFirstColumn="0" w:lastRowLastColumn="0"/>
            </w:pPr>
            <w:r>
              <w:t>32.3</w:t>
            </w:r>
          </w:p>
        </w:tc>
      </w:tr>
    </w:tbl>
    <w:p w:rsidR="00D35514" w:rsidRPr="00801193" w:rsidRDefault="00DB70C9" w:rsidP="00801193">
      <w:pPr>
        <w:pStyle w:val="AERtablesource"/>
      </w:pPr>
      <w:r w:rsidRPr="00801193">
        <w:t>Source: TasNetworks, RIN, Worksheet 5.1</w:t>
      </w:r>
      <w:r w:rsidR="00850939">
        <w:t>.</w:t>
      </w:r>
    </w:p>
    <w:p w:rsidR="00D35514" w:rsidRPr="00D06BEA" w:rsidRDefault="00D35514" w:rsidP="00D35514">
      <w:pPr>
        <w:pStyle w:val="HeadingBoldBlue"/>
      </w:pPr>
      <w:r w:rsidRPr="00D06BEA">
        <w:t>Ap</w:t>
      </w:r>
      <w:r>
        <w:t>plication of the EBSS in the 2014–19 period</w:t>
      </w:r>
    </w:p>
    <w:p w:rsidR="00D35514" w:rsidRDefault="00D35514" w:rsidP="00D35514">
      <w:pPr>
        <w:pStyle w:val="AERbodytext"/>
      </w:pPr>
      <w:r>
        <w:t xml:space="preserve">TasNetworks proposed version </w:t>
      </w:r>
      <w:r w:rsidR="0011041A">
        <w:t>two</w:t>
      </w:r>
      <w:r>
        <w:t xml:space="preserve"> of the scheme would apply to it</w:t>
      </w:r>
      <w:r w:rsidR="001A36B2" w:rsidRPr="001A36B2">
        <w:t xml:space="preserve"> </w:t>
      </w:r>
      <w:r w:rsidR="001A36B2">
        <w:t>in the 2014–19 period</w:t>
      </w:r>
      <w:r>
        <w:t>. It proposed to exclude the following cost categories from the scheme:</w:t>
      </w:r>
    </w:p>
    <w:p w:rsidR="00D35514" w:rsidRDefault="00D35514" w:rsidP="00D35514">
      <w:pPr>
        <w:pStyle w:val="AERbulletlistfirststyle"/>
      </w:pPr>
      <w:r>
        <w:t>network support</w:t>
      </w:r>
    </w:p>
    <w:p w:rsidR="00D35514" w:rsidRDefault="00D35514" w:rsidP="00D35514">
      <w:pPr>
        <w:pStyle w:val="AERbulletlistfirststyle"/>
      </w:pPr>
      <w:r>
        <w:t>debt raising costs</w:t>
      </w:r>
    </w:p>
    <w:p w:rsidR="00D35514" w:rsidRDefault="001A36B2" w:rsidP="00D35514">
      <w:pPr>
        <w:pStyle w:val="AERbulletlistfirststyle"/>
      </w:pPr>
      <w:r>
        <w:t xml:space="preserve">self </w:t>
      </w:r>
      <w:r w:rsidR="00D35514">
        <w:t>insurance</w:t>
      </w:r>
    </w:p>
    <w:p w:rsidR="00D35514" w:rsidRDefault="00D35514" w:rsidP="00D35514">
      <w:pPr>
        <w:pStyle w:val="AERbulletlistfirststyle"/>
      </w:pPr>
      <w:r>
        <w:t>insurance premiums</w:t>
      </w:r>
      <w:r w:rsidR="00B1625A">
        <w:t>.</w:t>
      </w:r>
      <w:r>
        <w:rPr>
          <w:rStyle w:val="FootnoteReference"/>
        </w:rPr>
        <w:footnoteReference w:id="5"/>
      </w:r>
    </w:p>
    <w:p w:rsidR="00D35514" w:rsidRDefault="00D35514" w:rsidP="00D35514">
      <w:pPr>
        <w:pStyle w:val="Heading2"/>
      </w:pPr>
      <w:bookmarkStart w:id="12" w:name="_Toc404160287"/>
      <w:r>
        <w:lastRenderedPageBreak/>
        <w:t>A</w:t>
      </w:r>
      <w:r w:rsidRPr="00B64598">
        <w:t>ssessment approach</w:t>
      </w:r>
      <w:bookmarkEnd w:id="12"/>
    </w:p>
    <w:p w:rsidR="00105BD2" w:rsidRPr="002D16B9" w:rsidRDefault="00105BD2" w:rsidP="00105BD2">
      <w:pPr>
        <w:pStyle w:val="AERbodytext"/>
      </w:pPr>
      <w:r>
        <w:t>Under t</w:t>
      </w:r>
      <w:r w:rsidRPr="002D16B9">
        <w:t xml:space="preserve">he NER </w:t>
      </w:r>
      <w:r>
        <w:t xml:space="preserve">we must </w:t>
      </w:r>
      <w:r w:rsidRPr="002D16B9">
        <w:t xml:space="preserve">decide: </w:t>
      </w:r>
    </w:p>
    <w:p w:rsidR="00AA56C0" w:rsidRPr="002D16B9" w:rsidRDefault="00AA56C0" w:rsidP="00AA56C0">
      <w:pPr>
        <w:pStyle w:val="AERnumberedlistfirststyle"/>
      </w:pPr>
      <w:r w:rsidRPr="002D16B9">
        <w:t xml:space="preserve">the </w:t>
      </w:r>
      <w:r w:rsidRPr="00061D4E">
        <w:t xml:space="preserve">revenue increments or decrements (if any) for each regulatory year </w:t>
      </w:r>
      <w:r>
        <w:t xml:space="preserve">of the 2014–19 period </w:t>
      </w:r>
      <w:r w:rsidRPr="00061D4E">
        <w:t xml:space="preserve">arising from the application of the EBSS during the </w:t>
      </w:r>
      <w:r>
        <w:t>2009–14</w:t>
      </w:r>
      <w:r w:rsidRPr="00061D4E">
        <w:t xml:space="preserve"> </w:t>
      </w:r>
      <w:r>
        <w:t xml:space="preserve">regulatory control </w:t>
      </w:r>
      <w:r w:rsidRPr="00061D4E">
        <w:t>period</w:t>
      </w:r>
      <w:r w:rsidR="001E6907">
        <w:t>.</w:t>
      </w:r>
      <w:r>
        <w:rPr>
          <w:rStyle w:val="FootnoteReference"/>
        </w:rPr>
        <w:footnoteReference w:id="6"/>
      </w:r>
    </w:p>
    <w:p w:rsidR="00AA56C0" w:rsidRDefault="00727B97" w:rsidP="00AA56C0">
      <w:pPr>
        <w:pStyle w:val="AERnumberedlistfirststyle"/>
      </w:pPr>
      <w:r>
        <w:t>the values that are to be attributed to the EBSS parameters for any EBSS that is to apply to TasNetworks in the 2014–19 period</w:t>
      </w:r>
      <w:r w:rsidR="00AA56C0" w:rsidRPr="002D16B9">
        <w:t>.</w:t>
      </w:r>
      <w:r w:rsidR="00AA56C0">
        <w:rPr>
          <w:rStyle w:val="FootnoteReference"/>
        </w:rPr>
        <w:footnoteReference w:id="7"/>
      </w:r>
    </w:p>
    <w:p w:rsidR="00105BD2" w:rsidRDefault="00105BD2" w:rsidP="00105BD2">
      <w:pPr>
        <w:pStyle w:val="AERbodytext"/>
      </w:pPr>
      <w:r>
        <w:rPr>
          <w:rStyle w:val="AERbody"/>
        </w:rPr>
        <w:t>The EBSS must provide for a fair sharing between service providers and network users of opex efficiency gains and efficiency losses.</w:t>
      </w:r>
      <w:r>
        <w:rPr>
          <w:rStyle w:val="FootnoteReference"/>
        </w:rPr>
        <w:footnoteReference w:id="8"/>
      </w:r>
      <w:r>
        <w:rPr>
          <w:rStyle w:val="AERbody"/>
        </w:rPr>
        <w:t xml:space="preserve"> We must have regard to the following factors when implementing the EBSS</w:t>
      </w:r>
      <w:r>
        <w:t>:</w:t>
      </w:r>
      <w:r>
        <w:rPr>
          <w:rStyle w:val="FootnoteReference"/>
        </w:rPr>
        <w:footnoteReference w:id="9"/>
      </w:r>
    </w:p>
    <w:p w:rsidR="00105BD2" w:rsidRPr="007439B9" w:rsidRDefault="00105BD2" w:rsidP="00105BD2">
      <w:pPr>
        <w:pStyle w:val="AERbulletlistfirststyle"/>
      </w:pPr>
      <w:r w:rsidRPr="007439B9">
        <w:t xml:space="preserve">the need to provide </w:t>
      </w:r>
      <w:r>
        <w:t>service providers</w:t>
      </w:r>
      <w:r w:rsidRPr="007439B9">
        <w:t xml:space="preserve"> with </w:t>
      </w:r>
      <w:r>
        <w:t xml:space="preserve">a </w:t>
      </w:r>
      <w:r w:rsidRPr="007439B9">
        <w:t xml:space="preserve">continuous incentive to reduce opex </w:t>
      </w:r>
    </w:p>
    <w:p w:rsidR="00105BD2" w:rsidRPr="007439B9" w:rsidRDefault="00105BD2" w:rsidP="00105BD2">
      <w:pPr>
        <w:pStyle w:val="AERbulletlistfirststyle"/>
      </w:pPr>
      <w:r w:rsidRPr="007439B9">
        <w:t xml:space="preserve">the desirability of both rewarding the </w:t>
      </w:r>
      <w:r>
        <w:t>service providers</w:t>
      </w:r>
      <w:r w:rsidRPr="007439B9">
        <w:t xml:space="preserve"> for efficiency gains and penali</w:t>
      </w:r>
      <w:r w:rsidR="0011041A">
        <w:t>sing them for efficiency losses</w:t>
      </w:r>
      <w:r w:rsidRPr="007439B9">
        <w:t xml:space="preserve"> </w:t>
      </w:r>
    </w:p>
    <w:p w:rsidR="00105BD2" w:rsidRPr="007439B9" w:rsidRDefault="00105BD2" w:rsidP="00105BD2">
      <w:pPr>
        <w:pStyle w:val="AERbulletlistfirststyle"/>
      </w:pPr>
      <w:r w:rsidRPr="007439B9">
        <w:t xml:space="preserve">any incentives that service providers may have to </w:t>
      </w:r>
      <w:r>
        <w:t xml:space="preserve">inappropriately </w:t>
      </w:r>
      <w:r w:rsidRPr="007439B9">
        <w:t xml:space="preserve">capitalise </w:t>
      </w:r>
      <w:r>
        <w:t>opex</w:t>
      </w:r>
    </w:p>
    <w:p w:rsidR="00105BD2" w:rsidRDefault="00105BD2" w:rsidP="00105BD2">
      <w:pPr>
        <w:pStyle w:val="AERbulletlistfirststyle"/>
      </w:pPr>
      <w:r w:rsidRPr="007439B9">
        <w:t>the possible effects of the scheme on incentives for the implementation of non</w:t>
      </w:r>
      <w:r>
        <w:t>–</w:t>
      </w:r>
      <w:r w:rsidRPr="007439B9">
        <w:t>network alternatives</w:t>
      </w:r>
      <w:r>
        <w:t>.</w:t>
      </w:r>
    </w:p>
    <w:p w:rsidR="00105BD2" w:rsidRPr="00105BD2" w:rsidRDefault="00105BD2" w:rsidP="00801193">
      <w:pPr>
        <w:pStyle w:val="AERbodytext"/>
        <w:rPr>
          <w:rStyle w:val="AERbody"/>
          <w:rFonts w:eastAsia="Calibri"/>
          <w:szCs w:val="20"/>
        </w:rPr>
      </w:pPr>
      <w:r>
        <w:t xml:space="preserve">Details of how the EBSS will operate </w:t>
      </w:r>
      <w:r w:rsidR="00977688">
        <w:t xml:space="preserve">in the future </w:t>
      </w:r>
      <w:r>
        <w:t xml:space="preserve">are set out in </w:t>
      </w:r>
      <w:r w:rsidRPr="00105BD2">
        <w:rPr>
          <w:rStyle w:val="AERtextitalic"/>
        </w:rPr>
        <w:t>Explanatory Statement - Efficiency Benefit Sharing Scheme for Electricity Network Service Providers</w:t>
      </w:r>
      <w:r w:rsidRPr="00105BD2">
        <w:rPr>
          <w:rStyle w:val="AERbody"/>
        </w:rPr>
        <w:t>.</w:t>
      </w:r>
      <w:r w:rsidRPr="00105BD2">
        <w:rPr>
          <w:rStyle w:val="FootnoteReference"/>
        </w:rPr>
        <w:footnoteReference w:id="10"/>
      </w:r>
    </w:p>
    <w:p w:rsidR="00724049" w:rsidRDefault="00724049" w:rsidP="00724049">
      <w:pPr>
        <w:pStyle w:val="Heading2"/>
      </w:pPr>
      <w:bookmarkStart w:id="13" w:name="_Toc404160288"/>
      <w:r w:rsidRPr="00DC57D9">
        <w:t>Interrelationships</w:t>
      </w:r>
      <w:bookmarkEnd w:id="13"/>
      <w:r w:rsidRPr="00DC57D9">
        <w:t xml:space="preserve"> </w:t>
      </w:r>
    </w:p>
    <w:p w:rsidR="00724049" w:rsidRDefault="00724049" w:rsidP="00724049">
      <w:pPr>
        <w:pStyle w:val="AERbodytext"/>
      </w:pPr>
      <w:r w:rsidRPr="009A7159">
        <w:t xml:space="preserve">The EBSS is intrinsically linked to </w:t>
      </w:r>
      <w:r>
        <w:t>a</w:t>
      </w:r>
      <w:r w:rsidRPr="009A7159">
        <w:t xml:space="preserve"> revealed cost forecasting approach</w:t>
      </w:r>
      <w:r>
        <w:t xml:space="preserve"> for opex</w:t>
      </w:r>
      <w:r w:rsidRPr="009A7159">
        <w:t xml:space="preserve">. </w:t>
      </w:r>
      <w:r>
        <w:t>Under</w:t>
      </w:r>
      <w:r w:rsidRPr="00327E47">
        <w:t xml:space="preserve"> this forecasting approach</w:t>
      </w:r>
      <w:r>
        <w:t xml:space="preserve"> the</w:t>
      </w:r>
      <w:r w:rsidRPr="00327E47">
        <w:t xml:space="preserve"> EBSS</w:t>
      </w:r>
      <w:r>
        <w:t xml:space="preserve"> has two specific functions:</w:t>
      </w:r>
    </w:p>
    <w:p w:rsidR="00724049" w:rsidRDefault="00724049" w:rsidP="00724049">
      <w:pPr>
        <w:pStyle w:val="AERbulletlistfirststyle"/>
      </w:pPr>
      <w:r>
        <w:t xml:space="preserve">To mitigate the incentive for a service provider </w:t>
      </w:r>
      <w:r w:rsidRPr="00327E47">
        <w:t>to increase opex in the expected 'base year' to increase its forecast opex allowance for the following regulatory control period.</w:t>
      </w:r>
    </w:p>
    <w:p w:rsidR="00724049" w:rsidRDefault="00724049" w:rsidP="00724049">
      <w:pPr>
        <w:pStyle w:val="AERbulletlistfirststyle"/>
      </w:pPr>
      <w:r>
        <w:t>To provide a continuous incentive for a service provider to make efficiency gains</w:t>
      </w:r>
      <w:r w:rsidR="0011041A">
        <w:t>.</w:t>
      </w:r>
      <w:r>
        <w:t xml:space="preserve"> </w:t>
      </w:r>
      <w:r w:rsidR="0011041A">
        <w:t>S</w:t>
      </w:r>
      <w:r>
        <w:t xml:space="preserve">ervice providers receive </w:t>
      </w:r>
      <w:r w:rsidRPr="00327E47">
        <w:t>the same reward for an underspend and the same penalty for an overspend in each year of the regulatory control period.</w:t>
      </w:r>
    </w:p>
    <w:p w:rsidR="00724049" w:rsidRDefault="00724049" w:rsidP="000540F7">
      <w:r w:rsidRPr="009A7159">
        <w:t xml:space="preserve">Where </w:t>
      </w:r>
      <w:r>
        <w:t>we do</w:t>
      </w:r>
      <w:r w:rsidRPr="009A7159">
        <w:t xml:space="preserve"> not</w:t>
      </w:r>
      <w:r>
        <w:t xml:space="preserve"> propose to rely on the revealed costs of a service provider in forecasting opex</w:t>
      </w:r>
      <w:r w:rsidR="00B9775F">
        <w:t>,</w:t>
      </w:r>
      <w:r w:rsidRPr="009A7159">
        <w:t xml:space="preserve"> this has consequences for the </w:t>
      </w:r>
      <w:r>
        <w:t>service provider's</w:t>
      </w:r>
      <w:r w:rsidRPr="009A7159">
        <w:t xml:space="preserve"> incentives to make productivity improvements and consequently </w:t>
      </w:r>
      <w:r>
        <w:t>our</w:t>
      </w:r>
      <w:r w:rsidRPr="009A7159">
        <w:t xml:space="preserve"> decision on </w:t>
      </w:r>
      <w:r>
        <w:t>how we</w:t>
      </w:r>
      <w:r w:rsidRPr="009A7159">
        <w:t xml:space="preserve"> apply the EBSS.</w:t>
      </w:r>
    </w:p>
    <w:p w:rsidR="00D35514" w:rsidRDefault="00D35514" w:rsidP="00D35514">
      <w:pPr>
        <w:pStyle w:val="Heading2"/>
      </w:pPr>
      <w:bookmarkStart w:id="14" w:name="_Toc404160289"/>
      <w:r w:rsidRPr="00B64598">
        <w:t>Reasons for draft decision</w:t>
      </w:r>
      <w:bookmarkEnd w:id="14"/>
    </w:p>
    <w:p w:rsidR="00D35514" w:rsidRPr="00AB237C" w:rsidRDefault="00D35514" w:rsidP="00D35514">
      <w:pPr>
        <w:pStyle w:val="AERbodytext"/>
      </w:pPr>
      <w:r>
        <w:t xml:space="preserve">This section provides the reasons for our draft decision </w:t>
      </w:r>
      <w:r w:rsidR="008E2124">
        <w:t xml:space="preserve">on </w:t>
      </w:r>
      <w:r w:rsidRPr="002D16B9">
        <w:t>the carryover amounts that arise from a</w:t>
      </w:r>
      <w:r>
        <w:t>pplying the EBSS during the 2009</w:t>
      </w:r>
      <w:r w:rsidRPr="002D16B9">
        <w:t>–14 regulatory control period</w:t>
      </w:r>
      <w:r>
        <w:t>,</w:t>
      </w:r>
      <w:r w:rsidRPr="002D16B9">
        <w:t xml:space="preserve"> </w:t>
      </w:r>
      <w:r>
        <w:t xml:space="preserve">and </w:t>
      </w:r>
      <w:r w:rsidRPr="002D16B9">
        <w:t xml:space="preserve">how </w:t>
      </w:r>
      <w:r>
        <w:t xml:space="preserve">we will apply </w:t>
      </w:r>
      <w:r w:rsidRPr="002D16B9">
        <w:t xml:space="preserve">the EBSS </w:t>
      </w:r>
      <w:r>
        <w:t>in the 2014–19</w:t>
      </w:r>
      <w:r w:rsidRPr="002D16B9">
        <w:t xml:space="preserve"> period.</w:t>
      </w:r>
    </w:p>
    <w:p w:rsidR="00D35514" w:rsidRPr="00C061ED" w:rsidRDefault="00D35514" w:rsidP="00D35514">
      <w:pPr>
        <w:pStyle w:val="Heading3"/>
      </w:pPr>
      <w:bookmarkStart w:id="15" w:name="_Ref396474023"/>
      <w:bookmarkStart w:id="16" w:name="_Toc404160290"/>
      <w:r w:rsidRPr="00C061ED">
        <w:lastRenderedPageBreak/>
        <w:t>Carryover amounts from the 2009–14 regulatory control period</w:t>
      </w:r>
      <w:bookmarkEnd w:id="15"/>
      <w:bookmarkEnd w:id="16"/>
    </w:p>
    <w:p w:rsidR="00947D40" w:rsidRDefault="00293343" w:rsidP="0011041A">
      <w:pPr>
        <w:pStyle w:val="AERbodytext"/>
        <w:numPr>
          <w:ilvl w:val="0"/>
          <w:numId w:val="0"/>
        </w:numPr>
      </w:pPr>
      <w:r>
        <w:t>W</w:t>
      </w:r>
      <w:r w:rsidRPr="005D1B25">
        <w:t xml:space="preserve">e </w:t>
      </w:r>
      <w:r>
        <w:t>have calculated the carryover amounts for the EBSS that applied</w:t>
      </w:r>
      <w:r w:rsidRPr="003C3CBA">
        <w:t xml:space="preserve"> </w:t>
      </w:r>
      <w:r>
        <w:t>during the 2009</w:t>
      </w:r>
      <w:r w:rsidRPr="002D16B9">
        <w:t>–14 regulatory control period</w:t>
      </w:r>
      <w:r>
        <w:t xml:space="preserve"> in accordance with section 2.4 of version one of the EBSS. Our calculation of the EBSS carryover amounts is different to TasNetworks' calculation for two reasons:</w:t>
      </w:r>
    </w:p>
    <w:p w:rsidR="00947D40" w:rsidRDefault="00947D40" w:rsidP="008E2124">
      <w:pPr>
        <w:pStyle w:val="AERbodytext"/>
      </w:pPr>
      <w:r>
        <w:t xml:space="preserve">Firstly, to calculate the EBSS carryover amounts we have excluded superannuation costs from </w:t>
      </w:r>
      <w:r w:rsidR="001B69EB">
        <w:t>TasNetworks'</w:t>
      </w:r>
      <w:r>
        <w:t xml:space="preserve"> actual opex </w:t>
      </w:r>
      <w:r w:rsidR="004A3D77">
        <w:t>in</w:t>
      </w:r>
      <w:r>
        <w:t xml:space="preserve"> 2009–14. In determining that the EBSS would apply to TasNetwor</w:t>
      </w:r>
      <w:r w:rsidR="00977688">
        <w:t>ks for the 2009–14</w:t>
      </w:r>
      <w:r>
        <w:t xml:space="preserve"> regulatory control period, we determined that we would exclude these costs. TasNetworks did not remove these costs when it calculated its proposed EBSS amounts.</w:t>
      </w:r>
    </w:p>
    <w:p w:rsidR="00947D40" w:rsidRDefault="00947D40" w:rsidP="008E2124">
      <w:pPr>
        <w:pStyle w:val="AERbodytext"/>
      </w:pPr>
      <w:r>
        <w:t>Secondly, we have removed</w:t>
      </w:r>
      <w:r w:rsidR="008E2124">
        <w:t xml:space="preserve"> movement</w:t>
      </w:r>
      <w:r w:rsidR="00282293">
        <w:t>s</w:t>
      </w:r>
      <w:r w:rsidR="008E2124">
        <w:t xml:space="preserve"> in provisions </w:t>
      </w:r>
      <w:r>
        <w:t xml:space="preserve">from TasNetworks' actual opex in </w:t>
      </w:r>
      <w:r w:rsidR="008E2124">
        <w:t xml:space="preserve">the </w:t>
      </w:r>
      <w:r w:rsidR="008E2124" w:rsidRPr="005D1B25">
        <w:t>200</w:t>
      </w:r>
      <w:r w:rsidR="008E2124">
        <w:t>9–</w:t>
      </w:r>
      <w:r w:rsidR="008E2124" w:rsidRPr="005D1B25">
        <w:t xml:space="preserve">14 </w:t>
      </w:r>
      <w:r w:rsidR="008E2124">
        <w:t xml:space="preserve">regulatory control period. </w:t>
      </w:r>
    </w:p>
    <w:p w:rsidR="00947D40" w:rsidRPr="001E07B9" w:rsidRDefault="00947D40" w:rsidP="00947D40">
      <w:pPr>
        <w:pStyle w:val="AERbodytext"/>
      </w:pPr>
      <w:r w:rsidRPr="001E07B9">
        <w:t xml:space="preserve">A provision is a type of accrual accounting practice. </w:t>
      </w:r>
      <w:r>
        <w:t xml:space="preserve">A business records an increase in a provision where it expects it will incur a future cost. </w:t>
      </w:r>
      <w:r w:rsidRPr="001E07B9">
        <w:t>Increases in provisions are often allocated to expenditure, and in particular, to opex.</w:t>
      </w:r>
      <w:r>
        <w:t xml:space="preserve"> Accordingly</w:t>
      </w:r>
      <w:r w:rsidR="0011041A">
        <w:t>,</w:t>
      </w:r>
      <w:r>
        <w:t xml:space="preserve"> if a business considers it is likely it will incur a future cost, or it expects the future cost will be different to that it has previously recorded, reported actual expenditure will increase. This means a business records increases in expenditure when it estimates there is a change in a liability it faces. It may not actually expect to incur the cost for some time and the cost will not necessarily eventuate in the amount predicted.</w:t>
      </w:r>
    </w:p>
    <w:p w:rsidR="00947D40" w:rsidRDefault="00947D40" w:rsidP="008E2124">
      <w:pPr>
        <w:pStyle w:val="AERbodytext"/>
      </w:pPr>
      <w:r>
        <w:t>In the 2009–14 regulatory control period, TasNetworks reported increases in provisions for long service leave, annual leave</w:t>
      </w:r>
      <w:r w:rsidR="00724049">
        <w:t>, employee incentive payments and organisational restructuring</w:t>
      </w:r>
      <w:r>
        <w:t xml:space="preserve"> as actual opex. This affected </w:t>
      </w:r>
      <w:r w:rsidR="00724049">
        <w:t>its</w:t>
      </w:r>
      <w:r>
        <w:t xml:space="preserve"> reported EBSS carryover amounts</w:t>
      </w:r>
      <w:r w:rsidR="00724049">
        <w:t>.</w:t>
      </w:r>
    </w:p>
    <w:p w:rsidR="00724049" w:rsidRDefault="00724049" w:rsidP="00724049">
      <w:r>
        <w:t>W</w:t>
      </w:r>
      <w:r w:rsidRPr="00800544">
        <w:t xml:space="preserve">e </w:t>
      </w:r>
      <w:r>
        <w:t>consider that</w:t>
      </w:r>
      <w:r w:rsidRPr="00800544">
        <w:t xml:space="preserve"> movement</w:t>
      </w:r>
      <w:r>
        <w:t>s</w:t>
      </w:r>
      <w:r w:rsidRPr="00800544">
        <w:t xml:space="preserve"> in provisions should be </w:t>
      </w:r>
      <w:r>
        <w:t>excluded from EBSS calculations. This is because the increases in provisions do not represent the actual cost incurred in delivering network services when calculating efficiency gains or losses. This is consistent with the applicable EBSS.</w:t>
      </w:r>
    </w:p>
    <w:p w:rsidR="00724049" w:rsidRDefault="00724049" w:rsidP="00724049">
      <w:pPr>
        <w:pStyle w:val="AERquote"/>
      </w:pPr>
      <w:r w:rsidRPr="008C131F">
        <w:t>In calculating carryover gains or losses, the AER must be satisfied that the actual and</w:t>
      </w:r>
      <w:r>
        <w:t xml:space="preserve"> </w:t>
      </w:r>
      <w:r w:rsidRPr="008C131F">
        <w:t>forecast opex accurately r</w:t>
      </w:r>
      <w:r w:rsidR="00FE7968">
        <w:t>eflects the costs faced by the T</w:t>
      </w:r>
      <w:r w:rsidRPr="008C131F">
        <w:t>NSP in the regulatory control</w:t>
      </w:r>
      <w:r>
        <w:t xml:space="preserve"> </w:t>
      </w:r>
      <w:r w:rsidRPr="008C131F">
        <w:t>period.</w:t>
      </w:r>
      <w:r>
        <w:rPr>
          <w:rStyle w:val="FootnoteReference"/>
        </w:rPr>
        <w:footnoteReference w:id="11"/>
      </w:r>
    </w:p>
    <w:p w:rsidR="00724049" w:rsidRPr="001424A9" w:rsidRDefault="00724049" w:rsidP="00724049">
      <w:r w:rsidRPr="001424A9">
        <w:t xml:space="preserve">The EBSS is designed to reward businesses for becoming more efficient over time and penalise them for becoming less efficient. It is the actual costs a </w:t>
      </w:r>
      <w:r>
        <w:t>service provider</w:t>
      </w:r>
      <w:r w:rsidRPr="001424A9">
        <w:t xml:space="preserve"> incurs that we are concerned about when measuring efficiency improvements. In contrast, provisions are estimates of future costs a business expects to incur. A change in a provision is, in essence, a revised estimate. Estimating future costs usually involves making assumptions. These assumptions often change over time as new information becomes available, creating forecasting uncertainty. The uncertainty about provisions is what distinguishes them from other liabilities in the accounting standards.</w:t>
      </w:r>
      <w:r w:rsidRPr="001424A9">
        <w:rPr>
          <w:rStyle w:val="FootnoteReference"/>
        </w:rPr>
        <w:footnoteReference w:id="12"/>
      </w:r>
      <w:r w:rsidRPr="001424A9">
        <w:t xml:space="preserve"> </w:t>
      </w:r>
    </w:p>
    <w:p w:rsidR="00724049" w:rsidRDefault="00724049" w:rsidP="00724049">
      <w:pPr>
        <w:pStyle w:val="AERbodytext"/>
      </w:pPr>
      <w:r w:rsidRPr="001424A9">
        <w:t xml:space="preserve">For example, </w:t>
      </w:r>
      <w:r>
        <w:t>t</w:t>
      </w:r>
      <w:r w:rsidRPr="001424A9">
        <w:t>o calculate the change in provisions</w:t>
      </w:r>
      <w:r>
        <w:t xml:space="preserve"> for employee entitlements</w:t>
      </w:r>
      <w:r w:rsidRPr="001424A9">
        <w:t xml:space="preserve">, a business must make assumptions about how much its current workers will be paid in the future, when it expects them to leave or retire, the rate at which they will take leave, as well as the time value of money. Significant discretion and judgment is involved in forming these assumptions. The valuation of the future liability can be very sensitive to small changes in assumptions. Accordingly, the amount charged to opex could change significantly with relatively minor changes in assumptions. </w:t>
      </w:r>
    </w:p>
    <w:p w:rsidR="00724049" w:rsidRDefault="00724049" w:rsidP="00724049">
      <w:pPr>
        <w:pStyle w:val="AERbodytext"/>
      </w:pPr>
      <w:r w:rsidRPr="001424A9">
        <w:lastRenderedPageBreak/>
        <w:t xml:space="preserve">To reward or penalise a </w:t>
      </w:r>
      <w:r>
        <w:t>service provider</w:t>
      </w:r>
      <w:r w:rsidRPr="001424A9">
        <w:t xml:space="preserve"> for changes in provisions would reward or penalise it for changes in assumptions, not efficiency improvements. This undermines what the EBSS is intended to do, namely reward efficiency improvements and penalise declines in efficiency. While provisions might need to be treated in a particular way for accounting purposes, for regulatory pricing purposes</w:t>
      </w:r>
      <w:r>
        <w:t>,</w:t>
      </w:r>
      <w:r w:rsidRPr="001424A9">
        <w:t xml:space="preserve"> treating provisions as actual costs can lead to perverse outcomes. </w:t>
      </w:r>
      <w:r>
        <w:t xml:space="preserve">Based on </w:t>
      </w:r>
      <w:r w:rsidR="001B69EB">
        <w:t>TasNetworks'</w:t>
      </w:r>
      <w:r>
        <w:t xml:space="preserve"> calculations</w:t>
      </w:r>
      <w:r w:rsidR="0054073C">
        <w:t>,</w:t>
      </w:r>
      <w:r>
        <w:t xml:space="preserve"> its consumers would pay for efficiency carryover amounts that do not reflect changes in the underlying level of efficiency in providing transmission services during the 2009–14 regulatory control period. To reward TasNetworks for changes in assumptions </w:t>
      </w:r>
      <w:r w:rsidRPr="001424A9">
        <w:t>would be contrary to the aims of the EBSS under the NER.</w:t>
      </w:r>
    </w:p>
    <w:p w:rsidR="00977688" w:rsidRDefault="00977688" w:rsidP="00977688">
      <w:pPr>
        <w:pStyle w:val="AERbodytext"/>
      </w:pPr>
      <w:r w:rsidRPr="00977688">
        <w:t xml:space="preserve">We note that the </w:t>
      </w:r>
      <w:r w:rsidR="00B9775F">
        <w:t>MEU</w:t>
      </w:r>
      <w:r w:rsidRPr="00977688">
        <w:t xml:space="preserve"> proposed we not apply the EBSS carryover amounts.</w:t>
      </w:r>
      <w:r w:rsidRPr="00977688">
        <w:rPr>
          <w:rStyle w:val="FootnoteReference"/>
        </w:rPr>
        <w:footnoteReference w:id="13"/>
      </w:r>
      <w:r w:rsidRPr="00977688">
        <w:t xml:space="preserve"> It considered TasNetworks overstated its opex needs in the 2009–14 regulatory control period so the EBSS carryover amounts are not justified. </w:t>
      </w:r>
    </w:p>
    <w:p w:rsidR="00977688" w:rsidRPr="00977688" w:rsidRDefault="00977688" w:rsidP="00977688">
      <w:pPr>
        <w:pStyle w:val="AERbodytext"/>
      </w:pPr>
      <w:r w:rsidRPr="00977688">
        <w:t xml:space="preserve">This course of action is not open to us. The carryover is calculated under the terms of the EBSS which we set out and applied in our determination for the 2009–14 regulatory control period. </w:t>
      </w:r>
      <w:r w:rsidR="007A1D50">
        <w:t>I</w:t>
      </w:r>
      <w:r w:rsidRPr="00977688">
        <w:t xml:space="preserve">ncentives </w:t>
      </w:r>
      <w:r w:rsidR="001E6907">
        <w:t>work best</w:t>
      </w:r>
      <w:r w:rsidRPr="00977688">
        <w:t xml:space="preserve"> where the rewards and penalties facing a business are clear in advance of when it makes a decision to spend money. A business bases its expenditure decisions on the potential rewards and potential penalties it would face. To not apply the EBSS when we have committed to this approach undermines the incentive based arrangements in the regulatory regime.</w:t>
      </w:r>
    </w:p>
    <w:p w:rsidR="00D35514" w:rsidRPr="00C061ED" w:rsidRDefault="00D35514" w:rsidP="00D35514">
      <w:pPr>
        <w:pStyle w:val="Heading3"/>
      </w:pPr>
      <w:bookmarkStart w:id="17" w:name="_Ref398823659"/>
      <w:bookmarkStart w:id="18" w:name="_Toc404160291"/>
      <w:r w:rsidRPr="00C061ED">
        <w:t>How th</w:t>
      </w:r>
      <w:r>
        <w:t xml:space="preserve">e EBSS will apply in the </w:t>
      </w:r>
      <w:r w:rsidR="00105BD2">
        <w:t>2014–19 period</w:t>
      </w:r>
      <w:bookmarkEnd w:id="17"/>
      <w:bookmarkEnd w:id="18"/>
    </w:p>
    <w:p w:rsidR="00D35514" w:rsidRDefault="00D35514" w:rsidP="00D35514">
      <w:pPr>
        <w:rPr>
          <w:rStyle w:val="AERbody"/>
        </w:rPr>
      </w:pPr>
      <w:r w:rsidRPr="00A95046">
        <w:rPr>
          <w:rStyle w:val="AERbody"/>
        </w:rPr>
        <w:t>We will apply version two of the EBSS</w:t>
      </w:r>
      <w:r w:rsidR="00CE7487">
        <w:rPr>
          <w:rStyle w:val="AERbody"/>
        </w:rPr>
        <w:t xml:space="preserve"> </w:t>
      </w:r>
      <w:r w:rsidRPr="00A95046">
        <w:rPr>
          <w:rStyle w:val="AERbody"/>
        </w:rPr>
        <w:t xml:space="preserve">to </w:t>
      </w:r>
      <w:r>
        <w:rPr>
          <w:rStyle w:val="AERbody"/>
        </w:rPr>
        <w:t>TasNetworks.</w:t>
      </w:r>
      <w:r w:rsidRPr="00A95046">
        <w:t xml:space="preserve"> We consider the EBSS is needed to provide </w:t>
      </w:r>
      <w:r w:rsidR="00105BD2">
        <w:t>TasNetworks</w:t>
      </w:r>
      <w:r w:rsidRPr="00A95046">
        <w:t xml:space="preserve"> with a continuous incentive to pursue efficiency gains </w:t>
      </w:r>
      <w:r w:rsidRPr="00A95046">
        <w:rPr>
          <w:rStyle w:val="AERbody"/>
        </w:rPr>
        <w:t>during the 201</w:t>
      </w:r>
      <w:r w:rsidR="00E12171">
        <w:rPr>
          <w:rStyle w:val="AERbody"/>
        </w:rPr>
        <w:t>4</w:t>
      </w:r>
      <w:r w:rsidRPr="00A95046">
        <w:rPr>
          <w:rStyle w:val="AERbody"/>
        </w:rPr>
        <w:t>–</w:t>
      </w:r>
      <w:r w:rsidR="00E12171">
        <w:rPr>
          <w:rStyle w:val="AERbody"/>
        </w:rPr>
        <w:t>1</w:t>
      </w:r>
      <w:r w:rsidR="00105BD2">
        <w:rPr>
          <w:rStyle w:val="AERbody"/>
        </w:rPr>
        <w:t>9</w:t>
      </w:r>
      <w:r w:rsidRPr="00A95046">
        <w:rPr>
          <w:rStyle w:val="AERbody"/>
        </w:rPr>
        <w:t xml:space="preserve"> period. As we typically rely on a</w:t>
      </w:r>
      <w:r>
        <w:rPr>
          <w:rStyle w:val="AERbody"/>
        </w:rPr>
        <w:t xml:space="preserve"> single year</w:t>
      </w:r>
      <w:r w:rsidRPr="00A95046">
        <w:rPr>
          <w:rStyle w:val="AERbody"/>
        </w:rPr>
        <w:t xml:space="preserve"> revealed cost approach to forecasting opex, we consider the EBSS is also needed to provide </w:t>
      </w:r>
      <w:r>
        <w:rPr>
          <w:rStyle w:val="AERbody"/>
        </w:rPr>
        <w:t>TasNetworks</w:t>
      </w:r>
      <w:r w:rsidRPr="00A95046">
        <w:rPr>
          <w:rStyle w:val="AERbody"/>
        </w:rPr>
        <w:t xml:space="preserve"> with an incentive not to increase its opex in the expected base year.</w:t>
      </w:r>
    </w:p>
    <w:p w:rsidR="00D35514" w:rsidRPr="00A95046" w:rsidRDefault="00D35514" w:rsidP="00D35514">
      <w:r>
        <w:rPr>
          <w:rStyle w:val="AERbody"/>
        </w:rPr>
        <w:t>In its submission</w:t>
      </w:r>
      <w:r w:rsidR="007A1D50">
        <w:rPr>
          <w:rStyle w:val="AERbody"/>
        </w:rPr>
        <w:t>,</w:t>
      </w:r>
      <w:r>
        <w:rPr>
          <w:rStyle w:val="AERbody"/>
        </w:rPr>
        <w:t xml:space="preserve"> the EUAA noted the interactions between the EBSS and our opex forecasting approach. It supported</w:t>
      </w:r>
      <w:r>
        <w:t xml:space="preserve"> the concept of the EBSS</w:t>
      </w:r>
      <w:r w:rsidR="007A1D50">
        <w:t>,</w:t>
      </w:r>
      <w:r>
        <w:t xml:space="preserve"> provided that the approved opex is prudent and efficient and that </w:t>
      </w:r>
      <w:r w:rsidR="007A1D50">
        <w:t xml:space="preserve">any </w:t>
      </w:r>
      <w:r>
        <w:t>underspend can be realised by customers rather than overtaken by inflated step changes and escalators.</w:t>
      </w:r>
      <w:r>
        <w:rPr>
          <w:rStyle w:val="FootnoteReference"/>
        </w:rPr>
        <w:footnoteReference w:id="14"/>
      </w:r>
      <w:r>
        <w:t xml:space="preserve"> We agree with the EUAA that for consumers to benefit from the EBSS, reductions in actual opex must be passed through to consumers through a lower forecast. As outlined in </w:t>
      </w:r>
      <w:r w:rsidR="001E6907" w:rsidRPr="001E6907">
        <w:rPr>
          <w:rStyle w:val="AERbody"/>
        </w:rPr>
        <w:t>a</w:t>
      </w:r>
      <w:r w:rsidRPr="001E6907">
        <w:rPr>
          <w:rStyle w:val="AERbody"/>
        </w:rPr>
        <w:t xml:space="preserve">ttachment </w:t>
      </w:r>
      <w:r w:rsidR="001E6907" w:rsidRPr="001E6907">
        <w:rPr>
          <w:rStyle w:val="AERbody"/>
        </w:rPr>
        <w:t>7</w:t>
      </w:r>
      <w:r w:rsidRPr="001E6907">
        <w:rPr>
          <w:rStyle w:val="AERbody"/>
        </w:rPr>
        <w:t xml:space="preserve"> our </w:t>
      </w:r>
      <w:r>
        <w:t xml:space="preserve">preference is to use a base year when forecasting opex. This approach helps to </w:t>
      </w:r>
      <w:r w:rsidR="00DE71D0">
        <w:t xml:space="preserve">provide </w:t>
      </w:r>
      <w:r>
        <w:t xml:space="preserve">consumers </w:t>
      </w:r>
      <w:r w:rsidR="00362BBB">
        <w:t>potential</w:t>
      </w:r>
      <w:r w:rsidR="00DE71D0">
        <w:t xml:space="preserve"> </w:t>
      </w:r>
      <w:r>
        <w:t>benefit</w:t>
      </w:r>
      <w:r w:rsidR="00DE71D0">
        <w:t>s</w:t>
      </w:r>
      <w:r>
        <w:t xml:space="preserve"> </w:t>
      </w:r>
      <w:r w:rsidR="00362BBB">
        <w:t xml:space="preserve">of lower prices </w:t>
      </w:r>
      <w:r>
        <w:t>where a NSP makes reductions in opex.</w:t>
      </w:r>
    </w:p>
    <w:p w:rsidR="00D35514" w:rsidRPr="00A95046" w:rsidRDefault="00D35514" w:rsidP="00D35514">
      <w:pPr>
        <w:rPr>
          <w:rStyle w:val="AERbody"/>
        </w:rPr>
      </w:pPr>
      <w:r w:rsidRPr="00A95046">
        <w:t xml:space="preserve">Version </w:t>
      </w:r>
      <w:r w:rsidR="007A1D50">
        <w:t>two</w:t>
      </w:r>
      <w:r w:rsidRPr="00A95046">
        <w:t xml:space="preserve"> of the EBSS specifies our approach to determining the length of the carryover period, calculating the incremental efficiency gains and adjusting forecast or actual opex when calculating carryover amounts. </w:t>
      </w:r>
      <w:r>
        <w:t>These are detailed below.</w:t>
      </w:r>
    </w:p>
    <w:p w:rsidR="00D35514" w:rsidRDefault="00D35514" w:rsidP="00D35514">
      <w:pPr>
        <w:pStyle w:val="HeadingBoldBlue"/>
      </w:pPr>
      <w:r>
        <w:t>Length of carryover period</w:t>
      </w:r>
    </w:p>
    <w:p w:rsidR="00206242" w:rsidRDefault="00206242" w:rsidP="00206242">
      <w:pPr>
        <w:pStyle w:val="AERbodytext"/>
      </w:pPr>
      <w:r>
        <w:t>The length of th</w:t>
      </w:r>
      <w:r w:rsidR="007A1D50">
        <w:t>e carryover period for the 2014–</w:t>
      </w:r>
      <w:r>
        <w:t>19 period will be five years. This align</w:t>
      </w:r>
      <w:r w:rsidR="007A1D50">
        <w:t>s</w:t>
      </w:r>
      <w:r>
        <w:t xml:space="preserve"> the EBSS carryover period with the </w:t>
      </w:r>
      <w:r w:rsidR="007A1D50">
        <w:t xml:space="preserve">total </w:t>
      </w:r>
      <w:r>
        <w:t xml:space="preserve">length of </w:t>
      </w:r>
      <w:r w:rsidR="001B69EB">
        <w:t>TasNetworks'</w:t>
      </w:r>
      <w:r>
        <w:t xml:space="preserve"> regulatory control period</w:t>
      </w:r>
      <w:r w:rsidR="007A1D50">
        <w:t>s (that is</w:t>
      </w:r>
      <w:r w:rsidR="00B1339B">
        <w:t>,</w:t>
      </w:r>
      <w:r w:rsidR="007A1D50">
        <w:t xml:space="preserve"> the 2014–</w:t>
      </w:r>
      <w:r w:rsidR="00297D75">
        <w:t>15 trans</w:t>
      </w:r>
      <w:r w:rsidR="007A1D50">
        <w:t>itional period and the 2015–</w:t>
      </w:r>
      <w:r w:rsidR="00296F1E">
        <w:t>19</w:t>
      </w:r>
      <w:r w:rsidR="00297D75">
        <w:t xml:space="preserve"> subsequent regulatory control period)</w:t>
      </w:r>
      <w:r>
        <w:t xml:space="preserve">. </w:t>
      </w:r>
    </w:p>
    <w:p w:rsidR="00D35514" w:rsidRDefault="00D35514" w:rsidP="00D35514">
      <w:pPr>
        <w:pStyle w:val="HeadingBoldBlue"/>
      </w:pPr>
      <w:r>
        <w:lastRenderedPageBreak/>
        <w:t>Incremental efficiency gains</w:t>
      </w:r>
    </w:p>
    <w:p w:rsidR="00D35514" w:rsidRDefault="00D35514" w:rsidP="00D35514">
      <w:pPr>
        <w:pStyle w:val="AERbodytext"/>
      </w:pPr>
      <w:r>
        <w:t>We will calculate incremental efficiency gains differently depending on whether they are in:</w:t>
      </w:r>
    </w:p>
    <w:p w:rsidR="00D35514" w:rsidRDefault="00D35514" w:rsidP="00D35514">
      <w:pPr>
        <w:pStyle w:val="AERbulletlistfirststyle"/>
      </w:pPr>
      <w:r>
        <w:t>the first regulatory year</w:t>
      </w:r>
    </w:p>
    <w:p w:rsidR="00D35514" w:rsidRDefault="00D35514" w:rsidP="00D35514">
      <w:pPr>
        <w:pStyle w:val="AERbulletlistfirststyle"/>
      </w:pPr>
      <w:r>
        <w:t>the second regulatory year to the penultimate regulatory year</w:t>
      </w:r>
    </w:p>
    <w:p w:rsidR="00D35514" w:rsidRDefault="00D35514" w:rsidP="00D35514">
      <w:pPr>
        <w:pStyle w:val="AERbulletlistfirststyle"/>
      </w:pPr>
      <w:r>
        <w:t>the final regulatory year.</w:t>
      </w:r>
    </w:p>
    <w:p w:rsidR="00D35514" w:rsidRDefault="00D35514" w:rsidP="00D35514">
      <w:pPr>
        <w:pStyle w:val="AERbodytext"/>
      </w:pPr>
      <w:r>
        <w:t>We will do this according to the formulas set out in version two of the EBSS.</w:t>
      </w:r>
      <w:r>
        <w:rPr>
          <w:rStyle w:val="FootnoteReference"/>
        </w:rPr>
        <w:footnoteReference w:id="15"/>
      </w:r>
      <w:r>
        <w:t xml:space="preserve"> </w:t>
      </w:r>
    </w:p>
    <w:p w:rsidR="00D35514" w:rsidRPr="003F54B9" w:rsidRDefault="00D35514" w:rsidP="00D35514">
      <w:pPr>
        <w:pStyle w:val="AERbodytext"/>
      </w:pPr>
      <w:r>
        <w:t xml:space="preserve">When calculating actual opex under the EBSS we will </w:t>
      </w:r>
      <w:r w:rsidRPr="006F6CCB">
        <w:t xml:space="preserve">adjust </w:t>
      </w:r>
      <w:r>
        <w:t xml:space="preserve">reported </w:t>
      </w:r>
      <w:r w:rsidRPr="006F6CCB">
        <w:t xml:space="preserve">actual opex for the </w:t>
      </w:r>
      <w:r w:rsidR="00105BD2">
        <w:t>2014–19 period</w:t>
      </w:r>
      <w:r w:rsidRPr="006F6CCB">
        <w:t xml:space="preserve"> to rever</w:t>
      </w:r>
      <w:r>
        <w:t>se any movements in provisions. As outlined in</w:t>
      </w:r>
      <w:r w:rsidR="00A6169E">
        <w:t xml:space="preserve"> section</w:t>
      </w:r>
      <w:r>
        <w:t xml:space="preserve"> </w:t>
      </w:r>
      <w:r>
        <w:fldChar w:fldCharType="begin"/>
      </w:r>
      <w:r>
        <w:instrText xml:space="preserve"> REF _Ref396474023 \r \h </w:instrText>
      </w:r>
      <w:r>
        <w:fldChar w:fldCharType="separate"/>
      </w:r>
      <w:r w:rsidR="004D6E39">
        <w:t>9.5.1</w:t>
      </w:r>
      <w:r>
        <w:fldChar w:fldCharType="end"/>
      </w:r>
      <w:r w:rsidR="00A6169E">
        <w:t xml:space="preserve"> above</w:t>
      </w:r>
      <w:r w:rsidR="004054E4">
        <w:t>,</w:t>
      </w:r>
      <w:r>
        <w:t xml:space="preserve"> for regulatory purposes we consider actual opex net of movement in provisions best reflects the actual opex incurred by the </w:t>
      </w:r>
      <w:r w:rsidR="007A1D50">
        <w:t>service provider</w:t>
      </w:r>
      <w:r>
        <w:t xml:space="preserve"> during the regulatory control period.</w:t>
      </w:r>
    </w:p>
    <w:p w:rsidR="00D35514" w:rsidRDefault="00D35514" w:rsidP="00D35514">
      <w:pPr>
        <w:pStyle w:val="HeadingBoldBlue"/>
      </w:pPr>
      <w:r>
        <w:t>Adjustments to forecast or actual opex when calculating carryover amounts</w:t>
      </w:r>
    </w:p>
    <w:p w:rsidR="00D35514" w:rsidRDefault="00D35514" w:rsidP="00D35514">
      <w:pPr>
        <w:pStyle w:val="AERbodytext"/>
      </w:pPr>
      <w:r w:rsidRPr="00E43204">
        <w:t xml:space="preserve">The EBSS also allows for exclusions of categories of costs from the EBSS where we do not </w:t>
      </w:r>
      <w:r w:rsidR="007A1D50">
        <w:t>forecast them using</w:t>
      </w:r>
      <w:r w:rsidRPr="00E43204">
        <w:t xml:space="preserve"> a single year revealed cost forecasting approach. This is designed to fair</w:t>
      </w:r>
      <w:r w:rsidR="00A6169E">
        <w:t>ly</w:t>
      </w:r>
      <w:r w:rsidRPr="00E43204">
        <w:t xml:space="preserve"> </w:t>
      </w:r>
      <w:r w:rsidR="00A6169E" w:rsidRPr="00E43204">
        <w:t>shar</w:t>
      </w:r>
      <w:r w:rsidR="00A6169E">
        <w:t>e</w:t>
      </w:r>
      <w:r w:rsidR="00A6169E" w:rsidRPr="00E43204">
        <w:t xml:space="preserve"> </w:t>
      </w:r>
      <w:r w:rsidRPr="00E43204">
        <w:t>efficiency gains and losses. For instance</w:t>
      </w:r>
      <w:r w:rsidR="00444BF4">
        <w:t>,</w:t>
      </w:r>
      <w:r w:rsidRPr="00E43204">
        <w:t xml:space="preserve"> where a </w:t>
      </w:r>
      <w:r w:rsidR="007A1D50">
        <w:t>service provider</w:t>
      </w:r>
      <w:r w:rsidRPr="00E43204">
        <w:t xml:space="preserve"> achieves efficiency improvements, </w:t>
      </w:r>
      <w:r w:rsidR="007A1D50">
        <w:t>it</w:t>
      </w:r>
      <w:r w:rsidRPr="00E43204">
        <w:t xml:space="preserve"> receive</w:t>
      </w:r>
      <w:r w:rsidR="007A1D50">
        <w:t>s</w:t>
      </w:r>
      <w:r w:rsidRPr="00E43204">
        <w:t xml:space="preserve"> a benefit through the EBSS</w:t>
      </w:r>
      <w:r w:rsidR="00A6169E">
        <w:t xml:space="preserve"> and c</w:t>
      </w:r>
      <w:r w:rsidRPr="00E43204">
        <w:t>onsumers receive a benefit through lower forecast opex in the next period. This is the way consumer</w:t>
      </w:r>
      <w:r w:rsidR="00A6169E">
        <w:t>s</w:t>
      </w:r>
      <w:r w:rsidRPr="00E43204">
        <w:t xml:space="preserve"> and </w:t>
      </w:r>
      <w:r w:rsidR="00A6169E">
        <w:t xml:space="preserve">the </w:t>
      </w:r>
      <w:r w:rsidR="007A1D50">
        <w:t>service provider</w:t>
      </w:r>
      <w:r w:rsidRPr="00E43204">
        <w:t xml:space="preserve"> share in the benefits of an efficiency improvement.</w:t>
      </w:r>
    </w:p>
    <w:p w:rsidR="00D35514" w:rsidRPr="001A52DA" w:rsidRDefault="00D35514" w:rsidP="00D35514">
      <w:pPr>
        <w:pStyle w:val="AERbodytext"/>
      </w:pPr>
      <w:r w:rsidRPr="001A52DA">
        <w:t>If we do not use a single year revealed cost forecasting approach, lower actual opex will not necessarily be passed through to consumers. Consumer</w:t>
      </w:r>
      <w:r w:rsidR="002F3CF7">
        <w:t>s</w:t>
      </w:r>
      <w:r w:rsidRPr="001A52DA">
        <w:t xml:space="preserve"> should not pay for EBSS benefits where </w:t>
      </w:r>
      <w:r w:rsidR="00A6169E">
        <w:t>they</w:t>
      </w:r>
      <w:r w:rsidRPr="001A52DA">
        <w:t xml:space="preserve"> do not receive the benefits of a lower </w:t>
      </w:r>
      <w:r w:rsidR="004A3D77">
        <w:t xml:space="preserve">opex </w:t>
      </w:r>
      <w:r w:rsidRPr="001A52DA">
        <w:t>forecast.</w:t>
      </w:r>
    </w:p>
    <w:p w:rsidR="00D35514" w:rsidRDefault="00D35514" w:rsidP="00D35514">
      <w:pPr>
        <w:pStyle w:val="AERbodytext"/>
      </w:pPr>
      <w:r>
        <w:t>We propose to exclude the following costs from the EBSS:</w:t>
      </w:r>
    </w:p>
    <w:p w:rsidR="00D35514" w:rsidRDefault="00D35514" w:rsidP="00D35514">
      <w:pPr>
        <w:pStyle w:val="AERbulletlistfirststyle"/>
      </w:pPr>
      <w:r>
        <w:t>debt raising costs</w:t>
      </w:r>
    </w:p>
    <w:p w:rsidR="00D35514" w:rsidRDefault="00D35514" w:rsidP="00D35514">
      <w:pPr>
        <w:pStyle w:val="AERbulletlistfirststyle"/>
      </w:pPr>
      <w:r>
        <w:t>network support</w:t>
      </w:r>
    </w:p>
    <w:p w:rsidR="00D35514" w:rsidRDefault="007A1D50" w:rsidP="00D35514">
      <w:pPr>
        <w:pStyle w:val="AERbulletlistfirststyle"/>
      </w:pPr>
      <w:r>
        <w:t xml:space="preserve">self </w:t>
      </w:r>
      <w:r w:rsidR="00D35514">
        <w:t>insurance</w:t>
      </w:r>
    </w:p>
    <w:p w:rsidR="00D35514" w:rsidRPr="00E43204" w:rsidRDefault="00D35514" w:rsidP="00D35514">
      <w:pPr>
        <w:pStyle w:val="AERbulletlistfirststyle"/>
      </w:pPr>
      <w:r w:rsidRPr="00E43204">
        <w:t>opex on network capability incentive projects</w:t>
      </w:r>
      <w:r w:rsidR="002F3CF7">
        <w:t>.</w:t>
      </w:r>
    </w:p>
    <w:p w:rsidR="00D35514" w:rsidRDefault="00D35514" w:rsidP="00D35514">
      <w:pPr>
        <w:pStyle w:val="AERbodytext"/>
      </w:pPr>
      <w:r>
        <w:t xml:space="preserve">Our draft decision to exclude debt raising </w:t>
      </w:r>
      <w:r w:rsidR="007A1D50">
        <w:t xml:space="preserve">costs, </w:t>
      </w:r>
      <w:proofErr w:type="spellStart"/>
      <w:r w:rsidR="00293343">
        <w:t>self</w:t>
      </w:r>
      <w:r w:rsidR="00B73047">
        <w:t xml:space="preserve"> </w:t>
      </w:r>
      <w:r w:rsidR="00293343">
        <w:t>insurance</w:t>
      </w:r>
      <w:proofErr w:type="spellEnd"/>
      <w:r>
        <w:t xml:space="preserve"> </w:t>
      </w:r>
      <w:r w:rsidR="00912CA7">
        <w:t xml:space="preserve">and network support </w:t>
      </w:r>
      <w:r>
        <w:t xml:space="preserve">from the EBSS is consistent with </w:t>
      </w:r>
      <w:r w:rsidR="001B69EB">
        <w:t>TasNetworks'</w:t>
      </w:r>
      <w:r>
        <w:t xml:space="preserve"> proposal. </w:t>
      </w:r>
      <w:r w:rsidR="00912CA7">
        <w:t xml:space="preserve">TasNetworks' forecast of debt raising costs and </w:t>
      </w:r>
      <w:proofErr w:type="spellStart"/>
      <w:r w:rsidR="00912CA7">
        <w:t>self</w:t>
      </w:r>
      <w:r w:rsidR="00B73047">
        <w:t xml:space="preserve"> </w:t>
      </w:r>
      <w:r w:rsidR="00912CA7">
        <w:t>insurance</w:t>
      </w:r>
      <w:proofErr w:type="spellEnd"/>
      <w:r w:rsidR="00912CA7">
        <w:t xml:space="preserve"> is based on category</w:t>
      </w:r>
      <w:r w:rsidR="00444BF4">
        <w:t>-</w:t>
      </w:r>
      <w:r w:rsidR="00912CA7">
        <w:t>specific forecasts for these costs</w:t>
      </w:r>
      <w:r>
        <w:t xml:space="preserve">. We do not consider the EBSS is compatible with </w:t>
      </w:r>
      <w:r w:rsidR="00912CA7">
        <w:t xml:space="preserve">its forecasting </w:t>
      </w:r>
      <w:r>
        <w:t xml:space="preserve">approach. </w:t>
      </w:r>
      <w:r w:rsidR="00912CA7">
        <w:t xml:space="preserve">TasNetworks did not </w:t>
      </w:r>
      <w:r w:rsidR="00912CA7" w:rsidRPr="00912CA7">
        <w:t xml:space="preserve">include any network support costs in </w:t>
      </w:r>
      <w:r w:rsidR="00912CA7">
        <w:t>its</w:t>
      </w:r>
      <w:r w:rsidR="00912CA7" w:rsidRPr="00912CA7">
        <w:t xml:space="preserve"> opex forecast. However, changes in these costs are subject to pass through arrangements. To apply the EBSS to this category of costs, if incurred, would not be compatible with those arrangements.</w:t>
      </w:r>
    </w:p>
    <w:p w:rsidR="00D35514" w:rsidRDefault="00D35514" w:rsidP="00D35514">
      <w:pPr>
        <w:pStyle w:val="AERbodytext"/>
      </w:pPr>
      <w:r>
        <w:t>We also consider opex spent on network capability projects should be excluded from the EBSS. These costs are funded through the network capability component of the transmission STPIS</w:t>
      </w:r>
      <w:r w:rsidR="00FF7F0F">
        <w:t>,</w:t>
      </w:r>
      <w:r>
        <w:t xml:space="preserve"> not through forecast opex. We exclude these costs from the EBSS </w:t>
      </w:r>
      <w:r w:rsidR="00A6169E">
        <w:t>so that</w:t>
      </w:r>
      <w:r>
        <w:t xml:space="preserve"> TasNetworks does not face EBSS penalties for undertaking these projects.</w:t>
      </w:r>
    </w:p>
    <w:p w:rsidR="00D35514" w:rsidRDefault="00D35514" w:rsidP="00D35514">
      <w:pPr>
        <w:pStyle w:val="AERbodytext"/>
      </w:pPr>
      <w:r>
        <w:lastRenderedPageBreak/>
        <w:t xml:space="preserve">We do not consider insurance premiums should be excluded from the EBSS. Insurance is </w:t>
      </w:r>
      <w:r w:rsidR="00BC381F">
        <w:t>a continuing</w:t>
      </w:r>
      <w:r>
        <w:t xml:space="preserve"> business cost. While TasNetworks has </w:t>
      </w:r>
      <w:r w:rsidR="00637D10">
        <w:t xml:space="preserve">not </w:t>
      </w:r>
      <w:r>
        <w:t xml:space="preserve">used a base year approach to forecast these costs, in most cases, we see no reason to forecast this cost differently to other costs facing a </w:t>
      </w:r>
      <w:r w:rsidR="004A3D77">
        <w:t>service provider</w:t>
      </w:r>
      <w:r>
        <w:t xml:space="preserve">.  Going forward, </w:t>
      </w:r>
      <w:r w:rsidR="00105BD2">
        <w:t>we intend</w:t>
      </w:r>
      <w:r>
        <w:t xml:space="preserve"> to include these costs in our base year opex forecast. To </w:t>
      </w:r>
      <w:r w:rsidR="00EB7F52">
        <w:t>give</w:t>
      </w:r>
      <w:r>
        <w:t xml:space="preserve"> </w:t>
      </w:r>
      <w:proofErr w:type="gramStart"/>
      <w:r>
        <w:t xml:space="preserve">a </w:t>
      </w:r>
      <w:r w:rsidR="004A3D77">
        <w:t xml:space="preserve">service provider </w:t>
      </w:r>
      <w:r>
        <w:t>incentives</w:t>
      </w:r>
      <w:proofErr w:type="gramEnd"/>
      <w:r>
        <w:t xml:space="preserve"> to reduce its opex</w:t>
      </w:r>
      <w:r w:rsidR="00724049">
        <w:t xml:space="preserve">, </w:t>
      </w:r>
      <w:r>
        <w:t>costs that are forecast using this approach should remain in the EBSS. As a result</w:t>
      </w:r>
      <w:r w:rsidR="00FF7F0F">
        <w:t>,</w:t>
      </w:r>
      <w:r>
        <w:t xml:space="preserve"> we </w:t>
      </w:r>
      <w:r w:rsidR="00912CA7">
        <w:t xml:space="preserve">propose </w:t>
      </w:r>
      <w:r>
        <w:t xml:space="preserve">not </w:t>
      </w:r>
      <w:r w:rsidR="00FF7F0F">
        <w:t xml:space="preserve">to </w:t>
      </w:r>
      <w:r>
        <w:t>exclude these costs from the EBSS.</w:t>
      </w:r>
    </w:p>
    <w:p w:rsidR="00D35514" w:rsidRDefault="00D35514" w:rsidP="00D35514">
      <w:r>
        <w:t xml:space="preserve">In addition to these excluded cost categories we will also: </w:t>
      </w:r>
    </w:p>
    <w:p w:rsidR="00D35514" w:rsidRPr="00A95046" w:rsidRDefault="00D35514" w:rsidP="00D35514">
      <w:pPr>
        <w:pStyle w:val="AERbulletlistfirststyle"/>
      </w:pPr>
      <w:r w:rsidRPr="00A95046">
        <w:t xml:space="preserve">adjust forecast opex to add (subtract) any approved revenue increments (decrements) made after the initial regulatory determination. This may include approved pass through amounts. </w:t>
      </w:r>
    </w:p>
    <w:p w:rsidR="00D35514" w:rsidRPr="00A95046" w:rsidRDefault="00D35514" w:rsidP="00D35514">
      <w:pPr>
        <w:pStyle w:val="AERbulletlistfirststyle"/>
      </w:pPr>
      <w:r w:rsidRPr="00A95046">
        <w:t>adjust actual opex to add capitalised opex that has been excluded</w:t>
      </w:r>
      <w:r w:rsidR="00850939">
        <w:t xml:space="preserve"> from the </w:t>
      </w:r>
      <w:r w:rsidR="00B9775F">
        <w:t>RAB</w:t>
      </w:r>
      <w:r w:rsidRPr="00A95046">
        <w:t xml:space="preserve"> </w:t>
      </w:r>
    </w:p>
    <w:p w:rsidR="00D35514" w:rsidRPr="00A95046" w:rsidRDefault="00D35514" w:rsidP="00D35514">
      <w:pPr>
        <w:pStyle w:val="AERbulletlistfirststyle"/>
      </w:pPr>
      <w:r w:rsidRPr="00A95046">
        <w:t>exclude categories of opex not forecast using a single year revealed cost approach for the regulatory control period beginning in 20</w:t>
      </w:r>
      <w:r>
        <w:t>19</w:t>
      </w:r>
      <w:r w:rsidRPr="00A95046">
        <w:t xml:space="preserve"> where doing so better achieves the requirements of clause 6A.6.5 of the NER.</w:t>
      </w:r>
    </w:p>
    <w:p w:rsidR="00D35514" w:rsidRDefault="00EF1CCC" w:rsidP="00D35514">
      <w:r>
        <w:fldChar w:fldCharType="begin"/>
      </w:r>
      <w:r>
        <w:instrText xml:space="preserve"> REF _Ref398823905 \h </w:instrText>
      </w:r>
      <w:r>
        <w:fldChar w:fldCharType="separate"/>
      </w:r>
      <w:r w:rsidR="004D6E39">
        <w:t xml:space="preserve">Table </w:t>
      </w:r>
      <w:r w:rsidR="004D6E39">
        <w:rPr>
          <w:noProof/>
        </w:rPr>
        <w:t>9</w:t>
      </w:r>
      <w:r w:rsidR="004D6E39">
        <w:t>.</w:t>
      </w:r>
      <w:r w:rsidR="004D6E39">
        <w:rPr>
          <w:noProof/>
        </w:rPr>
        <w:t>4</w:t>
      </w:r>
      <w:r>
        <w:fldChar w:fldCharType="end"/>
      </w:r>
      <w:r>
        <w:t xml:space="preserve"> </w:t>
      </w:r>
      <w:r w:rsidR="00D35514">
        <w:t>set</w:t>
      </w:r>
      <w:r w:rsidR="00B1625A">
        <w:t>s</w:t>
      </w:r>
      <w:r w:rsidR="00D35514" w:rsidRPr="006F6CCB">
        <w:t xml:space="preserve"> out our draft decision on </w:t>
      </w:r>
      <w:r w:rsidR="001B69EB">
        <w:t>TasNetworks'</w:t>
      </w:r>
      <w:r w:rsidR="00D35514" w:rsidRPr="006F6CCB">
        <w:t xml:space="preserve"> target opex for the EBSS (total opex less excluded categories), against which we will calculate efficiency gains in 2014–1</w:t>
      </w:r>
      <w:r w:rsidR="00D35514">
        <w:t>9</w:t>
      </w:r>
      <w:r w:rsidR="00D35514" w:rsidRPr="006F6CCB">
        <w:t>.</w:t>
      </w:r>
    </w:p>
    <w:p w:rsidR="00D35514" w:rsidRPr="006F6CCB" w:rsidRDefault="00D35514" w:rsidP="00D35514">
      <w:pPr>
        <w:pStyle w:val="Caption"/>
      </w:pPr>
      <w:bookmarkStart w:id="19" w:name="_Ref398823905"/>
      <w:r>
        <w:t xml:space="preserve">Table </w:t>
      </w:r>
      <w:r w:rsidR="00A00B2F">
        <w:fldChar w:fldCharType="begin"/>
      </w:r>
      <w:r w:rsidR="00A00B2F">
        <w:instrText xml:space="preserve"> STYLEREF 1 \s </w:instrText>
      </w:r>
      <w:r w:rsidR="00A00B2F">
        <w:fldChar w:fldCharType="separate"/>
      </w:r>
      <w:r w:rsidR="004D6E39">
        <w:rPr>
          <w:noProof/>
        </w:rPr>
        <w:t>9</w:t>
      </w:r>
      <w:r w:rsidR="00A00B2F">
        <w:rPr>
          <w:noProof/>
        </w:rPr>
        <w:fldChar w:fldCharType="end"/>
      </w:r>
      <w:r w:rsidR="00722BFD">
        <w:t>.</w:t>
      </w:r>
      <w:r w:rsidR="00A00B2F">
        <w:fldChar w:fldCharType="begin"/>
      </w:r>
      <w:r w:rsidR="00A00B2F">
        <w:instrText xml:space="preserve"> SEQ Table \* ARABIC \s 1 </w:instrText>
      </w:r>
      <w:r w:rsidR="00A00B2F">
        <w:fldChar w:fldCharType="separate"/>
      </w:r>
      <w:r w:rsidR="004D6E39">
        <w:rPr>
          <w:noProof/>
        </w:rPr>
        <w:t>4</w:t>
      </w:r>
      <w:r w:rsidR="00A00B2F">
        <w:rPr>
          <w:noProof/>
        </w:rPr>
        <w:fldChar w:fldCharType="end"/>
      </w:r>
      <w:bookmarkEnd w:id="19"/>
      <w:r>
        <w:tab/>
        <w:t xml:space="preserve">AER's draft decision on </w:t>
      </w:r>
      <w:r w:rsidR="001B69EB">
        <w:t>TasNetworks'</w:t>
      </w:r>
      <w:r>
        <w:t xml:space="preserve"> forecast opex for the EBSS ($ million, 2013–14)</w:t>
      </w:r>
    </w:p>
    <w:tbl>
      <w:tblPr>
        <w:tblStyle w:val="AERtable-numbers"/>
        <w:tblW w:w="5000" w:type="pct"/>
        <w:tblLook w:val="04A0" w:firstRow="1" w:lastRow="0" w:firstColumn="1" w:lastColumn="0" w:noHBand="0" w:noVBand="1"/>
      </w:tblPr>
      <w:tblGrid>
        <w:gridCol w:w="3144"/>
        <w:gridCol w:w="1220"/>
        <w:gridCol w:w="1220"/>
        <w:gridCol w:w="1220"/>
        <w:gridCol w:w="1220"/>
        <w:gridCol w:w="1218"/>
      </w:tblGrid>
      <w:tr w:rsidR="00637D10" w:rsidTr="00801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rsidR="00637D10" w:rsidRDefault="00637D10" w:rsidP="00D35514">
            <w:pPr>
              <w:pStyle w:val="AERtabletextleft"/>
            </w:pPr>
          </w:p>
        </w:tc>
        <w:tc>
          <w:tcPr>
            <w:tcW w:w="660" w:type="pct"/>
          </w:tcPr>
          <w:p w:rsidR="00637D10" w:rsidRPr="00D35514" w:rsidRDefault="00637D10" w:rsidP="00D35514">
            <w:pPr>
              <w:pStyle w:val="AERtabletextright"/>
              <w:cnfStyle w:val="100000000000" w:firstRow="1" w:lastRow="0" w:firstColumn="0" w:lastColumn="0" w:oddVBand="0" w:evenVBand="0" w:oddHBand="0" w:evenHBand="0" w:firstRowFirstColumn="0" w:firstRowLastColumn="0" w:lastRowFirstColumn="0" w:lastRowLastColumn="0"/>
            </w:pPr>
            <w:r w:rsidRPr="005B7AD2">
              <w:t>2014</w:t>
            </w:r>
            <w:r w:rsidRPr="00D35514">
              <w:t>–15</w:t>
            </w:r>
          </w:p>
        </w:tc>
        <w:tc>
          <w:tcPr>
            <w:tcW w:w="660" w:type="pct"/>
          </w:tcPr>
          <w:p w:rsidR="00637D10" w:rsidRPr="00D35514" w:rsidRDefault="00637D10" w:rsidP="00D35514">
            <w:pPr>
              <w:pStyle w:val="AERtabletextright"/>
              <w:cnfStyle w:val="100000000000" w:firstRow="1" w:lastRow="0" w:firstColumn="0" w:lastColumn="0" w:oddVBand="0" w:evenVBand="0" w:oddHBand="0" w:evenHBand="0" w:firstRowFirstColumn="0" w:firstRowLastColumn="0" w:lastRowFirstColumn="0" w:lastRowLastColumn="0"/>
            </w:pPr>
            <w:r>
              <w:t>2015</w:t>
            </w:r>
            <w:r w:rsidRPr="00D35514">
              <w:t>–16</w:t>
            </w:r>
          </w:p>
        </w:tc>
        <w:tc>
          <w:tcPr>
            <w:tcW w:w="660" w:type="pct"/>
          </w:tcPr>
          <w:p w:rsidR="00637D10" w:rsidRPr="00D35514" w:rsidRDefault="00637D10" w:rsidP="00D35514">
            <w:pPr>
              <w:pStyle w:val="AERtabletextright"/>
              <w:cnfStyle w:val="100000000000" w:firstRow="1" w:lastRow="0" w:firstColumn="0" w:lastColumn="0" w:oddVBand="0" w:evenVBand="0" w:oddHBand="0" w:evenHBand="0" w:firstRowFirstColumn="0" w:firstRowLastColumn="0" w:lastRowFirstColumn="0" w:lastRowLastColumn="0"/>
            </w:pPr>
            <w:r>
              <w:t>2016</w:t>
            </w:r>
            <w:r w:rsidRPr="00D35514">
              <w:t>–17</w:t>
            </w:r>
          </w:p>
        </w:tc>
        <w:tc>
          <w:tcPr>
            <w:tcW w:w="660" w:type="pct"/>
          </w:tcPr>
          <w:p w:rsidR="00637D10" w:rsidRPr="00D35514" w:rsidRDefault="00637D10" w:rsidP="00D35514">
            <w:pPr>
              <w:pStyle w:val="AERtabletextright"/>
              <w:cnfStyle w:val="100000000000" w:firstRow="1" w:lastRow="0" w:firstColumn="0" w:lastColumn="0" w:oddVBand="0" w:evenVBand="0" w:oddHBand="0" w:evenHBand="0" w:firstRowFirstColumn="0" w:firstRowLastColumn="0" w:lastRowFirstColumn="0" w:lastRowLastColumn="0"/>
            </w:pPr>
            <w:r>
              <w:t>201</w:t>
            </w:r>
            <w:r w:rsidRPr="00D35514">
              <w:t>7–18</w:t>
            </w:r>
          </w:p>
        </w:tc>
        <w:tc>
          <w:tcPr>
            <w:tcW w:w="659" w:type="pct"/>
          </w:tcPr>
          <w:p w:rsidR="00637D10" w:rsidRPr="00D35514" w:rsidRDefault="00637D10" w:rsidP="00D35514">
            <w:pPr>
              <w:pStyle w:val="AERtabletextright"/>
              <w:cnfStyle w:val="100000000000" w:firstRow="1" w:lastRow="0" w:firstColumn="0" w:lastColumn="0" w:oddVBand="0" w:evenVBand="0" w:oddHBand="0" w:evenHBand="0" w:firstRowFirstColumn="0" w:firstRowLastColumn="0" w:lastRowFirstColumn="0" w:lastRowLastColumn="0"/>
            </w:pPr>
            <w:r>
              <w:t>2018</w:t>
            </w:r>
            <w:r w:rsidRPr="00D35514">
              <w:t>–19</w:t>
            </w:r>
          </w:p>
        </w:tc>
      </w:tr>
      <w:tr w:rsidR="00637D10" w:rsidTr="00801193">
        <w:tc>
          <w:tcPr>
            <w:cnfStyle w:val="001000000000" w:firstRow="0" w:lastRow="0" w:firstColumn="1" w:lastColumn="0" w:oddVBand="0" w:evenVBand="0" w:oddHBand="0" w:evenHBand="0" w:firstRowFirstColumn="0" w:firstRowLastColumn="0" w:lastRowFirstColumn="0" w:lastRowLastColumn="0"/>
            <w:tcW w:w="1701" w:type="pct"/>
          </w:tcPr>
          <w:p w:rsidR="00637D10" w:rsidRPr="00D35514" w:rsidRDefault="001B69EB" w:rsidP="00D35514">
            <w:pPr>
              <w:pStyle w:val="AERtabletextleft"/>
            </w:pPr>
            <w:r>
              <w:t>TasNetworks'</w:t>
            </w:r>
            <w:r w:rsidR="00637D10" w:rsidRPr="00D35514">
              <w:t xml:space="preserve"> total forecast opex</w:t>
            </w:r>
            <w:r w:rsidR="00DB70C9">
              <w:rPr>
                <w:rStyle w:val="FootnoteReference"/>
              </w:rPr>
              <w:footnoteReference w:id="16"/>
            </w:r>
            <w:r w:rsidR="00637D10">
              <w:t xml:space="preserve"> </w:t>
            </w:r>
          </w:p>
        </w:tc>
        <w:tc>
          <w:tcPr>
            <w:tcW w:w="660" w:type="pct"/>
          </w:tcPr>
          <w:p w:rsidR="00637D10" w:rsidRDefault="00637D10" w:rsidP="00D35514">
            <w:pPr>
              <w:pStyle w:val="AERtabletextright"/>
              <w:cnfStyle w:val="000000000000" w:firstRow="0" w:lastRow="0" w:firstColumn="0" w:lastColumn="0" w:oddVBand="0" w:evenVBand="0" w:oddHBand="0" w:evenHBand="0" w:firstRowFirstColumn="0" w:firstRowLastColumn="0" w:lastRowFirstColumn="0" w:lastRowLastColumn="0"/>
            </w:pPr>
            <w:r>
              <w:t>43.1</w:t>
            </w:r>
          </w:p>
        </w:tc>
        <w:tc>
          <w:tcPr>
            <w:tcW w:w="660" w:type="pct"/>
          </w:tcPr>
          <w:p w:rsidR="00637D10" w:rsidRDefault="00637D10" w:rsidP="00D35514">
            <w:pPr>
              <w:pStyle w:val="AERtabletextright"/>
              <w:cnfStyle w:val="000000000000" w:firstRow="0" w:lastRow="0" w:firstColumn="0" w:lastColumn="0" w:oddVBand="0" w:evenVBand="0" w:oddHBand="0" w:evenHBand="0" w:firstRowFirstColumn="0" w:firstRowLastColumn="0" w:lastRowFirstColumn="0" w:lastRowLastColumn="0"/>
            </w:pPr>
            <w:r>
              <w:t>42.5</w:t>
            </w:r>
          </w:p>
        </w:tc>
        <w:tc>
          <w:tcPr>
            <w:tcW w:w="660" w:type="pct"/>
          </w:tcPr>
          <w:p w:rsidR="00637D10" w:rsidRDefault="00637D10" w:rsidP="00D35514">
            <w:pPr>
              <w:pStyle w:val="AERtabletextright"/>
              <w:cnfStyle w:val="000000000000" w:firstRow="0" w:lastRow="0" w:firstColumn="0" w:lastColumn="0" w:oddVBand="0" w:evenVBand="0" w:oddHBand="0" w:evenHBand="0" w:firstRowFirstColumn="0" w:firstRowLastColumn="0" w:lastRowFirstColumn="0" w:lastRowLastColumn="0"/>
            </w:pPr>
            <w:r>
              <w:t>42.7</w:t>
            </w:r>
          </w:p>
        </w:tc>
        <w:tc>
          <w:tcPr>
            <w:tcW w:w="660" w:type="pct"/>
          </w:tcPr>
          <w:p w:rsidR="00637D10" w:rsidRDefault="00637D10" w:rsidP="00D35514">
            <w:pPr>
              <w:pStyle w:val="AERtabletextright"/>
              <w:cnfStyle w:val="000000000000" w:firstRow="0" w:lastRow="0" w:firstColumn="0" w:lastColumn="0" w:oddVBand="0" w:evenVBand="0" w:oddHBand="0" w:evenHBand="0" w:firstRowFirstColumn="0" w:firstRowLastColumn="0" w:lastRowFirstColumn="0" w:lastRowLastColumn="0"/>
            </w:pPr>
            <w:r>
              <w:t>42.9</w:t>
            </w:r>
          </w:p>
        </w:tc>
        <w:tc>
          <w:tcPr>
            <w:tcW w:w="659" w:type="pct"/>
          </w:tcPr>
          <w:p w:rsidR="00637D10" w:rsidRDefault="00637D10" w:rsidP="00D35514">
            <w:pPr>
              <w:pStyle w:val="AERtabletextright"/>
              <w:cnfStyle w:val="000000000000" w:firstRow="0" w:lastRow="0" w:firstColumn="0" w:lastColumn="0" w:oddVBand="0" w:evenVBand="0" w:oddHBand="0" w:evenHBand="0" w:firstRowFirstColumn="0" w:firstRowLastColumn="0" w:lastRowFirstColumn="0" w:lastRowLastColumn="0"/>
            </w:pPr>
            <w:r>
              <w:t>42.4</w:t>
            </w:r>
          </w:p>
        </w:tc>
      </w:tr>
      <w:tr w:rsidR="00637D10" w:rsidTr="008011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rsidR="00637D10" w:rsidRDefault="00637D10" w:rsidP="00B73047">
            <w:pPr>
              <w:pStyle w:val="AERtabletextleft"/>
            </w:pPr>
            <w:proofErr w:type="spellStart"/>
            <w:r>
              <w:t>Self</w:t>
            </w:r>
            <w:r w:rsidR="00B73047">
              <w:t xml:space="preserve"> </w:t>
            </w:r>
            <w:r>
              <w:t>insurance</w:t>
            </w:r>
            <w:proofErr w:type="spellEnd"/>
          </w:p>
        </w:tc>
        <w:tc>
          <w:tcPr>
            <w:tcW w:w="660" w:type="pct"/>
          </w:tcPr>
          <w:p w:rsidR="00637D10" w:rsidRDefault="00637D10" w:rsidP="00D35514">
            <w:pPr>
              <w:pStyle w:val="AERtabletextright"/>
              <w:cnfStyle w:val="000000010000" w:firstRow="0" w:lastRow="0" w:firstColumn="0" w:lastColumn="0" w:oddVBand="0" w:evenVBand="0" w:oddHBand="0" w:evenHBand="1" w:firstRowFirstColumn="0" w:firstRowLastColumn="0" w:lastRowFirstColumn="0" w:lastRowLastColumn="0"/>
            </w:pPr>
            <w:r>
              <w:t>0.7</w:t>
            </w:r>
          </w:p>
        </w:tc>
        <w:tc>
          <w:tcPr>
            <w:tcW w:w="660" w:type="pct"/>
          </w:tcPr>
          <w:p w:rsidR="00637D10" w:rsidRDefault="00637D10" w:rsidP="00D35514">
            <w:pPr>
              <w:pStyle w:val="AERtabletextright"/>
              <w:cnfStyle w:val="000000010000" w:firstRow="0" w:lastRow="0" w:firstColumn="0" w:lastColumn="0" w:oddVBand="0" w:evenVBand="0" w:oddHBand="0" w:evenHBand="1" w:firstRowFirstColumn="0" w:firstRowLastColumn="0" w:lastRowFirstColumn="0" w:lastRowLastColumn="0"/>
            </w:pPr>
            <w:r>
              <w:t>0.7</w:t>
            </w:r>
          </w:p>
        </w:tc>
        <w:tc>
          <w:tcPr>
            <w:tcW w:w="660" w:type="pct"/>
          </w:tcPr>
          <w:p w:rsidR="00637D10" w:rsidRDefault="00637D10" w:rsidP="00D35514">
            <w:pPr>
              <w:pStyle w:val="AERtabletextright"/>
              <w:cnfStyle w:val="000000010000" w:firstRow="0" w:lastRow="0" w:firstColumn="0" w:lastColumn="0" w:oddVBand="0" w:evenVBand="0" w:oddHBand="0" w:evenHBand="1" w:firstRowFirstColumn="0" w:firstRowLastColumn="0" w:lastRowFirstColumn="0" w:lastRowLastColumn="0"/>
            </w:pPr>
            <w:r>
              <w:t>0.7</w:t>
            </w:r>
          </w:p>
        </w:tc>
        <w:tc>
          <w:tcPr>
            <w:tcW w:w="660" w:type="pct"/>
          </w:tcPr>
          <w:p w:rsidR="00637D10" w:rsidRDefault="00637D10" w:rsidP="00D35514">
            <w:pPr>
              <w:pStyle w:val="AERtabletextright"/>
              <w:cnfStyle w:val="000000010000" w:firstRow="0" w:lastRow="0" w:firstColumn="0" w:lastColumn="0" w:oddVBand="0" w:evenVBand="0" w:oddHBand="0" w:evenHBand="1" w:firstRowFirstColumn="0" w:firstRowLastColumn="0" w:lastRowFirstColumn="0" w:lastRowLastColumn="0"/>
            </w:pPr>
            <w:r>
              <w:t>0.7</w:t>
            </w:r>
          </w:p>
        </w:tc>
        <w:tc>
          <w:tcPr>
            <w:tcW w:w="659" w:type="pct"/>
          </w:tcPr>
          <w:p w:rsidR="00637D10" w:rsidRDefault="00637D10" w:rsidP="00D35514">
            <w:pPr>
              <w:pStyle w:val="AERtabletextright"/>
              <w:cnfStyle w:val="000000010000" w:firstRow="0" w:lastRow="0" w:firstColumn="0" w:lastColumn="0" w:oddVBand="0" w:evenVBand="0" w:oddHBand="0" w:evenHBand="1" w:firstRowFirstColumn="0" w:firstRowLastColumn="0" w:lastRowFirstColumn="0" w:lastRowLastColumn="0"/>
            </w:pPr>
            <w:r>
              <w:t>0.7</w:t>
            </w:r>
          </w:p>
        </w:tc>
      </w:tr>
      <w:tr w:rsidR="00DB70C9" w:rsidTr="00801193">
        <w:tc>
          <w:tcPr>
            <w:cnfStyle w:val="001000000000" w:firstRow="0" w:lastRow="0" w:firstColumn="1" w:lastColumn="0" w:oddVBand="0" w:evenVBand="0" w:oddHBand="0" w:evenHBand="0" w:firstRowFirstColumn="0" w:firstRowLastColumn="0" w:lastRowFirstColumn="0" w:lastRowLastColumn="0"/>
            <w:tcW w:w="1701" w:type="pct"/>
          </w:tcPr>
          <w:p w:rsidR="00DB70C9" w:rsidRPr="00DB70C9" w:rsidRDefault="00DB70C9" w:rsidP="00DB70C9">
            <w:pPr>
              <w:pStyle w:val="AERtabletextleft"/>
            </w:pPr>
            <w:r w:rsidRPr="00DB70C9">
              <w:rPr>
                <w:rStyle w:val="AERtextbold"/>
              </w:rPr>
              <w:t>Forecast opex for the EBSS</w:t>
            </w:r>
            <w:r w:rsidRPr="00DB70C9">
              <w:t xml:space="preserve"> </w:t>
            </w:r>
          </w:p>
        </w:tc>
        <w:tc>
          <w:tcPr>
            <w:tcW w:w="660" w:type="pct"/>
          </w:tcPr>
          <w:p w:rsidR="00DB70C9" w:rsidRPr="00DB70C9" w:rsidRDefault="00DB70C9" w:rsidP="00DB70C9">
            <w:pPr>
              <w:pStyle w:val="AERtabletextright"/>
              <w:cnfStyle w:val="000000000000" w:firstRow="0" w:lastRow="0" w:firstColumn="0" w:lastColumn="0" w:oddVBand="0" w:evenVBand="0" w:oddHBand="0" w:evenHBand="0" w:firstRowFirstColumn="0" w:firstRowLastColumn="0" w:lastRowFirstColumn="0" w:lastRowLastColumn="0"/>
            </w:pPr>
            <w:r w:rsidRPr="00DB70C9">
              <w:t>42.</w:t>
            </w:r>
            <w:r>
              <w:t>4</w:t>
            </w:r>
          </w:p>
        </w:tc>
        <w:tc>
          <w:tcPr>
            <w:tcW w:w="660" w:type="pct"/>
          </w:tcPr>
          <w:p w:rsidR="00DB70C9" w:rsidRPr="00DB70C9" w:rsidRDefault="00DB70C9" w:rsidP="00DB70C9">
            <w:pPr>
              <w:pStyle w:val="AERtabletextright"/>
              <w:cnfStyle w:val="000000000000" w:firstRow="0" w:lastRow="0" w:firstColumn="0" w:lastColumn="0" w:oddVBand="0" w:evenVBand="0" w:oddHBand="0" w:evenHBand="0" w:firstRowFirstColumn="0" w:firstRowLastColumn="0" w:lastRowFirstColumn="0" w:lastRowLastColumn="0"/>
            </w:pPr>
            <w:r w:rsidRPr="00DB70C9">
              <w:t>41.</w:t>
            </w:r>
            <w:r>
              <w:t>8</w:t>
            </w:r>
          </w:p>
        </w:tc>
        <w:tc>
          <w:tcPr>
            <w:tcW w:w="660" w:type="pct"/>
          </w:tcPr>
          <w:p w:rsidR="00DB70C9" w:rsidRPr="00DB70C9" w:rsidRDefault="00DB70C9" w:rsidP="00DB70C9">
            <w:pPr>
              <w:pStyle w:val="AERtabletextright"/>
              <w:cnfStyle w:val="000000000000" w:firstRow="0" w:lastRow="0" w:firstColumn="0" w:lastColumn="0" w:oddVBand="0" w:evenVBand="0" w:oddHBand="0" w:evenHBand="0" w:firstRowFirstColumn="0" w:firstRowLastColumn="0" w:lastRowFirstColumn="0" w:lastRowLastColumn="0"/>
            </w:pPr>
            <w:r>
              <w:t>42.0</w:t>
            </w:r>
          </w:p>
        </w:tc>
        <w:tc>
          <w:tcPr>
            <w:tcW w:w="660" w:type="pct"/>
          </w:tcPr>
          <w:p w:rsidR="00DB70C9" w:rsidRPr="00DB70C9" w:rsidRDefault="00DB70C9" w:rsidP="00DB70C9">
            <w:pPr>
              <w:pStyle w:val="AERtabletextright"/>
              <w:cnfStyle w:val="000000000000" w:firstRow="0" w:lastRow="0" w:firstColumn="0" w:lastColumn="0" w:oddVBand="0" w:evenVBand="0" w:oddHBand="0" w:evenHBand="0" w:firstRowFirstColumn="0" w:firstRowLastColumn="0" w:lastRowFirstColumn="0" w:lastRowLastColumn="0"/>
            </w:pPr>
            <w:r w:rsidRPr="00DB70C9">
              <w:t>42.2</w:t>
            </w:r>
          </w:p>
        </w:tc>
        <w:tc>
          <w:tcPr>
            <w:tcW w:w="659" w:type="pct"/>
          </w:tcPr>
          <w:p w:rsidR="00DB70C9" w:rsidRPr="00DB70C9" w:rsidRDefault="00DB70C9" w:rsidP="00DB70C9">
            <w:pPr>
              <w:pStyle w:val="AERtabletextright"/>
              <w:cnfStyle w:val="000000000000" w:firstRow="0" w:lastRow="0" w:firstColumn="0" w:lastColumn="0" w:oddVBand="0" w:evenVBand="0" w:oddHBand="0" w:evenHBand="0" w:firstRowFirstColumn="0" w:firstRowLastColumn="0" w:lastRowFirstColumn="0" w:lastRowLastColumn="0"/>
            </w:pPr>
            <w:r w:rsidRPr="00DB70C9">
              <w:t>41.7</w:t>
            </w:r>
          </w:p>
        </w:tc>
      </w:tr>
    </w:tbl>
    <w:p w:rsidR="00C1164B" w:rsidRPr="003324F7" w:rsidRDefault="00296F1E" w:rsidP="00296F1E">
      <w:pPr>
        <w:pStyle w:val="AERtablesource"/>
      </w:pPr>
      <w:r>
        <w:t>Source: AER analysis</w:t>
      </w:r>
    </w:p>
    <w:sectPr w:rsidR="00C1164B" w:rsidRPr="003324F7" w:rsidSect="00E92DE5">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994" w:rsidRPr="00AB4345" w:rsidRDefault="00514994" w:rsidP="00AB4345">
      <w:r>
        <w:separator/>
      </w:r>
    </w:p>
  </w:endnote>
  <w:endnote w:type="continuationSeparator" w:id="0">
    <w:p w:rsidR="00514994" w:rsidRPr="00AB4345" w:rsidRDefault="00514994"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94" w:rsidRPr="00824CC8" w:rsidRDefault="00A00B2F" w:rsidP="00824CC8">
    <w:pPr>
      <w:pStyle w:val="Footer"/>
    </w:pPr>
    <w:sdt>
      <w:sdtPr>
        <w:id w:val="-1374384321"/>
        <w:docPartObj>
          <w:docPartGallery w:val="Page Numbers (Bottom of Page)"/>
          <w:docPartUnique/>
        </w:docPartObj>
      </w:sdtPr>
      <w:sdtEndPr/>
      <w:sdtContent>
        <w:r w:rsidR="00514994" w:rsidRPr="00824CC8">
          <w:fldChar w:fldCharType="begin"/>
        </w:r>
        <w:r w:rsidR="00514994" w:rsidRPr="00824CC8">
          <w:instrText xml:space="preserve"> PAGE   \* MERGEFORMAT </w:instrText>
        </w:r>
        <w:r w:rsidR="00514994" w:rsidRPr="00824CC8">
          <w:fldChar w:fldCharType="separate"/>
        </w:r>
        <w:r>
          <w:rPr>
            <w:noProof/>
          </w:rPr>
          <w:t>9-4</w:t>
        </w:r>
        <w:r w:rsidR="00514994" w:rsidRPr="00824CC8">
          <w:fldChar w:fldCharType="end"/>
        </w:r>
        <w:r w:rsidR="00514994" w:rsidRPr="00824CC8">
          <w:tab/>
        </w:r>
        <w:r w:rsidR="00187042">
          <w:t xml:space="preserve">Draft decision: </w:t>
        </w:r>
        <w:r w:rsidR="00187042">
          <w:rPr>
            <w:rStyle w:val="AERbody"/>
          </w:rPr>
          <w:t xml:space="preserve">TasNetworks transmission determination 2015-19 </w:t>
        </w:r>
        <w:r w:rsidR="00514994" w:rsidRPr="00824CC8">
          <w:rPr>
            <w:rStyle w:val="AERbody"/>
          </w:rPr>
          <w:t xml:space="preserve">| </w:t>
        </w:r>
      </w:sdtContent>
    </w:sdt>
    <w:r w:rsidR="00187042">
      <w:t>Attachment 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94" w:rsidRPr="00824CC8" w:rsidRDefault="00514994" w:rsidP="00824CC8">
    <w:pPr>
      <w:pStyle w:val="Footer"/>
      <w:rPr>
        <w:rStyle w:val="AERbody"/>
      </w:rPr>
    </w:pPr>
    <w:r>
      <w:rPr>
        <w:rStyle w:val="AERbody"/>
      </w:rPr>
      <w:t>Attachment 9</w:t>
    </w:r>
    <w:r w:rsidR="00E92DE5">
      <w:rPr>
        <w:rStyle w:val="AERbody"/>
      </w:rPr>
      <w:t xml:space="preserve"> </w:t>
    </w:r>
    <w:r w:rsidRPr="00210880">
      <w:rPr>
        <w:rStyle w:val="AERbody"/>
      </w:rPr>
      <w:t xml:space="preserve">| </w:t>
    </w:r>
    <w:r w:rsidR="00187042">
      <w:rPr>
        <w:rStyle w:val="AERbody"/>
      </w:rPr>
      <w:t>Efficiency benefit sharing scheme</w:t>
    </w:r>
    <w:r w:rsidR="00187042">
      <w:rPr>
        <w:rStyle w:val="AERbody"/>
      </w:rPr>
      <w:tab/>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A00B2F">
      <w:rPr>
        <w:rStyle w:val="AERbody"/>
        <w:noProof/>
      </w:rPr>
      <w:t>9-3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994" w:rsidRPr="00AB4345" w:rsidRDefault="00514994" w:rsidP="00AB4345">
      <w:r>
        <w:separator/>
      </w:r>
    </w:p>
  </w:footnote>
  <w:footnote w:type="continuationSeparator" w:id="0">
    <w:p w:rsidR="00514994" w:rsidRPr="00AB4345" w:rsidRDefault="00514994" w:rsidP="00AB4345">
      <w:r>
        <w:continuationSeparator/>
      </w:r>
    </w:p>
  </w:footnote>
  <w:footnote w:id="1">
    <w:p w:rsidR="00514994" w:rsidRDefault="00514994" w:rsidP="00105BD2">
      <w:pPr>
        <w:pStyle w:val="FootnoteText"/>
      </w:pPr>
      <w:r>
        <w:rPr>
          <w:rStyle w:val="FootnoteReference"/>
        </w:rPr>
        <w:footnoteRef/>
      </w:r>
      <w:r>
        <w:t xml:space="preserve"> </w:t>
      </w:r>
      <w:r>
        <w:tab/>
        <w:t xml:space="preserve">These concepts are explained more fully in the explanatory statement to the EBSS, AER, </w:t>
      </w:r>
      <w:r w:rsidRPr="00EA74C7">
        <w:rPr>
          <w:rStyle w:val="AERtextitalic"/>
        </w:rPr>
        <w:t>Efficiency benefit sharing scheme for electricity network service providers</w:t>
      </w:r>
      <w:r>
        <w:rPr>
          <w:rStyle w:val="AERtextitalic"/>
        </w:rPr>
        <w:t xml:space="preserve"> - explanatory statement</w:t>
      </w:r>
      <w:r>
        <w:t>, November 2013.</w:t>
      </w:r>
    </w:p>
  </w:footnote>
  <w:footnote w:id="2">
    <w:p w:rsidR="00514994" w:rsidRDefault="00514994" w:rsidP="00D35514">
      <w:pPr>
        <w:pStyle w:val="FootnoteText"/>
      </w:pPr>
      <w:r>
        <w:rPr>
          <w:rStyle w:val="FootnoteReference"/>
        </w:rPr>
        <w:footnoteRef/>
      </w:r>
      <w:r>
        <w:t xml:space="preserve"> </w:t>
      </w:r>
      <w:r>
        <w:tab/>
        <w:t xml:space="preserve">AER, </w:t>
      </w:r>
      <w:r w:rsidRPr="00135689">
        <w:rPr>
          <w:rStyle w:val="AERtextitalic"/>
        </w:rPr>
        <w:t>Electricity transmission network service providers: Efficiency benefit sharing scheme</w:t>
      </w:r>
      <w:r>
        <w:t>, September 2007.</w:t>
      </w:r>
    </w:p>
  </w:footnote>
  <w:footnote w:id="3">
    <w:p w:rsidR="00514994" w:rsidRDefault="00514994" w:rsidP="00D35514">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4">
    <w:p w:rsidR="00514994" w:rsidRDefault="00514994">
      <w:pPr>
        <w:pStyle w:val="FootnoteText"/>
      </w:pPr>
      <w:r>
        <w:rPr>
          <w:rStyle w:val="FootnoteReference"/>
        </w:rPr>
        <w:footnoteRef/>
      </w:r>
      <w:r>
        <w:t xml:space="preserve"> </w:t>
      </w:r>
      <w:r>
        <w:tab/>
        <w:t xml:space="preserve">In our determination for the </w:t>
      </w:r>
      <w:r w:rsidR="00481510">
        <w:t xml:space="preserve">2014-15 </w:t>
      </w:r>
      <w:r>
        <w:t xml:space="preserve">regulatory control period, we decided to apply version two of the EBSS to TasNetworks as if 2014-15 was the first year of a period covering both the </w:t>
      </w:r>
      <w:r w:rsidR="00481510">
        <w:t xml:space="preserve">2014-15 </w:t>
      </w:r>
      <w:r>
        <w:t>regulatory control period and the 2015-</w:t>
      </w:r>
      <w:r w:rsidR="00481510">
        <w:t xml:space="preserve">19 </w:t>
      </w:r>
      <w:r>
        <w:t>regulatory control period.</w:t>
      </w:r>
    </w:p>
  </w:footnote>
  <w:footnote w:id="5">
    <w:p w:rsidR="00514994" w:rsidRDefault="00514994" w:rsidP="00D35514">
      <w:pPr>
        <w:pStyle w:val="FootnoteText"/>
      </w:pPr>
      <w:r>
        <w:rPr>
          <w:rStyle w:val="FootnoteReference"/>
        </w:rPr>
        <w:footnoteRef/>
      </w:r>
      <w:r>
        <w:t xml:space="preserve"> </w:t>
      </w:r>
      <w:r>
        <w:tab/>
      </w:r>
      <w:proofErr w:type="gramStart"/>
      <w:r>
        <w:t xml:space="preserve">TasNetworks, </w:t>
      </w:r>
      <w:r w:rsidRPr="00FE6880">
        <w:rPr>
          <w:rStyle w:val="AERtextitalic"/>
        </w:rPr>
        <w:t>Revenue proposal</w:t>
      </w:r>
      <w:r>
        <w:t>, p. 97.</w:t>
      </w:r>
      <w:proofErr w:type="gramEnd"/>
    </w:p>
  </w:footnote>
  <w:footnote w:id="6">
    <w:p w:rsidR="00514994" w:rsidRDefault="00514994" w:rsidP="00AA56C0">
      <w:pPr>
        <w:pStyle w:val="FootnoteText"/>
      </w:pPr>
      <w:r>
        <w:rPr>
          <w:rStyle w:val="FootnoteReference"/>
        </w:rPr>
        <w:footnoteRef/>
      </w:r>
      <w:r>
        <w:t xml:space="preserve"> </w:t>
      </w:r>
      <w:r>
        <w:tab/>
        <w:t>NER, clause 6A.5.4(a)(5).</w:t>
      </w:r>
    </w:p>
  </w:footnote>
  <w:footnote w:id="7">
    <w:p w:rsidR="00514994" w:rsidRDefault="00514994" w:rsidP="00AA56C0">
      <w:pPr>
        <w:pStyle w:val="FootnoteText"/>
      </w:pPr>
      <w:r>
        <w:rPr>
          <w:rStyle w:val="FootnoteReference"/>
        </w:rPr>
        <w:footnoteRef/>
      </w:r>
      <w:r>
        <w:t xml:space="preserve"> </w:t>
      </w:r>
      <w:r>
        <w:tab/>
        <w:t>NER, clause 6A.14.1(iv).</w:t>
      </w:r>
    </w:p>
  </w:footnote>
  <w:footnote w:id="8">
    <w:p w:rsidR="00514994" w:rsidRDefault="00514994" w:rsidP="00105BD2">
      <w:pPr>
        <w:pStyle w:val="FootnoteText"/>
      </w:pPr>
      <w:r>
        <w:rPr>
          <w:rStyle w:val="FootnoteReference"/>
        </w:rPr>
        <w:footnoteRef/>
      </w:r>
      <w:r>
        <w:t xml:space="preserve"> </w:t>
      </w:r>
      <w:r>
        <w:tab/>
        <w:t>NER, clause 6A.6.5(a).</w:t>
      </w:r>
    </w:p>
  </w:footnote>
  <w:footnote w:id="9">
    <w:p w:rsidR="00514994" w:rsidRDefault="00514994" w:rsidP="00105BD2">
      <w:pPr>
        <w:pStyle w:val="FootnoteText"/>
      </w:pPr>
      <w:r>
        <w:rPr>
          <w:rStyle w:val="FootnoteReference"/>
        </w:rPr>
        <w:footnoteRef/>
      </w:r>
      <w:r>
        <w:t xml:space="preserve"> </w:t>
      </w:r>
      <w:r>
        <w:tab/>
        <w:t>NER, clause 6A.6.5(b).</w:t>
      </w:r>
    </w:p>
  </w:footnote>
  <w:footnote w:id="10">
    <w:p w:rsidR="00514994" w:rsidRPr="002A4C9A" w:rsidRDefault="00514994" w:rsidP="00105BD2">
      <w:pPr>
        <w:pStyle w:val="FootnoteText"/>
        <w:rPr>
          <w:rStyle w:val="AERbody"/>
        </w:rPr>
      </w:pPr>
      <w:r>
        <w:rPr>
          <w:rStyle w:val="FootnoteReference"/>
        </w:rPr>
        <w:footnoteRef/>
      </w:r>
      <w:r>
        <w:t xml:space="preserve"> </w:t>
      </w:r>
      <w:r>
        <w:tab/>
        <w:t xml:space="preserve">AER, </w:t>
      </w:r>
      <w:r>
        <w:rPr>
          <w:rStyle w:val="AERtextitalic"/>
        </w:rPr>
        <w:t xml:space="preserve">Explanatory Statement - Efficiency Benefit Sharing Scheme for Electricity Network Service Providers, </w:t>
      </w:r>
      <w:r w:rsidRPr="002A4C9A">
        <w:rPr>
          <w:rStyle w:val="AERtextsize8"/>
        </w:rPr>
        <w:t>November 2013</w:t>
      </w:r>
      <w:r>
        <w:rPr>
          <w:rStyle w:val="AERtextsize8"/>
        </w:rPr>
        <w:t>.</w:t>
      </w:r>
    </w:p>
  </w:footnote>
  <w:footnote w:id="11">
    <w:p w:rsidR="00514994" w:rsidRDefault="00514994" w:rsidP="00724049">
      <w:pPr>
        <w:pStyle w:val="FootnoteText"/>
      </w:pPr>
      <w:r>
        <w:rPr>
          <w:rStyle w:val="FootnoteReference"/>
        </w:rPr>
        <w:footnoteRef/>
      </w:r>
      <w:r>
        <w:t xml:space="preserve"> </w:t>
      </w:r>
      <w:r>
        <w:tab/>
        <w:t xml:space="preserve">AER, </w:t>
      </w:r>
      <w:r>
        <w:rPr>
          <w:rStyle w:val="AERtextitalic"/>
        </w:rPr>
        <w:t>Electricity transmission network service providers - Efficiency benefit sharing scheme</w:t>
      </w:r>
      <w:r>
        <w:t>, September 2007</w:t>
      </w:r>
      <w:r w:rsidR="00B9775F">
        <w:t>,</w:t>
      </w:r>
      <w:r>
        <w:t xml:space="preserve"> p.6.</w:t>
      </w:r>
    </w:p>
  </w:footnote>
  <w:footnote w:id="12">
    <w:p w:rsidR="00514994" w:rsidRDefault="00514994" w:rsidP="00724049">
      <w:pPr>
        <w:pStyle w:val="FootnoteText"/>
      </w:pPr>
      <w:r>
        <w:rPr>
          <w:rStyle w:val="FootnoteReference"/>
        </w:rPr>
        <w:footnoteRef/>
      </w:r>
      <w:r>
        <w:t xml:space="preserve"> </w:t>
      </w:r>
      <w:r>
        <w:tab/>
        <w:t>AASB 137, clause. 11, p. 13.</w:t>
      </w:r>
    </w:p>
  </w:footnote>
  <w:footnote w:id="13">
    <w:p w:rsidR="00514994" w:rsidRDefault="00514994" w:rsidP="00977688">
      <w:pPr>
        <w:pStyle w:val="FootnoteText"/>
      </w:pPr>
      <w:r>
        <w:rPr>
          <w:rStyle w:val="FootnoteReference"/>
        </w:rPr>
        <w:footnoteRef/>
      </w:r>
      <w:r>
        <w:t xml:space="preserve"> </w:t>
      </w:r>
      <w:r>
        <w:tab/>
        <w:t xml:space="preserve">Major Energy Users, </w:t>
      </w:r>
      <w:r w:rsidRPr="007A39A6">
        <w:rPr>
          <w:rStyle w:val="AERtextitalic"/>
        </w:rPr>
        <w:t>Tasmanian Electricity Transmission Revenue Reset</w:t>
      </w:r>
      <w:r>
        <w:t>, August 2014, p. 62.</w:t>
      </w:r>
    </w:p>
  </w:footnote>
  <w:footnote w:id="14">
    <w:p w:rsidR="00514994" w:rsidRPr="00706B7D" w:rsidRDefault="00514994" w:rsidP="00D35514">
      <w:pPr>
        <w:pStyle w:val="FootnoteText"/>
        <w:rPr>
          <w:rStyle w:val="AERtextitalic"/>
        </w:rPr>
      </w:pPr>
      <w:r>
        <w:rPr>
          <w:rStyle w:val="FootnoteReference"/>
        </w:rPr>
        <w:footnoteRef/>
      </w:r>
      <w:r>
        <w:t xml:space="preserve"> </w:t>
      </w:r>
      <w:r>
        <w:tab/>
        <w:t xml:space="preserve">EUAA, </w:t>
      </w:r>
      <w:r w:rsidRPr="00706B7D">
        <w:rPr>
          <w:rStyle w:val="AERtextitalic"/>
        </w:rPr>
        <w:t>Submission on T</w:t>
      </w:r>
      <w:r>
        <w:rPr>
          <w:rStyle w:val="AERtextitalic"/>
        </w:rPr>
        <w:t>asNetworks</w:t>
      </w:r>
      <w:r w:rsidRPr="00706B7D">
        <w:rPr>
          <w:rStyle w:val="AERtextitalic"/>
        </w:rPr>
        <w:t xml:space="preserve"> Revenue Proposal 2014</w:t>
      </w:r>
      <w:r w:rsidRPr="00706B7D">
        <w:rPr>
          <w:rStyle w:val="AERtextitalic"/>
        </w:rPr>
        <w:softHyphen/>
      </w:r>
      <w:r w:rsidRPr="00706B7D">
        <w:rPr>
          <w:rStyle w:val="AERtextitalic"/>
        </w:rPr>
        <w:softHyphen/>
        <w:t>–19</w:t>
      </w:r>
      <w:r>
        <w:t>, 8 August 2014, p. 11.</w:t>
      </w:r>
    </w:p>
  </w:footnote>
  <w:footnote w:id="15">
    <w:p w:rsidR="00514994" w:rsidRDefault="00514994" w:rsidP="00D35514">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 pp. 5–7.</w:t>
      </w:r>
    </w:p>
  </w:footnote>
  <w:footnote w:id="16">
    <w:p w:rsidR="00514994" w:rsidRDefault="00514994">
      <w:pPr>
        <w:pStyle w:val="FootnoteText"/>
      </w:pPr>
      <w:r>
        <w:rPr>
          <w:rStyle w:val="FootnoteReference"/>
        </w:rPr>
        <w:footnoteRef/>
      </w:r>
      <w:r>
        <w:t xml:space="preserve"> Exclusive of debt raising costs.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9360D8B"/>
    <w:multiLevelType w:val="hybridMultilevel"/>
    <w:tmpl w:val="7834C1FA"/>
    <w:lvl w:ilvl="0" w:tplc="0C090003">
      <w:start w:val="1"/>
      <w:numFmt w:val="bullet"/>
      <w:lvlText w:val=""/>
      <w:lvlJc w:val="left"/>
      <w:pPr>
        <w:ind w:left="720" w:hanging="360"/>
      </w:pPr>
      <w:rPr>
        <w:rFonts w:ascii="Wingdings" w:hAnsi="Wingdings"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102140"/>
    <w:multiLevelType w:val="multilevel"/>
    <w:tmpl w:val="39D4CB02"/>
    <w:numStyleLink w:val="AERnumberedlist"/>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3597CF9"/>
    <w:multiLevelType w:val="multilevel"/>
    <w:tmpl w:val="39D4CB02"/>
    <w:numStyleLink w:val="AERnumberedlist"/>
  </w:abstractNum>
  <w:abstractNum w:abstractNumId="6">
    <w:nsid w:val="176B27A6"/>
    <w:multiLevelType w:val="multilevel"/>
    <w:tmpl w:val="950A1C52"/>
    <w:numStyleLink w:val="AERHeadings"/>
  </w:abstractNum>
  <w:abstractNum w:abstractNumId="7">
    <w:nsid w:val="1972601F"/>
    <w:multiLevelType w:val="multilevel"/>
    <w:tmpl w:val="950A1C52"/>
    <w:numStyleLink w:val="AERHeadings"/>
  </w:abstractNum>
  <w:abstractNum w:abstractNumId="8">
    <w:nsid w:val="1DFA331B"/>
    <w:multiLevelType w:val="multilevel"/>
    <w:tmpl w:val="39D4CB02"/>
    <w:numStyleLink w:val="AERnumberedlist"/>
  </w:abstractNum>
  <w:abstractNum w:abstractNumId="9">
    <w:nsid w:val="233428C7"/>
    <w:multiLevelType w:val="multilevel"/>
    <w:tmpl w:val="39D4CB02"/>
    <w:numStyleLink w:val="AERnumberedlist"/>
  </w:abstractNum>
  <w:abstractNum w:abstractNumId="10">
    <w:nsid w:val="2776270C"/>
    <w:multiLevelType w:val="multilevel"/>
    <w:tmpl w:val="39D4CB02"/>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9"/>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39D4CB02"/>
    <w:numStyleLink w:val="AERnumberedlist"/>
  </w:abstractNum>
  <w:abstractNum w:abstractNumId="29">
    <w:nsid w:val="68247CF7"/>
    <w:multiLevelType w:val="multilevel"/>
    <w:tmpl w:val="950A1C52"/>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95980"/>
    <w:multiLevelType w:val="multilevel"/>
    <w:tmpl w:val="950A1C52"/>
    <w:numStyleLink w:val="AERHeadings"/>
  </w:abstractNum>
  <w:abstractNum w:abstractNumId="32">
    <w:nsid w:val="74F81DDF"/>
    <w:multiLevelType w:val="multilevel"/>
    <w:tmpl w:val="950A1C52"/>
    <w:numStyleLink w:val="AERHeadings"/>
  </w:abstractNum>
  <w:abstractNum w:abstractNumId="33">
    <w:nsid w:val="787F66A4"/>
    <w:multiLevelType w:val="multilevel"/>
    <w:tmpl w:val="950A1C52"/>
    <w:numStyleLink w:val="AERHeadings"/>
  </w:abstractNum>
  <w:abstractNum w:abstractNumId="34">
    <w:nsid w:val="7AAC6DD7"/>
    <w:multiLevelType w:val="multilevel"/>
    <w:tmpl w:val="950A1C52"/>
    <w:numStyleLink w:val="AERHeadings"/>
  </w:abstractNum>
  <w:abstractNum w:abstractNumId="35">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E97BF8"/>
    <w:multiLevelType w:val="multilevel"/>
    <w:tmpl w:val="950A1C52"/>
    <w:numStyleLink w:val="AERHeadings"/>
  </w:abstractNum>
  <w:abstractNum w:abstractNumId="37">
    <w:nsid w:val="7CDA0F5F"/>
    <w:multiLevelType w:val="multilevel"/>
    <w:tmpl w:val="950A1C52"/>
    <w:numStyleLink w:val="AERHeadings"/>
  </w:abstractNum>
  <w:num w:numId="1">
    <w:abstractNumId w:val="30"/>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2"/>
    <w:lvlOverride w:ilvl="0">
      <w:startOverride w:val="1"/>
    </w:lvlOverride>
  </w:num>
  <w:num w:numId="7">
    <w:abstractNumId w:val="20"/>
  </w:num>
  <w:num w:numId="8">
    <w:abstractNumId w:val="17"/>
  </w:num>
  <w:num w:numId="9">
    <w:abstractNumId w:val="35"/>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23"/>
  </w:num>
  <w:num w:numId="18">
    <w:abstractNumId w:val="8"/>
  </w:num>
  <w:num w:numId="19">
    <w:abstractNumId w:val="10"/>
  </w:num>
  <w:num w:numId="20">
    <w:abstractNumId w:val="32"/>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7"/>
  </w:num>
  <w:num w:numId="28">
    <w:abstractNumId w:val="18"/>
  </w:num>
  <w:num w:numId="29">
    <w:abstractNumId w:val="11"/>
  </w:num>
  <w:num w:numId="30">
    <w:abstractNumId w:val="6"/>
  </w:num>
  <w:num w:numId="31">
    <w:abstractNumId w:val="0"/>
  </w:num>
  <w:num w:numId="32">
    <w:abstractNumId w:val="7"/>
  </w:num>
  <w:num w:numId="33">
    <w:abstractNumId w:val="33"/>
  </w:num>
  <w:num w:numId="34">
    <w:abstractNumId w:val="29"/>
  </w:num>
  <w:num w:numId="35">
    <w:abstractNumId w:val="31"/>
  </w:num>
  <w:num w:numId="36">
    <w:abstractNumId w:val="36"/>
  </w:num>
  <w:num w:numId="37">
    <w:abstractNumId w:val="27"/>
  </w:num>
  <w:num w:numId="38">
    <w:abstractNumId w:val="13"/>
  </w:num>
  <w:num w:numId="39">
    <w:abstractNumId w:val="14"/>
  </w:num>
  <w:num w:numId="40">
    <w:abstractNumId w:val="21"/>
  </w:num>
  <w:num w:numId="41">
    <w:abstractNumId w:val="26"/>
  </w:num>
  <w:num w:numId="42">
    <w:abstractNumId w:val="5"/>
  </w:num>
  <w:num w:numId="43">
    <w:abstractNumId w:val="34"/>
  </w:num>
  <w:num w:numId="44">
    <w:abstractNumId w:val="2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5256\D14 119598  TasNetworks reset 2014-19 - Draft decision - Operating expenditure.DOCX"/>
  </w:docVars>
  <w:rsids>
    <w:rsidRoot w:val="000C052F"/>
    <w:rsid w:val="00011129"/>
    <w:rsid w:val="00022606"/>
    <w:rsid w:val="0003484A"/>
    <w:rsid w:val="00040599"/>
    <w:rsid w:val="00040749"/>
    <w:rsid w:val="000540F7"/>
    <w:rsid w:val="00061D4E"/>
    <w:rsid w:val="000A1CC2"/>
    <w:rsid w:val="000A5342"/>
    <w:rsid w:val="000B15CA"/>
    <w:rsid w:val="000B43E5"/>
    <w:rsid w:val="000B5E19"/>
    <w:rsid w:val="000C052F"/>
    <w:rsid w:val="000C3430"/>
    <w:rsid w:val="000D03C2"/>
    <w:rsid w:val="000D04B1"/>
    <w:rsid w:val="000D401F"/>
    <w:rsid w:val="000E1A25"/>
    <w:rsid w:val="000F3A6A"/>
    <w:rsid w:val="001033B3"/>
    <w:rsid w:val="00105636"/>
    <w:rsid w:val="00105BD2"/>
    <w:rsid w:val="00105D57"/>
    <w:rsid w:val="0011041A"/>
    <w:rsid w:val="00113C25"/>
    <w:rsid w:val="0013022D"/>
    <w:rsid w:val="001543D2"/>
    <w:rsid w:val="00174026"/>
    <w:rsid w:val="001856EE"/>
    <w:rsid w:val="00187042"/>
    <w:rsid w:val="00194C3C"/>
    <w:rsid w:val="001A36B2"/>
    <w:rsid w:val="001A569C"/>
    <w:rsid w:val="001A56AB"/>
    <w:rsid w:val="001B69EB"/>
    <w:rsid w:val="001C12E5"/>
    <w:rsid w:val="001E6907"/>
    <w:rsid w:val="001E7CF7"/>
    <w:rsid w:val="001F2141"/>
    <w:rsid w:val="00203F22"/>
    <w:rsid w:val="00206242"/>
    <w:rsid w:val="0020711E"/>
    <w:rsid w:val="00210880"/>
    <w:rsid w:val="002254F4"/>
    <w:rsid w:val="002257B9"/>
    <w:rsid w:val="0023137D"/>
    <w:rsid w:val="00266710"/>
    <w:rsid w:val="002730C0"/>
    <w:rsid w:val="002805B8"/>
    <w:rsid w:val="00282293"/>
    <w:rsid w:val="00287C97"/>
    <w:rsid w:val="00293343"/>
    <w:rsid w:val="002938CE"/>
    <w:rsid w:val="002939D0"/>
    <w:rsid w:val="00296F1E"/>
    <w:rsid w:val="00297D75"/>
    <w:rsid w:val="002B6640"/>
    <w:rsid w:val="002D61AC"/>
    <w:rsid w:val="002D7BC7"/>
    <w:rsid w:val="002E4720"/>
    <w:rsid w:val="002F3CF7"/>
    <w:rsid w:val="00303452"/>
    <w:rsid w:val="003324F7"/>
    <w:rsid w:val="00334F88"/>
    <w:rsid w:val="00357130"/>
    <w:rsid w:val="00362BBB"/>
    <w:rsid w:val="003633A6"/>
    <w:rsid w:val="003707DB"/>
    <w:rsid w:val="00375AEC"/>
    <w:rsid w:val="00376236"/>
    <w:rsid w:val="0037652C"/>
    <w:rsid w:val="003800E4"/>
    <w:rsid w:val="00380FF5"/>
    <w:rsid w:val="00395438"/>
    <w:rsid w:val="003A6174"/>
    <w:rsid w:val="003B7FE3"/>
    <w:rsid w:val="004030AB"/>
    <w:rsid w:val="00404954"/>
    <w:rsid w:val="004054E4"/>
    <w:rsid w:val="00412282"/>
    <w:rsid w:val="004256BA"/>
    <w:rsid w:val="00431999"/>
    <w:rsid w:val="00433D80"/>
    <w:rsid w:val="00434ADE"/>
    <w:rsid w:val="00435682"/>
    <w:rsid w:val="00443636"/>
    <w:rsid w:val="00444BF4"/>
    <w:rsid w:val="00456081"/>
    <w:rsid w:val="00464F5D"/>
    <w:rsid w:val="004733BD"/>
    <w:rsid w:val="00474FBD"/>
    <w:rsid w:val="00481510"/>
    <w:rsid w:val="004856B9"/>
    <w:rsid w:val="00491D7D"/>
    <w:rsid w:val="004A3D77"/>
    <w:rsid w:val="004B3D18"/>
    <w:rsid w:val="004C3F45"/>
    <w:rsid w:val="004D6E39"/>
    <w:rsid w:val="004E08B4"/>
    <w:rsid w:val="004E40EF"/>
    <w:rsid w:val="004E628B"/>
    <w:rsid w:val="004E73F7"/>
    <w:rsid w:val="004F76A0"/>
    <w:rsid w:val="00500E7F"/>
    <w:rsid w:val="00514994"/>
    <w:rsid w:val="0052179D"/>
    <w:rsid w:val="00526B44"/>
    <w:rsid w:val="00530CF8"/>
    <w:rsid w:val="005374DB"/>
    <w:rsid w:val="0054073C"/>
    <w:rsid w:val="005456A9"/>
    <w:rsid w:val="00555D52"/>
    <w:rsid w:val="005566D7"/>
    <w:rsid w:val="00561F7F"/>
    <w:rsid w:val="00562FE6"/>
    <w:rsid w:val="00563077"/>
    <w:rsid w:val="00566B35"/>
    <w:rsid w:val="005732CC"/>
    <w:rsid w:val="00575422"/>
    <w:rsid w:val="005758A1"/>
    <w:rsid w:val="00580033"/>
    <w:rsid w:val="005938C6"/>
    <w:rsid w:val="005A0431"/>
    <w:rsid w:val="005B3752"/>
    <w:rsid w:val="005B61C2"/>
    <w:rsid w:val="005D26B7"/>
    <w:rsid w:val="005D4AA1"/>
    <w:rsid w:val="005D6FFB"/>
    <w:rsid w:val="0060146C"/>
    <w:rsid w:val="0060207D"/>
    <w:rsid w:val="006039F2"/>
    <w:rsid w:val="006061B0"/>
    <w:rsid w:val="0060732E"/>
    <w:rsid w:val="006076A9"/>
    <w:rsid w:val="00613AB5"/>
    <w:rsid w:val="00637D10"/>
    <w:rsid w:val="006464F2"/>
    <w:rsid w:val="006544EA"/>
    <w:rsid w:val="00663172"/>
    <w:rsid w:val="0066569F"/>
    <w:rsid w:val="0069004B"/>
    <w:rsid w:val="00697413"/>
    <w:rsid w:val="006A6C5A"/>
    <w:rsid w:val="006B08EB"/>
    <w:rsid w:val="006B481F"/>
    <w:rsid w:val="006E3127"/>
    <w:rsid w:val="006F638E"/>
    <w:rsid w:val="006F72D7"/>
    <w:rsid w:val="00703E42"/>
    <w:rsid w:val="0071470B"/>
    <w:rsid w:val="00722BFD"/>
    <w:rsid w:val="00724049"/>
    <w:rsid w:val="00727B97"/>
    <w:rsid w:val="007313D0"/>
    <w:rsid w:val="007368AD"/>
    <w:rsid w:val="00751D2A"/>
    <w:rsid w:val="00755095"/>
    <w:rsid w:val="00755E2C"/>
    <w:rsid w:val="0075669C"/>
    <w:rsid w:val="00764CC0"/>
    <w:rsid w:val="00791A62"/>
    <w:rsid w:val="00796A07"/>
    <w:rsid w:val="007A1D50"/>
    <w:rsid w:val="007C3486"/>
    <w:rsid w:val="007F10E3"/>
    <w:rsid w:val="007F2C0E"/>
    <w:rsid w:val="00801193"/>
    <w:rsid w:val="00803767"/>
    <w:rsid w:val="00804AEB"/>
    <w:rsid w:val="00824CC8"/>
    <w:rsid w:val="00836D17"/>
    <w:rsid w:val="00840A55"/>
    <w:rsid w:val="00841E25"/>
    <w:rsid w:val="008464CD"/>
    <w:rsid w:val="00850784"/>
    <w:rsid w:val="00850939"/>
    <w:rsid w:val="008515EE"/>
    <w:rsid w:val="00861C4E"/>
    <w:rsid w:val="00866D21"/>
    <w:rsid w:val="00867C96"/>
    <w:rsid w:val="00872D85"/>
    <w:rsid w:val="00883DDA"/>
    <w:rsid w:val="00891FF9"/>
    <w:rsid w:val="00893367"/>
    <w:rsid w:val="00893D07"/>
    <w:rsid w:val="00896804"/>
    <w:rsid w:val="008B463B"/>
    <w:rsid w:val="008B7956"/>
    <w:rsid w:val="008C3722"/>
    <w:rsid w:val="008C3B67"/>
    <w:rsid w:val="008C3F48"/>
    <w:rsid w:val="008D1D59"/>
    <w:rsid w:val="008D49B4"/>
    <w:rsid w:val="008D7498"/>
    <w:rsid w:val="008E2124"/>
    <w:rsid w:val="00903DD2"/>
    <w:rsid w:val="00912CA7"/>
    <w:rsid w:val="00915931"/>
    <w:rsid w:val="00931478"/>
    <w:rsid w:val="00932E96"/>
    <w:rsid w:val="009418E6"/>
    <w:rsid w:val="0094235F"/>
    <w:rsid w:val="0094279F"/>
    <w:rsid w:val="00946B98"/>
    <w:rsid w:val="00947D40"/>
    <w:rsid w:val="0095052A"/>
    <w:rsid w:val="009647C4"/>
    <w:rsid w:val="009658F0"/>
    <w:rsid w:val="00971655"/>
    <w:rsid w:val="00971C63"/>
    <w:rsid w:val="00977688"/>
    <w:rsid w:val="009913D1"/>
    <w:rsid w:val="009A0FE8"/>
    <w:rsid w:val="009A4AE9"/>
    <w:rsid w:val="009C70F2"/>
    <w:rsid w:val="009C71D5"/>
    <w:rsid w:val="009F3474"/>
    <w:rsid w:val="009F7CE4"/>
    <w:rsid w:val="00A00B2F"/>
    <w:rsid w:val="00A11162"/>
    <w:rsid w:val="00A31A2C"/>
    <w:rsid w:val="00A43227"/>
    <w:rsid w:val="00A46CCD"/>
    <w:rsid w:val="00A525A1"/>
    <w:rsid w:val="00A6169E"/>
    <w:rsid w:val="00A65133"/>
    <w:rsid w:val="00A652C5"/>
    <w:rsid w:val="00A85C5A"/>
    <w:rsid w:val="00A96A08"/>
    <w:rsid w:val="00AA0161"/>
    <w:rsid w:val="00AA12B4"/>
    <w:rsid w:val="00AA2CE0"/>
    <w:rsid w:val="00AA56C0"/>
    <w:rsid w:val="00AB1D08"/>
    <w:rsid w:val="00AB4345"/>
    <w:rsid w:val="00AB57B0"/>
    <w:rsid w:val="00AB5BD7"/>
    <w:rsid w:val="00AC0135"/>
    <w:rsid w:val="00AC070D"/>
    <w:rsid w:val="00AC1B94"/>
    <w:rsid w:val="00AC1C3D"/>
    <w:rsid w:val="00AC42FB"/>
    <w:rsid w:val="00AD0616"/>
    <w:rsid w:val="00AD34FF"/>
    <w:rsid w:val="00AD4DE6"/>
    <w:rsid w:val="00AE5CBD"/>
    <w:rsid w:val="00AE6DBC"/>
    <w:rsid w:val="00AF3E95"/>
    <w:rsid w:val="00AF7C67"/>
    <w:rsid w:val="00B11BB8"/>
    <w:rsid w:val="00B1339B"/>
    <w:rsid w:val="00B15FE9"/>
    <w:rsid w:val="00B1625A"/>
    <w:rsid w:val="00B30648"/>
    <w:rsid w:val="00B349B6"/>
    <w:rsid w:val="00B3774D"/>
    <w:rsid w:val="00B47945"/>
    <w:rsid w:val="00B51883"/>
    <w:rsid w:val="00B61FD4"/>
    <w:rsid w:val="00B63893"/>
    <w:rsid w:val="00B674DB"/>
    <w:rsid w:val="00B73047"/>
    <w:rsid w:val="00B82E8D"/>
    <w:rsid w:val="00B8527F"/>
    <w:rsid w:val="00B9264D"/>
    <w:rsid w:val="00B94D99"/>
    <w:rsid w:val="00B9775F"/>
    <w:rsid w:val="00BB3FA1"/>
    <w:rsid w:val="00BB62BB"/>
    <w:rsid w:val="00BC05C5"/>
    <w:rsid w:val="00BC381F"/>
    <w:rsid w:val="00BD04BE"/>
    <w:rsid w:val="00BD4E35"/>
    <w:rsid w:val="00BE1CC8"/>
    <w:rsid w:val="00BE6F28"/>
    <w:rsid w:val="00BF29FA"/>
    <w:rsid w:val="00C04D2B"/>
    <w:rsid w:val="00C1164B"/>
    <w:rsid w:val="00C424BE"/>
    <w:rsid w:val="00C4694E"/>
    <w:rsid w:val="00C737C5"/>
    <w:rsid w:val="00C97D29"/>
    <w:rsid w:val="00CA3540"/>
    <w:rsid w:val="00CA6DED"/>
    <w:rsid w:val="00CC49D4"/>
    <w:rsid w:val="00CD2329"/>
    <w:rsid w:val="00CE6F5A"/>
    <w:rsid w:val="00CE7487"/>
    <w:rsid w:val="00CF42CF"/>
    <w:rsid w:val="00D102E9"/>
    <w:rsid w:val="00D1688F"/>
    <w:rsid w:val="00D2117F"/>
    <w:rsid w:val="00D25317"/>
    <w:rsid w:val="00D35514"/>
    <w:rsid w:val="00D427D5"/>
    <w:rsid w:val="00D66E8B"/>
    <w:rsid w:val="00D85574"/>
    <w:rsid w:val="00D85715"/>
    <w:rsid w:val="00D8706C"/>
    <w:rsid w:val="00DA4C62"/>
    <w:rsid w:val="00DB6A17"/>
    <w:rsid w:val="00DB70C9"/>
    <w:rsid w:val="00DD4E84"/>
    <w:rsid w:val="00DD5520"/>
    <w:rsid w:val="00DE0B8E"/>
    <w:rsid w:val="00DE71D0"/>
    <w:rsid w:val="00DF16C2"/>
    <w:rsid w:val="00E00F76"/>
    <w:rsid w:val="00E12171"/>
    <w:rsid w:val="00E12DBB"/>
    <w:rsid w:val="00E13287"/>
    <w:rsid w:val="00E21E75"/>
    <w:rsid w:val="00E234C7"/>
    <w:rsid w:val="00E26502"/>
    <w:rsid w:val="00E35D91"/>
    <w:rsid w:val="00E519DC"/>
    <w:rsid w:val="00E807DA"/>
    <w:rsid w:val="00E83E15"/>
    <w:rsid w:val="00E84E3A"/>
    <w:rsid w:val="00E92DE5"/>
    <w:rsid w:val="00EA05AF"/>
    <w:rsid w:val="00EA1440"/>
    <w:rsid w:val="00EB5CDF"/>
    <w:rsid w:val="00EB6952"/>
    <w:rsid w:val="00EB7F52"/>
    <w:rsid w:val="00EC0818"/>
    <w:rsid w:val="00EC43B9"/>
    <w:rsid w:val="00ED09CD"/>
    <w:rsid w:val="00ED4D69"/>
    <w:rsid w:val="00EE362F"/>
    <w:rsid w:val="00EF0E19"/>
    <w:rsid w:val="00EF1CCC"/>
    <w:rsid w:val="00EF4C25"/>
    <w:rsid w:val="00F0258A"/>
    <w:rsid w:val="00F114AE"/>
    <w:rsid w:val="00F41675"/>
    <w:rsid w:val="00F43CA0"/>
    <w:rsid w:val="00F55030"/>
    <w:rsid w:val="00F7696F"/>
    <w:rsid w:val="00F8209B"/>
    <w:rsid w:val="00F97CD9"/>
    <w:rsid w:val="00FA0576"/>
    <w:rsid w:val="00FA2161"/>
    <w:rsid w:val="00FB50B4"/>
    <w:rsid w:val="00FC23D8"/>
    <w:rsid w:val="00FD4B97"/>
    <w:rsid w:val="00FE55EB"/>
    <w:rsid w:val="00FE7968"/>
    <w:rsid w:val="00FF7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722BFD"/>
    <w:pPr>
      <w:spacing w:after="240" w:line="288" w:lineRule="auto"/>
      <w:jc w:val="both"/>
    </w:pPr>
    <w:rPr>
      <w:lang w:eastAsia="en-US"/>
    </w:rPr>
  </w:style>
  <w:style w:type="paragraph" w:styleId="Heading1">
    <w:name w:val="heading 1"/>
    <w:aliases w:val="h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aliases w:val="h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aliases w:val="h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aliases w:val="Legal Level 1.1.,H7,i.,(1),heading 7,h7"/>
    <w:basedOn w:val="UnnumberedHeading"/>
    <w:next w:val="AERbodytext"/>
    <w:link w:val="Heading7Char"/>
    <w:uiPriority w:val="9"/>
    <w:qFormat/>
    <w:rsid w:val="00303452"/>
    <w:pPr>
      <w:numPr>
        <w:ilvl w:val="4"/>
      </w:numPr>
      <w:outlineLvl w:val="6"/>
    </w:pPr>
    <w:rPr>
      <w:iCs/>
      <w:szCs w:val="24"/>
    </w:rPr>
  </w:style>
  <w:style w:type="paragraph" w:styleId="Heading8">
    <w:name w:val="heading 8"/>
    <w:aliases w:val="H8,Legal Level 1.1.1.,Annex,h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aliases w:val="Heading 9 Char1,Heading 9 Char Char,Legal Level 1.1.1.1. Char Char,H9 Char Char,Legal Level 1.1.1.1. Char,H9 Char,Annex1, Appen 1,Appen 1,Legal Level 1.1.1.1.,H9,h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aliases w:val="h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aliases w:val="h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aliases w:val="h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aliases w:val="Legal Level 1.1. Char,H7 Char,i. Char,(1) Char,heading 7 Char,h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aliases w:val="H8 Char,Legal Level 1.1.1. Char,Annex Char,h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aliases w:val="Heading 9 Char1 Char,Heading 9 Char Char Char,Legal Level 1.1.1.1. Char Char Char,H9 Char Char Char,Legal Level 1.1.1.1. Char Char1,H9 Char Char1,Annex1 Char, Appen 1 Char,Appen 1 Char,Legal Level 1.1.1.1. Char1,H9 Char1,h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F258722C.dotm</Template>
  <TotalTime>0</TotalTime>
  <Pages>13</Pages>
  <Words>3376</Words>
  <Characters>19248</Characters>
  <Application>Microsoft Office Word</Application>
  <DocSecurity>0</DocSecurity>
  <Lines>160</Lines>
  <Paragraphs>45</Paragraphs>
  <ScaleCrop>false</ScaleCrop>
  <Company/>
  <LinksUpToDate>false</LinksUpToDate>
  <CharactersWithSpaces>22579</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2014-11-26T04:37:00Z</dcterms:created>
  <dcterms:modified xsi:type="dcterms:W3CDTF">2014-11-26T04:37:00Z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8260508</vt:lpwstr>
  </property>
</Properties>
</file>