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4FA" w:rsidRDefault="00D904FA" w:rsidP="00D904FA">
      <w:pPr>
        <w:pStyle w:val="AERtitle1"/>
      </w:pPr>
      <w:bookmarkStart w:id="0" w:name="_Toc387230866"/>
      <w:bookmarkStart w:id="1" w:name="_GoBack"/>
      <w:bookmarkEnd w:id="1"/>
      <w:r w:rsidRPr="00D904FA">
        <w:rPr>
          <w:noProof/>
        </w:rPr>
        <w:drawing>
          <wp:anchor distT="0" distB="0" distL="114300" distR="114300" simplePos="0" relativeHeight="251659264" behindDoc="1" locked="0" layoutInCell="1" allowOverlap="1" wp14:anchorId="329B0D3B" wp14:editId="01574F3A">
            <wp:simplePos x="0" y="0"/>
            <wp:positionH relativeFrom="column">
              <wp:posOffset>-929005</wp:posOffset>
            </wp:positionH>
            <wp:positionV relativeFrom="paragraph">
              <wp:posOffset>-934720</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D904FA" w:rsidRDefault="00D904FA" w:rsidP="00D904FA">
      <w:pPr>
        <w:pStyle w:val="AERtitle1"/>
      </w:pPr>
    </w:p>
    <w:p w:rsidR="00D904FA" w:rsidRDefault="00D904FA" w:rsidP="00D904FA">
      <w:pPr>
        <w:pStyle w:val="AERtitle1"/>
      </w:pPr>
    </w:p>
    <w:p w:rsidR="00D904FA" w:rsidRDefault="00D904FA" w:rsidP="00D904FA">
      <w:pPr>
        <w:pStyle w:val="AERtitle1"/>
      </w:pPr>
    </w:p>
    <w:p w:rsidR="00D904FA" w:rsidRDefault="00D904FA" w:rsidP="00D904FA">
      <w:pPr>
        <w:pStyle w:val="AERtitle1"/>
      </w:pPr>
    </w:p>
    <w:p w:rsidR="00D904FA" w:rsidRDefault="00D904FA" w:rsidP="00D904FA">
      <w:pPr>
        <w:pStyle w:val="AERtitle1"/>
      </w:pPr>
    </w:p>
    <w:p w:rsidR="00D904FA" w:rsidRDefault="00D904FA" w:rsidP="00D904FA">
      <w:pPr>
        <w:pStyle w:val="AERtitle1"/>
      </w:pPr>
    </w:p>
    <w:p w:rsidR="00D904FA" w:rsidRDefault="00D904FA" w:rsidP="00D904FA">
      <w:pPr>
        <w:pStyle w:val="AERtitle1"/>
      </w:pPr>
      <w:r>
        <w:t xml:space="preserve">Draft decision </w:t>
      </w:r>
    </w:p>
    <w:p w:rsidR="00D904FA" w:rsidRPr="003254C8" w:rsidRDefault="00D904FA" w:rsidP="00D904FA">
      <w:pPr>
        <w:pStyle w:val="AERtitle1"/>
      </w:pPr>
      <w:r>
        <w:t xml:space="preserve">TransGrid </w:t>
      </w:r>
      <w:r w:rsidRPr="003254C8">
        <w:t>transmission determination</w:t>
      </w:r>
    </w:p>
    <w:p w:rsidR="00D904FA" w:rsidRDefault="00D904FA" w:rsidP="00D904FA">
      <w:pPr>
        <w:pStyle w:val="AERtitle1"/>
      </w:pPr>
      <w:r>
        <w:t>2015</w:t>
      </w:r>
      <w:r w:rsidRPr="00D904FA">
        <w:t>–</w:t>
      </w:r>
      <w:r w:rsidRPr="003254C8">
        <w:t>16</w:t>
      </w:r>
      <w:r>
        <w:t xml:space="preserve"> to 2017</w:t>
      </w:r>
      <w:r w:rsidRPr="00D904FA">
        <w:t>–</w:t>
      </w:r>
      <w:r>
        <w:t>18</w:t>
      </w:r>
    </w:p>
    <w:p w:rsidR="00D904FA" w:rsidRDefault="00D904FA" w:rsidP="00D904FA">
      <w:pPr>
        <w:pStyle w:val="AERtitle1"/>
      </w:pPr>
      <w:r>
        <w:t>Attachment 1: Maximum allowed revenue</w:t>
      </w:r>
    </w:p>
    <w:p w:rsidR="00D904FA" w:rsidRDefault="00D904FA" w:rsidP="00D904FA">
      <w:pPr>
        <w:pStyle w:val="AERtitle1"/>
      </w:pPr>
    </w:p>
    <w:p w:rsidR="00D904FA" w:rsidRDefault="00D904FA" w:rsidP="00D904FA"/>
    <w:p w:rsidR="00D904FA" w:rsidRPr="00F6235D" w:rsidRDefault="00D904FA" w:rsidP="00D904FA"/>
    <w:p w:rsidR="00D904FA" w:rsidRDefault="00D904FA" w:rsidP="00D904FA">
      <w:pPr>
        <w:pStyle w:val="AERtitle2"/>
      </w:pPr>
      <w:r>
        <w:t>November 2014</w:t>
      </w:r>
    </w:p>
    <w:p w:rsidR="00D904FA" w:rsidRDefault="00D904FA">
      <w:pPr>
        <w:spacing w:after="0" w:line="240" w:lineRule="auto"/>
        <w:jc w:val="left"/>
        <w:rPr>
          <w:rFonts w:eastAsia="Times New Roman"/>
          <w:sz w:val="32"/>
          <w:szCs w:val="24"/>
        </w:rPr>
      </w:pPr>
      <w:r>
        <w:br w:type="page"/>
      </w:r>
    </w:p>
    <w:p w:rsidR="00D904FA" w:rsidRPr="00B06FB7" w:rsidRDefault="00D904FA" w:rsidP="00D904FA">
      <w:pPr>
        <w:pStyle w:val="AERbodytextnospace"/>
        <w:rPr>
          <w:rStyle w:val="AERtextbold"/>
        </w:rPr>
      </w:pPr>
      <w:r w:rsidRPr="008F1A4A">
        <w:rPr>
          <w:rStyle w:val="AERtextbold"/>
        </w:rPr>
        <w:lastRenderedPageBreak/>
        <w:t xml:space="preserve">© Commonwealth of Australia </w:t>
      </w:r>
      <w:r w:rsidRPr="00B06FB7">
        <w:rPr>
          <w:rStyle w:val="AERtextbold"/>
        </w:rPr>
        <w:t>2014</w:t>
      </w:r>
    </w:p>
    <w:p w:rsidR="00D904FA" w:rsidRPr="00B06FB7" w:rsidRDefault="00D904FA" w:rsidP="00D904FA">
      <w:r w:rsidRPr="00B06FB7">
        <w:t>This work is copyright. In addition to any use permitted under the Copyright Act 1968, all material contained within this work is provided under a Creative Commons Attribution 3.0 Australia licence, with the exception of:</w:t>
      </w:r>
    </w:p>
    <w:p w:rsidR="00D904FA" w:rsidRPr="00B06FB7" w:rsidRDefault="00D904FA" w:rsidP="00D904FA">
      <w:pPr>
        <w:pStyle w:val="AERbulletlistfirststyle"/>
      </w:pPr>
      <w:r w:rsidRPr="00B06FB7">
        <w:t>the Commonwealth Coat of Arms</w:t>
      </w:r>
    </w:p>
    <w:p w:rsidR="00D904FA" w:rsidRPr="00B06FB7" w:rsidRDefault="00D904FA" w:rsidP="00D904FA">
      <w:pPr>
        <w:pStyle w:val="AERbulletlistfirststyle"/>
      </w:pPr>
      <w:r w:rsidRPr="00B06FB7">
        <w:t>the ACCC and AER logos</w:t>
      </w:r>
    </w:p>
    <w:p w:rsidR="00D904FA" w:rsidRPr="00D904FA" w:rsidRDefault="00D904FA" w:rsidP="00D904FA">
      <w:r w:rsidRPr="00B06FB7">
        <w:t>any illustration, diagram, photograph or graphic over which the Australian Competition and Consumer Commission does not hold copyright, but which may be part of or contained within this publication.</w:t>
      </w:r>
    </w:p>
    <w:p w:rsidR="00D904FA" w:rsidRPr="00B06FB7" w:rsidRDefault="00D904FA" w:rsidP="00D904FA">
      <w:r w:rsidRPr="00B06FB7">
        <w:t>The details of the relevant licence conditions are available on the Creative Commons website, as is the full legal code for the CC BY 3.0 AU licence.</w:t>
      </w:r>
    </w:p>
    <w:p w:rsidR="00D904FA" w:rsidRPr="00B06FB7" w:rsidRDefault="00D904FA" w:rsidP="00D904FA">
      <w:pPr>
        <w:numPr>
          <w:ilvl w:val="0"/>
          <w:numId w:val="13"/>
        </w:numPr>
      </w:pPr>
      <w:r w:rsidRPr="00B06FB7">
        <w:t>Requests and inquiries concerning reproduction and rights should be addressed to the Director, Corporate Communications, ACCC, GPO Box 3131, Canberra ACT 2601, or</w:t>
      </w:r>
      <w:r w:rsidR="00294126">
        <w:t xml:space="preserve"> </w:t>
      </w:r>
      <w:r w:rsidRPr="00B06FB7">
        <w:t xml:space="preserve"> </w:t>
      </w:r>
      <w:hyperlink r:id="rId9" w:history="1">
        <w:r w:rsidRPr="00B06FB7">
          <w:t>publishing.unit@accc.gov.au</w:t>
        </w:r>
      </w:hyperlink>
      <w:r w:rsidRPr="00B06FB7">
        <w:t>.</w:t>
      </w:r>
    </w:p>
    <w:p w:rsidR="00D904FA" w:rsidRDefault="00D904FA" w:rsidP="00D904FA">
      <w:r>
        <w:t>Inquiries about this document should be addressed to:</w:t>
      </w:r>
    </w:p>
    <w:p w:rsidR="00D904FA" w:rsidRDefault="00D904FA" w:rsidP="00D904FA">
      <w:pPr>
        <w:pStyle w:val="AERbodytextnospace"/>
      </w:pPr>
      <w:r>
        <w:t>Australian Energy Regulator</w:t>
      </w:r>
    </w:p>
    <w:p w:rsidR="00D904FA" w:rsidRDefault="00D904FA" w:rsidP="00D904FA">
      <w:pPr>
        <w:pStyle w:val="AERbodytextnospace"/>
      </w:pPr>
      <w:r>
        <w:t>GPO Box 520</w:t>
      </w:r>
    </w:p>
    <w:p w:rsidR="00D904FA" w:rsidRDefault="00D904FA" w:rsidP="00D904FA">
      <w:pPr>
        <w:pStyle w:val="AERbodytextnospace"/>
      </w:pPr>
      <w:r>
        <w:t>Melbourne  Vic  3001</w:t>
      </w:r>
    </w:p>
    <w:p w:rsidR="00D904FA" w:rsidRDefault="00D904FA" w:rsidP="00D904FA">
      <w:pPr>
        <w:pStyle w:val="AERbodytextnospace"/>
      </w:pPr>
      <w:r>
        <w:t>Tel: (03) 9290 1444</w:t>
      </w:r>
    </w:p>
    <w:p w:rsidR="00D904FA" w:rsidRDefault="00D904FA" w:rsidP="00D904FA">
      <w:pPr>
        <w:pStyle w:val="AERbodytextnospace"/>
      </w:pPr>
      <w:r>
        <w:t>Fax: (03) 9290 1457</w:t>
      </w:r>
    </w:p>
    <w:p w:rsidR="00D904FA" w:rsidRDefault="00D904FA" w:rsidP="00D904FA">
      <w:pPr>
        <w:pStyle w:val="AERbodytextnospace"/>
      </w:pPr>
      <w:r>
        <w:t xml:space="preserve">Email: </w:t>
      </w:r>
      <w:hyperlink r:id="rId10" w:history="1">
        <w:r w:rsidRPr="003E184A">
          <w:rPr>
            <w:rStyle w:val="Hyperlink"/>
          </w:rPr>
          <w:t>AERInquiry@aer.gov.au</w:t>
        </w:r>
      </w:hyperlink>
    </w:p>
    <w:p w:rsidR="00D904FA" w:rsidRPr="008F1A4A" w:rsidRDefault="00D904FA" w:rsidP="00D904FA"/>
    <w:p w:rsidR="00D904FA" w:rsidRDefault="00D904FA" w:rsidP="00D904FA">
      <w:pPr>
        <w:pStyle w:val="AERbodytext"/>
      </w:pPr>
      <w:r>
        <w:t>AER reference</w:t>
      </w:r>
      <w:r w:rsidRPr="00B06FB7">
        <w:rPr>
          <w:rStyle w:val="AERbody"/>
        </w:rPr>
        <w:t>:   53444</w:t>
      </w:r>
      <w:r>
        <w:rPr>
          <w:rStyle w:val="AERbody"/>
        </w:rPr>
        <w:t xml:space="preserve">   </w:t>
      </w:r>
    </w:p>
    <w:p w:rsidR="00D904FA" w:rsidRDefault="00D904FA" w:rsidP="00D904FA">
      <w:pPr>
        <w:pStyle w:val="UnnumberedHeading"/>
        <w:numPr>
          <w:ilvl w:val="0"/>
          <w:numId w:val="2"/>
        </w:numPr>
      </w:pPr>
      <w:bookmarkStart w:id="2" w:name="_Toc404153950"/>
      <w:bookmarkStart w:id="3" w:name="_Toc404178324"/>
      <w:r>
        <w:lastRenderedPageBreak/>
        <w:t>Note</w:t>
      </w:r>
      <w:bookmarkEnd w:id="2"/>
      <w:bookmarkEnd w:id="3"/>
    </w:p>
    <w:p w:rsidR="00D904FA" w:rsidRDefault="00D904FA" w:rsidP="00D904FA">
      <w:pPr>
        <w:pStyle w:val="AERbodytext"/>
      </w:pPr>
      <w:r>
        <w:t>This attachment forms part of the AER's draft decision on TransGrid’s revenue proposal 2015</w:t>
      </w:r>
      <w:r w:rsidRPr="00D904FA">
        <w:t>–</w:t>
      </w:r>
      <w:r>
        <w:t>18. It should be read with other parts of the draft decision.</w:t>
      </w:r>
    </w:p>
    <w:p w:rsidR="00D904FA" w:rsidRDefault="00D904FA" w:rsidP="00D904FA">
      <w:pPr>
        <w:pStyle w:val="AERbodytext"/>
      </w:pPr>
      <w:r>
        <w:t>The draft decision includes the following documents:</w:t>
      </w:r>
    </w:p>
    <w:p w:rsidR="00D904FA" w:rsidRDefault="00D904FA" w:rsidP="00D904FA">
      <w:pPr>
        <w:pStyle w:val="AERbodytext"/>
      </w:pPr>
      <w:r>
        <w:t>Overview</w:t>
      </w:r>
    </w:p>
    <w:p w:rsidR="00D904FA" w:rsidRDefault="00D904FA" w:rsidP="00D904FA">
      <w:pPr>
        <w:pStyle w:val="AERbodytext"/>
      </w:pPr>
      <w:r>
        <w:t>Attachment 1 – maximum allowed revenue</w:t>
      </w:r>
    </w:p>
    <w:p w:rsidR="00D904FA" w:rsidRDefault="00D904FA" w:rsidP="00D904FA">
      <w:pPr>
        <w:pStyle w:val="AERbodytext"/>
      </w:pPr>
      <w:r>
        <w:t>Attachment 2 – regulatory asset base</w:t>
      </w:r>
    </w:p>
    <w:p w:rsidR="00D904FA" w:rsidRDefault="00D904FA" w:rsidP="00D904FA">
      <w:pPr>
        <w:pStyle w:val="AERbodytext"/>
      </w:pPr>
      <w:r>
        <w:t>Attachment 3 – rate of return</w:t>
      </w:r>
    </w:p>
    <w:p w:rsidR="00D904FA" w:rsidRDefault="00D904FA" w:rsidP="00D904FA">
      <w:pPr>
        <w:pStyle w:val="AERbodytext"/>
      </w:pPr>
      <w:r>
        <w:t>Attachment 4 – value of imputation credits</w:t>
      </w:r>
    </w:p>
    <w:p w:rsidR="00D904FA" w:rsidRDefault="00D904FA" w:rsidP="00D904FA">
      <w:pPr>
        <w:pStyle w:val="AERbodytext"/>
      </w:pPr>
      <w:r>
        <w:t>Attachment 5 – regulatory depreciation</w:t>
      </w:r>
    </w:p>
    <w:p w:rsidR="00D904FA" w:rsidRDefault="00D904FA" w:rsidP="00D904FA">
      <w:pPr>
        <w:pStyle w:val="AERbodytext"/>
      </w:pPr>
      <w:r>
        <w:t xml:space="preserve">Attachment 6 – capital expenditure </w:t>
      </w:r>
    </w:p>
    <w:p w:rsidR="00D904FA" w:rsidRDefault="00D904FA" w:rsidP="00D904FA">
      <w:pPr>
        <w:pStyle w:val="AERbodytext"/>
      </w:pPr>
      <w:r>
        <w:t>Attachment 7 – operating expenditure</w:t>
      </w:r>
    </w:p>
    <w:p w:rsidR="00D904FA" w:rsidRDefault="00D904FA" w:rsidP="00D904FA">
      <w:pPr>
        <w:pStyle w:val="AERbodytext"/>
      </w:pPr>
      <w:r>
        <w:t>Attachment 8 – corporate income tax</w:t>
      </w:r>
    </w:p>
    <w:p w:rsidR="00D904FA" w:rsidRDefault="00D904FA" w:rsidP="00D904FA">
      <w:pPr>
        <w:pStyle w:val="AERbodytext"/>
      </w:pPr>
      <w:r>
        <w:t>Attachment 9 – efficiency benefit sharing scheme</w:t>
      </w:r>
    </w:p>
    <w:p w:rsidR="00D904FA" w:rsidRDefault="00D904FA" w:rsidP="00D904FA">
      <w:pPr>
        <w:pStyle w:val="AERbodytext"/>
      </w:pPr>
      <w:r>
        <w:t>Attachment 10 – capital expenditure sharing scheme</w:t>
      </w:r>
    </w:p>
    <w:p w:rsidR="00D904FA" w:rsidRDefault="00D904FA" w:rsidP="00D904FA">
      <w:pPr>
        <w:pStyle w:val="AERbodytext"/>
      </w:pPr>
      <w:r>
        <w:t>Attachment 11 – service target performance incentive scheme</w:t>
      </w:r>
    </w:p>
    <w:p w:rsidR="00D904FA" w:rsidRPr="00D904FA" w:rsidRDefault="00D904FA" w:rsidP="00D904FA">
      <w:pPr>
        <w:pStyle w:val="AERbodytext"/>
      </w:pPr>
      <w:r>
        <w:t xml:space="preserve">Attachment 12 – </w:t>
      </w:r>
      <w:r w:rsidRPr="00D904FA">
        <w:t>pricing methodology</w:t>
      </w:r>
    </w:p>
    <w:p w:rsidR="00D904FA" w:rsidRPr="00D904FA" w:rsidRDefault="00D904FA" w:rsidP="00D904FA">
      <w:pPr>
        <w:pStyle w:val="AERbodytext"/>
      </w:pPr>
      <w:r>
        <w:t xml:space="preserve">Attachment 13 </w:t>
      </w:r>
      <w:r w:rsidRPr="00D904FA">
        <w:t>– pass through events</w:t>
      </w:r>
    </w:p>
    <w:p w:rsidR="00D904FA" w:rsidRDefault="00D904FA" w:rsidP="00D904FA">
      <w:r w:rsidRPr="00D904FA">
        <w:t>Attachment 14 – negotiated services</w:t>
      </w:r>
    </w:p>
    <w:p w:rsidR="00D904FA" w:rsidRDefault="00D904FA" w:rsidP="00D904FA"/>
    <w:p w:rsidR="00D904FA" w:rsidRDefault="00D904FA" w:rsidP="00D904FA">
      <w:pPr>
        <w:pStyle w:val="UnnumberedHeading"/>
        <w:numPr>
          <w:ilvl w:val="0"/>
          <w:numId w:val="2"/>
        </w:numPr>
      </w:pPr>
      <w:bookmarkStart w:id="4" w:name="_Toc404153951"/>
      <w:bookmarkStart w:id="5" w:name="_Toc404178325"/>
      <w:r>
        <w:lastRenderedPageBreak/>
        <w:t>Contents</w:t>
      </w:r>
      <w:bookmarkEnd w:id="4"/>
      <w:bookmarkEnd w:id="5"/>
    </w:p>
    <w:sdt>
      <w:sdtPr>
        <w:rPr>
          <w:rFonts w:eastAsia="Times New Roman"/>
          <w:b w:val="0"/>
          <w:bCs w:val="0"/>
          <w:szCs w:val="24"/>
          <w:lang w:val="en-US" w:eastAsia="ja-JP"/>
        </w:rPr>
        <w:id w:val="-1387557965"/>
        <w:docPartObj>
          <w:docPartGallery w:val="Table of Contents"/>
          <w:docPartUnique/>
        </w:docPartObj>
      </w:sdtPr>
      <w:sdtEndPr>
        <w:rPr>
          <w:lang w:val="en-AU" w:eastAsia="en-US"/>
        </w:rPr>
      </w:sdtEndPr>
      <w:sdtContent>
        <w:p w:rsidR="00D904FA" w:rsidRDefault="00D904FA">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sidRPr="00D904FA">
            <w:instrText xml:space="preserve"> TOC \o \h \z \u </w:instrText>
          </w:r>
          <w:r>
            <w:rPr>
              <w:lang w:val="en-US" w:eastAsia="ja-JP"/>
            </w:rPr>
            <w:fldChar w:fldCharType="separate"/>
          </w:r>
          <w:hyperlink w:anchor="_Toc404178324" w:history="1">
            <w:r w:rsidRPr="00405FC4">
              <w:rPr>
                <w:rStyle w:val="Hyperlink"/>
                <w:noProof/>
              </w:rPr>
              <w:t>Note</w:t>
            </w:r>
            <w:r>
              <w:rPr>
                <w:noProof/>
                <w:webHidden/>
              </w:rPr>
              <w:tab/>
              <w:t>1-</w:t>
            </w:r>
            <w:r>
              <w:rPr>
                <w:noProof/>
                <w:webHidden/>
              </w:rPr>
              <w:fldChar w:fldCharType="begin"/>
            </w:r>
            <w:r>
              <w:rPr>
                <w:noProof/>
                <w:webHidden/>
              </w:rPr>
              <w:instrText xml:space="preserve"> PAGEREF _Toc404178324 \h </w:instrText>
            </w:r>
            <w:r>
              <w:rPr>
                <w:noProof/>
                <w:webHidden/>
              </w:rPr>
            </w:r>
            <w:r>
              <w:rPr>
                <w:noProof/>
                <w:webHidden/>
              </w:rPr>
              <w:fldChar w:fldCharType="separate"/>
            </w:r>
            <w:r w:rsidR="00C1101B">
              <w:rPr>
                <w:noProof/>
                <w:webHidden/>
              </w:rPr>
              <w:t>3</w:t>
            </w:r>
            <w:r>
              <w:rPr>
                <w:noProof/>
                <w:webHidden/>
              </w:rPr>
              <w:fldChar w:fldCharType="end"/>
            </w:r>
          </w:hyperlink>
        </w:p>
        <w:p w:rsidR="00D904FA" w:rsidRDefault="00D46AB4">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78325" w:history="1">
            <w:r w:rsidR="00D904FA" w:rsidRPr="00405FC4">
              <w:rPr>
                <w:rStyle w:val="Hyperlink"/>
                <w:noProof/>
              </w:rPr>
              <w:t>Contents</w:t>
            </w:r>
            <w:r w:rsidR="00D904FA">
              <w:rPr>
                <w:noProof/>
                <w:webHidden/>
              </w:rPr>
              <w:tab/>
              <w:t>1-</w:t>
            </w:r>
            <w:r w:rsidR="00D904FA">
              <w:rPr>
                <w:noProof/>
                <w:webHidden/>
              </w:rPr>
              <w:fldChar w:fldCharType="begin"/>
            </w:r>
            <w:r w:rsidR="00D904FA">
              <w:rPr>
                <w:noProof/>
                <w:webHidden/>
              </w:rPr>
              <w:instrText xml:space="preserve"> PAGEREF _Toc404178325 \h </w:instrText>
            </w:r>
            <w:r w:rsidR="00D904FA">
              <w:rPr>
                <w:noProof/>
                <w:webHidden/>
              </w:rPr>
            </w:r>
            <w:r w:rsidR="00D904FA">
              <w:rPr>
                <w:noProof/>
                <w:webHidden/>
              </w:rPr>
              <w:fldChar w:fldCharType="separate"/>
            </w:r>
            <w:r w:rsidR="00C1101B">
              <w:rPr>
                <w:noProof/>
                <w:webHidden/>
              </w:rPr>
              <w:t>4</w:t>
            </w:r>
            <w:r w:rsidR="00D904FA">
              <w:rPr>
                <w:noProof/>
                <w:webHidden/>
              </w:rPr>
              <w:fldChar w:fldCharType="end"/>
            </w:r>
          </w:hyperlink>
        </w:p>
        <w:p w:rsidR="00D904FA" w:rsidRDefault="00D46AB4">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78326" w:history="1">
            <w:r w:rsidR="00D904FA" w:rsidRPr="00405FC4">
              <w:rPr>
                <w:rStyle w:val="Hyperlink"/>
                <w:noProof/>
              </w:rPr>
              <w:t>Shortened forms</w:t>
            </w:r>
            <w:r w:rsidR="00D904FA">
              <w:rPr>
                <w:noProof/>
                <w:webHidden/>
              </w:rPr>
              <w:tab/>
              <w:t>1-</w:t>
            </w:r>
            <w:r w:rsidR="00D904FA">
              <w:rPr>
                <w:noProof/>
                <w:webHidden/>
              </w:rPr>
              <w:fldChar w:fldCharType="begin"/>
            </w:r>
            <w:r w:rsidR="00D904FA">
              <w:rPr>
                <w:noProof/>
                <w:webHidden/>
              </w:rPr>
              <w:instrText xml:space="preserve"> PAGEREF _Toc404178326 \h </w:instrText>
            </w:r>
            <w:r w:rsidR="00D904FA">
              <w:rPr>
                <w:noProof/>
                <w:webHidden/>
              </w:rPr>
            </w:r>
            <w:r w:rsidR="00D904FA">
              <w:rPr>
                <w:noProof/>
                <w:webHidden/>
              </w:rPr>
              <w:fldChar w:fldCharType="separate"/>
            </w:r>
            <w:r w:rsidR="00C1101B">
              <w:rPr>
                <w:noProof/>
                <w:webHidden/>
              </w:rPr>
              <w:t>5</w:t>
            </w:r>
            <w:r w:rsidR="00D904FA">
              <w:rPr>
                <w:noProof/>
                <w:webHidden/>
              </w:rPr>
              <w:fldChar w:fldCharType="end"/>
            </w:r>
          </w:hyperlink>
        </w:p>
        <w:p w:rsidR="00D904FA" w:rsidRDefault="00D46AB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78327" w:history="1">
            <w:r w:rsidR="00D904FA" w:rsidRPr="00405FC4">
              <w:rPr>
                <w:rStyle w:val="Hyperlink"/>
                <w:noProof/>
              </w:rPr>
              <w:t>1</w:t>
            </w:r>
            <w:r w:rsidR="00D904FA">
              <w:rPr>
                <w:rFonts w:asciiTheme="minorHAnsi" w:eastAsiaTheme="minorEastAsia" w:hAnsiTheme="minorHAnsi" w:cstheme="minorBidi"/>
                <w:b w:val="0"/>
                <w:bCs w:val="0"/>
                <w:noProof/>
                <w:sz w:val="22"/>
                <w:szCs w:val="22"/>
                <w:lang w:eastAsia="en-AU"/>
              </w:rPr>
              <w:tab/>
            </w:r>
            <w:r w:rsidR="00D904FA" w:rsidRPr="00405FC4">
              <w:rPr>
                <w:rStyle w:val="Hyperlink"/>
                <w:noProof/>
              </w:rPr>
              <w:t>Maximum allowed revenue</w:t>
            </w:r>
            <w:r w:rsidR="00D904FA">
              <w:rPr>
                <w:noProof/>
                <w:webHidden/>
              </w:rPr>
              <w:tab/>
              <w:t>1-</w:t>
            </w:r>
            <w:r w:rsidR="00D904FA">
              <w:rPr>
                <w:noProof/>
                <w:webHidden/>
              </w:rPr>
              <w:fldChar w:fldCharType="begin"/>
            </w:r>
            <w:r w:rsidR="00D904FA">
              <w:rPr>
                <w:noProof/>
                <w:webHidden/>
              </w:rPr>
              <w:instrText xml:space="preserve"> PAGEREF _Toc404178327 \h </w:instrText>
            </w:r>
            <w:r w:rsidR="00D904FA">
              <w:rPr>
                <w:noProof/>
                <w:webHidden/>
              </w:rPr>
            </w:r>
            <w:r w:rsidR="00D904FA">
              <w:rPr>
                <w:noProof/>
                <w:webHidden/>
              </w:rPr>
              <w:fldChar w:fldCharType="separate"/>
            </w:r>
            <w:r w:rsidR="00C1101B">
              <w:rPr>
                <w:noProof/>
                <w:webHidden/>
              </w:rPr>
              <w:t>7</w:t>
            </w:r>
            <w:r w:rsidR="00D904FA">
              <w:rPr>
                <w:noProof/>
                <w:webHidden/>
              </w:rPr>
              <w:fldChar w:fldCharType="end"/>
            </w:r>
          </w:hyperlink>
        </w:p>
        <w:p w:rsidR="00D904FA" w:rsidRDefault="00D46AB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8328" w:history="1">
            <w:r w:rsidR="00D904FA" w:rsidRPr="00405FC4">
              <w:rPr>
                <w:rStyle w:val="Hyperlink"/>
                <w:noProof/>
              </w:rPr>
              <w:t>1.1</w:t>
            </w:r>
            <w:r w:rsidR="00D904FA">
              <w:rPr>
                <w:rFonts w:asciiTheme="minorHAnsi" w:eastAsiaTheme="minorEastAsia" w:hAnsiTheme="minorHAnsi" w:cstheme="minorBidi"/>
                <w:iCs w:val="0"/>
                <w:noProof/>
                <w:sz w:val="22"/>
                <w:szCs w:val="22"/>
                <w:lang w:eastAsia="en-AU"/>
              </w:rPr>
              <w:tab/>
            </w:r>
            <w:r w:rsidR="00D904FA" w:rsidRPr="00405FC4">
              <w:rPr>
                <w:rStyle w:val="Hyperlink"/>
                <w:noProof/>
              </w:rPr>
              <w:t>Draft decision</w:t>
            </w:r>
            <w:r w:rsidR="00D904FA">
              <w:rPr>
                <w:noProof/>
                <w:webHidden/>
              </w:rPr>
              <w:tab/>
              <w:t>1-</w:t>
            </w:r>
            <w:r w:rsidR="00D904FA">
              <w:rPr>
                <w:noProof/>
                <w:webHidden/>
              </w:rPr>
              <w:fldChar w:fldCharType="begin"/>
            </w:r>
            <w:r w:rsidR="00D904FA">
              <w:rPr>
                <w:noProof/>
                <w:webHidden/>
              </w:rPr>
              <w:instrText xml:space="preserve"> PAGEREF _Toc404178328 \h </w:instrText>
            </w:r>
            <w:r w:rsidR="00D904FA">
              <w:rPr>
                <w:noProof/>
                <w:webHidden/>
              </w:rPr>
            </w:r>
            <w:r w:rsidR="00D904FA">
              <w:rPr>
                <w:noProof/>
                <w:webHidden/>
              </w:rPr>
              <w:fldChar w:fldCharType="separate"/>
            </w:r>
            <w:r w:rsidR="00C1101B">
              <w:rPr>
                <w:noProof/>
                <w:webHidden/>
              </w:rPr>
              <w:t>7</w:t>
            </w:r>
            <w:r w:rsidR="00D904FA">
              <w:rPr>
                <w:noProof/>
                <w:webHidden/>
              </w:rPr>
              <w:fldChar w:fldCharType="end"/>
            </w:r>
          </w:hyperlink>
        </w:p>
        <w:p w:rsidR="00D904FA" w:rsidRDefault="00D46AB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8329" w:history="1">
            <w:r w:rsidR="00D904FA" w:rsidRPr="00405FC4">
              <w:rPr>
                <w:rStyle w:val="Hyperlink"/>
                <w:noProof/>
              </w:rPr>
              <w:t>1.2</w:t>
            </w:r>
            <w:r w:rsidR="00D904FA">
              <w:rPr>
                <w:rFonts w:asciiTheme="minorHAnsi" w:eastAsiaTheme="minorEastAsia" w:hAnsiTheme="minorHAnsi" w:cstheme="minorBidi"/>
                <w:iCs w:val="0"/>
                <w:noProof/>
                <w:sz w:val="22"/>
                <w:szCs w:val="22"/>
                <w:lang w:eastAsia="en-AU"/>
              </w:rPr>
              <w:tab/>
            </w:r>
            <w:r w:rsidR="00D904FA" w:rsidRPr="00405FC4">
              <w:rPr>
                <w:rStyle w:val="Hyperlink"/>
                <w:noProof/>
              </w:rPr>
              <w:t>TransGrid's proposal</w:t>
            </w:r>
            <w:r w:rsidR="00D904FA">
              <w:rPr>
                <w:noProof/>
                <w:webHidden/>
              </w:rPr>
              <w:tab/>
              <w:t>1-</w:t>
            </w:r>
            <w:r w:rsidR="00D904FA">
              <w:rPr>
                <w:noProof/>
                <w:webHidden/>
              </w:rPr>
              <w:fldChar w:fldCharType="begin"/>
            </w:r>
            <w:r w:rsidR="00D904FA">
              <w:rPr>
                <w:noProof/>
                <w:webHidden/>
              </w:rPr>
              <w:instrText xml:space="preserve"> PAGEREF _Toc404178329 \h </w:instrText>
            </w:r>
            <w:r w:rsidR="00D904FA">
              <w:rPr>
                <w:noProof/>
                <w:webHidden/>
              </w:rPr>
            </w:r>
            <w:r w:rsidR="00D904FA">
              <w:rPr>
                <w:noProof/>
                <w:webHidden/>
              </w:rPr>
              <w:fldChar w:fldCharType="separate"/>
            </w:r>
            <w:r w:rsidR="00C1101B">
              <w:rPr>
                <w:noProof/>
                <w:webHidden/>
              </w:rPr>
              <w:t>8</w:t>
            </w:r>
            <w:r w:rsidR="00D904FA">
              <w:rPr>
                <w:noProof/>
                <w:webHidden/>
              </w:rPr>
              <w:fldChar w:fldCharType="end"/>
            </w:r>
          </w:hyperlink>
        </w:p>
        <w:p w:rsidR="00D904FA" w:rsidRDefault="00D46AB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8330" w:history="1">
            <w:r w:rsidR="00D904FA" w:rsidRPr="00405FC4">
              <w:rPr>
                <w:rStyle w:val="Hyperlink"/>
                <w:noProof/>
              </w:rPr>
              <w:t>1.3</w:t>
            </w:r>
            <w:r w:rsidR="00D904FA">
              <w:rPr>
                <w:rFonts w:asciiTheme="minorHAnsi" w:eastAsiaTheme="minorEastAsia" w:hAnsiTheme="minorHAnsi" w:cstheme="minorBidi"/>
                <w:iCs w:val="0"/>
                <w:noProof/>
                <w:sz w:val="22"/>
                <w:szCs w:val="22"/>
                <w:lang w:eastAsia="en-AU"/>
              </w:rPr>
              <w:tab/>
            </w:r>
            <w:r w:rsidR="00D904FA" w:rsidRPr="00405FC4">
              <w:rPr>
                <w:rStyle w:val="Hyperlink"/>
                <w:noProof/>
              </w:rPr>
              <w:t>AER's assessment approach</w:t>
            </w:r>
            <w:r w:rsidR="00D904FA">
              <w:rPr>
                <w:noProof/>
                <w:webHidden/>
              </w:rPr>
              <w:tab/>
              <w:t>1-</w:t>
            </w:r>
            <w:r w:rsidR="00D904FA">
              <w:rPr>
                <w:noProof/>
                <w:webHidden/>
              </w:rPr>
              <w:fldChar w:fldCharType="begin"/>
            </w:r>
            <w:r w:rsidR="00D904FA">
              <w:rPr>
                <w:noProof/>
                <w:webHidden/>
              </w:rPr>
              <w:instrText xml:space="preserve"> PAGEREF _Toc404178330 \h </w:instrText>
            </w:r>
            <w:r w:rsidR="00D904FA">
              <w:rPr>
                <w:noProof/>
                <w:webHidden/>
              </w:rPr>
            </w:r>
            <w:r w:rsidR="00D904FA">
              <w:rPr>
                <w:noProof/>
                <w:webHidden/>
              </w:rPr>
              <w:fldChar w:fldCharType="separate"/>
            </w:r>
            <w:r w:rsidR="00C1101B">
              <w:rPr>
                <w:noProof/>
                <w:webHidden/>
              </w:rPr>
              <w:t>9</w:t>
            </w:r>
            <w:r w:rsidR="00D904FA">
              <w:rPr>
                <w:noProof/>
                <w:webHidden/>
              </w:rPr>
              <w:fldChar w:fldCharType="end"/>
            </w:r>
          </w:hyperlink>
        </w:p>
        <w:p w:rsidR="00D904FA" w:rsidRDefault="00D46A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8331" w:history="1">
            <w:r w:rsidR="00D904FA" w:rsidRPr="00405FC4">
              <w:rPr>
                <w:rStyle w:val="Hyperlink"/>
                <w:noProof/>
              </w:rPr>
              <w:t>1.3.1</w:t>
            </w:r>
            <w:r w:rsidR="00D904FA">
              <w:rPr>
                <w:rFonts w:asciiTheme="minorHAnsi" w:eastAsiaTheme="minorEastAsia" w:hAnsiTheme="minorHAnsi" w:cstheme="minorBidi"/>
                <w:noProof/>
                <w:sz w:val="22"/>
                <w:szCs w:val="22"/>
                <w:lang w:eastAsia="en-AU"/>
              </w:rPr>
              <w:tab/>
            </w:r>
            <w:r w:rsidR="00D904FA" w:rsidRPr="00405FC4">
              <w:rPr>
                <w:rStyle w:val="Hyperlink"/>
                <w:noProof/>
              </w:rPr>
              <w:t>The building block costs</w:t>
            </w:r>
            <w:r w:rsidR="00D904FA">
              <w:rPr>
                <w:noProof/>
                <w:webHidden/>
              </w:rPr>
              <w:tab/>
              <w:t>1-</w:t>
            </w:r>
            <w:r w:rsidR="00D904FA">
              <w:rPr>
                <w:noProof/>
                <w:webHidden/>
              </w:rPr>
              <w:fldChar w:fldCharType="begin"/>
            </w:r>
            <w:r w:rsidR="00D904FA">
              <w:rPr>
                <w:noProof/>
                <w:webHidden/>
              </w:rPr>
              <w:instrText xml:space="preserve"> PAGEREF _Toc404178331 \h </w:instrText>
            </w:r>
            <w:r w:rsidR="00D904FA">
              <w:rPr>
                <w:noProof/>
                <w:webHidden/>
              </w:rPr>
            </w:r>
            <w:r w:rsidR="00D904FA">
              <w:rPr>
                <w:noProof/>
                <w:webHidden/>
              </w:rPr>
              <w:fldChar w:fldCharType="separate"/>
            </w:r>
            <w:r w:rsidR="00C1101B">
              <w:rPr>
                <w:noProof/>
                <w:webHidden/>
              </w:rPr>
              <w:t>12</w:t>
            </w:r>
            <w:r w:rsidR="00D904FA">
              <w:rPr>
                <w:noProof/>
                <w:webHidden/>
              </w:rPr>
              <w:fldChar w:fldCharType="end"/>
            </w:r>
          </w:hyperlink>
        </w:p>
        <w:p w:rsidR="00D904FA" w:rsidRDefault="00D46A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8332" w:history="1">
            <w:r w:rsidR="00D904FA" w:rsidRPr="00405FC4">
              <w:rPr>
                <w:rStyle w:val="Hyperlink"/>
                <w:noProof/>
              </w:rPr>
              <w:t>1.3.2</w:t>
            </w:r>
            <w:r w:rsidR="00D904FA">
              <w:rPr>
                <w:rFonts w:asciiTheme="minorHAnsi" w:eastAsiaTheme="minorEastAsia" w:hAnsiTheme="minorHAnsi" w:cstheme="minorBidi"/>
                <w:noProof/>
                <w:sz w:val="22"/>
                <w:szCs w:val="22"/>
                <w:lang w:eastAsia="en-AU"/>
              </w:rPr>
              <w:tab/>
            </w:r>
            <w:r w:rsidR="00D904FA" w:rsidRPr="00405FC4">
              <w:rPr>
                <w:rStyle w:val="Hyperlink"/>
                <w:noProof/>
              </w:rPr>
              <w:t>Placeholder revenue true-up for 2014–15</w:t>
            </w:r>
            <w:r w:rsidR="00D904FA">
              <w:rPr>
                <w:noProof/>
                <w:webHidden/>
              </w:rPr>
              <w:tab/>
              <w:t>1-</w:t>
            </w:r>
            <w:r w:rsidR="00D904FA">
              <w:rPr>
                <w:noProof/>
                <w:webHidden/>
              </w:rPr>
              <w:fldChar w:fldCharType="begin"/>
            </w:r>
            <w:r w:rsidR="00D904FA">
              <w:rPr>
                <w:noProof/>
                <w:webHidden/>
              </w:rPr>
              <w:instrText xml:space="preserve"> PAGEREF _Toc404178332 \h </w:instrText>
            </w:r>
            <w:r w:rsidR="00D904FA">
              <w:rPr>
                <w:noProof/>
                <w:webHidden/>
              </w:rPr>
            </w:r>
            <w:r w:rsidR="00D904FA">
              <w:rPr>
                <w:noProof/>
                <w:webHidden/>
              </w:rPr>
              <w:fldChar w:fldCharType="separate"/>
            </w:r>
            <w:r w:rsidR="00C1101B">
              <w:rPr>
                <w:noProof/>
                <w:webHidden/>
              </w:rPr>
              <w:t>12</w:t>
            </w:r>
            <w:r w:rsidR="00D904FA">
              <w:rPr>
                <w:noProof/>
                <w:webHidden/>
              </w:rPr>
              <w:fldChar w:fldCharType="end"/>
            </w:r>
          </w:hyperlink>
        </w:p>
        <w:p w:rsidR="00D904FA" w:rsidRDefault="00D46A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8333" w:history="1">
            <w:r w:rsidR="00D904FA" w:rsidRPr="00405FC4">
              <w:rPr>
                <w:rStyle w:val="Hyperlink"/>
                <w:noProof/>
              </w:rPr>
              <w:t>1.3.3</w:t>
            </w:r>
            <w:r w:rsidR="00D904FA">
              <w:rPr>
                <w:rFonts w:asciiTheme="minorHAnsi" w:eastAsiaTheme="minorEastAsia" w:hAnsiTheme="minorHAnsi" w:cstheme="minorBidi"/>
                <w:noProof/>
                <w:sz w:val="22"/>
                <w:szCs w:val="22"/>
                <w:lang w:eastAsia="en-AU"/>
              </w:rPr>
              <w:tab/>
            </w:r>
            <w:r w:rsidR="00D904FA" w:rsidRPr="00405FC4">
              <w:rPr>
                <w:rStyle w:val="Hyperlink"/>
                <w:noProof/>
              </w:rPr>
              <w:t>Annual revenue adjustment process</w:t>
            </w:r>
            <w:r w:rsidR="00D904FA">
              <w:rPr>
                <w:noProof/>
                <w:webHidden/>
              </w:rPr>
              <w:tab/>
              <w:t>1-</w:t>
            </w:r>
            <w:r w:rsidR="00D904FA">
              <w:rPr>
                <w:noProof/>
                <w:webHidden/>
              </w:rPr>
              <w:fldChar w:fldCharType="begin"/>
            </w:r>
            <w:r w:rsidR="00D904FA">
              <w:rPr>
                <w:noProof/>
                <w:webHidden/>
              </w:rPr>
              <w:instrText xml:space="preserve"> PAGEREF _Toc404178333 \h </w:instrText>
            </w:r>
            <w:r w:rsidR="00D904FA">
              <w:rPr>
                <w:noProof/>
                <w:webHidden/>
              </w:rPr>
            </w:r>
            <w:r w:rsidR="00D904FA">
              <w:rPr>
                <w:noProof/>
                <w:webHidden/>
              </w:rPr>
              <w:fldChar w:fldCharType="separate"/>
            </w:r>
            <w:r w:rsidR="00C1101B">
              <w:rPr>
                <w:noProof/>
                <w:webHidden/>
              </w:rPr>
              <w:t>13</w:t>
            </w:r>
            <w:r w:rsidR="00D904FA">
              <w:rPr>
                <w:noProof/>
                <w:webHidden/>
              </w:rPr>
              <w:fldChar w:fldCharType="end"/>
            </w:r>
          </w:hyperlink>
        </w:p>
        <w:p w:rsidR="00D904FA" w:rsidRDefault="00D46A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8334" w:history="1">
            <w:r w:rsidR="00D904FA" w:rsidRPr="00405FC4">
              <w:rPr>
                <w:rStyle w:val="Hyperlink"/>
                <w:noProof/>
              </w:rPr>
              <w:t>1.3.4</w:t>
            </w:r>
            <w:r w:rsidR="00D904FA">
              <w:rPr>
                <w:rFonts w:asciiTheme="minorHAnsi" w:eastAsiaTheme="minorEastAsia" w:hAnsiTheme="minorHAnsi" w:cstheme="minorBidi"/>
                <w:noProof/>
                <w:sz w:val="22"/>
                <w:szCs w:val="22"/>
                <w:lang w:eastAsia="en-AU"/>
              </w:rPr>
              <w:tab/>
            </w:r>
            <w:r w:rsidR="00D904FA" w:rsidRPr="00405FC4">
              <w:rPr>
                <w:rStyle w:val="Hyperlink"/>
                <w:noProof/>
              </w:rPr>
              <w:t>Average transmission charges</w:t>
            </w:r>
            <w:r w:rsidR="00D904FA">
              <w:rPr>
                <w:noProof/>
                <w:webHidden/>
              </w:rPr>
              <w:tab/>
              <w:t>1-</w:t>
            </w:r>
            <w:r w:rsidR="00D904FA">
              <w:rPr>
                <w:noProof/>
                <w:webHidden/>
              </w:rPr>
              <w:fldChar w:fldCharType="begin"/>
            </w:r>
            <w:r w:rsidR="00D904FA">
              <w:rPr>
                <w:noProof/>
                <w:webHidden/>
              </w:rPr>
              <w:instrText xml:space="preserve"> PAGEREF _Toc404178334 \h </w:instrText>
            </w:r>
            <w:r w:rsidR="00D904FA">
              <w:rPr>
                <w:noProof/>
                <w:webHidden/>
              </w:rPr>
            </w:r>
            <w:r w:rsidR="00D904FA">
              <w:rPr>
                <w:noProof/>
                <w:webHidden/>
              </w:rPr>
              <w:fldChar w:fldCharType="separate"/>
            </w:r>
            <w:r w:rsidR="00C1101B">
              <w:rPr>
                <w:noProof/>
                <w:webHidden/>
              </w:rPr>
              <w:t>15</w:t>
            </w:r>
            <w:r w:rsidR="00D904FA">
              <w:rPr>
                <w:noProof/>
                <w:webHidden/>
              </w:rPr>
              <w:fldChar w:fldCharType="end"/>
            </w:r>
          </w:hyperlink>
        </w:p>
        <w:p w:rsidR="00D904FA" w:rsidRDefault="00D46AB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8335" w:history="1">
            <w:r w:rsidR="00D904FA" w:rsidRPr="00405FC4">
              <w:rPr>
                <w:rStyle w:val="Hyperlink"/>
                <w:noProof/>
              </w:rPr>
              <w:t>1.4</w:t>
            </w:r>
            <w:r w:rsidR="00D904FA">
              <w:rPr>
                <w:rFonts w:asciiTheme="minorHAnsi" w:eastAsiaTheme="minorEastAsia" w:hAnsiTheme="minorHAnsi" w:cstheme="minorBidi"/>
                <w:iCs w:val="0"/>
                <w:noProof/>
                <w:sz w:val="22"/>
                <w:szCs w:val="22"/>
                <w:lang w:eastAsia="en-AU"/>
              </w:rPr>
              <w:tab/>
            </w:r>
            <w:r w:rsidR="00D904FA" w:rsidRPr="00405FC4">
              <w:rPr>
                <w:rStyle w:val="Hyperlink"/>
                <w:noProof/>
              </w:rPr>
              <w:t>Reasons for draft decision</w:t>
            </w:r>
            <w:r w:rsidR="00D904FA">
              <w:rPr>
                <w:noProof/>
                <w:webHidden/>
              </w:rPr>
              <w:tab/>
              <w:t>1-</w:t>
            </w:r>
            <w:r w:rsidR="00D904FA">
              <w:rPr>
                <w:noProof/>
                <w:webHidden/>
              </w:rPr>
              <w:fldChar w:fldCharType="begin"/>
            </w:r>
            <w:r w:rsidR="00D904FA">
              <w:rPr>
                <w:noProof/>
                <w:webHidden/>
              </w:rPr>
              <w:instrText xml:space="preserve"> PAGEREF _Toc404178335 \h </w:instrText>
            </w:r>
            <w:r w:rsidR="00D904FA">
              <w:rPr>
                <w:noProof/>
                <w:webHidden/>
              </w:rPr>
            </w:r>
            <w:r w:rsidR="00D904FA">
              <w:rPr>
                <w:noProof/>
                <w:webHidden/>
              </w:rPr>
              <w:fldChar w:fldCharType="separate"/>
            </w:r>
            <w:r w:rsidR="00C1101B">
              <w:rPr>
                <w:noProof/>
                <w:webHidden/>
              </w:rPr>
              <w:t>15</w:t>
            </w:r>
            <w:r w:rsidR="00D904FA">
              <w:rPr>
                <w:noProof/>
                <w:webHidden/>
              </w:rPr>
              <w:fldChar w:fldCharType="end"/>
            </w:r>
          </w:hyperlink>
        </w:p>
        <w:p w:rsidR="00D904FA" w:rsidRDefault="00D46A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8336" w:history="1">
            <w:r w:rsidR="00D904FA" w:rsidRPr="00405FC4">
              <w:rPr>
                <w:rStyle w:val="Hyperlink"/>
                <w:noProof/>
              </w:rPr>
              <w:t>1.4.1</w:t>
            </w:r>
            <w:r w:rsidR="00D904FA">
              <w:rPr>
                <w:rFonts w:asciiTheme="minorHAnsi" w:eastAsiaTheme="minorEastAsia" w:hAnsiTheme="minorHAnsi" w:cstheme="minorBidi"/>
                <w:noProof/>
                <w:sz w:val="22"/>
                <w:szCs w:val="22"/>
                <w:lang w:eastAsia="en-AU"/>
              </w:rPr>
              <w:tab/>
            </w:r>
            <w:r w:rsidR="00D904FA" w:rsidRPr="00405FC4">
              <w:rPr>
                <w:rStyle w:val="Hyperlink"/>
                <w:noProof/>
              </w:rPr>
              <w:t>X factor, annual expected MAR and estimated total revenue cap</w:t>
            </w:r>
            <w:r w:rsidR="00D904FA">
              <w:rPr>
                <w:noProof/>
                <w:webHidden/>
              </w:rPr>
              <w:tab/>
              <w:t>1-</w:t>
            </w:r>
            <w:r w:rsidR="00D904FA">
              <w:rPr>
                <w:noProof/>
                <w:webHidden/>
              </w:rPr>
              <w:fldChar w:fldCharType="begin"/>
            </w:r>
            <w:r w:rsidR="00D904FA">
              <w:rPr>
                <w:noProof/>
                <w:webHidden/>
              </w:rPr>
              <w:instrText xml:space="preserve"> PAGEREF _Toc404178336 \h </w:instrText>
            </w:r>
            <w:r w:rsidR="00D904FA">
              <w:rPr>
                <w:noProof/>
                <w:webHidden/>
              </w:rPr>
            </w:r>
            <w:r w:rsidR="00D904FA">
              <w:rPr>
                <w:noProof/>
                <w:webHidden/>
              </w:rPr>
              <w:fldChar w:fldCharType="separate"/>
            </w:r>
            <w:r w:rsidR="00C1101B">
              <w:rPr>
                <w:noProof/>
                <w:webHidden/>
              </w:rPr>
              <w:t>16</w:t>
            </w:r>
            <w:r w:rsidR="00D904FA">
              <w:rPr>
                <w:noProof/>
                <w:webHidden/>
              </w:rPr>
              <w:fldChar w:fldCharType="end"/>
            </w:r>
          </w:hyperlink>
        </w:p>
        <w:p w:rsidR="00D904FA" w:rsidRDefault="00D46A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8337" w:history="1">
            <w:r w:rsidR="00D904FA" w:rsidRPr="00405FC4">
              <w:rPr>
                <w:rStyle w:val="Hyperlink"/>
                <w:noProof/>
              </w:rPr>
              <w:t>1.4.2</w:t>
            </w:r>
            <w:r w:rsidR="00D904FA">
              <w:rPr>
                <w:rFonts w:asciiTheme="minorHAnsi" w:eastAsiaTheme="minorEastAsia" w:hAnsiTheme="minorHAnsi" w:cstheme="minorBidi"/>
                <w:noProof/>
                <w:sz w:val="22"/>
                <w:szCs w:val="22"/>
                <w:lang w:eastAsia="en-AU"/>
              </w:rPr>
              <w:tab/>
            </w:r>
            <w:r w:rsidR="00D904FA" w:rsidRPr="00405FC4">
              <w:rPr>
                <w:rStyle w:val="Hyperlink"/>
                <w:noProof/>
              </w:rPr>
              <w:t>Shared assets</w:t>
            </w:r>
            <w:r w:rsidR="00D904FA">
              <w:rPr>
                <w:noProof/>
                <w:webHidden/>
              </w:rPr>
              <w:tab/>
              <w:t>1-</w:t>
            </w:r>
            <w:r w:rsidR="00D904FA">
              <w:rPr>
                <w:noProof/>
                <w:webHidden/>
              </w:rPr>
              <w:fldChar w:fldCharType="begin"/>
            </w:r>
            <w:r w:rsidR="00D904FA">
              <w:rPr>
                <w:noProof/>
                <w:webHidden/>
              </w:rPr>
              <w:instrText xml:space="preserve"> PAGEREF _Toc404178337 \h </w:instrText>
            </w:r>
            <w:r w:rsidR="00D904FA">
              <w:rPr>
                <w:noProof/>
                <w:webHidden/>
              </w:rPr>
            </w:r>
            <w:r w:rsidR="00D904FA">
              <w:rPr>
                <w:noProof/>
                <w:webHidden/>
              </w:rPr>
              <w:fldChar w:fldCharType="separate"/>
            </w:r>
            <w:r w:rsidR="00C1101B">
              <w:rPr>
                <w:noProof/>
                <w:webHidden/>
              </w:rPr>
              <w:t>19</w:t>
            </w:r>
            <w:r w:rsidR="00D904FA">
              <w:rPr>
                <w:noProof/>
                <w:webHidden/>
              </w:rPr>
              <w:fldChar w:fldCharType="end"/>
            </w:r>
          </w:hyperlink>
        </w:p>
        <w:p w:rsidR="00D904FA" w:rsidRDefault="00D46AB4">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8338" w:history="1">
            <w:r w:rsidR="00D904FA" w:rsidRPr="00405FC4">
              <w:rPr>
                <w:rStyle w:val="Hyperlink"/>
                <w:noProof/>
              </w:rPr>
              <w:t>1.4.3</w:t>
            </w:r>
            <w:r w:rsidR="00D904FA">
              <w:rPr>
                <w:rFonts w:asciiTheme="minorHAnsi" w:eastAsiaTheme="minorEastAsia" w:hAnsiTheme="minorHAnsi" w:cstheme="minorBidi"/>
                <w:noProof/>
                <w:sz w:val="22"/>
                <w:szCs w:val="22"/>
                <w:lang w:eastAsia="en-AU"/>
              </w:rPr>
              <w:tab/>
            </w:r>
            <w:r w:rsidR="00D904FA" w:rsidRPr="00405FC4">
              <w:rPr>
                <w:rStyle w:val="Hyperlink"/>
                <w:noProof/>
              </w:rPr>
              <w:t>Indicative transmission charges and impact on electricity bills</w:t>
            </w:r>
            <w:r w:rsidR="00D904FA">
              <w:rPr>
                <w:noProof/>
                <w:webHidden/>
              </w:rPr>
              <w:tab/>
              <w:t>1-</w:t>
            </w:r>
            <w:r w:rsidR="00D904FA">
              <w:rPr>
                <w:noProof/>
                <w:webHidden/>
              </w:rPr>
              <w:fldChar w:fldCharType="begin"/>
            </w:r>
            <w:r w:rsidR="00D904FA">
              <w:rPr>
                <w:noProof/>
                <w:webHidden/>
              </w:rPr>
              <w:instrText xml:space="preserve"> PAGEREF _Toc404178338 \h </w:instrText>
            </w:r>
            <w:r w:rsidR="00D904FA">
              <w:rPr>
                <w:noProof/>
                <w:webHidden/>
              </w:rPr>
            </w:r>
            <w:r w:rsidR="00D904FA">
              <w:rPr>
                <w:noProof/>
                <w:webHidden/>
              </w:rPr>
              <w:fldChar w:fldCharType="separate"/>
            </w:r>
            <w:r w:rsidR="00C1101B">
              <w:rPr>
                <w:noProof/>
                <w:webHidden/>
              </w:rPr>
              <w:t>19</w:t>
            </w:r>
            <w:r w:rsidR="00D904FA">
              <w:rPr>
                <w:noProof/>
                <w:webHidden/>
              </w:rPr>
              <w:fldChar w:fldCharType="end"/>
            </w:r>
          </w:hyperlink>
        </w:p>
        <w:p w:rsidR="00D904FA" w:rsidRPr="00D904FA" w:rsidRDefault="00D904FA" w:rsidP="00D904FA">
          <w:pPr>
            <w:pStyle w:val="AERbodytext"/>
          </w:pPr>
          <w:r>
            <w:fldChar w:fldCharType="end"/>
          </w:r>
        </w:p>
      </w:sdtContent>
    </w:sdt>
    <w:p w:rsidR="00D904FA" w:rsidRDefault="00D904FA" w:rsidP="00D904FA">
      <w:pPr>
        <w:pStyle w:val="AERbodytext"/>
      </w:pPr>
    </w:p>
    <w:p w:rsidR="00D904FA" w:rsidRPr="00D904FA" w:rsidRDefault="00D904FA" w:rsidP="00D904FA"/>
    <w:p w:rsidR="00D904FA" w:rsidRDefault="00D904FA" w:rsidP="00D904FA"/>
    <w:p w:rsidR="00D904FA" w:rsidRPr="00D904FA" w:rsidRDefault="00D904FA" w:rsidP="00D904FA">
      <w:pPr>
        <w:tabs>
          <w:tab w:val="left" w:pos="2700"/>
        </w:tabs>
      </w:pPr>
      <w:r>
        <w:tab/>
      </w:r>
    </w:p>
    <w:p w:rsidR="00D904FA" w:rsidRDefault="00D904FA" w:rsidP="00D904FA">
      <w:pPr>
        <w:pStyle w:val="UnnumberedHeading"/>
        <w:numPr>
          <w:ilvl w:val="0"/>
          <w:numId w:val="2"/>
        </w:numPr>
      </w:pPr>
      <w:bookmarkStart w:id="6" w:name="_Toc404153952"/>
      <w:bookmarkStart w:id="7" w:name="_Toc404178326"/>
      <w:r>
        <w:lastRenderedPageBreak/>
        <w:t>Shortened forms</w:t>
      </w:r>
      <w:bookmarkEnd w:id="6"/>
      <w:bookmarkEnd w:id="7"/>
    </w:p>
    <w:tbl>
      <w:tblPr>
        <w:tblStyle w:val="AERtable-numbers"/>
        <w:tblW w:w="0" w:type="auto"/>
        <w:tblLook w:val="04A0" w:firstRow="1" w:lastRow="0" w:firstColumn="1" w:lastColumn="0" w:noHBand="0" w:noVBand="1"/>
      </w:tblPr>
      <w:tblGrid>
        <w:gridCol w:w="4621"/>
        <w:gridCol w:w="4621"/>
      </w:tblGrid>
      <w:tr w:rsidR="00D904FA" w:rsidTr="00D904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Shortened form</w:t>
            </w:r>
          </w:p>
        </w:tc>
        <w:tc>
          <w:tcPr>
            <w:tcW w:w="4621" w:type="dxa"/>
          </w:tcPr>
          <w:p w:rsidR="00D904FA" w:rsidRDefault="00D904FA" w:rsidP="00D904FA">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D904FA" w:rsidTr="00D904FA">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AARR</w:t>
            </w:r>
          </w:p>
        </w:tc>
        <w:tc>
          <w:tcPr>
            <w:tcW w:w="4621" w:type="dxa"/>
          </w:tcPr>
          <w:p w:rsidR="00D904FA" w:rsidRDefault="00D904FA" w:rsidP="00D904FA">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D904FA" w:rsidTr="00D904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AEMC</w:t>
            </w:r>
          </w:p>
        </w:tc>
        <w:tc>
          <w:tcPr>
            <w:tcW w:w="4621" w:type="dxa"/>
          </w:tcPr>
          <w:p w:rsidR="00D904FA" w:rsidRDefault="00D904FA" w:rsidP="00D904FA">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D904FA" w:rsidTr="00D904FA">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AEMO</w:t>
            </w:r>
          </w:p>
        </w:tc>
        <w:tc>
          <w:tcPr>
            <w:tcW w:w="4621" w:type="dxa"/>
          </w:tcPr>
          <w:p w:rsidR="00D904FA" w:rsidRDefault="00D904FA" w:rsidP="00D904FA">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D904FA" w:rsidTr="00D904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AER</w:t>
            </w:r>
          </w:p>
        </w:tc>
        <w:tc>
          <w:tcPr>
            <w:tcW w:w="4621" w:type="dxa"/>
          </w:tcPr>
          <w:p w:rsidR="00D904FA" w:rsidRDefault="00D904FA" w:rsidP="00D904FA">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D904FA" w:rsidTr="00D904FA">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ASRR</w:t>
            </w:r>
          </w:p>
        </w:tc>
        <w:tc>
          <w:tcPr>
            <w:tcW w:w="4621" w:type="dxa"/>
          </w:tcPr>
          <w:p w:rsidR="00D904FA" w:rsidRDefault="00D904FA" w:rsidP="00D904FA">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D904FA" w:rsidTr="00D904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augex</w:t>
            </w:r>
          </w:p>
        </w:tc>
        <w:tc>
          <w:tcPr>
            <w:tcW w:w="4621" w:type="dxa"/>
          </w:tcPr>
          <w:p w:rsidR="00D904FA" w:rsidRDefault="00D904FA" w:rsidP="00D904FA">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D904FA" w:rsidTr="00D904FA">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capex</w:t>
            </w:r>
          </w:p>
        </w:tc>
        <w:tc>
          <w:tcPr>
            <w:tcW w:w="4621" w:type="dxa"/>
          </w:tcPr>
          <w:p w:rsidR="00D904FA" w:rsidRDefault="00D904FA" w:rsidP="00D904FA">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D904FA" w:rsidTr="00D904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CCP</w:t>
            </w:r>
          </w:p>
        </w:tc>
        <w:tc>
          <w:tcPr>
            <w:tcW w:w="4621" w:type="dxa"/>
          </w:tcPr>
          <w:p w:rsidR="00D904FA" w:rsidRDefault="00D904FA" w:rsidP="00D904FA">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D904FA" w:rsidTr="00D904FA">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CESS</w:t>
            </w:r>
          </w:p>
        </w:tc>
        <w:tc>
          <w:tcPr>
            <w:tcW w:w="4621" w:type="dxa"/>
          </w:tcPr>
          <w:p w:rsidR="00D904FA" w:rsidRDefault="00D904FA" w:rsidP="00D904FA">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904FA" w:rsidTr="00D904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CPI</w:t>
            </w:r>
          </w:p>
        </w:tc>
        <w:tc>
          <w:tcPr>
            <w:tcW w:w="4621" w:type="dxa"/>
          </w:tcPr>
          <w:p w:rsidR="00D904FA" w:rsidRDefault="00D904FA" w:rsidP="00D904FA">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D904FA" w:rsidTr="00D904FA">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DRP</w:t>
            </w:r>
          </w:p>
        </w:tc>
        <w:tc>
          <w:tcPr>
            <w:tcW w:w="4621" w:type="dxa"/>
          </w:tcPr>
          <w:p w:rsidR="00D904FA" w:rsidRDefault="00D904FA" w:rsidP="00D904FA">
            <w:pPr>
              <w:pStyle w:val="AERbodytext"/>
              <w:cnfStyle w:val="000000000000" w:firstRow="0" w:lastRow="0" w:firstColumn="0" w:lastColumn="0" w:oddVBand="0" w:evenVBand="0" w:oddHBand="0" w:evenHBand="0" w:firstRowFirstColumn="0" w:firstRowLastColumn="0" w:lastRowFirstColumn="0" w:lastRowLastColumn="0"/>
            </w:pPr>
            <w:r>
              <w:t>debt risk premium</w:t>
            </w:r>
          </w:p>
        </w:tc>
      </w:tr>
      <w:tr w:rsidR="00D904FA" w:rsidTr="00D904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EBSS</w:t>
            </w:r>
          </w:p>
        </w:tc>
        <w:tc>
          <w:tcPr>
            <w:tcW w:w="4621" w:type="dxa"/>
          </w:tcPr>
          <w:p w:rsidR="00D904FA" w:rsidRDefault="00D904FA" w:rsidP="00D904FA">
            <w:pPr>
              <w:pStyle w:val="AERbodytex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904FA" w:rsidTr="00D904FA">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ERP</w:t>
            </w:r>
          </w:p>
        </w:tc>
        <w:tc>
          <w:tcPr>
            <w:tcW w:w="4621" w:type="dxa"/>
          </w:tcPr>
          <w:p w:rsidR="00D904FA" w:rsidRDefault="00D904FA" w:rsidP="00D904FA">
            <w:pPr>
              <w:pStyle w:val="AERbodytext"/>
              <w:cnfStyle w:val="000000000000" w:firstRow="0" w:lastRow="0" w:firstColumn="0" w:lastColumn="0" w:oddVBand="0" w:evenVBand="0" w:oddHBand="0" w:evenHBand="0" w:firstRowFirstColumn="0" w:firstRowLastColumn="0" w:lastRowFirstColumn="0" w:lastRowLastColumn="0"/>
            </w:pPr>
            <w:r>
              <w:t>equity risk premium</w:t>
            </w:r>
          </w:p>
        </w:tc>
      </w:tr>
      <w:tr w:rsidR="00D904FA" w:rsidTr="00D904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MAR</w:t>
            </w:r>
          </w:p>
        </w:tc>
        <w:tc>
          <w:tcPr>
            <w:tcW w:w="4621" w:type="dxa"/>
          </w:tcPr>
          <w:p w:rsidR="00D904FA" w:rsidRDefault="00D904FA" w:rsidP="00D904FA">
            <w:pPr>
              <w:pStyle w:val="AERbodytext"/>
              <w:cnfStyle w:val="000000010000" w:firstRow="0" w:lastRow="0" w:firstColumn="0" w:lastColumn="0" w:oddVBand="0" w:evenVBand="0" w:oddHBand="0" w:evenHBand="1" w:firstRowFirstColumn="0" w:firstRowLastColumn="0" w:lastRowFirstColumn="0" w:lastRowLastColumn="0"/>
            </w:pPr>
            <w:r>
              <w:t>maximum allowed revenue</w:t>
            </w:r>
          </w:p>
        </w:tc>
      </w:tr>
      <w:tr w:rsidR="00D904FA" w:rsidTr="00D904FA">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MRP</w:t>
            </w:r>
          </w:p>
        </w:tc>
        <w:tc>
          <w:tcPr>
            <w:tcW w:w="4621" w:type="dxa"/>
          </w:tcPr>
          <w:p w:rsidR="00D904FA" w:rsidRDefault="00D904FA" w:rsidP="00D904FA">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D904FA" w:rsidTr="00D904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NEL</w:t>
            </w:r>
          </w:p>
        </w:tc>
        <w:tc>
          <w:tcPr>
            <w:tcW w:w="4621" w:type="dxa"/>
          </w:tcPr>
          <w:p w:rsidR="00D904FA" w:rsidRDefault="00D904FA" w:rsidP="00D904FA">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D904FA" w:rsidTr="00D904FA">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NEM</w:t>
            </w:r>
          </w:p>
        </w:tc>
        <w:tc>
          <w:tcPr>
            <w:tcW w:w="4621" w:type="dxa"/>
          </w:tcPr>
          <w:p w:rsidR="00D904FA" w:rsidRDefault="00D904FA" w:rsidP="00D904FA">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D904FA" w:rsidTr="00D904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NEO</w:t>
            </w:r>
          </w:p>
        </w:tc>
        <w:tc>
          <w:tcPr>
            <w:tcW w:w="4621" w:type="dxa"/>
          </w:tcPr>
          <w:p w:rsidR="00D904FA" w:rsidRDefault="00D904FA" w:rsidP="00D904FA">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D904FA" w:rsidTr="00D904FA">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NER</w:t>
            </w:r>
          </w:p>
        </w:tc>
        <w:tc>
          <w:tcPr>
            <w:tcW w:w="4621" w:type="dxa"/>
          </w:tcPr>
          <w:p w:rsidR="00D904FA" w:rsidRDefault="00D904FA" w:rsidP="00D904FA">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D904FA" w:rsidTr="00D904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NSP</w:t>
            </w:r>
          </w:p>
        </w:tc>
        <w:tc>
          <w:tcPr>
            <w:tcW w:w="4621" w:type="dxa"/>
          </w:tcPr>
          <w:p w:rsidR="00D904FA" w:rsidRDefault="00D904FA" w:rsidP="00D904FA">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D904FA" w:rsidTr="00D904FA">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NTSC</w:t>
            </w:r>
          </w:p>
        </w:tc>
        <w:tc>
          <w:tcPr>
            <w:tcW w:w="4621" w:type="dxa"/>
          </w:tcPr>
          <w:p w:rsidR="00D904FA" w:rsidRDefault="00D904FA" w:rsidP="00D904FA">
            <w:pPr>
              <w:pStyle w:val="AERbodytext"/>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D904FA" w:rsidTr="00D904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lastRenderedPageBreak/>
              <w:t>opex</w:t>
            </w:r>
          </w:p>
        </w:tc>
        <w:tc>
          <w:tcPr>
            <w:tcW w:w="4621" w:type="dxa"/>
          </w:tcPr>
          <w:p w:rsidR="00D904FA" w:rsidRDefault="00D904FA" w:rsidP="00D904FA">
            <w:pPr>
              <w:pStyle w:val="AERbodytext"/>
              <w:cnfStyle w:val="000000010000" w:firstRow="0" w:lastRow="0" w:firstColumn="0" w:lastColumn="0" w:oddVBand="0" w:evenVBand="0" w:oddHBand="0" w:evenHBand="1" w:firstRowFirstColumn="0" w:firstRowLastColumn="0" w:lastRowFirstColumn="0" w:lastRowLastColumn="0"/>
            </w:pPr>
            <w:r>
              <w:t>operating expenditure</w:t>
            </w:r>
          </w:p>
        </w:tc>
      </w:tr>
      <w:tr w:rsidR="00D904FA" w:rsidTr="00D904FA">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PPI</w:t>
            </w:r>
          </w:p>
        </w:tc>
        <w:tc>
          <w:tcPr>
            <w:tcW w:w="4621" w:type="dxa"/>
          </w:tcPr>
          <w:p w:rsidR="00D904FA" w:rsidRDefault="00D904FA" w:rsidP="00D904FA">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D904FA" w:rsidTr="00D904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PTRM</w:t>
            </w:r>
          </w:p>
        </w:tc>
        <w:tc>
          <w:tcPr>
            <w:tcW w:w="4621" w:type="dxa"/>
          </w:tcPr>
          <w:p w:rsidR="00D904FA" w:rsidRDefault="00D904FA" w:rsidP="00D904FA">
            <w:pPr>
              <w:pStyle w:val="AERbodytext"/>
              <w:cnfStyle w:val="000000010000" w:firstRow="0" w:lastRow="0" w:firstColumn="0" w:lastColumn="0" w:oddVBand="0" w:evenVBand="0" w:oddHBand="0" w:evenHBand="1" w:firstRowFirstColumn="0" w:firstRowLastColumn="0" w:lastRowFirstColumn="0" w:lastRowLastColumn="0"/>
            </w:pPr>
            <w:r>
              <w:t>post-tax revenue model</w:t>
            </w:r>
          </w:p>
        </w:tc>
      </w:tr>
      <w:tr w:rsidR="00D904FA" w:rsidTr="00D904FA">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RAB</w:t>
            </w:r>
          </w:p>
        </w:tc>
        <w:tc>
          <w:tcPr>
            <w:tcW w:w="4621" w:type="dxa"/>
          </w:tcPr>
          <w:p w:rsidR="00D904FA" w:rsidRDefault="00D904FA" w:rsidP="00D904FA">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D904FA" w:rsidTr="00D904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RBA</w:t>
            </w:r>
          </w:p>
        </w:tc>
        <w:tc>
          <w:tcPr>
            <w:tcW w:w="4621" w:type="dxa"/>
          </w:tcPr>
          <w:p w:rsidR="00D904FA" w:rsidRDefault="00D904FA" w:rsidP="00D904FA">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D904FA" w:rsidTr="00D904FA">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repex</w:t>
            </w:r>
          </w:p>
        </w:tc>
        <w:tc>
          <w:tcPr>
            <w:tcW w:w="4621" w:type="dxa"/>
          </w:tcPr>
          <w:p w:rsidR="00D904FA" w:rsidRDefault="00D904FA" w:rsidP="00D904FA">
            <w:pPr>
              <w:pStyle w:val="AERbodytext"/>
              <w:cnfStyle w:val="000000000000" w:firstRow="0" w:lastRow="0" w:firstColumn="0" w:lastColumn="0" w:oddVBand="0" w:evenVBand="0" w:oddHBand="0" w:evenHBand="0" w:firstRowFirstColumn="0" w:firstRowLastColumn="0" w:lastRowFirstColumn="0" w:lastRowLastColumn="0"/>
            </w:pPr>
            <w:r>
              <w:t>replacement expenditure</w:t>
            </w:r>
          </w:p>
        </w:tc>
      </w:tr>
      <w:tr w:rsidR="00D904FA" w:rsidTr="00D904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RFM</w:t>
            </w:r>
          </w:p>
        </w:tc>
        <w:tc>
          <w:tcPr>
            <w:tcW w:w="4621" w:type="dxa"/>
          </w:tcPr>
          <w:p w:rsidR="00D904FA" w:rsidRDefault="00D904FA" w:rsidP="00D904FA">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D904FA" w:rsidTr="00D904FA">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RIN</w:t>
            </w:r>
          </w:p>
        </w:tc>
        <w:tc>
          <w:tcPr>
            <w:tcW w:w="4621" w:type="dxa"/>
          </w:tcPr>
          <w:p w:rsidR="00D904FA" w:rsidRDefault="00D904FA" w:rsidP="00D904FA">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D904FA" w:rsidTr="00D904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RPP</w:t>
            </w:r>
          </w:p>
        </w:tc>
        <w:tc>
          <w:tcPr>
            <w:tcW w:w="4621" w:type="dxa"/>
          </w:tcPr>
          <w:p w:rsidR="00D904FA" w:rsidRDefault="00D904FA" w:rsidP="00D904FA">
            <w:pPr>
              <w:pStyle w:val="AERbodytext"/>
              <w:cnfStyle w:val="000000010000" w:firstRow="0" w:lastRow="0" w:firstColumn="0" w:lastColumn="0" w:oddVBand="0" w:evenVBand="0" w:oddHBand="0" w:evenHBand="1" w:firstRowFirstColumn="0" w:firstRowLastColumn="0" w:lastRowFirstColumn="0" w:lastRowLastColumn="0"/>
            </w:pPr>
            <w:r>
              <w:t>revenue pricing principles</w:t>
            </w:r>
          </w:p>
        </w:tc>
      </w:tr>
      <w:tr w:rsidR="00D904FA" w:rsidTr="00D904FA">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SLCAPM</w:t>
            </w:r>
          </w:p>
        </w:tc>
        <w:tc>
          <w:tcPr>
            <w:tcW w:w="4621" w:type="dxa"/>
          </w:tcPr>
          <w:p w:rsidR="00D904FA" w:rsidRDefault="00D904FA" w:rsidP="00D904FA">
            <w:pPr>
              <w:pStyle w:val="AERbodytex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904FA" w:rsidTr="00D904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STPIS</w:t>
            </w:r>
          </w:p>
        </w:tc>
        <w:tc>
          <w:tcPr>
            <w:tcW w:w="4621" w:type="dxa"/>
          </w:tcPr>
          <w:p w:rsidR="00D904FA" w:rsidRDefault="00D904FA" w:rsidP="00D904FA">
            <w:pPr>
              <w:pStyle w:val="AERbodytex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904FA" w:rsidTr="00D904FA">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TNSP</w:t>
            </w:r>
          </w:p>
        </w:tc>
        <w:tc>
          <w:tcPr>
            <w:tcW w:w="4621" w:type="dxa"/>
          </w:tcPr>
          <w:p w:rsidR="00D904FA" w:rsidRDefault="00D904FA" w:rsidP="00D904FA">
            <w:pPr>
              <w:pStyle w:val="AERbodytext"/>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D904FA" w:rsidTr="00D904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TUoS</w:t>
            </w:r>
          </w:p>
        </w:tc>
        <w:tc>
          <w:tcPr>
            <w:tcW w:w="4621" w:type="dxa"/>
          </w:tcPr>
          <w:p w:rsidR="00D904FA" w:rsidRDefault="00D904FA" w:rsidP="00D904FA">
            <w:pPr>
              <w:pStyle w:val="AERbodytext"/>
              <w:cnfStyle w:val="000000010000" w:firstRow="0" w:lastRow="0" w:firstColumn="0" w:lastColumn="0" w:oddVBand="0" w:evenVBand="0" w:oddHBand="0" w:evenHBand="1" w:firstRowFirstColumn="0" w:firstRowLastColumn="0" w:lastRowFirstColumn="0" w:lastRowLastColumn="0"/>
            </w:pPr>
            <w:r>
              <w:t>transmission use of system</w:t>
            </w:r>
          </w:p>
        </w:tc>
      </w:tr>
      <w:tr w:rsidR="00D904FA" w:rsidTr="00D904FA">
        <w:tc>
          <w:tcPr>
            <w:cnfStyle w:val="001000000000" w:firstRow="0" w:lastRow="0" w:firstColumn="1" w:lastColumn="0" w:oddVBand="0" w:evenVBand="0" w:oddHBand="0" w:evenHBand="0" w:firstRowFirstColumn="0" w:firstRowLastColumn="0" w:lastRowFirstColumn="0" w:lastRowLastColumn="0"/>
            <w:tcW w:w="4621" w:type="dxa"/>
          </w:tcPr>
          <w:p w:rsidR="00D904FA" w:rsidRDefault="00D904FA" w:rsidP="00D904FA">
            <w:pPr>
              <w:pStyle w:val="AERbodytext"/>
            </w:pPr>
            <w:r>
              <w:t>WACC</w:t>
            </w:r>
          </w:p>
        </w:tc>
        <w:tc>
          <w:tcPr>
            <w:tcW w:w="4621" w:type="dxa"/>
          </w:tcPr>
          <w:p w:rsidR="00D904FA" w:rsidRDefault="00D904FA" w:rsidP="00D904FA">
            <w:pPr>
              <w:pStyle w:val="AERbodytex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904FA" w:rsidRPr="00D904FA" w:rsidRDefault="00D904FA" w:rsidP="00D904FA">
      <w:pPr>
        <w:pStyle w:val="AERbodytext"/>
      </w:pPr>
    </w:p>
    <w:p w:rsidR="00D904FA" w:rsidRPr="00D904FA" w:rsidRDefault="00D904FA" w:rsidP="00D904FA"/>
    <w:p w:rsidR="00B47945" w:rsidRDefault="00B47945" w:rsidP="00F0258A">
      <w:pPr>
        <w:pStyle w:val="Heading1"/>
      </w:pPr>
      <w:bookmarkStart w:id="8" w:name="_Toc404178327"/>
      <w:r>
        <w:lastRenderedPageBreak/>
        <w:t>Maximum allowed revenue</w:t>
      </w:r>
      <w:bookmarkEnd w:id="0"/>
      <w:bookmarkEnd w:id="8"/>
    </w:p>
    <w:p w:rsidR="0096157E" w:rsidRPr="00C10597" w:rsidRDefault="0096157E" w:rsidP="00B65F50">
      <w:pPr>
        <w:pStyle w:val="AERbodytext"/>
      </w:pPr>
      <w:r w:rsidRPr="00C10597">
        <w:t xml:space="preserve">This attachment sets out the AER's draft decision on </w:t>
      </w:r>
      <w:r>
        <w:t>the</w:t>
      </w:r>
      <w:r w:rsidRPr="00C10597">
        <w:t xml:space="preserve"> maximum allowed revenue (MAR) for the provision of prescribed transmission services </w:t>
      </w:r>
      <w:r>
        <w:t xml:space="preserve">for </w:t>
      </w:r>
      <w:r w:rsidR="00F8527B">
        <w:t xml:space="preserve">each year of </w:t>
      </w:r>
      <w:r w:rsidRPr="00B65F50">
        <w:t xml:space="preserve">TransGrid's </w:t>
      </w:r>
      <w:r w:rsidRPr="00B65F50">
        <w:rPr>
          <w:rStyle w:val="AERtexthighlight"/>
          <w:shd w:val="clear" w:color="auto" w:fill="auto"/>
        </w:rPr>
        <w:t>2014</w:t>
      </w:r>
      <w:r w:rsidRPr="00B65F50">
        <w:rPr>
          <w:rStyle w:val="AERtexthighlight"/>
          <w:rFonts w:hint="eastAsia"/>
          <w:shd w:val="clear" w:color="auto" w:fill="auto"/>
        </w:rPr>
        <w:t>–</w:t>
      </w:r>
      <w:r w:rsidRPr="00B65F50">
        <w:rPr>
          <w:rStyle w:val="AERtexthighlight"/>
          <w:shd w:val="clear" w:color="auto" w:fill="auto"/>
        </w:rPr>
        <w:t>18</w:t>
      </w:r>
      <w:r w:rsidRPr="00B65F50">
        <w:t xml:space="preserve"> </w:t>
      </w:r>
      <w:r>
        <w:t>period.</w:t>
      </w:r>
      <w:r w:rsidRPr="00C10597">
        <w:t xml:space="preserve"> Specifically, the attachment addresses:</w:t>
      </w:r>
      <w:r w:rsidRPr="00C10597">
        <w:rPr>
          <w:rStyle w:val="FootnoteReference"/>
        </w:rPr>
        <w:footnoteReference w:id="1"/>
      </w:r>
    </w:p>
    <w:p w:rsidR="00F8527B" w:rsidRDefault="00F8527B" w:rsidP="0096157E">
      <w:pPr>
        <w:pStyle w:val="AERbulletlistfirststyle"/>
      </w:pPr>
      <w:r w:rsidRPr="00C10597">
        <w:t xml:space="preserve">the estimated total revenue cap, which is the sum of the annual </w:t>
      </w:r>
      <w:r w:rsidR="00D56E27">
        <w:t xml:space="preserve">expected </w:t>
      </w:r>
      <w:r w:rsidRPr="00C10597">
        <w:t xml:space="preserve">MAR </w:t>
      </w:r>
    </w:p>
    <w:p w:rsidR="0096157E" w:rsidRPr="00C10597" w:rsidRDefault="0096157E" w:rsidP="0096157E">
      <w:pPr>
        <w:pStyle w:val="AERbulletlistfirststyle"/>
      </w:pPr>
      <w:r w:rsidRPr="00C10597">
        <w:t>the annual building block revenue requirement</w:t>
      </w:r>
    </w:p>
    <w:p w:rsidR="00F8527B" w:rsidRDefault="00F8527B" w:rsidP="0096157E">
      <w:pPr>
        <w:pStyle w:val="AERbulletlistfirststyle"/>
      </w:pPr>
      <w:r w:rsidRPr="00C10597">
        <w:t xml:space="preserve">the annual </w:t>
      </w:r>
      <w:r w:rsidR="00D56E27">
        <w:t xml:space="preserve">expected </w:t>
      </w:r>
      <w:r w:rsidRPr="00C10597">
        <w:t xml:space="preserve">MAR </w:t>
      </w:r>
    </w:p>
    <w:p w:rsidR="0096157E" w:rsidRPr="00C10597" w:rsidRDefault="0096157E" w:rsidP="0096157E">
      <w:pPr>
        <w:pStyle w:val="AERbulletlistfirststyle"/>
      </w:pPr>
      <w:r w:rsidRPr="00C10597">
        <w:t>the X factor.</w:t>
      </w:r>
    </w:p>
    <w:p w:rsidR="0096157E" w:rsidRPr="0096157E" w:rsidRDefault="0096157E" w:rsidP="0096157E">
      <w:pPr>
        <w:pStyle w:val="AERbodytext"/>
      </w:pPr>
      <w:r w:rsidRPr="00C10597">
        <w:t xml:space="preserve">We determine </w:t>
      </w:r>
      <w:r>
        <w:t>the TNSP's</w:t>
      </w:r>
      <w:r w:rsidRPr="00C10597">
        <w:t xml:space="preserve"> annual building block revenue requirement using a building block approach</w:t>
      </w:r>
      <w:r w:rsidR="002E27F2">
        <w:t>. We determine</w:t>
      </w:r>
      <w:r w:rsidRPr="00C10597">
        <w:t xml:space="preserve"> the X factors by smoothing the annual building block revenue requirement over the regulatory control period. The X factor is used in the CPI–X methodology to determine the annual expected MAR (smoothed).</w:t>
      </w:r>
    </w:p>
    <w:p w:rsidR="0096157E" w:rsidRDefault="00B47945" w:rsidP="00F0258A">
      <w:pPr>
        <w:pStyle w:val="Heading2"/>
      </w:pPr>
      <w:bookmarkStart w:id="9" w:name="_Toc387230867"/>
      <w:bookmarkStart w:id="10" w:name="_Toc404178328"/>
      <w:r w:rsidRPr="00B47945">
        <w:t>Draft decision</w:t>
      </w:r>
      <w:bookmarkEnd w:id="9"/>
      <w:bookmarkEnd w:id="10"/>
    </w:p>
    <w:p w:rsidR="0096157E" w:rsidRPr="00C10597" w:rsidRDefault="00D56E27" w:rsidP="0096157E">
      <w:pPr>
        <w:pStyle w:val="AERbodytext"/>
        <w:numPr>
          <w:ilvl w:val="0"/>
          <w:numId w:val="0"/>
        </w:numPr>
      </w:pPr>
      <w:r>
        <w:t>W</w:t>
      </w:r>
      <w:r w:rsidRPr="00D56E27">
        <w:t>e do not accept TransGrid's proposed annual building block revenue requirement, annual expected MAR and total revenue cap.</w:t>
      </w:r>
      <w:r>
        <w:t xml:space="preserve"> For the reasons discussed in the attachments to this draft determination, o</w:t>
      </w:r>
      <w:r w:rsidR="0096157E" w:rsidRPr="00C10597">
        <w:t xml:space="preserve">ur </w:t>
      </w:r>
      <w:r w:rsidR="00965870">
        <w:t>decisions</w:t>
      </w:r>
      <w:r w:rsidR="00965870" w:rsidRPr="00C10597">
        <w:t xml:space="preserve"> </w:t>
      </w:r>
      <w:r w:rsidR="0096157E" w:rsidRPr="00C10597">
        <w:t xml:space="preserve">on </w:t>
      </w:r>
      <w:r w:rsidR="0096157E">
        <w:t xml:space="preserve">TransGrid's </w:t>
      </w:r>
      <w:r w:rsidR="0096157E" w:rsidRPr="00C10597">
        <w:t>proposed building block co</w:t>
      </w:r>
      <w:r w:rsidR="00266363">
        <w:t>s</w:t>
      </w:r>
      <w:r w:rsidR="0096157E" w:rsidRPr="00C10597">
        <w:t>ts ha</w:t>
      </w:r>
      <w:r w:rsidR="0096157E">
        <w:t>ve a consequential impact on its</w:t>
      </w:r>
      <w:r w:rsidR="0096157E" w:rsidRPr="00C10597">
        <w:t xml:space="preserve"> annual building block revenue requirement. We have calculated the X factor and the annual expected MAR (smoothed) to reflect our draft decision on </w:t>
      </w:r>
      <w:r w:rsidR="0096157E">
        <w:t>TransGrid's</w:t>
      </w:r>
      <w:r w:rsidR="0096157E" w:rsidRPr="00C10597">
        <w:t xml:space="preserve"> annual building block revenue requirement.</w:t>
      </w:r>
      <w:r w:rsidR="00BD7584">
        <w:t xml:space="preserve"> </w:t>
      </w:r>
    </w:p>
    <w:p w:rsidR="00266363" w:rsidRDefault="00D56E27" w:rsidP="00266363">
      <w:pPr>
        <w:pStyle w:val="AERbodytext"/>
      </w:pPr>
      <w:r>
        <w:t>We determine a total annual building block revenue requirement for TransGrid of $</w:t>
      </w:r>
      <w:r w:rsidR="00A7119B">
        <w:t>3169.6</w:t>
      </w:r>
      <w:r>
        <w:t xml:space="preserve"> million ($</w:t>
      </w:r>
      <w:r w:rsidR="00A7119B">
        <w:t> </w:t>
      </w:r>
      <w:r>
        <w:t xml:space="preserve">nominal) for the 2014–18 period. </w:t>
      </w:r>
      <w:r w:rsidR="00266363">
        <w:t>This</w:t>
      </w:r>
      <w:r w:rsidR="00266363" w:rsidRPr="00933B05">
        <w:t xml:space="preserve"> </w:t>
      </w:r>
      <w:r w:rsidR="00266363">
        <w:t>is a reduction</w:t>
      </w:r>
      <w:r w:rsidR="00266363" w:rsidRPr="00933B05">
        <w:t xml:space="preserve"> of $</w:t>
      </w:r>
      <w:r w:rsidR="00A7119B">
        <w:t>717.</w:t>
      </w:r>
      <w:r w:rsidR="00E109E8">
        <w:t>1</w:t>
      </w:r>
      <w:r w:rsidR="00266363">
        <w:t> </w:t>
      </w:r>
      <w:r w:rsidR="00266363" w:rsidRPr="00933B05">
        <w:t>million ($</w:t>
      </w:r>
      <w:r w:rsidR="00266363">
        <w:t> </w:t>
      </w:r>
      <w:r w:rsidR="00266363" w:rsidRPr="00933B05">
        <w:t xml:space="preserve">nominal) </w:t>
      </w:r>
      <w:r w:rsidR="00266363">
        <w:t>or</w:t>
      </w:r>
      <w:r w:rsidR="00266363" w:rsidRPr="00933B05">
        <w:t xml:space="preserve"> </w:t>
      </w:r>
      <w:r w:rsidR="00A7119B">
        <w:t>18.5</w:t>
      </w:r>
      <w:r w:rsidR="00266363" w:rsidRPr="00933B05">
        <w:t xml:space="preserve"> per cent </w:t>
      </w:r>
      <w:r w:rsidR="00266363">
        <w:t>to</w:t>
      </w:r>
      <w:r w:rsidR="00266363" w:rsidRPr="00933B05">
        <w:t xml:space="preserve"> </w:t>
      </w:r>
      <w:r w:rsidR="00266363">
        <w:t>TransGrid's</w:t>
      </w:r>
      <w:r w:rsidR="00266363" w:rsidRPr="00933B05">
        <w:t xml:space="preserve"> proposal</w:t>
      </w:r>
      <w:r w:rsidR="00266363">
        <w:t xml:space="preserve"> and reflects the impact of our draft decisions on the various building block costs. </w:t>
      </w:r>
    </w:p>
    <w:p w:rsidR="00266363" w:rsidRDefault="00266363" w:rsidP="00266363">
      <w:pPr>
        <w:pStyle w:val="AERbodytext"/>
      </w:pPr>
      <w:r>
        <w:t>To account for the placeholder revenue ($</w:t>
      </w:r>
      <w:r w:rsidR="002F323F">
        <w:t xml:space="preserve">845.4 </w:t>
      </w:r>
      <w:r>
        <w:t>million) for 2014–15 that we approved in our transitional determination, we have calculated the difference to be adjusted between the placeholder revenue and our notional annual building block revenue requirement ($</w:t>
      </w:r>
      <w:r w:rsidR="00A7119B">
        <w:t>751.1</w:t>
      </w:r>
      <w:r>
        <w:t xml:space="preserve"> million) for 2014–15. Our draft decision is that this adjustment amounts to $</w:t>
      </w:r>
      <w:r w:rsidR="00A7119B">
        <w:t>94.3</w:t>
      </w:r>
      <w:r>
        <w:t xml:space="preserve"> million. We have applied this adjustment as part of the smoothing process to establish the annual expected MAR for the 2015–18 regulatory control period.  </w:t>
      </w:r>
    </w:p>
    <w:p w:rsidR="0096157E" w:rsidRPr="00B65F50" w:rsidRDefault="00D56E27" w:rsidP="00266363">
      <w:pPr>
        <w:pStyle w:val="AERbodytext"/>
      </w:pPr>
      <w:r>
        <w:t xml:space="preserve">As a result of our smoothing of the annual building block revenue requirement, </w:t>
      </w:r>
      <w:r w:rsidR="00266363">
        <w:t xml:space="preserve">our draft decision on the annual expected MAR </w:t>
      </w:r>
      <w:r w:rsidR="006D7297">
        <w:t xml:space="preserve">and X factor </w:t>
      </w:r>
      <w:r w:rsidR="00266363">
        <w:t xml:space="preserve">for each regulatory year of the 2015–18 regulatory control </w:t>
      </w:r>
      <w:proofErr w:type="gramStart"/>
      <w:r w:rsidR="00266363">
        <w:t>period</w:t>
      </w:r>
      <w:proofErr w:type="gramEnd"/>
      <w:r w:rsidR="00266363">
        <w:t xml:space="preserve"> is set out in </w:t>
      </w:r>
      <w:r w:rsidR="00E72B7D">
        <w:fldChar w:fldCharType="begin"/>
      </w:r>
      <w:r w:rsidR="00E72B7D">
        <w:instrText xml:space="preserve"> REF _Ref339361981 \h </w:instrText>
      </w:r>
      <w:r w:rsidR="00E72B7D">
        <w:fldChar w:fldCharType="separate"/>
      </w:r>
      <w:r w:rsidR="00C1101B" w:rsidRPr="00C10597">
        <w:t xml:space="preserve">Table </w:t>
      </w:r>
      <w:r w:rsidR="00C1101B">
        <w:rPr>
          <w:noProof/>
        </w:rPr>
        <w:t>1</w:t>
      </w:r>
      <w:r w:rsidR="00C1101B">
        <w:noBreakHyphen/>
      </w:r>
      <w:r w:rsidR="00C1101B">
        <w:rPr>
          <w:noProof/>
        </w:rPr>
        <w:t>1</w:t>
      </w:r>
      <w:r w:rsidR="00E72B7D">
        <w:fldChar w:fldCharType="end"/>
      </w:r>
      <w:r w:rsidR="00266363">
        <w:t>. Our draft decision is to</w:t>
      </w:r>
      <w:r w:rsidR="0096157E" w:rsidRPr="00C10597">
        <w:t xml:space="preserve"> approve an estimated total revenue cap of</w:t>
      </w:r>
      <w:r w:rsidR="0096157E">
        <w:t xml:space="preserve"> </w:t>
      </w:r>
      <w:r w:rsidR="0096157E" w:rsidRPr="00C10597">
        <w:t>$</w:t>
      </w:r>
      <w:r w:rsidR="00A7119B">
        <w:t>2310.5</w:t>
      </w:r>
      <w:r w:rsidR="0096157E" w:rsidRPr="00C10597">
        <w:t xml:space="preserve"> million ($ nominal) for </w:t>
      </w:r>
      <w:r w:rsidR="0096157E">
        <w:t>TransGrid</w:t>
      </w:r>
      <w:r w:rsidR="0096157E" w:rsidRPr="00C10597">
        <w:t xml:space="preserve"> for the </w:t>
      </w:r>
      <w:r w:rsidR="0096157E" w:rsidRPr="00B65F50">
        <w:rPr>
          <w:rStyle w:val="AERtexthighlight"/>
          <w:shd w:val="clear" w:color="auto" w:fill="auto"/>
        </w:rPr>
        <w:t>201</w:t>
      </w:r>
      <w:r w:rsidR="00266363" w:rsidRPr="00266363">
        <w:rPr>
          <w:rStyle w:val="AERtexthighlight"/>
          <w:shd w:val="clear" w:color="auto" w:fill="auto"/>
        </w:rPr>
        <w:t>5</w:t>
      </w:r>
      <w:r w:rsidR="0096157E" w:rsidRPr="00B65F50">
        <w:rPr>
          <w:rStyle w:val="AERtexthighlight"/>
          <w:shd w:val="clear" w:color="auto" w:fill="auto"/>
        </w:rPr>
        <w:t>–18</w:t>
      </w:r>
      <w:r w:rsidR="0096157E" w:rsidRPr="00B65F50">
        <w:t xml:space="preserve"> </w:t>
      </w:r>
      <w:r w:rsidR="00266363">
        <w:t xml:space="preserve">regulatory control </w:t>
      </w:r>
      <w:r w:rsidR="0096157E" w:rsidRPr="00B65F50">
        <w:t>period.</w:t>
      </w:r>
      <w:r w:rsidR="006D7297">
        <w:rPr>
          <w:rStyle w:val="FootnoteReference"/>
        </w:rPr>
        <w:footnoteReference w:id="2"/>
      </w:r>
      <w:r w:rsidR="0096157E" w:rsidRPr="00B65F50">
        <w:t xml:space="preserve"> Our approved X factor is </w:t>
      </w:r>
      <w:r w:rsidR="00A7119B">
        <w:t>–0.5</w:t>
      </w:r>
      <w:r w:rsidR="0096157E" w:rsidRPr="00B65F50">
        <w:t xml:space="preserve"> per cent per annum for 201</w:t>
      </w:r>
      <w:r w:rsidR="00556E5F">
        <w:t>6</w:t>
      </w:r>
      <w:r w:rsidR="0096157E" w:rsidRPr="00B65F50">
        <w:t>–1</w:t>
      </w:r>
      <w:r w:rsidR="00556E5F">
        <w:t>7</w:t>
      </w:r>
      <w:r w:rsidR="0096157E" w:rsidRPr="00B65F50">
        <w:t xml:space="preserve"> </w:t>
      </w:r>
      <w:r w:rsidR="00556E5F">
        <w:t>and</w:t>
      </w:r>
      <w:r w:rsidR="0096157E" w:rsidRPr="00B65F50">
        <w:t xml:space="preserve"> </w:t>
      </w:r>
      <w:r w:rsidR="0096157E" w:rsidRPr="00B65F50">
        <w:rPr>
          <w:rStyle w:val="AERtexthighlight"/>
          <w:shd w:val="clear" w:color="auto" w:fill="auto"/>
        </w:rPr>
        <w:t>2017–18.</w:t>
      </w:r>
    </w:p>
    <w:p w:rsidR="0096157E" w:rsidRPr="00C10597" w:rsidRDefault="00E72B7D" w:rsidP="00B65F50">
      <w:pPr>
        <w:pStyle w:val="AERbodytext"/>
      </w:pPr>
      <w:r>
        <w:fldChar w:fldCharType="begin"/>
      </w:r>
      <w:r>
        <w:instrText xml:space="preserve"> REF _Ref339361981 \h </w:instrText>
      </w:r>
      <w:r>
        <w:fldChar w:fldCharType="separate"/>
      </w:r>
      <w:r w:rsidR="00C1101B" w:rsidRPr="00C10597">
        <w:t xml:space="preserve">Table </w:t>
      </w:r>
      <w:r w:rsidR="00C1101B">
        <w:rPr>
          <w:noProof/>
        </w:rPr>
        <w:t>1</w:t>
      </w:r>
      <w:r w:rsidR="00C1101B">
        <w:noBreakHyphen/>
      </w:r>
      <w:r w:rsidR="00C1101B">
        <w:rPr>
          <w:noProof/>
        </w:rPr>
        <w:t>1</w:t>
      </w:r>
      <w:r>
        <w:fldChar w:fldCharType="end"/>
      </w:r>
      <w:r w:rsidR="0096157E" w:rsidRPr="00C10597">
        <w:t xml:space="preserve"> set</w:t>
      </w:r>
      <w:r w:rsidR="0096157E">
        <w:t>s</w:t>
      </w:r>
      <w:r w:rsidR="0096157E" w:rsidRPr="00C10597">
        <w:t xml:space="preserve"> out our draft decision on </w:t>
      </w:r>
      <w:r w:rsidR="0096157E">
        <w:t xml:space="preserve">TransGrid's </w:t>
      </w:r>
      <w:r w:rsidR="0096157E" w:rsidRPr="00C10597">
        <w:t xml:space="preserve">annual building block revenue requirement, the X factor, the annual expected MAR and the estimated total revenue cap </w:t>
      </w:r>
      <w:r w:rsidR="0096157E">
        <w:t xml:space="preserve">for </w:t>
      </w:r>
      <w:r w:rsidR="0096157E" w:rsidRPr="00B65F50">
        <w:t xml:space="preserve">the </w:t>
      </w:r>
      <w:r w:rsidR="0096157E" w:rsidRPr="00B65F50">
        <w:rPr>
          <w:rStyle w:val="AERtexthighlight"/>
          <w:shd w:val="clear" w:color="auto" w:fill="auto"/>
        </w:rPr>
        <w:t xml:space="preserve">2014–18 </w:t>
      </w:r>
      <w:proofErr w:type="gramStart"/>
      <w:r w:rsidR="0096157E">
        <w:t>period</w:t>
      </w:r>
      <w:proofErr w:type="gramEnd"/>
      <w:r w:rsidR="0096157E" w:rsidRPr="00C10597">
        <w:t>.</w:t>
      </w:r>
    </w:p>
    <w:p w:rsidR="0096157E" w:rsidRPr="00C10597" w:rsidRDefault="0096157E" w:rsidP="0096157E">
      <w:pPr>
        <w:pStyle w:val="Caption"/>
      </w:pPr>
      <w:bookmarkStart w:id="11" w:name="_Ref339361981"/>
      <w:bookmarkStart w:id="12" w:name="_Ref339903380"/>
      <w:bookmarkStart w:id="13" w:name="_Ref359490629"/>
      <w:bookmarkStart w:id="14" w:name="_Ref337642488"/>
      <w:r w:rsidRPr="00C10597">
        <w:lastRenderedPageBreak/>
        <w:t xml:space="preserve">Table </w:t>
      </w:r>
      <w:r w:rsidR="00D46AB4">
        <w:fldChar w:fldCharType="begin"/>
      </w:r>
      <w:r w:rsidR="00D46AB4">
        <w:instrText xml:space="preserve"> STYLEREF 1 \s </w:instrText>
      </w:r>
      <w:r w:rsidR="00D46AB4">
        <w:fldChar w:fldCharType="separate"/>
      </w:r>
      <w:r w:rsidR="00C1101B">
        <w:rPr>
          <w:noProof/>
        </w:rPr>
        <w:t>1</w:t>
      </w:r>
      <w:r w:rsidR="00D46AB4">
        <w:rPr>
          <w:noProof/>
        </w:rPr>
        <w:fldChar w:fldCharType="end"/>
      </w:r>
      <w:r w:rsidR="00E72B7D">
        <w:noBreakHyphen/>
      </w:r>
      <w:r w:rsidR="00D46AB4">
        <w:fldChar w:fldCharType="begin"/>
      </w:r>
      <w:r w:rsidR="00D46AB4">
        <w:instrText xml:space="preserve"> SEQ Table \* ARABIC \s 1 </w:instrText>
      </w:r>
      <w:r w:rsidR="00D46AB4">
        <w:fldChar w:fldCharType="separate"/>
      </w:r>
      <w:r w:rsidR="00C1101B">
        <w:rPr>
          <w:noProof/>
        </w:rPr>
        <w:t>1</w:t>
      </w:r>
      <w:r w:rsidR="00D46AB4">
        <w:rPr>
          <w:noProof/>
        </w:rPr>
        <w:fldChar w:fldCharType="end"/>
      </w:r>
      <w:bookmarkEnd w:id="11"/>
      <w:bookmarkEnd w:id="12"/>
      <w:bookmarkEnd w:id="13"/>
      <w:r w:rsidRPr="00C10597">
        <w:tab/>
        <w:t xml:space="preserve">AER's draft decision on </w:t>
      </w:r>
      <w:r>
        <w:t>TransGrid</w:t>
      </w:r>
      <w:r w:rsidRPr="00C10597">
        <w:t>'s annual building block revenue requirement, annual expected MAR, estimated total revenue cap and X factor ($ million, nominal)</w:t>
      </w:r>
      <w:bookmarkEnd w:id="14"/>
    </w:p>
    <w:tbl>
      <w:tblPr>
        <w:tblStyle w:val="AERtable-numbers"/>
        <w:tblW w:w="5000" w:type="pct"/>
        <w:tblLook w:val="04A0" w:firstRow="1" w:lastRow="0" w:firstColumn="1" w:lastColumn="0" w:noHBand="0" w:noVBand="1"/>
      </w:tblPr>
      <w:tblGrid>
        <w:gridCol w:w="3677"/>
        <w:gridCol w:w="1340"/>
        <w:gridCol w:w="1035"/>
        <w:gridCol w:w="1033"/>
        <w:gridCol w:w="1079"/>
        <w:gridCol w:w="1078"/>
      </w:tblGrid>
      <w:tr w:rsidR="0096157E" w:rsidTr="00035292">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989" w:type="pct"/>
          </w:tcPr>
          <w:p w:rsidR="0096157E" w:rsidRPr="00C10597" w:rsidRDefault="0096157E" w:rsidP="0096157E">
            <w:pPr>
              <w:pStyle w:val="AERbodytext"/>
            </w:pPr>
          </w:p>
        </w:tc>
        <w:tc>
          <w:tcPr>
            <w:tcW w:w="725" w:type="pct"/>
          </w:tcPr>
          <w:p w:rsidR="0096157E" w:rsidRPr="00C10597" w:rsidRDefault="0096157E" w:rsidP="0096157E">
            <w:pPr>
              <w:pStyle w:val="AERtabletextright"/>
              <w:cnfStyle w:val="100000000000" w:firstRow="1" w:lastRow="0" w:firstColumn="0" w:lastColumn="0" w:oddVBand="0" w:evenVBand="0" w:oddHBand="0" w:evenHBand="0" w:firstRowFirstColumn="0" w:firstRowLastColumn="0" w:lastRowFirstColumn="0" w:lastRowLastColumn="0"/>
            </w:pPr>
            <w:r w:rsidRPr="00C10597">
              <w:t>2014–15</w:t>
            </w:r>
          </w:p>
        </w:tc>
        <w:tc>
          <w:tcPr>
            <w:tcW w:w="560" w:type="pct"/>
          </w:tcPr>
          <w:p w:rsidR="0096157E" w:rsidRPr="00C10597" w:rsidRDefault="0096157E" w:rsidP="0096157E">
            <w:pPr>
              <w:pStyle w:val="AERtabletextright"/>
              <w:cnfStyle w:val="100000000000" w:firstRow="1" w:lastRow="0" w:firstColumn="0" w:lastColumn="0" w:oddVBand="0" w:evenVBand="0" w:oddHBand="0" w:evenHBand="0" w:firstRowFirstColumn="0" w:firstRowLastColumn="0" w:lastRowFirstColumn="0" w:lastRowLastColumn="0"/>
            </w:pPr>
            <w:r w:rsidRPr="00C10597">
              <w:t>2015–16</w:t>
            </w:r>
          </w:p>
        </w:tc>
        <w:tc>
          <w:tcPr>
            <w:tcW w:w="559" w:type="pct"/>
          </w:tcPr>
          <w:p w:rsidR="0096157E" w:rsidRPr="00C10597" w:rsidRDefault="0096157E" w:rsidP="0096157E">
            <w:pPr>
              <w:pStyle w:val="AERtabletextright"/>
              <w:cnfStyle w:val="100000000000" w:firstRow="1" w:lastRow="0" w:firstColumn="0" w:lastColumn="0" w:oddVBand="0" w:evenVBand="0" w:oddHBand="0" w:evenHBand="0" w:firstRowFirstColumn="0" w:firstRowLastColumn="0" w:lastRowFirstColumn="0" w:lastRowLastColumn="0"/>
            </w:pPr>
            <w:r w:rsidRPr="00C10597">
              <w:t>2016–17</w:t>
            </w:r>
          </w:p>
        </w:tc>
        <w:tc>
          <w:tcPr>
            <w:tcW w:w="584" w:type="pct"/>
          </w:tcPr>
          <w:p w:rsidR="0096157E" w:rsidRPr="0096157E" w:rsidRDefault="0096157E" w:rsidP="0096157E">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583" w:type="pct"/>
          </w:tcPr>
          <w:p w:rsidR="0096157E" w:rsidRPr="00C10597" w:rsidRDefault="0096157E" w:rsidP="0096157E">
            <w:pPr>
              <w:pStyle w:val="AERtabletextright"/>
              <w:cnfStyle w:val="100000000000" w:firstRow="1" w:lastRow="0" w:firstColumn="0" w:lastColumn="0" w:oddVBand="0" w:evenVBand="0" w:oddHBand="0" w:evenHBand="0" w:firstRowFirstColumn="0" w:firstRowLastColumn="0" w:lastRowFirstColumn="0" w:lastRowLastColumn="0"/>
            </w:pPr>
            <w:r w:rsidRPr="00C10597">
              <w:t>Total</w:t>
            </w:r>
          </w:p>
        </w:tc>
      </w:tr>
      <w:tr w:rsidR="00035292" w:rsidTr="00394947">
        <w:trPr>
          <w:trHeight w:val="438"/>
        </w:trPr>
        <w:tc>
          <w:tcPr>
            <w:cnfStyle w:val="001000000000" w:firstRow="0" w:lastRow="0" w:firstColumn="1" w:lastColumn="0" w:oddVBand="0" w:evenVBand="0" w:oddHBand="0" w:evenHBand="0" w:firstRowFirstColumn="0" w:firstRowLastColumn="0" w:lastRowFirstColumn="0" w:lastRowLastColumn="0"/>
            <w:tcW w:w="1989" w:type="pct"/>
          </w:tcPr>
          <w:p w:rsidR="00035292" w:rsidRPr="00035292" w:rsidRDefault="00035292" w:rsidP="00035292">
            <w:pPr>
              <w:pStyle w:val="AERtabletextleft"/>
            </w:pPr>
            <w:r w:rsidRPr="00035292">
              <w:t>Return on capital</w:t>
            </w:r>
          </w:p>
        </w:tc>
        <w:tc>
          <w:tcPr>
            <w:tcW w:w="725" w:type="pct"/>
            <w:vAlign w:val="bottom"/>
          </w:tcPr>
          <w:p w:rsidR="00035292" w:rsidRPr="00035292" w:rsidRDefault="00035292" w:rsidP="00A7119B">
            <w:pPr>
              <w:pStyle w:val="AERtabletextright"/>
              <w:cnfStyle w:val="000000000000" w:firstRow="0" w:lastRow="0" w:firstColumn="0" w:lastColumn="0" w:oddVBand="0" w:evenVBand="0" w:oddHBand="0" w:evenHBand="0" w:firstRowFirstColumn="0" w:firstRowLastColumn="0" w:lastRowFirstColumn="0" w:lastRowLastColumn="0"/>
            </w:pPr>
            <w:r w:rsidRPr="00035292">
              <w:t>4</w:t>
            </w:r>
            <w:r w:rsidR="00A7119B">
              <w:t>45</w:t>
            </w:r>
            <w:r w:rsidRPr="00035292">
              <w:t>.</w:t>
            </w:r>
            <w:r w:rsidR="00A7119B">
              <w:t>1</w:t>
            </w:r>
          </w:p>
        </w:tc>
        <w:tc>
          <w:tcPr>
            <w:tcW w:w="560" w:type="pct"/>
            <w:vAlign w:val="bottom"/>
          </w:tcPr>
          <w:p w:rsidR="00035292" w:rsidRPr="00035292" w:rsidRDefault="00035292" w:rsidP="00A7119B">
            <w:pPr>
              <w:pStyle w:val="AERtabletextright"/>
              <w:cnfStyle w:val="000000000000" w:firstRow="0" w:lastRow="0" w:firstColumn="0" w:lastColumn="0" w:oddVBand="0" w:evenVBand="0" w:oddHBand="0" w:evenHBand="0" w:firstRowFirstColumn="0" w:firstRowLastColumn="0" w:lastRowFirstColumn="0" w:lastRowLastColumn="0"/>
            </w:pPr>
            <w:r w:rsidRPr="00035292">
              <w:t>4</w:t>
            </w:r>
            <w:r w:rsidR="00A7119B">
              <w:t>56</w:t>
            </w:r>
            <w:r w:rsidRPr="00035292">
              <w:t>.</w:t>
            </w:r>
            <w:r w:rsidR="00A7119B">
              <w:t>5</w:t>
            </w:r>
          </w:p>
        </w:tc>
        <w:tc>
          <w:tcPr>
            <w:tcW w:w="559" w:type="pct"/>
            <w:vAlign w:val="bottom"/>
          </w:tcPr>
          <w:p w:rsidR="00035292" w:rsidRPr="00035292" w:rsidRDefault="00035292" w:rsidP="00A7119B">
            <w:pPr>
              <w:pStyle w:val="AERtabletextright"/>
              <w:cnfStyle w:val="000000000000" w:firstRow="0" w:lastRow="0" w:firstColumn="0" w:lastColumn="0" w:oddVBand="0" w:evenVBand="0" w:oddHBand="0" w:evenHBand="0" w:firstRowFirstColumn="0" w:firstRowLastColumn="0" w:lastRowFirstColumn="0" w:lastRowLastColumn="0"/>
            </w:pPr>
            <w:r w:rsidRPr="00035292">
              <w:t>4</w:t>
            </w:r>
            <w:r w:rsidR="00A7119B">
              <w:t>66</w:t>
            </w:r>
            <w:r w:rsidRPr="00035292">
              <w:t>.</w:t>
            </w:r>
            <w:r w:rsidR="00A7119B">
              <w:t>9</w:t>
            </w:r>
          </w:p>
        </w:tc>
        <w:tc>
          <w:tcPr>
            <w:tcW w:w="584" w:type="pct"/>
            <w:vAlign w:val="bottom"/>
          </w:tcPr>
          <w:p w:rsidR="00035292" w:rsidRPr="00035292" w:rsidRDefault="00035292" w:rsidP="00A7119B">
            <w:pPr>
              <w:pStyle w:val="AERtabletextright"/>
              <w:cnfStyle w:val="000000000000" w:firstRow="0" w:lastRow="0" w:firstColumn="0" w:lastColumn="0" w:oddVBand="0" w:evenVBand="0" w:oddHBand="0" w:evenHBand="0" w:firstRowFirstColumn="0" w:firstRowLastColumn="0" w:lastRowFirstColumn="0" w:lastRowLastColumn="0"/>
            </w:pPr>
            <w:r w:rsidRPr="00035292">
              <w:t>47</w:t>
            </w:r>
            <w:r w:rsidR="00A7119B">
              <w:t>5</w:t>
            </w:r>
            <w:r w:rsidRPr="00035292">
              <w:t>.</w:t>
            </w:r>
            <w:r w:rsidR="00A7119B">
              <w:t>4</w:t>
            </w:r>
          </w:p>
        </w:tc>
        <w:tc>
          <w:tcPr>
            <w:tcW w:w="583" w:type="pct"/>
            <w:vAlign w:val="bottom"/>
          </w:tcPr>
          <w:p w:rsidR="00035292" w:rsidRPr="00035292" w:rsidRDefault="00035292" w:rsidP="00A7119B">
            <w:pPr>
              <w:pStyle w:val="AERtabletextright"/>
              <w:cnfStyle w:val="000000000000" w:firstRow="0" w:lastRow="0" w:firstColumn="0" w:lastColumn="0" w:oddVBand="0" w:evenVBand="0" w:oddHBand="0" w:evenHBand="0" w:firstRowFirstColumn="0" w:firstRowLastColumn="0" w:lastRowFirstColumn="0" w:lastRowLastColumn="0"/>
            </w:pPr>
            <w:r w:rsidRPr="00035292">
              <w:t>1</w:t>
            </w:r>
            <w:r w:rsidR="00A7119B">
              <w:t>843.9</w:t>
            </w:r>
          </w:p>
        </w:tc>
      </w:tr>
      <w:tr w:rsidR="00035292" w:rsidTr="00394947">
        <w:trPr>
          <w:cnfStyle w:val="000000010000" w:firstRow="0" w:lastRow="0" w:firstColumn="0" w:lastColumn="0" w:oddVBand="0" w:evenVBand="0" w:oddHBand="0" w:evenHBand="1"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89" w:type="pct"/>
          </w:tcPr>
          <w:p w:rsidR="00035292" w:rsidRPr="00035292" w:rsidRDefault="00035292" w:rsidP="00035292">
            <w:pPr>
              <w:pStyle w:val="AERtabletextleft"/>
            </w:pPr>
            <w:r w:rsidRPr="00035292">
              <w:t>Regulatory depreciation</w:t>
            </w:r>
            <w:r w:rsidRPr="00035292">
              <w:rPr>
                <w:rStyle w:val="AERsuperscript"/>
              </w:rPr>
              <w:t>a</w:t>
            </w:r>
          </w:p>
        </w:tc>
        <w:tc>
          <w:tcPr>
            <w:tcW w:w="725" w:type="pct"/>
            <w:vAlign w:val="bottom"/>
          </w:tcPr>
          <w:p w:rsidR="00035292" w:rsidRPr="00035292" w:rsidRDefault="00035292" w:rsidP="00A7119B">
            <w:pPr>
              <w:pStyle w:val="AERtabletextright"/>
              <w:cnfStyle w:val="000000010000" w:firstRow="0" w:lastRow="0" w:firstColumn="0" w:lastColumn="0" w:oddVBand="0" w:evenVBand="0" w:oddHBand="0" w:evenHBand="1" w:firstRowFirstColumn="0" w:firstRowLastColumn="0" w:lastRowFirstColumn="0" w:lastRowLastColumn="0"/>
            </w:pPr>
            <w:r w:rsidRPr="00035292">
              <w:t>9</w:t>
            </w:r>
            <w:r w:rsidR="00A7119B">
              <w:t>3</w:t>
            </w:r>
            <w:r w:rsidRPr="00035292">
              <w:t>.</w:t>
            </w:r>
            <w:r w:rsidR="00A7119B">
              <w:t>2</w:t>
            </w:r>
          </w:p>
        </w:tc>
        <w:tc>
          <w:tcPr>
            <w:tcW w:w="560" w:type="pct"/>
            <w:vAlign w:val="bottom"/>
          </w:tcPr>
          <w:p w:rsidR="00035292" w:rsidRPr="00035292" w:rsidRDefault="00035292" w:rsidP="00A7119B">
            <w:pPr>
              <w:pStyle w:val="AERtabletextright"/>
              <w:cnfStyle w:val="000000010000" w:firstRow="0" w:lastRow="0" w:firstColumn="0" w:lastColumn="0" w:oddVBand="0" w:evenVBand="0" w:oddHBand="0" w:evenHBand="1" w:firstRowFirstColumn="0" w:firstRowLastColumn="0" w:lastRowFirstColumn="0" w:lastRowLastColumn="0"/>
            </w:pPr>
            <w:r w:rsidRPr="00035292">
              <w:t>10</w:t>
            </w:r>
            <w:r w:rsidR="00A7119B">
              <w:t>9</w:t>
            </w:r>
            <w:r w:rsidRPr="00035292">
              <w:t>.</w:t>
            </w:r>
            <w:r w:rsidR="00A7119B">
              <w:t>9</w:t>
            </w:r>
          </w:p>
        </w:tc>
        <w:tc>
          <w:tcPr>
            <w:tcW w:w="559" w:type="pct"/>
            <w:vAlign w:val="bottom"/>
          </w:tcPr>
          <w:p w:rsidR="00035292" w:rsidRPr="00035292" w:rsidRDefault="00035292" w:rsidP="00A7119B">
            <w:pPr>
              <w:pStyle w:val="AERtabletextright"/>
              <w:cnfStyle w:val="000000010000" w:firstRow="0" w:lastRow="0" w:firstColumn="0" w:lastColumn="0" w:oddVBand="0" w:evenVBand="0" w:oddHBand="0" w:evenHBand="1" w:firstRowFirstColumn="0" w:firstRowLastColumn="0" w:lastRowFirstColumn="0" w:lastRowLastColumn="0"/>
            </w:pPr>
            <w:r w:rsidRPr="00035292">
              <w:t>1</w:t>
            </w:r>
            <w:r w:rsidR="00A7119B">
              <w:t>2</w:t>
            </w:r>
            <w:r w:rsidRPr="00035292">
              <w:t>6.</w:t>
            </w:r>
            <w:r w:rsidR="00A7119B">
              <w:t>1</w:t>
            </w:r>
          </w:p>
        </w:tc>
        <w:tc>
          <w:tcPr>
            <w:tcW w:w="584" w:type="pct"/>
            <w:vAlign w:val="bottom"/>
          </w:tcPr>
          <w:p w:rsidR="00035292" w:rsidRPr="00035292" w:rsidRDefault="00035292" w:rsidP="00A7119B">
            <w:pPr>
              <w:pStyle w:val="AERtabletextright"/>
              <w:cnfStyle w:val="000000010000" w:firstRow="0" w:lastRow="0" w:firstColumn="0" w:lastColumn="0" w:oddVBand="0" w:evenVBand="0" w:oddHBand="0" w:evenHBand="1" w:firstRowFirstColumn="0" w:firstRowLastColumn="0" w:lastRowFirstColumn="0" w:lastRowLastColumn="0"/>
            </w:pPr>
            <w:r w:rsidRPr="00035292">
              <w:t>1</w:t>
            </w:r>
            <w:r w:rsidR="00A7119B">
              <w:t>11</w:t>
            </w:r>
            <w:r w:rsidRPr="00035292">
              <w:t>.</w:t>
            </w:r>
            <w:r w:rsidR="00A7119B">
              <w:t>7</w:t>
            </w:r>
          </w:p>
        </w:tc>
        <w:tc>
          <w:tcPr>
            <w:tcW w:w="583" w:type="pct"/>
            <w:vAlign w:val="bottom"/>
          </w:tcPr>
          <w:p w:rsidR="00035292" w:rsidRPr="00035292" w:rsidRDefault="00035292" w:rsidP="00A7119B">
            <w:pPr>
              <w:pStyle w:val="AERtabletextright"/>
              <w:cnfStyle w:val="000000010000" w:firstRow="0" w:lastRow="0" w:firstColumn="0" w:lastColumn="0" w:oddVBand="0" w:evenVBand="0" w:oddHBand="0" w:evenHBand="1" w:firstRowFirstColumn="0" w:firstRowLastColumn="0" w:lastRowFirstColumn="0" w:lastRowLastColumn="0"/>
            </w:pPr>
            <w:r w:rsidRPr="00035292">
              <w:t>4</w:t>
            </w:r>
            <w:r w:rsidR="00A7119B">
              <w:t>40.9</w:t>
            </w:r>
          </w:p>
        </w:tc>
      </w:tr>
      <w:tr w:rsidR="00035292" w:rsidTr="00394947">
        <w:trPr>
          <w:trHeight w:val="438"/>
        </w:trPr>
        <w:tc>
          <w:tcPr>
            <w:cnfStyle w:val="001000000000" w:firstRow="0" w:lastRow="0" w:firstColumn="1" w:lastColumn="0" w:oddVBand="0" w:evenVBand="0" w:oddHBand="0" w:evenHBand="0" w:firstRowFirstColumn="0" w:firstRowLastColumn="0" w:lastRowFirstColumn="0" w:lastRowLastColumn="0"/>
            <w:tcW w:w="1989" w:type="pct"/>
          </w:tcPr>
          <w:p w:rsidR="00035292" w:rsidRPr="00035292" w:rsidRDefault="00035292" w:rsidP="00035292">
            <w:pPr>
              <w:pStyle w:val="AERtabletextleft"/>
            </w:pPr>
            <w:r w:rsidRPr="00035292">
              <w:t>Operating expenditure</w:t>
            </w:r>
          </w:p>
        </w:tc>
        <w:tc>
          <w:tcPr>
            <w:tcW w:w="725" w:type="pct"/>
            <w:vAlign w:val="bottom"/>
          </w:tcPr>
          <w:p w:rsidR="00035292" w:rsidRPr="00035292" w:rsidRDefault="00A7119B" w:rsidP="00A7119B">
            <w:pPr>
              <w:pStyle w:val="AERtabletextright"/>
              <w:cnfStyle w:val="000000000000" w:firstRow="0" w:lastRow="0" w:firstColumn="0" w:lastColumn="0" w:oddVBand="0" w:evenVBand="0" w:oddHBand="0" w:evenHBand="0" w:firstRowFirstColumn="0" w:firstRowLastColumn="0" w:lastRowFirstColumn="0" w:lastRowLastColumn="0"/>
            </w:pPr>
            <w:r>
              <w:t>170</w:t>
            </w:r>
            <w:r w:rsidR="00035292" w:rsidRPr="00035292">
              <w:t>.</w:t>
            </w:r>
            <w:r>
              <w:t>2</w:t>
            </w:r>
          </w:p>
        </w:tc>
        <w:tc>
          <w:tcPr>
            <w:tcW w:w="560" w:type="pct"/>
            <w:vAlign w:val="bottom"/>
          </w:tcPr>
          <w:p w:rsidR="00035292" w:rsidRPr="00035292" w:rsidRDefault="00035292" w:rsidP="00A7119B">
            <w:pPr>
              <w:pStyle w:val="AERtabletextright"/>
              <w:cnfStyle w:val="000000000000" w:firstRow="0" w:lastRow="0" w:firstColumn="0" w:lastColumn="0" w:oddVBand="0" w:evenVBand="0" w:oddHBand="0" w:evenHBand="0" w:firstRowFirstColumn="0" w:firstRowLastColumn="0" w:lastRowFirstColumn="0" w:lastRowLastColumn="0"/>
            </w:pPr>
            <w:r w:rsidRPr="00035292">
              <w:t>172.</w:t>
            </w:r>
            <w:r w:rsidR="00A7119B">
              <w:t>6</w:t>
            </w:r>
          </w:p>
        </w:tc>
        <w:tc>
          <w:tcPr>
            <w:tcW w:w="559" w:type="pct"/>
            <w:vAlign w:val="bottom"/>
          </w:tcPr>
          <w:p w:rsidR="00035292" w:rsidRPr="00035292" w:rsidRDefault="00035292" w:rsidP="00A7119B">
            <w:pPr>
              <w:pStyle w:val="AERtabletextright"/>
              <w:cnfStyle w:val="000000000000" w:firstRow="0" w:lastRow="0" w:firstColumn="0" w:lastColumn="0" w:oddVBand="0" w:evenVBand="0" w:oddHBand="0" w:evenHBand="0" w:firstRowFirstColumn="0" w:firstRowLastColumn="0" w:lastRowFirstColumn="0" w:lastRowLastColumn="0"/>
            </w:pPr>
            <w:r w:rsidRPr="00035292">
              <w:t>177.</w:t>
            </w:r>
            <w:r w:rsidR="00A7119B">
              <w:t>0</w:t>
            </w:r>
          </w:p>
        </w:tc>
        <w:tc>
          <w:tcPr>
            <w:tcW w:w="584" w:type="pct"/>
            <w:vAlign w:val="bottom"/>
          </w:tcPr>
          <w:p w:rsidR="00035292" w:rsidRPr="00035292" w:rsidRDefault="00035292" w:rsidP="00A7119B">
            <w:pPr>
              <w:pStyle w:val="AERtabletextright"/>
              <w:cnfStyle w:val="000000000000" w:firstRow="0" w:lastRow="0" w:firstColumn="0" w:lastColumn="0" w:oddVBand="0" w:evenVBand="0" w:oddHBand="0" w:evenHBand="0" w:firstRowFirstColumn="0" w:firstRowLastColumn="0" w:lastRowFirstColumn="0" w:lastRowLastColumn="0"/>
            </w:pPr>
            <w:r w:rsidRPr="00035292">
              <w:t>182.</w:t>
            </w:r>
            <w:r w:rsidR="00A7119B">
              <w:t>1</w:t>
            </w:r>
          </w:p>
        </w:tc>
        <w:tc>
          <w:tcPr>
            <w:tcW w:w="583" w:type="pct"/>
            <w:vAlign w:val="bottom"/>
          </w:tcPr>
          <w:p w:rsidR="00035292" w:rsidRPr="00035292" w:rsidRDefault="00035292" w:rsidP="00A7119B">
            <w:pPr>
              <w:pStyle w:val="AERtabletextright"/>
              <w:cnfStyle w:val="000000000000" w:firstRow="0" w:lastRow="0" w:firstColumn="0" w:lastColumn="0" w:oddVBand="0" w:evenVBand="0" w:oddHBand="0" w:evenHBand="0" w:firstRowFirstColumn="0" w:firstRowLastColumn="0" w:lastRowFirstColumn="0" w:lastRowLastColumn="0"/>
            </w:pPr>
            <w:r w:rsidRPr="00035292">
              <w:t>70</w:t>
            </w:r>
            <w:r w:rsidR="00A7119B">
              <w:t>1</w:t>
            </w:r>
            <w:r w:rsidRPr="00035292">
              <w:t>.</w:t>
            </w:r>
            <w:r w:rsidR="00A7119B">
              <w:t>9</w:t>
            </w:r>
          </w:p>
        </w:tc>
      </w:tr>
      <w:tr w:rsidR="00035292" w:rsidTr="00394947">
        <w:trPr>
          <w:cnfStyle w:val="000000010000" w:firstRow="0" w:lastRow="0" w:firstColumn="0" w:lastColumn="0" w:oddVBand="0" w:evenVBand="0" w:oddHBand="0" w:evenHBand="1"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1989" w:type="pct"/>
          </w:tcPr>
          <w:p w:rsidR="00035292" w:rsidRPr="00035292" w:rsidRDefault="00035292" w:rsidP="00035292">
            <w:pPr>
              <w:pStyle w:val="AERtabletextleft"/>
            </w:pPr>
            <w:r w:rsidRPr="00035292">
              <w:t>Efficiency benefit sharing scheme (carryover amounts)</w:t>
            </w:r>
          </w:p>
        </w:tc>
        <w:tc>
          <w:tcPr>
            <w:tcW w:w="725" w:type="pct"/>
            <w:vAlign w:val="bottom"/>
          </w:tcPr>
          <w:p w:rsidR="00035292" w:rsidRPr="00035292" w:rsidRDefault="00A7119B" w:rsidP="00A7119B">
            <w:pPr>
              <w:pStyle w:val="AERtabletextright"/>
              <w:cnfStyle w:val="000000010000" w:firstRow="0" w:lastRow="0" w:firstColumn="0" w:lastColumn="0" w:oddVBand="0" w:evenVBand="0" w:oddHBand="0" w:evenHBand="1" w:firstRowFirstColumn="0" w:firstRowLastColumn="0" w:lastRowFirstColumn="0" w:lastRowLastColumn="0"/>
            </w:pPr>
            <w:r>
              <w:t>21</w:t>
            </w:r>
            <w:r w:rsidR="00035292" w:rsidRPr="00035292">
              <w:t>.</w:t>
            </w:r>
            <w:r>
              <w:t>5</w:t>
            </w:r>
          </w:p>
        </w:tc>
        <w:tc>
          <w:tcPr>
            <w:tcW w:w="560" w:type="pct"/>
            <w:vAlign w:val="bottom"/>
          </w:tcPr>
          <w:p w:rsidR="00035292" w:rsidRPr="00035292" w:rsidRDefault="00A7119B" w:rsidP="00A7119B">
            <w:pPr>
              <w:pStyle w:val="AERtabletextright"/>
              <w:cnfStyle w:val="000000010000" w:firstRow="0" w:lastRow="0" w:firstColumn="0" w:lastColumn="0" w:oddVBand="0" w:evenVBand="0" w:oddHBand="0" w:evenHBand="1" w:firstRowFirstColumn="0" w:firstRowLastColumn="0" w:lastRowFirstColumn="0" w:lastRowLastColumn="0"/>
            </w:pPr>
            <w:r>
              <w:t>14</w:t>
            </w:r>
            <w:r w:rsidR="00035292" w:rsidRPr="00035292">
              <w:t>.</w:t>
            </w:r>
            <w:r>
              <w:t>4</w:t>
            </w:r>
          </w:p>
        </w:tc>
        <w:tc>
          <w:tcPr>
            <w:tcW w:w="559" w:type="pct"/>
            <w:vAlign w:val="bottom"/>
          </w:tcPr>
          <w:p w:rsidR="00035292" w:rsidRPr="00035292" w:rsidRDefault="00035292" w:rsidP="00A7119B">
            <w:pPr>
              <w:pStyle w:val="AERtabletextright"/>
              <w:cnfStyle w:val="000000010000" w:firstRow="0" w:lastRow="0" w:firstColumn="0" w:lastColumn="0" w:oddVBand="0" w:evenVBand="0" w:oddHBand="0" w:evenHBand="1" w:firstRowFirstColumn="0" w:firstRowLastColumn="0" w:lastRowFirstColumn="0" w:lastRowLastColumn="0"/>
            </w:pPr>
            <w:r w:rsidRPr="00035292">
              <w:t>1</w:t>
            </w:r>
            <w:r w:rsidR="00A7119B">
              <w:t>7</w:t>
            </w:r>
            <w:r w:rsidRPr="00035292">
              <w:t>.3</w:t>
            </w:r>
          </w:p>
        </w:tc>
        <w:tc>
          <w:tcPr>
            <w:tcW w:w="584" w:type="pct"/>
            <w:vAlign w:val="bottom"/>
          </w:tcPr>
          <w:p w:rsidR="00035292" w:rsidRPr="00035292" w:rsidRDefault="00A7119B" w:rsidP="00A7119B">
            <w:pPr>
              <w:pStyle w:val="AERtabletextright"/>
              <w:cnfStyle w:val="000000010000" w:firstRow="0" w:lastRow="0" w:firstColumn="0" w:lastColumn="0" w:oddVBand="0" w:evenVBand="0" w:oddHBand="0" w:evenHBand="1" w:firstRowFirstColumn="0" w:firstRowLastColumn="0" w:lastRowFirstColumn="0" w:lastRowLastColumn="0"/>
            </w:pPr>
            <w:r>
              <w:t>11.5</w:t>
            </w:r>
          </w:p>
        </w:tc>
        <w:tc>
          <w:tcPr>
            <w:tcW w:w="583" w:type="pct"/>
            <w:vAlign w:val="bottom"/>
          </w:tcPr>
          <w:p w:rsidR="00035292" w:rsidRPr="00035292" w:rsidRDefault="00A7119B" w:rsidP="00A7119B">
            <w:pPr>
              <w:pStyle w:val="AERtabletextright"/>
              <w:cnfStyle w:val="000000010000" w:firstRow="0" w:lastRow="0" w:firstColumn="0" w:lastColumn="0" w:oddVBand="0" w:evenVBand="0" w:oddHBand="0" w:evenHBand="1" w:firstRowFirstColumn="0" w:firstRowLastColumn="0" w:lastRowFirstColumn="0" w:lastRowLastColumn="0"/>
            </w:pPr>
            <w:r>
              <w:t>6</w:t>
            </w:r>
            <w:r w:rsidR="00035292" w:rsidRPr="00035292">
              <w:t>4.</w:t>
            </w:r>
            <w:r>
              <w:t>6</w:t>
            </w:r>
          </w:p>
        </w:tc>
      </w:tr>
      <w:tr w:rsidR="00035292" w:rsidTr="00394947">
        <w:trPr>
          <w:trHeight w:val="449"/>
        </w:trPr>
        <w:tc>
          <w:tcPr>
            <w:cnfStyle w:val="001000000000" w:firstRow="0" w:lastRow="0" w:firstColumn="1" w:lastColumn="0" w:oddVBand="0" w:evenVBand="0" w:oddHBand="0" w:evenHBand="0" w:firstRowFirstColumn="0" w:firstRowLastColumn="0" w:lastRowFirstColumn="0" w:lastRowLastColumn="0"/>
            <w:tcW w:w="1989" w:type="pct"/>
          </w:tcPr>
          <w:p w:rsidR="00035292" w:rsidRPr="00035292" w:rsidRDefault="00035292" w:rsidP="00035292">
            <w:pPr>
              <w:pStyle w:val="AERtabletextleft"/>
            </w:pPr>
            <w:r w:rsidRPr="00035292">
              <w:t>Net tax allowance</w:t>
            </w:r>
          </w:p>
        </w:tc>
        <w:tc>
          <w:tcPr>
            <w:tcW w:w="725" w:type="pct"/>
            <w:vAlign w:val="bottom"/>
          </w:tcPr>
          <w:p w:rsidR="00035292" w:rsidRPr="00035292" w:rsidRDefault="00A7119B" w:rsidP="00A7119B">
            <w:pPr>
              <w:pStyle w:val="AERtabletextright"/>
              <w:cnfStyle w:val="000000000000" w:firstRow="0" w:lastRow="0" w:firstColumn="0" w:lastColumn="0" w:oddVBand="0" w:evenVBand="0" w:oddHBand="0" w:evenHBand="0" w:firstRowFirstColumn="0" w:firstRowLastColumn="0" w:lastRowFirstColumn="0" w:lastRowLastColumn="0"/>
            </w:pPr>
            <w:r>
              <w:t>2</w:t>
            </w:r>
            <w:r w:rsidR="00035292" w:rsidRPr="00035292">
              <w:t>1.</w:t>
            </w:r>
            <w:r>
              <w:t>1</w:t>
            </w:r>
          </w:p>
        </w:tc>
        <w:tc>
          <w:tcPr>
            <w:tcW w:w="560" w:type="pct"/>
            <w:vAlign w:val="bottom"/>
          </w:tcPr>
          <w:p w:rsidR="00035292" w:rsidRPr="00035292" w:rsidRDefault="00035292" w:rsidP="00A7119B">
            <w:pPr>
              <w:pStyle w:val="AERtabletextright"/>
              <w:cnfStyle w:val="000000000000" w:firstRow="0" w:lastRow="0" w:firstColumn="0" w:lastColumn="0" w:oddVBand="0" w:evenVBand="0" w:oddHBand="0" w:evenHBand="0" w:firstRowFirstColumn="0" w:firstRowLastColumn="0" w:lastRowFirstColumn="0" w:lastRowLastColumn="0"/>
            </w:pPr>
            <w:r w:rsidRPr="00035292">
              <w:t>2</w:t>
            </w:r>
            <w:r w:rsidR="00A7119B">
              <w:t>2</w:t>
            </w:r>
            <w:r w:rsidRPr="00035292">
              <w:t>.</w:t>
            </w:r>
            <w:r w:rsidR="00A7119B">
              <w:t>9</w:t>
            </w:r>
          </w:p>
        </w:tc>
        <w:tc>
          <w:tcPr>
            <w:tcW w:w="559" w:type="pct"/>
            <w:vAlign w:val="bottom"/>
          </w:tcPr>
          <w:p w:rsidR="00035292" w:rsidRPr="00035292" w:rsidRDefault="00035292" w:rsidP="00A7119B">
            <w:pPr>
              <w:pStyle w:val="AERtabletextright"/>
              <w:cnfStyle w:val="000000000000" w:firstRow="0" w:lastRow="0" w:firstColumn="0" w:lastColumn="0" w:oddVBand="0" w:evenVBand="0" w:oddHBand="0" w:evenHBand="0" w:firstRowFirstColumn="0" w:firstRowLastColumn="0" w:lastRowFirstColumn="0" w:lastRowLastColumn="0"/>
            </w:pPr>
            <w:r w:rsidRPr="00035292">
              <w:t>3</w:t>
            </w:r>
            <w:r w:rsidR="00A7119B">
              <w:t>6</w:t>
            </w:r>
            <w:r w:rsidRPr="00035292">
              <w:t>.</w:t>
            </w:r>
            <w:r w:rsidR="00A7119B">
              <w:t>9</w:t>
            </w:r>
          </w:p>
        </w:tc>
        <w:tc>
          <w:tcPr>
            <w:tcW w:w="584" w:type="pct"/>
            <w:vAlign w:val="bottom"/>
          </w:tcPr>
          <w:p w:rsidR="00035292" w:rsidRPr="00035292" w:rsidRDefault="00035292" w:rsidP="00A7119B">
            <w:pPr>
              <w:pStyle w:val="AERtabletextright"/>
              <w:cnfStyle w:val="000000000000" w:firstRow="0" w:lastRow="0" w:firstColumn="0" w:lastColumn="0" w:oddVBand="0" w:evenVBand="0" w:oddHBand="0" w:evenHBand="0" w:firstRowFirstColumn="0" w:firstRowLastColumn="0" w:lastRowFirstColumn="0" w:lastRowLastColumn="0"/>
            </w:pPr>
            <w:r w:rsidRPr="00035292">
              <w:t>3</w:t>
            </w:r>
            <w:r w:rsidR="00A7119B">
              <w:t>7</w:t>
            </w:r>
            <w:r w:rsidRPr="00035292">
              <w:t>.</w:t>
            </w:r>
            <w:r w:rsidR="00A7119B">
              <w:t>4</w:t>
            </w:r>
          </w:p>
        </w:tc>
        <w:tc>
          <w:tcPr>
            <w:tcW w:w="583" w:type="pct"/>
            <w:vAlign w:val="bottom"/>
          </w:tcPr>
          <w:p w:rsidR="00035292" w:rsidRPr="00035292" w:rsidRDefault="00035292" w:rsidP="00A7119B">
            <w:pPr>
              <w:pStyle w:val="AERtabletextright"/>
              <w:cnfStyle w:val="000000000000" w:firstRow="0" w:lastRow="0" w:firstColumn="0" w:lastColumn="0" w:oddVBand="0" w:evenVBand="0" w:oddHBand="0" w:evenHBand="0" w:firstRowFirstColumn="0" w:firstRowLastColumn="0" w:lastRowFirstColumn="0" w:lastRowLastColumn="0"/>
            </w:pPr>
            <w:r w:rsidRPr="00035292">
              <w:t>1</w:t>
            </w:r>
            <w:r w:rsidR="00A7119B">
              <w:t>18</w:t>
            </w:r>
            <w:r w:rsidRPr="00035292">
              <w:t>.4</w:t>
            </w:r>
          </w:p>
        </w:tc>
      </w:tr>
      <w:tr w:rsidR="00035292" w:rsidTr="00394947">
        <w:trPr>
          <w:cnfStyle w:val="000000010000" w:firstRow="0" w:lastRow="0" w:firstColumn="0" w:lastColumn="0" w:oddVBand="0" w:evenVBand="0" w:oddHBand="0" w:evenHBand="1"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1989" w:type="pct"/>
          </w:tcPr>
          <w:p w:rsidR="00035292" w:rsidRPr="00035292" w:rsidRDefault="00035292" w:rsidP="00035292">
            <w:pPr>
              <w:pStyle w:val="AERtabletextleft"/>
            </w:pPr>
            <w:r w:rsidRPr="00035292">
              <w:t>Annual building block revenue requirement (unsmoothed)</w:t>
            </w:r>
          </w:p>
        </w:tc>
        <w:tc>
          <w:tcPr>
            <w:tcW w:w="725" w:type="pct"/>
            <w:vAlign w:val="bottom"/>
          </w:tcPr>
          <w:p w:rsidR="00035292" w:rsidRPr="00035292" w:rsidRDefault="00035292" w:rsidP="00A7119B">
            <w:pPr>
              <w:pStyle w:val="AERtabletextright"/>
              <w:cnfStyle w:val="000000010000" w:firstRow="0" w:lastRow="0" w:firstColumn="0" w:lastColumn="0" w:oddVBand="0" w:evenVBand="0" w:oddHBand="0" w:evenHBand="1" w:firstRowFirstColumn="0" w:firstRowLastColumn="0" w:lastRowFirstColumn="0" w:lastRowLastColumn="0"/>
            </w:pPr>
            <w:r w:rsidRPr="00035292">
              <w:t>7</w:t>
            </w:r>
            <w:r w:rsidR="00A7119B">
              <w:t>51</w:t>
            </w:r>
            <w:r w:rsidRPr="00035292">
              <w:t>.</w:t>
            </w:r>
            <w:r w:rsidR="00A7119B">
              <w:t>1</w:t>
            </w:r>
          </w:p>
        </w:tc>
        <w:tc>
          <w:tcPr>
            <w:tcW w:w="560" w:type="pct"/>
            <w:vAlign w:val="bottom"/>
          </w:tcPr>
          <w:p w:rsidR="00035292" w:rsidRPr="00035292" w:rsidRDefault="00035292" w:rsidP="00A7119B">
            <w:pPr>
              <w:pStyle w:val="AERtabletextright"/>
              <w:cnfStyle w:val="000000010000" w:firstRow="0" w:lastRow="0" w:firstColumn="0" w:lastColumn="0" w:oddVBand="0" w:evenVBand="0" w:oddHBand="0" w:evenHBand="1" w:firstRowFirstColumn="0" w:firstRowLastColumn="0" w:lastRowFirstColumn="0" w:lastRowLastColumn="0"/>
            </w:pPr>
            <w:r w:rsidRPr="00035292">
              <w:t>7</w:t>
            </w:r>
            <w:r w:rsidR="00A7119B">
              <w:t>76</w:t>
            </w:r>
            <w:r w:rsidRPr="00035292">
              <w:t>.</w:t>
            </w:r>
            <w:r w:rsidR="00A7119B">
              <w:t>3</w:t>
            </w:r>
          </w:p>
        </w:tc>
        <w:tc>
          <w:tcPr>
            <w:tcW w:w="559" w:type="pct"/>
            <w:vAlign w:val="bottom"/>
          </w:tcPr>
          <w:p w:rsidR="00035292" w:rsidRPr="00035292" w:rsidRDefault="00A7119B" w:rsidP="00A7119B">
            <w:pPr>
              <w:pStyle w:val="AERtabletextright"/>
              <w:cnfStyle w:val="000000010000" w:firstRow="0" w:lastRow="0" w:firstColumn="0" w:lastColumn="0" w:oddVBand="0" w:evenVBand="0" w:oddHBand="0" w:evenHBand="1" w:firstRowFirstColumn="0" w:firstRowLastColumn="0" w:lastRowFirstColumn="0" w:lastRowLastColumn="0"/>
            </w:pPr>
            <w:r>
              <w:t>824</w:t>
            </w:r>
            <w:r w:rsidR="00035292" w:rsidRPr="00035292">
              <w:t>.</w:t>
            </w:r>
            <w:r>
              <w:t>3</w:t>
            </w:r>
          </w:p>
        </w:tc>
        <w:tc>
          <w:tcPr>
            <w:tcW w:w="584" w:type="pct"/>
            <w:vAlign w:val="bottom"/>
          </w:tcPr>
          <w:p w:rsidR="00035292" w:rsidRPr="00035292" w:rsidRDefault="00035292" w:rsidP="00A7119B">
            <w:pPr>
              <w:pStyle w:val="AERtabletextright"/>
              <w:cnfStyle w:val="000000010000" w:firstRow="0" w:lastRow="0" w:firstColumn="0" w:lastColumn="0" w:oddVBand="0" w:evenVBand="0" w:oddHBand="0" w:evenHBand="1" w:firstRowFirstColumn="0" w:firstRowLastColumn="0" w:lastRowFirstColumn="0" w:lastRowLastColumn="0"/>
            </w:pPr>
            <w:r w:rsidRPr="00035292">
              <w:t>8</w:t>
            </w:r>
            <w:r w:rsidR="00A7119B">
              <w:t>18</w:t>
            </w:r>
            <w:r w:rsidRPr="00035292">
              <w:t>.</w:t>
            </w:r>
            <w:r w:rsidR="00A7119B">
              <w:t>0</w:t>
            </w:r>
          </w:p>
        </w:tc>
        <w:tc>
          <w:tcPr>
            <w:tcW w:w="583" w:type="pct"/>
            <w:vAlign w:val="bottom"/>
          </w:tcPr>
          <w:p w:rsidR="00035292" w:rsidRPr="00035292" w:rsidRDefault="00035292" w:rsidP="00A7119B">
            <w:pPr>
              <w:pStyle w:val="AERtabletextright"/>
              <w:cnfStyle w:val="000000010000" w:firstRow="0" w:lastRow="0" w:firstColumn="0" w:lastColumn="0" w:oddVBand="0" w:evenVBand="0" w:oddHBand="0" w:evenHBand="1" w:firstRowFirstColumn="0" w:firstRowLastColumn="0" w:lastRowFirstColumn="0" w:lastRowLastColumn="0"/>
            </w:pPr>
            <w:r w:rsidRPr="00035292">
              <w:t>3</w:t>
            </w:r>
            <w:r w:rsidR="00A7119B">
              <w:t>1</w:t>
            </w:r>
            <w:r w:rsidRPr="00035292">
              <w:t>6</w:t>
            </w:r>
            <w:r w:rsidR="00A7119B">
              <w:t>9</w:t>
            </w:r>
            <w:r w:rsidRPr="00035292">
              <w:t>.</w:t>
            </w:r>
            <w:r w:rsidR="00A7119B">
              <w:t>6</w:t>
            </w:r>
          </w:p>
        </w:tc>
      </w:tr>
      <w:tr w:rsidR="00035292" w:rsidRPr="007D5F98" w:rsidTr="00394947">
        <w:trPr>
          <w:trHeight w:val="438"/>
        </w:trPr>
        <w:tc>
          <w:tcPr>
            <w:cnfStyle w:val="001000000000" w:firstRow="0" w:lastRow="0" w:firstColumn="1" w:lastColumn="0" w:oddVBand="0" w:evenVBand="0" w:oddHBand="0" w:evenHBand="0" w:firstRowFirstColumn="0" w:firstRowLastColumn="0" w:lastRowFirstColumn="0" w:lastRowLastColumn="0"/>
            <w:tcW w:w="1989" w:type="pct"/>
          </w:tcPr>
          <w:p w:rsidR="00035292" w:rsidRPr="007D5F98" w:rsidRDefault="00035292" w:rsidP="00035292">
            <w:pPr>
              <w:pStyle w:val="AERtabletextleft"/>
              <w:rPr>
                <w:rStyle w:val="AERtextbold"/>
              </w:rPr>
            </w:pPr>
            <w:r w:rsidRPr="007D5F98">
              <w:rPr>
                <w:rStyle w:val="AERtextbold"/>
              </w:rPr>
              <w:t>Annual expected MAR (smoothed)</w:t>
            </w:r>
          </w:p>
        </w:tc>
        <w:tc>
          <w:tcPr>
            <w:tcW w:w="725" w:type="pct"/>
            <w:vAlign w:val="bottom"/>
          </w:tcPr>
          <w:p w:rsidR="00035292" w:rsidRPr="007D5F98" w:rsidRDefault="00035292" w:rsidP="00035292">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D5F98">
              <w:rPr>
                <w:rStyle w:val="AERtextbold"/>
              </w:rPr>
              <w:t>845.4</w:t>
            </w:r>
          </w:p>
        </w:tc>
        <w:tc>
          <w:tcPr>
            <w:tcW w:w="560" w:type="pct"/>
            <w:vAlign w:val="bottom"/>
          </w:tcPr>
          <w:p w:rsidR="00035292" w:rsidRPr="007D5F98" w:rsidRDefault="00035292" w:rsidP="00A7119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D5F98">
              <w:rPr>
                <w:rStyle w:val="AERtextbold"/>
              </w:rPr>
              <w:t>7</w:t>
            </w:r>
            <w:r w:rsidR="00A7119B" w:rsidRPr="007D5F98">
              <w:rPr>
                <w:rStyle w:val="AERtextbold"/>
              </w:rPr>
              <w:t>4</w:t>
            </w:r>
            <w:r w:rsidRPr="007D5F98">
              <w:rPr>
                <w:rStyle w:val="AERtextbold"/>
              </w:rPr>
              <w:t>7.</w:t>
            </w:r>
            <w:r w:rsidR="00A7119B" w:rsidRPr="007D5F98">
              <w:rPr>
                <w:rStyle w:val="AERtextbold"/>
              </w:rPr>
              <w:t>4</w:t>
            </w:r>
          </w:p>
        </w:tc>
        <w:tc>
          <w:tcPr>
            <w:tcW w:w="559" w:type="pct"/>
            <w:vAlign w:val="bottom"/>
          </w:tcPr>
          <w:p w:rsidR="00035292" w:rsidRPr="007D5F98" w:rsidRDefault="00A7119B" w:rsidP="00A7119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D5F98">
              <w:rPr>
                <w:rStyle w:val="AERtextbold"/>
              </w:rPr>
              <w:t>769</w:t>
            </w:r>
            <w:r w:rsidR="00035292" w:rsidRPr="007D5F98">
              <w:rPr>
                <w:rStyle w:val="AERtextbold"/>
              </w:rPr>
              <w:t>.</w:t>
            </w:r>
            <w:r w:rsidRPr="007D5F98">
              <w:rPr>
                <w:rStyle w:val="AERtextbold"/>
              </w:rPr>
              <w:t>9</w:t>
            </w:r>
          </w:p>
        </w:tc>
        <w:tc>
          <w:tcPr>
            <w:tcW w:w="584" w:type="pct"/>
            <w:vAlign w:val="bottom"/>
          </w:tcPr>
          <w:p w:rsidR="00035292" w:rsidRPr="007D5F98" w:rsidRDefault="00A7119B" w:rsidP="00A7119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D5F98">
              <w:rPr>
                <w:rStyle w:val="AERtextbold"/>
              </w:rPr>
              <w:t>79</w:t>
            </w:r>
            <w:r w:rsidR="00035292" w:rsidRPr="007D5F98">
              <w:rPr>
                <w:rStyle w:val="AERtextbold"/>
              </w:rPr>
              <w:t>3.</w:t>
            </w:r>
            <w:r w:rsidRPr="007D5F98">
              <w:rPr>
                <w:rStyle w:val="AERtextbold"/>
              </w:rPr>
              <w:t>1</w:t>
            </w:r>
          </w:p>
        </w:tc>
        <w:tc>
          <w:tcPr>
            <w:tcW w:w="583" w:type="pct"/>
          </w:tcPr>
          <w:p w:rsidR="00035292" w:rsidRPr="007D5F98" w:rsidRDefault="00A7119B" w:rsidP="007D5F98">
            <w:pPr>
              <w:pStyle w:val="AERtabletextright"/>
              <w:cnfStyle w:val="000000000000" w:firstRow="0" w:lastRow="0" w:firstColumn="0" w:lastColumn="0" w:oddVBand="0" w:evenVBand="0" w:oddHBand="0" w:evenHBand="0" w:firstRowFirstColumn="0" w:firstRowLastColumn="0" w:lastRowFirstColumn="0" w:lastRowLastColumn="0"/>
              <w:rPr>
                <w:rStyle w:val="AERsuperscript"/>
              </w:rPr>
            </w:pPr>
            <w:r w:rsidRPr="007D5F98">
              <w:rPr>
                <w:rStyle w:val="AERtextbold"/>
              </w:rPr>
              <w:t>31</w:t>
            </w:r>
            <w:r w:rsidR="00035292" w:rsidRPr="007D5F98">
              <w:rPr>
                <w:rStyle w:val="AERtextbold"/>
              </w:rPr>
              <w:t>5</w:t>
            </w:r>
            <w:r w:rsidRPr="007D5F98">
              <w:rPr>
                <w:rStyle w:val="AERtextbold"/>
              </w:rPr>
              <w:t>5</w:t>
            </w:r>
            <w:r w:rsidR="00035292" w:rsidRPr="007D5F98">
              <w:rPr>
                <w:rStyle w:val="AERtextbold"/>
              </w:rPr>
              <w:t>.</w:t>
            </w:r>
            <w:r w:rsidR="007D5F98">
              <w:rPr>
                <w:rStyle w:val="AERtextbold"/>
              </w:rPr>
              <w:t>9</w:t>
            </w:r>
            <w:r w:rsidR="007D5F98">
              <w:rPr>
                <w:rStyle w:val="AERsuperscript"/>
              </w:rPr>
              <w:t>b</w:t>
            </w:r>
          </w:p>
        </w:tc>
      </w:tr>
      <w:tr w:rsidR="0096157E" w:rsidTr="00035292">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989" w:type="pct"/>
          </w:tcPr>
          <w:p w:rsidR="0096157E" w:rsidRPr="00185C70" w:rsidRDefault="0096157E" w:rsidP="0096157E">
            <w:pPr>
              <w:pStyle w:val="AERtabletextleft"/>
              <w:rPr>
                <w:rStyle w:val="AERsuperscript"/>
              </w:rPr>
            </w:pPr>
            <w:r w:rsidRPr="00C10597">
              <w:t>X factor (%)</w:t>
            </w:r>
            <w:r w:rsidR="00185C70">
              <w:rPr>
                <w:rStyle w:val="AERsuperscript"/>
              </w:rPr>
              <w:t>d</w:t>
            </w:r>
          </w:p>
        </w:tc>
        <w:tc>
          <w:tcPr>
            <w:tcW w:w="725" w:type="pct"/>
          </w:tcPr>
          <w:p w:rsidR="0096157E" w:rsidRPr="0096157E" w:rsidRDefault="0096157E" w:rsidP="0096157E">
            <w:pPr>
              <w:pStyle w:val="AERtabletextright"/>
              <w:cnfStyle w:val="000000010000" w:firstRow="0" w:lastRow="0" w:firstColumn="0" w:lastColumn="0" w:oddVBand="0" w:evenVBand="0" w:oddHBand="0" w:evenHBand="1" w:firstRowFirstColumn="0" w:firstRowLastColumn="0" w:lastRowFirstColumn="0" w:lastRowLastColumn="0"/>
            </w:pPr>
            <w:r w:rsidRPr="00C10597">
              <w:t>n/a</w:t>
            </w:r>
            <w:r w:rsidR="00185C70">
              <w:rPr>
                <w:rStyle w:val="AERsuperscript"/>
              </w:rPr>
              <w:t>c</w:t>
            </w:r>
          </w:p>
        </w:tc>
        <w:tc>
          <w:tcPr>
            <w:tcW w:w="560" w:type="pct"/>
          </w:tcPr>
          <w:p w:rsidR="0096157E" w:rsidRPr="00275EAB" w:rsidRDefault="00DC31A2" w:rsidP="00DC31A2">
            <w:pPr>
              <w:pStyle w:val="AERtabletextright"/>
              <w:cnfStyle w:val="000000010000" w:firstRow="0" w:lastRow="0" w:firstColumn="0" w:lastColumn="0" w:oddVBand="0" w:evenVBand="0" w:oddHBand="0" w:evenHBand="1" w:firstRowFirstColumn="0" w:firstRowLastColumn="0" w:lastRowFirstColumn="0" w:lastRowLastColumn="0"/>
              <w:rPr>
                <w:rStyle w:val="AERsuperscript"/>
              </w:rPr>
            </w:pPr>
            <w:r>
              <w:t>n/a</w:t>
            </w:r>
            <w:r>
              <w:rPr>
                <w:rStyle w:val="AERsuperscript"/>
              </w:rPr>
              <w:t>d</w:t>
            </w:r>
          </w:p>
        </w:tc>
        <w:tc>
          <w:tcPr>
            <w:tcW w:w="559" w:type="pct"/>
          </w:tcPr>
          <w:p w:rsidR="0096157E" w:rsidRPr="00185C70" w:rsidRDefault="007D5F98" w:rsidP="007D5F98">
            <w:pPr>
              <w:pStyle w:val="AERtabletextright"/>
              <w:cnfStyle w:val="000000010000" w:firstRow="0" w:lastRow="0" w:firstColumn="0" w:lastColumn="0" w:oddVBand="0" w:evenVBand="0" w:oddHBand="0" w:evenHBand="1" w:firstRowFirstColumn="0" w:firstRowLastColumn="0" w:lastRowFirstColumn="0" w:lastRowLastColumn="0"/>
              <w:rPr>
                <w:rStyle w:val="AERsuperscript"/>
              </w:rPr>
            </w:pPr>
            <w:r>
              <w:t>–0</w:t>
            </w:r>
            <w:r w:rsidR="00035292">
              <w:t>.</w:t>
            </w:r>
            <w:r>
              <w:t>5</w:t>
            </w:r>
            <w:r w:rsidR="009458C3">
              <w:t>%</w:t>
            </w:r>
            <w:r w:rsidR="00035292">
              <w:rPr>
                <w:rStyle w:val="AERsuperscript"/>
              </w:rPr>
              <w:t>e</w:t>
            </w:r>
          </w:p>
        </w:tc>
        <w:tc>
          <w:tcPr>
            <w:tcW w:w="584" w:type="pct"/>
          </w:tcPr>
          <w:p w:rsidR="0096157E" w:rsidRPr="00185C70" w:rsidRDefault="007D5F98" w:rsidP="007D5F98">
            <w:pPr>
              <w:pStyle w:val="AERtabletextright"/>
              <w:cnfStyle w:val="000000010000" w:firstRow="0" w:lastRow="0" w:firstColumn="0" w:lastColumn="0" w:oddVBand="0" w:evenVBand="0" w:oddHBand="0" w:evenHBand="1" w:firstRowFirstColumn="0" w:firstRowLastColumn="0" w:lastRowFirstColumn="0" w:lastRowLastColumn="0"/>
              <w:rPr>
                <w:rStyle w:val="AERsuperscript"/>
              </w:rPr>
            </w:pPr>
            <w:r>
              <w:t>–</w:t>
            </w:r>
            <w:r w:rsidR="00035292">
              <w:t>0.</w:t>
            </w:r>
            <w:r>
              <w:t>5</w:t>
            </w:r>
            <w:r w:rsidR="009458C3">
              <w:t>%</w:t>
            </w:r>
            <w:r w:rsidR="00035292">
              <w:rPr>
                <w:rStyle w:val="AERsuperscript"/>
              </w:rPr>
              <w:t>e</w:t>
            </w:r>
          </w:p>
        </w:tc>
        <w:tc>
          <w:tcPr>
            <w:tcW w:w="583" w:type="pct"/>
          </w:tcPr>
          <w:p w:rsidR="0096157E" w:rsidRPr="00C10597" w:rsidRDefault="0096157E" w:rsidP="0096157E">
            <w:pPr>
              <w:pStyle w:val="AERtabletextright"/>
              <w:cnfStyle w:val="000000010000" w:firstRow="0" w:lastRow="0" w:firstColumn="0" w:lastColumn="0" w:oddVBand="0" w:evenVBand="0" w:oddHBand="0" w:evenHBand="1" w:firstRowFirstColumn="0" w:firstRowLastColumn="0" w:lastRowFirstColumn="0" w:lastRowLastColumn="0"/>
            </w:pPr>
            <w:r w:rsidRPr="00C10597">
              <w:t>n/a</w:t>
            </w:r>
          </w:p>
        </w:tc>
      </w:tr>
    </w:tbl>
    <w:p w:rsidR="0096157E" w:rsidRDefault="0096157E" w:rsidP="0096157E">
      <w:pPr>
        <w:pStyle w:val="AERtablesource"/>
      </w:pPr>
      <w:r w:rsidRPr="00C10597">
        <w:t>Source:</w:t>
      </w:r>
      <w:r w:rsidRPr="00C10597">
        <w:tab/>
        <w:t>AER analysis.</w:t>
      </w:r>
    </w:p>
    <w:p w:rsidR="00F3561D" w:rsidRPr="00F3561D" w:rsidRDefault="00F3561D" w:rsidP="00F3561D">
      <w:pPr>
        <w:pStyle w:val="AERtablesource"/>
      </w:pPr>
      <w:r w:rsidRPr="00F3561D">
        <w:t>Note:</w:t>
      </w:r>
      <w:r w:rsidRPr="00F3561D">
        <w:tab/>
        <w:t xml:space="preserve">TransGrid has an under-recovery of $71 million in its allowed MAR for 2013–14. Any decision by TransGrid to recover this revenue would affect transmission </w:t>
      </w:r>
      <w:r w:rsidR="00BB27DA">
        <w:t>charges</w:t>
      </w:r>
      <w:r w:rsidR="00BB27DA" w:rsidRPr="00F3561D">
        <w:t xml:space="preserve"> </w:t>
      </w:r>
      <w:r w:rsidRPr="00F3561D">
        <w:t xml:space="preserve">for its customers independently of the AER’s determination for the 2014–18 period. The AER’s decision on the annual expected MAR in this table does not include recovery of any of this amount in </w:t>
      </w:r>
      <w:r w:rsidR="007D5F98">
        <w:t xml:space="preserve">the </w:t>
      </w:r>
      <w:r w:rsidRPr="00F3561D">
        <w:t>2014–1</w:t>
      </w:r>
      <w:r w:rsidR="007D5F98">
        <w:t>8 period</w:t>
      </w:r>
      <w:r w:rsidRPr="00F3561D">
        <w:t>.</w:t>
      </w:r>
    </w:p>
    <w:p w:rsidR="0096157E" w:rsidRPr="00C10597" w:rsidRDefault="0096157E" w:rsidP="0096157E">
      <w:pPr>
        <w:pStyle w:val="AERtablesource"/>
      </w:pPr>
      <w:r w:rsidRPr="00C10597">
        <w:t>(a)</w:t>
      </w:r>
      <w:r w:rsidRPr="00C10597">
        <w:tab/>
        <w:t>Regulatory depreciation is straight-line depreciation net of the inflation indexation on the opening RAB.</w:t>
      </w:r>
    </w:p>
    <w:p w:rsidR="0096157E" w:rsidRDefault="0096157E" w:rsidP="0096157E">
      <w:pPr>
        <w:pStyle w:val="AERtablesource"/>
      </w:pPr>
      <w:r w:rsidRPr="00C10597">
        <w:t>(b)</w:t>
      </w:r>
      <w:r w:rsidRPr="00C10597">
        <w:tab/>
        <w:t>The estimated total revenue cap is equal to the total annual expected MAR.</w:t>
      </w:r>
    </w:p>
    <w:p w:rsidR="00185C70" w:rsidRDefault="00185C70" w:rsidP="00185C70">
      <w:pPr>
        <w:pStyle w:val="AERtablesource"/>
      </w:pPr>
      <w:r>
        <w:t>(c</w:t>
      </w:r>
      <w:r w:rsidR="0096157E" w:rsidRPr="00C10597">
        <w:t>)</w:t>
      </w:r>
      <w:r w:rsidR="0096157E" w:rsidRPr="00C10597">
        <w:tab/>
      </w:r>
      <w:r w:rsidR="0096157E">
        <w:t>TransGrid</w:t>
      </w:r>
      <w:r w:rsidR="0096157E" w:rsidRPr="00C10597">
        <w:t xml:space="preserve"> is not required to apply an X factor for 2014–15 </w:t>
      </w:r>
      <w:r w:rsidR="0096157E" w:rsidRPr="006D43B4">
        <w:t xml:space="preserve">because </w:t>
      </w:r>
      <w:r w:rsidR="0096157E">
        <w:t xml:space="preserve">we </w:t>
      </w:r>
      <w:r w:rsidR="0096157E" w:rsidRPr="006D43B4">
        <w:t>set</w:t>
      </w:r>
      <w:r w:rsidR="0096157E">
        <w:t xml:space="preserve"> the 2014–15 MAR</w:t>
      </w:r>
      <w:r w:rsidR="0096157E" w:rsidRPr="006D43B4">
        <w:t xml:space="preserve"> in </w:t>
      </w:r>
      <w:r w:rsidR="0096157E">
        <w:t>this</w:t>
      </w:r>
      <w:r w:rsidR="0096157E" w:rsidRPr="006D43B4">
        <w:t xml:space="preserve"> </w:t>
      </w:r>
      <w:r w:rsidR="0096157E">
        <w:t>decision</w:t>
      </w:r>
      <w:r w:rsidR="0083721D">
        <w:t xml:space="preserve"> consistent with the placeholder MAR approved in the transitional determination</w:t>
      </w:r>
      <w:r w:rsidR="0096157E" w:rsidRPr="00C10597">
        <w:t xml:space="preserve">. </w:t>
      </w:r>
      <w:r w:rsidR="0096157E">
        <w:t>We have set the 2014–15 MAR equal to</w:t>
      </w:r>
      <w:r w:rsidR="0096157E" w:rsidRPr="0033508B">
        <w:t xml:space="preserve"> </w:t>
      </w:r>
      <w:r w:rsidR="0096157E">
        <w:t xml:space="preserve">TransGrid's </w:t>
      </w:r>
      <w:r w:rsidR="0096157E" w:rsidRPr="0033508B">
        <w:t xml:space="preserve">placeholder MAR </w:t>
      </w:r>
      <w:r w:rsidR="0096157E">
        <w:t xml:space="preserve">($845.4 million) </w:t>
      </w:r>
      <w:r w:rsidR="0096157E" w:rsidRPr="0033508B">
        <w:t xml:space="preserve">for </w:t>
      </w:r>
      <w:r w:rsidR="0096157E">
        <w:t>2014–15</w:t>
      </w:r>
      <w:r w:rsidR="0096157E" w:rsidRPr="0033508B">
        <w:t>.</w:t>
      </w:r>
      <w:r w:rsidR="0096157E">
        <w:t xml:space="preserve"> </w:t>
      </w:r>
      <w:r w:rsidR="0096157E" w:rsidRPr="00C10597">
        <w:t>The MAR for 2014–15</w:t>
      </w:r>
      <w:r w:rsidR="0096157E">
        <w:t xml:space="preserve"> i</w:t>
      </w:r>
      <w:r w:rsidR="0096157E" w:rsidRPr="00C10597">
        <w:t xml:space="preserve">s around </w:t>
      </w:r>
      <w:r w:rsidR="007D5F98">
        <w:t>11.7</w:t>
      </w:r>
      <w:r w:rsidR="0096157E" w:rsidRPr="00C10597">
        <w:t xml:space="preserve"> per cent lower than</w:t>
      </w:r>
      <w:r w:rsidR="0096157E">
        <w:t xml:space="preserve"> the</w:t>
      </w:r>
      <w:r w:rsidR="0096157E" w:rsidRPr="00C10597">
        <w:t xml:space="preserve"> </w:t>
      </w:r>
      <w:r w:rsidR="0096157E">
        <w:t>a</w:t>
      </w:r>
      <w:r w:rsidR="00D3198D">
        <w:t>pproved</w:t>
      </w:r>
      <w:r w:rsidR="0096157E">
        <w:t xml:space="preserve"> </w:t>
      </w:r>
      <w:r w:rsidR="0096157E" w:rsidRPr="00C10597">
        <w:t xml:space="preserve">MAR </w:t>
      </w:r>
      <w:r w:rsidR="005C2AE0">
        <w:t>($</w:t>
      </w:r>
      <w:r w:rsidR="007D5F98">
        <w:t>934.2</w:t>
      </w:r>
      <w:r w:rsidR="005C2AE0">
        <w:t xml:space="preserve"> million) </w:t>
      </w:r>
      <w:r w:rsidR="0096157E" w:rsidRPr="00C10597">
        <w:t>in the final year of the 200</w:t>
      </w:r>
      <w:r w:rsidR="0096157E">
        <w:t>9</w:t>
      </w:r>
      <w:r w:rsidR="0096157E" w:rsidRPr="00C10597">
        <w:t xml:space="preserve">–14 regulatory control period (2013–14) in real terms, or </w:t>
      </w:r>
      <w:r w:rsidR="007D5F98">
        <w:t>9.5</w:t>
      </w:r>
      <w:r w:rsidR="0096157E" w:rsidRPr="00C10597">
        <w:t xml:space="preserve"> p</w:t>
      </w:r>
      <w:r w:rsidR="0096157E">
        <w:t xml:space="preserve">er cent lower in nominal terms. </w:t>
      </w:r>
    </w:p>
    <w:p w:rsidR="0080551B" w:rsidRPr="0080551B" w:rsidRDefault="0080551B" w:rsidP="0080551B">
      <w:pPr>
        <w:pStyle w:val="AERtablesource"/>
      </w:pPr>
      <w:r>
        <w:t>(d)</w:t>
      </w:r>
      <w:r>
        <w:tab/>
        <w:t>TransGrid</w:t>
      </w:r>
      <w:r w:rsidRPr="00C10597">
        <w:t xml:space="preserve"> is not required to apply an X factor for 201</w:t>
      </w:r>
      <w:r>
        <w:t>5</w:t>
      </w:r>
      <w:r w:rsidRPr="00C10597">
        <w:t>–1</w:t>
      </w:r>
      <w:r>
        <w:t>6</w:t>
      </w:r>
      <w:r w:rsidRPr="00C10597">
        <w:t xml:space="preserve"> </w:t>
      </w:r>
      <w:r w:rsidRPr="006D43B4">
        <w:t xml:space="preserve">because </w:t>
      </w:r>
      <w:r>
        <w:t xml:space="preserve">we </w:t>
      </w:r>
      <w:r w:rsidRPr="006D43B4">
        <w:t>set</w:t>
      </w:r>
      <w:r>
        <w:t xml:space="preserve"> the 201</w:t>
      </w:r>
      <w:r w:rsidR="00556E5F">
        <w:t>5</w:t>
      </w:r>
      <w:r>
        <w:t>–1</w:t>
      </w:r>
      <w:r w:rsidR="00556E5F">
        <w:t>6</w:t>
      </w:r>
      <w:r>
        <w:t xml:space="preserve"> MAR</w:t>
      </w:r>
      <w:r w:rsidRPr="006D43B4">
        <w:t xml:space="preserve"> in </w:t>
      </w:r>
      <w:r>
        <w:t>this</w:t>
      </w:r>
      <w:r w:rsidRPr="006D43B4">
        <w:t xml:space="preserve"> </w:t>
      </w:r>
      <w:r>
        <w:t>decision</w:t>
      </w:r>
      <w:r w:rsidRPr="00C10597">
        <w:t>. The MAR for 201</w:t>
      </w:r>
      <w:r w:rsidR="00556E5F">
        <w:t>5</w:t>
      </w:r>
      <w:r w:rsidRPr="00C10597">
        <w:t>–1</w:t>
      </w:r>
      <w:r w:rsidR="00556E5F">
        <w:t>6</w:t>
      </w:r>
      <w:r>
        <w:t xml:space="preserve"> i</w:t>
      </w:r>
      <w:r w:rsidRPr="00C10597">
        <w:t xml:space="preserve">s around </w:t>
      </w:r>
      <w:r w:rsidR="007D5F98">
        <w:t>13.7</w:t>
      </w:r>
      <w:r w:rsidRPr="00C10597">
        <w:t xml:space="preserve"> per cent lower than</w:t>
      </w:r>
      <w:r>
        <w:t xml:space="preserve"> the</w:t>
      </w:r>
      <w:r w:rsidRPr="00C10597">
        <w:t xml:space="preserve"> </w:t>
      </w:r>
      <w:r>
        <w:t xml:space="preserve">approved </w:t>
      </w:r>
      <w:r w:rsidRPr="00C10597">
        <w:t>MAR</w:t>
      </w:r>
      <w:r>
        <w:t xml:space="preserve"> </w:t>
      </w:r>
      <w:r w:rsidR="00556E5F">
        <w:t>for 2014–15</w:t>
      </w:r>
      <w:r w:rsidRPr="00C10597">
        <w:t xml:space="preserve"> in real terms, or </w:t>
      </w:r>
      <w:r w:rsidR="007D5F98">
        <w:t>11.6</w:t>
      </w:r>
      <w:r w:rsidRPr="00C10597">
        <w:t xml:space="preserve"> p</w:t>
      </w:r>
      <w:r>
        <w:t>er cent lower in nominal terms.</w:t>
      </w:r>
    </w:p>
    <w:p w:rsidR="00185C70" w:rsidRPr="00185C70" w:rsidRDefault="00185C70" w:rsidP="00185C70">
      <w:pPr>
        <w:pStyle w:val="AERtablesource"/>
      </w:pPr>
      <w:r>
        <w:t>(</w:t>
      </w:r>
      <w:r w:rsidR="0080551B">
        <w:t>e</w:t>
      </w:r>
      <w:r>
        <w:t>)</w:t>
      </w:r>
      <w:r>
        <w:tab/>
        <w:t>The X factor will be revised to reflect the annual return on debt update.</w:t>
      </w:r>
    </w:p>
    <w:p w:rsidR="00ED09CD" w:rsidRDefault="0096157E" w:rsidP="00ED09CD">
      <w:pPr>
        <w:pStyle w:val="Heading2"/>
      </w:pPr>
      <w:bookmarkStart w:id="15" w:name="_Toc404178329"/>
      <w:r>
        <w:t>TransGrid'</w:t>
      </w:r>
      <w:r w:rsidR="00ED09CD">
        <w:t>s proposal</w:t>
      </w:r>
      <w:bookmarkEnd w:id="15"/>
    </w:p>
    <w:p w:rsidR="00C1101B" w:rsidRDefault="0096157E" w:rsidP="00C1101B">
      <w:pPr>
        <w:pStyle w:val="AERbodytext"/>
      </w:pPr>
      <w:bookmarkStart w:id="16" w:name="_Toc387230868"/>
      <w:r>
        <w:t>TransGrid proposed a total (smoothed) revenue cap of $387</w:t>
      </w:r>
      <w:r w:rsidR="00A5199C">
        <w:t>5.5</w:t>
      </w:r>
      <w:r>
        <w:t xml:space="preserve"> million ($ nominal) for </w:t>
      </w:r>
      <w:r w:rsidR="00B65F50">
        <w:t>the</w:t>
      </w:r>
      <w:r>
        <w:t xml:space="preserve"> 2014</w:t>
      </w:r>
      <w:r w:rsidRPr="002F2286">
        <w:t>–</w:t>
      </w:r>
      <w:r>
        <w:t>18</w:t>
      </w:r>
      <w:r w:rsidRPr="002F2286">
        <w:t xml:space="preserve"> period.</w:t>
      </w:r>
      <w:r>
        <w:t xml:space="preserve"> </w:t>
      </w:r>
    </w:p>
    <w:p w:rsidR="00C1101B" w:rsidRDefault="00C1101B">
      <w:pPr>
        <w:spacing w:after="0" w:line="240" w:lineRule="auto"/>
        <w:jc w:val="left"/>
        <w:rPr>
          <w:rFonts w:eastAsia="Times New Roman"/>
          <w:szCs w:val="24"/>
        </w:rPr>
      </w:pPr>
      <w:r>
        <w:br w:type="page"/>
      </w:r>
    </w:p>
    <w:p w:rsidR="0096157E" w:rsidRPr="00C1101B" w:rsidRDefault="00E72B7D" w:rsidP="00C1101B">
      <w:pPr>
        <w:pStyle w:val="AERbodytext"/>
      </w:pPr>
      <w:r w:rsidRPr="00C1101B">
        <w:lastRenderedPageBreak/>
        <w:fldChar w:fldCharType="begin"/>
      </w:r>
      <w:r w:rsidRPr="00C1101B">
        <w:instrText xml:space="preserve"> REF _Ref339362122 \h </w:instrText>
      </w:r>
      <w:r w:rsidR="00C1101B">
        <w:instrText xml:space="preserve"> \* MERGEFORMAT </w:instrText>
      </w:r>
      <w:r w:rsidRPr="00C1101B">
        <w:fldChar w:fldCharType="separate"/>
      </w:r>
      <w:r w:rsidR="00C1101B" w:rsidRPr="00C10597">
        <w:t xml:space="preserve">Table </w:t>
      </w:r>
      <w:r w:rsidR="00C1101B">
        <w:rPr>
          <w:noProof/>
        </w:rPr>
        <w:t>1</w:t>
      </w:r>
      <w:r w:rsidR="00C1101B">
        <w:rPr>
          <w:noProof/>
        </w:rPr>
        <w:noBreakHyphen/>
        <w:t>2</w:t>
      </w:r>
      <w:r w:rsidRPr="00C1101B">
        <w:fldChar w:fldCharType="end"/>
      </w:r>
      <w:r w:rsidR="0096157E" w:rsidRPr="00C1101B">
        <w:t xml:space="preserve"> set</w:t>
      </w:r>
      <w:r w:rsidR="007A1946" w:rsidRPr="00C1101B">
        <w:t>s</w:t>
      </w:r>
      <w:r w:rsidR="0096157E" w:rsidRPr="00C1101B">
        <w:t xml:space="preserve"> out </w:t>
      </w:r>
      <w:r w:rsidR="00C62D4C" w:rsidRPr="00C1101B">
        <w:t xml:space="preserve">TransGrid's </w:t>
      </w:r>
      <w:r w:rsidR="0096157E" w:rsidRPr="00C1101B">
        <w:t>proposed annual building block revenue requirement, the X factor, the annual expected MAR and the estimated total revenue cap</w:t>
      </w:r>
      <w:r w:rsidR="007A1946" w:rsidRPr="00C1101B">
        <w:t>.</w:t>
      </w:r>
    </w:p>
    <w:p w:rsidR="0096157E" w:rsidRPr="00C10597" w:rsidRDefault="0096157E" w:rsidP="0096157E">
      <w:pPr>
        <w:pStyle w:val="Caption"/>
      </w:pPr>
      <w:bookmarkStart w:id="17" w:name="_Ref339362122"/>
      <w:bookmarkStart w:id="18" w:name="_Ref337644076"/>
      <w:r w:rsidRPr="00C10597">
        <w:t xml:space="preserve">Table </w:t>
      </w:r>
      <w:r w:rsidR="00D46AB4">
        <w:fldChar w:fldCharType="begin"/>
      </w:r>
      <w:r w:rsidR="00D46AB4">
        <w:instrText xml:space="preserve"> STYLEREF 1 \s </w:instrText>
      </w:r>
      <w:r w:rsidR="00D46AB4">
        <w:fldChar w:fldCharType="separate"/>
      </w:r>
      <w:r w:rsidR="00C1101B">
        <w:rPr>
          <w:noProof/>
        </w:rPr>
        <w:t>1</w:t>
      </w:r>
      <w:r w:rsidR="00D46AB4">
        <w:rPr>
          <w:noProof/>
        </w:rPr>
        <w:fldChar w:fldCharType="end"/>
      </w:r>
      <w:r w:rsidR="00E72B7D">
        <w:noBreakHyphen/>
      </w:r>
      <w:r w:rsidR="00D46AB4">
        <w:fldChar w:fldCharType="begin"/>
      </w:r>
      <w:r w:rsidR="00D46AB4">
        <w:instrText xml:space="preserve"> SEQ Table \* A</w:instrText>
      </w:r>
      <w:r w:rsidR="00D46AB4">
        <w:instrText xml:space="preserve">RABIC \s 1 </w:instrText>
      </w:r>
      <w:r w:rsidR="00D46AB4">
        <w:fldChar w:fldCharType="separate"/>
      </w:r>
      <w:r w:rsidR="00C1101B">
        <w:rPr>
          <w:noProof/>
        </w:rPr>
        <w:t>2</w:t>
      </w:r>
      <w:r w:rsidR="00D46AB4">
        <w:rPr>
          <w:noProof/>
        </w:rPr>
        <w:fldChar w:fldCharType="end"/>
      </w:r>
      <w:bookmarkEnd w:id="17"/>
      <w:r w:rsidRPr="00C10597">
        <w:tab/>
      </w:r>
      <w:r>
        <w:t>TransGrid</w:t>
      </w:r>
      <w:r w:rsidRPr="00C10597">
        <w:t>'s proposed annual building block revenue requirement, annual expected MAR, estimated total revenue cap and X factor ($ million, nominal)</w:t>
      </w:r>
      <w:bookmarkEnd w:id="18"/>
    </w:p>
    <w:tbl>
      <w:tblPr>
        <w:tblStyle w:val="AERtable-numbers"/>
        <w:tblW w:w="4979" w:type="pct"/>
        <w:tblLook w:val="04A0" w:firstRow="1" w:lastRow="0" w:firstColumn="1" w:lastColumn="0" w:noHBand="0" w:noVBand="1"/>
      </w:tblPr>
      <w:tblGrid>
        <w:gridCol w:w="3711"/>
        <w:gridCol w:w="1082"/>
        <w:gridCol w:w="1080"/>
        <w:gridCol w:w="1080"/>
        <w:gridCol w:w="1125"/>
        <w:gridCol w:w="1125"/>
      </w:tblGrid>
      <w:tr w:rsidR="0096157E" w:rsidTr="00600D9C">
        <w:trPr>
          <w:cnfStyle w:val="100000000000" w:firstRow="1" w:lastRow="0" w:firstColumn="0" w:lastColumn="0" w:oddVBand="0" w:evenVBand="0" w:oddHBand="0" w:evenHBand="0" w:firstRowFirstColumn="0" w:firstRowLastColumn="0" w:lastRowFirstColumn="0" w:lastRowLastColumn="0"/>
          <w:trHeight w:val="603"/>
          <w:tblHeader/>
        </w:trPr>
        <w:tc>
          <w:tcPr>
            <w:cnfStyle w:val="001000000000" w:firstRow="0" w:lastRow="0" w:firstColumn="1" w:lastColumn="0" w:oddVBand="0" w:evenVBand="0" w:oddHBand="0" w:evenHBand="0" w:firstRowFirstColumn="0" w:firstRowLastColumn="0" w:lastRowFirstColumn="0" w:lastRowLastColumn="0"/>
            <w:tcW w:w="2016" w:type="pct"/>
          </w:tcPr>
          <w:p w:rsidR="0096157E" w:rsidRPr="00C10597" w:rsidRDefault="0096157E" w:rsidP="0096157E">
            <w:pPr>
              <w:pStyle w:val="AERbodytext"/>
            </w:pPr>
          </w:p>
        </w:tc>
        <w:tc>
          <w:tcPr>
            <w:tcW w:w="588" w:type="pct"/>
          </w:tcPr>
          <w:p w:rsidR="0096157E" w:rsidRPr="00C10597" w:rsidRDefault="0096157E" w:rsidP="0096157E">
            <w:pPr>
              <w:pStyle w:val="AERtabletextright"/>
              <w:cnfStyle w:val="100000000000" w:firstRow="1" w:lastRow="0" w:firstColumn="0" w:lastColumn="0" w:oddVBand="0" w:evenVBand="0" w:oddHBand="0" w:evenHBand="0" w:firstRowFirstColumn="0" w:firstRowLastColumn="0" w:lastRowFirstColumn="0" w:lastRowLastColumn="0"/>
            </w:pPr>
            <w:r w:rsidRPr="00C10597">
              <w:t>2014–15</w:t>
            </w:r>
          </w:p>
        </w:tc>
        <w:tc>
          <w:tcPr>
            <w:tcW w:w="587" w:type="pct"/>
          </w:tcPr>
          <w:p w:rsidR="0096157E" w:rsidRPr="00C10597" w:rsidRDefault="0096157E" w:rsidP="0096157E">
            <w:pPr>
              <w:pStyle w:val="AERtabletextright"/>
              <w:cnfStyle w:val="100000000000" w:firstRow="1" w:lastRow="0" w:firstColumn="0" w:lastColumn="0" w:oddVBand="0" w:evenVBand="0" w:oddHBand="0" w:evenHBand="0" w:firstRowFirstColumn="0" w:firstRowLastColumn="0" w:lastRowFirstColumn="0" w:lastRowLastColumn="0"/>
            </w:pPr>
            <w:r w:rsidRPr="00C10597">
              <w:t>2015–16</w:t>
            </w:r>
          </w:p>
        </w:tc>
        <w:tc>
          <w:tcPr>
            <w:tcW w:w="587" w:type="pct"/>
          </w:tcPr>
          <w:p w:rsidR="0096157E" w:rsidRPr="00C10597" w:rsidRDefault="0096157E" w:rsidP="0096157E">
            <w:pPr>
              <w:pStyle w:val="AERtabletextright"/>
              <w:cnfStyle w:val="100000000000" w:firstRow="1" w:lastRow="0" w:firstColumn="0" w:lastColumn="0" w:oddVBand="0" w:evenVBand="0" w:oddHBand="0" w:evenHBand="0" w:firstRowFirstColumn="0" w:firstRowLastColumn="0" w:lastRowFirstColumn="0" w:lastRowLastColumn="0"/>
            </w:pPr>
            <w:r w:rsidRPr="00C10597">
              <w:t>2016–17</w:t>
            </w:r>
          </w:p>
        </w:tc>
        <w:tc>
          <w:tcPr>
            <w:tcW w:w="611" w:type="pct"/>
          </w:tcPr>
          <w:p w:rsidR="0096157E" w:rsidRPr="0096157E" w:rsidRDefault="0096157E" w:rsidP="0096157E">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611" w:type="pct"/>
          </w:tcPr>
          <w:p w:rsidR="0096157E" w:rsidRPr="00C10597" w:rsidRDefault="0096157E" w:rsidP="0096157E">
            <w:pPr>
              <w:pStyle w:val="AERtabletextright"/>
              <w:cnfStyle w:val="100000000000" w:firstRow="1" w:lastRow="0" w:firstColumn="0" w:lastColumn="0" w:oddVBand="0" w:evenVBand="0" w:oddHBand="0" w:evenHBand="0" w:firstRowFirstColumn="0" w:firstRowLastColumn="0" w:lastRowFirstColumn="0" w:lastRowLastColumn="0"/>
            </w:pPr>
            <w:r w:rsidRPr="00C10597">
              <w:t>Total</w:t>
            </w:r>
          </w:p>
        </w:tc>
      </w:tr>
      <w:tr w:rsidR="0096157E" w:rsidTr="0096157E">
        <w:trPr>
          <w:trHeight w:val="446"/>
        </w:trPr>
        <w:tc>
          <w:tcPr>
            <w:cnfStyle w:val="001000000000" w:firstRow="0" w:lastRow="0" w:firstColumn="1" w:lastColumn="0" w:oddVBand="0" w:evenVBand="0" w:oddHBand="0" w:evenHBand="0" w:firstRowFirstColumn="0" w:firstRowLastColumn="0" w:lastRowFirstColumn="0" w:lastRowLastColumn="0"/>
            <w:tcW w:w="2016" w:type="pct"/>
          </w:tcPr>
          <w:p w:rsidR="0096157E" w:rsidRPr="00C10597" w:rsidRDefault="0096157E" w:rsidP="0096157E">
            <w:pPr>
              <w:pStyle w:val="AERtabletextleft"/>
            </w:pPr>
            <w:r w:rsidRPr="00C10597">
              <w:t>Return on capital</w:t>
            </w:r>
          </w:p>
        </w:tc>
        <w:tc>
          <w:tcPr>
            <w:tcW w:w="588" w:type="pct"/>
          </w:tcPr>
          <w:p w:rsidR="0096157E" w:rsidRPr="0096157E" w:rsidRDefault="0096157E" w:rsidP="0096157E">
            <w:pPr>
              <w:pStyle w:val="AERtabletextright"/>
              <w:cnfStyle w:val="000000000000" w:firstRow="0" w:lastRow="0" w:firstColumn="0" w:lastColumn="0" w:oddVBand="0" w:evenVBand="0" w:oddHBand="0" w:evenHBand="0" w:firstRowFirstColumn="0" w:firstRowLastColumn="0" w:lastRowFirstColumn="0" w:lastRowLastColumn="0"/>
            </w:pPr>
            <w:r>
              <w:t>542.8</w:t>
            </w:r>
          </w:p>
        </w:tc>
        <w:tc>
          <w:tcPr>
            <w:tcW w:w="587" w:type="pct"/>
          </w:tcPr>
          <w:p w:rsidR="0096157E" w:rsidRPr="0096157E" w:rsidRDefault="0096157E" w:rsidP="0096157E">
            <w:pPr>
              <w:pStyle w:val="AERtabletextright"/>
              <w:cnfStyle w:val="000000000000" w:firstRow="0" w:lastRow="0" w:firstColumn="0" w:lastColumn="0" w:oddVBand="0" w:evenVBand="0" w:oddHBand="0" w:evenHBand="0" w:firstRowFirstColumn="0" w:firstRowLastColumn="0" w:lastRowFirstColumn="0" w:lastRowLastColumn="0"/>
            </w:pPr>
            <w:r>
              <w:t>567.4</w:t>
            </w:r>
          </w:p>
        </w:tc>
        <w:tc>
          <w:tcPr>
            <w:tcW w:w="587" w:type="pct"/>
          </w:tcPr>
          <w:p w:rsidR="0096157E" w:rsidRPr="0096157E" w:rsidRDefault="0096157E" w:rsidP="0096157E">
            <w:pPr>
              <w:pStyle w:val="AERtabletextright"/>
              <w:cnfStyle w:val="000000000000" w:firstRow="0" w:lastRow="0" w:firstColumn="0" w:lastColumn="0" w:oddVBand="0" w:evenVBand="0" w:oddHBand="0" w:evenHBand="0" w:firstRowFirstColumn="0" w:firstRowLastColumn="0" w:lastRowFirstColumn="0" w:lastRowLastColumn="0"/>
            </w:pPr>
            <w:r>
              <w:t>596.1</w:t>
            </w:r>
          </w:p>
        </w:tc>
        <w:tc>
          <w:tcPr>
            <w:tcW w:w="611" w:type="pct"/>
          </w:tcPr>
          <w:p w:rsidR="0096157E" w:rsidRPr="0096157E" w:rsidRDefault="0096157E" w:rsidP="0096157E">
            <w:pPr>
              <w:pStyle w:val="AERtabletextright"/>
              <w:cnfStyle w:val="000000000000" w:firstRow="0" w:lastRow="0" w:firstColumn="0" w:lastColumn="0" w:oddVBand="0" w:evenVBand="0" w:oddHBand="0" w:evenHBand="0" w:firstRowFirstColumn="0" w:firstRowLastColumn="0" w:lastRowFirstColumn="0" w:lastRowLastColumn="0"/>
            </w:pPr>
            <w:r>
              <w:t>615.6</w:t>
            </w:r>
          </w:p>
        </w:tc>
        <w:tc>
          <w:tcPr>
            <w:tcW w:w="611" w:type="pct"/>
          </w:tcPr>
          <w:p w:rsidR="0096157E" w:rsidRPr="0096157E" w:rsidRDefault="0096157E" w:rsidP="0096157E">
            <w:pPr>
              <w:pStyle w:val="AERtabletextright"/>
              <w:cnfStyle w:val="000000000000" w:firstRow="0" w:lastRow="0" w:firstColumn="0" w:lastColumn="0" w:oddVBand="0" w:evenVBand="0" w:oddHBand="0" w:evenHBand="0" w:firstRowFirstColumn="0" w:firstRowLastColumn="0" w:lastRowFirstColumn="0" w:lastRowLastColumn="0"/>
            </w:pPr>
            <w:r>
              <w:t>2322.0</w:t>
            </w:r>
          </w:p>
        </w:tc>
      </w:tr>
      <w:tr w:rsidR="0096157E" w:rsidTr="0096157E">
        <w:trPr>
          <w:cnfStyle w:val="000000010000" w:firstRow="0" w:lastRow="0" w:firstColumn="0" w:lastColumn="0" w:oddVBand="0" w:evenVBand="0" w:oddHBand="0" w:evenHBand="1"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016" w:type="pct"/>
          </w:tcPr>
          <w:p w:rsidR="0096157E" w:rsidRPr="0096157E" w:rsidRDefault="0096157E" w:rsidP="0096157E">
            <w:pPr>
              <w:pStyle w:val="AERtabletextleft"/>
            </w:pPr>
            <w:r w:rsidRPr="00C10597">
              <w:t>Regulatory depreciation</w:t>
            </w:r>
            <w:r w:rsidRPr="0096157E">
              <w:rPr>
                <w:rStyle w:val="AERsuperscript"/>
              </w:rPr>
              <w:t>a</w:t>
            </w:r>
          </w:p>
        </w:tc>
        <w:tc>
          <w:tcPr>
            <w:tcW w:w="588" w:type="pct"/>
          </w:tcPr>
          <w:p w:rsidR="0096157E" w:rsidRPr="0096157E" w:rsidRDefault="0096157E" w:rsidP="0096157E">
            <w:pPr>
              <w:pStyle w:val="AERtabletextright"/>
              <w:cnfStyle w:val="000000010000" w:firstRow="0" w:lastRow="0" w:firstColumn="0" w:lastColumn="0" w:oddVBand="0" w:evenVBand="0" w:oddHBand="0" w:evenHBand="1" w:firstRowFirstColumn="0" w:firstRowLastColumn="0" w:lastRowFirstColumn="0" w:lastRowLastColumn="0"/>
            </w:pPr>
            <w:r>
              <w:t>91.7</w:t>
            </w:r>
          </w:p>
        </w:tc>
        <w:tc>
          <w:tcPr>
            <w:tcW w:w="587" w:type="pct"/>
          </w:tcPr>
          <w:p w:rsidR="0096157E" w:rsidRPr="0096157E" w:rsidRDefault="0096157E" w:rsidP="0096157E">
            <w:pPr>
              <w:pStyle w:val="AERtabletextright"/>
              <w:cnfStyle w:val="000000010000" w:firstRow="0" w:lastRow="0" w:firstColumn="0" w:lastColumn="0" w:oddVBand="0" w:evenVBand="0" w:oddHBand="0" w:evenHBand="1" w:firstRowFirstColumn="0" w:firstRowLastColumn="0" w:lastRowFirstColumn="0" w:lastRowLastColumn="0"/>
            </w:pPr>
            <w:r>
              <w:t>106.7</w:t>
            </w:r>
          </w:p>
        </w:tc>
        <w:tc>
          <w:tcPr>
            <w:tcW w:w="587" w:type="pct"/>
          </w:tcPr>
          <w:p w:rsidR="0096157E" w:rsidRPr="0096157E" w:rsidRDefault="0096157E" w:rsidP="0096157E">
            <w:pPr>
              <w:pStyle w:val="AERtabletextright"/>
              <w:cnfStyle w:val="000000010000" w:firstRow="0" w:lastRow="0" w:firstColumn="0" w:lastColumn="0" w:oddVBand="0" w:evenVBand="0" w:oddHBand="0" w:evenHBand="1" w:firstRowFirstColumn="0" w:firstRowLastColumn="0" w:lastRowFirstColumn="0" w:lastRowLastColumn="0"/>
            </w:pPr>
            <w:r>
              <w:t>121.6</w:t>
            </w:r>
          </w:p>
        </w:tc>
        <w:tc>
          <w:tcPr>
            <w:tcW w:w="611" w:type="pct"/>
          </w:tcPr>
          <w:p w:rsidR="0096157E" w:rsidRPr="0096157E" w:rsidRDefault="0096157E" w:rsidP="0096157E">
            <w:pPr>
              <w:pStyle w:val="AERtabletextright"/>
              <w:cnfStyle w:val="000000010000" w:firstRow="0" w:lastRow="0" w:firstColumn="0" w:lastColumn="0" w:oddVBand="0" w:evenVBand="0" w:oddHBand="0" w:evenHBand="1" w:firstRowFirstColumn="0" w:firstRowLastColumn="0" w:lastRowFirstColumn="0" w:lastRowLastColumn="0"/>
            </w:pPr>
            <w:r>
              <w:t>107.5</w:t>
            </w:r>
          </w:p>
        </w:tc>
        <w:tc>
          <w:tcPr>
            <w:tcW w:w="611" w:type="pct"/>
          </w:tcPr>
          <w:p w:rsidR="0096157E" w:rsidRPr="0096157E" w:rsidRDefault="0096157E" w:rsidP="0096157E">
            <w:pPr>
              <w:pStyle w:val="AERtabletextright"/>
              <w:cnfStyle w:val="000000010000" w:firstRow="0" w:lastRow="0" w:firstColumn="0" w:lastColumn="0" w:oddVBand="0" w:evenVBand="0" w:oddHBand="0" w:evenHBand="1" w:firstRowFirstColumn="0" w:firstRowLastColumn="0" w:lastRowFirstColumn="0" w:lastRowLastColumn="0"/>
            </w:pPr>
            <w:r>
              <w:t>427.6</w:t>
            </w:r>
          </w:p>
        </w:tc>
      </w:tr>
      <w:tr w:rsidR="0096157E" w:rsidTr="0096157E">
        <w:trPr>
          <w:trHeight w:val="446"/>
        </w:trPr>
        <w:tc>
          <w:tcPr>
            <w:cnfStyle w:val="001000000000" w:firstRow="0" w:lastRow="0" w:firstColumn="1" w:lastColumn="0" w:oddVBand="0" w:evenVBand="0" w:oddHBand="0" w:evenHBand="0" w:firstRowFirstColumn="0" w:firstRowLastColumn="0" w:lastRowFirstColumn="0" w:lastRowLastColumn="0"/>
            <w:tcW w:w="2016" w:type="pct"/>
          </w:tcPr>
          <w:p w:rsidR="0096157E" w:rsidRPr="00C10597" w:rsidRDefault="0096157E" w:rsidP="0096157E">
            <w:pPr>
              <w:pStyle w:val="AERtabletextleft"/>
            </w:pPr>
            <w:r w:rsidRPr="00C10597">
              <w:t>Operating expenditure</w:t>
            </w:r>
          </w:p>
        </w:tc>
        <w:tc>
          <w:tcPr>
            <w:tcW w:w="588" w:type="pct"/>
          </w:tcPr>
          <w:p w:rsidR="0096157E" w:rsidRPr="0096157E" w:rsidRDefault="0096157E" w:rsidP="0096157E">
            <w:pPr>
              <w:pStyle w:val="AERtabletextright"/>
              <w:cnfStyle w:val="000000000000" w:firstRow="0" w:lastRow="0" w:firstColumn="0" w:lastColumn="0" w:oddVBand="0" w:evenVBand="0" w:oddHBand="0" w:evenHBand="0" w:firstRowFirstColumn="0" w:firstRowLastColumn="0" w:lastRowFirstColumn="0" w:lastRowLastColumn="0"/>
            </w:pPr>
            <w:r>
              <w:t>192.3</w:t>
            </w:r>
          </w:p>
        </w:tc>
        <w:tc>
          <w:tcPr>
            <w:tcW w:w="587" w:type="pct"/>
          </w:tcPr>
          <w:p w:rsidR="0096157E" w:rsidRPr="0096157E" w:rsidRDefault="0096157E" w:rsidP="0096157E">
            <w:pPr>
              <w:pStyle w:val="AERtabletextright"/>
              <w:cnfStyle w:val="000000000000" w:firstRow="0" w:lastRow="0" w:firstColumn="0" w:lastColumn="0" w:oddVBand="0" w:evenVBand="0" w:oddHBand="0" w:evenHBand="0" w:firstRowFirstColumn="0" w:firstRowLastColumn="0" w:lastRowFirstColumn="0" w:lastRowLastColumn="0"/>
            </w:pPr>
            <w:r>
              <w:t>206.3</w:t>
            </w:r>
          </w:p>
        </w:tc>
        <w:tc>
          <w:tcPr>
            <w:tcW w:w="587" w:type="pct"/>
          </w:tcPr>
          <w:p w:rsidR="0096157E" w:rsidRPr="0096157E" w:rsidRDefault="0096157E" w:rsidP="0096157E">
            <w:pPr>
              <w:pStyle w:val="AERtabletextright"/>
              <w:cnfStyle w:val="000000000000" w:firstRow="0" w:lastRow="0" w:firstColumn="0" w:lastColumn="0" w:oddVBand="0" w:evenVBand="0" w:oddHBand="0" w:evenHBand="0" w:firstRowFirstColumn="0" w:firstRowLastColumn="0" w:lastRowFirstColumn="0" w:lastRowLastColumn="0"/>
            </w:pPr>
            <w:r>
              <w:t>218.7</w:t>
            </w:r>
          </w:p>
        </w:tc>
        <w:tc>
          <w:tcPr>
            <w:tcW w:w="611" w:type="pct"/>
          </w:tcPr>
          <w:p w:rsidR="0096157E" w:rsidRPr="0096157E" w:rsidRDefault="0096157E" w:rsidP="0096157E">
            <w:pPr>
              <w:pStyle w:val="AERtabletextright"/>
              <w:cnfStyle w:val="000000000000" w:firstRow="0" w:lastRow="0" w:firstColumn="0" w:lastColumn="0" w:oddVBand="0" w:evenVBand="0" w:oddHBand="0" w:evenHBand="0" w:firstRowFirstColumn="0" w:firstRowLastColumn="0" w:lastRowFirstColumn="0" w:lastRowLastColumn="0"/>
            </w:pPr>
            <w:r>
              <w:t>218.5</w:t>
            </w:r>
          </w:p>
        </w:tc>
        <w:tc>
          <w:tcPr>
            <w:tcW w:w="611" w:type="pct"/>
          </w:tcPr>
          <w:p w:rsidR="0096157E" w:rsidRPr="0096157E" w:rsidRDefault="0096157E" w:rsidP="0096157E">
            <w:pPr>
              <w:pStyle w:val="AERtabletextright"/>
              <w:cnfStyle w:val="000000000000" w:firstRow="0" w:lastRow="0" w:firstColumn="0" w:lastColumn="0" w:oddVBand="0" w:evenVBand="0" w:oddHBand="0" w:evenHBand="0" w:firstRowFirstColumn="0" w:firstRowLastColumn="0" w:lastRowFirstColumn="0" w:lastRowLastColumn="0"/>
            </w:pPr>
            <w:r>
              <w:t>835.7</w:t>
            </w:r>
          </w:p>
        </w:tc>
      </w:tr>
      <w:tr w:rsidR="0096157E" w:rsidTr="0096157E">
        <w:trPr>
          <w:cnfStyle w:val="000000010000" w:firstRow="0" w:lastRow="0" w:firstColumn="0" w:lastColumn="0" w:oddVBand="0" w:evenVBand="0" w:oddHBand="0" w:evenHBand="1"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016" w:type="pct"/>
          </w:tcPr>
          <w:p w:rsidR="0096157E" w:rsidRPr="00C10597" w:rsidRDefault="0096157E" w:rsidP="0096157E">
            <w:pPr>
              <w:pStyle w:val="AERtabletextleft"/>
            </w:pPr>
            <w:r w:rsidRPr="00C10597">
              <w:t>Efficiency benefit sharing scheme (carryover amounts)</w:t>
            </w:r>
          </w:p>
        </w:tc>
        <w:tc>
          <w:tcPr>
            <w:tcW w:w="588" w:type="pct"/>
          </w:tcPr>
          <w:p w:rsidR="0096157E" w:rsidRPr="0096157E" w:rsidRDefault="0096157E" w:rsidP="0096157E">
            <w:pPr>
              <w:pStyle w:val="AERtabletextright"/>
              <w:cnfStyle w:val="000000010000" w:firstRow="0" w:lastRow="0" w:firstColumn="0" w:lastColumn="0" w:oddVBand="0" w:evenVBand="0" w:oddHBand="0" w:evenHBand="1" w:firstRowFirstColumn="0" w:firstRowLastColumn="0" w:lastRowFirstColumn="0" w:lastRowLastColumn="0"/>
            </w:pPr>
            <w:r>
              <w:t>21.0</w:t>
            </w:r>
          </w:p>
        </w:tc>
        <w:tc>
          <w:tcPr>
            <w:tcW w:w="587" w:type="pct"/>
          </w:tcPr>
          <w:p w:rsidR="0096157E" w:rsidRPr="0096157E" w:rsidRDefault="0096157E" w:rsidP="0096157E">
            <w:pPr>
              <w:pStyle w:val="AERtabletextright"/>
              <w:cnfStyle w:val="000000010000" w:firstRow="0" w:lastRow="0" w:firstColumn="0" w:lastColumn="0" w:oddVBand="0" w:evenVBand="0" w:oddHBand="0" w:evenHBand="1" w:firstRowFirstColumn="0" w:firstRowLastColumn="0" w:lastRowFirstColumn="0" w:lastRowLastColumn="0"/>
            </w:pPr>
            <w:r>
              <w:t>12.1</w:t>
            </w:r>
          </w:p>
        </w:tc>
        <w:tc>
          <w:tcPr>
            <w:tcW w:w="587" w:type="pct"/>
          </w:tcPr>
          <w:p w:rsidR="0096157E" w:rsidRPr="0096157E" w:rsidRDefault="0096157E" w:rsidP="0096157E">
            <w:pPr>
              <w:pStyle w:val="AERtabletextright"/>
              <w:cnfStyle w:val="000000010000" w:firstRow="0" w:lastRow="0" w:firstColumn="0" w:lastColumn="0" w:oddVBand="0" w:evenVBand="0" w:oddHBand="0" w:evenHBand="1" w:firstRowFirstColumn="0" w:firstRowLastColumn="0" w:lastRowFirstColumn="0" w:lastRowLastColumn="0"/>
            </w:pPr>
            <w:r>
              <w:t>14.5</w:t>
            </w:r>
          </w:p>
        </w:tc>
        <w:tc>
          <w:tcPr>
            <w:tcW w:w="611" w:type="pct"/>
          </w:tcPr>
          <w:p w:rsidR="0096157E" w:rsidRPr="0096157E" w:rsidRDefault="0096157E" w:rsidP="0096157E">
            <w:pPr>
              <w:pStyle w:val="AERtabletextright"/>
              <w:cnfStyle w:val="000000010000" w:firstRow="0" w:lastRow="0" w:firstColumn="0" w:lastColumn="0" w:oddVBand="0" w:evenVBand="0" w:oddHBand="0" w:evenHBand="1" w:firstRowFirstColumn="0" w:firstRowLastColumn="0" w:lastRowFirstColumn="0" w:lastRowLastColumn="0"/>
            </w:pPr>
            <w:r>
              <w:t>23.5</w:t>
            </w:r>
          </w:p>
        </w:tc>
        <w:tc>
          <w:tcPr>
            <w:tcW w:w="611" w:type="pct"/>
          </w:tcPr>
          <w:p w:rsidR="0096157E" w:rsidRPr="0096157E" w:rsidRDefault="0096157E" w:rsidP="0096157E">
            <w:pPr>
              <w:pStyle w:val="AERtabletextright"/>
              <w:cnfStyle w:val="000000010000" w:firstRow="0" w:lastRow="0" w:firstColumn="0" w:lastColumn="0" w:oddVBand="0" w:evenVBand="0" w:oddHBand="0" w:evenHBand="1" w:firstRowFirstColumn="0" w:firstRowLastColumn="0" w:lastRowFirstColumn="0" w:lastRowLastColumn="0"/>
            </w:pPr>
            <w:r>
              <w:t>71.1</w:t>
            </w:r>
          </w:p>
        </w:tc>
      </w:tr>
      <w:tr w:rsidR="0096157E" w:rsidTr="0096157E">
        <w:trPr>
          <w:trHeight w:val="434"/>
        </w:trPr>
        <w:tc>
          <w:tcPr>
            <w:cnfStyle w:val="001000000000" w:firstRow="0" w:lastRow="0" w:firstColumn="1" w:lastColumn="0" w:oddVBand="0" w:evenVBand="0" w:oddHBand="0" w:evenHBand="0" w:firstRowFirstColumn="0" w:firstRowLastColumn="0" w:lastRowFirstColumn="0" w:lastRowLastColumn="0"/>
            <w:tcW w:w="2016" w:type="pct"/>
          </w:tcPr>
          <w:p w:rsidR="0096157E" w:rsidRPr="00C10597" w:rsidRDefault="0096157E" w:rsidP="0096157E">
            <w:pPr>
              <w:pStyle w:val="AERtabletextleft"/>
            </w:pPr>
            <w:r w:rsidRPr="00C10597">
              <w:t>Net tax allowance</w:t>
            </w:r>
          </w:p>
        </w:tc>
        <w:tc>
          <w:tcPr>
            <w:tcW w:w="588" w:type="pct"/>
          </w:tcPr>
          <w:p w:rsidR="0096157E" w:rsidRPr="0096157E" w:rsidRDefault="0096157E" w:rsidP="0096157E">
            <w:pPr>
              <w:pStyle w:val="AERtabletextright"/>
              <w:cnfStyle w:val="000000000000" w:firstRow="0" w:lastRow="0" w:firstColumn="0" w:lastColumn="0" w:oddVBand="0" w:evenVBand="0" w:oddHBand="0" w:evenHBand="0" w:firstRowFirstColumn="0" w:firstRowLastColumn="0" w:lastRowFirstColumn="0" w:lastRowLastColumn="0"/>
            </w:pPr>
            <w:r>
              <w:t>44.6</w:t>
            </w:r>
          </w:p>
        </w:tc>
        <w:tc>
          <w:tcPr>
            <w:tcW w:w="587" w:type="pct"/>
          </w:tcPr>
          <w:p w:rsidR="0096157E" w:rsidRPr="0096157E" w:rsidRDefault="0096157E" w:rsidP="0096157E">
            <w:pPr>
              <w:pStyle w:val="AERtabletextright"/>
              <w:cnfStyle w:val="000000000000" w:firstRow="0" w:lastRow="0" w:firstColumn="0" w:lastColumn="0" w:oddVBand="0" w:evenVBand="0" w:oddHBand="0" w:evenHBand="0" w:firstRowFirstColumn="0" w:firstRowLastColumn="0" w:lastRowFirstColumn="0" w:lastRowLastColumn="0"/>
            </w:pPr>
            <w:r>
              <w:t>48.1</w:t>
            </w:r>
          </w:p>
        </w:tc>
        <w:tc>
          <w:tcPr>
            <w:tcW w:w="587" w:type="pct"/>
          </w:tcPr>
          <w:p w:rsidR="0096157E" w:rsidRPr="0096157E" w:rsidRDefault="0096157E" w:rsidP="0096157E">
            <w:pPr>
              <w:pStyle w:val="AERtabletextright"/>
              <w:cnfStyle w:val="000000000000" w:firstRow="0" w:lastRow="0" w:firstColumn="0" w:lastColumn="0" w:oddVBand="0" w:evenVBand="0" w:oddHBand="0" w:evenHBand="0" w:firstRowFirstColumn="0" w:firstRowLastColumn="0" w:lastRowFirstColumn="0" w:lastRowLastColumn="0"/>
            </w:pPr>
            <w:r>
              <w:t>68.0</w:t>
            </w:r>
          </w:p>
        </w:tc>
        <w:tc>
          <w:tcPr>
            <w:tcW w:w="611" w:type="pct"/>
          </w:tcPr>
          <w:p w:rsidR="0096157E" w:rsidRPr="0096157E" w:rsidRDefault="0096157E" w:rsidP="0096157E">
            <w:pPr>
              <w:pStyle w:val="AERtabletextright"/>
              <w:cnfStyle w:val="000000000000" w:firstRow="0" w:lastRow="0" w:firstColumn="0" w:lastColumn="0" w:oddVBand="0" w:evenVBand="0" w:oddHBand="0" w:evenHBand="0" w:firstRowFirstColumn="0" w:firstRowLastColumn="0" w:lastRowFirstColumn="0" w:lastRowLastColumn="0"/>
            </w:pPr>
            <w:r>
              <w:t>69.6</w:t>
            </w:r>
          </w:p>
        </w:tc>
        <w:tc>
          <w:tcPr>
            <w:tcW w:w="611" w:type="pct"/>
          </w:tcPr>
          <w:p w:rsidR="0096157E" w:rsidRPr="0096157E" w:rsidRDefault="0096157E" w:rsidP="0096157E">
            <w:pPr>
              <w:pStyle w:val="AERtabletextright"/>
              <w:cnfStyle w:val="000000000000" w:firstRow="0" w:lastRow="0" w:firstColumn="0" w:lastColumn="0" w:oddVBand="0" w:evenVBand="0" w:oddHBand="0" w:evenHBand="0" w:firstRowFirstColumn="0" w:firstRowLastColumn="0" w:lastRowFirstColumn="0" w:lastRowLastColumn="0"/>
            </w:pPr>
            <w:r>
              <w:t>230.4</w:t>
            </w:r>
          </w:p>
        </w:tc>
      </w:tr>
      <w:tr w:rsidR="0096157E" w:rsidTr="0096157E">
        <w:trPr>
          <w:cnfStyle w:val="000000010000" w:firstRow="0" w:lastRow="0" w:firstColumn="0" w:lastColumn="0" w:oddVBand="0" w:evenVBand="0" w:oddHBand="0" w:evenHBand="1"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016" w:type="pct"/>
          </w:tcPr>
          <w:p w:rsidR="0096157E" w:rsidRPr="00C10597" w:rsidRDefault="0096157E" w:rsidP="0096157E">
            <w:pPr>
              <w:pStyle w:val="AERtabletextleft"/>
            </w:pPr>
            <w:r w:rsidRPr="00C10597">
              <w:t>Annual building block revenue requirement (unsmoothed)</w:t>
            </w:r>
          </w:p>
        </w:tc>
        <w:tc>
          <w:tcPr>
            <w:tcW w:w="588" w:type="pct"/>
          </w:tcPr>
          <w:p w:rsidR="0096157E" w:rsidRPr="0096157E" w:rsidRDefault="0096157E" w:rsidP="0096157E">
            <w:pPr>
              <w:pStyle w:val="AERtabletextright"/>
              <w:cnfStyle w:val="000000010000" w:firstRow="0" w:lastRow="0" w:firstColumn="0" w:lastColumn="0" w:oddVBand="0" w:evenVBand="0" w:oddHBand="0" w:evenHBand="1" w:firstRowFirstColumn="0" w:firstRowLastColumn="0" w:lastRowFirstColumn="0" w:lastRowLastColumn="0"/>
            </w:pPr>
            <w:r>
              <w:t>892.4</w:t>
            </w:r>
          </w:p>
        </w:tc>
        <w:tc>
          <w:tcPr>
            <w:tcW w:w="587" w:type="pct"/>
          </w:tcPr>
          <w:p w:rsidR="0096157E" w:rsidRPr="0096157E" w:rsidRDefault="0096157E" w:rsidP="0096157E">
            <w:pPr>
              <w:pStyle w:val="AERtabletextright"/>
              <w:cnfStyle w:val="000000010000" w:firstRow="0" w:lastRow="0" w:firstColumn="0" w:lastColumn="0" w:oddVBand="0" w:evenVBand="0" w:oddHBand="0" w:evenHBand="1" w:firstRowFirstColumn="0" w:firstRowLastColumn="0" w:lastRowFirstColumn="0" w:lastRowLastColumn="0"/>
            </w:pPr>
            <w:r>
              <w:t>940.7</w:t>
            </w:r>
          </w:p>
        </w:tc>
        <w:tc>
          <w:tcPr>
            <w:tcW w:w="587" w:type="pct"/>
          </w:tcPr>
          <w:p w:rsidR="0096157E" w:rsidRPr="0096157E" w:rsidRDefault="0096157E" w:rsidP="0096157E">
            <w:pPr>
              <w:pStyle w:val="AERtabletextright"/>
              <w:cnfStyle w:val="000000010000" w:firstRow="0" w:lastRow="0" w:firstColumn="0" w:lastColumn="0" w:oddVBand="0" w:evenVBand="0" w:oddHBand="0" w:evenHBand="1" w:firstRowFirstColumn="0" w:firstRowLastColumn="0" w:lastRowFirstColumn="0" w:lastRowLastColumn="0"/>
            </w:pPr>
            <w:r>
              <w:t>1018.9</w:t>
            </w:r>
          </w:p>
        </w:tc>
        <w:tc>
          <w:tcPr>
            <w:tcW w:w="611" w:type="pct"/>
          </w:tcPr>
          <w:p w:rsidR="0096157E" w:rsidRPr="0096157E" w:rsidRDefault="0096157E" w:rsidP="0096157E">
            <w:pPr>
              <w:pStyle w:val="AERtabletextright"/>
              <w:cnfStyle w:val="000000010000" w:firstRow="0" w:lastRow="0" w:firstColumn="0" w:lastColumn="0" w:oddVBand="0" w:evenVBand="0" w:oddHBand="0" w:evenHBand="1" w:firstRowFirstColumn="0" w:firstRowLastColumn="0" w:lastRowFirstColumn="0" w:lastRowLastColumn="0"/>
            </w:pPr>
            <w:r>
              <w:t>1034.8</w:t>
            </w:r>
          </w:p>
        </w:tc>
        <w:tc>
          <w:tcPr>
            <w:tcW w:w="611" w:type="pct"/>
          </w:tcPr>
          <w:p w:rsidR="0096157E" w:rsidRPr="0096157E" w:rsidRDefault="0096157E" w:rsidP="0096157E">
            <w:pPr>
              <w:pStyle w:val="AERtabletextright"/>
              <w:cnfStyle w:val="000000010000" w:firstRow="0" w:lastRow="0" w:firstColumn="0" w:lastColumn="0" w:oddVBand="0" w:evenVBand="0" w:oddHBand="0" w:evenHBand="1" w:firstRowFirstColumn="0" w:firstRowLastColumn="0" w:lastRowFirstColumn="0" w:lastRowLastColumn="0"/>
            </w:pPr>
            <w:r>
              <w:t>3886.8</w:t>
            </w:r>
          </w:p>
        </w:tc>
      </w:tr>
      <w:tr w:rsidR="0096157E" w:rsidTr="0096157E">
        <w:trPr>
          <w:trHeight w:val="446"/>
        </w:trPr>
        <w:tc>
          <w:tcPr>
            <w:cnfStyle w:val="001000000000" w:firstRow="0" w:lastRow="0" w:firstColumn="1" w:lastColumn="0" w:oddVBand="0" w:evenVBand="0" w:oddHBand="0" w:evenHBand="0" w:firstRowFirstColumn="0" w:firstRowLastColumn="0" w:lastRowFirstColumn="0" w:lastRowLastColumn="0"/>
            <w:tcW w:w="2016" w:type="pct"/>
          </w:tcPr>
          <w:p w:rsidR="0096157E" w:rsidRPr="007D5F98" w:rsidRDefault="0096157E" w:rsidP="0096157E">
            <w:pPr>
              <w:pStyle w:val="AERtabletextleft"/>
              <w:rPr>
                <w:rStyle w:val="AERtextbold"/>
              </w:rPr>
            </w:pPr>
            <w:r w:rsidRPr="007D5F98">
              <w:rPr>
                <w:rStyle w:val="AERtextbold"/>
              </w:rPr>
              <w:t>Annual expected MAR (smoothed)</w:t>
            </w:r>
            <w:r w:rsidR="006D7297" w:rsidRPr="007D5F98">
              <w:rPr>
                <w:rStyle w:val="AERsuperscript"/>
              </w:rPr>
              <w:t>b</w:t>
            </w:r>
          </w:p>
        </w:tc>
        <w:tc>
          <w:tcPr>
            <w:tcW w:w="588" w:type="pct"/>
          </w:tcPr>
          <w:p w:rsidR="0096157E" w:rsidRPr="007D5F98" w:rsidRDefault="0096157E" w:rsidP="0096157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D5F98">
              <w:rPr>
                <w:rStyle w:val="AERtextbold"/>
              </w:rPr>
              <w:t>932.9</w:t>
            </w:r>
          </w:p>
        </w:tc>
        <w:tc>
          <w:tcPr>
            <w:tcW w:w="587" w:type="pct"/>
          </w:tcPr>
          <w:p w:rsidR="0096157E" w:rsidRPr="007D5F98" w:rsidRDefault="0096157E" w:rsidP="0096157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D5F98">
              <w:rPr>
                <w:rStyle w:val="AERtextbold"/>
              </w:rPr>
              <w:t>956.5</w:t>
            </w:r>
          </w:p>
        </w:tc>
        <w:tc>
          <w:tcPr>
            <w:tcW w:w="587" w:type="pct"/>
          </w:tcPr>
          <w:p w:rsidR="0096157E" w:rsidRPr="007D5F98" w:rsidRDefault="0096157E" w:rsidP="0096157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D5F98">
              <w:rPr>
                <w:rStyle w:val="AERtextbold"/>
              </w:rPr>
              <w:t>980.7</w:t>
            </w:r>
          </w:p>
        </w:tc>
        <w:tc>
          <w:tcPr>
            <w:tcW w:w="611" w:type="pct"/>
          </w:tcPr>
          <w:p w:rsidR="0096157E" w:rsidRPr="007D5F98" w:rsidRDefault="0096157E" w:rsidP="0096157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D5F98">
              <w:rPr>
                <w:rStyle w:val="AERtextbold"/>
              </w:rPr>
              <w:t>1005.4</w:t>
            </w:r>
          </w:p>
        </w:tc>
        <w:tc>
          <w:tcPr>
            <w:tcW w:w="611" w:type="pct"/>
          </w:tcPr>
          <w:p w:rsidR="0096157E" w:rsidRPr="007D5F98" w:rsidRDefault="0096157E" w:rsidP="0096157E">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7D5F98">
              <w:rPr>
                <w:rStyle w:val="AERtextbold"/>
              </w:rPr>
              <w:t>3875.5</w:t>
            </w:r>
            <w:r w:rsidR="006D7297" w:rsidRPr="007D5F98">
              <w:rPr>
                <w:rStyle w:val="AERsuperscript"/>
              </w:rPr>
              <w:t>c</w:t>
            </w:r>
          </w:p>
        </w:tc>
      </w:tr>
      <w:tr w:rsidR="0096157E" w:rsidTr="0096157E">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016" w:type="pct"/>
          </w:tcPr>
          <w:p w:rsidR="0096157E" w:rsidRPr="00C10597" w:rsidRDefault="0096157E" w:rsidP="0096157E">
            <w:pPr>
              <w:pStyle w:val="AERtabletextleft"/>
            </w:pPr>
            <w:r w:rsidRPr="00C10597">
              <w:t>X factor (%)</w:t>
            </w:r>
          </w:p>
        </w:tc>
        <w:tc>
          <w:tcPr>
            <w:tcW w:w="588" w:type="pct"/>
          </w:tcPr>
          <w:p w:rsidR="0096157E" w:rsidRPr="0096157E" w:rsidRDefault="0096157E" w:rsidP="0096157E">
            <w:pPr>
              <w:pStyle w:val="AERtabletextright"/>
              <w:cnfStyle w:val="000000010000" w:firstRow="0" w:lastRow="0" w:firstColumn="0" w:lastColumn="0" w:oddVBand="0" w:evenVBand="0" w:oddHBand="0" w:evenHBand="1" w:firstRowFirstColumn="0" w:firstRowLastColumn="0" w:lastRowFirstColumn="0" w:lastRowLastColumn="0"/>
            </w:pPr>
            <w:r>
              <w:t>n/a</w:t>
            </w:r>
          </w:p>
        </w:tc>
        <w:tc>
          <w:tcPr>
            <w:tcW w:w="587" w:type="pct"/>
          </w:tcPr>
          <w:p w:rsidR="0096157E" w:rsidRPr="0096157E" w:rsidRDefault="0096157E" w:rsidP="0096157E">
            <w:pPr>
              <w:pStyle w:val="AERtabletextright"/>
              <w:cnfStyle w:val="000000010000" w:firstRow="0" w:lastRow="0" w:firstColumn="0" w:lastColumn="0" w:oddVBand="0" w:evenVBand="0" w:oddHBand="0" w:evenHBand="1" w:firstRowFirstColumn="0" w:firstRowLastColumn="0" w:lastRowFirstColumn="0" w:lastRowLastColumn="0"/>
            </w:pPr>
            <w:r>
              <w:t>0.00</w:t>
            </w:r>
          </w:p>
        </w:tc>
        <w:tc>
          <w:tcPr>
            <w:tcW w:w="587" w:type="pct"/>
          </w:tcPr>
          <w:p w:rsidR="0096157E" w:rsidRPr="0096157E" w:rsidRDefault="0096157E" w:rsidP="0096157E">
            <w:pPr>
              <w:pStyle w:val="AERtabletextright"/>
              <w:cnfStyle w:val="000000010000" w:firstRow="0" w:lastRow="0" w:firstColumn="0" w:lastColumn="0" w:oddVBand="0" w:evenVBand="0" w:oddHBand="0" w:evenHBand="1" w:firstRowFirstColumn="0" w:firstRowLastColumn="0" w:lastRowFirstColumn="0" w:lastRowLastColumn="0"/>
            </w:pPr>
            <w:r>
              <w:t>0.00</w:t>
            </w:r>
          </w:p>
        </w:tc>
        <w:tc>
          <w:tcPr>
            <w:tcW w:w="611" w:type="pct"/>
          </w:tcPr>
          <w:p w:rsidR="0096157E" w:rsidRPr="0096157E" w:rsidRDefault="0096157E" w:rsidP="0096157E">
            <w:pPr>
              <w:pStyle w:val="AERtabletextright"/>
              <w:cnfStyle w:val="000000010000" w:firstRow="0" w:lastRow="0" w:firstColumn="0" w:lastColumn="0" w:oddVBand="0" w:evenVBand="0" w:oddHBand="0" w:evenHBand="1" w:firstRowFirstColumn="0" w:firstRowLastColumn="0" w:lastRowFirstColumn="0" w:lastRowLastColumn="0"/>
            </w:pPr>
            <w:r>
              <w:t>0.00</w:t>
            </w:r>
          </w:p>
        </w:tc>
        <w:tc>
          <w:tcPr>
            <w:tcW w:w="611" w:type="pct"/>
          </w:tcPr>
          <w:p w:rsidR="0096157E" w:rsidRPr="00C10597" w:rsidRDefault="0096157E" w:rsidP="0096157E">
            <w:pPr>
              <w:pStyle w:val="AERtabletextright"/>
              <w:cnfStyle w:val="000000010000" w:firstRow="0" w:lastRow="0" w:firstColumn="0" w:lastColumn="0" w:oddVBand="0" w:evenVBand="0" w:oddHBand="0" w:evenHBand="1" w:firstRowFirstColumn="0" w:firstRowLastColumn="0" w:lastRowFirstColumn="0" w:lastRowLastColumn="0"/>
            </w:pPr>
            <w:r w:rsidRPr="00C10597">
              <w:t>n/a</w:t>
            </w:r>
          </w:p>
        </w:tc>
      </w:tr>
    </w:tbl>
    <w:p w:rsidR="0096157E" w:rsidRDefault="0096157E" w:rsidP="0096157E">
      <w:pPr>
        <w:pStyle w:val="AERtablesource"/>
      </w:pPr>
      <w:r w:rsidRPr="00C10597">
        <w:t>Source:</w:t>
      </w:r>
      <w:r w:rsidRPr="00C10597">
        <w:tab/>
      </w:r>
      <w:r>
        <w:t>TransGrid</w:t>
      </w:r>
      <w:r w:rsidRPr="00C10597">
        <w:t xml:space="preserve">, </w:t>
      </w:r>
      <w:r w:rsidRPr="00C10597">
        <w:rPr>
          <w:rStyle w:val="AERtextitalic"/>
        </w:rPr>
        <w:t>Post</w:t>
      </w:r>
      <w:r>
        <w:rPr>
          <w:rStyle w:val="AERtextitalic"/>
        </w:rPr>
        <w:t xml:space="preserve"> </w:t>
      </w:r>
      <w:r w:rsidRPr="00C10597">
        <w:rPr>
          <w:rStyle w:val="AERtextitalic"/>
        </w:rPr>
        <w:t>tax revenue model</w:t>
      </w:r>
      <w:r w:rsidRPr="00C10597">
        <w:t xml:space="preserve">, </w:t>
      </w:r>
      <w:r>
        <w:t>May</w:t>
      </w:r>
      <w:r w:rsidRPr="00C10597">
        <w:t xml:space="preserve"> 201</w:t>
      </w:r>
      <w:r>
        <w:t>4</w:t>
      </w:r>
      <w:r w:rsidRPr="00C10597">
        <w:t>.</w:t>
      </w:r>
    </w:p>
    <w:p w:rsidR="0096157E" w:rsidRPr="00C10597" w:rsidRDefault="0096157E" w:rsidP="0096157E">
      <w:pPr>
        <w:pStyle w:val="AERtablesource"/>
      </w:pPr>
      <w:r w:rsidRPr="00C10597">
        <w:t>(a)</w:t>
      </w:r>
      <w:r w:rsidRPr="00C10597">
        <w:tab/>
        <w:t>Regulatory depreciation is straight-line depreciation net of the inflation indexation on the opening RAB.</w:t>
      </w:r>
    </w:p>
    <w:p w:rsidR="006D7297" w:rsidRDefault="006D7297" w:rsidP="0096157E">
      <w:pPr>
        <w:pStyle w:val="AERtablesource"/>
      </w:pPr>
      <w:r>
        <w:t>(b)</w:t>
      </w:r>
      <w:r>
        <w:tab/>
        <w:t>TransGrid did not make a true-up adjustment to account for the transitional determination. Therefore, t</w:t>
      </w:r>
      <w:r w:rsidRPr="00490D54">
        <w:t xml:space="preserve">hese are expected </w:t>
      </w:r>
      <w:r>
        <w:t>MARs</w:t>
      </w:r>
      <w:r w:rsidRPr="00490D54">
        <w:t xml:space="preserve"> before the 2014–15 </w:t>
      </w:r>
      <w:r>
        <w:t xml:space="preserve">placeholder revenue </w:t>
      </w:r>
      <w:r w:rsidRPr="00490D54">
        <w:t xml:space="preserve">true-up discussed in section </w:t>
      </w:r>
      <w:r w:rsidR="007D5F98">
        <w:fldChar w:fldCharType="begin"/>
      </w:r>
      <w:r w:rsidR="007D5F98">
        <w:instrText xml:space="preserve"> REF _Ref403663652 \r \h </w:instrText>
      </w:r>
      <w:r w:rsidR="007D5F98">
        <w:fldChar w:fldCharType="separate"/>
      </w:r>
      <w:r w:rsidR="00C1101B">
        <w:t>1.3.2</w:t>
      </w:r>
      <w:r w:rsidR="007D5F98">
        <w:fldChar w:fldCharType="end"/>
      </w:r>
      <w:r w:rsidRPr="00490D54">
        <w:fldChar w:fldCharType="begin"/>
      </w:r>
      <w:r w:rsidRPr="00490D54">
        <w:instrText xml:space="preserve"> REF _Ref397608861 \r \h </w:instrText>
      </w:r>
      <w:r w:rsidRPr="00490D54">
        <w:fldChar w:fldCharType="separate"/>
      </w:r>
      <w:r w:rsidR="00C1101B">
        <w:rPr>
          <w:b/>
          <w:bCs/>
          <w:lang w:val="en-US"/>
        </w:rPr>
        <w:t>Error! Reference source not found.</w:t>
      </w:r>
      <w:r w:rsidRPr="00490D54">
        <w:fldChar w:fldCharType="end"/>
      </w:r>
      <w:r w:rsidRPr="00490D54">
        <w:t>.</w:t>
      </w:r>
    </w:p>
    <w:p w:rsidR="0096157E" w:rsidRDefault="0096157E" w:rsidP="0096157E">
      <w:pPr>
        <w:pStyle w:val="AERtablesource"/>
      </w:pPr>
      <w:r w:rsidRPr="00C10597">
        <w:t>(</w:t>
      </w:r>
      <w:r w:rsidR="006D7297">
        <w:t>c</w:t>
      </w:r>
      <w:r w:rsidRPr="00C10597">
        <w:t>)</w:t>
      </w:r>
      <w:r w:rsidRPr="00C10597">
        <w:tab/>
        <w:t>The estimated total revenue cap is equal to the total annual expected MAR.</w:t>
      </w:r>
    </w:p>
    <w:p w:rsidR="00B47945" w:rsidRDefault="00B47945" w:rsidP="00F0258A">
      <w:pPr>
        <w:pStyle w:val="Heading2"/>
      </w:pPr>
      <w:bookmarkStart w:id="19" w:name="_Toc404178330"/>
      <w:r w:rsidRPr="00B47945">
        <w:t>AER's assessment approach</w:t>
      </w:r>
      <w:bookmarkEnd w:id="16"/>
      <w:bookmarkEnd w:id="19"/>
    </w:p>
    <w:p w:rsidR="007A1946" w:rsidRPr="0076152C" w:rsidRDefault="00642800" w:rsidP="007A1946">
      <w:pPr>
        <w:pStyle w:val="AERbodytext"/>
      </w:pPr>
      <w:r>
        <w:t>The MAR is calculated using the post-tax revenue model (PTRM).</w:t>
      </w:r>
      <w:r>
        <w:rPr>
          <w:rStyle w:val="FootnoteReference"/>
        </w:rPr>
        <w:footnoteReference w:id="3"/>
      </w:r>
      <w:r>
        <w:t xml:space="preserve"> The PTRM must be such that the expected MAR for each year of the regulatory </w:t>
      </w:r>
      <w:r w:rsidR="008F3F13">
        <w:t xml:space="preserve">control </w:t>
      </w:r>
      <w:r>
        <w:t>period is equal to the net present value</w:t>
      </w:r>
      <w:r w:rsidR="005E2EEB">
        <w:t xml:space="preserve"> (NPV)</w:t>
      </w:r>
      <w:r>
        <w:t xml:space="preserve"> of the annual building block revenue requirement for the </w:t>
      </w:r>
      <w:r w:rsidR="008F3F13">
        <w:t>TNSP</w:t>
      </w:r>
      <w:r>
        <w:t xml:space="preserve"> for each year, and the total revenue cap is the sum of the MARs for each year.</w:t>
      </w:r>
      <w:r>
        <w:rPr>
          <w:rStyle w:val="FootnoteReference"/>
        </w:rPr>
        <w:footnoteReference w:id="4"/>
      </w:r>
      <w:r>
        <w:t xml:space="preserve"> In turn, the annual building block revenue requirement must be determined using a building block approach.</w:t>
      </w:r>
      <w:r w:rsidRPr="0076152C">
        <w:rPr>
          <w:rStyle w:val="FootnoteReference"/>
        </w:rPr>
        <w:footnoteReference w:id="5"/>
      </w:r>
      <w:r>
        <w:t xml:space="preserve"> Therefore, w</w:t>
      </w:r>
      <w:r w:rsidR="007A1946" w:rsidRPr="0076152C">
        <w:t>e adopt a building block approach</w:t>
      </w:r>
      <w:r w:rsidR="007A1946" w:rsidRPr="0076152C" w:rsidDel="00480888">
        <w:t xml:space="preserve"> </w:t>
      </w:r>
      <w:r w:rsidR="007A1946">
        <w:t>when</w:t>
      </w:r>
      <w:r w:rsidR="007A1946" w:rsidRPr="0076152C">
        <w:t xml:space="preserve"> making our decision</w:t>
      </w:r>
      <w:r w:rsidR="007A1946">
        <w:t xml:space="preserve"> on a TNSP's total revenue cap and expected MAR for each regulatory year of the regulatory control period</w:t>
      </w:r>
      <w:r w:rsidR="007A1946" w:rsidRPr="0076152C">
        <w:t>. Under this approach we determine the value of the building block co</w:t>
      </w:r>
      <w:r w:rsidR="000E3B05">
        <w:t>st</w:t>
      </w:r>
      <w:r w:rsidR="007A1946" w:rsidRPr="0076152C">
        <w:t>s that make up the annual building block revenue requirement for each regulatory year</w:t>
      </w:r>
      <w:r>
        <w:t>, including</w:t>
      </w:r>
      <w:r w:rsidR="007A1946" w:rsidRPr="0076152C">
        <w:t>:</w:t>
      </w:r>
    </w:p>
    <w:p w:rsidR="00642800" w:rsidRDefault="00642800" w:rsidP="007A1946">
      <w:pPr>
        <w:pStyle w:val="AERbulletlistfirststyle"/>
      </w:pPr>
      <w:r>
        <w:t>Indexation of the regulatory asset base</w:t>
      </w:r>
      <w:r w:rsidR="008F3F13">
        <w:t xml:space="preserve"> (RAB)</w:t>
      </w:r>
    </w:p>
    <w:p w:rsidR="007A1946" w:rsidRPr="0076152C" w:rsidRDefault="007A1946" w:rsidP="007A1946">
      <w:pPr>
        <w:pStyle w:val="AERbulletlistfirststyle"/>
      </w:pPr>
      <w:r w:rsidRPr="0076152C">
        <w:t xml:space="preserve">the return on capital, which is a function of the </w:t>
      </w:r>
      <w:r>
        <w:t>rate of return</w:t>
      </w:r>
      <w:r w:rsidRPr="0076152C">
        <w:t xml:space="preserve"> and the opening RAB (including the addition of capital expenditure)</w:t>
      </w:r>
    </w:p>
    <w:p w:rsidR="007A1946" w:rsidRPr="0076152C" w:rsidRDefault="007A1946" w:rsidP="007A1946">
      <w:pPr>
        <w:pStyle w:val="AERbulletlistfirststyle"/>
      </w:pPr>
      <w:r w:rsidRPr="0076152C">
        <w:t xml:space="preserve">the return of capital (depreciation), which is based on </w:t>
      </w:r>
      <w:r w:rsidR="008F3F13">
        <w:t xml:space="preserve">the </w:t>
      </w:r>
      <w:r w:rsidRPr="0076152C">
        <w:t xml:space="preserve">straight-line </w:t>
      </w:r>
      <w:r w:rsidR="008F3F13">
        <w:t>method to calculating depreciation of the RAB</w:t>
      </w:r>
    </w:p>
    <w:p w:rsidR="007A1946" w:rsidRPr="0076152C" w:rsidRDefault="007A1946" w:rsidP="007A1946">
      <w:pPr>
        <w:pStyle w:val="AERbulletlistfirststyle"/>
      </w:pPr>
      <w:r w:rsidRPr="0076152C">
        <w:t>the estimated cost of corporate income tax</w:t>
      </w:r>
    </w:p>
    <w:p w:rsidR="00642800" w:rsidRDefault="007A1946" w:rsidP="007A1946">
      <w:pPr>
        <w:pStyle w:val="AERbulletlistfirststyle"/>
      </w:pPr>
      <w:r w:rsidRPr="0076152C">
        <w:lastRenderedPageBreak/>
        <w:t>other amounts associat</w:t>
      </w:r>
      <w:r w:rsidR="00E4760F">
        <w:t xml:space="preserve">ed with any relevant schemes </w:t>
      </w:r>
      <w:r w:rsidRPr="0076152C">
        <w:t>carried over from a previous regulatory control period</w:t>
      </w:r>
    </w:p>
    <w:p w:rsidR="007A1946" w:rsidRPr="0076152C" w:rsidRDefault="00642800" w:rsidP="00642800">
      <w:pPr>
        <w:pStyle w:val="AERbulletlistfirststyle"/>
      </w:pPr>
      <w:r>
        <w:t>operating expenditure.</w:t>
      </w:r>
      <w:r>
        <w:rPr>
          <w:rStyle w:val="FootnoteReference"/>
        </w:rPr>
        <w:footnoteReference w:id="6"/>
      </w:r>
    </w:p>
    <w:p w:rsidR="007A1946" w:rsidRPr="0076152C" w:rsidRDefault="007A1946" w:rsidP="007A1946">
      <w:pPr>
        <w:pStyle w:val="AERbodytext"/>
      </w:pPr>
      <w:r w:rsidRPr="0076152C">
        <w:t>We developed the PTRM, which brings together the various building block co</w:t>
      </w:r>
      <w:r w:rsidR="000E3B05">
        <w:t>s</w:t>
      </w:r>
      <w:r w:rsidRPr="0076152C">
        <w:t>ts and calculates the annual building block revenue requirement for each year of the regulatory control period.</w:t>
      </w:r>
      <w:r w:rsidRPr="0076152C">
        <w:rPr>
          <w:rStyle w:val="FootnoteReference"/>
        </w:rPr>
        <w:footnoteReference w:id="7"/>
      </w:r>
      <w:r w:rsidRPr="0076152C">
        <w:t xml:space="preserve"> The PTRM also calculates the X factors required under the CPI–X methodology which is used to escalate the MAR for each year (other than the first year) of the regulatory control period.</w:t>
      </w:r>
      <w:r w:rsidRPr="0076152C">
        <w:rPr>
          <w:rStyle w:val="FootnoteReference"/>
        </w:rPr>
        <w:footnoteReference w:id="8"/>
      </w:r>
      <w:r w:rsidRPr="0076152C">
        <w:t xml:space="preserve"> Using the X factors and annual building block revenue requirement, the annual expected MAR (smoothed) </w:t>
      </w:r>
      <w:r w:rsidR="002E6135">
        <w:t>is</w:t>
      </w:r>
      <w:r w:rsidR="002E6135" w:rsidRPr="0076152C">
        <w:t xml:space="preserve"> </w:t>
      </w:r>
      <w:r w:rsidRPr="0076152C">
        <w:t>forecast for each year of the regulatory control period. A TNSP’s revenue proposal must be prepared using our PTRM.</w:t>
      </w:r>
      <w:r w:rsidRPr="0076152C">
        <w:rPr>
          <w:rStyle w:val="FootnoteReference"/>
        </w:rPr>
        <w:footnoteReference w:id="9"/>
      </w:r>
    </w:p>
    <w:p w:rsidR="007A1946" w:rsidRDefault="007A1946" w:rsidP="007A1946">
      <w:pPr>
        <w:pStyle w:val="AERbodytext"/>
      </w:pPr>
      <w:r w:rsidRPr="0076152C">
        <w:t xml:space="preserve">The annual building block revenue requirement can be </w:t>
      </w:r>
      <w:r w:rsidR="002E6135">
        <w:t>'</w:t>
      </w:r>
      <w:r w:rsidRPr="0076152C">
        <w:t>lumpy</w:t>
      </w:r>
      <w:r w:rsidR="002E6135">
        <w:t>'</w:t>
      </w:r>
      <w:r w:rsidRPr="0076152C">
        <w:t xml:space="preserve"> over the regulatory control period. To minimise price shocks, revenues are smoothed within a regulatory control period while maintaining the principle of cost recovery under the building block approach. Smoothing requires diverting some of the cost recovery to adjacent years within the regulatory control period so that the </w:t>
      </w:r>
      <w:r w:rsidR="005E2EEB">
        <w:t>NPV</w:t>
      </w:r>
      <w:r w:rsidRPr="0076152C">
        <w:t xml:space="preserve"> of the annual expected MAR (smoothed revenues) is equal to the </w:t>
      </w:r>
      <w:r w:rsidR="005E2EEB">
        <w:t>NPV</w:t>
      </w:r>
      <w:r w:rsidRPr="0076152C">
        <w:t xml:space="preserve"> of the annual building block revenue requirement (unsmoothed revenues). That is, a smoothed profile of the expected MAR is determined for the regulatory control period under the CPI–X methodology.</w:t>
      </w:r>
      <w:r>
        <w:t xml:space="preserve"> </w:t>
      </w:r>
    </w:p>
    <w:p w:rsidR="007A1946" w:rsidRDefault="007A1946" w:rsidP="007A1946">
      <w:pPr>
        <w:pStyle w:val="AERbodytext"/>
      </w:pPr>
      <w:r>
        <w:t>The expected MAR for the first year is generally set equal to the annual building block revenue requirement for the first year of the regulatory control period</w:t>
      </w:r>
      <w:r w:rsidR="008F3F13">
        <w:t>. It may be appro</w:t>
      </w:r>
      <w:r w:rsidR="00DF49EF">
        <w:t>priate to set the expected MAR f</w:t>
      </w:r>
      <w:r w:rsidR="008F3F13">
        <w:t>or the first year to</w:t>
      </w:r>
      <w:r>
        <w:t xml:space="preserve"> or </w:t>
      </w:r>
      <w:r w:rsidR="008F3F13">
        <w:t>align</w:t>
      </w:r>
      <w:r w:rsidR="002E6135">
        <w:t xml:space="preserve"> </w:t>
      </w:r>
      <w:r w:rsidR="00DF49EF">
        <w:t>with</w:t>
      </w:r>
      <w:r>
        <w:t xml:space="preserve"> the MAR </w:t>
      </w:r>
      <w:r w:rsidR="002E6135">
        <w:t xml:space="preserve">from </w:t>
      </w:r>
      <w:r>
        <w:t>the last year of the previous regulatory control period</w:t>
      </w:r>
      <w:r w:rsidR="008F3F13">
        <w:t xml:space="preserve"> to avoid any large revenue</w:t>
      </w:r>
      <w:r w:rsidR="00DF49EF">
        <w:t xml:space="preserve"> variation between periods (or P</w:t>
      </w:r>
      <w:r w:rsidR="00DF49EF" w:rsidRPr="00394947">
        <w:rPr>
          <w:rStyle w:val="AERsubscript"/>
        </w:rPr>
        <w:t>0</w:t>
      </w:r>
      <w:r w:rsidR="00DF49EF">
        <w:t>)</w:t>
      </w:r>
      <w:r>
        <w:t>:</w:t>
      </w:r>
      <w:r>
        <w:rPr>
          <w:rStyle w:val="FootnoteReference"/>
        </w:rPr>
        <w:footnoteReference w:id="10"/>
      </w:r>
    </w:p>
    <w:p w:rsidR="007A1946" w:rsidRPr="00A6711D" w:rsidRDefault="007A1946" w:rsidP="007A1946">
      <w:pPr>
        <w:pStyle w:val="AERbodytext"/>
        <w:rPr>
          <w:rStyle w:val="AERsubscript"/>
        </w:rPr>
      </w:pPr>
      <w:r>
        <w:tab/>
        <w:t>MAR</w:t>
      </w:r>
      <w:r w:rsidRPr="00AE034B">
        <w:rPr>
          <w:rStyle w:val="AERsubscript"/>
        </w:rPr>
        <w:t>1</w:t>
      </w:r>
      <w:r>
        <w:tab/>
        <w:t>=</w:t>
      </w:r>
      <w:r>
        <w:tab/>
        <w:t>AR</w:t>
      </w:r>
      <w:r w:rsidRPr="00AE034B">
        <w:rPr>
          <w:rStyle w:val="AERsubscript"/>
        </w:rPr>
        <w:t>1</w:t>
      </w:r>
      <w:r w:rsidRPr="00A6711D">
        <w:t xml:space="preserve"> </w:t>
      </w:r>
      <w:r>
        <w:t>or MAR</w:t>
      </w:r>
      <w:r>
        <w:rPr>
          <w:rStyle w:val="AERsubscript"/>
        </w:rPr>
        <w:t>L</w:t>
      </w:r>
    </w:p>
    <w:p w:rsidR="007A1946" w:rsidRDefault="007A1946" w:rsidP="007A1946">
      <w:pPr>
        <w:pStyle w:val="AERbodytext"/>
      </w:pPr>
      <w:r>
        <w:t>where:</w:t>
      </w:r>
    </w:p>
    <w:p w:rsidR="007A1946" w:rsidRDefault="007A1946" w:rsidP="007A1946">
      <w:pPr>
        <w:pStyle w:val="AERbodytext"/>
      </w:pPr>
      <w:r>
        <w:tab/>
        <w:t>MAR</w:t>
      </w:r>
      <w:r w:rsidRPr="00AE034B">
        <w:rPr>
          <w:rStyle w:val="AERsubscript"/>
        </w:rPr>
        <w:t>1</w:t>
      </w:r>
      <w:r>
        <w:t xml:space="preserve"> </w:t>
      </w:r>
      <w:r>
        <w:tab/>
        <w:t>=</w:t>
      </w:r>
      <w:r>
        <w:tab/>
        <w:t xml:space="preserve">the maximum allowed revenue for year 1 of the next regulatory </w:t>
      </w:r>
      <w:r>
        <w:tab/>
      </w:r>
      <w:r>
        <w:tab/>
      </w:r>
      <w:r>
        <w:tab/>
      </w:r>
      <w:r>
        <w:tab/>
      </w:r>
      <w:r>
        <w:tab/>
        <w:t>control period</w:t>
      </w:r>
    </w:p>
    <w:p w:rsidR="007A1946" w:rsidRDefault="007A1946" w:rsidP="007A1946">
      <w:pPr>
        <w:pStyle w:val="AERbodytext"/>
      </w:pPr>
      <w:r>
        <w:tab/>
        <w:t>AR</w:t>
      </w:r>
      <w:r w:rsidRPr="00AE034B">
        <w:rPr>
          <w:rStyle w:val="AERsubscript"/>
        </w:rPr>
        <w:t>1</w:t>
      </w:r>
      <w:r>
        <w:t xml:space="preserve"> </w:t>
      </w:r>
      <w:r>
        <w:tab/>
        <w:t>=</w:t>
      </w:r>
      <w:r>
        <w:tab/>
        <w:t xml:space="preserve">the annual building block revenue requirement for year 1 of the next </w:t>
      </w:r>
      <w:r>
        <w:tab/>
      </w:r>
      <w:r>
        <w:tab/>
      </w:r>
      <w:r>
        <w:tab/>
      </w:r>
      <w:r>
        <w:tab/>
        <w:t>regulatory control period</w:t>
      </w:r>
    </w:p>
    <w:p w:rsidR="007A1946" w:rsidRDefault="007A1946" w:rsidP="007A1946">
      <w:pPr>
        <w:pStyle w:val="AERbodytext"/>
      </w:pPr>
      <w:r>
        <w:tab/>
        <w:t>MAR</w:t>
      </w:r>
      <w:r>
        <w:rPr>
          <w:rStyle w:val="AERsubscript"/>
        </w:rPr>
        <w:t>L</w:t>
      </w:r>
      <w:r>
        <w:t xml:space="preserve"> </w:t>
      </w:r>
      <w:r>
        <w:tab/>
      </w:r>
      <w:r w:rsidR="00DF49EF">
        <w:rPr>
          <w:rFonts w:cs="Gautami"/>
        </w:rPr>
        <w:t>~</w:t>
      </w:r>
      <w:r>
        <w:tab/>
        <w:t xml:space="preserve">the maximum allowed revenue for the last year of the previous </w:t>
      </w:r>
      <w:r>
        <w:tab/>
      </w:r>
      <w:r>
        <w:tab/>
      </w:r>
      <w:r>
        <w:tab/>
      </w:r>
      <w:r>
        <w:tab/>
      </w:r>
      <w:r>
        <w:tab/>
        <w:t>regulatory control period.</w:t>
      </w:r>
    </w:p>
    <w:p w:rsidR="000E3B05" w:rsidRPr="000E3B05" w:rsidRDefault="000E3B05" w:rsidP="000E3B05">
      <w:pPr>
        <w:pStyle w:val="AERbodytext"/>
      </w:pPr>
      <w:r w:rsidRPr="000E3B05">
        <w:t xml:space="preserve">The process for determining </w:t>
      </w:r>
      <w:r>
        <w:t>TransGrid's</w:t>
      </w:r>
      <w:r w:rsidRPr="000E3B05">
        <w:t xml:space="preserve"> total </w:t>
      </w:r>
      <w:r>
        <w:t>revenue cap</w:t>
      </w:r>
      <w:r w:rsidRPr="000E3B05">
        <w:t xml:space="preserve"> for the 2014–1</w:t>
      </w:r>
      <w:r>
        <w:t>8</w:t>
      </w:r>
      <w:r w:rsidRPr="000E3B05">
        <w:t xml:space="preserve"> period is affected by the transitional rules that apply to this determination. We previously approved an amount of $</w:t>
      </w:r>
      <w:r>
        <w:t>845.4 million</w:t>
      </w:r>
      <w:r w:rsidRPr="000E3B05">
        <w:t xml:space="preserve"> as the placeholder revenue for 2014–15 for </w:t>
      </w:r>
      <w:r>
        <w:t>TransGrid</w:t>
      </w:r>
      <w:r w:rsidRPr="000E3B05">
        <w:t>,</w:t>
      </w:r>
      <w:r w:rsidRPr="000E3B05">
        <w:rPr>
          <w:rStyle w:val="FootnoteReference"/>
        </w:rPr>
        <w:footnoteReference w:id="11"/>
      </w:r>
      <w:r w:rsidRPr="000E3B05">
        <w:t xml:space="preserve"> until a full assessment of costs for the 2014–15 year could be carried out in the current determination.  </w:t>
      </w:r>
    </w:p>
    <w:p w:rsidR="000E3B05" w:rsidRPr="000E3B05" w:rsidRDefault="000E3B05" w:rsidP="000E3B05">
      <w:pPr>
        <w:pStyle w:val="AERbodytext"/>
      </w:pPr>
      <w:r w:rsidRPr="000E3B05">
        <w:lastRenderedPageBreak/>
        <w:t xml:space="preserve">In this determination we first calculate </w:t>
      </w:r>
      <w:r>
        <w:t>annual building block revenue requirements</w:t>
      </w:r>
      <w:r w:rsidRPr="000E3B05">
        <w:t xml:space="preserve"> for each year of the 2014–1</w:t>
      </w:r>
      <w:r>
        <w:t>8</w:t>
      </w:r>
      <w:r w:rsidRPr="000E3B05">
        <w:t xml:space="preserve"> period, including the 2014–15 transitional year. To do this we consider the various costs facing the </w:t>
      </w:r>
      <w:r>
        <w:t>TNSP</w:t>
      </w:r>
      <w:r w:rsidRPr="000E3B05">
        <w:t xml:space="preserve"> and the trade-offs and interactions between these costs, service quality and across years. This reflects </w:t>
      </w:r>
      <w:r w:rsidR="00D904FA">
        <w:t>our</w:t>
      </w:r>
      <w:r w:rsidRPr="000E3B05">
        <w:t xml:space="preserve"> holistic assessment of the </w:t>
      </w:r>
      <w:r>
        <w:t>TNSP's</w:t>
      </w:r>
      <w:r w:rsidRPr="000E3B05">
        <w:t xml:space="preserve"> proposal.</w:t>
      </w:r>
    </w:p>
    <w:p w:rsidR="000E3B05" w:rsidRPr="000E3B05" w:rsidRDefault="000E3B05" w:rsidP="000E3B05">
      <w:pPr>
        <w:pStyle w:val="AERbodytext"/>
      </w:pPr>
      <w:r>
        <w:t>We</w:t>
      </w:r>
      <w:r w:rsidRPr="000E3B05">
        <w:t xml:space="preserve"> understand the trade-offs that occur between building block costs and test the sensitivity of these costs to their various driver elements. These trade-offs are discussed in the interrelationships section of the various attachments to this draft decision and are reflected in the calculations made in the PTRM developed by the AER.</w:t>
      </w:r>
      <w:r w:rsidRPr="000E3B05">
        <w:rPr>
          <w:rStyle w:val="FootnoteReference"/>
        </w:rPr>
        <w:footnoteReference w:id="12"/>
      </w:r>
      <w:r w:rsidRPr="000E3B05">
        <w:t xml:space="preserve"> Such understanding allows </w:t>
      </w:r>
      <w:r w:rsidR="00D904FA">
        <w:t>us</w:t>
      </w:r>
      <w:r w:rsidRPr="000E3B05">
        <w:t xml:space="preserve"> to exercise judgement in determining the final inputs into the PTRM and the </w:t>
      </w:r>
      <w:r>
        <w:t>annual building block revenue requirement</w:t>
      </w:r>
      <w:r w:rsidRPr="000E3B05">
        <w:t xml:space="preserve">s that result from this modelling. </w:t>
      </w:r>
    </w:p>
    <w:p w:rsidR="000E3B05" w:rsidRPr="000B32FD" w:rsidRDefault="000E3B05" w:rsidP="000E3B05">
      <w:pPr>
        <w:pStyle w:val="AERbodytext"/>
      </w:pPr>
      <w:r>
        <w:t>The difference between</w:t>
      </w:r>
      <w:r w:rsidRPr="000B32FD">
        <w:t xml:space="preserve"> the </w:t>
      </w:r>
      <w:r>
        <w:t>annual building block revenue requirement</w:t>
      </w:r>
      <w:r w:rsidRPr="000B32FD">
        <w:t xml:space="preserve"> we determine for 2014</w:t>
      </w:r>
      <w:r>
        <w:t>–</w:t>
      </w:r>
      <w:r w:rsidRPr="000B32FD">
        <w:t>15</w:t>
      </w:r>
      <w:r>
        <w:t xml:space="preserve"> and </w:t>
      </w:r>
      <w:r w:rsidRPr="000B32FD">
        <w:t xml:space="preserve">our previously determined </w:t>
      </w:r>
      <w:r>
        <w:t>placeholder revenue gives rise to the required</w:t>
      </w:r>
      <w:r w:rsidRPr="000B32FD">
        <w:t xml:space="preserve"> true-up adjustment amount</w:t>
      </w:r>
      <w:r>
        <w:t xml:space="preserve"> under the transitional rules</w:t>
      </w:r>
      <w:r w:rsidRPr="000B32FD">
        <w:t>.</w:t>
      </w:r>
      <w:r>
        <w:rPr>
          <w:rStyle w:val="FootnoteReference"/>
        </w:rPr>
        <w:footnoteReference w:id="13"/>
      </w:r>
      <w:r w:rsidRPr="000B32FD">
        <w:t xml:space="preserve"> </w:t>
      </w:r>
      <w:r>
        <w:t>Th</w:t>
      </w:r>
      <w:r w:rsidRPr="000B32FD">
        <w:t xml:space="preserve">e true-up adjustment amount is </w:t>
      </w:r>
      <w:r>
        <w:t>applied as part of smoothing the annual building block revenue requirements to establish the annual expected MAR for each year of the 2015–18 regulatory control period</w:t>
      </w:r>
      <w:r w:rsidRPr="000B32FD">
        <w:t xml:space="preserve">. </w:t>
      </w:r>
    </w:p>
    <w:p w:rsidR="007D5F98" w:rsidRDefault="000E3B05" w:rsidP="000E3B05">
      <w:pPr>
        <w:pStyle w:val="AERbodytext"/>
      </w:pPr>
      <w:r>
        <w:t>Having determined the</w:t>
      </w:r>
      <w:r w:rsidRPr="000E3B05">
        <w:t xml:space="preserve"> total </w:t>
      </w:r>
      <w:r w:rsidR="00C4189F">
        <w:t xml:space="preserve">annual building block </w:t>
      </w:r>
      <w:r w:rsidRPr="000E3B05">
        <w:t>revenue requirement for the 2014–</w:t>
      </w:r>
      <w:r w:rsidR="00C4189F">
        <w:t>18</w:t>
      </w:r>
      <w:r w:rsidRPr="000E3B05">
        <w:t xml:space="preserve"> period, the </w:t>
      </w:r>
      <w:r w:rsidR="00C4189F">
        <w:t>annual building block revenue requirement</w:t>
      </w:r>
      <w:r w:rsidRPr="000E3B05">
        <w:t>s for each regulatory year are smoothed across the 2015–1</w:t>
      </w:r>
      <w:r w:rsidR="00C4189F">
        <w:t>8</w:t>
      </w:r>
      <w:r w:rsidRPr="000E3B05">
        <w:t xml:space="preserve"> regulatory control period to reduce revenue variations between years and to come up with the expected </w:t>
      </w:r>
      <w:r w:rsidR="00C4189F">
        <w:t>MAR</w:t>
      </w:r>
      <w:r w:rsidRPr="000E3B05">
        <w:t xml:space="preserve"> for each year.</w:t>
      </w:r>
      <w:r w:rsidRPr="000E3B05">
        <w:rPr>
          <w:rStyle w:val="FootnoteReference"/>
        </w:rPr>
        <w:footnoteReference w:id="14"/>
      </w:r>
      <w:r w:rsidRPr="000E3B05">
        <w:t xml:space="preserve"> This is done through the determination of the X factors and the application of our true-up adjustment.</w:t>
      </w:r>
      <w:r w:rsidRPr="000E3B05">
        <w:rPr>
          <w:rStyle w:val="FootnoteReference"/>
        </w:rPr>
        <w:footnoteReference w:id="15"/>
      </w:r>
      <w:r w:rsidRPr="000E3B05">
        <w:t xml:space="preserve"> The X factor must equalise (in net present value terms) the total expected </w:t>
      </w:r>
      <w:r w:rsidR="00975ADF">
        <w:t>revenue cap</w:t>
      </w:r>
      <w:r w:rsidRPr="000E3B05">
        <w:t xml:space="preserve"> to be earned by the </w:t>
      </w:r>
      <w:r w:rsidR="00DA1841">
        <w:t>TNSP</w:t>
      </w:r>
      <w:r w:rsidRPr="000E3B05">
        <w:t xml:space="preserve"> with the total</w:t>
      </w:r>
      <w:r w:rsidR="00DA1841">
        <w:t xml:space="preserve"> building block</w:t>
      </w:r>
      <w:r w:rsidRPr="000E3B05">
        <w:t xml:space="preserve"> revenue requirement for the 2014–1</w:t>
      </w:r>
      <w:r w:rsidR="00975ADF">
        <w:t>8</w:t>
      </w:r>
      <w:r w:rsidRPr="000E3B05">
        <w:t xml:space="preserve"> period.</w:t>
      </w:r>
      <w:r w:rsidRPr="000E3B05">
        <w:rPr>
          <w:rStyle w:val="FootnoteReference"/>
        </w:rPr>
        <w:footnoteReference w:id="16"/>
      </w:r>
      <w:r w:rsidRPr="000E3B05">
        <w:t xml:space="preserve"> The X factor must usually minimise, as far as reasonably possible, the variance between the expected </w:t>
      </w:r>
      <w:r w:rsidR="00C4189F">
        <w:t>MAR</w:t>
      </w:r>
      <w:r w:rsidRPr="000E3B05">
        <w:t xml:space="preserve"> and </w:t>
      </w:r>
      <w:r w:rsidR="00C4189F">
        <w:t xml:space="preserve">annual building block revenue requirement </w:t>
      </w:r>
      <w:r w:rsidRPr="000E3B05">
        <w:t>for the last regulatory year of the period.</w:t>
      </w:r>
      <w:r w:rsidRPr="000E3B05">
        <w:rPr>
          <w:rStyle w:val="FootnoteReference"/>
        </w:rPr>
        <w:footnoteReference w:id="17"/>
      </w:r>
      <w:r w:rsidRPr="000E3B05">
        <w:t xml:space="preserve"> </w:t>
      </w:r>
    </w:p>
    <w:p w:rsidR="000E3B05" w:rsidRPr="000E3B05" w:rsidRDefault="000E3B05" w:rsidP="000E3B05">
      <w:pPr>
        <w:pStyle w:val="AERbodytext"/>
      </w:pPr>
      <w:r w:rsidRPr="000E3B05">
        <w:t xml:space="preserve">For this draft decision, the expected </w:t>
      </w:r>
      <w:r w:rsidR="00C4189F">
        <w:t>MAR</w:t>
      </w:r>
      <w:r w:rsidRPr="000E3B05">
        <w:t xml:space="preserve"> in the last year of the regulatory control period are not required to be as close as reasonably possible to the </w:t>
      </w:r>
      <w:r w:rsidR="00C4189F">
        <w:t>annual building block revenue requirement</w:t>
      </w:r>
      <w:r w:rsidRPr="000E3B05">
        <w:t xml:space="preserve"> for that year, due to the transitional provisions.</w:t>
      </w:r>
      <w:r w:rsidRPr="000E3B05">
        <w:rPr>
          <w:rStyle w:val="FootnoteReference"/>
        </w:rPr>
        <w:footnoteReference w:id="18"/>
      </w:r>
      <w:r w:rsidRPr="000E3B05">
        <w:t xml:space="preserve"> However, where practical we have sought to maintain this principle to avoid potential revenue shocks at the next reset. We therefore consider a divergence of up to 3 per cent between the expected </w:t>
      </w:r>
      <w:r w:rsidR="00C4189F">
        <w:t>MAR</w:t>
      </w:r>
      <w:r w:rsidRPr="000E3B05">
        <w:t xml:space="preserve"> and </w:t>
      </w:r>
      <w:r w:rsidR="00C4189F">
        <w:t>annual building block revenue requirement</w:t>
      </w:r>
      <w:r w:rsidRPr="000E3B05">
        <w:t xml:space="preserve"> for the last year of the regulatory control period is reasonable, if this can promote smoother price changes over the regulatory control period. </w:t>
      </w:r>
    </w:p>
    <w:p w:rsidR="000E3B05" w:rsidRDefault="000E3B05" w:rsidP="007A1946">
      <w:pPr>
        <w:pStyle w:val="AERbodytext"/>
      </w:pPr>
      <w:r>
        <w:t>T</w:t>
      </w:r>
      <w:r w:rsidRPr="000E3B05">
        <w:t xml:space="preserve">he building block costs (and the elements that drive those costs) used to determine the unsmoothed </w:t>
      </w:r>
      <w:r w:rsidR="00C4189F">
        <w:t>annual building block revenue requirement</w:t>
      </w:r>
      <w:r w:rsidR="00B630FC">
        <w:t>s</w:t>
      </w:r>
      <w:r w:rsidRPr="000E3B05">
        <w:t xml:space="preserve"> are set out below.</w:t>
      </w:r>
    </w:p>
    <w:p w:rsidR="00B630FC" w:rsidRPr="00B630FC" w:rsidRDefault="00B630FC" w:rsidP="00394947">
      <w:pPr>
        <w:pStyle w:val="Heading3"/>
      </w:pPr>
      <w:bookmarkStart w:id="20" w:name="_Toc404178331"/>
      <w:r w:rsidRPr="00B630FC">
        <w:lastRenderedPageBreak/>
        <w:t xml:space="preserve">The building block </w:t>
      </w:r>
      <w:r>
        <w:t>costs</w:t>
      </w:r>
      <w:bookmarkEnd w:id="20"/>
    </w:p>
    <w:p w:rsidR="00B630FC" w:rsidRDefault="00B630FC" w:rsidP="00B630FC">
      <w:pPr>
        <w:pStyle w:val="AERbodytext"/>
      </w:pPr>
      <w:r>
        <w:t xml:space="preserve">The efficient costs to be recovered by a TNSP can be thought of as being made up of various building block costs. Our draft decision assesses each of the building block costs and the elements that drive these costs. The building block costs are approved reflecting trade-offs and interactions between the cost elements, service quality and across years. </w:t>
      </w:r>
      <w:r w:rsidR="00E72B7D">
        <w:fldChar w:fldCharType="begin"/>
      </w:r>
      <w:r w:rsidR="00E72B7D">
        <w:instrText xml:space="preserve"> REF _Ref401844433 \h </w:instrText>
      </w:r>
      <w:r w:rsidR="00E72B7D">
        <w:fldChar w:fldCharType="separate"/>
      </w:r>
      <w:r w:rsidR="00C1101B">
        <w:t xml:space="preserve">Table </w:t>
      </w:r>
      <w:r w:rsidR="00C1101B">
        <w:rPr>
          <w:noProof/>
        </w:rPr>
        <w:t>1</w:t>
      </w:r>
      <w:r w:rsidR="00C1101B">
        <w:noBreakHyphen/>
      </w:r>
      <w:r w:rsidR="00C1101B">
        <w:rPr>
          <w:noProof/>
        </w:rPr>
        <w:t>3</w:t>
      </w:r>
      <w:r w:rsidR="00E72B7D">
        <w:fldChar w:fldCharType="end"/>
      </w:r>
      <w:r w:rsidR="00E72B7D">
        <w:t xml:space="preserve"> </w:t>
      </w:r>
      <w:r>
        <w:t>shows the building block costs that form the annual building block revenue requirement for each year and where discussion on the elements that drive these costs can be found within this draft decision.</w:t>
      </w:r>
    </w:p>
    <w:p w:rsidR="00B630FC" w:rsidRDefault="00E72B7D" w:rsidP="00E72B7D">
      <w:pPr>
        <w:pStyle w:val="Caption"/>
      </w:pPr>
      <w:bookmarkStart w:id="21" w:name="_Ref401844433"/>
      <w:r>
        <w:t xml:space="preserve">Table </w:t>
      </w:r>
      <w:r w:rsidR="00D46AB4">
        <w:fldChar w:fldCharType="begin"/>
      </w:r>
      <w:r w:rsidR="00D46AB4">
        <w:instrText xml:space="preserve"> STYLEREF 1 \s </w:instrText>
      </w:r>
      <w:r w:rsidR="00D46AB4">
        <w:fldChar w:fldCharType="separate"/>
      </w:r>
      <w:r w:rsidR="00C1101B">
        <w:rPr>
          <w:noProof/>
        </w:rPr>
        <w:t>1</w:t>
      </w:r>
      <w:r w:rsidR="00D46AB4">
        <w:rPr>
          <w:noProof/>
        </w:rPr>
        <w:fldChar w:fldCharType="end"/>
      </w:r>
      <w:r>
        <w:noBreakHyphen/>
      </w:r>
      <w:r w:rsidR="00D46AB4">
        <w:fldChar w:fldCharType="begin"/>
      </w:r>
      <w:r w:rsidR="00D46AB4">
        <w:instrText xml:space="preserve"> SEQ Table \* ARA</w:instrText>
      </w:r>
      <w:r w:rsidR="00D46AB4">
        <w:instrText xml:space="preserve">BIC \s 1 </w:instrText>
      </w:r>
      <w:r w:rsidR="00D46AB4">
        <w:fldChar w:fldCharType="separate"/>
      </w:r>
      <w:r w:rsidR="00C1101B">
        <w:rPr>
          <w:noProof/>
        </w:rPr>
        <w:t>3</w:t>
      </w:r>
      <w:r w:rsidR="00D46AB4">
        <w:rPr>
          <w:noProof/>
        </w:rPr>
        <w:fldChar w:fldCharType="end"/>
      </w:r>
      <w:bookmarkEnd w:id="21"/>
      <w:r>
        <w:tab/>
      </w:r>
      <w:r w:rsidR="00B630FC">
        <w:t>B</w:t>
      </w:r>
      <w:r w:rsidR="00B630FC" w:rsidRPr="00185CC6">
        <w:t xml:space="preserve">uilding </w:t>
      </w:r>
      <w:r w:rsidR="00B630FC" w:rsidRPr="004567E6">
        <w:t xml:space="preserve">block </w:t>
      </w:r>
      <w:r w:rsidR="00B630FC">
        <w:t>costs</w:t>
      </w:r>
    </w:p>
    <w:tbl>
      <w:tblPr>
        <w:tblStyle w:val="AERtable-numbers"/>
        <w:tblW w:w="8330" w:type="dxa"/>
        <w:tblLook w:val="04A0" w:firstRow="1" w:lastRow="0" w:firstColumn="1" w:lastColumn="0" w:noHBand="0" w:noVBand="1"/>
      </w:tblPr>
      <w:tblGrid>
        <w:gridCol w:w="3794"/>
        <w:gridCol w:w="4536"/>
      </w:tblGrid>
      <w:tr w:rsidR="00B630FC" w:rsidRPr="00680BCE" w:rsidTr="00600D9C">
        <w:trPr>
          <w:cnfStyle w:val="100000000000" w:firstRow="1" w:lastRow="0" w:firstColumn="0" w:lastColumn="0" w:oddVBand="0" w:evenVBand="0" w:oddHBand="0" w:evenHBand="0" w:firstRowFirstColumn="0" w:firstRowLastColumn="0" w:lastRowFirstColumn="0" w:lastRowLastColumn="0"/>
          <w:trHeight w:val="277"/>
          <w:tblHeader/>
        </w:trPr>
        <w:tc>
          <w:tcPr>
            <w:cnfStyle w:val="001000000000" w:firstRow="0" w:lastRow="0" w:firstColumn="1" w:lastColumn="0" w:oddVBand="0" w:evenVBand="0" w:oddHBand="0" w:evenHBand="0" w:firstRowFirstColumn="0" w:firstRowLastColumn="0" w:lastRowFirstColumn="0" w:lastRowLastColumn="0"/>
            <w:tcW w:w="3794" w:type="dxa"/>
            <w:noWrap/>
            <w:hideMark/>
          </w:tcPr>
          <w:p w:rsidR="00B630FC" w:rsidRPr="00B630FC" w:rsidRDefault="00B630FC" w:rsidP="00B630FC">
            <w:pPr>
              <w:pStyle w:val="AERtabletextleft"/>
            </w:pPr>
            <w:r w:rsidRPr="00B630FC">
              <w:t>Building block costs</w:t>
            </w:r>
          </w:p>
        </w:tc>
        <w:tc>
          <w:tcPr>
            <w:tcW w:w="4536" w:type="dxa"/>
            <w:noWrap/>
            <w:hideMark/>
          </w:tcPr>
          <w:p w:rsidR="00B630FC" w:rsidRPr="00B630FC" w:rsidRDefault="00B630FC" w:rsidP="00B630FC">
            <w:pPr>
              <w:pStyle w:val="AERtabletextleft"/>
              <w:cnfStyle w:val="100000000000" w:firstRow="1" w:lastRow="0" w:firstColumn="0" w:lastColumn="0" w:oddVBand="0" w:evenVBand="0" w:oddHBand="0" w:evenHBand="0" w:firstRowFirstColumn="0" w:firstRowLastColumn="0" w:lastRowFirstColumn="0" w:lastRowLastColumn="0"/>
            </w:pPr>
            <w:r w:rsidRPr="001A524C">
              <w:t>Attachments</w:t>
            </w:r>
            <w:r w:rsidRPr="00B630FC">
              <w:t xml:space="preserve"> where elements  are discussed</w:t>
            </w:r>
          </w:p>
        </w:tc>
      </w:tr>
      <w:tr w:rsidR="00B630FC" w:rsidRPr="00680BCE" w:rsidTr="002F323F">
        <w:trPr>
          <w:trHeight w:val="554"/>
        </w:trPr>
        <w:tc>
          <w:tcPr>
            <w:cnfStyle w:val="001000000000" w:firstRow="0" w:lastRow="0" w:firstColumn="1" w:lastColumn="0" w:oddVBand="0" w:evenVBand="0" w:oddHBand="0" w:evenHBand="0" w:firstRowFirstColumn="0" w:firstRowLastColumn="0" w:lastRowFirstColumn="0" w:lastRowLastColumn="0"/>
            <w:tcW w:w="3794" w:type="dxa"/>
            <w:hideMark/>
          </w:tcPr>
          <w:p w:rsidR="00B630FC" w:rsidRPr="00680BCE" w:rsidRDefault="00B630FC" w:rsidP="00B630FC">
            <w:pPr>
              <w:pStyle w:val="AERtabletextleft"/>
            </w:pPr>
            <w:r w:rsidRPr="00680BCE">
              <w:t>Return on capital</w:t>
            </w:r>
          </w:p>
        </w:tc>
        <w:tc>
          <w:tcPr>
            <w:tcW w:w="4536" w:type="dxa"/>
            <w:hideMark/>
          </w:tcPr>
          <w:p w:rsidR="00B630FC" w:rsidRPr="00B630FC" w:rsidRDefault="00B630FC" w:rsidP="00684072">
            <w:pPr>
              <w:pStyle w:val="AERtabletextleft"/>
              <w:cnfStyle w:val="000000000000" w:firstRow="0" w:lastRow="0" w:firstColumn="0" w:lastColumn="0" w:oddVBand="0" w:evenVBand="0" w:oddHBand="0" w:evenHBand="0" w:firstRowFirstColumn="0" w:firstRowLastColumn="0" w:lastRowFirstColumn="0" w:lastRowLastColumn="0"/>
            </w:pPr>
            <w:r w:rsidRPr="001A524C">
              <w:t>R</w:t>
            </w:r>
            <w:r w:rsidRPr="00B630FC">
              <w:t xml:space="preserve">egulatory asset base (attachment </w:t>
            </w:r>
            <w:r w:rsidR="00684072">
              <w:t>2</w:t>
            </w:r>
            <w:r w:rsidRPr="00B630FC">
              <w:t xml:space="preserve">) </w:t>
            </w:r>
            <w:r w:rsidRPr="00B630FC">
              <w:br/>
              <w:t xml:space="preserve">Capex (attachment </w:t>
            </w:r>
            <w:r w:rsidR="00684072">
              <w:t>6</w:t>
            </w:r>
            <w:r w:rsidRPr="00B630FC">
              <w:t>)</w:t>
            </w:r>
            <w:r w:rsidRPr="00B630FC">
              <w:br/>
              <w:t xml:space="preserve">Rate of return (attachment </w:t>
            </w:r>
            <w:r w:rsidR="00684072">
              <w:t>3</w:t>
            </w:r>
            <w:r w:rsidRPr="00B630FC">
              <w:t>)</w:t>
            </w:r>
          </w:p>
        </w:tc>
      </w:tr>
      <w:tr w:rsidR="00B630FC" w:rsidRPr="00680BCE" w:rsidTr="002F323F">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3794" w:type="dxa"/>
            <w:hideMark/>
          </w:tcPr>
          <w:p w:rsidR="00B630FC" w:rsidRPr="00B630FC" w:rsidRDefault="00B630FC" w:rsidP="00B630FC">
            <w:pPr>
              <w:pStyle w:val="AERtabletextleft"/>
            </w:pPr>
            <w:r w:rsidRPr="00680BCE">
              <w:t>Regulatory depreciation</w:t>
            </w:r>
            <w:r w:rsidRPr="00B630FC">
              <w:t xml:space="preserve"> (return of capital)</w:t>
            </w:r>
          </w:p>
        </w:tc>
        <w:tc>
          <w:tcPr>
            <w:tcW w:w="4536" w:type="dxa"/>
            <w:hideMark/>
          </w:tcPr>
          <w:p w:rsidR="00B630FC" w:rsidRPr="00B630FC" w:rsidRDefault="00B630FC" w:rsidP="00684072">
            <w:pPr>
              <w:pStyle w:val="AERtabletextleft"/>
              <w:cnfStyle w:val="000000010000" w:firstRow="0" w:lastRow="0" w:firstColumn="0" w:lastColumn="0" w:oddVBand="0" w:evenVBand="0" w:oddHBand="0" w:evenHBand="1" w:firstRowFirstColumn="0" w:firstRowLastColumn="0" w:lastRowFirstColumn="0" w:lastRowLastColumn="0"/>
            </w:pPr>
            <w:r w:rsidRPr="001A524C">
              <w:t>R</w:t>
            </w:r>
            <w:r w:rsidRPr="00B630FC">
              <w:t xml:space="preserve">egulatory asset base (attachment </w:t>
            </w:r>
            <w:r w:rsidR="00684072">
              <w:t>2</w:t>
            </w:r>
            <w:r w:rsidRPr="00B630FC">
              <w:t>)</w:t>
            </w:r>
            <w:r w:rsidRPr="00B630FC">
              <w:br/>
              <w:t xml:space="preserve">Capex (attachment </w:t>
            </w:r>
            <w:r w:rsidR="00684072">
              <w:t>6</w:t>
            </w:r>
            <w:r w:rsidRPr="00B630FC">
              <w:t>)</w:t>
            </w:r>
            <w:r w:rsidRPr="00B630FC">
              <w:br/>
              <w:t xml:space="preserve">Depreciation (attachment </w:t>
            </w:r>
            <w:r w:rsidR="00684072">
              <w:t>5</w:t>
            </w:r>
            <w:r w:rsidRPr="00B630FC">
              <w:t>)</w:t>
            </w:r>
          </w:p>
        </w:tc>
      </w:tr>
      <w:tr w:rsidR="00B630FC" w:rsidRPr="00680BCE" w:rsidTr="002F323F">
        <w:trPr>
          <w:trHeight w:val="554"/>
        </w:trPr>
        <w:tc>
          <w:tcPr>
            <w:cnfStyle w:val="001000000000" w:firstRow="0" w:lastRow="0" w:firstColumn="1" w:lastColumn="0" w:oddVBand="0" w:evenVBand="0" w:oddHBand="0" w:evenHBand="0" w:firstRowFirstColumn="0" w:firstRowLastColumn="0" w:lastRowFirstColumn="0" w:lastRowLastColumn="0"/>
            <w:tcW w:w="3794" w:type="dxa"/>
            <w:hideMark/>
          </w:tcPr>
          <w:p w:rsidR="00B630FC" w:rsidRPr="00B630FC" w:rsidRDefault="00B630FC" w:rsidP="00B630FC">
            <w:pPr>
              <w:pStyle w:val="AERtabletextleft"/>
            </w:pPr>
            <w:r w:rsidRPr="00680BCE">
              <w:t>Operating expenditure</w:t>
            </w:r>
            <w:r w:rsidRPr="00B630FC">
              <w:t xml:space="preserve"> (opex)</w:t>
            </w:r>
          </w:p>
        </w:tc>
        <w:tc>
          <w:tcPr>
            <w:tcW w:w="4536" w:type="dxa"/>
            <w:hideMark/>
          </w:tcPr>
          <w:p w:rsidR="00B630FC" w:rsidRPr="001A524C" w:rsidRDefault="00B630FC" w:rsidP="00684072">
            <w:pPr>
              <w:pStyle w:val="AERtabletextleft"/>
              <w:cnfStyle w:val="000000000000" w:firstRow="0" w:lastRow="0" w:firstColumn="0" w:lastColumn="0" w:oddVBand="0" w:evenVBand="0" w:oddHBand="0" w:evenHBand="0" w:firstRowFirstColumn="0" w:firstRowLastColumn="0" w:lastRowFirstColumn="0" w:lastRowLastColumn="0"/>
            </w:pPr>
            <w:r w:rsidRPr="001A524C">
              <w:t xml:space="preserve">Opex (attachment </w:t>
            </w:r>
            <w:r w:rsidR="00684072">
              <w:t>7</w:t>
            </w:r>
            <w:r w:rsidRPr="001A524C">
              <w:t>)</w:t>
            </w:r>
          </w:p>
        </w:tc>
      </w:tr>
      <w:tr w:rsidR="00B630FC" w:rsidRPr="00680BCE" w:rsidTr="002F323F">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3794" w:type="dxa"/>
            <w:hideMark/>
          </w:tcPr>
          <w:p w:rsidR="00B630FC" w:rsidRPr="00680BCE" w:rsidRDefault="00B630FC" w:rsidP="00B630FC">
            <w:pPr>
              <w:pStyle w:val="AERtabletextleft"/>
            </w:pPr>
            <w:r w:rsidRPr="00680BCE">
              <w:t>Efficiency benefits/penalties</w:t>
            </w:r>
          </w:p>
        </w:tc>
        <w:tc>
          <w:tcPr>
            <w:tcW w:w="4536" w:type="dxa"/>
            <w:hideMark/>
          </w:tcPr>
          <w:p w:rsidR="00B630FC" w:rsidRPr="00B630FC" w:rsidRDefault="00B630FC" w:rsidP="00684072">
            <w:pPr>
              <w:pStyle w:val="AERtabletextleft"/>
              <w:cnfStyle w:val="000000010000" w:firstRow="0" w:lastRow="0" w:firstColumn="0" w:lastColumn="0" w:oddVBand="0" w:evenVBand="0" w:oddHBand="0" w:evenHBand="1" w:firstRowFirstColumn="0" w:firstRowLastColumn="0" w:lastRowFirstColumn="0" w:lastRowLastColumn="0"/>
            </w:pPr>
            <w:r w:rsidRPr="001A524C">
              <w:t xml:space="preserve">Efficiency benefit sharing </w:t>
            </w:r>
            <w:r w:rsidRPr="00B630FC">
              <w:t xml:space="preserve">scheme (attachment </w:t>
            </w:r>
            <w:r w:rsidR="00684072">
              <w:t>9</w:t>
            </w:r>
            <w:r w:rsidRPr="00B630FC">
              <w:t>)</w:t>
            </w:r>
          </w:p>
        </w:tc>
      </w:tr>
      <w:tr w:rsidR="00B630FC" w:rsidRPr="00680BCE" w:rsidTr="002F323F">
        <w:trPr>
          <w:trHeight w:val="554"/>
        </w:trPr>
        <w:tc>
          <w:tcPr>
            <w:cnfStyle w:val="001000000000" w:firstRow="0" w:lastRow="0" w:firstColumn="1" w:lastColumn="0" w:oddVBand="0" w:evenVBand="0" w:oddHBand="0" w:evenHBand="0" w:firstRowFirstColumn="0" w:firstRowLastColumn="0" w:lastRowFirstColumn="0" w:lastRowLastColumn="0"/>
            <w:tcW w:w="3794" w:type="dxa"/>
            <w:hideMark/>
          </w:tcPr>
          <w:p w:rsidR="00B630FC" w:rsidRPr="00680BCE" w:rsidRDefault="00B630FC" w:rsidP="00B630FC">
            <w:pPr>
              <w:pStyle w:val="AERtabletextleft"/>
            </w:pPr>
            <w:r w:rsidRPr="00680BCE">
              <w:t>Estimated cost of corporate tax</w:t>
            </w:r>
          </w:p>
        </w:tc>
        <w:tc>
          <w:tcPr>
            <w:tcW w:w="4536" w:type="dxa"/>
            <w:hideMark/>
          </w:tcPr>
          <w:p w:rsidR="00B630FC" w:rsidRPr="00B630FC" w:rsidRDefault="00B630FC" w:rsidP="00684072">
            <w:pPr>
              <w:pStyle w:val="AERtabletextleft"/>
              <w:cnfStyle w:val="000000000000" w:firstRow="0" w:lastRow="0" w:firstColumn="0" w:lastColumn="0" w:oddVBand="0" w:evenVBand="0" w:oddHBand="0" w:evenHBand="0" w:firstRowFirstColumn="0" w:firstRowLastColumn="0" w:lastRowFirstColumn="0" w:lastRowLastColumn="0"/>
            </w:pPr>
            <w:r w:rsidRPr="001A524C">
              <w:t xml:space="preserve">Corporate income tax (attachment </w:t>
            </w:r>
            <w:r w:rsidR="00684072">
              <w:t>8</w:t>
            </w:r>
            <w:r w:rsidRPr="001A524C">
              <w:t>)</w:t>
            </w:r>
            <w:r w:rsidRPr="00B630FC">
              <w:br/>
            </w:r>
            <w:r w:rsidR="00EF2DFE">
              <w:t>Value of imputation credits</w:t>
            </w:r>
            <w:r w:rsidRPr="00B630FC">
              <w:t xml:space="preserve"> (attachment </w:t>
            </w:r>
            <w:r w:rsidR="00684072">
              <w:t>4</w:t>
            </w:r>
            <w:r w:rsidRPr="00B630FC">
              <w:t>)</w:t>
            </w:r>
          </w:p>
        </w:tc>
      </w:tr>
    </w:tbl>
    <w:p w:rsidR="00C4189F" w:rsidRPr="0076152C" w:rsidRDefault="00C4189F" w:rsidP="007A1946">
      <w:pPr>
        <w:pStyle w:val="AERbodytext"/>
      </w:pPr>
    </w:p>
    <w:p w:rsidR="007A1946" w:rsidRPr="007A1946" w:rsidRDefault="007A1946" w:rsidP="007A1946">
      <w:pPr>
        <w:pStyle w:val="Heading3"/>
      </w:pPr>
      <w:bookmarkStart w:id="22" w:name="_Ref403663652"/>
      <w:bookmarkStart w:id="23" w:name="_Toc404178332"/>
      <w:r w:rsidRPr="007A1946">
        <w:t>Placeholder revenue true-up for 2014–15</w:t>
      </w:r>
      <w:bookmarkEnd w:id="22"/>
      <w:bookmarkEnd w:id="23"/>
    </w:p>
    <w:p w:rsidR="00B630FC" w:rsidRDefault="00B630FC" w:rsidP="00B630FC">
      <w:pPr>
        <w:pStyle w:val="AERbodytext"/>
      </w:pPr>
      <w:r>
        <w:t>The four</w:t>
      </w:r>
      <w:r w:rsidRPr="001E5FCE">
        <w:t xml:space="preserve"> regulatory years </w:t>
      </w:r>
      <w:r>
        <w:t xml:space="preserve">from </w:t>
      </w:r>
      <w:r w:rsidRPr="001E5FCE">
        <w:t>2014</w:t>
      </w:r>
      <w:r>
        <w:t>–</w:t>
      </w:r>
      <w:r w:rsidRPr="001E5FCE">
        <w:t>1</w:t>
      </w:r>
      <w:r>
        <w:t>8</w:t>
      </w:r>
      <w:r w:rsidRPr="001E5FCE">
        <w:t xml:space="preserve"> are split over two regulatory control periods</w:t>
      </w:r>
      <w:r>
        <w:t xml:space="preserve"> due to the transitional rules.</w:t>
      </w:r>
      <w:r>
        <w:rPr>
          <w:rStyle w:val="FootnoteReference"/>
        </w:rPr>
        <w:footnoteReference w:id="19"/>
      </w:r>
      <w:r>
        <w:t xml:space="preserve"> There is a</w:t>
      </w:r>
      <w:r w:rsidRPr="001E5FCE">
        <w:t xml:space="preserve"> </w:t>
      </w:r>
      <w:r>
        <w:t>'</w:t>
      </w:r>
      <w:r w:rsidRPr="001E5FCE">
        <w:t>transitional regulatory control period</w:t>
      </w:r>
      <w:r>
        <w:t>'</w:t>
      </w:r>
      <w:r w:rsidRPr="001E5FCE">
        <w:t xml:space="preserve"> </w:t>
      </w:r>
      <w:r>
        <w:t>for</w:t>
      </w:r>
      <w:r w:rsidRPr="001E5FCE">
        <w:t xml:space="preserve"> 2014</w:t>
      </w:r>
      <w:r>
        <w:t>–</w:t>
      </w:r>
      <w:r w:rsidRPr="001E5FCE">
        <w:t>15</w:t>
      </w:r>
      <w:r>
        <w:t>,</w:t>
      </w:r>
      <w:r w:rsidRPr="001E5FCE">
        <w:t xml:space="preserve"> and a </w:t>
      </w:r>
      <w:r>
        <w:t>'</w:t>
      </w:r>
      <w:r w:rsidRPr="001E5FCE">
        <w:t>subsequent regulatory control period</w:t>
      </w:r>
      <w:r>
        <w:t>'</w:t>
      </w:r>
      <w:r w:rsidRPr="001E5FCE">
        <w:t xml:space="preserve"> f</w:t>
      </w:r>
      <w:r>
        <w:t>o</w:t>
      </w:r>
      <w:r w:rsidRPr="001E5FCE">
        <w:t>r 2015</w:t>
      </w:r>
      <w:r>
        <w:t>–</w:t>
      </w:r>
      <w:r w:rsidRPr="001E5FCE">
        <w:t>1</w:t>
      </w:r>
      <w:r>
        <w:t>8.</w:t>
      </w:r>
      <w:r w:rsidRPr="001E5FCE">
        <w:t xml:space="preserve"> </w:t>
      </w:r>
      <w:r>
        <w:t xml:space="preserve">We are required to make both a decision on the transitional placeholder revenue for 2014–15 and then a decision on the revenues for the full 2014–18 period. </w:t>
      </w:r>
    </w:p>
    <w:p w:rsidR="00B630FC" w:rsidRDefault="007A1946" w:rsidP="007A1946">
      <w:pPr>
        <w:pStyle w:val="AERbodytext"/>
      </w:pPr>
      <w:r>
        <w:t xml:space="preserve">In March 2014, as required under the transitional rules, we </w:t>
      </w:r>
      <w:r w:rsidRPr="009A2864">
        <w:t>conduct</w:t>
      </w:r>
      <w:r>
        <w:t>ed</w:t>
      </w:r>
      <w:r w:rsidRPr="009A2864">
        <w:t xml:space="preserve"> a high level review of </w:t>
      </w:r>
      <w:r>
        <w:t>TransGrid's</w:t>
      </w:r>
      <w:r w:rsidRPr="009A2864">
        <w:t xml:space="preserve"> proposed revenue requirement for </w:t>
      </w:r>
      <w:r>
        <w:t xml:space="preserve">its </w:t>
      </w:r>
      <w:r w:rsidRPr="009A2864">
        <w:t xml:space="preserve">transitional </w:t>
      </w:r>
      <w:r>
        <w:t>regulatory control period</w:t>
      </w:r>
      <w:r w:rsidRPr="009A2864">
        <w:t xml:space="preserve"> (</w:t>
      </w:r>
      <w:r>
        <w:t>2014–15</w:t>
      </w:r>
      <w:r w:rsidRPr="009A2864">
        <w:t>)</w:t>
      </w:r>
      <w:r>
        <w:t>.</w:t>
      </w:r>
      <w:r w:rsidRPr="009A2864">
        <w:t xml:space="preserve"> </w:t>
      </w:r>
      <w:r>
        <w:t>We determined a placeholder revenue allowance of $845.4 million ($ nominal) for TransGrid in the transitional determination.</w:t>
      </w:r>
      <w:r>
        <w:rPr>
          <w:rStyle w:val="FootnoteReference"/>
        </w:rPr>
        <w:footnoteReference w:id="20"/>
      </w:r>
      <w:r>
        <w:t xml:space="preserve"> </w:t>
      </w:r>
    </w:p>
    <w:p w:rsidR="007A1946" w:rsidRPr="009A2864" w:rsidRDefault="007A1946" w:rsidP="007A1946">
      <w:pPr>
        <w:pStyle w:val="AERbodytext"/>
      </w:pPr>
      <w:r>
        <w:t xml:space="preserve">In this draft decision, we </w:t>
      </w:r>
      <w:r w:rsidRPr="009A2864">
        <w:t xml:space="preserve">make a full </w:t>
      </w:r>
      <w:r>
        <w:t xml:space="preserve">revenue </w:t>
      </w:r>
      <w:r w:rsidRPr="009A2864">
        <w:t xml:space="preserve">determination for </w:t>
      </w:r>
      <w:r>
        <w:t>the 2014–</w:t>
      </w:r>
      <w:r w:rsidR="00D13455">
        <w:t>18</w:t>
      </w:r>
      <w:r w:rsidR="00DF49EF" w:rsidRPr="00DF49EF">
        <w:t xml:space="preserve"> </w:t>
      </w:r>
      <w:r w:rsidR="00DF49EF">
        <w:t>period</w:t>
      </w:r>
      <w:r>
        <w:t xml:space="preserve">. The NER requires us to </w:t>
      </w:r>
      <w:r w:rsidRPr="009A2864">
        <w:t>use a</w:t>
      </w:r>
      <w:r w:rsidR="005E2EEB">
        <w:t>n NPV</w:t>
      </w:r>
      <w:r>
        <w:t xml:space="preserve"> </w:t>
      </w:r>
      <w:r w:rsidRPr="009A2864">
        <w:t>neutral true-up mechanism to account for any</w:t>
      </w:r>
      <w:r>
        <w:t xml:space="preserve"> </w:t>
      </w:r>
      <w:r w:rsidRPr="009A2864">
        <w:t>difference between:</w:t>
      </w:r>
    </w:p>
    <w:p w:rsidR="007A1946" w:rsidRPr="009A2864" w:rsidRDefault="007A1946" w:rsidP="007A1946">
      <w:pPr>
        <w:pStyle w:val="AERbulletlistfirststyle"/>
      </w:pPr>
      <w:r w:rsidRPr="009A2864">
        <w:t xml:space="preserve">the placeholder revenue for the transitional </w:t>
      </w:r>
      <w:r>
        <w:t>regulatory control period,</w:t>
      </w:r>
      <w:r w:rsidRPr="009A2864">
        <w:t xml:space="preserve"> and</w:t>
      </w:r>
    </w:p>
    <w:p w:rsidR="007A1946" w:rsidRDefault="007A1946" w:rsidP="007A1946">
      <w:pPr>
        <w:pStyle w:val="AERbulletlistfirststyle"/>
      </w:pPr>
      <w:r w:rsidRPr="009A2864">
        <w:t xml:space="preserve">the revenue requirement for the transitional </w:t>
      </w:r>
      <w:r>
        <w:t xml:space="preserve">regulatory control period </w:t>
      </w:r>
      <w:r w:rsidRPr="009A2864">
        <w:t>that is established</w:t>
      </w:r>
      <w:r>
        <w:t xml:space="preserve"> through the</w:t>
      </w:r>
      <w:r w:rsidRPr="009A2864">
        <w:t xml:space="preserve"> full determination process.</w:t>
      </w:r>
      <w:r w:rsidR="00D13455">
        <w:rPr>
          <w:rStyle w:val="FootnoteReference"/>
        </w:rPr>
        <w:footnoteReference w:id="21"/>
      </w:r>
    </w:p>
    <w:p w:rsidR="00552953" w:rsidRDefault="007A1946" w:rsidP="00D904FA">
      <w:r w:rsidRPr="007D2481">
        <w:t xml:space="preserve">To do </w:t>
      </w:r>
      <w:r w:rsidR="00552953">
        <w:t>this</w:t>
      </w:r>
      <w:r w:rsidRPr="007D2481">
        <w:t xml:space="preserve">, we set </w:t>
      </w:r>
      <w:r>
        <w:t>TransGrid's</w:t>
      </w:r>
      <w:r w:rsidRPr="007D2481">
        <w:t xml:space="preserve"> first year MAR</w:t>
      </w:r>
      <w:r>
        <w:t xml:space="preserve"> in the PTRM equal to its placeholder revenue for </w:t>
      </w:r>
      <w:r w:rsidR="00185C70">
        <w:br/>
      </w:r>
      <w:r>
        <w:t xml:space="preserve">2014–15 of $845.4 million. We then </w:t>
      </w:r>
      <w:r w:rsidRPr="0076152C">
        <w:t xml:space="preserve">estimate the expected MAR for each </w:t>
      </w:r>
      <w:r>
        <w:t xml:space="preserve">remaining </w:t>
      </w:r>
      <w:r w:rsidRPr="0076152C">
        <w:t xml:space="preserve">year of the </w:t>
      </w:r>
      <w:r w:rsidRPr="0076152C">
        <w:lastRenderedPageBreak/>
        <w:t>regulatory control period</w:t>
      </w:r>
      <w:r w:rsidR="00185C70">
        <w:t xml:space="preserve"> (2</w:t>
      </w:r>
      <w:r w:rsidR="00185C70" w:rsidRPr="001C54FA">
        <w:t>015–16 to 2017–18</w:t>
      </w:r>
      <w:r w:rsidR="00185C70">
        <w:t>)</w:t>
      </w:r>
      <w:r w:rsidRPr="0076152C">
        <w:t xml:space="preserve"> by escalating the previous year’s expected MAR using </w:t>
      </w:r>
      <w:r>
        <w:t>the</w:t>
      </w:r>
      <w:r w:rsidRPr="0076152C">
        <w:t xml:space="preserve"> CPI–X method, </w:t>
      </w:r>
      <w:r>
        <w:t>starting from</w:t>
      </w:r>
      <w:r w:rsidRPr="0076152C">
        <w:t xml:space="preserve"> the MAR </w:t>
      </w:r>
      <w:r>
        <w:t>for</w:t>
      </w:r>
      <w:r w:rsidRPr="0076152C">
        <w:t xml:space="preserve"> </w:t>
      </w:r>
      <w:r>
        <w:t>2014–15</w:t>
      </w:r>
      <w:r w:rsidRPr="0076152C">
        <w:t xml:space="preserve">. </w:t>
      </w:r>
      <w:r w:rsidR="002F5B8B">
        <w:t xml:space="preserve">This has the effect of calculating the difference between the placeholder revenue ($845.4 million) and the </w:t>
      </w:r>
      <w:r w:rsidR="007D6B23">
        <w:t xml:space="preserve">notional MAR, i.e. equal to the </w:t>
      </w:r>
      <w:r w:rsidR="002F5B8B">
        <w:t>annual building block revenue requirement</w:t>
      </w:r>
      <w:r w:rsidR="007D6B23">
        <w:t>,</w:t>
      </w:r>
      <w:r w:rsidR="002F5B8B">
        <w:t xml:space="preserve"> for 2014–15 </w:t>
      </w:r>
      <w:r w:rsidR="002F5B8B" w:rsidRPr="00D904FA">
        <w:t>($7</w:t>
      </w:r>
      <w:r w:rsidR="007D5F98" w:rsidRPr="00D904FA">
        <w:t>51</w:t>
      </w:r>
      <w:r w:rsidR="002F5B8B" w:rsidRPr="00D904FA">
        <w:t>.</w:t>
      </w:r>
      <w:r w:rsidR="007D5F98" w:rsidRPr="00D904FA">
        <w:t>1</w:t>
      </w:r>
      <w:r w:rsidR="002F5B8B">
        <w:t xml:space="preserve"> million) established in this draft decision and smoothing the expected MAR for the remaining </w:t>
      </w:r>
      <w:r w:rsidR="00073EB1">
        <w:t xml:space="preserve">three </w:t>
      </w:r>
      <w:r w:rsidR="002F5B8B">
        <w:t xml:space="preserve">regulatory years to account for that difference. In this case, the difference of </w:t>
      </w:r>
      <w:r w:rsidR="002F5B8B" w:rsidRPr="00D904FA">
        <w:t>$</w:t>
      </w:r>
      <w:r w:rsidR="007D5F98" w:rsidRPr="00D904FA">
        <w:t>94.3</w:t>
      </w:r>
      <w:r w:rsidR="002F5B8B" w:rsidRPr="00D904FA">
        <w:t xml:space="preserve"> million</w:t>
      </w:r>
      <w:r w:rsidR="002F5B8B">
        <w:t xml:space="preserve"> is </w:t>
      </w:r>
      <w:r w:rsidR="00BB2C33">
        <w:t>the true-up amount</w:t>
      </w:r>
      <w:r w:rsidR="002F5B8B">
        <w:t xml:space="preserve"> to be returned to customers over the 2015–18 regulatory control period (adjusted for the time value of money). </w:t>
      </w:r>
      <w:r>
        <w:t xml:space="preserve">We set the </w:t>
      </w:r>
      <w:r w:rsidR="00185C70">
        <w:t xml:space="preserve">annual </w:t>
      </w:r>
      <w:r>
        <w:t xml:space="preserve">X factor (the smoothing factor) so that the </w:t>
      </w:r>
      <w:r w:rsidR="005E2EEB">
        <w:t>NPV</w:t>
      </w:r>
      <w:r>
        <w:t xml:space="preserve">s of the annual building block revenue requirement (unsmoothed revenue) and the </w:t>
      </w:r>
      <w:r w:rsidR="00185C70">
        <w:t xml:space="preserve">annual </w:t>
      </w:r>
      <w:r>
        <w:t>expected MAR (smoothed revenue) are equal.</w:t>
      </w:r>
      <w:r w:rsidRPr="001313FC">
        <w:t xml:space="preserve"> </w:t>
      </w:r>
    </w:p>
    <w:p w:rsidR="007A1946" w:rsidRDefault="00866487" w:rsidP="007A1946">
      <w:pPr>
        <w:pStyle w:val="AERbodytext"/>
      </w:pPr>
      <w:r>
        <w:t>To enable the formula for the annual revenue adjustment process (discussed below</w:t>
      </w:r>
      <w:r w:rsidR="00CB14A8">
        <w:t xml:space="preserve"> in section </w:t>
      </w:r>
      <w:r w:rsidR="00E72B7D">
        <w:fldChar w:fldCharType="begin"/>
      </w:r>
      <w:r w:rsidR="00E72B7D">
        <w:instrText xml:space="preserve"> REF _Ref401844468 \r \h </w:instrText>
      </w:r>
      <w:r w:rsidR="00E72B7D">
        <w:fldChar w:fldCharType="separate"/>
      </w:r>
      <w:r w:rsidR="00C1101B">
        <w:t>1.3.3</w:t>
      </w:r>
      <w:r w:rsidR="00E72B7D">
        <w:fldChar w:fldCharType="end"/>
      </w:r>
      <w:r>
        <w:t xml:space="preserve">) to operate correctly, we will refer to </w:t>
      </w:r>
      <w:r w:rsidR="00CB14A8">
        <w:t xml:space="preserve">the </w:t>
      </w:r>
      <w:r>
        <w:t>MAR determined in this decision as the allowed revenue (AR).</w:t>
      </w:r>
      <w:r w:rsidR="00CB14A8">
        <w:t xml:space="preserve"> This is because the expected MAR determined using the building block costs do not incorporate performance incentive scheme revenue adjustments and pass through amount</w:t>
      </w:r>
      <w:r w:rsidR="00D13455">
        <w:t>s</w:t>
      </w:r>
      <w:r w:rsidR="00CB14A8">
        <w:t xml:space="preserve"> that may apply to each regulatory year.</w:t>
      </w:r>
    </w:p>
    <w:p w:rsidR="007A1946" w:rsidRDefault="00275EAB" w:rsidP="007A1946">
      <w:pPr>
        <w:pStyle w:val="AERbodytext"/>
      </w:pPr>
      <w:r>
        <w:t>For this decision,</w:t>
      </w:r>
      <w:r w:rsidR="007A1946">
        <w:t xml:space="preserve"> we set: </w:t>
      </w:r>
    </w:p>
    <w:p w:rsidR="007A1946" w:rsidRPr="007A1946" w:rsidRDefault="005C2AE0" w:rsidP="007143F8">
      <w:pPr>
        <w:pStyle w:val="AERnumberedlistfirststyle"/>
        <w:numPr>
          <w:ilvl w:val="0"/>
          <w:numId w:val="0"/>
        </w:numPr>
        <w:ind w:left="357" w:hanging="357"/>
      </w:pPr>
      <w:r>
        <w:tab/>
      </w:r>
      <w:r>
        <w:tab/>
      </w:r>
      <w:r w:rsidR="007A1946" w:rsidRPr="0076152C">
        <w:t>AR</w:t>
      </w:r>
      <w:r w:rsidR="007A1946" w:rsidRPr="007A1946">
        <w:rPr>
          <w:rStyle w:val="AERsubscript"/>
        </w:rPr>
        <w:t>1</w:t>
      </w:r>
      <w:r w:rsidR="007A1946" w:rsidRPr="007A1946">
        <w:tab/>
        <w:t>=</w:t>
      </w:r>
      <w:r w:rsidR="007A1946" w:rsidRPr="007A1946">
        <w:tab/>
        <w:t xml:space="preserve">$845.4 million </w:t>
      </w:r>
    </w:p>
    <w:p w:rsidR="007A1946" w:rsidRPr="007A1946" w:rsidRDefault="007A1946" w:rsidP="007143F8">
      <w:pPr>
        <w:pStyle w:val="AERnumberedlistfirststyle"/>
        <w:numPr>
          <w:ilvl w:val="0"/>
          <w:numId w:val="0"/>
        </w:numPr>
        <w:ind w:left="357" w:hanging="357"/>
      </w:pPr>
      <w:r>
        <w:t>w</w:t>
      </w:r>
      <w:r w:rsidRPr="007A1946">
        <w:t>here:</w:t>
      </w:r>
    </w:p>
    <w:p w:rsidR="007A1946" w:rsidRDefault="005C2AE0" w:rsidP="007143F8">
      <w:pPr>
        <w:pStyle w:val="AERnumberedlistfirststyle"/>
        <w:numPr>
          <w:ilvl w:val="0"/>
          <w:numId w:val="0"/>
        </w:numPr>
        <w:ind w:left="357" w:hanging="357"/>
      </w:pPr>
      <w:r>
        <w:tab/>
      </w:r>
      <w:r>
        <w:tab/>
      </w:r>
      <w:r w:rsidR="007A1946" w:rsidRPr="0076152C">
        <w:t>AR</w:t>
      </w:r>
      <w:r w:rsidR="007A1946" w:rsidRPr="007A1946">
        <w:rPr>
          <w:rStyle w:val="AERsubscript"/>
        </w:rPr>
        <w:t>1</w:t>
      </w:r>
      <w:r w:rsidR="007A1946" w:rsidRPr="007A1946">
        <w:t xml:space="preserve"> </w:t>
      </w:r>
      <w:r w:rsidR="007A1946" w:rsidRPr="007A1946">
        <w:tab/>
        <w:t>=</w:t>
      </w:r>
      <w:r w:rsidR="007A1946" w:rsidRPr="007A1946">
        <w:tab/>
        <w:t>the allowed revenue for year 1 of TransGrid's 2014–18 period.</w:t>
      </w:r>
    </w:p>
    <w:p w:rsidR="008C0A1A" w:rsidRDefault="008C0A1A" w:rsidP="00866487">
      <w:pPr>
        <w:pStyle w:val="AERbodytext"/>
      </w:pPr>
      <w:r>
        <w:t>Applying the true-up to account for the above placeholder revenue</w:t>
      </w:r>
      <w:r w:rsidR="00866487">
        <w:t xml:space="preserve"> determined for 2014–15</w:t>
      </w:r>
      <w:r w:rsidR="005E2EEB">
        <w:t xml:space="preserve"> and</w:t>
      </w:r>
      <w:r w:rsidR="00BA6AE4">
        <w:t xml:space="preserve"> the notional MAR </w:t>
      </w:r>
      <w:r w:rsidR="005E2EEB">
        <w:t xml:space="preserve">for 2014–15 </w:t>
      </w:r>
      <w:r w:rsidR="00BA6AE4">
        <w:t>of $7</w:t>
      </w:r>
      <w:r w:rsidR="007D5F98">
        <w:t>51</w:t>
      </w:r>
      <w:r w:rsidR="00BA6AE4">
        <w:t>.</w:t>
      </w:r>
      <w:r w:rsidR="007D5F98">
        <w:t>1</w:t>
      </w:r>
      <w:r w:rsidR="00BA6AE4">
        <w:t xml:space="preserve"> million, </w:t>
      </w:r>
      <w:r w:rsidR="00866487">
        <w:t>we set:</w:t>
      </w:r>
    </w:p>
    <w:p w:rsidR="00866487" w:rsidRPr="00CB14A8" w:rsidRDefault="00866487" w:rsidP="00275EAB">
      <w:pPr>
        <w:pStyle w:val="AERnumberedlistfirststyle"/>
        <w:numPr>
          <w:ilvl w:val="0"/>
          <w:numId w:val="0"/>
        </w:numPr>
        <w:ind w:left="357"/>
      </w:pPr>
      <w:r w:rsidRPr="00CB14A8">
        <w:t>AR</w:t>
      </w:r>
      <w:r w:rsidRPr="00275EAB">
        <w:rPr>
          <w:rStyle w:val="AERsubscript"/>
        </w:rPr>
        <w:t>2</w:t>
      </w:r>
      <w:r w:rsidRPr="00CB14A8">
        <w:t xml:space="preserve"> </w:t>
      </w:r>
      <w:r w:rsidR="00CB14A8">
        <w:tab/>
      </w:r>
      <w:r w:rsidRPr="00CB14A8">
        <w:t>=</w:t>
      </w:r>
      <w:r w:rsidRPr="00CB14A8">
        <w:tab/>
        <w:t>$</w:t>
      </w:r>
      <w:r w:rsidR="007D5F98">
        <w:t>747.4</w:t>
      </w:r>
      <w:r w:rsidRPr="00CB14A8">
        <w:t xml:space="preserve"> million</w:t>
      </w:r>
    </w:p>
    <w:p w:rsidR="00866487" w:rsidRDefault="00866487" w:rsidP="00866487">
      <w:pPr>
        <w:pStyle w:val="AERbodytext"/>
      </w:pPr>
      <w:r>
        <w:t xml:space="preserve">where: </w:t>
      </w:r>
    </w:p>
    <w:p w:rsidR="00866487" w:rsidRPr="007A1946" w:rsidRDefault="00866487" w:rsidP="00275EAB">
      <w:pPr>
        <w:pStyle w:val="AERnumberedlistfirststyle"/>
        <w:numPr>
          <w:ilvl w:val="0"/>
          <w:numId w:val="0"/>
        </w:numPr>
        <w:ind w:left="357"/>
      </w:pPr>
      <w:r>
        <w:t>AR</w:t>
      </w:r>
      <w:r w:rsidRPr="00275EAB">
        <w:rPr>
          <w:rStyle w:val="AERsubscript"/>
        </w:rPr>
        <w:t>2</w:t>
      </w:r>
      <w:r>
        <w:t xml:space="preserve"> </w:t>
      </w:r>
      <w:r w:rsidR="00CB14A8">
        <w:tab/>
      </w:r>
      <w:r>
        <w:t xml:space="preserve">= </w:t>
      </w:r>
      <w:r>
        <w:tab/>
        <w:t>the allowed revenue for year 2 of TransGrid's 2014–18 period.</w:t>
      </w:r>
    </w:p>
    <w:p w:rsidR="007A1946" w:rsidRPr="007A1946" w:rsidRDefault="007A1946" w:rsidP="007A1946">
      <w:pPr>
        <w:pStyle w:val="Heading3"/>
      </w:pPr>
      <w:bookmarkStart w:id="24" w:name="_Ref401844468"/>
      <w:bookmarkStart w:id="25" w:name="_Toc404178333"/>
      <w:r w:rsidRPr="007A1946">
        <w:t>Annual revenue adjustment process</w:t>
      </w:r>
      <w:bookmarkEnd w:id="24"/>
      <w:bookmarkEnd w:id="25"/>
    </w:p>
    <w:p w:rsidR="007A1946" w:rsidRDefault="007A1946" w:rsidP="007A1946">
      <w:pPr>
        <w:pStyle w:val="AERbodytext"/>
      </w:pPr>
      <w:r w:rsidRPr="0076152C">
        <w:t>The PTRM incorporates a forecast inflation rate to calculate the expected MAR</w:t>
      </w:r>
      <w:r w:rsidR="00CB14A8">
        <w:t xml:space="preserve"> (excluding</w:t>
      </w:r>
      <w:r w:rsidRPr="0076152C">
        <w:t xml:space="preserve"> </w:t>
      </w:r>
      <w:r w:rsidR="00CB14A8">
        <w:t>performance incentive scheme revenue adjustments and pass through amount that may apply to each regulatory year)</w:t>
      </w:r>
      <w:r w:rsidR="00CB14A8" w:rsidRPr="0076152C">
        <w:t xml:space="preserve"> </w:t>
      </w:r>
      <w:r w:rsidRPr="0076152C">
        <w:t xml:space="preserve">in nominal dollar terms, whereas the actual MAR for each year is adjusted for actual inflation. </w:t>
      </w:r>
      <w:r>
        <w:t xml:space="preserve">As discussed in </w:t>
      </w:r>
      <w:r w:rsidR="00672D55">
        <w:t>the return on debt appendix</w:t>
      </w:r>
      <w:r>
        <w:t xml:space="preserve">, we will update </w:t>
      </w:r>
      <w:r w:rsidR="00DA1841">
        <w:t>TransGrid's</w:t>
      </w:r>
      <w:r>
        <w:t xml:space="preserve"> return on debt annually. This means the actual MAR for each year will also be adjusted for revised X factors after the annual return on debt update.</w:t>
      </w:r>
      <w:r w:rsidRPr="0076152C">
        <w:t xml:space="preserve"> This annual </w:t>
      </w:r>
      <w:r>
        <w:t xml:space="preserve">revenue </w:t>
      </w:r>
      <w:r w:rsidRPr="0076152C">
        <w:t>adjustment process is set out below.</w:t>
      </w:r>
      <w:r>
        <w:t xml:space="preserve"> </w:t>
      </w:r>
    </w:p>
    <w:p w:rsidR="007A1946" w:rsidRPr="00480F8B" w:rsidRDefault="007A1946" w:rsidP="007A1946">
      <w:pPr>
        <w:pStyle w:val="AERbodytext"/>
      </w:pPr>
      <w:r w:rsidRPr="00480F8B">
        <w:t>The MAR for the subsequent year of the regulatory control period requires an annual adjustment based on the previous year’s AR.</w:t>
      </w:r>
      <w:r w:rsidRPr="00480F8B">
        <w:rPr>
          <w:rStyle w:val="FootnoteReference"/>
        </w:rPr>
        <w:footnoteReference w:id="22"/>
      </w:r>
      <w:r w:rsidRPr="00480F8B">
        <w:t xml:space="preserve"> That is, the subsequent year’s AR is determined by adjusting the previous year’s AR for actual inflation and the X factor</w:t>
      </w:r>
      <w:r>
        <w:t xml:space="preserve"> determined after the annual </w:t>
      </w:r>
      <w:r w:rsidR="00CB14A8">
        <w:t>return on</w:t>
      </w:r>
      <w:r>
        <w:t xml:space="preserve"> debt update</w:t>
      </w:r>
      <w:r w:rsidRPr="00480F8B">
        <w:t xml:space="preserve">: </w:t>
      </w:r>
    </w:p>
    <w:p w:rsidR="007A1946" w:rsidRPr="00480F8B" w:rsidRDefault="007A1946" w:rsidP="007A1946">
      <w:pPr>
        <w:pStyle w:val="AERbodytext"/>
      </w:pPr>
      <w:r w:rsidRPr="00480F8B">
        <w:t xml:space="preserve"> </w:t>
      </w:r>
      <w:r w:rsidRPr="00480F8B">
        <w:tab/>
      </w:r>
      <w:proofErr w:type="spellStart"/>
      <w:r w:rsidRPr="00480F8B">
        <w:t>AR</w:t>
      </w:r>
      <w:r w:rsidRPr="00B72E64">
        <w:rPr>
          <w:rStyle w:val="AERtextitalic"/>
          <w:vertAlign w:val="subscript"/>
        </w:rPr>
        <w:t>t</w:t>
      </w:r>
      <w:proofErr w:type="spellEnd"/>
      <w:r w:rsidRPr="00480F8B">
        <w:t xml:space="preserve"> </w:t>
      </w:r>
      <w:r w:rsidRPr="00480F8B">
        <w:tab/>
        <w:t>=</w:t>
      </w:r>
      <w:r w:rsidRPr="00480F8B">
        <w:tab/>
        <w:t>AR</w:t>
      </w:r>
      <w:r w:rsidRPr="00B72E64">
        <w:rPr>
          <w:rStyle w:val="AERsubscript"/>
          <w:i/>
        </w:rPr>
        <w:t>t</w:t>
      </w:r>
      <w:r w:rsidRPr="00480F8B">
        <w:rPr>
          <w:rStyle w:val="AERsubscript"/>
        </w:rPr>
        <w:t xml:space="preserve">-1 </w:t>
      </w:r>
      <w:r w:rsidRPr="00480F8B">
        <w:t xml:space="preserve">× (1 + ∆CPI) × (1 – </w:t>
      </w:r>
      <w:proofErr w:type="spellStart"/>
      <w:r w:rsidRPr="00480F8B">
        <w:t>X</w:t>
      </w:r>
      <w:r w:rsidRPr="00B72E64">
        <w:rPr>
          <w:rStyle w:val="AERtextitalic"/>
          <w:vertAlign w:val="subscript"/>
        </w:rPr>
        <w:t>t</w:t>
      </w:r>
      <w:proofErr w:type="spellEnd"/>
      <w:r w:rsidRPr="00480F8B">
        <w:t>)</w:t>
      </w:r>
    </w:p>
    <w:p w:rsidR="007A1946" w:rsidRPr="00480F8B" w:rsidRDefault="007A1946" w:rsidP="007A1946">
      <w:pPr>
        <w:pStyle w:val="AERbodytext"/>
      </w:pPr>
      <w:r w:rsidRPr="00480F8B">
        <w:t>where:</w:t>
      </w:r>
    </w:p>
    <w:p w:rsidR="007A1946" w:rsidRPr="00480F8B" w:rsidRDefault="007A1946" w:rsidP="007A1946">
      <w:pPr>
        <w:pStyle w:val="AERbodytext"/>
      </w:pPr>
      <w:r w:rsidRPr="00480F8B">
        <w:lastRenderedPageBreak/>
        <w:t xml:space="preserve"> </w:t>
      </w:r>
      <w:r w:rsidRPr="00480F8B">
        <w:tab/>
        <w:t>AR</w:t>
      </w:r>
      <w:r w:rsidRPr="00480F8B">
        <w:tab/>
        <w:t>=</w:t>
      </w:r>
      <w:r w:rsidRPr="00480F8B">
        <w:tab/>
        <w:t>the allowed revenue</w:t>
      </w:r>
    </w:p>
    <w:p w:rsidR="007A1946" w:rsidRPr="007A1946" w:rsidRDefault="007A1946" w:rsidP="00185C70">
      <w:pPr>
        <w:pStyle w:val="AERnumberedlist2third"/>
        <w:numPr>
          <w:ilvl w:val="0"/>
          <w:numId w:val="0"/>
        </w:numPr>
        <w:ind w:left="1446" w:hanging="635"/>
      </w:pPr>
      <w:r w:rsidRPr="00480F8B">
        <w:rPr>
          <w:rStyle w:val="AERtextitalic"/>
        </w:rPr>
        <w:t>t</w:t>
      </w:r>
      <w:r w:rsidRPr="007A1946">
        <w:tab/>
        <w:t>=</w:t>
      </w:r>
      <w:r w:rsidRPr="007A1946">
        <w:tab/>
        <w:t xml:space="preserve">time period/financial year (for </w:t>
      </w:r>
      <w:r w:rsidRPr="007A1946">
        <w:rPr>
          <w:rStyle w:val="AERtextitalic"/>
        </w:rPr>
        <w:t xml:space="preserve">t </w:t>
      </w:r>
      <w:r w:rsidRPr="007A1946">
        <w:t>= 3</w:t>
      </w:r>
      <w:r w:rsidR="008C0A1A">
        <w:t xml:space="preserve"> (2016–17)</w:t>
      </w:r>
      <w:r w:rsidRPr="007A1946">
        <w:t>, 4</w:t>
      </w:r>
      <w:r w:rsidR="008C0A1A">
        <w:t xml:space="preserve"> (2017–18)</w:t>
      </w:r>
      <w:r w:rsidR="007143F8">
        <w:t>)</w:t>
      </w:r>
      <w:r w:rsidRPr="007A1946">
        <w:t xml:space="preserve"> </w:t>
      </w:r>
    </w:p>
    <w:p w:rsidR="007A1946" w:rsidRPr="00480F8B" w:rsidRDefault="007A1946" w:rsidP="007A1946">
      <w:pPr>
        <w:pStyle w:val="AERbodytext"/>
      </w:pPr>
      <w:r w:rsidRPr="00480F8B">
        <w:t xml:space="preserve"> </w:t>
      </w:r>
      <w:r w:rsidRPr="00480F8B">
        <w:tab/>
        <w:t>∆CPI</w:t>
      </w:r>
      <w:r w:rsidRPr="00480F8B">
        <w:tab/>
        <w:t>=</w:t>
      </w:r>
      <w:r w:rsidRPr="00480F8B">
        <w:tab/>
        <w:t>the annual percentage change in the ABS Consumer price index all</w:t>
      </w:r>
      <w:r w:rsidRPr="00480F8B">
        <w:tab/>
      </w:r>
      <w:r w:rsidRPr="00480F8B">
        <w:tab/>
      </w:r>
      <w:r w:rsidRPr="00480F8B">
        <w:tab/>
      </w:r>
      <w:r w:rsidRPr="00480F8B">
        <w:tab/>
        <w:t xml:space="preserve">groups, weighted average of eight capital cities from </w:t>
      </w:r>
      <w:r>
        <w:t>December</w:t>
      </w:r>
      <w:r w:rsidRPr="00480F8B">
        <w:t xml:space="preserve"> in </w:t>
      </w:r>
      <w:r w:rsidRPr="00480F8B">
        <w:br/>
      </w:r>
      <w:r w:rsidRPr="00480F8B">
        <w:tab/>
      </w:r>
      <w:r w:rsidRPr="00480F8B">
        <w:tab/>
      </w:r>
      <w:r w:rsidRPr="00480F8B">
        <w:tab/>
        <w:t xml:space="preserve">year </w:t>
      </w:r>
      <w:r w:rsidRPr="00480F8B">
        <w:rPr>
          <w:rStyle w:val="AERtextitalic"/>
        </w:rPr>
        <w:t>t</w:t>
      </w:r>
      <w:r w:rsidRPr="00480F8B">
        <w:t xml:space="preserve"> – 2 to </w:t>
      </w:r>
      <w:r>
        <w:t>December</w:t>
      </w:r>
      <w:r w:rsidRPr="00480F8B">
        <w:t xml:space="preserve"> in year </w:t>
      </w:r>
      <w:r w:rsidRPr="00480F8B">
        <w:rPr>
          <w:rStyle w:val="AERtextitalic"/>
        </w:rPr>
        <w:t>t</w:t>
      </w:r>
      <w:r w:rsidRPr="00480F8B">
        <w:t xml:space="preserve"> – 1</w:t>
      </w:r>
      <w:r w:rsidRPr="00480F8B">
        <w:rPr>
          <w:rStyle w:val="FootnoteReference"/>
        </w:rPr>
        <w:footnoteReference w:id="23"/>
      </w:r>
    </w:p>
    <w:p w:rsidR="007A1946" w:rsidRPr="00480F8B" w:rsidRDefault="007A1946" w:rsidP="007A1946">
      <w:pPr>
        <w:pStyle w:val="AERbodytext"/>
      </w:pPr>
      <w:r w:rsidRPr="00480F8B">
        <w:t xml:space="preserve"> </w:t>
      </w:r>
      <w:r w:rsidRPr="00480F8B">
        <w:tab/>
        <w:t>X</w:t>
      </w:r>
      <w:r w:rsidRPr="00480F8B">
        <w:tab/>
        <w:t>=</w:t>
      </w:r>
      <w:r w:rsidRPr="00480F8B">
        <w:tab/>
        <w:t>the smoothing factor</w:t>
      </w:r>
      <w:r>
        <w:t xml:space="preserve"> determined </w:t>
      </w:r>
      <w:r w:rsidR="00AF1F97">
        <w:t xml:space="preserve">in accordance with the PTRM as approved </w:t>
      </w:r>
      <w:r w:rsidR="00AF1F97">
        <w:tab/>
      </w:r>
      <w:r w:rsidR="00AF1F97">
        <w:tab/>
      </w:r>
      <w:r w:rsidR="00AF1F97">
        <w:tab/>
        <w:t>in the AER's final decision, and annually revised for the</w:t>
      </w:r>
      <w:r w:rsidRPr="009C0DEC">
        <w:t xml:space="preserve"> </w:t>
      </w:r>
      <w:r>
        <w:t>return on debt update</w:t>
      </w:r>
      <w:r w:rsidR="00AF1F97">
        <w:t xml:space="preserve"> </w:t>
      </w:r>
      <w:r w:rsidR="00AF1F97">
        <w:tab/>
      </w:r>
      <w:r w:rsidR="00AF1F97">
        <w:tab/>
      </w:r>
      <w:r w:rsidR="00AF1F97">
        <w:tab/>
      </w:r>
      <w:r w:rsidR="00672D55">
        <w:t xml:space="preserve">in accordance with the formula specified in the return on debt appendix </w:t>
      </w:r>
      <w:r w:rsidR="00672D55">
        <w:tab/>
      </w:r>
      <w:r w:rsidR="00672D55">
        <w:tab/>
      </w:r>
      <w:r w:rsidR="00672D55">
        <w:tab/>
      </w:r>
      <w:r w:rsidR="00672D55">
        <w:tab/>
      </w:r>
      <w:r w:rsidR="00AF1F97">
        <w:t>calculated for the relevant year</w:t>
      </w:r>
      <w:r>
        <w:t>.</w:t>
      </w:r>
    </w:p>
    <w:p w:rsidR="007A1946" w:rsidRPr="00480F8B" w:rsidRDefault="007A1946" w:rsidP="007A1946">
      <w:pPr>
        <w:pStyle w:val="AERbodytext"/>
      </w:pPr>
      <w:r w:rsidRPr="00480F8B">
        <w:t>The MAR is determined annually in accordance with the NER by adding to (or deducting from) the AR:</w:t>
      </w:r>
    </w:p>
    <w:p w:rsidR="007A1946" w:rsidRPr="00480F8B" w:rsidRDefault="007A1946" w:rsidP="007A1946">
      <w:pPr>
        <w:pStyle w:val="AERbulletlistfirststyle"/>
      </w:pPr>
      <w:r w:rsidRPr="00480F8B">
        <w:t>the service target performance incentive scheme revenue increment (or revenue decrement)</w:t>
      </w:r>
      <w:r w:rsidRPr="00480F8B">
        <w:rPr>
          <w:rStyle w:val="FootnoteReference"/>
        </w:rPr>
        <w:footnoteReference w:id="24"/>
      </w:r>
    </w:p>
    <w:p w:rsidR="007A1946" w:rsidRPr="00480F8B" w:rsidRDefault="007A1946" w:rsidP="007A1946">
      <w:pPr>
        <w:pStyle w:val="AERbulletlistfirststyle"/>
      </w:pPr>
      <w:r w:rsidRPr="00480F8B">
        <w:t>any approved pass through amounts.</w:t>
      </w:r>
      <w:r w:rsidRPr="00480F8B">
        <w:rPr>
          <w:rStyle w:val="FootnoteReference"/>
        </w:rPr>
        <w:footnoteReference w:id="25"/>
      </w:r>
    </w:p>
    <w:p w:rsidR="007A1946" w:rsidRPr="00480F8B" w:rsidRDefault="00600D9C" w:rsidP="007A1946">
      <w:pPr>
        <w:pStyle w:val="AERbodytext"/>
      </w:pPr>
      <w:r>
        <w:fldChar w:fldCharType="begin"/>
      </w:r>
      <w:r>
        <w:instrText xml:space="preserve"> REF _Ref402787037 \h </w:instrText>
      </w:r>
      <w:r>
        <w:fldChar w:fldCharType="separate"/>
      </w:r>
      <w:r w:rsidR="00C1101B" w:rsidRPr="004258A6">
        <w:t xml:space="preserve">Table </w:t>
      </w:r>
      <w:r w:rsidR="00C1101B">
        <w:rPr>
          <w:noProof/>
        </w:rPr>
        <w:t>1</w:t>
      </w:r>
      <w:r w:rsidR="00C1101B">
        <w:noBreakHyphen/>
      </w:r>
      <w:r w:rsidR="00C1101B">
        <w:rPr>
          <w:noProof/>
        </w:rPr>
        <w:t>4</w:t>
      </w:r>
      <w:r>
        <w:fldChar w:fldCharType="end"/>
      </w:r>
      <w:r>
        <w:t xml:space="preserve"> </w:t>
      </w:r>
      <w:r w:rsidR="007A1946" w:rsidRPr="00480F8B">
        <w:t>sets out the timing of the annual calculation of the AR and performance incentive:</w:t>
      </w:r>
    </w:p>
    <w:p w:rsidR="007A1946" w:rsidRPr="00480F8B" w:rsidRDefault="007A1946" w:rsidP="007A1946">
      <w:pPr>
        <w:pStyle w:val="AERbodytextindent2"/>
      </w:pPr>
      <w:proofErr w:type="spellStart"/>
      <w:r w:rsidRPr="00480F8B">
        <w:t>MAR</w:t>
      </w:r>
      <w:r w:rsidRPr="00B72E64">
        <w:rPr>
          <w:rStyle w:val="AERtextitalic"/>
          <w:vertAlign w:val="subscript"/>
        </w:rPr>
        <w:t>t</w:t>
      </w:r>
      <w:proofErr w:type="spellEnd"/>
      <w:r w:rsidRPr="00480F8B">
        <w:tab/>
        <w:t>=</w:t>
      </w:r>
      <w:r w:rsidRPr="00480F8B">
        <w:tab/>
        <w:t>(allowed revenue) + (performance incentive) + (pass through)</w:t>
      </w:r>
    </w:p>
    <w:p w:rsidR="007A1946" w:rsidRPr="00480F8B" w:rsidRDefault="007A1946" w:rsidP="007A1946">
      <w:pPr>
        <w:pStyle w:val="AERbodytextindent2"/>
      </w:pPr>
      <w:r w:rsidRPr="00480F8B">
        <w:tab/>
      </w:r>
      <w:r w:rsidRPr="00480F8B">
        <w:tab/>
        <w:t>=</w:t>
      </w:r>
      <w:r w:rsidRPr="00480F8B">
        <w:tab/>
      </w:r>
      <w:proofErr w:type="spellStart"/>
      <w:r w:rsidRPr="00480F8B">
        <w:t>AR</w:t>
      </w:r>
      <w:r w:rsidRPr="00B72E64">
        <w:rPr>
          <w:rStyle w:val="AERtextitalic"/>
          <w:vertAlign w:val="subscript"/>
        </w:rPr>
        <w:t>t</w:t>
      </w:r>
      <w:proofErr w:type="spellEnd"/>
      <w:r w:rsidRPr="00480F8B">
        <w:rPr>
          <w:rStyle w:val="AERtextitalic"/>
        </w:rPr>
        <w:t xml:space="preserve"> </w:t>
      </w:r>
      <w:r w:rsidRPr="00480F8B">
        <w:t xml:space="preserve">+ </w:t>
      </w:r>
      <w:r w:rsidRPr="007A1946">
        <w:rPr>
          <w:noProof/>
          <w:lang w:eastAsia="en-AU"/>
        </w:rPr>
        <w:drawing>
          <wp:inline distT="0" distB="0" distL="0" distR="0" wp14:anchorId="0D871FCB" wp14:editId="13DB594F">
            <wp:extent cx="1477645" cy="446405"/>
            <wp:effectExtent l="0" t="0" r="825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7645" cy="446405"/>
                    </a:xfrm>
                    <a:prstGeom prst="rect">
                      <a:avLst/>
                    </a:prstGeom>
                    <a:noFill/>
                    <a:ln>
                      <a:noFill/>
                    </a:ln>
                  </pic:spPr>
                </pic:pic>
              </a:graphicData>
            </a:graphic>
          </wp:inline>
        </w:drawing>
      </w:r>
      <w:r w:rsidRPr="00480F8B">
        <w:t xml:space="preserve">+ </w:t>
      </w:r>
      <w:proofErr w:type="spellStart"/>
      <w:r w:rsidRPr="00480F8B">
        <w:t>P</w:t>
      </w:r>
      <w:r w:rsidRPr="00B72E64">
        <w:rPr>
          <w:rStyle w:val="AERtextitalic"/>
          <w:vertAlign w:val="subscript"/>
        </w:rPr>
        <w:t>t</w:t>
      </w:r>
      <w:proofErr w:type="spellEnd"/>
    </w:p>
    <w:p w:rsidR="007A1946" w:rsidRPr="00480F8B" w:rsidRDefault="007A1946" w:rsidP="007A1946">
      <w:pPr>
        <w:pStyle w:val="AERbodytext"/>
      </w:pPr>
      <w:r w:rsidRPr="00480F8B">
        <w:t>where:</w:t>
      </w:r>
    </w:p>
    <w:p w:rsidR="007A1946" w:rsidRPr="00480F8B" w:rsidRDefault="007A1946" w:rsidP="007A1946">
      <w:pPr>
        <w:pStyle w:val="AERbodytext"/>
      </w:pPr>
      <w:r w:rsidRPr="00480F8B">
        <w:t xml:space="preserve"> </w:t>
      </w:r>
      <w:r w:rsidRPr="00480F8B">
        <w:tab/>
        <w:t>MAR</w:t>
      </w:r>
      <w:r w:rsidRPr="00480F8B">
        <w:tab/>
        <w:t>=</w:t>
      </w:r>
      <w:r w:rsidRPr="00480F8B">
        <w:tab/>
        <w:t>the maximum allowed revenue</w:t>
      </w:r>
    </w:p>
    <w:p w:rsidR="007A1946" w:rsidRPr="00480F8B" w:rsidRDefault="007A1946" w:rsidP="007A1946">
      <w:pPr>
        <w:pStyle w:val="AERbodytext"/>
      </w:pPr>
      <w:r w:rsidRPr="00480F8B">
        <w:t xml:space="preserve"> </w:t>
      </w:r>
      <w:r w:rsidRPr="00480F8B">
        <w:tab/>
        <w:t>AR</w:t>
      </w:r>
      <w:r w:rsidRPr="00480F8B">
        <w:tab/>
        <w:t>=</w:t>
      </w:r>
      <w:r w:rsidRPr="00480F8B">
        <w:tab/>
        <w:t>the allowed revenue</w:t>
      </w:r>
    </w:p>
    <w:p w:rsidR="007A1946" w:rsidRPr="00480F8B" w:rsidRDefault="007A1946" w:rsidP="007A1946">
      <w:pPr>
        <w:pStyle w:val="AERbodytext"/>
      </w:pPr>
      <w:r w:rsidRPr="00480F8B">
        <w:t xml:space="preserve"> </w:t>
      </w:r>
      <w:r w:rsidRPr="00480F8B">
        <w:tab/>
        <w:t>S</w:t>
      </w:r>
      <w:r w:rsidRPr="00480F8B">
        <w:tab/>
        <w:t>=</w:t>
      </w:r>
      <w:r w:rsidRPr="00480F8B">
        <w:tab/>
        <w:t xml:space="preserve">the revenue increment or decrement determined in accordance with </w:t>
      </w:r>
      <w:r w:rsidRPr="00480F8B">
        <w:tab/>
      </w:r>
      <w:r w:rsidRPr="00480F8B">
        <w:tab/>
      </w:r>
      <w:r w:rsidRPr="00480F8B">
        <w:tab/>
        <w:t xml:space="preserve">            </w:t>
      </w:r>
      <w:r>
        <w:tab/>
      </w:r>
      <w:r w:rsidRPr="00480F8B">
        <w:t xml:space="preserve">the service target performance incentive scheme </w:t>
      </w:r>
    </w:p>
    <w:p w:rsidR="007A1946" w:rsidRPr="00480F8B" w:rsidRDefault="007A1946" w:rsidP="007A1946">
      <w:pPr>
        <w:pStyle w:val="AERbodytext"/>
      </w:pPr>
      <w:r w:rsidRPr="00480F8B">
        <w:t xml:space="preserve"> </w:t>
      </w:r>
      <w:r w:rsidRPr="00480F8B">
        <w:tab/>
        <w:t>P</w:t>
      </w:r>
      <w:r w:rsidRPr="00480F8B">
        <w:tab/>
        <w:t>=</w:t>
      </w:r>
      <w:r w:rsidRPr="00480F8B">
        <w:tab/>
        <w:t xml:space="preserve">the pass through amount </w:t>
      </w:r>
      <w:r>
        <w:t xml:space="preserve">(positive or negative) </w:t>
      </w:r>
      <w:r w:rsidRPr="00480F8B">
        <w:t xml:space="preserve">that the AER has determined </w:t>
      </w:r>
      <w:r>
        <w:tab/>
      </w:r>
      <w:r>
        <w:tab/>
      </w:r>
      <w:r>
        <w:tab/>
      </w:r>
      <w:r w:rsidRPr="00480F8B">
        <w:t>in</w:t>
      </w:r>
      <w:r>
        <w:t xml:space="preserve"> </w:t>
      </w:r>
      <w:r w:rsidRPr="00480F8B">
        <w:t>accordance with clauses 6A.7.2 and 6A.7.3 of the NER</w:t>
      </w:r>
    </w:p>
    <w:p w:rsidR="007A1946" w:rsidRPr="00480F8B" w:rsidRDefault="007A1946" w:rsidP="007A1946">
      <w:pPr>
        <w:pStyle w:val="AERbodytext"/>
      </w:pPr>
      <w:r w:rsidRPr="00480F8B">
        <w:tab/>
      </w:r>
      <w:r w:rsidRPr="00480F8B">
        <w:rPr>
          <w:rStyle w:val="AERtextitalic"/>
        </w:rPr>
        <w:t>t</w:t>
      </w:r>
      <w:r w:rsidRPr="00480F8B">
        <w:tab/>
        <w:t>=</w:t>
      </w:r>
      <w:r w:rsidRPr="00480F8B">
        <w:tab/>
        <w:t xml:space="preserve">time period/financial year (for </w:t>
      </w:r>
      <w:r w:rsidRPr="00480F8B">
        <w:rPr>
          <w:rStyle w:val="AERtextitalic"/>
        </w:rPr>
        <w:t xml:space="preserve">t </w:t>
      </w:r>
      <w:r w:rsidRPr="00480F8B">
        <w:t>= 2</w:t>
      </w:r>
      <w:r w:rsidR="008C0A1A">
        <w:t xml:space="preserve"> (2015–16)</w:t>
      </w:r>
      <w:r w:rsidRPr="00480F8B">
        <w:t>, 3</w:t>
      </w:r>
      <w:r w:rsidR="008C0A1A">
        <w:t xml:space="preserve"> (2016–17</w:t>
      </w:r>
      <w:r>
        <w:t>, 4</w:t>
      </w:r>
      <w:r w:rsidR="008C0A1A">
        <w:t xml:space="preserve"> (2017–18)</w:t>
      </w:r>
      <w:r w:rsidRPr="00480F8B">
        <w:t>)</w:t>
      </w:r>
    </w:p>
    <w:p w:rsidR="007A1946" w:rsidRPr="00480F8B" w:rsidRDefault="007A1946" w:rsidP="007A1946">
      <w:pPr>
        <w:pStyle w:val="AERbodytext"/>
      </w:pPr>
      <w:r w:rsidRPr="00480F8B">
        <w:lastRenderedPageBreak/>
        <w:t xml:space="preserve"> </w:t>
      </w:r>
      <w:r w:rsidRPr="00480F8B">
        <w:tab/>
      </w:r>
      <w:proofErr w:type="spellStart"/>
      <w:r w:rsidRPr="00480F8B">
        <w:rPr>
          <w:rStyle w:val="AERtextitalic"/>
        </w:rPr>
        <w:t>ct</w:t>
      </w:r>
      <w:proofErr w:type="spellEnd"/>
      <w:r w:rsidRPr="00480F8B">
        <w:tab/>
        <w:t>=</w:t>
      </w:r>
      <w:r w:rsidRPr="00480F8B">
        <w:tab/>
        <w:t xml:space="preserve">time period/calendar year (for </w:t>
      </w:r>
      <w:r w:rsidRPr="00480F8B">
        <w:rPr>
          <w:rStyle w:val="AERtextitalic"/>
        </w:rPr>
        <w:t xml:space="preserve">t </w:t>
      </w:r>
      <w:r w:rsidRPr="00480F8B">
        <w:t>= 2</w:t>
      </w:r>
      <w:r w:rsidR="008C0A1A">
        <w:t xml:space="preserve"> (2014)</w:t>
      </w:r>
      <w:r w:rsidRPr="00480F8B">
        <w:t>, 3</w:t>
      </w:r>
      <w:r w:rsidR="008C0A1A">
        <w:t xml:space="preserve"> (2015)</w:t>
      </w:r>
      <w:r>
        <w:t>, 4</w:t>
      </w:r>
      <w:r w:rsidR="008C0A1A">
        <w:t xml:space="preserve"> (2016)</w:t>
      </w:r>
      <w:r w:rsidRPr="00480F8B">
        <w:t>).</w:t>
      </w:r>
    </w:p>
    <w:p w:rsidR="007A1946" w:rsidRPr="00480F8B" w:rsidRDefault="007A1946" w:rsidP="007A1946">
      <w:pPr>
        <w:pStyle w:val="AERbodytext"/>
      </w:pPr>
      <w:bookmarkStart w:id="26" w:name="_Ref308101958"/>
      <w:r w:rsidRPr="00480F8B">
        <w:t xml:space="preserve">Under the NER, a TNSP </w:t>
      </w:r>
      <w:r>
        <w:t>may</w:t>
      </w:r>
      <w:r w:rsidRPr="00480F8B">
        <w:t xml:space="preserve"> also adjust the MAR for under or over</w:t>
      </w:r>
      <w:r w:rsidR="0004254D">
        <w:t>-</w:t>
      </w:r>
      <w:r w:rsidRPr="00480F8B">
        <w:t>recovery amounts.</w:t>
      </w:r>
      <w:r w:rsidRPr="00480F8B">
        <w:rPr>
          <w:rStyle w:val="FootnoteReference"/>
        </w:rPr>
        <w:footnoteReference w:id="26"/>
      </w:r>
      <w:r w:rsidR="006C073E">
        <w:t xml:space="preserve"> That is, the revenue amounts recovered higher or lower than the approved MAR for each year would be included in the subsequent year's MAR. In the case of an under</w:t>
      </w:r>
      <w:r w:rsidR="0004254D">
        <w:t>-</w:t>
      </w:r>
      <w:r w:rsidR="006C073E">
        <w:t>recovery, the amount would be added to the future yea</w:t>
      </w:r>
      <w:r w:rsidR="0004254D">
        <w:t>r's MAR. In the case of an over-</w:t>
      </w:r>
      <w:r w:rsidR="006C073E">
        <w:t>recovery, the amount would be subtracted from the future year's MAR.</w:t>
      </w:r>
    </w:p>
    <w:p w:rsidR="007A1946" w:rsidRPr="004258A6" w:rsidRDefault="007A1946" w:rsidP="007A1946">
      <w:pPr>
        <w:pStyle w:val="Caption"/>
      </w:pPr>
      <w:bookmarkStart w:id="27" w:name="_Ref402787037"/>
      <w:bookmarkStart w:id="28" w:name="_Ref339369029"/>
      <w:bookmarkStart w:id="29" w:name="_Ref359493711"/>
      <w:r w:rsidRPr="004258A6">
        <w:t xml:space="preserve">Table </w:t>
      </w:r>
      <w:r w:rsidR="00D46AB4">
        <w:fldChar w:fldCharType="begin"/>
      </w:r>
      <w:r w:rsidR="00D46AB4">
        <w:instrText xml:space="preserve"> STYLE</w:instrText>
      </w:r>
      <w:r w:rsidR="00D46AB4">
        <w:instrText xml:space="preserve">REF 1 \s </w:instrText>
      </w:r>
      <w:r w:rsidR="00D46AB4">
        <w:fldChar w:fldCharType="separate"/>
      </w:r>
      <w:r w:rsidR="00C1101B">
        <w:rPr>
          <w:noProof/>
        </w:rPr>
        <w:t>1</w:t>
      </w:r>
      <w:r w:rsidR="00D46AB4">
        <w:rPr>
          <w:noProof/>
        </w:rPr>
        <w:fldChar w:fldCharType="end"/>
      </w:r>
      <w:r w:rsidR="00E72B7D">
        <w:noBreakHyphen/>
      </w:r>
      <w:r w:rsidR="00D46AB4">
        <w:fldChar w:fldCharType="begin"/>
      </w:r>
      <w:r w:rsidR="00D46AB4">
        <w:instrText xml:space="preserve"> SEQ Table \* ARABIC \s 1 </w:instrText>
      </w:r>
      <w:r w:rsidR="00D46AB4">
        <w:fldChar w:fldCharType="separate"/>
      </w:r>
      <w:r w:rsidR="00C1101B">
        <w:rPr>
          <w:noProof/>
        </w:rPr>
        <w:t>4</w:t>
      </w:r>
      <w:r w:rsidR="00D46AB4">
        <w:rPr>
          <w:noProof/>
        </w:rPr>
        <w:fldChar w:fldCharType="end"/>
      </w:r>
      <w:bookmarkEnd w:id="27"/>
      <w:r w:rsidRPr="004258A6">
        <w:tab/>
        <w:t>Timing of the calculation of allowed revenues and the performance incentive for Trans</w:t>
      </w:r>
      <w:r>
        <w:t>Grid</w:t>
      </w:r>
    </w:p>
    <w:tbl>
      <w:tblPr>
        <w:tblStyle w:val="AERtable-text"/>
        <w:tblW w:w="5006" w:type="pct"/>
        <w:tblLook w:val="04A0" w:firstRow="1" w:lastRow="0" w:firstColumn="1" w:lastColumn="0" w:noHBand="0" w:noVBand="1"/>
      </w:tblPr>
      <w:tblGrid>
        <w:gridCol w:w="703"/>
        <w:gridCol w:w="3581"/>
        <w:gridCol w:w="794"/>
        <w:gridCol w:w="4175"/>
      </w:tblGrid>
      <w:tr w:rsidR="007A1946" w:rsidRPr="00976461" w:rsidTr="009E0241">
        <w:trPr>
          <w:cnfStyle w:val="100000000000" w:firstRow="1" w:lastRow="0" w:firstColumn="0" w:lastColumn="0" w:oddVBand="0" w:evenVBand="0" w:oddHBand="0" w:evenHBand="0" w:firstRowFirstColumn="0" w:firstRowLastColumn="0" w:lastRowFirstColumn="0" w:lastRowLastColumn="0"/>
          <w:trHeight w:val="507"/>
        </w:trPr>
        <w:tc>
          <w:tcPr>
            <w:tcW w:w="380" w:type="pct"/>
          </w:tcPr>
          <w:p w:rsidR="007A1946" w:rsidRPr="007A1946" w:rsidRDefault="007A1946" w:rsidP="007A1946">
            <w:pPr>
              <w:pStyle w:val="AERtabletextleft"/>
              <w:rPr>
                <w:rStyle w:val="AERtextitalic"/>
              </w:rPr>
            </w:pPr>
            <w:r w:rsidRPr="00480F8B">
              <w:rPr>
                <w:rStyle w:val="AERtextitalic"/>
              </w:rPr>
              <w:t>t</w:t>
            </w:r>
          </w:p>
        </w:tc>
        <w:tc>
          <w:tcPr>
            <w:tcW w:w="1935" w:type="pct"/>
          </w:tcPr>
          <w:p w:rsidR="007A1946" w:rsidRPr="007A1946" w:rsidRDefault="007A1946" w:rsidP="007A1946">
            <w:pPr>
              <w:pStyle w:val="AERtabletextleft"/>
            </w:pPr>
            <w:r w:rsidRPr="00480F8B">
              <w:t>Allowed revenue (financial year)</w:t>
            </w:r>
          </w:p>
        </w:tc>
        <w:tc>
          <w:tcPr>
            <w:tcW w:w="429" w:type="pct"/>
          </w:tcPr>
          <w:p w:rsidR="007A1946" w:rsidRPr="007A1946" w:rsidRDefault="007A1946" w:rsidP="007A1946">
            <w:pPr>
              <w:pStyle w:val="AERtabletextleft"/>
              <w:rPr>
                <w:rStyle w:val="AERtextitalic"/>
              </w:rPr>
            </w:pPr>
            <w:proofErr w:type="spellStart"/>
            <w:r w:rsidRPr="00480F8B">
              <w:rPr>
                <w:rStyle w:val="AERtextitalic"/>
              </w:rPr>
              <w:t>ct</w:t>
            </w:r>
            <w:proofErr w:type="spellEnd"/>
          </w:p>
        </w:tc>
        <w:tc>
          <w:tcPr>
            <w:tcW w:w="2256" w:type="pct"/>
          </w:tcPr>
          <w:p w:rsidR="007A1946" w:rsidRPr="007A1946" w:rsidRDefault="007A1946" w:rsidP="007A1946">
            <w:pPr>
              <w:pStyle w:val="AERtabletextleft"/>
            </w:pPr>
            <w:r w:rsidRPr="00480F8B">
              <w:t>Performance incentive (calendar year)</w:t>
            </w:r>
          </w:p>
        </w:tc>
      </w:tr>
      <w:tr w:rsidR="007A1946" w:rsidRPr="00976461" w:rsidTr="009E0241">
        <w:trPr>
          <w:trHeight w:val="507"/>
        </w:trPr>
        <w:tc>
          <w:tcPr>
            <w:tcW w:w="380" w:type="pct"/>
          </w:tcPr>
          <w:p w:rsidR="007A1946" w:rsidRPr="007A1946" w:rsidRDefault="007A1946" w:rsidP="007A1946">
            <w:pPr>
              <w:pStyle w:val="AERtabletextleft"/>
            </w:pPr>
            <w:r w:rsidRPr="00480F8B">
              <w:t>2</w:t>
            </w:r>
          </w:p>
        </w:tc>
        <w:tc>
          <w:tcPr>
            <w:tcW w:w="1935" w:type="pct"/>
          </w:tcPr>
          <w:p w:rsidR="007A1946" w:rsidRPr="007A1946" w:rsidRDefault="007A1946" w:rsidP="007A1946">
            <w:pPr>
              <w:pStyle w:val="AERtabletextleft"/>
            </w:pPr>
            <w:r w:rsidRPr="00480F8B">
              <w:t xml:space="preserve">1 </w:t>
            </w:r>
            <w:r w:rsidRPr="007A1946">
              <w:t>July 2015–30 June 2016</w:t>
            </w:r>
          </w:p>
        </w:tc>
        <w:tc>
          <w:tcPr>
            <w:tcW w:w="429" w:type="pct"/>
          </w:tcPr>
          <w:p w:rsidR="007A1946" w:rsidRPr="007A1946" w:rsidRDefault="007A1946" w:rsidP="007A1946">
            <w:pPr>
              <w:pStyle w:val="AERtabletextleft"/>
            </w:pPr>
            <w:r w:rsidRPr="00480F8B">
              <w:t>2</w:t>
            </w:r>
          </w:p>
        </w:tc>
        <w:tc>
          <w:tcPr>
            <w:tcW w:w="2256" w:type="pct"/>
          </w:tcPr>
          <w:p w:rsidR="007A1946" w:rsidRPr="007A1946" w:rsidRDefault="007A1946" w:rsidP="007A1946">
            <w:pPr>
              <w:pStyle w:val="AERtabletextleft"/>
            </w:pPr>
            <w:r w:rsidRPr="00480F8B">
              <w:t>1 January 2014–31 December 2014</w:t>
            </w:r>
          </w:p>
        </w:tc>
      </w:tr>
      <w:tr w:rsidR="007A1946" w:rsidRPr="00976461" w:rsidTr="009E0241">
        <w:trPr>
          <w:cnfStyle w:val="000000010000" w:firstRow="0" w:lastRow="0" w:firstColumn="0" w:lastColumn="0" w:oddVBand="0" w:evenVBand="0" w:oddHBand="0" w:evenHBand="1" w:firstRowFirstColumn="0" w:firstRowLastColumn="0" w:lastRowFirstColumn="0" w:lastRowLastColumn="0"/>
          <w:trHeight w:val="507"/>
        </w:trPr>
        <w:tc>
          <w:tcPr>
            <w:tcW w:w="380" w:type="pct"/>
          </w:tcPr>
          <w:p w:rsidR="007A1946" w:rsidRPr="007A1946" w:rsidRDefault="007A1946" w:rsidP="007A1946">
            <w:pPr>
              <w:pStyle w:val="AERtabletextleft"/>
            </w:pPr>
            <w:r w:rsidRPr="00480F8B">
              <w:t>3</w:t>
            </w:r>
          </w:p>
        </w:tc>
        <w:tc>
          <w:tcPr>
            <w:tcW w:w="1935" w:type="pct"/>
          </w:tcPr>
          <w:p w:rsidR="007A1946" w:rsidRPr="007A1946" w:rsidRDefault="007A1946" w:rsidP="007A1946">
            <w:pPr>
              <w:pStyle w:val="AERtabletextleft"/>
            </w:pPr>
            <w:r w:rsidRPr="00480F8B">
              <w:t xml:space="preserve">1 </w:t>
            </w:r>
            <w:r w:rsidRPr="007A1946">
              <w:t>July 2016–30 June 2017</w:t>
            </w:r>
          </w:p>
        </w:tc>
        <w:tc>
          <w:tcPr>
            <w:tcW w:w="429" w:type="pct"/>
          </w:tcPr>
          <w:p w:rsidR="007A1946" w:rsidRPr="007A1946" w:rsidRDefault="007A1946" w:rsidP="007A1946">
            <w:pPr>
              <w:pStyle w:val="AERtabletextleft"/>
            </w:pPr>
            <w:r w:rsidRPr="00480F8B">
              <w:t>3</w:t>
            </w:r>
          </w:p>
        </w:tc>
        <w:tc>
          <w:tcPr>
            <w:tcW w:w="2256" w:type="pct"/>
          </w:tcPr>
          <w:p w:rsidR="007A1946" w:rsidRPr="007A1946" w:rsidRDefault="007A1946" w:rsidP="007A1946">
            <w:pPr>
              <w:pStyle w:val="AERtabletextleft"/>
            </w:pPr>
            <w:r w:rsidRPr="00480F8B">
              <w:t>1 January 2015–31 December 2015</w:t>
            </w:r>
          </w:p>
        </w:tc>
      </w:tr>
      <w:tr w:rsidR="007A1946" w:rsidRPr="00976461" w:rsidTr="009E0241">
        <w:trPr>
          <w:trHeight w:val="507"/>
        </w:trPr>
        <w:tc>
          <w:tcPr>
            <w:tcW w:w="380" w:type="pct"/>
          </w:tcPr>
          <w:p w:rsidR="007A1946" w:rsidRPr="007A1946" w:rsidRDefault="007A1946" w:rsidP="007A1946">
            <w:pPr>
              <w:pStyle w:val="AERtabletextleft"/>
            </w:pPr>
            <w:r>
              <w:t>4</w:t>
            </w:r>
          </w:p>
        </w:tc>
        <w:tc>
          <w:tcPr>
            <w:tcW w:w="1935" w:type="pct"/>
          </w:tcPr>
          <w:p w:rsidR="007A1946" w:rsidRPr="007A1946" w:rsidRDefault="007A1946" w:rsidP="007A1946">
            <w:pPr>
              <w:pStyle w:val="AERtabletextleft"/>
            </w:pPr>
            <w:r>
              <w:t>1 July 2017–30 June 2018</w:t>
            </w:r>
          </w:p>
        </w:tc>
        <w:tc>
          <w:tcPr>
            <w:tcW w:w="429" w:type="pct"/>
          </w:tcPr>
          <w:p w:rsidR="007A1946" w:rsidRPr="007A1946" w:rsidRDefault="007A1946" w:rsidP="007A1946">
            <w:pPr>
              <w:pStyle w:val="AERtabletextleft"/>
            </w:pPr>
            <w:r>
              <w:t>4</w:t>
            </w:r>
          </w:p>
        </w:tc>
        <w:tc>
          <w:tcPr>
            <w:tcW w:w="2256" w:type="pct"/>
          </w:tcPr>
          <w:p w:rsidR="007A1946" w:rsidRPr="007A1946" w:rsidRDefault="007A1946" w:rsidP="007A1946">
            <w:pPr>
              <w:pStyle w:val="AERtabletextleft"/>
            </w:pPr>
            <w:r>
              <w:t>1 January 2016–31 December 2016</w:t>
            </w:r>
          </w:p>
        </w:tc>
      </w:tr>
    </w:tbl>
    <w:bookmarkEnd w:id="26"/>
    <w:bookmarkEnd w:id="28"/>
    <w:bookmarkEnd w:id="29"/>
    <w:p w:rsidR="007A1946" w:rsidRPr="007A1946" w:rsidRDefault="0083721D" w:rsidP="00275EAB">
      <w:pPr>
        <w:pStyle w:val="AERtablesource"/>
      </w:pPr>
      <w:r>
        <w:t>Note:</w:t>
      </w:r>
      <w:r>
        <w:tab/>
        <w:t xml:space="preserve">The performance incentive for 1 January 2013–31 December 2013 is to be applied to the AR determined for </w:t>
      </w:r>
      <w:r>
        <w:br/>
        <w:t>2014–15 (AR</w:t>
      </w:r>
      <w:r>
        <w:rPr>
          <w:rStyle w:val="AERsubscript"/>
        </w:rPr>
        <w:t>1</w:t>
      </w:r>
      <w:r w:rsidRPr="0083721D">
        <w:rPr>
          <w:rStyle w:val="AERsubscript"/>
          <w:vertAlign w:val="baseline"/>
        </w:rPr>
        <w:t>)</w:t>
      </w:r>
      <w:r>
        <w:rPr>
          <w:rStyle w:val="AERsubscript"/>
        </w:rPr>
        <w:t>.</w:t>
      </w:r>
    </w:p>
    <w:p w:rsidR="007A1946" w:rsidRPr="007A1946" w:rsidRDefault="007A1946" w:rsidP="007A1946">
      <w:pPr>
        <w:pStyle w:val="Heading3"/>
      </w:pPr>
      <w:bookmarkStart w:id="30" w:name="_Toc404178334"/>
      <w:r w:rsidRPr="007A1946">
        <w:t>Average transmission charges</w:t>
      </w:r>
      <w:bookmarkEnd w:id="30"/>
    </w:p>
    <w:p w:rsidR="00ED09CD" w:rsidRPr="00ED09CD" w:rsidRDefault="007A1946" w:rsidP="00ED09CD">
      <w:pPr>
        <w:pStyle w:val="AERbodytext"/>
      </w:pPr>
      <w:r w:rsidRPr="00480F8B">
        <w:t xml:space="preserve">The NER does not require an estimate of transmission charges for a revenue determination of a TNSP. Nonetheless, we typically provide some indicative transmission </w:t>
      </w:r>
      <w:r w:rsidR="00BB27DA">
        <w:t>charges (and the resulting</w:t>
      </w:r>
      <w:r w:rsidR="00BB27DA" w:rsidRPr="00480F8B">
        <w:t xml:space="preserve"> </w:t>
      </w:r>
      <w:r w:rsidRPr="00480F8B">
        <w:t>impact</w:t>
      </w:r>
      <w:r w:rsidR="00BB27DA">
        <w:t xml:space="preserve"> on annual electricity bills) </w:t>
      </w:r>
      <w:r w:rsidRPr="00480F8B">
        <w:t>flowing from the revenue determination</w:t>
      </w:r>
      <w:r w:rsidR="000E6A1B">
        <w:t xml:space="preserve"> as discussed in section </w:t>
      </w:r>
      <w:r w:rsidR="000E6A1B">
        <w:fldChar w:fldCharType="begin"/>
      </w:r>
      <w:r w:rsidR="000E6A1B">
        <w:instrText xml:space="preserve"> REF _Ref400535824 \r \h </w:instrText>
      </w:r>
      <w:r w:rsidR="000E6A1B">
        <w:fldChar w:fldCharType="separate"/>
      </w:r>
      <w:r w:rsidR="00C1101B">
        <w:t>1.4.3</w:t>
      </w:r>
      <w:r w:rsidR="000E6A1B">
        <w:fldChar w:fldCharType="end"/>
      </w:r>
      <w:r w:rsidRPr="00480F8B">
        <w:t xml:space="preserve">. Although we assess </w:t>
      </w:r>
      <w:r>
        <w:t>TransGrid</w:t>
      </w:r>
      <w:r w:rsidRPr="00480F8B">
        <w:t>'s proposed pricing methodolog</w:t>
      </w:r>
      <w:r>
        <w:t>y as part of this determination</w:t>
      </w:r>
      <w:r w:rsidRPr="00480F8B">
        <w:t xml:space="preserve">, actual transmission charges established at particular connection points are not determined by us. </w:t>
      </w:r>
      <w:r>
        <w:t>TransGrid e</w:t>
      </w:r>
      <w:r w:rsidRPr="00480F8B">
        <w:t>stablish</w:t>
      </w:r>
      <w:r>
        <w:t>es</w:t>
      </w:r>
      <w:r w:rsidRPr="00480F8B">
        <w:t xml:space="preserve"> </w:t>
      </w:r>
      <w:r>
        <w:t xml:space="preserve">the </w:t>
      </w:r>
      <w:r w:rsidRPr="00480F8B">
        <w:t xml:space="preserve">transmission charges in accordance with </w:t>
      </w:r>
      <w:r>
        <w:t>its</w:t>
      </w:r>
      <w:r w:rsidRPr="00480F8B">
        <w:t xml:space="preserve"> approved pricing methodolog</w:t>
      </w:r>
      <w:r>
        <w:t>y</w:t>
      </w:r>
      <w:r w:rsidRPr="00480F8B">
        <w:t xml:space="preserve"> and the NER.</w:t>
      </w:r>
      <w:r w:rsidRPr="00480F8B">
        <w:rPr>
          <w:rStyle w:val="FootnoteReference"/>
        </w:rPr>
        <w:footnoteReference w:id="27"/>
      </w:r>
      <w:r>
        <w:t xml:space="preserve"> </w:t>
      </w:r>
    </w:p>
    <w:p w:rsidR="00B47945" w:rsidRDefault="00B47945" w:rsidP="00F0258A">
      <w:pPr>
        <w:pStyle w:val="Heading2"/>
      </w:pPr>
      <w:bookmarkStart w:id="31" w:name="_Toc387230869"/>
      <w:bookmarkStart w:id="32" w:name="_Toc404178335"/>
      <w:r w:rsidRPr="00B47945">
        <w:t>Reasons for draft decision</w:t>
      </w:r>
      <w:bookmarkEnd w:id="31"/>
      <w:bookmarkEnd w:id="32"/>
    </w:p>
    <w:p w:rsidR="00780BC8" w:rsidRPr="00780BC8" w:rsidRDefault="00780BC8" w:rsidP="0083721D">
      <w:pPr>
        <w:pStyle w:val="AERbodytext"/>
        <w:rPr>
          <w:rStyle w:val="AERbody"/>
          <w:rFonts w:eastAsia="Calibri"/>
        </w:rPr>
      </w:pPr>
      <w:r>
        <w:rPr>
          <w:rStyle w:val="AERbody"/>
        </w:rPr>
        <w:t>W</w:t>
      </w:r>
      <w:r w:rsidRPr="00C729DC">
        <w:rPr>
          <w:rStyle w:val="AERbody"/>
        </w:rPr>
        <w:t>e determine a total annual building block revenue requirement of</w:t>
      </w:r>
      <w:r>
        <w:rPr>
          <w:rStyle w:val="AERbody"/>
        </w:rPr>
        <w:t xml:space="preserve"> </w:t>
      </w:r>
      <w:r w:rsidRPr="00C729DC">
        <w:rPr>
          <w:rStyle w:val="AERbody"/>
        </w:rPr>
        <w:t>$</w:t>
      </w:r>
      <w:r w:rsidR="007D5F98">
        <w:rPr>
          <w:rStyle w:val="AERbody"/>
        </w:rPr>
        <w:t>3169.6</w:t>
      </w:r>
      <w:r w:rsidRPr="00C729DC">
        <w:rPr>
          <w:rStyle w:val="AERbody"/>
        </w:rPr>
        <w:t xml:space="preserve"> million ($ nominal) for </w:t>
      </w:r>
      <w:r>
        <w:rPr>
          <w:rStyle w:val="AERbody"/>
        </w:rPr>
        <w:t xml:space="preserve">TransGrid for the </w:t>
      </w:r>
      <w:r w:rsidRPr="0083721D">
        <w:rPr>
          <w:rStyle w:val="AERtexthighlight"/>
          <w:shd w:val="clear" w:color="auto" w:fill="auto"/>
        </w:rPr>
        <w:t>2014–18</w:t>
      </w:r>
      <w:r w:rsidRPr="0083721D">
        <w:rPr>
          <w:rStyle w:val="AERbody"/>
        </w:rPr>
        <w:t xml:space="preserve"> </w:t>
      </w:r>
      <w:r w:rsidRPr="00C729DC">
        <w:rPr>
          <w:rStyle w:val="AERbody"/>
        </w:rPr>
        <w:t xml:space="preserve">period. This compares to </w:t>
      </w:r>
      <w:r>
        <w:rPr>
          <w:rStyle w:val="AERbody"/>
        </w:rPr>
        <w:t>TransGrid</w:t>
      </w:r>
      <w:r w:rsidRPr="00C729DC">
        <w:rPr>
          <w:rStyle w:val="AERbody"/>
        </w:rPr>
        <w:t>'s proposed total annual building block revenue requirement of $</w:t>
      </w:r>
      <w:r>
        <w:rPr>
          <w:rStyle w:val="AERbody"/>
        </w:rPr>
        <w:t>388</w:t>
      </w:r>
      <w:r w:rsidR="003C4894">
        <w:rPr>
          <w:rStyle w:val="AERbody"/>
        </w:rPr>
        <w:t>6.8</w:t>
      </w:r>
      <w:r w:rsidRPr="00C729DC">
        <w:t xml:space="preserve"> </w:t>
      </w:r>
      <w:r w:rsidRPr="00C729DC">
        <w:rPr>
          <w:rStyle w:val="AERbody"/>
        </w:rPr>
        <w:t xml:space="preserve">million ($ nominal) for this period. </w:t>
      </w:r>
    </w:p>
    <w:p w:rsidR="00780BC8" w:rsidRPr="00C729DC" w:rsidRDefault="00E72B7D" w:rsidP="00780BC8">
      <w:pPr>
        <w:pStyle w:val="AERbodytext"/>
        <w:rPr>
          <w:rStyle w:val="AERbody"/>
        </w:rPr>
      </w:pPr>
      <w:r>
        <w:rPr>
          <w:rStyle w:val="AERbody"/>
        </w:rPr>
        <w:fldChar w:fldCharType="begin"/>
      </w:r>
      <w:r>
        <w:rPr>
          <w:rStyle w:val="AERbody"/>
        </w:rPr>
        <w:instrText xml:space="preserve"> REF _Ref401844700 \h </w:instrText>
      </w:r>
      <w:r>
        <w:rPr>
          <w:rStyle w:val="AERbody"/>
        </w:rPr>
      </w:r>
      <w:r>
        <w:rPr>
          <w:rStyle w:val="AERbody"/>
        </w:rPr>
        <w:fldChar w:fldCharType="separate"/>
      </w:r>
      <w:r w:rsidR="00C1101B">
        <w:t xml:space="preserve">Figure </w:t>
      </w:r>
      <w:r w:rsidR="00C1101B">
        <w:rPr>
          <w:noProof/>
        </w:rPr>
        <w:t>1</w:t>
      </w:r>
      <w:r w:rsidR="00C1101B">
        <w:noBreakHyphen/>
      </w:r>
      <w:r w:rsidR="00C1101B">
        <w:rPr>
          <w:noProof/>
        </w:rPr>
        <w:t>1</w:t>
      </w:r>
      <w:r>
        <w:rPr>
          <w:rStyle w:val="AERbody"/>
        </w:rPr>
        <w:fldChar w:fldCharType="end"/>
      </w:r>
      <w:r>
        <w:rPr>
          <w:rStyle w:val="AERbody"/>
        </w:rPr>
        <w:t xml:space="preserve"> </w:t>
      </w:r>
      <w:r w:rsidR="00780BC8" w:rsidRPr="00C729DC">
        <w:rPr>
          <w:rStyle w:val="AERbody"/>
        </w:rPr>
        <w:t>show</w:t>
      </w:r>
      <w:r w:rsidR="00780BC8">
        <w:rPr>
          <w:rStyle w:val="AERbody"/>
        </w:rPr>
        <w:t>s</w:t>
      </w:r>
      <w:r w:rsidR="00780BC8" w:rsidRPr="00C729DC">
        <w:rPr>
          <w:rStyle w:val="AERbody"/>
        </w:rPr>
        <w:t xml:space="preserve"> </w:t>
      </w:r>
      <w:r w:rsidR="00780BC8" w:rsidRPr="00C729DC">
        <w:t xml:space="preserve">the building block components from our determination that make up the annual </w:t>
      </w:r>
      <w:r w:rsidR="00780BC8" w:rsidRPr="00C729DC">
        <w:rPr>
          <w:rStyle w:val="AERbody"/>
        </w:rPr>
        <w:t xml:space="preserve">building block revenue requirement </w:t>
      </w:r>
      <w:r w:rsidR="00780BC8">
        <w:t xml:space="preserve">for TransGrid, </w:t>
      </w:r>
      <w:r w:rsidR="00780BC8" w:rsidRPr="00C729DC">
        <w:rPr>
          <w:rStyle w:val="AERbody"/>
        </w:rPr>
        <w:t xml:space="preserve">and the corresponding components from </w:t>
      </w:r>
      <w:r w:rsidR="00780BC8">
        <w:rPr>
          <w:rStyle w:val="AERbody"/>
        </w:rPr>
        <w:t xml:space="preserve">its </w:t>
      </w:r>
      <w:r w:rsidR="00780BC8" w:rsidRPr="00C729DC">
        <w:rPr>
          <w:rStyle w:val="AERbody"/>
        </w:rPr>
        <w:t>proposal.</w:t>
      </w:r>
    </w:p>
    <w:p w:rsidR="00780BC8" w:rsidRPr="00C729DC" w:rsidRDefault="00780BC8" w:rsidP="00780BC8">
      <w:pPr>
        <w:pStyle w:val="AERbodytext"/>
      </w:pPr>
      <w:r w:rsidRPr="00C729DC">
        <w:t xml:space="preserve">We have calculated the annual building block revenue requirement for </w:t>
      </w:r>
      <w:r>
        <w:t xml:space="preserve">TransGrid </w:t>
      </w:r>
      <w:r w:rsidRPr="00C729DC">
        <w:t xml:space="preserve">based on our draft decision on </w:t>
      </w:r>
      <w:r w:rsidR="008A0C83">
        <w:t xml:space="preserve">each of </w:t>
      </w:r>
      <w:r w:rsidRPr="00C729DC">
        <w:t xml:space="preserve">these building block components. The revenues </w:t>
      </w:r>
      <w:r w:rsidR="008A0C83">
        <w:t>are</w:t>
      </w:r>
      <w:r w:rsidR="008A0C83" w:rsidRPr="00C729DC">
        <w:t xml:space="preserve"> </w:t>
      </w:r>
      <w:r w:rsidRPr="00C729DC">
        <w:t xml:space="preserve">affected by our changes to </w:t>
      </w:r>
      <w:r>
        <w:t>TransGrid's</w:t>
      </w:r>
      <w:r w:rsidRPr="00C729DC">
        <w:t xml:space="preserve"> proposed building blocks. These changes include:</w:t>
      </w:r>
    </w:p>
    <w:p w:rsidR="00780BC8" w:rsidRPr="00C729DC" w:rsidRDefault="00780BC8" w:rsidP="00780BC8">
      <w:pPr>
        <w:pStyle w:val="AERbulletlistfirststyle"/>
      </w:pPr>
      <w:r w:rsidRPr="00C729DC">
        <w:t xml:space="preserve">forecast operating expenditure (attachment </w:t>
      </w:r>
      <w:r w:rsidR="007D5F98">
        <w:t>7</w:t>
      </w:r>
      <w:r w:rsidRPr="00C729DC">
        <w:t>)</w:t>
      </w:r>
    </w:p>
    <w:p w:rsidR="00780BC8" w:rsidRDefault="00780BC8" w:rsidP="007D5F98">
      <w:pPr>
        <w:pStyle w:val="AERbulletlistfirststyle"/>
      </w:pPr>
      <w:r w:rsidRPr="00C729DC">
        <w:t xml:space="preserve">the </w:t>
      </w:r>
      <w:r>
        <w:t>rate of return</w:t>
      </w:r>
      <w:r w:rsidRPr="00C729DC">
        <w:t xml:space="preserve"> (attachment </w:t>
      </w:r>
      <w:r w:rsidR="007D5F98">
        <w:t>3</w:t>
      </w:r>
      <w:r w:rsidRPr="00C729DC">
        <w:t>)</w:t>
      </w:r>
    </w:p>
    <w:p w:rsidR="00780BC8" w:rsidRPr="00C729DC" w:rsidRDefault="00780BC8" w:rsidP="00780BC8">
      <w:pPr>
        <w:pStyle w:val="AERbulletlistfirststyle"/>
      </w:pPr>
      <w:r w:rsidRPr="00C729DC">
        <w:lastRenderedPageBreak/>
        <w:t xml:space="preserve">the </w:t>
      </w:r>
      <w:r w:rsidR="00394947">
        <w:t xml:space="preserve">forecast </w:t>
      </w:r>
      <w:r w:rsidRPr="00C729DC">
        <w:t xml:space="preserve">opening RAB (attachment </w:t>
      </w:r>
      <w:r w:rsidR="00197953">
        <w:t>2</w:t>
      </w:r>
      <w:r w:rsidRPr="00C729DC">
        <w:t xml:space="preserve">) and forecast capital expenditure (attachment </w:t>
      </w:r>
      <w:r w:rsidR="00197953">
        <w:t>6</w:t>
      </w:r>
      <w:r w:rsidRPr="00C729DC">
        <w:t>)</w:t>
      </w:r>
    </w:p>
    <w:p w:rsidR="00780BC8" w:rsidRPr="00C729DC" w:rsidRDefault="00780BC8" w:rsidP="00780BC8">
      <w:pPr>
        <w:pStyle w:val="AERbulletlistfirststyle"/>
      </w:pPr>
      <w:r w:rsidRPr="00C729DC">
        <w:t xml:space="preserve">forecast regulatory depreciation (attachment </w:t>
      </w:r>
      <w:r w:rsidR="00197953">
        <w:t>5</w:t>
      </w:r>
      <w:r w:rsidRPr="00C729DC">
        <w:t>)</w:t>
      </w:r>
    </w:p>
    <w:p w:rsidR="00780BC8" w:rsidRPr="00C729DC" w:rsidRDefault="00780BC8" w:rsidP="00780BC8">
      <w:pPr>
        <w:pStyle w:val="AERbulletlistfirststyle"/>
      </w:pPr>
      <w:r w:rsidRPr="00C729DC">
        <w:t xml:space="preserve">the estimated cost of corporate income tax (attachment </w:t>
      </w:r>
      <w:r w:rsidR="00197953">
        <w:t>8</w:t>
      </w:r>
      <w:r w:rsidRPr="00C729DC">
        <w:t>).</w:t>
      </w:r>
    </w:p>
    <w:p w:rsidR="00780BC8" w:rsidRPr="00C729DC" w:rsidRDefault="00E72B7D" w:rsidP="00E72B7D">
      <w:pPr>
        <w:pStyle w:val="Caption"/>
      </w:pPr>
      <w:bookmarkStart w:id="33" w:name="_Ref401844700"/>
      <w:r>
        <w:t xml:space="preserve">Figure </w:t>
      </w:r>
      <w:r w:rsidR="00D46AB4">
        <w:fldChar w:fldCharType="begin"/>
      </w:r>
      <w:r w:rsidR="00D46AB4">
        <w:instrText xml:space="preserve"> STYLEREF 1 \s </w:instrText>
      </w:r>
      <w:r w:rsidR="00D46AB4">
        <w:fldChar w:fldCharType="separate"/>
      </w:r>
      <w:r w:rsidR="00C1101B">
        <w:rPr>
          <w:noProof/>
        </w:rPr>
        <w:t>1</w:t>
      </w:r>
      <w:r w:rsidR="00D46AB4">
        <w:rPr>
          <w:noProof/>
        </w:rPr>
        <w:fldChar w:fldCharType="end"/>
      </w:r>
      <w:r>
        <w:noBreakHyphen/>
      </w:r>
      <w:r w:rsidR="00D46AB4">
        <w:fldChar w:fldCharType="begin"/>
      </w:r>
      <w:r w:rsidR="00D46AB4">
        <w:instrText xml:space="preserve"> SEQ Figure \* ARABIC \s 1 </w:instrText>
      </w:r>
      <w:r w:rsidR="00D46AB4">
        <w:fldChar w:fldCharType="separate"/>
      </w:r>
      <w:r w:rsidR="00C1101B">
        <w:rPr>
          <w:noProof/>
        </w:rPr>
        <w:t>1</w:t>
      </w:r>
      <w:r w:rsidR="00D46AB4">
        <w:rPr>
          <w:noProof/>
        </w:rPr>
        <w:fldChar w:fldCharType="end"/>
      </w:r>
      <w:bookmarkEnd w:id="33"/>
      <w:r>
        <w:tab/>
      </w:r>
      <w:r w:rsidR="00780BC8" w:rsidRPr="00C729DC">
        <w:t xml:space="preserve">AER's draft decision and </w:t>
      </w:r>
      <w:r w:rsidR="00780BC8">
        <w:t>TransGrid</w:t>
      </w:r>
      <w:r w:rsidR="00780BC8" w:rsidRPr="00C729DC">
        <w:t>'s proposed annual building block revenue requirement ($ million, nominal)</w:t>
      </w:r>
    </w:p>
    <w:p w:rsidR="00780BC8" w:rsidRPr="00C729DC" w:rsidRDefault="00197953" w:rsidP="00197953">
      <w:pPr>
        <w:pStyle w:val="AERbodytext"/>
      </w:pPr>
      <w:r w:rsidRPr="00197953">
        <w:rPr>
          <w:noProof/>
          <w:lang w:eastAsia="en-AU"/>
        </w:rPr>
        <w:drawing>
          <wp:inline distT="0" distB="0" distL="0" distR="0" wp14:anchorId="60FDF145" wp14:editId="091DC3CA">
            <wp:extent cx="5391150" cy="394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3943350"/>
                    </a:xfrm>
                    <a:prstGeom prst="rect">
                      <a:avLst/>
                    </a:prstGeom>
                    <a:noFill/>
                    <a:ln>
                      <a:noFill/>
                    </a:ln>
                  </pic:spPr>
                </pic:pic>
              </a:graphicData>
            </a:graphic>
          </wp:inline>
        </w:drawing>
      </w:r>
    </w:p>
    <w:p w:rsidR="00780BC8" w:rsidRDefault="00780BC8" w:rsidP="00780BC8">
      <w:pPr>
        <w:pStyle w:val="AERtablesource"/>
      </w:pPr>
      <w:r w:rsidRPr="00C729DC">
        <w:t xml:space="preserve">Source: </w:t>
      </w:r>
      <w:r w:rsidRPr="00C729DC">
        <w:tab/>
        <w:t>AER analysis.</w:t>
      </w:r>
    </w:p>
    <w:p w:rsidR="00B47945" w:rsidRDefault="00780BC8" w:rsidP="00F0258A">
      <w:pPr>
        <w:pStyle w:val="Heading3"/>
      </w:pPr>
      <w:bookmarkStart w:id="34" w:name="_Toc404178336"/>
      <w:r>
        <w:t>X factor, annual expected MAR and estimated total revenue cap</w:t>
      </w:r>
      <w:bookmarkEnd w:id="34"/>
    </w:p>
    <w:p w:rsidR="00780BC8" w:rsidRDefault="00780BC8" w:rsidP="00556E5F">
      <w:pPr>
        <w:pStyle w:val="AERbodytext"/>
        <w:rPr>
          <w:rStyle w:val="AERbody"/>
        </w:rPr>
      </w:pPr>
      <w:r>
        <w:t>For this draft decision, w</w:t>
      </w:r>
      <w:r w:rsidRPr="00C729DC">
        <w:t xml:space="preserve">e determine an X factor of </w:t>
      </w:r>
      <w:r w:rsidR="00197953">
        <w:t>–0.5</w:t>
      </w:r>
      <w:r w:rsidRPr="00C729DC">
        <w:t xml:space="preserve"> per cent per annum for </w:t>
      </w:r>
      <w:r>
        <w:t xml:space="preserve">the years </w:t>
      </w:r>
      <w:r w:rsidRPr="00C729DC">
        <w:t>201</w:t>
      </w:r>
      <w:r w:rsidR="00556E5F">
        <w:t>6</w:t>
      </w:r>
      <w:r w:rsidRPr="00C729DC">
        <w:t>–1</w:t>
      </w:r>
      <w:r w:rsidR="00556E5F">
        <w:t>7</w:t>
      </w:r>
      <w:r w:rsidRPr="00C729DC">
        <w:t xml:space="preserve"> </w:t>
      </w:r>
      <w:r w:rsidR="00556E5F">
        <w:t xml:space="preserve">and </w:t>
      </w:r>
      <w:r w:rsidRPr="00C729DC">
        <w:t>201</w:t>
      </w:r>
      <w:r>
        <w:t>7</w:t>
      </w:r>
      <w:r w:rsidRPr="00C729DC">
        <w:t>–1</w:t>
      </w:r>
      <w:r>
        <w:t xml:space="preserve">8 for TransGrid. </w:t>
      </w:r>
      <w:r w:rsidRPr="00C729DC">
        <w:t xml:space="preserve">The </w:t>
      </w:r>
      <w:r w:rsidR="005E2EEB">
        <w:t>NPV</w:t>
      </w:r>
      <w:r w:rsidRPr="00C729DC">
        <w:t xml:space="preserve"> of the annual building block revenue requirement is $</w:t>
      </w:r>
      <w:r w:rsidR="00197953">
        <w:t>2662.1 </w:t>
      </w:r>
      <w:r w:rsidRPr="00C729DC">
        <w:t xml:space="preserve">million ($ nominal) </w:t>
      </w:r>
      <w:r>
        <w:t>as at 1 July 2014.</w:t>
      </w:r>
      <w:r w:rsidRPr="00C729DC">
        <w:t xml:space="preserve"> Based on </w:t>
      </w:r>
      <w:r>
        <w:t>this</w:t>
      </w:r>
      <w:r w:rsidRPr="00C729DC">
        <w:t xml:space="preserve"> </w:t>
      </w:r>
      <w:r w:rsidR="005E2EEB">
        <w:t>NPV</w:t>
      </w:r>
      <w:r>
        <w:t xml:space="preserve"> </w:t>
      </w:r>
      <w:r w:rsidRPr="00C729DC">
        <w:t>and applying the CPI–X method</w:t>
      </w:r>
      <w:r>
        <w:t xml:space="preserve"> (including the true-up requirement for the transitional regulatory control period)</w:t>
      </w:r>
      <w:r w:rsidRPr="00C729DC">
        <w:t>, we determine that</w:t>
      </w:r>
      <w:r>
        <w:t xml:space="preserve"> t</w:t>
      </w:r>
      <w:r w:rsidRPr="00C729DC">
        <w:t xml:space="preserve">he annual expected MAR (smoothed) for </w:t>
      </w:r>
      <w:r>
        <w:t>TransGrid</w:t>
      </w:r>
      <w:r w:rsidRPr="00C729DC">
        <w:t xml:space="preserve"> decreases from $</w:t>
      </w:r>
      <w:r>
        <w:t>845.4</w:t>
      </w:r>
      <w:r w:rsidRPr="00C729DC">
        <w:t xml:space="preserve"> million in 2014–15 to $</w:t>
      </w:r>
      <w:r w:rsidR="00197953">
        <w:t>793.1 </w:t>
      </w:r>
      <w:r w:rsidRPr="00C729DC">
        <w:t>million in 201</w:t>
      </w:r>
      <w:r>
        <w:t>7</w:t>
      </w:r>
      <w:r w:rsidRPr="00C729DC">
        <w:t>–1</w:t>
      </w:r>
      <w:r>
        <w:t>8</w:t>
      </w:r>
      <w:r w:rsidRPr="00C729DC">
        <w:t xml:space="preserve"> ($ nominal). The resulting</w:t>
      </w:r>
      <w:r w:rsidRPr="00C729DC">
        <w:rPr>
          <w:rStyle w:val="AERbody"/>
        </w:rPr>
        <w:t xml:space="preserve"> estimated total revenue cap for </w:t>
      </w:r>
      <w:r>
        <w:rPr>
          <w:rStyle w:val="AERbody"/>
        </w:rPr>
        <w:t>TransGrid</w:t>
      </w:r>
      <w:r w:rsidRPr="00C729DC">
        <w:rPr>
          <w:rStyle w:val="AERbody"/>
        </w:rPr>
        <w:t xml:space="preserve"> is $</w:t>
      </w:r>
      <w:r w:rsidR="00197953">
        <w:rPr>
          <w:rStyle w:val="AERbody"/>
        </w:rPr>
        <w:t xml:space="preserve">3155.9 </w:t>
      </w:r>
      <w:r w:rsidRPr="00C729DC">
        <w:rPr>
          <w:rStyle w:val="AERbody"/>
        </w:rPr>
        <w:t xml:space="preserve">million for the </w:t>
      </w:r>
      <w:r w:rsidRPr="00556E5F">
        <w:rPr>
          <w:rStyle w:val="AERtexthighlight"/>
          <w:shd w:val="clear" w:color="auto" w:fill="auto"/>
        </w:rPr>
        <w:t>2014–18</w:t>
      </w:r>
      <w:r w:rsidRPr="00C729DC">
        <w:rPr>
          <w:rStyle w:val="AERbody"/>
        </w:rPr>
        <w:t xml:space="preserve"> period</w:t>
      </w:r>
      <w:r w:rsidR="00BB2C33">
        <w:rPr>
          <w:rStyle w:val="AERbody"/>
        </w:rPr>
        <w:t xml:space="preserve"> or $</w:t>
      </w:r>
      <w:r w:rsidR="00197953">
        <w:rPr>
          <w:rStyle w:val="AERbody"/>
        </w:rPr>
        <w:t>2310.5</w:t>
      </w:r>
      <w:r w:rsidR="00BB2C33">
        <w:rPr>
          <w:rStyle w:val="AERbody"/>
        </w:rPr>
        <w:t xml:space="preserve"> million </w:t>
      </w:r>
      <w:r w:rsidR="00BB2C33" w:rsidRPr="00C729DC">
        <w:rPr>
          <w:rStyle w:val="AERbody"/>
        </w:rPr>
        <w:t xml:space="preserve">($ nominal) </w:t>
      </w:r>
      <w:r w:rsidR="00BB2C33">
        <w:rPr>
          <w:rStyle w:val="AERbody"/>
        </w:rPr>
        <w:t>for the 2015–1</w:t>
      </w:r>
      <w:r w:rsidR="002F323F">
        <w:rPr>
          <w:rStyle w:val="AERbody"/>
        </w:rPr>
        <w:t>8</w:t>
      </w:r>
      <w:r w:rsidR="00BB2C33">
        <w:rPr>
          <w:rStyle w:val="AERbody"/>
        </w:rPr>
        <w:t xml:space="preserve"> regulatory control period</w:t>
      </w:r>
      <w:r w:rsidRPr="00C729DC">
        <w:rPr>
          <w:rStyle w:val="AERbody"/>
        </w:rPr>
        <w:t xml:space="preserve">. </w:t>
      </w:r>
    </w:p>
    <w:p w:rsidR="00780BC8" w:rsidRPr="00780BC8" w:rsidRDefault="00E72B7D" w:rsidP="00556E5F">
      <w:pPr>
        <w:pStyle w:val="AERbodytext"/>
      </w:pPr>
      <w:r>
        <w:fldChar w:fldCharType="begin"/>
      </w:r>
      <w:r>
        <w:instrText xml:space="preserve"> REF _Ref401844574 \h </w:instrText>
      </w:r>
      <w:r>
        <w:fldChar w:fldCharType="separate"/>
      </w:r>
      <w:r w:rsidR="00C1101B" w:rsidRPr="00C729DC">
        <w:t xml:space="preserve">Figure </w:t>
      </w:r>
      <w:r w:rsidR="00C1101B">
        <w:rPr>
          <w:noProof/>
        </w:rPr>
        <w:t>1</w:t>
      </w:r>
      <w:r w:rsidR="00C1101B">
        <w:noBreakHyphen/>
      </w:r>
      <w:r w:rsidR="00C1101B">
        <w:rPr>
          <w:noProof/>
        </w:rPr>
        <w:t>2</w:t>
      </w:r>
      <w:r>
        <w:fldChar w:fldCharType="end"/>
      </w:r>
      <w:r>
        <w:t xml:space="preserve"> </w:t>
      </w:r>
      <w:r w:rsidR="00780BC8" w:rsidRPr="00C729DC">
        <w:t>show</w:t>
      </w:r>
      <w:r w:rsidR="00780BC8">
        <w:t>s</w:t>
      </w:r>
      <w:r w:rsidR="00780BC8" w:rsidRPr="00C729DC">
        <w:t xml:space="preserve"> our draft decision on </w:t>
      </w:r>
      <w:r w:rsidR="00780BC8">
        <w:t>TransGrid</w:t>
      </w:r>
      <w:r w:rsidR="00780BC8" w:rsidRPr="00C729DC">
        <w:t>'s annual expected MAR (smoothed revenue) and the annual building block revenue requirement (uns</w:t>
      </w:r>
      <w:r w:rsidR="00780BC8">
        <w:t xml:space="preserve">moothed revenue) for the </w:t>
      </w:r>
      <w:r w:rsidR="00780BC8" w:rsidRPr="00556E5F">
        <w:rPr>
          <w:rStyle w:val="AERtexthighlight"/>
          <w:shd w:val="clear" w:color="auto" w:fill="auto"/>
        </w:rPr>
        <w:t>2014–18</w:t>
      </w:r>
      <w:r w:rsidR="00780BC8" w:rsidRPr="00556E5F">
        <w:t xml:space="preserve"> </w:t>
      </w:r>
      <w:proofErr w:type="gramStart"/>
      <w:r w:rsidR="00780BC8">
        <w:t>period</w:t>
      </w:r>
      <w:proofErr w:type="gramEnd"/>
      <w:r w:rsidR="00780BC8" w:rsidRPr="00C729DC">
        <w:t>.</w:t>
      </w:r>
      <w:bookmarkStart w:id="35" w:name="_Ref365384727"/>
    </w:p>
    <w:p w:rsidR="00780BC8" w:rsidRPr="00C729DC" w:rsidRDefault="00780BC8" w:rsidP="00780BC8">
      <w:pPr>
        <w:pStyle w:val="Caption"/>
      </w:pPr>
      <w:bookmarkStart w:id="36" w:name="_Ref401844574"/>
      <w:r w:rsidRPr="00C729DC">
        <w:lastRenderedPageBreak/>
        <w:t xml:space="preserve">Figure </w:t>
      </w:r>
      <w:r w:rsidR="00D46AB4">
        <w:fldChar w:fldCharType="begin"/>
      </w:r>
      <w:r w:rsidR="00D46AB4">
        <w:instrText xml:space="preserve"> STYLEREF 1 \s </w:instrText>
      </w:r>
      <w:r w:rsidR="00D46AB4">
        <w:fldChar w:fldCharType="separate"/>
      </w:r>
      <w:r w:rsidR="00C1101B">
        <w:rPr>
          <w:noProof/>
        </w:rPr>
        <w:t>1</w:t>
      </w:r>
      <w:r w:rsidR="00D46AB4">
        <w:rPr>
          <w:noProof/>
        </w:rPr>
        <w:fldChar w:fldCharType="end"/>
      </w:r>
      <w:r w:rsidR="00E72B7D">
        <w:noBreakHyphen/>
      </w:r>
      <w:r w:rsidR="00D46AB4">
        <w:fldChar w:fldCharType="begin"/>
      </w:r>
      <w:r w:rsidR="00D46AB4">
        <w:instrText xml:space="preserve"> SEQ Figure \* ARABIC \s 1 </w:instrText>
      </w:r>
      <w:r w:rsidR="00D46AB4">
        <w:fldChar w:fldCharType="separate"/>
      </w:r>
      <w:r w:rsidR="00C1101B">
        <w:rPr>
          <w:noProof/>
        </w:rPr>
        <w:t>2</w:t>
      </w:r>
      <w:r w:rsidR="00D46AB4">
        <w:rPr>
          <w:noProof/>
        </w:rPr>
        <w:fldChar w:fldCharType="end"/>
      </w:r>
      <w:bookmarkEnd w:id="35"/>
      <w:bookmarkEnd w:id="36"/>
      <w:r w:rsidRPr="00C729DC">
        <w:tab/>
        <w:t xml:space="preserve">AER's draft decision on </w:t>
      </w:r>
      <w:r>
        <w:t>TransGrid</w:t>
      </w:r>
      <w:r w:rsidRPr="00C729DC">
        <w:t>'s annual expected MAR (smoothed) and annual building block revenue requirement (unsmoothed) ($ million, nominal)</w:t>
      </w:r>
    </w:p>
    <w:p w:rsidR="00780BC8" w:rsidRPr="00C729DC" w:rsidRDefault="00197953" w:rsidP="00197953">
      <w:pPr>
        <w:pStyle w:val="AERbodytext"/>
      </w:pPr>
      <w:r w:rsidRPr="00197953">
        <w:rPr>
          <w:noProof/>
          <w:lang w:eastAsia="en-AU"/>
        </w:rPr>
        <w:drawing>
          <wp:inline distT="0" distB="0" distL="0" distR="0" wp14:anchorId="55ECE4D6" wp14:editId="7C13D861">
            <wp:extent cx="5410200" cy="3238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0" cy="3238500"/>
                    </a:xfrm>
                    <a:prstGeom prst="rect">
                      <a:avLst/>
                    </a:prstGeom>
                    <a:noFill/>
                    <a:ln>
                      <a:noFill/>
                    </a:ln>
                  </pic:spPr>
                </pic:pic>
              </a:graphicData>
            </a:graphic>
          </wp:inline>
        </w:drawing>
      </w:r>
    </w:p>
    <w:p w:rsidR="00780BC8" w:rsidRDefault="00780BC8" w:rsidP="00780BC8">
      <w:pPr>
        <w:pStyle w:val="AERtablesource"/>
      </w:pPr>
      <w:r w:rsidRPr="00C729DC">
        <w:t xml:space="preserve">Source: </w:t>
      </w:r>
      <w:r w:rsidRPr="00C729DC">
        <w:tab/>
        <w:t>AER analysis.</w:t>
      </w:r>
    </w:p>
    <w:p w:rsidR="00BB2C33" w:rsidRDefault="00780BC8" w:rsidP="00B06463">
      <w:pPr>
        <w:pStyle w:val="AERbodytext"/>
      </w:pPr>
      <w:r w:rsidRPr="00C729DC">
        <w:t>To determine t</w:t>
      </w:r>
      <w:r>
        <w:t>he expected MAR for TransGrid</w:t>
      </w:r>
      <w:r w:rsidRPr="00C729DC">
        <w:t xml:space="preserve">, we </w:t>
      </w:r>
      <w:r>
        <w:t xml:space="preserve">first </w:t>
      </w:r>
      <w:r w:rsidRPr="00C729DC">
        <w:t>set the MAR for the first regulatory year</w:t>
      </w:r>
      <w:r>
        <w:t xml:space="preserve"> (2014–15)</w:t>
      </w:r>
      <w:r w:rsidRPr="00C729DC">
        <w:t xml:space="preserve"> </w:t>
      </w:r>
      <w:r>
        <w:t>at $845.4 million ($ nominal)</w:t>
      </w:r>
      <w:r w:rsidRPr="00C729DC">
        <w:t xml:space="preserve">. </w:t>
      </w:r>
      <w:r>
        <w:t>This is</w:t>
      </w:r>
      <w:r w:rsidRPr="00C729DC">
        <w:t xml:space="preserve"> </w:t>
      </w:r>
      <w:r>
        <w:t>equal to the placeholder revenue for 2014–15 that we determined for TransGrid in the transitional determination, and is $</w:t>
      </w:r>
      <w:r w:rsidR="00197953">
        <w:t>94.3</w:t>
      </w:r>
      <w:r>
        <w:t xml:space="preserve"> million higher than the </w:t>
      </w:r>
      <w:r w:rsidR="00197953">
        <w:br/>
      </w:r>
      <w:r>
        <w:t>2014–15 annual building block revenue requirement</w:t>
      </w:r>
      <w:r w:rsidR="00B77FEC">
        <w:t>, i.e. the notional MAR for 2014</w:t>
      </w:r>
      <w:r w:rsidR="003C4894">
        <w:t>–</w:t>
      </w:r>
      <w:r w:rsidR="00B77FEC">
        <w:t>15</w:t>
      </w:r>
      <w:r>
        <w:t>. W</w:t>
      </w:r>
      <w:r w:rsidRPr="00C729DC">
        <w:t xml:space="preserve">e </w:t>
      </w:r>
      <w:r>
        <w:t xml:space="preserve">then </w:t>
      </w:r>
      <w:r w:rsidRPr="00C729DC">
        <w:t xml:space="preserve">applied an X factor of </w:t>
      </w:r>
      <w:r w:rsidR="00197953">
        <w:t>13.7</w:t>
      </w:r>
      <w:r w:rsidRPr="00C729DC">
        <w:t xml:space="preserve"> per cent </w:t>
      </w:r>
      <w:r w:rsidR="00197953">
        <w:t xml:space="preserve">for 2015–16 and –0.5 per cent </w:t>
      </w:r>
      <w:r w:rsidR="00B06463">
        <w:t>for both 2016–17 and 2017–18</w:t>
      </w:r>
      <w:r>
        <w:t xml:space="preserve"> t</w:t>
      </w:r>
      <w:r w:rsidRPr="00C729DC">
        <w:t>o determine the expected MAR in subsequent years.</w:t>
      </w:r>
      <w:r w:rsidRPr="00C729DC">
        <w:rPr>
          <w:rStyle w:val="FootnoteReference"/>
        </w:rPr>
        <w:footnoteReference w:id="28"/>
      </w:r>
      <w:r w:rsidRPr="00C729DC">
        <w:t xml:space="preserve"> </w:t>
      </w:r>
      <w:r w:rsidR="00F85004">
        <w:t xml:space="preserve">This gives effect to the true-up requirements under the NER and ensures that the difference of </w:t>
      </w:r>
      <w:r w:rsidR="00F85004" w:rsidRPr="00B06463">
        <w:t>$</w:t>
      </w:r>
      <w:r w:rsidR="00197953" w:rsidRPr="00B06463">
        <w:t>94.3</w:t>
      </w:r>
      <w:r w:rsidR="00F85004" w:rsidRPr="00B06463">
        <w:t xml:space="preserve"> million</w:t>
      </w:r>
      <w:r w:rsidR="00F85004">
        <w:t xml:space="preserve"> is returned to cu</w:t>
      </w:r>
      <w:r w:rsidR="00B03FC4">
        <w:t xml:space="preserve">stomers over the 2015–18 </w:t>
      </w:r>
      <w:r w:rsidR="00F85004">
        <w:t xml:space="preserve">regulatory control period (adjusted for the time value of money). </w:t>
      </w:r>
      <w:r w:rsidR="00B03FC4">
        <w:t>This is achieved as part of the smoothing process to determine the appropriate X factors for the 2015–18 regulatory control period.</w:t>
      </w:r>
    </w:p>
    <w:p w:rsidR="00780BC8" w:rsidRPr="00C729DC" w:rsidRDefault="00780BC8" w:rsidP="00780BC8">
      <w:pPr>
        <w:pStyle w:val="AERbodytext"/>
      </w:pPr>
      <w:r w:rsidRPr="00C729DC">
        <w:t xml:space="preserve">We consider that </w:t>
      </w:r>
      <w:r>
        <w:t xml:space="preserve">our </w:t>
      </w:r>
      <w:r w:rsidRPr="00C729DC">
        <w:t>profile of X factors</w:t>
      </w:r>
      <w:r>
        <w:t xml:space="preserve"> </w:t>
      </w:r>
      <w:r w:rsidRPr="00C729DC">
        <w:t>result</w:t>
      </w:r>
      <w:r>
        <w:t>s</w:t>
      </w:r>
      <w:r w:rsidRPr="00C729DC">
        <w:t xml:space="preserve"> in an expected MAR in the last year of the regulatory control period that is as close as reasonably possible to the annual building block revenue requirement for that year.</w:t>
      </w:r>
      <w:r>
        <w:rPr>
          <w:rStyle w:val="FootnoteReference"/>
        </w:rPr>
        <w:footnoteReference w:id="29"/>
      </w:r>
    </w:p>
    <w:p w:rsidR="009C178D" w:rsidRDefault="00641205" w:rsidP="00556E5F">
      <w:pPr>
        <w:pStyle w:val="AERbodytext"/>
      </w:pPr>
      <w:r w:rsidRPr="00641205">
        <w:t>We note that TransGrid has an under-recovery of $71 million in it</w:t>
      </w:r>
      <w:r>
        <w:t>s allowed MAR for 2013–14.</w:t>
      </w:r>
      <w:r>
        <w:rPr>
          <w:rStyle w:val="FootnoteReference"/>
        </w:rPr>
        <w:footnoteReference w:id="30"/>
      </w:r>
      <w:r>
        <w:t xml:space="preserve"> </w:t>
      </w:r>
      <w:r w:rsidR="0004254D">
        <w:t>The CCP and EUAA submitted that there needs to be transparency over the under-recovery by TransGrid.</w:t>
      </w:r>
      <w:r w:rsidR="0004254D">
        <w:rPr>
          <w:rStyle w:val="FootnoteReference"/>
        </w:rPr>
        <w:footnoteReference w:id="31"/>
      </w:r>
      <w:r w:rsidR="0004254D">
        <w:t xml:space="preserve"> We understand that t</w:t>
      </w:r>
      <w:r w:rsidRPr="00641205">
        <w:t>his under-recovery for TransGrid has arisen as a result of its</w:t>
      </w:r>
      <w:r w:rsidR="00D0117F">
        <w:t xml:space="preserve"> </w:t>
      </w:r>
      <w:r w:rsidRPr="00641205">
        <w:t>decision to adopt a ‘revenue freeze’ in 2013–14. We have no role in considering</w:t>
      </w:r>
      <w:r w:rsidR="009C178D">
        <w:t xml:space="preserve"> the regulatory treatment of thi</w:t>
      </w:r>
      <w:r w:rsidRPr="00641205">
        <w:t>s</w:t>
      </w:r>
      <w:r w:rsidR="00D0117F">
        <w:t xml:space="preserve"> </w:t>
      </w:r>
      <w:r w:rsidRPr="00641205">
        <w:t>under-recover</w:t>
      </w:r>
      <w:r w:rsidR="009C178D">
        <w:t xml:space="preserve">y. </w:t>
      </w:r>
      <w:r w:rsidRPr="00641205">
        <w:t>T</w:t>
      </w:r>
      <w:r w:rsidR="00D0117F">
        <w:t>ransGrid is able</w:t>
      </w:r>
      <w:r w:rsidRPr="00641205">
        <w:t xml:space="preserve"> to recover in future years any shortfall in revenue that </w:t>
      </w:r>
      <w:r w:rsidR="009C178D">
        <w:t>is</w:t>
      </w:r>
      <w:r w:rsidR="00D0117F">
        <w:t xml:space="preserve"> </w:t>
      </w:r>
      <w:r w:rsidRPr="00641205">
        <w:t>below the approved MAR. Any decision by TransGrid to recover this revenue would</w:t>
      </w:r>
      <w:r w:rsidR="00D0117F">
        <w:t xml:space="preserve"> </w:t>
      </w:r>
      <w:r w:rsidRPr="00641205">
        <w:t xml:space="preserve">affect </w:t>
      </w:r>
      <w:r w:rsidRPr="00641205">
        <w:lastRenderedPageBreak/>
        <w:t xml:space="preserve">transmission </w:t>
      </w:r>
      <w:r w:rsidR="00BE0134">
        <w:t>charges</w:t>
      </w:r>
      <w:r w:rsidR="00BE0134" w:rsidRPr="00641205">
        <w:t xml:space="preserve"> </w:t>
      </w:r>
      <w:r w:rsidRPr="00641205">
        <w:t>for its customers independently of the AER’s determination</w:t>
      </w:r>
      <w:r w:rsidR="00D0117F">
        <w:t xml:space="preserve"> for the 2014–18 period</w:t>
      </w:r>
      <w:r w:rsidRPr="00641205">
        <w:t>.</w:t>
      </w:r>
      <w:r w:rsidR="00394947">
        <w:t xml:space="preserve"> </w:t>
      </w:r>
    </w:p>
    <w:p w:rsidR="00780BC8" w:rsidRPr="0030529E" w:rsidRDefault="00780BC8" w:rsidP="00556E5F">
      <w:pPr>
        <w:pStyle w:val="AERbodytext"/>
      </w:pPr>
      <w:r>
        <w:t>T</w:t>
      </w:r>
      <w:r w:rsidRPr="00C729DC">
        <w:t xml:space="preserve">he average decrease in our approved expected MAR is </w:t>
      </w:r>
      <w:r w:rsidR="006245E2">
        <w:t>3.8</w:t>
      </w:r>
      <w:r w:rsidRPr="00C729DC">
        <w:t xml:space="preserve"> per cent per annum ($ nominal) over the </w:t>
      </w:r>
      <w:r w:rsidRPr="00556E5F">
        <w:rPr>
          <w:rStyle w:val="AERtexthighlight"/>
          <w:shd w:val="clear" w:color="auto" w:fill="auto"/>
        </w:rPr>
        <w:t>2014–18</w:t>
      </w:r>
      <w:r w:rsidRPr="00C729DC">
        <w:t xml:space="preserve"> period.</w:t>
      </w:r>
      <w:r w:rsidR="006245E2">
        <w:rPr>
          <w:rStyle w:val="FootnoteReference"/>
        </w:rPr>
        <w:footnoteReference w:id="32"/>
      </w:r>
      <w:r w:rsidRPr="00C729DC">
        <w:t xml:space="preserve"> This consists </w:t>
      </w:r>
      <w:r w:rsidR="004273AD">
        <w:t xml:space="preserve">of </w:t>
      </w:r>
      <w:r w:rsidRPr="00C729DC">
        <w:t xml:space="preserve">an initial decrease of </w:t>
      </w:r>
      <w:r w:rsidR="006245E2">
        <w:t>9.5</w:t>
      </w:r>
      <w:r w:rsidRPr="00C729DC">
        <w:t xml:space="preserve"> per cent from 2013–14 to 2014–15</w:t>
      </w:r>
      <w:r w:rsidR="00021464">
        <w:t>, followed by another decrease</w:t>
      </w:r>
      <w:r w:rsidRPr="00C729DC">
        <w:t xml:space="preserve"> </w:t>
      </w:r>
      <w:r w:rsidR="00021464">
        <w:t xml:space="preserve">of 11.6 per cent in 2015–16, </w:t>
      </w:r>
      <w:r w:rsidRPr="00C729DC">
        <w:t xml:space="preserve">and a subsequent average annual </w:t>
      </w:r>
      <w:r w:rsidR="00021464">
        <w:t>in</w:t>
      </w:r>
      <w:r w:rsidRPr="00C729DC">
        <w:t xml:space="preserve">crease of </w:t>
      </w:r>
      <w:r w:rsidR="00021464">
        <w:t>3</w:t>
      </w:r>
      <w:r w:rsidRPr="00C729DC">
        <w:t xml:space="preserve"> per cent during the remainder of the </w:t>
      </w:r>
      <w:r w:rsidRPr="00556E5F">
        <w:rPr>
          <w:rStyle w:val="AERtexthighlight"/>
          <w:shd w:val="clear" w:color="auto" w:fill="auto"/>
        </w:rPr>
        <w:t>2014–18</w:t>
      </w:r>
      <w:r w:rsidRPr="00556E5F">
        <w:t xml:space="preserve"> </w:t>
      </w:r>
      <w:r w:rsidRPr="00C729DC">
        <w:t>period.</w:t>
      </w:r>
      <w:r w:rsidRPr="00C729DC">
        <w:rPr>
          <w:rStyle w:val="FootnoteReference"/>
        </w:rPr>
        <w:footnoteReference w:id="33"/>
      </w:r>
      <w:r w:rsidRPr="00C729DC">
        <w:t xml:space="preserve"> Our draft decision results in a decrease of </w:t>
      </w:r>
      <w:r w:rsidR="00021464">
        <w:t>11.1</w:t>
      </w:r>
      <w:r w:rsidRPr="00C729DC">
        <w:t xml:space="preserve"> per cent in real terms ($2013–14) to </w:t>
      </w:r>
      <w:r>
        <w:t>TransGrid</w:t>
      </w:r>
      <w:r w:rsidRPr="00C729DC">
        <w:t xml:space="preserve">'s </w:t>
      </w:r>
      <w:r>
        <w:t>total</w:t>
      </w:r>
      <w:r w:rsidRPr="00C729DC">
        <w:t xml:space="preserve"> revenue relative to that in the 200</w:t>
      </w:r>
      <w:r>
        <w:t>9</w:t>
      </w:r>
      <w:r w:rsidRPr="00C729DC">
        <w:t>–14 regulatory control period. T</w:t>
      </w:r>
      <w:r>
        <w:t xml:space="preserve">his </w:t>
      </w:r>
      <w:r w:rsidRPr="00C729DC">
        <w:t>decrease</w:t>
      </w:r>
      <w:r>
        <w:t xml:space="preserve"> </w:t>
      </w:r>
      <w:r w:rsidRPr="00C729DC">
        <w:t xml:space="preserve">is primarily because of a lower </w:t>
      </w:r>
      <w:r>
        <w:t xml:space="preserve">rate of return, </w:t>
      </w:r>
      <w:r w:rsidR="00021464">
        <w:t xml:space="preserve">forecast </w:t>
      </w:r>
      <w:r>
        <w:t>opex and capex</w:t>
      </w:r>
      <w:r w:rsidRPr="00C729DC">
        <w:t xml:space="preserve"> applied </w:t>
      </w:r>
      <w:r>
        <w:t>in this</w:t>
      </w:r>
      <w:r w:rsidRPr="00C729DC">
        <w:t xml:space="preserve"> draft decision </w:t>
      </w:r>
      <w:r>
        <w:t xml:space="preserve">for the </w:t>
      </w:r>
      <w:r w:rsidRPr="00556E5F">
        <w:t xml:space="preserve">2014–18 </w:t>
      </w:r>
      <w:r w:rsidRPr="0030529E">
        <w:t xml:space="preserve">period </w:t>
      </w:r>
      <w:r w:rsidRPr="00C729DC">
        <w:t>than w</w:t>
      </w:r>
      <w:r>
        <w:t>ere</w:t>
      </w:r>
      <w:r w:rsidRPr="00C729DC">
        <w:t xml:space="preserve"> approved in the 200</w:t>
      </w:r>
      <w:r>
        <w:t>9</w:t>
      </w:r>
      <w:r w:rsidRPr="00C729DC">
        <w:t xml:space="preserve">–14 revenue cap decision. </w:t>
      </w:r>
    </w:p>
    <w:p w:rsidR="00780BC8" w:rsidRPr="0080478C" w:rsidRDefault="00E72B7D" w:rsidP="00556E5F">
      <w:pPr>
        <w:pStyle w:val="AERbodytext"/>
      </w:pPr>
      <w:r>
        <w:fldChar w:fldCharType="begin"/>
      </w:r>
      <w:r>
        <w:instrText xml:space="preserve"> REF _Ref401844596 \h </w:instrText>
      </w:r>
      <w:r>
        <w:fldChar w:fldCharType="separate"/>
      </w:r>
      <w:r w:rsidR="00C1101B" w:rsidRPr="00C729DC">
        <w:t xml:space="preserve">Figure </w:t>
      </w:r>
      <w:r w:rsidR="00C1101B">
        <w:rPr>
          <w:noProof/>
        </w:rPr>
        <w:t>1</w:t>
      </w:r>
      <w:r w:rsidR="00C1101B">
        <w:noBreakHyphen/>
      </w:r>
      <w:r w:rsidR="00C1101B">
        <w:rPr>
          <w:noProof/>
        </w:rPr>
        <w:t>3</w:t>
      </w:r>
      <w:r>
        <w:fldChar w:fldCharType="end"/>
      </w:r>
      <w:r>
        <w:t xml:space="preserve"> </w:t>
      </w:r>
      <w:r w:rsidR="00780BC8" w:rsidRPr="0080478C">
        <w:t>compare</w:t>
      </w:r>
      <w:r w:rsidR="00780BC8">
        <w:t>s</w:t>
      </w:r>
      <w:r w:rsidR="00780BC8" w:rsidRPr="0080478C">
        <w:t xml:space="preserve"> our draft decision building blocks </w:t>
      </w:r>
      <w:r w:rsidR="00780BC8">
        <w:t xml:space="preserve">for </w:t>
      </w:r>
      <w:r w:rsidR="00780BC8" w:rsidRPr="00556E5F">
        <w:t xml:space="preserve">TransGrid's </w:t>
      </w:r>
      <w:r w:rsidR="00780BC8" w:rsidRPr="00556E5F">
        <w:rPr>
          <w:rStyle w:val="AERtexthighlight"/>
          <w:shd w:val="clear" w:color="auto" w:fill="auto"/>
        </w:rPr>
        <w:t>2014–18</w:t>
      </w:r>
      <w:r w:rsidR="00780BC8" w:rsidRPr="00556E5F">
        <w:t xml:space="preserve"> </w:t>
      </w:r>
      <w:proofErr w:type="gramStart"/>
      <w:r w:rsidR="00780BC8">
        <w:t>period</w:t>
      </w:r>
      <w:proofErr w:type="gramEnd"/>
      <w:r w:rsidR="00780BC8">
        <w:t xml:space="preserve"> </w:t>
      </w:r>
      <w:r w:rsidR="00780BC8" w:rsidRPr="0080478C">
        <w:t xml:space="preserve">with </w:t>
      </w:r>
      <w:r w:rsidR="00780BC8">
        <w:t>TransGrid's</w:t>
      </w:r>
      <w:r w:rsidR="00780BC8" w:rsidRPr="0080478C">
        <w:t xml:space="preserve"> proposed revenue requirement for that same period, and the approved revenue for </w:t>
      </w:r>
      <w:r w:rsidR="007B03CE">
        <w:t xml:space="preserve">the </w:t>
      </w:r>
      <w:r w:rsidR="00780BC8">
        <w:t>2009–14</w:t>
      </w:r>
      <w:r w:rsidR="00780BC8" w:rsidRPr="0080478C">
        <w:t xml:space="preserve"> regulatory control period.</w:t>
      </w:r>
    </w:p>
    <w:p w:rsidR="00780BC8" w:rsidRPr="00C729DC" w:rsidRDefault="00780BC8" w:rsidP="00780BC8">
      <w:pPr>
        <w:pStyle w:val="Caption"/>
      </w:pPr>
      <w:bookmarkStart w:id="37" w:name="_Ref401844596"/>
      <w:r w:rsidRPr="00C729DC">
        <w:t xml:space="preserve">Figure </w:t>
      </w:r>
      <w:r w:rsidR="00D46AB4">
        <w:fldChar w:fldCharType="begin"/>
      </w:r>
      <w:r w:rsidR="00D46AB4">
        <w:instrText xml:space="preserve"> STYLEREF 1 \s </w:instrText>
      </w:r>
      <w:r w:rsidR="00D46AB4">
        <w:fldChar w:fldCharType="separate"/>
      </w:r>
      <w:r w:rsidR="00C1101B">
        <w:rPr>
          <w:noProof/>
        </w:rPr>
        <w:t>1</w:t>
      </w:r>
      <w:r w:rsidR="00D46AB4">
        <w:rPr>
          <w:noProof/>
        </w:rPr>
        <w:fldChar w:fldCharType="end"/>
      </w:r>
      <w:r w:rsidR="00E72B7D">
        <w:noBreakHyphen/>
      </w:r>
      <w:r w:rsidR="00D46AB4">
        <w:fldChar w:fldCharType="begin"/>
      </w:r>
      <w:r w:rsidR="00D46AB4">
        <w:instrText xml:space="preserve"> SEQ Figure \* ARABIC \s 1 </w:instrText>
      </w:r>
      <w:r w:rsidR="00D46AB4">
        <w:fldChar w:fldCharType="separate"/>
      </w:r>
      <w:r w:rsidR="00C1101B">
        <w:rPr>
          <w:noProof/>
        </w:rPr>
        <w:t>3</w:t>
      </w:r>
      <w:r w:rsidR="00D46AB4">
        <w:rPr>
          <w:noProof/>
        </w:rPr>
        <w:fldChar w:fldCharType="end"/>
      </w:r>
      <w:bookmarkEnd w:id="37"/>
      <w:r w:rsidRPr="00C729DC">
        <w:tab/>
      </w:r>
      <w:r>
        <w:t xml:space="preserve">Annual average of </w:t>
      </w:r>
      <w:r w:rsidRPr="00C729DC">
        <w:t xml:space="preserve">AER's draft decision building blocks compared to </w:t>
      </w:r>
      <w:r>
        <w:t>TransGrid</w:t>
      </w:r>
      <w:r w:rsidRPr="00C729DC">
        <w:t>'s proposed revenue requirement and approved revenue for 200</w:t>
      </w:r>
      <w:r>
        <w:t>9</w:t>
      </w:r>
      <w:r w:rsidRPr="00C729DC">
        <w:t>–14 ($ million, 2013–14)</w:t>
      </w:r>
    </w:p>
    <w:p w:rsidR="00780BC8" w:rsidRPr="00C729DC" w:rsidRDefault="006245E2" w:rsidP="006245E2">
      <w:pPr>
        <w:pStyle w:val="AERbodytext"/>
      </w:pPr>
      <w:r w:rsidRPr="006245E2">
        <w:t xml:space="preserve"> </w:t>
      </w:r>
      <w:r w:rsidRPr="006245E2">
        <w:rPr>
          <w:noProof/>
          <w:lang w:eastAsia="en-AU"/>
        </w:rPr>
        <w:drawing>
          <wp:inline distT="0" distB="0" distL="0" distR="0" wp14:anchorId="2060FDFF" wp14:editId="43FCE3BF">
            <wp:extent cx="5381625" cy="3952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1625" cy="3952875"/>
                    </a:xfrm>
                    <a:prstGeom prst="rect">
                      <a:avLst/>
                    </a:prstGeom>
                    <a:noFill/>
                    <a:ln>
                      <a:noFill/>
                    </a:ln>
                  </pic:spPr>
                </pic:pic>
              </a:graphicData>
            </a:graphic>
          </wp:inline>
        </w:drawing>
      </w:r>
      <w:r w:rsidRPr="006245E2">
        <w:t xml:space="preserve"> </w:t>
      </w:r>
    </w:p>
    <w:p w:rsidR="00780BC8" w:rsidRPr="00780BC8" w:rsidRDefault="00780BC8" w:rsidP="00780BC8">
      <w:pPr>
        <w:pStyle w:val="AERtablesource"/>
      </w:pPr>
      <w:r w:rsidRPr="00C729DC">
        <w:t>Source:</w:t>
      </w:r>
      <w:r w:rsidRPr="00C729DC">
        <w:tab/>
        <w:t xml:space="preserve"> AER analysis.</w:t>
      </w:r>
    </w:p>
    <w:p w:rsidR="00410C01" w:rsidRDefault="00410C01" w:rsidP="00F0258A">
      <w:pPr>
        <w:pStyle w:val="Heading3"/>
      </w:pPr>
      <w:bookmarkStart w:id="38" w:name="_Toc404178337"/>
      <w:r>
        <w:lastRenderedPageBreak/>
        <w:t>Shared assets</w:t>
      </w:r>
      <w:bookmarkEnd w:id="38"/>
    </w:p>
    <w:p w:rsidR="00F55A0E" w:rsidRPr="00F55A0E" w:rsidRDefault="00F55A0E" w:rsidP="00F55A0E">
      <w:pPr>
        <w:pStyle w:val="AERbodytext"/>
      </w:pPr>
      <w:r>
        <w:t>Service providers, such as TransG</w:t>
      </w:r>
      <w:r w:rsidRPr="00F55A0E">
        <w:t xml:space="preserve">rid, may use assets to provide both </w:t>
      </w:r>
      <w:r>
        <w:t>prescribed transm</w:t>
      </w:r>
      <w:r w:rsidR="002D5DB7">
        <w:t>i</w:t>
      </w:r>
      <w:r>
        <w:t>ssion</w:t>
      </w:r>
      <w:r w:rsidRPr="00F55A0E">
        <w:t xml:space="preserve"> services we regulate and unregulated services. These assets are called 'shared assets'.</w:t>
      </w:r>
      <w:r w:rsidR="00FB27D9" w:rsidRPr="005C2602">
        <w:rPr>
          <w:rStyle w:val="AERsuperscript"/>
        </w:rPr>
        <w:footnoteReference w:id="34"/>
      </w:r>
      <w:r w:rsidRPr="00F55A0E">
        <w:t xml:space="preserve"> Of the unregulated revenues a service provider earns from shared assets, 10 per cent will be used to reduce the service provider's prices for </w:t>
      </w:r>
      <w:r w:rsidR="009D7F16">
        <w:t>prescribed transmission</w:t>
      </w:r>
      <w:r w:rsidRPr="00F55A0E">
        <w:t xml:space="preserve"> services.</w:t>
      </w:r>
      <w:r w:rsidR="00FB27D9" w:rsidRPr="005C2602">
        <w:rPr>
          <w:rStyle w:val="AERsuperscript"/>
        </w:rPr>
        <w:footnoteReference w:id="35"/>
      </w:r>
      <w:r w:rsidRPr="00F55A0E">
        <w:t xml:space="preserve"> However, price reductions are subject to a materiality threshold. Unregulated use of shared assets is material when a service provider's unregulated revenues from shared assets in a specific regulatory year are expected to be greater than 1 per cent of its </w:t>
      </w:r>
      <w:r w:rsidR="005C2602">
        <w:t>MAR</w:t>
      </w:r>
      <w:r w:rsidRPr="00F55A0E">
        <w:t xml:space="preserve"> for that regulatory year.</w:t>
      </w:r>
      <w:r w:rsidR="006B04F5" w:rsidRPr="005C2602">
        <w:rPr>
          <w:rStyle w:val="AERsuperscript"/>
        </w:rPr>
        <w:footnoteReference w:id="36"/>
      </w:r>
      <w:r w:rsidR="006B04F5" w:rsidRPr="006B04F5">
        <w:t xml:space="preserve"> </w:t>
      </w:r>
      <w:r w:rsidRPr="00F55A0E">
        <w:t xml:space="preserve">   </w:t>
      </w:r>
    </w:p>
    <w:p w:rsidR="00F55A0E" w:rsidRPr="00F55A0E" w:rsidRDefault="009D7F16" w:rsidP="00D904FA">
      <w:r>
        <w:t>TransGrid</w:t>
      </w:r>
      <w:r w:rsidR="00F55A0E" w:rsidRPr="00F55A0E">
        <w:t xml:space="preserve"> submitted that its shared asset unregulated revenues are forecast to be </w:t>
      </w:r>
      <w:r w:rsidR="00D7414D">
        <w:t xml:space="preserve">between </w:t>
      </w:r>
      <w:r w:rsidR="00F55A0E" w:rsidRPr="00F55A0E">
        <w:t>0.</w:t>
      </w:r>
      <w:r w:rsidR="00D7414D">
        <w:t>5</w:t>
      </w:r>
      <w:r w:rsidR="007405DD">
        <w:t>2</w:t>
      </w:r>
      <w:r w:rsidR="00F55A0E" w:rsidRPr="00F55A0E">
        <w:t xml:space="preserve"> </w:t>
      </w:r>
      <w:r w:rsidR="00D7414D">
        <w:t>and 0.</w:t>
      </w:r>
      <w:r w:rsidR="007405DD">
        <w:t xml:space="preserve">63 </w:t>
      </w:r>
      <w:r w:rsidR="00D7414D">
        <w:t xml:space="preserve">per cent </w:t>
      </w:r>
      <w:r w:rsidR="00F55A0E" w:rsidRPr="00F55A0E">
        <w:t xml:space="preserve">of its total expected </w:t>
      </w:r>
      <w:r w:rsidR="005C2602">
        <w:t>MAR</w:t>
      </w:r>
      <w:r w:rsidR="00F55A0E" w:rsidRPr="00F55A0E">
        <w:t xml:space="preserve"> in each year of the 2014–1</w:t>
      </w:r>
      <w:r w:rsidR="007405DD">
        <w:t>8</w:t>
      </w:r>
      <w:r w:rsidR="00F55A0E" w:rsidRPr="00F55A0E">
        <w:t xml:space="preserve"> </w:t>
      </w:r>
      <w:r w:rsidR="007405DD">
        <w:t xml:space="preserve">regulatory control </w:t>
      </w:r>
      <w:r w:rsidR="00F55A0E" w:rsidRPr="00F55A0E">
        <w:t>period.</w:t>
      </w:r>
      <w:r w:rsidR="00C11C2E">
        <w:rPr>
          <w:rStyle w:val="FootnoteReference"/>
        </w:rPr>
        <w:footnoteReference w:id="37"/>
      </w:r>
      <w:r w:rsidR="00F55A0E" w:rsidRPr="00F55A0E">
        <w:t xml:space="preserve"> Based on our previous assessment of service provider unregulated revenues, we consider </w:t>
      </w:r>
      <w:r w:rsidR="00E94266">
        <w:t>TransGrid</w:t>
      </w:r>
      <w:r w:rsidR="00F55A0E" w:rsidRPr="00F55A0E">
        <w:t>'s forecasts are reasonable.</w:t>
      </w:r>
      <w:r w:rsidR="008316EA" w:rsidRPr="005C2602">
        <w:rPr>
          <w:rStyle w:val="AERsuperscript"/>
        </w:rPr>
        <w:footnoteReference w:id="38"/>
      </w:r>
      <w:r w:rsidR="00F55A0E" w:rsidRPr="00F55A0E">
        <w:t xml:space="preserve"> However, </w:t>
      </w:r>
      <w:r w:rsidR="00E94266">
        <w:t>TransGrid</w:t>
      </w:r>
      <w:r w:rsidR="00F55A0E" w:rsidRPr="00F55A0E">
        <w:t xml:space="preserve">'s forecast unregulated revenues must be compared to the regulated </w:t>
      </w:r>
      <w:r w:rsidR="005C2602">
        <w:t>MAR</w:t>
      </w:r>
      <w:r w:rsidR="00BD7584">
        <w:t>s</w:t>
      </w:r>
      <w:r w:rsidR="00F55A0E" w:rsidRPr="00F55A0E">
        <w:t xml:space="preserve"> we determine, rather than those proposed by </w:t>
      </w:r>
      <w:r w:rsidR="00E94266">
        <w:t>TransGrid</w:t>
      </w:r>
      <w:r w:rsidR="00F55A0E" w:rsidRPr="00F55A0E">
        <w:t>.</w:t>
      </w:r>
      <w:r w:rsidR="00E94266">
        <w:t xml:space="preserve"> On that basis, we consider TransG</w:t>
      </w:r>
      <w:r w:rsidR="00F55A0E" w:rsidRPr="00F55A0E">
        <w:t xml:space="preserve">rid's unregulated revenues </w:t>
      </w:r>
      <w:r w:rsidR="00E94266">
        <w:t xml:space="preserve">to be between </w:t>
      </w:r>
      <w:r w:rsidR="00E54CA8" w:rsidRPr="00D904FA">
        <w:t>0.</w:t>
      </w:r>
      <w:r w:rsidR="007405DD" w:rsidRPr="00D904FA">
        <w:t>58</w:t>
      </w:r>
      <w:r w:rsidR="00F55A0E" w:rsidRPr="00D904FA">
        <w:t xml:space="preserve"> </w:t>
      </w:r>
      <w:r w:rsidR="00E94266" w:rsidRPr="00D904FA">
        <w:t xml:space="preserve">and </w:t>
      </w:r>
      <w:r w:rsidR="00E54CA8" w:rsidRPr="00D904FA">
        <w:t>0.8</w:t>
      </w:r>
      <w:r w:rsidR="007405DD" w:rsidRPr="00D904FA">
        <w:t>0</w:t>
      </w:r>
      <w:r w:rsidR="00E94266" w:rsidRPr="00D904FA">
        <w:t xml:space="preserve"> </w:t>
      </w:r>
      <w:r w:rsidR="00F55A0E" w:rsidRPr="00D904FA">
        <w:t>per cent</w:t>
      </w:r>
      <w:r w:rsidR="00F55A0E" w:rsidRPr="00F55A0E">
        <w:t xml:space="preserve"> of its </w:t>
      </w:r>
      <w:r w:rsidR="005C2602">
        <w:t>MAR</w:t>
      </w:r>
      <w:r w:rsidR="00F55A0E" w:rsidRPr="00F55A0E">
        <w:t xml:space="preserve"> in each year of the 2014–1</w:t>
      </w:r>
      <w:r w:rsidR="007405DD">
        <w:t>8</w:t>
      </w:r>
      <w:r w:rsidR="00F55A0E" w:rsidRPr="00F55A0E">
        <w:t xml:space="preserve"> </w:t>
      </w:r>
      <w:r w:rsidR="007405DD">
        <w:t xml:space="preserve">regulatory control </w:t>
      </w:r>
      <w:r w:rsidR="00F55A0E" w:rsidRPr="00F55A0E">
        <w:t>period.</w:t>
      </w:r>
    </w:p>
    <w:p w:rsidR="00410C01" w:rsidRDefault="00F55A0E" w:rsidP="005C2602">
      <w:pPr>
        <w:pStyle w:val="AERbodytext"/>
        <w:numPr>
          <w:ilvl w:val="0"/>
          <w:numId w:val="0"/>
        </w:numPr>
      </w:pPr>
      <w:r w:rsidRPr="00F55A0E">
        <w:t>We note that unregulated revenues from shared assets may in future becom</w:t>
      </w:r>
      <w:r w:rsidR="00DA5684">
        <w:t>e material. We will monitor TransG</w:t>
      </w:r>
      <w:r w:rsidRPr="00F55A0E">
        <w:t>rid's shared asset unregulated revenues and, if necessary, determine our own forecasts for future regulatory control periods.</w:t>
      </w:r>
    </w:p>
    <w:p w:rsidR="00B47945" w:rsidRDefault="00780BC8" w:rsidP="00F0258A">
      <w:pPr>
        <w:pStyle w:val="Heading3"/>
      </w:pPr>
      <w:bookmarkStart w:id="39" w:name="_Ref400535824"/>
      <w:bookmarkStart w:id="40" w:name="_Toc404178338"/>
      <w:r>
        <w:t xml:space="preserve">Indicative transmission </w:t>
      </w:r>
      <w:r w:rsidR="00671327">
        <w:t xml:space="preserve">charges and </w:t>
      </w:r>
      <w:r>
        <w:t>impact</w:t>
      </w:r>
      <w:bookmarkEnd w:id="39"/>
      <w:r w:rsidR="00671327">
        <w:t xml:space="preserve"> on electricity bills</w:t>
      </w:r>
      <w:bookmarkEnd w:id="40"/>
    </w:p>
    <w:p w:rsidR="0057322C" w:rsidRDefault="0057322C" w:rsidP="0057322C">
      <w:pPr>
        <w:pStyle w:val="AERbodytext"/>
      </w:pPr>
      <w:r>
        <w:t xml:space="preserve">Our draft decision on TransGrid's expected </w:t>
      </w:r>
      <w:r w:rsidR="00630092">
        <w:t>MAR</w:t>
      </w:r>
      <w:r>
        <w:t xml:space="preserve"> ultimately affects the </w:t>
      </w:r>
      <w:r w:rsidR="00671327">
        <w:t>annual electricity bills paid by customers</w:t>
      </w:r>
      <w:r>
        <w:t xml:space="preserve">. There are several steps required to translate our revenue decision into </w:t>
      </w:r>
      <w:r w:rsidR="00671327">
        <w:t>indicative transmission charges, and then to estimate bill impact</w:t>
      </w:r>
      <w:r>
        <w:t>.</w:t>
      </w:r>
    </w:p>
    <w:p w:rsidR="0057322C" w:rsidRDefault="0057322C" w:rsidP="0057322C">
      <w:pPr>
        <w:pStyle w:val="AERbodytext"/>
      </w:pPr>
      <w:r>
        <w:t xml:space="preserve">First, </w:t>
      </w:r>
      <w:r w:rsidR="00671327">
        <w:t xml:space="preserve">because </w:t>
      </w:r>
      <w:r>
        <w:t>we regulate TransGrid's prescribed transmission services under a revenue cap</w:t>
      </w:r>
      <w:r w:rsidR="00671327">
        <w:t xml:space="preserve">, </w:t>
      </w:r>
      <w:r w:rsidRPr="00446442">
        <w:t xml:space="preserve">changes in the consumption of electricity will affect the </w:t>
      </w:r>
      <w:r w:rsidR="00671327">
        <w:t xml:space="preserve">transmission charges </w:t>
      </w:r>
      <w:r w:rsidRPr="00446442">
        <w:t xml:space="preserve">ultimately </w:t>
      </w:r>
      <w:r w:rsidR="00671327">
        <w:t xml:space="preserve">paid by </w:t>
      </w:r>
      <w:r w:rsidRPr="00446442">
        <w:t>consumers.</w:t>
      </w:r>
    </w:p>
    <w:p w:rsidR="00F172F0" w:rsidRDefault="00630092" w:rsidP="00F172F0">
      <w:pPr>
        <w:pStyle w:val="AERbodytext"/>
      </w:pPr>
      <w:r>
        <w:t xml:space="preserve">Second, although </w:t>
      </w:r>
      <w:r w:rsidR="00F172F0">
        <w:t>TransGrid is the main transmission network service provider in NSW and ACT</w:t>
      </w:r>
      <w:r>
        <w:t>,</w:t>
      </w:r>
      <w:r w:rsidR="00F172F0">
        <w:t xml:space="preserve"> </w:t>
      </w:r>
      <w:r>
        <w:t>s</w:t>
      </w:r>
      <w:r w:rsidR="0057322C">
        <w:t>maller components of the transmission network are owned and operated by Ausgrid, ActewAGL and Directlink. TransGrid is the coordinating TNSP for this region, and so it co</w:t>
      </w:r>
      <w:r>
        <w:t xml:space="preserve">llects and administers all transmission revenues for the region. Hence, </w:t>
      </w:r>
      <w:r w:rsidR="00F172F0">
        <w:t xml:space="preserve">the transmission charges in NSW/ACT are also affected by the revenue determinations for </w:t>
      </w:r>
      <w:r>
        <w:t xml:space="preserve">Directlink's transmission network and </w:t>
      </w:r>
      <w:r w:rsidR="00F172F0">
        <w:t>Ausgrid</w:t>
      </w:r>
      <w:r w:rsidR="00424EC2">
        <w:t>'s</w:t>
      </w:r>
      <w:r w:rsidR="00F172F0">
        <w:t xml:space="preserve"> and ActewAGL's transmission assets.</w:t>
      </w:r>
      <w:r w:rsidR="00F172F0">
        <w:rPr>
          <w:rStyle w:val="FootnoteReference"/>
        </w:rPr>
        <w:footnoteReference w:id="39"/>
      </w:r>
      <w:r w:rsidR="00F172F0">
        <w:t xml:space="preserve"> </w:t>
      </w:r>
    </w:p>
    <w:p w:rsidR="00F172F0" w:rsidRPr="00C729DC" w:rsidRDefault="00F172F0" w:rsidP="00F172F0">
      <w:pPr>
        <w:pStyle w:val="AERbodytext"/>
      </w:pPr>
      <w:r>
        <w:t>W</w:t>
      </w:r>
      <w:r w:rsidRPr="00C729DC">
        <w:t xml:space="preserve">e </w:t>
      </w:r>
      <w:r>
        <w:t xml:space="preserve">therefore </w:t>
      </w:r>
      <w:r w:rsidRPr="00C729DC">
        <w:t xml:space="preserve">estimate </w:t>
      </w:r>
      <w:r>
        <w:t>the</w:t>
      </w:r>
      <w:r w:rsidRPr="00C729DC">
        <w:t xml:space="preserve"> forecast average transmission charges in </w:t>
      </w:r>
      <w:r>
        <w:t xml:space="preserve">NSW/ACT </w:t>
      </w:r>
      <w:r w:rsidRPr="00C729DC">
        <w:t>by</w:t>
      </w:r>
      <w:r>
        <w:t xml:space="preserve">: </w:t>
      </w:r>
    </w:p>
    <w:p w:rsidR="00630092" w:rsidRDefault="00F172F0" w:rsidP="00F172F0">
      <w:pPr>
        <w:pStyle w:val="AERbulletlistfirststyle"/>
      </w:pPr>
      <w:r w:rsidRPr="00C729DC">
        <w:t>taking the sum of</w:t>
      </w:r>
      <w:r w:rsidR="00630092">
        <w:t>:</w:t>
      </w:r>
    </w:p>
    <w:p w:rsidR="00630092" w:rsidRDefault="00630092" w:rsidP="00671327">
      <w:pPr>
        <w:pStyle w:val="AERbulletlistsecondstyle"/>
      </w:pPr>
      <w:r>
        <w:t xml:space="preserve">the </w:t>
      </w:r>
      <w:r w:rsidR="00F172F0" w:rsidRPr="00C729DC">
        <w:t xml:space="preserve">annual expected MAR determined </w:t>
      </w:r>
      <w:r>
        <w:t xml:space="preserve">for TransGrid </w:t>
      </w:r>
      <w:r w:rsidR="00F172F0" w:rsidRPr="00C729DC">
        <w:t>in this draft decision</w:t>
      </w:r>
    </w:p>
    <w:p w:rsidR="00630092" w:rsidRDefault="007E1CC4" w:rsidP="00671327">
      <w:pPr>
        <w:pStyle w:val="AERbulletlistsecondstyle"/>
      </w:pPr>
      <w:r>
        <w:lastRenderedPageBreak/>
        <w:t>t</w:t>
      </w:r>
      <w:r w:rsidR="00630092">
        <w:t>he annual expected MAR determined for Directlink in that draft decision</w:t>
      </w:r>
      <w:r w:rsidR="00B56588">
        <w:rPr>
          <w:rStyle w:val="FootnoteReference"/>
        </w:rPr>
        <w:footnoteReference w:id="40"/>
      </w:r>
    </w:p>
    <w:p w:rsidR="00F172F0" w:rsidRPr="00C729DC" w:rsidRDefault="00F172F0" w:rsidP="00671327">
      <w:pPr>
        <w:pStyle w:val="AERbulletlistsecondstyle"/>
      </w:pPr>
      <w:r>
        <w:t xml:space="preserve">the </w:t>
      </w:r>
      <w:r w:rsidR="007E1CC4">
        <w:t xml:space="preserve">annual </w:t>
      </w:r>
      <w:r>
        <w:t>expected revenues for</w:t>
      </w:r>
      <w:r w:rsidRPr="00C729DC">
        <w:t xml:space="preserve"> </w:t>
      </w:r>
      <w:r>
        <w:t>Ausgrid and ActewAGL's transmission assets</w:t>
      </w:r>
      <w:r>
        <w:rPr>
          <w:rStyle w:val="FootnoteReference"/>
        </w:rPr>
        <w:footnoteReference w:id="41"/>
      </w:r>
    </w:p>
    <w:p w:rsidR="00F172F0" w:rsidRPr="00C729DC" w:rsidRDefault="00F172F0" w:rsidP="00F172F0">
      <w:pPr>
        <w:pStyle w:val="AERbulletlistfirststyle"/>
      </w:pPr>
      <w:r w:rsidRPr="00C729DC">
        <w:t xml:space="preserve">dividing it by the forecast annual energy delivered in </w:t>
      </w:r>
      <w:r>
        <w:t>NSW/ACT as published by AEMO</w:t>
      </w:r>
      <w:r w:rsidRPr="00C729DC">
        <w:t>.</w:t>
      </w:r>
      <w:r w:rsidRPr="00C729DC">
        <w:rPr>
          <w:rStyle w:val="FootnoteReference"/>
        </w:rPr>
        <w:footnoteReference w:id="42"/>
      </w:r>
    </w:p>
    <w:p w:rsidR="00F172F0" w:rsidRPr="00C729DC" w:rsidRDefault="00F172F0" w:rsidP="00F172F0">
      <w:pPr>
        <w:pStyle w:val="AERbodytext"/>
      </w:pPr>
      <w:r w:rsidRPr="00C729DC">
        <w:t xml:space="preserve">Based on this approach, we estimate that </w:t>
      </w:r>
      <w:r>
        <w:t>our</w:t>
      </w:r>
      <w:r w:rsidRPr="00C729DC">
        <w:t xml:space="preserve"> draft decision </w:t>
      </w:r>
      <w:r>
        <w:t xml:space="preserve">for these TNSPs </w:t>
      </w:r>
      <w:r w:rsidRPr="00C729DC">
        <w:t xml:space="preserve">will result in a decrease </w:t>
      </w:r>
      <w:r w:rsidR="00FC72E6">
        <w:t>in</w:t>
      </w:r>
      <w:r w:rsidR="00FC72E6" w:rsidRPr="00C729DC">
        <w:t xml:space="preserve"> </w:t>
      </w:r>
      <w:r w:rsidR="00FC72E6">
        <w:t xml:space="preserve">annual </w:t>
      </w:r>
      <w:r w:rsidRPr="00C729DC">
        <w:t>average transmission charges from 2013–14 to 201</w:t>
      </w:r>
      <w:r>
        <w:t>7</w:t>
      </w:r>
      <w:r w:rsidRPr="00C729DC">
        <w:t>–1</w:t>
      </w:r>
      <w:r>
        <w:t>8</w:t>
      </w:r>
      <w:r w:rsidRPr="00C729DC">
        <w:t>.</w:t>
      </w:r>
      <w:r w:rsidRPr="00C729DC">
        <w:rPr>
          <w:rStyle w:val="FootnoteReference"/>
        </w:rPr>
        <w:footnoteReference w:id="43"/>
      </w:r>
      <w:r w:rsidRPr="00C729DC">
        <w:t xml:space="preserve"> </w:t>
      </w:r>
      <w:r w:rsidR="00E72B7D">
        <w:fldChar w:fldCharType="begin"/>
      </w:r>
      <w:r w:rsidR="00E72B7D">
        <w:instrText xml:space="preserve"> REF _Ref401844744 \h </w:instrText>
      </w:r>
      <w:r w:rsidR="00E72B7D">
        <w:fldChar w:fldCharType="separate"/>
      </w:r>
      <w:r w:rsidR="00C1101B" w:rsidRPr="00C729DC">
        <w:t xml:space="preserve">Figure </w:t>
      </w:r>
      <w:r w:rsidR="00C1101B">
        <w:rPr>
          <w:noProof/>
        </w:rPr>
        <w:t>1</w:t>
      </w:r>
      <w:r w:rsidR="00C1101B">
        <w:noBreakHyphen/>
      </w:r>
      <w:r w:rsidR="00C1101B">
        <w:rPr>
          <w:noProof/>
        </w:rPr>
        <w:t>4</w:t>
      </w:r>
      <w:r w:rsidR="00E72B7D">
        <w:fldChar w:fldCharType="end"/>
      </w:r>
      <w:r w:rsidRPr="00C729DC">
        <w:t xml:space="preserve"> shows the indicative average transmission charges resulting from </w:t>
      </w:r>
      <w:r>
        <w:t>our</w:t>
      </w:r>
      <w:r w:rsidRPr="00C729DC">
        <w:t xml:space="preserve"> draft decision</w:t>
      </w:r>
      <w:r>
        <w:t>s</w:t>
      </w:r>
      <w:r w:rsidRPr="00C729DC">
        <w:t xml:space="preserve"> compared with the average transmission charges from 200</w:t>
      </w:r>
      <w:r>
        <w:t>9</w:t>
      </w:r>
      <w:r w:rsidRPr="00C729DC">
        <w:t xml:space="preserve"> to 2014 in </w:t>
      </w:r>
      <w:r w:rsidR="00454BFF">
        <w:t>nominal</w:t>
      </w:r>
      <w:r w:rsidRPr="00C729DC">
        <w:t xml:space="preserve"> dollar terms. The average transmission charges are forecast to decrease from around $</w:t>
      </w:r>
      <w:r w:rsidR="00F420F8">
        <w:t>17.7</w:t>
      </w:r>
      <w:r w:rsidRPr="00C729DC">
        <w:t> per MWh in 2013–14 to $</w:t>
      </w:r>
      <w:r w:rsidR="00671327">
        <w:t>15.6</w:t>
      </w:r>
      <w:r w:rsidRPr="00C729DC">
        <w:t> per MWh in 201</w:t>
      </w:r>
      <w:r>
        <w:t>7</w:t>
      </w:r>
      <w:r w:rsidRPr="00C729DC">
        <w:t>–1</w:t>
      </w:r>
      <w:r>
        <w:t>8</w:t>
      </w:r>
      <w:r w:rsidRPr="00C729DC">
        <w:t xml:space="preserve">. </w:t>
      </w:r>
    </w:p>
    <w:p w:rsidR="00F172F0" w:rsidRPr="00C729DC" w:rsidRDefault="00F172F0" w:rsidP="00F172F0">
      <w:pPr>
        <w:pStyle w:val="Caption"/>
      </w:pPr>
      <w:bookmarkStart w:id="41" w:name="_Ref401844744"/>
      <w:r w:rsidRPr="00C729DC">
        <w:t xml:space="preserve">Figure </w:t>
      </w:r>
      <w:r w:rsidR="00D46AB4">
        <w:fldChar w:fldCharType="begin"/>
      </w:r>
      <w:r w:rsidR="00D46AB4">
        <w:instrText xml:space="preserve"> STYLEREF 1 \s </w:instrText>
      </w:r>
      <w:r w:rsidR="00D46AB4">
        <w:fldChar w:fldCharType="separate"/>
      </w:r>
      <w:r w:rsidR="00C1101B">
        <w:rPr>
          <w:noProof/>
        </w:rPr>
        <w:t>1</w:t>
      </w:r>
      <w:r w:rsidR="00D46AB4">
        <w:rPr>
          <w:noProof/>
        </w:rPr>
        <w:fldChar w:fldCharType="end"/>
      </w:r>
      <w:r w:rsidR="00E72B7D">
        <w:noBreakHyphen/>
      </w:r>
      <w:r w:rsidR="00D46AB4">
        <w:fldChar w:fldCharType="begin"/>
      </w:r>
      <w:r w:rsidR="00D46AB4">
        <w:instrText xml:space="preserve"> SEQ Figure \* ARABIC \s 1 </w:instrText>
      </w:r>
      <w:r w:rsidR="00D46AB4">
        <w:fldChar w:fldCharType="separate"/>
      </w:r>
      <w:r w:rsidR="00C1101B">
        <w:rPr>
          <w:noProof/>
        </w:rPr>
        <w:t>4</w:t>
      </w:r>
      <w:r w:rsidR="00D46AB4">
        <w:rPr>
          <w:noProof/>
        </w:rPr>
        <w:fldChar w:fldCharType="end"/>
      </w:r>
      <w:bookmarkEnd w:id="41"/>
      <w:r w:rsidRPr="00C729DC">
        <w:tab/>
        <w:t xml:space="preserve">Indicative transmission </w:t>
      </w:r>
      <w:r w:rsidR="00BB27DA">
        <w:t>charges</w:t>
      </w:r>
      <w:r w:rsidRPr="00C729DC">
        <w:t xml:space="preserve"> from 200</w:t>
      </w:r>
      <w:r>
        <w:t>9</w:t>
      </w:r>
      <w:r w:rsidRPr="00C729DC">
        <w:t>–</w:t>
      </w:r>
      <w:r>
        <w:t>10</w:t>
      </w:r>
      <w:r w:rsidRPr="00C729DC">
        <w:t xml:space="preserve"> to 201</w:t>
      </w:r>
      <w:r>
        <w:t>7</w:t>
      </w:r>
      <w:r w:rsidRPr="00C729DC">
        <w:t>–1</w:t>
      </w:r>
      <w:r>
        <w:t>8 for NSW and ACT</w:t>
      </w:r>
      <w:r w:rsidRPr="00C729DC">
        <w:t xml:space="preserve"> ($/MWh, </w:t>
      </w:r>
      <w:r w:rsidR="00454BFF">
        <w:t>nominal</w:t>
      </w:r>
      <w:r w:rsidRPr="00C729DC">
        <w:t>)</w:t>
      </w:r>
    </w:p>
    <w:p w:rsidR="00F172F0" w:rsidRPr="00C729DC" w:rsidRDefault="00CC4040" w:rsidP="00454BFF">
      <w:pPr>
        <w:pStyle w:val="AERbodytext"/>
      </w:pPr>
      <w:r>
        <w:rPr>
          <w:noProof/>
          <w:lang w:eastAsia="en-AU"/>
        </w:rPr>
        <w:drawing>
          <wp:inline distT="0" distB="0" distL="0" distR="0" wp14:anchorId="57B9F47F" wp14:editId="13E58B60">
            <wp:extent cx="5426075" cy="3243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6075" cy="3243580"/>
                    </a:xfrm>
                    <a:prstGeom prst="rect">
                      <a:avLst/>
                    </a:prstGeom>
                    <a:noFill/>
                  </pic:spPr>
                </pic:pic>
              </a:graphicData>
            </a:graphic>
          </wp:inline>
        </w:drawing>
      </w:r>
    </w:p>
    <w:p w:rsidR="00F172F0" w:rsidRPr="00C729DC" w:rsidRDefault="00F172F0" w:rsidP="00F172F0">
      <w:pPr>
        <w:pStyle w:val="AERtablesource"/>
      </w:pPr>
      <w:r w:rsidRPr="00C729DC">
        <w:t xml:space="preserve">Source: </w:t>
      </w:r>
      <w:r w:rsidRPr="00C729DC">
        <w:tab/>
        <w:t>AER analysis.</w:t>
      </w:r>
    </w:p>
    <w:p w:rsidR="007E1CC4" w:rsidRDefault="001C1DDD" w:rsidP="00556E5F">
      <w:pPr>
        <w:pStyle w:val="AERbodytext"/>
      </w:pPr>
      <w:r>
        <w:t xml:space="preserve">We then estimate the indicative impact of transmission charges on electricity bills. </w:t>
      </w:r>
      <w:r w:rsidR="00F172F0" w:rsidRPr="00C729DC">
        <w:t xml:space="preserve">In </w:t>
      </w:r>
      <w:r w:rsidR="00F172F0">
        <w:t>NSW and</w:t>
      </w:r>
      <w:r w:rsidR="007E1CC4">
        <w:t xml:space="preserve"> the</w:t>
      </w:r>
      <w:r w:rsidR="00F172F0">
        <w:t xml:space="preserve"> ACT</w:t>
      </w:r>
      <w:r w:rsidR="00F172F0" w:rsidRPr="00C729DC">
        <w:t xml:space="preserve">, transmission charges represent approximately </w:t>
      </w:r>
      <w:r w:rsidR="00F172F0">
        <w:t>7</w:t>
      </w:r>
      <w:r w:rsidR="00F172F0" w:rsidRPr="00C729DC">
        <w:t xml:space="preserve"> per cent on average of a typical customer's </w:t>
      </w:r>
      <w:r w:rsidR="00F172F0">
        <w:t xml:space="preserve">annual </w:t>
      </w:r>
      <w:r w:rsidR="00F172F0" w:rsidRPr="00C729DC">
        <w:t xml:space="preserve">electricity </w:t>
      </w:r>
      <w:r w:rsidR="00424EC2">
        <w:t>bill</w:t>
      </w:r>
      <w:r w:rsidR="00F172F0" w:rsidRPr="00C729DC">
        <w:t>.</w:t>
      </w:r>
      <w:r w:rsidR="00F172F0">
        <w:rPr>
          <w:rStyle w:val="FootnoteReference"/>
        </w:rPr>
        <w:footnoteReference w:id="44"/>
      </w:r>
      <w:r w:rsidR="00F172F0" w:rsidRPr="00C729DC">
        <w:t xml:space="preserve"> </w:t>
      </w:r>
      <w:r w:rsidR="00F172F0">
        <w:t xml:space="preserve">We expect that our draft decisions, other things being equal, will reduce the average residential customer electricity </w:t>
      </w:r>
      <w:r w:rsidR="00907F24">
        <w:t xml:space="preserve">bills </w:t>
      </w:r>
      <w:r w:rsidR="00F172F0">
        <w:t xml:space="preserve">in NSW and </w:t>
      </w:r>
      <w:r w:rsidR="007E1CC4">
        <w:t xml:space="preserve">the </w:t>
      </w:r>
      <w:r w:rsidR="00F172F0">
        <w:t>ACT</w:t>
      </w:r>
      <w:r w:rsidR="007E1CC4">
        <w:t>:</w:t>
      </w:r>
    </w:p>
    <w:p w:rsidR="007E1CC4" w:rsidRDefault="007E1CC4" w:rsidP="0042585E">
      <w:pPr>
        <w:pStyle w:val="AERbulletlistfirststyle"/>
      </w:pPr>
      <w:r>
        <w:lastRenderedPageBreak/>
        <w:t>For NSW, i</w:t>
      </w:r>
      <w:r w:rsidR="00F172F0" w:rsidRPr="00C729DC">
        <w:t xml:space="preserve">f the lower transmission charges </w:t>
      </w:r>
      <w:r>
        <w:t xml:space="preserve">from our transitional determinations </w:t>
      </w:r>
      <w:r w:rsidR="00F172F0" w:rsidRPr="00C729DC">
        <w:t xml:space="preserve">were passed through to end customers, the average residential </w:t>
      </w:r>
      <w:r w:rsidR="00424EC2">
        <w:t xml:space="preserve">customer's annual </w:t>
      </w:r>
      <w:r w:rsidR="00F172F0" w:rsidRPr="00C729DC">
        <w:t xml:space="preserve">electricity </w:t>
      </w:r>
      <w:r w:rsidR="00424EC2">
        <w:t>bill</w:t>
      </w:r>
      <w:r w:rsidR="00F172F0">
        <w:t xml:space="preserve"> in NSW </w:t>
      </w:r>
      <w:r w:rsidR="00F172F0" w:rsidRPr="00C729DC">
        <w:t xml:space="preserve">could be expected to </w:t>
      </w:r>
      <w:r w:rsidR="0042585E">
        <w:t>decrease</w:t>
      </w:r>
      <w:r w:rsidR="0042585E" w:rsidRPr="00C729DC">
        <w:t xml:space="preserve"> </w:t>
      </w:r>
      <w:r w:rsidR="00F172F0" w:rsidRPr="00C729DC">
        <w:t>by about $</w:t>
      </w:r>
      <w:r w:rsidR="00907F24">
        <w:t>2</w:t>
      </w:r>
      <w:r w:rsidR="00F172F0" w:rsidRPr="00C729DC">
        <w:t xml:space="preserve"> or 0.</w:t>
      </w:r>
      <w:r w:rsidR="00907F24">
        <w:t>1</w:t>
      </w:r>
      <w:r w:rsidR="00272DD8">
        <w:t> </w:t>
      </w:r>
      <w:r w:rsidR="00F172F0" w:rsidRPr="00C729DC">
        <w:t>per cent</w:t>
      </w:r>
      <w:r w:rsidR="00F172F0">
        <w:t xml:space="preserve"> </w:t>
      </w:r>
      <w:r w:rsidR="00A76C0D" w:rsidRPr="00C729DC">
        <w:t>($</w:t>
      </w:r>
      <w:r w:rsidR="00A76C0D">
        <w:t xml:space="preserve"> nominal</w:t>
      </w:r>
      <w:r w:rsidR="00A76C0D" w:rsidRPr="00C729DC">
        <w:t xml:space="preserve">) </w:t>
      </w:r>
      <w:r w:rsidR="00F172F0" w:rsidRPr="00C729DC">
        <w:t>in 2014–</w:t>
      </w:r>
      <w:r>
        <w:t>15</w:t>
      </w:r>
      <w:r w:rsidR="00F172F0" w:rsidRPr="00C729DC">
        <w:t xml:space="preserve">. </w:t>
      </w:r>
      <w:r>
        <w:t xml:space="preserve">If the lower transmission charges from our draft decisions are passed through to customers, we would expect </w:t>
      </w:r>
      <w:r w:rsidR="00BF1A0D">
        <w:t xml:space="preserve">the </w:t>
      </w:r>
      <w:r>
        <w:t>average residential</w:t>
      </w:r>
      <w:r w:rsidR="00BF1A0D">
        <w:t xml:space="preserve"> customer's</w:t>
      </w:r>
      <w:r>
        <w:t xml:space="preserve"> </w:t>
      </w:r>
      <w:r w:rsidR="00BF1A0D">
        <w:t xml:space="preserve">annual </w:t>
      </w:r>
      <w:r>
        <w:t xml:space="preserve">electricity </w:t>
      </w:r>
      <w:r w:rsidR="00BF1A0D">
        <w:t>bill</w:t>
      </w:r>
      <w:r>
        <w:t xml:space="preserve"> in NSW to </w:t>
      </w:r>
      <w:r w:rsidR="0042585E">
        <w:t>decrease</w:t>
      </w:r>
      <w:r>
        <w:t xml:space="preserve"> by a further $</w:t>
      </w:r>
      <w:r w:rsidR="00907F24">
        <w:t>24</w:t>
      </w:r>
      <w:r w:rsidR="00272DD8">
        <w:t> or 1.</w:t>
      </w:r>
      <w:r w:rsidR="00907F24">
        <w:t>1</w:t>
      </w:r>
      <w:r>
        <w:t> per cent ($ nominal) in 2015–16. This would be followed by increases of about $</w:t>
      </w:r>
      <w:r w:rsidR="00272DD8">
        <w:t>4</w:t>
      </w:r>
      <w:r w:rsidR="0042585E">
        <w:t xml:space="preserve"> or 0.2</w:t>
      </w:r>
      <w:r>
        <w:t> per cent ($ nominal) per annum from 2016–17 to 201</w:t>
      </w:r>
      <w:r w:rsidR="00A76C0D">
        <w:t>7</w:t>
      </w:r>
      <w:r>
        <w:t>–1</w:t>
      </w:r>
      <w:r w:rsidR="00A76C0D">
        <w:t>8</w:t>
      </w:r>
      <w:r>
        <w:t>.</w:t>
      </w:r>
    </w:p>
    <w:p w:rsidR="007E1CC4" w:rsidRDefault="00F172F0" w:rsidP="0042585E">
      <w:pPr>
        <w:pStyle w:val="AERbulletlistsecondstyle"/>
      </w:pPr>
      <w:r w:rsidRPr="00C729DC">
        <w:t xml:space="preserve">In comparison, </w:t>
      </w:r>
      <w:r>
        <w:t>if the TNSPs' proposals were accepted by us, the</w:t>
      </w:r>
      <w:r w:rsidRPr="00C729DC">
        <w:t xml:space="preserve"> average </w:t>
      </w:r>
      <w:r w:rsidR="00BF1A0D">
        <w:t xml:space="preserve">annual electricity bills for residential customers </w:t>
      </w:r>
      <w:r>
        <w:t xml:space="preserve">in NSW would </w:t>
      </w:r>
      <w:r w:rsidR="0042585E">
        <w:t xml:space="preserve">increase </w:t>
      </w:r>
      <w:r>
        <w:t>by</w:t>
      </w:r>
      <w:r w:rsidRPr="00C729DC">
        <w:t xml:space="preserve"> approximately $</w:t>
      </w:r>
      <w:r w:rsidR="0042585E">
        <w:t>6</w:t>
      </w:r>
      <w:r w:rsidRPr="00C729DC">
        <w:t xml:space="preserve"> or 0.</w:t>
      </w:r>
      <w:r w:rsidR="0042585E">
        <w:t>3</w:t>
      </w:r>
      <w:r w:rsidRPr="00C729DC">
        <w:t xml:space="preserve"> per cent</w:t>
      </w:r>
      <w:r w:rsidR="0042585E">
        <w:t xml:space="preserve"> ($ nominal)</w:t>
      </w:r>
      <w:r w:rsidRPr="00C729DC">
        <w:t xml:space="preserve"> per annum</w:t>
      </w:r>
      <w:r w:rsidR="007E1CC4">
        <w:t xml:space="preserve"> over the 2014–1</w:t>
      </w:r>
      <w:r w:rsidR="00A76C0D">
        <w:t>8</w:t>
      </w:r>
      <w:r w:rsidR="007E1CC4">
        <w:t xml:space="preserve"> period.</w:t>
      </w:r>
    </w:p>
    <w:p w:rsidR="008A3497" w:rsidRPr="008A3497" w:rsidRDefault="007E1CC4" w:rsidP="0042585E">
      <w:pPr>
        <w:pStyle w:val="AERbulletlistfirststyle"/>
      </w:pPr>
      <w:r w:rsidRPr="008A3497">
        <w:t xml:space="preserve">For the ACT, if the lower transmission charges from our transitional determinations were passed through to end customers, the average residential </w:t>
      </w:r>
      <w:r w:rsidR="00BF1A0D">
        <w:t xml:space="preserve">customer's annual </w:t>
      </w:r>
      <w:r w:rsidRPr="008A3497">
        <w:t xml:space="preserve">electricity </w:t>
      </w:r>
      <w:r w:rsidR="00BF1A0D">
        <w:t>bill</w:t>
      </w:r>
      <w:r w:rsidRPr="008A3497">
        <w:t xml:space="preserve"> in </w:t>
      </w:r>
      <w:r w:rsidRPr="00A76C0D">
        <w:t xml:space="preserve">the ACT could be expected to </w:t>
      </w:r>
      <w:r w:rsidR="0042585E">
        <w:t>decrease</w:t>
      </w:r>
      <w:r w:rsidRPr="00A76C0D">
        <w:t xml:space="preserve"> by about $</w:t>
      </w:r>
      <w:r w:rsidR="00907F24">
        <w:t>2</w:t>
      </w:r>
      <w:r w:rsidRPr="00A76C0D">
        <w:t xml:space="preserve"> or 0.</w:t>
      </w:r>
      <w:r w:rsidR="00907F24">
        <w:t>1</w:t>
      </w:r>
      <w:r w:rsidRPr="00A76C0D">
        <w:t xml:space="preserve"> per cent</w:t>
      </w:r>
      <w:r w:rsidR="00A76C0D">
        <w:t xml:space="preserve"> ($</w:t>
      </w:r>
      <w:r w:rsidR="0042585E">
        <w:t> </w:t>
      </w:r>
      <w:r w:rsidR="00A76C0D">
        <w:t>nominal)</w:t>
      </w:r>
      <w:r w:rsidRPr="00A76C0D">
        <w:t xml:space="preserve"> in 2014–15. If the lower transmission charges from our draft decisions are passed through to customers, we would expect </w:t>
      </w:r>
      <w:r w:rsidR="00254487">
        <w:t xml:space="preserve">the </w:t>
      </w:r>
      <w:r w:rsidRPr="00A76C0D">
        <w:t xml:space="preserve">average residential </w:t>
      </w:r>
      <w:r w:rsidR="00254487">
        <w:t xml:space="preserve">customer's annual </w:t>
      </w:r>
      <w:r w:rsidRPr="00A76C0D">
        <w:t xml:space="preserve">electricity </w:t>
      </w:r>
      <w:r w:rsidR="00254487">
        <w:t>bill</w:t>
      </w:r>
      <w:r w:rsidRPr="00A76C0D">
        <w:t xml:space="preserve"> in the ACT to </w:t>
      </w:r>
      <w:r w:rsidR="0042585E">
        <w:t>decrease</w:t>
      </w:r>
      <w:r w:rsidRPr="00A76C0D">
        <w:t xml:space="preserve"> by a further $</w:t>
      </w:r>
      <w:r w:rsidR="0042585E">
        <w:t>2</w:t>
      </w:r>
      <w:r w:rsidR="00907F24">
        <w:t>1</w:t>
      </w:r>
      <w:r w:rsidRPr="00A76C0D">
        <w:t xml:space="preserve"> or </w:t>
      </w:r>
      <w:r w:rsidR="0042585E">
        <w:t>1.</w:t>
      </w:r>
      <w:r w:rsidR="00907F24">
        <w:t>1</w:t>
      </w:r>
      <w:r w:rsidRPr="00A76C0D">
        <w:t> per cent ($ nominal) in 2015–16. This would be followed by increases of about $</w:t>
      </w:r>
      <w:r w:rsidR="0042585E">
        <w:t>3 or 0.2</w:t>
      </w:r>
      <w:r w:rsidRPr="00A76C0D">
        <w:t> per cent ($ nominal) per annum from 2016–17 to 201</w:t>
      </w:r>
      <w:r w:rsidR="00A76C0D">
        <w:t>7</w:t>
      </w:r>
      <w:r w:rsidRPr="00A76C0D">
        <w:t>–1</w:t>
      </w:r>
      <w:r w:rsidR="00A76C0D">
        <w:t>8</w:t>
      </w:r>
      <w:r w:rsidRPr="00A76C0D">
        <w:t>.</w:t>
      </w:r>
    </w:p>
    <w:p w:rsidR="007E1CC4" w:rsidRDefault="007E1CC4" w:rsidP="0042585E">
      <w:pPr>
        <w:pStyle w:val="AERbulletlistsecondstyle"/>
      </w:pPr>
      <w:r w:rsidRPr="007E1CC4">
        <w:t xml:space="preserve">In comparison, if the TNSPs' proposals were accepted by us, the average </w:t>
      </w:r>
      <w:r w:rsidR="00254487">
        <w:t xml:space="preserve">annual electricity bills for residential customers </w:t>
      </w:r>
      <w:r w:rsidRPr="007E1CC4">
        <w:t xml:space="preserve">in </w:t>
      </w:r>
      <w:r>
        <w:t>the ACT</w:t>
      </w:r>
      <w:r w:rsidRPr="007E1CC4">
        <w:t xml:space="preserve"> would </w:t>
      </w:r>
      <w:r w:rsidR="0042585E">
        <w:t>increase</w:t>
      </w:r>
      <w:r w:rsidRPr="007E1CC4">
        <w:t xml:space="preserve"> by approximately $</w:t>
      </w:r>
      <w:r w:rsidR="0042585E">
        <w:t>5</w:t>
      </w:r>
      <w:r w:rsidRPr="007E1CC4">
        <w:t xml:space="preserve"> or 0.</w:t>
      </w:r>
      <w:r w:rsidR="0042585E">
        <w:t>3</w:t>
      </w:r>
      <w:r w:rsidRPr="007E1CC4">
        <w:t xml:space="preserve"> </w:t>
      </w:r>
      <w:r w:rsidR="0042585E">
        <w:t>per cent ($ nominal)</w:t>
      </w:r>
      <w:r w:rsidRPr="007E1CC4">
        <w:t xml:space="preserve"> per annum over the 2014–1</w:t>
      </w:r>
      <w:r w:rsidR="00A76C0D">
        <w:t>8</w:t>
      </w:r>
      <w:r w:rsidRPr="007E1CC4">
        <w:t xml:space="preserve"> period.</w:t>
      </w:r>
    </w:p>
    <w:p w:rsidR="00F172F0" w:rsidRPr="00147651" w:rsidRDefault="00F172F0" w:rsidP="00F172F0">
      <w:pPr>
        <w:pStyle w:val="AERbodytext"/>
      </w:pPr>
      <w:r>
        <w:t>O</w:t>
      </w:r>
      <w:r w:rsidRPr="00147651">
        <w:t xml:space="preserve">ur estimated potential impact is based on the typical annual electricity usage of </w:t>
      </w:r>
      <w:r>
        <w:t>6500</w:t>
      </w:r>
      <w:r w:rsidRPr="00147651">
        <w:t xml:space="preserve"> kWh</w:t>
      </w:r>
      <w:r>
        <w:t xml:space="preserve"> per annum for a residential customer in NSW</w:t>
      </w:r>
      <w:r w:rsidRPr="00147651">
        <w:t>.</w:t>
      </w:r>
      <w:r>
        <w:rPr>
          <w:rStyle w:val="FootnoteReference"/>
        </w:rPr>
        <w:footnoteReference w:id="45"/>
      </w:r>
      <w:r w:rsidRPr="00147651">
        <w:t xml:space="preserve"> </w:t>
      </w:r>
      <w:r>
        <w:t xml:space="preserve">For a residential customer in </w:t>
      </w:r>
      <w:r w:rsidR="007E1CC4">
        <w:t xml:space="preserve">the </w:t>
      </w:r>
      <w:r>
        <w:t>ACT, our estimated potential impact is based on the typical annual electricity usage of 8000 kWh.</w:t>
      </w:r>
      <w:r>
        <w:rPr>
          <w:rStyle w:val="FootnoteReference"/>
        </w:rPr>
        <w:footnoteReference w:id="46"/>
      </w:r>
      <w:r>
        <w:t xml:space="preserve"> </w:t>
      </w:r>
      <w:r w:rsidR="00907F24">
        <w:t>C</w:t>
      </w:r>
      <w:r w:rsidRPr="00147651">
        <w:t xml:space="preserve">ustomers with different usage will experience different changes in their </w:t>
      </w:r>
      <w:r w:rsidR="00254487">
        <w:t>bills</w:t>
      </w:r>
      <w:r w:rsidRPr="00147651">
        <w:t xml:space="preserve">. We </w:t>
      </w:r>
      <w:r>
        <w:t xml:space="preserve">also </w:t>
      </w:r>
      <w:r w:rsidRPr="00147651">
        <w:t xml:space="preserve">note that there are other factors, such as distribution network costs, wholesale and retail costs, which affect electricity </w:t>
      </w:r>
      <w:r w:rsidR="00254487">
        <w:t>bills</w:t>
      </w:r>
      <w:r w:rsidRPr="00147651">
        <w:t xml:space="preserve">. </w:t>
      </w:r>
    </w:p>
    <w:p w:rsidR="00C1101B" w:rsidRDefault="00C1101B">
      <w:pPr>
        <w:spacing w:after="0" w:line="240" w:lineRule="auto"/>
        <w:jc w:val="left"/>
        <w:rPr>
          <w:rFonts w:eastAsia="Times New Roman"/>
          <w:szCs w:val="24"/>
        </w:rPr>
      </w:pPr>
      <w:r>
        <w:br w:type="page"/>
      </w:r>
    </w:p>
    <w:p w:rsidR="00F172F0" w:rsidRPr="00C729DC" w:rsidRDefault="00E72B7D" w:rsidP="00C1101B">
      <w:pPr>
        <w:pStyle w:val="AERbodytext"/>
      </w:pPr>
      <w:r>
        <w:lastRenderedPageBreak/>
        <w:fldChar w:fldCharType="begin"/>
      </w:r>
      <w:r>
        <w:instrText xml:space="preserve"> REF _Ref401844774 \h </w:instrText>
      </w:r>
      <w:r w:rsidR="00C1101B">
        <w:instrText xml:space="preserve"> \* MERGEFORMAT </w:instrText>
      </w:r>
      <w:r>
        <w:fldChar w:fldCharType="separate"/>
      </w:r>
      <w:r w:rsidR="00C1101B" w:rsidRPr="00C729DC">
        <w:t xml:space="preserve">Table </w:t>
      </w:r>
      <w:r w:rsidR="00C1101B">
        <w:rPr>
          <w:noProof/>
        </w:rPr>
        <w:t>1</w:t>
      </w:r>
      <w:r w:rsidR="00C1101B">
        <w:rPr>
          <w:noProof/>
        </w:rPr>
        <w:noBreakHyphen/>
        <w:t>5</w:t>
      </w:r>
      <w:r>
        <w:fldChar w:fldCharType="end"/>
      </w:r>
      <w:r w:rsidR="00F172F0" w:rsidRPr="00C729DC">
        <w:t xml:space="preserve"> shows the estimated impact of our draft decision</w:t>
      </w:r>
      <w:r w:rsidR="00F172F0">
        <w:t>s</w:t>
      </w:r>
      <w:r w:rsidR="00F172F0" w:rsidRPr="00C729DC">
        <w:t xml:space="preserve"> </w:t>
      </w:r>
      <w:r w:rsidR="00F172F0">
        <w:t xml:space="preserve">over the </w:t>
      </w:r>
      <w:r w:rsidR="00F172F0" w:rsidRPr="00556E5F">
        <w:rPr>
          <w:rStyle w:val="AERtexthighlight"/>
          <w:shd w:val="clear" w:color="auto" w:fill="auto"/>
        </w:rPr>
        <w:t>2014–18</w:t>
      </w:r>
      <w:r w:rsidR="00F172F0">
        <w:t xml:space="preserve"> period </w:t>
      </w:r>
      <w:r w:rsidR="001C1DDD">
        <w:t>compared with</w:t>
      </w:r>
      <w:r w:rsidR="001C1DDD" w:rsidRPr="00C729DC">
        <w:t xml:space="preserve"> </w:t>
      </w:r>
      <w:r w:rsidR="00F172F0">
        <w:t>the TNSPs'</w:t>
      </w:r>
      <w:r w:rsidR="00F172F0" w:rsidRPr="00C729DC">
        <w:t xml:space="preserve"> proposal</w:t>
      </w:r>
      <w:r w:rsidR="00F172F0">
        <w:t>s</w:t>
      </w:r>
      <w:r w:rsidR="00F172F0" w:rsidRPr="00C729DC">
        <w:t xml:space="preserve"> on the average </w:t>
      </w:r>
      <w:r w:rsidR="00254487">
        <w:t>annual</w:t>
      </w:r>
      <w:r w:rsidR="00254487" w:rsidRPr="00C729DC">
        <w:t xml:space="preserve"> electricity </w:t>
      </w:r>
      <w:r w:rsidR="00254487">
        <w:t xml:space="preserve">bills for </w:t>
      </w:r>
      <w:r w:rsidR="00F172F0" w:rsidRPr="00C729DC">
        <w:t xml:space="preserve">residential </w:t>
      </w:r>
      <w:r w:rsidR="00F172F0">
        <w:t>customer</w:t>
      </w:r>
      <w:r w:rsidR="00254487">
        <w:t>s</w:t>
      </w:r>
      <w:r w:rsidR="00F172F0">
        <w:t xml:space="preserve"> in NSW and ACT</w:t>
      </w:r>
      <w:r w:rsidR="00F172F0" w:rsidRPr="00C729DC">
        <w:t>.</w:t>
      </w:r>
    </w:p>
    <w:p w:rsidR="00F172F0" w:rsidRPr="00C729DC" w:rsidRDefault="00F172F0" w:rsidP="00F172F0">
      <w:pPr>
        <w:pStyle w:val="Caption"/>
      </w:pPr>
      <w:bookmarkStart w:id="42" w:name="_Ref401844774"/>
      <w:r w:rsidRPr="00C729DC">
        <w:t xml:space="preserve">Table </w:t>
      </w:r>
      <w:r w:rsidR="00D46AB4">
        <w:fldChar w:fldCharType="begin"/>
      </w:r>
      <w:r w:rsidR="00D46AB4">
        <w:instrText xml:space="preserve"> STYLEREF 1 \s </w:instrText>
      </w:r>
      <w:r w:rsidR="00D46AB4">
        <w:fldChar w:fldCharType="separate"/>
      </w:r>
      <w:r w:rsidR="00C1101B">
        <w:rPr>
          <w:noProof/>
        </w:rPr>
        <w:t>1</w:t>
      </w:r>
      <w:r w:rsidR="00D46AB4">
        <w:rPr>
          <w:noProof/>
        </w:rPr>
        <w:fldChar w:fldCharType="end"/>
      </w:r>
      <w:r w:rsidR="00E72B7D">
        <w:noBreakHyphen/>
      </w:r>
      <w:r w:rsidR="00D46AB4">
        <w:fldChar w:fldCharType="begin"/>
      </w:r>
      <w:r w:rsidR="00D46AB4">
        <w:instrText xml:space="preserve"> SEQ Table \* ARABIC \s 1 </w:instrText>
      </w:r>
      <w:r w:rsidR="00D46AB4">
        <w:fldChar w:fldCharType="separate"/>
      </w:r>
      <w:r w:rsidR="00C1101B">
        <w:rPr>
          <w:noProof/>
        </w:rPr>
        <w:t>5</w:t>
      </w:r>
      <w:r w:rsidR="00D46AB4">
        <w:rPr>
          <w:noProof/>
        </w:rPr>
        <w:fldChar w:fldCharType="end"/>
      </w:r>
      <w:bookmarkEnd w:id="42"/>
      <w:r w:rsidRPr="00C729DC">
        <w:tab/>
        <w:t>AER</w:t>
      </w:r>
      <w:r w:rsidR="000D674E">
        <w:t>'s</w:t>
      </w:r>
      <w:r w:rsidRPr="00C729DC">
        <w:t xml:space="preserve"> estimated impact of </w:t>
      </w:r>
      <w:r w:rsidR="001C1DDD">
        <w:t>our transmission</w:t>
      </w:r>
      <w:r w:rsidR="001C1DDD" w:rsidRPr="00C729DC">
        <w:t xml:space="preserve"> </w:t>
      </w:r>
      <w:r w:rsidRPr="00C729DC">
        <w:t>draft decision</w:t>
      </w:r>
      <w:r w:rsidR="001C1DDD">
        <w:t>s</w:t>
      </w:r>
      <w:r w:rsidRPr="00C729DC">
        <w:t xml:space="preserve"> on the average </w:t>
      </w:r>
      <w:r w:rsidR="00254487">
        <w:t xml:space="preserve">annual electricity bills for </w:t>
      </w:r>
      <w:r w:rsidRPr="00C729DC">
        <w:t xml:space="preserve">residential </w:t>
      </w:r>
      <w:r>
        <w:t>customer</w:t>
      </w:r>
      <w:r w:rsidR="00254487">
        <w:t>s</w:t>
      </w:r>
      <w:r w:rsidRPr="00C729DC">
        <w:t xml:space="preserve"> in </w:t>
      </w:r>
      <w:r>
        <w:t>NSW and ACT</w:t>
      </w:r>
      <w:r w:rsidRPr="00C729DC">
        <w:t xml:space="preserve"> over 2014–1</w:t>
      </w:r>
      <w:r>
        <w:t>8</w:t>
      </w:r>
      <w:r w:rsidRPr="00C729DC">
        <w:t xml:space="preserve"> </w:t>
      </w:r>
      <w:r w:rsidR="00230144">
        <w:t>($ nominal)</w:t>
      </w:r>
    </w:p>
    <w:tbl>
      <w:tblPr>
        <w:tblStyle w:val="AERtable-numbers"/>
        <w:tblW w:w="9242" w:type="dxa"/>
        <w:tblLook w:val="04A0" w:firstRow="1" w:lastRow="0" w:firstColumn="1" w:lastColumn="0" w:noHBand="0" w:noVBand="1"/>
      </w:tblPr>
      <w:tblGrid>
        <w:gridCol w:w="2518"/>
        <w:gridCol w:w="1344"/>
        <w:gridCol w:w="1345"/>
        <w:gridCol w:w="1345"/>
        <w:gridCol w:w="1345"/>
        <w:gridCol w:w="1345"/>
      </w:tblGrid>
      <w:tr w:rsidR="00B56588" w:rsidRPr="001B64C0" w:rsidTr="00A876AC">
        <w:trPr>
          <w:cnfStyle w:val="100000000000" w:firstRow="1" w:lastRow="0" w:firstColumn="0" w:lastColumn="0" w:oddVBand="0" w:evenVBand="0" w:oddHBand="0" w:evenHBand="0" w:firstRowFirstColumn="0" w:firstRowLastColumn="0" w:lastRowFirstColumn="0" w:lastRowLastColumn="0"/>
          <w:trHeight w:val="464"/>
          <w:tblHeader/>
        </w:trPr>
        <w:tc>
          <w:tcPr>
            <w:cnfStyle w:val="001000000000" w:firstRow="0" w:lastRow="0" w:firstColumn="1" w:lastColumn="0" w:oddVBand="0" w:evenVBand="0" w:oddHBand="0" w:evenHBand="0" w:firstRowFirstColumn="0" w:firstRowLastColumn="0" w:lastRowFirstColumn="0" w:lastRowLastColumn="0"/>
            <w:tcW w:w="2518" w:type="dxa"/>
          </w:tcPr>
          <w:p w:rsidR="00B56588" w:rsidRPr="00F172F0" w:rsidRDefault="00B56588" w:rsidP="00F172F0">
            <w:pPr>
              <w:pStyle w:val="AERtabletextleft"/>
            </w:pPr>
          </w:p>
        </w:tc>
        <w:tc>
          <w:tcPr>
            <w:tcW w:w="1344" w:type="dxa"/>
          </w:tcPr>
          <w:p w:rsidR="00B56588" w:rsidRPr="00C729DC" w:rsidRDefault="00B56588" w:rsidP="00F172F0">
            <w:pPr>
              <w:pStyle w:val="AERtabletextright"/>
              <w:cnfStyle w:val="100000000000" w:firstRow="1" w:lastRow="0" w:firstColumn="0" w:lastColumn="0" w:oddVBand="0" w:evenVBand="0" w:oddHBand="0" w:evenHBand="0" w:firstRowFirstColumn="0" w:firstRowLastColumn="0" w:lastRowFirstColumn="0" w:lastRowLastColumn="0"/>
            </w:pPr>
            <w:r>
              <w:t>2013–14</w:t>
            </w:r>
          </w:p>
        </w:tc>
        <w:tc>
          <w:tcPr>
            <w:tcW w:w="1345" w:type="dxa"/>
          </w:tcPr>
          <w:p w:rsidR="00B56588" w:rsidRPr="00C729DC" w:rsidRDefault="00B56588" w:rsidP="00F172F0">
            <w:pPr>
              <w:pStyle w:val="AERtabletextright"/>
              <w:cnfStyle w:val="100000000000" w:firstRow="1" w:lastRow="0" w:firstColumn="0" w:lastColumn="0" w:oddVBand="0" w:evenVBand="0" w:oddHBand="0" w:evenHBand="0" w:firstRowFirstColumn="0" w:firstRowLastColumn="0" w:lastRowFirstColumn="0" w:lastRowLastColumn="0"/>
            </w:pPr>
            <w:r>
              <w:t>2014–15</w:t>
            </w:r>
          </w:p>
        </w:tc>
        <w:tc>
          <w:tcPr>
            <w:tcW w:w="1345" w:type="dxa"/>
          </w:tcPr>
          <w:p w:rsidR="00B56588" w:rsidRPr="00F172F0" w:rsidRDefault="00B56588" w:rsidP="00F172F0">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345" w:type="dxa"/>
          </w:tcPr>
          <w:p w:rsidR="00B56588" w:rsidRPr="00F172F0" w:rsidRDefault="00B56588" w:rsidP="000D674E">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345" w:type="dxa"/>
          </w:tcPr>
          <w:p w:rsidR="00B56588" w:rsidRPr="00F172F0" w:rsidRDefault="00B56588" w:rsidP="000D674E">
            <w:pPr>
              <w:pStyle w:val="AERtabletextright"/>
              <w:cnfStyle w:val="100000000000" w:firstRow="1" w:lastRow="0" w:firstColumn="0" w:lastColumn="0" w:oddVBand="0" w:evenVBand="0" w:oddHBand="0" w:evenHBand="0" w:firstRowFirstColumn="0" w:firstRowLastColumn="0" w:lastRowFirstColumn="0" w:lastRowLastColumn="0"/>
            </w:pPr>
            <w:r>
              <w:t>2017–18</w:t>
            </w:r>
          </w:p>
        </w:tc>
      </w:tr>
      <w:tr w:rsidR="00B56588" w:rsidRPr="00B56588" w:rsidTr="00D904FA">
        <w:trPr>
          <w:trHeight w:val="394"/>
        </w:trPr>
        <w:tc>
          <w:tcPr>
            <w:cnfStyle w:val="001000000000" w:firstRow="0" w:lastRow="0" w:firstColumn="1" w:lastColumn="0" w:oddVBand="0" w:evenVBand="0" w:oddHBand="0" w:evenHBand="0" w:firstRowFirstColumn="0" w:firstRowLastColumn="0" w:lastRowFirstColumn="0" w:lastRowLastColumn="0"/>
            <w:tcW w:w="2518" w:type="dxa"/>
          </w:tcPr>
          <w:p w:rsidR="00B56588" w:rsidRPr="00F420F8" w:rsidRDefault="00B56588" w:rsidP="00F172F0">
            <w:pPr>
              <w:pStyle w:val="AERtabletextleft"/>
              <w:jc w:val="both"/>
              <w:rPr>
                <w:rStyle w:val="AERtextbold"/>
              </w:rPr>
            </w:pPr>
            <w:r w:rsidRPr="00F420F8">
              <w:rPr>
                <w:rStyle w:val="AERtextbold"/>
              </w:rPr>
              <w:t>TNSP</w:t>
            </w:r>
            <w:r w:rsidR="00907F24">
              <w:rPr>
                <w:rStyle w:val="AERtextbold"/>
              </w:rPr>
              <w:t xml:space="preserve"> proposals</w:t>
            </w:r>
          </w:p>
        </w:tc>
        <w:tc>
          <w:tcPr>
            <w:tcW w:w="1344" w:type="dxa"/>
          </w:tcPr>
          <w:p w:rsidR="00B56588" w:rsidRPr="00F420F8" w:rsidRDefault="00B56588" w:rsidP="00F172F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345" w:type="dxa"/>
          </w:tcPr>
          <w:p w:rsidR="00B56588" w:rsidRPr="00F420F8" w:rsidRDefault="00B56588" w:rsidP="00F172F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345" w:type="dxa"/>
            <w:vAlign w:val="top"/>
          </w:tcPr>
          <w:p w:rsidR="00B56588" w:rsidRPr="00F420F8" w:rsidRDefault="00B56588" w:rsidP="00F172F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345" w:type="dxa"/>
            <w:vAlign w:val="top"/>
          </w:tcPr>
          <w:p w:rsidR="00B56588" w:rsidRPr="00F420F8" w:rsidRDefault="00B56588" w:rsidP="004F3FF3">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345" w:type="dxa"/>
            <w:vAlign w:val="top"/>
          </w:tcPr>
          <w:p w:rsidR="00B56588" w:rsidRPr="00F420F8" w:rsidRDefault="00B56588" w:rsidP="00F172F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1C1DDD" w:rsidRPr="001B64C0" w:rsidTr="00D904FA">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518" w:type="dxa"/>
          </w:tcPr>
          <w:p w:rsidR="001C1DDD" w:rsidRPr="001C1DDD" w:rsidRDefault="001C1DDD" w:rsidP="001C1DDD">
            <w:pPr>
              <w:pStyle w:val="AERtabletextleft"/>
            </w:pPr>
            <w:r w:rsidRPr="001C1DDD">
              <w:t>NSW residential annual bill</w:t>
            </w:r>
            <w:r w:rsidRPr="001C1DDD">
              <w:rPr>
                <w:rStyle w:val="AERsuperscript"/>
              </w:rPr>
              <w:t>a</w:t>
            </w:r>
          </w:p>
        </w:tc>
        <w:tc>
          <w:tcPr>
            <w:tcW w:w="1344" w:type="dxa"/>
          </w:tcPr>
          <w:p w:rsidR="001C1DDD" w:rsidRPr="001C1DDD" w:rsidRDefault="001C1DDD" w:rsidP="001C1DDD">
            <w:pPr>
              <w:pStyle w:val="AERtabletextright"/>
              <w:cnfStyle w:val="000000010000" w:firstRow="0" w:lastRow="0" w:firstColumn="0" w:lastColumn="0" w:oddVBand="0" w:evenVBand="0" w:oddHBand="0" w:evenHBand="1" w:firstRowFirstColumn="0" w:firstRowLastColumn="0" w:lastRowFirstColumn="0" w:lastRowLastColumn="0"/>
            </w:pPr>
            <w:r w:rsidRPr="001C1DDD">
              <w:t xml:space="preserve">2227 </w:t>
            </w:r>
          </w:p>
        </w:tc>
        <w:tc>
          <w:tcPr>
            <w:tcW w:w="1345" w:type="dxa"/>
          </w:tcPr>
          <w:p w:rsidR="001C1DDD" w:rsidRPr="001C1DDD" w:rsidRDefault="001C1DDD" w:rsidP="001C1DDD">
            <w:pPr>
              <w:pStyle w:val="AERtabletextright"/>
              <w:cnfStyle w:val="000000010000" w:firstRow="0" w:lastRow="0" w:firstColumn="0" w:lastColumn="0" w:oddVBand="0" w:evenVBand="0" w:oddHBand="0" w:evenHBand="1" w:firstRowFirstColumn="0" w:firstRowLastColumn="0" w:lastRowFirstColumn="0" w:lastRowLastColumn="0"/>
            </w:pPr>
            <w:r w:rsidRPr="001C1DDD">
              <w:t xml:space="preserve">2240 </w:t>
            </w:r>
          </w:p>
        </w:tc>
        <w:tc>
          <w:tcPr>
            <w:tcW w:w="1345" w:type="dxa"/>
            <w:vAlign w:val="top"/>
          </w:tcPr>
          <w:p w:rsidR="001C1DDD" w:rsidRPr="001C1DDD" w:rsidRDefault="001C1DDD" w:rsidP="001C1DDD">
            <w:pPr>
              <w:pStyle w:val="AERtabletextright"/>
              <w:cnfStyle w:val="000000010000" w:firstRow="0" w:lastRow="0" w:firstColumn="0" w:lastColumn="0" w:oddVBand="0" w:evenVBand="0" w:oddHBand="0" w:evenHBand="1" w:firstRowFirstColumn="0" w:firstRowLastColumn="0" w:lastRowFirstColumn="0" w:lastRowLastColumn="0"/>
            </w:pPr>
            <w:r w:rsidRPr="001C1DDD">
              <w:t xml:space="preserve">2244 </w:t>
            </w:r>
          </w:p>
        </w:tc>
        <w:tc>
          <w:tcPr>
            <w:tcW w:w="1345" w:type="dxa"/>
            <w:vAlign w:val="top"/>
          </w:tcPr>
          <w:p w:rsidR="001C1DDD" w:rsidRPr="001C1DDD" w:rsidRDefault="001C1DDD" w:rsidP="001C1DDD">
            <w:pPr>
              <w:pStyle w:val="AERtabletextright"/>
              <w:cnfStyle w:val="000000010000" w:firstRow="0" w:lastRow="0" w:firstColumn="0" w:lastColumn="0" w:oddVBand="0" w:evenVBand="0" w:oddHBand="0" w:evenHBand="1" w:firstRowFirstColumn="0" w:firstRowLastColumn="0" w:lastRowFirstColumn="0" w:lastRowLastColumn="0"/>
            </w:pPr>
            <w:r w:rsidRPr="001C1DDD">
              <w:t xml:space="preserve">2248 </w:t>
            </w:r>
          </w:p>
        </w:tc>
        <w:tc>
          <w:tcPr>
            <w:tcW w:w="1345" w:type="dxa"/>
            <w:vAlign w:val="top"/>
          </w:tcPr>
          <w:p w:rsidR="001C1DDD" w:rsidRPr="001C1DDD" w:rsidRDefault="001C1DDD" w:rsidP="001C1DDD">
            <w:pPr>
              <w:pStyle w:val="AERtabletextright"/>
              <w:cnfStyle w:val="000000010000" w:firstRow="0" w:lastRow="0" w:firstColumn="0" w:lastColumn="0" w:oddVBand="0" w:evenVBand="0" w:oddHBand="0" w:evenHBand="1" w:firstRowFirstColumn="0" w:firstRowLastColumn="0" w:lastRowFirstColumn="0" w:lastRowLastColumn="0"/>
            </w:pPr>
            <w:r w:rsidRPr="001C1DDD">
              <w:t xml:space="preserve">2252 </w:t>
            </w:r>
          </w:p>
        </w:tc>
      </w:tr>
      <w:tr w:rsidR="001C1DDD" w:rsidRPr="001B64C0" w:rsidTr="00D904FA">
        <w:trPr>
          <w:trHeight w:val="394"/>
        </w:trPr>
        <w:tc>
          <w:tcPr>
            <w:cnfStyle w:val="001000000000" w:firstRow="0" w:lastRow="0" w:firstColumn="1" w:lastColumn="0" w:oddVBand="0" w:evenVBand="0" w:oddHBand="0" w:evenHBand="0" w:firstRowFirstColumn="0" w:firstRowLastColumn="0" w:lastRowFirstColumn="0" w:lastRowLastColumn="0"/>
            <w:tcW w:w="2518" w:type="dxa"/>
          </w:tcPr>
          <w:p w:rsidR="001C1DDD" w:rsidRPr="001C1DDD" w:rsidRDefault="001C1DDD" w:rsidP="001C1DDD">
            <w:pPr>
              <w:pStyle w:val="AERtabletextleft"/>
            </w:pPr>
            <w:r w:rsidRPr="001C1DDD">
              <w:t>Annual change</w:t>
            </w:r>
          </w:p>
        </w:tc>
        <w:tc>
          <w:tcPr>
            <w:tcW w:w="1344" w:type="dxa"/>
          </w:tcPr>
          <w:p w:rsidR="001C1DDD" w:rsidRPr="001C1DDD" w:rsidRDefault="001C1DDD" w:rsidP="001C1DDD">
            <w:pPr>
              <w:pStyle w:val="AERtabletextright"/>
              <w:cnfStyle w:val="000000000000" w:firstRow="0" w:lastRow="0" w:firstColumn="0" w:lastColumn="0" w:oddVBand="0" w:evenVBand="0" w:oddHBand="0" w:evenHBand="0" w:firstRowFirstColumn="0" w:firstRowLastColumn="0" w:lastRowFirstColumn="0" w:lastRowLastColumn="0"/>
            </w:pPr>
          </w:p>
        </w:tc>
        <w:tc>
          <w:tcPr>
            <w:tcW w:w="1345" w:type="dxa"/>
          </w:tcPr>
          <w:p w:rsidR="001C1DDD" w:rsidRPr="001C1DDD" w:rsidRDefault="001C1DDD" w:rsidP="001C1DDD">
            <w:pPr>
              <w:pStyle w:val="AERtabletextright"/>
              <w:cnfStyle w:val="000000000000" w:firstRow="0" w:lastRow="0" w:firstColumn="0" w:lastColumn="0" w:oddVBand="0" w:evenVBand="0" w:oddHBand="0" w:evenHBand="0" w:firstRowFirstColumn="0" w:firstRowLastColumn="0" w:lastRowFirstColumn="0" w:lastRowLastColumn="0"/>
            </w:pPr>
            <w:r w:rsidRPr="001C1DDD">
              <w:t>13 (0.6%)</w:t>
            </w:r>
          </w:p>
        </w:tc>
        <w:tc>
          <w:tcPr>
            <w:tcW w:w="1345" w:type="dxa"/>
            <w:vAlign w:val="top"/>
          </w:tcPr>
          <w:p w:rsidR="001C1DDD" w:rsidRPr="001C1DDD" w:rsidRDefault="001C1DDD" w:rsidP="001C1DDD">
            <w:pPr>
              <w:pStyle w:val="AERtabletextright"/>
              <w:cnfStyle w:val="000000000000" w:firstRow="0" w:lastRow="0" w:firstColumn="0" w:lastColumn="0" w:oddVBand="0" w:evenVBand="0" w:oddHBand="0" w:evenHBand="0" w:firstRowFirstColumn="0" w:firstRowLastColumn="0" w:lastRowFirstColumn="0" w:lastRowLastColumn="0"/>
            </w:pPr>
            <w:r w:rsidRPr="001C1DDD">
              <w:t>4 (0.2%)</w:t>
            </w:r>
          </w:p>
        </w:tc>
        <w:tc>
          <w:tcPr>
            <w:tcW w:w="1345" w:type="dxa"/>
            <w:vAlign w:val="top"/>
          </w:tcPr>
          <w:p w:rsidR="001C1DDD" w:rsidRPr="001C1DDD" w:rsidRDefault="001C1DDD" w:rsidP="001C1DDD">
            <w:pPr>
              <w:pStyle w:val="AERtabletextright"/>
              <w:cnfStyle w:val="000000000000" w:firstRow="0" w:lastRow="0" w:firstColumn="0" w:lastColumn="0" w:oddVBand="0" w:evenVBand="0" w:oddHBand="0" w:evenHBand="0" w:firstRowFirstColumn="0" w:firstRowLastColumn="0" w:lastRowFirstColumn="0" w:lastRowLastColumn="0"/>
            </w:pPr>
            <w:r w:rsidRPr="001C1DDD">
              <w:t>4 (0.2%)</w:t>
            </w:r>
          </w:p>
        </w:tc>
        <w:tc>
          <w:tcPr>
            <w:tcW w:w="1345" w:type="dxa"/>
            <w:vAlign w:val="top"/>
          </w:tcPr>
          <w:p w:rsidR="001C1DDD" w:rsidRPr="001C1DDD" w:rsidRDefault="001C1DDD" w:rsidP="001C1DDD">
            <w:pPr>
              <w:pStyle w:val="AERtabletextright"/>
              <w:cnfStyle w:val="000000000000" w:firstRow="0" w:lastRow="0" w:firstColumn="0" w:lastColumn="0" w:oddVBand="0" w:evenVBand="0" w:oddHBand="0" w:evenHBand="0" w:firstRowFirstColumn="0" w:firstRowLastColumn="0" w:lastRowFirstColumn="0" w:lastRowLastColumn="0"/>
            </w:pPr>
            <w:r w:rsidRPr="001C1DDD">
              <w:t>4 (0.2%)</w:t>
            </w:r>
          </w:p>
        </w:tc>
      </w:tr>
      <w:tr w:rsidR="001C1DDD" w:rsidRPr="001B64C0" w:rsidTr="00D904FA">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518" w:type="dxa"/>
          </w:tcPr>
          <w:p w:rsidR="001C1DDD" w:rsidRPr="001C1DDD" w:rsidRDefault="001C1DDD" w:rsidP="001C1DDD">
            <w:pPr>
              <w:pStyle w:val="AERtabletextleft"/>
            </w:pPr>
            <w:r w:rsidRPr="001C1DDD">
              <w:t>ACT residential annual bill</w:t>
            </w:r>
            <w:r w:rsidRPr="001C1DDD">
              <w:rPr>
                <w:rStyle w:val="AERsuperscript"/>
              </w:rPr>
              <w:t>b</w:t>
            </w:r>
          </w:p>
        </w:tc>
        <w:tc>
          <w:tcPr>
            <w:tcW w:w="1344" w:type="dxa"/>
          </w:tcPr>
          <w:p w:rsidR="001C1DDD" w:rsidRPr="001C1DDD" w:rsidRDefault="001C1DDD" w:rsidP="001C1DDD">
            <w:pPr>
              <w:pStyle w:val="AERtabletextright"/>
              <w:cnfStyle w:val="000000010000" w:firstRow="0" w:lastRow="0" w:firstColumn="0" w:lastColumn="0" w:oddVBand="0" w:evenVBand="0" w:oddHBand="0" w:evenHBand="1" w:firstRowFirstColumn="0" w:firstRowLastColumn="0" w:lastRowFirstColumn="0" w:lastRowLastColumn="0"/>
            </w:pPr>
            <w:r w:rsidRPr="001C1DDD">
              <w:t xml:space="preserve">1959 </w:t>
            </w:r>
          </w:p>
        </w:tc>
        <w:tc>
          <w:tcPr>
            <w:tcW w:w="1345" w:type="dxa"/>
          </w:tcPr>
          <w:p w:rsidR="001C1DDD" w:rsidRPr="001C1DDD" w:rsidRDefault="001C1DDD" w:rsidP="001C1DDD">
            <w:pPr>
              <w:pStyle w:val="AERtabletextright"/>
              <w:cnfStyle w:val="000000010000" w:firstRow="0" w:lastRow="0" w:firstColumn="0" w:lastColumn="0" w:oddVBand="0" w:evenVBand="0" w:oddHBand="0" w:evenHBand="1" w:firstRowFirstColumn="0" w:firstRowLastColumn="0" w:lastRowFirstColumn="0" w:lastRowLastColumn="0"/>
            </w:pPr>
            <w:r w:rsidRPr="001C1DDD">
              <w:t xml:space="preserve">1971 </w:t>
            </w:r>
          </w:p>
        </w:tc>
        <w:tc>
          <w:tcPr>
            <w:tcW w:w="1345" w:type="dxa"/>
            <w:vAlign w:val="top"/>
          </w:tcPr>
          <w:p w:rsidR="001C1DDD" w:rsidRPr="001C1DDD" w:rsidRDefault="001C1DDD" w:rsidP="001C1DDD">
            <w:pPr>
              <w:pStyle w:val="AERtabletextright"/>
              <w:cnfStyle w:val="000000010000" w:firstRow="0" w:lastRow="0" w:firstColumn="0" w:lastColumn="0" w:oddVBand="0" w:evenVBand="0" w:oddHBand="0" w:evenHBand="1" w:firstRowFirstColumn="0" w:firstRowLastColumn="0" w:lastRowFirstColumn="0" w:lastRowLastColumn="0"/>
            </w:pPr>
            <w:r w:rsidRPr="001C1DDD">
              <w:t xml:space="preserve">1974 </w:t>
            </w:r>
          </w:p>
        </w:tc>
        <w:tc>
          <w:tcPr>
            <w:tcW w:w="1345" w:type="dxa"/>
            <w:vAlign w:val="top"/>
          </w:tcPr>
          <w:p w:rsidR="001C1DDD" w:rsidRPr="001C1DDD" w:rsidRDefault="001C1DDD" w:rsidP="001C1DDD">
            <w:pPr>
              <w:pStyle w:val="AERtabletextright"/>
              <w:cnfStyle w:val="000000010000" w:firstRow="0" w:lastRow="0" w:firstColumn="0" w:lastColumn="0" w:oddVBand="0" w:evenVBand="0" w:oddHBand="0" w:evenHBand="1" w:firstRowFirstColumn="0" w:firstRowLastColumn="0" w:lastRowFirstColumn="0" w:lastRowLastColumn="0"/>
            </w:pPr>
            <w:r w:rsidRPr="001C1DDD">
              <w:t xml:space="preserve">1977 </w:t>
            </w:r>
          </w:p>
        </w:tc>
        <w:tc>
          <w:tcPr>
            <w:tcW w:w="1345" w:type="dxa"/>
            <w:vAlign w:val="top"/>
          </w:tcPr>
          <w:p w:rsidR="001C1DDD" w:rsidRPr="001C1DDD" w:rsidRDefault="001C1DDD" w:rsidP="001C1DDD">
            <w:pPr>
              <w:pStyle w:val="AERtabletextright"/>
              <w:cnfStyle w:val="000000010000" w:firstRow="0" w:lastRow="0" w:firstColumn="0" w:lastColumn="0" w:oddVBand="0" w:evenVBand="0" w:oddHBand="0" w:evenHBand="1" w:firstRowFirstColumn="0" w:firstRowLastColumn="0" w:lastRowFirstColumn="0" w:lastRowLastColumn="0"/>
            </w:pPr>
            <w:r w:rsidRPr="001C1DDD">
              <w:t xml:space="preserve">1981 </w:t>
            </w:r>
          </w:p>
        </w:tc>
      </w:tr>
      <w:tr w:rsidR="001C1DDD" w:rsidRPr="001B64C0" w:rsidTr="00D904FA">
        <w:trPr>
          <w:trHeight w:val="394"/>
        </w:trPr>
        <w:tc>
          <w:tcPr>
            <w:cnfStyle w:val="001000000000" w:firstRow="0" w:lastRow="0" w:firstColumn="1" w:lastColumn="0" w:oddVBand="0" w:evenVBand="0" w:oddHBand="0" w:evenHBand="0" w:firstRowFirstColumn="0" w:firstRowLastColumn="0" w:lastRowFirstColumn="0" w:lastRowLastColumn="0"/>
            <w:tcW w:w="2518" w:type="dxa"/>
          </w:tcPr>
          <w:p w:rsidR="001C1DDD" w:rsidRPr="001C1DDD" w:rsidRDefault="001C1DDD" w:rsidP="001C1DDD">
            <w:pPr>
              <w:pStyle w:val="AERtabletextleft"/>
            </w:pPr>
            <w:r w:rsidRPr="001C1DDD">
              <w:t>Annual change</w:t>
            </w:r>
          </w:p>
        </w:tc>
        <w:tc>
          <w:tcPr>
            <w:tcW w:w="1344" w:type="dxa"/>
          </w:tcPr>
          <w:p w:rsidR="001C1DDD" w:rsidRPr="001C1DDD" w:rsidRDefault="001C1DDD" w:rsidP="001C1DDD">
            <w:pPr>
              <w:pStyle w:val="AERtabletextright"/>
              <w:cnfStyle w:val="000000000000" w:firstRow="0" w:lastRow="0" w:firstColumn="0" w:lastColumn="0" w:oddVBand="0" w:evenVBand="0" w:oddHBand="0" w:evenHBand="0" w:firstRowFirstColumn="0" w:firstRowLastColumn="0" w:lastRowFirstColumn="0" w:lastRowLastColumn="0"/>
            </w:pPr>
          </w:p>
        </w:tc>
        <w:tc>
          <w:tcPr>
            <w:tcW w:w="1345" w:type="dxa"/>
          </w:tcPr>
          <w:p w:rsidR="001C1DDD" w:rsidRPr="001C1DDD" w:rsidRDefault="001C1DDD" w:rsidP="001C1DDD">
            <w:pPr>
              <w:pStyle w:val="AERtabletextright"/>
              <w:cnfStyle w:val="000000000000" w:firstRow="0" w:lastRow="0" w:firstColumn="0" w:lastColumn="0" w:oddVBand="0" w:evenVBand="0" w:oddHBand="0" w:evenHBand="0" w:firstRowFirstColumn="0" w:firstRowLastColumn="0" w:lastRowFirstColumn="0" w:lastRowLastColumn="0"/>
            </w:pPr>
            <w:r w:rsidRPr="001C1DDD">
              <w:t>12 (0.6%)</w:t>
            </w:r>
          </w:p>
        </w:tc>
        <w:tc>
          <w:tcPr>
            <w:tcW w:w="1345" w:type="dxa"/>
            <w:vAlign w:val="top"/>
          </w:tcPr>
          <w:p w:rsidR="001C1DDD" w:rsidRPr="001C1DDD" w:rsidRDefault="001C1DDD" w:rsidP="001C1DDD">
            <w:pPr>
              <w:pStyle w:val="AERtabletextright"/>
              <w:cnfStyle w:val="000000000000" w:firstRow="0" w:lastRow="0" w:firstColumn="0" w:lastColumn="0" w:oddVBand="0" w:evenVBand="0" w:oddHBand="0" w:evenHBand="0" w:firstRowFirstColumn="0" w:firstRowLastColumn="0" w:lastRowFirstColumn="0" w:lastRowLastColumn="0"/>
            </w:pPr>
            <w:r w:rsidRPr="001C1DDD">
              <w:t>3 (0.2%)</w:t>
            </w:r>
          </w:p>
        </w:tc>
        <w:tc>
          <w:tcPr>
            <w:tcW w:w="1345" w:type="dxa"/>
            <w:vAlign w:val="top"/>
          </w:tcPr>
          <w:p w:rsidR="001C1DDD" w:rsidRPr="001C1DDD" w:rsidRDefault="001C1DDD" w:rsidP="001C1DDD">
            <w:pPr>
              <w:pStyle w:val="AERtabletextright"/>
              <w:cnfStyle w:val="000000000000" w:firstRow="0" w:lastRow="0" w:firstColumn="0" w:lastColumn="0" w:oddVBand="0" w:evenVBand="0" w:oddHBand="0" w:evenHBand="0" w:firstRowFirstColumn="0" w:firstRowLastColumn="0" w:lastRowFirstColumn="0" w:lastRowLastColumn="0"/>
            </w:pPr>
            <w:r w:rsidRPr="001C1DDD">
              <w:t>3 (0.2%)</w:t>
            </w:r>
          </w:p>
        </w:tc>
        <w:tc>
          <w:tcPr>
            <w:tcW w:w="1345" w:type="dxa"/>
            <w:vAlign w:val="top"/>
          </w:tcPr>
          <w:p w:rsidR="001C1DDD" w:rsidRPr="001C1DDD" w:rsidRDefault="001C1DDD" w:rsidP="001C1DDD">
            <w:pPr>
              <w:pStyle w:val="AERtabletextright"/>
              <w:cnfStyle w:val="000000000000" w:firstRow="0" w:lastRow="0" w:firstColumn="0" w:lastColumn="0" w:oddVBand="0" w:evenVBand="0" w:oddHBand="0" w:evenHBand="0" w:firstRowFirstColumn="0" w:firstRowLastColumn="0" w:lastRowFirstColumn="0" w:lastRowLastColumn="0"/>
            </w:pPr>
            <w:r w:rsidRPr="001C1DDD">
              <w:t>3 (0.2%)</w:t>
            </w:r>
          </w:p>
        </w:tc>
      </w:tr>
      <w:tr w:rsidR="001C1DDD" w:rsidRPr="00B56588" w:rsidTr="00D904FA">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518" w:type="dxa"/>
          </w:tcPr>
          <w:p w:rsidR="001C1DDD" w:rsidRPr="001C1DDD" w:rsidRDefault="001C1DDD" w:rsidP="001C1DDD">
            <w:pPr>
              <w:pStyle w:val="AERtabletextleft"/>
              <w:rPr>
                <w:rStyle w:val="AERtextbold"/>
              </w:rPr>
            </w:pPr>
            <w:r w:rsidRPr="001C1DDD">
              <w:rPr>
                <w:rStyle w:val="AERtextbold"/>
              </w:rPr>
              <w:t>AER draft decision</w:t>
            </w:r>
          </w:p>
        </w:tc>
        <w:tc>
          <w:tcPr>
            <w:tcW w:w="1344" w:type="dxa"/>
          </w:tcPr>
          <w:p w:rsidR="001C1DDD" w:rsidRPr="001C1DDD" w:rsidRDefault="001C1DDD" w:rsidP="001C1DD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345" w:type="dxa"/>
          </w:tcPr>
          <w:p w:rsidR="001C1DDD" w:rsidRPr="001C1DDD" w:rsidRDefault="001C1DDD" w:rsidP="001C1DD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345" w:type="dxa"/>
            <w:vAlign w:val="top"/>
          </w:tcPr>
          <w:p w:rsidR="001C1DDD" w:rsidRPr="001C1DDD" w:rsidRDefault="001C1DDD" w:rsidP="001C1DD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345" w:type="dxa"/>
            <w:vAlign w:val="top"/>
          </w:tcPr>
          <w:p w:rsidR="001C1DDD" w:rsidRPr="001C1DDD" w:rsidRDefault="001C1DDD" w:rsidP="001C1DD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345" w:type="dxa"/>
            <w:vAlign w:val="top"/>
          </w:tcPr>
          <w:p w:rsidR="001C1DDD" w:rsidRPr="001C1DDD" w:rsidRDefault="001C1DDD" w:rsidP="001C1DDD">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r>
      <w:tr w:rsidR="001C1DDD" w:rsidRPr="001B64C0" w:rsidTr="00D904FA">
        <w:trPr>
          <w:trHeight w:val="394"/>
        </w:trPr>
        <w:tc>
          <w:tcPr>
            <w:cnfStyle w:val="001000000000" w:firstRow="0" w:lastRow="0" w:firstColumn="1" w:lastColumn="0" w:oddVBand="0" w:evenVBand="0" w:oddHBand="0" w:evenHBand="0" w:firstRowFirstColumn="0" w:firstRowLastColumn="0" w:lastRowFirstColumn="0" w:lastRowLastColumn="0"/>
            <w:tcW w:w="2518" w:type="dxa"/>
          </w:tcPr>
          <w:p w:rsidR="001C1DDD" w:rsidRPr="001C1DDD" w:rsidRDefault="001C1DDD" w:rsidP="001C1DDD">
            <w:pPr>
              <w:pStyle w:val="AERtabletextleft"/>
            </w:pPr>
            <w:r w:rsidRPr="001C1DDD">
              <w:t>NSW residential annual bill</w:t>
            </w:r>
            <w:r w:rsidRPr="001C1DDD">
              <w:rPr>
                <w:rStyle w:val="AERsuperscript"/>
              </w:rPr>
              <w:t>a</w:t>
            </w:r>
          </w:p>
        </w:tc>
        <w:tc>
          <w:tcPr>
            <w:tcW w:w="1344" w:type="dxa"/>
          </w:tcPr>
          <w:p w:rsidR="001C1DDD" w:rsidRPr="001C1DDD" w:rsidRDefault="001C1DDD" w:rsidP="001C1DDD">
            <w:pPr>
              <w:pStyle w:val="AERtabletextright"/>
              <w:cnfStyle w:val="000000000000" w:firstRow="0" w:lastRow="0" w:firstColumn="0" w:lastColumn="0" w:oddVBand="0" w:evenVBand="0" w:oddHBand="0" w:evenHBand="0" w:firstRowFirstColumn="0" w:firstRowLastColumn="0" w:lastRowFirstColumn="0" w:lastRowLastColumn="0"/>
            </w:pPr>
            <w:r w:rsidRPr="001C1DDD">
              <w:t xml:space="preserve">2227 </w:t>
            </w:r>
          </w:p>
        </w:tc>
        <w:tc>
          <w:tcPr>
            <w:tcW w:w="1345" w:type="dxa"/>
          </w:tcPr>
          <w:p w:rsidR="001C1DDD" w:rsidRPr="001C1DDD" w:rsidRDefault="001C1DDD" w:rsidP="001C1DDD">
            <w:pPr>
              <w:pStyle w:val="AERtabletextright"/>
              <w:cnfStyle w:val="000000000000" w:firstRow="0" w:lastRow="0" w:firstColumn="0" w:lastColumn="0" w:oddVBand="0" w:evenVBand="0" w:oddHBand="0" w:evenHBand="0" w:firstRowFirstColumn="0" w:firstRowLastColumn="0" w:lastRowFirstColumn="0" w:lastRowLastColumn="0"/>
            </w:pPr>
            <w:r w:rsidRPr="001C1DDD">
              <w:t xml:space="preserve">2225 </w:t>
            </w:r>
          </w:p>
        </w:tc>
        <w:tc>
          <w:tcPr>
            <w:tcW w:w="1345" w:type="dxa"/>
            <w:vAlign w:val="top"/>
          </w:tcPr>
          <w:p w:rsidR="001C1DDD" w:rsidRPr="001C1DDD" w:rsidRDefault="001C1DDD" w:rsidP="001C1DDD">
            <w:pPr>
              <w:pStyle w:val="AERtabletextright"/>
              <w:cnfStyle w:val="000000000000" w:firstRow="0" w:lastRow="0" w:firstColumn="0" w:lastColumn="0" w:oddVBand="0" w:evenVBand="0" w:oddHBand="0" w:evenHBand="0" w:firstRowFirstColumn="0" w:firstRowLastColumn="0" w:lastRowFirstColumn="0" w:lastRowLastColumn="0"/>
            </w:pPr>
            <w:r w:rsidRPr="001C1DDD">
              <w:t xml:space="preserve">2201 </w:t>
            </w:r>
          </w:p>
        </w:tc>
        <w:tc>
          <w:tcPr>
            <w:tcW w:w="1345" w:type="dxa"/>
            <w:vAlign w:val="top"/>
          </w:tcPr>
          <w:p w:rsidR="001C1DDD" w:rsidRPr="001C1DDD" w:rsidRDefault="001C1DDD" w:rsidP="001C1DDD">
            <w:pPr>
              <w:pStyle w:val="AERtabletextright"/>
              <w:cnfStyle w:val="000000000000" w:firstRow="0" w:lastRow="0" w:firstColumn="0" w:lastColumn="0" w:oddVBand="0" w:evenVBand="0" w:oddHBand="0" w:evenHBand="0" w:firstRowFirstColumn="0" w:firstRowLastColumn="0" w:lastRowFirstColumn="0" w:lastRowLastColumn="0"/>
            </w:pPr>
            <w:r w:rsidRPr="001C1DDD">
              <w:t xml:space="preserve">2205 </w:t>
            </w:r>
          </w:p>
        </w:tc>
        <w:tc>
          <w:tcPr>
            <w:tcW w:w="1345" w:type="dxa"/>
            <w:vAlign w:val="top"/>
          </w:tcPr>
          <w:p w:rsidR="001C1DDD" w:rsidRPr="001C1DDD" w:rsidRDefault="001C1DDD" w:rsidP="001C1DDD">
            <w:pPr>
              <w:pStyle w:val="AERtabletextright"/>
              <w:cnfStyle w:val="000000000000" w:firstRow="0" w:lastRow="0" w:firstColumn="0" w:lastColumn="0" w:oddVBand="0" w:evenVBand="0" w:oddHBand="0" w:evenHBand="0" w:firstRowFirstColumn="0" w:firstRowLastColumn="0" w:lastRowFirstColumn="0" w:lastRowLastColumn="0"/>
            </w:pPr>
            <w:r w:rsidRPr="001C1DDD">
              <w:t xml:space="preserve">2208 </w:t>
            </w:r>
          </w:p>
        </w:tc>
      </w:tr>
      <w:tr w:rsidR="001C1DDD" w:rsidRPr="001B64C0" w:rsidTr="00D904FA">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518" w:type="dxa"/>
          </w:tcPr>
          <w:p w:rsidR="001C1DDD" w:rsidRPr="001C1DDD" w:rsidRDefault="001C1DDD" w:rsidP="001C1DDD">
            <w:pPr>
              <w:pStyle w:val="AERtabletextleft"/>
            </w:pPr>
            <w:r w:rsidRPr="001C1DDD">
              <w:t>Annual change</w:t>
            </w:r>
          </w:p>
        </w:tc>
        <w:tc>
          <w:tcPr>
            <w:tcW w:w="1344" w:type="dxa"/>
          </w:tcPr>
          <w:p w:rsidR="001C1DDD" w:rsidRPr="001C1DDD" w:rsidRDefault="001C1DDD" w:rsidP="001C1DDD">
            <w:pPr>
              <w:pStyle w:val="AERtabletextright"/>
              <w:cnfStyle w:val="000000010000" w:firstRow="0" w:lastRow="0" w:firstColumn="0" w:lastColumn="0" w:oddVBand="0" w:evenVBand="0" w:oddHBand="0" w:evenHBand="1" w:firstRowFirstColumn="0" w:firstRowLastColumn="0" w:lastRowFirstColumn="0" w:lastRowLastColumn="0"/>
            </w:pPr>
          </w:p>
        </w:tc>
        <w:tc>
          <w:tcPr>
            <w:tcW w:w="1345" w:type="dxa"/>
          </w:tcPr>
          <w:p w:rsidR="001C1DDD" w:rsidRPr="001C1DDD" w:rsidRDefault="00EB775A" w:rsidP="001C1DDD">
            <w:pPr>
              <w:pStyle w:val="AERtabletextright"/>
              <w:cnfStyle w:val="000000010000" w:firstRow="0" w:lastRow="0" w:firstColumn="0" w:lastColumn="0" w:oddVBand="0" w:evenVBand="0" w:oddHBand="0" w:evenHBand="1" w:firstRowFirstColumn="0" w:firstRowLastColumn="0" w:lastRowFirstColumn="0" w:lastRowLastColumn="0"/>
            </w:pPr>
            <w:r>
              <w:t>–</w:t>
            </w:r>
            <w:r w:rsidR="001C1DDD" w:rsidRPr="001C1DDD">
              <w:t>2 (</w:t>
            </w:r>
            <w:r>
              <w:t>–</w:t>
            </w:r>
            <w:r w:rsidR="001C1DDD" w:rsidRPr="001C1DDD">
              <w:t>0.1%)</w:t>
            </w:r>
          </w:p>
        </w:tc>
        <w:tc>
          <w:tcPr>
            <w:tcW w:w="1345" w:type="dxa"/>
            <w:vAlign w:val="top"/>
          </w:tcPr>
          <w:p w:rsidR="001C1DDD" w:rsidRPr="001C1DDD" w:rsidRDefault="00EB775A" w:rsidP="001C1DDD">
            <w:pPr>
              <w:pStyle w:val="AERtabletextright"/>
              <w:cnfStyle w:val="000000010000" w:firstRow="0" w:lastRow="0" w:firstColumn="0" w:lastColumn="0" w:oddVBand="0" w:evenVBand="0" w:oddHBand="0" w:evenHBand="1" w:firstRowFirstColumn="0" w:firstRowLastColumn="0" w:lastRowFirstColumn="0" w:lastRowLastColumn="0"/>
            </w:pPr>
            <w:r>
              <w:t>–</w:t>
            </w:r>
            <w:r w:rsidR="001C1DDD" w:rsidRPr="001C1DDD">
              <w:t>24 (</w:t>
            </w:r>
            <w:r>
              <w:t>–</w:t>
            </w:r>
            <w:r w:rsidR="001C1DDD" w:rsidRPr="001C1DDD">
              <w:t>1.1%)</w:t>
            </w:r>
          </w:p>
        </w:tc>
        <w:tc>
          <w:tcPr>
            <w:tcW w:w="1345" w:type="dxa"/>
            <w:vAlign w:val="top"/>
          </w:tcPr>
          <w:p w:rsidR="001C1DDD" w:rsidRPr="001C1DDD" w:rsidRDefault="001C1DDD" w:rsidP="001C1DDD">
            <w:pPr>
              <w:pStyle w:val="AERtabletextright"/>
              <w:cnfStyle w:val="000000010000" w:firstRow="0" w:lastRow="0" w:firstColumn="0" w:lastColumn="0" w:oddVBand="0" w:evenVBand="0" w:oddHBand="0" w:evenHBand="1" w:firstRowFirstColumn="0" w:firstRowLastColumn="0" w:lastRowFirstColumn="0" w:lastRowLastColumn="0"/>
            </w:pPr>
            <w:r w:rsidRPr="001C1DDD">
              <w:t>4 (0.2%)</w:t>
            </w:r>
          </w:p>
        </w:tc>
        <w:tc>
          <w:tcPr>
            <w:tcW w:w="1345" w:type="dxa"/>
            <w:vAlign w:val="top"/>
          </w:tcPr>
          <w:p w:rsidR="001C1DDD" w:rsidRPr="001C1DDD" w:rsidRDefault="001C1DDD" w:rsidP="001C1DDD">
            <w:pPr>
              <w:pStyle w:val="AERtabletextright"/>
              <w:cnfStyle w:val="000000010000" w:firstRow="0" w:lastRow="0" w:firstColumn="0" w:lastColumn="0" w:oddVBand="0" w:evenVBand="0" w:oddHBand="0" w:evenHBand="1" w:firstRowFirstColumn="0" w:firstRowLastColumn="0" w:lastRowFirstColumn="0" w:lastRowLastColumn="0"/>
            </w:pPr>
            <w:r w:rsidRPr="001C1DDD">
              <w:t>4 (0.2%)</w:t>
            </w:r>
          </w:p>
        </w:tc>
      </w:tr>
      <w:tr w:rsidR="001C1DDD" w:rsidRPr="001B64C0" w:rsidTr="00D904FA">
        <w:trPr>
          <w:trHeight w:val="394"/>
        </w:trPr>
        <w:tc>
          <w:tcPr>
            <w:cnfStyle w:val="001000000000" w:firstRow="0" w:lastRow="0" w:firstColumn="1" w:lastColumn="0" w:oddVBand="0" w:evenVBand="0" w:oddHBand="0" w:evenHBand="0" w:firstRowFirstColumn="0" w:firstRowLastColumn="0" w:lastRowFirstColumn="0" w:lastRowLastColumn="0"/>
            <w:tcW w:w="2518" w:type="dxa"/>
          </w:tcPr>
          <w:p w:rsidR="001C1DDD" w:rsidRPr="001C1DDD" w:rsidRDefault="001C1DDD" w:rsidP="001C1DDD">
            <w:pPr>
              <w:pStyle w:val="AERtabletextleft"/>
            </w:pPr>
            <w:r w:rsidRPr="001C1DDD">
              <w:t>ACT residential annual bill</w:t>
            </w:r>
            <w:r w:rsidRPr="001C1DDD">
              <w:rPr>
                <w:rStyle w:val="AERsuperscript"/>
              </w:rPr>
              <w:t>b</w:t>
            </w:r>
          </w:p>
        </w:tc>
        <w:tc>
          <w:tcPr>
            <w:tcW w:w="1344" w:type="dxa"/>
          </w:tcPr>
          <w:p w:rsidR="001C1DDD" w:rsidRPr="001C1DDD" w:rsidRDefault="001C1DDD" w:rsidP="001C1DDD">
            <w:pPr>
              <w:pStyle w:val="AERtabletextright"/>
              <w:cnfStyle w:val="000000000000" w:firstRow="0" w:lastRow="0" w:firstColumn="0" w:lastColumn="0" w:oddVBand="0" w:evenVBand="0" w:oddHBand="0" w:evenHBand="0" w:firstRowFirstColumn="0" w:firstRowLastColumn="0" w:lastRowFirstColumn="0" w:lastRowLastColumn="0"/>
            </w:pPr>
            <w:r w:rsidRPr="001C1DDD">
              <w:t xml:space="preserve">1959 </w:t>
            </w:r>
          </w:p>
        </w:tc>
        <w:tc>
          <w:tcPr>
            <w:tcW w:w="1345" w:type="dxa"/>
          </w:tcPr>
          <w:p w:rsidR="001C1DDD" w:rsidRPr="001C1DDD" w:rsidRDefault="001C1DDD" w:rsidP="001C1DDD">
            <w:pPr>
              <w:pStyle w:val="AERtabletextright"/>
              <w:cnfStyle w:val="000000000000" w:firstRow="0" w:lastRow="0" w:firstColumn="0" w:lastColumn="0" w:oddVBand="0" w:evenVBand="0" w:oddHBand="0" w:evenHBand="0" w:firstRowFirstColumn="0" w:firstRowLastColumn="0" w:lastRowFirstColumn="0" w:lastRowLastColumn="0"/>
            </w:pPr>
            <w:r w:rsidRPr="001C1DDD">
              <w:t xml:space="preserve">1957 </w:t>
            </w:r>
          </w:p>
        </w:tc>
        <w:tc>
          <w:tcPr>
            <w:tcW w:w="1345" w:type="dxa"/>
            <w:vAlign w:val="top"/>
          </w:tcPr>
          <w:p w:rsidR="001C1DDD" w:rsidRPr="001C1DDD" w:rsidRDefault="001C1DDD" w:rsidP="001C1DDD">
            <w:pPr>
              <w:pStyle w:val="AERtabletextright"/>
              <w:cnfStyle w:val="000000000000" w:firstRow="0" w:lastRow="0" w:firstColumn="0" w:lastColumn="0" w:oddVBand="0" w:evenVBand="0" w:oddHBand="0" w:evenHBand="0" w:firstRowFirstColumn="0" w:firstRowLastColumn="0" w:lastRowFirstColumn="0" w:lastRowLastColumn="0"/>
            </w:pPr>
            <w:r w:rsidRPr="001C1DDD">
              <w:t xml:space="preserve">1936 </w:t>
            </w:r>
          </w:p>
        </w:tc>
        <w:tc>
          <w:tcPr>
            <w:tcW w:w="1345" w:type="dxa"/>
            <w:vAlign w:val="top"/>
          </w:tcPr>
          <w:p w:rsidR="001C1DDD" w:rsidRPr="001C1DDD" w:rsidRDefault="001C1DDD" w:rsidP="001C1DDD">
            <w:pPr>
              <w:pStyle w:val="AERtabletextright"/>
              <w:cnfStyle w:val="000000000000" w:firstRow="0" w:lastRow="0" w:firstColumn="0" w:lastColumn="0" w:oddVBand="0" w:evenVBand="0" w:oddHBand="0" w:evenHBand="0" w:firstRowFirstColumn="0" w:firstRowLastColumn="0" w:lastRowFirstColumn="0" w:lastRowLastColumn="0"/>
            </w:pPr>
            <w:r w:rsidRPr="001C1DDD">
              <w:t xml:space="preserve">1939 </w:t>
            </w:r>
          </w:p>
        </w:tc>
        <w:tc>
          <w:tcPr>
            <w:tcW w:w="1345" w:type="dxa"/>
            <w:vAlign w:val="top"/>
          </w:tcPr>
          <w:p w:rsidR="001C1DDD" w:rsidRPr="001C1DDD" w:rsidRDefault="001C1DDD" w:rsidP="001C1DDD">
            <w:pPr>
              <w:pStyle w:val="AERtabletextright"/>
              <w:cnfStyle w:val="000000000000" w:firstRow="0" w:lastRow="0" w:firstColumn="0" w:lastColumn="0" w:oddVBand="0" w:evenVBand="0" w:oddHBand="0" w:evenHBand="0" w:firstRowFirstColumn="0" w:firstRowLastColumn="0" w:lastRowFirstColumn="0" w:lastRowLastColumn="0"/>
            </w:pPr>
            <w:r w:rsidRPr="001C1DDD">
              <w:t xml:space="preserve">1942 </w:t>
            </w:r>
          </w:p>
        </w:tc>
      </w:tr>
      <w:tr w:rsidR="001C1DDD" w:rsidRPr="001B64C0" w:rsidTr="00D904FA">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518" w:type="dxa"/>
          </w:tcPr>
          <w:p w:rsidR="001C1DDD" w:rsidRPr="001C1DDD" w:rsidRDefault="001C1DDD" w:rsidP="001C1DDD">
            <w:pPr>
              <w:pStyle w:val="AERtabletextleft"/>
            </w:pPr>
            <w:r w:rsidRPr="001C1DDD">
              <w:t>Annual change</w:t>
            </w:r>
          </w:p>
        </w:tc>
        <w:tc>
          <w:tcPr>
            <w:tcW w:w="1344" w:type="dxa"/>
          </w:tcPr>
          <w:p w:rsidR="001C1DDD" w:rsidRPr="001C1DDD" w:rsidRDefault="001C1DDD" w:rsidP="001C1DDD">
            <w:pPr>
              <w:pStyle w:val="AERtabletextright"/>
              <w:cnfStyle w:val="000000010000" w:firstRow="0" w:lastRow="0" w:firstColumn="0" w:lastColumn="0" w:oddVBand="0" w:evenVBand="0" w:oddHBand="0" w:evenHBand="1" w:firstRowFirstColumn="0" w:firstRowLastColumn="0" w:lastRowFirstColumn="0" w:lastRowLastColumn="0"/>
            </w:pPr>
          </w:p>
        </w:tc>
        <w:tc>
          <w:tcPr>
            <w:tcW w:w="1345" w:type="dxa"/>
          </w:tcPr>
          <w:p w:rsidR="001C1DDD" w:rsidRPr="001C1DDD" w:rsidRDefault="00EB775A" w:rsidP="001C1DDD">
            <w:pPr>
              <w:pStyle w:val="AERtabletextright"/>
              <w:cnfStyle w:val="000000010000" w:firstRow="0" w:lastRow="0" w:firstColumn="0" w:lastColumn="0" w:oddVBand="0" w:evenVBand="0" w:oddHBand="0" w:evenHBand="1" w:firstRowFirstColumn="0" w:firstRowLastColumn="0" w:lastRowFirstColumn="0" w:lastRowLastColumn="0"/>
            </w:pPr>
            <w:r>
              <w:t>–</w:t>
            </w:r>
            <w:r w:rsidR="001C1DDD" w:rsidRPr="001C1DDD">
              <w:t>2 (</w:t>
            </w:r>
            <w:r>
              <w:t>–</w:t>
            </w:r>
            <w:r w:rsidR="001C1DDD" w:rsidRPr="001C1DDD">
              <w:t>0.1%)</w:t>
            </w:r>
          </w:p>
        </w:tc>
        <w:tc>
          <w:tcPr>
            <w:tcW w:w="1345" w:type="dxa"/>
          </w:tcPr>
          <w:p w:rsidR="001C1DDD" w:rsidRPr="001C1DDD" w:rsidRDefault="00EB775A" w:rsidP="001C1DDD">
            <w:pPr>
              <w:pStyle w:val="AERtabletextright"/>
              <w:cnfStyle w:val="000000010000" w:firstRow="0" w:lastRow="0" w:firstColumn="0" w:lastColumn="0" w:oddVBand="0" w:evenVBand="0" w:oddHBand="0" w:evenHBand="1" w:firstRowFirstColumn="0" w:firstRowLastColumn="0" w:lastRowFirstColumn="0" w:lastRowLastColumn="0"/>
            </w:pPr>
            <w:r>
              <w:t>–</w:t>
            </w:r>
            <w:r w:rsidR="001C1DDD" w:rsidRPr="001C1DDD">
              <w:t>21 (</w:t>
            </w:r>
            <w:r>
              <w:t>–</w:t>
            </w:r>
            <w:r w:rsidR="001C1DDD" w:rsidRPr="001C1DDD">
              <w:t>1.1%)</w:t>
            </w:r>
          </w:p>
        </w:tc>
        <w:tc>
          <w:tcPr>
            <w:tcW w:w="1345" w:type="dxa"/>
          </w:tcPr>
          <w:p w:rsidR="001C1DDD" w:rsidRPr="001C1DDD" w:rsidRDefault="001C1DDD" w:rsidP="001C1DDD">
            <w:pPr>
              <w:pStyle w:val="AERtabletextright"/>
              <w:cnfStyle w:val="000000010000" w:firstRow="0" w:lastRow="0" w:firstColumn="0" w:lastColumn="0" w:oddVBand="0" w:evenVBand="0" w:oddHBand="0" w:evenHBand="1" w:firstRowFirstColumn="0" w:firstRowLastColumn="0" w:lastRowFirstColumn="0" w:lastRowLastColumn="0"/>
            </w:pPr>
            <w:r w:rsidRPr="001C1DDD">
              <w:t>3 (0.2%)</w:t>
            </w:r>
          </w:p>
        </w:tc>
        <w:tc>
          <w:tcPr>
            <w:tcW w:w="1345" w:type="dxa"/>
          </w:tcPr>
          <w:p w:rsidR="001C1DDD" w:rsidRPr="001C1DDD" w:rsidRDefault="001C1DDD" w:rsidP="001C1DDD">
            <w:pPr>
              <w:pStyle w:val="AERtabletextright"/>
              <w:cnfStyle w:val="000000010000" w:firstRow="0" w:lastRow="0" w:firstColumn="0" w:lastColumn="0" w:oddVBand="0" w:evenVBand="0" w:oddHBand="0" w:evenHBand="1" w:firstRowFirstColumn="0" w:firstRowLastColumn="0" w:lastRowFirstColumn="0" w:lastRowLastColumn="0"/>
            </w:pPr>
            <w:r w:rsidRPr="001C1DDD">
              <w:t>3 (0.2%)</w:t>
            </w:r>
          </w:p>
        </w:tc>
      </w:tr>
    </w:tbl>
    <w:p w:rsidR="00F172F0" w:rsidRDefault="00F172F0" w:rsidP="00F172F0">
      <w:pPr>
        <w:pStyle w:val="AERtablesource"/>
      </w:pPr>
      <w:r w:rsidRPr="00C729DC">
        <w:t>Source:</w:t>
      </w:r>
      <w:r w:rsidRPr="00C729DC">
        <w:tab/>
      </w:r>
      <w:r>
        <w:t xml:space="preserve">AER analysis; </w:t>
      </w:r>
      <w:r w:rsidRPr="00C70B2A">
        <w:t xml:space="preserve">AER, </w:t>
      </w:r>
      <w:hyperlink r:id="rId16" w:history="1">
        <w:r w:rsidRPr="00C70B2A">
          <w:rPr>
            <w:rStyle w:val="Hyperlink"/>
          </w:rPr>
          <w:t>Energy Made Easy</w:t>
        </w:r>
      </w:hyperlink>
      <w:r>
        <w:rPr>
          <w:rStyle w:val="Hyperlink"/>
        </w:rPr>
        <w:t>;</w:t>
      </w:r>
      <w:r w:rsidRPr="00C70B2A">
        <w:t xml:space="preserve"> IPART, </w:t>
      </w:r>
      <w:r w:rsidRPr="00BC4AE9">
        <w:rPr>
          <w:rStyle w:val="AERtextitalic"/>
        </w:rPr>
        <w:t>Final report: Review of regulated retail prices for electricity - from 1 July 2013 to 30 June 2016</w:t>
      </w:r>
      <w:r w:rsidRPr="00C70B2A">
        <w:t>, June 2013, p. 5</w:t>
      </w:r>
      <w:r>
        <w:t>;</w:t>
      </w:r>
      <w:r w:rsidRPr="00C70B2A">
        <w:t xml:space="preserve"> ICRC, </w:t>
      </w:r>
      <w:r w:rsidRPr="00BC4AE9">
        <w:rPr>
          <w:rStyle w:val="AERtextitalic"/>
        </w:rPr>
        <w:t>Draft report-Standing offer electricity prices from 1 July 2014</w:t>
      </w:r>
      <w:r>
        <w:t>, p. 160.</w:t>
      </w:r>
    </w:p>
    <w:p w:rsidR="00F172F0" w:rsidRDefault="004F3FF3" w:rsidP="00F172F0">
      <w:pPr>
        <w:pStyle w:val="AERtablesource"/>
      </w:pPr>
      <w:r>
        <w:t>(</w:t>
      </w:r>
      <w:r w:rsidR="00F172F0">
        <w:t>a</w:t>
      </w:r>
      <w:r>
        <w:t>)</w:t>
      </w:r>
      <w:r w:rsidR="00F172F0" w:rsidRPr="00064DEE">
        <w:t xml:space="preserve"> </w:t>
      </w:r>
      <w:r w:rsidR="00F172F0">
        <w:tab/>
      </w:r>
      <w:r w:rsidR="00F172F0" w:rsidRPr="00064DEE">
        <w:t xml:space="preserve">Based on the annual </w:t>
      </w:r>
      <w:r w:rsidR="00254487">
        <w:t>electricity bill</w:t>
      </w:r>
      <w:r w:rsidR="00F172F0" w:rsidRPr="00064DEE">
        <w:t xml:space="preserve"> for a typical consumption of 6500</w:t>
      </w:r>
      <w:r w:rsidR="00EA2CF2">
        <w:t xml:space="preserve"> k</w:t>
      </w:r>
      <w:r w:rsidR="00F172F0" w:rsidRPr="00064DEE">
        <w:t xml:space="preserve">Wh per year during the period 1 July 2013 to 30 June 2014. The </w:t>
      </w:r>
      <w:r w:rsidR="00254487">
        <w:t>bill</w:t>
      </w:r>
      <w:r w:rsidR="00F172F0" w:rsidRPr="00064DEE">
        <w:t xml:space="preserve"> reflect</w:t>
      </w:r>
      <w:r w:rsidR="00254487">
        <w:t>s</w:t>
      </w:r>
      <w:r w:rsidR="00F172F0" w:rsidRPr="00064DEE">
        <w:t xml:space="preserve"> regulated </w:t>
      </w:r>
      <w:r w:rsidR="00254487">
        <w:t>charges</w:t>
      </w:r>
      <w:r w:rsidR="00F172F0" w:rsidRPr="00064DEE">
        <w:t xml:space="preserve"> in each distribution zone only. Sample postcode: Aus</w:t>
      </w:r>
      <w:r w:rsidR="00F172F0">
        <w:t>g</w:t>
      </w:r>
      <w:r w:rsidR="00F172F0" w:rsidRPr="00064DEE">
        <w:t xml:space="preserve">rid (2112), Endeavour </w:t>
      </w:r>
      <w:r w:rsidR="00A876AC">
        <w:t xml:space="preserve">Energy </w:t>
      </w:r>
      <w:r w:rsidR="00F172F0" w:rsidRPr="00064DEE">
        <w:t xml:space="preserve">(2500), Essential </w:t>
      </w:r>
      <w:r w:rsidR="00A876AC">
        <w:t>Energy</w:t>
      </w:r>
      <w:r w:rsidR="00F172F0" w:rsidRPr="00064DEE">
        <w:t>(2650).</w:t>
      </w:r>
    </w:p>
    <w:p w:rsidR="00F172F0" w:rsidRPr="00064DEE" w:rsidRDefault="004F3FF3" w:rsidP="00F172F0">
      <w:pPr>
        <w:pStyle w:val="AERtablesource"/>
      </w:pPr>
      <w:r>
        <w:t>(</w:t>
      </w:r>
      <w:r w:rsidR="00F172F0">
        <w:t>b</w:t>
      </w:r>
      <w:r>
        <w:t>)</w:t>
      </w:r>
      <w:r w:rsidR="00F172F0">
        <w:tab/>
        <w:t>Based on</w:t>
      </w:r>
      <w:r w:rsidR="00F172F0" w:rsidRPr="00064DEE">
        <w:t xml:space="preserve"> an average residential customer </w:t>
      </w:r>
      <w:r w:rsidR="00F172F0">
        <w:t>in</w:t>
      </w:r>
      <w:r w:rsidR="00254487">
        <w:t xml:space="preserve"> the</w:t>
      </w:r>
      <w:r w:rsidR="00F172F0">
        <w:t xml:space="preserve"> ACT </w:t>
      </w:r>
      <w:r w:rsidR="00F172F0" w:rsidRPr="00064DEE">
        <w:t>consuming 8000</w:t>
      </w:r>
      <w:r w:rsidR="00EA2CF2">
        <w:t xml:space="preserve"> k</w:t>
      </w:r>
      <w:r w:rsidR="00F172F0" w:rsidRPr="00064DEE">
        <w:t>Wh of electricity per year.</w:t>
      </w:r>
    </w:p>
    <w:p w:rsidR="007E1CC4" w:rsidRDefault="00F172F0" w:rsidP="00B56588">
      <w:pPr>
        <w:pStyle w:val="AERbodytext"/>
      </w:pPr>
      <w:r w:rsidRPr="00C729DC">
        <w:t xml:space="preserve">Similarly, for an average </w:t>
      </w:r>
      <w:r>
        <w:t xml:space="preserve">small </w:t>
      </w:r>
      <w:r w:rsidRPr="00C729DC">
        <w:t>busines</w:t>
      </w:r>
      <w:r>
        <w:t xml:space="preserve">s customer </w:t>
      </w:r>
      <w:r w:rsidRPr="00C729DC">
        <w:t xml:space="preserve">in </w:t>
      </w:r>
      <w:r>
        <w:t>NSW and in the ACT that uses approximately 10</w:t>
      </w:r>
      <w:r w:rsidR="004F3FF3">
        <w:t> </w:t>
      </w:r>
      <w:r>
        <w:t xml:space="preserve">MWh of electricity per annum, </w:t>
      </w:r>
      <w:r w:rsidRPr="00C729DC">
        <w:t>our draft decision</w:t>
      </w:r>
      <w:r>
        <w:t xml:space="preserve"> for the TNSPs</w:t>
      </w:r>
      <w:r w:rsidRPr="00C729DC">
        <w:t xml:space="preserve"> is expected to </w:t>
      </w:r>
      <w:r>
        <w:t xml:space="preserve">lead to lower average annual electricity </w:t>
      </w:r>
      <w:r w:rsidR="00907F24">
        <w:t>bills</w:t>
      </w:r>
      <w:r w:rsidRPr="00C729DC">
        <w:t>.</w:t>
      </w:r>
      <w:r w:rsidR="00444FD7">
        <w:rPr>
          <w:rStyle w:val="FootnoteReference"/>
        </w:rPr>
        <w:footnoteReference w:id="47"/>
      </w:r>
    </w:p>
    <w:p w:rsidR="007E1CC4" w:rsidRDefault="007E1CC4" w:rsidP="0042585E">
      <w:pPr>
        <w:pStyle w:val="AERbulletlistfirststyle"/>
      </w:pPr>
      <w:r>
        <w:t>For NSW, w</w:t>
      </w:r>
      <w:r w:rsidR="00F172F0" w:rsidRPr="00C729DC">
        <w:t xml:space="preserve">e estimate that if the lower transmission charges arising from </w:t>
      </w:r>
      <w:r w:rsidR="00F172F0">
        <w:t>our</w:t>
      </w:r>
      <w:r w:rsidR="00F172F0" w:rsidRPr="00C729DC">
        <w:t xml:space="preserve"> </w:t>
      </w:r>
      <w:r>
        <w:t xml:space="preserve">transitional determination </w:t>
      </w:r>
      <w:r w:rsidR="00F172F0" w:rsidRPr="00C729DC">
        <w:t xml:space="preserve">were passed through to end customers, the average </w:t>
      </w:r>
      <w:r w:rsidR="00254487">
        <w:t xml:space="preserve">small business customer's </w:t>
      </w:r>
      <w:r w:rsidR="00F172F0">
        <w:t xml:space="preserve">annual </w:t>
      </w:r>
      <w:r w:rsidR="00254487">
        <w:t>electricity bill</w:t>
      </w:r>
      <w:r w:rsidR="00F172F0" w:rsidRPr="00C729DC">
        <w:t xml:space="preserve"> </w:t>
      </w:r>
      <w:r w:rsidR="00F172F0">
        <w:t xml:space="preserve">in NSW </w:t>
      </w:r>
      <w:r w:rsidR="00F172F0" w:rsidRPr="00C729DC">
        <w:t xml:space="preserve">could be expected to </w:t>
      </w:r>
      <w:r w:rsidR="0042585E">
        <w:t>decrease</w:t>
      </w:r>
      <w:r w:rsidR="0042585E" w:rsidRPr="00C729DC">
        <w:t xml:space="preserve"> </w:t>
      </w:r>
      <w:r w:rsidR="00F172F0" w:rsidRPr="00C729DC">
        <w:t>by about $</w:t>
      </w:r>
      <w:r w:rsidR="00907F24">
        <w:t>4</w:t>
      </w:r>
      <w:r w:rsidR="00F172F0" w:rsidRPr="00C729DC">
        <w:t xml:space="preserve"> or 0.</w:t>
      </w:r>
      <w:r w:rsidR="00907F24">
        <w:t>1</w:t>
      </w:r>
      <w:r w:rsidR="0042585E">
        <w:t> </w:t>
      </w:r>
      <w:r w:rsidR="00F172F0" w:rsidRPr="00C729DC">
        <w:t xml:space="preserve">per cent </w:t>
      </w:r>
      <w:r>
        <w:t xml:space="preserve">($ nominal) </w:t>
      </w:r>
      <w:r w:rsidR="00F172F0">
        <w:t>in</w:t>
      </w:r>
      <w:r w:rsidR="0042585E">
        <w:t xml:space="preserve"> </w:t>
      </w:r>
      <w:r>
        <w:t>2014–15</w:t>
      </w:r>
      <w:r w:rsidR="00F172F0" w:rsidRPr="00C729DC">
        <w:t xml:space="preserve">. </w:t>
      </w:r>
      <w:r>
        <w:t xml:space="preserve">If the lower transmission charges from our draft decisions are passed through to customers, we would expect </w:t>
      </w:r>
      <w:r w:rsidR="00254487">
        <w:t xml:space="preserve">the </w:t>
      </w:r>
      <w:r>
        <w:t>average small business</w:t>
      </w:r>
      <w:r w:rsidR="00254487">
        <w:t xml:space="preserve"> customer's annual</w:t>
      </w:r>
      <w:r>
        <w:t xml:space="preserve"> electricity </w:t>
      </w:r>
      <w:r w:rsidR="00254487">
        <w:t>bill</w:t>
      </w:r>
      <w:r>
        <w:t xml:space="preserve"> in NSW to </w:t>
      </w:r>
      <w:r w:rsidR="0042585E">
        <w:t>decrease</w:t>
      </w:r>
      <w:r>
        <w:t xml:space="preserve"> by a further $</w:t>
      </w:r>
      <w:r w:rsidR="0042585E">
        <w:t>3</w:t>
      </w:r>
      <w:r w:rsidR="00907F24">
        <w:t>8</w:t>
      </w:r>
      <w:r w:rsidR="0042585E">
        <w:t> or 1.</w:t>
      </w:r>
      <w:r w:rsidR="00907F24">
        <w:t>1</w:t>
      </w:r>
      <w:r>
        <w:t> per cent ($ nominal) in 2015–16. This would be followed by increases of about $</w:t>
      </w:r>
      <w:r w:rsidR="0042585E">
        <w:t>6 or 0.2</w:t>
      </w:r>
      <w:r>
        <w:t> per cent ($ nominal) per annum from 2016–17 to 2017–18.</w:t>
      </w:r>
    </w:p>
    <w:p w:rsidR="007E1CC4" w:rsidRDefault="00F172F0" w:rsidP="0042585E">
      <w:pPr>
        <w:pStyle w:val="AERbulletlistsecondstyle"/>
      </w:pPr>
      <w:r w:rsidRPr="00C729DC">
        <w:t xml:space="preserve">In comparison, </w:t>
      </w:r>
      <w:r>
        <w:t>if the TNSPs'</w:t>
      </w:r>
      <w:r w:rsidRPr="00C729DC">
        <w:t xml:space="preserve"> proposal</w:t>
      </w:r>
      <w:r>
        <w:t>s</w:t>
      </w:r>
      <w:r w:rsidRPr="00C729DC">
        <w:t xml:space="preserve"> </w:t>
      </w:r>
      <w:r>
        <w:t xml:space="preserve">were accepted by us, the </w:t>
      </w:r>
      <w:r w:rsidRPr="00C729DC">
        <w:t xml:space="preserve">average </w:t>
      </w:r>
      <w:r w:rsidR="00254487">
        <w:t xml:space="preserve">annual electricity bills for </w:t>
      </w:r>
      <w:r w:rsidRPr="005D1C3A">
        <w:t>small business customer</w:t>
      </w:r>
      <w:r w:rsidR="00254487">
        <w:t>s</w:t>
      </w:r>
      <w:r w:rsidRPr="005D1C3A">
        <w:t xml:space="preserve"> </w:t>
      </w:r>
      <w:r>
        <w:t>in NSW would increase by</w:t>
      </w:r>
      <w:r w:rsidRPr="00C729DC">
        <w:t xml:space="preserve"> approximately $</w:t>
      </w:r>
      <w:r w:rsidR="0042585E">
        <w:t>10 </w:t>
      </w:r>
      <w:r w:rsidRPr="00C729DC">
        <w:t>or 0.</w:t>
      </w:r>
      <w:r w:rsidR="0042585E">
        <w:t>3 </w:t>
      </w:r>
      <w:r w:rsidRPr="00C729DC">
        <w:t>per cent per annum</w:t>
      </w:r>
      <w:r>
        <w:t xml:space="preserve"> </w:t>
      </w:r>
      <w:r w:rsidR="00A76C0D">
        <w:t>($ nominal)</w:t>
      </w:r>
      <w:r w:rsidR="0042585E">
        <w:t xml:space="preserve"> </w:t>
      </w:r>
      <w:r w:rsidR="007E1CC4">
        <w:t>over the 2014–18 period</w:t>
      </w:r>
      <w:r w:rsidRPr="00C729DC">
        <w:t>.</w:t>
      </w:r>
    </w:p>
    <w:p w:rsidR="007E1CC4" w:rsidRPr="007E1CC4" w:rsidRDefault="007E1CC4" w:rsidP="0042585E">
      <w:pPr>
        <w:pStyle w:val="AERbulletlistfirststyle"/>
      </w:pPr>
      <w:r w:rsidRPr="007E1CC4">
        <w:lastRenderedPageBreak/>
        <w:t xml:space="preserve">For </w:t>
      </w:r>
      <w:r>
        <w:t>the ACT</w:t>
      </w:r>
      <w:r w:rsidRPr="007E1CC4">
        <w:t>, we estimate that if the lower transmission charges arising from our transitional determination were passed through to end customers, the average small business customer</w:t>
      </w:r>
      <w:r w:rsidR="00254487">
        <w:t>'s annual electricity bill</w:t>
      </w:r>
      <w:r w:rsidRPr="007E1CC4">
        <w:t xml:space="preserve"> in </w:t>
      </w:r>
      <w:r>
        <w:t>the ACT</w:t>
      </w:r>
      <w:r w:rsidRPr="007E1CC4">
        <w:t xml:space="preserve"> could be expected to </w:t>
      </w:r>
      <w:r w:rsidR="0042585E">
        <w:t>decrease</w:t>
      </w:r>
      <w:r w:rsidRPr="007E1CC4">
        <w:t xml:space="preserve"> by about $</w:t>
      </w:r>
      <w:r w:rsidR="00907F24">
        <w:t>3</w:t>
      </w:r>
      <w:r w:rsidRPr="007E1CC4">
        <w:t xml:space="preserve"> or 0.</w:t>
      </w:r>
      <w:r w:rsidR="00907F24">
        <w:t>1</w:t>
      </w:r>
      <w:r w:rsidR="0042585E">
        <w:t> </w:t>
      </w:r>
      <w:r w:rsidRPr="007E1CC4">
        <w:t xml:space="preserve">per cent </w:t>
      </w:r>
      <w:r w:rsidR="00A76C0D">
        <w:t>($</w:t>
      </w:r>
      <w:r w:rsidR="0042585E">
        <w:t> </w:t>
      </w:r>
      <w:r w:rsidR="00A76C0D">
        <w:t xml:space="preserve">nominal) </w:t>
      </w:r>
      <w:r w:rsidRPr="007E1CC4">
        <w:t xml:space="preserve">in 2014–15. If the lower transmission charges from our draft decisions are passed through to customers, we would expect </w:t>
      </w:r>
      <w:r w:rsidR="00254487">
        <w:t xml:space="preserve">the </w:t>
      </w:r>
      <w:r w:rsidRPr="007E1CC4">
        <w:t xml:space="preserve">average small business </w:t>
      </w:r>
      <w:r w:rsidR="00254487">
        <w:t xml:space="preserve">customer's annual </w:t>
      </w:r>
      <w:r w:rsidRPr="007E1CC4">
        <w:t xml:space="preserve">electricity </w:t>
      </w:r>
      <w:r w:rsidR="00254487">
        <w:t>bill</w:t>
      </w:r>
      <w:r w:rsidRPr="007E1CC4">
        <w:t xml:space="preserve"> in </w:t>
      </w:r>
      <w:r>
        <w:t>the ACT</w:t>
      </w:r>
      <w:r w:rsidRPr="007E1CC4">
        <w:t xml:space="preserve"> to </w:t>
      </w:r>
      <w:r w:rsidR="0042585E">
        <w:t>decrease</w:t>
      </w:r>
      <w:r w:rsidRPr="007E1CC4">
        <w:t xml:space="preserve"> by a further $</w:t>
      </w:r>
      <w:r w:rsidR="0042585E">
        <w:t>3</w:t>
      </w:r>
      <w:r w:rsidR="00907F24">
        <w:t>1</w:t>
      </w:r>
      <w:r w:rsidR="0042585E">
        <w:t> or 1.</w:t>
      </w:r>
      <w:r w:rsidR="00907F24">
        <w:t>1</w:t>
      </w:r>
      <w:r w:rsidRPr="007E1CC4">
        <w:t> per cent ($ nominal) in 2015–16. This would be followed by increases of about $</w:t>
      </w:r>
      <w:r w:rsidR="0042585E">
        <w:t>5</w:t>
      </w:r>
      <w:r w:rsidRPr="007E1CC4">
        <w:t xml:space="preserve"> or </w:t>
      </w:r>
      <w:r w:rsidR="0042585E">
        <w:t>0.2</w:t>
      </w:r>
      <w:r w:rsidRPr="007E1CC4">
        <w:t> per cent ($ nominal) per annum from 2016–17 to 201</w:t>
      </w:r>
      <w:r>
        <w:t>7</w:t>
      </w:r>
      <w:r w:rsidRPr="007E1CC4">
        <w:t>–1</w:t>
      </w:r>
      <w:r>
        <w:t>8</w:t>
      </w:r>
      <w:r w:rsidRPr="007E1CC4">
        <w:t>.</w:t>
      </w:r>
    </w:p>
    <w:p w:rsidR="007E1CC4" w:rsidRPr="007E1CC4" w:rsidRDefault="007E1CC4" w:rsidP="007E1CC4">
      <w:pPr>
        <w:pStyle w:val="AERbulletlistsecondstyle"/>
      </w:pPr>
      <w:r w:rsidRPr="007E1CC4">
        <w:t xml:space="preserve">In comparison, if the TNSPs' proposals were accepted by us, the average </w:t>
      </w:r>
      <w:r w:rsidR="00254487">
        <w:t xml:space="preserve">annual electricity bills for </w:t>
      </w:r>
      <w:r w:rsidRPr="007E1CC4">
        <w:t>small business customer</w:t>
      </w:r>
      <w:r w:rsidR="00254487">
        <w:t>s</w:t>
      </w:r>
      <w:r w:rsidRPr="007E1CC4">
        <w:t xml:space="preserve"> in </w:t>
      </w:r>
      <w:r>
        <w:t>the ACT</w:t>
      </w:r>
      <w:r w:rsidRPr="007E1CC4">
        <w:t xml:space="preserve"> would increase by approximately $</w:t>
      </w:r>
      <w:r w:rsidR="0042585E">
        <w:t>8 </w:t>
      </w:r>
      <w:r w:rsidRPr="007E1CC4">
        <w:t>or</w:t>
      </w:r>
      <w:r w:rsidR="0042585E">
        <w:t xml:space="preserve"> </w:t>
      </w:r>
      <w:r w:rsidRPr="007E1CC4">
        <w:t>0.</w:t>
      </w:r>
      <w:r w:rsidR="0042585E">
        <w:t>3 </w:t>
      </w:r>
      <w:r w:rsidRPr="007E1CC4">
        <w:t xml:space="preserve">per cent </w:t>
      </w:r>
      <w:r w:rsidR="0042585E">
        <w:t xml:space="preserve">($ nominal) </w:t>
      </w:r>
      <w:r w:rsidRPr="007E1CC4">
        <w:t>per annum over the 2014–18 period.</w:t>
      </w:r>
    </w:p>
    <w:p w:rsidR="00F172F0" w:rsidRPr="00C729DC" w:rsidRDefault="00E72B7D" w:rsidP="00556E5F">
      <w:pPr>
        <w:pStyle w:val="AERbodytext"/>
      </w:pPr>
      <w:r>
        <w:fldChar w:fldCharType="begin"/>
      </w:r>
      <w:r>
        <w:instrText xml:space="preserve"> REF _Ref401844790 \h </w:instrText>
      </w:r>
      <w:r>
        <w:fldChar w:fldCharType="separate"/>
      </w:r>
      <w:r w:rsidR="00C1101B" w:rsidRPr="00C729DC">
        <w:t xml:space="preserve">Table </w:t>
      </w:r>
      <w:r w:rsidR="00C1101B">
        <w:rPr>
          <w:noProof/>
        </w:rPr>
        <w:t>1</w:t>
      </w:r>
      <w:r w:rsidR="00C1101B">
        <w:noBreakHyphen/>
      </w:r>
      <w:r w:rsidR="00C1101B">
        <w:rPr>
          <w:noProof/>
        </w:rPr>
        <w:t>6</w:t>
      </w:r>
      <w:r>
        <w:fldChar w:fldCharType="end"/>
      </w:r>
      <w:r>
        <w:t xml:space="preserve"> </w:t>
      </w:r>
      <w:r w:rsidR="00F172F0" w:rsidRPr="00C729DC">
        <w:t xml:space="preserve">shows our estimated impact of </w:t>
      </w:r>
      <w:r w:rsidR="00F172F0">
        <w:t>our</w:t>
      </w:r>
      <w:r w:rsidR="00F172F0" w:rsidRPr="00C729DC">
        <w:t xml:space="preserve"> draft decision</w:t>
      </w:r>
      <w:r w:rsidR="00F172F0">
        <w:t>s</w:t>
      </w:r>
      <w:r w:rsidR="00F172F0" w:rsidRPr="00C729DC">
        <w:t xml:space="preserve"> </w:t>
      </w:r>
      <w:r w:rsidR="00254487">
        <w:t xml:space="preserve">over the 2014–18 period </w:t>
      </w:r>
      <w:r w:rsidR="00F172F0" w:rsidRPr="00C729DC">
        <w:t xml:space="preserve">and </w:t>
      </w:r>
      <w:r w:rsidR="00F172F0">
        <w:t>the TNSPs'</w:t>
      </w:r>
      <w:r w:rsidR="00F172F0" w:rsidRPr="00C729DC">
        <w:t xml:space="preserve"> proposal</w:t>
      </w:r>
      <w:r w:rsidR="00F172F0">
        <w:t>s</w:t>
      </w:r>
      <w:r w:rsidR="00F172F0" w:rsidRPr="00C729DC">
        <w:t xml:space="preserve"> on the average</w:t>
      </w:r>
      <w:r w:rsidR="00254487">
        <w:t xml:space="preserve"> annual electricity bills for small</w:t>
      </w:r>
      <w:r w:rsidR="00F172F0" w:rsidRPr="00C729DC">
        <w:t xml:space="preserve"> business customer</w:t>
      </w:r>
      <w:r w:rsidR="00254487">
        <w:t>s</w:t>
      </w:r>
      <w:r w:rsidR="00F172F0">
        <w:t xml:space="preserve"> in NSW and ACT.</w:t>
      </w:r>
    </w:p>
    <w:p w:rsidR="00F172F0" w:rsidRDefault="00F172F0" w:rsidP="00F172F0">
      <w:pPr>
        <w:pStyle w:val="Caption"/>
      </w:pPr>
      <w:bookmarkStart w:id="43" w:name="_Ref401844790"/>
      <w:r w:rsidRPr="00C729DC">
        <w:t xml:space="preserve">Table </w:t>
      </w:r>
      <w:r w:rsidR="00D46AB4">
        <w:fldChar w:fldCharType="begin"/>
      </w:r>
      <w:r w:rsidR="00D46AB4">
        <w:instrText xml:space="preserve"> STYLEREF 1 \s </w:instrText>
      </w:r>
      <w:r w:rsidR="00D46AB4">
        <w:fldChar w:fldCharType="separate"/>
      </w:r>
      <w:r w:rsidR="00C1101B">
        <w:rPr>
          <w:noProof/>
        </w:rPr>
        <w:t>1</w:t>
      </w:r>
      <w:r w:rsidR="00D46AB4">
        <w:rPr>
          <w:noProof/>
        </w:rPr>
        <w:fldChar w:fldCharType="end"/>
      </w:r>
      <w:r w:rsidR="00E72B7D">
        <w:noBreakHyphen/>
      </w:r>
      <w:r w:rsidR="00D46AB4">
        <w:fldChar w:fldCharType="begin"/>
      </w:r>
      <w:r w:rsidR="00D46AB4">
        <w:instrText xml:space="preserve"> SEQ Table \* ARABIC \s 1 </w:instrText>
      </w:r>
      <w:r w:rsidR="00D46AB4">
        <w:fldChar w:fldCharType="separate"/>
      </w:r>
      <w:r w:rsidR="00C1101B">
        <w:rPr>
          <w:noProof/>
        </w:rPr>
        <w:t>6</w:t>
      </w:r>
      <w:r w:rsidR="00D46AB4">
        <w:rPr>
          <w:noProof/>
        </w:rPr>
        <w:fldChar w:fldCharType="end"/>
      </w:r>
      <w:bookmarkEnd w:id="43"/>
      <w:r w:rsidRPr="00C729DC">
        <w:tab/>
        <w:t>AER</w:t>
      </w:r>
      <w:r w:rsidR="000D674E">
        <w:t>'s</w:t>
      </w:r>
      <w:r w:rsidRPr="00C729DC">
        <w:t xml:space="preserve"> estimated impact of the </w:t>
      </w:r>
      <w:r w:rsidR="00907F24">
        <w:t xml:space="preserve">transmission </w:t>
      </w:r>
      <w:r w:rsidRPr="00C729DC">
        <w:t>draft decision</w:t>
      </w:r>
      <w:r w:rsidR="00907F24">
        <w:t>s</w:t>
      </w:r>
      <w:r w:rsidRPr="00C729DC">
        <w:t xml:space="preserve"> on the average </w:t>
      </w:r>
      <w:r w:rsidR="00254487">
        <w:t xml:space="preserve">annual electricity bills for </w:t>
      </w:r>
      <w:r>
        <w:t>small business customer</w:t>
      </w:r>
      <w:r w:rsidR="00254487">
        <w:t>s</w:t>
      </w:r>
      <w:r>
        <w:t xml:space="preserve"> </w:t>
      </w:r>
      <w:r w:rsidRPr="00C729DC">
        <w:t xml:space="preserve">in </w:t>
      </w:r>
      <w:r>
        <w:t>NSW and ACT</w:t>
      </w:r>
      <w:r w:rsidRPr="00C729DC">
        <w:t xml:space="preserve"> over 2014–1</w:t>
      </w:r>
      <w:r>
        <w:t>8</w:t>
      </w:r>
      <w:r w:rsidR="00230144">
        <w:t xml:space="preserve"> ($ nominal)</w:t>
      </w:r>
    </w:p>
    <w:tbl>
      <w:tblPr>
        <w:tblStyle w:val="AERtable-numbers"/>
        <w:tblW w:w="9180" w:type="dxa"/>
        <w:tblLook w:val="04A0" w:firstRow="1" w:lastRow="0" w:firstColumn="1" w:lastColumn="0" w:noHBand="0" w:noVBand="1"/>
      </w:tblPr>
      <w:tblGrid>
        <w:gridCol w:w="2660"/>
        <w:gridCol w:w="1304"/>
        <w:gridCol w:w="1304"/>
        <w:gridCol w:w="1304"/>
        <w:gridCol w:w="1304"/>
        <w:gridCol w:w="1304"/>
      </w:tblGrid>
      <w:tr w:rsidR="00FB5ADB" w:rsidRPr="001B64C0" w:rsidTr="00D904FA">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660" w:type="dxa"/>
          </w:tcPr>
          <w:p w:rsidR="00FB5ADB" w:rsidRPr="00F172F0" w:rsidRDefault="00FB5ADB" w:rsidP="00F172F0">
            <w:pPr>
              <w:pStyle w:val="AERtabletextleft"/>
            </w:pPr>
          </w:p>
        </w:tc>
        <w:tc>
          <w:tcPr>
            <w:tcW w:w="1304" w:type="dxa"/>
          </w:tcPr>
          <w:p w:rsidR="00FB5ADB" w:rsidRPr="00DE5D21" w:rsidRDefault="00FB5ADB" w:rsidP="00F172F0">
            <w:pPr>
              <w:pStyle w:val="AERtabletextright"/>
              <w:cnfStyle w:val="100000000000" w:firstRow="1" w:lastRow="0" w:firstColumn="0" w:lastColumn="0" w:oddVBand="0" w:evenVBand="0" w:oddHBand="0" w:evenHBand="0" w:firstRowFirstColumn="0" w:firstRowLastColumn="0" w:lastRowFirstColumn="0" w:lastRowLastColumn="0"/>
            </w:pPr>
            <w:r>
              <w:t>2013–14</w:t>
            </w:r>
          </w:p>
        </w:tc>
        <w:tc>
          <w:tcPr>
            <w:tcW w:w="1304" w:type="dxa"/>
          </w:tcPr>
          <w:p w:rsidR="00FB5ADB" w:rsidRPr="00DE5D21" w:rsidRDefault="00FB5ADB" w:rsidP="00F172F0">
            <w:pPr>
              <w:pStyle w:val="AERtabletextright"/>
              <w:cnfStyle w:val="100000000000" w:firstRow="1" w:lastRow="0" w:firstColumn="0" w:lastColumn="0" w:oddVBand="0" w:evenVBand="0" w:oddHBand="0" w:evenHBand="0" w:firstRowFirstColumn="0" w:firstRowLastColumn="0" w:lastRowFirstColumn="0" w:lastRowLastColumn="0"/>
            </w:pPr>
            <w:r>
              <w:t>2014–15</w:t>
            </w:r>
          </w:p>
        </w:tc>
        <w:tc>
          <w:tcPr>
            <w:tcW w:w="1304" w:type="dxa"/>
          </w:tcPr>
          <w:p w:rsidR="00FB5ADB" w:rsidRPr="00F172F0" w:rsidRDefault="00FB5ADB" w:rsidP="00F172F0">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304" w:type="dxa"/>
          </w:tcPr>
          <w:p w:rsidR="00FB5ADB" w:rsidRPr="00F172F0" w:rsidRDefault="00FB5ADB" w:rsidP="000D674E">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304" w:type="dxa"/>
          </w:tcPr>
          <w:p w:rsidR="00FB5ADB" w:rsidRPr="00F172F0" w:rsidRDefault="00FB5ADB" w:rsidP="00EA2CF2">
            <w:pPr>
              <w:pStyle w:val="AERtabletextright"/>
              <w:cnfStyle w:val="100000000000" w:firstRow="1" w:lastRow="0" w:firstColumn="0" w:lastColumn="0" w:oddVBand="0" w:evenVBand="0" w:oddHBand="0" w:evenHBand="0" w:firstRowFirstColumn="0" w:firstRowLastColumn="0" w:lastRowFirstColumn="0" w:lastRowLastColumn="0"/>
            </w:pPr>
            <w:r>
              <w:t>2017–18</w:t>
            </w:r>
          </w:p>
        </w:tc>
      </w:tr>
      <w:tr w:rsidR="00FB5ADB" w:rsidRPr="00FB5ADB" w:rsidTr="00D904FA">
        <w:trPr>
          <w:trHeight w:val="394"/>
        </w:trPr>
        <w:tc>
          <w:tcPr>
            <w:cnfStyle w:val="001000000000" w:firstRow="0" w:lastRow="0" w:firstColumn="1" w:lastColumn="0" w:oddVBand="0" w:evenVBand="0" w:oddHBand="0" w:evenHBand="0" w:firstRowFirstColumn="0" w:firstRowLastColumn="0" w:lastRowFirstColumn="0" w:lastRowLastColumn="0"/>
            <w:tcW w:w="2660" w:type="dxa"/>
          </w:tcPr>
          <w:p w:rsidR="00FB5ADB" w:rsidRPr="00272DD8" w:rsidRDefault="00907F24" w:rsidP="00907F24">
            <w:pPr>
              <w:pStyle w:val="AERtabletextleft"/>
              <w:jc w:val="both"/>
              <w:rPr>
                <w:rStyle w:val="AERtextbold"/>
              </w:rPr>
            </w:pPr>
            <w:r>
              <w:rPr>
                <w:rStyle w:val="AERtextbold"/>
              </w:rPr>
              <w:t>TNSP proposals</w:t>
            </w:r>
          </w:p>
        </w:tc>
        <w:tc>
          <w:tcPr>
            <w:tcW w:w="1304" w:type="dxa"/>
          </w:tcPr>
          <w:p w:rsidR="00FB5ADB" w:rsidRPr="00272DD8" w:rsidRDefault="00FB5ADB" w:rsidP="00F172F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304" w:type="dxa"/>
          </w:tcPr>
          <w:p w:rsidR="00FB5ADB" w:rsidRPr="00272DD8" w:rsidRDefault="00FB5ADB" w:rsidP="00F172F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304" w:type="dxa"/>
            <w:vAlign w:val="top"/>
          </w:tcPr>
          <w:p w:rsidR="00FB5ADB" w:rsidRPr="00272DD8" w:rsidRDefault="00FB5ADB" w:rsidP="00F172F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304" w:type="dxa"/>
            <w:vAlign w:val="top"/>
          </w:tcPr>
          <w:p w:rsidR="00FB5ADB" w:rsidRPr="00272DD8" w:rsidRDefault="00FB5ADB" w:rsidP="00F172F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304" w:type="dxa"/>
            <w:vAlign w:val="top"/>
          </w:tcPr>
          <w:p w:rsidR="00FB5ADB" w:rsidRPr="00272DD8" w:rsidRDefault="00FB5ADB" w:rsidP="00B766A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907F24" w:rsidRPr="001B64C0" w:rsidTr="00D904FA">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660" w:type="dxa"/>
          </w:tcPr>
          <w:p w:rsidR="00907F24" w:rsidRPr="00907F24" w:rsidRDefault="00907F24" w:rsidP="00907F24">
            <w:pPr>
              <w:pStyle w:val="AERtabletextleft"/>
            </w:pPr>
            <w:r w:rsidRPr="00907F24">
              <w:t>NSW small business annual bill</w:t>
            </w:r>
            <w:r w:rsidRPr="00907F24">
              <w:rPr>
                <w:rStyle w:val="AERsuperscript"/>
              </w:rPr>
              <w:t>a</w:t>
            </w:r>
          </w:p>
        </w:tc>
        <w:tc>
          <w:tcPr>
            <w:tcW w:w="1304" w:type="dxa"/>
          </w:tcPr>
          <w:p w:rsidR="00907F24" w:rsidRPr="00907F24" w:rsidRDefault="00907F24" w:rsidP="00907F24">
            <w:pPr>
              <w:pStyle w:val="AERtabletextright"/>
              <w:cnfStyle w:val="000000010000" w:firstRow="0" w:lastRow="0" w:firstColumn="0" w:lastColumn="0" w:oddVBand="0" w:evenVBand="0" w:oddHBand="0" w:evenHBand="1" w:firstRowFirstColumn="0" w:firstRowLastColumn="0" w:lastRowFirstColumn="0" w:lastRowLastColumn="0"/>
            </w:pPr>
            <w:r w:rsidRPr="00907F24">
              <w:t>3584</w:t>
            </w:r>
          </w:p>
        </w:tc>
        <w:tc>
          <w:tcPr>
            <w:tcW w:w="1304" w:type="dxa"/>
          </w:tcPr>
          <w:p w:rsidR="00907F24" w:rsidRPr="00907F24" w:rsidRDefault="00907F24" w:rsidP="00907F24">
            <w:pPr>
              <w:pStyle w:val="AERtabletextright"/>
              <w:cnfStyle w:val="000000010000" w:firstRow="0" w:lastRow="0" w:firstColumn="0" w:lastColumn="0" w:oddVBand="0" w:evenVBand="0" w:oddHBand="0" w:evenHBand="1" w:firstRowFirstColumn="0" w:firstRowLastColumn="0" w:lastRowFirstColumn="0" w:lastRowLastColumn="0"/>
            </w:pPr>
            <w:r w:rsidRPr="00907F24">
              <w:t>3605</w:t>
            </w:r>
          </w:p>
        </w:tc>
        <w:tc>
          <w:tcPr>
            <w:tcW w:w="1304" w:type="dxa"/>
            <w:vAlign w:val="top"/>
          </w:tcPr>
          <w:p w:rsidR="00907F24" w:rsidRPr="00907F24" w:rsidRDefault="00907F24" w:rsidP="00907F24">
            <w:pPr>
              <w:pStyle w:val="AERtabletextright"/>
              <w:cnfStyle w:val="000000010000" w:firstRow="0" w:lastRow="0" w:firstColumn="0" w:lastColumn="0" w:oddVBand="0" w:evenVBand="0" w:oddHBand="0" w:evenHBand="1" w:firstRowFirstColumn="0" w:firstRowLastColumn="0" w:lastRowFirstColumn="0" w:lastRowLastColumn="0"/>
            </w:pPr>
            <w:r w:rsidRPr="00907F24">
              <w:t>3611</w:t>
            </w:r>
          </w:p>
        </w:tc>
        <w:tc>
          <w:tcPr>
            <w:tcW w:w="1304" w:type="dxa"/>
            <w:vAlign w:val="top"/>
          </w:tcPr>
          <w:p w:rsidR="00907F24" w:rsidRPr="00907F24" w:rsidRDefault="00907F24" w:rsidP="00907F24">
            <w:pPr>
              <w:pStyle w:val="AERtabletextright"/>
              <w:cnfStyle w:val="000000010000" w:firstRow="0" w:lastRow="0" w:firstColumn="0" w:lastColumn="0" w:oddVBand="0" w:evenVBand="0" w:oddHBand="0" w:evenHBand="1" w:firstRowFirstColumn="0" w:firstRowLastColumn="0" w:lastRowFirstColumn="0" w:lastRowLastColumn="0"/>
            </w:pPr>
            <w:r w:rsidRPr="00907F24">
              <w:t>3617</w:t>
            </w:r>
          </w:p>
        </w:tc>
        <w:tc>
          <w:tcPr>
            <w:tcW w:w="1304" w:type="dxa"/>
            <w:vAlign w:val="top"/>
          </w:tcPr>
          <w:p w:rsidR="00907F24" w:rsidRPr="00907F24" w:rsidRDefault="00907F24" w:rsidP="00907F24">
            <w:pPr>
              <w:pStyle w:val="AERtabletextright"/>
              <w:cnfStyle w:val="000000010000" w:firstRow="0" w:lastRow="0" w:firstColumn="0" w:lastColumn="0" w:oddVBand="0" w:evenVBand="0" w:oddHBand="0" w:evenHBand="1" w:firstRowFirstColumn="0" w:firstRowLastColumn="0" w:lastRowFirstColumn="0" w:lastRowLastColumn="0"/>
            </w:pPr>
            <w:r w:rsidRPr="00907F24">
              <w:t>3624</w:t>
            </w:r>
          </w:p>
        </w:tc>
      </w:tr>
      <w:tr w:rsidR="00907F24" w:rsidRPr="001B64C0" w:rsidTr="00D904FA">
        <w:trPr>
          <w:trHeight w:val="394"/>
        </w:trPr>
        <w:tc>
          <w:tcPr>
            <w:cnfStyle w:val="001000000000" w:firstRow="0" w:lastRow="0" w:firstColumn="1" w:lastColumn="0" w:oddVBand="0" w:evenVBand="0" w:oddHBand="0" w:evenHBand="0" w:firstRowFirstColumn="0" w:firstRowLastColumn="0" w:lastRowFirstColumn="0" w:lastRowLastColumn="0"/>
            <w:tcW w:w="2660" w:type="dxa"/>
          </w:tcPr>
          <w:p w:rsidR="00907F24" w:rsidRPr="00907F24" w:rsidRDefault="00907F24" w:rsidP="00907F24">
            <w:pPr>
              <w:pStyle w:val="AERtabletextleft"/>
            </w:pPr>
            <w:r w:rsidRPr="00907F24">
              <w:t>Annual change</w:t>
            </w:r>
          </w:p>
        </w:tc>
        <w:tc>
          <w:tcPr>
            <w:tcW w:w="1304" w:type="dxa"/>
          </w:tcPr>
          <w:p w:rsidR="00907F24" w:rsidRPr="00907F24" w:rsidRDefault="00907F24" w:rsidP="00907F24">
            <w:pPr>
              <w:pStyle w:val="AERtabletextright"/>
              <w:cnfStyle w:val="000000000000" w:firstRow="0" w:lastRow="0" w:firstColumn="0" w:lastColumn="0" w:oddVBand="0" w:evenVBand="0" w:oddHBand="0" w:evenHBand="0" w:firstRowFirstColumn="0" w:firstRowLastColumn="0" w:lastRowFirstColumn="0" w:lastRowLastColumn="0"/>
            </w:pPr>
          </w:p>
        </w:tc>
        <w:tc>
          <w:tcPr>
            <w:tcW w:w="1304" w:type="dxa"/>
          </w:tcPr>
          <w:p w:rsidR="00907F24" w:rsidRPr="00907F24" w:rsidRDefault="00907F24" w:rsidP="00907F24">
            <w:pPr>
              <w:pStyle w:val="AERtabletextright"/>
              <w:cnfStyle w:val="000000000000" w:firstRow="0" w:lastRow="0" w:firstColumn="0" w:lastColumn="0" w:oddVBand="0" w:evenVBand="0" w:oddHBand="0" w:evenHBand="0" w:firstRowFirstColumn="0" w:firstRowLastColumn="0" w:lastRowFirstColumn="0" w:lastRowLastColumn="0"/>
            </w:pPr>
            <w:r w:rsidRPr="00907F24">
              <w:t>21 (0.6%)</w:t>
            </w:r>
          </w:p>
        </w:tc>
        <w:tc>
          <w:tcPr>
            <w:tcW w:w="1304" w:type="dxa"/>
            <w:vAlign w:val="top"/>
          </w:tcPr>
          <w:p w:rsidR="00907F24" w:rsidRPr="00907F24" w:rsidRDefault="00907F24" w:rsidP="00907F24">
            <w:pPr>
              <w:pStyle w:val="AERtabletextright"/>
              <w:cnfStyle w:val="000000000000" w:firstRow="0" w:lastRow="0" w:firstColumn="0" w:lastColumn="0" w:oddVBand="0" w:evenVBand="0" w:oddHBand="0" w:evenHBand="0" w:firstRowFirstColumn="0" w:firstRowLastColumn="0" w:lastRowFirstColumn="0" w:lastRowLastColumn="0"/>
            </w:pPr>
            <w:r w:rsidRPr="00907F24">
              <w:t>6 (0.2%)</w:t>
            </w:r>
          </w:p>
        </w:tc>
        <w:tc>
          <w:tcPr>
            <w:tcW w:w="1304" w:type="dxa"/>
            <w:vAlign w:val="top"/>
          </w:tcPr>
          <w:p w:rsidR="00907F24" w:rsidRPr="00907F24" w:rsidRDefault="00907F24" w:rsidP="00907F24">
            <w:pPr>
              <w:pStyle w:val="AERtabletextright"/>
              <w:cnfStyle w:val="000000000000" w:firstRow="0" w:lastRow="0" w:firstColumn="0" w:lastColumn="0" w:oddVBand="0" w:evenVBand="0" w:oddHBand="0" w:evenHBand="0" w:firstRowFirstColumn="0" w:firstRowLastColumn="0" w:lastRowFirstColumn="0" w:lastRowLastColumn="0"/>
            </w:pPr>
            <w:r w:rsidRPr="00907F24">
              <w:t>6 (0.2%)</w:t>
            </w:r>
          </w:p>
        </w:tc>
        <w:tc>
          <w:tcPr>
            <w:tcW w:w="1304" w:type="dxa"/>
            <w:vAlign w:val="top"/>
          </w:tcPr>
          <w:p w:rsidR="00907F24" w:rsidRPr="00907F24" w:rsidRDefault="00907F24" w:rsidP="00907F24">
            <w:pPr>
              <w:pStyle w:val="AERtabletextright"/>
              <w:cnfStyle w:val="000000000000" w:firstRow="0" w:lastRow="0" w:firstColumn="0" w:lastColumn="0" w:oddVBand="0" w:evenVBand="0" w:oddHBand="0" w:evenHBand="0" w:firstRowFirstColumn="0" w:firstRowLastColumn="0" w:lastRowFirstColumn="0" w:lastRowLastColumn="0"/>
            </w:pPr>
            <w:r w:rsidRPr="00907F24">
              <w:t>6 (0.2%)</w:t>
            </w:r>
          </w:p>
        </w:tc>
      </w:tr>
      <w:tr w:rsidR="00907F24" w:rsidRPr="001B64C0" w:rsidTr="00D904FA">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660" w:type="dxa"/>
          </w:tcPr>
          <w:p w:rsidR="00907F24" w:rsidRPr="00907F24" w:rsidRDefault="00907F24" w:rsidP="00907F24">
            <w:pPr>
              <w:pStyle w:val="AERtabletextleft"/>
            </w:pPr>
            <w:r w:rsidRPr="00907F24">
              <w:t>ACT small business annual bill</w:t>
            </w:r>
            <w:r w:rsidRPr="00907F24">
              <w:rPr>
                <w:rStyle w:val="AERsuperscript"/>
              </w:rPr>
              <w:t>b</w:t>
            </w:r>
          </w:p>
        </w:tc>
        <w:tc>
          <w:tcPr>
            <w:tcW w:w="1304" w:type="dxa"/>
          </w:tcPr>
          <w:p w:rsidR="00907F24" w:rsidRPr="00907F24" w:rsidRDefault="00907F24" w:rsidP="00907F24">
            <w:pPr>
              <w:pStyle w:val="AERtabletextright"/>
              <w:cnfStyle w:val="000000010000" w:firstRow="0" w:lastRow="0" w:firstColumn="0" w:lastColumn="0" w:oddVBand="0" w:evenVBand="0" w:oddHBand="0" w:evenHBand="1" w:firstRowFirstColumn="0" w:firstRowLastColumn="0" w:lastRowFirstColumn="0" w:lastRowLastColumn="0"/>
            </w:pPr>
            <w:r w:rsidRPr="00907F24">
              <w:t>2939</w:t>
            </w:r>
          </w:p>
        </w:tc>
        <w:tc>
          <w:tcPr>
            <w:tcW w:w="1304" w:type="dxa"/>
          </w:tcPr>
          <w:p w:rsidR="00907F24" w:rsidRPr="00907F24" w:rsidRDefault="00907F24" w:rsidP="00907F24">
            <w:pPr>
              <w:pStyle w:val="AERtabletextright"/>
              <w:cnfStyle w:val="000000010000" w:firstRow="0" w:lastRow="0" w:firstColumn="0" w:lastColumn="0" w:oddVBand="0" w:evenVBand="0" w:oddHBand="0" w:evenHBand="1" w:firstRowFirstColumn="0" w:firstRowLastColumn="0" w:lastRowFirstColumn="0" w:lastRowLastColumn="0"/>
            </w:pPr>
            <w:r w:rsidRPr="00907F24">
              <w:t>2956</w:t>
            </w:r>
          </w:p>
        </w:tc>
        <w:tc>
          <w:tcPr>
            <w:tcW w:w="1304" w:type="dxa"/>
            <w:vAlign w:val="top"/>
          </w:tcPr>
          <w:p w:rsidR="00907F24" w:rsidRPr="00907F24" w:rsidRDefault="00907F24" w:rsidP="00907F24">
            <w:pPr>
              <w:pStyle w:val="AERtabletextright"/>
              <w:cnfStyle w:val="000000010000" w:firstRow="0" w:lastRow="0" w:firstColumn="0" w:lastColumn="0" w:oddVBand="0" w:evenVBand="0" w:oddHBand="0" w:evenHBand="1" w:firstRowFirstColumn="0" w:firstRowLastColumn="0" w:lastRowFirstColumn="0" w:lastRowLastColumn="0"/>
            </w:pPr>
            <w:r w:rsidRPr="00907F24">
              <w:t>2962</w:t>
            </w:r>
          </w:p>
        </w:tc>
        <w:tc>
          <w:tcPr>
            <w:tcW w:w="1304" w:type="dxa"/>
            <w:vAlign w:val="top"/>
          </w:tcPr>
          <w:p w:rsidR="00907F24" w:rsidRPr="00907F24" w:rsidRDefault="00907F24" w:rsidP="00907F24">
            <w:pPr>
              <w:pStyle w:val="AERtabletextright"/>
              <w:cnfStyle w:val="000000010000" w:firstRow="0" w:lastRow="0" w:firstColumn="0" w:lastColumn="0" w:oddVBand="0" w:evenVBand="0" w:oddHBand="0" w:evenHBand="1" w:firstRowFirstColumn="0" w:firstRowLastColumn="0" w:lastRowFirstColumn="0" w:lastRowLastColumn="0"/>
            </w:pPr>
            <w:r w:rsidRPr="00907F24">
              <w:t>2966</w:t>
            </w:r>
          </w:p>
        </w:tc>
        <w:tc>
          <w:tcPr>
            <w:tcW w:w="1304" w:type="dxa"/>
            <w:vAlign w:val="top"/>
          </w:tcPr>
          <w:p w:rsidR="00907F24" w:rsidRPr="00907F24" w:rsidRDefault="00907F24" w:rsidP="00907F24">
            <w:pPr>
              <w:pStyle w:val="AERtabletextright"/>
              <w:cnfStyle w:val="000000010000" w:firstRow="0" w:lastRow="0" w:firstColumn="0" w:lastColumn="0" w:oddVBand="0" w:evenVBand="0" w:oddHBand="0" w:evenHBand="1" w:firstRowFirstColumn="0" w:firstRowLastColumn="0" w:lastRowFirstColumn="0" w:lastRowLastColumn="0"/>
            </w:pPr>
            <w:r w:rsidRPr="00907F24">
              <w:t>2972</w:t>
            </w:r>
          </w:p>
        </w:tc>
      </w:tr>
      <w:tr w:rsidR="00907F24" w:rsidRPr="001B64C0" w:rsidTr="00D904FA">
        <w:trPr>
          <w:trHeight w:val="394"/>
        </w:trPr>
        <w:tc>
          <w:tcPr>
            <w:cnfStyle w:val="001000000000" w:firstRow="0" w:lastRow="0" w:firstColumn="1" w:lastColumn="0" w:oddVBand="0" w:evenVBand="0" w:oddHBand="0" w:evenHBand="0" w:firstRowFirstColumn="0" w:firstRowLastColumn="0" w:lastRowFirstColumn="0" w:lastRowLastColumn="0"/>
            <w:tcW w:w="2660" w:type="dxa"/>
          </w:tcPr>
          <w:p w:rsidR="00907F24" w:rsidRPr="00907F24" w:rsidRDefault="00907F24" w:rsidP="00907F24">
            <w:pPr>
              <w:pStyle w:val="AERtabletextleft"/>
            </w:pPr>
            <w:r w:rsidRPr="00907F24">
              <w:t>Annual change</w:t>
            </w:r>
          </w:p>
        </w:tc>
        <w:tc>
          <w:tcPr>
            <w:tcW w:w="1304" w:type="dxa"/>
          </w:tcPr>
          <w:p w:rsidR="00907F24" w:rsidRPr="00907F24" w:rsidRDefault="00907F24" w:rsidP="00907F24">
            <w:pPr>
              <w:pStyle w:val="AERtabletextright"/>
              <w:cnfStyle w:val="000000000000" w:firstRow="0" w:lastRow="0" w:firstColumn="0" w:lastColumn="0" w:oddVBand="0" w:evenVBand="0" w:oddHBand="0" w:evenHBand="0" w:firstRowFirstColumn="0" w:firstRowLastColumn="0" w:lastRowFirstColumn="0" w:lastRowLastColumn="0"/>
            </w:pPr>
          </w:p>
        </w:tc>
        <w:tc>
          <w:tcPr>
            <w:tcW w:w="1304" w:type="dxa"/>
          </w:tcPr>
          <w:p w:rsidR="00907F24" w:rsidRPr="00907F24" w:rsidRDefault="00907F24" w:rsidP="00907F24">
            <w:pPr>
              <w:pStyle w:val="AERtabletextright"/>
              <w:cnfStyle w:val="000000000000" w:firstRow="0" w:lastRow="0" w:firstColumn="0" w:lastColumn="0" w:oddVBand="0" w:evenVBand="0" w:oddHBand="0" w:evenHBand="0" w:firstRowFirstColumn="0" w:firstRowLastColumn="0" w:lastRowFirstColumn="0" w:lastRowLastColumn="0"/>
            </w:pPr>
            <w:r w:rsidRPr="00907F24">
              <w:t>17 (0.6%)</w:t>
            </w:r>
          </w:p>
        </w:tc>
        <w:tc>
          <w:tcPr>
            <w:tcW w:w="1304" w:type="dxa"/>
            <w:vAlign w:val="top"/>
          </w:tcPr>
          <w:p w:rsidR="00907F24" w:rsidRPr="00907F24" w:rsidRDefault="00907F24" w:rsidP="00907F24">
            <w:pPr>
              <w:pStyle w:val="AERtabletextright"/>
              <w:cnfStyle w:val="000000000000" w:firstRow="0" w:lastRow="0" w:firstColumn="0" w:lastColumn="0" w:oddVBand="0" w:evenVBand="0" w:oddHBand="0" w:evenHBand="0" w:firstRowFirstColumn="0" w:firstRowLastColumn="0" w:lastRowFirstColumn="0" w:lastRowLastColumn="0"/>
            </w:pPr>
            <w:r w:rsidRPr="00907F24">
              <w:t>5 (0.2%)</w:t>
            </w:r>
          </w:p>
        </w:tc>
        <w:tc>
          <w:tcPr>
            <w:tcW w:w="1304" w:type="dxa"/>
            <w:vAlign w:val="top"/>
          </w:tcPr>
          <w:p w:rsidR="00907F24" w:rsidRPr="00907F24" w:rsidRDefault="00907F24" w:rsidP="00907F24">
            <w:pPr>
              <w:pStyle w:val="AERtabletextright"/>
              <w:cnfStyle w:val="000000000000" w:firstRow="0" w:lastRow="0" w:firstColumn="0" w:lastColumn="0" w:oddVBand="0" w:evenVBand="0" w:oddHBand="0" w:evenHBand="0" w:firstRowFirstColumn="0" w:firstRowLastColumn="0" w:lastRowFirstColumn="0" w:lastRowLastColumn="0"/>
            </w:pPr>
            <w:r w:rsidRPr="00907F24">
              <w:t>5 (0.2%)</w:t>
            </w:r>
          </w:p>
        </w:tc>
        <w:tc>
          <w:tcPr>
            <w:tcW w:w="1304" w:type="dxa"/>
            <w:vAlign w:val="top"/>
          </w:tcPr>
          <w:p w:rsidR="00907F24" w:rsidRPr="00907F24" w:rsidRDefault="00907F24" w:rsidP="00907F24">
            <w:pPr>
              <w:pStyle w:val="AERtabletextright"/>
              <w:cnfStyle w:val="000000000000" w:firstRow="0" w:lastRow="0" w:firstColumn="0" w:lastColumn="0" w:oddVBand="0" w:evenVBand="0" w:oddHBand="0" w:evenHBand="0" w:firstRowFirstColumn="0" w:firstRowLastColumn="0" w:lastRowFirstColumn="0" w:lastRowLastColumn="0"/>
            </w:pPr>
            <w:r w:rsidRPr="00907F24">
              <w:t>5 (0.2%)</w:t>
            </w:r>
          </w:p>
        </w:tc>
      </w:tr>
      <w:tr w:rsidR="00907F24" w:rsidRPr="00FB5ADB" w:rsidTr="00D904FA">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660" w:type="dxa"/>
          </w:tcPr>
          <w:p w:rsidR="00907F24" w:rsidRPr="00907F24" w:rsidRDefault="00907F24" w:rsidP="00907F24">
            <w:pPr>
              <w:pStyle w:val="AERtabletextleft"/>
              <w:rPr>
                <w:rStyle w:val="AERtextbold"/>
              </w:rPr>
            </w:pPr>
            <w:r w:rsidRPr="00907F24">
              <w:rPr>
                <w:rStyle w:val="AERtextbold"/>
              </w:rPr>
              <w:t>AER draft decision</w:t>
            </w:r>
          </w:p>
        </w:tc>
        <w:tc>
          <w:tcPr>
            <w:tcW w:w="1304" w:type="dxa"/>
          </w:tcPr>
          <w:p w:rsidR="00907F24" w:rsidRPr="00907F24" w:rsidRDefault="00907F24" w:rsidP="00907F24">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304" w:type="dxa"/>
          </w:tcPr>
          <w:p w:rsidR="00907F24" w:rsidRPr="00907F24" w:rsidRDefault="00907F24" w:rsidP="00907F24">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304" w:type="dxa"/>
            <w:vAlign w:val="top"/>
          </w:tcPr>
          <w:p w:rsidR="00907F24" w:rsidRPr="00907F24" w:rsidRDefault="00907F24" w:rsidP="00907F24">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304" w:type="dxa"/>
            <w:vAlign w:val="top"/>
          </w:tcPr>
          <w:p w:rsidR="00907F24" w:rsidRPr="00907F24" w:rsidRDefault="00907F24" w:rsidP="00907F24">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304" w:type="dxa"/>
            <w:vAlign w:val="top"/>
          </w:tcPr>
          <w:p w:rsidR="00907F24" w:rsidRPr="00907F24" w:rsidRDefault="00907F24" w:rsidP="00907F24">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r>
      <w:tr w:rsidR="00907F24" w:rsidRPr="001B64C0" w:rsidTr="00D904FA">
        <w:trPr>
          <w:trHeight w:val="394"/>
        </w:trPr>
        <w:tc>
          <w:tcPr>
            <w:cnfStyle w:val="001000000000" w:firstRow="0" w:lastRow="0" w:firstColumn="1" w:lastColumn="0" w:oddVBand="0" w:evenVBand="0" w:oddHBand="0" w:evenHBand="0" w:firstRowFirstColumn="0" w:firstRowLastColumn="0" w:lastRowFirstColumn="0" w:lastRowLastColumn="0"/>
            <w:tcW w:w="2660" w:type="dxa"/>
          </w:tcPr>
          <w:p w:rsidR="00907F24" w:rsidRPr="00907F24" w:rsidRDefault="00907F24" w:rsidP="00907F24">
            <w:pPr>
              <w:pStyle w:val="AERtabletextleft"/>
            </w:pPr>
            <w:r w:rsidRPr="00907F24">
              <w:t>NSW small business  annual bill</w:t>
            </w:r>
            <w:r w:rsidRPr="00907F24">
              <w:rPr>
                <w:rStyle w:val="AERsuperscript"/>
              </w:rPr>
              <w:t>a</w:t>
            </w:r>
          </w:p>
        </w:tc>
        <w:tc>
          <w:tcPr>
            <w:tcW w:w="1304" w:type="dxa"/>
          </w:tcPr>
          <w:p w:rsidR="00907F24" w:rsidRPr="00907F24" w:rsidRDefault="00907F24" w:rsidP="00907F24">
            <w:pPr>
              <w:pStyle w:val="AERtabletextright"/>
              <w:cnfStyle w:val="000000000000" w:firstRow="0" w:lastRow="0" w:firstColumn="0" w:lastColumn="0" w:oddVBand="0" w:evenVBand="0" w:oddHBand="0" w:evenHBand="0" w:firstRowFirstColumn="0" w:firstRowLastColumn="0" w:lastRowFirstColumn="0" w:lastRowLastColumn="0"/>
            </w:pPr>
            <w:r w:rsidRPr="00907F24">
              <w:t>3584</w:t>
            </w:r>
          </w:p>
        </w:tc>
        <w:tc>
          <w:tcPr>
            <w:tcW w:w="1304" w:type="dxa"/>
          </w:tcPr>
          <w:p w:rsidR="00907F24" w:rsidRPr="00907F24" w:rsidRDefault="00907F24" w:rsidP="00907F24">
            <w:pPr>
              <w:pStyle w:val="AERtabletextright"/>
              <w:cnfStyle w:val="000000000000" w:firstRow="0" w:lastRow="0" w:firstColumn="0" w:lastColumn="0" w:oddVBand="0" w:evenVBand="0" w:oddHBand="0" w:evenHBand="0" w:firstRowFirstColumn="0" w:firstRowLastColumn="0" w:lastRowFirstColumn="0" w:lastRowLastColumn="0"/>
            </w:pPr>
            <w:r w:rsidRPr="00907F24">
              <w:t>3580</w:t>
            </w:r>
          </w:p>
        </w:tc>
        <w:tc>
          <w:tcPr>
            <w:tcW w:w="1304" w:type="dxa"/>
            <w:vAlign w:val="top"/>
          </w:tcPr>
          <w:p w:rsidR="00907F24" w:rsidRPr="00907F24" w:rsidRDefault="00907F24" w:rsidP="00907F24">
            <w:pPr>
              <w:pStyle w:val="AERtabletextright"/>
              <w:cnfStyle w:val="000000000000" w:firstRow="0" w:lastRow="0" w:firstColumn="0" w:lastColumn="0" w:oddVBand="0" w:evenVBand="0" w:oddHBand="0" w:evenHBand="0" w:firstRowFirstColumn="0" w:firstRowLastColumn="0" w:lastRowFirstColumn="0" w:lastRowLastColumn="0"/>
            </w:pPr>
            <w:r w:rsidRPr="00907F24">
              <w:t>3542</w:t>
            </w:r>
          </w:p>
        </w:tc>
        <w:tc>
          <w:tcPr>
            <w:tcW w:w="1304" w:type="dxa"/>
            <w:vAlign w:val="top"/>
          </w:tcPr>
          <w:p w:rsidR="00907F24" w:rsidRPr="00907F24" w:rsidRDefault="00907F24" w:rsidP="00907F24">
            <w:pPr>
              <w:pStyle w:val="AERtabletextright"/>
              <w:cnfStyle w:val="000000000000" w:firstRow="0" w:lastRow="0" w:firstColumn="0" w:lastColumn="0" w:oddVBand="0" w:evenVBand="0" w:oddHBand="0" w:evenHBand="0" w:firstRowFirstColumn="0" w:firstRowLastColumn="0" w:lastRowFirstColumn="0" w:lastRowLastColumn="0"/>
            </w:pPr>
            <w:r w:rsidRPr="00907F24">
              <w:t>3547</w:t>
            </w:r>
          </w:p>
        </w:tc>
        <w:tc>
          <w:tcPr>
            <w:tcW w:w="1304" w:type="dxa"/>
            <w:vAlign w:val="top"/>
          </w:tcPr>
          <w:p w:rsidR="00907F24" w:rsidRPr="00907F24" w:rsidRDefault="00907F24" w:rsidP="00907F24">
            <w:pPr>
              <w:pStyle w:val="AERtabletextright"/>
              <w:cnfStyle w:val="000000000000" w:firstRow="0" w:lastRow="0" w:firstColumn="0" w:lastColumn="0" w:oddVBand="0" w:evenVBand="0" w:oddHBand="0" w:evenHBand="0" w:firstRowFirstColumn="0" w:firstRowLastColumn="0" w:lastRowFirstColumn="0" w:lastRowLastColumn="0"/>
            </w:pPr>
            <w:r w:rsidRPr="00907F24">
              <w:t>3553</w:t>
            </w:r>
          </w:p>
        </w:tc>
      </w:tr>
      <w:tr w:rsidR="00907F24" w:rsidRPr="001B64C0" w:rsidTr="00D904FA">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660" w:type="dxa"/>
          </w:tcPr>
          <w:p w:rsidR="00907F24" w:rsidRPr="00907F24" w:rsidRDefault="00907F24" w:rsidP="00907F24">
            <w:pPr>
              <w:pStyle w:val="AERtabletextleft"/>
            </w:pPr>
            <w:r w:rsidRPr="00907F24">
              <w:t>Annual change</w:t>
            </w:r>
          </w:p>
        </w:tc>
        <w:tc>
          <w:tcPr>
            <w:tcW w:w="1304" w:type="dxa"/>
          </w:tcPr>
          <w:p w:rsidR="00907F24" w:rsidRPr="00907F24" w:rsidRDefault="00907F24" w:rsidP="00907F24">
            <w:pPr>
              <w:pStyle w:val="AERtabletextright"/>
              <w:cnfStyle w:val="000000010000" w:firstRow="0" w:lastRow="0" w:firstColumn="0" w:lastColumn="0" w:oddVBand="0" w:evenVBand="0" w:oddHBand="0" w:evenHBand="1" w:firstRowFirstColumn="0" w:firstRowLastColumn="0" w:lastRowFirstColumn="0" w:lastRowLastColumn="0"/>
            </w:pPr>
          </w:p>
        </w:tc>
        <w:tc>
          <w:tcPr>
            <w:tcW w:w="1304" w:type="dxa"/>
          </w:tcPr>
          <w:p w:rsidR="00907F24" w:rsidRPr="00907F24" w:rsidRDefault="00EB775A" w:rsidP="00907F24">
            <w:pPr>
              <w:pStyle w:val="AERtabletextright"/>
              <w:cnfStyle w:val="000000010000" w:firstRow="0" w:lastRow="0" w:firstColumn="0" w:lastColumn="0" w:oddVBand="0" w:evenVBand="0" w:oddHBand="0" w:evenHBand="1" w:firstRowFirstColumn="0" w:firstRowLastColumn="0" w:lastRowFirstColumn="0" w:lastRowLastColumn="0"/>
            </w:pPr>
            <w:r>
              <w:t>–</w:t>
            </w:r>
            <w:r w:rsidR="00907F24" w:rsidRPr="00907F24">
              <w:t>4 (</w:t>
            </w:r>
            <w:r>
              <w:t>–</w:t>
            </w:r>
            <w:r w:rsidR="00907F24" w:rsidRPr="00907F24">
              <w:t>0.1%)</w:t>
            </w:r>
          </w:p>
        </w:tc>
        <w:tc>
          <w:tcPr>
            <w:tcW w:w="1304" w:type="dxa"/>
            <w:vAlign w:val="top"/>
          </w:tcPr>
          <w:p w:rsidR="00907F24" w:rsidRPr="00907F24" w:rsidRDefault="00EB775A" w:rsidP="00907F24">
            <w:pPr>
              <w:pStyle w:val="AERtabletextright"/>
              <w:cnfStyle w:val="000000010000" w:firstRow="0" w:lastRow="0" w:firstColumn="0" w:lastColumn="0" w:oddVBand="0" w:evenVBand="0" w:oddHBand="0" w:evenHBand="1" w:firstRowFirstColumn="0" w:firstRowLastColumn="0" w:lastRowFirstColumn="0" w:lastRowLastColumn="0"/>
            </w:pPr>
            <w:r>
              <w:t>–</w:t>
            </w:r>
            <w:r w:rsidR="00907F24" w:rsidRPr="00907F24">
              <w:t>38 (</w:t>
            </w:r>
            <w:r>
              <w:t>–</w:t>
            </w:r>
            <w:r w:rsidR="00907F24" w:rsidRPr="00907F24">
              <w:t>1.1%)</w:t>
            </w:r>
          </w:p>
        </w:tc>
        <w:tc>
          <w:tcPr>
            <w:tcW w:w="1304" w:type="dxa"/>
            <w:vAlign w:val="top"/>
          </w:tcPr>
          <w:p w:rsidR="00907F24" w:rsidRPr="00907F24" w:rsidRDefault="00907F24" w:rsidP="00907F24">
            <w:pPr>
              <w:pStyle w:val="AERtabletextright"/>
              <w:cnfStyle w:val="000000010000" w:firstRow="0" w:lastRow="0" w:firstColumn="0" w:lastColumn="0" w:oddVBand="0" w:evenVBand="0" w:oddHBand="0" w:evenHBand="1" w:firstRowFirstColumn="0" w:firstRowLastColumn="0" w:lastRowFirstColumn="0" w:lastRowLastColumn="0"/>
            </w:pPr>
            <w:r w:rsidRPr="00907F24">
              <w:t>6 (0.2%)</w:t>
            </w:r>
          </w:p>
        </w:tc>
        <w:tc>
          <w:tcPr>
            <w:tcW w:w="1304" w:type="dxa"/>
            <w:vAlign w:val="top"/>
          </w:tcPr>
          <w:p w:rsidR="00907F24" w:rsidRPr="00907F24" w:rsidRDefault="00907F24" w:rsidP="00907F24">
            <w:pPr>
              <w:pStyle w:val="AERtabletextright"/>
              <w:cnfStyle w:val="000000010000" w:firstRow="0" w:lastRow="0" w:firstColumn="0" w:lastColumn="0" w:oddVBand="0" w:evenVBand="0" w:oddHBand="0" w:evenHBand="1" w:firstRowFirstColumn="0" w:firstRowLastColumn="0" w:lastRowFirstColumn="0" w:lastRowLastColumn="0"/>
            </w:pPr>
            <w:r w:rsidRPr="00907F24">
              <w:t>6 (0.2%)</w:t>
            </w:r>
          </w:p>
        </w:tc>
      </w:tr>
      <w:tr w:rsidR="00907F24" w:rsidRPr="001B64C0" w:rsidTr="00D904FA">
        <w:trPr>
          <w:trHeight w:val="394"/>
        </w:trPr>
        <w:tc>
          <w:tcPr>
            <w:cnfStyle w:val="001000000000" w:firstRow="0" w:lastRow="0" w:firstColumn="1" w:lastColumn="0" w:oddVBand="0" w:evenVBand="0" w:oddHBand="0" w:evenHBand="0" w:firstRowFirstColumn="0" w:firstRowLastColumn="0" w:lastRowFirstColumn="0" w:lastRowLastColumn="0"/>
            <w:tcW w:w="2660" w:type="dxa"/>
          </w:tcPr>
          <w:p w:rsidR="00907F24" w:rsidRPr="00907F24" w:rsidRDefault="00907F24" w:rsidP="00907F24">
            <w:pPr>
              <w:pStyle w:val="AERtabletextleft"/>
            </w:pPr>
            <w:r w:rsidRPr="00907F24">
              <w:t>ACT small business annual bill</w:t>
            </w:r>
            <w:r w:rsidRPr="00907F24">
              <w:rPr>
                <w:rStyle w:val="AERsuperscript"/>
              </w:rPr>
              <w:t>b</w:t>
            </w:r>
          </w:p>
        </w:tc>
        <w:tc>
          <w:tcPr>
            <w:tcW w:w="1304" w:type="dxa"/>
          </w:tcPr>
          <w:p w:rsidR="00907F24" w:rsidRPr="00907F24" w:rsidRDefault="00907F24" w:rsidP="00907F24">
            <w:pPr>
              <w:pStyle w:val="AERtabletextright"/>
              <w:cnfStyle w:val="000000000000" w:firstRow="0" w:lastRow="0" w:firstColumn="0" w:lastColumn="0" w:oddVBand="0" w:evenVBand="0" w:oddHBand="0" w:evenHBand="0" w:firstRowFirstColumn="0" w:firstRowLastColumn="0" w:lastRowFirstColumn="0" w:lastRowLastColumn="0"/>
            </w:pPr>
            <w:r w:rsidRPr="00907F24">
              <w:t>2939</w:t>
            </w:r>
          </w:p>
        </w:tc>
        <w:tc>
          <w:tcPr>
            <w:tcW w:w="1304" w:type="dxa"/>
          </w:tcPr>
          <w:p w:rsidR="00907F24" w:rsidRPr="00907F24" w:rsidRDefault="00907F24" w:rsidP="00907F24">
            <w:pPr>
              <w:pStyle w:val="AERtabletextright"/>
              <w:cnfStyle w:val="000000000000" w:firstRow="0" w:lastRow="0" w:firstColumn="0" w:lastColumn="0" w:oddVBand="0" w:evenVBand="0" w:oddHBand="0" w:evenHBand="0" w:firstRowFirstColumn="0" w:firstRowLastColumn="0" w:lastRowFirstColumn="0" w:lastRowLastColumn="0"/>
            </w:pPr>
            <w:r w:rsidRPr="00907F24">
              <w:t>2936</w:t>
            </w:r>
          </w:p>
        </w:tc>
        <w:tc>
          <w:tcPr>
            <w:tcW w:w="1304" w:type="dxa"/>
            <w:vAlign w:val="top"/>
          </w:tcPr>
          <w:p w:rsidR="00907F24" w:rsidRPr="00907F24" w:rsidRDefault="00907F24" w:rsidP="00907F24">
            <w:pPr>
              <w:pStyle w:val="AERtabletextright"/>
              <w:cnfStyle w:val="000000000000" w:firstRow="0" w:lastRow="0" w:firstColumn="0" w:lastColumn="0" w:oddVBand="0" w:evenVBand="0" w:oddHBand="0" w:evenHBand="0" w:firstRowFirstColumn="0" w:firstRowLastColumn="0" w:lastRowFirstColumn="0" w:lastRowLastColumn="0"/>
            </w:pPr>
            <w:r w:rsidRPr="00907F24">
              <w:t>2905</w:t>
            </w:r>
          </w:p>
        </w:tc>
        <w:tc>
          <w:tcPr>
            <w:tcW w:w="1304" w:type="dxa"/>
            <w:vAlign w:val="top"/>
          </w:tcPr>
          <w:p w:rsidR="00907F24" w:rsidRPr="00907F24" w:rsidRDefault="00907F24" w:rsidP="00907F24">
            <w:pPr>
              <w:pStyle w:val="AERtabletextright"/>
              <w:cnfStyle w:val="000000000000" w:firstRow="0" w:lastRow="0" w:firstColumn="0" w:lastColumn="0" w:oddVBand="0" w:evenVBand="0" w:oddHBand="0" w:evenHBand="0" w:firstRowFirstColumn="0" w:firstRowLastColumn="0" w:lastRowFirstColumn="0" w:lastRowLastColumn="0"/>
            </w:pPr>
            <w:r w:rsidRPr="00907F24">
              <w:t>2909</w:t>
            </w:r>
          </w:p>
        </w:tc>
        <w:tc>
          <w:tcPr>
            <w:tcW w:w="1304" w:type="dxa"/>
            <w:vAlign w:val="top"/>
          </w:tcPr>
          <w:p w:rsidR="00907F24" w:rsidRPr="00907F24" w:rsidRDefault="00907F24" w:rsidP="00907F24">
            <w:pPr>
              <w:pStyle w:val="AERtabletextright"/>
              <w:cnfStyle w:val="000000000000" w:firstRow="0" w:lastRow="0" w:firstColumn="0" w:lastColumn="0" w:oddVBand="0" w:evenVBand="0" w:oddHBand="0" w:evenHBand="0" w:firstRowFirstColumn="0" w:firstRowLastColumn="0" w:lastRowFirstColumn="0" w:lastRowLastColumn="0"/>
            </w:pPr>
            <w:r w:rsidRPr="00907F24">
              <w:t>2914</w:t>
            </w:r>
          </w:p>
        </w:tc>
      </w:tr>
      <w:tr w:rsidR="00907F24" w:rsidRPr="001B64C0" w:rsidTr="00D904FA">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660" w:type="dxa"/>
          </w:tcPr>
          <w:p w:rsidR="00907F24" w:rsidRPr="00907F24" w:rsidRDefault="00907F24" w:rsidP="00907F24">
            <w:pPr>
              <w:pStyle w:val="AERtabletextleft"/>
            </w:pPr>
            <w:r w:rsidRPr="00907F24">
              <w:t>Annual change</w:t>
            </w:r>
          </w:p>
        </w:tc>
        <w:tc>
          <w:tcPr>
            <w:tcW w:w="1304" w:type="dxa"/>
          </w:tcPr>
          <w:p w:rsidR="00907F24" w:rsidRPr="00907F24" w:rsidRDefault="00907F24" w:rsidP="00907F24">
            <w:pPr>
              <w:pStyle w:val="AERtabletextright"/>
              <w:cnfStyle w:val="000000010000" w:firstRow="0" w:lastRow="0" w:firstColumn="0" w:lastColumn="0" w:oddVBand="0" w:evenVBand="0" w:oddHBand="0" w:evenHBand="1" w:firstRowFirstColumn="0" w:firstRowLastColumn="0" w:lastRowFirstColumn="0" w:lastRowLastColumn="0"/>
            </w:pPr>
          </w:p>
        </w:tc>
        <w:tc>
          <w:tcPr>
            <w:tcW w:w="1304" w:type="dxa"/>
          </w:tcPr>
          <w:p w:rsidR="00907F24" w:rsidRPr="00907F24" w:rsidRDefault="00EB775A" w:rsidP="00907F24">
            <w:pPr>
              <w:pStyle w:val="AERtabletextright"/>
              <w:cnfStyle w:val="000000010000" w:firstRow="0" w:lastRow="0" w:firstColumn="0" w:lastColumn="0" w:oddVBand="0" w:evenVBand="0" w:oddHBand="0" w:evenHBand="1" w:firstRowFirstColumn="0" w:firstRowLastColumn="0" w:lastRowFirstColumn="0" w:lastRowLastColumn="0"/>
            </w:pPr>
            <w:r>
              <w:t>–</w:t>
            </w:r>
            <w:r w:rsidR="00907F24" w:rsidRPr="00907F24">
              <w:t>3 (</w:t>
            </w:r>
            <w:r>
              <w:t>–</w:t>
            </w:r>
            <w:r w:rsidR="00907F24" w:rsidRPr="00907F24">
              <w:t>0.1%)</w:t>
            </w:r>
          </w:p>
        </w:tc>
        <w:tc>
          <w:tcPr>
            <w:tcW w:w="1304" w:type="dxa"/>
          </w:tcPr>
          <w:p w:rsidR="00907F24" w:rsidRPr="00907F24" w:rsidRDefault="00EB775A" w:rsidP="00907F24">
            <w:pPr>
              <w:pStyle w:val="AERtabletextright"/>
              <w:cnfStyle w:val="000000010000" w:firstRow="0" w:lastRow="0" w:firstColumn="0" w:lastColumn="0" w:oddVBand="0" w:evenVBand="0" w:oddHBand="0" w:evenHBand="1" w:firstRowFirstColumn="0" w:firstRowLastColumn="0" w:lastRowFirstColumn="0" w:lastRowLastColumn="0"/>
            </w:pPr>
            <w:r>
              <w:t>–</w:t>
            </w:r>
            <w:r w:rsidR="00907F24" w:rsidRPr="00907F24">
              <w:t>31 (</w:t>
            </w:r>
            <w:r>
              <w:t>–</w:t>
            </w:r>
            <w:r w:rsidR="00907F24" w:rsidRPr="00907F24">
              <w:t>1.1%)</w:t>
            </w:r>
          </w:p>
        </w:tc>
        <w:tc>
          <w:tcPr>
            <w:tcW w:w="1304" w:type="dxa"/>
          </w:tcPr>
          <w:p w:rsidR="00907F24" w:rsidRPr="00907F24" w:rsidRDefault="00907F24" w:rsidP="00907F24">
            <w:pPr>
              <w:pStyle w:val="AERtabletextright"/>
              <w:cnfStyle w:val="000000010000" w:firstRow="0" w:lastRow="0" w:firstColumn="0" w:lastColumn="0" w:oddVBand="0" w:evenVBand="0" w:oddHBand="0" w:evenHBand="1" w:firstRowFirstColumn="0" w:firstRowLastColumn="0" w:lastRowFirstColumn="0" w:lastRowLastColumn="0"/>
            </w:pPr>
            <w:r w:rsidRPr="00907F24">
              <w:t>5 (0.2%)</w:t>
            </w:r>
          </w:p>
        </w:tc>
        <w:tc>
          <w:tcPr>
            <w:tcW w:w="1304" w:type="dxa"/>
          </w:tcPr>
          <w:p w:rsidR="00907F24" w:rsidRPr="00907F24" w:rsidRDefault="00907F24" w:rsidP="00907F24">
            <w:pPr>
              <w:pStyle w:val="AERtabletextright"/>
              <w:cnfStyle w:val="000000010000" w:firstRow="0" w:lastRow="0" w:firstColumn="0" w:lastColumn="0" w:oddVBand="0" w:evenVBand="0" w:oddHBand="0" w:evenHBand="1" w:firstRowFirstColumn="0" w:firstRowLastColumn="0" w:lastRowFirstColumn="0" w:lastRowLastColumn="0"/>
            </w:pPr>
            <w:r w:rsidRPr="00907F24">
              <w:t>5 (0.2%)</w:t>
            </w:r>
          </w:p>
        </w:tc>
      </w:tr>
    </w:tbl>
    <w:p w:rsidR="00F172F0" w:rsidRPr="0036551F" w:rsidRDefault="00F172F0" w:rsidP="00F172F0">
      <w:pPr>
        <w:pStyle w:val="AERtablesource"/>
      </w:pPr>
      <w:r w:rsidRPr="00C729DC">
        <w:t xml:space="preserve"> </w:t>
      </w:r>
      <w:r w:rsidRPr="00B14A3A">
        <w:t>Source:</w:t>
      </w:r>
      <w:r w:rsidRPr="00B14A3A">
        <w:tab/>
      </w:r>
      <w:r w:rsidRPr="0036551F">
        <w:t xml:space="preserve">AER analysis; AER, </w:t>
      </w:r>
      <w:hyperlink r:id="rId17" w:history="1">
        <w:r w:rsidRPr="0036551F">
          <w:rPr>
            <w:rStyle w:val="Hyperlink"/>
          </w:rPr>
          <w:t>Energy Made Easy</w:t>
        </w:r>
      </w:hyperlink>
      <w:r w:rsidRPr="0036551F">
        <w:rPr>
          <w:rStyle w:val="Hyperlink"/>
        </w:rPr>
        <w:t>;</w:t>
      </w:r>
      <w:r w:rsidRPr="0036551F">
        <w:t xml:space="preserve"> IPART, </w:t>
      </w:r>
      <w:r w:rsidRPr="00BC4AE9">
        <w:rPr>
          <w:rStyle w:val="AERtextitalic"/>
        </w:rPr>
        <w:t>Final report: Review of regulated retail prices for electricity - from 1 July 2013 to 30 June 2016</w:t>
      </w:r>
      <w:r w:rsidRPr="0036551F">
        <w:t xml:space="preserve">, June 2013, p. 5; ICRC, </w:t>
      </w:r>
      <w:r w:rsidRPr="00BC4AE9">
        <w:rPr>
          <w:rStyle w:val="AERtextitalic"/>
        </w:rPr>
        <w:t>Draft report-Standing offer electricity prices from 1 July 2014</w:t>
      </w:r>
      <w:r w:rsidRPr="0036551F">
        <w:t>, p. 160.</w:t>
      </w:r>
    </w:p>
    <w:p w:rsidR="00F172F0" w:rsidRDefault="004F3FF3" w:rsidP="00F172F0">
      <w:pPr>
        <w:pStyle w:val="AERtablesource"/>
      </w:pPr>
      <w:r>
        <w:t>(</w:t>
      </w:r>
      <w:r w:rsidR="00F172F0">
        <w:t>a</w:t>
      </w:r>
      <w:r>
        <w:t>)</w:t>
      </w:r>
      <w:r w:rsidR="00F172F0" w:rsidRPr="00B14A3A">
        <w:tab/>
      </w:r>
      <w:r w:rsidR="00F172F0" w:rsidRPr="00964FA5">
        <w:t xml:space="preserve">Based on the annual </w:t>
      </w:r>
      <w:r w:rsidR="00254487">
        <w:t>bill</w:t>
      </w:r>
      <w:r w:rsidR="00F172F0" w:rsidRPr="00964FA5">
        <w:t xml:space="preserve"> sourced from Energy Made Easy for a typical consumption of 1</w:t>
      </w:r>
      <w:r w:rsidR="00EA2CF2">
        <w:t>0</w:t>
      </w:r>
      <w:r w:rsidR="00F172F0" w:rsidRPr="00964FA5">
        <w:t>000</w:t>
      </w:r>
      <w:r w:rsidR="00EA2CF2">
        <w:t xml:space="preserve"> k</w:t>
      </w:r>
      <w:r w:rsidR="00F172F0" w:rsidRPr="00964FA5">
        <w:t xml:space="preserve">Wh per year during the period 1 July 2013 to 30 June 2014. The </w:t>
      </w:r>
      <w:r w:rsidR="00BB3D45">
        <w:t>bill</w:t>
      </w:r>
      <w:r w:rsidR="00F172F0" w:rsidRPr="00964FA5">
        <w:t xml:space="preserve"> reflect</w:t>
      </w:r>
      <w:r w:rsidR="00BB3D45">
        <w:t>s</w:t>
      </w:r>
      <w:r w:rsidR="00F172F0" w:rsidRPr="00964FA5">
        <w:t xml:space="preserve"> regulated </w:t>
      </w:r>
      <w:r w:rsidR="00BB3D45">
        <w:t>charges</w:t>
      </w:r>
      <w:r w:rsidR="00F172F0" w:rsidRPr="00964FA5">
        <w:t xml:space="preserve"> in each distribution zone only. Sample postcode: Aus</w:t>
      </w:r>
      <w:r w:rsidR="00A876AC">
        <w:t>g</w:t>
      </w:r>
      <w:r w:rsidR="00F172F0" w:rsidRPr="00964FA5">
        <w:t>rid (2112), Endeavour</w:t>
      </w:r>
      <w:r w:rsidR="00A876AC">
        <w:t xml:space="preserve"> Energy</w:t>
      </w:r>
      <w:r w:rsidR="00F172F0" w:rsidRPr="00964FA5">
        <w:t xml:space="preserve"> (2500), Essential</w:t>
      </w:r>
      <w:r w:rsidR="00A876AC">
        <w:t xml:space="preserve"> Energy</w:t>
      </w:r>
      <w:r w:rsidR="00F172F0" w:rsidRPr="00964FA5">
        <w:t xml:space="preserve"> (2650).</w:t>
      </w:r>
    </w:p>
    <w:p w:rsidR="00F172F0" w:rsidRPr="00964FA5" w:rsidRDefault="004F3FF3" w:rsidP="00F172F0">
      <w:pPr>
        <w:pStyle w:val="AERtablesource"/>
      </w:pPr>
      <w:r>
        <w:t>(</w:t>
      </w:r>
      <w:r w:rsidR="00F172F0">
        <w:t>b</w:t>
      </w:r>
      <w:r>
        <w:t>)</w:t>
      </w:r>
      <w:r w:rsidR="00F172F0">
        <w:tab/>
        <w:t>Based on</w:t>
      </w:r>
      <w:r w:rsidR="00F172F0" w:rsidRPr="00964FA5">
        <w:t xml:space="preserve"> a</w:t>
      </w:r>
      <w:r w:rsidR="00F172F0">
        <w:t>n average</w:t>
      </w:r>
      <w:r w:rsidR="00F172F0" w:rsidRPr="00964FA5">
        <w:t xml:space="preserve"> small non-residential customer </w:t>
      </w:r>
      <w:r w:rsidR="00F172F0">
        <w:t>in</w:t>
      </w:r>
      <w:r w:rsidR="00BB3D45">
        <w:t xml:space="preserve"> the</w:t>
      </w:r>
      <w:r w:rsidR="00F172F0">
        <w:t xml:space="preserve"> ACT </w:t>
      </w:r>
      <w:r w:rsidR="00F172F0" w:rsidRPr="00964FA5">
        <w:t>consuming 10000</w:t>
      </w:r>
      <w:r w:rsidR="00EA2CF2">
        <w:t xml:space="preserve"> k</w:t>
      </w:r>
      <w:r w:rsidR="00F172F0" w:rsidRPr="00964FA5">
        <w:t>Wh of electricity per year.</w:t>
      </w:r>
    </w:p>
    <w:p w:rsidR="00780BC8" w:rsidRPr="00780BC8" w:rsidRDefault="00780BC8" w:rsidP="00780BC8">
      <w:pPr>
        <w:pStyle w:val="AERbodytext"/>
      </w:pPr>
    </w:p>
    <w:sectPr w:rsidR="00780BC8" w:rsidRPr="00780BC8" w:rsidSect="00456081">
      <w:footerReference w:type="even"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4FA" w:rsidRPr="00AB4345" w:rsidRDefault="00D904FA" w:rsidP="00AB4345">
      <w:r>
        <w:separator/>
      </w:r>
    </w:p>
  </w:endnote>
  <w:endnote w:type="continuationSeparator" w:id="0">
    <w:p w:rsidR="00D904FA" w:rsidRPr="00AB4345" w:rsidRDefault="00D904FA"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4FA" w:rsidRPr="00824CC8" w:rsidRDefault="00D46AB4" w:rsidP="00824CC8">
    <w:pPr>
      <w:pStyle w:val="Footer"/>
    </w:pPr>
    <w:sdt>
      <w:sdtPr>
        <w:id w:val="954882516"/>
        <w:docPartObj>
          <w:docPartGallery w:val="Page Numbers (Bottom of Page)"/>
          <w:docPartUnique/>
        </w:docPartObj>
      </w:sdtPr>
      <w:sdtEndPr/>
      <w:sdtContent>
        <w:r w:rsidR="00D904FA">
          <w:t>1-</w:t>
        </w:r>
        <w:r w:rsidR="00D904FA" w:rsidRPr="00824CC8">
          <w:fldChar w:fldCharType="begin"/>
        </w:r>
        <w:r w:rsidR="00D904FA" w:rsidRPr="00824CC8">
          <w:instrText xml:space="preserve"> PAGE   \* MERGEFORMAT </w:instrText>
        </w:r>
        <w:r w:rsidR="00D904FA" w:rsidRPr="00824CC8">
          <w:fldChar w:fldCharType="separate"/>
        </w:r>
        <w:r>
          <w:rPr>
            <w:noProof/>
          </w:rPr>
          <w:t>2</w:t>
        </w:r>
        <w:r w:rsidR="00D904FA" w:rsidRPr="00824CC8">
          <w:fldChar w:fldCharType="end"/>
        </w:r>
        <w:r w:rsidR="00D904FA" w:rsidRPr="00824CC8">
          <w:tab/>
        </w:r>
        <w:r w:rsidR="00C1101B">
          <w:t xml:space="preserve">                               </w:t>
        </w:r>
        <w:r w:rsidR="00B51267">
          <w:t xml:space="preserve">Draft decision: TransGrid transmission determination 2015-18 </w:t>
        </w:r>
        <w:r w:rsidR="00D904FA" w:rsidRPr="00824CC8">
          <w:rPr>
            <w:rStyle w:val="AERbody"/>
          </w:rPr>
          <w:t xml:space="preserve">| </w:t>
        </w:r>
      </w:sdtContent>
    </w:sdt>
    <w:r w:rsidR="00B51267">
      <w:t>Attachment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4FA" w:rsidRPr="00824CC8" w:rsidRDefault="00D904FA" w:rsidP="00824CC8">
    <w:pPr>
      <w:pStyle w:val="Footer"/>
      <w:rPr>
        <w:rStyle w:val="AERbody"/>
      </w:rPr>
    </w:pPr>
    <w:r w:rsidRPr="00824CC8">
      <w:rPr>
        <w:rStyle w:val="AERbody"/>
      </w:rPr>
      <w:t xml:space="preserve">Attachment </w:t>
    </w:r>
    <w:r>
      <w:rPr>
        <w:rStyle w:val="AERbody"/>
      </w:rPr>
      <w:t xml:space="preserve">1 </w:t>
    </w:r>
    <w:r w:rsidRPr="00824CC8">
      <w:rPr>
        <w:rStyle w:val="AERbody"/>
      </w:rPr>
      <w:t>|</w:t>
    </w:r>
    <w:r w:rsidR="00B51267">
      <w:rPr>
        <w:rStyle w:val="AERbody"/>
      </w:rPr>
      <w:t xml:space="preserve"> Maximum allowed revenue</w:t>
    </w:r>
    <w:r w:rsidR="00B51267">
      <w:rPr>
        <w:rStyle w:val="AERbody"/>
      </w:rPr>
      <w:tab/>
    </w:r>
    <w:r w:rsidRPr="00210880">
      <w:rPr>
        <w:rStyle w:val="AERbody"/>
      </w:rPr>
      <w:tab/>
    </w:r>
    <w:r>
      <w:rPr>
        <w:rStyle w:val="AERbody"/>
      </w:rPr>
      <w:t>1-</w:t>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D46AB4">
      <w:rPr>
        <w:rStyle w:val="AERbody"/>
        <w:noProof/>
      </w:rPr>
      <w:t>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4FA" w:rsidRPr="00AB4345" w:rsidRDefault="00D904FA" w:rsidP="00AB4345">
      <w:r>
        <w:separator/>
      </w:r>
    </w:p>
  </w:footnote>
  <w:footnote w:type="continuationSeparator" w:id="0">
    <w:p w:rsidR="00D904FA" w:rsidRPr="00AB4345" w:rsidRDefault="00D904FA" w:rsidP="00AB4345">
      <w:r>
        <w:continuationSeparator/>
      </w:r>
    </w:p>
  </w:footnote>
  <w:footnote w:id="1">
    <w:p w:rsidR="00D904FA" w:rsidRDefault="00D904FA" w:rsidP="0096157E">
      <w:pPr>
        <w:pStyle w:val="FootnoteText"/>
      </w:pPr>
      <w:r>
        <w:rPr>
          <w:rStyle w:val="FootnoteReference"/>
        </w:rPr>
        <w:footnoteRef/>
      </w:r>
      <w:r>
        <w:t xml:space="preserve"> </w:t>
      </w:r>
      <w:r>
        <w:tab/>
      </w:r>
      <w:r w:rsidRPr="000F0122">
        <w:t>NER, c</w:t>
      </w:r>
      <w:r>
        <w:t>l.</w:t>
      </w:r>
      <w:r w:rsidRPr="000F0122">
        <w:t xml:space="preserve"> </w:t>
      </w:r>
      <w:proofErr w:type="gramStart"/>
      <w:r w:rsidRPr="000F0122">
        <w:t>6A.4.2(</w:t>
      </w:r>
      <w:proofErr w:type="gramEnd"/>
      <w:r w:rsidRPr="000F0122">
        <w:t>a)(1)–(3)</w:t>
      </w:r>
      <w:r>
        <w:t>, 6A.5.3(c)</w:t>
      </w:r>
      <w:r w:rsidRPr="000F0122">
        <w:t xml:space="preserve"> and 6A.6.8.</w:t>
      </w:r>
    </w:p>
  </w:footnote>
  <w:footnote w:id="2">
    <w:p w:rsidR="00D904FA" w:rsidRDefault="00D904FA">
      <w:pPr>
        <w:pStyle w:val="FootnoteText"/>
      </w:pPr>
      <w:r>
        <w:rPr>
          <w:rStyle w:val="FootnoteReference"/>
        </w:rPr>
        <w:footnoteRef/>
      </w:r>
      <w:r>
        <w:t xml:space="preserve"> </w:t>
      </w:r>
      <w:r>
        <w:tab/>
        <w:t>Our smoothing involves a 'true-up' for the 2014–15 (transitional regulatory control period) placeholder revenue as required under clauses 11.58.4(i) and (j) of the NER.</w:t>
      </w:r>
    </w:p>
  </w:footnote>
  <w:footnote w:id="3">
    <w:p w:rsidR="00D904FA" w:rsidRDefault="00D904FA">
      <w:pPr>
        <w:pStyle w:val="FootnoteText"/>
      </w:pPr>
      <w:r>
        <w:rPr>
          <w:rStyle w:val="FootnoteReference"/>
        </w:rPr>
        <w:footnoteRef/>
      </w:r>
      <w:r>
        <w:t xml:space="preserve"> </w:t>
      </w:r>
      <w:r>
        <w:tab/>
      </w:r>
      <w:proofErr w:type="gramStart"/>
      <w:r>
        <w:t>NER, cll.6A.5.1 and 6A.5.3.</w:t>
      </w:r>
      <w:proofErr w:type="gramEnd"/>
    </w:p>
  </w:footnote>
  <w:footnote w:id="4">
    <w:p w:rsidR="00D904FA" w:rsidRDefault="00D904FA">
      <w:pPr>
        <w:pStyle w:val="FootnoteText"/>
      </w:pPr>
      <w:r>
        <w:rPr>
          <w:rStyle w:val="FootnoteReference"/>
        </w:rPr>
        <w:footnoteRef/>
      </w:r>
      <w:r>
        <w:t xml:space="preserve"> </w:t>
      </w:r>
      <w:r>
        <w:tab/>
        <w:t>NER, cll. 6A.5.3(c)(1) and (4).</w:t>
      </w:r>
    </w:p>
  </w:footnote>
  <w:footnote w:id="5">
    <w:p w:rsidR="00D904FA" w:rsidRDefault="00D904FA" w:rsidP="00642800">
      <w:pPr>
        <w:pStyle w:val="FootnoteText"/>
      </w:pPr>
      <w:r>
        <w:rPr>
          <w:rStyle w:val="FootnoteReference"/>
        </w:rPr>
        <w:footnoteRef/>
      </w:r>
      <w:r>
        <w:t xml:space="preserve"> </w:t>
      </w:r>
      <w:r>
        <w:tab/>
        <w:t>NER, cl. 6A.5.4.</w:t>
      </w:r>
    </w:p>
  </w:footnote>
  <w:footnote w:id="6">
    <w:p w:rsidR="00D904FA" w:rsidRDefault="00D904FA">
      <w:pPr>
        <w:pStyle w:val="FootnoteText"/>
      </w:pPr>
      <w:r>
        <w:rPr>
          <w:rStyle w:val="FootnoteReference"/>
        </w:rPr>
        <w:footnoteRef/>
      </w:r>
      <w:r>
        <w:t xml:space="preserve"> </w:t>
      </w:r>
      <w:r>
        <w:tab/>
        <w:t>NER, cl. 6A.5.4(a).</w:t>
      </w:r>
    </w:p>
  </w:footnote>
  <w:footnote w:id="7">
    <w:p w:rsidR="00D904FA" w:rsidRDefault="00D904FA" w:rsidP="007A1946">
      <w:pPr>
        <w:pStyle w:val="FootnoteText"/>
      </w:pPr>
      <w:r>
        <w:rPr>
          <w:rStyle w:val="FootnoteReference"/>
        </w:rPr>
        <w:footnoteRef/>
      </w:r>
      <w:r>
        <w:t xml:space="preserve"> </w:t>
      </w:r>
      <w:r>
        <w:tab/>
        <w:t xml:space="preserve">NER, cl. 6A.5. </w:t>
      </w:r>
    </w:p>
  </w:footnote>
  <w:footnote w:id="8">
    <w:p w:rsidR="00D904FA" w:rsidRDefault="00D904FA" w:rsidP="007A1946">
      <w:pPr>
        <w:pStyle w:val="FootnoteText"/>
      </w:pPr>
      <w:r>
        <w:rPr>
          <w:rStyle w:val="FootnoteReference"/>
        </w:rPr>
        <w:footnoteRef/>
      </w:r>
      <w:r>
        <w:t xml:space="preserve"> </w:t>
      </w:r>
      <w:r>
        <w:tab/>
        <w:t>NER, cll. 6A.5.3 and 6A.6.8.</w:t>
      </w:r>
    </w:p>
  </w:footnote>
  <w:footnote w:id="9">
    <w:p w:rsidR="00D904FA" w:rsidRDefault="00D904FA" w:rsidP="007A1946">
      <w:pPr>
        <w:pStyle w:val="FootnoteText"/>
      </w:pPr>
      <w:r>
        <w:rPr>
          <w:rStyle w:val="FootnoteReference"/>
        </w:rPr>
        <w:footnoteRef/>
      </w:r>
      <w:r>
        <w:t xml:space="preserve"> </w:t>
      </w:r>
      <w:r>
        <w:tab/>
        <w:t>NER, cl. 6A.5.1(a).</w:t>
      </w:r>
    </w:p>
  </w:footnote>
  <w:footnote w:id="10">
    <w:p w:rsidR="00D904FA" w:rsidRDefault="00D904FA" w:rsidP="007A1946">
      <w:pPr>
        <w:pStyle w:val="FootnoteText"/>
      </w:pPr>
      <w:r>
        <w:rPr>
          <w:rStyle w:val="FootnoteReference"/>
        </w:rPr>
        <w:footnoteRef/>
      </w:r>
      <w:r>
        <w:t xml:space="preserve"> </w:t>
      </w:r>
      <w:r>
        <w:tab/>
        <w:t>The MAR for year 1 of the next regulatory control period may include adjustment for the performance incentive that applied during the previous regulatory control period, and under or over recovery adjustments from previous regulatory years.</w:t>
      </w:r>
    </w:p>
  </w:footnote>
  <w:footnote w:id="11">
    <w:p w:rsidR="00D904FA" w:rsidRDefault="00D904FA" w:rsidP="000E3B05">
      <w:pPr>
        <w:pStyle w:val="FootnoteText"/>
      </w:pPr>
      <w:r>
        <w:rPr>
          <w:rStyle w:val="FootnoteReference"/>
        </w:rPr>
        <w:footnoteRef/>
      </w:r>
      <w:r>
        <w:t xml:space="preserve"> </w:t>
      </w:r>
      <w:r>
        <w:tab/>
        <w:t>See NER cl. 11.58.4 and TransGrid's p</w:t>
      </w:r>
      <w:r w:rsidRPr="003869A3">
        <w:t xml:space="preserve">laceholder determination for the transitional regulatory control period </w:t>
      </w:r>
      <w:r>
        <w:br/>
      </w:r>
      <w:r w:rsidRPr="003869A3">
        <w:t>2014–15</w:t>
      </w:r>
      <w:r>
        <w:t>.</w:t>
      </w:r>
    </w:p>
  </w:footnote>
  <w:footnote w:id="12">
    <w:p w:rsidR="00D904FA" w:rsidRDefault="00D904FA" w:rsidP="000E3B05">
      <w:pPr>
        <w:pStyle w:val="FootnoteText"/>
      </w:pPr>
      <w:r>
        <w:rPr>
          <w:rStyle w:val="FootnoteReference"/>
        </w:rPr>
        <w:footnoteRef/>
      </w:r>
      <w:r>
        <w:t xml:space="preserve"> </w:t>
      </w:r>
      <w:r>
        <w:tab/>
        <w:t>There are trade-offs that are not modelled in the PTRM but are reflected in the inputs to the PTRM. For example, service quality is not explicitly modelled in the PTRM, but the trade-offs between service quality and price are reflected in the forecast capex and opex inputs to the model. Other trade-offs are obvious from the calculations in the PTRM. For example, while someone may expect a lower regulatory asset base to also lower revenues, the PTRM shows that this will not occur if the reduction in the regulatory asset base is due solely to an increase in the depreciation rate. In such circumstances, revenues increase as the increased depreciation allowance more than offsets the reduction in the return on capital caused by the lower regulatory asset base.</w:t>
      </w:r>
    </w:p>
  </w:footnote>
  <w:footnote w:id="13">
    <w:p w:rsidR="00D904FA" w:rsidRDefault="00D904FA" w:rsidP="000E3B05">
      <w:pPr>
        <w:pStyle w:val="FootnoteText"/>
      </w:pPr>
      <w:r>
        <w:rPr>
          <w:rStyle w:val="FootnoteReference"/>
        </w:rPr>
        <w:footnoteRef/>
      </w:r>
      <w:r>
        <w:t xml:space="preserve"> </w:t>
      </w:r>
      <w:r>
        <w:tab/>
        <w:t>NER, clause 11.58.4(i)-(k).</w:t>
      </w:r>
    </w:p>
  </w:footnote>
  <w:footnote w:id="14">
    <w:p w:rsidR="00D904FA" w:rsidRDefault="00D904FA" w:rsidP="000E3B05">
      <w:pPr>
        <w:pStyle w:val="FootnoteText"/>
      </w:pPr>
      <w:r>
        <w:rPr>
          <w:rStyle w:val="FootnoteReference"/>
        </w:rPr>
        <w:footnoteRef/>
      </w:r>
      <w:r>
        <w:t xml:space="preserve"> </w:t>
      </w:r>
      <w:r>
        <w:tab/>
        <w:t>For the purposes of operating the PTRM, the placeholder revenue is set as the smoothed expected revenue for 2014–15.</w:t>
      </w:r>
    </w:p>
  </w:footnote>
  <w:footnote w:id="15">
    <w:p w:rsidR="00D904FA" w:rsidRDefault="00D904FA" w:rsidP="000E3B05">
      <w:pPr>
        <w:pStyle w:val="FootnoteText"/>
      </w:pPr>
      <w:r>
        <w:rPr>
          <w:rStyle w:val="FootnoteReference"/>
        </w:rPr>
        <w:footnoteRef/>
      </w:r>
      <w:r>
        <w:t xml:space="preserve"> </w:t>
      </w:r>
      <w:r>
        <w:tab/>
        <w:t>NER, cl. 6A.6.8(a).</w:t>
      </w:r>
    </w:p>
  </w:footnote>
  <w:footnote w:id="16">
    <w:p w:rsidR="00D904FA" w:rsidRDefault="00D904FA" w:rsidP="000E3B05">
      <w:pPr>
        <w:pStyle w:val="FootnoteText"/>
      </w:pPr>
      <w:r>
        <w:rPr>
          <w:rStyle w:val="FootnoteReference"/>
        </w:rPr>
        <w:footnoteRef/>
      </w:r>
      <w:r>
        <w:t xml:space="preserve"> </w:t>
      </w:r>
      <w:r>
        <w:tab/>
        <w:t>NER, cl. 6A.6.8(c)(1).</w:t>
      </w:r>
    </w:p>
  </w:footnote>
  <w:footnote w:id="17">
    <w:p w:rsidR="00D904FA" w:rsidRDefault="00D904FA" w:rsidP="000E3B05">
      <w:pPr>
        <w:pStyle w:val="FootnoteText"/>
      </w:pPr>
      <w:r>
        <w:rPr>
          <w:rStyle w:val="FootnoteReference"/>
        </w:rPr>
        <w:footnoteRef/>
      </w:r>
      <w:r>
        <w:t xml:space="preserve"> </w:t>
      </w:r>
      <w:r>
        <w:tab/>
        <w:t>NER, cl. 6A.6.8(c)(2).</w:t>
      </w:r>
    </w:p>
  </w:footnote>
  <w:footnote w:id="18">
    <w:p w:rsidR="00D904FA" w:rsidRDefault="00D904FA" w:rsidP="000E3B05">
      <w:pPr>
        <w:pStyle w:val="FootnoteText"/>
      </w:pPr>
      <w:r>
        <w:rPr>
          <w:rStyle w:val="FootnoteReference"/>
        </w:rPr>
        <w:footnoteRef/>
      </w:r>
      <w:r>
        <w:t xml:space="preserve"> </w:t>
      </w:r>
      <w:r>
        <w:tab/>
        <w:t>NER, cl. 11.58.4(c).</w:t>
      </w:r>
    </w:p>
  </w:footnote>
  <w:footnote w:id="19">
    <w:p w:rsidR="00D904FA" w:rsidRDefault="00D904FA" w:rsidP="00B630FC">
      <w:pPr>
        <w:pStyle w:val="FootnoteText"/>
      </w:pPr>
      <w:r>
        <w:rPr>
          <w:rStyle w:val="FootnoteReference"/>
        </w:rPr>
        <w:footnoteRef/>
      </w:r>
      <w:r>
        <w:t xml:space="preserve"> </w:t>
      </w:r>
      <w:r>
        <w:tab/>
      </w:r>
      <w:proofErr w:type="gramStart"/>
      <w:r>
        <w:t>NER, cl. 11.58</w:t>
      </w:r>
      <w:r w:rsidRPr="00A55EC1">
        <w:t>.</w:t>
      </w:r>
      <w:r>
        <w:t>3-</w:t>
      </w:r>
      <w:r w:rsidRPr="00A55EC1">
        <w:t>4</w:t>
      </w:r>
      <w:r>
        <w:t>.</w:t>
      </w:r>
      <w:proofErr w:type="gramEnd"/>
    </w:p>
  </w:footnote>
  <w:footnote w:id="20">
    <w:p w:rsidR="00D904FA" w:rsidRDefault="00D904FA" w:rsidP="007A1946">
      <w:pPr>
        <w:pStyle w:val="FootnoteText"/>
      </w:pPr>
      <w:r>
        <w:rPr>
          <w:rStyle w:val="FootnoteReference"/>
        </w:rPr>
        <w:footnoteRef/>
      </w:r>
      <w:r>
        <w:t xml:space="preserve"> </w:t>
      </w:r>
      <w:r>
        <w:tab/>
        <w:t xml:space="preserve">AER, </w:t>
      </w:r>
      <w:r w:rsidRPr="001C5300">
        <w:rPr>
          <w:rStyle w:val="AERtextitalic"/>
        </w:rPr>
        <w:t>TransGrid Transend, Transitional transmission determination 2014–15</w:t>
      </w:r>
      <w:r>
        <w:t>, March 2014, p. 17.</w:t>
      </w:r>
    </w:p>
  </w:footnote>
  <w:footnote w:id="21">
    <w:p w:rsidR="00D904FA" w:rsidRDefault="00D904FA" w:rsidP="00D13455">
      <w:pPr>
        <w:pStyle w:val="FootnoteText"/>
      </w:pPr>
      <w:r>
        <w:rPr>
          <w:rStyle w:val="FootnoteReference"/>
        </w:rPr>
        <w:footnoteRef/>
      </w:r>
      <w:r>
        <w:t xml:space="preserve"> </w:t>
      </w:r>
      <w:r>
        <w:tab/>
        <w:t>NER, cl. 11.58.4(i) to (k).</w:t>
      </w:r>
    </w:p>
  </w:footnote>
  <w:footnote w:id="22">
    <w:p w:rsidR="00D904FA" w:rsidRDefault="00D904FA" w:rsidP="007A1946">
      <w:pPr>
        <w:pStyle w:val="FootnoteText"/>
      </w:pPr>
      <w:r>
        <w:rPr>
          <w:rStyle w:val="FootnoteReference"/>
        </w:rPr>
        <w:footnoteRef/>
      </w:r>
      <w:r>
        <w:t xml:space="preserve"> </w:t>
      </w:r>
      <w:r>
        <w:tab/>
        <w:t>In the case of making the annual adjustment for year 3, the previous year's AR would be the same as the approved smoothed revenue for year 2 as contained in the PTRM.</w:t>
      </w:r>
    </w:p>
  </w:footnote>
  <w:footnote w:id="23">
    <w:p w:rsidR="00D904FA" w:rsidRPr="00E34AD1" w:rsidRDefault="00D904FA" w:rsidP="007D5F98">
      <w:pPr>
        <w:pStyle w:val="FootnoteText"/>
        <w:rPr>
          <w:rStyle w:val="AERtexthighlight"/>
        </w:rPr>
      </w:pPr>
      <w:r>
        <w:rPr>
          <w:rStyle w:val="FootnoteReference"/>
        </w:rPr>
        <w:footnoteRef/>
      </w:r>
      <w:r>
        <w:t xml:space="preserve"> </w:t>
      </w:r>
      <w:r>
        <w:tab/>
        <w:t>In the transmission determination for TransGrid's 2009–14 regulatory control period, the CPI required for the annual MAR adjustment process reflects the March quarter CPI, which is typically published by the ABS in late April. For this transmission determination we require TransGrid to use the December quarter of the previous calendar year CPI for the annual MAR adjustment for its next regulatory control period. December quarter CPI is typically released by the ABS towards the end of January of the following year</w:t>
      </w:r>
      <w:r w:rsidRPr="007E1FDA">
        <w:t>.</w:t>
      </w:r>
      <w:r>
        <w:t xml:space="preserve"> As the same set of CPI will be used for the RAB roll forward at the next reset for TransGrid in 2018, this change will allow us to update the </w:t>
      </w:r>
      <w:r w:rsidRPr="007D5F98">
        <w:t xml:space="preserve">actual CPI for RAB roll forward purposes well before the publication date of the AER's final decision at the next reset. </w:t>
      </w:r>
      <w:r w:rsidRPr="007D5F98">
        <w:rPr>
          <w:rStyle w:val="AERtexthighlight"/>
          <w:shd w:val="clear" w:color="auto" w:fill="auto"/>
        </w:rPr>
        <w:t>We note that there will be an overlapping issue of the March quarter CPI when the transition to the December quarter CPI occurs (this will be in the year 2014–15 for the TNSP). This is because the CPI for March quarter 2014 will be reflected in both 2013–14 and 2014–15. However, we consider this is only a transitional issue and does not have a material impact on the revenue to be recovered</w:t>
      </w:r>
      <w:r w:rsidRPr="009F5765">
        <w:rPr>
          <w:rStyle w:val="AERtexthighlight"/>
          <w:shd w:val="clear" w:color="auto" w:fill="auto"/>
        </w:rPr>
        <w:t xml:space="preserve"> by the TNSP.</w:t>
      </w:r>
    </w:p>
  </w:footnote>
  <w:footnote w:id="24">
    <w:p w:rsidR="00D904FA" w:rsidRDefault="00D904FA" w:rsidP="007A1946">
      <w:pPr>
        <w:pStyle w:val="FootnoteText"/>
      </w:pPr>
      <w:r>
        <w:rPr>
          <w:rStyle w:val="FootnoteReference"/>
        </w:rPr>
        <w:footnoteRef/>
      </w:r>
      <w:r>
        <w:t xml:space="preserve"> </w:t>
      </w:r>
      <w:r>
        <w:tab/>
        <w:t>NER, cl. 6A.7.4.</w:t>
      </w:r>
    </w:p>
  </w:footnote>
  <w:footnote w:id="25">
    <w:p w:rsidR="00D904FA" w:rsidRDefault="00D904FA" w:rsidP="007A1946">
      <w:pPr>
        <w:pStyle w:val="FootnoteText"/>
      </w:pPr>
      <w:r>
        <w:rPr>
          <w:rStyle w:val="FootnoteReference"/>
        </w:rPr>
        <w:footnoteRef/>
      </w:r>
      <w:r>
        <w:t xml:space="preserve"> </w:t>
      </w:r>
      <w:r>
        <w:tab/>
        <w:t xml:space="preserve">NER, cll. 6A.7.2 and 6A.7.3. </w:t>
      </w:r>
    </w:p>
  </w:footnote>
  <w:footnote w:id="26">
    <w:p w:rsidR="00D904FA" w:rsidRDefault="00D904FA" w:rsidP="007A1946">
      <w:pPr>
        <w:pStyle w:val="FootnoteText"/>
      </w:pPr>
      <w:r>
        <w:rPr>
          <w:rStyle w:val="FootnoteReference"/>
        </w:rPr>
        <w:footnoteRef/>
      </w:r>
      <w:r>
        <w:t xml:space="preserve"> </w:t>
      </w:r>
      <w:r>
        <w:tab/>
      </w:r>
      <w:proofErr w:type="gramStart"/>
      <w:r>
        <w:t>NER, cll.</w:t>
      </w:r>
      <w:proofErr w:type="gramEnd"/>
      <w:r>
        <w:t xml:space="preserve"> 6A.23.3(c)(2)(iii) and 6A.24.4(c).</w:t>
      </w:r>
    </w:p>
  </w:footnote>
  <w:footnote w:id="27">
    <w:p w:rsidR="00D904FA" w:rsidRDefault="00D904FA" w:rsidP="007A1946">
      <w:pPr>
        <w:pStyle w:val="FootnoteText"/>
      </w:pPr>
      <w:r>
        <w:rPr>
          <w:rStyle w:val="FootnoteReference"/>
        </w:rPr>
        <w:footnoteRef/>
      </w:r>
      <w:r>
        <w:t xml:space="preserve"> </w:t>
      </w:r>
      <w:r>
        <w:tab/>
        <w:t xml:space="preserve">NER, cl. </w:t>
      </w:r>
      <w:proofErr w:type="gramStart"/>
      <w:r>
        <w:t>6A.24.1(</w:t>
      </w:r>
      <w:proofErr w:type="gramEnd"/>
      <w:r>
        <w:t xml:space="preserve">d). TransGrid, as coordinating TNSP for NSW, includes Directlink's, </w:t>
      </w:r>
      <w:proofErr w:type="spellStart"/>
      <w:r>
        <w:t>Ausgrid's</w:t>
      </w:r>
      <w:proofErr w:type="spellEnd"/>
      <w:r>
        <w:t xml:space="preserve"> and </w:t>
      </w:r>
      <w:proofErr w:type="spellStart"/>
      <w:r>
        <w:t>ActewAGL's</w:t>
      </w:r>
      <w:proofErr w:type="spellEnd"/>
      <w:r>
        <w:t xml:space="preserve"> (transmission) revenue requirement in calculating the transmission charges applying to NSW. </w:t>
      </w:r>
    </w:p>
  </w:footnote>
  <w:footnote w:id="28">
    <w:p w:rsidR="00D904FA" w:rsidRDefault="00D904FA" w:rsidP="00780BC8">
      <w:pPr>
        <w:pStyle w:val="FootnoteText"/>
      </w:pPr>
      <w:r>
        <w:rPr>
          <w:rStyle w:val="FootnoteReference"/>
        </w:rPr>
        <w:footnoteRef/>
      </w:r>
      <w:r>
        <w:t xml:space="preserve"> </w:t>
      </w:r>
      <w:r>
        <w:tab/>
        <w:t>NER, cl. 6A.5.3(c</w:t>
      </w:r>
      <w:proofErr w:type="gramStart"/>
      <w:r>
        <w:t>)(</w:t>
      </w:r>
      <w:proofErr w:type="gramEnd"/>
      <w:r>
        <w:t>3).</w:t>
      </w:r>
    </w:p>
  </w:footnote>
  <w:footnote w:id="29">
    <w:p w:rsidR="00D904FA" w:rsidRDefault="00D904FA" w:rsidP="00780BC8">
      <w:pPr>
        <w:pStyle w:val="FootnoteText"/>
      </w:pPr>
      <w:r>
        <w:rPr>
          <w:rStyle w:val="FootnoteReference"/>
        </w:rPr>
        <w:footnoteRef/>
      </w:r>
      <w:r>
        <w:t xml:space="preserve"> </w:t>
      </w:r>
      <w:r>
        <w:tab/>
      </w:r>
      <w:r w:rsidRPr="00C729DC">
        <w:t>In the present circumstances, based on the X factors we have determined</w:t>
      </w:r>
      <w:r>
        <w:t xml:space="preserve"> for TransGrid</w:t>
      </w:r>
      <w:r w:rsidRPr="00C729DC">
        <w:t xml:space="preserve">, this divergence is </w:t>
      </w:r>
      <w:r>
        <w:t>around 3.0 </w:t>
      </w:r>
      <w:r w:rsidRPr="00C729DC">
        <w:t>per cent.</w:t>
      </w:r>
    </w:p>
  </w:footnote>
  <w:footnote w:id="30">
    <w:p w:rsidR="00D904FA" w:rsidRDefault="00D904FA">
      <w:pPr>
        <w:pStyle w:val="FootnoteText"/>
      </w:pPr>
      <w:r>
        <w:rPr>
          <w:rStyle w:val="FootnoteReference"/>
        </w:rPr>
        <w:footnoteRef/>
      </w:r>
      <w:r>
        <w:t xml:space="preserve"> </w:t>
      </w:r>
      <w:r>
        <w:tab/>
        <w:t xml:space="preserve">TransGrid, </w:t>
      </w:r>
      <w:r w:rsidRPr="00394947">
        <w:rPr>
          <w:rStyle w:val="AERtextitalic"/>
        </w:rPr>
        <w:t>Transitional revenue proposal 2014/15</w:t>
      </w:r>
      <w:r w:rsidRPr="00641205">
        <w:t>, January 2014, p. 65.</w:t>
      </w:r>
    </w:p>
  </w:footnote>
  <w:footnote w:id="31">
    <w:p w:rsidR="00D904FA" w:rsidRDefault="00D904FA">
      <w:pPr>
        <w:pStyle w:val="FootnoteText"/>
      </w:pPr>
      <w:r>
        <w:rPr>
          <w:rStyle w:val="FootnoteReference"/>
        </w:rPr>
        <w:footnoteRef/>
      </w:r>
      <w:r>
        <w:t xml:space="preserve"> </w:t>
      </w:r>
      <w:r>
        <w:tab/>
        <w:t xml:space="preserve">AER Consumer Challenge Panel, </w:t>
      </w:r>
      <w:r w:rsidRPr="00394947">
        <w:rPr>
          <w:rStyle w:val="AERtextitalic"/>
        </w:rPr>
        <w:t>(CCP6 Sub panel) Submission on the TransGrid revenue proposal</w:t>
      </w:r>
      <w:r>
        <w:t xml:space="preserve">, 8 August 2014, pp. 4–5; EUAA, </w:t>
      </w:r>
      <w:r w:rsidRPr="00394947">
        <w:rPr>
          <w:rStyle w:val="AERtextitalic"/>
        </w:rPr>
        <w:t>Submission on TransGrid's revenue proposal 2014-2019</w:t>
      </w:r>
      <w:r>
        <w:t>, 8 August 2014, p. 13.</w:t>
      </w:r>
    </w:p>
  </w:footnote>
  <w:footnote w:id="32">
    <w:p w:rsidR="00D904FA" w:rsidRDefault="00D904FA">
      <w:pPr>
        <w:pStyle w:val="FootnoteText"/>
      </w:pPr>
      <w:r>
        <w:rPr>
          <w:rStyle w:val="FootnoteReference"/>
        </w:rPr>
        <w:footnoteRef/>
      </w:r>
      <w:r>
        <w:t xml:space="preserve"> </w:t>
      </w:r>
      <w:r>
        <w:tab/>
        <w:t xml:space="preserve">This is based on the approved MAR of $934.2 million for 2013–14. TransGrid's actual revenue to be recovered for </w:t>
      </w:r>
      <w:r>
        <w:br/>
        <w:t>2013–14 is lower due to its 'revenue freeze', at $863 million.</w:t>
      </w:r>
    </w:p>
  </w:footnote>
  <w:footnote w:id="33">
    <w:p w:rsidR="00D904FA" w:rsidRDefault="00D904FA" w:rsidP="00780BC8">
      <w:pPr>
        <w:pStyle w:val="FootnoteText"/>
      </w:pPr>
      <w:r>
        <w:rPr>
          <w:rStyle w:val="FootnoteReference"/>
        </w:rPr>
        <w:footnoteRef/>
      </w:r>
      <w:r>
        <w:t xml:space="preserve"> </w:t>
      </w:r>
      <w:r>
        <w:tab/>
      </w:r>
      <w:r w:rsidRPr="00FC276A">
        <w:t xml:space="preserve">In </w:t>
      </w:r>
      <w:r>
        <w:t>real dollar terms</w:t>
      </w:r>
      <w:r w:rsidRPr="00FC276A">
        <w:t>, t</w:t>
      </w:r>
      <w:r>
        <w:t>he average de</w:t>
      </w:r>
      <w:r w:rsidRPr="00FC276A">
        <w:t xml:space="preserve">crease </w:t>
      </w:r>
      <w:r>
        <w:t>in our approved expected MAR for TransGrid</w:t>
      </w:r>
      <w:r w:rsidRPr="00FC276A">
        <w:t xml:space="preserve"> </w:t>
      </w:r>
      <w:r>
        <w:t>is</w:t>
      </w:r>
      <w:r w:rsidRPr="00FC276A">
        <w:t xml:space="preserve"> </w:t>
      </w:r>
      <w:r>
        <w:t xml:space="preserve">6.1 </w:t>
      </w:r>
      <w:r w:rsidRPr="00FC276A">
        <w:t>per cent per annum over the</w:t>
      </w:r>
      <w:r>
        <w:t xml:space="preserve"> 2014–18</w:t>
      </w:r>
      <w:r w:rsidRPr="00FC276A">
        <w:t xml:space="preserve"> period</w:t>
      </w:r>
      <w:r>
        <w:t>. This</w:t>
      </w:r>
      <w:r w:rsidRPr="00FC276A">
        <w:t xml:space="preserve"> consists an initial decrease of </w:t>
      </w:r>
      <w:r>
        <w:t>11.7</w:t>
      </w:r>
      <w:r w:rsidRPr="00FC276A">
        <w:t xml:space="preserve"> per cent from 20</w:t>
      </w:r>
      <w:r>
        <w:t>14</w:t>
      </w:r>
      <w:r w:rsidRPr="00FC276A">
        <w:t>–</w:t>
      </w:r>
      <w:r>
        <w:t xml:space="preserve">15 </w:t>
      </w:r>
      <w:r w:rsidRPr="00FC276A">
        <w:t>to 20</w:t>
      </w:r>
      <w:r>
        <w:t>15</w:t>
      </w:r>
      <w:r w:rsidRPr="00FC276A">
        <w:t>–1</w:t>
      </w:r>
      <w:r>
        <w:t>6, followed by another decrease of 13.7 per cent,</w:t>
      </w:r>
      <w:r w:rsidRPr="00FC276A">
        <w:t xml:space="preserve"> an</w:t>
      </w:r>
      <w:r>
        <w:t>d a subsequent average annual in</w:t>
      </w:r>
      <w:r w:rsidRPr="00FC276A">
        <w:t xml:space="preserve">crease of </w:t>
      </w:r>
      <w:r>
        <w:t xml:space="preserve">0.5 </w:t>
      </w:r>
      <w:r w:rsidRPr="00FC276A">
        <w:t>per cent during the remainder</w:t>
      </w:r>
      <w:r>
        <w:t xml:space="preserve"> </w:t>
      </w:r>
      <w:r w:rsidRPr="00FC276A">
        <w:t xml:space="preserve">of the </w:t>
      </w:r>
      <w:r>
        <w:br/>
        <w:t>2014–18</w:t>
      </w:r>
      <w:r w:rsidRPr="00FC276A">
        <w:t xml:space="preserve"> period.</w:t>
      </w:r>
    </w:p>
  </w:footnote>
  <w:footnote w:id="34">
    <w:p w:rsidR="00D904FA" w:rsidRDefault="00D904FA" w:rsidP="00FB27D9">
      <w:pPr>
        <w:pStyle w:val="FootnoteText"/>
      </w:pPr>
      <w:r>
        <w:rPr>
          <w:rStyle w:val="FootnoteReference"/>
        </w:rPr>
        <w:footnoteRef/>
      </w:r>
      <w:r>
        <w:t xml:space="preserve"> </w:t>
      </w:r>
      <w:r>
        <w:tab/>
      </w:r>
      <w:proofErr w:type="gramStart"/>
      <w:r>
        <w:t>NER, cl. 6A.5.5.</w:t>
      </w:r>
      <w:proofErr w:type="gramEnd"/>
    </w:p>
  </w:footnote>
  <w:footnote w:id="35">
    <w:p w:rsidR="00D904FA" w:rsidRDefault="00D904FA" w:rsidP="00FB27D9">
      <w:pPr>
        <w:pStyle w:val="FootnoteText"/>
      </w:pPr>
      <w:r>
        <w:rPr>
          <w:rStyle w:val="FootnoteReference"/>
        </w:rPr>
        <w:footnoteRef/>
      </w:r>
      <w:r>
        <w:t xml:space="preserve"> </w:t>
      </w:r>
      <w:r>
        <w:tab/>
        <w:t xml:space="preserve">AER, </w:t>
      </w:r>
      <w:r w:rsidRPr="006B7504">
        <w:rPr>
          <w:rStyle w:val="AERtextitalic"/>
        </w:rPr>
        <w:t>Shared asset guideline</w:t>
      </w:r>
      <w:r>
        <w:t>, November 2013.</w:t>
      </w:r>
    </w:p>
  </w:footnote>
  <w:footnote w:id="36">
    <w:p w:rsidR="00D904FA" w:rsidRDefault="00D904FA" w:rsidP="006B04F5">
      <w:pPr>
        <w:pStyle w:val="FootnoteText"/>
      </w:pPr>
      <w:r>
        <w:rPr>
          <w:rStyle w:val="FootnoteReference"/>
        </w:rPr>
        <w:footnoteRef/>
      </w:r>
      <w:r>
        <w:t xml:space="preserve"> </w:t>
      </w:r>
      <w:r>
        <w:tab/>
        <w:t xml:space="preserve">AER, </w:t>
      </w:r>
      <w:r w:rsidRPr="005C2602">
        <w:rPr>
          <w:rStyle w:val="AERtextitalic"/>
        </w:rPr>
        <w:t>Shared asset guideline</w:t>
      </w:r>
      <w:r>
        <w:t>, November 2013, p. 8.</w:t>
      </w:r>
    </w:p>
  </w:footnote>
  <w:footnote w:id="37">
    <w:p w:rsidR="00D904FA" w:rsidRDefault="00D904FA">
      <w:pPr>
        <w:pStyle w:val="FootnoteText"/>
      </w:pPr>
      <w:r>
        <w:rPr>
          <w:rStyle w:val="FootnoteReference"/>
        </w:rPr>
        <w:footnoteRef/>
      </w:r>
      <w:r>
        <w:t xml:space="preserve"> </w:t>
      </w:r>
      <w:r>
        <w:tab/>
        <w:t xml:space="preserve">TransGrid, </w:t>
      </w:r>
      <w:r w:rsidRPr="005C2602">
        <w:rPr>
          <w:rStyle w:val="AERtextitalic"/>
        </w:rPr>
        <w:t>Regulatory Information Notice</w:t>
      </w:r>
      <w:r>
        <w:t xml:space="preserve">, </w:t>
      </w:r>
      <w:r w:rsidRPr="00C11C2E">
        <w:t>template 6.4</w:t>
      </w:r>
      <w:r>
        <w:t xml:space="preserve"> - shared assets; TransGrid, </w:t>
      </w:r>
      <w:r w:rsidRPr="005C2602">
        <w:rPr>
          <w:rStyle w:val="AERtextitalic"/>
        </w:rPr>
        <w:t>Revenue proposal</w:t>
      </w:r>
      <w:r>
        <w:t xml:space="preserve">, </w:t>
      </w:r>
      <w:r w:rsidRPr="00226E0D">
        <w:t>p</w:t>
      </w:r>
      <w:r>
        <w:t>. 14.</w:t>
      </w:r>
    </w:p>
  </w:footnote>
  <w:footnote w:id="38">
    <w:p w:rsidR="00D904FA" w:rsidRDefault="00D904FA" w:rsidP="008316EA">
      <w:pPr>
        <w:pStyle w:val="FootnoteText"/>
      </w:pPr>
      <w:r>
        <w:rPr>
          <w:rStyle w:val="FootnoteReference"/>
        </w:rPr>
        <w:footnoteRef/>
      </w:r>
      <w:r>
        <w:t xml:space="preserve"> </w:t>
      </w:r>
      <w:r>
        <w:tab/>
        <w:t>Undertaken as we developed our</w:t>
      </w:r>
      <w:r w:rsidRPr="00F40AF1">
        <w:t xml:space="preserve"> shared asset guideline</w:t>
      </w:r>
      <w:r>
        <w:t>, during the 2013 calendar year, as part of our Better Regulation work program.</w:t>
      </w:r>
    </w:p>
  </w:footnote>
  <w:footnote w:id="39">
    <w:p w:rsidR="00D904FA" w:rsidRDefault="00D904FA" w:rsidP="00F172F0">
      <w:pPr>
        <w:pStyle w:val="FootnoteText"/>
      </w:pPr>
      <w:r>
        <w:rPr>
          <w:rStyle w:val="FootnoteReference"/>
        </w:rPr>
        <w:footnoteRef/>
      </w:r>
      <w:r>
        <w:t xml:space="preserve"> </w:t>
      </w:r>
      <w:r>
        <w:tab/>
      </w:r>
      <w:r w:rsidRPr="00A70585">
        <w:t>While Ausgrid and ActewAGL are predominantly an electricity</w:t>
      </w:r>
      <w:r>
        <w:t xml:space="preserve"> </w:t>
      </w:r>
      <w:r w:rsidRPr="00A70585">
        <w:t>distribution business, they also own</w:t>
      </w:r>
      <w:r>
        <w:t xml:space="preserve"> and operate</w:t>
      </w:r>
      <w:r w:rsidRPr="00A70585">
        <w:t xml:space="preserve"> </w:t>
      </w:r>
      <w:r>
        <w:t xml:space="preserve">some </w:t>
      </w:r>
      <w:r w:rsidRPr="00A70585">
        <w:t>transmission assets.</w:t>
      </w:r>
      <w:r>
        <w:t xml:space="preserve"> </w:t>
      </w:r>
      <w:r w:rsidRPr="00A70585">
        <w:t>These assets operate in parallel and support TransGrid’s</w:t>
      </w:r>
      <w:r>
        <w:t xml:space="preserve"> </w:t>
      </w:r>
      <w:r w:rsidRPr="00A70585">
        <w:t>transmission network to provide transmission network</w:t>
      </w:r>
      <w:r>
        <w:t xml:space="preserve"> </w:t>
      </w:r>
      <w:r w:rsidRPr="00A70585">
        <w:t>services to NSW and ACT</w:t>
      </w:r>
      <w:r>
        <w:t>.</w:t>
      </w:r>
    </w:p>
  </w:footnote>
  <w:footnote w:id="40">
    <w:p w:rsidR="00D904FA" w:rsidRDefault="00D904FA">
      <w:pPr>
        <w:pStyle w:val="FootnoteText"/>
      </w:pPr>
      <w:r>
        <w:rPr>
          <w:rStyle w:val="FootnoteReference"/>
        </w:rPr>
        <w:footnoteRef/>
      </w:r>
      <w:r>
        <w:t xml:space="preserve"> </w:t>
      </w:r>
      <w:r>
        <w:tab/>
        <w:t xml:space="preserve">Our draft decision for Directlink can be found on our website at </w:t>
      </w:r>
      <w:hyperlink r:id="rId1" w:history="1">
        <w:r w:rsidRPr="009B5160">
          <w:rPr>
            <w:rStyle w:val="Hyperlink"/>
          </w:rPr>
          <w:t>www.aer.gov.au</w:t>
        </w:r>
      </w:hyperlink>
      <w:r>
        <w:t>. For this analysis, we used Directlink's expected MAR for the 2014–18 period to be consistent with TransGrid's 2014–18 period.</w:t>
      </w:r>
    </w:p>
  </w:footnote>
  <w:footnote w:id="41">
    <w:p w:rsidR="00D904FA" w:rsidRDefault="00D904FA" w:rsidP="00F172F0">
      <w:pPr>
        <w:pStyle w:val="FootnoteText"/>
      </w:pPr>
      <w:r>
        <w:rPr>
          <w:rStyle w:val="FootnoteReference"/>
        </w:rPr>
        <w:footnoteRef/>
      </w:r>
      <w:r>
        <w:t xml:space="preserve"> </w:t>
      </w:r>
      <w:r>
        <w:tab/>
        <w:t xml:space="preserve">We made draft decisions on Ausgrid and ActewAGL's proposed annual expected revenues for the 2014–19 period. Our draft decision for </w:t>
      </w:r>
      <w:proofErr w:type="spellStart"/>
      <w:r>
        <w:t>Ausgrid</w:t>
      </w:r>
      <w:proofErr w:type="spellEnd"/>
      <w:r>
        <w:t xml:space="preserve"> and </w:t>
      </w:r>
      <w:proofErr w:type="spellStart"/>
      <w:r>
        <w:t>Actew</w:t>
      </w:r>
      <w:proofErr w:type="spellEnd"/>
      <w:r>
        <w:t xml:space="preserve"> AGL can be found on our website at </w:t>
      </w:r>
      <w:hyperlink r:id="rId2" w:history="1">
        <w:r w:rsidRPr="00A70585">
          <w:rPr>
            <w:rStyle w:val="Hyperlink"/>
          </w:rPr>
          <w:t>www.aer.gov.au</w:t>
        </w:r>
      </w:hyperlink>
      <w:r>
        <w:t>. For this analysis, we used Ausgrid and ActewAGL's 2014–15 to 2017–18 transmission revenues from our draft decision to be consistent with TransGrid's 2014–18 period.</w:t>
      </w:r>
    </w:p>
  </w:footnote>
  <w:footnote w:id="42">
    <w:p w:rsidR="00D904FA" w:rsidRDefault="00D904FA" w:rsidP="00F172F0">
      <w:pPr>
        <w:pStyle w:val="FootnoteText"/>
      </w:pPr>
      <w:r>
        <w:rPr>
          <w:rStyle w:val="FootnoteReference"/>
        </w:rPr>
        <w:footnoteRef/>
      </w:r>
      <w:r>
        <w:t xml:space="preserve"> </w:t>
      </w:r>
      <w:r>
        <w:tab/>
        <w:t>AEMO,</w:t>
      </w:r>
      <w:r w:rsidRPr="00424732">
        <w:t xml:space="preserve"> </w:t>
      </w:r>
      <w:r w:rsidRPr="00CC57BF">
        <w:rPr>
          <w:rStyle w:val="AERtextitalic"/>
        </w:rPr>
        <w:t>National electricity forecasting report</w:t>
      </w:r>
      <w:r>
        <w:rPr>
          <w:rStyle w:val="AERtextitalic"/>
        </w:rPr>
        <w:t xml:space="preserve"> for the national electricity market</w:t>
      </w:r>
      <w:r w:rsidRPr="00424732">
        <w:t xml:space="preserve">, </w:t>
      </w:r>
      <w:r>
        <w:t xml:space="preserve">June </w:t>
      </w:r>
      <w:r w:rsidRPr="00424732">
        <w:t>201</w:t>
      </w:r>
      <w:r>
        <w:t>4, table 6, Medium.</w:t>
      </w:r>
    </w:p>
  </w:footnote>
  <w:footnote w:id="43">
    <w:p w:rsidR="00D904FA" w:rsidRPr="00A23C91" w:rsidRDefault="00D904FA" w:rsidP="00F172F0">
      <w:pPr>
        <w:pStyle w:val="FootnoteText"/>
      </w:pPr>
      <w:r>
        <w:rPr>
          <w:rStyle w:val="FootnoteReference"/>
        </w:rPr>
        <w:footnoteRef/>
      </w:r>
      <w:r>
        <w:t xml:space="preserve"> </w:t>
      </w:r>
      <w:r>
        <w:tab/>
        <w:t>On average, the draft decision transmission revenues will decrease by 3.06 per cent ($ nominal) per annum from 2013–14 to 2017–18. The forecast energy delivered in NSW/ACT will slightly increase, by an average of 0.06 per cent per annum across that period. As a result, the indicative transmission charge will decrease by 3.12 per cent ($ nominal) per annum from 2013–14 to 2017–18.</w:t>
      </w:r>
    </w:p>
  </w:footnote>
  <w:footnote w:id="44">
    <w:p w:rsidR="00D904FA" w:rsidRDefault="00D904FA" w:rsidP="00F172F0">
      <w:pPr>
        <w:pStyle w:val="FootnoteText"/>
      </w:pPr>
      <w:r>
        <w:rPr>
          <w:rStyle w:val="FootnoteReference"/>
        </w:rPr>
        <w:footnoteRef/>
      </w:r>
      <w:r>
        <w:t xml:space="preserve"> </w:t>
      </w:r>
      <w:r>
        <w:tab/>
      </w:r>
      <w:proofErr w:type="gramStart"/>
      <w:r>
        <w:t xml:space="preserve">TransGrid, </w:t>
      </w:r>
      <w:r w:rsidRPr="00CD3FF9">
        <w:rPr>
          <w:rStyle w:val="AERtextitalic"/>
        </w:rPr>
        <w:t>Revenue proposal</w:t>
      </w:r>
      <w:r>
        <w:t>, p. 18.</w:t>
      </w:r>
      <w:proofErr w:type="gramEnd"/>
    </w:p>
  </w:footnote>
  <w:footnote w:id="45">
    <w:p w:rsidR="00D904FA" w:rsidRDefault="00D904FA" w:rsidP="00F172F0">
      <w:pPr>
        <w:pStyle w:val="FootnoteText"/>
      </w:pPr>
      <w:r>
        <w:rPr>
          <w:rStyle w:val="FootnoteReference"/>
        </w:rPr>
        <w:footnoteRef/>
      </w:r>
      <w:r>
        <w:t xml:space="preserve"> </w:t>
      </w:r>
      <w:r>
        <w:tab/>
        <w:t xml:space="preserve">IPART, </w:t>
      </w:r>
      <w:r w:rsidRPr="005B4386">
        <w:rPr>
          <w:i/>
        </w:rPr>
        <w:t>Final report: Review of regulated retail prices for Electricity from 1 July 2013 to 30 June 2016</w:t>
      </w:r>
      <w:r>
        <w:t>, June 2013, p. 5.</w:t>
      </w:r>
    </w:p>
  </w:footnote>
  <w:footnote w:id="46">
    <w:p w:rsidR="00D904FA" w:rsidRDefault="00D904FA" w:rsidP="00F172F0">
      <w:pPr>
        <w:pStyle w:val="FootnoteText"/>
      </w:pPr>
      <w:r>
        <w:rPr>
          <w:rStyle w:val="FootnoteReference"/>
        </w:rPr>
        <w:footnoteRef/>
      </w:r>
      <w:r>
        <w:t xml:space="preserve"> </w:t>
      </w:r>
      <w:r>
        <w:tab/>
      </w:r>
      <w:r w:rsidRPr="00ED7DE9">
        <w:t xml:space="preserve">ICRC, </w:t>
      </w:r>
      <w:r w:rsidRPr="00CD3FF9">
        <w:rPr>
          <w:rStyle w:val="AERtextitalic"/>
        </w:rPr>
        <w:t>Draft report-Standing offer electricity prices from 1 July 2014</w:t>
      </w:r>
      <w:r w:rsidRPr="00ED7DE9">
        <w:t>, p. 160.</w:t>
      </w:r>
    </w:p>
  </w:footnote>
  <w:footnote w:id="47">
    <w:p w:rsidR="00D904FA" w:rsidRDefault="00D904FA">
      <w:pPr>
        <w:pStyle w:val="FootnoteText"/>
      </w:pPr>
      <w:r>
        <w:rPr>
          <w:rStyle w:val="FootnoteReference"/>
        </w:rPr>
        <w:footnoteRef/>
      </w:r>
      <w:r>
        <w:t xml:space="preserve"> </w:t>
      </w:r>
      <w:r>
        <w:tab/>
      </w:r>
      <w:r w:rsidRPr="00C70B2A">
        <w:t xml:space="preserve">IPART, </w:t>
      </w:r>
      <w:r w:rsidRPr="00BC4AE9">
        <w:rPr>
          <w:rStyle w:val="AERtextitalic"/>
        </w:rPr>
        <w:t>Final report: Review of regulated retail prices for electricity - from 1 July 2013 to 30 June 2016</w:t>
      </w:r>
      <w:r w:rsidRPr="00C70B2A">
        <w:t>, June 2013, p. 5</w:t>
      </w:r>
      <w:r>
        <w:t>;</w:t>
      </w:r>
      <w:r w:rsidRPr="00C70B2A">
        <w:t xml:space="preserve"> ICRC, </w:t>
      </w:r>
      <w:r w:rsidRPr="00BC4AE9">
        <w:rPr>
          <w:rStyle w:val="AERtextitalic"/>
        </w:rPr>
        <w:t>Draft report-Standing offer electricity prices from 1 July 2014</w:t>
      </w:r>
      <w:r>
        <w:t>, p. 160.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1">
      <w:lvl w:ilvl="1">
        <w:start w:val="1"/>
        <w:numFmt w:val="decimal"/>
        <w:pStyle w:val="AERnumberedlistfirststyle"/>
        <w:lvlText w:val="%2."/>
        <w:lvlJc w:val="left"/>
        <w:pPr>
          <w:tabs>
            <w:tab w:val="num" w:pos="357"/>
          </w:tabs>
          <w:ind w:left="357" w:hanging="35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2168\D14 98649  20141030 - 3.1.27 - attachment U - Revenue - TransGrid.DOCX"/>
  </w:docVars>
  <w:rsids>
    <w:rsidRoot w:val="000C052F"/>
    <w:rsid w:val="000020D3"/>
    <w:rsid w:val="00011129"/>
    <w:rsid w:val="00014E8E"/>
    <w:rsid w:val="000202A5"/>
    <w:rsid w:val="00021464"/>
    <w:rsid w:val="00022606"/>
    <w:rsid w:val="00023349"/>
    <w:rsid w:val="000304A6"/>
    <w:rsid w:val="0003484A"/>
    <w:rsid w:val="00035292"/>
    <w:rsid w:val="00040599"/>
    <w:rsid w:val="00040749"/>
    <w:rsid w:val="00040831"/>
    <w:rsid w:val="0004254D"/>
    <w:rsid w:val="0004549E"/>
    <w:rsid w:val="000612C8"/>
    <w:rsid w:val="0006198F"/>
    <w:rsid w:val="00073EB1"/>
    <w:rsid w:val="000A1CC2"/>
    <w:rsid w:val="000A5342"/>
    <w:rsid w:val="000B15CA"/>
    <w:rsid w:val="000B7328"/>
    <w:rsid w:val="000C052F"/>
    <w:rsid w:val="000C3430"/>
    <w:rsid w:val="000D03C2"/>
    <w:rsid w:val="000D04B1"/>
    <w:rsid w:val="000D401F"/>
    <w:rsid w:val="000D674E"/>
    <w:rsid w:val="000E1A25"/>
    <w:rsid w:val="000E3B05"/>
    <w:rsid w:val="000E6A1B"/>
    <w:rsid w:val="000F3A6A"/>
    <w:rsid w:val="001033B3"/>
    <w:rsid w:val="00105636"/>
    <w:rsid w:val="00114231"/>
    <w:rsid w:val="0013022D"/>
    <w:rsid w:val="0015126D"/>
    <w:rsid w:val="001543D2"/>
    <w:rsid w:val="00157550"/>
    <w:rsid w:val="00174026"/>
    <w:rsid w:val="001856EE"/>
    <w:rsid w:val="00185C70"/>
    <w:rsid w:val="00194C3C"/>
    <w:rsid w:val="00197953"/>
    <w:rsid w:val="001A2414"/>
    <w:rsid w:val="001B550A"/>
    <w:rsid w:val="001C12E5"/>
    <w:rsid w:val="001C1DDD"/>
    <w:rsid w:val="001C250D"/>
    <w:rsid w:val="001C2B72"/>
    <w:rsid w:val="00204498"/>
    <w:rsid w:val="0020711E"/>
    <w:rsid w:val="00210880"/>
    <w:rsid w:val="0022208C"/>
    <w:rsid w:val="002257B9"/>
    <w:rsid w:val="00225920"/>
    <w:rsid w:val="00226E0D"/>
    <w:rsid w:val="00230144"/>
    <w:rsid w:val="0023137D"/>
    <w:rsid w:val="00254487"/>
    <w:rsid w:val="0025558C"/>
    <w:rsid w:val="002557B4"/>
    <w:rsid w:val="00266363"/>
    <w:rsid w:val="00266710"/>
    <w:rsid w:val="00272DD8"/>
    <w:rsid w:val="00275EAB"/>
    <w:rsid w:val="002805B8"/>
    <w:rsid w:val="00281D0F"/>
    <w:rsid w:val="002938CE"/>
    <w:rsid w:val="00294126"/>
    <w:rsid w:val="00295EA9"/>
    <w:rsid w:val="002B6640"/>
    <w:rsid w:val="002C72BD"/>
    <w:rsid w:val="002D2D01"/>
    <w:rsid w:val="002D5DB7"/>
    <w:rsid w:val="002D61AC"/>
    <w:rsid w:val="002D78DC"/>
    <w:rsid w:val="002E27F2"/>
    <w:rsid w:val="002E4720"/>
    <w:rsid w:val="002E6135"/>
    <w:rsid w:val="002F323F"/>
    <w:rsid w:val="002F5B8B"/>
    <w:rsid w:val="00300A60"/>
    <w:rsid w:val="00303452"/>
    <w:rsid w:val="003053C2"/>
    <w:rsid w:val="00311E10"/>
    <w:rsid w:val="00326E06"/>
    <w:rsid w:val="003324F7"/>
    <w:rsid w:val="00334F88"/>
    <w:rsid w:val="003707DB"/>
    <w:rsid w:val="00375AEC"/>
    <w:rsid w:val="00376236"/>
    <w:rsid w:val="0037652C"/>
    <w:rsid w:val="003800E4"/>
    <w:rsid w:val="00380FF5"/>
    <w:rsid w:val="00383805"/>
    <w:rsid w:val="00387166"/>
    <w:rsid w:val="00394947"/>
    <w:rsid w:val="003A6174"/>
    <w:rsid w:val="003B21EE"/>
    <w:rsid w:val="003B7FE3"/>
    <w:rsid w:val="003C3874"/>
    <w:rsid w:val="003C4894"/>
    <w:rsid w:val="003C6AF1"/>
    <w:rsid w:val="003D6883"/>
    <w:rsid w:val="004030AB"/>
    <w:rsid w:val="0040348C"/>
    <w:rsid w:val="00410C01"/>
    <w:rsid w:val="00412282"/>
    <w:rsid w:val="00413EEF"/>
    <w:rsid w:val="00420BB6"/>
    <w:rsid w:val="00424EC2"/>
    <w:rsid w:val="004256BA"/>
    <w:rsid w:val="0042585E"/>
    <w:rsid w:val="004273AD"/>
    <w:rsid w:val="00431999"/>
    <w:rsid w:val="00433D80"/>
    <w:rsid w:val="00435257"/>
    <w:rsid w:val="00435682"/>
    <w:rsid w:val="00435774"/>
    <w:rsid w:val="00444FD7"/>
    <w:rsid w:val="00446E56"/>
    <w:rsid w:val="00454BFF"/>
    <w:rsid w:val="00456081"/>
    <w:rsid w:val="00464F5D"/>
    <w:rsid w:val="00471FC0"/>
    <w:rsid w:val="0047395E"/>
    <w:rsid w:val="00474FBD"/>
    <w:rsid w:val="00491D7D"/>
    <w:rsid w:val="004A6D0F"/>
    <w:rsid w:val="004C3E4B"/>
    <w:rsid w:val="004C3F45"/>
    <w:rsid w:val="004E40EF"/>
    <w:rsid w:val="004E73F7"/>
    <w:rsid w:val="004F0C4C"/>
    <w:rsid w:val="004F306A"/>
    <w:rsid w:val="004F3FF3"/>
    <w:rsid w:val="004F4B8E"/>
    <w:rsid w:val="004F76A0"/>
    <w:rsid w:val="00500E7F"/>
    <w:rsid w:val="0052179D"/>
    <w:rsid w:val="0052383F"/>
    <w:rsid w:val="005456A9"/>
    <w:rsid w:val="005518CC"/>
    <w:rsid w:val="00552953"/>
    <w:rsid w:val="005542B3"/>
    <w:rsid w:val="00555D52"/>
    <w:rsid w:val="005566D7"/>
    <w:rsid w:val="00556E5F"/>
    <w:rsid w:val="00561F7F"/>
    <w:rsid w:val="00566B35"/>
    <w:rsid w:val="0057322C"/>
    <w:rsid w:val="005732CC"/>
    <w:rsid w:val="00575422"/>
    <w:rsid w:val="00582C63"/>
    <w:rsid w:val="00591403"/>
    <w:rsid w:val="005938C6"/>
    <w:rsid w:val="005A0431"/>
    <w:rsid w:val="005B2A62"/>
    <w:rsid w:val="005B3752"/>
    <w:rsid w:val="005B61C2"/>
    <w:rsid w:val="005C2602"/>
    <w:rsid w:val="005C2AE0"/>
    <w:rsid w:val="005C661C"/>
    <w:rsid w:val="005D26B7"/>
    <w:rsid w:val="005D4AA1"/>
    <w:rsid w:val="005E2EEB"/>
    <w:rsid w:val="005F073E"/>
    <w:rsid w:val="00600D9C"/>
    <w:rsid w:val="0060146C"/>
    <w:rsid w:val="0060207D"/>
    <w:rsid w:val="0060291A"/>
    <w:rsid w:val="006039F2"/>
    <w:rsid w:val="006061B0"/>
    <w:rsid w:val="0060732E"/>
    <w:rsid w:val="006076A9"/>
    <w:rsid w:val="0061256F"/>
    <w:rsid w:val="00615724"/>
    <w:rsid w:val="006245E2"/>
    <w:rsid w:val="00630092"/>
    <w:rsid w:val="00641205"/>
    <w:rsid w:val="00642800"/>
    <w:rsid w:val="00645503"/>
    <w:rsid w:val="00645DB7"/>
    <w:rsid w:val="0065115F"/>
    <w:rsid w:val="006544EA"/>
    <w:rsid w:val="00656A88"/>
    <w:rsid w:val="0066569F"/>
    <w:rsid w:val="00671327"/>
    <w:rsid w:val="00672D55"/>
    <w:rsid w:val="00684072"/>
    <w:rsid w:val="0068631B"/>
    <w:rsid w:val="00686BE8"/>
    <w:rsid w:val="0069004B"/>
    <w:rsid w:val="00692073"/>
    <w:rsid w:val="00694D5C"/>
    <w:rsid w:val="006B04F5"/>
    <w:rsid w:val="006B08EB"/>
    <w:rsid w:val="006B481F"/>
    <w:rsid w:val="006C073E"/>
    <w:rsid w:val="006C4611"/>
    <w:rsid w:val="006D1685"/>
    <w:rsid w:val="006D7297"/>
    <w:rsid w:val="006F638E"/>
    <w:rsid w:val="00703E42"/>
    <w:rsid w:val="007143F8"/>
    <w:rsid w:val="00734798"/>
    <w:rsid w:val="007368AD"/>
    <w:rsid w:val="007405DD"/>
    <w:rsid w:val="00743468"/>
    <w:rsid w:val="00743C7A"/>
    <w:rsid w:val="00751D2A"/>
    <w:rsid w:val="00755095"/>
    <w:rsid w:val="00755466"/>
    <w:rsid w:val="00780BC8"/>
    <w:rsid w:val="00785E1A"/>
    <w:rsid w:val="00795EC3"/>
    <w:rsid w:val="00796A07"/>
    <w:rsid w:val="007A0801"/>
    <w:rsid w:val="007A1946"/>
    <w:rsid w:val="007B03CE"/>
    <w:rsid w:val="007C0090"/>
    <w:rsid w:val="007D4C2A"/>
    <w:rsid w:val="007D5F98"/>
    <w:rsid w:val="007D6885"/>
    <w:rsid w:val="007D6A16"/>
    <w:rsid w:val="007D6B23"/>
    <w:rsid w:val="007E1CC4"/>
    <w:rsid w:val="007F10E3"/>
    <w:rsid w:val="007F2C0E"/>
    <w:rsid w:val="007F6087"/>
    <w:rsid w:val="00804AEB"/>
    <w:rsid w:val="0080551B"/>
    <w:rsid w:val="00824CC8"/>
    <w:rsid w:val="008316EA"/>
    <w:rsid w:val="00832B9C"/>
    <w:rsid w:val="00836D17"/>
    <w:rsid w:val="0083721D"/>
    <w:rsid w:val="00840A55"/>
    <w:rsid w:val="00841E25"/>
    <w:rsid w:val="008464CD"/>
    <w:rsid w:val="008515EE"/>
    <w:rsid w:val="00856C27"/>
    <w:rsid w:val="00861C4E"/>
    <w:rsid w:val="00866487"/>
    <w:rsid w:val="00866D21"/>
    <w:rsid w:val="00872D85"/>
    <w:rsid w:val="008818EB"/>
    <w:rsid w:val="00883DDA"/>
    <w:rsid w:val="00886028"/>
    <w:rsid w:val="008918B7"/>
    <w:rsid w:val="00891FF9"/>
    <w:rsid w:val="00893367"/>
    <w:rsid w:val="00893D07"/>
    <w:rsid w:val="008952BD"/>
    <w:rsid w:val="008A0C83"/>
    <w:rsid w:val="008A3497"/>
    <w:rsid w:val="008B753E"/>
    <w:rsid w:val="008B7956"/>
    <w:rsid w:val="008C0A1A"/>
    <w:rsid w:val="008C3722"/>
    <w:rsid w:val="008C3B67"/>
    <w:rsid w:val="008C3F48"/>
    <w:rsid w:val="008D49B4"/>
    <w:rsid w:val="008D642B"/>
    <w:rsid w:val="008D7498"/>
    <w:rsid w:val="008F3F13"/>
    <w:rsid w:val="008F6FA4"/>
    <w:rsid w:val="00907F24"/>
    <w:rsid w:val="00932E96"/>
    <w:rsid w:val="009418E6"/>
    <w:rsid w:val="0094235F"/>
    <w:rsid w:val="0094279F"/>
    <w:rsid w:val="009458C3"/>
    <w:rsid w:val="00946B98"/>
    <w:rsid w:val="0095052A"/>
    <w:rsid w:val="0096157E"/>
    <w:rsid w:val="00965870"/>
    <w:rsid w:val="009658F0"/>
    <w:rsid w:val="00971655"/>
    <w:rsid w:val="00971C63"/>
    <w:rsid w:val="00975ADF"/>
    <w:rsid w:val="00983A1C"/>
    <w:rsid w:val="00996D08"/>
    <w:rsid w:val="009A4AE9"/>
    <w:rsid w:val="009A77FE"/>
    <w:rsid w:val="009C178D"/>
    <w:rsid w:val="009C71AD"/>
    <w:rsid w:val="009C71D5"/>
    <w:rsid w:val="009D452F"/>
    <w:rsid w:val="009D7F16"/>
    <w:rsid w:val="009E0241"/>
    <w:rsid w:val="009E609D"/>
    <w:rsid w:val="009F180B"/>
    <w:rsid w:val="009F7323"/>
    <w:rsid w:val="009F7CE4"/>
    <w:rsid w:val="00A11162"/>
    <w:rsid w:val="00A43227"/>
    <w:rsid w:val="00A44797"/>
    <w:rsid w:val="00A46CCD"/>
    <w:rsid w:val="00A5199C"/>
    <w:rsid w:val="00A5357D"/>
    <w:rsid w:val="00A65133"/>
    <w:rsid w:val="00A652C5"/>
    <w:rsid w:val="00A7119B"/>
    <w:rsid w:val="00A76C0D"/>
    <w:rsid w:val="00A85C5A"/>
    <w:rsid w:val="00A876AC"/>
    <w:rsid w:val="00A96A08"/>
    <w:rsid w:val="00AA0161"/>
    <w:rsid w:val="00AA2046"/>
    <w:rsid w:val="00AB1D08"/>
    <w:rsid w:val="00AB4345"/>
    <w:rsid w:val="00AB5BD7"/>
    <w:rsid w:val="00AC0135"/>
    <w:rsid w:val="00AC070D"/>
    <w:rsid w:val="00AC1B94"/>
    <w:rsid w:val="00AD0616"/>
    <w:rsid w:val="00AD24C6"/>
    <w:rsid w:val="00AD34FF"/>
    <w:rsid w:val="00AD4DE6"/>
    <w:rsid w:val="00AE6DBC"/>
    <w:rsid w:val="00AF1F97"/>
    <w:rsid w:val="00AF3E95"/>
    <w:rsid w:val="00AF7C67"/>
    <w:rsid w:val="00B03FC4"/>
    <w:rsid w:val="00B06463"/>
    <w:rsid w:val="00B06FB7"/>
    <w:rsid w:val="00B0734F"/>
    <w:rsid w:val="00B12681"/>
    <w:rsid w:val="00B15FE9"/>
    <w:rsid w:val="00B30984"/>
    <w:rsid w:val="00B47945"/>
    <w:rsid w:val="00B51267"/>
    <w:rsid w:val="00B51883"/>
    <w:rsid w:val="00B56588"/>
    <w:rsid w:val="00B61FD4"/>
    <w:rsid w:val="00B630FC"/>
    <w:rsid w:val="00B65F50"/>
    <w:rsid w:val="00B674DB"/>
    <w:rsid w:val="00B72E64"/>
    <w:rsid w:val="00B766AB"/>
    <w:rsid w:val="00B76E43"/>
    <w:rsid w:val="00B77FEC"/>
    <w:rsid w:val="00B82E8D"/>
    <w:rsid w:val="00B9264D"/>
    <w:rsid w:val="00B94D99"/>
    <w:rsid w:val="00BA6AE4"/>
    <w:rsid w:val="00BB27DA"/>
    <w:rsid w:val="00BB2C33"/>
    <w:rsid w:val="00BB3D45"/>
    <w:rsid w:val="00BB3FA1"/>
    <w:rsid w:val="00BB62BB"/>
    <w:rsid w:val="00BC05C5"/>
    <w:rsid w:val="00BD04BE"/>
    <w:rsid w:val="00BD7584"/>
    <w:rsid w:val="00BE0134"/>
    <w:rsid w:val="00BE6F28"/>
    <w:rsid w:val="00BF1A0D"/>
    <w:rsid w:val="00BF29FA"/>
    <w:rsid w:val="00C03DF1"/>
    <w:rsid w:val="00C04D2B"/>
    <w:rsid w:val="00C0637C"/>
    <w:rsid w:val="00C1101B"/>
    <w:rsid w:val="00C11C2E"/>
    <w:rsid w:val="00C3560A"/>
    <w:rsid w:val="00C4189F"/>
    <w:rsid w:val="00C478CD"/>
    <w:rsid w:val="00C62D4C"/>
    <w:rsid w:val="00C63B9C"/>
    <w:rsid w:val="00C7009D"/>
    <w:rsid w:val="00C7072E"/>
    <w:rsid w:val="00C737C5"/>
    <w:rsid w:val="00C73C43"/>
    <w:rsid w:val="00C94C8A"/>
    <w:rsid w:val="00CA3540"/>
    <w:rsid w:val="00CA6DED"/>
    <w:rsid w:val="00CB14A8"/>
    <w:rsid w:val="00CC4040"/>
    <w:rsid w:val="00CC49D4"/>
    <w:rsid w:val="00CE1FA1"/>
    <w:rsid w:val="00CE6F5A"/>
    <w:rsid w:val="00CE7C20"/>
    <w:rsid w:val="00CF42CF"/>
    <w:rsid w:val="00CF4D15"/>
    <w:rsid w:val="00D0117F"/>
    <w:rsid w:val="00D02E6F"/>
    <w:rsid w:val="00D102E9"/>
    <w:rsid w:val="00D12237"/>
    <w:rsid w:val="00D13455"/>
    <w:rsid w:val="00D1688F"/>
    <w:rsid w:val="00D2117F"/>
    <w:rsid w:val="00D25317"/>
    <w:rsid w:val="00D3198D"/>
    <w:rsid w:val="00D42081"/>
    <w:rsid w:val="00D46A32"/>
    <w:rsid w:val="00D46AB4"/>
    <w:rsid w:val="00D56E27"/>
    <w:rsid w:val="00D618BA"/>
    <w:rsid w:val="00D66E8B"/>
    <w:rsid w:val="00D7414D"/>
    <w:rsid w:val="00D807E4"/>
    <w:rsid w:val="00D85715"/>
    <w:rsid w:val="00D8706C"/>
    <w:rsid w:val="00D904FA"/>
    <w:rsid w:val="00DA1841"/>
    <w:rsid w:val="00DA4C62"/>
    <w:rsid w:val="00DA5684"/>
    <w:rsid w:val="00DA772F"/>
    <w:rsid w:val="00DB0B42"/>
    <w:rsid w:val="00DB6A17"/>
    <w:rsid w:val="00DC31A2"/>
    <w:rsid w:val="00DD4334"/>
    <w:rsid w:val="00DD485E"/>
    <w:rsid w:val="00DD4E84"/>
    <w:rsid w:val="00DD5520"/>
    <w:rsid w:val="00DE479C"/>
    <w:rsid w:val="00DF16C2"/>
    <w:rsid w:val="00DF49EF"/>
    <w:rsid w:val="00E00F76"/>
    <w:rsid w:val="00E109E8"/>
    <w:rsid w:val="00E21E75"/>
    <w:rsid w:val="00E27989"/>
    <w:rsid w:val="00E314A1"/>
    <w:rsid w:val="00E46FA9"/>
    <w:rsid w:val="00E4760F"/>
    <w:rsid w:val="00E50B84"/>
    <w:rsid w:val="00E519DC"/>
    <w:rsid w:val="00E54CA8"/>
    <w:rsid w:val="00E72B7D"/>
    <w:rsid w:val="00E807DA"/>
    <w:rsid w:val="00E84E3A"/>
    <w:rsid w:val="00E90642"/>
    <w:rsid w:val="00E94266"/>
    <w:rsid w:val="00E96F1D"/>
    <w:rsid w:val="00EA05AF"/>
    <w:rsid w:val="00EA2CF2"/>
    <w:rsid w:val="00EA6F80"/>
    <w:rsid w:val="00EB5B4D"/>
    <w:rsid w:val="00EB5CDF"/>
    <w:rsid w:val="00EB6572"/>
    <w:rsid w:val="00EB775A"/>
    <w:rsid w:val="00EC43B9"/>
    <w:rsid w:val="00ED09CD"/>
    <w:rsid w:val="00ED4D69"/>
    <w:rsid w:val="00EE362F"/>
    <w:rsid w:val="00EF0E19"/>
    <w:rsid w:val="00EF2DFE"/>
    <w:rsid w:val="00EF449E"/>
    <w:rsid w:val="00EF5124"/>
    <w:rsid w:val="00F0258A"/>
    <w:rsid w:val="00F02C7F"/>
    <w:rsid w:val="00F038E8"/>
    <w:rsid w:val="00F114AE"/>
    <w:rsid w:val="00F172F0"/>
    <w:rsid w:val="00F338D5"/>
    <w:rsid w:val="00F3561D"/>
    <w:rsid w:val="00F420F8"/>
    <w:rsid w:val="00F43CA0"/>
    <w:rsid w:val="00F55030"/>
    <w:rsid w:val="00F55A0E"/>
    <w:rsid w:val="00F7696F"/>
    <w:rsid w:val="00F76A7C"/>
    <w:rsid w:val="00F8209B"/>
    <w:rsid w:val="00F85004"/>
    <w:rsid w:val="00F8527B"/>
    <w:rsid w:val="00F97CD9"/>
    <w:rsid w:val="00FA0576"/>
    <w:rsid w:val="00FB22A7"/>
    <w:rsid w:val="00FB27D9"/>
    <w:rsid w:val="00FB3652"/>
    <w:rsid w:val="00FB50B4"/>
    <w:rsid w:val="00FB5ADB"/>
    <w:rsid w:val="00FC72E6"/>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 w:type="character" w:styleId="PlaceholderText">
    <w:name w:val="Placeholder Text"/>
    <w:basedOn w:val="DefaultParagraphFont"/>
    <w:uiPriority w:val="99"/>
    <w:unhideWhenUsed/>
    <w:rsid w:val="00DF49E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8774">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energymadeeasy.gov.au/" TargetMode="External"/><Relationship Id="rId2" Type="http://schemas.openxmlformats.org/officeDocument/2006/relationships/styles" Target="styles.xml"/><Relationship Id="rId16" Type="http://schemas.openxmlformats.org/officeDocument/2006/relationships/hyperlink" Target="https://www.energymadeeasy.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AERInquiry@aer.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image" Target="media/image5.emf"/></Relationships>
</file>

<file path=word/_rels/footnotes.xml.rels><?xml version="1.0" encoding="UTF-8" standalone="yes"?>
<Relationships xmlns="http://schemas.openxmlformats.org/package/2006/relationships"><Relationship Id="rId2" Type="http://schemas.openxmlformats.org/officeDocument/2006/relationships/hyperlink" Target="file:///\\SCBRFS001\home$\CHXUE\www.aer.gov.au" TargetMode="External"/><Relationship Id="rId1" Type="http://schemas.openxmlformats.org/officeDocument/2006/relationships/hyperlink" Target="http://www.ae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94077926.dotm</Template>
  <TotalTime>0</TotalTime>
  <Pages>23</Pages>
  <Words>6455</Words>
  <Characters>36796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43165</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2014-11-26T03:51:00Z</dcterms:created>
  <dcterms:modified xsi:type="dcterms:W3CDTF">2014-11-26T03:53:00Z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8291993</vt:lpwstr>
  </property>
</Properties>
</file>