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861" w:rsidRDefault="00967861" w:rsidP="00967861">
      <w:pPr>
        <w:pStyle w:val="AERtitle1"/>
      </w:pPr>
      <w:bookmarkStart w:id="0" w:name="_Toc396839231"/>
      <w:r w:rsidRPr="00967861">
        <w:rPr>
          <w:noProof/>
        </w:rPr>
        <w:drawing>
          <wp:anchor distT="0" distB="0" distL="114300" distR="114300" simplePos="0" relativeHeight="251659264" behindDoc="1" locked="0" layoutInCell="1" allowOverlap="1" wp14:anchorId="2361905A" wp14:editId="70EB8484">
            <wp:simplePos x="0" y="0"/>
            <wp:positionH relativeFrom="column">
              <wp:posOffset>-919480</wp:posOffset>
            </wp:positionH>
            <wp:positionV relativeFrom="paragraph">
              <wp:posOffset>-915670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967861" w:rsidRDefault="00967861" w:rsidP="00967861">
      <w:pPr>
        <w:pStyle w:val="AERtitle1"/>
      </w:pPr>
    </w:p>
    <w:p w:rsidR="00967861" w:rsidRDefault="00967861" w:rsidP="00967861">
      <w:pPr>
        <w:pStyle w:val="AERtitle1"/>
      </w:pPr>
    </w:p>
    <w:p w:rsidR="00967861" w:rsidRDefault="00967861" w:rsidP="00967861">
      <w:pPr>
        <w:pStyle w:val="AERtitle1"/>
      </w:pPr>
    </w:p>
    <w:p w:rsidR="00967861" w:rsidRDefault="00967861" w:rsidP="00967861">
      <w:pPr>
        <w:pStyle w:val="AERtitle1"/>
      </w:pPr>
    </w:p>
    <w:p w:rsidR="00967861" w:rsidRDefault="00967861" w:rsidP="00967861">
      <w:pPr>
        <w:pStyle w:val="AERtitle1"/>
      </w:pPr>
    </w:p>
    <w:p w:rsidR="00967861" w:rsidRPr="00967861" w:rsidRDefault="00967861" w:rsidP="00967861">
      <w:pPr>
        <w:pStyle w:val="AERtitle1"/>
      </w:pPr>
      <w:r w:rsidRPr="00967861">
        <w:t xml:space="preserve">Draft decision </w:t>
      </w:r>
    </w:p>
    <w:p w:rsidR="00967861" w:rsidRPr="00967861" w:rsidRDefault="00967861" w:rsidP="00967861">
      <w:pPr>
        <w:pStyle w:val="AERtitle1"/>
      </w:pPr>
      <w:r w:rsidRPr="00967861">
        <w:t>TransGrid transmission determination</w:t>
      </w:r>
    </w:p>
    <w:p w:rsidR="00967861" w:rsidRPr="00967861" w:rsidRDefault="00967861" w:rsidP="00967861">
      <w:pPr>
        <w:pStyle w:val="AERtitle1"/>
      </w:pPr>
      <w:r w:rsidRPr="00967861">
        <w:t>2015–16 to 2017–18</w:t>
      </w:r>
    </w:p>
    <w:p w:rsidR="00967861" w:rsidRPr="00967861" w:rsidRDefault="00967861" w:rsidP="00967861">
      <w:pPr>
        <w:pStyle w:val="AERtitle1"/>
      </w:pPr>
      <w:r w:rsidRPr="00967861">
        <w:t xml:space="preserve">Attachment </w:t>
      </w:r>
      <w:r>
        <w:t>11</w:t>
      </w:r>
      <w:r w:rsidRPr="00967861">
        <w:t xml:space="preserve">: </w:t>
      </w:r>
      <w:r>
        <w:t>Service target performance incentive scheme</w:t>
      </w:r>
    </w:p>
    <w:p w:rsidR="00967861" w:rsidRPr="00967861" w:rsidRDefault="00967861" w:rsidP="00967861">
      <w:pPr>
        <w:pStyle w:val="AERtitle1"/>
      </w:pPr>
    </w:p>
    <w:p w:rsidR="00967861" w:rsidRPr="00967861" w:rsidRDefault="00967861" w:rsidP="00967861"/>
    <w:p w:rsidR="00967861" w:rsidRPr="00967861" w:rsidRDefault="00967861" w:rsidP="00967861"/>
    <w:p w:rsidR="00967861" w:rsidRDefault="00967861" w:rsidP="00967861">
      <w:pPr>
        <w:pStyle w:val="AERtitle2"/>
      </w:pPr>
      <w:r w:rsidRPr="00967861">
        <w:t>November 2014</w:t>
      </w:r>
    </w:p>
    <w:p w:rsidR="00967861" w:rsidRDefault="00967861">
      <w:pPr>
        <w:spacing w:after="0" w:line="240" w:lineRule="auto"/>
        <w:jc w:val="left"/>
        <w:rPr>
          <w:rFonts w:eastAsia="Times New Roman"/>
          <w:sz w:val="32"/>
          <w:szCs w:val="24"/>
        </w:rPr>
      </w:pPr>
      <w:r>
        <w:br w:type="page"/>
      </w:r>
    </w:p>
    <w:p w:rsidR="00967861" w:rsidRPr="00967861" w:rsidRDefault="00967861" w:rsidP="00967861">
      <w:pPr>
        <w:pStyle w:val="AERbodytextnospace"/>
        <w:rPr>
          <w:rStyle w:val="AERtextbold"/>
        </w:rPr>
      </w:pPr>
      <w:r w:rsidRPr="00967861">
        <w:rPr>
          <w:rStyle w:val="AERtextbold"/>
        </w:rPr>
        <w:lastRenderedPageBreak/>
        <w:t>© Commonwealth of Australia 2014</w:t>
      </w:r>
    </w:p>
    <w:p w:rsidR="00967861" w:rsidRPr="00967861" w:rsidRDefault="00967861" w:rsidP="00967861">
      <w:r w:rsidRPr="00967861">
        <w:t>This work is copyright. In addition to any use permitted under the Copyright Act 1968, all material contained within this work is provided under a Creative Commons Attribution 3.0 Australia licence, with the exception of:</w:t>
      </w:r>
    </w:p>
    <w:p w:rsidR="00967861" w:rsidRPr="00967861" w:rsidRDefault="00967861" w:rsidP="00967861">
      <w:pPr>
        <w:pStyle w:val="AERbulletlistfirststyle"/>
      </w:pPr>
      <w:r w:rsidRPr="00967861">
        <w:t>the Commonwealth Coat of Arms</w:t>
      </w:r>
    </w:p>
    <w:p w:rsidR="00967861" w:rsidRPr="00967861" w:rsidRDefault="00967861" w:rsidP="00967861">
      <w:pPr>
        <w:pStyle w:val="AERbulletlistfirststyle"/>
      </w:pPr>
      <w:r w:rsidRPr="00967861">
        <w:t>the ACCC and AER logos</w:t>
      </w:r>
    </w:p>
    <w:p w:rsidR="00967861" w:rsidRPr="00967861" w:rsidRDefault="00967861" w:rsidP="00967861">
      <w:r w:rsidRPr="00967861">
        <w:t>any illustration, diagram, photograph or graphic over which the Australian Competition and Consumer Commission does not hold copyright, but which may be part of or contained within this publication.</w:t>
      </w:r>
    </w:p>
    <w:p w:rsidR="00967861" w:rsidRPr="00967861" w:rsidRDefault="00967861" w:rsidP="00967861">
      <w:r w:rsidRPr="00967861">
        <w:t>The details of the relevant licence conditions are available on the Creative Commons website, as is the full legal code for the CC BY 3.0 AU licence.</w:t>
      </w:r>
    </w:p>
    <w:p w:rsidR="00967861" w:rsidRPr="00967861" w:rsidRDefault="00967861" w:rsidP="00967861">
      <w:pPr>
        <w:numPr>
          <w:ilvl w:val="0"/>
          <w:numId w:val="6"/>
        </w:numPr>
      </w:pPr>
      <w:r w:rsidRPr="00967861">
        <w:t>Requests and inquiries concerning reproduction and rights should be addressed to the Director, Corporate Communications, ACCC, GPO Box 3131, Canberra ACT 2601, or</w:t>
      </w:r>
    </w:p>
    <w:p w:rsidR="00967861" w:rsidRPr="00967861" w:rsidRDefault="00967861" w:rsidP="00967861">
      <w:pPr>
        <w:numPr>
          <w:ilvl w:val="0"/>
          <w:numId w:val="6"/>
        </w:numPr>
      </w:pPr>
      <w:r w:rsidRPr="00967861">
        <w:t xml:space="preserve"> </w:t>
      </w:r>
      <w:hyperlink r:id="rId9" w:history="1">
        <w:r w:rsidRPr="00967861">
          <w:t>publishing.unit@accc.gov.au</w:t>
        </w:r>
      </w:hyperlink>
      <w:r w:rsidRPr="00967861">
        <w:t xml:space="preserve"> .</w:t>
      </w:r>
    </w:p>
    <w:p w:rsidR="00967861" w:rsidRPr="00967861" w:rsidRDefault="00967861" w:rsidP="00967861">
      <w:r w:rsidRPr="00967861">
        <w:t>Inquiries about this document should be addressed to:</w:t>
      </w:r>
    </w:p>
    <w:p w:rsidR="00967861" w:rsidRPr="00967861" w:rsidRDefault="00967861" w:rsidP="00967861">
      <w:pPr>
        <w:pStyle w:val="AERbodytextnospace"/>
      </w:pPr>
      <w:r w:rsidRPr="00967861">
        <w:t>Australian Energy Regulator</w:t>
      </w:r>
    </w:p>
    <w:p w:rsidR="00967861" w:rsidRPr="00967861" w:rsidRDefault="00967861" w:rsidP="00967861">
      <w:pPr>
        <w:pStyle w:val="AERbodytextnospace"/>
      </w:pPr>
      <w:r w:rsidRPr="00967861">
        <w:t>GPO Box 520</w:t>
      </w:r>
    </w:p>
    <w:p w:rsidR="00967861" w:rsidRPr="00967861" w:rsidRDefault="00967861" w:rsidP="00967861">
      <w:pPr>
        <w:pStyle w:val="AERbodytextnospace"/>
      </w:pPr>
      <w:r w:rsidRPr="00967861">
        <w:t>Melbourne  Vic  3001</w:t>
      </w:r>
    </w:p>
    <w:p w:rsidR="00967861" w:rsidRPr="00967861" w:rsidRDefault="00967861" w:rsidP="00967861">
      <w:pPr>
        <w:pStyle w:val="AERbodytextnospace"/>
      </w:pPr>
      <w:r w:rsidRPr="00967861">
        <w:t>Tel: (03) 9290 1444</w:t>
      </w:r>
    </w:p>
    <w:p w:rsidR="00967861" w:rsidRPr="00967861" w:rsidRDefault="00967861" w:rsidP="00967861">
      <w:pPr>
        <w:pStyle w:val="AERbodytextnospace"/>
      </w:pPr>
      <w:r w:rsidRPr="00967861">
        <w:t>Fax: (03) 9290 1457</w:t>
      </w:r>
    </w:p>
    <w:p w:rsidR="00967861" w:rsidRPr="00967861" w:rsidRDefault="00967861" w:rsidP="00967861">
      <w:pPr>
        <w:pStyle w:val="AERbodytextnospace"/>
      </w:pPr>
      <w:r w:rsidRPr="00967861">
        <w:t xml:space="preserve">Email: </w:t>
      </w:r>
      <w:hyperlink r:id="rId10" w:history="1">
        <w:r w:rsidRPr="00967861">
          <w:rPr>
            <w:rStyle w:val="Hyperlink"/>
          </w:rPr>
          <w:t>AERInquiry@aer.gov.au</w:t>
        </w:r>
      </w:hyperlink>
    </w:p>
    <w:p w:rsidR="00967861" w:rsidRPr="00967861" w:rsidRDefault="00967861" w:rsidP="00967861"/>
    <w:p w:rsidR="00967861" w:rsidRPr="00967861" w:rsidRDefault="00967861" w:rsidP="00967861">
      <w:pPr>
        <w:pStyle w:val="AERbodytext"/>
      </w:pPr>
      <w:r w:rsidRPr="00967861">
        <w:t>AER reference</w:t>
      </w:r>
      <w:r w:rsidRPr="00967861">
        <w:rPr>
          <w:rStyle w:val="AERbody"/>
        </w:rPr>
        <w:t xml:space="preserve">:   53444   </w:t>
      </w:r>
    </w:p>
    <w:p w:rsidR="00967861" w:rsidRPr="00967861" w:rsidRDefault="00967861" w:rsidP="00967861">
      <w:pPr>
        <w:pStyle w:val="AERbodytext"/>
      </w:pPr>
    </w:p>
    <w:p w:rsidR="00967861" w:rsidRPr="00967861" w:rsidRDefault="00967861" w:rsidP="00967861">
      <w:pPr>
        <w:pStyle w:val="AERbodytext"/>
      </w:pPr>
    </w:p>
    <w:p w:rsidR="00967861" w:rsidRPr="00967861" w:rsidRDefault="00967861" w:rsidP="00967861">
      <w:pPr>
        <w:pStyle w:val="UnnumberedHeading"/>
      </w:pPr>
      <w:bookmarkStart w:id="1" w:name="_Toc404153950"/>
      <w:bookmarkStart w:id="2" w:name="_Toc404159202"/>
      <w:r w:rsidRPr="00967861">
        <w:lastRenderedPageBreak/>
        <w:t>Note</w:t>
      </w:r>
      <w:bookmarkEnd w:id="1"/>
      <w:bookmarkEnd w:id="2"/>
    </w:p>
    <w:p w:rsidR="00967861" w:rsidRPr="00967861" w:rsidRDefault="00967861" w:rsidP="00967861">
      <w:pPr>
        <w:pStyle w:val="AERbodytext"/>
      </w:pPr>
      <w:r w:rsidRPr="00967861">
        <w:t>This attachment forms part of the AER's draft decision on TransGrid’s revenue proposal 2015–18. It should be read with other parts of the draft decision.</w:t>
      </w:r>
    </w:p>
    <w:p w:rsidR="00967861" w:rsidRPr="00967861" w:rsidRDefault="00967861" w:rsidP="00967861">
      <w:pPr>
        <w:pStyle w:val="AERbodytext"/>
      </w:pPr>
      <w:r w:rsidRPr="00967861">
        <w:t>The draft decision includes the following documents:</w:t>
      </w:r>
    </w:p>
    <w:p w:rsidR="00967861" w:rsidRPr="00967861" w:rsidRDefault="00967861" w:rsidP="00967861">
      <w:pPr>
        <w:pStyle w:val="AERbodytext"/>
      </w:pPr>
      <w:r w:rsidRPr="00967861">
        <w:t>Overview</w:t>
      </w:r>
    </w:p>
    <w:p w:rsidR="00967861" w:rsidRPr="00967861" w:rsidRDefault="00967861" w:rsidP="00967861">
      <w:pPr>
        <w:pStyle w:val="AERbodytext"/>
      </w:pPr>
      <w:r w:rsidRPr="00967861">
        <w:t>Attachment 1 – maximum allowed revenue</w:t>
      </w:r>
    </w:p>
    <w:p w:rsidR="00967861" w:rsidRPr="00967861" w:rsidRDefault="00967861" w:rsidP="00967861">
      <w:pPr>
        <w:pStyle w:val="AERbodytext"/>
      </w:pPr>
      <w:r w:rsidRPr="00967861">
        <w:t>Attachment 2 – regulatory asset base</w:t>
      </w:r>
    </w:p>
    <w:p w:rsidR="00967861" w:rsidRPr="00967861" w:rsidRDefault="00967861" w:rsidP="00967861">
      <w:pPr>
        <w:pStyle w:val="AERbodytext"/>
      </w:pPr>
      <w:r w:rsidRPr="00967861">
        <w:t>Attachment 3 – rate of return</w:t>
      </w:r>
    </w:p>
    <w:p w:rsidR="00967861" w:rsidRPr="00967861" w:rsidRDefault="00967861" w:rsidP="00967861">
      <w:pPr>
        <w:pStyle w:val="AERbodytext"/>
      </w:pPr>
      <w:r w:rsidRPr="00967861">
        <w:t>Attachment 4 – value of imputation credits</w:t>
      </w:r>
    </w:p>
    <w:p w:rsidR="00967861" w:rsidRPr="00967861" w:rsidRDefault="00967861" w:rsidP="00967861">
      <w:pPr>
        <w:pStyle w:val="AERbodytext"/>
      </w:pPr>
      <w:r w:rsidRPr="00967861">
        <w:t>Attachment 5 – regulatory depreciation</w:t>
      </w:r>
    </w:p>
    <w:p w:rsidR="00967861" w:rsidRPr="00967861" w:rsidRDefault="00967861" w:rsidP="00967861">
      <w:pPr>
        <w:pStyle w:val="AERbodytext"/>
      </w:pPr>
      <w:r w:rsidRPr="00967861">
        <w:t xml:space="preserve">Attachment 6 – capital expenditure </w:t>
      </w:r>
    </w:p>
    <w:p w:rsidR="00967861" w:rsidRPr="00967861" w:rsidRDefault="00967861" w:rsidP="00967861">
      <w:pPr>
        <w:pStyle w:val="AERbodytext"/>
      </w:pPr>
      <w:r w:rsidRPr="00967861">
        <w:t>Attachment 7 – operating expenditure</w:t>
      </w:r>
    </w:p>
    <w:p w:rsidR="00967861" w:rsidRPr="00967861" w:rsidRDefault="00967861" w:rsidP="00967861">
      <w:pPr>
        <w:pStyle w:val="AERbodytext"/>
      </w:pPr>
      <w:r w:rsidRPr="00967861">
        <w:t>Attachment 8 – corporate income tax</w:t>
      </w:r>
    </w:p>
    <w:p w:rsidR="00967861" w:rsidRPr="00967861" w:rsidRDefault="00967861" w:rsidP="00967861">
      <w:pPr>
        <w:pStyle w:val="AERbodytext"/>
      </w:pPr>
      <w:r w:rsidRPr="00967861">
        <w:t>Attachment 9 – efficiency benefit sharing scheme</w:t>
      </w:r>
    </w:p>
    <w:p w:rsidR="00967861" w:rsidRPr="00967861" w:rsidRDefault="00967861" w:rsidP="00967861">
      <w:pPr>
        <w:pStyle w:val="AERbodytext"/>
      </w:pPr>
      <w:r w:rsidRPr="00967861">
        <w:t>Attachment 10 – capital expenditure sharing scheme</w:t>
      </w:r>
    </w:p>
    <w:p w:rsidR="00967861" w:rsidRPr="00967861" w:rsidRDefault="00967861" w:rsidP="00967861">
      <w:pPr>
        <w:pStyle w:val="AERbodytext"/>
      </w:pPr>
      <w:r w:rsidRPr="00967861">
        <w:t>Attachment 11 – service target performance incentive scheme</w:t>
      </w:r>
    </w:p>
    <w:p w:rsidR="00967861" w:rsidRPr="00967861" w:rsidRDefault="00967861" w:rsidP="00967861">
      <w:pPr>
        <w:pStyle w:val="AERbodytext"/>
      </w:pPr>
      <w:r w:rsidRPr="00967861">
        <w:t>Attachment 12 – pricing methodology</w:t>
      </w:r>
    </w:p>
    <w:p w:rsidR="00967861" w:rsidRPr="00967861" w:rsidRDefault="00967861" w:rsidP="00967861">
      <w:pPr>
        <w:pStyle w:val="AERbodytext"/>
      </w:pPr>
      <w:r w:rsidRPr="00967861">
        <w:t>Attachment 13 – pass through events</w:t>
      </w:r>
    </w:p>
    <w:p w:rsidR="00967861" w:rsidRPr="00967861" w:rsidRDefault="00967861" w:rsidP="00967861">
      <w:pPr>
        <w:pStyle w:val="AERbodytext"/>
      </w:pPr>
      <w:r w:rsidRPr="00967861">
        <w:t>Attachment 14 – negotiated services</w:t>
      </w:r>
    </w:p>
    <w:p w:rsidR="00967861" w:rsidRDefault="00967861" w:rsidP="00967861">
      <w:pPr>
        <w:pStyle w:val="UnnumberedHeading"/>
      </w:pPr>
      <w:bookmarkStart w:id="3" w:name="_Toc404153951"/>
      <w:bookmarkStart w:id="4" w:name="_Toc404159203"/>
      <w:r w:rsidRPr="00967861">
        <w:lastRenderedPageBreak/>
        <w:t>Contents</w:t>
      </w:r>
      <w:bookmarkEnd w:id="3"/>
      <w:bookmarkEnd w:id="4"/>
    </w:p>
    <w:sdt>
      <w:sdtPr>
        <w:rPr>
          <w:rFonts w:eastAsia="Times New Roman"/>
          <w:b w:val="0"/>
          <w:bCs w:val="0"/>
          <w:szCs w:val="24"/>
          <w:lang w:val="en-US" w:eastAsia="ja-JP"/>
        </w:rPr>
        <w:id w:val="1049726394"/>
        <w:docPartObj>
          <w:docPartGallery w:val="Table of Contents"/>
          <w:docPartUnique/>
        </w:docPartObj>
      </w:sdtPr>
      <w:sdtEndPr>
        <w:rPr>
          <w:lang w:val="en-AU" w:eastAsia="en-US"/>
        </w:rPr>
      </w:sdtEndPr>
      <w:sdtContent>
        <w:p w:rsidR="00662027" w:rsidRDefault="00E408E2">
          <w:pPr>
            <w:pStyle w:val="TOC1"/>
            <w:rPr>
              <w:rFonts w:asciiTheme="minorHAnsi" w:eastAsiaTheme="minorEastAsia" w:hAnsiTheme="minorHAnsi" w:cstheme="minorBidi"/>
              <w:b w:val="0"/>
              <w:bCs w:val="0"/>
              <w:noProof/>
              <w:sz w:val="22"/>
              <w:szCs w:val="22"/>
              <w:lang w:eastAsia="en-AU"/>
            </w:rPr>
          </w:pPr>
          <w:r>
            <w:rPr>
              <w:lang w:val="en-US" w:eastAsia="ja-JP"/>
            </w:rPr>
            <w:fldChar w:fldCharType="begin"/>
          </w:r>
          <w:r w:rsidRPr="00E408E2">
            <w:instrText xml:space="preserve"> TOC \o \h \z \u </w:instrText>
          </w:r>
          <w:r>
            <w:rPr>
              <w:lang w:val="en-US" w:eastAsia="ja-JP"/>
            </w:rPr>
            <w:fldChar w:fldCharType="separate"/>
          </w:r>
          <w:hyperlink w:anchor="_Toc404159202" w:history="1">
            <w:r w:rsidR="00662027" w:rsidRPr="00133399">
              <w:rPr>
                <w:rStyle w:val="Hyperlink"/>
                <w:noProof/>
              </w:rPr>
              <w:t>Note</w:t>
            </w:r>
            <w:r w:rsidR="00662027">
              <w:rPr>
                <w:noProof/>
                <w:webHidden/>
              </w:rPr>
              <w:tab/>
              <w:t>11-</w:t>
            </w:r>
            <w:r w:rsidR="00662027">
              <w:rPr>
                <w:noProof/>
                <w:webHidden/>
              </w:rPr>
              <w:fldChar w:fldCharType="begin"/>
            </w:r>
            <w:r w:rsidR="00662027">
              <w:rPr>
                <w:noProof/>
                <w:webHidden/>
              </w:rPr>
              <w:instrText xml:space="preserve"> PAGEREF _Toc404159202 \h </w:instrText>
            </w:r>
            <w:r w:rsidR="00662027">
              <w:rPr>
                <w:noProof/>
                <w:webHidden/>
              </w:rPr>
            </w:r>
            <w:r w:rsidR="00662027">
              <w:rPr>
                <w:noProof/>
                <w:webHidden/>
              </w:rPr>
              <w:fldChar w:fldCharType="separate"/>
            </w:r>
            <w:r w:rsidR="00662027">
              <w:rPr>
                <w:noProof/>
                <w:webHidden/>
              </w:rPr>
              <w:t>3</w:t>
            </w:r>
            <w:r w:rsidR="00662027">
              <w:rPr>
                <w:noProof/>
                <w:webHidden/>
              </w:rPr>
              <w:fldChar w:fldCharType="end"/>
            </w:r>
          </w:hyperlink>
        </w:p>
        <w:p w:rsidR="00662027" w:rsidRDefault="004D654A">
          <w:pPr>
            <w:pStyle w:val="TOC1"/>
            <w:rPr>
              <w:rFonts w:asciiTheme="minorHAnsi" w:eastAsiaTheme="minorEastAsia" w:hAnsiTheme="minorHAnsi" w:cstheme="minorBidi"/>
              <w:b w:val="0"/>
              <w:bCs w:val="0"/>
              <w:noProof/>
              <w:sz w:val="22"/>
              <w:szCs w:val="22"/>
              <w:lang w:eastAsia="en-AU"/>
            </w:rPr>
          </w:pPr>
          <w:hyperlink w:anchor="_Toc404159203" w:history="1">
            <w:r w:rsidR="00662027" w:rsidRPr="00133399">
              <w:rPr>
                <w:rStyle w:val="Hyperlink"/>
                <w:noProof/>
              </w:rPr>
              <w:t>Contents</w:t>
            </w:r>
            <w:r w:rsidR="00662027">
              <w:rPr>
                <w:noProof/>
                <w:webHidden/>
              </w:rPr>
              <w:tab/>
              <w:t>11-</w:t>
            </w:r>
            <w:r w:rsidR="00662027">
              <w:rPr>
                <w:noProof/>
                <w:webHidden/>
              </w:rPr>
              <w:fldChar w:fldCharType="begin"/>
            </w:r>
            <w:r w:rsidR="00662027">
              <w:rPr>
                <w:noProof/>
                <w:webHidden/>
              </w:rPr>
              <w:instrText xml:space="preserve"> PAGEREF _Toc404159203 \h </w:instrText>
            </w:r>
            <w:r w:rsidR="00662027">
              <w:rPr>
                <w:noProof/>
                <w:webHidden/>
              </w:rPr>
            </w:r>
            <w:r w:rsidR="00662027">
              <w:rPr>
                <w:noProof/>
                <w:webHidden/>
              </w:rPr>
              <w:fldChar w:fldCharType="separate"/>
            </w:r>
            <w:r w:rsidR="00662027">
              <w:rPr>
                <w:noProof/>
                <w:webHidden/>
              </w:rPr>
              <w:t>4</w:t>
            </w:r>
            <w:r w:rsidR="00662027">
              <w:rPr>
                <w:noProof/>
                <w:webHidden/>
              </w:rPr>
              <w:fldChar w:fldCharType="end"/>
            </w:r>
          </w:hyperlink>
        </w:p>
        <w:p w:rsidR="00662027" w:rsidRDefault="004D654A">
          <w:pPr>
            <w:pStyle w:val="TOC1"/>
            <w:rPr>
              <w:rFonts w:asciiTheme="minorHAnsi" w:eastAsiaTheme="minorEastAsia" w:hAnsiTheme="minorHAnsi" w:cstheme="minorBidi"/>
              <w:b w:val="0"/>
              <w:bCs w:val="0"/>
              <w:noProof/>
              <w:sz w:val="22"/>
              <w:szCs w:val="22"/>
              <w:lang w:eastAsia="en-AU"/>
            </w:rPr>
          </w:pPr>
          <w:hyperlink w:anchor="_Toc404159204" w:history="1">
            <w:r w:rsidR="00662027" w:rsidRPr="00133399">
              <w:rPr>
                <w:rStyle w:val="Hyperlink"/>
                <w:noProof/>
              </w:rPr>
              <w:t>Shortened forms</w:t>
            </w:r>
            <w:r w:rsidR="00662027">
              <w:rPr>
                <w:noProof/>
                <w:webHidden/>
              </w:rPr>
              <w:tab/>
              <w:t>11-</w:t>
            </w:r>
            <w:r w:rsidR="00662027">
              <w:rPr>
                <w:noProof/>
                <w:webHidden/>
              </w:rPr>
              <w:fldChar w:fldCharType="begin"/>
            </w:r>
            <w:r w:rsidR="00662027">
              <w:rPr>
                <w:noProof/>
                <w:webHidden/>
              </w:rPr>
              <w:instrText xml:space="preserve"> PAGEREF _Toc404159204 \h </w:instrText>
            </w:r>
            <w:r w:rsidR="00662027">
              <w:rPr>
                <w:noProof/>
                <w:webHidden/>
              </w:rPr>
            </w:r>
            <w:r w:rsidR="00662027">
              <w:rPr>
                <w:noProof/>
                <w:webHidden/>
              </w:rPr>
              <w:fldChar w:fldCharType="separate"/>
            </w:r>
            <w:r w:rsidR="00662027">
              <w:rPr>
                <w:noProof/>
                <w:webHidden/>
              </w:rPr>
              <w:t>5</w:t>
            </w:r>
            <w:r w:rsidR="00662027">
              <w:rPr>
                <w:noProof/>
                <w:webHidden/>
              </w:rPr>
              <w:fldChar w:fldCharType="end"/>
            </w:r>
          </w:hyperlink>
        </w:p>
        <w:p w:rsidR="00662027" w:rsidRDefault="004D654A">
          <w:pPr>
            <w:pStyle w:val="TOC1"/>
            <w:tabs>
              <w:tab w:val="left" w:pos="600"/>
            </w:tabs>
            <w:rPr>
              <w:rFonts w:asciiTheme="minorHAnsi" w:eastAsiaTheme="minorEastAsia" w:hAnsiTheme="minorHAnsi" w:cstheme="minorBidi"/>
              <w:b w:val="0"/>
              <w:bCs w:val="0"/>
              <w:noProof/>
              <w:sz w:val="22"/>
              <w:szCs w:val="22"/>
              <w:lang w:eastAsia="en-AU"/>
            </w:rPr>
          </w:pPr>
          <w:hyperlink w:anchor="_Toc404159205" w:history="1">
            <w:r w:rsidR="00662027" w:rsidRPr="00133399">
              <w:rPr>
                <w:rStyle w:val="Hyperlink"/>
                <w:noProof/>
              </w:rPr>
              <w:t>11</w:t>
            </w:r>
            <w:r w:rsidR="00662027">
              <w:rPr>
                <w:rFonts w:asciiTheme="minorHAnsi" w:eastAsiaTheme="minorEastAsia" w:hAnsiTheme="minorHAnsi" w:cstheme="minorBidi"/>
                <w:b w:val="0"/>
                <w:bCs w:val="0"/>
                <w:noProof/>
                <w:sz w:val="22"/>
                <w:szCs w:val="22"/>
                <w:lang w:eastAsia="en-AU"/>
              </w:rPr>
              <w:tab/>
            </w:r>
            <w:r w:rsidR="00662027" w:rsidRPr="00133399">
              <w:rPr>
                <w:rStyle w:val="Hyperlink"/>
                <w:noProof/>
              </w:rPr>
              <w:t>Service target performance incentive scheme</w:t>
            </w:r>
            <w:r w:rsidR="00662027">
              <w:rPr>
                <w:noProof/>
                <w:webHidden/>
              </w:rPr>
              <w:tab/>
              <w:t>11-</w:t>
            </w:r>
            <w:r w:rsidR="00662027">
              <w:rPr>
                <w:noProof/>
                <w:webHidden/>
              </w:rPr>
              <w:fldChar w:fldCharType="begin"/>
            </w:r>
            <w:r w:rsidR="00662027">
              <w:rPr>
                <w:noProof/>
                <w:webHidden/>
              </w:rPr>
              <w:instrText xml:space="preserve"> PAGEREF _Toc404159205 \h </w:instrText>
            </w:r>
            <w:r w:rsidR="00662027">
              <w:rPr>
                <w:noProof/>
                <w:webHidden/>
              </w:rPr>
            </w:r>
            <w:r w:rsidR="00662027">
              <w:rPr>
                <w:noProof/>
                <w:webHidden/>
              </w:rPr>
              <w:fldChar w:fldCharType="separate"/>
            </w:r>
            <w:r w:rsidR="00662027">
              <w:rPr>
                <w:noProof/>
                <w:webHidden/>
              </w:rPr>
              <w:t>7</w:t>
            </w:r>
            <w:r w:rsidR="00662027">
              <w:rPr>
                <w:noProof/>
                <w:webHidden/>
              </w:rPr>
              <w:fldChar w:fldCharType="end"/>
            </w:r>
          </w:hyperlink>
        </w:p>
        <w:p w:rsidR="00662027" w:rsidRDefault="004D654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59206" w:history="1">
            <w:r w:rsidR="00662027" w:rsidRPr="00133399">
              <w:rPr>
                <w:rStyle w:val="Hyperlink"/>
                <w:noProof/>
              </w:rPr>
              <w:t>11.1</w:t>
            </w:r>
            <w:r w:rsidR="00662027">
              <w:rPr>
                <w:rFonts w:asciiTheme="minorHAnsi" w:eastAsiaTheme="minorEastAsia" w:hAnsiTheme="minorHAnsi" w:cstheme="minorBidi"/>
                <w:iCs w:val="0"/>
                <w:noProof/>
                <w:sz w:val="22"/>
                <w:szCs w:val="22"/>
                <w:lang w:eastAsia="en-AU"/>
              </w:rPr>
              <w:tab/>
            </w:r>
            <w:r w:rsidR="00662027" w:rsidRPr="00133399">
              <w:rPr>
                <w:rStyle w:val="Hyperlink"/>
                <w:noProof/>
              </w:rPr>
              <w:t>Draft decision</w:t>
            </w:r>
            <w:r w:rsidR="00662027">
              <w:rPr>
                <w:noProof/>
                <w:webHidden/>
              </w:rPr>
              <w:tab/>
              <w:t>11-</w:t>
            </w:r>
            <w:r w:rsidR="00662027">
              <w:rPr>
                <w:noProof/>
                <w:webHidden/>
              </w:rPr>
              <w:fldChar w:fldCharType="begin"/>
            </w:r>
            <w:r w:rsidR="00662027">
              <w:rPr>
                <w:noProof/>
                <w:webHidden/>
              </w:rPr>
              <w:instrText xml:space="preserve"> PAGEREF _Toc404159206 \h </w:instrText>
            </w:r>
            <w:r w:rsidR="00662027">
              <w:rPr>
                <w:noProof/>
                <w:webHidden/>
              </w:rPr>
            </w:r>
            <w:r w:rsidR="00662027">
              <w:rPr>
                <w:noProof/>
                <w:webHidden/>
              </w:rPr>
              <w:fldChar w:fldCharType="separate"/>
            </w:r>
            <w:r w:rsidR="00662027">
              <w:rPr>
                <w:noProof/>
                <w:webHidden/>
              </w:rPr>
              <w:t>8</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07" w:history="1">
            <w:r w:rsidR="00662027" w:rsidRPr="00133399">
              <w:rPr>
                <w:rStyle w:val="Hyperlink"/>
                <w:noProof/>
              </w:rPr>
              <w:t>11.1.1</w:t>
            </w:r>
            <w:r w:rsidR="00662027">
              <w:rPr>
                <w:rFonts w:asciiTheme="minorHAnsi" w:eastAsiaTheme="minorEastAsia" w:hAnsiTheme="minorHAnsi" w:cstheme="minorBidi"/>
                <w:noProof/>
                <w:sz w:val="22"/>
                <w:szCs w:val="22"/>
                <w:lang w:eastAsia="en-AU"/>
              </w:rPr>
              <w:tab/>
            </w:r>
            <w:r w:rsidR="00662027" w:rsidRPr="00133399">
              <w:rPr>
                <w:rStyle w:val="Hyperlink"/>
                <w:noProof/>
              </w:rPr>
              <w:t>Service component</w:t>
            </w:r>
            <w:r w:rsidR="00662027">
              <w:rPr>
                <w:noProof/>
                <w:webHidden/>
              </w:rPr>
              <w:tab/>
              <w:t>11-</w:t>
            </w:r>
            <w:r w:rsidR="00662027">
              <w:rPr>
                <w:noProof/>
                <w:webHidden/>
              </w:rPr>
              <w:fldChar w:fldCharType="begin"/>
            </w:r>
            <w:r w:rsidR="00662027">
              <w:rPr>
                <w:noProof/>
                <w:webHidden/>
              </w:rPr>
              <w:instrText xml:space="preserve"> PAGEREF _Toc404159207 \h </w:instrText>
            </w:r>
            <w:r w:rsidR="00662027">
              <w:rPr>
                <w:noProof/>
                <w:webHidden/>
              </w:rPr>
            </w:r>
            <w:r w:rsidR="00662027">
              <w:rPr>
                <w:noProof/>
                <w:webHidden/>
              </w:rPr>
              <w:fldChar w:fldCharType="separate"/>
            </w:r>
            <w:r w:rsidR="00662027">
              <w:rPr>
                <w:noProof/>
                <w:webHidden/>
              </w:rPr>
              <w:t>8</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08" w:history="1">
            <w:r w:rsidR="00662027" w:rsidRPr="00133399">
              <w:rPr>
                <w:rStyle w:val="Hyperlink"/>
                <w:noProof/>
              </w:rPr>
              <w:t>11.1.2</w:t>
            </w:r>
            <w:r w:rsidR="00662027">
              <w:rPr>
                <w:rFonts w:asciiTheme="minorHAnsi" w:eastAsiaTheme="minorEastAsia" w:hAnsiTheme="minorHAnsi" w:cstheme="minorBidi"/>
                <w:noProof/>
                <w:sz w:val="22"/>
                <w:szCs w:val="22"/>
                <w:lang w:eastAsia="en-AU"/>
              </w:rPr>
              <w:tab/>
            </w:r>
            <w:r w:rsidR="00662027" w:rsidRPr="00133399">
              <w:rPr>
                <w:rStyle w:val="Hyperlink"/>
                <w:noProof/>
              </w:rPr>
              <w:t>Market impact component</w:t>
            </w:r>
            <w:r w:rsidR="00662027">
              <w:rPr>
                <w:noProof/>
                <w:webHidden/>
              </w:rPr>
              <w:tab/>
              <w:t>11-</w:t>
            </w:r>
            <w:r w:rsidR="00662027">
              <w:rPr>
                <w:noProof/>
                <w:webHidden/>
              </w:rPr>
              <w:fldChar w:fldCharType="begin"/>
            </w:r>
            <w:r w:rsidR="00662027">
              <w:rPr>
                <w:noProof/>
                <w:webHidden/>
              </w:rPr>
              <w:instrText xml:space="preserve"> PAGEREF _Toc404159208 \h </w:instrText>
            </w:r>
            <w:r w:rsidR="00662027">
              <w:rPr>
                <w:noProof/>
                <w:webHidden/>
              </w:rPr>
            </w:r>
            <w:r w:rsidR="00662027">
              <w:rPr>
                <w:noProof/>
                <w:webHidden/>
              </w:rPr>
              <w:fldChar w:fldCharType="separate"/>
            </w:r>
            <w:r w:rsidR="00662027">
              <w:rPr>
                <w:noProof/>
                <w:webHidden/>
              </w:rPr>
              <w:t>9</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09" w:history="1">
            <w:r w:rsidR="00662027" w:rsidRPr="00133399">
              <w:rPr>
                <w:rStyle w:val="Hyperlink"/>
                <w:noProof/>
              </w:rPr>
              <w:t>11.1.3</w:t>
            </w:r>
            <w:r w:rsidR="00662027">
              <w:rPr>
                <w:rFonts w:asciiTheme="minorHAnsi" w:eastAsiaTheme="minorEastAsia" w:hAnsiTheme="minorHAnsi" w:cstheme="minorBidi"/>
                <w:noProof/>
                <w:sz w:val="22"/>
                <w:szCs w:val="22"/>
                <w:lang w:eastAsia="en-AU"/>
              </w:rPr>
              <w:tab/>
            </w:r>
            <w:r w:rsidR="00662027" w:rsidRPr="00133399">
              <w:rPr>
                <w:rStyle w:val="Hyperlink"/>
                <w:noProof/>
              </w:rPr>
              <w:t>Network capability component</w:t>
            </w:r>
            <w:r w:rsidR="00662027">
              <w:rPr>
                <w:noProof/>
                <w:webHidden/>
              </w:rPr>
              <w:tab/>
              <w:t>11-</w:t>
            </w:r>
            <w:r w:rsidR="00662027">
              <w:rPr>
                <w:noProof/>
                <w:webHidden/>
              </w:rPr>
              <w:fldChar w:fldCharType="begin"/>
            </w:r>
            <w:r w:rsidR="00662027">
              <w:rPr>
                <w:noProof/>
                <w:webHidden/>
              </w:rPr>
              <w:instrText xml:space="preserve"> PAGEREF _Toc404159209 \h </w:instrText>
            </w:r>
            <w:r w:rsidR="00662027">
              <w:rPr>
                <w:noProof/>
                <w:webHidden/>
              </w:rPr>
            </w:r>
            <w:r w:rsidR="00662027">
              <w:rPr>
                <w:noProof/>
                <w:webHidden/>
              </w:rPr>
              <w:fldChar w:fldCharType="separate"/>
            </w:r>
            <w:r w:rsidR="00662027">
              <w:rPr>
                <w:noProof/>
                <w:webHidden/>
              </w:rPr>
              <w:t>9</w:t>
            </w:r>
            <w:r w:rsidR="00662027">
              <w:rPr>
                <w:noProof/>
                <w:webHidden/>
              </w:rPr>
              <w:fldChar w:fldCharType="end"/>
            </w:r>
          </w:hyperlink>
        </w:p>
        <w:p w:rsidR="00662027" w:rsidRDefault="004D654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59210" w:history="1">
            <w:r w:rsidR="00662027" w:rsidRPr="00133399">
              <w:rPr>
                <w:rStyle w:val="Hyperlink"/>
                <w:noProof/>
              </w:rPr>
              <w:t>11.2</w:t>
            </w:r>
            <w:r w:rsidR="00662027">
              <w:rPr>
                <w:rFonts w:asciiTheme="minorHAnsi" w:eastAsiaTheme="minorEastAsia" w:hAnsiTheme="minorHAnsi" w:cstheme="minorBidi"/>
                <w:iCs w:val="0"/>
                <w:noProof/>
                <w:sz w:val="22"/>
                <w:szCs w:val="22"/>
                <w:lang w:eastAsia="en-AU"/>
              </w:rPr>
              <w:tab/>
            </w:r>
            <w:r w:rsidR="00662027" w:rsidRPr="00133399">
              <w:rPr>
                <w:rStyle w:val="Hyperlink"/>
                <w:noProof/>
              </w:rPr>
              <w:t>TransGrid's proposal</w:t>
            </w:r>
            <w:r w:rsidR="00662027">
              <w:rPr>
                <w:noProof/>
                <w:webHidden/>
              </w:rPr>
              <w:tab/>
              <w:t>11-</w:t>
            </w:r>
            <w:r w:rsidR="00662027">
              <w:rPr>
                <w:noProof/>
                <w:webHidden/>
              </w:rPr>
              <w:fldChar w:fldCharType="begin"/>
            </w:r>
            <w:r w:rsidR="00662027">
              <w:rPr>
                <w:noProof/>
                <w:webHidden/>
              </w:rPr>
              <w:instrText xml:space="preserve"> PAGEREF _Toc404159210 \h </w:instrText>
            </w:r>
            <w:r w:rsidR="00662027">
              <w:rPr>
                <w:noProof/>
                <w:webHidden/>
              </w:rPr>
            </w:r>
            <w:r w:rsidR="00662027">
              <w:rPr>
                <w:noProof/>
                <w:webHidden/>
              </w:rPr>
              <w:fldChar w:fldCharType="separate"/>
            </w:r>
            <w:r w:rsidR="00662027">
              <w:rPr>
                <w:noProof/>
                <w:webHidden/>
              </w:rPr>
              <w:t>13</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11" w:history="1">
            <w:r w:rsidR="00662027" w:rsidRPr="00133399">
              <w:rPr>
                <w:rStyle w:val="Hyperlink"/>
                <w:noProof/>
              </w:rPr>
              <w:t>11.2.1</w:t>
            </w:r>
            <w:r w:rsidR="00662027">
              <w:rPr>
                <w:rFonts w:asciiTheme="minorHAnsi" w:eastAsiaTheme="minorEastAsia" w:hAnsiTheme="minorHAnsi" w:cstheme="minorBidi"/>
                <w:noProof/>
                <w:sz w:val="22"/>
                <w:szCs w:val="22"/>
                <w:lang w:eastAsia="en-AU"/>
              </w:rPr>
              <w:tab/>
            </w:r>
            <w:r w:rsidR="00662027" w:rsidRPr="00133399">
              <w:rPr>
                <w:rStyle w:val="Hyperlink"/>
                <w:noProof/>
              </w:rPr>
              <w:t>Service component</w:t>
            </w:r>
            <w:r w:rsidR="00662027">
              <w:rPr>
                <w:noProof/>
                <w:webHidden/>
              </w:rPr>
              <w:tab/>
              <w:t>11-</w:t>
            </w:r>
            <w:r w:rsidR="00662027">
              <w:rPr>
                <w:noProof/>
                <w:webHidden/>
              </w:rPr>
              <w:fldChar w:fldCharType="begin"/>
            </w:r>
            <w:r w:rsidR="00662027">
              <w:rPr>
                <w:noProof/>
                <w:webHidden/>
              </w:rPr>
              <w:instrText xml:space="preserve"> PAGEREF _Toc404159211 \h </w:instrText>
            </w:r>
            <w:r w:rsidR="00662027">
              <w:rPr>
                <w:noProof/>
                <w:webHidden/>
              </w:rPr>
            </w:r>
            <w:r w:rsidR="00662027">
              <w:rPr>
                <w:noProof/>
                <w:webHidden/>
              </w:rPr>
              <w:fldChar w:fldCharType="separate"/>
            </w:r>
            <w:r w:rsidR="00662027">
              <w:rPr>
                <w:noProof/>
                <w:webHidden/>
              </w:rPr>
              <w:t>13</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12" w:history="1">
            <w:r w:rsidR="00662027" w:rsidRPr="00133399">
              <w:rPr>
                <w:rStyle w:val="Hyperlink"/>
                <w:noProof/>
              </w:rPr>
              <w:t>11.2.2</w:t>
            </w:r>
            <w:r w:rsidR="00662027">
              <w:rPr>
                <w:rFonts w:asciiTheme="minorHAnsi" w:eastAsiaTheme="minorEastAsia" w:hAnsiTheme="minorHAnsi" w:cstheme="minorBidi"/>
                <w:noProof/>
                <w:sz w:val="22"/>
                <w:szCs w:val="22"/>
                <w:lang w:eastAsia="en-AU"/>
              </w:rPr>
              <w:tab/>
            </w:r>
            <w:r w:rsidR="00662027" w:rsidRPr="00133399">
              <w:rPr>
                <w:rStyle w:val="Hyperlink"/>
                <w:noProof/>
              </w:rPr>
              <w:t>Market impact component</w:t>
            </w:r>
            <w:r w:rsidR="00662027">
              <w:rPr>
                <w:noProof/>
                <w:webHidden/>
              </w:rPr>
              <w:tab/>
              <w:t>11-</w:t>
            </w:r>
            <w:r w:rsidR="00662027">
              <w:rPr>
                <w:noProof/>
                <w:webHidden/>
              </w:rPr>
              <w:fldChar w:fldCharType="begin"/>
            </w:r>
            <w:r w:rsidR="00662027">
              <w:rPr>
                <w:noProof/>
                <w:webHidden/>
              </w:rPr>
              <w:instrText xml:space="preserve"> PAGEREF _Toc404159212 \h </w:instrText>
            </w:r>
            <w:r w:rsidR="00662027">
              <w:rPr>
                <w:noProof/>
                <w:webHidden/>
              </w:rPr>
            </w:r>
            <w:r w:rsidR="00662027">
              <w:rPr>
                <w:noProof/>
                <w:webHidden/>
              </w:rPr>
              <w:fldChar w:fldCharType="separate"/>
            </w:r>
            <w:r w:rsidR="00662027">
              <w:rPr>
                <w:noProof/>
                <w:webHidden/>
              </w:rPr>
              <w:t>14</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13" w:history="1">
            <w:r w:rsidR="00662027" w:rsidRPr="00133399">
              <w:rPr>
                <w:rStyle w:val="Hyperlink"/>
                <w:noProof/>
              </w:rPr>
              <w:t>11.2.3</w:t>
            </w:r>
            <w:r w:rsidR="00662027">
              <w:rPr>
                <w:rFonts w:asciiTheme="minorHAnsi" w:eastAsiaTheme="minorEastAsia" w:hAnsiTheme="minorHAnsi" w:cstheme="minorBidi"/>
                <w:noProof/>
                <w:sz w:val="22"/>
                <w:szCs w:val="22"/>
                <w:lang w:eastAsia="en-AU"/>
              </w:rPr>
              <w:tab/>
            </w:r>
            <w:r w:rsidR="00662027" w:rsidRPr="00133399">
              <w:rPr>
                <w:rStyle w:val="Hyperlink"/>
                <w:noProof/>
              </w:rPr>
              <w:t>Network capability component</w:t>
            </w:r>
            <w:r w:rsidR="00662027">
              <w:rPr>
                <w:noProof/>
                <w:webHidden/>
              </w:rPr>
              <w:tab/>
              <w:t>11-</w:t>
            </w:r>
            <w:r w:rsidR="00662027">
              <w:rPr>
                <w:noProof/>
                <w:webHidden/>
              </w:rPr>
              <w:fldChar w:fldCharType="begin"/>
            </w:r>
            <w:r w:rsidR="00662027">
              <w:rPr>
                <w:noProof/>
                <w:webHidden/>
              </w:rPr>
              <w:instrText xml:space="preserve"> PAGEREF _Toc404159213 \h </w:instrText>
            </w:r>
            <w:r w:rsidR="00662027">
              <w:rPr>
                <w:noProof/>
                <w:webHidden/>
              </w:rPr>
            </w:r>
            <w:r w:rsidR="00662027">
              <w:rPr>
                <w:noProof/>
                <w:webHidden/>
              </w:rPr>
              <w:fldChar w:fldCharType="separate"/>
            </w:r>
            <w:r w:rsidR="00662027">
              <w:rPr>
                <w:noProof/>
                <w:webHidden/>
              </w:rPr>
              <w:t>14</w:t>
            </w:r>
            <w:r w:rsidR="00662027">
              <w:rPr>
                <w:noProof/>
                <w:webHidden/>
              </w:rPr>
              <w:fldChar w:fldCharType="end"/>
            </w:r>
          </w:hyperlink>
        </w:p>
        <w:p w:rsidR="00662027" w:rsidRDefault="004D654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59214" w:history="1">
            <w:r w:rsidR="00662027" w:rsidRPr="00133399">
              <w:rPr>
                <w:rStyle w:val="Hyperlink"/>
                <w:noProof/>
              </w:rPr>
              <w:t>11.3</w:t>
            </w:r>
            <w:r w:rsidR="00662027">
              <w:rPr>
                <w:rFonts w:asciiTheme="minorHAnsi" w:eastAsiaTheme="minorEastAsia" w:hAnsiTheme="minorHAnsi" w:cstheme="minorBidi"/>
                <w:iCs w:val="0"/>
                <w:noProof/>
                <w:sz w:val="22"/>
                <w:szCs w:val="22"/>
                <w:lang w:eastAsia="en-AU"/>
              </w:rPr>
              <w:tab/>
            </w:r>
            <w:r w:rsidR="00662027" w:rsidRPr="00133399">
              <w:rPr>
                <w:rStyle w:val="Hyperlink"/>
                <w:noProof/>
              </w:rPr>
              <w:t>AER's assessment approach</w:t>
            </w:r>
            <w:r w:rsidR="00662027">
              <w:rPr>
                <w:noProof/>
                <w:webHidden/>
              </w:rPr>
              <w:tab/>
              <w:t>11-</w:t>
            </w:r>
            <w:r w:rsidR="00662027">
              <w:rPr>
                <w:noProof/>
                <w:webHidden/>
              </w:rPr>
              <w:fldChar w:fldCharType="begin"/>
            </w:r>
            <w:r w:rsidR="00662027">
              <w:rPr>
                <w:noProof/>
                <w:webHidden/>
              </w:rPr>
              <w:instrText xml:space="preserve"> PAGEREF _Toc404159214 \h </w:instrText>
            </w:r>
            <w:r w:rsidR="00662027">
              <w:rPr>
                <w:noProof/>
                <w:webHidden/>
              </w:rPr>
            </w:r>
            <w:r w:rsidR="00662027">
              <w:rPr>
                <w:noProof/>
                <w:webHidden/>
              </w:rPr>
              <w:fldChar w:fldCharType="separate"/>
            </w:r>
            <w:r w:rsidR="00662027">
              <w:rPr>
                <w:noProof/>
                <w:webHidden/>
              </w:rPr>
              <w:t>16</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15" w:history="1">
            <w:r w:rsidR="00662027" w:rsidRPr="00133399">
              <w:rPr>
                <w:rStyle w:val="Hyperlink"/>
                <w:noProof/>
              </w:rPr>
              <w:t>11.3.1</w:t>
            </w:r>
            <w:r w:rsidR="00662027">
              <w:rPr>
                <w:rFonts w:asciiTheme="minorHAnsi" w:eastAsiaTheme="minorEastAsia" w:hAnsiTheme="minorHAnsi" w:cstheme="minorBidi"/>
                <w:noProof/>
                <w:sz w:val="22"/>
                <w:szCs w:val="22"/>
                <w:lang w:eastAsia="en-AU"/>
              </w:rPr>
              <w:tab/>
            </w:r>
            <w:r w:rsidR="00662027" w:rsidRPr="00133399">
              <w:rPr>
                <w:rStyle w:val="Hyperlink"/>
                <w:noProof/>
              </w:rPr>
              <w:t>Service component</w:t>
            </w:r>
            <w:r w:rsidR="00662027">
              <w:rPr>
                <w:noProof/>
                <w:webHidden/>
              </w:rPr>
              <w:tab/>
              <w:t>11-</w:t>
            </w:r>
            <w:r w:rsidR="00662027">
              <w:rPr>
                <w:noProof/>
                <w:webHidden/>
              </w:rPr>
              <w:fldChar w:fldCharType="begin"/>
            </w:r>
            <w:r w:rsidR="00662027">
              <w:rPr>
                <w:noProof/>
                <w:webHidden/>
              </w:rPr>
              <w:instrText xml:space="preserve"> PAGEREF _Toc404159215 \h </w:instrText>
            </w:r>
            <w:r w:rsidR="00662027">
              <w:rPr>
                <w:noProof/>
                <w:webHidden/>
              </w:rPr>
            </w:r>
            <w:r w:rsidR="00662027">
              <w:rPr>
                <w:noProof/>
                <w:webHidden/>
              </w:rPr>
              <w:fldChar w:fldCharType="separate"/>
            </w:r>
            <w:r w:rsidR="00662027">
              <w:rPr>
                <w:noProof/>
                <w:webHidden/>
              </w:rPr>
              <w:t>16</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16" w:history="1">
            <w:r w:rsidR="00662027" w:rsidRPr="00133399">
              <w:rPr>
                <w:rStyle w:val="Hyperlink"/>
                <w:noProof/>
              </w:rPr>
              <w:t>11.3.2</w:t>
            </w:r>
            <w:r w:rsidR="00662027">
              <w:rPr>
                <w:rFonts w:asciiTheme="minorHAnsi" w:eastAsiaTheme="minorEastAsia" w:hAnsiTheme="minorHAnsi" w:cstheme="minorBidi"/>
                <w:noProof/>
                <w:sz w:val="22"/>
                <w:szCs w:val="22"/>
                <w:lang w:eastAsia="en-AU"/>
              </w:rPr>
              <w:tab/>
            </w:r>
            <w:r w:rsidR="00662027" w:rsidRPr="00133399">
              <w:rPr>
                <w:rStyle w:val="Hyperlink"/>
                <w:noProof/>
              </w:rPr>
              <w:t>Market impact component</w:t>
            </w:r>
            <w:r w:rsidR="00662027">
              <w:rPr>
                <w:noProof/>
                <w:webHidden/>
              </w:rPr>
              <w:tab/>
              <w:t>11-</w:t>
            </w:r>
            <w:r w:rsidR="00662027">
              <w:rPr>
                <w:noProof/>
                <w:webHidden/>
              </w:rPr>
              <w:fldChar w:fldCharType="begin"/>
            </w:r>
            <w:r w:rsidR="00662027">
              <w:rPr>
                <w:noProof/>
                <w:webHidden/>
              </w:rPr>
              <w:instrText xml:space="preserve"> PAGEREF _Toc404159216 \h </w:instrText>
            </w:r>
            <w:r w:rsidR="00662027">
              <w:rPr>
                <w:noProof/>
                <w:webHidden/>
              </w:rPr>
            </w:r>
            <w:r w:rsidR="00662027">
              <w:rPr>
                <w:noProof/>
                <w:webHidden/>
              </w:rPr>
              <w:fldChar w:fldCharType="separate"/>
            </w:r>
            <w:r w:rsidR="00662027">
              <w:rPr>
                <w:noProof/>
                <w:webHidden/>
              </w:rPr>
              <w:t>17</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17" w:history="1">
            <w:r w:rsidR="00662027" w:rsidRPr="00133399">
              <w:rPr>
                <w:rStyle w:val="Hyperlink"/>
                <w:noProof/>
              </w:rPr>
              <w:t>11.3.3</w:t>
            </w:r>
            <w:r w:rsidR="00662027">
              <w:rPr>
                <w:rFonts w:asciiTheme="minorHAnsi" w:eastAsiaTheme="minorEastAsia" w:hAnsiTheme="minorHAnsi" w:cstheme="minorBidi"/>
                <w:noProof/>
                <w:sz w:val="22"/>
                <w:szCs w:val="22"/>
                <w:lang w:eastAsia="en-AU"/>
              </w:rPr>
              <w:tab/>
            </w:r>
            <w:r w:rsidR="00662027" w:rsidRPr="00133399">
              <w:rPr>
                <w:rStyle w:val="Hyperlink"/>
                <w:noProof/>
              </w:rPr>
              <w:t>Network capability component</w:t>
            </w:r>
            <w:r w:rsidR="00662027">
              <w:rPr>
                <w:noProof/>
                <w:webHidden/>
              </w:rPr>
              <w:tab/>
              <w:t>11-</w:t>
            </w:r>
            <w:r w:rsidR="00662027">
              <w:rPr>
                <w:noProof/>
                <w:webHidden/>
              </w:rPr>
              <w:fldChar w:fldCharType="begin"/>
            </w:r>
            <w:r w:rsidR="00662027">
              <w:rPr>
                <w:noProof/>
                <w:webHidden/>
              </w:rPr>
              <w:instrText xml:space="preserve"> PAGEREF _Toc404159217 \h </w:instrText>
            </w:r>
            <w:r w:rsidR="00662027">
              <w:rPr>
                <w:noProof/>
                <w:webHidden/>
              </w:rPr>
            </w:r>
            <w:r w:rsidR="00662027">
              <w:rPr>
                <w:noProof/>
                <w:webHidden/>
              </w:rPr>
              <w:fldChar w:fldCharType="separate"/>
            </w:r>
            <w:r w:rsidR="00662027">
              <w:rPr>
                <w:noProof/>
                <w:webHidden/>
              </w:rPr>
              <w:t>17</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18" w:history="1">
            <w:r w:rsidR="00662027" w:rsidRPr="00133399">
              <w:rPr>
                <w:rStyle w:val="Hyperlink"/>
                <w:noProof/>
              </w:rPr>
              <w:t>11.3.4</w:t>
            </w:r>
            <w:r w:rsidR="00662027">
              <w:rPr>
                <w:rFonts w:asciiTheme="minorHAnsi" w:eastAsiaTheme="minorEastAsia" w:hAnsiTheme="minorHAnsi" w:cstheme="minorBidi"/>
                <w:noProof/>
                <w:sz w:val="22"/>
                <w:szCs w:val="22"/>
                <w:lang w:eastAsia="en-AU"/>
              </w:rPr>
              <w:tab/>
            </w:r>
            <w:r w:rsidR="00662027" w:rsidRPr="00133399">
              <w:rPr>
                <w:rStyle w:val="Hyperlink"/>
                <w:noProof/>
              </w:rPr>
              <w:t>Interrelationships</w:t>
            </w:r>
            <w:r w:rsidR="00662027">
              <w:rPr>
                <w:noProof/>
                <w:webHidden/>
              </w:rPr>
              <w:tab/>
              <w:t>11-</w:t>
            </w:r>
            <w:r w:rsidR="00662027">
              <w:rPr>
                <w:noProof/>
                <w:webHidden/>
              </w:rPr>
              <w:fldChar w:fldCharType="begin"/>
            </w:r>
            <w:r w:rsidR="00662027">
              <w:rPr>
                <w:noProof/>
                <w:webHidden/>
              </w:rPr>
              <w:instrText xml:space="preserve"> PAGEREF _Toc404159218 \h </w:instrText>
            </w:r>
            <w:r w:rsidR="00662027">
              <w:rPr>
                <w:noProof/>
                <w:webHidden/>
              </w:rPr>
            </w:r>
            <w:r w:rsidR="00662027">
              <w:rPr>
                <w:noProof/>
                <w:webHidden/>
              </w:rPr>
              <w:fldChar w:fldCharType="separate"/>
            </w:r>
            <w:r w:rsidR="00662027">
              <w:rPr>
                <w:noProof/>
                <w:webHidden/>
              </w:rPr>
              <w:t>18</w:t>
            </w:r>
            <w:r w:rsidR="00662027">
              <w:rPr>
                <w:noProof/>
                <w:webHidden/>
              </w:rPr>
              <w:fldChar w:fldCharType="end"/>
            </w:r>
          </w:hyperlink>
        </w:p>
        <w:p w:rsidR="00662027" w:rsidRDefault="004D654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59219" w:history="1">
            <w:r w:rsidR="00662027" w:rsidRPr="00133399">
              <w:rPr>
                <w:rStyle w:val="Hyperlink"/>
                <w:noProof/>
              </w:rPr>
              <w:t>11.4</w:t>
            </w:r>
            <w:r w:rsidR="00662027">
              <w:rPr>
                <w:rFonts w:asciiTheme="minorHAnsi" w:eastAsiaTheme="minorEastAsia" w:hAnsiTheme="minorHAnsi" w:cstheme="minorBidi"/>
                <w:iCs w:val="0"/>
                <w:noProof/>
                <w:sz w:val="22"/>
                <w:szCs w:val="22"/>
                <w:lang w:eastAsia="en-AU"/>
              </w:rPr>
              <w:tab/>
            </w:r>
            <w:r w:rsidR="00662027" w:rsidRPr="00133399">
              <w:rPr>
                <w:rStyle w:val="Hyperlink"/>
                <w:noProof/>
              </w:rPr>
              <w:t>Reasons for draft decision</w:t>
            </w:r>
            <w:r w:rsidR="00662027">
              <w:rPr>
                <w:noProof/>
                <w:webHidden/>
              </w:rPr>
              <w:tab/>
              <w:t>11-</w:t>
            </w:r>
            <w:r w:rsidR="00662027">
              <w:rPr>
                <w:noProof/>
                <w:webHidden/>
              </w:rPr>
              <w:fldChar w:fldCharType="begin"/>
            </w:r>
            <w:r w:rsidR="00662027">
              <w:rPr>
                <w:noProof/>
                <w:webHidden/>
              </w:rPr>
              <w:instrText xml:space="preserve"> PAGEREF _Toc404159219 \h </w:instrText>
            </w:r>
            <w:r w:rsidR="00662027">
              <w:rPr>
                <w:noProof/>
                <w:webHidden/>
              </w:rPr>
            </w:r>
            <w:r w:rsidR="00662027">
              <w:rPr>
                <w:noProof/>
                <w:webHidden/>
              </w:rPr>
              <w:fldChar w:fldCharType="separate"/>
            </w:r>
            <w:r w:rsidR="00662027">
              <w:rPr>
                <w:noProof/>
                <w:webHidden/>
              </w:rPr>
              <w:t>18</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20" w:history="1">
            <w:r w:rsidR="00662027" w:rsidRPr="00133399">
              <w:rPr>
                <w:rStyle w:val="Hyperlink"/>
                <w:noProof/>
              </w:rPr>
              <w:t>11.4.1</w:t>
            </w:r>
            <w:r w:rsidR="00662027">
              <w:rPr>
                <w:rFonts w:asciiTheme="minorHAnsi" w:eastAsiaTheme="minorEastAsia" w:hAnsiTheme="minorHAnsi" w:cstheme="minorBidi"/>
                <w:noProof/>
                <w:sz w:val="22"/>
                <w:szCs w:val="22"/>
                <w:lang w:eastAsia="en-AU"/>
              </w:rPr>
              <w:tab/>
            </w:r>
            <w:r w:rsidR="00662027" w:rsidRPr="00133399">
              <w:rPr>
                <w:rStyle w:val="Hyperlink"/>
                <w:noProof/>
              </w:rPr>
              <w:t>Service component</w:t>
            </w:r>
            <w:r w:rsidR="00662027">
              <w:rPr>
                <w:noProof/>
                <w:webHidden/>
              </w:rPr>
              <w:tab/>
              <w:t>11-</w:t>
            </w:r>
            <w:r w:rsidR="00662027">
              <w:rPr>
                <w:noProof/>
                <w:webHidden/>
              </w:rPr>
              <w:fldChar w:fldCharType="begin"/>
            </w:r>
            <w:r w:rsidR="00662027">
              <w:rPr>
                <w:noProof/>
                <w:webHidden/>
              </w:rPr>
              <w:instrText xml:space="preserve"> PAGEREF _Toc404159220 \h </w:instrText>
            </w:r>
            <w:r w:rsidR="00662027">
              <w:rPr>
                <w:noProof/>
                <w:webHidden/>
              </w:rPr>
            </w:r>
            <w:r w:rsidR="00662027">
              <w:rPr>
                <w:noProof/>
                <w:webHidden/>
              </w:rPr>
              <w:fldChar w:fldCharType="separate"/>
            </w:r>
            <w:r w:rsidR="00662027">
              <w:rPr>
                <w:noProof/>
                <w:webHidden/>
              </w:rPr>
              <w:t>18</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21" w:history="1">
            <w:r w:rsidR="00662027" w:rsidRPr="00133399">
              <w:rPr>
                <w:rStyle w:val="Hyperlink"/>
                <w:noProof/>
              </w:rPr>
              <w:t>11.4.2</w:t>
            </w:r>
            <w:r w:rsidR="00662027">
              <w:rPr>
                <w:rFonts w:asciiTheme="minorHAnsi" w:eastAsiaTheme="minorEastAsia" w:hAnsiTheme="minorHAnsi" w:cstheme="minorBidi"/>
                <w:noProof/>
                <w:sz w:val="22"/>
                <w:szCs w:val="22"/>
                <w:lang w:eastAsia="en-AU"/>
              </w:rPr>
              <w:tab/>
            </w:r>
            <w:r w:rsidR="00662027" w:rsidRPr="00133399">
              <w:rPr>
                <w:rStyle w:val="Hyperlink"/>
                <w:noProof/>
              </w:rPr>
              <w:t>Market impact component</w:t>
            </w:r>
            <w:r w:rsidR="00662027">
              <w:rPr>
                <w:noProof/>
                <w:webHidden/>
              </w:rPr>
              <w:tab/>
              <w:t>11-</w:t>
            </w:r>
            <w:r w:rsidR="00662027">
              <w:rPr>
                <w:noProof/>
                <w:webHidden/>
              </w:rPr>
              <w:fldChar w:fldCharType="begin"/>
            </w:r>
            <w:r w:rsidR="00662027">
              <w:rPr>
                <w:noProof/>
                <w:webHidden/>
              </w:rPr>
              <w:instrText xml:space="preserve"> PAGEREF _Toc404159221 \h </w:instrText>
            </w:r>
            <w:r w:rsidR="00662027">
              <w:rPr>
                <w:noProof/>
                <w:webHidden/>
              </w:rPr>
            </w:r>
            <w:r w:rsidR="00662027">
              <w:rPr>
                <w:noProof/>
                <w:webHidden/>
              </w:rPr>
              <w:fldChar w:fldCharType="separate"/>
            </w:r>
            <w:r w:rsidR="00662027">
              <w:rPr>
                <w:noProof/>
                <w:webHidden/>
              </w:rPr>
              <w:t>22</w:t>
            </w:r>
            <w:r w:rsidR="00662027">
              <w:rPr>
                <w:noProof/>
                <w:webHidden/>
              </w:rPr>
              <w:fldChar w:fldCharType="end"/>
            </w:r>
          </w:hyperlink>
        </w:p>
        <w:p w:rsidR="00662027" w:rsidRDefault="004D654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9222" w:history="1">
            <w:r w:rsidR="00662027" w:rsidRPr="00133399">
              <w:rPr>
                <w:rStyle w:val="Hyperlink"/>
                <w:noProof/>
              </w:rPr>
              <w:t>11.4.3</w:t>
            </w:r>
            <w:r w:rsidR="00662027">
              <w:rPr>
                <w:rFonts w:asciiTheme="minorHAnsi" w:eastAsiaTheme="minorEastAsia" w:hAnsiTheme="minorHAnsi" w:cstheme="minorBidi"/>
                <w:noProof/>
                <w:sz w:val="22"/>
                <w:szCs w:val="22"/>
                <w:lang w:eastAsia="en-AU"/>
              </w:rPr>
              <w:tab/>
            </w:r>
            <w:r w:rsidR="00662027" w:rsidRPr="00133399">
              <w:rPr>
                <w:rStyle w:val="Hyperlink"/>
                <w:noProof/>
              </w:rPr>
              <w:t>Network capability component</w:t>
            </w:r>
            <w:r w:rsidR="00662027">
              <w:rPr>
                <w:noProof/>
                <w:webHidden/>
              </w:rPr>
              <w:tab/>
              <w:t>11-</w:t>
            </w:r>
            <w:r w:rsidR="00662027">
              <w:rPr>
                <w:noProof/>
                <w:webHidden/>
              </w:rPr>
              <w:fldChar w:fldCharType="begin"/>
            </w:r>
            <w:r w:rsidR="00662027">
              <w:rPr>
                <w:noProof/>
                <w:webHidden/>
              </w:rPr>
              <w:instrText xml:space="preserve"> PAGEREF _Toc404159222 \h </w:instrText>
            </w:r>
            <w:r w:rsidR="00662027">
              <w:rPr>
                <w:noProof/>
                <w:webHidden/>
              </w:rPr>
            </w:r>
            <w:r w:rsidR="00662027">
              <w:rPr>
                <w:noProof/>
                <w:webHidden/>
              </w:rPr>
              <w:fldChar w:fldCharType="separate"/>
            </w:r>
            <w:r w:rsidR="00662027">
              <w:rPr>
                <w:noProof/>
                <w:webHidden/>
              </w:rPr>
              <w:t>22</w:t>
            </w:r>
            <w:r w:rsidR="00662027">
              <w:rPr>
                <w:noProof/>
                <w:webHidden/>
              </w:rPr>
              <w:fldChar w:fldCharType="end"/>
            </w:r>
          </w:hyperlink>
        </w:p>
        <w:p w:rsidR="00E408E2" w:rsidRPr="00E408E2" w:rsidRDefault="00E408E2" w:rsidP="00E408E2">
          <w:pPr>
            <w:pStyle w:val="AERbodytext"/>
          </w:pPr>
          <w:r>
            <w:fldChar w:fldCharType="end"/>
          </w:r>
        </w:p>
      </w:sdtContent>
    </w:sdt>
    <w:p w:rsidR="00E408E2" w:rsidRPr="00E408E2" w:rsidRDefault="00E408E2" w:rsidP="00E408E2">
      <w:pPr>
        <w:pStyle w:val="AERbodytext"/>
      </w:pPr>
    </w:p>
    <w:p w:rsidR="00967861" w:rsidRPr="00967861" w:rsidRDefault="00967861" w:rsidP="00967861">
      <w:pPr>
        <w:pStyle w:val="UnnumberedHeading"/>
      </w:pPr>
      <w:bookmarkStart w:id="5" w:name="_Toc404153952"/>
      <w:bookmarkStart w:id="6" w:name="_Toc404159204"/>
      <w:r w:rsidRPr="00967861">
        <w:lastRenderedPageBreak/>
        <w:t>Shortened forms</w:t>
      </w:r>
      <w:bookmarkEnd w:id="5"/>
      <w:bookmarkEnd w:id="6"/>
    </w:p>
    <w:tbl>
      <w:tblPr>
        <w:tblStyle w:val="AERtable-numbers"/>
        <w:tblW w:w="0" w:type="auto"/>
        <w:tblLook w:val="04A0" w:firstRow="1" w:lastRow="0" w:firstColumn="1" w:lastColumn="0" w:noHBand="0" w:noVBand="1"/>
      </w:tblPr>
      <w:tblGrid>
        <w:gridCol w:w="4621"/>
        <w:gridCol w:w="4621"/>
      </w:tblGrid>
      <w:tr w:rsidR="00967861" w:rsidTr="00E408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Shortened form</w:t>
            </w:r>
          </w:p>
        </w:tc>
        <w:tc>
          <w:tcPr>
            <w:tcW w:w="4621" w:type="dxa"/>
          </w:tcPr>
          <w:p w:rsidR="00967861" w:rsidRPr="00967861" w:rsidRDefault="00967861" w:rsidP="00967861">
            <w:pPr>
              <w:pStyle w:val="AERbodytext"/>
              <w:cnfStyle w:val="100000000000" w:firstRow="1" w:lastRow="0" w:firstColumn="0" w:lastColumn="0" w:oddVBand="0" w:evenVBand="0" w:oddHBand="0" w:evenHBand="0" w:firstRowFirstColumn="0" w:firstRowLastColumn="0" w:lastRowFirstColumn="0" w:lastRowLastColumn="0"/>
            </w:pPr>
            <w:r w:rsidRPr="00967861">
              <w:t>Extended form</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AARR</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aggregate annual revenue requirement</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AEMC</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Australian Energy Market Commission</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AEMO</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Australian Energy Market Operator</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AER</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Australian Energy Regulator</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ASRR</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aggregate service revenue requirement</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augex</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augmentation expenditure</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capex</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capital expenditure</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CCP</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Consumer Challenge Panel</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CESS</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capital expenditure sharing scheme</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CPI</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consumer price index</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DRP</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debt risk premium</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EBSS</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efficiency benefit sharing scheme</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ERP</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equity risk premium</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MAR</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maximum allowed revenue</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MRP</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market risk premium</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NEL</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national electricity law</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NEM</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national electricity market</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NEO</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national electricity objective</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NER</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national electricity rules</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NSP</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network service provider</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NTSC</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negotiated transmission service criteria</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lastRenderedPageBreak/>
              <w:t>opex</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operating expenditure</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PPI</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partial performance indicators</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PTRM</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post-tax revenue model</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RAB</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regulatory asset base</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RBA</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Reserve Bank of Australia</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repex</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replacement expenditure</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RFM</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roll forward model</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RIN</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regulatory information notice</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RPP</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revenue pricing principles</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SLCAPM</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Sharpe-Lintner capital asset pricing model</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STPIS</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service target performance incentive scheme</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TNSP</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transmission network service provider</w:t>
            </w:r>
          </w:p>
        </w:tc>
      </w:tr>
      <w:tr w:rsidR="00967861" w:rsidTr="00E40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TUoS</w:t>
            </w:r>
          </w:p>
        </w:tc>
        <w:tc>
          <w:tcPr>
            <w:tcW w:w="4621" w:type="dxa"/>
          </w:tcPr>
          <w:p w:rsidR="00967861" w:rsidRPr="00967861" w:rsidRDefault="00967861" w:rsidP="00967861">
            <w:pPr>
              <w:pStyle w:val="AERbodytext"/>
              <w:cnfStyle w:val="000000010000" w:firstRow="0" w:lastRow="0" w:firstColumn="0" w:lastColumn="0" w:oddVBand="0" w:evenVBand="0" w:oddHBand="0" w:evenHBand="1" w:firstRowFirstColumn="0" w:firstRowLastColumn="0" w:lastRowFirstColumn="0" w:lastRowLastColumn="0"/>
            </w:pPr>
            <w:r w:rsidRPr="00967861">
              <w:t>transmission use of system</w:t>
            </w:r>
          </w:p>
        </w:tc>
      </w:tr>
      <w:tr w:rsidR="00967861" w:rsidTr="00E408E2">
        <w:tc>
          <w:tcPr>
            <w:cnfStyle w:val="001000000000" w:firstRow="0" w:lastRow="0" w:firstColumn="1" w:lastColumn="0" w:oddVBand="0" w:evenVBand="0" w:oddHBand="0" w:evenHBand="0" w:firstRowFirstColumn="0" w:firstRowLastColumn="0" w:lastRowFirstColumn="0" w:lastRowLastColumn="0"/>
            <w:tcW w:w="4621" w:type="dxa"/>
          </w:tcPr>
          <w:p w:rsidR="00967861" w:rsidRPr="00967861" w:rsidRDefault="00967861" w:rsidP="00967861">
            <w:pPr>
              <w:pStyle w:val="AERbodytext"/>
            </w:pPr>
            <w:r w:rsidRPr="00967861">
              <w:t>WACC</w:t>
            </w:r>
          </w:p>
        </w:tc>
        <w:tc>
          <w:tcPr>
            <w:tcW w:w="4621" w:type="dxa"/>
          </w:tcPr>
          <w:p w:rsidR="00967861" w:rsidRPr="00967861" w:rsidRDefault="00967861" w:rsidP="00967861">
            <w:pPr>
              <w:pStyle w:val="AERbodytext"/>
              <w:cnfStyle w:val="000000000000" w:firstRow="0" w:lastRow="0" w:firstColumn="0" w:lastColumn="0" w:oddVBand="0" w:evenVBand="0" w:oddHBand="0" w:evenHBand="0" w:firstRowFirstColumn="0" w:firstRowLastColumn="0" w:lastRowFirstColumn="0" w:lastRowLastColumn="0"/>
            </w:pPr>
            <w:r w:rsidRPr="00967861">
              <w:t>weighted average cost of capital</w:t>
            </w:r>
          </w:p>
        </w:tc>
      </w:tr>
    </w:tbl>
    <w:p w:rsidR="00967861" w:rsidRPr="00967861" w:rsidRDefault="00967861" w:rsidP="00967861">
      <w:pPr>
        <w:pStyle w:val="AERbodytext"/>
      </w:pPr>
    </w:p>
    <w:p w:rsidR="00967861" w:rsidRPr="00967861" w:rsidRDefault="00967861" w:rsidP="00967861">
      <w:pPr>
        <w:pStyle w:val="AERbodytext"/>
      </w:pPr>
    </w:p>
    <w:p w:rsidR="00703A6D" w:rsidRDefault="00703A6D" w:rsidP="00E408E2">
      <w:pPr>
        <w:pStyle w:val="Heading1"/>
        <w:numPr>
          <w:ilvl w:val="1"/>
          <w:numId w:val="12"/>
        </w:numPr>
      </w:pPr>
      <w:bookmarkStart w:id="7" w:name="_Toc404159205"/>
      <w:r>
        <w:lastRenderedPageBreak/>
        <w:t>Service target performance incentive scheme</w:t>
      </w:r>
      <w:bookmarkEnd w:id="0"/>
      <w:bookmarkEnd w:id="7"/>
      <w:r w:rsidR="000B1CDB">
        <w:t xml:space="preserve"> </w:t>
      </w:r>
    </w:p>
    <w:p w:rsidR="006B2B8E" w:rsidRPr="00BF072E" w:rsidRDefault="006B2B8E" w:rsidP="006B2B8E">
      <w:pPr>
        <w:pStyle w:val="AERbodytext"/>
      </w:pPr>
      <w:bookmarkStart w:id="8" w:name="_Toc396839232"/>
      <w:r>
        <w:t>The service target performance incentive scheme (STPIS) provides a financial incentive to TNSPs to maintain and improve service performance. The STPIS aims to safeguard service quality for customers that may otherwise be affected as TNSPs seek out cost efficiencies</w:t>
      </w:r>
      <w:r w:rsidRPr="00BF072E">
        <w:t xml:space="preserve"> at the expense of service quality. </w:t>
      </w:r>
    </w:p>
    <w:p w:rsidR="006B2B8E" w:rsidRDefault="006B2B8E" w:rsidP="006B2B8E">
      <w:pPr>
        <w:pStyle w:val="AERbodytext"/>
      </w:pPr>
      <w:r>
        <w:t>The current version of the STPIS is version 4.1 which we published in September 2014.</w:t>
      </w:r>
      <w:r>
        <w:rPr>
          <w:rStyle w:val="FootnoteReference"/>
        </w:rPr>
        <w:footnoteReference w:id="1"/>
      </w:r>
      <w:r>
        <w:t xml:space="preserve"> This version replaces the previous version 4 which we had intended to apply to TransGrid in this draft decision.</w:t>
      </w:r>
      <w:r>
        <w:rPr>
          <w:rStyle w:val="FootnoteReference"/>
        </w:rPr>
        <w:footnoteReference w:id="2"/>
      </w:r>
      <w:r>
        <w:t xml:space="preserve"> Version 4.1 includes three components: a service component, market impact component and network capability component. </w:t>
      </w:r>
    </w:p>
    <w:p w:rsidR="006B2B8E" w:rsidRPr="00F2071B" w:rsidRDefault="006B2B8E" w:rsidP="006B2B8E">
      <w:pPr>
        <w:pStyle w:val="AERbodytext"/>
      </w:pPr>
      <w:r w:rsidRPr="00F2071B">
        <w:t>The</w:t>
      </w:r>
      <w:r>
        <w:t xml:space="preserve"> service component </w:t>
      </w:r>
      <w:r w:rsidRPr="00F2071B">
        <w:t xml:space="preserve">provides a financial incentive for TNSPs to improve and maintain their service performance. </w:t>
      </w:r>
      <w:r>
        <w:t xml:space="preserve">This balances the incentive in the regulatory framework for TNSPs to reduce costs at the expense of </w:t>
      </w:r>
      <w:r w:rsidRPr="00E73EFA">
        <w:t xml:space="preserve">service performance. </w:t>
      </w:r>
      <w:r w:rsidRPr="00F2071B">
        <w:t xml:space="preserve">A TNSP's performance is compared against the performance target for each parameter </w:t>
      </w:r>
      <w:r>
        <w:t xml:space="preserve">under the service component </w:t>
      </w:r>
      <w:r w:rsidRPr="00F2071B">
        <w:t>during the regulatory control period. The TNSP may receive a financial bonus for service improvements, or a financial penalty for declines in service performance. The financial bon</w:t>
      </w:r>
      <w:r>
        <w:t>us (or penalty) is limited to 1 </w:t>
      </w:r>
      <w:r w:rsidRPr="00F2071B">
        <w:t xml:space="preserve">per cent of the TNSP's </w:t>
      </w:r>
      <w:r w:rsidR="00C1106A">
        <w:t>maximum allowed revenue (</w:t>
      </w:r>
      <w:r w:rsidRPr="00F2071B">
        <w:t>MAR</w:t>
      </w:r>
      <w:r w:rsidR="00C1106A">
        <w:t>)</w:t>
      </w:r>
      <w:r w:rsidRPr="00F2071B">
        <w:t xml:space="preserve"> for the relevant calendar year.</w:t>
      </w:r>
    </w:p>
    <w:p w:rsidR="006B2B8E" w:rsidRPr="00290EDB" w:rsidRDefault="006B2B8E" w:rsidP="006B2B8E">
      <w:pPr>
        <w:pStyle w:val="AERbodytext"/>
      </w:pPr>
      <w:r w:rsidRPr="006B2388">
        <w:t xml:space="preserve">The market impact component provides financial rewards to TNSPs for improvements in their performance measured against a performance target. </w:t>
      </w:r>
      <w:r>
        <w:t>A TNSP</w:t>
      </w:r>
      <w:r w:rsidRPr="006B2388">
        <w:t xml:space="preserve"> may earn up to 2 per cent of its MAR for the relevant calendar year. Unlike the service and network capability components, the market impact component has no financial penalty. </w:t>
      </w:r>
      <w:r w:rsidRPr="003C1B71">
        <w:t xml:space="preserve">The </w:t>
      </w:r>
      <w:r>
        <w:t>market impact component</w:t>
      </w:r>
      <w:r w:rsidRPr="003C1B71">
        <w:t xml:space="preserve"> provides an incentive to TNSPs to minimise the impact of transmission outages that can affect</w:t>
      </w:r>
      <w:r>
        <w:t xml:space="preserve"> the NEM</w:t>
      </w:r>
      <w:r w:rsidRPr="003C1B71">
        <w:t xml:space="preserve"> </w:t>
      </w:r>
      <w:r>
        <w:t>spot price</w:t>
      </w:r>
      <w:r w:rsidRPr="003C1B71">
        <w:t xml:space="preserve">. </w:t>
      </w:r>
      <w:r w:rsidRPr="006B2388">
        <w:t xml:space="preserve">The market impact parameter </w:t>
      </w:r>
      <w:r>
        <w:t>measures</w:t>
      </w:r>
      <w:r w:rsidRPr="006B2388">
        <w:t xml:space="preserve"> the number of dispatch intervals when an outage of a TNSP's network results in a network outage constraint with a marginal value greater than $10/</w:t>
      </w:r>
      <w:proofErr w:type="spellStart"/>
      <w:r w:rsidRPr="006B2388">
        <w:t>MWh</w:t>
      </w:r>
      <w:proofErr w:type="spellEnd"/>
      <w:r w:rsidRPr="006B2388">
        <w:t>.</w:t>
      </w:r>
      <w:r w:rsidRPr="006B2388">
        <w:rPr>
          <w:rStyle w:val="AERsuperscript"/>
        </w:rPr>
        <w:footnoteReference w:id="3"/>
      </w:r>
      <w:r w:rsidRPr="006B2388">
        <w:t xml:space="preserve"> </w:t>
      </w:r>
      <w:r>
        <w:t>T</w:t>
      </w:r>
      <w:r w:rsidRPr="00290EDB">
        <w:t xml:space="preserve">he market impact parameter performance target </w:t>
      </w:r>
      <w:r>
        <w:t>is</w:t>
      </w:r>
      <w:r w:rsidRPr="00290EDB">
        <w:t xml:space="preserve"> an average of the previous three years of performance data. Performance will be measured as a rolling average of the most recent two years of performance data.</w:t>
      </w:r>
      <w:r w:rsidRPr="00290EDB">
        <w:rPr>
          <w:rStyle w:val="FootnoteReference"/>
        </w:rPr>
        <w:footnoteReference w:id="4"/>
      </w:r>
      <w:r w:rsidRPr="00290EDB">
        <w:t xml:space="preserve"> These targets will be published annually after we have conducted the annual review of </w:t>
      </w:r>
      <w:r>
        <w:t>a TNSP's</w:t>
      </w:r>
      <w:r w:rsidRPr="00290EDB">
        <w:t xml:space="preserve"> STPIS performance.</w:t>
      </w:r>
    </w:p>
    <w:p w:rsidR="006B2B8E" w:rsidRDefault="006B2B8E" w:rsidP="006B2B8E">
      <w:pPr>
        <w:pStyle w:val="AERbodytext"/>
      </w:pPr>
      <w:r>
        <w:t>The network capability component funds and incentivises TNSPs to identify and implement incremental changes that would improve the capability of the network at times when it is most needed. Except for the final year of the next regulatory control period, a TNSP will receive payment equal to 1.5 per cent of its MAR for each year of its next regulatory control period to fund the priority projects. If a TNSP achieves its priority project improvement target for each priority project, then it will receive an incentive payment of 1.5 per cent of its MAR in the final year. If it does not achieve each priority project target, then we may reduce the incentive payment in the final year. We can reduce the final payment to a maximum of – 2 per cent of MAR if the TNSP does not achieve any of its proposed priority project improvement targets.</w:t>
      </w:r>
      <w:r w:rsidRPr="00E02761">
        <w:rPr>
          <w:rStyle w:val="FootnoteReference"/>
        </w:rPr>
        <w:footnoteReference w:id="5"/>
      </w:r>
      <w:r w:rsidRPr="00E02761">
        <w:t xml:space="preserve"> </w:t>
      </w:r>
    </w:p>
    <w:p w:rsidR="006B2B8E" w:rsidRDefault="00C714DA" w:rsidP="006B2B8E">
      <w:pPr>
        <w:pStyle w:val="AERbodytext"/>
      </w:pPr>
      <w:r>
        <w:lastRenderedPageBreak/>
        <w:t>O</w:t>
      </w:r>
      <w:r w:rsidR="006B2B8E">
        <w:t>ur transitional decision set out how the STPIS applies during the 2014–15 transitional year.</w:t>
      </w:r>
      <w:r w:rsidR="006B2B8E">
        <w:rPr>
          <w:rStyle w:val="FootnoteReference"/>
        </w:rPr>
        <w:footnoteReference w:id="6"/>
      </w:r>
      <w:r w:rsidR="006B2B8E">
        <w:t xml:space="preserve"> According to the transitional rules, we are required to make a corresponding adjustment in the application of the STPIS as a result of any change in MAR determined for </w:t>
      </w:r>
      <w:r w:rsidR="006B2B8E" w:rsidRPr="00757E18">
        <w:rPr>
          <w:rStyle w:val="AERbody"/>
        </w:rPr>
        <w:t>the 2015–1</w:t>
      </w:r>
      <w:r w:rsidR="003E413E">
        <w:rPr>
          <w:rStyle w:val="AERbody"/>
        </w:rPr>
        <w:t>8</w:t>
      </w:r>
      <w:r w:rsidR="006B2B8E" w:rsidRPr="00757E18">
        <w:rPr>
          <w:rStyle w:val="AERbody"/>
        </w:rPr>
        <w:t xml:space="preserve"> regulatory</w:t>
      </w:r>
      <w:r w:rsidR="006B2B8E">
        <w:t xml:space="preserve"> control period as compared to the MAR determined in our transitional decision.</w:t>
      </w:r>
      <w:r w:rsidR="006B2B8E">
        <w:rPr>
          <w:rStyle w:val="FootnoteReference"/>
        </w:rPr>
        <w:footnoteReference w:id="7"/>
      </w:r>
      <w:r w:rsidR="006B2B8E">
        <w:t xml:space="preserve"> </w:t>
      </w:r>
    </w:p>
    <w:p w:rsidR="006B2B8E" w:rsidRDefault="006B2B8E" w:rsidP="006B2B8E">
      <w:pPr>
        <w:pStyle w:val="Heading2"/>
      </w:pPr>
      <w:bookmarkStart w:id="9" w:name="_Toc404159206"/>
      <w:r w:rsidRPr="00B47945">
        <w:t>Draft decision</w:t>
      </w:r>
      <w:bookmarkEnd w:id="8"/>
      <w:bookmarkEnd w:id="9"/>
    </w:p>
    <w:p w:rsidR="006B2B8E" w:rsidRDefault="006B2B8E" w:rsidP="006B2B8E">
      <w:pPr>
        <w:pStyle w:val="AERbodytext"/>
      </w:pPr>
      <w:r>
        <w:t xml:space="preserve">We will apply all components of version 4.1 of the STPIS to TransGrid for </w:t>
      </w:r>
      <w:r w:rsidRPr="00757E18">
        <w:rPr>
          <w:rStyle w:val="AERbody"/>
        </w:rPr>
        <w:t>the 2015–1</w:t>
      </w:r>
      <w:r w:rsidR="003E413E">
        <w:rPr>
          <w:rStyle w:val="AERbody"/>
        </w:rPr>
        <w:t>8</w:t>
      </w:r>
      <w:r w:rsidRPr="00757E18">
        <w:rPr>
          <w:rStyle w:val="AERbody"/>
        </w:rPr>
        <w:t xml:space="preserve"> regulatory</w:t>
      </w:r>
      <w:r>
        <w:t xml:space="preserve"> control period. We propose to apply the STPIS to TransGrid in accordance with the details set out below.</w:t>
      </w:r>
    </w:p>
    <w:p w:rsidR="006B2B8E" w:rsidRDefault="006B2B8E" w:rsidP="00C714DA">
      <w:pPr>
        <w:pStyle w:val="Heading3"/>
      </w:pPr>
      <w:bookmarkStart w:id="10" w:name="_Toc404159207"/>
      <w:r>
        <w:t>Service component</w:t>
      </w:r>
      <w:bookmarkEnd w:id="10"/>
    </w:p>
    <w:p w:rsidR="006B2B8E" w:rsidRPr="007432E6" w:rsidRDefault="006B2B8E" w:rsidP="006B2B8E">
      <w:pPr>
        <w:pStyle w:val="AERbodytext"/>
      </w:pPr>
      <w:r w:rsidRPr="007432E6">
        <w:t xml:space="preserve">We accept TransGrid's proposed performance targets for the service component because they comply with the requirements in clause 3.2 of the STPIS. However, we do not accept TransGrid's proposed </w:t>
      </w:r>
      <w:r w:rsidRPr="00C85765">
        <w:t>caps and collars</w:t>
      </w:r>
      <w:r>
        <w:rPr>
          <w:rStyle w:val="FootnoteReference"/>
        </w:rPr>
        <w:footnoteReference w:id="8"/>
      </w:r>
      <w:r>
        <w:t xml:space="preserve"> as the values of the parameters are not based on a sound methodology and thus do not satisfy clause 3.2(e) of the STPIS</w:t>
      </w:r>
      <w:r w:rsidRPr="007432E6">
        <w:t xml:space="preserve">. We consider the caps and collars calculated using our principle based approach as discussed in section </w:t>
      </w:r>
      <w:r w:rsidR="00C714DA">
        <w:t>1</w:t>
      </w:r>
      <w:r w:rsidR="00612E88">
        <w:fldChar w:fldCharType="begin"/>
      </w:r>
      <w:r w:rsidR="00612E88">
        <w:instrText xml:space="preserve"> REF _Ref403042079 \r \h </w:instrText>
      </w:r>
      <w:r w:rsidR="00612E88">
        <w:fldChar w:fldCharType="separate"/>
      </w:r>
      <w:r w:rsidR="00D83A83">
        <w:t>1.4</w:t>
      </w:r>
      <w:r w:rsidR="00612E88">
        <w:fldChar w:fldCharType="end"/>
      </w:r>
      <w:r w:rsidRPr="007432E6">
        <w:t xml:space="preserve"> will result in a materially stronger incentive to improve and maintain service performance. </w:t>
      </w:r>
      <w:r w:rsidRPr="007432E6">
        <w:fldChar w:fldCharType="begin"/>
      </w:r>
      <w:r w:rsidRPr="007432E6">
        <w:instrText xml:space="preserve"> REF _Ref357435873 \h </w:instrText>
      </w:r>
      <w:r w:rsidRPr="007432E6">
        <w:fldChar w:fldCharType="separate"/>
      </w:r>
      <w:r w:rsidR="00D83A83" w:rsidRPr="007432E6">
        <w:t xml:space="preserve">Table </w:t>
      </w:r>
      <w:r w:rsidR="00D83A83">
        <w:rPr>
          <w:noProof/>
        </w:rPr>
        <w:t>1</w:t>
      </w:r>
      <w:r w:rsidR="00C714DA">
        <w:rPr>
          <w:noProof/>
        </w:rPr>
        <w:t>1</w:t>
      </w:r>
      <w:r w:rsidR="00D83A83" w:rsidRPr="007432E6">
        <w:t>.</w:t>
      </w:r>
      <w:r w:rsidR="00D83A83">
        <w:rPr>
          <w:noProof/>
        </w:rPr>
        <w:t>1</w:t>
      </w:r>
      <w:r w:rsidRPr="007432E6">
        <w:fldChar w:fldCharType="end"/>
      </w:r>
      <w:r w:rsidRPr="007432E6">
        <w:t xml:space="preserve"> sets out our draft decision on TransGrid's service component parameter values. </w:t>
      </w:r>
    </w:p>
    <w:p w:rsidR="006B2B8E" w:rsidRPr="007432E6" w:rsidRDefault="006B2B8E" w:rsidP="006B2B8E">
      <w:pPr>
        <w:pStyle w:val="Caption"/>
      </w:pPr>
      <w:bookmarkStart w:id="11" w:name="_Ref357435873"/>
      <w:proofErr w:type="gramStart"/>
      <w:r w:rsidRPr="007432E6">
        <w:t xml:space="preserve">Table </w:t>
      </w:r>
      <w:r w:rsidR="00C714DA">
        <w:t>1</w:t>
      </w:r>
      <w:proofErr w:type="gramEnd"/>
      <w:r w:rsidR="0021354A">
        <w:fldChar w:fldCharType="begin"/>
      </w:r>
      <w:r w:rsidR="0021354A">
        <w:instrText xml:space="preserve"> STYLEREF 1 \s </w:instrText>
      </w:r>
      <w:r w:rsidR="0021354A">
        <w:fldChar w:fldCharType="separate"/>
      </w:r>
      <w:r w:rsidR="00D83A83">
        <w:rPr>
          <w:noProof/>
        </w:rPr>
        <w:t>1</w:t>
      </w:r>
      <w:r w:rsidR="0021354A">
        <w:rPr>
          <w:noProof/>
        </w:rPr>
        <w:fldChar w:fldCharType="end"/>
      </w:r>
      <w:proofErr w:type="gramStart"/>
      <w:r w:rsidRPr="007432E6">
        <w:t>.</w:t>
      </w:r>
      <w:proofErr w:type="gramEnd"/>
      <w:r w:rsidR="00D83A83">
        <w:fldChar w:fldCharType="begin"/>
      </w:r>
      <w:r w:rsidR="00D83A83">
        <w:instrText xml:space="preserve"> SEQ Table \* ARABIC \s 1 </w:instrText>
      </w:r>
      <w:r w:rsidR="00D83A83">
        <w:fldChar w:fldCharType="separate"/>
      </w:r>
      <w:r w:rsidR="00D83A83">
        <w:rPr>
          <w:noProof/>
        </w:rPr>
        <w:t>1</w:t>
      </w:r>
      <w:r w:rsidR="00D83A83">
        <w:rPr>
          <w:noProof/>
        </w:rPr>
        <w:fldChar w:fldCharType="end"/>
      </w:r>
      <w:bookmarkEnd w:id="11"/>
      <w:r w:rsidRPr="007432E6">
        <w:tab/>
        <w:t>AER's draft decision on TransGrid's parameter values and weightings for the service component of the STPIS</w:t>
      </w:r>
    </w:p>
    <w:tbl>
      <w:tblPr>
        <w:tblStyle w:val="AERtable-numbers"/>
        <w:tblW w:w="0" w:type="auto"/>
        <w:tblLook w:val="04A0" w:firstRow="1" w:lastRow="0" w:firstColumn="1" w:lastColumn="0" w:noHBand="0" w:noVBand="1"/>
      </w:tblPr>
      <w:tblGrid>
        <w:gridCol w:w="3085"/>
        <w:gridCol w:w="1539"/>
        <w:gridCol w:w="1539"/>
        <w:gridCol w:w="1539"/>
        <w:gridCol w:w="1540"/>
      </w:tblGrid>
      <w:tr w:rsidR="006B2B8E" w:rsidRPr="00682A64" w:rsidTr="00C714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p>
        </w:tc>
        <w:tc>
          <w:tcPr>
            <w:tcW w:w="1539"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7432E6">
              <w:t>Collar</w:t>
            </w:r>
          </w:p>
        </w:tc>
        <w:tc>
          <w:tcPr>
            <w:tcW w:w="1539"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7432E6">
              <w:t>Target</w:t>
            </w:r>
          </w:p>
        </w:tc>
        <w:tc>
          <w:tcPr>
            <w:tcW w:w="1539"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7432E6">
              <w:t>Cap</w:t>
            </w:r>
          </w:p>
        </w:tc>
        <w:tc>
          <w:tcPr>
            <w:tcW w:w="1540"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7432E6">
              <w:t xml:space="preserve">Weighting </w:t>
            </w:r>
            <w:r w:rsidRPr="007432E6">
              <w:br/>
              <w:t>(% of MAR)</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rPr>
                <w:rStyle w:val="AERtextbold"/>
              </w:rPr>
            </w:pPr>
            <w:r w:rsidRPr="007432E6">
              <w:rPr>
                <w:rStyle w:val="AERtextbold"/>
              </w:rPr>
              <w:t>Average circuit outage rate</w:t>
            </w:r>
          </w:p>
        </w:tc>
        <w:tc>
          <w:tcPr>
            <w:tcW w:w="1539"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1540"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Line outage – fault</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22.26%</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17.86%</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12.38%</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0.2</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Transformer outage – fault</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19.01%</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14.92%</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10.26%</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0.2</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 xml:space="preserve">Reactive plant – fault </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22.73%</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15.54%</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9.54%</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0.1</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Line outage – forced outage</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25.49</w:t>
            </w:r>
            <w:r w:rsidRPr="006B2B8E">
              <w:t>%</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14.98%</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1.34</w:t>
            </w:r>
            <w:r w:rsidRPr="006B2B8E">
              <w:t>%</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0.0</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Transformer outage – forced outage</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24.15%</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20.25%</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15.56%</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0.0</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Reactive plant – forced outage</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28.55%</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20.39%</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6.55%</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0.0</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rPr>
                <w:rStyle w:val="AERtextbold"/>
              </w:rPr>
            </w:pPr>
            <w:r w:rsidRPr="007432E6">
              <w:rPr>
                <w:rStyle w:val="AERtextbold"/>
              </w:rPr>
              <w:t>Loss of supply event frequency</w:t>
            </w:r>
          </w:p>
        </w:tc>
        <w:tc>
          <w:tcPr>
            <w:tcW w:w="1539" w:type="dxa"/>
          </w:tcPr>
          <w:p w:rsidR="006B2B8E" w:rsidRPr="007432E6"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p>
        </w:tc>
        <w:tc>
          <w:tcPr>
            <w:tcW w:w="1539" w:type="dxa"/>
          </w:tcPr>
          <w:p w:rsidR="006B2B8E" w:rsidRPr="007432E6"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p>
        </w:tc>
        <w:tc>
          <w:tcPr>
            <w:tcW w:w="1539" w:type="dxa"/>
          </w:tcPr>
          <w:p w:rsidR="006B2B8E" w:rsidRPr="007432E6"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p>
        </w:tc>
        <w:tc>
          <w:tcPr>
            <w:tcW w:w="1540" w:type="dxa"/>
          </w:tcPr>
          <w:p w:rsidR="006B2B8E" w:rsidRPr="007432E6"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7432E6">
              <w:t>&gt;0.05 system minutes</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4</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3</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2</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0.15</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&gt;0.25 system minutes</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1</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0</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0.15</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rPr>
                <w:rStyle w:val="AERtextbold"/>
              </w:rPr>
            </w:pPr>
            <w:r w:rsidRPr="007432E6">
              <w:rPr>
                <w:rStyle w:val="AERtextbold"/>
              </w:rPr>
              <w:lastRenderedPageBreak/>
              <w:t>Average outage duration</w:t>
            </w:r>
          </w:p>
        </w:tc>
        <w:tc>
          <w:tcPr>
            <w:tcW w:w="1539"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1540"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Average outage duration</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266.53</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144.49</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67.97</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0.2</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rPr>
                <w:rStyle w:val="AERtextbold"/>
              </w:rPr>
            </w:pPr>
            <w:r w:rsidRPr="007432E6">
              <w:rPr>
                <w:rStyle w:val="AERtextbold"/>
              </w:rPr>
              <w:t>Proper operation of equipment</w:t>
            </w:r>
            <w:r w:rsidRPr="006B2B8E">
              <w:rPr>
                <w:rStyle w:val="FootnoteReference"/>
              </w:rPr>
              <w:footnoteReference w:id="9"/>
            </w:r>
          </w:p>
        </w:tc>
        <w:tc>
          <w:tcPr>
            <w:tcW w:w="1539"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1539"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1540"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Failure of protection system</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n/a</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n/a</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n/a</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0.0</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Material failure of SCADA</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n/a</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n/a</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n/a</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0.0</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7432E6" w:rsidRDefault="006B2B8E" w:rsidP="006B2B8E">
            <w:pPr>
              <w:pStyle w:val="AERbodytext"/>
            </w:pPr>
            <w:r w:rsidRPr="007432E6">
              <w:t>Incorrect operational isolation of primary or secondary equipment</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n/a</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n/a</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n/a</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0.0</w:t>
            </w:r>
          </w:p>
        </w:tc>
      </w:tr>
    </w:tbl>
    <w:p w:rsidR="006B2B8E" w:rsidRPr="007432E6" w:rsidRDefault="006B2B8E" w:rsidP="006B2B8E">
      <w:pPr>
        <w:pStyle w:val="AERtablesource"/>
      </w:pPr>
      <w:r w:rsidRPr="007432E6">
        <w:t xml:space="preserve">Sources: TransGrid, </w:t>
      </w:r>
      <w:r w:rsidRPr="007432E6">
        <w:rPr>
          <w:rStyle w:val="AERtextitalic"/>
        </w:rPr>
        <w:t>Revenue proposal 2014/15–2018/19</w:t>
      </w:r>
      <w:r w:rsidRPr="007432E6">
        <w:t xml:space="preserve">, p. 226; AER analysis. </w:t>
      </w:r>
    </w:p>
    <w:p w:rsidR="006B2B8E" w:rsidRDefault="006B2B8E" w:rsidP="00C714DA">
      <w:pPr>
        <w:pStyle w:val="Heading3"/>
      </w:pPr>
      <w:bookmarkStart w:id="12" w:name="_Toc404159208"/>
      <w:r>
        <w:t>Market impact component</w:t>
      </w:r>
      <w:bookmarkEnd w:id="12"/>
    </w:p>
    <w:p w:rsidR="006B2B8E" w:rsidRPr="003923D5" w:rsidRDefault="006B2B8E" w:rsidP="003E413E">
      <w:pPr>
        <w:pStyle w:val="AERbodytext"/>
      </w:pPr>
      <w:r>
        <w:t>As foreshadowed in our transitional transmission determination for TransGrid</w:t>
      </w:r>
      <w:r>
        <w:rPr>
          <w:rStyle w:val="FootnoteReference"/>
        </w:rPr>
        <w:footnoteReference w:id="10"/>
      </w:r>
      <w:r>
        <w:t>, we have validated and confirmed the 2011, 2012 and 2013 market impact performance data which was included within TransGri</w:t>
      </w:r>
      <w:r w:rsidRPr="003E413E">
        <w:t xml:space="preserve">d's </w:t>
      </w:r>
      <w:r w:rsidRPr="003E413E">
        <w:rPr>
          <w:rStyle w:val="AERtexthighlight"/>
          <w:shd w:val="clear" w:color="auto" w:fill="auto"/>
        </w:rPr>
        <w:t>2015–18</w:t>
      </w:r>
      <w:r w:rsidRPr="003E413E">
        <w:t xml:space="preserve"> revenue </w:t>
      </w:r>
      <w:r>
        <w:t xml:space="preserve">proposal. The validation of this performance data allows us to calculate TransGrid's market impact parameter performance target for 2014, being the average of its 2011, 2012 and 2013 annual performance. TransGrid's market impact parameter targets that will apply within </w:t>
      </w:r>
      <w:r w:rsidRPr="003E413E">
        <w:t xml:space="preserve">the </w:t>
      </w:r>
      <w:r w:rsidRPr="003E413E">
        <w:rPr>
          <w:rStyle w:val="AERtexthighlight"/>
          <w:shd w:val="clear" w:color="auto" w:fill="auto"/>
        </w:rPr>
        <w:t>2015–18 regulatory control period</w:t>
      </w:r>
      <w:r w:rsidRPr="003E413E">
        <w:t xml:space="preserve"> will</w:t>
      </w:r>
      <w:r>
        <w:t xml:space="preserve"> be </w:t>
      </w:r>
      <w:r w:rsidRPr="003923D5">
        <w:t xml:space="preserve">published annually </w:t>
      </w:r>
      <w:r>
        <w:t>as part of our service standards compliance reporting process.</w:t>
      </w:r>
      <w:r>
        <w:rPr>
          <w:rStyle w:val="FootnoteReference"/>
        </w:rPr>
        <w:footnoteReference w:id="11"/>
      </w:r>
    </w:p>
    <w:p w:rsidR="006B2B8E" w:rsidRDefault="006B2B8E" w:rsidP="004B00F6">
      <w:pPr>
        <w:pStyle w:val="AERbodytext"/>
      </w:pPr>
      <w:r w:rsidRPr="004B00F6">
        <w:t xml:space="preserve">As a result of our audit, we made adjustments to the market impact performance values submitted by TransGrid. </w:t>
      </w:r>
      <w:r w:rsidRPr="004B00F6">
        <w:rPr>
          <w:rStyle w:val="AERtexthighlight"/>
          <w:shd w:val="clear" w:color="auto" w:fill="auto"/>
        </w:rPr>
        <w:t xml:space="preserve">We adjusted TransGrid's 2011 performance from </w:t>
      </w:r>
      <w:r w:rsidRPr="004B00F6">
        <w:t>872</w:t>
      </w:r>
      <w:r w:rsidRPr="004B00F6">
        <w:rPr>
          <w:rStyle w:val="AERtexthighlight"/>
          <w:shd w:val="clear" w:color="auto" w:fill="auto"/>
        </w:rPr>
        <w:t xml:space="preserve"> to 870 dispatch intervals, its 2012 performance from 737 to 773 dispatch intervals and its 2013 performance remained at 593 dispatch intervals. </w:t>
      </w:r>
      <w:r w:rsidRPr="004B00F6">
        <w:t>Consequently, TransGrid's market impact performance target for 2014</w:t>
      </w:r>
      <w:r>
        <w:t xml:space="preserve"> is 745</w:t>
      </w:r>
      <w:r w:rsidRPr="008C5D76">
        <w:t xml:space="preserve"> dispatch intervals.</w:t>
      </w:r>
      <w:r>
        <w:rPr>
          <w:rStyle w:val="FootnoteReference"/>
        </w:rPr>
        <w:footnoteReference w:id="12"/>
      </w:r>
    </w:p>
    <w:p w:rsidR="006B2B8E" w:rsidRDefault="006B2B8E" w:rsidP="00C714DA">
      <w:pPr>
        <w:pStyle w:val="Heading3"/>
      </w:pPr>
      <w:bookmarkStart w:id="13" w:name="_Toc404159209"/>
      <w:r>
        <w:t>Network capability component</w:t>
      </w:r>
      <w:bookmarkEnd w:id="13"/>
    </w:p>
    <w:p w:rsidR="006B2B8E" w:rsidRPr="00E0368B" w:rsidRDefault="006B2B8E" w:rsidP="006B2B8E">
      <w:pPr>
        <w:pStyle w:val="AERbodytext"/>
      </w:pPr>
      <w:r w:rsidRPr="00E0368B">
        <w:t xml:space="preserve">We accept </w:t>
      </w:r>
      <w:r>
        <w:t>TransGrid's</w:t>
      </w:r>
      <w:r w:rsidRPr="00E0368B">
        <w:t xml:space="preserve"> proposed priority projects and improvement targets because we consider they meet the requirements of the STPIS. </w:t>
      </w:r>
      <w:r>
        <w:t>T</w:t>
      </w:r>
      <w:r w:rsidRPr="00213186">
        <w:t xml:space="preserve">he average total expenditure of the priority projects in each regulatory year is not greater than 1 per cent of TransGrid's proposed average maximum allowed revenue as required by clause 5.2(b) of the STPIS. </w:t>
      </w:r>
      <w:r w:rsidRPr="00E0368B">
        <w:t xml:space="preserve">We considered </w:t>
      </w:r>
      <w:r w:rsidR="00662027">
        <w:t>the Australian Energy Market Operator’s (</w:t>
      </w:r>
      <w:r w:rsidRPr="00E0368B">
        <w:t>AEMO</w:t>
      </w:r>
      <w:r w:rsidR="00662027">
        <w:t>)</w:t>
      </w:r>
      <w:r w:rsidRPr="00E0368B">
        <w:t xml:space="preserve"> review of </w:t>
      </w:r>
      <w:r>
        <w:t>TransGrid's</w:t>
      </w:r>
      <w:r w:rsidRPr="00E0368B">
        <w:t xml:space="preserve"> priority projects when making our decision.</w:t>
      </w:r>
      <w:r>
        <w:t xml:space="preserve"> </w:t>
      </w:r>
      <w:r>
        <w:fldChar w:fldCharType="begin"/>
      </w:r>
      <w:r>
        <w:instrText xml:space="preserve"> REF _Ref363217118 \h </w:instrText>
      </w:r>
      <w:r>
        <w:fldChar w:fldCharType="separate"/>
      </w:r>
      <w:r w:rsidR="00D83A83">
        <w:t xml:space="preserve">Table </w:t>
      </w:r>
      <w:r w:rsidR="00D83A83">
        <w:rPr>
          <w:noProof/>
        </w:rPr>
        <w:t>1</w:t>
      </w:r>
      <w:r w:rsidR="00C714DA">
        <w:rPr>
          <w:noProof/>
        </w:rPr>
        <w:t>1</w:t>
      </w:r>
      <w:r w:rsidR="00D83A83">
        <w:t>.</w:t>
      </w:r>
      <w:r w:rsidR="00D83A83">
        <w:rPr>
          <w:noProof/>
        </w:rPr>
        <w:t>2</w:t>
      </w:r>
      <w:r>
        <w:fldChar w:fldCharType="end"/>
      </w:r>
      <w:r>
        <w:t xml:space="preserve"> </w:t>
      </w:r>
      <w:r w:rsidRPr="00E0368B">
        <w:t xml:space="preserve">sets out our draft decision on </w:t>
      </w:r>
      <w:r>
        <w:t>TransGrid's</w:t>
      </w:r>
      <w:r w:rsidRPr="00E0368B">
        <w:t xml:space="preserve"> proposed priority projects, improvement targets and project ranking. </w:t>
      </w:r>
    </w:p>
    <w:p w:rsidR="006B2B8E" w:rsidRDefault="006B2B8E" w:rsidP="006B2B8E">
      <w:pPr>
        <w:pStyle w:val="Caption"/>
      </w:pPr>
      <w:bookmarkStart w:id="14" w:name="_Ref363217118"/>
      <w:proofErr w:type="gramStart"/>
      <w:r>
        <w:lastRenderedPageBreak/>
        <w:t xml:space="preserve">Table </w:t>
      </w:r>
      <w:proofErr w:type="gramEnd"/>
      <w:r w:rsidRPr="00964A91">
        <w:fldChar w:fldCharType="begin"/>
      </w:r>
      <w:r>
        <w:instrText xml:space="preserve"> STYLEREF 1 \s </w:instrText>
      </w:r>
      <w:r w:rsidRPr="00964A91">
        <w:fldChar w:fldCharType="separate"/>
      </w:r>
      <w:r w:rsidR="00D83A83">
        <w:rPr>
          <w:noProof/>
        </w:rPr>
        <w:t>1</w:t>
      </w:r>
      <w:r w:rsidRPr="00964A91">
        <w:fldChar w:fldCharType="end"/>
      </w:r>
      <w:proofErr w:type="gramStart"/>
      <w:r w:rsidR="00C714DA">
        <w:t>1</w:t>
      </w:r>
      <w:r>
        <w:t>.</w:t>
      </w:r>
      <w:proofErr w:type="gramEnd"/>
      <w:r w:rsidRPr="00E02761">
        <w:fldChar w:fldCharType="begin"/>
      </w:r>
      <w:r>
        <w:instrText xml:space="preserve"> SEQ Table \* ARABIC \s 1 </w:instrText>
      </w:r>
      <w:r w:rsidRPr="00E02761">
        <w:fldChar w:fldCharType="separate"/>
      </w:r>
      <w:r w:rsidR="00D83A83">
        <w:rPr>
          <w:noProof/>
        </w:rPr>
        <w:t>2</w:t>
      </w:r>
      <w:r w:rsidRPr="00E02761">
        <w:fldChar w:fldCharType="end"/>
      </w:r>
      <w:bookmarkEnd w:id="14"/>
      <w:r>
        <w:tab/>
        <w:t>AER’s draft decision on TransGrid's network capability priority projects ($ 000s, 2013–14)</w:t>
      </w:r>
    </w:p>
    <w:tbl>
      <w:tblPr>
        <w:tblStyle w:val="AERtable-text"/>
        <w:tblW w:w="0" w:type="auto"/>
        <w:tblLook w:val="04A0" w:firstRow="1" w:lastRow="0" w:firstColumn="1" w:lastColumn="0" w:noHBand="0" w:noVBand="1"/>
      </w:tblPr>
      <w:tblGrid>
        <w:gridCol w:w="821"/>
        <w:gridCol w:w="1726"/>
        <w:gridCol w:w="2181"/>
        <w:gridCol w:w="2232"/>
        <w:gridCol w:w="753"/>
        <w:gridCol w:w="729"/>
        <w:gridCol w:w="800"/>
      </w:tblGrid>
      <w:tr w:rsidR="006B2B8E" w:rsidTr="004B00F6">
        <w:trPr>
          <w:cnfStyle w:val="100000000000" w:firstRow="1" w:lastRow="0" w:firstColumn="0" w:lastColumn="0" w:oddVBand="0" w:evenVBand="0" w:oddHBand="0" w:evenHBand="0" w:firstRowFirstColumn="0" w:firstRowLastColumn="0" w:lastRowFirstColumn="0" w:lastRowLastColumn="0"/>
          <w:tblHeader/>
        </w:trPr>
        <w:tc>
          <w:tcPr>
            <w:tcW w:w="853" w:type="dxa"/>
          </w:tcPr>
          <w:p w:rsidR="006B2B8E" w:rsidRPr="0053454A" w:rsidRDefault="006B2B8E" w:rsidP="006B2B8E">
            <w:pPr>
              <w:pStyle w:val="AERbodytext"/>
              <w:rPr>
                <w:rStyle w:val="AERtextbold"/>
              </w:rPr>
            </w:pPr>
            <w:r w:rsidRPr="0053454A">
              <w:rPr>
                <w:rStyle w:val="AERtextbold"/>
              </w:rPr>
              <w:t>Ranking</w:t>
            </w:r>
          </w:p>
        </w:tc>
        <w:tc>
          <w:tcPr>
            <w:tcW w:w="2374" w:type="dxa"/>
          </w:tcPr>
          <w:p w:rsidR="006B2B8E" w:rsidRPr="0053454A" w:rsidRDefault="006B2B8E" w:rsidP="006B2B8E">
            <w:pPr>
              <w:pStyle w:val="AERbodytext"/>
              <w:rPr>
                <w:rStyle w:val="AERtextbold"/>
              </w:rPr>
            </w:pPr>
            <w:r w:rsidRPr="0053454A">
              <w:rPr>
                <w:rStyle w:val="AERtextbold"/>
              </w:rPr>
              <w:t>Project</w:t>
            </w:r>
          </w:p>
        </w:tc>
        <w:tc>
          <w:tcPr>
            <w:tcW w:w="3827" w:type="dxa"/>
          </w:tcPr>
          <w:p w:rsidR="006B2B8E" w:rsidRPr="0053454A" w:rsidRDefault="006B2B8E" w:rsidP="006B2B8E">
            <w:pPr>
              <w:pStyle w:val="AERbodytext"/>
              <w:rPr>
                <w:rStyle w:val="AERtextbold"/>
              </w:rPr>
            </w:pPr>
            <w:r w:rsidRPr="0053454A">
              <w:rPr>
                <w:rStyle w:val="AERtextbold"/>
              </w:rPr>
              <w:t>Description</w:t>
            </w:r>
          </w:p>
        </w:tc>
        <w:tc>
          <w:tcPr>
            <w:tcW w:w="4111" w:type="dxa"/>
          </w:tcPr>
          <w:p w:rsidR="006B2B8E" w:rsidRPr="0053454A" w:rsidRDefault="006B2B8E" w:rsidP="006B2B8E">
            <w:pPr>
              <w:pStyle w:val="AERbodytext"/>
              <w:rPr>
                <w:rStyle w:val="AERtextbold"/>
              </w:rPr>
            </w:pPr>
            <w:r w:rsidRPr="0053454A">
              <w:rPr>
                <w:rStyle w:val="AERtextbold"/>
              </w:rPr>
              <w:t>Improvement target</w:t>
            </w:r>
          </w:p>
        </w:tc>
        <w:tc>
          <w:tcPr>
            <w:tcW w:w="850" w:type="dxa"/>
          </w:tcPr>
          <w:p w:rsidR="006B2B8E" w:rsidRPr="0053454A" w:rsidRDefault="006B2B8E" w:rsidP="006B2B8E">
            <w:pPr>
              <w:pStyle w:val="AERbodytext"/>
              <w:rPr>
                <w:rStyle w:val="AERtextbold"/>
              </w:rPr>
            </w:pPr>
            <w:r w:rsidRPr="0053454A">
              <w:rPr>
                <w:rStyle w:val="AERtextbold"/>
              </w:rPr>
              <w:t>Capex</w:t>
            </w:r>
          </w:p>
        </w:tc>
        <w:tc>
          <w:tcPr>
            <w:tcW w:w="993" w:type="dxa"/>
          </w:tcPr>
          <w:p w:rsidR="006B2B8E" w:rsidRPr="0053454A" w:rsidRDefault="006B2B8E" w:rsidP="006B2B8E">
            <w:pPr>
              <w:pStyle w:val="AERbodytext"/>
              <w:rPr>
                <w:rStyle w:val="AERtextbold"/>
              </w:rPr>
            </w:pPr>
            <w:r w:rsidRPr="0053454A">
              <w:rPr>
                <w:rStyle w:val="AERtextbold"/>
              </w:rPr>
              <w:t>Opex</w:t>
            </w:r>
          </w:p>
        </w:tc>
        <w:tc>
          <w:tcPr>
            <w:tcW w:w="992" w:type="dxa"/>
          </w:tcPr>
          <w:p w:rsidR="006B2B8E" w:rsidRPr="0053454A" w:rsidRDefault="006B2B8E" w:rsidP="006B2B8E">
            <w:pPr>
              <w:pStyle w:val="AERbodytext"/>
              <w:rPr>
                <w:rStyle w:val="AERtextbold"/>
              </w:rPr>
            </w:pPr>
            <w:r w:rsidRPr="0053454A">
              <w:rPr>
                <w:rStyle w:val="AERtextbold"/>
              </w:rPr>
              <w:t>Total</w:t>
            </w:r>
          </w:p>
        </w:tc>
      </w:tr>
      <w:tr w:rsidR="006B2B8E" w:rsidTr="004B00F6">
        <w:tc>
          <w:tcPr>
            <w:tcW w:w="853" w:type="dxa"/>
          </w:tcPr>
          <w:p w:rsidR="006B2B8E" w:rsidRPr="00630CA9" w:rsidRDefault="006B2B8E" w:rsidP="006B2B8E">
            <w:pPr>
              <w:pStyle w:val="AERbodytext"/>
            </w:pPr>
            <w:r>
              <w:t>1</w:t>
            </w:r>
          </w:p>
        </w:tc>
        <w:tc>
          <w:tcPr>
            <w:tcW w:w="2374" w:type="dxa"/>
          </w:tcPr>
          <w:p w:rsidR="006B2B8E" w:rsidRPr="006B2B8E" w:rsidRDefault="006B2B8E" w:rsidP="006B2B8E">
            <w:pPr>
              <w:pStyle w:val="AERtabletextleft"/>
            </w:pPr>
            <w:r w:rsidRPr="00FB5FC7">
              <w:t>Current Transformer Secondary Ratios</w:t>
            </w:r>
            <w:r w:rsidRPr="006B2B8E">
              <w:t xml:space="preserve"> - Queensland – New South Wales Interconnector</w:t>
            </w:r>
          </w:p>
        </w:tc>
        <w:tc>
          <w:tcPr>
            <w:tcW w:w="3827" w:type="dxa"/>
          </w:tcPr>
          <w:p w:rsidR="006B2B8E" w:rsidRPr="006B2B8E" w:rsidRDefault="006B2B8E" w:rsidP="006B2B8E">
            <w:pPr>
              <w:pStyle w:val="AERtabletextleft"/>
            </w:pPr>
            <w:r>
              <w:t>Changes to current transformer secondary ratios on 8C, 8E, 8L and 8M lines.</w:t>
            </w:r>
          </w:p>
        </w:tc>
        <w:tc>
          <w:tcPr>
            <w:tcW w:w="4111" w:type="dxa"/>
          </w:tcPr>
          <w:p w:rsidR="006B2B8E" w:rsidRPr="006B2B8E" w:rsidRDefault="006B2B8E" w:rsidP="006B2B8E">
            <w:pPr>
              <w:pStyle w:val="AERtabletextleft"/>
            </w:pPr>
            <w:r>
              <w:t>Full use of line thermal capacity of 1200MVA for 8C and 8E 330kV Armidale - Dumaresq circuits and 8L and 8M Dumaresq - Bulli Creek circuits during system normal conditions.</w:t>
            </w:r>
          </w:p>
        </w:tc>
        <w:tc>
          <w:tcPr>
            <w:tcW w:w="850" w:type="dxa"/>
          </w:tcPr>
          <w:p w:rsidR="006B2B8E" w:rsidRPr="006B2B8E" w:rsidRDefault="006B2B8E" w:rsidP="006B2B8E">
            <w:pPr>
              <w:pStyle w:val="AERtabletextleft"/>
            </w:pPr>
            <w:r>
              <w:t>0</w:t>
            </w:r>
          </w:p>
        </w:tc>
        <w:tc>
          <w:tcPr>
            <w:tcW w:w="993" w:type="dxa"/>
          </w:tcPr>
          <w:p w:rsidR="006B2B8E" w:rsidRPr="006B2B8E" w:rsidRDefault="006B2B8E" w:rsidP="006B2B8E">
            <w:pPr>
              <w:pStyle w:val="AERtabletextleft"/>
            </w:pPr>
            <w:r>
              <w:t>55</w:t>
            </w:r>
          </w:p>
        </w:tc>
        <w:tc>
          <w:tcPr>
            <w:tcW w:w="992" w:type="dxa"/>
          </w:tcPr>
          <w:p w:rsidR="006B2B8E" w:rsidRPr="006B2B8E" w:rsidRDefault="006B2B8E" w:rsidP="006B2B8E">
            <w:pPr>
              <w:pStyle w:val="AERtabletextleft"/>
            </w:pPr>
            <w:r>
              <w:t>55</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2</w:t>
            </w:r>
          </w:p>
        </w:tc>
        <w:tc>
          <w:tcPr>
            <w:tcW w:w="2374" w:type="dxa"/>
          </w:tcPr>
          <w:p w:rsidR="006B2B8E" w:rsidRPr="006B2B8E" w:rsidRDefault="006B2B8E" w:rsidP="006B2B8E">
            <w:pPr>
              <w:pStyle w:val="AERtabletextleft"/>
            </w:pPr>
            <w:r w:rsidRPr="00FB5FC7">
              <w:t>Terminal Equipment Upgrades</w:t>
            </w:r>
            <w:r w:rsidRPr="006B2B8E">
              <w:t xml:space="preserve"> - 67 &amp; 68 Murray – Dederang </w:t>
            </w:r>
            <w:proofErr w:type="spellStart"/>
            <w:r w:rsidRPr="006B2B8E">
              <w:t>Switchbays</w:t>
            </w:r>
            <w:proofErr w:type="spellEnd"/>
          </w:p>
        </w:tc>
        <w:tc>
          <w:tcPr>
            <w:tcW w:w="3827" w:type="dxa"/>
          </w:tcPr>
          <w:p w:rsidR="006B2B8E" w:rsidRPr="006B2B8E" w:rsidRDefault="006B2B8E" w:rsidP="006B2B8E">
            <w:pPr>
              <w:pStyle w:val="AERtabletextleft"/>
            </w:pPr>
            <w:r>
              <w:t xml:space="preserve">Replace wave traps, </w:t>
            </w:r>
            <w:proofErr w:type="spellStart"/>
            <w:r>
              <w:t>disconnectors</w:t>
            </w:r>
            <w:proofErr w:type="spellEnd"/>
            <w:r>
              <w:t xml:space="preserve"> and change CT ratios and protection settings on 67 &amp; 68 line </w:t>
            </w:r>
            <w:proofErr w:type="spellStart"/>
            <w:r>
              <w:t>switchbays</w:t>
            </w:r>
            <w:proofErr w:type="spellEnd"/>
            <w:r>
              <w:t xml:space="preserve"> at Murray.</w:t>
            </w:r>
          </w:p>
        </w:tc>
        <w:tc>
          <w:tcPr>
            <w:tcW w:w="4111" w:type="dxa"/>
          </w:tcPr>
          <w:p w:rsidR="006B2B8E" w:rsidRPr="006B2B8E" w:rsidRDefault="006B2B8E" w:rsidP="006B2B8E">
            <w:pPr>
              <w:pStyle w:val="AERtabletextleft"/>
            </w:pPr>
            <w:r>
              <w:t xml:space="preserve">Terminal equipment </w:t>
            </w:r>
            <w:r w:rsidRPr="006B2B8E">
              <w:t>ratings that allow the use of dynamic rating capacity of 1486MVA for 67 &amp; 68 Lines.</w:t>
            </w:r>
          </w:p>
        </w:tc>
        <w:tc>
          <w:tcPr>
            <w:tcW w:w="850" w:type="dxa"/>
          </w:tcPr>
          <w:p w:rsidR="006B2B8E" w:rsidRPr="006B2B8E" w:rsidRDefault="006B2B8E" w:rsidP="006B2B8E">
            <w:pPr>
              <w:pStyle w:val="AERtabletextleft"/>
            </w:pPr>
            <w:r>
              <w:t>360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360</w:t>
            </w:r>
          </w:p>
        </w:tc>
      </w:tr>
      <w:tr w:rsidR="006B2B8E" w:rsidTr="004B00F6">
        <w:tc>
          <w:tcPr>
            <w:tcW w:w="853" w:type="dxa"/>
          </w:tcPr>
          <w:p w:rsidR="006B2B8E" w:rsidRPr="00630CA9" w:rsidRDefault="006B2B8E" w:rsidP="006B2B8E">
            <w:pPr>
              <w:pStyle w:val="AERbodytext"/>
            </w:pPr>
            <w:r>
              <w:t>3</w:t>
            </w:r>
          </w:p>
        </w:tc>
        <w:tc>
          <w:tcPr>
            <w:tcW w:w="2374" w:type="dxa"/>
          </w:tcPr>
          <w:p w:rsidR="006B2B8E" w:rsidRPr="006B2B8E" w:rsidRDefault="006B2B8E" w:rsidP="006B2B8E">
            <w:pPr>
              <w:pStyle w:val="AERtabletextleft"/>
            </w:pPr>
            <w:r w:rsidRPr="00FB5FC7">
              <w:t>Protection &amp; Metering Upgrades</w:t>
            </w:r>
            <w:r w:rsidRPr="006B2B8E">
              <w:t xml:space="preserve"> - 993 Line Protection &amp; Metering Upgrade</w:t>
            </w:r>
          </w:p>
        </w:tc>
        <w:tc>
          <w:tcPr>
            <w:tcW w:w="3827" w:type="dxa"/>
          </w:tcPr>
          <w:p w:rsidR="006B2B8E" w:rsidRPr="006B2B8E" w:rsidRDefault="006B2B8E" w:rsidP="006B2B8E">
            <w:pPr>
              <w:pStyle w:val="AERtabletextleft"/>
            </w:pPr>
            <w:r>
              <w:t>Replace the secondary systems panel for 993 Line at Wagga 330 substation.</w:t>
            </w:r>
          </w:p>
        </w:tc>
        <w:tc>
          <w:tcPr>
            <w:tcW w:w="4111" w:type="dxa"/>
          </w:tcPr>
          <w:p w:rsidR="006B2B8E" w:rsidRPr="006B2B8E" w:rsidRDefault="006B2B8E" w:rsidP="006B2B8E">
            <w:pPr>
              <w:pStyle w:val="AERtabletextleft"/>
            </w:pPr>
            <w:r>
              <w:t xml:space="preserve">Full use of </w:t>
            </w:r>
            <w:r w:rsidRPr="006B2B8E">
              <w:t>contingent capacity of 122 MVA for 993 Line.</w:t>
            </w:r>
          </w:p>
        </w:tc>
        <w:tc>
          <w:tcPr>
            <w:tcW w:w="850" w:type="dxa"/>
          </w:tcPr>
          <w:p w:rsidR="006B2B8E" w:rsidRPr="006B2B8E" w:rsidRDefault="006B2B8E" w:rsidP="006B2B8E">
            <w:pPr>
              <w:pStyle w:val="AERtabletextleft"/>
            </w:pPr>
            <w:r>
              <w:t>90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90</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4</w:t>
            </w:r>
          </w:p>
        </w:tc>
        <w:tc>
          <w:tcPr>
            <w:tcW w:w="2374" w:type="dxa"/>
          </w:tcPr>
          <w:p w:rsidR="006B2B8E" w:rsidRPr="006B2B8E" w:rsidRDefault="006B2B8E" w:rsidP="006B2B8E">
            <w:pPr>
              <w:pStyle w:val="AERtabletextleft"/>
            </w:pPr>
            <w:r w:rsidRPr="00FB5FC7">
              <w:t>Dynamic Line Ratings &amp; Transmission</w:t>
            </w:r>
            <w:r w:rsidRPr="006B2B8E">
              <w:t xml:space="preserve"> Line Uprating - 83 Liddell – Muswellbrook, 84 Liddell – Tamworth 330, 85 &amp; 86 Tamworth 330 – Armidale &amp; 88 Muswellbrook – Tamworth 330 330kV Lines</w:t>
            </w:r>
          </w:p>
        </w:tc>
        <w:tc>
          <w:tcPr>
            <w:tcW w:w="3827" w:type="dxa"/>
          </w:tcPr>
          <w:p w:rsidR="006B2B8E" w:rsidRPr="006B2B8E" w:rsidRDefault="006B2B8E" w:rsidP="006B2B8E">
            <w:pPr>
              <w:pStyle w:val="AERtabletextleft"/>
            </w:pPr>
            <w:r>
              <w:t xml:space="preserve">Install dynamic </w:t>
            </w:r>
            <w:r w:rsidRPr="006B2B8E">
              <w:t>line ratings based on real time ambient temperatures and wind speeds on 83, 84, 85, 86 and 88 Lines.</w:t>
            </w:r>
          </w:p>
        </w:tc>
        <w:tc>
          <w:tcPr>
            <w:tcW w:w="4111" w:type="dxa"/>
          </w:tcPr>
          <w:p w:rsidR="006B2B8E" w:rsidRPr="006B2B8E" w:rsidRDefault="006B2B8E" w:rsidP="006B2B8E">
            <w:pPr>
              <w:pStyle w:val="AERtabletextleft"/>
            </w:pPr>
            <w:r>
              <w:t>Improved rating information based on real time ambient temperature and wind speed for these lines, which will allow increased line ratings of approximately 20% at times of favourable conditions.</w:t>
            </w:r>
          </w:p>
        </w:tc>
        <w:tc>
          <w:tcPr>
            <w:tcW w:w="850" w:type="dxa"/>
          </w:tcPr>
          <w:p w:rsidR="006B2B8E" w:rsidRPr="006B2B8E" w:rsidRDefault="006B2B8E" w:rsidP="006B2B8E">
            <w:pPr>
              <w:pStyle w:val="AERtabletextleft"/>
            </w:pPr>
            <w:r>
              <w:t>1,100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1,100</w:t>
            </w:r>
          </w:p>
        </w:tc>
      </w:tr>
      <w:tr w:rsidR="006B2B8E" w:rsidTr="004B00F6">
        <w:tc>
          <w:tcPr>
            <w:tcW w:w="853" w:type="dxa"/>
          </w:tcPr>
          <w:p w:rsidR="006B2B8E" w:rsidRPr="00630CA9" w:rsidRDefault="006B2B8E" w:rsidP="006B2B8E">
            <w:pPr>
              <w:pStyle w:val="AERbodytext"/>
            </w:pPr>
            <w:r>
              <w:t>5</w:t>
            </w:r>
          </w:p>
        </w:tc>
        <w:tc>
          <w:tcPr>
            <w:tcW w:w="2374" w:type="dxa"/>
          </w:tcPr>
          <w:p w:rsidR="006B2B8E" w:rsidRPr="006B2B8E" w:rsidRDefault="006B2B8E" w:rsidP="006B2B8E">
            <w:pPr>
              <w:pStyle w:val="AERtabletextleft"/>
            </w:pPr>
            <w:r w:rsidRPr="00FB5FC7">
              <w:t>Protection &amp; Metering Upgrades</w:t>
            </w:r>
            <w:r w:rsidRPr="006B2B8E">
              <w:t xml:space="preserve"> - 99P Line Protection &amp; Metering Upgrade</w:t>
            </w:r>
          </w:p>
        </w:tc>
        <w:tc>
          <w:tcPr>
            <w:tcW w:w="3827" w:type="dxa"/>
          </w:tcPr>
          <w:p w:rsidR="006B2B8E" w:rsidRPr="006B2B8E" w:rsidRDefault="006B2B8E" w:rsidP="006B2B8E">
            <w:pPr>
              <w:pStyle w:val="AERtabletextleft"/>
            </w:pPr>
            <w:r>
              <w:t>Change to CT ratios at Gadara. (The change to CT ratios at Tumut will be undertaken as part of the secondary systems replacement project at Tumut.)</w:t>
            </w:r>
          </w:p>
        </w:tc>
        <w:tc>
          <w:tcPr>
            <w:tcW w:w="4111" w:type="dxa"/>
          </w:tcPr>
          <w:p w:rsidR="006B2B8E" w:rsidRPr="006B2B8E" w:rsidRDefault="006B2B8E" w:rsidP="006B2B8E">
            <w:pPr>
              <w:pStyle w:val="AERtabletextleft"/>
            </w:pPr>
            <w:r>
              <w:t>Full use of contingent capacity of 128 MVA for 99P Line.</w:t>
            </w:r>
          </w:p>
        </w:tc>
        <w:tc>
          <w:tcPr>
            <w:tcW w:w="850" w:type="dxa"/>
          </w:tcPr>
          <w:p w:rsidR="006B2B8E" w:rsidRPr="006B2B8E" w:rsidRDefault="006B2B8E" w:rsidP="006B2B8E">
            <w:pPr>
              <w:pStyle w:val="AERtabletextleft"/>
            </w:pPr>
            <w:r>
              <w:t>0</w:t>
            </w:r>
          </w:p>
        </w:tc>
        <w:tc>
          <w:tcPr>
            <w:tcW w:w="993" w:type="dxa"/>
          </w:tcPr>
          <w:p w:rsidR="006B2B8E" w:rsidRPr="006B2B8E" w:rsidRDefault="006B2B8E" w:rsidP="006B2B8E">
            <w:pPr>
              <w:pStyle w:val="AERtabletextleft"/>
            </w:pPr>
            <w:r>
              <w:t>50</w:t>
            </w:r>
          </w:p>
        </w:tc>
        <w:tc>
          <w:tcPr>
            <w:tcW w:w="992" w:type="dxa"/>
          </w:tcPr>
          <w:p w:rsidR="006B2B8E" w:rsidRPr="006B2B8E" w:rsidRDefault="006B2B8E" w:rsidP="006B2B8E">
            <w:pPr>
              <w:pStyle w:val="AERtabletextleft"/>
            </w:pPr>
            <w:r>
              <w:t>50</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6</w:t>
            </w:r>
          </w:p>
        </w:tc>
        <w:tc>
          <w:tcPr>
            <w:tcW w:w="2374" w:type="dxa"/>
          </w:tcPr>
          <w:p w:rsidR="006B2B8E" w:rsidRPr="006B2B8E" w:rsidRDefault="006B2B8E" w:rsidP="006B2B8E">
            <w:pPr>
              <w:pStyle w:val="AERtabletextleft"/>
            </w:pPr>
            <w:r w:rsidRPr="00FB5FC7">
              <w:t xml:space="preserve">Dynamic </w:t>
            </w:r>
            <w:r w:rsidRPr="006B2B8E">
              <w:t>Line Ratings &amp; Transmission Line Uprating - 65 Murray – Upper Tumut &amp; 66 Murray – Lower Tumut 330kV Lines</w:t>
            </w:r>
          </w:p>
        </w:tc>
        <w:tc>
          <w:tcPr>
            <w:tcW w:w="3827" w:type="dxa"/>
          </w:tcPr>
          <w:p w:rsidR="006B2B8E" w:rsidRPr="006B2B8E" w:rsidRDefault="006B2B8E" w:rsidP="006B2B8E">
            <w:pPr>
              <w:pStyle w:val="AERtabletextleft"/>
            </w:pPr>
            <w:r>
              <w:t xml:space="preserve">Install dynamic line ratings based on real time </w:t>
            </w:r>
            <w:r w:rsidRPr="006B2B8E">
              <w:t>ambient temperatures and wind speeds on 65 and 66 Lines.</w:t>
            </w:r>
          </w:p>
        </w:tc>
        <w:tc>
          <w:tcPr>
            <w:tcW w:w="4111" w:type="dxa"/>
          </w:tcPr>
          <w:p w:rsidR="006B2B8E" w:rsidRPr="006B2B8E" w:rsidRDefault="006B2B8E" w:rsidP="006B2B8E">
            <w:pPr>
              <w:pStyle w:val="AERtabletextleft"/>
            </w:pPr>
            <w:r>
              <w:t>Improved rating information based on real time ambient temperature and wind speed for these lines, which will allow increased line ratings of approximately 20% at times of favourable conditions.</w:t>
            </w:r>
          </w:p>
        </w:tc>
        <w:tc>
          <w:tcPr>
            <w:tcW w:w="850" w:type="dxa"/>
          </w:tcPr>
          <w:p w:rsidR="006B2B8E" w:rsidRPr="006B2B8E" w:rsidRDefault="006B2B8E" w:rsidP="006B2B8E">
            <w:pPr>
              <w:pStyle w:val="AERtabletextleft"/>
            </w:pPr>
            <w:r>
              <w:t>400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400</w:t>
            </w:r>
          </w:p>
        </w:tc>
      </w:tr>
      <w:tr w:rsidR="006B2B8E" w:rsidTr="004B00F6">
        <w:tc>
          <w:tcPr>
            <w:tcW w:w="853" w:type="dxa"/>
          </w:tcPr>
          <w:p w:rsidR="006B2B8E" w:rsidRPr="00630CA9" w:rsidRDefault="006B2B8E" w:rsidP="006B2B8E">
            <w:pPr>
              <w:pStyle w:val="AERbodytext"/>
            </w:pPr>
            <w:r>
              <w:t>7</w:t>
            </w:r>
          </w:p>
        </w:tc>
        <w:tc>
          <w:tcPr>
            <w:tcW w:w="2374" w:type="dxa"/>
          </w:tcPr>
          <w:p w:rsidR="006B2B8E" w:rsidRPr="006B2B8E" w:rsidRDefault="006B2B8E" w:rsidP="006B2B8E">
            <w:pPr>
              <w:pStyle w:val="AERtabletextleft"/>
            </w:pPr>
            <w:r w:rsidRPr="00FB5FC7">
              <w:t>Control Schemes</w:t>
            </w:r>
            <w:r w:rsidRPr="006B2B8E">
              <w:t xml:space="preserve"> - Extension of Directlink Tripping Scheme</w:t>
            </w:r>
          </w:p>
        </w:tc>
        <w:tc>
          <w:tcPr>
            <w:tcW w:w="3827" w:type="dxa"/>
          </w:tcPr>
          <w:p w:rsidR="006B2B8E" w:rsidRPr="006B2B8E" w:rsidRDefault="006B2B8E" w:rsidP="006B2B8E">
            <w:pPr>
              <w:pStyle w:val="AERtabletextleft"/>
            </w:pPr>
            <w:r>
              <w:t>Extend the Directlink emergency tripping scheme to include the transformers at Lismore 330kV substation, 872B bay at Armidale and 872A, 872B and 892A bays at Coffs Harbour.</w:t>
            </w:r>
          </w:p>
        </w:tc>
        <w:tc>
          <w:tcPr>
            <w:tcW w:w="4111" w:type="dxa"/>
          </w:tcPr>
          <w:p w:rsidR="006B2B8E" w:rsidRPr="006B2B8E" w:rsidRDefault="006B2B8E" w:rsidP="006B2B8E">
            <w:pPr>
              <w:pStyle w:val="AERtabletextleft"/>
            </w:pPr>
            <w:r>
              <w:t>Full use of line capacity of the Directlink Interconnector during outages of the Lismore transformers, 872B bay at Armidale or 872A, 872B and 892A bays at Coffs Harbour</w:t>
            </w:r>
          </w:p>
        </w:tc>
        <w:tc>
          <w:tcPr>
            <w:tcW w:w="850" w:type="dxa"/>
          </w:tcPr>
          <w:p w:rsidR="006B2B8E" w:rsidRPr="006B2B8E" w:rsidRDefault="006B2B8E" w:rsidP="006B2B8E">
            <w:pPr>
              <w:pStyle w:val="AERtabletextleft"/>
            </w:pPr>
            <w:r>
              <w:t>600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600</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lastRenderedPageBreak/>
              <w:t>8</w:t>
            </w:r>
          </w:p>
        </w:tc>
        <w:tc>
          <w:tcPr>
            <w:tcW w:w="2374" w:type="dxa"/>
          </w:tcPr>
          <w:p w:rsidR="006B2B8E" w:rsidRPr="006B2B8E" w:rsidRDefault="006B2B8E" w:rsidP="006B2B8E">
            <w:pPr>
              <w:pStyle w:val="AERtabletextleft"/>
            </w:pPr>
            <w:r w:rsidRPr="00FB5FC7">
              <w:t>Protection Changes</w:t>
            </w:r>
            <w:r w:rsidRPr="006B2B8E">
              <w:t xml:space="preserve"> - 976 Line Configuration &amp; Protection Changes</w:t>
            </w:r>
          </w:p>
        </w:tc>
        <w:tc>
          <w:tcPr>
            <w:tcW w:w="3827" w:type="dxa"/>
          </w:tcPr>
          <w:p w:rsidR="006B2B8E" w:rsidRPr="006B2B8E" w:rsidRDefault="006B2B8E" w:rsidP="006B2B8E">
            <w:pPr>
              <w:pStyle w:val="AERtabletextleft"/>
            </w:pPr>
            <w:r>
              <w:t xml:space="preserve">Install </w:t>
            </w:r>
            <w:proofErr w:type="spellStart"/>
            <w:r>
              <w:t>disconnector</w:t>
            </w:r>
            <w:proofErr w:type="spellEnd"/>
            <w:r>
              <w:t xml:space="preserve"> at Yass substation and change protection settings at Canberra, Yass and Queanbeyan.</w:t>
            </w:r>
          </w:p>
        </w:tc>
        <w:tc>
          <w:tcPr>
            <w:tcW w:w="4111" w:type="dxa"/>
          </w:tcPr>
          <w:p w:rsidR="006B2B8E" w:rsidRPr="006B2B8E" w:rsidRDefault="006B2B8E" w:rsidP="006B2B8E">
            <w:pPr>
              <w:pStyle w:val="AERtabletextleft"/>
            </w:pPr>
            <w:r>
              <w:t>Reduced likelihood of loss of supply to Queanbeyan for a second contingency. This includes a reduction in recall times for 976/1 and 976/2 Lines.</w:t>
            </w:r>
          </w:p>
        </w:tc>
        <w:tc>
          <w:tcPr>
            <w:tcW w:w="850" w:type="dxa"/>
          </w:tcPr>
          <w:p w:rsidR="006B2B8E" w:rsidRPr="006B2B8E" w:rsidRDefault="006B2B8E" w:rsidP="006B2B8E">
            <w:pPr>
              <w:pStyle w:val="AERtabletextleft"/>
            </w:pPr>
            <w:r>
              <w:t>110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110</w:t>
            </w:r>
          </w:p>
        </w:tc>
      </w:tr>
      <w:tr w:rsidR="006B2B8E" w:rsidTr="004B00F6">
        <w:tc>
          <w:tcPr>
            <w:tcW w:w="853" w:type="dxa"/>
          </w:tcPr>
          <w:p w:rsidR="006B2B8E" w:rsidRPr="00630CA9" w:rsidRDefault="006B2B8E" w:rsidP="006B2B8E">
            <w:pPr>
              <w:pStyle w:val="AERbodytext"/>
            </w:pPr>
            <w:r>
              <w:t>9</w:t>
            </w:r>
          </w:p>
        </w:tc>
        <w:tc>
          <w:tcPr>
            <w:tcW w:w="2374" w:type="dxa"/>
          </w:tcPr>
          <w:p w:rsidR="006B2B8E" w:rsidRPr="006B2B8E" w:rsidRDefault="006B2B8E" w:rsidP="006B2B8E">
            <w:pPr>
              <w:pStyle w:val="AERtabletextleft"/>
            </w:pPr>
            <w:r w:rsidRPr="005E75BA">
              <w:t>Terminal Equipment Upgrades</w:t>
            </w:r>
            <w:r w:rsidRPr="006B2B8E">
              <w:t xml:space="preserve"> - 94E Mt Piper 132 – Wallerawang 132 </w:t>
            </w:r>
            <w:proofErr w:type="spellStart"/>
            <w:r w:rsidRPr="006B2B8E">
              <w:t>Switchbays</w:t>
            </w:r>
            <w:proofErr w:type="spellEnd"/>
          </w:p>
        </w:tc>
        <w:tc>
          <w:tcPr>
            <w:tcW w:w="3827" w:type="dxa"/>
          </w:tcPr>
          <w:p w:rsidR="006B2B8E" w:rsidRPr="006B2B8E" w:rsidRDefault="006B2B8E" w:rsidP="006B2B8E">
            <w:pPr>
              <w:pStyle w:val="AERtabletextleft"/>
            </w:pPr>
            <w:r>
              <w:t xml:space="preserve">Replace interplant connections and change current transformer secondary ratios on the 94E Line </w:t>
            </w:r>
            <w:proofErr w:type="spellStart"/>
            <w:r>
              <w:t>switchbay</w:t>
            </w:r>
            <w:proofErr w:type="spellEnd"/>
            <w:r>
              <w:t xml:space="preserve"> at Wallerawang 132.</w:t>
            </w:r>
          </w:p>
        </w:tc>
        <w:tc>
          <w:tcPr>
            <w:tcW w:w="4111" w:type="dxa"/>
          </w:tcPr>
          <w:p w:rsidR="006B2B8E" w:rsidRPr="006B2B8E" w:rsidRDefault="006B2B8E" w:rsidP="006B2B8E">
            <w:pPr>
              <w:pStyle w:val="AERtabletextleft"/>
            </w:pPr>
            <w:r>
              <w:t>Full use of contingent capacity of 373 MVA for 94E Line.</w:t>
            </w:r>
          </w:p>
        </w:tc>
        <w:tc>
          <w:tcPr>
            <w:tcW w:w="850" w:type="dxa"/>
          </w:tcPr>
          <w:p w:rsidR="006B2B8E" w:rsidRPr="006B2B8E" w:rsidRDefault="006B2B8E" w:rsidP="006B2B8E">
            <w:pPr>
              <w:pStyle w:val="AERtabletextleft"/>
            </w:pPr>
            <w:r>
              <w:t>50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50</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10</w:t>
            </w:r>
          </w:p>
        </w:tc>
        <w:tc>
          <w:tcPr>
            <w:tcW w:w="2374" w:type="dxa"/>
          </w:tcPr>
          <w:p w:rsidR="006B2B8E" w:rsidRPr="006B2B8E" w:rsidRDefault="006B2B8E" w:rsidP="006B2B8E">
            <w:pPr>
              <w:pStyle w:val="AERtabletextleft"/>
            </w:pPr>
            <w:r w:rsidRPr="005E75BA">
              <w:t>Dynamic Line Ratings &amp; Transmission Line Uprating</w:t>
            </w:r>
            <w:r w:rsidRPr="006B2B8E">
              <w:t xml:space="preserve"> - Northern 132kV System</w:t>
            </w:r>
          </w:p>
        </w:tc>
        <w:tc>
          <w:tcPr>
            <w:tcW w:w="3827" w:type="dxa"/>
          </w:tcPr>
          <w:p w:rsidR="006B2B8E" w:rsidRPr="006B2B8E" w:rsidRDefault="006B2B8E" w:rsidP="006B2B8E">
            <w:pPr>
              <w:pStyle w:val="AERtabletextleft"/>
            </w:pPr>
            <w:r>
              <w:t>Install dynamic line ratings based on real time ambient temperatures and wind speeds on 967, 96R, 96T and 966 Lines.</w:t>
            </w:r>
          </w:p>
        </w:tc>
        <w:tc>
          <w:tcPr>
            <w:tcW w:w="4111" w:type="dxa"/>
          </w:tcPr>
          <w:p w:rsidR="006B2B8E" w:rsidRPr="006B2B8E" w:rsidRDefault="006B2B8E" w:rsidP="006B2B8E">
            <w:pPr>
              <w:pStyle w:val="AERtabletextleft"/>
            </w:pPr>
            <w:r>
              <w:t xml:space="preserve">Improved rating information based on real time </w:t>
            </w:r>
            <w:r w:rsidRPr="006B2B8E">
              <w:t>ambient temperature and wind speed for these lines, which will allow increased line ratings of approximately 20% at times of favourable conditions.</w:t>
            </w:r>
          </w:p>
        </w:tc>
        <w:tc>
          <w:tcPr>
            <w:tcW w:w="850" w:type="dxa"/>
          </w:tcPr>
          <w:p w:rsidR="006B2B8E" w:rsidRPr="006B2B8E" w:rsidRDefault="006B2B8E" w:rsidP="006B2B8E">
            <w:pPr>
              <w:pStyle w:val="AERtabletextleft"/>
            </w:pPr>
            <w:r>
              <w:t>1,000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1,000</w:t>
            </w:r>
          </w:p>
        </w:tc>
      </w:tr>
      <w:tr w:rsidR="006B2B8E" w:rsidTr="004B00F6">
        <w:tc>
          <w:tcPr>
            <w:tcW w:w="853" w:type="dxa"/>
          </w:tcPr>
          <w:p w:rsidR="006B2B8E" w:rsidRPr="00630CA9" w:rsidRDefault="006B2B8E" w:rsidP="006B2B8E">
            <w:pPr>
              <w:pStyle w:val="AERbodytext"/>
            </w:pPr>
            <w:r>
              <w:t>11</w:t>
            </w:r>
          </w:p>
        </w:tc>
        <w:tc>
          <w:tcPr>
            <w:tcW w:w="2374" w:type="dxa"/>
          </w:tcPr>
          <w:p w:rsidR="006B2B8E" w:rsidRPr="006B2B8E" w:rsidRDefault="006B2B8E" w:rsidP="006B2B8E">
            <w:pPr>
              <w:pStyle w:val="AERtabletextleft"/>
            </w:pPr>
            <w:r w:rsidRPr="005E75BA">
              <w:t>Dynamic Line Ratings &amp; Transmission Line Uprating</w:t>
            </w:r>
            <w:r w:rsidRPr="006B2B8E">
              <w:t xml:space="preserve"> - Snowy – Yass &amp; Canberra 330kV Lines</w:t>
            </w:r>
          </w:p>
        </w:tc>
        <w:tc>
          <w:tcPr>
            <w:tcW w:w="3827" w:type="dxa"/>
          </w:tcPr>
          <w:p w:rsidR="006B2B8E" w:rsidRPr="006B2B8E" w:rsidRDefault="006B2B8E" w:rsidP="006B2B8E">
            <w:pPr>
              <w:pStyle w:val="AERtabletextleft"/>
            </w:pPr>
            <w:r>
              <w:t>Install dynamic line ratings based on real time ambient temperatures and wind speeds on 01,2,3 and 07 Lines.</w:t>
            </w:r>
          </w:p>
        </w:tc>
        <w:tc>
          <w:tcPr>
            <w:tcW w:w="4111" w:type="dxa"/>
          </w:tcPr>
          <w:p w:rsidR="006B2B8E" w:rsidRPr="006B2B8E" w:rsidRDefault="006B2B8E" w:rsidP="006B2B8E">
            <w:pPr>
              <w:pStyle w:val="AERtabletextleft"/>
            </w:pPr>
            <w:r>
              <w:t>Improved rating information based on real time ambient temperature and wind speed for these lines, which will allow increased line ratings of approximately 20% at times of favourable conditions.</w:t>
            </w:r>
          </w:p>
        </w:tc>
        <w:tc>
          <w:tcPr>
            <w:tcW w:w="850" w:type="dxa"/>
          </w:tcPr>
          <w:p w:rsidR="006B2B8E" w:rsidRPr="006B2B8E" w:rsidRDefault="006B2B8E" w:rsidP="006B2B8E">
            <w:pPr>
              <w:pStyle w:val="AERtabletextleft"/>
            </w:pPr>
            <w:r>
              <w:t>1,400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1,400</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12</w:t>
            </w:r>
          </w:p>
        </w:tc>
        <w:tc>
          <w:tcPr>
            <w:tcW w:w="2374" w:type="dxa"/>
          </w:tcPr>
          <w:p w:rsidR="006B2B8E" w:rsidRPr="006B2B8E" w:rsidRDefault="006B2B8E" w:rsidP="006B2B8E">
            <w:pPr>
              <w:pStyle w:val="AERtabletextleft"/>
            </w:pPr>
            <w:r w:rsidRPr="005E75BA">
              <w:t>Control Schemes</w:t>
            </w:r>
            <w:r w:rsidRPr="006B2B8E">
              <w:t xml:space="preserve"> - Northern Reactive Plant Control Scheme</w:t>
            </w:r>
          </w:p>
        </w:tc>
        <w:tc>
          <w:tcPr>
            <w:tcW w:w="3827" w:type="dxa"/>
          </w:tcPr>
          <w:p w:rsidR="006B2B8E" w:rsidRPr="006B2B8E" w:rsidRDefault="006B2B8E" w:rsidP="006B2B8E">
            <w:pPr>
              <w:pStyle w:val="AERtabletextleft"/>
            </w:pPr>
            <w:r>
              <w:t>The installation of a reactive equipment controller with the capability to control reactive equipment at Armidale 330kV Substation. The installation of emergency overvoltage and under voltage controls on reactive equipment at Armidale 330kV Substation and Dumaresq 330kV Switching Station.</w:t>
            </w:r>
          </w:p>
        </w:tc>
        <w:tc>
          <w:tcPr>
            <w:tcW w:w="4111" w:type="dxa"/>
          </w:tcPr>
          <w:p w:rsidR="006B2B8E" w:rsidRPr="006B2B8E" w:rsidRDefault="006B2B8E" w:rsidP="006B2B8E">
            <w:pPr>
              <w:pStyle w:val="AERtabletextleft"/>
            </w:pPr>
            <w:r>
              <w:t>Operating of automatic reactive equipment control at Armidale Substation. Operation of emergency voltage control of QNI reactive equipment at Armidale and Dumaresq Substations.</w:t>
            </w:r>
          </w:p>
        </w:tc>
        <w:tc>
          <w:tcPr>
            <w:tcW w:w="850" w:type="dxa"/>
          </w:tcPr>
          <w:p w:rsidR="006B2B8E" w:rsidRPr="006B2B8E" w:rsidRDefault="006B2B8E" w:rsidP="006B2B8E">
            <w:pPr>
              <w:pStyle w:val="AERtabletextleft"/>
            </w:pPr>
            <w:r>
              <w:t>524</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524</w:t>
            </w:r>
          </w:p>
        </w:tc>
      </w:tr>
      <w:tr w:rsidR="006B2B8E" w:rsidTr="004B00F6">
        <w:tc>
          <w:tcPr>
            <w:tcW w:w="853" w:type="dxa"/>
          </w:tcPr>
          <w:p w:rsidR="006B2B8E" w:rsidRPr="00630CA9" w:rsidRDefault="006B2B8E" w:rsidP="006B2B8E">
            <w:pPr>
              <w:pStyle w:val="AERbodytext"/>
            </w:pPr>
            <w:r>
              <w:t>13</w:t>
            </w:r>
          </w:p>
        </w:tc>
        <w:tc>
          <w:tcPr>
            <w:tcW w:w="2374" w:type="dxa"/>
          </w:tcPr>
          <w:p w:rsidR="006B2B8E" w:rsidRPr="006B2B8E" w:rsidRDefault="006B2B8E" w:rsidP="006B2B8E">
            <w:pPr>
              <w:pStyle w:val="AERtabletextleft"/>
            </w:pPr>
            <w:r w:rsidRPr="005E75BA">
              <w:t>Dynamic Line Ratings &amp; Transmission Line Uprating</w:t>
            </w:r>
            <w:r w:rsidRPr="006B2B8E">
              <w:t xml:space="preserve"> - 4 &amp; 5 Yass – Marulan, 9 Yass – Canberra, 61 Yass – </w:t>
            </w:r>
            <w:proofErr w:type="spellStart"/>
            <w:r w:rsidRPr="006B2B8E">
              <w:t>Bannaby</w:t>
            </w:r>
            <w:proofErr w:type="spellEnd"/>
            <w:r w:rsidRPr="006B2B8E">
              <w:t xml:space="preserve"> &amp; 39 </w:t>
            </w:r>
            <w:proofErr w:type="spellStart"/>
            <w:r w:rsidRPr="006B2B8E">
              <w:t>Bannaby</w:t>
            </w:r>
            <w:proofErr w:type="spellEnd"/>
            <w:r w:rsidRPr="006B2B8E">
              <w:t xml:space="preserve"> – Sydney West 330kV Lines</w:t>
            </w:r>
          </w:p>
        </w:tc>
        <w:tc>
          <w:tcPr>
            <w:tcW w:w="3827" w:type="dxa"/>
          </w:tcPr>
          <w:p w:rsidR="006B2B8E" w:rsidRPr="006B2B8E" w:rsidRDefault="006B2B8E" w:rsidP="006B2B8E">
            <w:pPr>
              <w:pStyle w:val="AERtabletextleft"/>
            </w:pPr>
            <w:r>
              <w:t xml:space="preserve">Install </w:t>
            </w:r>
            <w:r w:rsidRPr="006B2B8E">
              <w:t>dynamic line ratings based on real time ambient temperatures and wind speeds on 4,5,9,61 and 39 Lines. Increase the height of transmission line conductor on 61 Line to achieve a maximum operating temperature of 100 degrees Celsius.</w:t>
            </w:r>
          </w:p>
        </w:tc>
        <w:tc>
          <w:tcPr>
            <w:tcW w:w="4111" w:type="dxa"/>
          </w:tcPr>
          <w:p w:rsidR="006B2B8E" w:rsidRPr="006B2B8E" w:rsidRDefault="006B2B8E" w:rsidP="006B2B8E">
            <w:pPr>
              <w:pStyle w:val="AERtabletextleft"/>
            </w:pPr>
            <w:r>
              <w:t>Improved rating information based on real time ambient temperature and wind speed for these lines, which will allow increased line ratings of approximately 20% at times of favourable conditions. The increase in maximum operating temperature of 61 Line is expected to achieve an increase in contingency rating of this line of 137 MVA.</w:t>
            </w:r>
          </w:p>
        </w:tc>
        <w:tc>
          <w:tcPr>
            <w:tcW w:w="850" w:type="dxa"/>
          </w:tcPr>
          <w:p w:rsidR="006B2B8E" w:rsidRPr="006B2B8E" w:rsidRDefault="006B2B8E" w:rsidP="006B2B8E">
            <w:pPr>
              <w:pStyle w:val="AERtabletextleft"/>
            </w:pPr>
            <w:r>
              <w:t>2,600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2,600</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lastRenderedPageBreak/>
              <w:t>14</w:t>
            </w:r>
          </w:p>
        </w:tc>
        <w:tc>
          <w:tcPr>
            <w:tcW w:w="2374" w:type="dxa"/>
          </w:tcPr>
          <w:p w:rsidR="006B2B8E" w:rsidRPr="006B2B8E" w:rsidRDefault="006B2B8E" w:rsidP="006B2B8E">
            <w:pPr>
              <w:pStyle w:val="AERtabletextleft"/>
            </w:pPr>
            <w:r w:rsidRPr="005E75BA">
              <w:t>Dynamic Line Ratings &amp; Transmission Line Uprating</w:t>
            </w:r>
            <w:r w:rsidRPr="006B2B8E">
              <w:t xml:space="preserve"> - 969 Tamworth 330 – Gunnedah 132kV Line</w:t>
            </w:r>
          </w:p>
        </w:tc>
        <w:tc>
          <w:tcPr>
            <w:tcW w:w="3827" w:type="dxa"/>
          </w:tcPr>
          <w:p w:rsidR="006B2B8E" w:rsidRPr="006B2B8E" w:rsidRDefault="006B2B8E" w:rsidP="006B2B8E">
            <w:pPr>
              <w:pStyle w:val="AERtabletextleft"/>
            </w:pPr>
            <w:r>
              <w:t xml:space="preserve">Install dynamic line ratings based on real time ambient temperatures and wind speeds on 969 </w:t>
            </w:r>
            <w:r w:rsidRPr="006B2B8E">
              <w:t>Line.</w:t>
            </w:r>
          </w:p>
        </w:tc>
        <w:tc>
          <w:tcPr>
            <w:tcW w:w="4111" w:type="dxa"/>
          </w:tcPr>
          <w:p w:rsidR="006B2B8E" w:rsidRPr="006B2B8E" w:rsidRDefault="006B2B8E" w:rsidP="006B2B8E">
            <w:pPr>
              <w:pStyle w:val="AERtabletextleft"/>
            </w:pPr>
            <w:r>
              <w:t>Improved rating information based on real time ambient temperature and wind speed for this line, which will allow increased line ratings of approximately 20% at times of favourable conditions.</w:t>
            </w:r>
          </w:p>
        </w:tc>
        <w:tc>
          <w:tcPr>
            <w:tcW w:w="850" w:type="dxa"/>
          </w:tcPr>
          <w:p w:rsidR="006B2B8E" w:rsidRPr="006B2B8E" w:rsidRDefault="006B2B8E" w:rsidP="006B2B8E">
            <w:pPr>
              <w:pStyle w:val="AERtabletextleft"/>
            </w:pPr>
            <w:r>
              <w:t>300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300</w:t>
            </w:r>
          </w:p>
        </w:tc>
      </w:tr>
      <w:tr w:rsidR="006B2B8E" w:rsidTr="004B00F6">
        <w:tc>
          <w:tcPr>
            <w:tcW w:w="853" w:type="dxa"/>
          </w:tcPr>
          <w:p w:rsidR="006B2B8E" w:rsidRPr="00630CA9" w:rsidRDefault="006B2B8E" w:rsidP="006B2B8E">
            <w:pPr>
              <w:pStyle w:val="AERbodytext"/>
            </w:pPr>
            <w:r>
              <w:t>15</w:t>
            </w:r>
          </w:p>
        </w:tc>
        <w:tc>
          <w:tcPr>
            <w:tcW w:w="2374" w:type="dxa"/>
          </w:tcPr>
          <w:p w:rsidR="006B2B8E" w:rsidRPr="006B2B8E" w:rsidRDefault="006B2B8E" w:rsidP="006B2B8E">
            <w:pPr>
              <w:pStyle w:val="AERtabletextleft"/>
            </w:pPr>
            <w:r w:rsidRPr="005E75BA">
              <w:t>Terminal Equipment Upgrades</w:t>
            </w:r>
            <w:r w:rsidRPr="006B2B8E">
              <w:t xml:space="preserve"> - 81 &amp; 82 Liddell – Newcastle &amp; Tomago Lines</w:t>
            </w:r>
          </w:p>
        </w:tc>
        <w:tc>
          <w:tcPr>
            <w:tcW w:w="3827" w:type="dxa"/>
          </w:tcPr>
          <w:p w:rsidR="006B2B8E" w:rsidRPr="006B2B8E" w:rsidRDefault="006B2B8E" w:rsidP="006B2B8E">
            <w:pPr>
              <w:pStyle w:val="AERtabletextleft"/>
            </w:pPr>
            <w:r>
              <w:t xml:space="preserve">Replace interplant connections on 81 &amp; 82 Line </w:t>
            </w:r>
            <w:proofErr w:type="spellStart"/>
            <w:r>
              <w:t>switchbays</w:t>
            </w:r>
            <w:proofErr w:type="spellEnd"/>
            <w:r>
              <w:t xml:space="preserve"> at Liddell and Newcastle, and replace wave traps and change current transformer secondary ratios at Liddell.</w:t>
            </w:r>
          </w:p>
        </w:tc>
        <w:tc>
          <w:tcPr>
            <w:tcW w:w="4111" w:type="dxa"/>
          </w:tcPr>
          <w:p w:rsidR="006B2B8E" w:rsidRPr="006B2B8E" w:rsidRDefault="006B2B8E" w:rsidP="006B2B8E">
            <w:pPr>
              <w:pStyle w:val="AERtabletextleft"/>
            </w:pPr>
            <w:r>
              <w:t>Full use of contingent capacity of 1646 MVA for 81 &amp; 82 Lines.</w:t>
            </w:r>
          </w:p>
        </w:tc>
        <w:tc>
          <w:tcPr>
            <w:tcW w:w="850" w:type="dxa"/>
          </w:tcPr>
          <w:p w:rsidR="006B2B8E" w:rsidRPr="006B2B8E" w:rsidRDefault="006B2B8E" w:rsidP="006B2B8E">
            <w:pPr>
              <w:pStyle w:val="AERtabletextleft"/>
            </w:pPr>
            <w:r>
              <w:t>600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600</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16</w:t>
            </w:r>
          </w:p>
        </w:tc>
        <w:tc>
          <w:tcPr>
            <w:tcW w:w="2374" w:type="dxa"/>
          </w:tcPr>
          <w:p w:rsidR="006B2B8E" w:rsidRPr="006B2B8E" w:rsidRDefault="006B2B8E" w:rsidP="006B2B8E">
            <w:pPr>
              <w:pStyle w:val="AERtabletextleft"/>
            </w:pPr>
            <w:r w:rsidRPr="005E75BA">
              <w:t>Capacitor Banks</w:t>
            </w:r>
            <w:r w:rsidRPr="006B2B8E">
              <w:t xml:space="preserve"> - Beryl Capacitor Bank</w:t>
            </w:r>
          </w:p>
        </w:tc>
        <w:tc>
          <w:tcPr>
            <w:tcW w:w="3827" w:type="dxa"/>
          </w:tcPr>
          <w:p w:rsidR="006B2B8E" w:rsidRPr="006B2B8E" w:rsidRDefault="006B2B8E" w:rsidP="006B2B8E">
            <w:pPr>
              <w:pStyle w:val="AERtabletextleft"/>
            </w:pPr>
            <w:r>
              <w:t>Install a new capacitor bank at Beryl 132kV Substation.</w:t>
            </w:r>
          </w:p>
        </w:tc>
        <w:tc>
          <w:tcPr>
            <w:tcW w:w="4111" w:type="dxa"/>
          </w:tcPr>
          <w:p w:rsidR="006B2B8E" w:rsidRPr="006B2B8E" w:rsidRDefault="006B2B8E" w:rsidP="006B2B8E">
            <w:pPr>
              <w:pStyle w:val="AERtabletextleft"/>
            </w:pPr>
            <w:r>
              <w:t xml:space="preserve">The installation of a capacitor bank at Beryl substation would increase the total capacity available to the area by 6 MW in 2016. This </w:t>
            </w:r>
            <w:r w:rsidRPr="006B2B8E">
              <w:t>additional capacity will reduce with load growth over time due to voltage constraints.</w:t>
            </w:r>
          </w:p>
        </w:tc>
        <w:tc>
          <w:tcPr>
            <w:tcW w:w="850" w:type="dxa"/>
          </w:tcPr>
          <w:p w:rsidR="006B2B8E" w:rsidRPr="006B2B8E" w:rsidRDefault="006B2B8E" w:rsidP="006B2B8E">
            <w:pPr>
              <w:pStyle w:val="AERtabletextleft"/>
            </w:pPr>
            <w:r>
              <w:t>1,900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1,900</w:t>
            </w:r>
          </w:p>
        </w:tc>
      </w:tr>
      <w:tr w:rsidR="006B2B8E" w:rsidTr="004B00F6">
        <w:tc>
          <w:tcPr>
            <w:tcW w:w="853" w:type="dxa"/>
          </w:tcPr>
          <w:p w:rsidR="006B2B8E" w:rsidRPr="00630CA9" w:rsidRDefault="006B2B8E" w:rsidP="006B2B8E">
            <w:pPr>
              <w:pStyle w:val="AERbodytext"/>
            </w:pPr>
            <w:r>
              <w:t>17</w:t>
            </w:r>
          </w:p>
        </w:tc>
        <w:tc>
          <w:tcPr>
            <w:tcW w:w="2374" w:type="dxa"/>
          </w:tcPr>
          <w:p w:rsidR="006B2B8E" w:rsidRPr="006B2B8E" w:rsidRDefault="006B2B8E" w:rsidP="006B2B8E">
            <w:pPr>
              <w:pStyle w:val="AERtabletextleft"/>
            </w:pPr>
            <w:r w:rsidRPr="005E75BA">
              <w:t>Travelling Wave Fault Location</w:t>
            </w:r>
            <w:r w:rsidRPr="006B2B8E">
              <w:t xml:space="preserve"> - Snowy Lines</w:t>
            </w:r>
          </w:p>
        </w:tc>
        <w:tc>
          <w:tcPr>
            <w:tcW w:w="3827" w:type="dxa"/>
          </w:tcPr>
          <w:p w:rsidR="006B2B8E" w:rsidRPr="006B2B8E" w:rsidRDefault="006B2B8E" w:rsidP="006B2B8E">
            <w:pPr>
              <w:pStyle w:val="AERtabletextleft"/>
            </w:pPr>
            <w:r>
              <w:t>Install travelling wave fault locators on Snowy lines.</w:t>
            </w:r>
          </w:p>
        </w:tc>
        <w:tc>
          <w:tcPr>
            <w:tcW w:w="4111" w:type="dxa"/>
          </w:tcPr>
          <w:p w:rsidR="006B2B8E" w:rsidRPr="006B2B8E" w:rsidRDefault="006B2B8E" w:rsidP="006B2B8E">
            <w:pPr>
              <w:pStyle w:val="AERtabletextleft"/>
            </w:pPr>
            <w:r>
              <w:t>Commissioning of the travelling wave fault locators on the above lines.</w:t>
            </w:r>
          </w:p>
        </w:tc>
        <w:tc>
          <w:tcPr>
            <w:tcW w:w="850" w:type="dxa"/>
          </w:tcPr>
          <w:p w:rsidR="006B2B8E" w:rsidRPr="006B2B8E" w:rsidRDefault="006B2B8E" w:rsidP="006B2B8E">
            <w:pPr>
              <w:pStyle w:val="AERtabletextleft"/>
            </w:pPr>
            <w:r>
              <w:t>2,211</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2,211</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18</w:t>
            </w:r>
          </w:p>
        </w:tc>
        <w:tc>
          <w:tcPr>
            <w:tcW w:w="2374" w:type="dxa"/>
          </w:tcPr>
          <w:p w:rsidR="006B2B8E" w:rsidRPr="006B2B8E" w:rsidRDefault="006B2B8E" w:rsidP="006B2B8E">
            <w:pPr>
              <w:pStyle w:val="AERtabletextleft"/>
            </w:pPr>
            <w:r w:rsidRPr="005E75BA">
              <w:t>Travelling Wave Fault Location</w:t>
            </w:r>
            <w:r w:rsidRPr="006B2B8E">
              <w:t xml:space="preserve"> - North Western 132kV System</w:t>
            </w:r>
          </w:p>
        </w:tc>
        <w:tc>
          <w:tcPr>
            <w:tcW w:w="3827" w:type="dxa"/>
          </w:tcPr>
          <w:p w:rsidR="006B2B8E" w:rsidRPr="006B2B8E" w:rsidRDefault="006B2B8E" w:rsidP="006B2B8E">
            <w:pPr>
              <w:pStyle w:val="AERtabletextleft"/>
            </w:pPr>
            <w:r>
              <w:t>Install travelling wave fault locators</w:t>
            </w:r>
            <w:r w:rsidRPr="006B2B8E">
              <w:t xml:space="preserve"> on the above lines.</w:t>
            </w:r>
          </w:p>
        </w:tc>
        <w:tc>
          <w:tcPr>
            <w:tcW w:w="4111" w:type="dxa"/>
          </w:tcPr>
          <w:p w:rsidR="006B2B8E" w:rsidRPr="006B2B8E" w:rsidRDefault="006B2B8E" w:rsidP="006B2B8E">
            <w:pPr>
              <w:pStyle w:val="AERtabletextleft"/>
            </w:pPr>
            <w:r>
              <w:t>Commissioning of the travelling wave fault locators on the above lines.</w:t>
            </w:r>
          </w:p>
        </w:tc>
        <w:tc>
          <w:tcPr>
            <w:tcW w:w="850" w:type="dxa"/>
          </w:tcPr>
          <w:p w:rsidR="006B2B8E" w:rsidRPr="006B2B8E" w:rsidRDefault="006B2B8E" w:rsidP="006B2B8E">
            <w:pPr>
              <w:pStyle w:val="AERtabletextleft"/>
            </w:pPr>
            <w:r>
              <w:t>877</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877</w:t>
            </w:r>
          </w:p>
        </w:tc>
      </w:tr>
      <w:tr w:rsidR="006B2B8E" w:rsidTr="004B00F6">
        <w:tc>
          <w:tcPr>
            <w:tcW w:w="853" w:type="dxa"/>
          </w:tcPr>
          <w:p w:rsidR="006B2B8E" w:rsidRPr="00630CA9" w:rsidRDefault="006B2B8E" w:rsidP="006B2B8E">
            <w:pPr>
              <w:pStyle w:val="AERbodytext"/>
            </w:pPr>
            <w:r>
              <w:t>19</w:t>
            </w:r>
          </w:p>
        </w:tc>
        <w:tc>
          <w:tcPr>
            <w:tcW w:w="2374" w:type="dxa"/>
          </w:tcPr>
          <w:p w:rsidR="006B2B8E" w:rsidRPr="006B2B8E" w:rsidRDefault="006B2B8E" w:rsidP="006B2B8E">
            <w:pPr>
              <w:pStyle w:val="AERtabletextleft"/>
            </w:pPr>
            <w:r w:rsidRPr="00675320">
              <w:t xml:space="preserve">Travelling </w:t>
            </w:r>
            <w:r w:rsidRPr="006B2B8E">
              <w:t>Wave Fault Location - Northern 330kV Lines</w:t>
            </w:r>
          </w:p>
        </w:tc>
        <w:tc>
          <w:tcPr>
            <w:tcW w:w="3827" w:type="dxa"/>
          </w:tcPr>
          <w:p w:rsidR="006B2B8E" w:rsidRPr="006B2B8E" w:rsidRDefault="006B2B8E" w:rsidP="006B2B8E">
            <w:pPr>
              <w:pStyle w:val="AERtabletextleft"/>
            </w:pPr>
            <w:r>
              <w:t>Install travelling wave fault locators</w:t>
            </w:r>
            <w:r w:rsidRPr="006B2B8E">
              <w:t xml:space="preserve"> on the above lines.</w:t>
            </w:r>
          </w:p>
        </w:tc>
        <w:tc>
          <w:tcPr>
            <w:tcW w:w="4111" w:type="dxa"/>
          </w:tcPr>
          <w:p w:rsidR="006B2B8E" w:rsidRPr="006B2B8E" w:rsidRDefault="006B2B8E" w:rsidP="006B2B8E">
            <w:pPr>
              <w:pStyle w:val="AERtabletextleft"/>
            </w:pPr>
            <w:r>
              <w:t>Commissioning of the travelling wave fault locators on the above lines.</w:t>
            </w:r>
          </w:p>
        </w:tc>
        <w:tc>
          <w:tcPr>
            <w:tcW w:w="850" w:type="dxa"/>
          </w:tcPr>
          <w:p w:rsidR="006B2B8E" w:rsidRPr="006B2B8E" w:rsidRDefault="006B2B8E" w:rsidP="006B2B8E">
            <w:pPr>
              <w:pStyle w:val="AERtabletextleft"/>
            </w:pPr>
            <w:r>
              <w:t>1,895</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1,895</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20</w:t>
            </w:r>
          </w:p>
        </w:tc>
        <w:tc>
          <w:tcPr>
            <w:tcW w:w="2374" w:type="dxa"/>
          </w:tcPr>
          <w:p w:rsidR="006B2B8E" w:rsidRPr="006B2B8E" w:rsidRDefault="006B2B8E" w:rsidP="006B2B8E">
            <w:pPr>
              <w:pStyle w:val="AERtabletextleft"/>
            </w:pPr>
            <w:r w:rsidRPr="00675320">
              <w:t>Travelling Wave Fault Location</w:t>
            </w:r>
            <w:r w:rsidRPr="006B2B8E">
              <w:t xml:space="preserve"> - Far North Coast 330kV and 132kV System</w:t>
            </w:r>
          </w:p>
        </w:tc>
        <w:tc>
          <w:tcPr>
            <w:tcW w:w="3827" w:type="dxa"/>
          </w:tcPr>
          <w:p w:rsidR="006B2B8E" w:rsidRPr="006B2B8E" w:rsidRDefault="006B2B8E" w:rsidP="006B2B8E">
            <w:pPr>
              <w:pStyle w:val="AERtabletextleft"/>
            </w:pPr>
            <w:r>
              <w:t>Install travelling wave fault locators</w:t>
            </w:r>
            <w:r w:rsidRPr="006B2B8E">
              <w:t xml:space="preserve"> on the above lines.</w:t>
            </w:r>
          </w:p>
        </w:tc>
        <w:tc>
          <w:tcPr>
            <w:tcW w:w="4111" w:type="dxa"/>
          </w:tcPr>
          <w:p w:rsidR="006B2B8E" w:rsidRPr="006B2B8E" w:rsidRDefault="006B2B8E" w:rsidP="006B2B8E">
            <w:pPr>
              <w:pStyle w:val="AERtabletextleft"/>
            </w:pPr>
            <w:r>
              <w:t>Commissioning of the travelling wave fault locators on the above lines.</w:t>
            </w:r>
          </w:p>
        </w:tc>
        <w:tc>
          <w:tcPr>
            <w:tcW w:w="850" w:type="dxa"/>
          </w:tcPr>
          <w:p w:rsidR="006B2B8E" w:rsidRPr="006B2B8E" w:rsidRDefault="006B2B8E" w:rsidP="006B2B8E">
            <w:pPr>
              <w:pStyle w:val="AERtabletextleft"/>
            </w:pPr>
            <w:r>
              <w:t>890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890</w:t>
            </w:r>
          </w:p>
        </w:tc>
      </w:tr>
      <w:tr w:rsidR="006B2B8E" w:rsidTr="004B00F6">
        <w:tc>
          <w:tcPr>
            <w:tcW w:w="853" w:type="dxa"/>
          </w:tcPr>
          <w:p w:rsidR="006B2B8E" w:rsidRPr="00630CA9" w:rsidRDefault="006B2B8E" w:rsidP="006B2B8E">
            <w:pPr>
              <w:pStyle w:val="AERbodytext"/>
            </w:pPr>
            <w:r>
              <w:t>21</w:t>
            </w:r>
          </w:p>
        </w:tc>
        <w:tc>
          <w:tcPr>
            <w:tcW w:w="2374" w:type="dxa"/>
          </w:tcPr>
          <w:p w:rsidR="006B2B8E" w:rsidRPr="006B2B8E" w:rsidRDefault="006B2B8E" w:rsidP="006B2B8E">
            <w:pPr>
              <w:pStyle w:val="AERtabletextleft"/>
            </w:pPr>
            <w:r w:rsidRPr="00675320">
              <w:t>Quality of Supply</w:t>
            </w:r>
            <w:r w:rsidRPr="006B2B8E">
              <w:t xml:space="preserve"> - Point-on-Wave Switching for 132kV Capacitor Banks</w:t>
            </w:r>
          </w:p>
        </w:tc>
        <w:tc>
          <w:tcPr>
            <w:tcW w:w="3827" w:type="dxa"/>
          </w:tcPr>
          <w:p w:rsidR="006B2B8E" w:rsidRPr="006B2B8E" w:rsidRDefault="006B2B8E" w:rsidP="006B2B8E">
            <w:pPr>
              <w:pStyle w:val="AERtabletextleft"/>
            </w:pPr>
            <w:r>
              <w:t>Replace standard circuit breakers with point-on-wave circuit breakers.</w:t>
            </w:r>
          </w:p>
        </w:tc>
        <w:tc>
          <w:tcPr>
            <w:tcW w:w="4111" w:type="dxa"/>
          </w:tcPr>
          <w:p w:rsidR="006B2B8E" w:rsidRPr="006B2B8E" w:rsidRDefault="006B2B8E" w:rsidP="006B2B8E">
            <w:pPr>
              <w:pStyle w:val="AERtabletextleft"/>
            </w:pPr>
            <w:r>
              <w:t>Installation of point-on-wave switching on 3 capacitor banks.</w:t>
            </w:r>
          </w:p>
        </w:tc>
        <w:tc>
          <w:tcPr>
            <w:tcW w:w="850" w:type="dxa"/>
          </w:tcPr>
          <w:p w:rsidR="006B2B8E" w:rsidRPr="006B2B8E" w:rsidRDefault="006B2B8E" w:rsidP="006B2B8E">
            <w:pPr>
              <w:pStyle w:val="AERtabletextleft"/>
            </w:pPr>
            <w:r>
              <w:t>631</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631</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22</w:t>
            </w:r>
          </w:p>
        </w:tc>
        <w:tc>
          <w:tcPr>
            <w:tcW w:w="2374" w:type="dxa"/>
          </w:tcPr>
          <w:p w:rsidR="006B2B8E" w:rsidRPr="006B2B8E" w:rsidRDefault="006B2B8E" w:rsidP="006B2B8E">
            <w:pPr>
              <w:pStyle w:val="AERtabletextleft"/>
            </w:pPr>
            <w:r w:rsidRPr="00675320">
              <w:t>Quality of Supply</w:t>
            </w:r>
            <w:r w:rsidRPr="006B2B8E">
              <w:t xml:space="preserve"> - Point-on-Wave Switching for 66kV &amp; Below Capacitor Banks</w:t>
            </w:r>
          </w:p>
        </w:tc>
        <w:tc>
          <w:tcPr>
            <w:tcW w:w="3827" w:type="dxa"/>
          </w:tcPr>
          <w:p w:rsidR="006B2B8E" w:rsidRPr="006B2B8E" w:rsidRDefault="006B2B8E" w:rsidP="006B2B8E">
            <w:pPr>
              <w:pStyle w:val="AERtabletextleft"/>
            </w:pPr>
            <w:r>
              <w:t xml:space="preserve">Replace standard circuit </w:t>
            </w:r>
            <w:r w:rsidRPr="006B2B8E">
              <w:t>breakers with point-on-wave circuit breakers.</w:t>
            </w:r>
          </w:p>
        </w:tc>
        <w:tc>
          <w:tcPr>
            <w:tcW w:w="4111" w:type="dxa"/>
          </w:tcPr>
          <w:p w:rsidR="006B2B8E" w:rsidRPr="006B2B8E" w:rsidRDefault="006B2B8E" w:rsidP="006B2B8E">
            <w:pPr>
              <w:pStyle w:val="AERtabletextleft"/>
            </w:pPr>
            <w:r>
              <w:t>Installation of point-on-wave switching on 24 capacitor banks.</w:t>
            </w:r>
          </w:p>
        </w:tc>
        <w:tc>
          <w:tcPr>
            <w:tcW w:w="850" w:type="dxa"/>
          </w:tcPr>
          <w:p w:rsidR="006B2B8E" w:rsidRPr="006B2B8E" w:rsidRDefault="006B2B8E" w:rsidP="006B2B8E">
            <w:pPr>
              <w:pStyle w:val="AERtabletextleft"/>
            </w:pPr>
            <w:r>
              <w:t>4,500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4,500</w:t>
            </w:r>
          </w:p>
        </w:tc>
      </w:tr>
      <w:tr w:rsidR="006B2B8E" w:rsidTr="004B00F6">
        <w:tc>
          <w:tcPr>
            <w:tcW w:w="853" w:type="dxa"/>
          </w:tcPr>
          <w:p w:rsidR="006B2B8E" w:rsidRPr="00630CA9" w:rsidRDefault="006B2B8E" w:rsidP="006B2B8E">
            <w:pPr>
              <w:pStyle w:val="AERbodytext"/>
            </w:pPr>
            <w:r>
              <w:t>23</w:t>
            </w:r>
          </w:p>
        </w:tc>
        <w:tc>
          <w:tcPr>
            <w:tcW w:w="2374" w:type="dxa"/>
          </w:tcPr>
          <w:p w:rsidR="006B2B8E" w:rsidRPr="006B2B8E" w:rsidRDefault="006B2B8E" w:rsidP="006B2B8E">
            <w:pPr>
              <w:pStyle w:val="AERtabletextleft"/>
            </w:pPr>
            <w:r w:rsidRPr="00675320">
              <w:t>Research Projects</w:t>
            </w:r>
            <w:r w:rsidRPr="006B2B8E">
              <w:t xml:space="preserve"> - Behaviour of Residential Solar During System </w:t>
            </w:r>
            <w:r w:rsidRPr="006B2B8E">
              <w:lastRenderedPageBreak/>
              <w:t>Events</w:t>
            </w:r>
          </w:p>
        </w:tc>
        <w:tc>
          <w:tcPr>
            <w:tcW w:w="3827" w:type="dxa"/>
          </w:tcPr>
          <w:p w:rsidR="006B2B8E" w:rsidRPr="006B2B8E" w:rsidRDefault="006B2B8E" w:rsidP="006B2B8E">
            <w:pPr>
              <w:pStyle w:val="AERtabletextleft"/>
            </w:pPr>
            <w:r>
              <w:lastRenderedPageBreak/>
              <w:t xml:space="preserve">Install high speed monitors on connection points with significant penetration of residential solar </w:t>
            </w:r>
            <w:r>
              <w:lastRenderedPageBreak/>
              <w:t>installations, and fault recorders at locations representative of various load types.</w:t>
            </w:r>
          </w:p>
        </w:tc>
        <w:tc>
          <w:tcPr>
            <w:tcW w:w="4111" w:type="dxa"/>
          </w:tcPr>
          <w:p w:rsidR="006B2B8E" w:rsidRPr="00E02761" w:rsidRDefault="006B2B8E" w:rsidP="006B2B8E">
            <w:pPr>
              <w:pStyle w:val="AERbodytext"/>
            </w:pPr>
            <w:r>
              <w:lastRenderedPageBreak/>
              <w:t xml:space="preserve">Installation and commissioning of high speed monitors and fault </w:t>
            </w:r>
            <w:r>
              <w:lastRenderedPageBreak/>
              <w:t>recorders at various representative connection points.</w:t>
            </w:r>
          </w:p>
        </w:tc>
        <w:tc>
          <w:tcPr>
            <w:tcW w:w="850" w:type="dxa"/>
          </w:tcPr>
          <w:p w:rsidR="006B2B8E" w:rsidRPr="006B2B8E" w:rsidRDefault="006B2B8E" w:rsidP="006B2B8E">
            <w:pPr>
              <w:pStyle w:val="AERtabletextleft"/>
            </w:pPr>
            <w:r>
              <w:lastRenderedPageBreak/>
              <w:t>1,850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1,850</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lastRenderedPageBreak/>
              <w:t>24</w:t>
            </w:r>
          </w:p>
        </w:tc>
        <w:tc>
          <w:tcPr>
            <w:tcW w:w="2374" w:type="dxa"/>
          </w:tcPr>
          <w:p w:rsidR="006B2B8E" w:rsidRPr="006B2B8E" w:rsidRDefault="006B2B8E" w:rsidP="006B2B8E">
            <w:pPr>
              <w:pStyle w:val="AERtabletextleft"/>
            </w:pPr>
            <w:r w:rsidRPr="00675320">
              <w:t>Travelling Wave Fault Location</w:t>
            </w:r>
            <w:r w:rsidRPr="006B2B8E">
              <w:t xml:space="preserve"> - Southern 330kV Network</w:t>
            </w:r>
          </w:p>
        </w:tc>
        <w:tc>
          <w:tcPr>
            <w:tcW w:w="3827" w:type="dxa"/>
          </w:tcPr>
          <w:p w:rsidR="006B2B8E" w:rsidRPr="006B2B8E" w:rsidRDefault="006B2B8E" w:rsidP="006B2B8E">
            <w:pPr>
              <w:pStyle w:val="AERtabletextleft"/>
            </w:pPr>
            <w:r>
              <w:t>Install travelling wave fault locators on 63 and 51 Lines</w:t>
            </w:r>
            <w:r w:rsidRPr="006B2B8E">
              <w:t>.</w:t>
            </w:r>
          </w:p>
        </w:tc>
        <w:tc>
          <w:tcPr>
            <w:tcW w:w="4111" w:type="dxa"/>
          </w:tcPr>
          <w:p w:rsidR="006B2B8E" w:rsidRPr="00E02761" w:rsidRDefault="006B2B8E" w:rsidP="006B2B8E">
            <w:pPr>
              <w:pStyle w:val="AERbodytext"/>
            </w:pPr>
            <w:r>
              <w:t>Commissioning of the travelling wave fault locators on the above lines.</w:t>
            </w:r>
          </w:p>
        </w:tc>
        <w:tc>
          <w:tcPr>
            <w:tcW w:w="850" w:type="dxa"/>
          </w:tcPr>
          <w:p w:rsidR="006B2B8E" w:rsidRPr="006B2B8E" w:rsidRDefault="006B2B8E" w:rsidP="006B2B8E">
            <w:pPr>
              <w:pStyle w:val="AERtabletextleft"/>
            </w:pPr>
            <w:r>
              <w:t>1,347</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1,347</w:t>
            </w:r>
          </w:p>
        </w:tc>
      </w:tr>
      <w:tr w:rsidR="006B2B8E" w:rsidTr="004B00F6">
        <w:tc>
          <w:tcPr>
            <w:tcW w:w="853" w:type="dxa"/>
          </w:tcPr>
          <w:p w:rsidR="006B2B8E" w:rsidRPr="00630CA9" w:rsidRDefault="006B2B8E" w:rsidP="006B2B8E">
            <w:pPr>
              <w:pStyle w:val="AERbodytext"/>
            </w:pPr>
            <w:r>
              <w:t>25</w:t>
            </w:r>
          </w:p>
        </w:tc>
        <w:tc>
          <w:tcPr>
            <w:tcW w:w="2374" w:type="dxa"/>
          </w:tcPr>
          <w:p w:rsidR="006B2B8E" w:rsidRPr="006B2B8E" w:rsidRDefault="006B2B8E" w:rsidP="006B2B8E">
            <w:pPr>
              <w:pStyle w:val="AERtabletextleft"/>
            </w:pPr>
            <w:r w:rsidRPr="00675320">
              <w:t>Travelling Wave Fault Location</w:t>
            </w:r>
            <w:r w:rsidRPr="006B2B8E">
              <w:t xml:space="preserve"> - Western 220kV Network</w:t>
            </w:r>
          </w:p>
        </w:tc>
        <w:tc>
          <w:tcPr>
            <w:tcW w:w="3827" w:type="dxa"/>
          </w:tcPr>
          <w:p w:rsidR="006B2B8E" w:rsidRPr="006B2B8E" w:rsidRDefault="006B2B8E" w:rsidP="006B2B8E">
            <w:pPr>
              <w:pStyle w:val="AERtabletextleft"/>
            </w:pPr>
            <w:r>
              <w:t>Install travelling wave fault locators on the western 220kV network.</w:t>
            </w:r>
          </w:p>
        </w:tc>
        <w:tc>
          <w:tcPr>
            <w:tcW w:w="4111" w:type="dxa"/>
          </w:tcPr>
          <w:p w:rsidR="006B2B8E" w:rsidRPr="00E02761" w:rsidRDefault="006B2B8E" w:rsidP="006B2B8E">
            <w:pPr>
              <w:pStyle w:val="AERbodytext"/>
            </w:pPr>
            <w:r>
              <w:t>Commissioning of the travelling wave fault locators on the above lines.</w:t>
            </w:r>
          </w:p>
        </w:tc>
        <w:tc>
          <w:tcPr>
            <w:tcW w:w="850" w:type="dxa"/>
          </w:tcPr>
          <w:p w:rsidR="006B2B8E" w:rsidRPr="006B2B8E" w:rsidRDefault="006B2B8E" w:rsidP="006B2B8E">
            <w:pPr>
              <w:pStyle w:val="AERtabletextleft"/>
            </w:pPr>
            <w:r>
              <w:t>877</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877</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26</w:t>
            </w:r>
          </w:p>
        </w:tc>
        <w:tc>
          <w:tcPr>
            <w:tcW w:w="2374" w:type="dxa"/>
          </w:tcPr>
          <w:p w:rsidR="006B2B8E" w:rsidRPr="006B2B8E" w:rsidRDefault="006B2B8E" w:rsidP="006B2B8E">
            <w:pPr>
              <w:pStyle w:val="AERtabletextleft"/>
            </w:pPr>
            <w:r w:rsidRPr="00675320">
              <w:t>Remote Information</w:t>
            </w:r>
            <w:r w:rsidRPr="006B2B8E">
              <w:t xml:space="preserve"> - Remote Interrogation of Protection Relays</w:t>
            </w:r>
          </w:p>
        </w:tc>
        <w:tc>
          <w:tcPr>
            <w:tcW w:w="3827" w:type="dxa"/>
          </w:tcPr>
          <w:p w:rsidR="006B2B8E" w:rsidRPr="006B2B8E" w:rsidRDefault="006B2B8E" w:rsidP="006B2B8E">
            <w:pPr>
              <w:pStyle w:val="AERtabletextleft"/>
            </w:pPr>
            <w:r>
              <w:t>Install remote interrogation of protection relays at 13 substations and commission production servers.</w:t>
            </w:r>
          </w:p>
        </w:tc>
        <w:tc>
          <w:tcPr>
            <w:tcW w:w="4111" w:type="dxa"/>
          </w:tcPr>
          <w:p w:rsidR="006B2B8E" w:rsidRPr="00E02761" w:rsidRDefault="006B2B8E" w:rsidP="006B2B8E">
            <w:pPr>
              <w:pStyle w:val="AERbodytext"/>
            </w:pPr>
            <w:r>
              <w:t xml:space="preserve">Remote </w:t>
            </w:r>
            <w:proofErr w:type="gramStart"/>
            <w:r>
              <w:t>interrogation</w:t>
            </w:r>
            <w:proofErr w:type="gramEnd"/>
            <w:r>
              <w:t xml:space="preserve"> of protection relay information from 13 substations operational.</w:t>
            </w:r>
          </w:p>
        </w:tc>
        <w:tc>
          <w:tcPr>
            <w:tcW w:w="850" w:type="dxa"/>
          </w:tcPr>
          <w:p w:rsidR="006B2B8E" w:rsidRPr="006B2B8E" w:rsidRDefault="006B2B8E" w:rsidP="006B2B8E">
            <w:pPr>
              <w:pStyle w:val="AERtabletextleft"/>
            </w:pPr>
            <w:r>
              <w:t>1,000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1,000</w:t>
            </w:r>
          </w:p>
        </w:tc>
      </w:tr>
      <w:tr w:rsidR="006B2B8E" w:rsidTr="004B00F6">
        <w:tc>
          <w:tcPr>
            <w:tcW w:w="853" w:type="dxa"/>
          </w:tcPr>
          <w:p w:rsidR="006B2B8E" w:rsidRPr="00630CA9" w:rsidRDefault="006B2B8E" w:rsidP="006B2B8E">
            <w:pPr>
              <w:pStyle w:val="AERbodytext"/>
            </w:pPr>
            <w:r>
              <w:t>27</w:t>
            </w:r>
          </w:p>
        </w:tc>
        <w:tc>
          <w:tcPr>
            <w:tcW w:w="2374" w:type="dxa"/>
          </w:tcPr>
          <w:p w:rsidR="006B2B8E" w:rsidRPr="006B2B8E" w:rsidRDefault="006B2B8E" w:rsidP="006B2B8E">
            <w:pPr>
              <w:pStyle w:val="AERtabletextleft"/>
            </w:pPr>
            <w:r w:rsidRPr="00675320">
              <w:t>Communications</w:t>
            </w:r>
            <w:r w:rsidRPr="006B2B8E">
              <w:t xml:space="preserve"> - Communications to Albury, ANM &amp; Hume Substations</w:t>
            </w:r>
          </w:p>
        </w:tc>
        <w:tc>
          <w:tcPr>
            <w:tcW w:w="3827" w:type="dxa"/>
          </w:tcPr>
          <w:p w:rsidR="006B2B8E" w:rsidRPr="006B2B8E" w:rsidRDefault="006B2B8E" w:rsidP="006B2B8E">
            <w:pPr>
              <w:pStyle w:val="AERtabletextleft"/>
            </w:pPr>
            <w:r>
              <w:t>Installation of suitable bandwidth communications for SCADA to Albury, ANM and Hume substations.</w:t>
            </w:r>
          </w:p>
        </w:tc>
        <w:tc>
          <w:tcPr>
            <w:tcW w:w="4111" w:type="dxa"/>
          </w:tcPr>
          <w:p w:rsidR="006B2B8E" w:rsidRPr="00E02761" w:rsidRDefault="006B2B8E" w:rsidP="006B2B8E">
            <w:pPr>
              <w:pStyle w:val="AERbodytext"/>
            </w:pPr>
            <w:r>
              <w:t>Commissioning of the communication link to Albury, ANM and Hume substations.</w:t>
            </w:r>
          </w:p>
        </w:tc>
        <w:tc>
          <w:tcPr>
            <w:tcW w:w="850" w:type="dxa"/>
          </w:tcPr>
          <w:p w:rsidR="006B2B8E" w:rsidRPr="006B2B8E" w:rsidRDefault="006B2B8E" w:rsidP="006B2B8E">
            <w:pPr>
              <w:pStyle w:val="AERtabletextleft"/>
            </w:pPr>
            <w:r>
              <w:t>4,200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4,200</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853" w:type="dxa"/>
          </w:tcPr>
          <w:p w:rsidR="006B2B8E" w:rsidRPr="00630CA9" w:rsidRDefault="006B2B8E" w:rsidP="006B2B8E">
            <w:pPr>
              <w:pStyle w:val="AERbodytext"/>
            </w:pPr>
            <w:r>
              <w:t>28</w:t>
            </w:r>
          </w:p>
        </w:tc>
        <w:tc>
          <w:tcPr>
            <w:tcW w:w="2374" w:type="dxa"/>
          </w:tcPr>
          <w:p w:rsidR="006B2B8E" w:rsidRPr="006B2B8E" w:rsidRDefault="006B2B8E" w:rsidP="006B2B8E">
            <w:pPr>
              <w:pStyle w:val="AERtabletextleft"/>
            </w:pPr>
            <w:r w:rsidRPr="00675320">
              <w:t>Research Projects</w:t>
            </w:r>
            <w:r w:rsidRPr="006B2B8E">
              <w:t xml:space="preserve"> - Energy Storage</w:t>
            </w:r>
          </w:p>
        </w:tc>
        <w:tc>
          <w:tcPr>
            <w:tcW w:w="3827" w:type="dxa"/>
          </w:tcPr>
          <w:p w:rsidR="006B2B8E" w:rsidRPr="006B2B8E" w:rsidRDefault="006B2B8E" w:rsidP="006B2B8E">
            <w:pPr>
              <w:pStyle w:val="AERtabletextleft"/>
            </w:pPr>
            <w:r>
              <w:t>Install a pilot energy storage device in the Sydney area.</w:t>
            </w:r>
          </w:p>
        </w:tc>
        <w:tc>
          <w:tcPr>
            <w:tcW w:w="4111" w:type="dxa"/>
          </w:tcPr>
          <w:p w:rsidR="006B2B8E" w:rsidRPr="00E02761" w:rsidRDefault="006B2B8E" w:rsidP="006B2B8E">
            <w:pPr>
              <w:pStyle w:val="AERbodytext"/>
            </w:pPr>
            <w:r>
              <w:t>Installation and commissioning of an energy storage device to trial the concept.</w:t>
            </w:r>
          </w:p>
        </w:tc>
        <w:tc>
          <w:tcPr>
            <w:tcW w:w="850" w:type="dxa"/>
          </w:tcPr>
          <w:p w:rsidR="006B2B8E" w:rsidRPr="006B2B8E" w:rsidRDefault="006B2B8E" w:rsidP="006B2B8E">
            <w:pPr>
              <w:pStyle w:val="AERtabletextleft"/>
            </w:pPr>
            <w:r>
              <w:t>4,900</w:t>
            </w:r>
          </w:p>
        </w:tc>
        <w:tc>
          <w:tcPr>
            <w:tcW w:w="993" w:type="dxa"/>
          </w:tcPr>
          <w:p w:rsidR="006B2B8E" w:rsidRPr="006B2B8E" w:rsidRDefault="006B2B8E" w:rsidP="006B2B8E">
            <w:pPr>
              <w:pStyle w:val="AERtabletextleft"/>
            </w:pPr>
            <w:r>
              <w:t>0</w:t>
            </w:r>
          </w:p>
        </w:tc>
        <w:tc>
          <w:tcPr>
            <w:tcW w:w="992" w:type="dxa"/>
          </w:tcPr>
          <w:p w:rsidR="006B2B8E" w:rsidRPr="006B2B8E" w:rsidRDefault="006B2B8E" w:rsidP="006B2B8E">
            <w:pPr>
              <w:pStyle w:val="AERtabletextleft"/>
            </w:pPr>
            <w:r>
              <w:t>4,900</w:t>
            </w:r>
          </w:p>
        </w:tc>
      </w:tr>
      <w:tr w:rsidR="006B2B8E" w:rsidTr="004B00F6">
        <w:tc>
          <w:tcPr>
            <w:tcW w:w="853" w:type="dxa"/>
          </w:tcPr>
          <w:p w:rsidR="006B2B8E" w:rsidRPr="00913C95" w:rsidRDefault="006B2B8E" w:rsidP="006B2B8E">
            <w:pPr>
              <w:pStyle w:val="AERbodytext"/>
              <w:rPr>
                <w:rStyle w:val="AERtextbold"/>
              </w:rPr>
            </w:pPr>
            <w:r w:rsidRPr="00913C95">
              <w:rPr>
                <w:rStyle w:val="AERtextbold"/>
              </w:rPr>
              <w:t>Total</w:t>
            </w:r>
          </w:p>
        </w:tc>
        <w:tc>
          <w:tcPr>
            <w:tcW w:w="2374" w:type="dxa"/>
          </w:tcPr>
          <w:p w:rsidR="006B2B8E" w:rsidRPr="00913C95" w:rsidRDefault="006B2B8E" w:rsidP="006B2B8E">
            <w:pPr>
              <w:pStyle w:val="AERbodytext"/>
              <w:rPr>
                <w:rStyle w:val="AERtextbold"/>
              </w:rPr>
            </w:pPr>
          </w:p>
        </w:tc>
        <w:tc>
          <w:tcPr>
            <w:tcW w:w="3827" w:type="dxa"/>
          </w:tcPr>
          <w:p w:rsidR="006B2B8E" w:rsidRPr="00913C95" w:rsidRDefault="006B2B8E" w:rsidP="006B2B8E">
            <w:pPr>
              <w:pStyle w:val="AERbodytext"/>
              <w:rPr>
                <w:rStyle w:val="AERtextbold"/>
              </w:rPr>
            </w:pPr>
          </w:p>
        </w:tc>
        <w:tc>
          <w:tcPr>
            <w:tcW w:w="4111" w:type="dxa"/>
          </w:tcPr>
          <w:p w:rsidR="006B2B8E" w:rsidRPr="00913C95" w:rsidRDefault="006B2B8E" w:rsidP="006B2B8E">
            <w:pPr>
              <w:pStyle w:val="AERbodytext"/>
              <w:rPr>
                <w:rStyle w:val="AERtextbold"/>
              </w:rPr>
            </w:pPr>
          </w:p>
        </w:tc>
        <w:tc>
          <w:tcPr>
            <w:tcW w:w="850" w:type="dxa"/>
          </w:tcPr>
          <w:p w:rsidR="006B2B8E" w:rsidRPr="00913C95" w:rsidRDefault="006B2B8E" w:rsidP="006B2B8E">
            <w:pPr>
              <w:pStyle w:val="AERbodytext"/>
              <w:rPr>
                <w:rStyle w:val="AERtextbold"/>
              </w:rPr>
            </w:pPr>
            <w:r w:rsidRPr="00913C95">
              <w:rPr>
                <w:rStyle w:val="AERtextbold"/>
              </w:rPr>
              <w:t>36,215</w:t>
            </w:r>
          </w:p>
        </w:tc>
        <w:tc>
          <w:tcPr>
            <w:tcW w:w="993" w:type="dxa"/>
          </w:tcPr>
          <w:p w:rsidR="006B2B8E" w:rsidRPr="00913C95" w:rsidRDefault="006B2B8E" w:rsidP="006B2B8E">
            <w:pPr>
              <w:pStyle w:val="AERbodytext"/>
              <w:rPr>
                <w:rStyle w:val="AERtextbold"/>
              </w:rPr>
            </w:pPr>
            <w:r w:rsidRPr="00913C95">
              <w:rPr>
                <w:rStyle w:val="AERtextbold"/>
              </w:rPr>
              <w:t>105</w:t>
            </w:r>
          </w:p>
        </w:tc>
        <w:tc>
          <w:tcPr>
            <w:tcW w:w="992" w:type="dxa"/>
          </w:tcPr>
          <w:p w:rsidR="006B2B8E" w:rsidRPr="00913C95" w:rsidRDefault="006B2B8E" w:rsidP="006B2B8E">
            <w:pPr>
              <w:pStyle w:val="AERbodytext"/>
              <w:rPr>
                <w:rStyle w:val="AERtextbold"/>
              </w:rPr>
            </w:pPr>
            <w:r w:rsidRPr="00913C95">
              <w:rPr>
                <w:rStyle w:val="AERtextbold"/>
              </w:rPr>
              <w:t>36,317</w:t>
            </w:r>
          </w:p>
        </w:tc>
      </w:tr>
    </w:tbl>
    <w:p w:rsidR="006B2B8E" w:rsidRPr="00E02761" w:rsidRDefault="006B2B8E" w:rsidP="006B2B8E">
      <w:pPr>
        <w:pStyle w:val="Caption"/>
      </w:pPr>
    </w:p>
    <w:p w:rsidR="006B2B8E" w:rsidRDefault="006B2B8E" w:rsidP="006B2B8E">
      <w:pPr>
        <w:pStyle w:val="Heading2"/>
      </w:pPr>
      <w:bookmarkStart w:id="15" w:name="_Toc396839233"/>
      <w:bookmarkStart w:id="16" w:name="_Toc404159210"/>
      <w:r>
        <w:t>TransGrid's proposal</w:t>
      </w:r>
      <w:bookmarkEnd w:id="15"/>
      <w:bookmarkEnd w:id="16"/>
    </w:p>
    <w:p w:rsidR="006B2B8E" w:rsidRPr="007432E6" w:rsidRDefault="006B2B8E" w:rsidP="006B2B8E">
      <w:bookmarkStart w:id="17" w:name="_Toc396839234"/>
      <w:r w:rsidRPr="007432E6">
        <w:t xml:space="preserve">TransGrid proposed to apply version 4 of the STPIS in its entirety for the </w:t>
      </w:r>
      <w:r>
        <w:t>2015–18</w:t>
      </w:r>
      <w:r w:rsidRPr="007432E6">
        <w:t xml:space="preserve"> regulatory control period.</w:t>
      </w:r>
      <w:r w:rsidRPr="007432E6">
        <w:rPr>
          <w:rStyle w:val="FootnoteReference"/>
        </w:rPr>
        <w:footnoteReference w:id="13"/>
      </w:r>
    </w:p>
    <w:p w:rsidR="006B2B8E" w:rsidRDefault="006B2B8E" w:rsidP="00662027">
      <w:pPr>
        <w:pStyle w:val="Heading3"/>
      </w:pPr>
      <w:bookmarkStart w:id="18" w:name="_Toc404159211"/>
      <w:r>
        <w:t>Service component</w:t>
      </w:r>
      <w:bookmarkEnd w:id="18"/>
    </w:p>
    <w:p w:rsidR="00D83A83" w:rsidRDefault="006B2B8E" w:rsidP="006B2B8E">
      <w:pPr>
        <w:pStyle w:val="AERbodytext"/>
      </w:pPr>
      <w:r>
        <w:t>TransGrid proposed to set the target as the historical average performance for each sub-parameter according to the method specified in the STPIS. It engaged Parsons Brinckerhoff to derive the caps and collars from the</w:t>
      </w:r>
      <w:r w:rsidRPr="00F157E2">
        <w:t xml:space="preserve"> statistical distributions that best fit its historical</w:t>
      </w:r>
      <w:r>
        <w:t xml:space="preserve"> </w:t>
      </w:r>
      <w:r w:rsidRPr="00F157E2">
        <w:t>performance under each sub-parameter</w:t>
      </w:r>
      <w:r>
        <w:t>.</w:t>
      </w:r>
      <w:r>
        <w:rPr>
          <w:rStyle w:val="FootnoteReference"/>
        </w:rPr>
        <w:footnoteReference w:id="14"/>
      </w:r>
      <w:r>
        <w:fldChar w:fldCharType="begin"/>
      </w:r>
      <w:r>
        <w:instrText xml:space="preserve"> REF _Ref356810086 \h </w:instrText>
      </w:r>
      <w:r>
        <w:fldChar w:fldCharType="separate"/>
      </w:r>
    </w:p>
    <w:p w:rsidR="006B2B8E" w:rsidRDefault="00D83A83" w:rsidP="006B2B8E">
      <w:pPr>
        <w:pStyle w:val="AERbodytext"/>
      </w:pPr>
      <w:r>
        <w:t xml:space="preserve">Table </w:t>
      </w:r>
      <w:r>
        <w:rPr>
          <w:noProof/>
        </w:rPr>
        <w:t>1</w:t>
      </w:r>
      <w:r w:rsidR="00662027">
        <w:rPr>
          <w:noProof/>
        </w:rPr>
        <w:t>1</w:t>
      </w:r>
      <w:r w:rsidRPr="00E02761">
        <w:t>.</w:t>
      </w:r>
      <w:r>
        <w:rPr>
          <w:noProof/>
        </w:rPr>
        <w:t>3</w:t>
      </w:r>
      <w:r w:rsidR="006B2B8E">
        <w:fldChar w:fldCharType="end"/>
      </w:r>
      <w:r w:rsidR="006B2B8E">
        <w:t xml:space="preserve"> sets out TransGrid's proposed performance targets, caps and collars for each parameter under the service component of the STPIS. </w:t>
      </w:r>
      <w:bookmarkStart w:id="19" w:name="_Ref356810086"/>
    </w:p>
    <w:p w:rsidR="006B2B8E" w:rsidRPr="00E02761" w:rsidRDefault="006B2B8E" w:rsidP="006B2B8E">
      <w:pPr>
        <w:pStyle w:val="Caption"/>
      </w:pPr>
      <w:proofErr w:type="gramStart"/>
      <w:r>
        <w:lastRenderedPageBreak/>
        <w:t xml:space="preserve">Table </w:t>
      </w:r>
      <w:proofErr w:type="gramEnd"/>
      <w:r w:rsidRPr="00964A91">
        <w:fldChar w:fldCharType="begin"/>
      </w:r>
      <w:r>
        <w:instrText xml:space="preserve"> STYLEREF 1 \s </w:instrText>
      </w:r>
      <w:r w:rsidRPr="00964A91">
        <w:fldChar w:fldCharType="separate"/>
      </w:r>
      <w:r w:rsidR="00D83A83">
        <w:rPr>
          <w:noProof/>
        </w:rPr>
        <w:t>1</w:t>
      </w:r>
      <w:r w:rsidRPr="00964A91">
        <w:fldChar w:fldCharType="end"/>
      </w:r>
      <w:proofErr w:type="gramStart"/>
      <w:r w:rsidR="00662027">
        <w:t>1</w:t>
      </w:r>
      <w:r w:rsidRPr="00E02761">
        <w:t>.</w:t>
      </w:r>
      <w:proofErr w:type="gramEnd"/>
      <w:r w:rsidRPr="006B2B8E">
        <w:fldChar w:fldCharType="begin"/>
      </w:r>
      <w:r>
        <w:instrText xml:space="preserve"> SEQ Table \* ARABIC \s 1 </w:instrText>
      </w:r>
      <w:r w:rsidRPr="006B2B8E">
        <w:fldChar w:fldCharType="separate"/>
      </w:r>
      <w:r w:rsidR="00D83A83">
        <w:rPr>
          <w:noProof/>
        </w:rPr>
        <w:t>3</w:t>
      </w:r>
      <w:r w:rsidRPr="006B2B8E">
        <w:fldChar w:fldCharType="end"/>
      </w:r>
      <w:bookmarkEnd w:id="19"/>
      <w:r w:rsidRPr="00E02761">
        <w:tab/>
      </w:r>
      <w:r>
        <w:t>TransGrid's</w:t>
      </w:r>
      <w:r w:rsidRPr="00E02761">
        <w:t xml:space="preserve"> proposed parameter values for the service component of the STPIS</w:t>
      </w:r>
    </w:p>
    <w:tbl>
      <w:tblPr>
        <w:tblStyle w:val="AERtable-numbers"/>
        <w:tblW w:w="0" w:type="auto"/>
        <w:tblLook w:val="04A0" w:firstRow="1" w:lastRow="0" w:firstColumn="1" w:lastColumn="0" w:noHBand="0" w:noVBand="1"/>
      </w:tblPr>
      <w:tblGrid>
        <w:gridCol w:w="3085"/>
        <w:gridCol w:w="1539"/>
        <w:gridCol w:w="1539"/>
        <w:gridCol w:w="1539"/>
        <w:gridCol w:w="1540"/>
      </w:tblGrid>
      <w:tr w:rsidR="006B2B8E" w:rsidRPr="00682A64" w:rsidTr="004B00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682A64" w:rsidRDefault="006B2B8E" w:rsidP="006B2B8E">
            <w:pPr>
              <w:pStyle w:val="AERtabletextleft"/>
            </w:pPr>
          </w:p>
        </w:tc>
        <w:tc>
          <w:tcPr>
            <w:tcW w:w="1539"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682A64">
              <w:t>Collar</w:t>
            </w:r>
          </w:p>
        </w:tc>
        <w:tc>
          <w:tcPr>
            <w:tcW w:w="1539"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682A64">
              <w:t>Target</w:t>
            </w:r>
          </w:p>
        </w:tc>
        <w:tc>
          <w:tcPr>
            <w:tcW w:w="1539"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682A64">
              <w:t>Cap</w:t>
            </w:r>
          </w:p>
        </w:tc>
        <w:tc>
          <w:tcPr>
            <w:tcW w:w="1540"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682A64">
              <w:t xml:space="preserve">Weighting </w:t>
            </w:r>
            <w:r w:rsidRPr="00682A64">
              <w:br/>
              <w:t>(% of MAR)</w:t>
            </w:r>
          </w:p>
        </w:tc>
      </w:tr>
      <w:tr w:rsidR="006B2B8E" w:rsidRPr="0028026E"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rPr>
                <w:rStyle w:val="AERtextbold"/>
              </w:rPr>
            </w:pPr>
            <w:r w:rsidRPr="00845B9B">
              <w:rPr>
                <w:rStyle w:val="AERtextbold"/>
              </w:rPr>
              <w:t>Average circuit outage rate</w:t>
            </w:r>
          </w:p>
        </w:tc>
        <w:tc>
          <w:tcPr>
            <w:tcW w:w="1539"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539"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539"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540"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Line outage – fault</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22.46%</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17.86%</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13.26%</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0.2</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Transformer outage – fault</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20.26%</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14.92%</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9.58%</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0.2</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 xml:space="preserve">Reactive plant – fault </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23.32%</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15.54%</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7.76%</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0.1</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 xml:space="preserve">Line outage – forced </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30.48%</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14.98%</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0.00%</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0.0</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 xml:space="preserve">Transformer outage – forced </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25.51%</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20.25%</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14.99%</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0.0</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 xml:space="preserve">Reactive plant – forced </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33.57%</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20.39%</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7.21%</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0.0</w:t>
            </w:r>
          </w:p>
        </w:tc>
      </w:tr>
      <w:tr w:rsidR="006B2B8E" w:rsidRPr="0028026E"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rPr>
                <w:rStyle w:val="AERtextbold"/>
              </w:rPr>
            </w:pPr>
            <w:r w:rsidRPr="00845B9B">
              <w:rPr>
                <w:rStyle w:val="AERtextbold"/>
              </w:rPr>
              <w:t>Loss of supply event frequency</w:t>
            </w:r>
          </w:p>
        </w:tc>
        <w:tc>
          <w:tcPr>
            <w:tcW w:w="1539" w:type="dxa"/>
          </w:tcPr>
          <w:p w:rsidR="006B2B8E" w:rsidRPr="00845B9B" w:rsidRDefault="006B2B8E" w:rsidP="006B2B8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539" w:type="dxa"/>
          </w:tcPr>
          <w:p w:rsidR="006B2B8E" w:rsidRPr="00845B9B" w:rsidRDefault="006B2B8E" w:rsidP="006B2B8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539" w:type="dxa"/>
          </w:tcPr>
          <w:p w:rsidR="006B2B8E" w:rsidRPr="00845B9B" w:rsidRDefault="006B2B8E" w:rsidP="006B2B8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540" w:type="dxa"/>
          </w:tcPr>
          <w:p w:rsidR="006B2B8E" w:rsidRPr="00845B9B" w:rsidRDefault="006B2B8E" w:rsidP="006B2B8E">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 xml:space="preserve">&gt;0.05 system </w:t>
            </w:r>
            <w:r w:rsidRPr="006B2B8E">
              <w:t>minutes</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5</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3</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1</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0.15</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&gt;0.</w:t>
            </w:r>
            <w:r w:rsidRPr="006B2B8E">
              <w:t>25 system minutes</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3</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1</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0</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0.15</w:t>
            </w:r>
          </w:p>
        </w:tc>
      </w:tr>
      <w:tr w:rsidR="006B2B8E" w:rsidRPr="0028026E"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rPr>
                <w:rStyle w:val="AERtextbold"/>
              </w:rPr>
            </w:pPr>
            <w:r w:rsidRPr="00845B9B">
              <w:rPr>
                <w:rStyle w:val="AERtextbold"/>
              </w:rPr>
              <w:t>Average outage duration</w:t>
            </w:r>
          </w:p>
        </w:tc>
        <w:tc>
          <w:tcPr>
            <w:tcW w:w="1539"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539"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539"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540"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Average outage duration</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284.25</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144.49</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4.73</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0.2</w:t>
            </w:r>
          </w:p>
        </w:tc>
      </w:tr>
      <w:tr w:rsidR="006B2B8E" w:rsidRPr="0028026E"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rPr>
                <w:rStyle w:val="AERtextbold"/>
              </w:rPr>
            </w:pPr>
            <w:r w:rsidRPr="00845B9B">
              <w:rPr>
                <w:rStyle w:val="AERtextbold"/>
              </w:rPr>
              <w:t>Proper operation of equipment</w:t>
            </w:r>
          </w:p>
        </w:tc>
        <w:tc>
          <w:tcPr>
            <w:tcW w:w="1539"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539"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539"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540" w:type="dxa"/>
          </w:tcPr>
          <w:p w:rsidR="006B2B8E" w:rsidRPr="00845B9B" w:rsidRDefault="006B2B8E" w:rsidP="006B2B8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Failure of protection system</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0.0</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Material failure of SCADA</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1539"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154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0.0</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B2B8E" w:rsidRPr="006B2B8E" w:rsidRDefault="006B2B8E" w:rsidP="006B2B8E">
            <w:pPr>
              <w:pStyle w:val="AERtabletextleft"/>
            </w:pPr>
            <w:r w:rsidRPr="00682A64">
              <w:t>Incorrect operational isolation of primary or</w:t>
            </w:r>
            <w:r w:rsidRPr="006B2B8E">
              <w:t xml:space="preserve"> secondary equipment</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1539"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154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0.0</w:t>
            </w:r>
          </w:p>
        </w:tc>
      </w:tr>
    </w:tbl>
    <w:p w:rsidR="006B2B8E" w:rsidRDefault="006B2B8E" w:rsidP="006B2B8E">
      <w:pPr>
        <w:pStyle w:val="AERtablesource"/>
      </w:pPr>
      <w:r>
        <w:t>Source:</w:t>
      </w:r>
      <w:r w:rsidRPr="00E02761">
        <w:tab/>
      </w:r>
      <w:r>
        <w:t xml:space="preserve">TransGrid, </w:t>
      </w:r>
      <w:r w:rsidRPr="0090043A">
        <w:rPr>
          <w:rStyle w:val="AERtextitalic"/>
        </w:rPr>
        <w:t>Revenue proposal</w:t>
      </w:r>
      <w:r>
        <w:rPr>
          <w:rStyle w:val="AERtextitalic"/>
        </w:rPr>
        <w:t xml:space="preserve"> 2014/15–2018/19</w:t>
      </w:r>
      <w:r>
        <w:t>, pp.225-226.</w:t>
      </w:r>
    </w:p>
    <w:p w:rsidR="006B2B8E" w:rsidRDefault="006B2B8E" w:rsidP="00662027">
      <w:pPr>
        <w:pStyle w:val="Heading3"/>
      </w:pPr>
      <w:bookmarkStart w:id="20" w:name="_Toc404159212"/>
      <w:r>
        <w:t>Market impact component</w:t>
      </w:r>
      <w:bookmarkEnd w:id="20"/>
    </w:p>
    <w:p w:rsidR="006B2B8E" w:rsidRDefault="006B2B8E" w:rsidP="003E413E">
      <w:pPr>
        <w:pStyle w:val="AERbodytext"/>
      </w:pPr>
      <w:r>
        <w:t xml:space="preserve">TransGrid submitted 2011, 2012 and 2013 market impact performance data </w:t>
      </w:r>
      <w:r w:rsidRPr="003E413E">
        <w:t xml:space="preserve">within its </w:t>
      </w:r>
      <w:r w:rsidRPr="003E413E">
        <w:rPr>
          <w:rStyle w:val="AERtexthighlight"/>
          <w:shd w:val="clear" w:color="auto" w:fill="auto"/>
        </w:rPr>
        <w:t>2015–18 revenue proposal</w:t>
      </w:r>
      <w:r w:rsidRPr="003E413E">
        <w:t xml:space="preserve"> for v</w:t>
      </w:r>
      <w:r>
        <w:t>alidation. TransGrid's</w:t>
      </w:r>
      <w:r w:rsidRPr="00326992">
        <w:t xml:space="preserve"> proposed performance </w:t>
      </w:r>
      <w:r>
        <w:t>values</w:t>
      </w:r>
      <w:r w:rsidRPr="00326992">
        <w:t xml:space="preserve"> for 2011</w:t>
      </w:r>
      <w:r>
        <w:t>, 2012</w:t>
      </w:r>
      <w:r w:rsidRPr="00326992">
        <w:t xml:space="preserve"> and 201</w:t>
      </w:r>
      <w:r>
        <w:t>3</w:t>
      </w:r>
      <w:r w:rsidRPr="00326992">
        <w:t xml:space="preserve"> </w:t>
      </w:r>
      <w:r>
        <w:t>are</w:t>
      </w:r>
      <w:r w:rsidRPr="00326992">
        <w:t xml:space="preserve"> </w:t>
      </w:r>
      <w:r>
        <w:t>872,</w:t>
      </w:r>
      <w:r w:rsidRPr="00326992">
        <w:t xml:space="preserve"> </w:t>
      </w:r>
      <w:r>
        <w:t>737 and 593</w:t>
      </w:r>
      <w:r w:rsidRPr="00326992">
        <w:t xml:space="preserve"> dispatch intervals respectively.</w:t>
      </w:r>
      <w:r w:rsidRPr="00326992">
        <w:rPr>
          <w:rStyle w:val="FootnoteReference"/>
        </w:rPr>
        <w:footnoteReference w:id="15"/>
      </w:r>
    </w:p>
    <w:p w:rsidR="006B2B8E" w:rsidRDefault="006B2B8E" w:rsidP="003E413E">
      <w:pPr>
        <w:pStyle w:val="AERbodytext"/>
      </w:pPr>
      <w:r>
        <w:t xml:space="preserve">TransGrid acknowledged that the market impact parameter performance targets that will apply within </w:t>
      </w:r>
      <w:r w:rsidRPr="003E413E">
        <w:t xml:space="preserve">the </w:t>
      </w:r>
      <w:r w:rsidRPr="003E413E">
        <w:rPr>
          <w:rStyle w:val="AERtexthighlight"/>
          <w:shd w:val="clear" w:color="auto" w:fill="auto"/>
        </w:rPr>
        <w:t>2015–18 regulatory control</w:t>
      </w:r>
      <w:r w:rsidRPr="003E413E">
        <w:t xml:space="preserve"> period</w:t>
      </w:r>
      <w:r>
        <w:t xml:space="preserve"> will be </w:t>
      </w:r>
      <w:r w:rsidRPr="003923D5">
        <w:t xml:space="preserve">published </w:t>
      </w:r>
      <w:r>
        <w:t>by us</w:t>
      </w:r>
      <w:r w:rsidRPr="003923D5">
        <w:t xml:space="preserve"> </w:t>
      </w:r>
      <w:r>
        <w:t>as part of our annual service standards compliance reporting process.</w:t>
      </w:r>
      <w:r>
        <w:rPr>
          <w:rStyle w:val="FootnoteReference"/>
        </w:rPr>
        <w:footnoteReference w:id="16"/>
      </w:r>
    </w:p>
    <w:p w:rsidR="006B2B8E" w:rsidRDefault="006B2B8E" w:rsidP="00662027">
      <w:pPr>
        <w:pStyle w:val="Heading3"/>
      </w:pPr>
      <w:bookmarkStart w:id="21" w:name="_Toc404159213"/>
      <w:r>
        <w:t>Network capability component</w:t>
      </w:r>
      <w:bookmarkEnd w:id="21"/>
    </w:p>
    <w:p w:rsidR="006B2B8E" w:rsidRPr="00E02761" w:rsidRDefault="006B2B8E" w:rsidP="006B2B8E">
      <w:pPr>
        <w:pStyle w:val="AERbodytext"/>
      </w:pPr>
      <w:r>
        <w:t xml:space="preserve">TransGrid proposed 28 projects totalling $36.32 million over the 2014–18 </w:t>
      </w:r>
      <w:proofErr w:type="gramStart"/>
      <w:r>
        <w:t>period</w:t>
      </w:r>
      <w:proofErr w:type="gramEnd"/>
      <w:r>
        <w:t xml:space="preserve"> to improve the capability of its network</w:t>
      </w:r>
      <w:r w:rsidRPr="00E02761">
        <w:t>.</w:t>
      </w:r>
      <w:r w:rsidRPr="00E02761">
        <w:rPr>
          <w:rStyle w:val="FootnoteReference"/>
        </w:rPr>
        <w:footnoteReference w:id="17"/>
      </w:r>
      <w:r w:rsidRPr="00E02761">
        <w:t xml:space="preserve"> </w:t>
      </w:r>
      <w:r>
        <w:t xml:space="preserve">The projects are summarised in </w:t>
      </w:r>
      <w:r w:rsidRPr="00E02761">
        <w:fldChar w:fldCharType="begin"/>
      </w:r>
      <w:r w:rsidRPr="00E02761">
        <w:instrText xml:space="preserve"> REF _Ref363748026 \h </w:instrText>
      </w:r>
      <w:r w:rsidRPr="00E02761">
        <w:fldChar w:fldCharType="separate"/>
      </w:r>
      <w:r w:rsidR="00D83A83">
        <w:t xml:space="preserve">Table </w:t>
      </w:r>
      <w:r w:rsidR="00D83A83">
        <w:rPr>
          <w:noProof/>
        </w:rPr>
        <w:t>1</w:t>
      </w:r>
      <w:r w:rsidR="00662027">
        <w:rPr>
          <w:noProof/>
        </w:rPr>
        <w:t>1</w:t>
      </w:r>
      <w:r w:rsidR="00D83A83" w:rsidRPr="00E02761">
        <w:t>.</w:t>
      </w:r>
      <w:r w:rsidR="00D83A83">
        <w:rPr>
          <w:noProof/>
        </w:rPr>
        <w:t>4</w:t>
      </w:r>
      <w:r w:rsidRPr="00E02761">
        <w:fldChar w:fldCharType="end"/>
      </w:r>
      <w:r>
        <w:t xml:space="preserve"> below.</w:t>
      </w:r>
    </w:p>
    <w:p w:rsidR="006B2B8E" w:rsidRPr="00E02761" w:rsidRDefault="006B2B8E" w:rsidP="006B2B8E">
      <w:pPr>
        <w:pStyle w:val="Caption"/>
      </w:pPr>
      <w:bookmarkStart w:id="22" w:name="_Ref363748026"/>
      <w:proofErr w:type="gramStart"/>
      <w:r>
        <w:lastRenderedPageBreak/>
        <w:t xml:space="preserve">Table </w:t>
      </w:r>
      <w:proofErr w:type="gramEnd"/>
      <w:r w:rsidRPr="00964A91">
        <w:fldChar w:fldCharType="begin"/>
      </w:r>
      <w:r>
        <w:instrText xml:space="preserve"> STYLEREF 1 \s </w:instrText>
      </w:r>
      <w:r w:rsidRPr="00964A91">
        <w:fldChar w:fldCharType="separate"/>
      </w:r>
      <w:r w:rsidR="00D83A83">
        <w:rPr>
          <w:noProof/>
        </w:rPr>
        <w:t>1</w:t>
      </w:r>
      <w:r w:rsidRPr="00964A91">
        <w:fldChar w:fldCharType="end"/>
      </w:r>
      <w:proofErr w:type="gramStart"/>
      <w:r w:rsidR="00662027">
        <w:t>1</w:t>
      </w:r>
      <w:r w:rsidRPr="00E02761">
        <w:t>.</w:t>
      </w:r>
      <w:proofErr w:type="gramEnd"/>
      <w:r w:rsidR="00D83A83">
        <w:fldChar w:fldCharType="begin"/>
      </w:r>
      <w:r w:rsidR="00D83A83">
        <w:instrText xml:space="preserve"> SEQ Table \* ARABIC \s 1 </w:instrText>
      </w:r>
      <w:r w:rsidR="00D83A83">
        <w:fldChar w:fldCharType="separate"/>
      </w:r>
      <w:r w:rsidR="00D83A83">
        <w:rPr>
          <w:noProof/>
        </w:rPr>
        <w:t>4</w:t>
      </w:r>
      <w:r w:rsidR="00D83A83">
        <w:rPr>
          <w:noProof/>
        </w:rPr>
        <w:fldChar w:fldCharType="end"/>
      </w:r>
      <w:bookmarkEnd w:id="22"/>
      <w:r w:rsidRPr="00E02761">
        <w:tab/>
      </w:r>
      <w:r>
        <w:t>TransGrid's</w:t>
      </w:r>
      <w:r w:rsidRPr="00E02761">
        <w:t xml:space="preserve"> proposed network </w:t>
      </w:r>
      <w:bookmarkStart w:id="23" w:name="_GoBack"/>
      <w:bookmarkEnd w:id="23"/>
      <w:r w:rsidRPr="00E02761">
        <w:t>capability projects ($ 000s, $2013</w:t>
      </w:r>
      <w:r>
        <w:t>/</w:t>
      </w:r>
      <w:r w:rsidRPr="00E02761">
        <w:t>14)</w:t>
      </w:r>
    </w:p>
    <w:tbl>
      <w:tblPr>
        <w:tblStyle w:val="AERtable-text"/>
        <w:tblW w:w="0" w:type="auto"/>
        <w:tblLook w:val="04A0" w:firstRow="1" w:lastRow="0" w:firstColumn="1" w:lastColumn="0" w:noHBand="0" w:noVBand="1"/>
      </w:tblPr>
      <w:tblGrid>
        <w:gridCol w:w="2768"/>
        <w:gridCol w:w="4303"/>
        <w:gridCol w:w="1156"/>
        <w:gridCol w:w="1015"/>
      </w:tblGrid>
      <w:tr w:rsidR="006B2B8E" w:rsidRPr="00682A64" w:rsidTr="004B00F6">
        <w:trPr>
          <w:cnfStyle w:val="100000000000" w:firstRow="1" w:lastRow="0" w:firstColumn="0" w:lastColumn="0" w:oddVBand="0" w:evenVBand="0" w:oddHBand="0" w:evenHBand="0" w:firstRowFirstColumn="0" w:firstRowLastColumn="0" w:lastRowFirstColumn="0" w:lastRowLastColumn="0"/>
          <w:tblHeader/>
        </w:trPr>
        <w:tc>
          <w:tcPr>
            <w:tcW w:w="2768" w:type="dxa"/>
          </w:tcPr>
          <w:p w:rsidR="006B2B8E" w:rsidRPr="006B2B8E" w:rsidRDefault="006B2B8E" w:rsidP="006B2B8E">
            <w:pPr>
              <w:pStyle w:val="AERtabletextleft"/>
            </w:pPr>
            <w:r>
              <w:t>Category</w:t>
            </w:r>
          </w:p>
        </w:tc>
        <w:tc>
          <w:tcPr>
            <w:tcW w:w="4303" w:type="dxa"/>
          </w:tcPr>
          <w:p w:rsidR="006B2B8E" w:rsidRPr="006B2B8E" w:rsidRDefault="006B2B8E" w:rsidP="006B2B8E">
            <w:pPr>
              <w:pStyle w:val="AERtabletextleft"/>
            </w:pPr>
            <w:r>
              <w:t>Project</w:t>
            </w:r>
          </w:p>
        </w:tc>
        <w:tc>
          <w:tcPr>
            <w:tcW w:w="1156" w:type="dxa"/>
          </w:tcPr>
          <w:p w:rsidR="006B2B8E" w:rsidRPr="006B2B8E" w:rsidRDefault="006B2B8E" w:rsidP="006B2B8E">
            <w:pPr>
              <w:pStyle w:val="AERtabletextleft"/>
            </w:pPr>
            <w:r>
              <w:t xml:space="preserve">Estimated </w:t>
            </w:r>
            <w:r w:rsidRPr="006B2B8E">
              <w:t xml:space="preserve">cost </w:t>
            </w:r>
          </w:p>
        </w:tc>
        <w:tc>
          <w:tcPr>
            <w:tcW w:w="1015" w:type="dxa"/>
          </w:tcPr>
          <w:p w:rsidR="006B2B8E" w:rsidRPr="006B2B8E" w:rsidRDefault="006B2B8E" w:rsidP="006B2B8E">
            <w:pPr>
              <w:pStyle w:val="AERtabletextleft"/>
            </w:pPr>
            <w:r>
              <w:t>Rank</w:t>
            </w:r>
          </w:p>
        </w:tc>
      </w:tr>
      <w:tr w:rsidR="006B2B8E" w:rsidRPr="00682A64" w:rsidTr="004B00F6">
        <w:tc>
          <w:tcPr>
            <w:tcW w:w="2768" w:type="dxa"/>
            <w:vMerge w:val="restart"/>
          </w:tcPr>
          <w:p w:rsidR="006B2B8E" w:rsidRPr="006B2B8E" w:rsidRDefault="006B2B8E" w:rsidP="006B2B8E">
            <w:pPr>
              <w:pStyle w:val="AERtabletextleft"/>
            </w:pPr>
            <w:r>
              <w:t>Terminal Equipment Upgrades</w:t>
            </w:r>
          </w:p>
        </w:tc>
        <w:tc>
          <w:tcPr>
            <w:tcW w:w="4303" w:type="dxa"/>
          </w:tcPr>
          <w:p w:rsidR="006B2B8E" w:rsidRPr="006B2B8E" w:rsidRDefault="006B2B8E" w:rsidP="006B2B8E">
            <w:pPr>
              <w:pStyle w:val="AERtabletextleft"/>
            </w:pPr>
            <w:r>
              <w:t xml:space="preserve">67 &amp; 68 Murray - Dederang </w:t>
            </w:r>
            <w:proofErr w:type="spellStart"/>
            <w:r>
              <w:t>Switchbays</w:t>
            </w:r>
            <w:proofErr w:type="spellEnd"/>
          </w:p>
        </w:tc>
        <w:tc>
          <w:tcPr>
            <w:tcW w:w="1156" w:type="dxa"/>
          </w:tcPr>
          <w:p w:rsidR="006B2B8E" w:rsidRPr="006B2B8E" w:rsidRDefault="006B2B8E" w:rsidP="006B2B8E">
            <w:pPr>
              <w:pStyle w:val="AERtabletextleft"/>
            </w:pPr>
            <w:r>
              <w:t>360</w:t>
            </w:r>
          </w:p>
        </w:tc>
        <w:tc>
          <w:tcPr>
            <w:tcW w:w="1015" w:type="dxa"/>
          </w:tcPr>
          <w:p w:rsidR="006B2B8E" w:rsidRPr="006B2B8E" w:rsidRDefault="006B2B8E" w:rsidP="006B2B8E">
            <w:pPr>
              <w:pStyle w:val="AERtabletextleft"/>
            </w:pPr>
            <w:r>
              <w:t>2</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vMerge/>
          </w:tcPr>
          <w:p w:rsidR="006B2B8E" w:rsidRPr="00E02761" w:rsidRDefault="006B2B8E" w:rsidP="006B2B8E">
            <w:pPr>
              <w:pStyle w:val="AERtabletextleft"/>
            </w:pPr>
          </w:p>
        </w:tc>
        <w:tc>
          <w:tcPr>
            <w:tcW w:w="4303" w:type="dxa"/>
          </w:tcPr>
          <w:p w:rsidR="006B2B8E" w:rsidRPr="006B2B8E" w:rsidRDefault="006B2B8E" w:rsidP="006B2B8E">
            <w:r w:rsidRPr="00723A6C">
              <w:t>81 &amp; 82 Liddell – Newcastle &amp; Tomago</w:t>
            </w:r>
            <w:r w:rsidRPr="006B2B8E">
              <w:t xml:space="preserve"> Lines</w:t>
            </w:r>
          </w:p>
        </w:tc>
        <w:tc>
          <w:tcPr>
            <w:tcW w:w="1156" w:type="dxa"/>
          </w:tcPr>
          <w:p w:rsidR="006B2B8E" w:rsidRPr="006B2B8E" w:rsidRDefault="006B2B8E" w:rsidP="006B2B8E">
            <w:pPr>
              <w:pStyle w:val="AERtabletextleft"/>
            </w:pPr>
            <w:r w:rsidRPr="00723A6C">
              <w:t>600</w:t>
            </w:r>
          </w:p>
        </w:tc>
        <w:tc>
          <w:tcPr>
            <w:tcW w:w="1015" w:type="dxa"/>
          </w:tcPr>
          <w:p w:rsidR="006B2B8E" w:rsidRPr="006B2B8E" w:rsidRDefault="006B2B8E" w:rsidP="006B2B8E">
            <w:pPr>
              <w:pStyle w:val="AERtabletextleft"/>
            </w:pPr>
            <w:r>
              <w:t>15</w:t>
            </w:r>
          </w:p>
        </w:tc>
      </w:tr>
      <w:tr w:rsidR="006B2B8E" w:rsidRPr="00682A64" w:rsidTr="004B00F6">
        <w:tc>
          <w:tcPr>
            <w:tcW w:w="2768" w:type="dxa"/>
            <w:vMerge/>
          </w:tcPr>
          <w:p w:rsidR="006B2B8E" w:rsidRPr="00E02761" w:rsidRDefault="006B2B8E" w:rsidP="006B2B8E">
            <w:pPr>
              <w:pStyle w:val="AERtabletextleft"/>
            </w:pPr>
          </w:p>
        </w:tc>
        <w:tc>
          <w:tcPr>
            <w:tcW w:w="4303" w:type="dxa"/>
          </w:tcPr>
          <w:p w:rsidR="006B2B8E" w:rsidRPr="006B2B8E" w:rsidRDefault="006B2B8E" w:rsidP="006B2B8E">
            <w:r w:rsidRPr="00723A6C">
              <w:t>94E Mt Piper 132 – Wallerawang 132</w:t>
            </w:r>
            <w:r w:rsidRPr="006B2B8E">
              <w:t xml:space="preserve"> </w:t>
            </w:r>
            <w:proofErr w:type="spellStart"/>
            <w:r w:rsidRPr="006B2B8E">
              <w:t>Switchbays</w:t>
            </w:r>
            <w:proofErr w:type="spellEnd"/>
          </w:p>
        </w:tc>
        <w:tc>
          <w:tcPr>
            <w:tcW w:w="1156" w:type="dxa"/>
          </w:tcPr>
          <w:p w:rsidR="006B2B8E" w:rsidRPr="006B2B8E" w:rsidRDefault="006B2B8E" w:rsidP="006B2B8E">
            <w:pPr>
              <w:pStyle w:val="AERtabletextleft"/>
            </w:pPr>
            <w:r w:rsidRPr="00723A6C">
              <w:t>50</w:t>
            </w:r>
          </w:p>
        </w:tc>
        <w:tc>
          <w:tcPr>
            <w:tcW w:w="1015" w:type="dxa"/>
          </w:tcPr>
          <w:p w:rsidR="006B2B8E" w:rsidRPr="006B2B8E" w:rsidRDefault="006B2B8E" w:rsidP="006B2B8E">
            <w:pPr>
              <w:pStyle w:val="AERtabletextleft"/>
            </w:pPr>
            <w:r>
              <w:t>9</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tcPr>
          <w:p w:rsidR="006B2B8E" w:rsidRPr="006B2B8E" w:rsidRDefault="006B2B8E" w:rsidP="006B2B8E">
            <w:pPr>
              <w:pStyle w:val="AERtabletextleft"/>
            </w:pPr>
            <w:r>
              <w:t>Protection Changes</w:t>
            </w:r>
          </w:p>
        </w:tc>
        <w:tc>
          <w:tcPr>
            <w:tcW w:w="4303" w:type="dxa"/>
          </w:tcPr>
          <w:p w:rsidR="006B2B8E" w:rsidRPr="006B2B8E" w:rsidRDefault="006B2B8E" w:rsidP="006B2B8E">
            <w:pPr>
              <w:pStyle w:val="AERtabletextleft"/>
            </w:pPr>
            <w:r>
              <w:t>976 Line Configuration &amp; Protection Changes</w:t>
            </w:r>
          </w:p>
        </w:tc>
        <w:tc>
          <w:tcPr>
            <w:tcW w:w="1156" w:type="dxa"/>
          </w:tcPr>
          <w:p w:rsidR="006B2B8E" w:rsidRPr="006B2B8E" w:rsidRDefault="006B2B8E" w:rsidP="006B2B8E">
            <w:pPr>
              <w:pStyle w:val="AERtabletextleft"/>
            </w:pPr>
            <w:r>
              <w:t>110</w:t>
            </w:r>
          </w:p>
        </w:tc>
        <w:tc>
          <w:tcPr>
            <w:tcW w:w="1015" w:type="dxa"/>
          </w:tcPr>
          <w:p w:rsidR="006B2B8E" w:rsidRPr="006B2B8E" w:rsidRDefault="006B2B8E" w:rsidP="006B2B8E">
            <w:pPr>
              <w:pStyle w:val="AERtabletextleft"/>
            </w:pPr>
            <w:r>
              <w:t>8</w:t>
            </w:r>
          </w:p>
        </w:tc>
      </w:tr>
      <w:tr w:rsidR="006B2B8E" w:rsidRPr="00682A64" w:rsidTr="004B00F6">
        <w:tc>
          <w:tcPr>
            <w:tcW w:w="2768" w:type="dxa"/>
            <w:vMerge w:val="restart"/>
          </w:tcPr>
          <w:p w:rsidR="006B2B8E" w:rsidRPr="006B2B8E" w:rsidRDefault="006B2B8E" w:rsidP="006B2B8E">
            <w:pPr>
              <w:pStyle w:val="AERtabletextleft"/>
            </w:pPr>
            <w:r>
              <w:t>Protection &amp; Metering Upgrades</w:t>
            </w:r>
          </w:p>
        </w:tc>
        <w:tc>
          <w:tcPr>
            <w:tcW w:w="4303" w:type="dxa"/>
          </w:tcPr>
          <w:p w:rsidR="006B2B8E" w:rsidRPr="006B2B8E" w:rsidRDefault="006B2B8E" w:rsidP="006B2B8E">
            <w:pPr>
              <w:pStyle w:val="AERtabletextleft"/>
            </w:pPr>
            <w:r>
              <w:t>993 Line Protection &amp; Metering Upgrade</w:t>
            </w:r>
          </w:p>
        </w:tc>
        <w:tc>
          <w:tcPr>
            <w:tcW w:w="1156" w:type="dxa"/>
          </w:tcPr>
          <w:p w:rsidR="006B2B8E" w:rsidRPr="006B2B8E" w:rsidRDefault="006B2B8E" w:rsidP="006B2B8E">
            <w:pPr>
              <w:pStyle w:val="AERtabletextleft"/>
            </w:pPr>
            <w:r>
              <w:t>90</w:t>
            </w:r>
          </w:p>
        </w:tc>
        <w:tc>
          <w:tcPr>
            <w:tcW w:w="1015" w:type="dxa"/>
          </w:tcPr>
          <w:p w:rsidR="006B2B8E" w:rsidRPr="006B2B8E" w:rsidRDefault="006B2B8E" w:rsidP="006B2B8E">
            <w:pPr>
              <w:pStyle w:val="AERtabletextleft"/>
            </w:pPr>
            <w:r>
              <w:t>3</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vMerge/>
          </w:tcPr>
          <w:p w:rsidR="006B2B8E" w:rsidRPr="00E02761" w:rsidRDefault="006B2B8E" w:rsidP="006B2B8E">
            <w:pPr>
              <w:pStyle w:val="AERtabletextleft"/>
            </w:pPr>
          </w:p>
        </w:tc>
        <w:tc>
          <w:tcPr>
            <w:tcW w:w="4303" w:type="dxa"/>
          </w:tcPr>
          <w:p w:rsidR="006B2B8E" w:rsidRPr="006B2B8E" w:rsidRDefault="006B2B8E" w:rsidP="006B2B8E">
            <w:pPr>
              <w:pStyle w:val="AERtabletextleft"/>
            </w:pPr>
            <w:r>
              <w:t>99P Line Protection &amp; Metering Upgrade</w:t>
            </w:r>
          </w:p>
        </w:tc>
        <w:tc>
          <w:tcPr>
            <w:tcW w:w="1156" w:type="dxa"/>
          </w:tcPr>
          <w:p w:rsidR="006B2B8E" w:rsidRPr="006B2B8E" w:rsidRDefault="006B2B8E" w:rsidP="006B2B8E">
            <w:pPr>
              <w:pStyle w:val="AERtabletextleft"/>
            </w:pPr>
            <w:r>
              <w:t>50</w:t>
            </w:r>
          </w:p>
        </w:tc>
        <w:tc>
          <w:tcPr>
            <w:tcW w:w="1015" w:type="dxa"/>
          </w:tcPr>
          <w:p w:rsidR="006B2B8E" w:rsidRPr="006B2B8E" w:rsidRDefault="006B2B8E" w:rsidP="006B2B8E">
            <w:pPr>
              <w:pStyle w:val="AERtabletextleft"/>
            </w:pPr>
            <w:r>
              <w:t>5</w:t>
            </w:r>
          </w:p>
        </w:tc>
      </w:tr>
      <w:tr w:rsidR="006B2B8E" w:rsidRPr="00682A64" w:rsidTr="004B00F6">
        <w:tc>
          <w:tcPr>
            <w:tcW w:w="2768" w:type="dxa"/>
            <w:vMerge w:val="restart"/>
          </w:tcPr>
          <w:p w:rsidR="006B2B8E" w:rsidRPr="006B2B8E" w:rsidRDefault="006B2B8E" w:rsidP="006B2B8E">
            <w:pPr>
              <w:pStyle w:val="AERtabletextleft"/>
            </w:pPr>
            <w:r>
              <w:t>Control Schemes</w:t>
            </w:r>
          </w:p>
        </w:tc>
        <w:tc>
          <w:tcPr>
            <w:tcW w:w="4303" w:type="dxa"/>
          </w:tcPr>
          <w:p w:rsidR="006B2B8E" w:rsidRPr="006B2B8E" w:rsidRDefault="006B2B8E" w:rsidP="006B2B8E">
            <w:pPr>
              <w:pStyle w:val="AERtabletextleft"/>
            </w:pPr>
            <w:r>
              <w:t>Extension of Directlink Tripping Scheme</w:t>
            </w:r>
          </w:p>
        </w:tc>
        <w:tc>
          <w:tcPr>
            <w:tcW w:w="1156" w:type="dxa"/>
          </w:tcPr>
          <w:p w:rsidR="006B2B8E" w:rsidRPr="006B2B8E" w:rsidRDefault="006B2B8E" w:rsidP="006B2B8E">
            <w:pPr>
              <w:pStyle w:val="AERtabletextleft"/>
            </w:pPr>
            <w:r>
              <w:t>600</w:t>
            </w:r>
          </w:p>
        </w:tc>
        <w:tc>
          <w:tcPr>
            <w:tcW w:w="1015" w:type="dxa"/>
          </w:tcPr>
          <w:p w:rsidR="006B2B8E" w:rsidRPr="006B2B8E" w:rsidRDefault="006B2B8E" w:rsidP="006B2B8E">
            <w:pPr>
              <w:pStyle w:val="AERtabletextleft"/>
            </w:pPr>
            <w:r>
              <w:t>7</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vMerge/>
          </w:tcPr>
          <w:p w:rsidR="006B2B8E" w:rsidRPr="00E02761" w:rsidRDefault="006B2B8E" w:rsidP="006B2B8E">
            <w:pPr>
              <w:pStyle w:val="AERtabletextleft"/>
            </w:pPr>
          </w:p>
        </w:tc>
        <w:tc>
          <w:tcPr>
            <w:tcW w:w="4303" w:type="dxa"/>
          </w:tcPr>
          <w:p w:rsidR="006B2B8E" w:rsidRPr="006B2B8E" w:rsidRDefault="006B2B8E" w:rsidP="006B2B8E">
            <w:pPr>
              <w:pStyle w:val="AERtabletextleft"/>
            </w:pPr>
            <w:r>
              <w:t>Northern Reactive Plant Control Scheme</w:t>
            </w:r>
          </w:p>
        </w:tc>
        <w:tc>
          <w:tcPr>
            <w:tcW w:w="1156" w:type="dxa"/>
          </w:tcPr>
          <w:p w:rsidR="006B2B8E" w:rsidRPr="006B2B8E" w:rsidRDefault="006B2B8E" w:rsidP="006B2B8E">
            <w:pPr>
              <w:pStyle w:val="AERtabletextleft"/>
            </w:pPr>
            <w:r>
              <w:t>524</w:t>
            </w:r>
          </w:p>
        </w:tc>
        <w:tc>
          <w:tcPr>
            <w:tcW w:w="1015" w:type="dxa"/>
          </w:tcPr>
          <w:p w:rsidR="006B2B8E" w:rsidRPr="006B2B8E" w:rsidRDefault="006B2B8E" w:rsidP="006B2B8E">
            <w:pPr>
              <w:pStyle w:val="AERtabletextleft"/>
            </w:pPr>
            <w:r>
              <w:t>12</w:t>
            </w:r>
          </w:p>
        </w:tc>
      </w:tr>
      <w:tr w:rsidR="006B2B8E" w:rsidRPr="00682A64" w:rsidTr="004B00F6">
        <w:tc>
          <w:tcPr>
            <w:tcW w:w="2768" w:type="dxa"/>
            <w:vMerge w:val="restart"/>
          </w:tcPr>
          <w:p w:rsidR="006B2B8E" w:rsidRPr="006B2B8E" w:rsidRDefault="006B2B8E" w:rsidP="006B2B8E">
            <w:pPr>
              <w:pStyle w:val="AERtabletextleft"/>
            </w:pPr>
            <w:r>
              <w:t>Dynamic Line Ratings &amp; Transmission Line Uprating</w:t>
            </w:r>
          </w:p>
        </w:tc>
        <w:tc>
          <w:tcPr>
            <w:tcW w:w="4303" w:type="dxa"/>
          </w:tcPr>
          <w:p w:rsidR="006B2B8E" w:rsidRPr="006B2B8E" w:rsidRDefault="006B2B8E" w:rsidP="006B2B8E">
            <w:pPr>
              <w:pStyle w:val="AERtabletextleft"/>
            </w:pPr>
            <w:r w:rsidRPr="00723A6C">
              <w:t>Snowy – Yass &amp; Canberra 330kV Lines</w:t>
            </w:r>
          </w:p>
        </w:tc>
        <w:tc>
          <w:tcPr>
            <w:tcW w:w="1156" w:type="dxa"/>
          </w:tcPr>
          <w:p w:rsidR="006B2B8E" w:rsidRPr="006B2B8E" w:rsidRDefault="006B2B8E" w:rsidP="006B2B8E">
            <w:pPr>
              <w:pStyle w:val="AERtabletextleft"/>
            </w:pPr>
            <w:r>
              <w:t>1,400</w:t>
            </w:r>
          </w:p>
        </w:tc>
        <w:tc>
          <w:tcPr>
            <w:tcW w:w="1015" w:type="dxa"/>
          </w:tcPr>
          <w:p w:rsidR="006B2B8E" w:rsidRPr="006B2B8E" w:rsidRDefault="006B2B8E" w:rsidP="006B2B8E">
            <w:pPr>
              <w:pStyle w:val="AERtabletextleft"/>
            </w:pPr>
            <w:r>
              <w:t>11</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vMerge/>
          </w:tcPr>
          <w:p w:rsidR="006B2B8E" w:rsidRPr="00E02761" w:rsidRDefault="006B2B8E" w:rsidP="006B2B8E">
            <w:pPr>
              <w:pStyle w:val="AERtabletextleft"/>
            </w:pPr>
          </w:p>
        </w:tc>
        <w:tc>
          <w:tcPr>
            <w:tcW w:w="4303" w:type="dxa"/>
          </w:tcPr>
          <w:p w:rsidR="006B2B8E" w:rsidRPr="006B2B8E" w:rsidRDefault="006B2B8E" w:rsidP="006B2B8E">
            <w:r w:rsidRPr="00723A6C">
              <w:t>65 Murray – Upper Tumut &amp;</w:t>
            </w:r>
            <w:r w:rsidRPr="006B2B8E">
              <w:t xml:space="preserve"> 66 Murray – Lower Tumut 330kV Lines</w:t>
            </w:r>
          </w:p>
        </w:tc>
        <w:tc>
          <w:tcPr>
            <w:tcW w:w="1156" w:type="dxa"/>
          </w:tcPr>
          <w:p w:rsidR="006B2B8E" w:rsidRPr="006B2B8E" w:rsidRDefault="006B2B8E" w:rsidP="006B2B8E">
            <w:pPr>
              <w:pStyle w:val="AERtabletextleft"/>
            </w:pPr>
            <w:r>
              <w:t>400</w:t>
            </w:r>
          </w:p>
        </w:tc>
        <w:tc>
          <w:tcPr>
            <w:tcW w:w="1015" w:type="dxa"/>
          </w:tcPr>
          <w:p w:rsidR="006B2B8E" w:rsidRPr="006B2B8E" w:rsidRDefault="006B2B8E" w:rsidP="006B2B8E">
            <w:pPr>
              <w:pStyle w:val="AERtabletextleft"/>
            </w:pPr>
            <w:r>
              <w:t>6</w:t>
            </w:r>
          </w:p>
        </w:tc>
      </w:tr>
      <w:tr w:rsidR="006B2B8E" w:rsidRPr="00682A64" w:rsidTr="004B00F6">
        <w:tc>
          <w:tcPr>
            <w:tcW w:w="2768" w:type="dxa"/>
            <w:vMerge/>
          </w:tcPr>
          <w:p w:rsidR="006B2B8E" w:rsidRPr="00E02761" w:rsidRDefault="006B2B8E" w:rsidP="006B2B8E">
            <w:pPr>
              <w:pStyle w:val="AERtabletextleft"/>
            </w:pPr>
          </w:p>
        </w:tc>
        <w:tc>
          <w:tcPr>
            <w:tcW w:w="4303" w:type="dxa"/>
          </w:tcPr>
          <w:p w:rsidR="006B2B8E" w:rsidRPr="006B2B8E" w:rsidRDefault="006B2B8E" w:rsidP="006B2B8E">
            <w:r w:rsidRPr="00723A6C">
              <w:t>4 &amp; 5 Yass – Marulan, 9 Yass – Canberra,</w:t>
            </w:r>
            <w:r w:rsidRPr="006B2B8E">
              <w:t xml:space="preserve"> 61 Yass – </w:t>
            </w:r>
            <w:proofErr w:type="spellStart"/>
            <w:r w:rsidRPr="006B2B8E">
              <w:t>Bannaby</w:t>
            </w:r>
            <w:proofErr w:type="spellEnd"/>
            <w:r w:rsidRPr="006B2B8E">
              <w:t xml:space="preserve"> &amp; 39 </w:t>
            </w:r>
            <w:proofErr w:type="spellStart"/>
            <w:r w:rsidRPr="006B2B8E">
              <w:t>Bannaby</w:t>
            </w:r>
            <w:proofErr w:type="spellEnd"/>
            <w:r w:rsidRPr="006B2B8E">
              <w:t xml:space="preserve"> – Sydney West 330kV Lines</w:t>
            </w:r>
          </w:p>
        </w:tc>
        <w:tc>
          <w:tcPr>
            <w:tcW w:w="1156" w:type="dxa"/>
          </w:tcPr>
          <w:p w:rsidR="006B2B8E" w:rsidRPr="006B2B8E" w:rsidRDefault="006B2B8E" w:rsidP="006B2B8E">
            <w:pPr>
              <w:pStyle w:val="AERtabletextleft"/>
            </w:pPr>
            <w:r>
              <w:t>2,600</w:t>
            </w:r>
          </w:p>
        </w:tc>
        <w:tc>
          <w:tcPr>
            <w:tcW w:w="1015" w:type="dxa"/>
          </w:tcPr>
          <w:p w:rsidR="006B2B8E" w:rsidRPr="006B2B8E" w:rsidRDefault="006B2B8E" w:rsidP="006B2B8E">
            <w:pPr>
              <w:pStyle w:val="AERtabletextleft"/>
            </w:pPr>
            <w:r>
              <w:t>13</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vMerge/>
          </w:tcPr>
          <w:p w:rsidR="006B2B8E" w:rsidRPr="00E02761" w:rsidRDefault="006B2B8E" w:rsidP="006B2B8E">
            <w:pPr>
              <w:pStyle w:val="AERtabletextleft"/>
            </w:pPr>
          </w:p>
        </w:tc>
        <w:tc>
          <w:tcPr>
            <w:tcW w:w="4303" w:type="dxa"/>
          </w:tcPr>
          <w:p w:rsidR="006B2B8E" w:rsidRPr="006B2B8E" w:rsidRDefault="006B2B8E" w:rsidP="006B2B8E">
            <w:r w:rsidRPr="00723A6C">
              <w:t>83 Liddell – Muswellbrook, 84 Liddell –</w:t>
            </w:r>
            <w:r w:rsidRPr="006B2B8E">
              <w:t xml:space="preserve"> Tamworth 330, 85 &amp; 86 Tamworth 330 – Armidale &amp; 88 Muswellbrook – Tamworth 330 330kV Lines</w:t>
            </w:r>
          </w:p>
        </w:tc>
        <w:tc>
          <w:tcPr>
            <w:tcW w:w="1156" w:type="dxa"/>
          </w:tcPr>
          <w:p w:rsidR="006B2B8E" w:rsidRPr="006B2B8E" w:rsidRDefault="006B2B8E" w:rsidP="006B2B8E">
            <w:pPr>
              <w:pStyle w:val="AERtabletextleft"/>
            </w:pPr>
            <w:r>
              <w:t>1,100</w:t>
            </w:r>
          </w:p>
        </w:tc>
        <w:tc>
          <w:tcPr>
            <w:tcW w:w="1015" w:type="dxa"/>
          </w:tcPr>
          <w:p w:rsidR="006B2B8E" w:rsidRPr="006B2B8E" w:rsidRDefault="006B2B8E" w:rsidP="006B2B8E">
            <w:pPr>
              <w:pStyle w:val="AERtabletextleft"/>
            </w:pPr>
            <w:r>
              <w:t>4</w:t>
            </w:r>
          </w:p>
        </w:tc>
      </w:tr>
      <w:tr w:rsidR="006B2B8E" w:rsidRPr="00682A64" w:rsidTr="004B00F6">
        <w:tc>
          <w:tcPr>
            <w:tcW w:w="2768" w:type="dxa"/>
            <w:vMerge/>
          </w:tcPr>
          <w:p w:rsidR="006B2B8E" w:rsidRPr="00E02761" w:rsidRDefault="006B2B8E" w:rsidP="006B2B8E">
            <w:pPr>
              <w:pStyle w:val="AERtabletextleft"/>
            </w:pPr>
          </w:p>
        </w:tc>
        <w:tc>
          <w:tcPr>
            <w:tcW w:w="4303" w:type="dxa"/>
          </w:tcPr>
          <w:p w:rsidR="006B2B8E" w:rsidRPr="006B2B8E" w:rsidRDefault="006B2B8E" w:rsidP="006B2B8E">
            <w:pPr>
              <w:pStyle w:val="AERtabletextleft"/>
            </w:pPr>
            <w:r w:rsidRPr="00723A6C">
              <w:t>Northern 132kV System</w:t>
            </w:r>
          </w:p>
        </w:tc>
        <w:tc>
          <w:tcPr>
            <w:tcW w:w="1156" w:type="dxa"/>
          </w:tcPr>
          <w:p w:rsidR="006B2B8E" w:rsidRPr="006B2B8E" w:rsidRDefault="006B2B8E" w:rsidP="006B2B8E">
            <w:pPr>
              <w:pStyle w:val="AERtabletextleft"/>
            </w:pPr>
            <w:r>
              <w:t>1,000</w:t>
            </w:r>
          </w:p>
        </w:tc>
        <w:tc>
          <w:tcPr>
            <w:tcW w:w="1015" w:type="dxa"/>
          </w:tcPr>
          <w:p w:rsidR="006B2B8E" w:rsidRPr="006B2B8E" w:rsidRDefault="006B2B8E" w:rsidP="006B2B8E">
            <w:pPr>
              <w:pStyle w:val="AERtabletextleft"/>
            </w:pPr>
            <w:r>
              <w:t>10</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vMerge/>
          </w:tcPr>
          <w:p w:rsidR="006B2B8E" w:rsidRPr="00E02761" w:rsidRDefault="006B2B8E" w:rsidP="006B2B8E">
            <w:pPr>
              <w:pStyle w:val="AERtabletextleft"/>
            </w:pPr>
          </w:p>
        </w:tc>
        <w:tc>
          <w:tcPr>
            <w:tcW w:w="4303" w:type="dxa"/>
          </w:tcPr>
          <w:p w:rsidR="006B2B8E" w:rsidRPr="006B2B8E" w:rsidRDefault="006B2B8E" w:rsidP="006B2B8E">
            <w:pPr>
              <w:pStyle w:val="AERtabletextleft"/>
            </w:pPr>
            <w:r w:rsidRPr="00723A6C">
              <w:t>969 Tamworth 330 – Gunnedah 132kV Line</w:t>
            </w:r>
          </w:p>
        </w:tc>
        <w:tc>
          <w:tcPr>
            <w:tcW w:w="1156" w:type="dxa"/>
          </w:tcPr>
          <w:p w:rsidR="006B2B8E" w:rsidRPr="006B2B8E" w:rsidRDefault="006B2B8E" w:rsidP="006B2B8E">
            <w:pPr>
              <w:pStyle w:val="AERtabletextleft"/>
            </w:pPr>
            <w:r>
              <w:t>300</w:t>
            </w:r>
          </w:p>
        </w:tc>
        <w:tc>
          <w:tcPr>
            <w:tcW w:w="1015" w:type="dxa"/>
          </w:tcPr>
          <w:p w:rsidR="006B2B8E" w:rsidRPr="006B2B8E" w:rsidRDefault="006B2B8E" w:rsidP="006B2B8E">
            <w:pPr>
              <w:pStyle w:val="AERtabletextleft"/>
            </w:pPr>
            <w:r>
              <w:t>14</w:t>
            </w:r>
          </w:p>
        </w:tc>
      </w:tr>
      <w:tr w:rsidR="006B2B8E" w:rsidRPr="00682A64" w:rsidTr="004B00F6">
        <w:tc>
          <w:tcPr>
            <w:tcW w:w="2768" w:type="dxa"/>
            <w:vMerge w:val="restart"/>
          </w:tcPr>
          <w:p w:rsidR="006B2B8E" w:rsidRPr="006B2B8E" w:rsidRDefault="006B2B8E" w:rsidP="006B2B8E">
            <w:pPr>
              <w:pStyle w:val="AERtabletextleft"/>
            </w:pPr>
            <w:r>
              <w:t>Travelling Wave Fault Location</w:t>
            </w:r>
          </w:p>
        </w:tc>
        <w:tc>
          <w:tcPr>
            <w:tcW w:w="4303" w:type="dxa"/>
          </w:tcPr>
          <w:p w:rsidR="006B2B8E" w:rsidRPr="006B2B8E" w:rsidRDefault="006B2B8E" w:rsidP="006B2B8E">
            <w:pPr>
              <w:pStyle w:val="AERtabletextleft"/>
            </w:pPr>
            <w:r>
              <w:t>Western 220kV Network</w:t>
            </w:r>
          </w:p>
        </w:tc>
        <w:tc>
          <w:tcPr>
            <w:tcW w:w="1156" w:type="dxa"/>
          </w:tcPr>
          <w:p w:rsidR="006B2B8E" w:rsidRPr="006B2B8E" w:rsidRDefault="006B2B8E" w:rsidP="006B2B8E">
            <w:pPr>
              <w:pStyle w:val="AERtabletextleft"/>
            </w:pPr>
            <w:r>
              <w:t>877</w:t>
            </w:r>
          </w:p>
        </w:tc>
        <w:tc>
          <w:tcPr>
            <w:tcW w:w="1015" w:type="dxa"/>
          </w:tcPr>
          <w:p w:rsidR="006B2B8E" w:rsidRPr="006B2B8E" w:rsidRDefault="006B2B8E" w:rsidP="006B2B8E">
            <w:pPr>
              <w:pStyle w:val="AERtabletextleft"/>
            </w:pPr>
            <w:r>
              <w:t>25</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vMerge/>
          </w:tcPr>
          <w:p w:rsidR="006B2B8E" w:rsidRPr="00E02761" w:rsidRDefault="006B2B8E" w:rsidP="006B2B8E">
            <w:pPr>
              <w:pStyle w:val="AERtabletextleft"/>
            </w:pPr>
          </w:p>
        </w:tc>
        <w:tc>
          <w:tcPr>
            <w:tcW w:w="4303" w:type="dxa"/>
          </w:tcPr>
          <w:p w:rsidR="006B2B8E" w:rsidRPr="006B2B8E" w:rsidRDefault="006B2B8E" w:rsidP="006B2B8E">
            <w:pPr>
              <w:pStyle w:val="AERtabletextleft"/>
            </w:pPr>
            <w:r>
              <w:t>Southern 330kV Network</w:t>
            </w:r>
          </w:p>
        </w:tc>
        <w:tc>
          <w:tcPr>
            <w:tcW w:w="1156" w:type="dxa"/>
          </w:tcPr>
          <w:p w:rsidR="006B2B8E" w:rsidRPr="006B2B8E" w:rsidRDefault="006B2B8E" w:rsidP="006B2B8E">
            <w:pPr>
              <w:pStyle w:val="AERtabletextleft"/>
            </w:pPr>
            <w:r>
              <w:t>1,347</w:t>
            </w:r>
          </w:p>
        </w:tc>
        <w:tc>
          <w:tcPr>
            <w:tcW w:w="1015" w:type="dxa"/>
          </w:tcPr>
          <w:p w:rsidR="006B2B8E" w:rsidRPr="006B2B8E" w:rsidRDefault="006B2B8E" w:rsidP="006B2B8E">
            <w:pPr>
              <w:pStyle w:val="AERtabletextleft"/>
            </w:pPr>
            <w:r>
              <w:t>24</w:t>
            </w:r>
          </w:p>
        </w:tc>
      </w:tr>
      <w:tr w:rsidR="006B2B8E" w:rsidRPr="00682A64" w:rsidTr="004B00F6">
        <w:tc>
          <w:tcPr>
            <w:tcW w:w="2768" w:type="dxa"/>
            <w:vMerge/>
          </w:tcPr>
          <w:p w:rsidR="006B2B8E" w:rsidRPr="00E02761" w:rsidRDefault="006B2B8E" w:rsidP="006B2B8E">
            <w:pPr>
              <w:pStyle w:val="AERtabletextleft"/>
            </w:pPr>
          </w:p>
        </w:tc>
        <w:tc>
          <w:tcPr>
            <w:tcW w:w="4303" w:type="dxa"/>
          </w:tcPr>
          <w:p w:rsidR="006B2B8E" w:rsidRPr="006B2B8E" w:rsidRDefault="006B2B8E" w:rsidP="006B2B8E">
            <w:pPr>
              <w:pStyle w:val="AERtabletextleft"/>
            </w:pPr>
            <w:r>
              <w:t>Snowy Lines</w:t>
            </w:r>
          </w:p>
        </w:tc>
        <w:tc>
          <w:tcPr>
            <w:tcW w:w="1156" w:type="dxa"/>
          </w:tcPr>
          <w:p w:rsidR="006B2B8E" w:rsidRPr="006B2B8E" w:rsidRDefault="006B2B8E" w:rsidP="006B2B8E">
            <w:pPr>
              <w:pStyle w:val="AERtabletextleft"/>
            </w:pPr>
            <w:r>
              <w:t>2,211</w:t>
            </w:r>
          </w:p>
        </w:tc>
        <w:tc>
          <w:tcPr>
            <w:tcW w:w="1015" w:type="dxa"/>
          </w:tcPr>
          <w:p w:rsidR="006B2B8E" w:rsidRPr="006B2B8E" w:rsidRDefault="006B2B8E" w:rsidP="006B2B8E">
            <w:pPr>
              <w:pStyle w:val="AERtabletextleft"/>
            </w:pPr>
            <w:r>
              <w:t>17</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vMerge/>
          </w:tcPr>
          <w:p w:rsidR="006B2B8E" w:rsidRPr="00E02761" w:rsidRDefault="006B2B8E" w:rsidP="006B2B8E">
            <w:pPr>
              <w:pStyle w:val="AERtabletextleft"/>
            </w:pPr>
          </w:p>
        </w:tc>
        <w:tc>
          <w:tcPr>
            <w:tcW w:w="4303" w:type="dxa"/>
          </w:tcPr>
          <w:p w:rsidR="006B2B8E" w:rsidRPr="006B2B8E" w:rsidRDefault="006B2B8E" w:rsidP="006B2B8E">
            <w:pPr>
              <w:pStyle w:val="AERtabletextleft"/>
            </w:pPr>
            <w:r>
              <w:t xml:space="preserve">Northern 330kV </w:t>
            </w:r>
            <w:r w:rsidRPr="006B2B8E">
              <w:t>Lines</w:t>
            </w:r>
          </w:p>
        </w:tc>
        <w:tc>
          <w:tcPr>
            <w:tcW w:w="1156" w:type="dxa"/>
          </w:tcPr>
          <w:p w:rsidR="006B2B8E" w:rsidRPr="006B2B8E" w:rsidRDefault="006B2B8E" w:rsidP="006B2B8E">
            <w:pPr>
              <w:pStyle w:val="AERtabletextleft"/>
            </w:pPr>
            <w:r>
              <w:t>1,895</w:t>
            </w:r>
          </w:p>
        </w:tc>
        <w:tc>
          <w:tcPr>
            <w:tcW w:w="1015" w:type="dxa"/>
          </w:tcPr>
          <w:p w:rsidR="006B2B8E" w:rsidRPr="006B2B8E" w:rsidRDefault="006B2B8E" w:rsidP="006B2B8E">
            <w:pPr>
              <w:pStyle w:val="AERtabletextleft"/>
            </w:pPr>
            <w:r>
              <w:t>19</w:t>
            </w:r>
          </w:p>
        </w:tc>
      </w:tr>
      <w:tr w:rsidR="006B2B8E" w:rsidRPr="00682A64" w:rsidTr="004B00F6">
        <w:tc>
          <w:tcPr>
            <w:tcW w:w="2768" w:type="dxa"/>
            <w:vMerge/>
          </w:tcPr>
          <w:p w:rsidR="006B2B8E" w:rsidRPr="00E02761" w:rsidRDefault="006B2B8E" w:rsidP="006B2B8E">
            <w:pPr>
              <w:pStyle w:val="AERtabletextleft"/>
            </w:pPr>
          </w:p>
        </w:tc>
        <w:tc>
          <w:tcPr>
            <w:tcW w:w="4303" w:type="dxa"/>
          </w:tcPr>
          <w:p w:rsidR="006B2B8E" w:rsidRPr="006B2B8E" w:rsidRDefault="006B2B8E" w:rsidP="006B2B8E">
            <w:pPr>
              <w:pStyle w:val="AERtabletextleft"/>
            </w:pPr>
            <w:r>
              <w:t>Far North Coast 132kV System</w:t>
            </w:r>
          </w:p>
        </w:tc>
        <w:tc>
          <w:tcPr>
            <w:tcW w:w="1156" w:type="dxa"/>
          </w:tcPr>
          <w:p w:rsidR="006B2B8E" w:rsidRPr="006B2B8E" w:rsidRDefault="006B2B8E" w:rsidP="006B2B8E">
            <w:pPr>
              <w:pStyle w:val="AERtabletextleft"/>
            </w:pPr>
            <w:r>
              <w:t>890</w:t>
            </w:r>
          </w:p>
        </w:tc>
        <w:tc>
          <w:tcPr>
            <w:tcW w:w="1015" w:type="dxa"/>
          </w:tcPr>
          <w:p w:rsidR="006B2B8E" w:rsidRPr="006B2B8E" w:rsidRDefault="006B2B8E" w:rsidP="006B2B8E">
            <w:pPr>
              <w:pStyle w:val="AERtabletextleft"/>
            </w:pPr>
            <w:r>
              <w:t>20</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vMerge/>
          </w:tcPr>
          <w:p w:rsidR="006B2B8E" w:rsidRPr="00E02761" w:rsidRDefault="006B2B8E" w:rsidP="006B2B8E">
            <w:pPr>
              <w:pStyle w:val="AERtabletextleft"/>
            </w:pPr>
          </w:p>
        </w:tc>
        <w:tc>
          <w:tcPr>
            <w:tcW w:w="4303" w:type="dxa"/>
          </w:tcPr>
          <w:p w:rsidR="006B2B8E" w:rsidRPr="006B2B8E" w:rsidRDefault="006B2B8E" w:rsidP="006B2B8E">
            <w:pPr>
              <w:pStyle w:val="AERtabletextleft"/>
            </w:pPr>
            <w:r>
              <w:t>North Western 132kV System</w:t>
            </w:r>
          </w:p>
        </w:tc>
        <w:tc>
          <w:tcPr>
            <w:tcW w:w="1156" w:type="dxa"/>
          </w:tcPr>
          <w:p w:rsidR="006B2B8E" w:rsidRPr="006B2B8E" w:rsidRDefault="006B2B8E" w:rsidP="006B2B8E">
            <w:pPr>
              <w:pStyle w:val="AERtabletextleft"/>
            </w:pPr>
            <w:r>
              <w:t>877</w:t>
            </w:r>
          </w:p>
        </w:tc>
        <w:tc>
          <w:tcPr>
            <w:tcW w:w="1015" w:type="dxa"/>
          </w:tcPr>
          <w:p w:rsidR="006B2B8E" w:rsidRPr="006B2B8E" w:rsidRDefault="006B2B8E" w:rsidP="006B2B8E">
            <w:pPr>
              <w:pStyle w:val="AERtabletextleft"/>
            </w:pPr>
            <w:r>
              <w:t>18</w:t>
            </w:r>
          </w:p>
        </w:tc>
      </w:tr>
      <w:tr w:rsidR="006B2B8E" w:rsidRPr="00682A64" w:rsidTr="004B00F6">
        <w:tc>
          <w:tcPr>
            <w:tcW w:w="2768" w:type="dxa"/>
          </w:tcPr>
          <w:p w:rsidR="006B2B8E" w:rsidRPr="006B2B8E" w:rsidRDefault="006B2B8E" w:rsidP="006B2B8E">
            <w:pPr>
              <w:pStyle w:val="AERtabletextleft"/>
            </w:pPr>
            <w:r>
              <w:t>Communications</w:t>
            </w:r>
          </w:p>
        </w:tc>
        <w:tc>
          <w:tcPr>
            <w:tcW w:w="4303" w:type="dxa"/>
          </w:tcPr>
          <w:p w:rsidR="006B2B8E" w:rsidRPr="006B2B8E" w:rsidRDefault="006B2B8E" w:rsidP="006B2B8E">
            <w:pPr>
              <w:pStyle w:val="AERtabletextleft"/>
            </w:pPr>
            <w:r>
              <w:t>Communications to Albury, ANM &amp; Hume Substations</w:t>
            </w:r>
          </w:p>
        </w:tc>
        <w:tc>
          <w:tcPr>
            <w:tcW w:w="1156" w:type="dxa"/>
          </w:tcPr>
          <w:p w:rsidR="006B2B8E" w:rsidRPr="006B2B8E" w:rsidRDefault="006B2B8E" w:rsidP="006B2B8E">
            <w:pPr>
              <w:pStyle w:val="AERtabletextleft"/>
            </w:pPr>
            <w:r>
              <w:t>4,200</w:t>
            </w:r>
          </w:p>
        </w:tc>
        <w:tc>
          <w:tcPr>
            <w:tcW w:w="1015" w:type="dxa"/>
          </w:tcPr>
          <w:p w:rsidR="006B2B8E" w:rsidRPr="006B2B8E" w:rsidRDefault="006B2B8E" w:rsidP="006B2B8E">
            <w:pPr>
              <w:pStyle w:val="AERtabletextleft"/>
            </w:pPr>
            <w:r>
              <w:t>27</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tcPr>
          <w:p w:rsidR="006B2B8E" w:rsidRPr="006B2B8E" w:rsidRDefault="006B2B8E" w:rsidP="006B2B8E">
            <w:pPr>
              <w:pStyle w:val="AERtabletextleft"/>
            </w:pPr>
            <w:r>
              <w:t>Remote Information</w:t>
            </w:r>
          </w:p>
        </w:tc>
        <w:tc>
          <w:tcPr>
            <w:tcW w:w="4303" w:type="dxa"/>
          </w:tcPr>
          <w:p w:rsidR="006B2B8E" w:rsidRPr="006B2B8E" w:rsidRDefault="006B2B8E" w:rsidP="006B2B8E">
            <w:pPr>
              <w:pStyle w:val="AERtabletextleft"/>
            </w:pPr>
            <w:r>
              <w:t>Remote Interrogation of Protection Relays</w:t>
            </w:r>
          </w:p>
        </w:tc>
        <w:tc>
          <w:tcPr>
            <w:tcW w:w="1156" w:type="dxa"/>
          </w:tcPr>
          <w:p w:rsidR="006B2B8E" w:rsidRPr="006B2B8E" w:rsidRDefault="006B2B8E" w:rsidP="006B2B8E">
            <w:pPr>
              <w:pStyle w:val="AERtabletextleft"/>
            </w:pPr>
            <w:r>
              <w:t>1,000</w:t>
            </w:r>
          </w:p>
        </w:tc>
        <w:tc>
          <w:tcPr>
            <w:tcW w:w="1015" w:type="dxa"/>
          </w:tcPr>
          <w:p w:rsidR="006B2B8E" w:rsidRPr="006B2B8E" w:rsidRDefault="006B2B8E" w:rsidP="006B2B8E">
            <w:pPr>
              <w:pStyle w:val="AERtabletextleft"/>
            </w:pPr>
            <w:r>
              <w:t>26</w:t>
            </w:r>
          </w:p>
        </w:tc>
      </w:tr>
      <w:tr w:rsidR="006B2B8E" w:rsidRPr="00682A64" w:rsidTr="004B00F6">
        <w:tc>
          <w:tcPr>
            <w:tcW w:w="2768" w:type="dxa"/>
          </w:tcPr>
          <w:p w:rsidR="006B2B8E" w:rsidRPr="006B2B8E" w:rsidRDefault="006B2B8E" w:rsidP="006B2B8E">
            <w:pPr>
              <w:pStyle w:val="AERtabletextleft"/>
            </w:pPr>
            <w:r>
              <w:t>Research Projects</w:t>
            </w:r>
          </w:p>
        </w:tc>
        <w:tc>
          <w:tcPr>
            <w:tcW w:w="4303" w:type="dxa"/>
          </w:tcPr>
          <w:p w:rsidR="006B2B8E" w:rsidRPr="006B2B8E" w:rsidRDefault="006B2B8E" w:rsidP="006B2B8E">
            <w:pPr>
              <w:pStyle w:val="AERtabletextleft"/>
            </w:pPr>
            <w:r>
              <w:t>Energy Storage</w:t>
            </w:r>
          </w:p>
        </w:tc>
        <w:tc>
          <w:tcPr>
            <w:tcW w:w="1156" w:type="dxa"/>
          </w:tcPr>
          <w:p w:rsidR="006B2B8E" w:rsidRPr="006B2B8E" w:rsidRDefault="006B2B8E" w:rsidP="006B2B8E">
            <w:pPr>
              <w:pStyle w:val="AERtabletextleft"/>
            </w:pPr>
            <w:r>
              <w:t>4,900</w:t>
            </w:r>
          </w:p>
        </w:tc>
        <w:tc>
          <w:tcPr>
            <w:tcW w:w="1015" w:type="dxa"/>
          </w:tcPr>
          <w:p w:rsidR="006B2B8E" w:rsidRPr="006B2B8E" w:rsidRDefault="006B2B8E" w:rsidP="006B2B8E">
            <w:pPr>
              <w:pStyle w:val="AERtabletextleft"/>
            </w:pPr>
            <w:r>
              <w:t>28</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tcPr>
          <w:p w:rsidR="006B2B8E" w:rsidRPr="00E02761" w:rsidRDefault="006B2B8E" w:rsidP="006B2B8E">
            <w:pPr>
              <w:pStyle w:val="AERtabletextleft"/>
            </w:pPr>
          </w:p>
        </w:tc>
        <w:tc>
          <w:tcPr>
            <w:tcW w:w="4303" w:type="dxa"/>
          </w:tcPr>
          <w:p w:rsidR="006B2B8E" w:rsidRPr="006B2B8E" w:rsidRDefault="006B2B8E" w:rsidP="006B2B8E">
            <w:pPr>
              <w:pStyle w:val="AERtabletextleft"/>
            </w:pPr>
            <w:r>
              <w:t>Behaviour of Residential Solar During System Events</w:t>
            </w:r>
          </w:p>
        </w:tc>
        <w:tc>
          <w:tcPr>
            <w:tcW w:w="1156" w:type="dxa"/>
          </w:tcPr>
          <w:p w:rsidR="006B2B8E" w:rsidRPr="006B2B8E" w:rsidRDefault="006B2B8E" w:rsidP="006B2B8E">
            <w:pPr>
              <w:pStyle w:val="AERtabletextleft"/>
            </w:pPr>
            <w:r>
              <w:t>1,850</w:t>
            </w:r>
          </w:p>
        </w:tc>
        <w:tc>
          <w:tcPr>
            <w:tcW w:w="1015" w:type="dxa"/>
          </w:tcPr>
          <w:p w:rsidR="006B2B8E" w:rsidRPr="006B2B8E" w:rsidRDefault="006B2B8E" w:rsidP="006B2B8E">
            <w:pPr>
              <w:pStyle w:val="AERtabletextleft"/>
            </w:pPr>
            <w:r>
              <w:t>23</w:t>
            </w:r>
          </w:p>
        </w:tc>
      </w:tr>
      <w:tr w:rsidR="006B2B8E" w:rsidRPr="00682A64" w:rsidTr="004B00F6">
        <w:tc>
          <w:tcPr>
            <w:tcW w:w="2768" w:type="dxa"/>
          </w:tcPr>
          <w:p w:rsidR="006B2B8E" w:rsidRPr="006B2B8E" w:rsidRDefault="006B2B8E" w:rsidP="006B2B8E">
            <w:pPr>
              <w:pStyle w:val="AERtabletextleft"/>
            </w:pPr>
            <w:r>
              <w:t>Quality of Supply</w:t>
            </w:r>
          </w:p>
        </w:tc>
        <w:tc>
          <w:tcPr>
            <w:tcW w:w="4303" w:type="dxa"/>
          </w:tcPr>
          <w:p w:rsidR="006B2B8E" w:rsidRPr="006B2B8E" w:rsidRDefault="006B2B8E" w:rsidP="006B2B8E">
            <w:pPr>
              <w:pStyle w:val="AERtabletextleft"/>
            </w:pPr>
            <w:r>
              <w:t>Point-on-Wave Switching for 132kV Capacitor Banks</w:t>
            </w:r>
          </w:p>
        </w:tc>
        <w:tc>
          <w:tcPr>
            <w:tcW w:w="1156" w:type="dxa"/>
          </w:tcPr>
          <w:p w:rsidR="006B2B8E" w:rsidRPr="006B2B8E" w:rsidRDefault="006B2B8E" w:rsidP="006B2B8E">
            <w:pPr>
              <w:pStyle w:val="AERtabletextleft"/>
            </w:pPr>
            <w:r>
              <w:t>631</w:t>
            </w:r>
          </w:p>
        </w:tc>
        <w:tc>
          <w:tcPr>
            <w:tcW w:w="1015" w:type="dxa"/>
          </w:tcPr>
          <w:p w:rsidR="006B2B8E" w:rsidRPr="006B2B8E" w:rsidRDefault="006B2B8E" w:rsidP="006B2B8E">
            <w:pPr>
              <w:pStyle w:val="AERtabletextleft"/>
            </w:pPr>
            <w:r>
              <w:t>21</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tcPr>
          <w:p w:rsidR="006B2B8E" w:rsidRDefault="006B2B8E" w:rsidP="006B2B8E">
            <w:pPr>
              <w:pStyle w:val="AERtabletextleft"/>
            </w:pPr>
          </w:p>
        </w:tc>
        <w:tc>
          <w:tcPr>
            <w:tcW w:w="4303" w:type="dxa"/>
          </w:tcPr>
          <w:p w:rsidR="006B2B8E" w:rsidRPr="006B2B8E" w:rsidRDefault="006B2B8E" w:rsidP="006B2B8E">
            <w:pPr>
              <w:pStyle w:val="AERtabletextleft"/>
            </w:pPr>
            <w:r>
              <w:t>Point-on-Wave Switching for 66kV &amp; Below Capacitor Banks</w:t>
            </w:r>
          </w:p>
        </w:tc>
        <w:tc>
          <w:tcPr>
            <w:tcW w:w="1156" w:type="dxa"/>
          </w:tcPr>
          <w:p w:rsidR="006B2B8E" w:rsidRPr="006B2B8E" w:rsidRDefault="006B2B8E" w:rsidP="006B2B8E">
            <w:pPr>
              <w:pStyle w:val="AERtabletextleft"/>
            </w:pPr>
            <w:r>
              <w:t>4,500</w:t>
            </w:r>
          </w:p>
        </w:tc>
        <w:tc>
          <w:tcPr>
            <w:tcW w:w="1015" w:type="dxa"/>
          </w:tcPr>
          <w:p w:rsidR="006B2B8E" w:rsidRPr="006B2B8E" w:rsidRDefault="006B2B8E" w:rsidP="006B2B8E">
            <w:pPr>
              <w:pStyle w:val="AERtabletextleft"/>
            </w:pPr>
            <w:r>
              <w:t>22</w:t>
            </w:r>
          </w:p>
        </w:tc>
      </w:tr>
      <w:tr w:rsidR="006B2B8E" w:rsidRPr="00682A64" w:rsidTr="004B00F6">
        <w:tc>
          <w:tcPr>
            <w:tcW w:w="2768" w:type="dxa"/>
          </w:tcPr>
          <w:p w:rsidR="006B2B8E" w:rsidRPr="006B2B8E" w:rsidRDefault="006B2B8E" w:rsidP="006B2B8E">
            <w:pPr>
              <w:pStyle w:val="AERtabletextleft"/>
            </w:pPr>
            <w:r>
              <w:lastRenderedPageBreak/>
              <w:t>Capacitor Banks</w:t>
            </w:r>
          </w:p>
        </w:tc>
        <w:tc>
          <w:tcPr>
            <w:tcW w:w="4303" w:type="dxa"/>
          </w:tcPr>
          <w:p w:rsidR="006B2B8E" w:rsidRPr="006B2B8E" w:rsidRDefault="006B2B8E" w:rsidP="006B2B8E">
            <w:pPr>
              <w:pStyle w:val="AERtabletextleft"/>
            </w:pPr>
            <w:r>
              <w:t xml:space="preserve">Beryl </w:t>
            </w:r>
            <w:r w:rsidRPr="006B2B8E">
              <w:t>Capacitor Bank</w:t>
            </w:r>
          </w:p>
        </w:tc>
        <w:tc>
          <w:tcPr>
            <w:tcW w:w="1156" w:type="dxa"/>
          </w:tcPr>
          <w:p w:rsidR="006B2B8E" w:rsidRPr="006B2B8E" w:rsidRDefault="006B2B8E" w:rsidP="006B2B8E">
            <w:pPr>
              <w:pStyle w:val="AERtabletextleft"/>
            </w:pPr>
            <w:r>
              <w:t>1,900</w:t>
            </w:r>
          </w:p>
        </w:tc>
        <w:tc>
          <w:tcPr>
            <w:tcW w:w="1015" w:type="dxa"/>
          </w:tcPr>
          <w:p w:rsidR="006B2B8E" w:rsidRPr="006B2B8E" w:rsidRDefault="006B2B8E" w:rsidP="006B2B8E">
            <w:pPr>
              <w:pStyle w:val="AERtabletextleft"/>
            </w:pPr>
            <w:r>
              <w:t>16</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tcW w:w="2768" w:type="dxa"/>
          </w:tcPr>
          <w:p w:rsidR="006B2B8E" w:rsidRPr="006B2B8E" w:rsidRDefault="006B2B8E" w:rsidP="006B2B8E">
            <w:pPr>
              <w:pStyle w:val="AERtabletextleft"/>
            </w:pPr>
            <w:r>
              <w:t>Current Transformer Secondary Ratios</w:t>
            </w:r>
          </w:p>
        </w:tc>
        <w:tc>
          <w:tcPr>
            <w:tcW w:w="4303" w:type="dxa"/>
          </w:tcPr>
          <w:p w:rsidR="006B2B8E" w:rsidRPr="006B2B8E" w:rsidRDefault="006B2B8E" w:rsidP="006B2B8E">
            <w:pPr>
              <w:pStyle w:val="AERtabletextleft"/>
            </w:pPr>
            <w:r>
              <w:t>Queensland - New South Wales Interconnector</w:t>
            </w:r>
          </w:p>
        </w:tc>
        <w:tc>
          <w:tcPr>
            <w:tcW w:w="1156" w:type="dxa"/>
          </w:tcPr>
          <w:p w:rsidR="006B2B8E" w:rsidRPr="006B2B8E" w:rsidRDefault="006B2B8E" w:rsidP="006B2B8E">
            <w:pPr>
              <w:pStyle w:val="AERtabletextleft"/>
            </w:pPr>
            <w:r>
              <w:t>55</w:t>
            </w:r>
          </w:p>
        </w:tc>
        <w:tc>
          <w:tcPr>
            <w:tcW w:w="1015" w:type="dxa"/>
          </w:tcPr>
          <w:p w:rsidR="006B2B8E" w:rsidRPr="006B2B8E" w:rsidRDefault="006B2B8E" w:rsidP="006B2B8E">
            <w:pPr>
              <w:pStyle w:val="AERtabletextleft"/>
            </w:pPr>
            <w:r>
              <w:t>1</w:t>
            </w:r>
          </w:p>
        </w:tc>
      </w:tr>
    </w:tbl>
    <w:p w:rsidR="006B2B8E" w:rsidRPr="005C017F" w:rsidRDefault="006B2B8E" w:rsidP="006B2B8E">
      <w:pPr>
        <w:pStyle w:val="AERtablesource"/>
      </w:pPr>
      <w:r>
        <w:t xml:space="preserve">Source: TransGrid, </w:t>
      </w:r>
      <w:r>
        <w:rPr>
          <w:rStyle w:val="AERtextitalic"/>
        </w:rPr>
        <w:t>Network Capability Incentive Parameter Action Plan 2014/15 – 2017/18</w:t>
      </w:r>
      <w:r>
        <w:t>, pp. 9-10.</w:t>
      </w:r>
    </w:p>
    <w:p w:rsidR="006B2B8E" w:rsidRDefault="006B2B8E" w:rsidP="006B2B8E">
      <w:pPr>
        <w:pStyle w:val="AERbodytext"/>
      </w:pPr>
      <w:r>
        <w:t>TransGrid has worked collaboratively with AEMO in the development and ranking of this project plan before submitting its revenue proposal. Based on its assessment, AEMO endorses all 28 projects proposed by TransGrid under the NCIPAP scheme as they have positive net market benefits and are expected to deliver value to customers.</w:t>
      </w:r>
      <w:r>
        <w:rPr>
          <w:rStyle w:val="FootnoteReference"/>
        </w:rPr>
        <w:footnoteReference w:id="18"/>
      </w:r>
    </w:p>
    <w:p w:rsidR="006B2B8E" w:rsidRDefault="006B2B8E" w:rsidP="006B2B8E">
      <w:pPr>
        <w:pStyle w:val="Heading2"/>
      </w:pPr>
      <w:bookmarkStart w:id="24" w:name="_Toc404159214"/>
      <w:r w:rsidRPr="00B47945">
        <w:t>AER's assessment approach</w:t>
      </w:r>
      <w:bookmarkEnd w:id="17"/>
      <w:bookmarkEnd w:id="24"/>
    </w:p>
    <w:p w:rsidR="006B2B8E" w:rsidRPr="00ED6CFA" w:rsidRDefault="006B2B8E" w:rsidP="006B2B8E">
      <w:bookmarkStart w:id="25" w:name="_Toc396839235"/>
      <w:r w:rsidRPr="00ED6CFA">
        <w:t>A revenue determination for a TNSP is to specify, amongst other things, the annual building block revenue requirement for each regulatory year of the regulatory control period.</w:t>
      </w:r>
      <w:r w:rsidRPr="00ED6CFA">
        <w:rPr>
          <w:rStyle w:val="AERsuperscript"/>
        </w:rPr>
        <w:footnoteReference w:id="19"/>
      </w:r>
      <w:r w:rsidRPr="00ED6CFA">
        <w:t xml:space="preserve"> In turn, the annual building block revenue requirement must be determined using a building blocks approach, under which one of the building blocks is the revenue increments or decrements (if any) for that year arising from the application of any STIPS (and other schemes).</w:t>
      </w:r>
      <w:r w:rsidRPr="00ED6CFA">
        <w:rPr>
          <w:rStyle w:val="AERsuperscript"/>
        </w:rPr>
        <w:footnoteReference w:id="20"/>
      </w:r>
      <w:r w:rsidRPr="00ED6CFA">
        <w:t xml:space="preserve"> As set out above, we have assessed </w:t>
      </w:r>
      <w:r>
        <w:t>TransGrid</w:t>
      </w:r>
      <w:r w:rsidRPr="00ED6CFA">
        <w:t>'s proposal against the requirements of the STIPS version 4.1.</w:t>
      </w:r>
    </w:p>
    <w:p w:rsidR="006B2B8E" w:rsidRDefault="006B2B8E" w:rsidP="00662027">
      <w:pPr>
        <w:pStyle w:val="Heading3"/>
      </w:pPr>
      <w:bookmarkStart w:id="26" w:name="_Toc404159215"/>
      <w:r>
        <w:t>Service component</w:t>
      </w:r>
      <w:bookmarkEnd w:id="26"/>
    </w:p>
    <w:p w:rsidR="006B2B8E" w:rsidRDefault="006B2B8E" w:rsidP="006B2B8E">
      <w:pPr>
        <w:pStyle w:val="AERbodytext"/>
      </w:pPr>
      <w:r>
        <w:t>We assessed whether TransGrid's proposed performance targets, caps and collars comply with the STPIS requirements for:</w:t>
      </w:r>
      <w:r>
        <w:rPr>
          <w:rStyle w:val="FootnoteReference"/>
        </w:rPr>
        <w:footnoteReference w:id="21"/>
      </w:r>
    </w:p>
    <w:p w:rsidR="006B2B8E" w:rsidRPr="00E02761" w:rsidRDefault="006B2B8E" w:rsidP="006B2B8E">
      <w:pPr>
        <w:pStyle w:val="AERbulletlistfirststyle"/>
      </w:pPr>
      <w:r>
        <w:t>average circuit outage rate, with six sub parameters</w:t>
      </w:r>
      <w:r>
        <w:rPr>
          <w:rStyle w:val="FootnoteReference"/>
        </w:rPr>
        <w:footnoteReference w:id="22"/>
      </w:r>
    </w:p>
    <w:p w:rsidR="006B2B8E" w:rsidRPr="00E02761" w:rsidRDefault="006B2B8E" w:rsidP="006B2B8E">
      <w:pPr>
        <w:pStyle w:val="AERbulletlistfirststyle"/>
      </w:pPr>
      <w:r>
        <w:t>loss of supply event frequency, with two loss of supply event sub-parameters</w:t>
      </w:r>
      <w:r>
        <w:rPr>
          <w:rStyle w:val="FootnoteReference"/>
        </w:rPr>
        <w:footnoteReference w:id="23"/>
      </w:r>
    </w:p>
    <w:p w:rsidR="006B2B8E" w:rsidRPr="00E02761" w:rsidRDefault="006B2B8E" w:rsidP="006B2B8E">
      <w:pPr>
        <w:pStyle w:val="AERbulletlistfirststyle"/>
      </w:pPr>
      <w:r>
        <w:t>average outage duration</w:t>
      </w:r>
    </w:p>
    <w:p w:rsidR="006B2B8E" w:rsidRPr="00E02761" w:rsidRDefault="006B2B8E" w:rsidP="006B2B8E">
      <w:pPr>
        <w:pStyle w:val="AERbulletlistfirststyle"/>
      </w:pPr>
      <w:r>
        <w:t>proper operation of equipment, with three sub-parameters</w:t>
      </w:r>
      <w:r>
        <w:rPr>
          <w:rStyle w:val="FootnoteReference"/>
        </w:rPr>
        <w:footnoteReference w:id="24"/>
      </w:r>
      <w:r>
        <w:t>:</w:t>
      </w:r>
    </w:p>
    <w:p w:rsidR="006B2B8E" w:rsidRPr="00E02761" w:rsidRDefault="006B2B8E" w:rsidP="006B2B8E">
      <w:pPr>
        <w:pStyle w:val="AERbodytext"/>
      </w:pPr>
      <w:r>
        <w:t>We must accept TransGrid's proposed parameter values if they comply with the requirements of the STPIS.</w:t>
      </w:r>
      <w:r w:rsidRPr="00E02761">
        <w:t xml:space="preserve"> We may reject them if they are inconsistent with the objectives of the STPIS.</w:t>
      </w:r>
      <w:r w:rsidRPr="00E02761">
        <w:rPr>
          <w:rStyle w:val="FootnoteReference"/>
        </w:rPr>
        <w:footnoteReference w:id="25"/>
      </w:r>
      <w:r>
        <w:t xml:space="preserve"> We measure actual performance for the 'average circuit outage rate' and 'average outage duration' parameters on a two year rolling average basis in accordance with appendix E of the STPIS. </w:t>
      </w:r>
    </w:p>
    <w:p w:rsidR="006B2B8E" w:rsidRDefault="006B2B8E" w:rsidP="006B2B8E">
      <w:pPr>
        <w:pStyle w:val="AERbodytext"/>
      </w:pPr>
      <w:r>
        <w:t>We assessed TransGrid's service component proposal against the requirements of the STPIS — that is, whether:</w:t>
      </w:r>
    </w:p>
    <w:p w:rsidR="006B2B8E" w:rsidRPr="00E02761" w:rsidRDefault="006B2B8E" w:rsidP="006B2B8E">
      <w:pPr>
        <w:pStyle w:val="AERbulletlistfirststyle"/>
      </w:pPr>
      <w:r>
        <w:lastRenderedPageBreak/>
        <w:t>TransGrid's data recording systems and processes produce accurate and reliable data and whether the data is recorded consistently based on the parameter definitions under the STPIS</w:t>
      </w:r>
      <w:r w:rsidRPr="00E02761">
        <w:rPr>
          <w:rStyle w:val="FootnoteReference"/>
        </w:rPr>
        <w:footnoteReference w:id="26"/>
      </w:r>
    </w:p>
    <w:p w:rsidR="006B2B8E" w:rsidRPr="00E02761" w:rsidRDefault="006B2B8E" w:rsidP="006B2B8E">
      <w:pPr>
        <w:pStyle w:val="AERbulletlistfirststyle"/>
      </w:pPr>
      <w:r>
        <w:t>the proposed performance targets were equal to the average of the most recent five years of performance data</w:t>
      </w:r>
      <w:r w:rsidRPr="00E02761">
        <w:rPr>
          <w:rStyle w:val="FootnoteReference"/>
        </w:rPr>
        <w:footnoteReference w:id="27"/>
      </w:r>
    </w:p>
    <w:p w:rsidR="006B2B8E" w:rsidRPr="00E02761" w:rsidRDefault="006B2B8E" w:rsidP="006B2B8E">
      <w:pPr>
        <w:pStyle w:val="AERbulletlistfirststyle"/>
      </w:pPr>
      <w:r>
        <w:t>any adjustments to the proposed targets are warranted and reasonable</w:t>
      </w:r>
      <w:r w:rsidRPr="00E02761">
        <w:rPr>
          <w:rStyle w:val="FootnoteReference"/>
        </w:rPr>
        <w:footnoteReference w:id="28"/>
      </w:r>
    </w:p>
    <w:p w:rsidR="006B2B8E" w:rsidRPr="00E02761" w:rsidRDefault="006B2B8E" w:rsidP="006B2B8E">
      <w:pPr>
        <w:pStyle w:val="AERbulletlistfirststyle"/>
      </w:pPr>
      <w:r>
        <w:t>TransGrid used a sound methodology, with reference to the performance target, to calculate the proposed caps and collars,</w:t>
      </w:r>
      <w:r w:rsidRPr="00E02761">
        <w:rPr>
          <w:rStyle w:val="FootnoteReference"/>
        </w:rPr>
        <w:footnoteReference w:id="29"/>
      </w:r>
      <w:r>
        <w:t xml:space="preserve"> and</w:t>
      </w:r>
    </w:p>
    <w:p w:rsidR="006B2B8E" w:rsidRPr="00E02761" w:rsidRDefault="006B2B8E" w:rsidP="006B2B8E">
      <w:pPr>
        <w:pStyle w:val="AERbulletlistfirststyle"/>
      </w:pPr>
      <w:r>
        <w:t>any adjustment to a performance target was applied to the cap and collar of that parameter.</w:t>
      </w:r>
      <w:r w:rsidRPr="00E02761">
        <w:rPr>
          <w:rStyle w:val="FootnoteReference"/>
        </w:rPr>
        <w:footnoteReference w:id="30"/>
      </w:r>
    </w:p>
    <w:p w:rsidR="006B2B8E" w:rsidRDefault="006B2B8E" w:rsidP="006B2B8E">
      <w:pPr>
        <w:pStyle w:val="AERbodytext"/>
      </w:pPr>
      <w:r>
        <w:t xml:space="preserve">We assessed the distributions used by TransGrid to calculate caps and collars to determine whether a sound methodology was used. </w:t>
      </w:r>
    </w:p>
    <w:p w:rsidR="006B2B8E" w:rsidRDefault="006B2B8E" w:rsidP="00662027">
      <w:pPr>
        <w:pStyle w:val="Heading3"/>
      </w:pPr>
      <w:bookmarkStart w:id="27" w:name="_Toc404159216"/>
      <w:r>
        <w:t>Market impact component</w:t>
      </w:r>
      <w:bookmarkEnd w:id="27"/>
    </w:p>
    <w:p w:rsidR="006B2B8E" w:rsidRPr="00C267B7" w:rsidRDefault="006B2B8E" w:rsidP="006B2B8E">
      <w:pPr>
        <w:pStyle w:val="AERbodytext"/>
      </w:pPr>
      <w:r w:rsidRPr="00C267B7">
        <w:t xml:space="preserve">We have audited </w:t>
      </w:r>
      <w:r>
        <w:t>TransGrid</w:t>
      </w:r>
      <w:r w:rsidRPr="00C267B7">
        <w:t xml:space="preserve"> 2011, 2012 and 2013 market impact performance data using the following approach:</w:t>
      </w:r>
    </w:p>
    <w:p w:rsidR="006B2B8E" w:rsidRPr="00C267B7" w:rsidRDefault="006B2B8E" w:rsidP="006B2B8E">
      <w:pPr>
        <w:pStyle w:val="AERbulletlistfirststyle"/>
      </w:pPr>
      <w:r w:rsidRPr="00C267B7">
        <w:t>independently calculating (using AEMO data) the number of dispatch intervals related to binding outage constraints and validating that the outages were attributable to the TNSP</w:t>
      </w:r>
    </w:p>
    <w:p w:rsidR="006B2B8E" w:rsidRPr="00C267B7" w:rsidRDefault="006B2B8E" w:rsidP="006B2B8E">
      <w:pPr>
        <w:pStyle w:val="AERbulletlistfirststyle"/>
      </w:pPr>
      <w:r w:rsidRPr="00C267B7">
        <w:t>searching AEMO Market Notices to confirm the validity of TNSP’s classification of constraints as outage related</w:t>
      </w:r>
      <w:r>
        <w:t>, and</w:t>
      </w:r>
    </w:p>
    <w:p w:rsidR="006B2B8E" w:rsidRPr="00C267B7" w:rsidRDefault="006B2B8E" w:rsidP="006B2B8E">
      <w:pPr>
        <w:pStyle w:val="AERbulletlistfirststyle"/>
      </w:pPr>
      <w:r w:rsidRPr="00C267B7">
        <w:t xml:space="preserve">cross-checking network outage request information provided by AEMO to confirm the classification of constraints as outage related. </w:t>
      </w:r>
    </w:p>
    <w:p w:rsidR="006B2B8E" w:rsidRDefault="006B2B8E" w:rsidP="00662027">
      <w:pPr>
        <w:pStyle w:val="Heading3"/>
      </w:pPr>
      <w:bookmarkStart w:id="28" w:name="_Toc404159217"/>
      <w:r>
        <w:t>Network capability component</w:t>
      </w:r>
      <w:bookmarkEnd w:id="28"/>
    </w:p>
    <w:p w:rsidR="006B2B8E" w:rsidRPr="00E02761" w:rsidRDefault="006B2B8E" w:rsidP="006B2B8E">
      <w:pPr>
        <w:pStyle w:val="AERbodytext"/>
      </w:pPr>
      <w:r>
        <w:t>As part of its revenue proposal, TransGrid submitted a network capability incentive parameter action plan (NCIPAP).</w:t>
      </w:r>
      <w:r w:rsidRPr="00E02761">
        <w:rPr>
          <w:rStyle w:val="FootnoteReference"/>
        </w:rPr>
        <w:footnoteReference w:id="31"/>
      </w:r>
      <w:r w:rsidRPr="00E02761">
        <w:t xml:space="preserve"> This plan must identify the reason for limits on each transmission circuit and injection points in the network. It must also list proposed priority projects and project improvement targets that </w:t>
      </w:r>
      <w:r>
        <w:t>TransGrid</w:t>
      </w:r>
      <w:r w:rsidRPr="00E02761">
        <w:t xml:space="preserve"> will undertake in the </w:t>
      </w:r>
      <w:r>
        <w:t xml:space="preserve">2014–18 </w:t>
      </w:r>
      <w:r w:rsidRPr="00E02761">
        <w:t xml:space="preserve">period </w:t>
      </w:r>
      <w:r>
        <w:t xml:space="preserve">(including the 2014–15 transitional year) </w:t>
      </w:r>
      <w:r w:rsidRPr="00E02761">
        <w:t>to improve the capability of the transmission circuits and injection points. We must approve a priority project if it is consistent with the requirements of the STPIS.</w:t>
      </w:r>
      <w:r w:rsidRPr="00E02761">
        <w:rPr>
          <w:rStyle w:val="FootnoteReference"/>
        </w:rPr>
        <w:footnoteReference w:id="32"/>
      </w:r>
      <w:r w:rsidRPr="00E02761">
        <w:t xml:space="preserve"> </w:t>
      </w:r>
    </w:p>
    <w:p w:rsidR="006B2B8E" w:rsidRDefault="006B2B8E" w:rsidP="006B2B8E">
      <w:pPr>
        <w:pStyle w:val="AERbodytext"/>
      </w:pPr>
      <w:r>
        <w:t>We assessed TransGrid's network capability component proposal against the requirements under clause 5.2 of the STPIS — that is, whether TransGrid's NCIPAP has identified:</w:t>
      </w:r>
    </w:p>
    <w:p w:rsidR="006B2B8E" w:rsidRPr="00E02761" w:rsidRDefault="006B2B8E" w:rsidP="006B2B8E">
      <w:pPr>
        <w:pStyle w:val="AERbulletlistfirststyle"/>
      </w:pPr>
      <w:r w:rsidRPr="00F720C6">
        <w:t>for every transmission circuit or injection point on its network, the reason for the limit for each transmission circuit or injection point</w:t>
      </w:r>
      <w:r w:rsidRPr="00F720C6">
        <w:rPr>
          <w:rStyle w:val="FootnoteReference"/>
        </w:rPr>
        <w:t xml:space="preserve"> </w:t>
      </w:r>
    </w:p>
    <w:p w:rsidR="006B2B8E" w:rsidRPr="00E02761" w:rsidRDefault="006B2B8E" w:rsidP="006B2B8E">
      <w:pPr>
        <w:pStyle w:val="AERbulletlistfirststyle"/>
      </w:pPr>
      <w:r>
        <w:t xml:space="preserve">the </w:t>
      </w:r>
      <w:r w:rsidRPr="00F720C6">
        <w:t xml:space="preserve">total operational and capital cost of each priority project </w:t>
      </w:r>
    </w:p>
    <w:p w:rsidR="006B2B8E" w:rsidRPr="00283CEB" w:rsidRDefault="006B2B8E" w:rsidP="006B2B8E">
      <w:pPr>
        <w:pStyle w:val="AERbulletlistfirststyle"/>
      </w:pPr>
      <w:r w:rsidRPr="00283CEB">
        <w:t xml:space="preserve">the proposed value of the priority project improvement target </w:t>
      </w:r>
      <w:r>
        <w:t xml:space="preserve">of </w:t>
      </w:r>
      <w:r w:rsidRPr="00283CEB">
        <w:t>each priority project</w:t>
      </w:r>
    </w:p>
    <w:p w:rsidR="006B2B8E" w:rsidRDefault="006B2B8E" w:rsidP="006B2B8E">
      <w:pPr>
        <w:pStyle w:val="AERbulletlistfirststyle"/>
      </w:pPr>
      <w:r w:rsidRPr="00283CEB">
        <w:lastRenderedPageBreak/>
        <w:t xml:space="preserve">the current value of the limit for the transmission circuits and/or injection points which the priority project improvement target is seeking to improve, </w:t>
      </w:r>
      <w:r>
        <w:t xml:space="preserve">and </w:t>
      </w:r>
    </w:p>
    <w:p w:rsidR="006B2B8E" w:rsidRPr="00283CEB" w:rsidRDefault="006B2B8E" w:rsidP="006B2B8E">
      <w:pPr>
        <w:pStyle w:val="AERbulletlistfirststyle"/>
      </w:pPr>
      <w:r w:rsidRPr="00283CEB">
        <w:t>the ranking of the priority projects in descending order based on the likely benefit of the priority project on customers or wholesale market outcomes</w:t>
      </w:r>
    </w:p>
    <w:p w:rsidR="006B2B8E" w:rsidRPr="006B2B8E" w:rsidRDefault="006B2B8E" w:rsidP="006B2B8E">
      <w:pPr>
        <w:pStyle w:val="AERbulletlistfirststyle"/>
        <w:rPr>
          <w:rStyle w:val="AERbody"/>
        </w:rPr>
      </w:pPr>
      <w:r w:rsidRPr="004C6859">
        <w:rPr>
          <w:rStyle w:val="AERbody"/>
        </w:rPr>
        <w:t xml:space="preserve">Clause 5.2(b) of the STPIS also requires the average total expenditure of the priority projects outlined in each regulatory year must not be greater than 1 per cent of the TNSP’s average maximum allowed revenue proposed in its revenue proposal for the regulatory control period.  </w:t>
      </w:r>
    </w:p>
    <w:p w:rsidR="006B2B8E" w:rsidRPr="006B2B8E" w:rsidRDefault="006B2B8E" w:rsidP="006B2B8E">
      <w:pPr>
        <w:pStyle w:val="AERbulletlistfirststyle"/>
        <w:rPr>
          <w:rStyle w:val="AERbody"/>
        </w:rPr>
      </w:pPr>
      <w:r w:rsidRPr="004C6859">
        <w:rPr>
          <w:rStyle w:val="AERbody"/>
        </w:rPr>
        <w:t>The priority project improvement target must result in a material benefit and the proposed priority project capital expenditure needs to meet the definition of minor capital expenditure for the purposes of the NCIPAP. The cost of the proposed priority projects must not be included in the total forecast operating or capital expenditure by the TNSP in its revenue proposal. The TNSPs must consult with the AEMO prior to submitting its NCIPAP.</w:t>
      </w:r>
    </w:p>
    <w:p w:rsidR="006B2B8E" w:rsidRPr="006B2B8E" w:rsidRDefault="006B2B8E" w:rsidP="006B2B8E">
      <w:pPr>
        <w:pStyle w:val="AERbulletlistfirststyle"/>
      </w:pPr>
      <w:r>
        <w:t xml:space="preserve">We also considered information provided by AEMO in determining the benefits of the proposed priority project improvement targets and </w:t>
      </w:r>
      <w:r w:rsidRPr="006B2B8E">
        <w:t>whether the net benefit of each project resulted in a material benefit.</w:t>
      </w:r>
      <w:r w:rsidRPr="006B2B8E">
        <w:rPr>
          <w:rStyle w:val="FootnoteReference"/>
        </w:rPr>
        <w:footnoteReference w:id="33"/>
      </w:r>
    </w:p>
    <w:p w:rsidR="006B2B8E" w:rsidRPr="00ED09CD" w:rsidRDefault="006B2B8E" w:rsidP="006B2B8E">
      <w:pPr>
        <w:pStyle w:val="Heading3"/>
      </w:pPr>
      <w:bookmarkStart w:id="29" w:name="_Toc404159218"/>
      <w:r w:rsidRPr="00ED09CD">
        <w:t>Interrelationships</w:t>
      </w:r>
      <w:bookmarkEnd w:id="25"/>
      <w:bookmarkEnd w:id="29"/>
    </w:p>
    <w:p w:rsidR="006B2B8E" w:rsidRPr="00A270A8" w:rsidRDefault="006B2B8E" w:rsidP="006B2B8E">
      <w:r>
        <w:t>T</w:t>
      </w:r>
      <w:r w:rsidRPr="00A270A8">
        <w:t>he NER requires the STPIS to take into account any other incentives provided for in the Rules that TNSPs have to minimise capital or operating expenditure.</w:t>
      </w:r>
      <w:r w:rsidRPr="00A270A8">
        <w:rPr>
          <w:rStyle w:val="FootnoteReference"/>
        </w:rPr>
        <w:footnoteReference w:id="34"/>
      </w:r>
      <w:r w:rsidRPr="00A270A8">
        <w:t xml:space="preserve"> One of the objectives of the STPIS is to assist in the setting of efficient capital and operating expenditure allowances by balancing the incentive to reduce actual expenditure with the need to maintain and improve reliability for customers and reduce the market impact of transmission congestion.</w:t>
      </w:r>
      <w:r w:rsidRPr="00A270A8">
        <w:rPr>
          <w:rStyle w:val="FootnoteReference"/>
        </w:rPr>
        <w:footnoteReference w:id="35"/>
      </w:r>
    </w:p>
    <w:p w:rsidR="006B2B8E" w:rsidRDefault="006B2B8E" w:rsidP="006B2B8E">
      <w:pPr>
        <w:pStyle w:val="AERbodytext"/>
      </w:pPr>
      <w:r>
        <w:t>T</w:t>
      </w:r>
      <w:r w:rsidRPr="006455B3">
        <w:t>he STPIS allows us to adjust the performance targets of the service component for the expected effects on the TNSP’s performance from any increases or decreases in the volume of capital works planned during the regulatory control period.</w:t>
      </w:r>
      <w:r>
        <w:rPr>
          <w:rStyle w:val="FootnoteReference"/>
        </w:rPr>
        <w:footnoteReference w:id="36"/>
      </w:r>
      <w:r>
        <w:t xml:space="preserve"> We consider planned reliability improvement works in setting the performance targets of the service component. </w:t>
      </w:r>
    </w:p>
    <w:p w:rsidR="006B2B8E" w:rsidRDefault="006B2B8E" w:rsidP="006B2B8E">
      <w:pPr>
        <w:pStyle w:val="Heading2"/>
      </w:pPr>
      <w:bookmarkStart w:id="30" w:name="_Toc396839236"/>
      <w:bookmarkStart w:id="31" w:name="_Ref400699923"/>
      <w:bookmarkStart w:id="32" w:name="_Ref403042079"/>
      <w:bookmarkStart w:id="33" w:name="_Toc404159219"/>
      <w:r w:rsidRPr="00B47945">
        <w:t>Reasons for draft decision</w:t>
      </w:r>
      <w:bookmarkEnd w:id="30"/>
      <w:bookmarkEnd w:id="31"/>
      <w:bookmarkEnd w:id="32"/>
      <w:bookmarkEnd w:id="33"/>
    </w:p>
    <w:p w:rsidR="006B2B8E" w:rsidRDefault="006B2B8E" w:rsidP="006B2B8E">
      <w:pPr>
        <w:pStyle w:val="AERbodytext"/>
      </w:pPr>
      <w:r>
        <w:t xml:space="preserve">The following section sets out our consideration in applying the STPIS to TransGrid for the 2015–18 regulatory control period. </w:t>
      </w:r>
    </w:p>
    <w:p w:rsidR="006B2B8E" w:rsidRDefault="006B2B8E" w:rsidP="00662027">
      <w:pPr>
        <w:pStyle w:val="Heading3"/>
      </w:pPr>
      <w:bookmarkStart w:id="34" w:name="_Toc404159220"/>
      <w:r>
        <w:t>Service component</w:t>
      </w:r>
      <w:bookmarkEnd w:id="34"/>
    </w:p>
    <w:p w:rsidR="006B2B8E" w:rsidRDefault="006B2B8E" w:rsidP="006B2B8E">
      <w:pPr>
        <w:pStyle w:val="AERbodytext"/>
      </w:pPr>
      <w:r>
        <w:t>TransGrid is subject to version 4.1 of the STPIS for the next regulatory control period. The new version includes a parameter called 'average circuit outage rate' introduced in version 4 of the STPIS. This parameter replaced the 'transmission circuit availability' parameter under previous versions of the STPIS.</w:t>
      </w:r>
    </w:p>
    <w:p w:rsidR="006B2B8E" w:rsidRDefault="006B2B8E" w:rsidP="00662027">
      <w:pPr>
        <w:pStyle w:val="HeadingBoldBlue"/>
      </w:pPr>
      <w:r>
        <w:lastRenderedPageBreak/>
        <w:t>Performance targets</w:t>
      </w:r>
    </w:p>
    <w:p w:rsidR="006B2B8E" w:rsidRDefault="006B2B8E" w:rsidP="006B2B8E">
      <w:pPr>
        <w:pStyle w:val="AERbodytext"/>
      </w:pPr>
      <w:r>
        <w:t>Performance targets must equal the TNSP's average performance history over the past five years unless they are subject to adjustment under clause 3.2(h) or (k) of the STPIS.</w:t>
      </w:r>
      <w:r>
        <w:rPr>
          <w:rStyle w:val="FootnoteReference"/>
        </w:rPr>
        <w:footnoteReference w:id="37"/>
      </w:r>
      <w:r>
        <w:t xml:space="preserve"> We generally approve performance targets that are the arithmetic mean of the past five years' performance data. TransGrid followed this approach for its proposed performance targets.</w:t>
      </w:r>
    </w:p>
    <w:p w:rsidR="006B2B8E" w:rsidRPr="00362087" w:rsidRDefault="006B2B8E" w:rsidP="006B2B8E">
      <w:pPr>
        <w:pStyle w:val="AERbodytext"/>
      </w:pPr>
      <w:r w:rsidRPr="00362087">
        <w:t>The CCP noted that TransGrid has consistently received bonuses under the STPIS, which indicated that TransGrid require minimal further reliability driven expenditure for the next regulatory control period.</w:t>
      </w:r>
      <w:r w:rsidRPr="00362087">
        <w:rPr>
          <w:rStyle w:val="FootnoteReference"/>
        </w:rPr>
        <w:footnoteReference w:id="38"/>
      </w:r>
      <w:r w:rsidRPr="00362087">
        <w:t xml:space="preserve"> The EMRF </w:t>
      </w:r>
      <w:r>
        <w:t>submitted</w:t>
      </w:r>
      <w:r w:rsidRPr="00362087">
        <w:t xml:space="preserve"> that the replacement capital expenditure amount proposed by TransGrid has almost doubled compared to the previous period, which should result in improved service performance. In addition, TransGrid is likely to achieve better service performance through the NCIPAP process. The EMRF suggested that there should be a</w:t>
      </w:r>
      <w:r>
        <w:t xml:space="preserve">n offsetting effect </w:t>
      </w:r>
      <w:r w:rsidRPr="00362087">
        <w:t>of the increased replacement capital expenditure and the NCIPAP on the service performance targets.</w:t>
      </w:r>
      <w:r w:rsidRPr="00362087">
        <w:rPr>
          <w:rStyle w:val="FootnoteReference"/>
        </w:rPr>
        <w:footnoteReference w:id="39"/>
      </w:r>
      <w:r w:rsidRPr="00362087">
        <w:t xml:space="preserve"> </w:t>
      </w:r>
    </w:p>
    <w:p w:rsidR="006B2B8E" w:rsidRDefault="006B2B8E" w:rsidP="006B2B8E">
      <w:pPr>
        <w:pStyle w:val="AERbodytext"/>
      </w:pPr>
      <w:r>
        <w:t xml:space="preserve">Clause 3.2(h) or (k) of the STPIS allow us to set performance targets based on different period and make reasonable adjustment to the performance targets. </w:t>
      </w:r>
      <w:r w:rsidRPr="00362087">
        <w:t xml:space="preserve">As we are funding TransGrid to maintain its current reliability performance and have removed expenditure that is associated with performance improvement. </w:t>
      </w:r>
      <w:r>
        <w:t>Further, the STPIS is an incentive scheme, TransGrid can only retain rewards for sustained and continuous improvements. Once improvements are made, the performance targets will be tightened in future years.</w:t>
      </w:r>
      <w:r w:rsidRPr="002C50AA">
        <w:t xml:space="preserve"> </w:t>
      </w:r>
      <w:r w:rsidRPr="00362087">
        <w:t xml:space="preserve">Therefore, we consider it appropriate to set TransGrid's performance targets based on its average performance history over the past </w:t>
      </w:r>
      <w:r>
        <w:t xml:space="preserve">five years without adjustment. </w:t>
      </w:r>
    </w:p>
    <w:p w:rsidR="006B2B8E" w:rsidRDefault="006B2B8E" w:rsidP="00662027">
      <w:pPr>
        <w:pStyle w:val="HeadingBoldBlue"/>
      </w:pPr>
      <w:r>
        <w:t>Caps and collars</w:t>
      </w:r>
    </w:p>
    <w:p w:rsidR="006B2B8E" w:rsidRPr="00F9662C" w:rsidRDefault="006B2B8E" w:rsidP="006B2B8E">
      <w:pPr>
        <w:pStyle w:val="AERbodytext"/>
      </w:pPr>
      <w:r w:rsidRPr="00F9662C">
        <w:t>Proposed caps and collars must be calculated with reference to the proposed performance targets using a sound method</w:t>
      </w:r>
      <w:r>
        <w:t>ology</w:t>
      </w:r>
      <w:r w:rsidRPr="00F9662C">
        <w:t>.</w:t>
      </w:r>
      <w:r w:rsidRPr="00F9662C">
        <w:rPr>
          <w:rStyle w:val="FootnoteReference"/>
        </w:rPr>
        <w:footnoteReference w:id="40"/>
      </w:r>
      <w:r w:rsidRPr="00F9662C">
        <w:t xml:space="preserve"> In the past, we have generally accepted approaches that use five years of performance data to derive a statistical distribution, with the caps and collars set at two standard deviations either side of the mean (if using a normal distribution), or at the 5th and 95th percentiles (if using </w:t>
      </w:r>
      <w:r>
        <w:t>a</w:t>
      </w:r>
      <w:r w:rsidRPr="00F9662C">
        <w:t xml:space="preserve"> distribution</w:t>
      </w:r>
      <w:r>
        <w:t xml:space="preserve"> other than the normal distribution</w:t>
      </w:r>
      <w:r w:rsidRPr="00F9662C">
        <w:t xml:space="preserve">). </w:t>
      </w:r>
    </w:p>
    <w:p w:rsidR="006B2B8E" w:rsidRPr="00F9662C" w:rsidRDefault="006B2B8E" w:rsidP="006B2B8E">
      <w:pPr>
        <w:pStyle w:val="AERbodytext"/>
      </w:pPr>
      <w:r w:rsidRPr="00F9662C">
        <w:t>The distribution selected to calculate the caps and collars for a particular parameter must be conceptually sound. The following principles should be applied when selecting a distribution to calculate caps and collars:</w:t>
      </w:r>
    </w:p>
    <w:p w:rsidR="006B2B8E" w:rsidRPr="00F9662C" w:rsidRDefault="006B2B8E" w:rsidP="006B2B8E">
      <w:pPr>
        <w:pStyle w:val="AERbulletlistfirststyle"/>
      </w:pPr>
      <w:r w:rsidRPr="00F9662C">
        <w:t xml:space="preserve">the chosen distribution should reflect any inherent skewness of the performance data. </w:t>
      </w:r>
    </w:p>
    <w:p w:rsidR="006B2B8E" w:rsidRPr="00F9662C" w:rsidRDefault="006B2B8E" w:rsidP="006B2B8E">
      <w:pPr>
        <w:pStyle w:val="AERbulletlistfirststyle"/>
      </w:pPr>
      <w:r w:rsidRPr="00F9662C">
        <w:t xml:space="preserve">the distribution should not imply that impossible values are reasonably likely. For example, the distribution for an average circuit outage rate sub-parameter should not imply that values below zero per cent are reasonably likely. </w:t>
      </w:r>
    </w:p>
    <w:p w:rsidR="006B2B8E" w:rsidRPr="00F9662C" w:rsidRDefault="006B2B8E" w:rsidP="006B2B8E">
      <w:pPr>
        <w:pStyle w:val="AERbulletlistfirststyle"/>
      </w:pPr>
      <w:r w:rsidRPr="00F9662C">
        <w:t xml:space="preserve">discrete distributions should be used to represent discrete data. For example, a discrete distribution such as the Poisson distribution should be used when calculating caps and collars for loss of supply sub-parameters. Continuous distributions should not be used. </w:t>
      </w:r>
    </w:p>
    <w:p w:rsidR="006B2B8E" w:rsidRDefault="006B2B8E" w:rsidP="006B2B8E">
      <w:r w:rsidRPr="00F9662C">
        <w:t xml:space="preserve">Using standard deviations to set caps and collars is appropriate when a normal distribution is selected. However, when </w:t>
      </w:r>
      <w:r>
        <w:t>a normal distribution is not selected</w:t>
      </w:r>
      <w:r w:rsidRPr="00F9662C">
        <w:t xml:space="preserve">, the better measure to use is the </w:t>
      </w:r>
      <w:r w:rsidRPr="00F9662C">
        <w:lastRenderedPageBreak/>
        <w:t>percentiles. This is consistent with the EMCa's advice for the 2013 SP AusNet transmission decision.</w:t>
      </w:r>
      <w:r w:rsidRPr="00F9662C">
        <w:rPr>
          <w:rStyle w:val="FootnoteReference"/>
        </w:rPr>
        <w:footnoteReference w:id="41"/>
      </w:r>
      <w:r w:rsidRPr="00F9662C">
        <w:t xml:space="preserve"> </w:t>
      </w:r>
    </w:p>
    <w:p w:rsidR="006B2B8E" w:rsidRDefault="006B2B8E" w:rsidP="006B2B8E">
      <w:pPr>
        <w:pStyle w:val="AERbodytext"/>
      </w:pPr>
      <w:r>
        <w:t xml:space="preserve">TransGrid has engaged </w:t>
      </w:r>
      <w:r w:rsidRPr="007B2F64">
        <w:t>Parsons Brinckerhoff</w:t>
      </w:r>
      <w:r>
        <w:t xml:space="preserve"> (PB)</w:t>
      </w:r>
      <w:r w:rsidRPr="007B2F64">
        <w:t xml:space="preserve"> </w:t>
      </w:r>
      <w:r>
        <w:t>in undertaking</w:t>
      </w:r>
      <w:r w:rsidRPr="007B2F64">
        <w:t xml:space="preserve"> statistical analysis to set collars/targets/caps based</w:t>
      </w:r>
      <w:r>
        <w:t xml:space="preserve"> </w:t>
      </w:r>
      <w:r w:rsidRPr="007B2F64">
        <w:t>on historical performance for the service component parameters.</w:t>
      </w:r>
      <w:r>
        <w:rPr>
          <w:rStyle w:val="FootnoteReference"/>
        </w:rPr>
        <w:footnoteReference w:id="42"/>
      </w:r>
      <w:r w:rsidRPr="00D42B8B">
        <w:t xml:space="preserve"> </w:t>
      </w:r>
      <w:r>
        <w:fldChar w:fldCharType="begin"/>
      </w:r>
      <w:r>
        <w:instrText xml:space="preserve"> REF _Ref359853118 \h </w:instrText>
      </w:r>
      <w:r>
        <w:fldChar w:fldCharType="separate"/>
      </w:r>
      <w:r w:rsidR="00D83A83">
        <w:t xml:space="preserve">Table </w:t>
      </w:r>
      <w:r w:rsidR="00D83A83">
        <w:rPr>
          <w:noProof/>
        </w:rPr>
        <w:t>1</w:t>
      </w:r>
      <w:r w:rsidR="00662027">
        <w:rPr>
          <w:noProof/>
        </w:rPr>
        <w:t>1</w:t>
      </w:r>
      <w:r w:rsidR="00D83A83">
        <w:t>.</w:t>
      </w:r>
      <w:r w:rsidR="00D83A83">
        <w:rPr>
          <w:noProof/>
        </w:rPr>
        <w:t>5</w:t>
      </w:r>
      <w:r>
        <w:fldChar w:fldCharType="end"/>
      </w:r>
      <w:r>
        <w:t xml:space="preserve"> shows the distributions proposed by TransGrid for setting the caps and collars. </w:t>
      </w:r>
    </w:p>
    <w:p w:rsidR="006B2B8E" w:rsidRPr="00E02761" w:rsidRDefault="006B2B8E" w:rsidP="006B2B8E">
      <w:pPr>
        <w:pStyle w:val="Caption"/>
      </w:pPr>
      <w:bookmarkStart w:id="35" w:name="_Ref359853118"/>
      <w:proofErr w:type="gramStart"/>
      <w:r>
        <w:t xml:space="preserve">Table </w:t>
      </w:r>
      <w:proofErr w:type="gramEnd"/>
      <w:r w:rsidRPr="006B2B8E">
        <w:fldChar w:fldCharType="begin"/>
      </w:r>
      <w:r>
        <w:instrText xml:space="preserve"> STYLEREF 1 \s </w:instrText>
      </w:r>
      <w:r w:rsidRPr="006B2B8E">
        <w:fldChar w:fldCharType="separate"/>
      </w:r>
      <w:r w:rsidR="00D83A83">
        <w:rPr>
          <w:noProof/>
        </w:rPr>
        <w:t>1</w:t>
      </w:r>
      <w:r w:rsidRPr="006B2B8E">
        <w:fldChar w:fldCharType="end"/>
      </w:r>
      <w:proofErr w:type="gramStart"/>
      <w:r w:rsidR="00662027">
        <w:t>1</w:t>
      </w:r>
      <w:r>
        <w:t>.</w:t>
      </w:r>
      <w:proofErr w:type="gramEnd"/>
      <w:r w:rsidR="00D83A83">
        <w:fldChar w:fldCharType="begin"/>
      </w:r>
      <w:r w:rsidR="00D83A83">
        <w:instrText xml:space="preserve"> SEQ Table \* ARABIC \s 1 </w:instrText>
      </w:r>
      <w:r w:rsidR="00D83A83">
        <w:fldChar w:fldCharType="separate"/>
      </w:r>
      <w:r w:rsidR="00D83A83">
        <w:rPr>
          <w:noProof/>
        </w:rPr>
        <w:t>5</w:t>
      </w:r>
      <w:r w:rsidR="00D83A83">
        <w:rPr>
          <w:noProof/>
        </w:rPr>
        <w:fldChar w:fldCharType="end"/>
      </w:r>
      <w:bookmarkEnd w:id="35"/>
      <w:r w:rsidRPr="00E02761">
        <w:tab/>
      </w:r>
      <w:r>
        <w:t>TransGrid's</w:t>
      </w:r>
      <w:r w:rsidRPr="00E02761">
        <w:t xml:space="preserve"> proposed distributions for calculating caps and collars</w:t>
      </w:r>
    </w:p>
    <w:tbl>
      <w:tblPr>
        <w:tblStyle w:val="AERtable-numbers"/>
        <w:tblW w:w="0" w:type="auto"/>
        <w:tblLook w:val="04A0" w:firstRow="1" w:lastRow="0" w:firstColumn="1" w:lastColumn="0" w:noHBand="0" w:noVBand="1"/>
      </w:tblPr>
      <w:tblGrid>
        <w:gridCol w:w="2660"/>
        <w:gridCol w:w="1559"/>
        <w:gridCol w:w="2410"/>
        <w:gridCol w:w="2613"/>
      </w:tblGrid>
      <w:tr w:rsidR="006B2B8E" w:rsidRPr="00682A64" w:rsidTr="004B00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682A64">
              <w:t>Parameter</w:t>
            </w:r>
          </w:p>
        </w:tc>
        <w:tc>
          <w:tcPr>
            <w:tcW w:w="1559" w:type="dxa"/>
          </w:tcPr>
          <w:p w:rsidR="006B2B8E" w:rsidRPr="006B2B8E" w:rsidRDefault="006B2B8E" w:rsidP="006B2B8E">
            <w:pPr>
              <w:pStyle w:val="AERtabletextleft"/>
              <w:cnfStyle w:val="100000000000" w:firstRow="1" w:lastRow="0" w:firstColumn="0" w:lastColumn="0" w:oddVBand="0" w:evenVBand="0" w:oddHBand="0" w:evenHBand="0" w:firstRowFirstColumn="0" w:firstRowLastColumn="0" w:lastRowFirstColumn="0" w:lastRowLastColumn="0"/>
            </w:pPr>
            <w:r w:rsidRPr="00682A64">
              <w:t>Distribution</w:t>
            </w:r>
          </w:p>
        </w:tc>
        <w:tc>
          <w:tcPr>
            <w:tcW w:w="2410"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682A64">
              <w:t>Cap (standard deviations below target)</w:t>
            </w:r>
          </w:p>
        </w:tc>
        <w:tc>
          <w:tcPr>
            <w:tcW w:w="2613"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682A64">
              <w:t>Collar (standard deviations above target)</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rPr>
                <w:rStyle w:val="AERtextbold"/>
              </w:rPr>
            </w:pPr>
            <w:r w:rsidRPr="00374883">
              <w:rPr>
                <w:rStyle w:val="AERtextbold"/>
              </w:rPr>
              <w:t>Average circuit outage rate</w:t>
            </w:r>
          </w:p>
        </w:tc>
        <w:tc>
          <w:tcPr>
            <w:tcW w:w="1559" w:type="dxa"/>
          </w:tcPr>
          <w:p w:rsidR="006B2B8E" w:rsidRPr="00682A64"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p>
        </w:tc>
        <w:tc>
          <w:tcPr>
            <w:tcW w:w="2410" w:type="dxa"/>
          </w:tcPr>
          <w:p w:rsidR="006B2B8E" w:rsidRPr="00682A64"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2613" w:type="dxa"/>
          </w:tcPr>
          <w:p w:rsidR="006B2B8E" w:rsidRPr="00682A64"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682A64">
              <w:t>Line outage – fault</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r>
              <w:t>P</w:t>
            </w:r>
            <w:r w:rsidRPr="006B2B8E">
              <w:t>earson 5</w:t>
            </w:r>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 xml:space="preserve">2 </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 xml:space="preserve">2 </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682A64">
              <w:t xml:space="preserve">Transformer – </w:t>
            </w:r>
            <w:r w:rsidRPr="006B2B8E">
              <w:t>fault</w:t>
            </w:r>
          </w:p>
        </w:tc>
        <w:tc>
          <w:tcPr>
            <w:tcW w:w="1559" w:type="dxa"/>
          </w:tcPr>
          <w:p w:rsidR="006B2B8E" w:rsidRPr="006B2B8E"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proofErr w:type="spellStart"/>
            <w:r>
              <w:t>W</w:t>
            </w:r>
            <w:r w:rsidRPr="006B2B8E">
              <w:t>eibull</w:t>
            </w:r>
            <w:proofErr w:type="spellEnd"/>
          </w:p>
        </w:tc>
        <w:tc>
          <w:tcPr>
            <w:tcW w:w="241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2</w:t>
            </w:r>
            <w:r w:rsidRPr="006B2B8E">
              <w:t xml:space="preserve"> </w:t>
            </w:r>
          </w:p>
        </w:tc>
        <w:tc>
          <w:tcPr>
            <w:tcW w:w="2613"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 xml:space="preserve">2 </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682A64">
              <w:t>Reactive plant – fault</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proofErr w:type="spellStart"/>
            <w:r>
              <w:t>W</w:t>
            </w:r>
            <w:r w:rsidRPr="006B2B8E">
              <w:t>eibull</w:t>
            </w:r>
            <w:proofErr w:type="spellEnd"/>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 xml:space="preserve">2 </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 xml:space="preserve">2 </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682A64">
              <w:t>Line outage – forced</w:t>
            </w:r>
          </w:p>
        </w:tc>
        <w:tc>
          <w:tcPr>
            <w:tcW w:w="1559" w:type="dxa"/>
          </w:tcPr>
          <w:p w:rsidR="006B2B8E" w:rsidRPr="006B2B8E"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r>
              <w:t>U</w:t>
            </w:r>
            <w:r w:rsidRPr="006B2B8E">
              <w:t>niform</w:t>
            </w:r>
          </w:p>
        </w:tc>
        <w:tc>
          <w:tcPr>
            <w:tcW w:w="241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 xml:space="preserve">2 </w:t>
            </w:r>
          </w:p>
        </w:tc>
        <w:tc>
          <w:tcPr>
            <w:tcW w:w="2613"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 xml:space="preserve">2 </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682A64">
              <w:t>Transformer outage – forced</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proofErr w:type="spellStart"/>
            <w:r>
              <w:t>W</w:t>
            </w:r>
            <w:r w:rsidRPr="006B2B8E">
              <w:t>eibull</w:t>
            </w:r>
            <w:proofErr w:type="spellEnd"/>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 xml:space="preserve">2 </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 xml:space="preserve">2 </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682A64">
              <w:t>Reactive plant – forced</w:t>
            </w:r>
          </w:p>
        </w:tc>
        <w:tc>
          <w:tcPr>
            <w:tcW w:w="1559" w:type="dxa"/>
          </w:tcPr>
          <w:p w:rsidR="006B2B8E" w:rsidRPr="006B2B8E"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proofErr w:type="spellStart"/>
            <w:r>
              <w:t>L</w:t>
            </w:r>
            <w:r w:rsidRPr="006B2B8E">
              <w:t>ogLogistic</w:t>
            </w:r>
            <w:proofErr w:type="spellEnd"/>
          </w:p>
        </w:tc>
        <w:tc>
          <w:tcPr>
            <w:tcW w:w="241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2</w:t>
            </w:r>
            <w:r w:rsidRPr="006B2B8E">
              <w:t xml:space="preserve"> </w:t>
            </w:r>
          </w:p>
        </w:tc>
        <w:tc>
          <w:tcPr>
            <w:tcW w:w="2613"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 xml:space="preserve">2 </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rPr>
                <w:rStyle w:val="AERtextbold"/>
              </w:rPr>
            </w:pPr>
            <w:r w:rsidRPr="00374883">
              <w:rPr>
                <w:rStyle w:val="AERtextbold"/>
              </w:rPr>
              <w:t>Loss of supply events</w:t>
            </w:r>
          </w:p>
        </w:tc>
        <w:tc>
          <w:tcPr>
            <w:tcW w:w="1559" w:type="dxa"/>
          </w:tcPr>
          <w:p w:rsidR="006B2B8E" w:rsidRPr="00682A64"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p>
        </w:tc>
        <w:tc>
          <w:tcPr>
            <w:tcW w:w="2410" w:type="dxa"/>
          </w:tcPr>
          <w:p w:rsidR="006B2B8E" w:rsidRPr="00682A64"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p>
        </w:tc>
        <w:tc>
          <w:tcPr>
            <w:tcW w:w="2613" w:type="dxa"/>
          </w:tcPr>
          <w:p w:rsidR="006B2B8E" w:rsidRPr="00682A64"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682A64">
              <w:t xml:space="preserve">&gt; 0.05 </w:t>
            </w:r>
            <w:r w:rsidRPr="006B2B8E">
              <w:t>system minutes</w:t>
            </w:r>
          </w:p>
        </w:tc>
        <w:tc>
          <w:tcPr>
            <w:tcW w:w="1559" w:type="dxa"/>
          </w:tcPr>
          <w:p w:rsidR="006B2B8E" w:rsidRPr="006B2B8E"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proofErr w:type="spellStart"/>
            <w:r>
              <w:t>I</w:t>
            </w:r>
            <w:r w:rsidRPr="006B2B8E">
              <w:t>ntUniform</w:t>
            </w:r>
            <w:proofErr w:type="spellEnd"/>
          </w:p>
        </w:tc>
        <w:tc>
          <w:tcPr>
            <w:tcW w:w="241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2</w:t>
            </w:r>
            <w:r w:rsidRPr="006B2B8E">
              <w:t xml:space="preserve"> </w:t>
            </w:r>
          </w:p>
        </w:tc>
        <w:tc>
          <w:tcPr>
            <w:tcW w:w="2613"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682A64">
              <w:t xml:space="preserve">2 </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t>&gt;0.</w:t>
            </w:r>
            <w:r w:rsidRPr="006B2B8E">
              <w:t>25 system minutes</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r>
              <w:t>P</w:t>
            </w:r>
            <w:r w:rsidRPr="006B2B8E">
              <w:t>oisson</w:t>
            </w:r>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2</w:t>
            </w:r>
            <w:r w:rsidRPr="006B2B8E">
              <w:t xml:space="preserve"> </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 xml:space="preserve">2 </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rPr>
                <w:rStyle w:val="AERtextbold"/>
              </w:rPr>
            </w:pPr>
            <w:r w:rsidRPr="00374883">
              <w:rPr>
                <w:rStyle w:val="AERtextbold"/>
              </w:rPr>
              <w:t>Average outage duration</w:t>
            </w:r>
          </w:p>
        </w:tc>
        <w:tc>
          <w:tcPr>
            <w:tcW w:w="1559" w:type="dxa"/>
          </w:tcPr>
          <w:p w:rsidR="006B2B8E" w:rsidRPr="00682A64"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p>
        </w:tc>
        <w:tc>
          <w:tcPr>
            <w:tcW w:w="2410" w:type="dxa"/>
          </w:tcPr>
          <w:p w:rsidR="006B2B8E" w:rsidRPr="00682A64"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2613" w:type="dxa"/>
          </w:tcPr>
          <w:p w:rsidR="006B2B8E" w:rsidRPr="00682A64"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682A64">
              <w:t>Average outage duration</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proofErr w:type="spellStart"/>
            <w:r>
              <w:t>L</w:t>
            </w:r>
            <w:r w:rsidRPr="006B2B8E">
              <w:t>ogLogistic</w:t>
            </w:r>
            <w:proofErr w:type="spellEnd"/>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t>2</w:t>
            </w:r>
            <w:r w:rsidRPr="006B2B8E">
              <w:t xml:space="preserve"> </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682A64">
              <w:t xml:space="preserve">2 </w:t>
            </w:r>
          </w:p>
        </w:tc>
      </w:tr>
    </w:tbl>
    <w:p w:rsidR="006B2B8E" w:rsidRPr="00E02761" w:rsidRDefault="006B2B8E" w:rsidP="006B2B8E">
      <w:pPr>
        <w:pStyle w:val="AERtablesource"/>
      </w:pPr>
      <w:r>
        <w:t xml:space="preserve">Source: </w:t>
      </w:r>
      <w:r>
        <w:tab/>
        <w:t xml:space="preserve">Parsons Brinckerhoff, </w:t>
      </w:r>
      <w:r>
        <w:rPr>
          <w:rStyle w:val="AERtextitalic"/>
        </w:rPr>
        <w:t xml:space="preserve">Fitting Probability Distribution Curves to Reliability Data, </w:t>
      </w:r>
      <w:r>
        <w:t>31 March 2014.</w:t>
      </w:r>
    </w:p>
    <w:p w:rsidR="006B2B8E" w:rsidRDefault="006B2B8E" w:rsidP="006B2B8E">
      <w:r>
        <w:t>We do not accept TransGrid's proposed caps and collars as:</w:t>
      </w:r>
    </w:p>
    <w:p w:rsidR="006B2B8E" w:rsidRPr="00F9662C" w:rsidRDefault="006B2B8E" w:rsidP="006B2B8E">
      <w:pPr>
        <w:pStyle w:val="AERbulletlistfirststyle"/>
      </w:pPr>
      <w:r w:rsidRPr="00F9662C">
        <w:t xml:space="preserve">the distributions from </w:t>
      </w:r>
      <w:r>
        <w:t>the above analysis</w:t>
      </w:r>
      <w:r w:rsidRPr="00F9662C">
        <w:t xml:space="preserve"> are </w:t>
      </w:r>
      <w:r>
        <w:t>not normal</w:t>
      </w:r>
      <w:r w:rsidRPr="00F9662C">
        <w:t xml:space="preserve"> distributions</w:t>
      </w:r>
      <w:r>
        <w:t xml:space="preserve">, we consider </w:t>
      </w:r>
      <w:r w:rsidRPr="00F9662C">
        <w:t xml:space="preserve">the caps and collars </w:t>
      </w:r>
      <w:r>
        <w:t>should be</w:t>
      </w:r>
      <w:r w:rsidRPr="00F9662C">
        <w:t xml:space="preserve"> based on the 5th and 95th percentiles rather than two standard deviations from the mean. </w:t>
      </w:r>
    </w:p>
    <w:p w:rsidR="006B2B8E" w:rsidRDefault="006B2B8E" w:rsidP="006B2B8E">
      <w:pPr>
        <w:pStyle w:val="AERbulletlistfirststyle"/>
      </w:pPr>
      <w:r>
        <w:t xml:space="preserve">PB preferred the </w:t>
      </w:r>
      <w:r w:rsidRPr="00AA75C3">
        <w:t>Anderson-Darling</w:t>
      </w:r>
      <w:r>
        <w:t xml:space="preserve"> (A-D) fit statistic over the </w:t>
      </w:r>
      <w:r w:rsidRPr="005914E3">
        <w:t>Kolmogorov-Smirnov</w:t>
      </w:r>
      <w:r>
        <w:t xml:space="preserve"> (K-S) fit statistic as </w:t>
      </w:r>
      <w:r w:rsidRPr="00403330">
        <w:t>the A-D fit statistic focuses on the difference between the tails of fitted distribution and input data</w:t>
      </w:r>
      <w:r>
        <w:t xml:space="preserve">. PB considered </w:t>
      </w:r>
      <w:r w:rsidRPr="00403330">
        <w:t>distribution curve at the tails improves</w:t>
      </w:r>
      <w:r>
        <w:t xml:space="preserve"> </w:t>
      </w:r>
      <w:r w:rsidRPr="00403330">
        <w:t>the calculation of the scheme measures</w:t>
      </w:r>
      <w:r>
        <w:t xml:space="preserve">. However, we doubt such claims can be made about more weights placed in the tails when we only have 5 data points. Given this, on balance we consider  the K-S fit statistic is to be preferred due to its simplicity, especially when there is no evidence to suggest the  A-D fit statistic is more appropriate in this particular case. </w:t>
      </w:r>
    </w:p>
    <w:p w:rsidR="006B2B8E" w:rsidRDefault="006B2B8E" w:rsidP="006B2B8E">
      <w:r>
        <w:lastRenderedPageBreak/>
        <w:t>The EMRF noted by applying TransGrid's proposed caps and collar, only two of the past performance outcomes would lie outside the bounds of the cap and collar ranges. It suggested using 1.5 standard deviations to set the caps and collars might be more appropriate.</w:t>
      </w:r>
      <w:r>
        <w:rPr>
          <w:rStyle w:val="FootnoteReference"/>
        </w:rPr>
        <w:footnoteReference w:id="43"/>
      </w:r>
      <w:r>
        <w:t xml:space="preserve"> </w:t>
      </w:r>
    </w:p>
    <w:p w:rsidR="006B2B8E" w:rsidRDefault="006B2B8E" w:rsidP="006B2B8E">
      <w:pPr>
        <w:pStyle w:val="AERbodytext"/>
      </w:pPr>
      <w:r>
        <w:t xml:space="preserve">The cap specifies the level of performance that results in a TNSP receiving the maximum financial reward attributed to a parameter; the collar specifies the level for receiving the maximum financial penalty. We have applied </w:t>
      </w:r>
      <w:r w:rsidRPr="00F9662C">
        <w:t xml:space="preserve">the 5th and 95th percentiles rather than </w:t>
      </w:r>
      <w:r>
        <w:t>2</w:t>
      </w:r>
      <w:r w:rsidRPr="00F9662C">
        <w:t xml:space="preserve"> standard deviations from the mean</w:t>
      </w:r>
      <w:r>
        <w:t xml:space="preserve"> as the derived distributions are not normal distributions. If the collar was set at a level that is closer to the performance target, the TNSP would receive the maximum penalty once performance degraded to that level. There would then be no incentive for the TNSP to prevent or mitigate events that would further affect service performance. A collar set at the 95th percentile (or two standard deviations for a normal distribution) provides an incentive to prevent or mitigate events when performance has degraded below the 1.5 standard deviation level, as the TNSP may still be able to avoid the maximum penalty. This logic similarly applies for a cap. As such, we consider it reasonable to set the collars and caps at the 5th and 95th percentile for asymmetric distributions or 2 standard deviations for normal distributions.</w:t>
      </w:r>
    </w:p>
    <w:p w:rsidR="006B2B8E" w:rsidRDefault="006B2B8E" w:rsidP="006B2B8E">
      <w:pPr>
        <w:pStyle w:val="AERbodytext"/>
      </w:pPr>
      <w:r>
        <w:fldChar w:fldCharType="begin"/>
      </w:r>
      <w:r>
        <w:instrText xml:space="preserve"> REF _Ref399327667 \h </w:instrText>
      </w:r>
      <w:r>
        <w:fldChar w:fldCharType="separate"/>
      </w:r>
      <w:r w:rsidR="00D83A83">
        <w:t xml:space="preserve">Table </w:t>
      </w:r>
      <w:r w:rsidR="00D83A83">
        <w:rPr>
          <w:noProof/>
        </w:rPr>
        <w:t>1</w:t>
      </w:r>
      <w:r w:rsidR="00662027">
        <w:rPr>
          <w:noProof/>
        </w:rPr>
        <w:t>1</w:t>
      </w:r>
      <w:r w:rsidR="00D83A83">
        <w:t>.</w:t>
      </w:r>
      <w:r w:rsidR="00D83A83">
        <w:rPr>
          <w:noProof/>
        </w:rPr>
        <w:t>6</w:t>
      </w:r>
      <w:r>
        <w:fldChar w:fldCharType="end"/>
      </w:r>
      <w:r>
        <w:t xml:space="preserve"> sets out the caps and collars derived from our preferred approach as discussed above. We consider our approach is conceptually sound and our calculated caps and collars provide a materially stronger incentive for TransGrid to improve and maintain its service performance. </w:t>
      </w:r>
    </w:p>
    <w:p w:rsidR="006B2B8E" w:rsidRPr="00374883" w:rsidRDefault="006B2B8E" w:rsidP="006B2B8E">
      <w:pPr>
        <w:pStyle w:val="Caption"/>
      </w:pPr>
      <w:bookmarkStart w:id="36" w:name="_Ref399327667"/>
      <w:proofErr w:type="gramStart"/>
      <w:r>
        <w:t xml:space="preserve">Table </w:t>
      </w:r>
      <w:proofErr w:type="gramEnd"/>
      <w:r w:rsidRPr="006B2B8E">
        <w:fldChar w:fldCharType="begin"/>
      </w:r>
      <w:r>
        <w:instrText xml:space="preserve"> STYLEREF 1 \s </w:instrText>
      </w:r>
      <w:r w:rsidRPr="006B2B8E">
        <w:fldChar w:fldCharType="separate"/>
      </w:r>
      <w:r w:rsidR="00D83A83">
        <w:rPr>
          <w:noProof/>
        </w:rPr>
        <w:t>1</w:t>
      </w:r>
      <w:r w:rsidRPr="006B2B8E">
        <w:fldChar w:fldCharType="end"/>
      </w:r>
      <w:proofErr w:type="gramStart"/>
      <w:r w:rsidR="00662027">
        <w:t>1</w:t>
      </w:r>
      <w:r>
        <w:t>.</w:t>
      </w:r>
      <w:proofErr w:type="gramEnd"/>
      <w:r w:rsidR="00D83A83">
        <w:fldChar w:fldCharType="begin"/>
      </w:r>
      <w:r w:rsidR="00D83A83">
        <w:instrText xml:space="preserve"> SEQ Table \* ARABIC \s 1 </w:instrText>
      </w:r>
      <w:r w:rsidR="00D83A83">
        <w:fldChar w:fldCharType="separate"/>
      </w:r>
      <w:r w:rsidR="00D83A83">
        <w:rPr>
          <w:noProof/>
        </w:rPr>
        <w:t>6</w:t>
      </w:r>
      <w:r w:rsidR="00D83A83">
        <w:rPr>
          <w:noProof/>
        </w:rPr>
        <w:fldChar w:fldCharType="end"/>
      </w:r>
      <w:bookmarkEnd w:id="36"/>
      <w:r w:rsidRPr="00374883">
        <w:tab/>
      </w:r>
      <w:r>
        <w:t>C</w:t>
      </w:r>
      <w:r w:rsidRPr="00374883">
        <w:t>aps and collars</w:t>
      </w:r>
      <w:r>
        <w:t xml:space="preserve"> derived from our preferred method</w:t>
      </w:r>
    </w:p>
    <w:tbl>
      <w:tblPr>
        <w:tblStyle w:val="AERtable-numbers"/>
        <w:tblW w:w="0" w:type="auto"/>
        <w:tblLook w:val="04A0" w:firstRow="1" w:lastRow="0" w:firstColumn="1" w:lastColumn="0" w:noHBand="0" w:noVBand="1"/>
      </w:tblPr>
      <w:tblGrid>
        <w:gridCol w:w="2660"/>
        <w:gridCol w:w="1559"/>
        <w:gridCol w:w="2410"/>
        <w:gridCol w:w="2613"/>
      </w:tblGrid>
      <w:tr w:rsidR="006B2B8E" w:rsidRPr="00682A64" w:rsidTr="004B00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Parameter</w:t>
            </w:r>
          </w:p>
        </w:tc>
        <w:tc>
          <w:tcPr>
            <w:tcW w:w="1559" w:type="dxa"/>
          </w:tcPr>
          <w:p w:rsidR="006B2B8E" w:rsidRPr="006B2B8E" w:rsidRDefault="006B2B8E" w:rsidP="006B2B8E">
            <w:pPr>
              <w:pStyle w:val="AERtabletextleft"/>
              <w:cnfStyle w:val="100000000000" w:firstRow="1" w:lastRow="0" w:firstColumn="0" w:lastColumn="0" w:oddVBand="0" w:evenVBand="0" w:oddHBand="0" w:evenHBand="0" w:firstRowFirstColumn="0" w:firstRowLastColumn="0" w:lastRowFirstColumn="0" w:lastRowLastColumn="0"/>
            </w:pPr>
            <w:r w:rsidRPr="007432E6">
              <w:t>Distribution</w:t>
            </w:r>
          </w:p>
        </w:tc>
        <w:tc>
          <w:tcPr>
            <w:tcW w:w="2410"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7432E6">
              <w:t>Cap (5th percentile)</w:t>
            </w:r>
          </w:p>
        </w:tc>
        <w:tc>
          <w:tcPr>
            <w:tcW w:w="2613" w:type="dxa"/>
          </w:tcPr>
          <w:p w:rsidR="006B2B8E" w:rsidRPr="006B2B8E" w:rsidRDefault="006B2B8E" w:rsidP="006B2B8E">
            <w:pPr>
              <w:pStyle w:val="AERtabletextright"/>
              <w:cnfStyle w:val="100000000000" w:firstRow="1" w:lastRow="0" w:firstColumn="0" w:lastColumn="0" w:oddVBand="0" w:evenVBand="0" w:oddHBand="0" w:evenHBand="0" w:firstRowFirstColumn="0" w:firstRowLastColumn="0" w:lastRowFirstColumn="0" w:lastRowLastColumn="0"/>
            </w:pPr>
            <w:r w:rsidRPr="007432E6">
              <w:t xml:space="preserve">Collar (95th </w:t>
            </w:r>
            <w:r w:rsidRPr="006B2B8E">
              <w:t>percentile)</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rPr>
                <w:rStyle w:val="AERtextbold"/>
              </w:rPr>
            </w:pPr>
            <w:r w:rsidRPr="007432E6">
              <w:rPr>
                <w:rStyle w:val="AERtextbold"/>
              </w:rPr>
              <w:t>Average circuit outage rate</w:t>
            </w:r>
          </w:p>
        </w:tc>
        <w:tc>
          <w:tcPr>
            <w:tcW w:w="1559" w:type="dxa"/>
          </w:tcPr>
          <w:p w:rsidR="006B2B8E" w:rsidRPr="007432E6"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p>
        </w:tc>
        <w:tc>
          <w:tcPr>
            <w:tcW w:w="2410"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2613"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Line outage – fault</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proofErr w:type="spellStart"/>
            <w:r w:rsidRPr="007432E6">
              <w:t>Weibull</w:t>
            </w:r>
            <w:proofErr w:type="spellEnd"/>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12.38%</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22.26%</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Transformer – fault</w:t>
            </w:r>
          </w:p>
        </w:tc>
        <w:tc>
          <w:tcPr>
            <w:tcW w:w="1559" w:type="dxa"/>
          </w:tcPr>
          <w:p w:rsidR="006B2B8E" w:rsidRPr="006B2B8E"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proofErr w:type="spellStart"/>
            <w:r w:rsidRPr="007432E6">
              <w:t>Weibull</w:t>
            </w:r>
            <w:proofErr w:type="spellEnd"/>
            <w:r w:rsidRPr="006B2B8E">
              <w:rPr>
                <w:rStyle w:val="FootnoteReference"/>
              </w:rPr>
              <w:footnoteReference w:id="44"/>
            </w:r>
          </w:p>
        </w:tc>
        <w:tc>
          <w:tcPr>
            <w:tcW w:w="241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10.26%</w:t>
            </w:r>
          </w:p>
        </w:tc>
        <w:tc>
          <w:tcPr>
            <w:tcW w:w="2613"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19.01%</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Reactive plant – fault</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r w:rsidRPr="007432E6">
              <w:t>Gamma</w:t>
            </w:r>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9.54%</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22.73%</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Line outage – forced</w:t>
            </w:r>
          </w:p>
        </w:tc>
        <w:tc>
          <w:tcPr>
            <w:tcW w:w="1559" w:type="dxa"/>
          </w:tcPr>
          <w:p w:rsidR="006B2B8E" w:rsidRPr="006B2B8E"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r>
              <w:t>Uniform</w:t>
            </w:r>
          </w:p>
        </w:tc>
        <w:tc>
          <w:tcPr>
            <w:tcW w:w="241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t>1.34</w:t>
            </w:r>
            <w:r w:rsidRPr="006B2B8E">
              <w:t>%</w:t>
            </w:r>
          </w:p>
        </w:tc>
        <w:tc>
          <w:tcPr>
            <w:tcW w:w="2613"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25.</w:t>
            </w:r>
            <w:r w:rsidRPr="006B2B8E">
              <w:t>49%</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Transformer outage – forced</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proofErr w:type="spellStart"/>
            <w:r w:rsidRPr="007432E6">
              <w:t>Weibull</w:t>
            </w:r>
            <w:proofErr w:type="spellEnd"/>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15.56%</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24.15%</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Reactive plant – forced</w:t>
            </w:r>
          </w:p>
        </w:tc>
        <w:tc>
          <w:tcPr>
            <w:tcW w:w="1559" w:type="dxa"/>
          </w:tcPr>
          <w:p w:rsidR="006B2B8E" w:rsidRPr="006B2B8E"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r w:rsidRPr="007432E6">
              <w:t>Triangular</w:t>
            </w:r>
          </w:p>
        </w:tc>
        <w:tc>
          <w:tcPr>
            <w:tcW w:w="241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6.55%</w:t>
            </w:r>
          </w:p>
        </w:tc>
        <w:tc>
          <w:tcPr>
            <w:tcW w:w="2613"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28.55%</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rPr>
                <w:rStyle w:val="AERtextbold"/>
              </w:rPr>
            </w:pPr>
            <w:r w:rsidRPr="007432E6">
              <w:rPr>
                <w:rStyle w:val="AERtextbold"/>
              </w:rPr>
              <w:t>Loss of supply events</w:t>
            </w:r>
          </w:p>
        </w:tc>
        <w:tc>
          <w:tcPr>
            <w:tcW w:w="1559" w:type="dxa"/>
          </w:tcPr>
          <w:p w:rsidR="006B2B8E" w:rsidRPr="007432E6"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p>
        </w:tc>
        <w:tc>
          <w:tcPr>
            <w:tcW w:w="2410" w:type="dxa"/>
          </w:tcPr>
          <w:p w:rsidR="006B2B8E" w:rsidRPr="007432E6"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p>
        </w:tc>
        <w:tc>
          <w:tcPr>
            <w:tcW w:w="2613" w:type="dxa"/>
          </w:tcPr>
          <w:p w:rsidR="006B2B8E" w:rsidRPr="007432E6"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&gt; 0.05 system minutes</w:t>
            </w:r>
          </w:p>
        </w:tc>
        <w:tc>
          <w:tcPr>
            <w:tcW w:w="1559" w:type="dxa"/>
          </w:tcPr>
          <w:p w:rsidR="006B2B8E" w:rsidRPr="006B2B8E"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proofErr w:type="spellStart"/>
            <w:r w:rsidRPr="007432E6">
              <w:t>IntUniform</w:t>
            </w:r>
            <w:proofErr w:type="spellEnd"/>
            <w:r w:rsidRPr="006B2B8E">
              <w:rPr>
                <w:rStyle w:val="FootnoteReference"/>
              </w:rPr>
              <w:footnoteReference w:id="45"/>
            </w:r>
          </w:p>
        </w:tc>
        <w:tc>
          <w:tcPr>
            <w:tcW w:w="2410"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2</w:t>
            </w:r>
          </w:p>
        </w:tc>
        <w:tc>
          <w:tcPr>
            <w:tcW w:w="2613" w:type="dxa"/>
          </w:tcPr>
          <w:p w:rsidR="006B2B8E" w:rsidRPr="006B2B8E"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r w:rsidRPr="007432E6">
              <w:t>4</w:t>
            </w: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&gt;0.25 system minutes</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r w:rsidRPr="007432E6">
              <w:t>Poisson</w:t>
            </w:r>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0</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w:t>
            </w:r>
          </w:p>
        </w:tc>
      </w:tr>
      <w:tr w:rsidR="006B2B8E" w:rsidRPr="00682A64" w:rsidTr="004B00F6">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rPr>
                <w:rStyle w:val="AERtextbold"/>
              </w:rPr>
            </w:pPr>
            <w:r w:rsidRPr="007432E6">
              <w:rPr>
                <w:rStyle w:val="AERtextbold"/>
              </w:rPr>
              <w:t>Average outage duration</w:t>
            </w:r>
          </w:p>
        </w:tc>
        <w:tc>
          <w:tcPr>
            <w:tcW w:w="1559" w:type="dxa"/>
          </w:tcPr>
          <w:p w:rsidR="006B2B8E" w:rsidRPr="007432E6" w:rsidRDefault="006B2B8E" w:rsidP="006B2B8E">
            <w:pPr>
              <w:pStyle w:val="AERtabletextleft"/>
              <w:cnfStyle w:val="000000000000" w:firstRow="0" w:lastRow="0" w:firstColumn="0" w:lastColumn="0" w:oddVBand="0" w:evenVBand="0" w:oddHBand="0" w:evenHBand="0" w:firstRowFirstColumn="0" w:firstRowLastColumn="0" w:lastRowFirstColumn="0" w:lastRowLastColumn="0"/>
            </w:pPr>
          </w:p>
        </w:tc>
        <w:tc>
          <w:tcPr>
            <w:tcW w:w="2410"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c>
          <w:tcPr>
            <w:tcW w:w="2613" w:type="dxa"/>
          </w:tcPr>
          <w:p w:rsidR="006B2B8E" w:rsidRPr="007432E6" w:rsidRDefault="006B2B8E" w:rsidP="006B2B8E">
            <w:pPr>
              <w:pStyle w:val="AERtabletextright"/>
              <w:cnfStyle w:val="000000000000" w:firstRow="0" w:lastRow="0" w:firstColumn="0" w:lastColumn="0" w:oddVBand="0" w:evenVBand="0" w:oddHBand="0" w:evenHBand="0" w:firstRowFirstColumn="0" w:firstRowLastColumn="0" w:lastRowFirstColumn="0" w:lastRowLastColumn="0"/>
            </w:pPr>
          </w:p>
        </w:tc>
      </w:tr>
      <w:tr w:rsidR="006B2B8E" w:rsidRPr="00682A64" w:rsidTr="004B00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B2B8E" w:rsidRPr="006B2B8E" w:rsidRDefault="006B2B8E" w:rsidP="006B2B8E">
            <w:pPr>
              <w:pStyle w:val="AERtabletextleft"/>
            </w:pPr>
            <w:r w:rsidRPr="007432E6">
              <w:t>Average outage duration</w:t>
            </w:r>
          </w:p>
        </w:tc>
        <w:tc>
          <w:tcPr>
            <w:tcW w:w="1559" w:type="dxa"/>
          </w:tcPr>
          <w:p w:rsidR="006B2B8E" w:rsidRPr="006B2B8E" w:rsidRDefault="006B2B8E" w:rsidP="006B2B8E">
            <w:pPr>
              <w:pStyle w:val="AERtabletextleft"/>
              <w:cnfStyle w:val="000000010000" w:firstRow="0" w:lastRow="0" w:firstColumn="0" w:lastColumn="0" w:oddVBand="0" w:evenVBand="0" w:oddHBand="0" w:evenHBand="1" w:firstRowFirstColumn="0" w:firstRowLastColumn="0" w:lastRowFirstColumn="0" w:lastRowLastColumn="0"/>
            </w:pPr>
            <w:proofErr w:type="spellStart"/>
            <w:r w:rsidRPr="007432E6">
              <w:t>LogLogistic</w:t>
            </w:r>
            <w:proofErr w:type="spellEnd"/>
          </w:p>
        </w:tc>
        <w:tc>
          <w:tcPr>
            <w:tcW w:w="2410"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67.97</w:t>
            </w:r>
          </w:p>
        </w:tc>
        <w:tc>
          <w:tcPr>
            <w:tcW w:w="2613" w:type="dxa"/>
          </w:tcPr>
          <w:p w:rsidR="006B2B8E" w:rsidRPr="006B2B8E" w:rsidRDefault="006B2B8E" w:rsidP="006B2B8E">
            <w:pPr>
              <w:pStyle w:val="AERtabletextright"/>
              <w:cnfStyle w:val="000000010000" w:firstRow="0" w:lastRow="0" w:firstColumn="0" w:lastColumn="0" w:oddVBand="0" w:evenVBand="0" w:oddHBand="0" w:evenHBand="1" w:firstRowFirstColumn="0" w:firstRowLastColumn="0" w:lastRowFirstColumn="0" w:lastRowLastColumn="0"/>
            </w:pPr>
            <w:r w:rsidRPr="007432E6">
              <w:t>266.53</w:t>
            </w:r>
          </w:p>
        </w:tc>
      </w:tr>
    </w:tbl>
    <w:p w:rsidR="006B2B8E" w:rsidRPr="00374883" w:rsidRDefault="006B2B8E" w:rsidP="006B2B8E">
      <w:pPr>
        <w:pStyle w:val="AERtablesource"/>
      </w:pPr>
      <w:r w:rsidRPr="00374883">
        <w:t xml:space="preserve">Source: </w:t>
      </w:r>
      <w:r w:rsidRPr="00374883">
        <w:tab/>
      </w:r>
      <w:r>
        <w:t>AER analysis</w:t>
      </w:r>
    </w:p>
    <w:p w:rsidR="006B2B8E" w:rsidRDefault="006B2B8E" w:rsidP="00662027">
      <w:pPr>
        <w:pStyle w:val="Heading3"/>
      </w:pPr>
      <w:bookmarkStart w:id="37" w:name="_Toc404159221"/>
      <w:r>
        <w:lastRenderedPageBreak/>
        <w:t>Market impact component</w:t>
      </w:r>
      <w:bookmarkEnd w:id="37"/>
    </w:p>
    <w:p w:rsidR="006B2B8E" w:rsidRPr="00AE21FB" w:rsidRDefault="006B2B8E" w:rsidP="006B2B8E">
      <w:pPr>
        <w:pStyle w:val="AERbodytext"/>
      </w:pPr>
      <w:r>
        <w:t>Our audit of TransGrid's 2011, 2012 and 2013 market impact performance data resulted in a number of adjustments. These adjustments are shown in</w:t>
      </w:r>
      <w:r w:rsidR="00662027">
        <w:t xml:space="preserve"> table 11.7</w:t>
      </w:r>
      <w:r w:rsidRPr="00AE21FB">
        <w:t>.</w:t>
      </w:r>
    </w:p>
    <w:p w:rsidR="006B2B8E" w:rsidRDefault="006B2B8E" w:rsidP="006B2B8E">
      <w:pPr>
        <w:pStyle w:val="Caption"/>
      </w:pPr>
      <w:proofErr w:type="gramStart"/>
      <w:r>
        <w:t xml:space="preserve">Table </w:t>
      </w:r>
      <w:proofErr w:type="gramEnd"/>
      <w:r w:rsidRPr="006B2B8E">
        <w:fldChar w:fldCharType="begin"/>
      </w:r>
      <w:r>
        <w:instrText xml:space="preserve"> STYLEREF 1 \s </w:instrText>
      </w:r>
      <w:r w:rsidRPr="006B2B8E">
        <w:fldChar w:fldCharType="separate"/>
      </w:r>
      <w:r w:rsidR="00D83A83">
        <w:rPr>
          <w:noProof/>
        </w:rPr>
        <w:t>1</w:t>
      </w:r>
      <w:r w:rsidRPr="006B2B8E">
        <w:fldChar w:fldCharType="end"/>
      </w:r>
      <w:proofErr w:type="gramStart"/>
      <w:r w:rsidR="00662027">
        <w:t>1</w:t>
      </w:r>
      <w:r>
        <w:t>.</w:t>
      </w:r>
      <w:proofErr w:type="gramEnd"/>
      <w:r w:rsidRPr="006B2B8E">
        <w:fldChar w:fldCharType="begin"/>
      </w:r>
      <w:r>
        <w:instrText xml:space="preserve"> SEQ Table \* ARABIC \s 1 </w:instrText>
      </w:r>
      <w:r w:rsidRPr="006B2B8E">
        <w:fldChar w:fldCharType="separate"/>
      </w:r>
      <w:r w:rsidR="00D83A83">
        <w:rPr>
          <w:noProof/>
        </w:rPr>
        <w:t>7</w:t>
      </w:r>
      <w:r w:rsidRPr="006B2B8E">
        <w:fldChar w:fldCharType="end"/>
      </w:r>
      <w:r>
        <w:tab/>
        <w:t>AER adjustments to TransGrid’s market impact component performance data</w:t>
      </w:r>
    </w:p>
    <w:tbl>
      <w:tblPr>
        <w:tblStyle w:val="AERtable-text"/>
        <w:tblW w:w="5000" w:type="pct"/>
        <w:tblLook w:val="04A0" w:firstRow="1" w:lastRow="0" w:firstColumn="1" w:lastColumn="0" w:noHBand="0" w:noVBand="1"/>
      </w:tblPr>
      <w:tblGrid>
        <w:gridCol w:w="2053"/>
        <w:gridCol w:w="1623"/>
        <w:gridCol w:w="5566"/>
      </w:tblGrid>
      <w:tr w:rsidR="006B2B8E" w:rsidTr="004B00F6">
        <w:trPr>
          <w:cnfStyle w:val="100000000000" w:firstRow="1" w:lastRow="0" w:firstColumn="0" w:lastColumn="0" w:oddVBand="0" w:evenVBand="0" w:oddHBand="0" w:evenHBand="0" w:firstRowFirstColumn="0" w:firstRowLastColumn="0" w:lastRowFirstColumn="0" w:lastRowLastColumn="0"/>
          <w:trHeight w:val="409"/>
        </w:trPr>
        <w:tc>
          <w:tcPr>
            <w:tcW w:w="1111" w:type="pct"/>
            <w:vAlign w:val="top"/>
          </w:tcPr>
          <w:p w:rsidR="006B2B8E" w:rsidRPr="006B2B8E" w:rsidRDefault="006B2B8E" w:rsidP="006B2B8E">
            <w:r w:rsidRPr="00F4435C">
              <w:rPr>
                <w:rStyle w:val="AERtextbold"/>
              </w:rPr>
              <w:t xml:space="preserve"> </w:t>
            </w:r>
            <w:r w:rsidRPr="006B2B8E">
              <w:t>Constraint</w:t>
            </w:r>
          </w:p>
        </w:tc>
        <w:tc>
          <w:tcPr>
            <w:tcW w:w="878" w:type="pct"/>
            <w:vAlign w:val="top"/>
          </w:tcPr>
          <w:p w:rsidR="006B2B8E" w:rsidRPr="006B2B8E" w:rsidRDefault="006B2B8E" w:rsidP="006B2B8E">
            <w:r w:rsidRPr="006E2FB3">
              <w:t>AER adjustment</w:t>
            </w:r>
          </w:p>
        </w:tc>
        <w:tc>
          <w:tcPr>
            <w:tcW w:w="3011" w:type="pct"/>
            <w:vAlign w:val="top"/>
          </w:tcPr>
          <w:p w:rsidR="006B2B8E" w:rsidRPr="006B2B8E" w:rsidRDefault="006B2B8E" w:rsidP="006B2B8E">
            <w:r w:rsidRPr="006E2FB3">
              <w:t>AER reason for adjustment</w:t>
            </w:r>
          </w:p>
        </w:tc>
      </w:tr>
      <w:tr w:rsidR="006B2B8E" w:rsidTr="004B00F6">
        <w:trPr>
          <w:trHeight w:val="241"/>
        </w:trPr>
        <w:tc>
          <w:tcPr>
            <w:tcW w:w="1111" w:type="pct"/>
            <w:vAlign w:val="top"/>
          </w:tcPr>
          <w:p w:rsidR="006B2B8E" w:rsidRPr="006B2B8E" w:rsidRDefault="006B2B8E" w:rsidP="006B2B8E">
            <w:r w:rsidRPr="006E2FB3">
              <w:t>#N</w:t>
            </w:r>
            <w:r w:rsidRPr="006B2B8E">
              <w:t>-Q-MNSP1_I_E (2011)</w:t>
            </w:r>
          </w:p>
        </w:tc>
        <w:tc>
          <w:tcPr>
            <w:tcW w:w="878" w:type="pct"/>
            <w:vAlign w:val="top"/>
          </w:tcPr>
          <w:p w:rsidR="006B2B8E" w:rsidRPr="006B2B8E" w:rsidRDefault="006B2B8E" w:rsidP="006B2B8E">
            <w:pPr>
              <w:pStyle w:val="AERtabletextleft"/>
            </w:pPr>
            <w:r w:rsidRPr="006E2FB3">
              <w:t>-4.5</w:t>
            </w:r>
          </w:p>
        </w:tc>
        <w:tc>
          <w:tcPr>
            <w:tcW w:w="3011" w:type="pct"/>
            <w:vAlign w:val="top"/>
          </w:tcPr>
          <w:p w:rsidR="006B2B8E" w:rsidRPr="006B2B8E" w:rsidRDefault="006B2B8E" w:rsidP="006B2B8E">
            <w:r w:rsidRPr="004D2C0B">
              <w:t>Reduced weight from 1 to 0.5, the outage is shared between TransGrid and Directlink.</w:t>
            </w:r>
          </w:p>
        </w:tc>
      </w:tr>
      <w:tr w:rsidR="006B2B8E" w:rsidTr="004B00F6">
        <w:trPr>
          <w:cnfStyle w:val="000000010000" w:firstRow="0" w:lastRow="0" w:firstColumn="0" w:lastColumn="0" w:oddVBand="0" w:evenVBand="0" w:oddHBand="0" w:evenHBand="1" w:firstRowFirstColumn="0" w:firstRowLastColumn="0" w:lastRowFirstColumn="0" w:lastRowLastColumn="0"/>
        </w:trPr>
        <w:tc>
          <w:tcPr>
            <w:tcW w:w="1111" w:type="pct"/>
            <w:vAlign w:val="top"/>
          </w:tcPr>
          <w:p w:rsidR="006B2B8E" w:rsidRPr="006B2B8E" w:rsidRDefault="006B2B8E" w:rsidP="006B2B8E">
            <w:r>
              <w:t>VN::DDMS</w:t>
            </w:r>
            <w:r w:rsidRPr="006B2B8E">
              <w:t xml:space="preserve"> (2011)</w:t>
            </w:r>
          </w:p>
        </w:tc>
        <w:tc>
          <w:tcPr>
            <w:tcW w:w="878" w:type="pct"/>
            <w:vAlign w:val="top"/>
          </w:tcPr>
          <w:p w:rsidR="006B2B8E" w:rsidRPr="006B2B8E" w:rsidRDefault="006B2B8E" w:rsidP="006B2B8E">
            <w:pPr>
              <w:pStyle w:val="AERtabletextleft"/>
            </w:pPr>
            <w:r w:rsidRPr="006E2FB3">
              <w:t>+2.5</w:t>
            </w:r>
          </w:p>
        </w:tc>
        <w:tc>
          <w:tcPr>
            <w:tcW w:w="3011" w:type="pct"/>
            <w:vAlign w:val="top"/>
          </w:tcPr>
          <w:p w:rsidR="006B2B8E" w:rsidRPr="006B2B8E" w:rsidRDefault="006B2B8E" w:rsidP="006B2B8E">
            <w:r w:rsidRPr="004D2C0B">
              <w:t>Increase weight from 0 to 0.5, the outage is shared between TransGrid and AusNet services.</w:t>
            </w:r>
          </w:p>
        </w:tc>
      </w:tr>
      <w:tr w:rsidR="006B2B8E" w:rsidTr="004B00F6">
        <w:trPr>
          <w:trHeight w:val="347"/>
        </w:trPr>
        <w:tc>
          <w:tcPr>
            <w:tcW w:w="1111" w:type="pct"/>
            <w:vAlign w:val="top"/>
          </w:tcPr>
          <w:p w:rsidR="006B2B8E" w:rsidRPr="006B2B8E" w:rsidRDefault="006B2B8E" w:rsidP="006B2B8E">
            <w:r>
              <w:t>V&gt;SML_BUDP_1</w:t>
            </w:r>
            <w:r w:rsidRPr="006B2B8E">
              <w:t xml:space="preserve"> (2012)</w:t>
            </w:r>
          </w:p>
        </w:tc>
        <w:tc>
          <w:tcPr>
            <w:tcW w:w="878" w:type="pct"/>
            <w:vAlign w:val="top"/>
          </w:tcPr>
          <w:p w:rsidR="006B2B8E" w:rsidRPr="006B2B8E" w:rsidRDefault="006B2B8E" w:rsidP="006B2B8E">
            <w:pPr>
              <w:pStyle w:val="AERtabletextleft"/>
            </w:pPr>
            <w:r w:rsidRPr="006E2FB3">
              <w:t>+10</w:t>
            </w:r>
          </w:p>
        </w:tc>
        <w:tc>
          <w:tcPr>
            <w:tcW w:w="3011" w:type="pct"/>
            <w:vAlign w:val="top"/>
          </w:tcPr>
          <w:p w:rsidR="006B2B8E" w:rsidRPr="006B2B8E" w:rsidRDefault="006B2B8E" w:rsidP="006B2B8E">
            <w:r w:rsidRPr="004D2C0B">
              <w:t xml:space="preserve">Constraint invoked to manage a </w:t>
            </w:r>
            <w:r w:rsidRPr="006B2B8E">
              <w:t>network outage.</w:t>
            </w:r>
          </w:p>
        </w:tc>
      </w:tr>
      <w:tr w:rsidR="006B2B8E" w:rsidTr="004B00F6">
        <w:trPr>
          <w:cnfStyle w:val="000000010000" w:firstRow="0" w:lastRow="0" w:firstColumn="0" w:lastColumn="0" w:oddVBand="0" w:evenVBand="0" w:oddHBand="0" w:evenHBand="1" w:firstRowFirstColumn="0" w:firstRowLastColumn="0" w:lastRowFirstColumn="0" w:lastRowLastColumn="0"/>
          <w:trHeight w:val="709"/>
        </w:trPr>
        <w:tc>
          <w:tcPr>
            <w:tcW w:w="1111" w:type="pct"/>
            <w:vAlign w:val="top"/>
          </w:tcPr>
          <w:p w:rsidR="006B2B8E" w:rsidRPr="006B2B8E" w:rsidRDefault="006B2B8E" w:rsidP="006B2B8E">
            <w:r>
              <w:t>V&gt;SML_BUDP_2 (2012)</w:t>
            </w:r>
          </w:p>
        </w:tc>
        <w:tc>
          <w:tcPr>
            <w:tcW w:w="878" w:type="pct"/>
            <w:vAlign w:val="top"/>
          </w:tcPr>
          <w:p w:rsidR="006B2B8E" w:rsidRPr="006B2B8E" w:rsidRDefault="006B2B8E" w:rsidP="006B2B8E">
            <w:pPr>
              <w:pStyle w:val="AERtabletextleft"/>
            </w:pPr>
            <w:r w:rsidRPr="006F0763">
              <w:t>+14</w:t>
            </w:r>
          </w:p>
        </w:tc>
        <w:tc>
          <w:tcPr>
            <w:tcW w:w="3011" w:type="pct"/>
            <w:vAlign w:val="top"/>
          </w:tcPr>
          <w:p w:rsidR="006B2B8E" w:rsidRPr="006B2B8E" w:rsidRDefault="006B2B8E" w:rsidP="006B2B8E">
            <w:r w:rsidRPr="006F0763">
              <w:t>Constraint invoked to manage a network outage.</w:t>
            </w:r>
          </w:p>
        </w:tc>
      </w:tr>
      <w:tr w:rsidR="006B2B8E" w:rsidTr="004B00F6">
        <w:trPr>
          <w:trHeight w:val="709"/>
        </w:trPr>
        <w:tc>
          <w:tcPr>
            <w:tcW w:w="1111" w:type="pct"/>
            <w:vAlign w:val="top"/>
          </w:tcPr>
          <w:p w:rsidR="006B2B8E" w:rsidRPr="006B2B8E" w:rsidRDefault="006B2B8E" w:rsidP="006B2B8E">
            <w:r>
              <w:t>V&gt;SML_BUDP_3 (2012)</w:t>
            </w:r>
          </w:p>
        </w:tc>
        <w:tc>
          <w:tcPr>
            <w:tcW w:w="878" w:type="pct"/>
            <w:vAlign w:val="top"/>
          </w:tcPr>
          <w:p w:rsidR="006B2B8E" w:rsidRPr="006B2B8E" w:rsidRDefault="006B2B8E" w:rsidP="006B2B8E">
            <w:pPr>
              <w:pStyle w:val="AERtabletextleft"/>
            </w:pPr>
            <w:r w:rsidRPr="006F0763">
              <w:t>+11</w:t>
            </w:r>
          </w:p>
        </w:tc>
        <w:tc>
          <w:tcPr>
            <w:tcW w:w="3011" w:type="pct"/>
            <w:vAlign w:val="top"/>
          </w:tcPr>
          <w:p w:rsidR="006B2B8E" w:rsidRPr="006B2B8E" w:rsidRDefault="006B2B8E" w:rsidP="006B2B8E">
            <w:r w:rsidRPr="006F0763">
              <w:t>Constraint invoked to manage a network outage.</w:t>
            </w:r>
          </w:p>
        </w:tc>
      </w:tr>
      <w:tr w:rsidR="006B2B8E" w:rsidTr="004B00F6">
        <w:trPr>
          <w:cnfStyle w:val="000000010000" w:firstRow="0" w:lastRow="0" w:firstColumn="0" w:lastColumn="0" w:oddVBand="0" w:evenVBand="0" w:oddHBand="0" w:evenHBand="1" w:firstRowFirstColumn="0" w:firstRowLastColumn="0" w:lastRowFirstColumn="0" w:lastRowLastColumn="0"/>
          <w:trHeight w:val="709"/>
        </w:trPr>
        <w:tc>
          <w:tcPr>
            <w:tcW w:w="1111" w:type="pct"/>
            <w:vAlign w:val="top"/>
          </w:tcPr>
          <w:p w:rsidR="006B2B8E" w:rsidRPr="006B2B8E" w:rsidRDefault="006B2B8E" w:rsidP="006B2B8E">
            <w:r>
              <w:t>V&gt;SML_BUDP_4 (2012)</w:t>
            </w:r>
          </w:p>
        </w:tc>
        <w:tc>
          <w:tcPr>
            <w:tcW w:w="878" w:type="pct"/>
            <w:vAlign w:val="top"/>
          </w:tcPr>
          <w:p w:rsidR="006B2B8E" w:rsidRPr="006B2B8E" w:rsidRDefault="006B2B8E" w:rsidP="006B2B8E">
            <w:pPr>
              <w:pStyle w:val="AERtabletextleft"/>
            </w:pPr>
            <w:r w:rsidRPr="006F0763">
              <w:t>+1</w:t>
            </w:r>
          </w:p>
        </w:tc>
        <w:tc>
          <w:tcPr>
            <w:tcW w:w="3011" w:type="pct"/>
            <w:vAlign w:val="top"/>
          </w:tcPr>
          <w:p w:rsidR="006B2B8E" w:rsidRPr="006B2B8E" w:rsidRDefault="006B2B8E" w:rsidP="006B2B8E">
            <w:r w:rsidRPr="006F0763">
              <w:t>Constraint invoked to manage a network outage.</w:t>
            </w:r>
          </w:p>
        </w:tc>
      </w:tr>
    </w:tbl>
    <w:p w:rsidR="006B2B8E" w:rsidRDefault="006B2B8E" w:rsidP="006B2B8E">
      <w:pPr>
        <w:pStyle w:val="AERtablesource"/>
      </w:pPr>
      <w:r>
        <w:t>Source: TransGrid email to AER dated</w:t>
      </w:r>
      <w:r>
        <w:rPr>
          <w:rStyle w:val="AERtextitalic"/>
        </w:rPr>
        <w:t xml:space="preserve"> 9 October 2014</w:t>
      </w:r>
    </w:p>
    <w:p w:rsidR="006B2B8E" w:rsidRDefault="006B2B8E" w:rsidP="004B00F6">
      <w:pPr>
        <w:pStyle w:val="AERbodytext"/>
      </w:pPr>
      <w:r w:rsidRPr="00AE21FB">
        <w:t xml:space="preserve">Given the above adjustments, we revised </w:t>
      </w:r>
      <w:proofErr w:type="spellStart"/>
      <w:r w:rsidRPr="00AE21FB">
        <w:t>TranGrid’s</w:t>
      </w:r>
      <w:proofErr w:type="spellEnd"/>
      <w:r w:rsidRPr="00AE21FB">
        <w:t xml:space="preserve"> 2011 </w:t>
      </w:r>
      <w:r w:rsidRPr="004B00F6">
        <w:t xml:space="preserve">performance </w:t>
      </w:r>
      <w:r w:rsidRPr="004B00F6">
        <w:rPr>
          <w:rStyle w:val="AERtexthighlight"/>
          <w:shd w:val="clear" w:color="auto" w:fill="auto"/>
        </w:rPr>
        <w:t xml:space="preserve">from </w:t>
      </w:r>
      <w:r w:rsidRPr="004B00F6">
        <w:t>872</w:t>
      </w:r>
      <w:r w:rsidRPr="004B00F6">
        <w:rPr>
          <w:rStyle w:val="AERtexthighlight"/>
          <w:shd w:val="clear" w:color="auto" w:fill="auto"/>
        </w:rPr>
        <w:t xml:space="preserve"> to 870 dispatch intervals, its 2012 performance from 737 to 773 dispatch intervals and its 2013 performance remained at 593 dispatch intervals</w:t>
      </w:r>
      <w:r w:rsidRPr="004B00F6">
        <w:t>. In arriving at this revision, we continuously engaged</w:t>
      </w:r>
      <w:r w:rsidRPr="00AE21FB">
        <w:t xml:space="preserve"> with </w:t>
      </w:r>
      <w:r>
        <w:t>TransGrid</w:t>
      </w:r>
      <w:r w:rsidRPr="00AE21FB">
        <w:t>.</w:t>
      </w:r>
      <w:r w:rsidRPr="00AE21FB">
        <w:rPr>
          <w:rStyle w:val="FootnoteReference"/>
        </w:rPr>
        <w:footnoteReference w:id="46"/>
      </w:r>
      <w:r>
        <w:t xml:space="preserve"> Consequently, TransGrid's market impact performance target for 2014 is 745 dispatch intervals. </w:t>
      </w:r>
      <w:r w:rsidRPr="00AE21FB">
        <w:t xml:space="preserve"> </w:t>
      </w:r>
    </w:p>
    <w:p w:rsidR="006B2B8E" w:rsidRDefault="006B2B8E" w:rsidP="00662027">
      <w:pPr>
        <w:pStyle w:val="Heading3"/>
      </w:pPr>
      <w:bookmarkStart w:id="38" w:name="_Toc404159222"/>
      <w:r>
        <w:t>Network capability component</w:t>
      </w:r>
      <w:bookmarkEnd w:id="38"/>
    </w:p>
    <w:p w:rsidR="006B2B8E" w:rsidRDefault="006B2B8E" w:rsidP="006B2B8E">
      <w:pPr>
        <w:pStyle w:val="AERbodytext"/>
      </w:pPr>
      <w:r>
        <w:t xml:space="preserve">We consider that TransGrid in consultation with </w:t>
      </w:r>
      <w:proofErr w:type="gramStart"/>
      <w:r>
        <w:t>AEMO,</w:t>
      </w:r>
      <w:proofErr w:type="gramEnd"/>
      <w:r>
        <w:t xml:space="preserve"> undertook a robust process to identify network constraints. Based on AEMO's assessment and our review of TransGrid's</w:t>
      </w:r>
      <w:r w:rsidRPr="00963C0E">
        <w:t xml:space="preserve"> proposal, we accept that </w:t>
      </w:r>
      <w:r>
        <w:t>TransGrid's</w:t>
      </w:r>
      <w:r w:rsidRPr="00963C0E">
        <w:t xml:space="preserve"> proposed priority projects and prior</w:t>
      </w:r>
      <w:r>
        <w:t>ity project improvement targets, as submitted on 30 May 2014</w:t>
      </w:r>
      <w:r w:rsidRPr="00C23A9A">
        <w:t xml:space="preserve">. </w:t>
      </w:r>
      <w:r>
        <w:t xml:space="preserve">They </w:t>
      </w:r>
      <w:r w:rsidRPr="00963C0E">
        <w:t xml:space="preserve">are consistent with the </w:t>
      </w:r>
      <w:r>
        <w:t xml:space="preserve">STPIS and will </w:t>
      </w:r>
      <w:r w:rsidRPr="00963C0E">
        <w:t>lead to a material benefit.</w:t>
      </w:r>
      <w:r w:rsidRPr="00963C0E">
        <w:rPr>
          <w:rStyle w:val="FootnoteReference"/>
        </w:rPr>
        <w:footnoteReference w:id="47"/>
      </w:r>
      <w:r>
        <w:t xml:space="preserve"> We note the average total expenditure of the priority projects in each regulatory year is not greater than 1 per cent of TransGrid's proposed average maximum allowed revenue as required by clause 5.2(b) of the STPIS. The priority project rankings and targets are set out in </w:t>
      </w:r>
      <w:r>
        <w:fldChar w:fldCharType="begin"/>
      </w:r>
      <w:r>
        <w:instrText xml:space="preserve"> REF _Ref363217118 \h </w:instrText>
      </w:r>
      <w:r>
        <w:fldChar w:fldCharType="separate"/>
      </w:r>
      <w:r w:rsidR="00D83A83">
        <w:t xml:space="preserve">Table </w:t>
      </w:r>
      <w:r w:rsidR="00D83A83">
        <w:rPr>
          <w:noProof/>
        </w:rPr>
        <w:t>1</w:t>
      </w:r>
      <w:r w:rsidR="00662027">
        <w:rPr>
          <w:noProof/>
        </w:rPr>
        <w:t>1</w:t>
      </w:r>
      <w:r w:rsidR="00D83A83">
        <w:t>.</w:t>
      </w:r>
      <w:r w:rsidR="00D83A83">
        <w:rPr>
          <w:noProof/>
        </w:rPr>
        <w:t>2</w:t>
      </w:r>
      <w:r>
        <w:fldChar w:fldCharType="end"/>
      </w:r>
      <w:r>
        <w:t xml:space="preserve">. </w:t>
      </w:r>
    </w:p>
    <w:p w:rsidR="006B2B8E" w:rsidRPr="00362087" w:rsidRDefault="006B2B8E" w:rsidP="006B2B8E">
      <w:r w:rsidRPr="00362087">
        <w:t>The cost of the proposed NCC projects must not be included in the total forecast capital expenditure proposed by the TNSP in its revenue proposal to meet the capital expenditure objectives under clause 6A.6.7 of the NER.</w:t>
      </w:r>
      <w:r w:rsidRPr="00362087">
        <w:rPr>
          <w:rStyle w:val="FootnoteReference"/>
        </w:rPr>
        <w:footnoteReference w:id="48"/>
      </w:r>
      <w:r w:rsidRPr="00362087">
        <w:t xml:space="preserve"> We note TransGrid has proposed some projects under both the NCIPAP and the contingent capital expenditure, these include:</w:t>
      </w:r>
      <w:r w:rsidRPr="00362087">
        <w:rPr>
          <w:rStyle w:val="FootnoteReference"/>
        </w:rPr>
        <w:footnoteReference w:id="49"/>
      </w:r>
    </w:p>
    <w:p w:rsidR="006B2B8E" w:rsidRPr="001B1C3C" w:rsidRDefault="006B2B8E" w:rsidP="006B2B8E">
      <w:pPr>
        <w:pStyle w:val="AERbulletlistfirststyle"/>
      </w:pPr>
      <w:r w:rsidRPr="001B1C3C">
        <w:lastRenderedPageBreak/>
        <w:t>line 01 Upper Tumut to Canberra to be upgraded to 100°C</w:t>
      </w:r>
    </w:p>
    <w:p w:rsidR="006B2B8E" w:rsidRPr="001B1C3C" w:rsidRDefault="006B2B8E" w:rsidP="006B2B8E">
      <w:pPr>
        <w:pStyle w:val="AERbulletlistfirststyle"/>
      </w:pPr>
      <w:r w:rsidRPr="001B1C3C">
        <w:t xml:space="preserve">line 39 </w:t>
      </w:r>
      <w:proofErr w:type="spellStart"/>
      <w:r w:rsidRPr="001B1C3C">
        <w:t>Bannaby</w:t>
      </w:r>
      <w:proofErr w:type="spellEnd"/>
      <w:r w:rsidRPr="001B1C3C">
        <w:t xml:space="preserve"> to Sydney West to be upgraded to 100°C</w:t>
      </w:r>
    </w:p>
    <w:p w:rsidR="006B2B8E" w:rsidRPr="001B1C3C" w:rsidRDefault="006B2B8E" w:rsidP="006B2B8E">
      <w:pPr>
        <w:pStyle w:val="AERbulletlistfirststyle"/>
      </w:pPr>
      <w:r w:rsidRPr="001B1C3C">
        <w:t>upgrade of lines 4 and 5 Yass to Marulan to 100°C</w:t>
      </w:r>
    </w:p>
    <w:p w:rsidR="006B2B8E" w:rsidRPr="00ED6CFA" w:rsidRDefault="006B2B8E" w:rsidP="006B2B8E">
      <w:r w:rsidRPr="00ED6CFA">
        <w:t xml:space="preserve">These projects increase the ratings of lines by increasing the height of the conductor to allow a higher operating temperature. This is complementary to using dynamic ratings.  There is therefore no duplication in the contingent capital expenditure. However the use of dynamic ratings will mean the requirement for new generation in southern NSW is higher than assumed by TransGrid in its proposal for the economic need for this contingent project. </w:t>
      </w:r>
    </w:p>
    <w:p w:rsidR="006B2B8E" w:rsidRDefault="006B2B8E" w:rsidP="006B2B8E">
      <w:pPr>
        <w:pStyle w:val="AERbodytext"/>
      </w:pPr>
      <w:r>
        <w:t>The EMRF submitted that NCIPAP projects are no different to normal capital expenditure projects and there is no reason to incentivise such projects.</w:t>
      </w:r>
      <w:r>
        <w:rPr>
          <w:rStyle w:val="FootnoteReference"/>
        </w:rPr>
        <w:footnoteReference w:id="50"/>
      </w:r>
      <w:r>
        <w:t xml:space="preserve"> As discussed in the explanatory statement of the draft version 4 STPIS, given the information asymmetry, we consider these projects would not be identified in the absence of the network capability component (NCC).</w:t>
      </w:r>
      <w:r>
        <w:rPr>
          <w:rStyle w:val="FootnoteReference"/>
        </w:rPr>
        <w:footnoteReference w:id="51"/>
      </w:r>
      <w:r>
        <w:t xml:space="preserve"> They have only been identified as a result of examination of network limits required by the NCC, and have been endorsed by AEMO as having substantial benefits for consumers. In addition, unlike the capital expenditure provided in the revenue proposal, identified NCIPAP projects must be completed in the regulatory control period or penalties will apply. </w:t>
      </w:r>
    </w:p>
    <w:p w:rsidR="006B2B8E" w:rsidRPr="0001675C" w:rsidRDefault="006B2B8E" w:rsidP="006B2B8E">
      <w:pPr>
        <w:pStyle w:val="AERbodytext"/>
      </w:pPr>
      <w:r>
        <w:t>The EMRF, the EUAA and Norske Skog Albury Mill (NSA) expressed their concerns with the long payback period of some of TransGrid's proposed priority projects and queried the benefit to consumers from these projects.</w:t>
      </w:r>
      <w:r>
        <w:rPr>
          <w:rStyle w:val="FootnoteReference"/>
        </w:rPr>
        <w:footnoteReference w:id="52"/>
      </w:r>
      <w:r>
        <w:t xml:space="preserve">  </w:t>
      </w:r>
    </w:p>
    <w:p w:rsidR="006B2B8E" w:rsidRDefault="006B2B8E" w:rsidP="006B2B8E">
      <w:pPr>
        <w:pStyle w:val="AERbodytext"/>
      </w:pPr>
      <w:r>
        <w:t>In developing version 4 of the STPIS, we noted there are a range of factors that may limit the capability of assets and therefore the ability of those assets to deliver peak load and facilitate the efficient dispatch of generation in the market. We considered TNSPs are best placed to identify limitations in their networks and implement low cost solutions to address those limitations for the benefit of consumers. However, we recognised that the existing regulatory framework did not incentivise this behaviour.</w:t>
      </w:r>
      <w:r>
        <w:rPr>
          <w:rStyle w:val="FootnoteReference"/>
        </w:rPr>
        <w:footnoteReference w:id="53"/>
      </w:r>
      <w:r>
        <w:t xml:space="preserve"> The NCC is aimed to incentivise increased capability of existing assets in the network when needed most. It does this by requiring TNSPs to reveal the existing capability of their networks and to identify low cost projects to increase network capability that would provide greater value to generators and consumers. Generators benefit from improved capability because there is a lower risk of their generation dispatch being constrained, which is ultimately passed onto consumers through lower wholesale electricity prices. The NCC incentivises TNSPs to improve ability of their networks to meet peak demand without additional major augmentation capital expenditure, which also translate to lower prices for consumers.</w:t>
      </w:r>
    </w:p>
    <w:p w:rsidR="006B2B8E" w:rsidRPr="00884725" w:rsidRDefault="006B2B8E" w:rsidP="006B2B8E">
      <w:pPr>
        <w:pStyle w:val="AERbodytext"/>
      </w:pPr>
      <w:r>
        <w:t>The purpose of the annual NCC incentive payment is to fund the implementation of NCIPAP projects. If the approved NCIPAP is comprised of projects totalling approximately 1 per cent of the MAR, the TNSP will receive an incentive of around 0.5 per cent of its MAR. We acknowledge some of TransGrid's proposed priority projects have estimated payback period well in excess of 5 years. However, based on AEMO's assessment and our review</w:t>
      </w:r>
      <w:r w:rsidRPr="00963C0E">
        <w:t xml:space="preserve">, we </w:t>
      </w:r>
      <w:r>
        <w:t>consider</w:t>
      </w:r>
      <w:r w:rsidRPr="00963C0E">
        <w:t xml:space="preserve"> </w:t>
      </w:r>
      <w:r>
        <w:t>those proposed</w:t>
      </w:r>
      <w:r w:rsidRPr="00963C0E">
        <w:t xml:space="preserve"> priority projects </w:t>
      </w:r>
      <w:r>
        <w:t>still result in</w:t>
      </w:r>
      <w:r w:rsidRPr="00963C0E">
        <w:t xml:space="preserve"> material benefit</w:t>
      </w:r>
      <w:r>
        <w:t>s in accordance with clause 5.2(l) of the STPIS</w:t>
      </w:r>
      <w:r w:rsidRPr="00963C0E">
        <w:t>.</w:t>
      </w:r>
      <w:r>
        <w:t xml:space="preserve"> Given the design of the </w:t>
      </w:r>
      <w:r>
        <w:lastRenderedPageBreak/>
        <w:t xml:space="preserve">current STPIS, the inclusion of such projects in the NCIPAP (up to a maximum of 1 per cent of the proposed MAR) will benefit consumers, provided they result in a net benefit. This is because the incentive payment under the NCC is set at 1.5 per cent of MAR each year irrespective of the total cost of the approved NCIPAP projects. </w:t>
      </w:r>
    </w:p>
    <w:p w:rsidR="00884725" w:rsidRPr="00884725" w:rsidRDefault="002A4E1C" w:rsidP="00884725">
      <w:pPr>
        <w:pStyle w:val="AERbodytext"/>
      </w:pPr>
      <w:r>
        <w:t xml:space="preserve"> </w:t>
      </w:r>
      <w:r w:rsidR="001B1C3C">
        <w:t xml:space="preserve"> </w:t>
      </w:r>
    </w:p>
    <w:sectPr w:rsidR="00884725" w:rsidRPr="00884725" w:rsidSect="004560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E2" w:rsidRPr="00AB4345" w:rsidRDefault="00E408E2" w:rsidP="00AB4345">
      <w:r>
        <w:separator/>
      </w:r>
    </w:p>
  </w:endnote>
  <w:endnote w:type="continuationSeparator" w:id="0">
    <w:p w:rsidR="00E408E2" w:rsidRPr="00AB4345" w:rsidRDefault="00E408E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408E2" w:rsidRPr="00824CC8" w:rsidRDefault="00E408E2" w:rsidP="00824CC8">
        <w:pPr>
          <w:pStyle w:val="Footer"/>
        </w:pPr>
        <w:r>
          <w:t>11-</w:t>
        </w:r>
        <w:r w:rsidRPr="00824CC8">
          <w:fldChar w:fldCharType="begin"/>
        </w:r>
        <w:r w:rsidRPr="00824CC8">
          <w:instrText xml:space="preserve"> PAGE   \* MERGEFORMAT </w:instrText>
        </w:r>
        <w:r w:rsidRPr="00824CC8">
          <w:fldChar w:fldCharType="separate"/>
        </w:r>
        <w:r w:rsidR="004D654A">
          <w:rPr>
            <w:noProof/>
          </w:rPr>
          <w:t>22</w:t>
        </w:r>
        <w:r w:rsidRPr="00824CC8">
          <w:fldChar w:fldCharType="end"/>
        </w:r>
        <w:r w:rsidRPr="00824CC8">
          <w:tab/>
        </w:r>
        <w:r w:rsidRPr="00E408E2">
          <w:rPr>
            <w:rStyle w:val="AERbody"/>
          </w:rPr>
          <w:t xml:space="preserve">Attachment </w:t>
        </w:r>
        <w:r>
          <w:rPr>
            <w:rStyle w:val="AERbody"/>
          </w:rPr>
          <w:t>11</w:t>
        </w:r>
        <w:r w:rsidR="00D513E1">
          <w:rPr>
            <w:rStyle w:val="AERbody"/>
          </w:rPr>
          <w:t xml:space="preserve"> </w:t>
        </w:r>
        <w:r w:rsidRPr="00E408E2">
          <w:rPr>
            <w:rStyle w:val="AERbody"/>
          </w:rPr>
          <w:t xml:space="preserve">| </w:t>
        </w:r>
        <w:r w:rsidR="0021354A">
          <w:rPr>
            <w:rStyle w:val="AERbody"/>
          </w:rPr>
          <w:t>Service target performance incentive scheme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E2" w:rsidRPr="00824CC8" w:rsidRDefault="0021354A" w:rsidP="00824CC8">
    <w:pPr>
      <w:pStyle w:val="Footer"/>
      <w:rPr>
        <w:rStyle w:val="AERbody"/>
      </w:rPr>
    </w:pPr>
    <w:r>
      <w:rPr>
        <w:rStyle w:val="AERbody"/>
      </w:rPr>
      <w:t>Draft decision: TransGrid transmission determination</w:t>
    </w:r>
    <w:r w:rsidR="00D513E1">
      <w:rPr>
        <w:rStyle w:val="AERbody"/>
      </w:rPr>
      <w:t xml:space="preserve"> </w:t>
    </w:r>
    <w:r w:rsidR="00E408E2" w:rsidRPr="00E408E2">
      <w:rPr>
        <w:rStyle w:val="AERbody"/>
      </w:rPr>
      <w:t xml:space="preserve">| </w:t>
    </w:r>
    <w:r>
      <w:rPr>
        <w:rStyle w:val="AERbody"/>
      </w:rPr>
      <w:t>Attachment 11</w:t>
    </w:r>
    <w:r w:rsidR="00E408E2" w:rsidRPr="00210880">
      <w:rPr>
        <w:rStyle w:val="AERbody"/>
      </w:rPr>
      <w:tab/>
    </w:r>
    <w:r w:rsidR="00E408E2">
      <w:rPr>
        <w:rStyle w:val="AERbody"/>
      </w:rPr>
      <w:tab/>
      <w:t>11-</w:t>
    </w:r>
    <w:r w:rsidR="00E408E2" w:rsidRPr="00824CC8">
      <w:rPr>
        <w:rStyle w:val="AERbody"/>
      </w:rPr>
      <w:fldChar w:fldCharType="begin"/>
    </w:r>
    <w:r w:rsidR="00E408E2" w:rsidRPr="00824CC8">
      <w:rPr>
        <w:rStyle w:val="AERbody"/>
      </w:rPr>
      <w:instrText xml:space="preserve"> PAGE   \* MERGEFORMAT </w:instrText>
    </w:r>
    <w:r w:rsidR="00E408E2" w:rsidRPr="00824CC8">
      <w:rPr>
        <w:rStyle w:val="AERbody"/>
      </w:rPr>
      <w:fldChar w:fldCharType="separate"/>
    </w:r>
    <w:r w:rsidR="004D654A">
      <w:rPr>
        <w:rStyle w:val="AERbody"/>
        <w:noProof/>
      </w:rPr>
      <w:t>21</w:t>
    </w:r>
    <w:r w:rsidR="00E408E2"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A" w:rsidRDefault="00213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E2" w:rsidRPr="00AB4345" w:rsidRDefault="00E408E2" w:rsidP="00AB4345">
      <w:r>
        <w:separator/>
      </w:r>
    </w:p>
  </w:footnote>
  <w:footnote w:type="continuationSeparator" w:id="0">
    <w:p w:rsidR="00E408E2" w:rsidRPr="00AB4345" w:rsidRDefault="00E408E2" w:rsidP="00AB4345">
      <w:r>
        <w:continuationSeparator/>
      </w:r>
    </w:p>
  </w:footnote>
  <w:footnote w:id="1">
    <w:p w:rsidR="00E408E2" w:rsidRDefault="00E408E2" w:rsidP="006B2B8E">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971FB6">
        <w:rPr>
          <w:rStyle w:val="AERtextitalic"/>
          <w:i w:val="0"/>
        </w:rPr>
        <w:t>, September 2014.</w:t>
      </w:r>
      <w:r>
        <w:rPr>
          <w:rStyle w:val="AERtextitalic"/>
        </w:rPr>
        <w:t xml:space="preserve"> </w:t>
      </w:r>
      <w:r>
        <w:t xml:space="preserve"> For TransGrid, there is no difference between the application of version 4 of the STPIS which was published in December 2012 and the most recent version 4.1. The recent amendment wholly relates to Directlink.</w:t>
      </w:r>
    </w:p>
  </w:footnote>
  <w:footnote w:id="2">
    <w:p w:rsidR="00E408E2" w:rsidRDefault="00E408E2" w:rsidP="006B2B8E">
      <w:pPr>
        <w:pStyle w:val="FootnoteText"/>
      </w:pPr>
      <w:r>
        <w:rPr>
          <w:rStyle w:val="FootnoteReference"/>
        </w:rPr>
        <w:footnoteRef/>
      </w:r>
      <w:r>
        <w:t xml:space="preserve"> </w:t>
      </w:r>
      <w:r>
        <w:tab/>
        <w:t xml:space="preserve">AER, </w:t>
      </w:r>
      <w:r w:rsidRPr="006918BE">
        <w:rPr>
          <w:rStyle w:val="AERtextitalic"/>
        </w:rPr>
        <w:t>Framework and Approach Paper, TransGrid, Transend (now TasNetworks)</w:t>
      </w:r>
      <w:r>
        <w:t>, January 2014</w:t>
      </w:r>
      <w:r w:rsidR="00662027">
        <w:t>,</w:t>
      </w:r>
      <w:r>
        <w:t xml:space="preserve"> </w:t>
      </w:r>
      <w:r w:rsidR="00662027">
        <w:t>p</w:t>
      </w:r>
      <w:r>
        <w:t>p</w:t>
      </w:r>
      <w:r w:rsidR="00662027">
        <w:t>.</w:t>
      </w:r>
      <w:r>
        <w:t xml:space="preserve"> 5-13.</w:t>
      </w:r>
    </w:p>
  </w:footnote>
  <w:footnote w:id="3">
    <w:p w:rsidR="00E408E2" w:rsidRDefault="00E408E2" w:rsidP="006B2B8E">
      <w:pPr>
        <w:pStyle w:val="FootnoteText"/>
      </w:pPr>
      <w:r>
        <w:rPr>
          <w:rStyle w:val="FootnoteReference"/>
        </w:rPr>
        <w:footnoteRef/>
      </w:r>
      <w:r>
        <w:t xml:space="preserve"> </w:t>
      </w:r>
      <w:r>
        <w:tab/>
      </w:r>
      <w:proofErr w:type="gramStart"/>
      <w:r>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8832C5">
        <w:rPr>
          <w:rStyle w:val="AERtextitalic"/>
          <w:i w:val="0"/>
        </w:rPr>
        <w:t>September 2014</w:t>
      </w:r>
      <w:r>
        <w:rPr>
          <w:rStyle w:val="AERtextitalic"/>
        </w:rPr>
        <w:t xml:space="preserve">, </w:t>
      </w:r>
      <w:r w:rsidRPr="00971FB6">
        <w:rPr>
          <w:rStyle w:val="AERtextitalic"/>
          <w:i w:val="0"/>
        </w:rPr>
        <w:t>Appendix C.</w:t>
      </w:r>
      <w:proofErr w:type="gramEnd"/>
      <w:r>
        <w:rPr>
          <w:rStyle w:val="AERtextitalic"/>
        </w:rPr>
        <w:t xml:space="preserve"> </w:t>
      </w:r>
    </w:p>
  </w:footnote>
  <w:footnote w:id="4">
    <w:p w:rsidR="00E408E2" w:rsidRDefault="00E408E2" w:rsidP="006B2B8E">
      <w:pPr>
        <w:pStyle w:val="FootnoteText"/>
      </w:pPr>
      <w:r>
        <w:rPr>
          <w:rStyle w:val="FootnoteReference"/>
        </w:rPr>
        <w:footnoteRef/>
      </w:r>
      <w:r>
        <w:t xml:space="preserve"> </w:t>
      </w:r>
      <w:r>
        <w:tab/>
      </w:r>
      <w:proofErr w:type="gramStart"/>
      <w:r>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8832C5">
        <w:rPr>
          <w:rStyle w:val="AERtextitalic"/>
          <w:i w:val="0"/>
        </w:rPr>
        <w:t>September 2014,</w:t>
      </w:r>
      <w:r w:rsidR="00662027">
        <w:rPr>
          <w:rStyle w:val="AERtextitalic"/>
          <w:i w:val="0"/>
        </w:rPr>
        <w:t xml:space="preserve"> cl.</w:t>
      </w:r>
      <w:r w:rsidRPr="00971FB6">
        <w:rPr>
          <w:rStyle w:val="AERtextitalic"/>
          <w:i w:val="0"/>
        </w:rPr>
        <w:t xml:space="preserve"> 4.2(d) and Appendix F.</w:t>
      </w:r>
      <w:proofErr w:type="gramEnd"/>
      <w:r>
        <w:rPr>
          <w:rStyle w:val="AERtextitalic"/>
        </w:rPr>
        <w:t xml:space="preserve"> </w:t>
      </w:r>
    </w:p>
  </w:footnote>
  <w:footnote w:id="5">
    <w:p w:rsidR="00E408E2" w:rsidRDefault="00E408E2" w:rsidP="006B2B8E">
      <w:pPr>
        <w:pStyle w:val="FootnoteText"/>
      </w:pPr>
      <w:r>
        <w:rPr>
          <w:rStyle w:val="FootnoteReference"/>
        </w:rPr>
        <w:footnoteRef/>
      </w:r>
      <w:r>
        <w:t xml:space="preserve"> </w:t>
      </w:r>
      <w:r>
        <w:tab/>
        <w:t xml:space="preserve">AER, </w:t>
      </w:r>
      <w:r>
        <w:rPr>
          <w:rStyle w:val="AERtextitalic"/>
        </w:rPr>
        <w:t>Final – Service Target Performance Incentive Scheme</w:t>
      </w:r>
      <w:r w:rsidR="00662027">
        <w:rPr>
          <w:rStyle w:val="AERtextitalic"/>
          <w:i w:val="0"/>
        </w:rPr>
        <w:t>, September 2014, cl.</w:t>
      </w:r>
      <w:r w:rsidRPr="00971FB6">
        <w:rPr>
          <w:rStyle w:val="AERtextitalic"/>
          <w:i w:val="0"/>
        </w:rPr>
        <w:t xml:space="preserve"> 5.3(c)</w:t>
      </w:r>
      <w:r>
        <w:rPr>
          <w:rStyle w:val="AERtextitalic"/>
        </w:rPr>
        <w:t>.</w:t>
      </w:r>
    </w:p>
  </w:footnote>
  <w:footnote w:id="6">
    <w:p w:rsidR="00E408E2" w:rsidRDefault="00E408E2" w:rsidP="006B2B8E">
      <w:pPr>
        <w:pStyle w:val="FootnoteText"/>
      </w:pPr>
      <w:r>
        <w:rPr>
          <w:rStyle w:val="FootnoteReference"/>
        </w:rPr>
        <w:footnoteRef/>
      </w:r>
      <w:r>
        <w:t xml:space="preserve"> </w:t>
      </w:r>
      <w:r>
        <w:tab/>
        <w:t xml:space="preserve">For the 2014–15 transitional regulatory control </w:t>
      </w:r>
      <w:proofErr w:type="gramStart"/>
      <w:r>
        <w:t>period</w:t>
      </w:r>
      <w:proofErr w:type="gramEnd"/>
      <w:r>
        <w:t>, we applied version 2 of the Service Component, version 4 of the Market Impact Component (MIC) and version 4 of the Network Capability Component (NCC) to TasNetworks.</w:t>
      </w:r>
    </w:p>
  </w:footnote>
  <w:footnote w:id="7">
    <w:p w:rsidR="00E408E2" w:rsidRDefault="00E408E2" w:rsidP="006B2B8E">
      <w:pPr>
        <w:pStyle w:val="FootnoteText"/>
      </w:pPr>
      <w:r>
        <w:rPr>
          <w:rStyle w:val="FootnoteReference"/>
        </w:rPr>
        <w:footnoteRef/>
      </w:r>
      <w:r>
        <w:t xml:space="preserve"> </w:t>
      </w:r>
      <w:r>
        <w:tab/>
      </w:r>
      <w:proofErr w:type="gramStart"/>
      <w:r w:rsidR="00C714DA">
        <w:t>NER, cll.</w:t>
      </w:r>
      <w:proofErr w:type="gramEnd"/>
      <w:r>
        <w:t xml:space="preserve"> 11.56.4 </w:t>
      </w:r>
      <w:proofErr w:type="gramStart"/>
      <w:r>
        <w:t>(c)</w:t>
      </w:r>
      <w:proofErr w:type="gramEnd"/>
      <w:r>
        <w:t>, (h) and (</w:t>
      </w:r>
      <w:proofErr w:type="spellStart"/>
      <w:r>
        <w:t>i</w:t>
      </w:r>
      <w:proofErr w:type="spellEnd"/>
      <w:r>
        <w:t>).</w:t>
      </w:r>
    </w:p>
  </w:footnote>
  <w:footnote w:id="8">
    <w:p w:rsidR="00E408E2" w:rsidRDefault="00E408E2" w:rsidP="006B2B8E">
      <w:pPr>
        <w:pStyle w:val="FootnoteText"/>
      </w:pPr>
      <w:r>
        <w:rPr>
          <w:rStyle w:val="FootnoteReference"/>
        </w:rPr>
        <w:footnoteRef/>
      </w:r>
      <w:r>
        <w:t xml:space="preserve"> </w:t>
      </w:r>
      <w:r>
        <w:tab/>
        <w:t>The cap specifies the level of performance that results in a TNSP receiving the maximum financial reward attributed to a parameter; the collar specifies the level for receiving the maximum financial penalty.</w:t>
      </w:r>
    </w:p>
  </w:footnote>
  <w:footnote w:id="9">
    <w:p w:rsidR="00E408E2" w:rsidRDefault="00E408E2" w:rsidP="006B2B8E">
      <w:pPr>
        <w:pStyle w:val="FootnoteText"/>
      </w:pPr>
      <w:r>
        <w:rPr>
          <w:rStyle w:val="FootnoteReference"/>
        </w:rPr>
        <w:footnoteRef/>
      </w:r>
      <w:r>
        <w:t xml:space="preserve"> </w:t>
      </w:r>
      <w:r>
        <w:tab/>
        <w:t>TransGrid noted t</w:t>
      </w:r>
      <w:r w:rsidRPr="0011166F">
        <w:t>he proper operation of equipment parameter was introduced as a</w:t>
      </w:r>
      <w:r>
        <w:t xml:space="preserve"> </w:t>
      </w:r>
      <w:r w:rsidRPr="0011166F">
        <w:t>reporting-only parameter.</w:t>
      </w:r>
      <w:r>
        <w:t xml:space="preserve"> As a result, it did not propose values for these sub-parameters, but it will </w:t>
      </w:r>
      <w:r w:rsidRPr="0011166F">
        <w:t>commence reporting against</w:t>
      </w:r>
      <w:r>
        <w:t xml:space="preserve"> </w:t>
      </w:r>
      <w:proofErr w:type="gramStart"/>
      <w:r>
        <w:t>these</w:t>
      </w:r>
      <w:proofErr w:type="gramEnd"/>
      <w:r>
        <w:t xml:space="preserve"> sub-</w:t>
      </w:r>
      <w:r w:rsidRPr="0011166F">
        <w:t>parameter from July 2015.</w:t>
      </w:r>
      <w:r>
        <w:t xml:space="preserve"> As we are not applying any weighting on these sub-parameters, we accept the approach proposed by TransGrid. </w:t>
      </w:r>
    </w:p>
  </w:footnote>
  <w:footnote w:id="10">
    <w:p w:rsidR="00E408E2" w:rsidRDefault="00E408E2" w:rsidP="006B2B8E">
      <w:pPr>
        <w:pStyle w:val="FootnoteText"/>
      </w:pPr>
      <w:r>
        <w:rPr>
          <w:rStyle w:val="FootnoteReference"/>
        </w:rPr>
        <w:footnoteRef/>
      </w:r>
      <w:r>
        <w:t xml:space="preserve"> </w:t>
      </w:r>
      <w:r>
        <w:tab/>
      </w:r>
      <w:proofErr w:type="gramStart"/>
      <w:r>
        <w:t xml:space="preserve">AER, </w:t>
      </w:r>
      <w:r w:rsidRPr="00CA7CA8">
        <w:rPr>
          <w:rStyle w:val="AERtextitalic"/>
        </w:rPr>
        <w:t>Transitional transmission determination 2014–15</w:t>
      </w:r>
      <w:r>
        <w:t>, March 2014, p. 33.</w:t>
      </w:r>
      <w:proofErr w:type="gramEnd"/>
    </w:p>
  </w:footnote>
  <w:footnote w:id="11">
    <w:p w:rsidR="00E408E2" w:rsidRDefault="00E408E2" w:rsidP="006B2B8E">
      <w:pPr>
        <w:pStyle w:val="FootnoteText"/>
      </w:pPr>
      <w:r>
        <w:rPr>
          <w:rStyle w:val="FootnoteReference"/>
        </w:rPr>
        <w:footnoteRef/>
      </w:r>
      <w:r>
        <w:t xml:space="preserve"> </w:t>
      </w:r>
      <w:r>
        <w:tab/>
        <w:t xml:space="preserve">Our annual service standards compliance reports are available at </w:t>
      </w:r>
      <w:hyperlink r:id="rId1" w:history="1">
        <w:r w:rsidRPr="00DB55B3">
          <w:rPr>
            <w:rStyle w:val="Hyperlink"/>
          </w:rPr>
          <w:t>http://www.aer.gov.au/node/484</w:t>
        </w:r>
      </w:hyperlink>
      <w:r>
        <w:t xml:space="preserve">. </w:t>
      </w:r>
    </w:p>
  </w:footnote>
  <w:footnote w:id="12">
    <w:p w:rsidR="00E408E2" w:rsidRDefault="00E408E2" w:rsidP="006B2B8E">
      <w:pPr>
        <w:pStyle w:val="FootnoteText"/>
      </w:pPr>
      <w:r>
        <w:rPr>
          <w:rStyle w:val="FootnoteReference"/>
        </w:rPr>
        <w:footnoteRef/>
      </w:r>
      <w:r>
        <w:t xml:space="preserve"> </w:t>
      </w:r>
      <w:r>
        <w:tab/>
      </w:r>
      <w:r w:rsidRPr="006D707E">
        <w:t>Regarding the target for the last half of 2014, we pro-rate the performance by measuring the average 2013/2014 performance against the average 2011/2012/2013 target and then multiply by 0.5. </w:t>
      </w:r>
    </w:p>
  </w:footnote>
  <w:footnote w:id="13">
    <w:p w:rsidR="00E408E2" w:rsidRDefault="00E408E2" w:rsidP="006B2B8E">
      <w:pPr>
        <w:pStyle w:val="FootnoteText"/>
      </w:pPr>
      <w:r>
        <w:rPr>
          <w:rStyle w:val="FootnoteReference"/>
        </w:rPr>
        <w:footnoteRef/>
      </w:r>
      <w:r>
        <w:t xml:space="preserve"> </w:t>
      </w:r>
      <w:r>
        <w:tab/>
      </w:r>
      <w:proofErr w:type="gramStart"/>
      <w:r>
        <w:t xml:space="preserve">TransGrid, </w:t>
      </w:r>
      <w:r w:rsidRPr="0090043A">
        <w:rPr>
          <w:rStyle w:val="AERtextitalic"/>
        </w:rPr>
        <w:t>Revenue proposal</w:t>
      </w:r>
      <w:r>
        <w:rPr>
          <w:rStyle w:val="AERtextitalic"/>
        </w:rPr>
        <w:t xml:space="preserve"> 2014/15–2018/19</w:t>
      </w:r>
      <w:r>
        <w:t>, p.221.</w:t>
      </w:r>
      <w:proofErr w:type="gramEnd"/>
    </w:p>
  </w:footnote>
  <w:footnote w:id="14">
    <w:p w:rsidR="00E408E2" w:rsidRDefault="00E408E2" w:rsidP="006B2B8E">
      <w:pPr>
        <w:pStyle w:val="FootnoteText"/>
      </w:pPr>
      <w:r>
        <w:rPr>
          <w:rStyle w:val="FootnoteReference"/>
        </w:rPr>
        <w:footnoteRef/>
      </w:r>
      <w:r>
        <w:t xml:space="preserve"> </w:t>
      </w:r>
      <w:r>
        <w:tab/>
      </w:r>
      <w:proofErr w:type="gramStart"/>
      <w:r>
        <w:t xml:space="preserve">TransGrid, </w:t>
      </w:r>
      <w:r w:rsidRPr="0090043A">
        <w:rPr>
          <w:rStyle w:val="AERtextitalic"/>
        </w:rPr>
        <w:t>Revenue proposal</w:t>
      </w:r>
      <w:r>
        <w:rPr>
          <w:rStyle w:val="AERtextitalic"/>
        </w:rPr>
        <w:t xml:space="preserve"> 2014/15–2018/19</w:t>
      </w:r>
      <w:r>
        <w:t>, pp.225-226.</w:t>
      </w:r>
      <w:proofErr w:type="gramEnd"/>
    </w:p>
  </w:footnote>
  <w:footnote w:id="15">
    <w:p w:rsidR="00E408E2" w:rsidRDefault="00E408E2" w:rsidP="006B2B8E">
      <w:pPr>
        <w:pStyle w:val="FootnoteText"/>
      </w:pPr>
      <w:r>
        <w:rPr>
          <w:rStyle w:val="FootnoteReference"/>
        </w:rPr>
        <w:footnoteRef/>
      </w:r>
      <w:r>
        <w:t xml:space="preserve"> </w:t>
      </w:r>
      <w:r>
        <w:tab/>
      </w:r>
      <w:proofErr w:type="gramStart"/>
      <w:r>
        <w:t xml:space="preserve">TransGrid, </w:t>
      </w:r>
      <w:r w:rsidRPr="0090043A">
        <w:rPr>
          <w:rStyle w:val="AERtextitalic"/>
        </w:rPr>
        <w:t>Revenue proposal</w:t>
      </w:r>
      <w:r>
        <w:rPr>
          <w:rStyle w:val="AERtextitalic"/>
        </w:rPr>
        <w:t xml:space="preserve"> 2014/15–2018/19</w:t>
      </w:r>
      <w:r>
        <w:t>, p.225.</w:t>
      </w:r>
      <w:proofErr w:type="gramEnd"/>
    </w:p>
  </w:footnote>
  <w:footnote w:id="16">
    <w:p w:rsidR="00E408E2" w:rsidRDefault="00E408E2" w:rsidP="006B2B8E">
      <w:pPr>
        <w:pStyle w:val="FootnoteText"/>
      </w:pPr>
      <w:r>
        <w:rPr>
          <w:rStyle w:val="FootnoteReference"/>
        </w:rPr>
        <w:footnoteRef/>
      </w:r>
      <w:r>
        <w:t xml:space="preserve"> </w:t>
      </w:r>
      <w:r>
        <w:tab/>
      </w:r>
      <w:proofErr w:type="gramStart"/>
      <w:r>
        <w:t xml:space="preserve">TransGrid, </w:t>
      </w:r>
      <w:r w:rsidRPr="0090043A">
        <w:rPr>
          <w:rStyle w:val="AERtextitalic"/>
        </w:rPr>
        <w:t>Revenue proposal</w:t>
      </w:r>
      <w:r>
        <w:rPr>
          <w:rStyle w:val="AERtextitalic"/>
        </w:rPr>
        <w:t xml:space="preserve"> 2014/15–2018/19</w:t>
      </w:r>
      <w:r>
        <w:t>, pp.226-227.</w:t>
      </w:r>
      <w:proofErr w:type="gramEnd"/>
    </w:p>
  </w:footnote>
  <w:footnote w:id="17">
    <w:p w:rsidR="00E408E2" w:rsidRDefault="00E408E2" w:rsidP="006B2B8E">
      <w:pPr>
        <w:pStyle w:val="FootnoteText"/>
      </w:pPr>
      <w:r>
        <w:rPr>
          <w:rStyle w:val="FootnoteReference"/>
        </w:rPr>
        <w:footnoteRef/>
      </w:r>
      <w:r>
        <w:t xml:space="preserve"> </w:t>
      </w:r>
      <w:r>
        <w:tab/>
        <w:t xml:space="preserve">TransGrid, </w:t>
      </w:r>
      <w:r>
        <w:rPr>
          <w:rStyle w:val="AERtextitalic"/>
        </w:rPr>
        <w:t>Network Capability Incentive Parameter Action Plan 2014/15 – 2017/18</w:t>
      </w:r>
      <w:r>
        <w:t>, pp. 9-10. 28</w:t>
      </w:r>
    </w:p>
  </w:footnote>
  <w:footnote w:id="18">
    <w:p w:rsidR="00E408E2" w:rsidRDefault="00E408E2" w:rsidP="006B2B8E">
      <w:pPr>
        <w:pStyle w:val="FootnoteText"/>
      </w:pPr>
      <w:r>
        <w:rPr>
          <w:rStyle w:val="FootnoteReference"/>
        </w:rPr>
        <w:footnoteRef/>
      </w:r>
      <w:r>
        <w:t xml:space="preserve"> </w:t>
      </w:r>
      <w:r>
        <w:tab/>
        <w:t xml:space="preserve">AEMO, </w:t>
      </w:r>
      <w:r w:rsidRPr="00BC44B9">
        <w:rPr>
          <w:rStyle w:val="AERtextitalic"/>
        </w:rPr>
        <w:t>AEMO Endorsement of TransGrid Network Capability Incentive Parameter Action Plan for 1 July 2014 – 30 June 2019</w:t>
      </w:r>
      <w:r>
        <w:t>, 4 February 2014.</w:t>
      </w:r>
    </w:p>
  </w:footnote>
  <w:footnote w:id="19">
    <w:p w:rsidR="00E408E2" w:rsidRDefault="00E408E2" w:rsidP="006B2B8E">
      <w:pPr>
        <w:pStyle w:val="FootnoteText"/>
      </w:pPr>
      <w:r>
        <w:rPr>
          <w:rStyle w:val="FootnoteReference"/>
        </w:rPr>
        <w:footnoteRef/>
      </w:r>
      <w:r w:rsidR="00662027">
        <w:t xml:space="preserve"> </w:t>
      </w:r>
      <w:r w:rsidR="00662027">
        <w:tab/>
        <w:t>NER, cl.</w:t>
      </w:r>
      <w:r>
        <w:t xml:space="preserve"> </w:t>
      </w:r>
      <w:proofErr w:type="gramStart"/>
      <w:r>
        <w:t>6A.4.2(</w:t>
      </w:r>
      <w:proofErr w:type="gramEnd"/>
      <w:r>
        <w:t>a)(2).</w:t>
      </w:r>
    </w:p>
  </w:footnote>
  <w:footnote w:id="20">
    <w:p w:rsidR="00E408E2" w:rsidRDefault="00E408E2" w:rsidP="006B2B8E">
      <w:pPr>
        <w:pStyle w:val="FootnoteText"/>
      </w:pPr>
      <w:r>
        <w:rPr>
          <w:rStyle w:val="FootnoteReference"/>
        </w:rPr>
        <w:footnoteRef/>
      </w:r>
      <w:r w:rsidR="00662027">
        <w:t xml:space="preserve"> </w:t>
      </w:r>
      <w:r w:rsidR="00662027">
        <w:tab/>
      </w:r>
      <w:proofErr w:type="gramStart"/>
      <w:r w:rsidR="00662027">
        <w:t>NER, cll.</w:t>
      </w:r>
      <w:proofErr w:type="gramEnd"/>
      <w:r>
        <w:t xml:space="preserve"> </w:t>
      </w:r>
      <w:proofErr w:type="gramStart"/>
      <w:r>
        <w:t>6A.5.4(</w:t>
      </w:r>
      <w:proofErr w:type="gramEnd"/>
      <w:r>
        <w:t>a)(5), 6A.5.4(b)(5) and 6A.7.4.</w:t>
      </w:r>
    </w:p>
  </w:footnote>
  <w:footnote w:id="21">
    <w:p w:rsidR="00E408E2" w:rsidRDefault="00E408E2" w:rsidP="006B2B8E">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C03D08">
        <w:rPr>
          <w:rStyle w:val="AERtextitalic"/>
        </w:rPr>
        <w:t xml:space="preserve">, </w:t>
      </w:r>
      <w:r w:rsidRPr="009D4DA5">
        <w:rPr>
          <w:rStyle w:val="AERtextitalic"/>
          <w:i w:val="0"/>
        </w:rPr>
        <w:t>September 2014</w:t>
      </w:r>
      <w:r>
        <w:rPr>
          <w:rStyle w:val="AERtextitalic"/>
        </w:rPr>
        <w:t xml:space="preserve">, </w:t>
      </w:r>
      <w:r w:rsidRPr="00E16B4E">
        <w:t>clause 3.</w:t>
      </w:r>
      <w:r>
        <w:t>2</w:t>
      </w:r>
      <w:r w:rsidRPr="00E16B4E">
        <w:t>.</w:t>
      </w:r>
      <w:r>
        <w:t xml:space="preserve"> </w:t>
      </w:r>
    </w:p>
  </w:footnote>
  <w:footnote w:id="22">
    <w:p w:rsidR="00E408E2" w:rsidRDefault="00E408E2" w:rsidP="006B2B8E">
      <w:pPr>
        <w:pStyle w:val="FootnoteText"/>
      </w:pPr>
      <w:r>
        <w:rPr>
          <w:rStyle w:val="FootnoteReference"/>
        </w:rPr>
        <w:footnoteRef/>
      </w:r>
      <w:r>
        <w:t xml:space="preserve"> </w:t>
      </w:r>
      <w:r>
        <w:tab/>
        <w:t>Six parameters include line outage</w:t>
      </w:r>
      <w:r>
        <w:softHyphen/>
        <w:t xml:space="preserve"> – fault, transformer outage – fault, reactive plant – fault, line outage – forced outage, transformer outage – forced outage and reactive plant – forced outage. </w:t>
      </w:r>
    </w:p>
  </w:footnote>
  <w:footnote w:id="23">
    <w:p w:rsidR="00E408E2" w:rsidRDefault="00E408E2" w:rsidP="006B2B8E">
      <w:pPr>
        <w:pStyle w:val="FootnoteText"/>
      </w:pPr>
      <w:r>
        <w:rPr>
          <w:rStyle w:val="FootnoteReference"/>
        </w:rPr>
        <w:footnoteRef/>
      </w:r>
      <w:r>
        <w:t xml:space="preserve"> </w:t>
      </w:r>
      <w:r>
        <w:tab/>
        <w:t>They are frequency of events when loss of supply exceeds 0.10 system minutes and frequency of events when loss of supply exceeds 1.00 system minutes.</w:t>
      </w:r>
    </w:p>
  </w:footnote>
  <w:footnote w:id="24">
    <w:p w:rsidR="00E408E2" w:rsidRDefault="00E408E2" w:rsidP="006B2B8E">
      <w:pPr>
        <w:pStyle w:val="FootnoteText"/>
      </w:pPr>
      <w:r>
        <w:rPr>
          <w:rStyle w:val="FootnoteReference"/>
        </w:rPr>
        <w:footnoteRef/>
      </w:r>
      <w:r>
        <w:t xml:space="preserve"> </w:t>
      </w:r>
      <w:r>
        <w:tab/>
        <w:t>They are failure of protection system, material failure of SCADA system and incorrect operational isolation of primary or secondary equipment.</w:t>
      </w:r>
    </w:p>
  </w:footnote>
  <w:footnote w:id="25">
    <w:p w:rsidR="00E408E2" w:rsidRPr="001E7D29"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00D513E1">
        <w:rPr>
          <w:rStyle w:val="AERtextitalic"/>
          <w:i w:val="0"/>
        </w:rPr>
        <w:t>September 2014, cl.</w:t>
      </w:r>
      <w:r w:rsidRPr="00971FB6">
        <w:rPr>
          <w:rStyle w:val="AERtextitalic"/>
          <w:i w:val="0"/>
        </w:rPr>
        <w:t xml:space="preserve"> 3.2.</w:t>
      </w:r>
      <w:r>
        <w:rPr>
          <w:rStyle w:val="AERtextitalic"/>
        </w:rPr>
        <w:t xml:space="preserve"> </w:t>
      </w:r>
    </w:p>
  </w:footnote>
  <w:footnote w:id="26">
    <w:p w:rsidR="00E408E2" w:rsidRPr="001E3C1B"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00662027">
        <w:rPr>
          <w:rStyle w:val="AERtextitalic"/>
          <w:i w:val="0"/>
        </w:rPr>
        <w:t>September 2014, cl.</w:t>
      </w:r>
      <w:r w:rsidRPr="00971FB6">
        <w:rPr>
          <w:rStyle w:val="AERtextitalic"/>
          <w:i w:val="0"/>
        </w:rPr>
        <w:t xml:space="preserve"> 3.2(d).</w:t>
      </w:r>
    </w:p>
  </w:footnote>
  <w:footnote w:id="27">
    <w:p w:rsidR="00E408E2"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00662027">
        <w:rPr>
          <w:rStyle w:val="AERtextitalic"/>
          <w:i w:val="0"/>
        </w:rPr>
        <w:t>September 2014, cl.</w:t>
      </w:r>
      <w:r w:rsidRPr="00971FB6">
        <w:rPr>
          <w:rStyle w:val="AERtextitalic"/>
          <w:i w:val="0"/>
        </w:rPr>
        <w:t xml:space="preserve"> 3.2(g).</w:t>
      </w:r>
    </w:p>
  </w:footnote>
  <w:footnote w:id="28">
    <w:p w:rsidR="00E408E2" w:rsidRPr="001E3C1B"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00662027">
        <w:rPr>
          <w:rStyle w:val="AERtextitalic"/>
          <w:i w:val="0"/>
        </w:rPr>
        <w:t>September 2014, cl.</w:t>
      </w:r>
      <w:r w:rsidRPr="00971FB6">
        <w:rPr>
          <w:rStyle w:val="AERtextitalic"/>
          <w:i w:val="0"/>
        </w:rPr>
        <w:t xml:space="preserve"> 3.2(k).</w:t>
      </w:r>
    </w:p>
  </w:footnote>
  <w:footnote w:id="29">
    <w:p w:rsidR="00E408E2" w:rsidRPr="001E3C1B"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00662027">
        <w:rPr>
          <w:rStyle w:val="AERtextitalic"/>
          <w:i w:val="0"/>
        </w:rPr>
        <w:t>September 2014, cl.</w:t>
      </w:r>
      <w:r w:rsidRPr="00971FB6">
        <w:rPr>
          <w:rStyle w:val="AERtextitalic"/>
          <w:i w:val="0"/>
        </w:rPr>
        <w:t xml:space="preserve"> 3.2(e). </w:t>
      </w:r>
    </w:p>
  </w:footnote>
  <w:footnote w:id="30">
    <w:p w:rsidR="00E408E2" w:rsidRPr="001E3C1B"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00662027">
        <w:rPr>
          <w:rStyle w:val="AERtextitalic"/>
          <w:i w:val="0"/>
        </w:rPr>
        <w:t>September 2014, cl.</w:t>
      </w:r>
      <w:r w:rsidRPr="00971FB6">
        <w:rPr>
          <w:rStyle w:val="AERtextitalic"/>
          <w:i w:val="0"/>
        </w:rPr>
        <w:t xml:space="preserve"> 3.2(e). </w:t>
      </w:r>
    </w:p>
  </w:footnote>
  <w:footnote w:id="31">
    <w:p w:rsidR="00E408E2"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00662027">
        <w:rPr>
          <w:rStyle w:val="AERtextitalic"/>
          <w:i w:val="0"/>
        </w:rPr>
        <w:t>September 2014, cl.</w:t>
      </w:r>
      <w:r w:rsidRPr="00971FB6">
        <w:rPr>
          <w:rStyle w:val="AERtextitalic"/>
          <w:i w:val="0"/>
        </w:rPr>
        <w:t xml:space="preserve"> 5.2(b).</w:t>
      </w:r>
    </w:p>
  </w:footnote>
  <w:footnote w:id="32">
    <w:p w:rsidR="00E408E2" w:rsidRPr="000135E9" w:rsidRDefault="00E408E2" w:rsidP="006B2B8E">
      <w:pPr>
        <w:pStyle w:val="FootnoteText"/>
      </w:pPr>
      <w:r>
        <w:rPr>
          <w:rStyle w:val="FootnoteReference"/>
        </w:rPr>
        <w:footnoteRef/>
      </w:r>
      <w:r>
        <w:t xml:space="preserve"> </w:t>
      </w:r>
      <w:r>
        <w:tab/>
        <w:t xml:space="preserve">AER, </w:t>
      </w:r>
      <w:r>
        <w:rPr>
          <w:rStyle w:val="AERtextitalic"/>
        </w:rPr>
        <w:t>Final – Service Target Performance Incentive Scheme</w:t>
      </w:r>
      <w:r w:rsidR="00662027">
        <w:rPr>
          <w:rStyle w:val="AERtextitalic"/>
          <w:i w:val="0"/>
        </w:rPr>
        <w:t>, September 2014, cl.</w:t>
      </w:r>
      <w:r w:rsidRPr="00971FB6">
        <w:rPr>
          <w:rStyle w:val="AERtextitalic"/>
          <w:i w:val="0"/>
        </w:rPr>
        <w:t xml:space="preserve"> 5.2.</w:t>
      </w:r>
      <w:r>
        <w:rPr>
          <w:rStyle w:val="AERtextitalic"/>
        </w:rPr>
        <w:t xml:space="preserve"> </w:t>
      </w:r>
    </w:p>
  </w:footnote>
  <w:footnote w:id="33">
    <w:p w:rsidR="00E408E2"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September 2014, </w:t>
      </w:r>
      <w:r w:rsidR="00662027">
        <w:rPr>
          <w:rStyle w:val="AERtextsize8"/>
        </w:rPr>
        <w:t>cl.</w:t>
      </w:r>
      <w:r w:rsidRPr="00662027">
        <w:rPr>
          <w:rStyle w:val="AERtextsize8"/>
        </w:rPr>
        <w:t xml:space="preserve"> 5.2(c).</w:t>
      </w:r>
      <w:r>
        <w:rPr>
          <w:rStyle w:val="AERtextitalic"/>
        </w:rPr>
        <w:t xml:space="preserve"> </w:t>
      </w:r>
    </w:p>
  </w:footnote>
  <w:footnote w:id="34">
    <w:p w:rsidR="00E408E2" w:rsidRDefault="00E408E2" w:rsidP="006B2B8E">
      <w:pPr>
        <w:pStyle w:val="FootnoteText"/>
      </w:pPr>
      <w:r>
        <w:rPr>
          <w:rStyle w:val="FootnoteReference"/>
        </w:rPr>
        <w:footnoteRef/>
      </w:r>
      <w:r>
        <w:t xml:space="preserve"> </w:t>
      </w:r>
      <w:r>
        <w:tab/>
      </w:r>
      <w:r w:rsidR="00662027">
        <w:t xml:space="preserve">NER, cl. </w:t>
      </w:r>
      <w:proofErr w:type="gramStart"/>
      <w:r w:rsidRPr="00C12663">
        <w:t>6A.7.4(</w:t>
      </w:r>
      <w:proofErr w:type="gramEnd"/>
      <w:r w:rsidRPr="00C12663">
        <w:t>b)(5) of</w:t>
      </w:r>
      <w:r>
        <w:t xml:space="preserve"> the NER.</w:t>
      </w:r>
    </w:p>
  </w:footnote>
  <w:footnote w:id="35">
    <w:p w:rsidR="00E408E2" w:rsidRDefault="00E408E2" w:rsidP="006B2B8E">
      <w:pPr>
        <w:pStyle w:val="FootnoteText"/>
      </w:pPr>
      <w:r>
        <w:rPr>
          <w:rStyle w:val="FootnoteReference"/>
        </w:rPr>
        <w:footnoteRef/>
      </w:r>
      <w:r>
        <w:t xml:space="preserve"> </w:t>
      </w:r>
      <w:r>
        <w:tab/>
        <w:t xml:space="preserve">AER, </w:t>
      </w:r>
      <w:r>
        <w:rPr>
          <w:rStyle w:val="AERtextitalic"/>
        </w:rPr>
        <w:t>Final – Service Target Performance Incentive Scheme, September 2014</w:t>
      </w:r>
      <w:r w:rsidRPr="0021530A">
        <w:rPr>
          <w:rStyle w:val="FootnoteReference"/>
          <w:vertAlign w:val="baseline"/>
        </w:rPr>
        <w:t>, c</w:t>
      </w:r>
      <w:r w:rsidR="00662027">
        <w:t>l.</w:t>
      </w:r>
      <w:r w:rsidRPr="0021530A">
        <w:t xml:space="preserve"> 1.4.</w:t>
      </w:r>
      <w:r>
        <w:rPr>
          <w:rStyle w:val="FootnoteReference"/>
        </w:rPr>
        <w:t xml:space="preserve"> </w:t>
      </w:r>
      <w:r>
        <w:rPr>
          <w:rStyle w:val="AERtextitalic"/>
        </w:rPr>
        <w:t xml:space="preserve"> </w:t>
      </w:r>
    </w:p>
  </w:footnote>
  <w:footnote w:id="36">
    <w:p w:rsidR="00E408E2" w:rsidRDefault="00E408E2" w:rsidP="006B2B8E">
      <w:pPr>
        <w:pStyle w:val="FootnoteText"/>
      </w:pPr>
      <w:r>
        <w:rPr>
          <w:rStyle w:val="FootnoteReference"/>
        </w:rPr>
        <w:footnoteRef/>
      </w:r>
      <w:r>
        <w:t xml:space="preserve"> </w:t>
      </w:r>
      <w:r>
        <w:tab/>
      </w:r>
      <w:r w:rsidR="00D513E1">
        <w:t xml:space="preserve">AER, </w:t>
      </w:r>
      <w:r w:rsidR="00D513E1">
        <w:rPr>
          <w:rStyle w:val="AERtextitalic"/>
        </w:rPr>
        <w:t>Final – Service Target Performance Incentive Scheme, September 2014</w:t>
      </w:r>
      <w:r w:rsidR="00D513E1" w:rsidRPr="0021530A">
        <w:rPr>
          <w:rStyle w:val="FootnoteReference"/>
          <w:vertAlign w:val="baseline"/>
        </w:rPr>
        <w:t>, c</w:t>
      </w:r>
      <w:r w:rsidR="00D513E1">
        <w:t>l.</w:t>
      </w:r>
      <w:r w:rsidR="00D513E1" w:rsidRPr="0021530A">
        <w:t xml:space="preserve"> </w:t>
      </w:r>
      <w:r>
        <w:t>3.2(k)</w:t>
      </w:r>
      <w:r w:rsidR="00662027">
        <w:t>.</w:t>
      </w:r>
    </w:p>
  </w:footnote>
  <w:footnote w:id="37">
    <w:p w:rsidR="00E408E2"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00D513E1">
        <w:rPr>
          <w:rStyle w:val="AERtextitalic"/>
          <w:i w:val="0"/>
        </w:rPr>
        <w:t>September 2014, cl.</w:t>
      </w:r>
      <w:r w:rsidRPr="0094542C">
        <w:rPr>
          <w:rStyle w:val="AERtextitalic"/>
          <w:i w:val="0"/>
        </w:rPr>
        <w:t xml:space="preserve"> 3.2(g).</w:t>
      </w:r>
      <w:r>
        <w:rPr>
          <w:rStyle w:val="AERtextitalic"/>
        </w:rPr>
        <w:t xml:space="preserve"> </w:t>
      </w:r>
    </w:p>
  </w:footnote>
  <w:footnote w:id="38">
    <w:p w:rsidR="00E408E2" w:rsidRDefault="00E408E2" w:rsidP="006B2B8E">
      <w:pPr>
        <w:pStyle w:val="FootnoteText"/>
      </w:pPr>
      <w:r>
        <w:rPr>
          <w:rStyle w:val="FootnoteReference"/>
        </w:rPr>
        <w:footnoteRef/>
      </w:r>
      <w:r>
        <w:t xml:space="preserve"> </w:t>
      </w:r>
      <w:r>
        <w:tab/>
      </w:r>
      <w:proofErr w:type="gramStart"/>
      <w:r>
        <w:t xml:space="preserve">CCP, </w:t>
      </w:r>
      <w:r w:rsidRPr="00CA7CA8">
        <w:rPr>
          <w:rStyle w:val="AERtextitalic"/>
        </w:rPr>
        <w:t>Consumer Challenge Panel (CCP6 Sub Panel) Submission on the TransGrid Revenue Proposal</w:t>
      </w:r>
      <w:r>
        <w:t>, 8 August 2014, p.3 and p.9.</w:t>
      </w:r>
      <w:proofErr w:type="gramEnd"/>
    </w:p>
  </w:footnote>
  <w:footnote w:id="39">
    <w:p w:rsidR="00E408E2" w:rsidRDefault="00E408E2" w:rsidP="006B2B8E">
      <w:pPr>
        <w:pStyle w:val="FootnoteText"/>
      </w:pPr>
      <w:r>
        <w:rPr>
          <w:rStyle w:val="FootnoteReference"/>
        </w:rPr>
        <w:footnoteRef/>
      </w:r>
      <w:r>
        <w:t xml:space="preserve"> </w:t>
      </w:r>
      <w:r>
        <w:tab/>
        <w:t xml:space="preserve">EMRF, </w:t>
      </w:r>
      <w:r w:rsidRPr="00C91EE4">
        <w:rPr>
          <w:rStyle w:val="AERtextitalic"/>
        </w:rPr>
        <w:t>Submission on TransGrid's Revenue Proposal</w:t>
      </w:r>
      <w:r>
        <w:t>, July 2014, pp. 77-78.</w:t>
      </w:r>
    </w:p>
  </w:footnote>
  <w:footnote w:id="40">
    <w:p w:rsidR="00E408E2"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00D513E1">
        <w:rPr>
          <w:rStyle w:val="AERtextitalic"/>
          <w:i w:val="0"/>
        </w:rPr>
        <w:t>September 2014, cl.</w:t>
      </w:r>
      <w:r w:rsidRPr="0094542C">
        <w:rPr>
          <w:rStyle w:val="AERtextitalic"/>
          <w:i w:val="0"/>
        </w:rPr>
        <w:t xml:space="preserve"> 3.2(e</w:t>
      </w:r>
      <w:r w:rsidRPr="00D00637">
        <w:rPr>
          <w:rStyle w:val="AERtextitalic"/>
        </w:rPr>
        <w:t>).</w:t>
      </w:r>
      <w:r>
        <w:rPr>
          <w:rStyle w:val="AERtextitalic"/>
        </w:rPr>
        <w:t xml:space="preserve"> </w:t>
      </w:r>
    </w:p>
  </w:footnote>
  <w:footnote w:id="41">
    <w:p w:rsidR="00E408E2" w:rsidRDefault="00E408E2" w:rsidP="006B2B8E">
      <w:pPr>
        <w:pStyle w:val="FootnoteText"/>
      </w:pPr>
      <w:r>
        <w:rPr>
          <w:rStyle w:val="FootnoteReference"/>
        </w:rPr>
        <w:footnoteRef/>
      </w:r>
      <w:r>
        <w:t xml:space="preserve"> </w:t>
      </w:r>
      <w:r>
        <w:tab/>
        <w:t xml:space="preserve">EMCa, </w:t>
      </w:r>
      <w:r w:rsidRPr="00D66427">
        <w:rPr>
          <w:rStyle w:val="AERtextitalic"/>
        </w:rPr>
        <w:t xml:space="preserve">SP </w:t>
      </w:r>
      <w:proofErr w:type="spellStart"/>
      <w:r w:rsidRPr="00D66427">
        <w:rPr>
          <w:rStyle w:val="AERtextitalic"/>
        </w:rPr>
        <w:t>AusNet</w:t>
      </w:r>
      <w:proofErr w:type="spellEnd"/>
      <w:r w:rsidRPr="00D66427">
        <w:rPr>
          <w:rStyle w:val="AERtextitalic"/>
        </w:rPr>
        <w:t xml:space="preserve"> technical review</w:t>
      </w:r>
      <w:r>
        <w:t xml:space="preserve">, August 2013, p. 107, paragraphs 396–398. </w:t>
      </w:r>
    </w:p>
  </w:footnote>
  <w:footnote w:id="42">
    <w:p w:rsidR="00E408E2" w:rsidRDefault="00E408E2" w:rsidP="006B2B8E">
      <w:pPr>
        <w:pStyle w:val="FootnoteText"/>
      </w:pPr>
      <w:r>
        <w:rPr>
          <w:rStyle w:val="FootnoteReference"/>
        </w:rPr>
        <w:footnoteRef/>
      </w:r>
      <w:r>
        <w:t xml:space="preserve"> </w:t>
      </w:r>
      <w:r>
        <w:tab/>
        <w:t>TransGrid noted t</w:t>
      </w:r>
      <w:r w:rsidRPr="0011166F">
        <w:t>he proper operation of equipment parameter was introduced as a</w:t>
      </w:r>
      <w:r>
        <w:t xml:space="preserve"> </w:t>
      </w:r>
      <w:r w:rsidRPr="0011166F">
        <w:t>reporting-only parameter.</w:t>
      </w:r>
      <w:r>
        <w:t xml:space="preserve"> As a result, it did not propose values for these sub-parameters, but it will </w:t>
      </w:r>
      <w:r w:rsidRPr="0011166F">
        <w:t>commence reporting against</w:t>
      </w:r>
      <w:r>
        <w:t xml:space="preserve"> </w:t>
      </w:r>
      <w:proofErr w:type="gramStart"/>
      <w:r>
        <w:t>these</w:t>
      </w:r>
      <w:proofErr w:type="gramEnd"/>
      <w:r>
        <w:t xml:space="preserve"> sub-</w:t>
      </w:r>
      <w:r w:rsidRPr="0011166F">
        <w:t>parameter from July 2015.</w:t>
      </w:r>
      <w:r>
        <w:t xml:space="preserve"> As we are not applying any weighting on these sub-parameters, we accept the approach proposed by TransGrid.</w:t>
      </w:r>
    </w:p>
  </w:footnote>
  <w:footnote w:id="43">
    <w:p w:rsidR="00E408E2" w:rsidRDefault="00E408E2" w:rsidP="006B2B8E">
      <w:pPr>
        <w:pStyle w:val="FootnoteText"/>
      </w:pPr>
      <w:r>
        <w:rPr>
          <w:rStyle w:val="FootnoteReference"/>
        </w:rPr>
        <w:footnoteRef/>
      </w:r>
      <w:r>
        <w:t xml:space="preserve"> </w:t>
      </w:r>
      <w:r>
        <w:tab/>
        <w:t xml:space="preserve">EMRF, </w:t>
      </w:r>
      <w:r w:rsidRPr="00C91EE4">
        <w:rPr>
          <w:rStyle w:val="AERtextitalic"/>
        </w:rPr>
        <w:t>Submission on TransGrid's Revenue Proposal</w:t>
      </w:r>
      <w:r>
        <w:t>, July 2014, p.77.</w:t>
      </w:r>
    </w:p>
  </w:footnote>
  <w:footnote w:id="44">
    <w:p w:rsidR="00E408E2" w:rsidRDefault="00E408E2" w:rsidP="006B2B8E">
      <w:pPr>
        <w:pStyle w:val="FootnoteText"/>
      </w:pPr>
      <w:r>
        <w:rPr>
          <w:rStyle w:val="FootnoteReference"/>
        </w:rPr>
        <w:footnoteRef/>
      </w:r>
      <w:r>
        <w:t xml:space="preserve"> </w:t>
      </w:r>
      <w:r>
        <w:tab/>
        <w:t xml:space="preserve">Although </w:t>
      </w:r>
      <w:proofErr w:type="spellStart"/>
      <w:r>
        <w:t>BetaGeneral</w:t>
      </w:r>
      <w:proofErr w:type="spellEnd"/>
      <w:r>
        <w:t xml:space="preserve"> distribution provides the lowest K-S distance statistic, it lacks A-D convergence as it requires 4 parameters and we only have 5 observations. We used </w:t>
      </w:r>
      <w:proofErr w:type="spellStart"/>
      <w:r>
        <w:t>Weibull</w:t>
      </w:r>
      <w:proofErr w:type="spellEnd"/>
      <w:r>
        <w:t xml:space="preserve"> distribution instead as it provides the second lowest K-S distance statistic.</w:t>
      </w:r>
    </w:p>
  </w:footnote>
  <w:footnote w:id="45">
    <w:p w:rsidR="00E408E2" w:rsidRDefault="00E408E2" w:rsidP="006B2B8E">
      <w:pPr>
        <w:pStyle w:val="FootnoteText"/>
      </w:pPr>
      <w:r>
        <w:rPr>
          <w:rStyle w:val="FootnoteReference"/>
        </w:rPr>
        <w:footnoteRef/>
      </w:r>
      <w:r>
        <w:t xml:space="preserve"> </w:t>
      </w:r>
      <w:r>
        <w:tab/>
        <w:t xml:space="preserve">The calculated cap is 3 using the </w:t>
      </w:r>
      <w:proofErr w:type="spellStart"/>
      <w:r>
        <w:t>IntUniform</w:t>
      </w:r>
      <w:proofErr w:type="spellEnd"/>
      <w:r>
        <w:t xml:space="preserve"> distribution, which is equal to the corresponding </w:t>
      </w:r>
      <w:r w:rsidRPr="00BD4D81">
        <w:t xml:space="preserve">performance target. </w:t>
      </w:r>
      <w:r>
        <w:t>T</w:t>
      </w:r>
      <w:r w:rsidRPr="00BD4D81">
        <w:t>his outcome is nonsensical as it</w:t>
      </w:r>
      <w:r>
        <w:t xml:space="preserve"> </w:t>
      </w:r>
      <w:r w:rsidRPr="00BD4D81">
        <w:t xml:space="preserve">would result in a situation where </w:t>
      </w:r>
      <w:r>
        <w:t xml:space="preserve">TransGrid </w:t>
      </w:r>
      <w:r w:rsidRPr="00BD4D81">
        <w:t xml:space="preserve">could receive both the financial </w:t>
      </w:r>
      <w:r>
        <w:t>reward</w:t>
      </w:r>
      <w:r w:rsidRPr="00BD4D81">
        <w:t xml:space="preserve"> associated</w:t>
      </w:r>
      <w:r>
        <w:t xml:space="preserve"> </w:t>
      </w:r>
      <w:r w:rsidRPr="00BD4D81">
        <w:t>with the c</w:t>
      </w:r>
      <w:r>
        <w:t>ap</w:t>
      </w:r>
      <w:r w:rsidRPr="00BD4D81">
        <w:t xml:space="preserve"> (maximum </w:t>
      </w:r>
      <w:r>
        <w:t>bonus</w:t>
      </w:r>
      <w:r w:rsidRPr="00BD4D81">
        <w:t xml:space="preserve">) and target (no bonus or penalty). </w:t>
      </w:r>
      <w:r>
        <w:t>Therefore we adjust the cap to 2 events.</w:t>
      </w:r>
    </w:p>
  </w:footnote>
  <w:footnote w:id="46">
    <w:p w:rsidR="00E408E2" w:rsidRDefault="00E408E2" w:rsidP="006B2B8E">
      <w:pPr>
        <w:pStyle w:val="FootnoteText"/>
      </w:pPr>
      <w:r>
        <w:rPr>
          <w:rStyle w:val="FootnoteReference"/>
        </w:rPr>
        <w:footnoteRef/>
      </w:r>
      <w:r>
        <w:t xml:space="preserve"> </w:t>
      </w:r>
      <w:r>
        <w:tab/>
      </w:r>
      <w:r w:rsidRPr="007F1838">
        <w:rPr>
          <w:rStyle w:val="AERtexthighlight"/>
          <w:shd w:val="clear" w:color="auto" w:fill="auto"/>
        </w:rPr>
        <w:t>AER email to TransGrid dated 23 September 2014, TransGrid email to AER dated 9 October 2014 and AER letter to TransGrid dated 17 October 2014.</w:t>
      </w:r>
      <w:r>
        <w:rPr>
          <w:rStyle w:val="AERtexthighlight"/>
        </w:rPr>
        <w:t xml:space="preserve"> </w:t>
      </w:r>
      <w:r w:rsidRPr="00845B9B">
        <w:rPr>
          <w:rStyle w:val="AERtexthighlight"/>
        </w:rPr>
        <w:t xml:space="preserve">  </w:t>
      </w:r>
    </w:p>
  </w:footnote>
  <w:footnote w:id="47">
    <w:p w:rsidR="00E408E2" w:rsidRDefault="00E408E2" w:rsidP="006B2B8E">
      <w:pPr>
        <w:pStyle w:val="FootnoteText"/>
      </w:pPr>
      <w:r>
        <w:rPr>
          <w:rStyle w:val="FootnoteReference"/>
        </w:rPr>
        <w:footnoteRef/>
      </w:r>
      <w:r>
        <w:t xml:space="preserve"> </w:t>
      </w:r>
      <w:r>
        <w:tab/>
        <w:t xml:space="preserve">AER, </w:t>
      </w:r>
      <w:r>
        <w:rPr>
          <w:rStyle w:val="AERtextitalic"/>
        </w:rPr>
        <w:t xml:space="preserve">Final – Service Target Performance Incentive Scheme, </w:t>
      </w:r>
      <w:r w:rsidRPr="0094542C">
        <w:rPr>
          <w:rStyle w:val="AERtextitalic"/>
          <w:i w:val="0"/>
        </w:rPr>
        <w:t>September 2014, clause 5.2.</w:t>
      </w:r>
      <w:r>
        <w:rPr>
          <w:rStyle w:val="AERtextitalic"/>
        </w:rPr>
        <w:t xml:space="preserve"> </w:t>
      </w:r>
    </w:p>
  </w:footnote>
  <w:footnote w:id="48">
    <w:p w:rsidR="00E408E2" w:rsidRDefault="00E408E2" w:rsidP="006B2B8E">
      <w:pPr>
        <w:pStyle w:val="FootnoteText"/>
      </w:pPr>
      <w:r>
        <w:rPr>
          <w:rStyle w:val="FootnoteReference"/>
        </w:rPr>
        <w:footnoteRef/>
      </w:r>
      <w:r>
        <w:t xml:space="preserve"> </w:t>
      </w:r>
      <w:r>
        <w:tab/>
      </w:r>
      <w:r w:rsidR="00D513E1">
        <w:t xml:space="preserve">AER, </w:t>
      </w:r>
      <w:r w:rsidR="00D513E1">
        <w:rPr>
          <w:rStyle w:val="AERtextitalic"/>
        </w:rPr>
        <w:t>Final – Service Target Performance Incentive Scheme, September 2014</w:t>
      </w:r>
      <w:r w:rsidR="00D513E1" w:rsidRPr="0021530A">
        <w:rPr>
          <w:rStyle w:val="FootnoteReference"/>
          <w:vertAlign w:val="baseline"/>
        </w:rPr>
        <w:t>, c</w:t>
      </w:r>
      <w:r w:rsidR="00D513E1">
        <w:t>l. 5</w:t>
      </w:r>
      <w:r>
        <w:t>.2(q)</w:t>
      </w:r>
      <w:r w:rsidR="00D513E1">
        <w:t>.</w:t>
      </w:r>
    </w:p>
  </w:footnote>
  <w:footnote w:id="49">
    <w:p w:rsidR="00E408E2" w:rsidRDefault="00E408E2" w:rsidP="006B2B8E">
      <w:pPr>
        <w:pStyle w:val="FootnoteText"/>
      </w:pPr>
      <w:r>
        <w:rPr>
          <w:rStyle w:val="FootnoteReference"/>
        </w:rPr>
        <w:footnoteRef/>
      </w:r>
      <w:r>
        <w:t xml:space="preserve"> </w:t>
      </w:r>
      <w:r>
        <w:tab/>
        <w:t xml:space="preserve">TransGrid, </w:t>
      </w:r>
      <w:r w:rsidRPr="005D058B">
        <w:rPr>
          <w:rStyle w:val="AERtextitalic"/>
        </w:rPr>
        <w:t>Attachment L – Contingent Projects</w:t>
      </w:r>
      <w:r>
        <w:t xml:space="preserve">, p.16; TransGrid, </w:t>
      </w:r>
      <w:r w:rsidRPr="005D058B">
        <w:rPr>
          <w:rStyle w:val="AERtextitalic"/>
        </w:rPr>
        <w:t>Attachment AG</w:t>
      </w:r>
      <w:r>
        <w:t xml:space="preserve"> – </w:t>
      </w:r>
      <w:r>
        <w:rPr>
          <w:rStyle w:val="AERtextitalic"/>
        </w:rPr>
        <w:t xml:space="preserve">Network Capability Incentive Parameter Action Plan 2014/15 – 2017/18, </w:t>
      </w:r>
      <w:r w:rsidRPr="005D058B">
        <w:rPr>
          <w:rStyle w:val="AERtextitalic"/>
          <w:i w:val="0"/>
        </w:rPr>
        <w:t>pp. 20-22.</w:t>
      </w:r>
    </w:p>
  </w:footnote>
  <w:footnote w:id="50">
    <w:p w:rsidR="00E408E2" w:rsidRDefault="00E408E2" w:rsidP="006B2B8E">
      <w:pPr>
        <w:pStyle w:val="FootnoteText"/>
      </w:pPr>
      <w:r>
        <w:rPr>
          <w:rStyle w:val="FootnoteReference"/>
        </w:rPr>
        <w:footnoteRef/>
      </w:r>
      <w:r>
        <w:t xml:space="preserve"> </w:t>
      </w:r>
      <w:r>
        <w:tab/>
      </w:r>
      <w:proofErr w:type="gramStart"/>
      <w:r>
        <w:t xml:space="preserve">EMRF, </w:t>
      </w:r>
      <w:r w:rsidRPr="00C91EE4">
        <w:rPr>
          <w:rStyle w:val="AERtextitalic"/>
        </w:rPr>
        <w:t>Submission on TransGrid's Revenue Proposal</w:t>
      </w:r>
      <w:r>
        <w:t>, July 2014, p.79-80.</w:t>
      </w:r>
      <w:proofErr w:type="gramEnd"/>
    </w:p>
  </w:footnote>
  <w:footnote w:id="51">
    <w:p w:rsidR="00E408E2" w:rsidRDefault="00E408E2" w:rsidP="006B2B8E">
      <w:pPr>
        <w:pStyle w:val="FootnoteText"/>
      </w:pPr>
      <w:r>
        <w:rPr>
          <w:rStyle w:val="FootnoteReference"/>
        </w:rPr>
        <w:footnoteRef/>
      </w:r>
      <w:r>
        <w:t xml:space="preserve"> </w:t>
      </w:r>
      <w:r>
        <w:tab/>
        <w:t xml:space="preserve">AER, </w:t>
      </w:r>
      <w:r w:rsidRPr="00EC6877">
        <w:rPr>
          <w:rStyle w:val="AERtextitalic"/>
        </w:rPr>
        <w:t>Explanatory statement electricity transmission network service providers draft service target performance incentive scheme</w:t>
      </w:r>
      <w:r>
        <w:t>, September 2012, p.35</w:t>
      </w:r>
      <w:r w:rsidR="00662027">
        <w:t>.</w:t>
      </w:r>
    </w:p>
  </w:footnote>
  <w:footnote w:id="52">
    <w:p w:rsidR="00E408E2" w:rsidRDefault="00E408E2" w:rsidP="006B2B8E">
      <w:pPr>
        <w:pStyle w:val="FootnoteText"/>
      </w:pPr>
      <w:r>
        <w:rPr>
          <w:rStyle w:val="FootnoteReference"/>
        </w:rPr>
        <w:footnoteRef/>
      </w:r>
      <w:r>
        <w:t xml:space="preserve"> </w:t>
      </w:r>
      <w:r>
        <w:tab/>
      </w:r>
      <w:proofErr w:type="gramStart"/>
      <w:r>
        <w:t xml:space="preserve">EMRF, </w:t>
      </w:r>
      <w:r w:rsidRPr="00C91EE4">
        <w:rPr>
          <w:rStyle w:val="AERtextitalic"/>
        </w:rPr>
        <w:t>Submission on TransGrid's Revenue Proposal</w:t>
      </w:r>
      <w:r>
        <w:t xml:space="preserve">, July 2014, pp.79-81; EUAA, </w:t>
      </w:r>
      <w:r w:rsidRPr="00370DC3">
        <w:rPr>
          <w:rStyle w:val="AERtextitalic"/>
        </w:rPr>
        <w:t xml:space="preserve">Submission on </w:t>
      </w:r>
      <w:proofErr w:type="spellStart"/>
      <w:r w:rsidRPr="00370DC3">
        <w:rPr>
          <w:rStyle w:val="AERtextitalic"/>
        </w:rPr>
        <w:t>Transgrid's</w:t>
      </w:r>
      <w:proofErr w:type="spellEnd"/>
      <w:r w:rsidRPr="00370DC3">
        <w:rPr>
          <w:rStyle w:val="AERtextitalic"/>
        </w:rPr>
        <w:t xml:space="preserve"> Revenue Proposal 2014</w:t>
      </w:r>
      <w:r>
        <w:rPr>
          <w:rStyle w:val="AERtextitalic"/>
        </w:rPr>
        <w:t>–</w:t>
      </w:r>
      <w:r w:rsidRPr="00370DC3">
        <w:rPr>
          <w:rStyle w:val="AERtextitalic"/>
        </w:rPr>
        <w:t xml:space="preserve"> 2019</w:t>
      </w:r>
      <w:r>
        <w:t xml:space="preserve">, 8 August 2014, p.12; NSA, </w:t>
      </w:r>
      <w:r w:rsidRPr="00C91EE4">
        <w:rPr>
          <w:rStyle w:val="AERtextitalic"/>
        </w:rPr>
        <w:t>Submission</w:t>
      </w:r>
      <w:r>
        <w:rPr>
          <w:rStyle w:val="AERtextitalic"/>
        </w:rPr>
        <w:t xml:space="preserve"> on TransGrid's Revenue Proposal</w:t>
      </w:r>
      <w:r>
        <w:t>, August 2014, p.12.</w:t>
      </w:r>
      <w:proofErr w:type="gramEnd"/>
    </w:p>
  </w:footnote>
  <w:footnote w:id="53">
    <w:p w:rsidR="00E408E2" w:rsidRDefault="00E408E2" w:rsidP="006B2B8E">
      <w:pPr>
        <w:pStyle w:val="FootnoteText"/>
      </w:pPr>
      <w:r>
        <w:rPr>
          <w:rStyle w:val="FootnoteReference"/>
        </w:rPr>
        <w:footnoteRef/>
      </w:r>
      <w:r>
        <w:t xml:space="preserve"> </w:t>
      </w:r>
      <w:r>
        <w:tab/>
      </w:r>
      <w:proofErr w:type="gramStart"/>
      <w:r>
        <w:t xml:space="preserve">AER, </w:t>
      </w:r>
      <w:r w:rsidRPr="0001675C">
        <w:rPr>
          <w:rStyle w:val="AERtextitalic"/>
        </w:rPr>
        <w:t>Explanatory statement – Electricity transmission network service providers, Draft service target performance incentive scheme, September 2012</w:t>
      </w:r>
      <w:r>
        <w:t>, p.35.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A" w:rsidRDefault="00213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A" w:rsidRDefault="002135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4A" w:rsidRDefault="00213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7">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0"/>
  </w:num>
  <w:num w:numId="6">
    <w:abstractNumId w:val="7"/>
  </w:num>
  <w:num w:numId="7">
    <w:abstractNumId w:val="4"/>
  </w:num>
  <w:num w:numId="8">
    <w:abstractNumId w:val="1"/>
  </w:num>
  <w:num w:numId="9">
    <w:abstractNumId w:val="6"/>
    <w:lvlOverride w:ilvl="0">
      <w:startOverride w:val="1"/>
    </w:lvlOverride>
  </w:num>
  <w:num w:numId="10">
    <w:abstractNumId w:val="9"/>
  </w:num>
  <w:num w:numId="11">
    <w:abstractNumId w:val="8"/>
  </w:num>
  <w:num w:numId="12">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468\D14 118454  TransGrid reset 2014-19 - Draft decision - Service target performance scheme.DOCX"/>
  </w:docVars>
  <w:rsids>
    <w:rsidRoot w:val="000C052F"/>
    <w:rsid w:val="000020D3"/>
    <w:rsid w:val="00011129"/>
    <w:rsid w:val="00014E8E"/>
    <w:rsid w:val="0002000D"/>
    <w:rsid w:val="00022606"/>
    <w:rsid w:val="00032995"/>
    <w:rsid w:val="0003484A"/>
    <w:rsid w:val="00040599"/>
    <w:rsid w:val="00040749"/>
    <w:rsid w:val="00056A9C"/>
    <w:rsid w:val="000A1CC2"/>
    <w:rsid w:val="000A5342"/>
    <w:rsid w:val="000B15CA"/>
    <w:rsid w:val="000B1CDB"/>
    <w:rsid w:val="000C052F"/>
    <w:rsid w:val="000C3430"/>
    <w:rsid w:val="000D03C2"/>
    <w:rsid w:val="000D04B1"/>
    <w:rsid w:val="000D401F"/>
    <w:rsid w:val="000D5CFB"/>
    <w:rsid w:val="000D6724"/>
    <w:rsid w:val="000E1A25"/>
    <w:rsid w:val="000F3A6A"/>
    <w:rsid w:val="000F3F90"/>
    <w:rsid w:val="00101DD2"/>
    <w:rsid w:val="001033B3"/>
    <w:rsid w:val="00103D84"/>
    <w:rsid w:val="00105636"/>
    <w:rsid w:val="0011166F"/>
    <w:rsid w:val="00114231"/>
    <w:rsid w:val="00123B22"/>
    <w:rsid w:val="0013022D"/>
    <w:rsid w:val="001543D2"/>
    <w:rsid w:val="001552F3"/>
    <w:rsid w:val="00157550"/>
    <w:rsid w:val="00174026"/>
    <w:rsid w:val="001856EE"/>
    <w:rsid w:val="00194C3C"/>
    <w:rsid w:val="001A5420"/>
    <w:rsid w:val="001B1C3C"/>
    <w:rsid w:val="001B68BB"/>
    <w:rsid w:val="001C12E5"/>
    <w:rsid w:val="001C65A5"/>
    <w:rsid w:val="001F6AA2"/>
    <w:rsid w:val="0020711E"/>
    <w:rsid w:val="00210880"/>
    <w:rsid w:val="0021354A"/>
    <w:rsid w:val="002257B9"/>
    <w:rsid w:val="00225920"/>
    <w:rsid w:val="002307CA"/>
    <w:rsid w:val="0023137D"/>
    <w:rsid w:val="00251717"/>
    <w:rsid w:val="00263E45"/>
    <w:rsid w:val="00266710"/>
    <w:rsid w:val="00272B1D"/>
    <w:rsid w:val="00272BB1"/>
    <w:rsid w:val="0028026E"/>
    <w:rsid w:val="002805B8"/>
    <w:rsid w:val="002938CE"/>
    <w:rsid w:val="002A4E1C"/>
    <w:rsid w:val="002B6640"/>
    <w:rsid w:val="002D513D"/>
    <w:rsid w:val="002D61AC"/>
    <w:rsid w:val="002E4720"/>
    <w:rsid w:val="002E6BBF"/>
    <w:rsid w:val="00303452"/>
    <w:rsid w:val="0032099C"/>
    <w:rsid w:val="00326992"/>
    <w:rsid w:val="00326E06"/>
    <w:rsid w:val="003324F7"/>
    <w:rsid w:val="00334F88"/>
    <w:rsid w:val="00335860"/>
    <w:rsid w:val="00352762"/>
    <w:rsid w:val="003707DB"/>
    <w:rsid w:val="00375AEC"/>
    <w:rsid w:val="00376236"/>
    <w:rsid w:val="0037652C"/>
    <w:rsid w:val="003800E4"/>
    <w:rsid w:val="00380FF5"/>
    <w:rsid w:val="00383EFE"/>
    <w:rsid w:val="003923D5"/>
    <w:rsid w:val="00394BBE"/>
    <w:rsid w:val="003A6174"/>
    <w:rsid w:val="003B7FE3"/>
    <w:rsid w:val="003C6AF1"/>
    <w:rsid w:val="003D1F48"/>
    <w:rsid w:val="003E413E"/>
    <w:rsid w:val="00402A34"/>
    <w:rsid w:val="004030AB"/>
    <w:rsid w:val="00412282"/>
    <w:rsid w:val="00417938"/>
    <w:rsid w:val="004256BA"/>
    <w:rsid w:val="00430D5E"/>
    <w:rsid w:val="00431999"/>
    <w:rsid w:val="00433D80"/>
    <w:rsid w:val="00435682"/>
    <w:rsid w:val="00441CA0"/>
    <w:rsid w:val="00444EA5"/>
    <w:rsid w:val="00455643"/>
    <w:rsid w:val="00456081"/>
    <w:rsid w:val="00464F5D"/>
    <w:rsid w:val="00474FBD"/>
    <w:rsid w:val="00491D7D"/>
    <w:rsid w:val="004A3F13"/>
    <w:rsid w:val="004B00F6"/>
    <w:rsid w:val="004C3F45"/>
    <w:rsid w:val="004C6859"/>
    <w:rsid w:val="004D654A"/>
    <w:rsid w:val="004E40EF"/>
    <w:rsid w:val="004E73F7"/>
    <w:rsid w:val="004F76A0"/>
    <w:rsid w:val="00500E7F"/>
    <w:rsid w:val="00507C89"/>
    <w:rsid w:val="00516C0C"/>
    <w:rsid w:val="0052179D"/>
    <w:rsid w:val="00532FB7"/>
    <w:rsid w:val="005456A9"/>
    <w:rsid w:val="0055232A"/>
    <w:rsid w:val="00555D52"/>
    <w:rsid w:val="005566D7"/>
    <w:rsid w:val="00561F7F"/>
    <w:rsid w:val="005634C8"/>
    <w:rsid w:val="00566B35"/>
    <w:rsid w:val="005732CC"/>
    <w:rsid w:val="0057536E"/>
    <w:rsid w:val="00575422"/>
    <w:rsid w:val="005914E3"/>
    <w:rsid w:val="005938C6"/>
    <w:rsid w:val="005A0431"/>
    <w:rsid w:val="005A59E5"/>
    <w:rsid w:val="005B0059"/>
    <w:rsid w:val="005B3752"/>
    <w:rsid w:val="005B61C2"/>
    <w:rsid w:val="005D26B7"/>
    <w:rsid w:val="005D4AA1"/>
    <w:rsid w:val="005E2F03"/>
    <w:rsid w:val="005E32D0"/>
    <w:rsid w:val="006002AA"/>
    <w:rsid w:val="0060146C"/>
    <w:rsid w:val="0060207D"/>
    <w:rsid w:val="006039F2"/>
    <w:rsid w:val="006061B0"/>
    <w:rsid w:val="0060732E"/>
    <w:rsid w:val="006076A9"/>
    <w:rsid w:val="00612E88"/>
    <w:rsid w:val="00643046"/>
    <w:rsid w:val="00651E53"/>
    <w:rsid w:val="006544EA"/>
    <w:rsid w:val="0065735F"/>
    <w:rsid w:val="006605A7"/>
    <w:rsid w:val="00662027"/>
    <w:rsid w:val="0066569F"/>
    <w:rsid w:val="00674ADD"/>
    <w:rsid w:val="0069004B"/>
    <w:rsid w:val="006918BE"/>
    <w:rsid w:val="006B08EB"/>
    <w:rsid w:val="006B2B8E"/>
    <w:rsid w:val="006B481F"/>
    <w:rsid w:val="006D0FF2"/>
    <w:rsid w:val="006D1685"/>
    <w:rsid w:val="006D17E9"/>
    <w:rsid w:val="006D42EF"/>
    <w:rsid w:val="006F638E"/>
    <w:rsid w:val="00700C82"/>
    <w:rsid w:val="00703A6D"/>
    <w:rsid w:val="00703E42"/>
    <w:rsid w:val="00727F3D"/>
    <w:rsid w:val="007368AD"/>
    <w:rsid w:val="00743140"/>
    <w:rsid w:val="007432E6"/>
    <w:rsid w:val="007450EA"/>
    <w:rsid w:val="00751D2A"/>
    <w:rsid w:val="00755095"/>
    <w:rsid w:val="00757E18"/>
    <w:rsid w:val="00776AA2"/>
    <w:rsid w:val="00783DE7"/>
    <w:rsid w:val="00796A07"/>
    <w:rsid w:val="007A2035"/>
    <w:rsid w:val="007A7B63"/>
    <w:rsid w:val="007B6C7F"/>
    <w:rsid w:val="007C4CD0"/>
    <w:rsid w:val="007D4C2A"/>
    <w:rsid w:val="007D62C5"/>
    <w:rsid w:val="007F10E3"/>
    <w:rsid w:val="007F2C0E"/>
    <w:rsid w:val="00804AEB"/>
    <w:rsid w:val="00824CC8"/>
    <w:rsid w:val="00836D17"/>
    <w:rsid w:val="00840A55"/>
    <w:rsid w:val="00841E25"/>
    <w:rsid w:val="00845B9B"/>
    <w:rsid w:val="008464CD"/>
    <w:rsid w:val="008473E2"/>
    <w:rsid w:val="008515EE"/>
    <w:rsid w:val="00851775"/>
    <w:rsid w:val="00861C4E"/>
    <w:rsid w:val="00866D21"/>
    <w:rsid w:val="00872D85"/>
    <w:rsid w:val="00883DDA"/>
    <w:rsid w:val="00884725"/>
    <w:rsid w:val="008918B7"/>
    <w:rsid w:val="00891F71"/>
    <w:rsid w:val="00891FF9"/>
    <w:rsid w:val="00893367"/>
    <w:rsid w:val="00893D07"/>
    <w:rsid w:val="008948C8"/>
    <w:rsid w:val="008A719B"/>
    <w:rsid w:val="008B7956"/>
    <w:rsid w:val="008C1EB8"/>
    <w:rsid w:val="008C3722"/>
    <w:rsid w:val="008C3B67"/>
    <w:rsid w:val="008C3F48"/>
    <w:rsid w:val="008C5D76"/>
    <w:rsid w:val="008D49B4"/>
    <w:rsid w:val="008D7498"/>
    <w:rsid w:val="008E1DBF"/>
    <w:rsid w:val="00906485"/>
    <w:rsid w:val="00922C76"/>
    <w:rsid w:val="00923FA6"/>
    <w:rsid w:val="00932E96"/>
    <w:rsid w:val="009418E6"/>
    <w:rsid w:val="0094235F"/>
    <w:rsid w:val="0094279F"/>
    <w:rsid w:val="0094542C"/>
    <w:rsid w:val="00946B98"/>
    <w:rsid w:val="00946D3F"/>
    <w:rsid w:val="0095052A"/>
    <w:rsid w:val="00956A9B"/>
    <w:rsid w:val="00964A91"/>
    <w:rsid w:val="009658F0"/>
    <w:rsid w:val="00967861"/>
    <w:rsid w:val="00971655"/>
    <w:rsid w:val="00971C63"/>
    <w:rsid w:val="009842DE"/>
    <w:rsid w:val="0098513F"/>
    <w:rsid w:val="00986E74"/>
    <w:rsid w:val="009872F1"/>
    <w:rsid w:val="009A3CD3"/>
    <w:rsid w:val="009A4AE9"/>
    <w:rsid w:val="009A7FC1"/>
    <w:rsid w:val="009B7BD1"/>
    <w:rsid w:val="009C71D5"/>
    <w:rsid w:val="009E7EEB"/>
    <w:rsid w:val="009F7CE4"/>
    <w:rsid w:val="00A11162"/>
    <w:rsid w:val="00A270A8"/>
    <w:rsid w:val="00A43227"/>
    <w:rsid w:val="00A44797"/>
    <w:rsid w:val="00A46CCD"/>
    <w:rsid w:val="00A52CB7"/>
    <w:rsid w:val="00A61C1D"/>
    <w:rsid w:val="00A65133"/>
    <w:rsid w:val="00A652C5"/>
    <w:rsid w:val="00A85C5A"/>
    <w:rsid w:val="00A96A08"/>
    <w:rsid w:val="00AA0161"/>
    <w:rsid w:val="00AA75C3"/>
    <w:rsid w:val="00AA7BB1"/>
    <w:rsid w:val="00AB1D08"/>
    <w:rsid w:val="00AB4345"/>
    <w:rsid w:val="00AB5BD7"/>
    <w:rsid w:val="00AC0135"/>
    <w:rsid w:val="00AC070D"/>
    <w:rsid w:val="00AC1B94"/>
    <w:rsid w:val="00AC7D8E"/>
    <w:rsid w:val="00AD0616"/>
    <w:rsid w:val="00AD34FF"/>
    <w:rsid w:val="00AD4DE6"/>
    <w:rsid w:val="00AE1D82"/>
    <w:rsid w:val="00AE21FB"/>
    <w:rsid w:val="00AE6DBC"/>
    <w:rsid w:val="00AF3E95"/>
    <w:rsid w:val="00AF5C48"/>
    <w:rsid w:val="00AF7C67"/>
    <w:rsid w:val="00B06FB7"/>
    <w:rsid w:val="00B15B5B"/>
    <w:rsid w:val="00B15FE9"/>
    <w:rsid w:val="00B168C2"/>
    <w:rsid w:val="00B33776"/>
    <w:rsid w:val="00B44CA6"/>
    <w:rsid w:val="00B47945"/>
    <w:rsid w:val="00B47BB9"/>
    <w:rsid w:val="00B51883"/>
    <w:rsid w:val="00B61FD4"/>
    <w:rsid w:val="00B674DB"/>
    <w:rsid w:val="00B82E8D"/>
    <w:rsid w:val="00B9264D"/>
    <w:rsid w:val="00B94D99"/>
    <w:rsid w:val="00BB3FA1"/>
    <w:rsid w:val="00BB62BB"/>
    <w:rsid w:val="00BC05C5"/>
    <w:rsid w:val="00BD04BE"/>
    <w:rsid w:val="00BE6F28"/>
    <w:rsid w:val="00BF29FA"/>
    <w:rsid w:val="00C04D2B"/>
    <w:rsid w:val="00C1106A"/>
    <w:rsid w:val="00C111CE"/>
    <w:rsid w:val="00C1328A"/>
    <w:rsid w:val="00C45314"/>
    <w:rsid w:val="00C57AD6"/>
    <w:rsid w:val="00C64E4B"/>
    <w:rsid w:val="00C7009D"/>
    <w:rsid w:val="00C714DA"/>
    <w:rsid w:val="00C737C5"/>
    <w:rsid w:val="00C73C43"/>
    <w:rsid w:val="00C869D3"/>
    <w:rsid w:val="00CA3540"/>
    <w:rsid w:val="00CA5BA6"/>
    <w:rsid w:val="00CA6DED"/>
    <w:rsid w:val="00CA7CA8"/>
    <w:rsid w:val="00CC49D4"/>
    <w:rsid w:val="00CC4A47"/>
    <w:rsid w:val="00CC64EC"/>
    <w:rsid w:val="00CC7B80"/>
    <w:rsid w:val="00CD2AE9"/>
    <w:rsid w:val="00CE6F5A"/>
    <w:rsid w:val="00CF42CF"/>
    <w:rsid w:val="00D02E6F"/>
    <w:rsid w:val="00D102E9"/>
    <w:rsid w:val="00D161A2"/>
    <w:rsid w:val="00D1688F"/>
    <w:rsid w:val="00D2117F"/>
    <w:rsid w:val="00D218F3"/>
    <w:rsid w:val="00D25317"/>
    <w:rsid w:val="00D26760"/>
    <w:rsid w:val="00D4602D"/>
    <w:rsid w:val="00D513E1"/>
    <w:rsid w:val="00D64967"/>
    <w:rsid w:val="00D66E8B"/>
    <w:rsid w:val="00D8033E"/>
    <w:rsid w:val="00D83A83"/>
    <w:rsid w:val="00D85715"/>
    <w:rsid w:val="00D8706C"/>
    <w:rsid w:val="00D96915"/>
    <w:rsid w:val="00DA4C62"/>
    <w:rsid w:val="00DB6A17"/>
    <w:rsid w:val="00DD1F89"/>
    <w:rsid w:val="00DD3682"/>
    <w:rsid w:val="00DD4E84"/>
    <w:rsid w:val="00DD5520"/>
    <w:rsid w:val="00DF16C2"/>
    <w:rsid w:val="00DF6FDC"/>
    <w:rsid w:val="00E00F76"/>
    <w:rsid w:val="00E169C5"/>
    <w:rsid w:val="00E2029B"/>
    <w:rsid w:val="00E21E75"/>
    <w:rsid w:val="00E408E2"/>
    <w:rsid w:val="00E50B84"/>
    <w:rsid w:val="00E519DC"/>
    <w:rsid w:val="00E7382F"/>
    <w:rsid w:val="00E76AF5"/>
    <w:rsid w:val="00E807DA"/>
    <w:rsid w:val="00E84E3A"/>
    <w:rsid w:val="00EA05AF"/>
    <w:rsid w:val="00EB1F50"/>
    <w:rsid w:val="00EB5CDF"/>
    <w:rsid w:val="00EC43B9"/>
    <w:rsid w:val="00EC4CB4"/>
    <w:rsid w:val="00ED09CD"/>
    <w:rsid w:val="00ED4D69"/>
    <w:rsid w:val="00EE362F"/>
    <w:rsid w:val="00EF0E19"/>
    <w:rsid w:val="00F0258A"/>
    <w:rsid w:val="00F114AE"/>
    <w:rsid w:val="00F22901"/>
    <w:rsid w:val="00F277B0"/>
    <w:rsid w:val="00F354EF"/>
    <w:rsid w:val="00F43CA0"/>
    <w:rsid w:val="00F51028"/>
    <w:rsid w:val="00F5275E"/>
    <w:rsid w:val="00F54765"/>
    <w:rsid w:val="00F55030"/>
    <w:rsid w:val="00F551D0"/>
    <w:rsid w:val="00F7696F"/>
    <w:rsid w:val="00F8209B"/>
    <w:rsid w:val="00F82CB7"/>
    <w:rsid w:val="00F97CD9"/>
    <w:rsid w:val="00FA0576"/>
    <w:rsid w:val="00FA769B"/>
    <w:rsid w:val="00FB415A"/>
    <w:rsid w:val="00FB50B4"/>
    <w:rsid w:val="00FD4B97"/>
    <w:rsid w:val="00FE4C79"/>
    <w:rsid w:val="00FE55EB"/>
    <w:rsid w:val="00FE70F3"/>
    <w:rsid w:val="00FF214D"/>
    <w:rsid w:val="00FF38FF"/>
    <w:rsid w:val="00FF5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uiPriority="0"/>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E408E2"/>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B66FC9F5.dotm</Template>
  <TotalTime>0</TotalTime>
  <Pages>24</Pages>
  <Words>6940</Words>
  <Characters>39562</Characters>
  <Application>Microsoft Office Word</Application>
  <DocSecurity>0</DocSecurity>
  <Lines>329</Lines>
  <Paragraphs>92</Paragraphs>
  <ScaleCrop>false</ScaleCrop>
  <Company/>
  <LinksUpToDate>false</LinksUpToDate>
  <CharactersWithSpaces>46410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2014-11-26T04:34:00Z</dcterms:created>
  <dcterms:modified xsi:type="dcterms:W3CDTF">2014-11-26T04:34:00Z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8286281</vt:lpwstr>
  </property>
</Properties>
</file>