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BA" w:rsidRDefault="00D90ABA" w:rsidP="00D90ABA">
      <w:pPr>
        <w:pStyle w:val="AERtitle1"/>
      </w:pPr>
      <w:bookmarkStart w:id="0" w:name="_GoBack"/>
      <w:bookmarkEnd w:id="0"/>
      <w:r w:rsidRPr="00D90ABA">
        <w:rPr>
          <w:noProof/>
        </w:rPr>
        <w:drawing>
          <wp:anchor distT="0" distB="0" distL="114300" distR="114300" simplePos="0" relativeHeight="251659264" behindDoc="1" locked="0" layoutInCell="1" allowOverlap="1" wp14:anchorId="007D9D82" wp14:editId="6E103AFF">
            <wp:simplePos x="0" y="0"/>
            <wp:positionH relativeFrom="column">
              <wp:posOffset>-920851</wp:posOffset>
            </wp:positionH>
            <wp:positionV relativeFrom="paragraph">
              <wp:posOffset>-960095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90ABA" w:rsidRDefault="00D90ABA" w:rsidP="00D90ABA">
      <w:pPr>
        <w:pStyle w:val="AERtitle1"/>
      </w:pPr>
    </w:p>
    <w:p w:rsidR="00D90ABA" w:rsidRDefault="00D90ABA" w:rsidP="00D90ABA">
      <w:pPr>
        <w:pStyle w:val="AERtitle1"/>
      </w:pPr>
    </w:p>
    <w:p w:rsidR="00D90ABA" w:rsidRDefault="00D90ABA" w:rsidP="00D90ABA">
      <w:pPr>
        <w:pStyle w:val="AERtitle1"/>
      </w:pPr>
    </w:p>
    <w:p w:rsidR="00D90ABA" w:rsidRDefault="00D90ABA" w:rsidP="00D90ABA">
      <w:pPr>
        <w:pStyle w:val="AERtitle1"/>
      </w:pPr>
    </w:p>
    <w:p w:rsidR="00D90ABA" w:rsidRDefault="00D90ABA" w:rsidP="00D90ABA">
      <w:pPr>
        <w:pStyle w:val="AERtitle1"/>
      </w:pPr>
    </w:p>
    <w:p w:rsidR="00D90ABA" w:rsidRDefault="00D90ABA" w:rsidP="00D90ABA">
      <w:pPr>
        <w:pStyle w:val="AERtitle1"/>
      </w:pPr>
      <w:r>
        <w:t xml:space="preserve">Draft decision </w:t>
      </w:r>
    </w:p>
    <w:p w:rsidR="00D90ABA" w:rsidRPr="003254C8" w:rsidRDefault="00D90ABA" w:rsidP="00D90ABA">
      <w:pPr>
        <w:pStyle w:val="AERtitle1"/>
      </w:pPr>
      <w:r>
        <w:t xml:space="preserve">TransGrid </w:t>
      </w:r>
      <w:r w:rsidRPr="003254C8">
        <w:t>transmission determination</w:t>
      </w:r>
    </w:p>
    <w:p w:rsidR="00D90ABA" w:rsidRDefault="00D90ABA" w:rsidP="00D90ABA">
      <w:pPr>
        <w:pStyle w:val="AERtitle1"/>
      </w:pPr>
      <w:r>
        <w:t>2015</w:t>
      </w:r>
      <w:r w:rsidRPr="00D90ABA">
        <w:t>–</w:t>
      </w:r>
      <w:r w:rsidRPr="003254C8">
        <w:t>16</w:t>
      </w:r>
      <w:r>
        <w:t xml:space="preserve"> to 2017</w:t>
      </w:r>
      <w:r w:rsidRPr="00D90ABA">
        <w:t>–</w:t>
      </w:r>
      <w:r>
        <w:t>18</w:t>
      </w:r>
    </w:p>
    <w:p w:rsidR="00D90ABA" w:rsidRDefault="00D90ABA" w:rsidP="00D90ABA">
      <w:pPr>
        <w:pStyle w:val="AERtitle1"/>
      </w:pPr>
      <w:r>
        <w:t>Attachment 9: Efficiency benefit sharing scheme</w:t>
      </w:r>
    </w:p>
    <w:p w:rsidR="00D90ABA" w:rsidRDefault="00D90ABA" w:rsidP="00D90ABA">
      <w:pPr>
        <w:pStyle w:val="AERtitle1"/>
      </w:pPr>
    </w:p>
    <w:p w:rsidR="00D90ABA" w:rsidRDefault="00D90ABA" w:rsidP="00D90ABA"/>
    <w:p w:rsidR="00D90ABA" w:rsidRPr="00F6235D" w:rsidRDefault="00D90ABA" w:rsidP="00D90ABA"/>
    <w:p w:rsidR="00D90ABA" w:rsidRDefault="00D90ABA" w:rsidP="00D90ABA">
      <w:pPr>
        <w:pStyle w:val="AERtitle2"/>
      </w:pPr>
      <w:r>
        <w:t>November 2014</w:t>
      </w:r>
    </w:p>
    <w:p w:rsidR="00D90ABA" w:rsidRDefault="00D90ABA">
      <w:pPr>
        <w:spacing w:after="0" w:line="240" w:lineRule="auto"/>
        <w:jc w:val="left"/>
        <w:rPr>
          <w:rFonts w:eastAsia="Times New Roman"/>
          <w:sz w:val="32"/>
          <w:szCs w:val="24"/>
        </w:rPr>
      </w:pPr>
      <w:r>
        <w:br w:type="page"/>
      </w:r>
    </w:p>
    <w:p w:rsidR="00D90ABA" w:rsidRPr="00B06FB7" w:rsidRDefault="00D90ABA" w:rsidP="00D90ABA">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D90ABA" w:rsidRPr="00B06FB7" w:rsidRDefault="00D90ABA" w:rsidP="00D90ABA">
      <w:r w:rsidRPr="00B06FB7">
        <w:t>This work is copyright. In addition to any use permitted under the Copyright Act 1968, all material contained within this work is provided under a Creative Commons Attribution 3.0 Australia licence, with the exception of:</w:t>
      </w:r>
    </w:p>
    <w:p w:rsidR="00D90ABA" w:rsidRPr="00B06FB7" w:rsidRDefault="00D90ABA" w:rsidP="00D90ABA">
      <w:pPr>
        <w:pStyle w:val="AERbulletlistfirststyle"/>
      </w:pPr>
      <w:r w:rsidRPr="00B06FB7">
        <w:t>the Commonwealth Coat of Arms</w:t>
      </w:r>
    </w:p>
    <w:p w:rsidR="00D90ABA" w:rsidRPr="00B06FB7" w:rsidRDefault="00D90ABA" w:rsidP="00D90ABA">
      <w:pPr>
        <w:pStyle w:val="AERbulletlistfirststyle"/>
      </w:pPr>
      <w:r w:rsidRPr="00B06FB7">
        <w:t>the ACCC and AER logos</w:t>
      </w:r>
    </w:p>
    <w:p w:rsidR="00D90ABA" w:rsidRPr="00D90ABA" w:rsidRDefault="00D90ABA" w:rsidP="00D90ABA">
      <w:r w:rsidRPr="00B06FB7">
        <w:t>any illustration, diagram, photograph or graphic over which the Australian Competition and Consumer Commission does not hold copyright, but which may be part of or contained within this publication.</w:t>
      </w:r>
    </w:p>
    <w:p w:rsidR="00D90ABA" w:rsidRPr="00B06FB7" w:rsidRDefault="00D90ABA" w:rsidP="00D90ABA">
      <w:r w:rsidRPr="00B06FB7">
        <w:t>The details of the relevant licence conditions are available on the Creative Commons website, as is the full legal code for the CC BY 3.0 AU licence.</w:t>
      </w:r>
    </w:p>
    <w:p w:rsidR="00D90ABA" w:rsidRPr="00B06FB7" w:rsidRDefault="00D90ABA" w:rsidP="00D90ABA">
      <w:pPr>
        <w:numPr>
          <w:ilvl w:val="0"/>
          <w:numId w:val="13"/>
        </w:numPr>
      </w:pPr>
      <w:r w:rsidRPr="00B06FB7">
        <w:t>Requests and inquiries concerning reproduction and rights should be addressed to the Director, Corporate Communications, ACCC, GPO Box 3131, Canberra ACT 2601, or</w:t>
      </w:r>
    </w:p>
    <w:p w:rsidR="00D90ABA" w:rsidRPr="00B06FB7" w:rsidRDefault="00D90ABA" w:rsidP="00D90ABA">
      <w:pPr>
        <w:numPr>
          <w:ilvl w:val="0"/>
          <w:numId w:val="13"/>
        </w:numPr>
      </w:pPr>
      <w:r w:rsidRPr="00B06FB7">
        <w:t xml:space="preserve"> </w:t>
      </w:r>
      <w:hyperlink r:id="rId9" w:history="1">
        <w:r w:rsidRPr="00B06FB7">
          <w:t>publishing.unit@accc.gov.au</w:t>
        </w:r>
      </w:hyperlink>
      <w:r w:rsidRPr="00B06FB7">
        <w:t xml:space="preserve"> .</w:t>
      </w:r>
    </w:p>
    <w:p w:rsidR="00D90ABA" w:rsidRDefault="00D90ABA" w:rsidP="00D90ABA">
      <w:r>
        <w:t>Inquiries about this document should be addressed to:</w:t>
      </w:r>
    </w:p>
    <w:p w:rsidR="00D90ABA" w:rsidRDefault="00D90ABA" w:rsidP="00D90ABA">
      <w:pPr>
        <w:pStyle w:val="AERbodytextnospace"/>
      </w:pPr>
      <w:r>
        <w:t>Australian Energy Regulator</w:t>
      </w:r>
    </w:p>
    <w:p w:rsidR="00D90ABA" w:rsidRDefault="00D90ABA" w:rsidP="00D90ABA">
      <w:pPr>
        <w:pStyle w:val="AERbodytextnospace"/>
      </w:pPr>
      <w:r>
        <w:t>GPO Box 520</w:t>
      </w:r>
    </w:p>
    <w:p w:rsidR="00D90ABA" w:rsidRDefault="00D90ABA" w:rsidP="00D90ABA">
      <w:pPr>
        <w:pStyle w:val="AERbodytextnospace"/>
      </w:pPr>
      <w:r>
        <w:t>Melbourne  Vic  3001</w:t>
      </w:r>
    </w:p>
    <w:p w:rsidR="00D90ABA" w:rsidRDefault="00D90ABA" w:rsidP="00D90ABA">
      <w:pPr>
        <w:pStyle w:val="AERbodytextnospace"/>
      </w:pPr>
      <w:r>
        <w:t>Tel: (03) 9290 1444</w:t>
      </w:r>
    </w:p>
    <w:p w:rsidR="00D90ABA" w:rsidRDefault="00D90ABA" w:rsidP="00D90ABA">
      <w:pPr>
        <w:pStyle w:val="AERbodytextnospace"/>
      </w:pPr>
      <w:r>
        <w:t>Fax: (03) 9290 1457</w:t>
      </w:r>
    </w:p>
    <w:p w:rsidR="00D90ABA" w:rsidRDefault="00D90ABA" w:rsidP="00D90ABA">
      <w:pPr>
        <w:pStyle w:val="AERbodytextnospace"/>
      </w:pPr>
      <w:r>
        <w:t xml:space="preserve">Email: </w:t>
      </w:r>
      <w:hyperlink r:id="rId10" w:history="1">
        <w:r w:rsidRPr="003E184A">
          <w:rPr>
            <w:rStyle w:val="Hyperlink"/>
          </w:rPr>
          <w:t>AERInquiry@aer.gov.au</w:t>
        </w:r>
      </w:hyperlink>
    </w:p>
    <w:p w:rsidR="00D90ABA" w:rsidRPr="008F1A4A" w:rsidRDefault="00D90ABA" w:rsidP="00D90ABA"/>
    <w:p w:rsidR="00D90ABA" w:rsidRDefault="00D90ABA" w:rsidP="00D90ABA">
      <w:pPr>
        <w:pStyle w:val="AERbodytext"/>
      </w:pPr>
      <w:r>
        <w:t>AER reference</w:t>
      </w:r>
      <w:r w:rsidRPr="00B06FB7">
        <w:rPr>
          <w:rStyle w:val="AERbody"/>
        </w:rPr>
        <w:t>:   53444</w:t>
      </w:r>
      <w:r>
        <w:rPr>
          <w:rStyle w:val="AERbody"/>
        </w:rPr>
        <w:t xml:space="preserve">   </w:t>
      </w:r>
    </w:p>
    <w:p w:rsidR="00D90ABA" w:rsidRDefault="00D90ABA" w:rsidP="00D90ABA">
      <w:pPr>
        <w:pStyle w:val="UnnumberedHeading"/>
        <w:numPr>
          <w:ilvl w:val="0"/>
          <w:numId w:val="2"/>
        </w:numPr>
      </w:pPr>
      <w:bookmarkStart w:id="1" w:name="_Toc404153950"/>
      <w:bookmarkStart w:id="2" w:name="_Toc404180022"/>
      <w:r>
        <w:lastRenderedPageBreak/>
        <w:t>Note</w:t>
      </w:r>
      <w:bookmarkEnd w:id="1"/>
      <w:bookmarkEnd w:id="2"/>
    </w:p>
    <w:p w:rsidR="00D90ABA" w:rsidRDefault="00D90ABA" w:rsidP="00D90ABA">
      <w:pPr>
        <w:pStyle w:val="AERbodytext"/>
      </w:pPr>
      <w:r>
        <w:t>This attachment forms part of the AER's draft decision on TransGrid’s revenue proposal 2015</w:t>
      </w:r>
      <w:r w:rsidRPr="00D90ABA">
        <w:t>–</w:t>
      </w:r>
      <w:r>
        <w:t>18. It should be read with other parts of the draft decision.</w:t>
      </w:r>
    </w:p>
    <w:p w:rsidR="00D90ABA" w:rsidRDefault="00D90ABA" w:rsidP="00D90ABA">
      <w:pPr>
        <w:pStyle w:val="AERbodytext"/>
      </w:pPr>
      <w:r>
        <w:t>The draft decision includes the following documents:</w:t>
      </w:r>
    </w:p>
    <w:p w:rsidR="00D90ABA" w:rsidRDefault="00D90ABA" w:rsidP="00D90ABA">
      <w:pPr>
        <w:pStyle w:val="AERbodytext"/>
      </w:pPr>
      <w:r>
        <w:t>Overview</w:t>
      </w:r>
    </w:p>
    <w:p w:rsidR="00D90ABA" w:rsidRDefault="00D90ABA" w:rsidP="00D90ABA">
      <w:pPr>
        <w:pStyle w:val="AERbodytext"/>
      </w:pPr>
      <w:r>
        <w:t>Attachment 1 – maximum allowed revenue</w:t>
      </w:r>
    </w:p>
    <w:p w:rsidR="00D90ABA" w:rsidRDefault="00D90ABA" w:rsidP="00D90ABA">
      <w:pPr>
        <w:pStyle w:val="AERbodytext"/>
      </w:pPr>
      <w:r>
        <w:t>Attachment 2 – regulatory asset base</w:t>
      </w:r>
    </w:p>
    <w:p w:rsidR="00D90ABA" w:rsidRDefault="00D90ABA" w:rsidP="00D90ABA">
      <w:pPr>
        <w:pStyle w:val="AERbodytext"/>
      </w:pPr>
      <w:r>
        <w:t>Attachment 3 – rate of return</w:t>
      </w:r>
    </w:p>
    <w:p w:rsidR="00D90ABA" w:rsidRDefault="00D90ABA" w:rsidP="00D90ABA">
      <w:pPr>
        <w:pStyle w:val="AERbodytext"/>
      </w:pPr>
      <w:r>
        <w:t>Attachment 4 – value of imputation credits</w:t>
      </w:r>
    </w:p>
    <w:p w:rsidR="00D90ABA" w:rsidRDefault="00D90ABA" w:rsidP="00D90ABA">
      <w:pPr>
        <w:pStyle w:val="AERbodytext"/>
      </w:pPr>
      <w:r>
        <w:t>Attachment 5 – regulatory depreciation</w:t>
      </w:r>
    </w:p>
    <w:p w:rsidR="00D90ABA" w:rsidRDefault="00D90ABA" w:rsidP="00D90ABA">
      <w:pPr>
        <w:pStyle w:val="AERbodytext"/>
      </w:pPr>
      <w:r>
        <w:t xml:space="preserve">Attachment 6 – capital expenditure </w:t>
      </w:r>
    </w:p>
    <w:p w:rsidR="00D90ABA" w:rsidRDefault="00D90ABA" w:rsidP="00D90ABA">
      <w:pPr>
        <w:pStyle w:val="AERbodytext"/>
      </w:pPr>
      <w:r>
        <w:t>Attachment 7 – operating expenditure</w:t>
      </w:r>
    </w:p>
    <w:p w:rsidR="00D90ABA" w:rsidRDefault="00D90ABA" w:rsidP="00D90ABA">
      <w:pPr>
        <w:pStyle w:val="AERbodytext"/>
      </w:pPr>
      <w:r>
        <w:t>Attachment 8 – corporate income tax</w:t>
      </w:r>
    </w:p>
    <w:p w:rsidR="00D90ABA" w:rsidRDefault="00D90ABA" w:rsidP="00D90ABA">
      <w:pPr>
        <w:pStyle w:val="AERbodytext"/>
      </w:pPr>
      <w:r>
        <w:t>Attachment 9 – efficiency benefit sharing scheme</w:t>
      </w:r>
    </w:p>
    <w:p w:rsidR="00D90ABA" w:rsidRDefault="00D90ABA" w:rsidP="00D90ABA">
      <w:pPr>
        <w:pStyle w:val="AERbodytext"/>
      </w:pPr>
      <w:r>
        <w:t>Attachment 10 – capital expenditure sharing scheme</w:t>
      </w:r>
    </w:p>
    <w:p w:rsidR="00D90ABA" w:rsidRDefault="00D90ABA" w:rsidP="00D90ABA">
      <w:pPr>
        <w:pStyle w:val="AERbodytext"/>
      </w:pPr>
      <w:r>
        <w:t>Attachment 11 – service target performance incentive scheme</w:t>
      </w:r>
    </w:p>
    <w:p w:rsidR="00D90ABA" w:rsidRPr="00D90ABA" w:rsidRDefault="00D90ABA" w:rsidP="00D90ABA">
      <w:pPr>
        <w:pStyle w:val="AERbodytext"/>
      </w:pPr>
      <w:r>
        <w:t xml:space="preserve">Attachment 12 – </w:t>
      </w:r>
      <w:r w:rsidRPr="00D90ABA">
        <w:t>pricing methodology</w:t>
      </w:r>
    </w:p>
    <w:p w:rsidR="00D90ABA" w:rsidRPr="00D90ABA" w:rsidRDefault="00D90ABA" w:rsidP="00D90ABA">
      <w:pPr>
        <w:pStyle w:val="AERbodytext"/>
      </w:pPr>
      <w:r>
        <w:t xml:space="preserve">Attachment 13 </w:t>
      </w:r>
      <w:r w:rsidRPr="00D90ABA">
        <w:t>– pass through events</w:t>
      </w:r>
    </w:p>
    <w:p w:rsidR="00D90ABA" w:rsidRPr="00D90ABA" w:rsidRDefault="00D90ABA" w:rsidP="00D90ABA">
      <w:pPr>
        <w:pStyle w:val="AERbodytext"/>
      </w:pPr>
      <w:r>
        <w:t xml:space="preserve">Attachment 14 </w:t>
      </w:r>
      <w:r w:rsidRPr="00D90ABA">
        <w:t>– negotiated services</w:t>
      </w:r>
    </w:p>
    <w:p w:rsidR="00D90ABA" w:rsidRDefault="00D90ABA" w:rsidP="00D90ABA">
      <w:pPr>
        <w:pStyle w:val="UnnumberedHeading"/>
      </w:pPr>
      <w:bookmarkStart w:id="3" w:name="_Toc404153951"/>
      <w:bookmarkStart w:id="4" w:name="_Toc404180023"/>
      <w:r w:rsidRPr="00D90ABA">
        <w:lastRenderedPageBreak/>
        <w:t>Contents</w:t>
      </w:r>
      <w:bookmarkEnd w:id="3"/>
      <w:bookmarkEnd w:id="4"/>
    </w:p>
    <w:sdt>
      <w:sdtPr>
        <w:rPr>
          <w:rFonts w:eastAsia="Times New Roman"/>
          <w:b w:val="0"/>
          <w:bCs w:val="0"/>
          <w:szCs w:val="24"/>
          <w:lang w:val="en-US" w:eastAsia="ja-JP"/>
        </w:rPr>
        <w:id w:val="-700012121"/>
        <w:docPartObj>
          <w:docPartGallery w:val="Table of Contents"/>
          <w:docPartUnique/>
        </w:docPartObj>
      </w:sdtPr>
      <w:sdtEndPr>
        <w:rPr>
          <w:lang w:val="en-AU" w:eastAsia="en-US"/>
        </w:rPr>
      </w:sdtEndPr>
      <w:sdtContent>
        <w:p w:rsidR="00D90ABA" w:rsidRDefault="00D90ABA">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sidRPr="00D90ABA">
            <w:instrText xml:space="preserve"> TOC \o \h \z \u </w:instrText>
          </w:r>
          <w:r>
            <w:rPr>
              <w:lang w:val="en-US" w:eastAsia="ja-JP"/>
            </w:rPr>
            <w:fldChar w:fldCharType="separate"/>
          </w:r>
          <w:hyperlink w:anchor="_Toc404180022" w:history="1">
            <w:r w:rsidRPr="00604F47">
              <w:rPr>
                <w:rStyle w:val="Hyperlink"/>
                <w:noProof/>
              </w:rPr>
              <w:t>Note</w:t>
            </w:r>
            <w:r>
              <w:rPr>
                <w:noProof/>
                <w:webHidden/>
              </w:rPr>
              <w:tab/>
            </w:r>
            <w:r>
              <w:rPr>
                <w:webHidden/>
              </w:rPr>
              <w:t>9-</w:t>
            </w:r>
            <w:r>
              <w:rPr>
                <w:noProof/>
                <w:webHidden/>
              </w:rPr>
              <w:fldChar w:fldCharType="begin"/>
            </w:r>
            <w:r>
              <w:rPr>
                <w:noProof/>
                <w:webHidden/>
              </w:rPr>
              <w:instrText xml:space="preserve"> PAGEREF _Toc404180022 \h </w:instrText>
            </w:r>
            <w:r>
              <w:rPr>
                <w:noProof/>
                <w:webHidden/>
              </w:rPr>
            </w:r>
            <w:r>
              <w:rPr>
                <w:noProof/>
                <w:webHidden/>
              </w:rPr>
              <w:fldChar w:fldCharType="separate"/>
            </w:r>
            <w:r>
              <w:rPr>
                <w:noProof/>
                <w:webHidden/>
              </w:rPr>
              <w:t>3</w:t>
            </w:r>
            <w:r>
              <w:rPr>
                <w:noProof/>
                <w:webHidden/>
              </w:rPr>
              <w:fldChar w:fldCharType="end"/>
            </w:r>
          </w:hyperlink>
        </w:p>
        <w:p w:rsidR="00D90ABA" w:rsidRDefault="00C138F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0023" w:history="1">
            <w:r w:rsidR="00D90ABA" w:rsidRPr="00604F47">
              <w:rPr>
                <w:rStyle w:val="Hyperlink"/>
                <w:noProof/>
              </w:rPr>
              <w:t>Contents</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_Toc404180023 \h </w:instrText>
            </w:r>
            <w:r w:rsidR="00D90ABA">
              <w:rPr>
                <w:noProof/>
                <w:webHidden/>
              </w:rPr>
            </w:r>
            <w:r w:rsidR="00D90ABA">
              <w:rPr>
                <w:noProof/>
                <w:webHidden/>
              </w:rPr>
              <w:fldChar w:fldCharType="separate"/>
            </w:r>
            <w:r w:rsidR="00D90ABA">
              <w:rPr>
                <w:noProof/>
                <w:webHidden/>
              </w:rPr>
              <w:t>4</w:t>
            </w:r>
            <w:r w:rsidR="00D90ABA">
              <w:rPr>
                <w:noProof/>
                <w:webHidden/>
              </w:rPr>
              <w:fldChar w:fldCharType="end"/>
            </w:r>
          </w:hyperlink>
        </w:p>
        <w:p w:rsidR="00D90ABA" w:rsidRDefault="00C138F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0024" w:history="1">
            <w:r w:rsidR="00D90ABA" w:rsidRPr="00604F47">
              <w:rPr>
                <w:rStyle w:val="Hyperlink"/>
                <w:noProof/>
              </w:rPr>
              <w:t>Shortened forms</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_Toc404180024 \h </w:instrText>
            </w:r>
            <w:r w:rsidR="00D90ABA">
              <w:rPr>
                <w:noProof/>
                <w:webHidden/>
              </w:rPr>
            </w:r>
            <w:r w:rsidR="00D90ABA">
              <w:rPr>
                <w:noProof/>
                <w:webHidden/>
              </w:rPr>
              <w:fldChar w:fldCharType="separate"/>
            </w:r>
            <w:r w:rsidR="00D90ABA">
              <w:rPr>
                <w:noProof/>
                <w:webHidden/>
              </w:rPr>
              <w:t>5</w:t>
            </w:r>
            <w:r w:rsidR="00D90ABA">
              <w:rPr>
                <w:noProof/>
                <w:webHidden/>
              </w:rPr>
              <w:fldChar w:fldCharType="end"/>
            </w:r>
          </w:hyperlink>
        </w:p>
        <w:p w:rsidR="00D90ABA" w:rsidRDefault="00C138F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0025" w:history="1">
            <w:r w:rsidR="00D90ABA" w:rsidRPr="00604F47">
              <w:rPr>
                <w:rStyle w:val="Hyperlink"/>
                <w:noProof/>
              </w:rPr>
              <w:t>9</w:t>
            </w:r>
            <w:r w:rsidR="00D90ABA">
              <w:rPr>
                <w:rFonts w:asciiTheme="minorHAnsi" w:eastAsiaTheme="minorEastAsia" w:hAnsiTheme="minorHAnsi" w:cstheme="minorBidi"/>
                <w:b w:val="0"/>
                <w:bCs w:val="0"/>
                <w:noProof/>
                <w:sz w:val="22"/>
                <w:szCs w:val="22"/>
                <w:lang w:eastAsia="en-AU"/>
              </w:rPr>
              <w:tab/>
            </w:r>
            <w:r w:rsidR="00D90ABA" w:rsidRPr="00604F47">
              <w:rPr>
                <w:rStyle w:val="Hyperlink"/>
                <w:noProof/>
              </w:rPr>
              <w:t>Efficiency benefit sharing scheme</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_Toc404180025 \h </w:instrText>
            </w:r>
            <w:r w:rsidR="00D90ABA">
              <w:rPr>
                <w:noProof/>
                <w:webHidden/>
              </w:rPr>
            </w:r>
            <w:r w:rsidR="00D90ABA">
              <w:rPr>
                <w:noProof/>
                <w:webHidden/>
              </w:rPr>
              <w:fldChar w:fldCharType="separate"/>
            </w:r>
            <w:r w:rsidR="00D90ABA">
              <w:rPr>
                <w:noProof/>
                <w:webHidden/>
              </w:rPr>
              <w:t>7</w:t>
            </w:r>
            <w:r w:rsidR="00D90ABA">
              <w:rPr>
                <w:noProof/>
                <w:webHidden/>
              </w:rPr>
              <w:fldChar w:fldCharType="end"/>
            </w:r>
          </w:hyperlink>
        </w:p>
        <w:p w:rsidR="00D90ABA" w:rsidRDefault="00C138F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0026" w:history="1">
            <w:r w:rsidR="00D90ABA" w:rsidRPr="00604F47">
              <w:rPr>
                <w:rStyle w:val="Hyperlink"/>
                <w:noProof/>
              </w:rPr>
              <w:t>9.1</w:t>
            </w:r>
            <w:r w:rsidR="00D90ABA">
              <w:rPr>
                <w:rFonts w:asciiTheme="minorHAnsi" w:eastAsiaTheme="minorEastAsia" w:hAnsiTheme="minorHAnsi" w:cstheme="minorBidi"/>
                <w:iCs w:val="0"/>
                <w:noProof/>
                <w:sz w:val="22"/>
                <w:szCs w:val="22"/>
                <w:lang w:eastAsia="en-AU"/>
              </w:rPr>
              <w:tab/>
            </w:r>
            <w:r w:rsidR="00D90ABA" w:rsidRPr="00604F47">
              <w:rPr>
                <w:rStyle w:val="Hyperlink"/>
                <w:noProof/>
              </w:rPr>
              <w:t>Draft decision</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_Toc404180026 \h </w:instrText>
            </w:r>
            <w:r w:rsidR="00D90ABA">
              <w:rPr>
                <w:noProof/>
                <w:webHidden/>
              </w:rPr>
            </w:r>
            <w:r w:rsidR="00D90ABA">
              <w:rPr>
                <w:noProof/>
                <w:webHidden/>
              </w:rPr>
              <w:fldChar w:fldCharType="separate"/>
            </w:r>
            <w:r w:rsidR="00D90ABA">
              <w:rPr>
                <w:noProof/>
                <w:webHidden/>
              </w:rPr>
              <w:t>7</w:t>
            </w:r>
            <w:r w:rsidR="00D90ABA">
              <w:rPr>
                <w:noProof/>
                <w:webHidden/>
              </w:rPr>
              <w:fldChar w:fldCharType="end"/>
            </w:r>
          </w:hyperlink>
        </w:p>
        <w:p w:rsidR="00D90ABA" w:rsidRDefault="00C138F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0027" w:history="1">
            <w:r w:rsidR="00D90ABA" w:rsidRPr="00604F47">
              <w:rPr>
                <w:rStyle w:val="Hyperlink"/>
                <w:noProof/>
              </w:rPr>
              <w:t>9.2</w:t>
            </w:r>
            <w:r w:rsidR="00D90ABA">
              <w:rPr>
                <w:rFonts w:asciiTheme="minorHAnsi" w:eastAsiaTheme="minorEastAsia" w:hAnsiTheme="minorHAnsi" w:cstheme="minorBidi"/>
                <w:iCs w:val="0"/>
                <w:noProof/>
                <w:sz w:val="22"/>
                <w:szCs w:val="22"/>
                <w:lang w:eastAsia="en-AU"/>
              </w:rPr>
              <w:tab/>
            </w:r>
            <w:r w:rsidR="00D90ABA" w:rsidRPr="00604F47">
              <w:rPr>
                <w:rStyle w:val="Hyperlink"/>
                <w:noProof/>
              </w:rPr>
              <w:t>Proposal</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_Toc404180027 \h </w:instrText>
            </w:r>
            <w:r w:rsidR="00D90ABA">
              <w:rPr>
                <w:noProof/>
                <w:webHidden/>
              </w:rPr>
            </w:r>
            <w:r w:rsidR="00D90ABA">
              <w:rPr>
                <w:noProof/>
                <w:webHidden/>
              </w:rPr>
              <w:fldChar w:fldCharType="separate"/>
            </w:r>
            <w:r w:rsidR="00D90ABA">
              <w:rPr>
                <w:noProof/>
                <w:webHidden/>
              </w:rPr>
              <w:t>8</w:t>
            </w:r>
            <w:r w:rsidR="00D90ABA">
              <w:rPr>
                <w:noProof/>
                <w:webHidden/>
              </w:rPr>
              <w:fldChar w:fldCharType="end"/>
            </w:r>
          </w:hyperlink>
        </w:p>
        <w:p w:rsidR="00D90ABA" w:rsidRDefault="00C138F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0028" w:history="1">
            <w:r w:rsidR="00D90ABA" w:rsidRPr="00604F47">
              <w:rPr>
                <w:rStyle w:val="Hyperlink"/>
                <w:noProof/>
              </w:rPr>
              <w:t>9.3</w:t>
            </w:r>
            <w:r w:rsidR="00D90ABA">
              <w:rPr>
                <w:rFonts w:asciiTheme="minorHAnsi" w:eastAsiaTheme="minorEastAsia" w:hAnsiTheme="minorHAnsi" w:cstheme="minorBidi"/>
                <w:iCs w:val="0"/>
                <w:noProof/>
                <w:sz w:val="22"/>
                <w:szCs w:val="22"/>
                <w:lang w:eastAsia="en-AU"/>
              </w:rPr>
              <w:tab/>
            </w:r>
            <w:r w:rsidR="00D90ABA" w:rsidRPr="00604F47">
              <w:rPr>
                <w:rStyle w:val="Hyperlink"/>
                <w:noProof/>
              </w:rPr>
              <w:t>Assessment approach</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_Toc404180028 \h </w:instrText>
            </w:r>
            <w:r w:rsidR="00D90ABA">
              <w:rPr>
                <w:noProof/>
                <w:webHidden/>
              </w:rPr>
            </w:r>
            <w:r w:rsidR="00D90ABA">
              <w:rPr>
                <w:noProof/>
                <w:webHidden/>
              </w:rPr>
              <w:fldChar w:fldCharType="separate"/>
            </w:r>
            <w:r w:rsidR="00D90ABA">
              <w:rPr>
                <w:noProof/>
                <w:webHidden/>
              </w:rPr>
              <w:t>10</w:t>
            </w:r>
            <w:r w:rsidR="00D90ABA">
              <w:rPr>
                <w:noProof/>
                <w:webHidden/>
              </w:rPr>
              <w:fldChar w:fldCharType="end"/>
            </w:r>
          </w:hyperlink>
        </w:p>
        <w:p w:rsidR="00D90ABA" w:rsidRDefault="00C138F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0029" w:history="1">
            <w:r w:rsidR="00D90ABA" w:rsidRPr="00604F47">
              <w:rPr>
                <w:rStyle w:val="Hyperlink"/>
                <w:noProof/>
              </w:rPr>
              <w:t>9.4</w:t>
            </w:r>
            <w:r w:rsidR="00D90ABA">
              <w:rPr>
                <w:rFonts w:asciiTheme="minorHAnsi" w:eastAsiaTheme="minorEastAsia" w:hAnsiTheme="minorHAnsi" w:cstheme="minorBidi"/>
                <w:iCs w:val="0"/>
                <w:noProof/>
                <w:sz w:val="22"/>
                <w:szCs w:val="22"/>
                <w:lang w:eastAsia="en-AU"/>
              </w:rPr>
              <w:tab/>
            </w:r>
            <w:r w:rsidR="00D90ABA" w:rsidRPr="00604F47">
              <w:rPr>
                <w:rStyle w:val="Hyperlink"/>
                <w:noProof/>
              </w:rPr>
              <w:t>Interrelationships</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_Toc404180029 \h </w:instrText>
            </w:r>
            <w:r w:rsidR="00D90ABA">
              <w:rPr>
                <w:noProof/>
                <w:webHidden/>
              </w:rPr>
            </w:r>
            <w:r w:rsidR="00D90ABA">
              <w:rPr>
                <w:noProof/>
                <w:webHidden/>
              </w:rPr>
              <w:fldChar w:fldCharType="separate"/>
            </w:r>
            <w:r w:rsidR="00D90ABA">
              <w:rPr>
                <w:noProof/>
                <w:webHidden/>
              </w:rPr>
              <w:t>10</w:t>
            </w:r>
            <w:r w:rsidR="00D90ABA">
              <w:rPr>
                <w:noProof/>
                <w:webHidden/>
              </w:rPr>
              <w:fldChar w:fldCharType="end"/>
            </w:r>
          </w:hyperlink>
        </w:p>
        <w:p w:rsidR="00D90ABA" w:rsidRDefault="00C138F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0030" w:history="1">
            <w:r w:rsidR="00D90ABA" w:rsidRPr="00604F47">
              <w:rPr>
                <w:rStyle w:val="Hyperlink"/>
                <w:noProof/>
              </w:rPr>
              <w:t>9.5</w:t>
            </w:r>
            <w:r w:rsidR="00D90ABA">
              <w:rPr>
                <w:rFonts w:asciiTheme="minorHAnsi" w:eastAsiaTheme="minorEastAsia" w:hAnsiTheme="minorHAnsi" w:cstheme="minorBidi"/>
                <w:iCs w:val="0"/>
                <w:noProof/>
                <w:sz w:val="22"/>
                <w:szCs w:val="22"/>
                <w:lang w:eastAsia="en-AU"/>
              </w:rPr>
              <w:tab/>
            </w:r>
            <w:r w:rsidR="00D90ABA" w:rsidRPr="00604F47">
              <w:rPr>
                <w:rStyle w:val="Hyperlink"/>
                <w:noProof/>
              </w:rPr>
              <w:t>Reasons for draft decision</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_Toc404180030 \h </w:instrText>
            </w:r>
            <w:r w:rsidR="00D90ABA">
              <w:rPr>
                <w:noProof/>
                <w:webHidden/>
              </w:rPr>
            </w:r>
            <w:r w:rsidR="00D90ABA">
              <w:rPr>
                <w:noProof/>
                <w:webHidden/>
              </w:rPr>
              <w:fldChar w:fldCharType="separate"/>
            </w:r>
            <w:r w:rsidR="00D90ABA">
              <w:rPr>
                <w:noProof/>
                <w:webHidden/>
              </w:rPr>
              <w:t>10</w:t>
            </w:r>
            <w:r w:rsidR="00D90ABA">
              <w:rPr>
                <w:noProof/>
                <w:webHidden/>
              </w:rPr>
              <w:fldChar w:fldCharType="end"/>
            </w:r>
          </w:hyperlink>
        </w:p>
        <w:p w:rsidR="00D90ABA" w:rsidRDefault="00C138F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0031" w:history="1">
            <w:r w:rsidR="00D90ABA" w:rsidRPr="00604F47">
              <w:rPr>
                <w:rStyle w:val="Hyperlink"/>
                <w:noProof/>
              </w:rPr>
              <w:t>9.5.1</w:t>
            </w:r>
            <w:r w:rsidR="00D90ABA">
              <w:rPr>
                <w:rFonts w:asciiTheme="minorHAnsi" w:eastAsiaTheme="minorEastAsia" w:hAnsiTheme="minorHAnsi" w:cstheme="minorBidi"/>
                <w:noProof/>
                <w:sz w:val="22"/>
                <w:szCs w:val="22"/>
                <w:lang w:eastAsia="en-AU"/>
              </w:rPr>
              <w:tab/>
            </w:r>
            <w:r w:rsidR="00D90ABA" w:rsidRPr="00604F47">
              <w:rPr>
                <w:rStyle w:val="Hyperlink"/>
                <w:noProof/>
              </w:rPr>
              <w:t>Carryover amounts from 2008–09</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_Toc404180031 \h </w:instrText>
            </w:r>
            <w:r w:rsidR="00D90ABA">
              <w:rPr>
                <w:noProof/>
                <w:webHidden/>
              </w:rPr>
            </w:r>
            <w:r w:rsidR="00D90ABA">
              <w:rPr>
                <w:noProof/>
                <w:webHidden/>
              </w:rPr>
              <w:fldChar w:fldCharType="separate"/>
            </w:r>
            <w:r w:rsidR="00D90ABA">
              <w:rPr>
                <w:noProof/>
                <w:webHidden/>
              </w:rPr>
              <w:t>11</w:t>
            </w:r>
            <w:r w:rsidR="00D90ABA">
              <w:rPr>
                <w:noProof/>
                <w:webHidden/>
              </w:rPr>
              <w:fldChar w:fldCharType="end"/>
            </w:r>
          </w:hyperlink>
        </w:p>
        <w:p w:rsidR="00D90ABA" w:rsidRDefault="00C138F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0032" w:history="1">
            <w:r w:rsidR="00D90ABA" w:rsidRPr="00604F47">
              <w:rPr>
                <w:rStyle w:val="Hyperlink"/>
                <w:noProof/>
              </w:rPr>
              <w:t>9.5.2</w:t>
            </w:r>
            <w:r w:rsidR="00D90ABA">
              <w:rPr>
                <w:rFonts w:asciiTheme="minorHAnsi" w:eastAsiaTheme="minorEastAsia" w:hAnsiTheme="minorHAnsi" w:cstheme="minorBidi"/>
                <w:noProof/>
                <w:sz w:val="22"/>
                <w:szCs w:val="22"/>
                <w:lang w:eastAsia="en-AU"/>
              </w:rPr>
              <w:tab/>
            </w:r>
            <w:r w:rsidR="00D90ABA" w:rsidRPr="00604F47">
              <w:rPr>
                <w:rStyle w:val="Hyperlink"/>
                <w:noProof/>
              </w:rPr>
              <w:t>EBSS carryover amounts from the 2009–14 regulatory control period</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_Toc404180032 \h </w:instrText>
            </w:r>
            <w:r w:rsidR="00D90ABA">
              <w:rPr>
                <w:noProof/>
                <w:webHidden/>
              </w:rPr>
            </w:r>
            <w:r w:rsidR="00D90ABA">
              <w:rPr>
                <w:noProof/>
                <w:webHidden/>
              </w:rPr>
              <w:fldChar w:fldCharType="separate"/>
            </w:r>
            <w:r w:rsidR="00D90ABA">
              <w:rPr>
                <w:noProof/>
                <w:webHidden/>
              </w:rPr>
              <w:t>11</w:t>
            </w:r>
            <w:r w:rsidR="00D90ABA">
              <w:rPr>
                <w:noProof/>
                <w:webHidden/>
              </w:rPr>
              <w:fldChar w:fldCharType="end"/>
            </w:r>
          </w:hyperlink>
        </w:p>
        <w:p w:rsidR="00D90ABA" w:rsidRDefault="00C138F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0033" w:history="1">
            <w:r w:rsidR="00D90ABA" w:rsidRPr="00604F47">
              <w:rPr>
                <w:rStyle w:val="Hyperlink"/>
                <w:noProof/>
              </w:rPr>
              <w:t>9.5.3</w:t>
            </w:r>
            <w:r w:rsidR="00D90ABA">
              <w:rPr>
                <w:rFonts w:asciiTheme="minorHAnsi" w:eastAsiaTheme="minorEastAsia" w:hAnsiTheme="minorHAnsi" w:cstheme="minorBidi"/>
                <w:noProof/>
                <w:sz w:val="22"/>
                <w:szCs w:val="22"/>
                <w:lang w:eastAsia="en-AU"/>
              </w:rPr>
              <w:tab/>
            </w:r>
            <w:r w:rsidR="00D90ABA" w:rsidRPr="00604F47">
              <w:rPr>
                <w:rStyle w:val="Hyperlink"/>
                <w:noProof/>
              </w:rPr>
              <w:t>How the EBSS will apply in the 2014–18 period</w:t>
            </w:r>
            <w:r w:rsidR="00D90ABA">
              <w:rPr>
                <w:noProof/>
                <w:webHidden/>
              </w:rPr>
              <w:tab/>
            </w:r>
            <w:r w:rsidR="00D90ABA">
              <w:rPr>
                <w:webHidden/>
              </w:rPr>
              <w:t>9-</w:t>
            </w:r>
            <w:r w:rsidR="00D90ABA">
              <w:rPr>
                <w:noProof/>
                <w:webHidden/>
              </w:rPr>
              <w:fldChar w:fldCharType="begin"/>
            </w:r>
            <w:r w:rsidR="00D90ABA">
              <w:rPr>
                <w:noProof/>
                <w:webHidden/>
              </w:rPr>
              <w:instrText xml:space="preserve"> PAGEREF _Toc404180033 \h </w:instrText>
            </w:r>
            <w:r w:rsidR="00D90ABA">
              <w:rPr>
                <w:noProof/>
                <w:webHidden/>
              </w:rPr>
            </w:r>
            <w:r w:rsidR="00D90ABA">
              <w:rPr>
                <w:noProof/>
                <w:webHidden/>
              </w:rPr>
              <w:fldChar w:fldCharType="separate"/>
            </w:r>
            <w:r w:rsidR="00D90ABA">
              <w:rPr>
                <w:noProof/>
                <w:webHidden/>
              </w:rPr>
              <w:t>13</w:t>
            </w:r>
            <w:r w:rsidR="00D90ABA">
              <w:rPr>
                <w:noProof/>
                <w:webHidden/>
              </w:rPr>
              <w:fldChar w:fldCharType="end"/>
            </w:r>
          </w:hyperlink>
        </w:p>
        <w:p w:rsidR="00D90ABA" w:rsidRPr="00D90ABA" w:rsidRDefault="00D90ABA" w:rsidP="00D90ABA">
          <w:pPr>
            <w:pStyle w:val="AERbodytext"/>
          </w:pPr>
          <w:r>
            <w:fldChar w:fldCharType="end"/>
          </w:r>
        </w:p>
      </w:sdtContent>
    </w:sdt>
    <w:p w:rsidR="00D90ABA" w:rsidRPr="00D90ABA" w:rsidRDefault="00D90ABA" w:rsidP="00D90ABA">
      <w:pPr>
        <w:pStyle w:val="AERbodytext"/>
      </w:pPr>
    </w:p>
    <w:p w:rsidR="00D90ABA" w:rsidRDefault="00D90ABA" w:rsidP="00D90ABA">
      <w:pPr>
        <w:pStyle w:val="UnnumberedHeading"/>
        <w:numPr>
          <w:ilvl w:val="0"/>
          <w:numId w:val="2"/>
        </w:numPr>
      </w:pPr>
      <w:bookmarkStart w:id="5" w:name="_Toc404153952"/>
      <w:bookmarkStart w:id="6" w:name="_Toc404180024"/>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D90ABA" w:rsidTr="000C68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Shortened form</w:t>
            </w:r>
          </w:p>
        </w:tc>
        <w:tc>
          <w:tcPr>
            <w:tcW w:w="4621" w:type="dxa"/>
          </w:tcPr>
          <w:p w:rsidR="00D90ABA" w:rsidRDefault="00D90ABA" w:rsidP="00D90ABA">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AARR</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AEMC</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AEMO</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AER</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ASRR</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augex</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capex</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CCP</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CESS</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CPI</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DRP</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EBSS</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ERP</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MAR</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MRP</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NEL</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NEM</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NEO</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NER</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NSP</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NTSC</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lastRenderedPageBreak/>
              <w:t>opex</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PPI</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PTRM</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RAB</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RBA</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repex</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RFM</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RIN</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RPP</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SLCAPM</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STPIS</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TNSP</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D90ABA"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TUoS</w:t>
            </w:r>
          </w:p>
        </w:tc>
        <w:tc>
          <w:tcPr>
            <w:tcW w:w="4621" w:type="dxa"/>
          </w:tcPr>
          <w:p w:rsidR="00D90ABA" w:rsidRDefault="00D90ABA" w:rsidP="00D90ABA">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D90ABA" w:rsidTr="000C687F">
        <w:tc>
          <w:tcPr>
            <w:cnfStyle w:val="001000000000" w:firstRow="0" w:lastRow="0" w:firstColumn="1" w:lastColumn="0" w:oddVBand="0" w:evenVBand="0" w:oddHBand="0" w:evenHBand="0" w:firstRowFirstColumn="0" w:firstRowLastColumn="0" w:lastRowFirstColumn="0" w:lastRowLastColumn="0"/>
            <w:tcW w:w="4621" w:type="dxa"/>
          </w:tcPr>
          <w:p w:rsidR="00D90ABA" w:rsidRDefault="00D90ABA" w:rsidP="00D90ABA">
            <w:pPr>
              <w:pStyle w:val="AERbodytext"/>
            </w:pPr>
            <w:r>
              <w:t>WACC</w:t>
            </w:r>
          </w:p>
        </w:tc>
        <w:tc>
          <w:tcPr>
            <w:tcW w:w="4621" w:type="dxa"/>
          </w:tcPr>
          <w:p w:rsidR="00D90ABA" w:rsidRDefault="00D90ABA" w:rsidP="00D90ABA">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90ABA" w:rsidRPr="00D90ABA" w:rsidRDefault="00D90ABA" w:rsidP="00D90ABA">
      <w:pPr>
        <w:pStyle w:val="AERbodytext"/>
      </w:pPr>
    </w:p>
    <w:p w:rsidR="00D90ABA" w:rsidRPr="00F6235D" w:rsidRDefault="00D90ABA" w:rsidP="00D90ABA">
      <w:pPr>
        <w:pStyle w:val="AERtitle2"/>
      </w:pPr>
    </w:p>
    <w:p w:rsidR="00B64598" w:rsidRDefault="008C6117" w:rsidP="00802996">
      <w:pPr>
        <w:pStyle w:val="Heading1"/>
        <w:numPr>
          <w:ilvl w:val="0"/>
          <w:numId w:val="0"/>
        </w:numPr>
        <w:ind w:left="-851"/>
      </w:pPr>
      <w:bookmarkStart w:id="7" w:name="_Toc404180025"/>
      <w:r>
        <w:lastRenderedPageBreak/>
        <w:t>9</w:t>
      </w:r>
      <w:r>
        <w:tab/>
      </w:r>
      <w:r w:rsidR="00B64598" w:rsidRPr="00A80060">
        <w:t>Efficiency benefit sharing scheme</w:t>
      </w:r>
      <w:bookmarkEnd w:id="7"/>
    </w:p>
    <w:p w:rsidR="00417DC9" w:rsidRDefault="00417DC9" w:rsidP="00331884">
      <w:pPr>
        <w:pStyle w:val="AERbodytext"/>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p>
    <w:p w:rsidR="00331884" w:rsidRDefault="00417DC9" w:rsidP="00331884">
      <w:pPr>
        <w:pStyle w:val="AERbodytext"/>
      </w:pPr>
      <w:r>
        <w:t>It</w:t>
      </w:r>
      <w:r w:rsidR="00331884" w:rsidRPr="0095175F">
        <w:t xml:space="preserve"> is a key component of incentive regulation under the </w:t>
      </w:r>
      <w:r w:rsidR="00331884">
        <w:t>NER</w:t>
      </w:r>
      <w:r w:rsidR="00331884" w:rsidRPr="0095175F">
        <w:t xml:space="preserve">. Because opex is largely recurrent and predictable, opex in one period is generally a good indicator of opex in the next period. </w:t>
      </w:r>
      <w:r w:rsidR="00331884">
        <w:t>Where a service provider is relatively efficient, w</w:t>
      </w:r>
      <w:r w:rsidR="00331884" w:rsidRPr="0095175F">
        <w:t xml:space="preserve">e </w:t>
      </w:r>
      <w:r w:rsidR="00331884">
        <w:t>use the</w:t>
      </w:r>
      <w:r w:rsidR="00331884" w:rsidRPr="0095175F">
        <w:t xml:space="preserve"> actual opex </w:t>
      </w:r>
      <w:r w:rsidR="00331884">
        <w:t xml:space="preserve">it </w:t>
      </w:r>
      <w:r w:rsidR="00331884" w:rsidRPr="0095175F">
        <w:t xml:space="preserve">incurred in a </w:t>
      </w:r>
      <w:r>
        <w:t xml:space="preserve">chosen </w:t>
      </w:r>
      <w:r w:rsidR="00331884" w:rsidRPr="0095175F">
        <w:t>base year of the regulatory control period to forecast opex for the next regulatory control period.</w:t>
      </w:r>
    </w:p>
    <w:p w:rsidR="00331884" w:rsidRDefault="00331884" w:rsidP="00331884">
      <w:pPr>
        <w:pStyle w:val="AERbodytext"/>
      </w:pPr>
      <w:r w:rsidRPr="0095175F">
        <w:t xml:space="preserve">To encourage </w:t>
      </w:r>
      <w:r>
        <w:t xml:space="preserve">a </w:t>
      </w:r>
      <w:r w:rsidR="004C2C8E">
        <w:t>service provider</w:t>
      </w:r>
      <w:r w:rsidR="004C2C8E" w:rsidRPr="0095175F">
        <w:t xml:space="preserve"> </w:t>
      </w:r>
      <w:r w:rsidRPr="0095175F">
        <w:t xml:space="preserve">to become more efficient </w:t>
      </w:r>
      <w:r>
        <w:t xml:space="preserve">it is allowed to keep any </w:t>
      </w:r>
      <w:r w:rsidR="001424A9">
        <w:t>difference between its approved forecast and its actual opex</w:t>
      </w:r>
      <w:r>
        <w:t xml:space="preserve"> </w:t>
      </w:r>
      <w:r w:rsidR="001424A9">
        <w:t xml:space="preserve">during </w:t>
      </w:r>
      <w:r>
        <w:t>a regulatory control period</w:t>
      </w:r>
      <w:r w:rsidRPr="0095175F">
        <w:t xml:space="preserve">. </w:t>
      </w:r>
      <w:r>
        <w:t xml:space="preserve">This is supplemented by the </w:t>
      </w:r>
      <w:r w:rsidRPr="0095175F">
        <w:t>EBSS</w:t>
      </w:r>
      <w:r>
        <w:t xml:space="preserve"> which provides the </w:t>
      </w:r>
      <w:r w:rsidR="004C2C8E">
        <w:t xml:space="preserve">service provider </w:t>
      </w:r>
      <w:r>
        <w:t>with an additional reward for any reductions in opex it makes</w:t>
      </w:r>
      <w:r w:rsidR="00817640">
        <w:t xml:space="preserve"> and additional penalties for any </w:t>
      </w:r>
      <w:r w:rsidR="004C2C8E">
        <w:t xml:space="preserve">increases </w:t>
      </w:r>
      <w:r w:rsidR="00817640">
        <w:t>in opex</w:t>
      </w:r>
      <w:r>
        <w:t xml:space="preserve">. In total these rewards </w:t>
      </w:r>
      <w:r w:rsidR="00817640">
        <w:t xml:space="preserve">and penalties </w:t>
      </w:r>
      <w:r>
        <w:t xml:space="preserve">work together to </w:t>
      </w:r>
      <w:r w:rsidRPr="00A86CDD">
        <w:t xml:space="preserve">provide a constant incentive </w:t>
      </w:r>
      <w:r>
        <w:t xml:space="preserve">for a </w:t>
      </w:r>
      <w:r w:rsidR="004C2C8E">
        <w:t xml:space="preserve">service provider </w:t>
      </w:r>
      <w:r>
        <w:t>to</w:t>
      </w:r>
      <w:r w:rsidRPr="00A86CDD">
        <w:t xml:space="preserve"> pursue efficiency gains over </w:t>
      </w:r>
      <w:r>
        <w:t>the</w:t>
      </w:r>
      <w:r w:rsidRPr="00A86CDD">
        <w:t xml:space="preserve"> regulatory control period.</w:t>
      </w:r>
      <w:r w:rsidRPr="0028525B">
        <w:t xml:space="preserve"> </w:t>
      </w:r>
      <w:r>
        <w:t xml:space="preserve">The EBSS also discourages a </w:t>
      </w:r>
      <w:r w:rsidR="004C2C8E">
        <w:t xml:space="preserve">service provider </w:t>
      </w:r>
      <w:r>
        <w:t xml:space="preserve">from </w:t>
      </w:r>
      <w:r w:rsidR="001424A9">
        <w:t xml:space="preserve">incurring opex </w:t>
      </w:r>
      <w:r>
        <w:t>in the expected base year in order to receive a higher opex allowance in the following regulatory control period.</w:t>
      </w:r>
      <w:r w:rsidR="000A28E4">
        <w:rPr>
          <w:rStyle w:val="FootnoteReference"/>
        </w:rPr>
        <w:footnoteReference w:id="1"/>
      </w:r>
    </w:p>
    <w:p w:rsidR="00331884" w:rsidRDefault="00331884" w:rsidP="00331884">
      <w:pPr>
        <w:pStyle w:val="AERbodytext"/>
      </w:pPr>
      <w:r>
        <w:t xml:space="preserve">When a </w:t>
      </w:r>
      <w:r w:rsidR="005B4E26">
        <w:t xml:space="preserve">service provider </w:t>
      </w:r>
      <w:r>
        <w:t>is rewarded for</w:t>
      </w:r>
      <w:r w:rsidR="00817640">
        <w:t xml:space="preserve"> making</w:t>
      </w:r>
      <w:r>
        <w:t xml:space="preserve"> </w:t>
      </w:r>
      <w:r w:rsidR="00817640">
        <w:t>efficiency gains,</w:t>
      </w:r>
      <w:r>
        <w:t xml:space="preserve"> c</w:t>
      </w:r>
      <w:r w:rsidRPr="0095175F">
        <w:t>onsumers benefit through lower prices in the next regulatory control period</w:t>
      </w:r>
      <w:r>
        <w:t>. This is because</w:t>
      </w:r>
      <w:r w:rsidRPr="0095175F">
        <w:t xml:space="preserve"> forecast opex in the next regulatory control period will reflect the </w:t>
      </w:r>
      <w:r w:rsidR="005B4E26">
        <w:t>service provider</w:t>
      </w:r>
      <w:r w:rsidR="005B4E26" w:rsidRPr="0095175F">
        <w:t xml:space="preserve">'s </w:t>
      </w:r>
      <w:r w:rsidRPr="0095175F">
        <w:t xml:space="preserve">lower level of opex in the current regulatory control period, </w:t>
      </w:r>
      <w:r>
        <w:t>and as a result,</w:t>
      </w:r>
      <w:r w:rsidRPr="0095175F">
        <w:t xml:space="preserve"> reg</w:t>
      </w:r>
      <w:r>
        <w:t xml:space="preserve">ulated prices will be lower. </w:t>
      </w:r>
    </w:p>
    <w:p w:rsidR="00135689" w:rsidRDefault="008E0133" w:rsidP="00135689">
      <w:pPr>
        <w:pStyle w:val="AERbodytext"/>
      </w:pPr>
      <w:r>
        <w:t xml:space="preserve">During the </w:t>
      </w:r>
      <w:r w:rsidR="003F5EF6">
        <w:t>2004–09</w:t>
      </w:r>
      <w:r w:rsidR="003F5EF6" w:rsidRPr="00135689">
        <w:t xml:space="preserve"> regulatory control </w:t>
      </w:r>
      <w:proofErr w:type="gramStart"/>
      <w:r w:rsidR="003F5EF6" w:rsidRPr="00135689">
        <w:t>period</w:t>
      </w:r>
      <w:proofErr w:type="gramEnd"/>
      <w:r w:rsidR="00C0471C">
        <w:t>,</w:t>
      </w:r>
      <w:r w:rsidR="003F5EF6">
        <w:t xml:space="preserve"> TransGrid operated under a predecessor of the EBSS, the efficiency carry forward mechanism (ECFM). During the </w:t>
      </w:r>
      <w:r>
        <w:t>2009–</w:t>
      </w:r>
      <w:r w:rsidR="00135689" w:rsidRPr="00135689">
        <w:t xml:space="preserve">14 regulatory control </w:t>
      </w:r>
      <w:proofErr w:type="gramStart"/>
      <w:r w:rsidR="00135689" w:rsidRPr="00135689">
        <w:t>period</w:t>
      </w:r>
      <w:proofErr w:type="gramEnd"/>
      <w:r w:rsidR="00135689" w:rsidRPr="00135689">
        <w:t xml:space="preserve"> </w:t>
      </w:r>
      <w:r w:rsidR="00135689">
        <w:t xml:space="preserve">TransGrid </w:t>
      </w:r>
      <w:r w:rsidR="001D614D">
        <w:t>o</w:t>
      </w:r>
      <w:r w:rsidR="001D614D" w:rsidRPr="001D614D">
        <w:t>perated under the EBSS released in September 2007 for TNSPs (version one of the EBSS)</w:t>
      </w:r>
      <w:r w:rsidR="00135689" w:rsidRPr="00135689">
        <w:t>.</w:t>
      </w:r>
      <w:r w:rsidR="00135689">
        <w:rPr>
          <w:rStyle w:val="FootnoteReference"/>
        </w:rPr>
        <w:footnoteReference w:id="2"/>
      </w:r>
      <w:r w:rsidR="003F5EF6">
        <w:t xml:space="preserve"> In the 2014–1</w:t>
      </w:r>
      <w:r w:rsidR="00817640">
        <w:t>8</w:t>
      </w:r>
      <w:r w:rsidR="003F5EF6">
        <w:t xml:space="preserve"> </w:t>
      </w:r>
      <w:proofErr w:type="gramStart"/>
      <w:r w:rsidR="003F5EF6">
        <w:t>period</w:t>
      </w:r>
      <w:proofErr w:type="gramEnd"/>
      <w:r w:rsidR="003F5EF6">
        <w:t xml:space="preserve"> TransGrid</w:t>
      </w:r>
      <w:r w:rsidR="00135689" w:rsidRPr="00135689">
        <w:t xml:space="preserve"> will receive </w:t>
      </w:r>
      <w:r w:rsidR="003F5EF6">
        <w:t xml:space="preserve">an adjustment to its revenue for </w:t>
      </w:r>
      <w:r w:rsidR="000D268B">
        <w:t xml:space="preserve">carryover </w:t>
      </w:r>
      <w:r w:rsidR="00BE79BA">
        <w:t xml:space="preserve">amounts in relation to </w:t>
      </w:r>
      <w:r w:rsidR="003F5EF6">
        <w:t>both the ECFM and version one of the EBSS.</w:t>
      </w:r>
    </w:p>
    <w:p w:rsidR="008E0133" w:rsidRDefault="00111F34" w:rsidP="00135689">
      <w:pPr>
        <w:pStyle w:val="AERbodytext"/>
      </w:pPr>
      <w:r>
        <w:t>In November 2013 we released</w:t>
      </w:r>
      <w:r w:rsidR="008E0133">
        <w:t xml:space="preserve"> version </w:t>
      </w:r>
      <w:r w:rsidR="0096505E">
        <w:t>two</w:t>
      </w:r>
      <w:r w:rsidR="008E0133">
        <w:t xml:space="preserve"> of the EBSS.</w:t>
      </w:r>
      <w:r w:rsidR="009A2240">
        <w:t xml:space="preserve"> </w:t>
      </w:r>
      <w:r>
        <w:t xml:space="preserve">We </w:t>
      </w:r>
      <w:r w:rsidR="004C2C8E">
        <w:t xml:space="preserve">will </w:t>
      </w:r>
      <w:r>
        <w:t xml:space="preserve">apply this version of the EBSS to TransGrid during the 2014–18 </w:t>
      </w:r>
      <w:proofErr w:type="gramStart"/>
      <w:r>
        <w:t>period</w:t>
      </w:r>
      <w:proofErr w:type="gramEnd"/>
      <w:r>
        <w:t>.</w:t>
      </w:r>
    </w:p>
    <w:p w:rsidR="00B64598" w:rsidRPr="00A80060" w:rsidRDefault="008C6117" w:rsidP="00802996">
      <w:pPr>
        <w:pStyle w:val="Heading2"/>
        <w:numPr>
          <w:ilvl w:val="0"/>
          <w:numId w:val="0"/>
        </w:numPr>
        <w:ind w:left="-851"/>
      </w:pPr>
      <w:bookmarkStart w:id="8" w:name="_Toc404180026"/>
      <w:r>
        <w:t>9.1</w:t>
      </w:r>
      <w:r>
        <w:tab/>
      </w:r>
      <w:r w:rsidR="00B64598" w:rsidRPr="00A80060">
        <w:t>Draft decision</w:t>
      </w:r>
      <w:bookmarkEnd w:id="8"/>
    </w:p>
    <w:p w:rsidR="00AB237C" w:rsidRDefault="007601B4" w:rsidP="003F5EF6">
      <w:pPr>
        <w:pStyle w:val="AERbodytext"/>
      </w:pPr>
      <w:r>
        <w:t>We are not</w:t>
      </w:r>
      <w:r w:rsidR="00AB237C" w:rsidRPr="00BD4587">
        <w:t xml:space="preserve"> satisfied </w:t>
      </w:r>
      <w:r w:rsidR="00AB237C">
        <w:t xml:space="preserve">TransGrid's </w:t>
      </w:r>
      <w:r w:rsidR="00AB237C" w:rsidRPr="00BD4587">
        <w:t xml:space="preserve">proposed </w:t>
      </w:r>
      <w:r w:rsidR="00FF53C3">
        <w:t xml:space="preserve">ECFM and </w:t>
      </w:r>
      <w:r w:rsidR="00AB237C" w:rsidRPr="00BD4587">
        <w:t>EBSS carryover amounts, totalling $</w:t>
      </w:r>
      <w:r w:rsidR="000A28E4">
        <w:t>66.7</w:t>
      </w:r>
      <w:r w:rsidR="005B30DC">
        <w:t> </w:t>
      </w:r>
      <w:r w:rsidR="00AB237C" w:rsidRPr="00BD4587">
        <w:t>million (</w:t>
      </w:r>
      <w:r w:rsidR="00D2570D">
        <w:t>$</w:t>
      </w:r>
      <w:r w:rsidR="00AB237C" w:rsidRPr="00BD4587">
        <w:t xml:space="preserve">2013–14), comply with the requirements </w:t>
      </w:r>
      <w:r w:rsidR="001A7EE1">
        <w:t>of</w:t>
      </w:r>
      <w:r w:rsidR="00AB237C" w:rsidRPr="00BD4587">
        <w:t xml:space="preserve"> the EBSS. We consider carryover amounts </w:t>
      </w:r>
      <w:r w:rsidR="005B30DC">
        <w:t>of $61.0 million (</w:t>
      </w:r>
      <w:r w:rsidR="00D2570D">
        <w:t>$</w:t>
      </w:r>
      <w:r w:rsidR="005B30DC">
        <w:t>2013-14)</w:t>
      </w:r>
      <w:r w:rsidR="00E71662">
        <w:t xml:space="preserve"> </w:t>
      </w:r>
      <w:r w:rsidR="00AB237C" w:rsidRPr="00BD4587">
        <w:t xml:space="preserve">comply </w:t>
      </w:r>
      <w:r w:rsidR="00AB237C">
        <w:t>with the relevant requirements.</w:t>
      </w:r>
    </w:p>
    <w:p w:rsidR="00A80060" w:rsidRDefault="00A80060" w:rsidP="008C6117">
      <w:pPr>
        <w:pStyle w:val="AERbodytext"/>
        <w:numPr>
          <w:ilvl w:val="0"/>
          <w:numId w:val="0"/>
        </w:numPr>
      </w:pPr>
    </w:p>
    <w:p w:rsidR="00180A7A" w:rsidRDefault="00180A7A" w:rsidP="007D1353">
      <w:pPr>
        <w:pStyle w:val="Caption"/>
      </w:pPr>
      <w:bookmarkStart w:id="9" w:name="_Ref387739423"/>
    </w:p>
    <w:p w:rsidR="00180A7A" w:rsidRPr="00180A7A" w:rsidRDefault="00180A7A" w:rsidP="00180A7A">
      <w:pPr>
        <w:pStyle w:val="AERbodytext"/>
      </w:pPr>
    </w:p>
    <w:p w:rsidR="007D1353" w:rsidRDefault="007D1353" w:rsidP="007D1353">
      <w:pPr>
        <w:pStyle w:val="Caption"/>
      </w:pPr>
      <w:r>
        <w:lastRenderedPageBreak/>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1</w:t>
      </w:r>
      <w:r w:rsidR="00C138F3">
        <w:rPr>
          <w:noProof/>
        </w:rPr>
        <w:fldChar w:fldCharType="end"/>
      </w:r>
      <w:bookmarkEnd w:id="9"/>
      <w:r>
        <w:tab/>
        <w:t xml:space="preserve">AER’s draft </w:t>
      </w:r>
      <w:r w:rsidRPr="00A3346F">
        <w:t xml:space="preserve">decision on </w:t>
      </w:r>
      <w:r>
        <w:t>TransGrid</w:t>
      </w:r>
      <w:r w:rsidRPr="00A3346F">
        <w:t xml:space="preserve">'s </w:t>
      </w:r>
      <w:r w:rsidR="005C512A">
        <w:t xml:space="preserve">EBSS and ECFM </w:t>
      </w:r>
      <w:r>
        <w:t>carryover amounts ($ million, 2013–14)</w:t>
      </w:r>
    </w:p>
    <w:tbl>
      <w:tblPr>
        <w:tblStyle w:val="AERtable-numbers"/>
        <w:tblW w:w="5000" w:type="pct"/>
        <w:tblLook w:val="04A0" w:firstRow="1" w:lastRow="0" w:firstColumn="1" w:lastColumn="0" w:noHBand="0" w:noVBand="1"/>
      </w:tblPr>
      <w:tblGrid>
        <w:gridCol w:w="3175"/>
        <w:gridCol w:w="1214"/>
        <w:gridCol w:w="1214"/>
        <w:gridCol w:w="1214"/>
        <w:gridCol w:w="1214"/>
        <w:gridCol w:w="1211"/>
      </w:tblGrid>
      <w:tr w:rsidR="00EA78EE" w:rsidTr="005C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EA78EE" w:rsidRDefault="00EA78EE" w:rsidP="00032310">
            <w:pPr>
              <w:pStyle w:val="AERtabletextleft"/>
            </w:pPr>
          </w:p>
        </w:tc>
        <w:tc>
          <w:tcPr>
            <w:tcW w:w="657" w:type="pct"/>
          </w:tcPr>
          <w:p w:rsidR="00EA78EE" w:rsidRDefault="00EA78EE" w:rsidP="00032310">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t>–</w:t>
            </w:r>
            <w:r w:rsidRPr="005B7AD2">
              <w:t>15</w:t>
            </w:r>
          </w:p>
        </w:tc>
        <w:tc>
          <w:tcPr>
            <w:tcW w:w="657" w:type="pct"/>
          </w:tcPr>
          <w:p w:rsidR="00EA78EE" w:rsidRDefault="00EA78EE" w:rsidP="0003231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7" w:type="pct"/>
          </w:tcPr>
          <w:p w:rsidR="00EA78EE" w:rsidRDefault="00EA78EE" w:rsidP="00032310">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7" w:type="pct"/>
          </w:tcPr>
          <w:p w:rsidR="00EA78EE" w:rsidRDefault="00EA78EE" w:rsidP="00032310">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56" w:type="pct"/>
          </w:tcPr>
          <w:p w:rsidR="00EA78EE" w:rsidRDefault="00EA78EE" w:rsidP="00032310">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EA78EE" w:rsidTr="005C512A">
        <w:tc>
          <w:tcPr>
            <w:cnfStyle w:val="001000000000" w:firstRow="0" w:lastRow="0" w:firstColumn="1" w:lastColumn="0" w:oddVBand="0" w:evenVBand="0" w:oddHBand="0" w:evenHBand="0" w:firstRowFirstColumn="0" w:firstRowLastColumn="0" w:lastRowFirstColumn="0" w:lastRowLastColumn="0"/>
            <w:tcW w:w="1717" w:type="pct"/>
          </w:tcPr>
          <w:p w:rsidR="00EA78EE" w:rsidRPr="00463216" w:rsidRDefault="00EA78EE" w:rsidP="00463216">
            <w:pPr>
              <w:pStyle w:val="AERtabletextleft"/>
            </w:pPr>
            <w:r>
              <w:t>TransGrid</w:t>
            </w:r>
            <w:r w:rsidRPr="005B7AD2">
              <w:t>'s proposed carryover</w:t>
            </w:r>
          </w:p>
        </w:tc>
        <w:tc>
          <w:tcPr>
            <w:tcW w:w="657" w:type="pct"/>
          </w:tcPr>
          <w:p w:rsidR="00EA78EE" w:rsidRDefault="00CC2C40" w:rsidP="00463216">
            <w:pPr>
              <w:pStyle w:val="AERtabletextright"/>
              <w:cnfStyle w:val="000000000000" w:firstRow="0" w:lastRow="0" w:firstColumn="0" w:lastColumn="0" w:oddVBand="0" w:evenVBand="0" w:oddHBand="0" w:evenHBand="0" w:firstRowFirstColumn="0" w:firstRowLastColumn="0" w:lastRowFirstColumn="0" w:lastRowLastColumn="0"/>
            </w:pPr>
            <w:r>
              <w:t>20.</w:t>
            </w:r>
            <w:r w:rsidR="00D255C5">
              <w:t>5</w:t>
            </w:r>
          </w:p>
        </w:tc>
        <w:tc>
          <w:tcPr>
            <w:tcW w:w="657" w:type="pct"/>
          </w:tcPr>
          <w:p w:rsidR="00EA78EE" w:rsidRDefault="00CC2C40" w:rsidP="00463216">
            <w:pPr>
              <w:pStyle w:val="AERtabletextright"/>
              <w:cnfStyle w:val="000000000000" w:firstRow="0" w:lastRow="0" w:firstColumn="0" w:lastColumn="0" w:oddVBand="0" w:evenVBand="0" w:oddHBand="0" w:evenHBand="0" w:firstRowFirstColumn="0" w:firstRowLastColumn="0" w:lastRowFirstColumn="0" w:lastRowLastColumn="0"/>
            </w:pPr>
            <w:r>
              <w:t>11.5</w:t>
            </w:r>
          </w:p>
        </w:tc>
        <w:tc>
          <w:tcPr>
            <w:tcW w:w="657" w:type="pct"/>
          </w:tcPr>
          <w:p w:rsidR="00EA78EE" w:rsidRDefault="00CC2C40" w:rsidP="00463216">
            <w:pPr>
              <w:pStyle w:val="AERtabletextright"/>
              <w:cnfStyle w:val="000000000000" w:firstRow="0" w:lastRow="0" w:firstColumn="0" w:lastColumn="0" w:oddVBand="0" w:evenVBand="0" w:oddHBand="0" w:evenHBand="0" w:firstRowFirstColumn="0" w:firstRowLastColumn="0" w:lastRowFirstColumn="0" w:lastRowLastColumn="0"/>
            </w:pPr>
            <w:r>
              <w:t>13.4</w:t>
            </w:r>
          </w:p>
        </w:tc>
        <w:tc>
          <w:tcPr>
            <w:tcW w:w="657" w:type="pct"/>
          </w:tcPr>
          <w:p w:rsidR="00EA78EE" w:rsidRDefault="00CC2C40" w:rsidP="00463216">
            <w:pPr>
              <w:pStyle w:val="AERtabletextright"/>
              <w:cnfStyle w:val="000000000000" w:firstRow="0" w:lastRow="0" w:firstColumn="0" w:lastColumn="0" w:oddVBand="0" w:evenVBand="0" w:oddHBand="0" w:evenHBand="0" w:firstRowFirstColumn="0" w:firstRowLastColumn="0" w:lastRowFirstColumn="0" w:lastRowLastColumn="0"/>
            </w:pPr>
            <w:r>
              <w:t>21.3</w:t>
            </w:r>
          </w:p>
        </w:tc>
        <w:tc>
          <w:tcPr>
            <w:tcW w:w="656" w:type="pct"/>
          </w:tcPr>
          <w:p w:rsidR="00EA78EE" w:rsidRDefault="00CC2C40" w:rsidP="00463216">
            <w:pPr>
              <w:pStyle w:val="AERtabletextright"/>
              <w:cnfStyle w:val="000000000000" w:firstRow="0" w:lastRow="0" w:firstColumn="0" w:lastColumn="0" w:oddVBand="0" w:evenVBand="0" w:oddHBand="0" w:evenHBand="0" w:firstRowFirstColumn="0" w:firstRowLastColumn="0" w:lastRowFirstColumn="0" w:lastRowLastColumn="0"/>
            </w:pPr>
            <w:r>
              <w:t>66.7</w:t>
            </w:r>
          </w:p>
        </w:tc>
      </w:tr>
      <w:tr w:rsidR="00EA78EE" w:rsidTr="005C5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EA78EE" w:rsidRPr="00463216" w:rsidRDefault="00497002" w:rsidP="00463216">
            <w:pPr>
              <w:pStyle w:val="AERtabletextleft"/>
            </w:pPr>
            <w:r>
              <w:t>Draft decision</w:t>
            </w:r>
            <w:r w:rsidR="00EA78EE" w:rsidRPr="005B7AD2">
              <w:t xml:space="preserve"> </w:t>
            </w:r>
          </w:p>
        </w:tc>
        <w:tc>
          <w:tcPr>
            <w:tcW w:w="657" w:type="pct"/>
          </w:tcPr>
          <w:p w:rsidR="00EA78EE" w:rsidRDefault="005C512A" w:rsidP="00463216">
            <w:pPr>
              <w:pStyle w:val="AERtabletextright"/>
              <w:cnfStyle w:val="000000010000" w:firstRow="0" w:lastRow="0" w:firstColumn="0" w:lastColumn="0" w:oddVBand="0" w:evenVBand="0" w:oddHBand="0" w:evenHBand="1" w:firstRowFirstColumn="0" w:firstRowLastColumn="0" w:lastRowFirstColumn="0" w:lastRowLastColumn="0"/>
            </w:pPr>
            <w:r>
              <w:t>20.9</w:t>
            </w:r>
          </w:p>
        </w:tc>
        <w:tc>
          <w:tcPr>
            <w:tcW w:w="657" w:type="pct"/>
          </w:tcPr>
          <w:p w:rsidR="00EA78EE" w:rsidRDefault="00F331AE" w:rsidP="00463216">
            <w:pPr>
              <w:pStyle w:val="AERtabletextright"/>
              <w:cnfStyle w:val="000000010000" w:firstRow="0" w:lastRow="0" w:firstColumn="0" w:lastColumn="0" w:oddVBand="0" w:evenVBand="0" w:oddHBand="0" w:evenHBand="1" w:firstRowFirstColumn="0" w:firstRowLastColumn="0" w:lastRowFirstColumn="0" w:lastRowLastColumn="0"/>
            </w:pPr>
            <w:r>
              <w:t>13.</w:t>
            </w:r>
            <w:r w:rsidR="005C512A">
              <w:t>7</w:t>
            </w:r>
          </w:p>
        </w:tc>
        <w:tc>
          <w:tcPr>
            <w:tcW w:w="657" w:type="pct"/>
          </w:tcPr>
          <w:p w:rsidR="00EA78EE" w:rsidRDefault="005C512A" w:rsidP="00463216">
            <w:pPr>
              <w:pStyle w:val="AERtabletextright"/>
              <w:cnfStyle w:val="000000010000" w:firstRow="0" w:lastRow="0" w:firstColumn="0" w:lastColumn="0" w:oddVBand="0" w:evenVBand="0" w:oddHBand="0" w:evenHBand="1" w:firstRowFirstColumn="0" w:firstRowLastColumn="0" w:lastRowFirstColumn="0" w:lastRowLastColumn="0"/>
            </w:pPr>
            <w:r>
              <w:t>16.</w:t>
            </w:r>
            <w:r w:rsidR="00D255C5">
              <w:t>1</w:t>
            </w:r>
          </w:p>
        </w:tc>
        <w:tc>
          <w:tcPr>
            <w:tcW w:w="657" w:type="pct"/>
          </w:tcPr>
          <w:p w:rsidR="00EA78EE" w:rsidRDefault="005C512A" w:rsidP="00463216">
            <w:pPr>
              <w:pStyle w:val="AERtabletextright"/>
              <w:cnfStyle w:val="000000010000" w:firstRow="0" w:lastRow="0" w:firstColumn="0" w:lastColumn="0" w:oddVBand="0" w:evenVBand="0" w:oddHBand="0" w:evenHBand="1" w:firstRowFirstColumn="0" w:firstRowLastColumn="0" w:lastRowFirstColumn="0" w:lastRowLastColumn="0"/>
            </w:pPr>
            <w:r>
              <w:t>10.4</w:t>
            </w:r>
          </w:p>
        </w:tc>
        <w:tc>
          <w:tcPr>
            <w:tcW w:w="656" w:type="pct"/>
          </w:tcPr>
          <w:p w:rsidR="00EA78EE" w:rsidRDefault="005C512A" w:rsidP="00463216">
            <w:pPr>
              <w:pStyle w:val="AERtabletextright"/>
              <w:cnfStyle w:val="000000010000" w:firstRow="0" w:lastRow="0" w:firstColumn="0" w:lastColumn="0" w:oddVBand="0" w:evenVBand="0" w:oddHBand="0" w:evenHBand="1" w:firstRowFirstColumn="0" w:firstRowLastColumn="0" w:lastRowFirstColumn="0" w:lastRowLastColumn="0"/>
            </w:pPr>
            <w:r>
              <w:t>61.0</w:t>
            </w:r>
          </w:p>
        </w:tc>
      </w:tr>
      <w:tr w:rsidR="005C512A" w:rsidTr="002753FB">
        <w:tc>
          <w:tcPr>
            <w:cnfStyle w:val="001000000000" w:firstRow="0" w:lastRow="0" w:firstColumn="1" w:lastColumn="0" w:oddVBand="0" w:evenVBand="0" w:oddHBand="0" w:evenHBand="0" w:firstRowFirstColumn="0" w:firstRowLastColumn="0" w:lastRowFirstColumn="0" w:lastRowLastColumn="0"/>
            <w:tcW w:w="1717" w:type="pct"/>
          </w:tcPr>
          <w:p w:rsidR="005C512A" w:rsidRPr="005C512A" w:rsidRDefault="005C512A" w:rsidP="005C512A">
            <w:pPr>
              <w:pStyle w:val="AERtabletextleft"/>
            </w:pPr>
            <w:r w:rsidRPr="005C512A">
              <w:t>Difference</w:t>
            </w:r>
          </w:p>
        </w:tc>
        <w:tc>
          <w:tcPr>
            <w:tcW w:w="657" w:type="pct"/>
            <w:vAlign w:val="bottom"/>
          </w:tcPr>
          <w:p w:rsidR="005C512A" w:rsidRPr="005C512A" w:rsidRDefault="005C512A" w:rsidP="005C512A">
            <w:pPr>
              <w:pStyle w:val="AERtabletextright"/>
              <w:cnfStyle w:val="000000000000" w:firstRow="0" w:lastRow="0" w:firstColumn="0" w:lastColumn="0" w:oddVBand="0" w:evenVBand="0" w:oddHBand="0" w:evenHBand="0" w:firstRowFirstColumn="0" w:firstRowLastColumn="0" w:lastRowFirstColumn="0" w:lastRowLastColumn="0"/>
            </w:pPr>
            <w:r w:rsidRPr="005C512A">
              <w:t>0.4</w:t>
            </w:r>
          </w:p>
        </w:tc>
        <w:tc>
          <w:tcPr>
            <w:tcW w:w="657" w:type="pct"/>
            <w:vAlign w:val="bottom"/>
          </w:tcPr>
          <w:p w:rsidR="005C512A" w:rsidRPr="005C512A" w:rsidRDefault="005C512A" w:rsidP="005C512A">
            <w:pPr>
              <w:pStyle w:val="AERtabletextright"/>
              <w:cnfStyle w:val="000000000000" w:firstRow="0" w:lastRow="0" w:firstColumn="0" w:lastColumn="0" w:oddVBand="0" w:evenVBand="0" w:oddHBand="0" w:evenHBand="0" w:firstRowFirstColumn="0" w:firstRowLastColumn="0" w:lastRowFirstColumn="0" w:lastRowLastColumn="0"/>
            </w:pPr>
            <w:r w:rsidRPr="005C512A">
              <w:t>2.</w:t>
            </w:r>
            <w:r w:rsidR="00D255C5">
              <w:t>2</w:t>
            </w:r>
          </w:p>
        </w:tc>
        <w:tc>
          <w:tcPr>
            <w:tcW w:w="657" w:type="pct"/>
            <w:vAlign w:val="bottom"/>
          </w:tcPr>
          <w:p w:rsidR="005C512A" w:rsidRPr="005C512A" w:rsidRDefault="005C512A" w:rsidP="005C512A">
            <w:pPr>
              <w:pStyle w:val="AERtabletextright"/>
              <w:cnfStyle w:val="000000000000" w:firstRow="0" w:lastRow="0" w:firstColumn="0" w:lastColumn="0" w:oddVBand="0" w:evenVBand="0" w:oddHBand="0" w:evenHBand="0" w:firstRowFirstColumn="0" w:firstRowLastColumn="0" w:lastRowFirstColumn="0" w:lastRowLastColumn="0"/>
            </w:pPr>
            <w:r w:rsidRPr="005C512A">
              <w:t>2.6</w:t>
            </w:r>
          </w:p>
        </w:tc>
        <w:tc>
          <w:tcPr>
            <w:tcW w:w="657" w:type="pct"/>
            <w:vAlign w:val="bottom"/>
          </w:tcPr>
          <w:p w:rsidR="005C512A" w:rsidRPr="005C512A" w:rsidRDefault="005C512A" w:rsidP="005C512A">
            <w:pPr>
              <w:pStyle w:val="AERtabletextright"/>
              <w:cnfStyle w:val="000000000000" w:firstRow="0" w:lastRow="0" w:firstColumn="0" w:lastColumn="0" w:oddVBand="0" w:evenVBand="0" w:oddHBand="0" w:evenHBand="0" w:firstRowFirstColumn="0" w:firstRowLastColumn="0" w:lastRowFirstColumn="0" w:lastRowLastColumn="0"/>
            </w:pPr>
            <w:r>
              <w:t>–</w:t>
            </w:r>
            <w:r w:rsidRPr="005C512A">
              <w:t>10.9</w:t>
            </w:r>
          </w:p>
        </w:tc>
        <w:tc>
          <w:tcPr>
            <w:tcW w:w="656" w:type="pct"/>
          </w:tcPr>
          <w:p w:rsidR="005C512A" w:rsidRPr="005C512A" w:rsidRDefault="005C512A" w:rsidP="005C512A">
            <w:pPr>
              <w:pStyle w:val="AERtabletextright"/>
              <w:cnfStyle w:val="000000000000" w:firstRow="0" w:lastRow="0" w:firstColumn="0" w:lastColumn="0" w:oddVBand="0" w:evenVBand="0" w:oddHBand="0" w:evenHBand="0" w:firstRowFirstColumn="0" w:firstRowLastColumn="0" w:lastRowFirstColumn="0" w:lastRowLastColumn="0"/>
            </w:pPr>
            <w:r>
              <w:t>–5.7</w:t>
            </w:r>
          </w:p>
        </w:tc>
      </w:tr>
    </w:tbl>
    <w:p w:rsidR="00707A05" w:rsidRDefault="002753FB" w:rsidP="002753FB">
      <w:pPr>
        <w:pStyle w:val="AERtablesource"/>
      </w:pPr>
      <w:bookmarkStart w:id="10" w:name="_Ref387739438"/>
      <w:r>
        <w:t>Source: AER analysis</w:t>
      </w:r>
    </w:p>
    <w:p w:rsidR="00707A05" w:rsidRDefault="00707A05" w:rsidP="00707A05">
      <w:pPr>
        <w:pStyle w:val="AERbodytext"/>
      </w:pPr>
      <w:r w:rsidRPr="00BD4587">
        <w:t>W</w:t>
      </w:r>
      <w:r w:rsidR="00E5547F">
        <w:t>e</w:t>
      </w:r>
      <w:r w:rsidRPr="00BD4587">
        <w:t xml:space="preserve"> w</w:t>
      </w:r>
      <w:r w:rsidR="00E5547F">
        <w:t>ill</w:t>
      </w:r>
      <w:r w:rsidRPr="00BD4587">
        <w:t xml:space="preserve"> apply version </w:t>
      </w:r>
      <w:r>
        <w:t>two</w:t>
      </w:r>
      <w:r w:rsidRPr="00BD4587">
        <w:t xml:space="preserve"> of the EBSS to </w:t>
      </w:r>
      <w:r>
        <w:t>TransGrid in the 2014–18</w:t>
      </w:r>
      <w:r w:rsidRPr="00BD4587">
        <w:t xml:space="preserve"> period</w:t>
      </w:r>
      <w:r w:rsidR="00E5547F">
        <w:t>.</w:t>
      </w:r>
      <w:r w:rsidRPr="00BD4587">
        <w:t xml:space="preserve"> </w:t>
      </w:r>
      <w:r w:rsidR="00E5547F">
        <w:t>W</w:t>
      </w:r>
      <w:r w:rsidRPr="00BD4587">
        <w:t xml:space="preserve">e will exclude the cost categories listed in section </w:t>
      </w:r>
      <w:r w:rsidR="008C6117">
        <w:t>9.5.3</w:t>
      </w:r>
      <w:r>
        <w:t xml:space="preserve"> </w:t>
      </w:r>
      <w:r w:rsidRPr="00BD4587">
        <w:t>from forecast and actual opex for the calculat</w:t>
      </w:r>
      <w:r>
        <w:t>ion of EBSS carryover amounts.</w:t>
      </w:r>
      <w:r w:rsidR="00A211D7">
        <w:t xml:space="preserve"> </w:t>
      </w:r>
      <w:r w:rsidR="00A211D7">
        <w:fldChar w:fldCharType="begin"/>
      </w:r>
      <w:r w:rsidR="00A211D7">
        <w:instrText xml:space="preserve"> REF _Ref402338920 \h </w:instrText>
      </w:r>
      <w:r w:rsidR="00A211D7">
        <w:fldChar w:fldCharType="separate"/>
      </w:r>
      <w:r w:rsidR="008C6117">
        <w:t>Table 9.</w:t>
      </w:r>
      <w:r w:rsidR="008C6117">
        <w:rPr>
          <w:noProof/>
        </w:rPr>
        <w:t>2</w:t>
      </w:r>
      <w:r w:rsidR="00A211D7">
        <w:fldChar w:fldCharType="end"/>
      </w:r>
      <w:r>
        <w:t xml:space="preserve"> illustrates</w:t>
      </w:r>
      <w:r w:rsidRPr="00BD4587">
        <w:t xml:space="preserve"> the total opex forecasts we </w:t>
      </w:r>
      <w:r>
        <w:t xml:space="preserve">expect </w:t>
      </w:r>
      <w:r w:rsidR="005B4E26">
        <w:t xml:space="preserve">we </w:t>
      </w:r>
      <w:r w:rsidRPr="00BD4587">
        <w:t xml:space="preserve">will use to calculate efficiency </w:t>
      </w:r>
      <w:r>
        <w:t>gains and losses for the 2014–18</w:t>
      </w:r>
      <w:r w:rsidRPr="00BD4587">
        <w:t xml:space="preserve"> period</w:t>
      </w:r>
      <w:r>
        <w:t xml:space="preserve">. </w:t>
      </w:r>
    </w:p>
    <w:p w:rsidR="003F5EF6" w:rsidRPr="003F5EF6" w:rsidRDefault="00A211D7" w:rsidP="00A211D7">
      <w:pPr>
        <w:pStyle w:val="Caption"/>
      </w:pPr>
      <w:bookmarkStart w:id="11" w:name="_Ref402338920"/>
      <w:r>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2</w:t>
      </w:r>
      <w:r w:rsidR="00C138F3">
        <w:rPr>
          <w:noProof/>
        </w:rPr>
        <w:fldChar w:fldCharType="end"/>
      </w:r>
      <w:bookmarkEnd w:id="11"/>
      <w:r w:rsidR="003F5EF6">
        <w:tab/>
        <w:t>AER's draft decisio</w:t>
      </w:r>
      <w:r w:rsidR="00FC4CA1">
        <w:t xml:space="preserve">n on TransGrid's forecast opex for the EBSS </w:t>
      </w:r>
      <w:r w:rsidR="00417DC9">
        <w:br/>
      </w:r>
      <w:r w:rsidR="00E1226B">
        <w:t>($ million, 2013–14)</w:t>
      </w:r>
    </w:p>
    <w:tbl>
      <w:tblPr>
        <w:tblStyle w:val="AERtable-numbers"/>
        <w:tblW w:w="5000" w:type="pct"/>
        <w:tblLook w:val="04A0" w:firstRow="1" w:lastRow="0" w:firstColumn="1" w:lastColumn="0" w:noHBand="0" w:noVBand="1"/>
      </w:tblPr>
      <w:tblGrid>
        <w:gridCol w:w="3653"/>
        <w:gridCol w:w="1399"/>
        <w:gridCol w:w="1397"/>
        <w:gridCol w:w="1397"/>
        <w:gridCol w:w="1396"/>
      </w:tblGrid>
      <w:tr w:rsidR="003F5EF6" w:rsidTr="001D6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pct"/>
          </w:tcPr>
          <w:p w:rsidR="003F5EF6" w:rsidRDefault="003F5EF6" w:rsidP="003F5EF6">
            <w:pPr>
              <w:pStyle w:val="AERtabletextleft"/>
            </w:pPr>
          </w:p>
        </w:tc>
        <w:tc>
          <w:tcPr>
            <w:tcW w:w="757" w:type="pct"/>
          </w:tcPr>
          <w:p w:rsidR="003F5EF6" w:rsidRPr="003F5EF6" w:rsidRDefault="003F5EF6" w:rsidP="003F5EF6">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00331884">
              <w:t>–</w:t>
            </w:r>
            <w:r w:rsidRPr="005B7AD2">
              <w:t>15</w:t>
            </w:r>
          </w:p>
        </w:tc>
        <w:tc>
          <w:tcPr>
            <w:tcW w:w="756" w:type="pct"/>
          </w:tcPr>
          <w:p w:rsidR="003F5EF6" w:rsidRPr="003F5EF6" w:rsidRDefault="003F5EF6" w:rsidP="003F5EF6">
            <w:pPr>
              <w:pStyle w:val="AERtabletextright"/>
              <w:cnfStyle w:val="100000000000" w:firstRow="1" w:lastRow="0" w:firstColumn="0" w:lastColumn="0" w:oddVBand="0" w:evenVBand="0" w:oddHBand="0" w:evenHBand="0" w:firstRowFirstColumn="0" w:firstRowLastColumn="0" w:lastRowFirstColumn="0" w:lastRowLastColumn="0"/>
            </w:pPr>
            <w:r>
              <w:t>2015</w:t>
            </w:r>
            <w:r w:rsidR="00331884">
              <w:t>–</w:t>
            </w:r>
            <w:r>
              <w:t>16</w:t>
            </w:r>
          </w:p>
        </w:tc>
        <w:tc>
          <w:tcPr>
            <w:tcW w:w="756" w:type="pct"/>
          </w:tcPr>
          <w:p w:rsidR="003F5EF6" w:rsidRPr="003F5EF6" w:rsidRDefault="003F5EF6" w:rsidP="003F5EF6">
            <w:pPr>
              <w:pStyle w:val="AERtabletextright"/>
              <w:cnfStyle w:val="100000000000" w:firstRow="1" w:lastRow="0" w:firstColumn="0" w:lastColumn="0" w:oddVBand="0" w:evenVBand="0" w:oddHBand="0" w:evenHBand="0" w:firstRowFirstColumn="0" w:firstRowLastColumn="0" w:lastRowFirstColumn="0" w:lastRowLastColumn="0"/>
            </w:pPr>
            <w:r>
              <w:t>2016</w:t>
            </w:r>
            <w:r w:rsidR="00331884">
              <w:t>–</w:t>
            </w:r>
            <w:r>
              <w:t>17</w:t>
            </w:r>
          </w:p>
        </w:tc>
        <w:tc>
          <w:tcPr>
            <w:tcW w:w="756" w:type="pct"/>
          </w:tcPr>
          <w:p w:rsidR="003F5EF6" w:rsidRPr="003F5EF6" w:rsidRDefault="003F5EF6" w:rsidP="003F5EF6">
            <w:pPr>
              <w:pStyle w:val="AERtabletextright"/>
              <w:cnfStyle w:val="100000000000" w:firstRow="1" w:lastRow="0" w:firstColumn="0" w:lastColumn="0" w:oddVBand="0" w:evenVBand="0" w:oddHBand="0" w:evenHBand="0" w:firstRowFirstColumn="0" w:firstRowLastColumn="0" w:lastRowFirstColumn="0" w:lastRowLastColumn="0"/>
            </w:pPr>
            <w:r>
              <w:t>2017</w:t>
            </w:r>
            <w:r w:rsidR="00331884">
              <w:t>–</w:t>
            </w:r>
            <w:r>
              <w:t>18</w:t>
            </w:r>
          </w:p>
        </w:tc>
      </w:tr>
      <w:tr w:rsidR="001D614D" w:rsidTr="001D614D">
        <w:tc>
          <w:tcPr>
            <w:cnfStyle w:val="001000000000" w:firstRow="0" w:lastRow="0" w:firstColumn="1" w:lastColumn="0" w:oddVBand="0" w:evenVBand="0" w:oddHBand="0" w:evenHBand="0" w:firstRowFirstColumn="0" w:firstRowLastColumn="0" w:lastRowFirstColumn="0" w:lastRowLastColumn="0"/>
            <w:tcW w:w="1976" w:type="pct"/>
          </w:tcPr>
          <w:p w:rsidR="001D614D" w:rsidRPr="001D614D" w:rsidRDefault="00FF23D4" w:rsidP="001D614D">
            <w:pPr>
              <w:pStyle w:val="AERtabletextleft"/>
            </w:pPr>
            <w:r>
              <w:t>F</w:t>
            </w:r>
            <w:r w:rsidR="001D614D" w:rsidRPr="001D614D">
              <w:t>orecast opex for EBSS</w:t>
            </w:r>
          </w:p>
        </w:tc>
        <w:tc>
          <w:tcPr>
            <w:tcW w:w="757" w:type="pct"/>
          </w:tcPr>
          <w:p w:rsidR="001D614D" w:rsidRPr="001D614D" w:rsidRDefault="001D614D" w:rsidP="001D614D">
            <w:pPr>
              <w:pStyle w:val="AERtabletextright"/>
              <w:cnfStyle w:val="000000000000" w:firstRow="0" w:lastRow="0" w:firstColumn="0" w:lastColumn="0" w:oddVBand="0" w:evenVBand="0" w:oddHBand="0" w:evenHBand="0" w:firstRowFirstColumn="0" w:firstRowLastColumn="0" w:lastRowFirstColumn="0" w:lastRowLastColumn="0"/>
            </w:pPr>
            <w:r w:rsidRPr="001D614D">
              <w:t>14</w:t>
            </w:r>
            <w:r w:rsidR="00B873AC">
              <w:t>9</w:t>
            </w:r>
            <w:r w:rsidRPr="001D614D">
              <w:t>.</w:t>
            </w:r>
            <w:r w:rsidR="00B873AC">
              <w:t>4</w:t>
            </w:r>
          </w:p>
        </w:tc>
        <w:tc>
          <w:tcPr>
            <w:tcW w:w="756" w:type="pct"/>
          </w:tcPr>
          <w:p w:rsidR="001D614D" w:rsidRPr="001D614D" w:rsidRDefault="001D614D" w:rsidP="001D614D">
            <w:pPr>
              <w:pStyle w:val="AERtabletextright"/>
              <w:cnfStyle w:val="000000000000" w:firstRow="0" w:lastRow="0" w:firstColumn="0" w:lastColumn="0" w:oddVBand="0" w:evenVBand="0" w:oddHBand="0" w:evenHBand="0" w:firstRowFirstColumn="0" w:firstRowLastColumn="0" w:lastRowFirstColumn="0" w:lastRowLastColumn="0"/>
            </w:pPr>
            <w:r w:rsidRPr="001D614D">
              <w:t>14</w:t>
            </w:r>
            <w:r w:rsidR="00B873AC">
              <w:t>8</w:t>
            </w:r>
            <w:r w:rsidRPr="001D614D">
              <w:t>.</w:t>
            </w:r>
            <w:r w:rsidR="00B873AC">
              <w:t>1</w:t>
            </w:r>
          </w:p>
        </w:tc>
        <w:tc>
          <w:tcPr>
            <w:tcW w:w="756" w:type="pct"/>
          </w:tcPr>
          <w:p w:rsidR="001D614D" w:rsidRPr="001D614D" w:rsidRDefault="001D614D" w:rsidP="001D614D">
            <w:pPr>
              <w:pStyle w:val="AERtabletextright"/>
              <w:cnfStyle w:val="000000000000" w:firstRow="0" w:lastRow="0" w:firstColumn="0" w:lastColumn="0" w:oddVBand="0" w:evenVBand="0" w:oddHBand="0" w:evenHBand="0" w:firstRowFirstColumn="0" w:firstRowLastColumn="0" w:lastRowFirstColumn="0" w:lastRowLastColumn="0"/>
            </w:pPr>
            <w:r w:rsidRPr="001D614D">
              <w:t>14</w:t>
            </w:r>
            <w:r w:rsidR="00B873AC">
              <w:t>8</w:t>
            </w:r>
            <w:r w:rsidRPr="001D614D">
              <w:t>.</w:t>
            </w:r>
            <w:r w:rsidR="00B873AC">
              <w:t>5</w:t>
            </w:r>
          </w:p>
        </w:tc>
        <w:tc>
          <w:tcPr>
            <w:tcW w:w="756" w:type="pct"/>
          </w:tcPr>
          <w:p w:rsidR="001D614D" w:rsidRPr="001D614D" w:rsidRDefault="001D614D" w:rsidP="001D614D">
            <w:pPr>
              <w:pStyle w:val="AERtabletextright"/>
              <w:cnfStyle w:val="000000000000" w:firstRow="0" w:lastRow="0" w:firstColumn="0" w:lastColumn="0" w:oddVBand="0" w:evenVBand="0" w:oddHBand="0" w:evenHBand="0" w:firstRowFirstColumn="0" w:firstRowLastColumn="0" w:lastRowFirstColumn="0" w:lastRowLastColumn="0"/>
            </w:pPr>
            <w:r w:rsidRPr="001D614D">
              <w:t>14</w:t>
            </w:r>
            <w:r w:rsidR="00B873AC">
              <w:t>9</w:t>
            </w:r>
            <w:r w:rsidRPr="001D614D">
              <w:t>.</w:t>
            </w:r>
            <w:r w:rsidR="001A4739">
              <w:t>4</w:t>
            </w:r>
          </w:p>
        </w:tc>
      </w:tr>
    </w:tbl>
    <w:bookmarkEnd w:id="10"/>
    <w:p w:rsidR="007D1353" w:rsidRPr="00BD4587" w:rsidRDefault="002753FB" w:rsidP="002753FB">
      <w:pPr>
        <w:pStyle w:val="AERtablesource"/>
      </w:pPr>
      <w:r>
        <w:t>Source: AER analysis</w:t>
      </w:r>
    </w:p>
    <w:p w:rsidR="00C061ED" w:rsidRDefault="008C6117" w:rsidP="00802996">
      <w:pPr>
        <w:pStyle w:val="Heading2"/>
        <w:numPr>
          <w:ilvl w:val="0"/>
          <w:numId w:val="0"/>
        </w:numPr>
        <w:ind w:left="-851"/>
      </w:pPr>
      <w:bookmarkStart w:id="12" w:name="_Toc404180027"/>
      <w:r>
        <w:t>9.2</w:t>
      </w:r>
      <w:r>
        <w:tab/>
      </w:r>
      <w:r w:rsidR="0073340F">
        <w:t>Proposal</w:t>
      </w:r>
      <w:bookmarkEnd w:id="12"/>
    </w:p>
    <w:p w:rsidR="001F60A7" w:rsidRDefault="001F60A7" w:rsidP="003D6853">
      <w:pPr>
        <w:pStyle w:val="HeadingBoldBlue"/>
      </w:pPr>
      <w:r>
        <w:t xml:space="preserve">Carryover amounts accrued during </w:t>
      </w:r>
      <w:r w:rsidR="007601B4">
        <w:t>2008–09</w:t>
      </w:r>
    </w:p>
    <w:p w:rsidR="003F5EF6" w:rsidRPr="003F5EF6" w:rsidRDefault="003F5EF6" w:rsidP="00FC4CA1">
      <w:pPr>
        <w:pStyle w:val="AERbodytext"/>
      </w:pPr>
      <w:r w:rsidRPr="003F5EF6">
        <w:t xml:space="preserve">In the </w:t>
      </w:r>
      <w:r w:rsidR="00122CDA">
        <w:t>2004–09</w:t>
      </w:r>
      <w:r w:rsidR="00122CDA" w:rsidRPr="00135689">
        <w:t xml:space="preserve"> </w:t>
      </w:r>
      <w:r w:rsidRPr="003F5EF6">
        <w:t>regulatory control period, the</w:t>
      </w:r>
      <w:r w:rsidR="00FC4CA1">
        <w:t xml:space="preserve"> </w:t>
      </w:r>
      <w:r w:rsidRPr="003F5EF6">
        <w:t>efficiency carry forward mechanism</w:t>
      </w:r>
      <w:r w:rsidR="00FC4CA1">
        <w:t xml:space="preserve"> (ECFM)</w:t>
      </w:r>
      <w:r w:rsidRPr="003F5EF6">
        <w:t xml:space="preserve"> applied to TransGrid.</w:t>
      </w:r>
      <w:r w:rsidR="004A0AA1">
        <w:t xml:space="preserve"> This was</w:t>
      </w:r>
      <w:r w:rsidRPr="003F5EF6">
        <w:t xml:space="preserve"> </w:t>
      </w:r>
      <w:r w:rsidR="004A0AA1" w:rsidRPr="003F5EF6">
        <w:t>a predecessor to the EBSS</w:t>
      </w:r>
      <w:r w:rsidR="00A50A06">
        <w:t>.</w:t>
      </w:r>
    </w:p>
    <w:p w:rsidR="00231403" w:rsidRDefault="00AB2DD1" w:rsidP="00FC4CA1">
      <w:pPr>
        <w:pStyle w:val="AERbodytext"/>
      </w:pPr>
      <w:r w:rsidRPr="003F5EF6">
        <w:t xml:space="preserve">At the time of the </w:t>
      </w:r>
      <w:r>
        <w:t>2009–</w:t>
      </w:r>
      <w:r w:rsidRPr="00135689">
        <w:t xml:space="preserve">14 </w:t>
      </w:r>
      <w:r w:rsidRPr="003F5EF6">
        <w:t xml:space="preserve">determination, the last year of the regulatory control period </w:t>
      </w:r>
      <w:r>
        <w:t>2008–09</w:t>
      </w:r>
      <w:r w:rsidRPr="003F5EF6">
        <w:t xml:space="preserve"> had</w:t>
      </w:r>
      <w:r>
        <w:t xml:space="preserve"> </w:t>
      </w:r>
      <w:r w:rsidRPr="003F5EF6">
        <w:t>not yet been completed</w:t>
      </w:r>
      <w:r w:rsidR="004A0AA1">
        <w:t>. T</w:t>
      </w:r>
      <w:r w:rsidRPr="003F5EF6">
        <w:t>herefore, the actual expenditure in this year was unknown.</w:t>
      </w:r>
      <w:r>
        <w:t xml:space="preserve"> </w:t>
      </w:r>
      <w:r w:rsidR="003F5EF6" w:rsidRPr="003F5EF6">
        <w:t xml:space="preserve">In TransGrid’s </w:t>
      </w:r>
      <w:r w:rsidR="00122CDA">
        <w:t>2009–</w:t>
      </w:r>
      <w:r w:rsidR="00122CDA" w:rsidRPr="00135689">
        <w:t xml:space="preserve">14 </w:t>
      </w:r>
      <w:r w:rsidR="003F5EF6" w:rsidRPr="003F5EF6">
        <w:t xml:space="preserve">determination, </w:t>
      </w:r>
      <w:r w:rsidR="00FC4CA1">
        <w:t>we</w:t>
      </w:r>
      <w:r w:rsidR="003F5EF6" w:rsidRPr="003F5EF6">
        <w:t xml:space="preserve"> used TransGrid’s</w:t>
      </w:r>
      <w:r w:rsidR="00FC4CA1">
        <w:t xml:space="preserve"> </w:t>
      </w:r>
      <w:r w:rsidR="003F5EF6" w:rsidRPr="003F5EF6">
        <w:t xml:space="preserve">budgeted expenditure for </w:t>
      </w:r>
      <w:r w:rsidR="00122CDA">
        <w:t xml:space="preserve">2008–09 </w:t>
      </w:r>
      <w:r w:rsidR="003F5EF6" w:rsidRPr="003F5EF6">
        <w:t xml:space="preserve">to calculate the carryover </w:t>
      </w:r>
      <w:r w:rsidR="000A28E4">
        <w:t xml:space="preserve">amounts </w:t>
      </w:r>
      <w:r w:rsidR="003F5EF6" w:rsidRPr="003F5EF6">
        <w:t>under the ECFM</w:t>
      </w:r>
      <w:r w:rsidR="004A0AA1">
        <w:t>.</w:t>
      </w:r>
      <w:r w:rsidR="00231403">
        <w:t xml:space="preserve"> </w:t>
      </w:r>
    </w:p>
    <w:p w:rsidR="00FC4CA1" w:rsidRDefault="000A28E4" w:rsidP="00FC4CA1">
      <w:pPr>
        <w:pStyle w:val="AERbodytext"/>
      </w:pPr>
      <w:r>
        <w:t>I</w:t>
      </w:r>
      <w:r w:rsidR="00F331AE">
        <w:t xml:space="preserve">n that determination we </w:t>
      </w:r>
      <w:r>
        <w:t xml:space="preserve">also </w:t>
      </w:r>
      <w:r w:rsidR="003F5EF6" w:rsidRPr="003F5EF6">
        <w:t>provided</w:t>
      </w:r>
      <w:r w:rsidR="00FC4CA1">
        <w:t xml:space="preserve"> </w:t>
      </w:r>
      <w:r w:rsidR="003F5EF6" w:rsidRPr="003F5EF6">
        <w:t>for an adjustment</w:t>
      </w:r>
      <w:r w:rsidR="005B4E26">
        <w:t xml:space="preserve"> to the ECFM carryover amounts</w:t>
      </w:r>
      <w:r w:rsidR="003F5EF6" w:rsidRPr="003F5EF6">
        <w:t xml:space="preserve"> </w:t>
      </w:r>
      <w:r w:rsidR="005B4E26" w:rsidRPr="003F5EF6">
        <w:t>in the next determination</w:t>
      </w:r>
      <w:r w:rsidR="005B4E26">
        <w:t xml:space="preserve"> </w:t>
      </w:r>
      <w:r w:rsidR="003F5EF6" w:rsidRPr="003F5EF6">
        <w:t xml:space="preserve">to </w:t>
      </w:r>
      <w:r w:rsidR="005B4E26">
        <w:t>take account of the difference between estimated and actual opex in 2008–09</w:t>
      </w:r>
      <w:r w:rsidR="003F5EF6" w:rsidRPr="003F5EF6">
        <w:t>.</w:t>
      </w:r>
      <w:r w:rsidR="00FC4CA1">
        <w:t xml:space="preserve"> Where TransGrid spent less than its budgeted opex it would receive </w:t>
      </w:r>
      <w:r w:rsidR="00122CDA">
        <w:t>an additional</w:t>
      </w:r>
      <w:r w:rsidR="00FC4CA1">
        <w:t xml:space="preserve"> ECFM carryover amount in the regulatory control period beginning in 2014. Where it spent more than its budgeted opex, it would receive a negative ECFM carryover amount</w:t>
      </w:r>
      <w:r w:rsidR="004A1D7E">
        <w:t>.</w:t>
      </w:r>
      <w:r w:rsidR="00331884">
        <w:rPr>
          <w:rStyle w:val="FootnoteReference"/>
        </w:rPr>
        <w:footnoteReference w:id="3"/>
      </w:r>
      <w:r w:rsidR="004E68E6">
        <w:t xml:space="preserve"> </w:t>
      </w:r>
    </w:p>
    <w:p w:rsidR="007601B4" w:rsidRDefault="00FC4CA1" w:rsidP="00FC4CA1">
      <w:pPr>
        <w:pStyle w:val="AERbodytext"/>
      </w:pPr>
      <w:r>
        <w:t xml:space="preserve">TransGrid </w:t>
      </w:r>
      <w:r w:rsidR="00FB4F14">
        <w:t>spent less than its</w:t>
      </w:r>
      <w:r w:rsidR="00E43204">
        <w:t xml:space="preserve"> budgeted opex in 2008–</w:t>
      </w:r>
      <w:r>
        <w:t xml:space="preserve">09. </w:t>
      </w:r>
      <w:r w:rsidR="00331884">
        <w:t>The</w:t>
      </w:r>
      <w:r>
        <w:t xml:space="preserve"> </w:t>
      </w:r>
      <w:r w:rsidR="00713408">
        <w:t xml:space="preserve">proposed </w:t>
      </w:r>
      <w:r>
        <w:t xml:space="preserve">ECFM </w:t>
      </w:r>
      <w:r w:rsidR="000E5D03">
        <w:t>adjustments to its revenues are</w:t>
      </w:r>
      <w:r w:rsidR="0052352F">
        <w:t xml:space="preserve"> outlined in </w:t>
      </w:r>
      <w:r w:rsidR="0052352F">
        <w:fldChar w:fldCharType="begin"/>
      </w:r>
      <w:r w:rsidR="0052352F">
        <w:instrText xml:space="preserve"> REF _Ref396308580 \h </w:instrText>
      </w:r>
      <w:r w:rsidR="0052352F">
        <w:fldChar w:fldCharType="separate"/>
      </w:r>
      <w:r w:rsidR="008C6117">
        <w:t>Table 9.</w:t>
      </w:r>
      <w:r w:rsidR="008C6117">
        <w:rPr>
          <w:noProof/>
        </w:rPr>
        <w:t>3</w:t>
      </w:r>
      <w:r w:rsidR="0052352F">
        <w:fldChar w:fldCharType="end"/>
      </w:r>
      <w:r>
        <w:t>.</w:t>
      </w:r>
    </w:p>
    <w:p w:rsidR="00FC4CA1" w:rsidRDefault="00FC4CA1" w:rsidP="00FC4CA1">
      <w:pPr>
        <w:pStyle w:val="Caption"/>
      </w:pPr>
      <w:bookmarkStart w:id="13" w:name="_Ref396308580"/>
      <w:r>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3</w:t>
      </w:r>
      <w:r w:rsidR="00C138F3">
        <w:rPr>
          <w:noProof/>
        </w:rPr>
        <w:fldChar w:fldCharType="end"/>
      </w:r>
      <w:bookmarkEnd w:id="13"/>
      <w:r>
        <w:tab/>
        <w:t>Proposed adjustment for the ECFM</w:t>
      </w:r>
      <w:r w:rsidR="00E1226B">
        <w:t xml:space="preserve"> ($ million, 2013</w:t>
      </w:r>
      <w:r w:rsidR="00331884">
        <w:t>–</w:t>
      </w:r>
      <w:r w:rsidR="00E1226B">
        <w:t>14)</w:t>
      </w:r>
    </w:p>
    <w:tbl>
      <w:tblPr>
        <w:tblStyle w:val="AERtable-numbers"/>
        <w:tblW w:w="5043" w:type="pct"/>
        <w:tblLook w:val="04A0" w:firstRow="1" w:lastRow="0" w:firstColumn="1" w:lastColumn="0" w:noHBand="0" w:noVBand="1"/>
      </w:tblPr>
      <w:tblGrid>
        <w:gridCol w:w="3178"/>
        <w:gridCol w:w="1215"/>
        <w:gridCol w:w="1214"/>
        <w:gridCol w:w="1214"/>
        <w:gridCol w:w="1214"/>
        <w:gridCol w:w="1286"/>
      </w:tblGrid>
      <w:tr w:rsidR="00817640" w:rsidTr="000A2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pct"/>
          </w:tcPr>
          <w:p w:rsidR="00817640" w:rsidRDefault="00817640" w:rsidP="00FC4CA1">
            <w:pPr>
              <w:pStyle w:val="AERtabletextleft"/>
            </w:pPr>
          </w:p>
        </w:tc>
        <w:tc>
          <w:tcPr>
            <w:tcW w:w="652" w:type="pct"/>
          </w:tcPr>
          <w:p w:rsidR="00817640" w:rsidRPr="00FC4CA1" w:rsidRDefault="00817640" w:rsidP="00FC4CA1">
            <w:pPr>
              <w:pStyle w:val="AERtabletextright"/>
              <w:cnfStyle w:val="100000000000" w:firstRow="1" w:lastRow="0" w:firstColumn="0" w:lastColumn="0" w:oddVBand="0" w:evenVBand="0" w:oddHBand="0" w:evenHBand="0" w:firstRowFirstColumn="0" w:firstRowLastColumn="0" w:lastRowFirstColumn="0" w:lastRowLastColumn="0"/>
            </w:pPr>
            <w:r>
              <w:t>2014–</w:t>
            </w:r>
            <w:r w:rsidRPr="005B7AD2">
              <w:t>15</w:t>
            </w:r>
          </w:p>
        </w:tc>
        <w:tc>
          <w:tcPr>
            <w:tcW w:w="651" w:type="pct"/>
          </w:tcPr>
          <w:p w:rsidR="00817640" w:rsidRPr="00FC4CA1" w:rsidRDefault="00817640" w:rsidP="00FC4CA1">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1" w:type="pct"/>
          </w:tcPr>
          <w:p w:rsidR="00817640" w:rsidRPr="00FC4CA1" w:rsidRDefault="00817640" w:rsidP="00FC4CA1">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1" w:type="pct"/>
          </w:tcPr>
          <w:p w:rsidR="00817640" w:rsidRPr="00FC4CA1" w:rsidRDefault="00817640" w:rsidP="00FC4CA1">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90" w:type="pct"/>
          </w:tcPr>
          <w:p w:rsidR="00817640" w:rsidRDefault="00817640" w:rsidP="00FC4CA1">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817640" w:rsidTr="000A28E4">
        <w:tc>
          <w:tcPr>
            <w:cnfStyle w:val="001000000000" w:firstRow="0" w:lastRow="0" w:firstColumn="1" w:lastColumn="0" w:oddVBand="0" w:evenVBand="0" w:oddHBand="0" w:evenHBand="0" w:firstRowFirstColumn="0" w:firstRowLastColumn="0" w:lastRowFirstColumn="0" w:lastRowLastColumn="0"/>
            <w:tcW w:w="1705" w:type="pct"/>
          </w:tcPr>
          <w:p w:rsidR="00817640" w:rsidRPr="00FC4CA1" w:rsidRDefault="00817640" w:rsidP="00FC4CA1">
            <w:pPr>
              <w:pStyle w:val="AERtabletextleft"/>
            </w:pPr>
            <w:r>
              <w:t>Proposed adjustment for the ECFM</w:t>
            </w:r>
          </w:p>
        </w:tc>
        <w:tc>
          <w:tcPr>
            <w:tcW w:w="652" w:type="pct"/>
          </w:tcPr>
          <w:p w:rsidR="00817640" w:rsidRDefault="00817640" w:rsidP="00FC4CA1">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651" w:type="pct"/>
          </w:tcPr>
          <w:p w:rsidR="00817640" w:rsidRDefault="00817640" w:rsidP="00FC4CA1">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51" w:type="pct"/>
          </w:tcPr>
          <w:p w:rsidR="00817640" w:rsidRDefault="00817640" w:rsidP="00FC4CA1">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51" w:type="pct"/>
          </w:tcPr>
          <w:p w:rsidR="00817640" w:rsidRDefault="00817640" w:rsidP="00FC4CA1">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90" w:type="pct"/>
          </w:tcPr>
          <w:p w:rsidR="00817640" w:rsidRDefault="00817640" w:rsidP="00FC4CA1">
            <w:pPr>
              <w:pStyle w:val="AERtabletextright"/>
              <w:cnfStyle w:val="000000000000" w:firstRow="0" w:lastRow="0" w:firstColumn="0" w:lastColumn="0" w:oddVBand="0" w:evenVBand="0" w:oddHBand="0" w:evenHBand="0" w:firstRowFirstColumn="0" w:firstRowLastColumn="0" w:lastRowFirstColumn="0" w:lastRowLastColumn="0"/>
            </w:pPr>
            <w:r>
              <w:t>16.1</w:t>
            </w:r>
          </w:p>
        </w:tc>
      </w:tr>
    </w:tbl>
    <w:p w:rsidR="00FC4CA1" w:rsidRPr="00FC4CA1" w:rsidRDefault="009821C7" w:rsidP="002753FB">
      <w:pPr>
        <w:pStyle w:val="AERtablesource"/>
      </w:pPr>
      <w:r>
        <w:t>Source; TransGrid, RIN, Worksheet 5.1(a)</w:t>
      </w:r>
    </w:p>
    <w:p w:rsidR="003D6853" w:rsidRDefault="003D6853" w:rsidP="003D6853">
      <w:pPr>
        <w:pStyle w:val="HeadingBoldBlue"/>
      </w:pPr>
      <w:r>
        <w:lastRenderedPageBreak/>
        <w:t>Carryover amounts accrued during the 2009</w:t>
      </w:r>
      <w:r w:rsidRPr="00D06BEA">
        <w:t>–14 regulatory control period</w:t>
      </w:r>
    </w:p>
    <w:p w:rsidR="00A947AA" w:rsidRDefault="00122CDA" w:rsidP="003D6853">
      <w:pPr>
        <w:pStyle w:val="AERbodytext"/>
      </w:pPr>
      <w:r>
        <w:t>In the 2009–</w:t>
      </w:r>
      <w:r w:rsidRPr="00135689">
        <w:t xml:space="preserve">14 </w:t>
      </w:r>
      <w:r>
        <w:t xml:space="preserve">regulatory control period, TransGrid was subject to version </w:t>
      </w:r>
      <w:r w:rsidR="00FF23D4">
        <w:t>one</w:t>
      </w:r>
      <w:r>
        <w:t xml:space="preserve"> of the EBSS</w:t>
      </w:r>
      <w:r w:rsidR="00A947AA">
        <w:t xml:space="preserve">. Under this scheme the EBSS </w:t>
      </w:r>
      <w:r w:rsidR="00E1226B">
        <w:t>carryover amounts</w:t>
      </w:r>
      <w:r w:rsidR="00A947AA">
        <w:t xml:space="preserve"> are to be based on </w:t>
      </w:r>
      <w:r w:rsidR="00E1226B">
        <w:t>the difference between</w:t>
      </w:r>
      <w:r w:rsidR="0052352F">
        <w:t>:</w:t>
      </w:r>
    </w:p>
    <w:p w:rsidR="003D6853" w:rsidRDefault="00A947AA" w:rsidP="00A947AA">
      <w:pPr>
        <w:pStyle w:val="AERbulletlistfirststyle"/>
      </w:pPr>
      <w:r>
        <w:t>approved forecast opex which is set out in our determination for TransGrid for the 2009–</w:t>
      </w:r>
      <w:r w:rsidRPr="00135689">
        <w:t>14</w:t>
      </w:r>
      <w:r>
        <w:t xml:space="preserve"> regulatory control period</w:t>
      </w:r>
      <w:r w:rsidR="004A0AA1">
        <w:t>,</w:t>
      </w:r>
      <w:r>
        <w:t xml:space="preserve"> and</w:t>
      </w:r>
    </w:p>
    <w:p w:rsidR="00A947AA" w:rsidRDefault="00A947AA" w:rsidP="00A947AA">
      <w:pPr>
        <w:pStyle w:val="AERbulletlistfirststyle"/>
      </w:pPr>
      <w:proofErr w:type="gramStart"/>
      <w:r>
        <w:t>actual</w:t>
      </w:r>
      <w:proofErr w:type="gramEnd"/>
      <w:r>
        <w:t xml:space="preserve"> opex for the regulatory years from 2009–10</w:t>
      </w:r>
      <w:r w:rsidRPr="00135689">
        <w:t xml:space="preserve"> </w:t>
      </w:r>
      <w:r>
        <w:t>to 2012–13</w:t>
      </w:r>
      <w:r w:rsidR="004A0AA1">
        <w:t>,</w:t>
      </w:r>
      <w:r w:rsidRPr="00135689">
        <w:t xml:space="preserve"> </w:t>
      </w:r>
      <w:r>
        <w:t>less excluded cost categories</w:t>
      </w:r>
      <w:r w:rsidR="00E1226B">
        <w:t>.</w:t>
      </w:r>
    </w:p>
    <w:p w:rsidR="00E1226B" w:rsidRDefault="00E1226B" w:rsidP="00A947AA">
      <w:pPr>
        <w:pStyle w:val="AERbulletlistfirststyle"/>
        <w:numPr>
          <w:ilvl w:val="0"/>
          <w:numId w:val="0"/>
        </w:numPr>
      </w:pPr>
      <w:r>
        <w:t xml:space="preserve">The formula for calculating the carryover amounts are set out in </w:t>
      </w:r>
      <w:r w:rsidR="00FF23D4">
        <w:t>v</w:t>
      </w:r>
      <w:r>
        <w:t xml:space="preserve">ersion </w:t>
      </w:r>
      <w:r w:rsidR="00FF23D4">
        <w:t>one</w:t>
      </w:r>
      <w:r>
        <w:t xml:space="preserve"> of the scheme.</w:t>
      </w:r>
      <w:r w:rsidR="0052352F">
        <w:rPr>
          <w:rStyle w:val="FootnoteReference"/>
        </w:rPr>
        <w:footnoteReference w:id="4"/>
      </w:r>
    </w:p>
    <w:p w:rsidR="00E1226B" w:rsidRDefault="0052352F" w:rsidP="00A947AA">
      <w:pPr>
        <w:pStyle w:val="AERbulletlistfirststyle"/>
        <w:numPr>
          <w:ilvl w:val="0"/>
          <w:numId w:val="0"/>
        </w:numPr>
      </w:pPr>
      <w:r>
        <w:t>TransG</w:t>
      </w:r>
      <w:r w:rsidR="00A947AA">
        <w:t>rid proposed t</w:t>
      </w:r>
      <w:r w:rsidR="00E1226B">
        <w:t xml:space="preserve">he following EBSS carryover amounts from the </w:t>
      </w:r>
      <w:r w:rsidR="00E1226B" w:rsidRPr="00E1226B">
        <w:t>2009–14 regulatory control period</w:t>
      </w:r>
      <w:r w:rsidR="00E1226B">
        <w:t xml:space="preserve"> be added to its regulated revenue in the 2014–18</w:t>
      </w:r>
      <w:r w:rsidR="00E1226B" w:rsidRPr="00E1226B">
        <w:t xml:space="preserve"> </w:t>
      </w:r>
      <w:proofErr w:type="gramStart"/>
      <w:r w:rsidR="00E1226B" w:rsidRPr="00E1226B">
        <w:t>period</w:t>
      </w:r>
      <w:proofErr w:type="gramEnd"/>
      <w:r w:rsidR="00E1226B">
        <w:t>.</w:t>
      </w:r>
    </w:p>
    <w:p w:rsidR="00A947AA" w:rsidRDefault="00E1226B" w:rsidP="00E1226B">
      <w:pPr>
        <w:pStyle w:val="Caption"/>
      </w:pPr>
      <w:r>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4</w:t>
      </w:r>
      <w:r w:rsidR="00C138F3">
        <w:rPr>
          <w:noProof/>
        </w:rPr>
        <w:fldChar w:fldCharType="end"/>
      </w:r>
      <w:r>
        <w:tab/>
        <w:t>Proposed EBSS carryover amounts from the 2009</w:t>
      </w:r>
      <w:r w:rsidRPr="00D06BEA">
        <w:t>–14 regulatory control period</w:t>
      </w:r>
      <w:r>
        <w:t xml:space="preserve"> ($ million, 2013–14)</w:t>
      </w:r>
    </w:p>
    <w:tbl>
      <w:tblPr>
        <w:tblStyle w:val="AERtable-numbers"/>
        <w:tblW w:w="5000" w:type="pct"/>
        <w:tblLook w:val="04A0" w:firstRow="1" w:lastRow="0" w:firstColumn="1" w:lastColumn="0" w:noHBand="0" w:noVBand="1"/>
      </w:tblPr>
      <w:tblGrid>
        <w:gridCol w:w="3178"/>
        <w:gridCol w:w="1215"/>
        <w:gridCol w:w="1214"/>
        <w:gridCol w:w="1214"/>
        <w:gridCol w:w="1214"/>
        <w:gridCol w:w="1207"/>
      </w:tblGrid>
      <w:tr w:rsidR="00170FF0" w:rsidTr="009A4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170FF0" w:rsidRDefault="00170FF0" w:rsidP="00E1226B">
            <w:pPr>
              <w:pStyle w:val="AERtabletextleft"/>
            </w:pPr>
          </w:p>
        </w:tc>
        <w:tc>
          <w:tcPr>
            <w:tcW w:w="657" w:type="pct"/>
          </w:tcPr>
          <w:p w:rsidR="00170FF0" w:rsidRPr="00E1226B" w:rsidRDefault="00170FF0" w:rsidP="00E1226B">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t>–</w:t>
            </w:r>
            <w:r w:rsidRPr="005B7AD2">
              <w:t>15</w:t>
            </w:r>
          </w:p>
        </w:tc>
        <w:tc>
          <w:tcPr>
            <w:tcW w:w="657" w:type="pct"/>
          </w:tcPr>
          <w:p w:rsidR="00170FF0" w:rsidRPr="00E1226B" w:rsidRDefault="00170FF0" w:rsidP="00E1226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7" w:type="pct"/>
          </w:tcPr>
          <w:p w:rsidR="00170FF0" w:rsidRPr="00E1226B" w:rsidRDefault="00170FF0" w:rsidP="00E1226B">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7" w:type="pct"/>
          </w:tcPr>
          <w:p w:rsidR="00170FF0" w:rsidRPr="00E1226B" w:rsidRDefault="00170FF0" w:rsidP="00E1226B">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53" w:type="pct"/>
          </w:tcPr>
          <w:p w:rsidR="00170FF0" w:rsidRDefault="00170FF0" w:rsidP="00E1226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170FF0" w:rsidTr="009A426B">
        <w:tc>
          <w:tcPr>
            <w:cnfStyle w:val="001000000000" w:firstRow="0" w:lastRow="0" w:firstColumn="1" w:lastColumn="0" w:oddVBand="0" w:evenVBand="0" w:oddHBand="0" w:evenHBand="0" w:firstRowFirstColumn="0" w:firstRowLastColumn="0" w:lastRowFirstColumn="0" w:lastRowLastColumn="0"/>
            <w:tcW w:w="1719" w:type="pct"/>
          </w:tcPr>
          <w:p w:rsidR="00170FF0" w:rsidRPr="00E1226B" w:rsidRDefault="00170FF0" w:rsidP="00E1226B">
            <w:pPr>
              <w:pStyle w:val="AERtabletextleft"/>
            </w:pPr>
            <w:r>
              <w:t>Proposed EBSS carryover amounts</w:t>
            </w:r>
          </w:p>
        </w:tc>
        <w:tc>
          <w:tcPr>
            <w:tcW w:w="657" w:type="pct"/>
          </w:tcPr>
          <w:p w:rsidR="00170FF0" w:rsidRPr="00E1226B" w:rsidRDefault="00170FF0" w:rsidP="00E1226B">
            <w:pPr>
              <w:pStyle w:val="AERtabletextright"/>
              <w:cnfStyle w:val="000000000000" w:firstRow="0" w:lastRow="0" w:firstColumn="0" w:lastColumn="0" w:oddVBand="0" w:evenVBand="0" w:oddHBand="0" w:evenHBand="0" w:firstRowFirstColumn="0" w:firstRowLastColumn="0" w:lastRowFirstColumn="0" w:lastRowLastColumn="0"/>
            </w:pPr>
            <w:r>
              <w:t>20.3</w:t>
            </w:r>
          </w:p>
        </w:tc>
        <w:tc>
          <w:tcPr>
            <w:tcW w:w="657" w:type="pct"/>
          </w:tcPr>
          <w:p w:rsidR="00170FF0" w:rsidRPr="00E1226B" w:rsidRDefault="00170FF0" w:rsidP="00E1226B">
            <w:pPr>
              <w:pStyle w:val="AERtabletextright"/>
              <w:cnfStyle w:val="000000000000" w:firstRow="0" w:lastRow="0" w:firstColumn="0" w:lastColumn="0" w:oddVBand="0" w:evenVBand="0" w:oddHBand="0" w:evenHBand="0" w:firstRowFirstColumn="0" w:firstRowLastColumn="0" w:lastRowFirstColumn="0" w:lastRowLastColumn="0"/>
            </w:pPr>
            <w:r>
              <w:t>6.6</w:t>
            </w:r>
          </w:p>
        </w:tc>
        <w:tc>
          <w:tcPr>
            <w:tcW w:w="657" w:type="pct"/>
          </w:tcPr>
          <w:p w:rsidR="00170FF0" w:rsidRPr="00E1226B" w:rsidRDefault="00170FF0" w:rsidP="00E1226B">
            <w:pPr>
              <w:pStyle w:val="AERtabletextright"/>
              <w:cnfStyle w:val="000000000000" w:firstRow="0" w:lastRow="0" w:firstColumn="0" w:lastColumn="0" w:oddVBand="0" w:evenVBand="0" w:oddHBand="0" w:evenHBand="0" w:firstRowFirstColumn="0" w:firstRowLastColumn="0" w:lastRowFirstColumn="0" w:lastRowLastColumn="0"/>
            </w:pPr>
            <w:r>
              <w:t>9.1</w:t>
            </w:r>
          </w:p>
        </w:tc>
        <w:tc>
          <w:tcPr>
            <w:tcW w:w="657" w:type="pct"/>
          </w:tcPr>
          <w:p w:rsidR="00170FF0" w:rsidRPr="00E1226B" w:rsidRDefault="00170FF0" w:rsidP="00E1226B">
            <w:pPr>
              <w:pStyle w:val="AERtabletextright"/>
              <w:cnfStyle w:val="000000000000" w:firstRow="0" w:lastRow="0" w:firstColumn="0" w:lastColumn="0" w:oddVBand="0" w:evenVBand="0" w:oddHBand="0" w:evenHBand="0" w:firstRowFirstColumn="0" w:firstRowLastColumn="0" w:lastRowFirstColumn="0" w:lastRowLastColumn="0"/>
            </w:pPr>
            <w:r>
              <w:t>14.6</w:t>
            </w:r>
          </w:p>
        </w:tc>
        <w:tc>
          <w:tcPr>
            <w:tcW w:w="653" w:type="pct"/>
          </w:tcPr>
          <w:p w:rsidR="00170FF0" w:rsidRDefault="00170FF0" w:rsidP="00E1226B">
            <w:pPr>
              <w:pStyle w:val="AERtabletextright"/>
              <w:cnfStyle w:val="000000000000" w:firstRow="0" w:lastRow="0" w:firstColumn="0" w:lastColumn="0" w:oddVBand="0" w:evenVBand="0" w:oddHBand="0" w:evenHBand="0" w:firstRowFirstColumn="0" w:firstRowLastColumn="0" w:lastRowFirstColumn="0" w:lastRowLastColumn="0"/>
            </w:pPr>
            <w:r>
              <w:t>50.6</w:t>
            </w:r>
          </w:p>
        </w:tc>
      </w:tr>
    </w:tbl>
    <w:p w:rsidR="009821C7" w:rsidRPr="009821C7" w:rsidRDefault="009821C7" w:rsidP="009821C7">
      <w:pPr>
        <w:pStyle w:val="AERtablesource"/>
      </w:pPr>
      <w:r>
        <w:t xml:space="preserve">Source: </w:t>
      </w:r>
      <w:r w:rsidRPr="009821C7">
        <w:t>TransGrid, RIN, Worksheet 5.1(</w:t>
      </w:r>
      <w:r>
        <w:t>b</w:t>
      </w:r>
      <w:r w:rsidRPr="009821C7">
        <w:t>)</w:t>
      </w:r>
    </w:p>
    <w:p w:rsidR="003D6853" w:rsidRPr="00D06BEA" w:rsidRDefault="003D6853" w:rsidP="003D6853">
      <w:pPr>
        <w:pStyle w:val="HeadingBoldBlue"/>
      </w:pPr>
      <w:r w:rsidRPr="00D06BEA">
        <w:t>Ap</w:t>
      </w:r>
      <w:r>
        <w:t>plication of the EBSS in the 2014–1</w:t>
      </w:r>
      <w:r w:rsidR="004A0AA1">
        <w:t>8</w:t>
      </w:r>
      <w:r>
        <w:t xml:space="preserve"> period</w:t>
      </w:r>
    </w:p>
    <w:p w:rsidR="00C061ED" w:rsidRDefault="00E1226B" w:rsidP="00C061ED">
      <w:pPr>
        <w:pStyle w:val="AERbodytext"/>
      </w:pPr>
      <w:r>
        <w:t xml:space="preserve">TransGrid proposed </w:t>
      </w:r>
      <w:r w:rsidR="004A0AA1">
        <w:t xml:space="preserve">that </w:t>
      </w:r>
      <w:r>
        <w:t>two EBSS</w:t>
      </w:r>
      <w:r w:rsidR="0028290C">
        <w:t>s</w:t>
      </w:r>
      <w:r w:rsidR="004A0AA1">
        <w:t xml:space="preserve"> apply for the 2014-18 period.</w:t>
      </w:r>
    </w:p>
    <w:p w:rsidR="00E1226B" w:rsidRDefault="00E1226B" w:rsidP="00C061ED">
      <w:pPr>
        <w:pStyle w:val="AERbodytext"/>
      </w:pPr>
      <w:r>
        <w:t xml:space="preserve">For costs forecast using a revealed costs approach, TransGrid </w:t>
      </w:r>
      <w:r w:rsidR="00297747">
        <w:t>proposed</w:t>
      </w:r>
      <w:r w:rsidR="003023F2">
        <w:t xml:space="preserve"> we apply</w:t>
      </w:r>
      <w:r>
        <w:t xml:space="preserve"> version </w:t>
      </w:r>
      <w:r w:rsidR="00FF23D4">
        <w:t>two</w:t>
      </w:r>
      <w:r>
        <w:t xml:space="preserve"> of the</w:t>
      </w:r>
      <w:r w:rsidR="00297747">
        <w:t xml:space="preserve"> EBSS</w:t>
      </w:r>
      <w:r>
        <w:t xml:space="preserve">. It proposed to exclude </w:t>
      </w:r>
      <w:r w:rsidR="0052352F">
        <w:t>costs</w:t>
      </w:r>
      <w:r>
        <w:t xml:space="preserve"> from the scheme</w:t>
      </w:r>
      <w:r w:rsidR="0052352F">
        <w:t xml:space="preserve"> which were not forecast using a revealed cost approach. This included</w:t>
      </w:r>
      <w:r>
        <w:t>:</w:t>
      </w:r>
    </w:p>
    <w:p w:rsidR="00E1226B" w:rsidRDefault="00B74C44" w:rsidP="00E1226B">
      <w:pPr>
        <w:pStyle w:val="AERbulletlistfirststyle"/>
      </w:pPr>
      <w:r>
        <w:t>d</w:t>
      </w:r>
      <w:r w:rsidR="00E1226B">
        <w:t>ebt raising costs</w:t>
      </w:r>
    </w:p>
    <w:p w:rsidR="00E1226B" w:rsidRDefault="00B74C44" w:rsidP="00E1226B">
      <w:pPr>
        <w:pStyle w:val="AERbulletlistfirststyle"/>
      </w:pPr>
      <w:r>
        <w:t>i</w:t>
      </w:r>
      <w:r w:rsidR="00E1226B">
        <w:t>nsurance</w:t>
      </w:r>
    </w:p>
    <w:p w:rsidR="00E1226B" w:rsidRDefault="005B4E26" w:rsidP="00E1226B">
      <w:pPr>
        <w:pStyle w:val="AERbulletlistfirststyle"/>
      </w:pPr>
      <w:r>
        <w:t>self-insurance</w:t>
      </w:r>
    </w:p>
    <w:p w:rsidR="00E1226B" w:rsidRDefault="00B74C44" w:rsidP="00E1226B">
      <w:pPr>
        <w:pStyle w:val="AERbulletlistfirststyle"/>
      </w:pPr>
      <w:r>
        <w:t>n</w:t>
      </w:r>
      <w:r w:rsidR="00E1226B">
        <w:t>etwork</w:t>
      </w:r>
      <w:r>
        <w:t xml:space="preserve"> s</w:t>
      </w:r>
      <w:r w:rsidR="00E1226B">
        <w:t>upport</w:t>
      </w:r>
    </w:p>
    <w:p w:rsidR="00E1226B" w:rsidRDefault="00B74C44" w:rsidP="00E1226B">
      <w:pPr>
        <w:pStyle w:val="AERbulletlistfirststyle"/>
      </w:pPr>
      <w:r>
        <w:t>D</w:t>
      </w:r>
      <w:r w:rsidR="00E1226B">
        <w:t>emand Management Innovation Allowance</w:t>
      </w:r>
    </w:p>
    <w:p w:rsidR="00E1226B" w:rsidRDefault="00B74C44" w:rsidP="00E1226B">
      <w:pPr>
        <w:pStyle w:val="AERbulletlistfirststyle"/>
      </w:pPr>
      <w:r>
        <w:t>employee e</w:t>
      </w:r>
      <w:r w:rsidR="00E1226B">
        <w:t>ntitlements</w:t>
      </w:r>
    </w:p>
    <w:p w:rsidR="00E1226B" w:rsidRDefault="00B74C44" w:rsidP="00E1226B">
      <w:pPr>
        <w:pStyle w:val="AERbulletlistfirststyle"/>
      </w:pPr>
      <w:r>
        <w:t>network capability i</w:t>
      </w:r>
      <w:r w:rsidR="00E1226B">
        <w:t>ncentive</w:t>
      </w:r>
    </w:p>
    <w:p w:rsidR="00E1226B" w:rsidRDefault="00B74C44" w:rsidP="00E1226B">
      <w:pPr>
        <w:pStyle w:val="AERbulletlistfirststyle"/>
      </w:pPr>
      <w:proofErr w:type="gramStart"/>
      <w:r>
        <w:t>major</w:t>
      </w:r>
      <w:proofErr w:type="gramEnd"/>
      <w:r>
        <w:t xml:space="preserve"> operating p</w:t>
      </w:r>
      <w:r w:rsidR="00E1226B">
        <w:t>rojects</w:t>
      </w:r>
      <w:r w:rsidR="009D2419">
        <w:t>.</w:t>
      </w:r>
      <w:r w:rsidR="0052352F">
        <w:rPr>
          <w:rStyle w:val="FootnoteReference"/>
        </w:rPr>
        <w:footnoteReference w:id="5"/>
      </w:r>
    </w:p>
    <w:p w:rsidR="00E1226B" w:rsidRDefault="00E1226B" w:rsidP="00E1226B">
      <w:pPr>
        <w:pStyle w:val="AERbulletlistfirststyle"/>
        <w:numPr>
          <w:ilvl w:val="0"/>
          <w:numId w:val="0"/>
        </w:numPr>
      </w:pPr>
      <w:r>
        <w:t xml:space="preserve">For major operating projects, TransGrid </w:t>
      </w:r>
      <w:r w:rsidR="00707A05">
        <w:t xml:space="preserve">proposed </w:t>
      </w:r>
      <w:r>
        <w:t xml:space="preserve">an alternative </w:t>
      </w:r>
      <w:r w:rsidR="00707A05">
        <w:t>EBSS</w:t>
      </w:r>
      <w:r w:rsidR="0028290C">
        <w:t xml:space="preserve">. </w:t>
      </w:r>
      <w:r w:rsidR="00297747">
        <w:t>Trans</w:t>
      </w:r>
      <w:r w:rsidR="00170FF0">
        <w:t>G</w:t>
      </w:r>
      <w:r w:rsidR="00297747">
        <w:t xml:space="preserve">rid considered that applying the </w:t>
      </w:r>
      <w:r w:rsidR="00B74C44">
        <w:t>standard EBSS</w:t>
      </w:r>
      <w:r w:rsidR="00297747">
        <w:t xml:space="preserve"> in this case</w:t>
      </w:r>
      <w:r w:rsidR="00B74C44">
        <w:t xml:space="preserve"> would lead to unbalanced incentives between opex and capex</w:t>
      </w:r>
      <w:r w:rsidR="0028290C">
        <w:t>. TransGrid proposed an alternative scheme that</w:t>
      </w:r>
      <w:r w:rsidR="0052352F">
        <w:t xml:space="preserve"> it considered</w:t>
      </w:r>
      <w:r w:rsidR="0028290C">
        <w:t xml:space="preserve"> </w:t>
      </w:r>
      <w:r w:rsidR="00297747">
        <w:t xml:space="preserve">would better </w:t>
      </w:r>
      <w:r w:rsidR="00793DEB">
        <w:t>achiev</w:t>
      </w:r>
      <w:r w:rsidR="00297747">
        <w:t>e</w:t>
      </w:r>
      <w:r w:rsidR="00793DEB">
        <w:t xml:space="preserve"> balance with the incentives </w:t>
      </w:r>
      <w:r w:rsidR="00297747">
        <w:t xml:space="preserve">if </w:t>
      </w:r>
      <w:r w:rsidR="00793DEB">
        <w:t>face</w:t>
      </w:r>
      <w:r w:rsidR="00297747">
        <w:t>s</w:t>
      </w:r>
      <w:r w:rsidR="00793DEB">
        <w:t xml:space="preserve"> to deliver </w:t>
      </w:r>
      <w:r w:rsidR="0052352F">
        <w:t>efficient</w:t>
      </w:r>
      <w:r w:rsidR="00793DEB">
        <w:t xml:space="preserve"> capex.</w:t>
      </w:r>
      <w:r w:rsidR="0052352F">
        <w:rPr>
          <w:rStyle w:val="FootnoteReference"/>
        </w:rPr>
        <w:footnoteReference w:id="6"/>
      </w:r>
    </w:p>
    <w:p w:rsidR="00B64598" w:rsidRDefault="008C6117" w:rsidP="00802996">
      <w:pPr>
        <w:pStyle w:val="Heading2"/>
        <w:numPr>
          <w:ilvl w:val="0"/>
          <w:numId w:val="0"/>
        </w:numPr>
        <w:ind w:left="-851"/>
      </w:pPr>
      <w:bookmarkStart w:id="14" w:name="_Toc404180028"/>
      <w:r>
        <w:lastRenderedPageBreak/>
        <w:t>9.3</w:t>
      </w:r>
      <w:r>
        <w:tab/>
      </w:r>
      <w:r w:rsidR="00D01B61">
        <w:t>A</w:t>
      </w:r>
      <w:r w:rsidR="00B64598" w:rsidRPr="00B64598">
        <w:t>ssessment approach</w:t>
      </w:r>
      <w:bookmarkEnd w:id="14"/>
    </w:p>
    <w:p w:rsidR="00E7780E" w:rsidRPr="00E7780E" w:rsidRDefault="00E7780E" w:rsidP="00E7780E">
      <w:pPr>
        <w:pStyle w:val="AERbodytext"/>
      </w:pPr>
      <w:r w:rsidRPr="00E7780E">
        <w:t xml:space="preserve">Under the National Electricity Rules (NER) we must decide: </w:t>
      </w:r>
    </w:p>
    <w:p w:rsidR="00E7780E" w:rsidRPr="00E7780E" w:rsidRDefault="00E7780E" w:rsidP="00E7780E">
      <w:pPr>
        <w:pStyle w:val="AERnumberedlistfirststyle"/>
      </w:pPr>
      <w:proofErr w:type="gramStart"/>
      <w:r w:rsidRPr="00E7780E">
        <w:t>the</w:t>
      </w:r>
      <w:proofErr w:type="gramEnd"/>
      <w:r w:rsidRPr="00E7780E">
        <w:t xml:space="preserve"> revenue increments or decrements (if any) for each regulatory year of the 2014–19 period arising from the application of the EBSS during the 2009–14 regulatory control period</w:t>
      </w:r>
      <w:r w:rsidR="00520284">
        <w:t>.</w:t>
      </w:r>
      <w:r w:rsidRPr="00E7780E">
        <w:rPr>
          <w:rStyle w:val="FootnoteReference"/>
        </w:rPr>
        <w:footnoteReference w:id="7"/>
      </w:r>
    </w:p>
    <w:p w:rsidR="00E7780E" w:rsidRPr="00E7780E" w:rsidRDefault="00E7780E" w:rsidP="00E7780E">
      <w:pPr>
        <w:pStyle w:val="AERnumberedlistfirststyle"/>
      </w:pPr>
      <w:proofErr w:type="gramStart"/>
      <w:r w:rsidRPr="00E7780E">
        <w:t>the</w:t>
      </w:r>
      <w:proofErr w:type="gramEnd"/>
      <w:r w:rsidRPr="00E7780E">
        <w:t xml:space="preserve"> values that are to be attributed to the EBSS parameters for any EBSS that is to apply to T</w:t>
      </w:r>
      <w:r>
        <w:t>ransGrid</w:t>
      </w:r>
      <w:r w:rsidRPr="00E7780E">
        <w:t xml:space="preserve"> in the 2014–19 period.</w:t>
      </w:r>
      <w:r w:rsidRPr="00E7780E">
        <w:rPr>
          <w:rStyle w:val="FootnoteReference"/>
        </w:rPr>
        <w:footnoteReference w:id="8"/>
      </w:r>
    </w:p>
    <w:p w:rsidR="00AB237C" w:rsidRDefault="00E24763" w:rsidP="00AB237C">
      <w:pPr>
        <w:pStyle w:val="AERbodytext"/>
      </w:pPr>
      <w:r>
        <w:rPr>
          <w:rStyle w:val="AERbody"/>
        </w:rPr>
        <w:t>The EBSS must provide for a fair sharing between service providers and network users of opex efficiency gains and efficiency losses.</w:t>
      </w:r>
      <w:r>
        <w:rPr>
          <w:rStyle w:val="FootnoteReference"/>
        </w:rPr>
        <w:footnoteReference w:id="9"/>
      </w:r>
      <w:r>
        <w:rPr>
          <w:rStyle w:val="AERbody"/>
        </w:rPr>
        <w:t xml:space="preserve"> We must also have regard to the following factors when implementing the EBSS</w:t>
      </w:r>
      <w:r w:rsidR="00AB237C">
        <w:t>:</w:t>
      </w:r>
      <w:r>
        <w:rPr>
          <w:rStyle w:val="FootnoteReference"/>
        </w:rPr>
        <w:footnoteReference w:id="10"/>
      </w:r>
    </w:p>
    <w:p w:rsidR="00AB237C" w:rsidRPr="007439B9" w:rsidRDefault="00AB237C" w:rsidP="007439B9">
      <w:pPr>
        <w:pStyle w:val="AERbulletlistfirststyle"/>
      </w:pPr>
      <w:r w:rsidRPr="007439B9">
        <w:t xml:space="preserve">the need to provide </w:t>
      </w:r>
      <w:r w:rsidR="002D3932">
        <w:t>service providers</w:t>
      </w:r>
      <w:r w:rsidR="002D3932" w:rsidRPr="007439B9">
        <w:t xml:space="preserve"> </w:t>
      </w:r>
      <w:r w:rsidRPr="007439B9">
        <w:t xml:space="preserve">with </w:t>
      </w:r>
      <w:r w:rsidR="002D3932">
        <w:t xml:space="preserve">a </w:t>
      </w:r>
      <w:r w:rsidRPr="007439B9">
        <w:t>continuous incenti</w:t>
      </w:r>
      <w:r w:rsidR="00D01B61" w:rsidRPr="007439B9">
        <w:t xml:space="preserve">ve to reduce opex, </w:t>
      </w:r>
    </w:p>
    <w:p w:rsidR="00E24763" w:rsidRPr="007439B9" w:rsidRDefault="00AB237C" w:rsidP="007439B9">
      <w:pPr>
        <w:pStyle w:val="AERbulletlistfirststyle"/>
      </w:pPr>
      <w:proofErr w:type="gramStart"/>
      <w:r w:rsidRPr="007439B9">
        <w:t>the</w:t>
      </w:r>
      <w:proofErr w:type="gramEnd"/>
      <w:r w:rsidRPr="007439B9">
        <w:t xml:space="preserve"> desirability of both rewarding the </w:t>
      </w:r>
      <w:r w:rsidR="007439B9">
        <w:t>service providers</w:t>
      </w:r>
      <w:r w:rsidRPr="007439B9">
        <w:t xml:space="preserve"> for efficiency gains and penalising them for efficiency losses. </w:t>
      </w:r>
    </w:p>
    <w:p w:rsidR="007439B9" w:rsidRPr="007439B9" w:rsidRDefault="007439B9" w:rsidP="007439B9">
      <w:pPr>
        <w:pStyle w:val="AERbulletlistfirststyle"/>
      </w:pPr>
      <w:r w:rsidRPr="007439B9">
        <w:t xml:space="preserve">any incentives that service providers may have to </w:t>
      </w:r>
      <w:r w:rsidR="00817B2A">
        <w:t xml:space="preserve">inappropriately </w:t>
      </w:r>
      <w:r w:rsidRPr="007439B9">
        <w:t xml:space="preserve">capitalise </w:t>
      </w:r>
      <w:r w:rsidR="00817B2A">
        <w:t>opex</w:t>
      </w:r>
    </w:p>
    <w:p w:rsidR="007439B9" w:rsidRDefault="007439B9" w:rsidP="007439B9">
      <w:pPr>
        <w:pStyle w:val="AERbulletlistfirststyle"/>
      </w:pPr>
      <w:proofErr w:type="gramStart"/>
      <w:r w:rsidRPr="007439B9">
        <w:t>the</w:t>
      </w:r>
      <w:proofErr w:type="gramEnd"/>
      <w:r w:rsidRPr="007439B9">
        <w:t xml:space="preserve"> possible effects of the scheme on incentives for the implementation of non</w:t>
      </w:r>
      <w:r w:rsidR="00331884">
        <w:t>–</w:t>
      </w:r>
      <w:r w:rsidRPr="007439B9">
        <w:t>network alternatives</w:t>
      </w:r>
      <w:r>
        <w:t>.</w:t>
      </w:r>
    </w:p>
    <w:p w:rsidR="001424A9" w:rsidRPr="002A4C9A" w:rsidRDefault="001424A9" w:rsidP="004070E4">
      <w:pPr>
        <w:pStyle w:val="AERbulletlistfirststyle"/>
        <w:numPr>
          <w:ilvl w:val="0"/>
          <w:numId w:val="0"/>
        </w:numPr>
        <w:rPr>
          <w:rStyle w:val="AERbody"/>
          <w:rFonts w:eastAsia="Calibri"/>
          <w:szCs w:val="20"/>
        </w:rPr>
      </w:pPr>
      <w:r>
        <w:t xml:space="preserve">Details of how the EBSS will operate are set out in </w:t>
      </w:r>
      <w:r>
        <w:rPr>
          <w:rStyle w:val="AERtextitalic"/>
        </w:rPr>
        <w:t>Explanatory Statement - Efficiency Benefit Sharing Scheme for Electricity Network Service Providers</w:t>
      </w:r>
      <w:r>
        <w:rPr>
          <w:rStyle w:val="AERbody"/>
        </w:rPr>
        <w:t>.</w:t>
      </w:r>
      <w:r>
        <w:rPr>
          <w:rStyle w:val="FootnoteReference"/>
        </w:rPr>
        <w:footnoteReference w:id="11"/>
      </w:r>
    </w:p>
    <w:p w:rsidR="009821C7" w:rsidRPr="009821C7" w:rsidRDefault="008C6117" w:rsidP="00802996">
      <w:pPr>
        <w:pStyle w:val="Heading2"/>
        <w:numPr>
          <w:ilvl w:val="0"/>
          <w:numId w:val="0"/>
        </w:numPr>
        <w:ind w:left="-851"/>
      </w:pPr>
      <w:bookmarkStart w:id="15" w:name="_Toc404180029"/>
      <w:r>
        <w:t>9.4</w:t>
      </w:r>
      <w:r>
        <w:tab/>
      </w:r>
      <w:r w:rsidR="009821C7" w:rsidRPr="009821C7">
        <w:t>Interrelationships</w:t>
      </w:r>
      <w:bookmarkEnd w:id="15"/>
      <w:r w:rsidR="009821C7" w:rsidRPr="009821C7">
        <w:t xml:space="preserve"> </w:t>
      </w:r>
    </w:p>
    <w:p w:rsidR="009821C7" w:rsidRPr="009821C7" w:rsidRDefault="009821C7" w:rsidP="009821C7">
      <w:pPr>
        <w:pStyle w:val="AERbodytext"/>
      </w:pPr>
      <w:r w:rsidRPr="009821C7">
        <w:t>The EBSS is intrinsically linked to a revealed cost forecasting approach for opex. Under this forecasting approach, the EBSS has two specific functions:</w:t>
      </w:r>
    </w:p>
    <w:p w:rsidR="009821C7" w:rsidRPr="009821C7" w:rsidRDefault="009821C7" w:rsidP="009821C7">
      <w:pPr>
        <w:pStyle w:val="AERbulletlistfirststyle"/>
      </w:pPr>
      <w:r w:rsidRPr="009821C7">
        <w:t>To mitigate the incentive for a service provider to increase opex in the expected 'base year' to increase its forecast opex allowance for the following regulatory control period.</w:t>
      </w:r>
    </w:p>
    <w:p w:rsidR="009821C7" w:rsidRPr="009821C7" w:rsidRDefault="009821C7" w:rsidP="009821C7">
      <w:pPr>
        <w:pStyle w:val="AERbulletlistfirststyle"/>
      </w:pPr>
      <w:r w:rsidRPr="009821C7">
        <w:t xml:space="preserve">To provide a continuous incentive for a service provider to make efficiency gains - service providers receive the same reward for </w:t>
      </w:r>
      <w:proofErr w:type="gramStart"/>
      <w:r w:rsidRPr="009821C7">
        <w:t>an underspend</w:t>
      </w:r>
      <w:proofErr w:type="gramEnd"/>
      <w:r w:rsidRPr="009821C7">
        <w:t xml:space="preserve"> and the same penalty for an overspend in each year of the regulatory control period.</w:t>
      </w:r>
    </w:p>
    <w:p w:rsidR="009821C7" w:rsidRPr="009821C7" w:rsidRDefault="009821C7" w:rsidP="009821C7">
      <w:r w:rsidRPr="009821C7">
        <w:t>Where we do not propose to rely on the revealed costs of a service provider in forecasting opex this has consequences for the service provider's incentives to make productivity improvements and consequently our decision on how we apply the EBSS.</w:t>
      </w:r>
    </w:p>
    <w:p w:rsidR="00B64598" w:rsidRDefault="008C6117" w:rsidP="00802996">
      <w:pPr>
        <w:pStyle w:val="Heading2"/>
        <w:numPr>
          <w:ilvl w:val="0"/>
          <w:numId w:val="0"/>
        </w:numPr>
        <w:ind w:left="-851"/>
      </w:pPr>
      <w:bookmarkStart w:id="16" w:name="_Toc404180030"/>
      <w:r>
        <w:t>9.5</w:t>
      </w:r>
      <w:r>
        <w:tab/>
      </w:r>
      <w:r w:rsidR="00B64598" w:rsidRPr="00B64598">
        <w:t>Reasons for draft decision</w:t>
      </w:r>
      <w:bookmarkEnd w:id="16"/>
    </w:p>
    <w:p w:rsidR="007439B9" w:rsidRPr="00AB237C" w:rsidRDefault="007439B9" w:rsidP="007439B9">
      <w:pPr>
        <w:pStyle w:val="AERbodytext"/>
      </w:pPr>
      <w:r>
        <w:t xml:space="preserve">This section provides the reasons for our draft decision </w:t>
      </w:r>
      <w:r w:rsidR="00297747">
        <w:t xml:space="preserve">on </w:t>
      </w:r>
      <w:r w:rsidRPr="002D16B9">
        <w:t>the</w:t>
      </w:r>
      <w:r w:rsidR="00297747">
        <w:t xml:space="preserve"> EBSS</w:t>
      </w:r>
      <w:r w:rsidRPr="002D16B9">
        <w:t xml:space="preserve"> carryover amounts </w:t>
      </w:r>
      <w:r w:rsidR="00297747">
        <w:t xml:space="preserve">from </w:t>
      </w:r>
      <w:r>
        <w:t>the 2009</w:t>
      </w:r>
      <w:r w:rsidRPr="002D16B9">
        <w:t xml:space="preserve">–14 regulatory control </w:t>
      </w:r>
      <w:proofErr w:type="gramStart"/>
      <w:r w:rsidRPr="002D16B9">
        <w:t>period</w:t>
      </w:r>
      <w:proofErr w:type="gramEnd"/>
      <w:r w:rsidR="00297747">
        <w:t xml:space="preserve">. </w:t>
      </w:r>
      <w:r w:rsidR="00CE7233">
        <w:t>It also outlines our proposed application of</w:t>
      </w:r>
      <w:r w:rsidR="00876838">
        <w:t xml:space="preserve"> </w:t>
      </w:r>
      <w:r w:rsidRPr="002D16B9">
        <w:t xml:space="preserve">the EBSS </w:t>
      </w:r>
      <w:r w:rsidR="00CE7233">
        <w:t>for</w:t>
      </w:r>
      <w:r>
        <w:t xml:space="preserve"> the </w:t>
      </w:r>
      <w:r w:rsidR="006541AB">
        <w:br/>
      </w:r>
      <w:r>
        <w:t>2014–1</w:t>
      </w:r>
      <w:r w:rsidR="00CE7233">
        <w:t>8</w:t>
      </w:r>
      <w:r w:rsidRPr="002D16B9">
        <w:t xml:space="preserve"> </w:t>
      </w:r>
      <w:proofErr w:type="gramStart"/>
      <w:r w:rsidRPr="002D16B9">
        <w:t>period</w:t>
      </w:r>
      <w:proofErr w:type="gramEnd"/>
      <w:r w:rsidRPr="002D16B9">
        <w:t>.</w:t>
      </w:r>
    </w:p>
    <w:p w:rsidR="007601B4" w:rsidRPr="00C061ED" w:rsidRDefault="008C6117" w:rsidP="00802996">
      <w:pPr>
        <w:pStyle w:val="Heading3"/>
        <w:numPr>
          <w:ilvl w:val="0"/>
          <w:numId w:val="0"/>
        </w:numPr>
        <w:ind w:left="-851"/>
      </w:pPr>
      <w:bookmarkStart w:id="17" w:name="_Toc404180031"/>
      <w:r>
        <w:lastRenderedPageBreak/>
        <w:t>9.5.1</w:t>
      </w:r>
      <w:r>
        <w:tab/>
      </w:r>
      <w:r w:rsidR="0073340F">
        <w:t>Carryover amounts from 2008</w:t>
      </w:r>
      <w:r w:rsidR="0073340F" w:rsidRPr="00C061ED">
        <w:t>–</w:t>
      </w:r>
      <w:r w:rsidR="007601B4">
        <w:t>09</w:t>
      </w:r>
      <w:bookmarkEnd w:id="17"/>
    </w:p>
    <w:p w:rsidR="00FB4F14" w:rsidRDefault="004E68E6" w:rsidP="0028290C">
      <w:pPr>
        <w:pStyle w:val="AERbodytext"/>
      </w:pPr>
      <w:r>
        <w:t xml:space="preserve">TransGrid recalculated what its ECFM </w:t>
      </w:r>
      <w:r w:rsidR="00FA4B52">
        <w:t>carryover amounts</w:t>
      </w:r>
      <w:r w:rsidR="004070E4">
        <w:t xml:space="preserve"> </w:t>
      </w:r>
      <w:r>
        <w:t>should have been for the 2004–09 regulatory control period had it accurately estimated its opex for 2008–09. The proposed carryover amount is the discounted difference between what the carryover amount should have been based on TransGrid's actual opex for 2008–09 and what the carryover amount was based on its estimated opex for 2008–09.</w:t>
      </w:r>
      <w:r w:rsidR="004070E4">
        <w:t xml:space="preserve"> </w:t>
      </w:r>
      <w:r w:rsidR="0028290C">
        <w:t xml:space="preserve">We are satisfied that </w:t>
      </w:r>
      <w:r w:rsidR="004070E4">
        <w:t>TransGrid's</w:t>
      </w:r>
      <w:r w:rsidR="00FA4B52">
        <w:t xml:space="preserve"> methodology is</w:t>
      </w:r>
      <w:r w:rsidR="00FB4F14">
        <w:t xml:space="preserve"> consistent with how this adjustment was intended to operate. </w:t>
      </w:r>
    </w:p>
    <w:p w:rsidR="007601B4" w:rsidRDefault="00E914C7" w:rsidP="0028290C">
      <w:pPr>
        <w:pStyle w:val="AERbodytext"/>
      </w:pPr>
      <w:r>
        <w:t xml:space="preserve">The </w:t>
      </w:r>
      <w:r w:rsidR="00FB4F14">
        <w:t xml:space="preserve">only </w:t>
      </w:r>
      <w:r w:rsidR="008B4ECC">
        <w:t>difference between</w:t>
      </w:r>
      <w:r w:rsidR="00FB4F14">
        <w:t xml:space="preserve"> TransGrid's calculation</w:t>
      </w:r>
      <w:r w:rsidR="008B4ECC">
        <w:t xml:space="preserve"> and our calculation is</w:t>
      </w:r>
      <w:r w:rsidR="00FB4F14">
        <w:t xml:space="preserve"> </w:t>
      </w:r>
      <w:r w:rsidR="00E22DCB">
        <w:t xml:space="preserve">the </w:t>
      </w:r>
      <w:r>
        <w:t xml:space="preserve">discount </w:t>
      </w:r>
      <w:r w:rsidR="00AB2DD1">
        <w:t>factor</w:t>
      </w:r>
      <w:r>
        <w:t xml:space="preserve"> </w:t>
      </w:r>
      <w:r w:rsidR="00E22DCB">
        <w:t xml:space="preserve">used </w:t>
      </w:r>
      <w:r>
        <w:t>to convert the carryover amounts from $2008</w:t>
      </w:r>
      <w:r w:rsidR="00331884">
        <w:t>–</w:t>
      </w:r>
      <w:r>
        <w:t>09 to $2013</w:t>
      </w:r>
      <w:r w:rsidR="00331884">
        <w:t>–</w:t>
      </w:r>
      <w:r>
        <w:t xml:space="preserve">14. TransGrid's discount </w:t>
      </w:r>
      <w:r w:rsidR="00707A05">
        <w:t>factor is</w:t>
      </w:r>
      <w:r>
        <w:t xml:space="preserve"> </w:t>
      </w:r>
      <w:r w:rsidR="00CE0402">
        <w:t xml:space="preserve">partly </w:t>
      </w:r>
      <w:r>
        <w:t>based on its proposed rate of return for</w:t>
      </w:r>
      <w:r w:rsidR="00CE0402">
        <w:t xml:space="preserve"> the 2014–19</w:t>
      </w:r>
      <w:r w:rsidR="00CE0402" w:rsidRPr="002D16B9">
        <w:t xml:space="preserve"> regulatory control </w:t>
      </w:r>
      <w:proofErr w:type="gramStart"/>
      <w:r w:rsidR="00CE0402" w:rsidRPr="002D16B9">
        <w:t>period</w:t>
      </w:r>
      <w:proofErr w:type="gramEnd"/>
      <w:r w:rsidR="00CE0402">
        <w:t xml:space="preserve">. </w:t>
      </w:r>
      <w:r w:rsidR="00707A05">
        <w:t>We have substituted TransGrid's proposed rate of return with our proposed rate of return.</w:t>
      </w:r>
      <w:r w:rsidR="00CE0402">
        <w:t xml:space="preserve"> </w:t>
      </w:r>
      <w:r w:rsidR="00907B24">
        <w:t xml:space="preserve">The </w:t>
      </w:r>
      <w:r w:rsidR="00520284">
        <w:t xml:space="preserve">difference between TransGrid's proposed adjustment and our proposed adjustment </w:t>
      </w:r>
      <w:r w:rsidR="00907B24">
        <w:t>is outlined</w:t>
      </w:r>
      <w:r w:rsidR="00CE0402">
        <w:t xml:space="preserve"> in </w:t>
      </w:r>
      <w:r w:rsidR="00AB2DD1">
        <w:fldChar w:fldCharType="begin"/>
      </w:r>
      <w:r w:rsidR="00AB2DD1">
        <w:instrText xml:space="preserve"> REF _Ref395628833 \h </w:instrText>
      </w:r>
      <w:r w:rsidR="00AB2DD1">
        <w:fldChar w:fldCharType="separate"/>
      </w:r>
      <w:r w:rsidR="008C6117">
        <w:t>Table 9.</w:t>
      </w:r>
      <w:r w:rsidR="008C6117">
        <w:rPr>
          <w:noProof/>
        </w:rPr>
        <w:t>5</w:t>
      </w:r>
      <w:r w:rsidR="00AB2DD1">
        <w:fldChar w:fldCharType="end"/>
      </w:r>
      <w:r w:rsidR="00CE0402">
        <w:t>.</w:t>
      </w:r>
    </w:p>
    <w:p w:rsidR="00CE0402" w:rsidRDefault="00CE0402" w:rsidP="00CE0402">
      <w:pPr>
        <w:pStyle w:val="Caption"/>
      </w:pPr>
      <w:bookmarkStart w:id="18" w:name="_Ref395628833"/>
      <w:r>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5</w:t>
      </w:r>
      <w:r w:rsidR="00C138F3">
        <w:rPr>
          <w:noProof/>
        </w:rPr>
        <w:fldChar w:fldCharType="end"/>
      </w:r>
      <w:bookmarkEnd w:id="18"/>
      <w:r>
        <w:tab/>
        <w:t xml:space="preserve">AER’s draft </w:t>
      </w:r>
      <w:r w:rsidRPr="00A3346F">
        <w:t xml:space="preserve">decision on </w:t>
      </w:r>
      <w:r>
        <w:t>TransGrid</w:t>
      </w:r>
      <w:r w:rsidRPr="00A3346F">
        <w:t xml:space="preserve">'s </w:t>
      </w:r>
      <w:r>
        <w:t>ECFM adjustment</w:t>
      </w:r>
      <w:r w:rsidR="00AB2DD1">
        <w:t xml:space="preserve"> </w:t>
      </w:r>
      <w:r>
        <w:t>($ million, 2013–14)</w:t>
      </w:r>
    </w:p>
    <w:tbl>
      <w:tblPr>
        <w:tblStyle w:val="AERtable-numbers"/>
        <w:tblW w:w="5000" w:type="pct"/>
        <w:tblLook w:val="04A0" w:firstRow="1" w:lastRow="0" w:firstColumn="1" w:lastColumn="0" w:noHBand="0" w:noVBand="1"/>
      </w:tblPr>
      <w:tblGrid>
        <w:gridCol w:w="3178"/>
        <w:gridCol w:w="1215"/>
        <w:gridCol w:w="1214"/>
        <w:gridCol w:w="1214"/>
        <w:gridCol w:w="1214"/>
        <w:gridCol w:w="1207"/>
      </w:tblGrid>
      <w:tr w:rsidR="00D2570D" w:rsidTr="00D25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D2570D" w:rsidRDefault="00D2570D" w:rsidP="00CE0402">
            <w:pPr>
              <w:pStyle w:val="AERtabletextleft"/>
            </w:pPr>
          </w:p>
        </w:tc>
        <w:tc>
          <w:tcPr>
            <w:tcW w:w="657" w:type="pct"/>
          </w:tcPr>
          <w:p w:rsidR="00D2570D" w:rsidRPr="00CE0402" w:rsidRDefault="00D2570D" w:rsidP="00CE0402">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t>–</w:t>
            </w:r>
            <w:r w:rsidRPr="005B7AD2">
              <w:t>15</w:t>
            </w:r>
          </w:p>
        </w:tc>
        <w:tc>
          <w:tcPr>
            <w:tcW w:w="657" w:type="pct"/>
          </w:tcPr>
          <w:p w:rsidR="00D2570D" w:rsidRPr="00CE0402" w:rsidRDefault="00D2570D" w:rsidP="00CE0402">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7" w:type="pct"/>
          </w:tcPr>
          <w:p w:rsidR="00D2570D" w:rsidRPr="00CE0402" w:rsidRDefault="00D2570D" w:rsidP="00CE0402">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7" w:type="pct"/>
          </w:tcPr>
          <w:p w:rsidR="00D2570D" w:rsidRPr="00CE0402" w:rsidRDefault="00D2570D" w:rsidP="00CE0402">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53" w:type="pct"/>
          </w:tcPr>
          <w:p w:rsidR="00D2570D" w:rsidRPr="00CE0402" w:rsidRDefault="00D2570D" w:rsidP="00CE0402">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D2570D" w:rsidTr="00D2570D">
        <w:tc>
          <w:tcPr>
            <w:cnfStyle w:val="001000000000" w:firstRow="0" w:lastRow="0" w:firstColumn="1" w:lastColumn="0" w:oddVBand="0" w:evenVBand="0" w:oddHBand="0" w:evenHBand="0" w:firstRowFirstColumn="0" w:firstRowLastColumn="0" w:lastRowFirstColumn="0" w:lastRowLastColumn="0"/>
            <w:tcW w:w="1719" w:type="pct"/>
          </w:tcPr>
          <w:p w:rsidR="00D2570D" w:rsidRPr="00CE0402" w:rsidRDefault="00D2570D" w:rsidP="00CE0402">
            <w:pPr>
              <w:pStyle w:val="AERtabletextleft"/>
            </w:pPr>
            <w:r>
              <w:t>T</w:t>
            </w:r>
            <w:r w:rsidRPr="00CE0402">
              <w:t>ransGrid proposed ECFM adjustment</w:t>
            </w:r>
          </w:p>
        </w:tc>
        <w:tc>
          <w:tcPr>
            <w:tcW w:w="657" w:type="pct"/>
          </w:tcPr>
          <w:p w:rsidR="00D2570D" w:rsidRPr="00CE0402"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w:t>
            </w:r>
          </w:p>
        </w:tc>
        <w:tc>
          <w:tcPr>
            <w:tcW w:w="657" w:type="pct"/>
          </w:tcPr>
          <w:p w:rsidR="00D2570D" w:rsidRPr="00CE0402"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57" w:type="pct"/>
          </w:tcPr>
          <w:p w:rsidR="00D2570D" w:rsidRPr="00CE0402"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57" w:type="pct"/>
          </w:tcPr>
          <w:p w:rsidR="00D2570D" w:rsidRPr="00CE0402"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5.4</w:t>
            </w:r>
          </w:p>
        </w:tc>
        <w:tc>
          <w:tcPr>
            <w:tcW w:w="653" w:type="pct"/>
          </w:tcPr>
          <w:p w:rsidR="00D2570D" w:rsidRPr="00CE0402"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16.1</w:t>
            </w:r>
          </w:p>
        </w:tc>
      </w:tr>
      <w:tr w:rsidR="00D2570D" w:rsidTr="00D25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D2570D" w:rsidRDefault="00D2570D" w:rsidP="00CE0402">
            <w:pPr>
              <w:pStyle w:val="AERtabletextleft"/>
            </w:pPr>
            <w:r>
              <w:t>Draft decision ECFM adjustment</w:t>
            </w:r>
          </w:p>
        </w:tc>
        <w:tc>
          <w:tcPr>
            <w:tcW w:w="657" w:type="pct"/>
          </w:tcPr>
          <w:p w:rsidR="00D2570D" w:rsidRDefault="00D2570D" w:rsidP="00CE0402">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657" w:type="pct"/>
          </w:tcPr>
          <w:p w:rsidR="00D2570D" w:rsidRDefault="00D2570D" w:rsidP="00CE0402">
            <w:pPr>
              <w:pStyle w:val="AERtabletextright"/>
              <w:cnfStyle w:val="000000010000" w:firstRow="0" w:lastRow="0" w:firstColumn="0" w:lastColumn="0" w:oddVBand="0" w:evenVBand="0" w:oddHBand="0" w:evenHBand="1" w:firstRowFirstColumn="0" w:firstRowLastColumn="0" w:lastRowFirstColumn="0" w:lastRowLastColumn="0"/>
            </w:pPr>
            <w:r>
              <w:t>5.1</w:t>
            </w:r>
          </w:p>
        </w:tc>
        <w:tc>
          <w:tcPr>
            <w:tcW w:w="657" w:type="pct"/>
          </w:tcPr>
          <w:p w:rsidR="00D2570D" w:rsidRDefault="00D2570D" w:rsidP="00CE0402">
            <w:pPr>
              <w:pStyle w:val="AERtabletextright"/>
              <w:cnfStyle w:val="000000010000" w:firstRow="0" w:lastRow="0" w:firstColumn="0" w:lastColumn="0" w:oddVBand="0" w:evenVBand="0" w:oddHBand="0" w:evenHBand="1" w:firstRowFirstColumn="0" w:firstRowLastColumn="0" w:lastRowFirstColumn="0" w:lastRowLastColumn="0"/>
            </w:pPr>
            <w:r>
              <w:t>5.1</w:t>
            </w:r>
          </w:p>
        </w:tc>
        <w:tc>
          <w:tcPr>
            <w:tcW w:w="657" w:type="pct"/>
          </w:tcPr>
          <w:p w:rsidR="00D2570D" w:rsidRDefault="00D2570D" w:rsidP="00CE0402">
            <w:pPr>
              <w:pStyle w:val="AERtabletextright"/>
              <w:cnfStyle w:val="000000010000" w:firstRow="0" w:lastRow="0" w:firstColumn="0" w:lastColumn="0" w:oddVBand="0" w:evenVBand="0" w:oddHBand="0" w:evenHBand="1" w:firstRowFirstColumn="0" w:firstRowLastColumn="0" w:lastRowFirstColumn="0" w:lastRowLastColumn="0"/>
            </w:pPr>
            <w:r>
              <w:t>5.1</w:t>
            </w:r>
          </w:p>
        </w:tc>
        <w:tc>
          <w:tcPr>
            <w:tcW w:w="653" w:type="pct"/>
          </w:tcPr>
          <w:p w:rsidR="00D2570D" w:rsidRDefault="00D2570D" w:rsidP="00CE0402">
            <w:pPr>
              <w:pStyle w:val="AERtabletextright"/>
              <w:cnfStyle w:val="000000010000" w:firstRow="0" w:lastRow="0" w:firstColumn="0" w:lastColumn="0" w:oddVBand="0" w:evenVBand="0" w:oddHBand="0" w:evenHBand="1" w:firstRowFirstColumn="0" w:firstRowLastColumn="0" w:lastRowFirstColumn="0" w:lastRowLastColumn="0"/>
            </w:pPr>
            <w:r>
              <w:t>15.4</w:t>
            </w:r>
          </w:p>
        </w:tc>
      </w:tr>
      <w:tr w:rsidR="00D2570D" w:rsidTr="00D2570D">
        <w:tc>
          <w:tcPr>
            <w:cnfStyle w:val="001000000000" w:firstRow="0" w:lastRow="0" w:firstColumn="1" w:lastColumn="0" w:oddVBand="0" w:evenVBand="0" w:oddHBand="0" w:evenHBand="0" w:firstRowFirstColumn="0" w:firstRowLastColumn="0" w:lastRowFirstColumn="0" w:lastRowLastColumn="0"/>
            <w:tcW w:w="1719" w:type="pct"/>
          </w:tcPr>
          <w:p w:rsidR="00D2570D" w:rsidRDefault="00D2570D" w:rsidP="00CE0402">
            <w:pPr>
              <w:pStyle w:val="AERtabletextleft"/>
            </w:pPr>
            <w:r>
              <w:t>Difference</w:t>
            </w:r>
          </w:p>
        </w:tc>
        <w:tc>
          <w:tcPr>
            <w:tcW w:w="657" w:type="pct"/>
          </w:tcPr>
          <w:p w:rsidR="00D2570D"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w:t>
            </w:r>
          </w:p>
        </w:tc>
        <w:tc>
          <w:tcPr>
            <w:tcW w:w="657" w:type="pct"/>
          </w:tcPr>
          <w:p w:rsidR="00D2570D"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–0.2</w:t>
            </w:r>
          </w:p>
        </w:tc>
        <w:tc>
          <w:tcPr>
            <w:tcW w:w="657" w:type="pct"/>
          </w:tcPr>
          <w:p w:rsidR="00D2570D"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–0.2</w:t>
            </w:r>
          </w:p>
        </w:tc>
        <w:tc>
          <w:tcPr>
            <w:tcW w:w="657" w:type="pct"/>
          </w:tcPr>
          <w:p w:rsidR="00D2570D"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–0.2</w:t>
            </w:r>
          </w:p>
        </w:tc>
        <w:tc>
          <w:tcPr>
            <w:tcW w:w="653" w:type="pct"/>
          </w:tcPr>
          <w:p w:rsidR="00D2570D" w:rsidRDefault="00D2570D" w:rsidP="00CE0402">
            <w:pPr>
              <w:pStyle w:val="AERtabletextright"/>
              <w:cnfStyle w:val="000000000000" w:firstRow="0" w:lastRow="0" w:firstColumn="0" w:lastColumn="0" w:oddVBand="0" w:evenVBand="0" w:oddHBand="0" w:evenHBand="0" w:firstRowFirstColumn="0" w:firstRowLastColumn="0" w:lastRowFirstColumn="0" w:lastRowLastColumn="0"/>
            </w:pPr>
            <w:r>
              <w:t>–0.7</w:t>
            </w:r>
          </w:p>
        </w:tc>
      </w:tr>
    </w:tbl>
    <w:p w:rsidR="00CE0402" w:rsidRDefault="002753FB" w:rsidP="002753FB">
      <w:pPr>
        <w:pStyle w:val="AERtablesource"/>
      </w:pPr>
      <w:r>
        <w:t>Source: AER analysis</w:t>
      </w:r>
    </w:p>
    <w:p w:rsidR="00C061ED" w:rsidRPr="00C061ED" w:rsidRDefault="008C6117" w:rsidP="00802996">
      <w:pPr>
        <w:pStyle w:val="Heading3"/>
        <w:numPr>
          <w:ilvl w:val="0"/>
          <w:numId w:val="0"/>
        </w:numPr>
        <w:ind w:left="-851"/>
      </w:pPr>
      <w:bookmarkStart w:id="19" w:name="_Ref396311803"/>
      <w:bookmarkStart w:id="20" w:name="_Toc404180032"/>
      <w:r>
        <w:t>9.5.2</w:t>
      </w:r>
      <w:r>
        <w:tab/>
      </w:r>
      <w:r w:rsidR="005B4E26">
        <w:t>EBSS c</w:t>
      </w:r>
      <w:r w:rsidR="00C061ED" w:rsidRPr="00C061ED">
        <w:t>arryover amounts from the 2009–14 regulatory control period</w:t>
      </w:r>
      <w:bookmarkEnd w:id="19"/>
      <w:bookmarkEnd w:id="20"/>
    </w:p>
    <w:p w:rsidR="00CE0402" w:rsidRDefault="00E22DCB" w:rsidP="003C3CBA">
      <w:pPr>
        <w:pStyle w:val="AERbodytext"/>
      </w:pPr>
      <w:r>
        <w:t>W</w:t>
      </w:r>
      <w:r w:rsidR="00F12126" w:rsidRPr="005D1B25">
        <w:t xml:space="preserve">e </w:t>
      </w:r>
      <w:r w:rsidR="00F12126">
        <w:t>have calculated the carryover amounts</w:t>
      </w:r>
      <w:r w:rsidR="003C3CBA">
        <w:t xml:space="preserve"> for t</w:t>
      </w:r>
      <w:r w:rsidR="003C3CBA" w:rsidRPr="003C3CBA">
        <w:t>he EBSS that applied during the 2009–14 regulatory control period</w:t>
      </w:r>
      <w:r w:rsidR="00F12126">
        <w:t xml:space="preserve"> in accordance with section 2.</w:t>
      </w:r>
      <w:r w:rsidR="00E7780E">
        <w:t>4</w:t>
      </w:r>
      <w:r w:rsidR="00F12126">
        <w:t xml:space="preserve"> of</w:t>
      </w:r>
      <w:r w:rsidR="003C3CBA">
        <w:t xml:space="preserve"> the EBSS</w:t>
      </w:r>
      <w:r w:rsidR="00CE0402">
        <w:t>. Our calculation of the EBSS carryover amounts is different to TransGrid's calculation in two respects:</w:t>
      </w:r>
    </w:p>
    <w:p w:rsidR="00AB2DD1" w:rsidRDefault="00CE0402" w:rsidP="00CE0402">
      <w:pPr>
        <w:pStyle w:val="AERnumberedlistfirststyle"/>
      </w:pPr>
      <w:r>
        <w:t xml:space="preserve">Treatment of movement in provisions for the </w:t>
      </w:r>
      <w:r w:rsidR="00AB2DD1" w:rsidRPr="005D1B25">
        <w:t>200</w:t>
      </w:r>
      <w:r w:rsidR="00D90ABA">
        <w:t>9</w:t>
      </w:r>
      <w:r w:rsidR="00D90ABA">
        <w:rPr>
          <w:rFonts w:cs="Gautami"/>
        </w:rPr>
        <w:t>–</w:t>
      </w:r>
      <w:r w:rsidR="00AB2DD1" w:rsidRPr="005D1B25">
        <w:t xml:space="preserve">14 </w:t>
      </w:r>
      <w:r>
        <w:t>regulatory control period</w:t>
      </w:r>
      <w:r w:rsidR="00AB2DD1">
        <w:t xml:space="preserve"> </w:t>
      </w:r>
    </w:p>
    <w:p w:rsidR="00CE0402" w:rsidRDefault="00AB2DD1" w:rsidP="00AB2DD1">
      <w:pPr>
        <w:pStyle w:val="AERnumberedlistfirststyle"/>
        <w:numPr>
          <w:ilvl w:val="0"/>
          <w:numId w:val="0"/>
        </w:numPr>
        <w:ind w:left="357"/>
      </w:pPr>
      <w:r>
        <w:t xml:space="preserve">We have calculated the EBSS carryover amounts for the </w:t>
      </w:r>
      <w:r w:rsidRPr="005D1B25">
        <w:t>200</w:t>
      </w:r>
      <w:r>
        <w:t>9–</w:t>
      </w:r>
      <w:r w:rsidRPr="005D1B25">
        <w:t>14</w:t>
      </w:r>
      <w:r>
        <w:t xml:space="preserve"> regulatory control period by removing increases in provisions allocated to actual opex and replacing </w:t>
      </w:r>
      <w:r w:rsidR="009D2419">
        <w:t>those amoun</w:t>
      </w:r>
      <w:r w:rsidR="00612C8F">
        <w:t>t</w:t>
      </w:r>
      <w:r w:rsidR="009D2419">
        <w:t xml:space="preserve">s </w:t>
      </w:r>
      <w:r>
        <w:t xml:space="preserve">with the </w:t>
      </w:r>
      <w:r w:rsidR="004D0301">
        <w:t xml:space="preserve">cost incurred </w:t>
      </w:r>
      <w:r>
        <w:t xml:space="preserve">out on such obligations. </w:t>
      </w:r>
      <w:r w:rsidR="003A6254">
        <w:t xml:space="preserve">We consider the </w:t>
      </w:r>
      <w:r w:rsidR="00AC3EB2">
        <w:t>cost incurred in meeting</w:t>
      </w:r>
      <w:r w:rsidR="003A6254">
        <w:t xml:space="preserve"> such obligations represents the actual </w:t>
      </w:r>
      <w:r w:rsidR="00DE04FF">
        <w:t xml:space="preserve">cost </w:t>
      </w:r>
      <w:r w:rsidR="003A6254">
        <w:t>incurred in delivering prescribed transmission services in the regulatory control period.</w:t>
      </w:r>
      <w:r w:rsidR="001943E1">
        <w:t xml:space="preserve"> </w:t>
      </w:r>
    </w:p>
    <w:p w:rsidR="00CE0402" w:rsidRDefault="00AB2DD1" w:rsidP="00CE0402">
      <w:pPr>
        <w:pStyle w:val="AERnumberedlistfirststyle"/>
      </w:pPr>
      <w:r>
        <w:t>Treatment of easement maintenance in 2012</w:t>
      </w:r>
      <w:r w:rsidR="00331884">
        <w:t>–</w:t>
      </w:r>
      <w:r>
        <w:t>13</w:t>
      </w:r>
    </w:p>
    <w:p w:rsidR="00E22DCB" w:rsidRDefault="006D1A9B" w:rsidP="006D1A9B">
      <w:pPr>
        <w:pStyle w:val="AERnumberedlistfirststyle"/>
        <w:numPr>
          <w:ilvl w:val="0"/>
          <w:numId w:val="0"/>
        </w:numPr>
        <w:ind w:left="357"/>
      </w:pPr>
      <w:r>
        <w:t xml:space="preserve">We </w:t>
      </w:r>
      <w:r w:rsidR="00E22DCB">
        <w:t xml:space="preserve">have </w:t>
      </w:r>
      <w:r>
        <w:t>not made any adjustment to actual opex incurred in 2012</w:t>
      </w:r>
      <w:r w:rsidR="00331884">
        <w:t>–</w:t>
      </w:r>
      <w:r>
        <w:t>13 for uncompleted easement maintenance. This approach increases the EBSS carryover amounts relative to TransGrid's proposal</w:t>
      </w:r>
      <w:r w:rsidR="001943E1">
        <w:t xml:space="preserve"> </w:t>
      </w:r>
      <w:r w:rsidR="003717AC">
        <w:t>but reduces</w:t>
      </w:r>
      <w:r w:rsidR="001943E1">
        <w:t xml:space="preserve"> </w:t>
      </w:r>
      <w:r>
        <w:t>TransGrid</w:t>
      </w:r>
      <w:r w:rsidR="008B4ECC">
        <w:t>'</w:t>
      </w:r>
      <w:r>
        <w:t>s forecast opex</w:t>
      </w:r>
      <w:r w:rsidR="002753FB">
        <w:t>.</w:t>
      </w:r>
      <w:r>
        <w:t xml:space="preserve"> </w:t>
      </w:r>
    </w:p>
    <w:p w:rsidR="006D1A9B" w:rsidRDefault="00520284" w:rsidP="000A28E4">
      <w:pPr>
        <w:pStyle w:val="AERbodytext"/>
        <w:rPr>
          <w:rStyle w:val="AERbody"/>
        </w:rPr>
      </w:pPr>
      <w:r>
        <w:t xml:space="preserve">The difference between TransGrid's proposed carryover amounts and our proposed carryover amounts </w:t>
      </w:r>
      <w:r w:rsidR="00CC2C40" w:rsidRPr="000A28E4">
        <w:rPr>
          <w:rStyle w:val="AERbody"/>
        </w:rPr>
        <w:t>is outlined in</w:t>
      </w:r>
      <w:r w:rsidR="005B4E26" w:rsidRPr="000A28E4">
        <w:rPr>
          <w:rStyle w:val="AERbody"/>
        </w:rPr>
        <w:t xml:space="preserve"> </w:t>
      </w:r>
      <w:r w:rsidR="005B4E26">
        <w:rPr>
          <w:rStyle w:val="AERbody"/>
        </w:rPr>
        <w:fldChar w:fldCharType="begin"/>
      </w:r>
      <w:r w:rsidR="005B4E26">
        <w:rPr>
          <w:rStyle w:val="AERbody"/>
        </w:rPr>
        <w:instrText xml:space="preserve"> REF _Ref398725135 \h </w:instrText>
      </w:r>
      <w:r w:rsidR="005B4E26">
        <w:rPr>
          <w:rStyle w:val="AERbody"/>
        </w:rPr>
      </w:r>
      <w:r w:rsidR="005B4E26">
        <w:rPr>
          <w:rStyle w:val="AERbody"/>
        </w:rPr>
        <w:fldChar w:fldCharType="separate"/>
      </w:r>
      <w:r w:rsidR="008C6117">
        <w:t>Table 9.</w:t>
      </w:r>
      <w:r w:rsidR="008C6117">
        <w:rPr>
          <w:noProof/>
        </w:rPr>
        <w:t>6</w:t>
      </w:r>
      <w:r w:rsidR="005B4E26">
        <w:rPr>
          <w:rStyle w:val="AERbody"/>
        </w:rPr>
        <w:fldChar w:fldCharType="end"/>
      </w:r>
      <w:r w:rsidR="005B4E26">
        <w:rPr>
          <w:rStyle w:val="AERbody"/>
        </w:rPr>
        <w:t>.</w:t>
      </w:r>
      <w:r w:rsidR="00CC2C40" w:rsidRPr="000A28E4">
        <w:rPr>
          <w:rStyle w:val="AERbody"/>
        </w:rPr>
        <w:t xml:space="preserve"> </w:t>
      </w:r>
      <w:r w:rsidR="00E22DCB" w:rsidRPr="000A28E4">
        <w:rPr>
          <w:rStyle w:val="AERbody"/>
        </w:rPr>
        <w:t>Our reasons for</w:t>
      </w:r>
      <w:r w:rsidR="005B4E26" w:rsidRPr="000A28E4">
        <w:rPr>
          <w:rStyle w:val="AERbody"/>
        </w:rPr>
        <w:t xml:space="preserve"> adopting our position</w:t>
      </w:r>
      <w:r w:rsidR="009D2419">
        <w:rPr>
          <w:rStyle w:val="AERbody"/>
        </w:rPr>
        <w:t xml:space="preserve"> on</w:t>
      </w:r>
      <w:r w:rsidR="00E22DCB" w:rsidRPr="000A28E4">
        <w:rPr>
          <w:rStyle w:val="AERbody"/>
        </w:rPr>
        <w:t xml:space="preserve"> these two matters are detailed below.</w:t>
      </w:r>
      <w:r w:rsidR="006D1A9B" w:rsidRPr="000A28E4">
        <w:rPr>
          <w:rStyle w:val="AERbody"/>
        </w:rPr>
        <w:t xml:space="preserve"> </w:t>
      </w:r>
    </w:p>
    <w:p w:rsidR="004646A1" w:rsidRDefault="004646A1" w:rsidP="002753FB">
      <w:pPr>
        <w:pStyle w:val="AERbodytext"/>
        <w:numPr>
          <w:ilvl w:val="0"/>
          <w:numId w:val="0"/>
        </w:numPr>
        <w:rPr>
          <w:rStyle w:val="AERbody"/>
        </w:rPr>
      </w:pPr>
    </w:p>
    <w:p w:rsidR="002753FB" w:rsidRDefault="002753FB" w:rsidP="002753FB">
      <w:pPr>
        <w:pStyle w:val="AERbodytext"/>
        <w:numPr>
          <w:ilvl w:val="0"/>
          <w:numId w:val="0"/>
        </w:numPr>
        <w:rPr>
          <w:rStyle w:val="AERbody"/>
        </w:rPr>
      </w:pPr>
    </w:p>
    <w:p w:rsidR="005B4E26" w:rsidRPr="000A28E4" w:rsidRDefault="005B4E26" w:rsidP="000A28E4">
      <w:pPr>
        <w:pStyle w:val="Caption"/>
        <w:rPr>
          <w:rStyle w:val="AERbody"/>
        </w:rPr>
      </w:pPr>
      <w:bookmarkStart w:id="21" w:name="_Ref398725135"/>
      <w:r>
        <w:lastRenderedPageBreak/>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6</w:t>
      </w:r>
      <w:r w:rsidR="00C138F3">
        <w:rPr>
          <w:noProof/>
        </w:rPr>
        <w:fldChar w:fldCharType="end"/>
      </w:r>
      <w:bookmarkEnd w:id="21"/>
      <w:r>
        <w:tab/>
        <w:t>EBSS carryover amounts from the 2009–14 regulatory control period</w:t>
      </w:r>
      <w:r w:rsidR="00CC00A7">
        <w:t xml:space="preserve"> ($ million, 2013–14)</w:t>
      </w:r>
    </w:p>
    <w:tbl>
      <w:tblPr>
        <w:tblStyle w:val="AERtable-numbers"/>
        <w:tblW w:w="5000" w:type="pct"/>
        <w:tblLook w:val="04A0" w:firstRow="1" w:lastRow="0" w:firstColumn="1" w:lastColumn="0" w:noHBand="0" w:noVBand="1"/>
      </w:tblPr>
      <w:tblGrid>
        <w:gridCol w:w="3178"/>
        <w:gridCol w:w="1215"/>
        <w:gridCol w:w="1214"/>
        <w:gridCol w:w="1214"/>
        <w:gridCol w:w="1214"/>
        <w:gridCol w:w="1207"/>
      </w:tblGrid>
      <w:tr w:rsidR="00CC2C40" w:rsidTr="000A2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CC2C40" w:rsidRDefault="00CC2C40" w:rsidP="00CC2C40">
            <w:pPr>
              <w:pStyle w:val="AERtabletextleft"/>
            </w:pPr>
          </w:p>
        </w:tc>
        <w:tc>
          <w:tcPr>
            <w:tcW w:w="657" w:type="pct"/>
          </w:tcPr>
          <w:p w:rsidR="00CC2C40" w:rsidRPr="00CC2C40" w:rsidRDefault="00CC2C40" w:rsidP="00CC2C40">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CC2C40">
              <w:t>–15</w:t>
            </w:r>
          </w:p>
        </w:tc>
        <w:tc>
          <w:tcPr>
            <w:tcW w:w="657" w:type="pct"/>
          </w:tcPr>
          <w:p w:rsidR="00CC2C40" w:rsidRPr="00CC2C40" w:rsidRDefault="00CC2C40" w:rsidP="00CC2C40">
            <w:pPr>
              <w:pStyle w:val="AERtabletextright"/>
              <w:cnfStyle w:val="100000000000" w:firstRow="1" w:lastRow="0" w:firstColumn="0" w:lastColumn="0" w:oddVBand="0" w:evenVBand="0" w:oddHBand="0" w:evenHBand="0" w:firstRowFirstColumn="0" w:firstRowLastColumn="0" w:lastRowFirstColumn="0" w:lastRowLastColumn="0"/>
            </w:pPr>
            <w:r>
              <w:t>2015</w:t>
            </w:r>
            <w:r w:rsidRPr="00CC2C40">
              <w:t>–16</w:t>
            </w:r>
          </w:p>
        </w:tc>
        <w:tc>
          <w:tcPr>
            <w:tcW w:w="657" w:type="pct"/>
          </w:tcPr>
          <w:p w:rsidR="00CC2C40" w:rsidRPr="00CC2C40" w:rsidRDefault="00CC2C40" w:rsidP="00CC2C40">
            <w:pPr>
              <w:pStyle w:val="AERtabletextright"/>
              <w:cnfStyle w:val="100000000000" w:firstRow="1" w:lastRow="0" w:firstColumn="0" w:lastColumn="0" w:oddVBand="0" w:evenVBand="0" w:oddHBand="0" w:evenHBand="0" w:firstRowFirstColumn="0" w:firstRowLastColumn="0" w:lastRowFirstColumn="0" w:lastRowLastColumn="0"/>
            </w:pPr>
            <w:r>
              <w:t>2016</w:t>
            </w:r>
            <w:r w:rsidRPr="00CC2C40">
              <w:t>–17</w:t>
            </w:r>
          </w:p>
        </w:tc>
        <w:tc>
          <w:tcPr>
            <w:tcW w:w="657" w:type="pct"/>
          </w:tcPr>
          <w:p w:rsidR="00CC2C40" w:rsidRPr="00CC2C40" w:rsidRDefault="00CC2C40" w:rsidP="00CC2C40">
            <w:pPr>
              <w:pStyle w:val="AERtabletextright"/>
              <w:cnfStyle w:val="100000000000" w:firstRow="1" w:lastRow="0" w:firstColumn="0" w:lastColumn="0" w:oddVBand="0" w:evenVBand="0" w:oddHBand="0" w:evenHBand="0" w:firstRowFirstColumn="0" w:firstRowLastColumn="0" w:lastRowFirstColumn="0" w:lastRowLastColumn="0"/>
            </w:pPr>
            <w:r>
              <w:t>2017</w:t>
            </w:r>
            <w:r w:rsidRPr="00CC2C40">
              <w:t>–18</w:t>
            </w:r>
          </w:p>
        </w:tc>
        <w:tc>
          <w:tcPr>
            <w:tcW w:w="653" w:type="pct"/>
          </w:tcPr>
          <w:p w:rsidR="00CC2C40" w:rsidRPr="00CC2C40" w:rsidRDefault="00CC2C40" w:rsidP="00CC2C40">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CC2C40" w:rsidTr="000A28E4">
        <w:tc>
          <w:tcPr>
            <w:cnfStyle w:val="001000000000" w:firstRow="0" w:lastRow="0" w:firstColumn="1" w:lastColumn="0" w:oddVBand="0" w:evenVBand="0" w:oddHBand="0" w:evenHBand="0" w:firstRowFirstColumn="0" w:firstRowLastColumn="0" w:lastRowFirstColumn="0" w:lastRowLastColumn="0"/>
            <w:tcW w:w="1719" w:type="pct"/>
          </w:tcPr>
          <w:p w:rsidR="00CC2C40" w:rsidRPr="00CC2C40" w:rsidRDefault="00CC2C40" w:rsidP="005B4E26">
            <w:pPr>
              <w:pStyle w:val="AERtabletextleft"/>
            </w:pPr>
            <w:r>
              <w:t>T</w:t>
            </w:r>
            <w:r w:rsidRPr="00CC2C40">
              <w:t xml:space="preserve">ransGrid proposed </w:t>
            </w:r>
            <w:r>
              <w:t>EBSS carryovers</w:t>
            </w:r>
          </w:p>
        </w:tc>
        <w:tc>
          <w:tcPr>
            <w:tcW w:w="657" w:type="pct"/>
          </w:tcPr>
          <w:p w:rsidR="00CC2C40" w:rsidRPr="00CC2C40" w:rsidRDefault="00CC2C40" w:rsidP="00CC2C40">
            <w:pPr>
              <w:pStyle w:val="AERtabletextright"/>
              <w:cnfStyle w:val="000000000000" w:firstRow="0" w:lastRow="0" w:firstColumn="0" w:lastColumn="0" w:oddVBand="0" w:evenVBand="0" w:oddHBand="0" w:evenHBand="0" w:firstRowFirstColumn="0" w:firstRowLastColumn="0" w:lastRowFirstColumn="0" w:lastRowLastColumn="0"/>
            </w:pPr>
            <w:r>
              <w:t>20.2</w:t>
            </w:r>
          </w:p>
        </w:tc>
        <w:tc>
          <w:tcPr>
            <w:tcW w:w="657" w:type="pct"/>
          </w:tcPr>
          <w:p w:rsidR="00CC2C40" w:rsidRPr="00CC2C40" w:rsidRDefault="00CC2C40" w:rsidP="00CC2C40">
            <w:pPr>
              <w:pStyle w:val="AERtabletextright"/>
              <w:cnfStyle w:val="000000000000" w:firstRow="0" w:lastRow="0" w:firstColumn="0" w:lastColumn="0" w:oddVBand="0" w:evenVBand="0" w:oddHBand="0" w:evenHBand="0" w:firstRowFirstColumn="0" w:firstRowLastColumn="0" w:lastRowFirstColumn="0" w:lastRowLastColumn="0"/>
            </w:pPr>
            <w:r>
              <w:t>6.5</w:t>
            </w:r>
          </w:p>
        </w:tc>
        <w:tc>
          <w:tcPr>
            <w:tcW w:w="657" w:type="pct"/>
          </w:tcPr>
          <w:p w:rsidR="00CC2C40" w:rsidRPr="00CC2C40" w:rsidRDefault="00CC2C40" w:rsidP="00CC2C40">
            <w:pPr>
              <w:pStyle w:val="AERtabletextright"/>
              <w:cnfStyle w:val="000000000000" w:firstRow="0" w:lastRow="0" w:firstColumn="0" w:lastColumn="0" w:oddVBand="0" w:evenVBand="0" w:oddHBand="0" w:evenHBand="0" w:firstRowFirstColumn="0" w:firstRowLastColumn="0" w:lastRowFirstColumn="0" w:lastRowLastColumn="0"/>
            </w:pPr>
            <w:r>
              <w:t>9.0</w:t>
            </w:r>
          </w:p>
        </w:tc>
        <w:tc>
          <w:tcPr>
            <w:tcW w:w="657" w:type="pct"/>
          </w:tcPr>
          <w:p w:rsidR="00CC2C40" w:rsidRPr="00CC2C40" w:rsidRDefault="00CC2C40" w:rsidP="00CC2C40">
            <w:pPr>
              <w:pStyle w:val="AERtabletextright"/>
              <w:cnfStyle w:val="000000000000" w:firstRow="0" w:lastRow="0" w:firstColumn="0" w:lastColumn="0" w:oddVBand="0" w:evenVBand="0" w:oddHBand="0" w:evenHBand="0" w:firstRowFirstColumn="0" w:firstRowLastColumn="0" w:lastRowFirstColumn="0" w:lastRowLastColumn="0"/>
            </w:pPr>
            <w:r>
              <w:t>14.5</w:t>
            </w:r>
          </w:p>
        </w:tc>
        <w:tc>
          <w:tcPr>
            <w:tcW w:w="653" w:type="pct"/>
          </w:tcPr>
          <w:p w:rsidR="00CC2C40" w:rsidRPr="00CC2C40" w:rsidRDefault="00CC2C40" w:rsidP="00CC2C40">
            <w:pPr>
              <w:pStyle w:val="AERtabletextright"/>
              <w:cnfStyle w:val="000000000000" w:firstRow="0" w:lastRow="0" w:firstColumn="0" w:lastColumn="0" w:oddVBand="0" w:evenVBand="0" w:oddHBand="0" w:evenHBand="0" w:firstRowFirstColumn="0" w:firstRowLastColumn="0" w:lastRowFirstColumn="0" w:lastRowLastColumn="0"/>
            </w:pPr>
            <w:r>
              <w:t>50.2</w:t>
            </w:r>
          </w:p>
        </w:tc>
      </w:tr>
      <w:tr w:rsidR="00CC2C40" w:rsidTr="000A2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CC2C40" w:rsidRPr="00CC2C40" w:rsidRDefault="00520284" w:rsidP="005B4E26">
            <w:pPr>
              <w:pStyle w:val="AERtabletextleft"/>
            </w:pPr>
            <w:r>
              <w:t>Draft decision EBSS carryover amounts</w:t>
            </w:r>
          </w:p>
        </w:tc>
        <w:tc>
          <w:tcPr>
            <w:tcW w:w="657" w:type="pct"/>
          </w:tcPr>
          <w:p w:rsidR="00CC2C40" w:rsidRDefault="006541AB" w:rsidP="00CC2C40">
            <w:pPr>
              <w:pStyle w:val="AERtabletextright"/>
              <w:cnfStyle w:val="000000010000" w:firstRow="0" w:lastRow="0" w:firstColumn="0" w:lastColumn="0" w:oddVBand="0" w:evenVBand="0" w:oddHBand="0" w:evenHBand="1" w:firstRowFirstColumn="0" w:firstRowLastColumn="0" w:lastRowFirstColumn="0" w:lastRowLastColumn="0"/>
            </w:pPr>
            <w:r>
              <w:t>20.9</w:t>
            </w:r>
          </w:p>
        </w:tc>
        <w:tc>
          <w:tcPr>
            <w:tcW w:w="657" w:type="pct"/>
          </w:tcPr>
          <w:p w:rsidR="00CC2C40" w:rsidRDefault="006541AB" w:rsidP="00CC2C40">
            <w:pPr>
              <w:pStyle w:val="AERtabletextright"/>
              <w:cnfStyle w:val="000000010000" w:firstRow="0" w:lastRow="0" w:firstColumn="0" w:lastColumn="0" w:oddVBand="0" w:evenVBand="0" w:oddHBand="0" w:evenHBand="1" w:firstRowFirstColumn="0" w:firstRowLastColumn="0" w:lastRowFirstColumn="0" w:lastRowLastColumn="0"/>
            </w:pPr>
            <w:r>
              <w:t>8.5</w:t>
            </w:r>
          </w:p>
        </w:tc>
        <w:tc>
          <w:tcPr>
            <w:tcW w:w="657" w:type="pct"/>
          </w:tcPr>
          <w:p w:rsidR="00CC2C40" w:rsidRDefault="006541AB" w:rsidP="00CC2C40">
            <w:pPr>
              <w:pStyle w:val="AERtabletextright"/>
              <w:cnfStyle w:val="000000010000" w:firstRow="0" w:lastRow="0" w:firstColumn="0" w:lastColumn="0" w:oddVBand="0" w:evenVBand="0" w:oddHBand="0" w:evenHBand="1" w:firstRowFirstColumn="0" w:firstRowLastColumn="0" w:lastRowFirstColumn="0" w:lastRowLastColumn="0"/>
            </w:pPr>
            <w:r>
              <w:t>10.9</w:t>
            </w:r>
          </w:p>
        </w:tc>
        <w:tc>
          <w:tcPr>
            <w:tcW w:w="657" w:type="pct"/>
          </w:tcPr>
          <w:p w:rsidR="00CC2C40" w:rsidRDefault="006541AB" w:rsidP="00CC2C40">
            <w:pPr>
              <w:pStyle w:val="AERtabletextright"/>
              <w:cnfStyle w:val="000000010000" w:firstRow="0" w:lastRow="0" w:firstColumn="0" w:lastColumn="0" w:oddVBand="0" w:evenVBand="0" w:oddHBand="0" w:evenHBand="1" w:firstRowFirstColumn="0" w:firstRowLastColumn="0" w:lastRowFirstColumn="0" w:lastRowLastColumn="0"/>
            </w:pPr>
            <w:r>
              <w:t>5.2</w:t>
            </w:r>
          </w:p>
        </w:tc>
        <w:tc>
          <w:tcPr>
            <w:tcW w:w="653" w:type="pct"/>
          </w:tcPr>
          <w:p w:rsidR="00CC2C40" w:rsidRDefault="006541AB" w:rsidP="00CC2C40">
            <w:pPr>
              <w:pStyle w:val="AERtabletextright"/>
              <w:cnfStyle w:val="000000010000" w:firstRow="0" w:lastRow="0" w:firstColumn="0" w:lastColumn="0" w:oddVBand="0" w:evenVBand="0" w:oddHBand="0" w:evenHBand="1" w:firstRowFirstColumn="0" w:firstRowLastColumn="0" w:lastRowFirstColumn="0" w:lastRowLastColumn="0"/>
            </w:pPr>
            <w:r>
              <w:t>45.6</w:t>
            </w:r>
          </w:p>
        </w:tc>
      </w:tr>
      <w:tr w:rsidR="00CC2C40" w:rsidTr="000A28E4">
        <w:tc>
          <w:tcPr>
            <w:cnfStyle w:val="001000000000" w:firstRow="0" w:lastRow="0" w:firstColumn="1" w:lastColumn="0" w:oddVBand="0" w:evenVBand="0" w:oddHBand="0" w:evenHBand="0" w:firstRowFirstColumn="0" w:firstRowLastColumn="0" w:lastRowFirstColumn="0" w:lastRowLastColumn="0"/>
            <w:tcW w:w="1719" w:type="pct"/>
          </w:tcPr>
          <w:p w:rsidR="00CC2C40" w:rsidRPr="00CC2C40" w:rsidRDefault="00CC2C40" w:rsidP="00CC2C40">
            <w:pPr>
              <w:pStyle w:val="AERtabletextleft"/>
            </w:pPr>
            <w:r>
              <w:t>Difference</w:t>
            </w:r>
          </w:p>
        </w:tc>
        <w:tc>
          <w:tcPr>
            <w:tcW w:w="657" w:type="pct"/>
          </w:tcPr>
          <w:p w:rsidR="00CC2C40" w:rsidRDefault="006541AB" w:rsidP="00CC2C40">
            <w:pPr>
              <w:pStyle w:val="AERtabletextright"/>
              <w:cnfStyle w:val="000000000000" w:firstRow="0" w:lastRow="0" w:firstColumn="0" w:lastColumn="0" w:oddVBand="0" w:evenVBand="0" w:oddHBand="0" w:evenHBand="0" w:firstRowFirstColumn="0" w:firstRowLastColumn="0" w:lastRowFirstColumn="0" w:lastRowLastColumn="0"/>
            </w:pPr>
            <w:r>
              <w:t>0.7</w:t>
            </w:r>
          </w:p>
        </w:tc>
        <w:tc>
          <w:tcPr>
            <w:tcW w:w="657" w:type="pct"/>
          </w:tcPr>
          <w:p w:rsidR="00CC2C40" w:rsidRDefault="006541AB" w:rsidP="00CC2C40">
            <w:pPr>
              <w:pStyle w:val="AERtabletextright"/>
              <w:cnfStyle w:val="000000000000" w:firstRow="0" w:lastRow="0" w:firstColumn="0" w:lastColumn="0" w:oddVBand="0" w:evenVBand="0" w:oddHBand="0" w:evenHBand="0" w:firstRowFirstColumn="0" w:firstRowLastColumn="0" w:lastRowFirstColumn="0" w:lastRowLastColumn="0"/>
            </w:pPr>
            <w:r>
              <w:t>2.0</w:t>
            </w:r>
          </w:p>
        </w:tc>
        <w:tc>
          <w:tcPr>
            <w:tcW w:w="657" w:type="pct"/>
          </w:tcPr>
          <w:p w:rsidR="00CC2C40" w:rsidRDefault="006541AB" w:rsidP="00CC2C40">
            <w:pPr>
              <w:pStyle w:val="AERtabletextright"/>
              <w:cnfStyle w:val="000000000000" w:firstRow="0" w:lastRow="0" w:firstColumn="0" w:lastColumn="0" w:oddVBand="0" w:evenVBand="0" w:oddHBand="0" w:evenHBand="0" w:firstRowFirstColumn="0" w:firstRowLastColumn="0" w:lastRowFirstColumn="0" w:lastRowLastColumn="0"/>
            </w:pPr>
            <w:r>
              <w:t>1.9</w:t>
            </w:r>
          </w:p>
        </w:tc>
        <w:tc>
          <w:tcPr>
            <w:tcW w:w="657" w:type="pct"/>
          </w:tcPr>
          <w:p w:rsidR="00CC2C40" w:rsidRDefault="00CC2C40" w:rsidP="006541AB">
            <w:pPr>
              <w:pStyle w:val="AERtabletextright"/>
              <w:cnfStyle w:val="000000000000" w:firstRow="0" w:lastRow="0" w:firstColumn="0" w:lastColumn="0" w:oddVBand="0" w:evenVBand="0" w:oddHBand="0" w:evenHBand="0" w:firstRowFirstColumn="0" w:firstRowLastColumn="0" w:lastRowFirstColumn="0" w:lastRowLastColumn="0"/>
            </w:pPr>
            <w:r>
              <w:t>–</w:t>
            </w:r>
            <w:r w:rsidR="006541AB">
              <w:t>9.0</w:t>
            </w:r>
          </w:p>
        </w:tc>
        <w:tc>
          <w:tcPr>
            <w:tcW w:w="653" w:type="pct"/>
          </w:tcPr>
          <w:p w:rsidR="00CC2C40" w:rsidRDefault="006541AB" w:rsidP="00CC2C40">
            <w:pPr>
              <w:pStyle w:val="AERtabletextright"/>
              <w:cnfStyle w:val="000000000000" w:firstRow="0" w:lastRow="0" w:firstColumn="0" w:lastColumn="0" w:oddVBand="0" w:evenVBand="0" w:oddHBand="0" w:evenHBand="0" w:firstRowFirstColumn="0" w:firstRowLastColumn="0" w:lastRowFirstColumn="0" w:lastRowLastColumn="0"/>
            </w:pPr>
            <w:r>
              <w:t>-4.6</w:t>
            </w:r>
          </w:p>
        </w:tc>
      </w:tr>
    </w:tbl>
    <w:p w:rsidR="00CC2C40" w:rsidRDefault="002753FB" w:rsidP="002753FB">
      <w:pPr>
        <w:pStyle w:val="AERtablesource"/>
      </w:pPr>
      <w:r>
        <w:t>Source: AER analysis</w:t>
      </w:r>
    </w:p>
    <w:p w:rsidR="001F60A7" w:rsidRDefault="001F60A7" w:rsidP="001F60A7">
      <w:pPr>
        <w:pStyle w:val="HeadingBoldBlue"/>
      </w:pPr>
      <w:r>
        <w:t>Adjustment to actual opex for movements in provisions</w:t>
      </w:r>
    </w:p>
    <w:p w:rsidR="009821C7" w:rsidRPr="009821C7" w:rsidRDefault="009821C7" w:rsidP="009821C7">
      <w:pPr>
        <w:pStyle w:val="AERbodytext"/>
      </w:pPr>
      <w:r w:rsidRPr="009821C7">
        <w:t xml:space="preserve">A provision is a type of accrual accounting practice. A business records an increase in a provision where it expects it will incur a future cost. Increases in provisions are often allocated to expenditure, and in particular, to opex. Accordingly if a business considers it is likely it will incur a future cost, or it expects the future cost will be different to that it has previously recorded, reported actual expenditure will increase. This means a business </w:t>
      </w:r>
      <w:r w:rsidR="00291179">
        <w:t xml:space="preserve">may sometimes </w:t>
      </w:r>
      <w:r w:rsidRPr="009821C7">
        <w:t>record increases in expenditure when it estimates there is a change in a liability it faces. It may not actually expect to incur the cost for some time and the cost will not necessarily eventuate in the amount predicted.</w:t>
      </w:r>
    </w:p>
    <w:p w:rsidR="009821C7" w:rsidRPr="009821C7" w:rsidRDefault="009821C7" w:rsidP="009821C7">
      <w:pPr>
        <w:pStyle w:val="AERbodytext"/>
      </w:pPr>
      <w:r w:rsidRPr="009821C7">
        <w:t xml:space="preserve">In the 2009–14 regulatory control </w:t>
      </w:r>
      <w:proofErr w:type="gramStart"/>
      <w:r w:rsidRPr="009821C7">
        <w:t>period</w:t>
      </w:r>
      <w:proofErr w:type="gramEnd"/>
      <w:r w:rsidRPr="009821C7">
        <w:t xml:space="preserve">, </w:t>
      </w:r>
      <w:r>
        <w:t>TransGrid</w:t>
      </w:r>
      <w:r w:rsidRPr="009821C7">
        <w:t xml:space="preserve"> reported increases in provisions for long service leave</w:t>
      </w:r>
      <w:r w:rsidR="00934B2E">
        <w:t xml:space="preserve"> and annual leave</w:t>
      </w:r>
      <w:r w:rsidRPr="009821C7">
        <w:t xml:space="preserve"> as actual opex. This affected its reported EBSS carryover amounts.</w:t>
      </w:r>
    </w:p>
    <w:p w:rsidR="009821C7" w:rsidRPr="009821C7" w:rsidRDefault="009821C7" w:rsidP="009821C7">
      <w:r w:rsidRPr="009821C7">
        <w:t>We consider that movements in provisions should be excluded from EBSS calculations. This is because the increases in provisions do not represent the actual cost incurred in delivering network services when calculating efficiency gains or losses. This is consistent with the applicable EBSS.</w:t>
      </w:r>
    </w:p>
    <w:p w:rsidR="009821C7" w:rsidRPr="009821C7" w:rsidRDefault="009821C7" w:rsidP="009821C7">
      <w:pPr>
        <w:pStyle w:val="AERquote"/>
      </w:pPr>
      <w:r w:rsidRPr="009821C7">
        <w:t>In calculating carryover gains or losses, the AER must be satisfied that the actual and forecast opex accurately reflects the costs faced by the TNSP in the regulatory control period.</w:t>
      </w:r>
      <w:r w:rsidRPr="009821C7">
        <w:rPr>
          <w:rStyle w:val="FootnoteReference"/>
        </w:rPr>
        <w:footnoteReference w:id="12"/>
      </w:r>
    </w:p>
    <w:p w:rsidR="009821C7" w:rsidRPr="009821C7" w:rsidRDefault="009821C7" w:rsidP="009821C7">
      <w:r w:rsidRPr="009821C7">
        <w:t>The EBSS is designed to reward businesses for becoming more efficient over time and penalise them for becoming less efficient. It is the actual costs a service provider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9821C7">
        <w:rPr>
          <w:rStyle w:val="FootnoteReference"/>
        </w:rPr>
        <w:footnoteReference w:id="13"/>
      </w:r>
      <w:r w:rsidRPr="009821C7">
        <w:t xml:space="preserve"> </w:t>
      </w:r>
    </w:p>
    <w:p w:rsidR="009821C7" w:rsidRPr="009821C7" w:rsidRDefault="009821C7" w:rsidP="009821C7">
      <w:pPr>
        <w:pStyle w:val="AERbodytext"/>
      </w:pPr>
      <w:r w:rsidRPr="009821C7">
        <w:t xml:space="preserve">For example, to calculate the change in provisions for employee entitlements,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9821C7" w:rsidRPr="009821C7" w:rsidRDefault="009821C7" w:rsidP="009821C7">
      <w:pPr>
        <w:pStyle w:val="AERbodytext"/>
      </w:pPr>
      <w:r w:rsidRPr="009821C7">
        <w:t xml:space="preserve">To reward or penalise a service provider for changes in provisions would reward or penalise it for changes in assumptions, not efficiency improvements. This undermines what the EBSS is intended to do, namely reward efficiency improvements and penalise declines in efficiency. While provisions might need to be treated in a particular way for accounting purposes, for regulatory pricing purposes, </w:t>
      </w:r>
      <w:r w:rsidRPr="009821C7">
        <w:lastRenderedPageBreak/>
        <w:t xml:space="preserve">treating provisions as actual costs can lead to perverse outcomes. Based on </w:t>
      </w:r>
      <w:r>
        <w:t>TransGrid</w:t>
      </w:r>
      <w:r w:rsidRPr="009821C7">
        <w:t xml:space="preserve">'s calculations its consumers would pay for efficiency carryover amounts that do not reflect changes in the underlying level of efficiency in providing transmission services during the 2009–14 regulatory control </w:t>
      </w:r>
      <w:proofErr w:type="gramStart"/>
      <w:r w:rsidRPr="009821C7">
        <w:t>period</w:t>
      </w:r>
      <w:proofErr w:type="gramEnd"/>
      <w:r w:rsidRPr="009821C7">
        <w:t xml:space="preserve">. To reward </w:t>
      </w:r>
      <w:r>
        <w:t>TransGrid</w:t>
      </w:r>
      <w:r w:rsidRPr="009821C7">
        <w:t xml:space="preserve"> for changes in assumptions would be contrary to the aims of the EBSS under the NER.</w:t>
      </w:r>
    </w:p>
    <w:p w:rsidR="001F60A7" w:rsidRDefault="001F60A7" w:rsidP="00934B2E">
      <w:pPr>
        <w:pStyle w:val="HeadingBoldBlue"/>
      </w:pPr>
      <w:r>
        <w:t>Proposed adjustment to actual opex for easement vegetation management</w:t>
      </w:r>
    </w:p>
    <w:p w:rsidR="00D77606" w:rsidRDefault="00AB2DD1" w:rsidP="001F60A7">
      <w:pPr>
        <w:pStyle w:val="AERbodytext"/>
        <w:numPr>
          <w:ilvl w:val="0"/>
          <w:numId w:val="0"/>
        </w:numPr>
      </w:pPr>
      <w:r>
        <w:t>To calculate</w:t>
      </w:r>
      <w:r w:rsidR="00707A05">
        <w:t xml:space="preserve"> its proposed EBSS carryover amounts</w:t>
      </w:r>
      <w:r w:rsidR="00B74C44">
        <w:t xml:space="preserve"> and its base year opex forecast</w:t>
      </w:r>
      <w:r w:rsidR="00292A7C">
        <w:t>, TransGrid</w:t>
      </w:r>
      <w:r w:rsidR="009F5356">
        <w:t xml:space="preserve"> add</w:t>
      </w:r>
      <w:r w:rsidR="00B74C44">
        <w:t>ed</w:t>
      </w:r>
      <w:r w:rsidR="009F5356">
        <w:t xml:space="preserve"> back opex for uncompleted easement </w:t>
      </w:r>
      <w:r w:rsidR="00D77606">
        <w:t>maintenance</w:t>
      </w:r>
      <w:r w:rsidR="009F5356">
        <w:t xml:space="preserve"> </w:t>
      </w:r>
      <w:r w:rsidR="00AC3EB2">
        <w:t>in 2012–</w:t>
      </w:r>
      <w:r w:rsidR="00B74C44">
        <w:t>13</w:t>
      </w:r>
      <w:r w:rsidR="009F5356">
        <w:t>.</w:t>
      </w:r>
      <w:r w:rsidR="00B74C44">
        <w:t xml:space="preserve"> This had the effect of reducing TransGrid's EBSS carryovers but increasing its opex forecast</w:t>
      </w:r>
      <w:r w:rsidR="00565E16">
        <w:t xml:space="preserve"> for the 2014</w:t>
      </w:r>
      <w:r w:rsidR="003023F2">
        <w:t>–</w:t>
      </w:r>
      <w:r w:rsidR="00565E16">
        <w:t xml:space="preserve">18 </w:t>
      </w:r>
      <w:proofErr w:type="gramStart"/>
      <w:r w:rsidR="00565E16">
        <w:t>period</w:t>
      </w:r>
      <w:proofErr w:type="gramEnd"/>
      <w:r w:rsidR="00B74C44">
        <w:t>.</w:t>
      </w:r>
    </w:p>
    <w:p w:rsidR="00D77606" w:rsidRDefault="00AC3EB2" w:rsidP="001F60A7">
      <w:pPr>
        <w:pStyle w:val="AERbodytext"/>
        <w:numPr>
          <w:ilvl w:val="0"/>
          <w:numId w:val="0"/>
        </w:numPr>
      </w:pPr>
      <w:r>
        <w:t>In 2012</w:t>
      </w:r>
      <w:r w:rsidR="003023F2">
        <w:t>–</w:t>
      </w:r>
      <w:r w:rsidR="00D77606">
        <w:t xml:space="preserve">13 TransGrid responded to a safety performance issue with an easement maintenance contractor. As a result the contract was terminated. TransGrid considered </w:t>
      </w:r>
      <w:r w:rsidR="008E57B5">
        <w:t xml:space="preserve">that it </w:t>
      </w:r>
      <w:r w:rsidR="00D77606">
        <w:t xml:space="preserve">did not have sufficient time to </w:t>
      </w:r>
      <w:r w:rsidR="005C7298">
        <w:t xml:space="preserve">contract </w:t>
      </w:r>
      <w:r w:rsidR="00D77606">
        <w:t xml:space="preserve">a new </w:t>
      </w:r>
      <w:r w:rsidR="005C7298">
        <w:t>provider to undertake the necessary easement maintenance works</w:t>
      </w:r>
      <w:r w:rsidR="00D77606">
        <w:t xml:space="preserve">. </w:t>
      </w:r>
      <w:r>
        <w:t>Due to these circumstances, i</w:t>
      </w:r>
      <w:r w:rsidR="00D77606">
        <w:t>t considered that $2 million in easement maintenance expenditure was not undertaken in 2012</w:t>
      </w:r>
      <w:r w:rsidR="003023F2">
        <w:t>–</w:t>
      </w:r>
      <w:r w:rsidR="00D77606">
        <w:t>13.</w:t>
      </w:r>
      <w:r>
        <w:rPr>
          <w:rStyle w:val="FootnoteReference"/>
        </w:rPr>
        <w:footnoteReference w:id="14"/>
      </w:r>
      <w:r w:rsidR="00D77606">
        <w:t xml:space="preserve"> </w:t>
      </w:r>
    </w:p>
    <w:p w:rsidR="00B74C44" w:rsidRDefault="00D77606" w:rsidP="001F60A7">
      <w:pPr>
        <w:pStyle w:val="AERbodytext"/>
        <w:numPr>
          <w:ilvl w:val="0"/>
          <w:numId w:val="0"/>
        </w:numPr>
      </w:pPr>
      <w:r>
        <w:t>As a result of this</w:t>
      </w:r>
      <w:r w:rsidR="008E57B5">
        <w:t xml:space="preserve"> lower expenditure, TransGrid</w:t>
      </w:r>
      <w:r>
        <w:t xml:space="preserve"> would have received a</w:t>
      </w:r>
      <w:r w:rsidR="008E57B5">
        <w:t xml:space="preserve"> positive</w:t>
      </w:r>
      <w:r>
        <w:t xml:space="preserve"> EBSS carryover amount. However, TransGrid proposed to reinstate the uncompleted maintenance expenditure into its base year</w:t>
      </w:r>
      <w:r w:rsidR="003023F2">
        <w:t xml:space="preserve"> </w:t>
      </w:r>
      <w:r w:rsidR="00904EE7">
        <w:t>for both</w:t>
      </w:r>
      <w:r w:rsidR="004646A1">
        <w:t xml:space="preserve"> calculating the</w:t>
      </w:r>
      <w:r w:rsidR="00904EE7">
        <w:t xml:space="preserve"> EBSS and forecasting </w:t>
      </w:r>
      <w:r w:rsidR="004646A1">
        <w:t>opex</w:t>
      </w:r>
      <w:r w:rsidR="00904EE7">
        <w:t xml:space="preserve">. </w:t>
      </w:r>
    </w:p>
    <w:p w:rsidR="00D77606" w:rsidRDefault="00817640" w:rsidP="001F60A7">
      <w:pPr>
        <w:pStyle w:val="AERbodytext"/>
        <w:numPr>
          <w:ilvl w:val="0"/>
          <w:numId w:val="0"/>
        </w:numPr>
      </w:pPr>
      <w:r>
        <w:t>In the 2009–14 regulatory control period, Trans</w:t>
      </w:r>
      <w:r w:rsidR="00D90ABA">
        <w:t>G</w:t>
      </w:r>
      <w:r>
        <w:t xml:space="preserve">rid was subject to version </w:t>
      </w:r>
      <w:r w:rsidR="0009251C">
        <w:t xml:space="preserve">one </w:t>
      </w:r>
      <w:r>
        <w:t>of the EBSS. This version of the</w:t>
      </w:r>
      <w:r w:rsidR="00904EE7">
        <w:t xml:space="preserve"> EBSS does not allow for such an adjustment to the carryover amounts. </w:t>
      </w:r>
      <w:r>
        <w:t>W</w:t>
      </w:r>
      <w:r w:rsidR="00904EE7">
        <w:t xml:space="preserve">e must be satisfied the actual opex accurately reflects the costs faced by the NSP during the regulatory control period. </w:t>
      </w:r>
      <w:r w:rsidR="00206207">
        <w:t xml:space="preserve">Including a cost </w:t>
      </w:r>
      <w:r w:rsidR="00904EE7">
        <w:t xml:space="preserve">that was not incurred into the </w:t>
      </w:r>
      <w:r w:rsidR="0073340F">
        <w:t>regulatory</w:t>
      </w:r>
      <w:r w:rsidR="00904EE7">
        <w:t xml:space="preserve"> control period </w:t>
      </w:r>
      <w:r w:rsidR="00206207">
        <w:t xml:space="preserve">in the EBSS calculations </w:t>
      </w:r>
      <w:r w:rsidR="00904EE7">
        <w:t>is</w:t>
      </w:r>
      <w:r w:rsidR="00FF53C3">
        <w:t xml:space="preserve"> not</w:t>
      </w:r>
      <w:r w:rsidR="00904EE7">
        <w:t xml:space="preserve"> consistent with how the EBSS </w:t>
      </w:r>
      <w:r w:rsidR="00793DEB">
        <w:t xml:space="preserve">is </w:t>
      </w:r>
      <w:r w:rsidR="00904EE7">
        <w:t>intended to operate.</w:t>
      </w:r>
    </w:p>
    <w:p w:rsidR="00904EE7" w:rsidRPr="001F60A7" w:rsidRDefault="00904EE7" w:rsidP="001F60A7">
      <w:pPr>
        <w:pStyle w:val="AERbodytext"/>
        <w:numPr>
          <w:ilvl w:val="0"/>
          <w:numId w:val="0"/>
        </w:numPr>
      </w:pPr>
      <w:r>
        <w:t xml:space="preserve">We also note that while </w:t>
      </w:r>
      <w:r w:rsidR="00BD3C88">
        <w:t>our</w:t>
      </w:r>
      <w:r w:rsidR="00907B24">
        <w:t xml:space="preserve"> approach provides TransGrid with a greater EBSS carryover amount</w:t>
      </w:r>
      <w:r w:rsidR="00793DEB">
        <w:t xml:space="preserve"> as a result of uncompleted easement maintenance in 2012</w:t>
      </w:r>
      <w:r w:rsidR="00331884">
        <w:t>–</w:t>
      </w:r>
      <w:r w:rsidR="00793DEB">
        <w:t>13</w:t>
      </w:r>
      <w:r w:rsidR="00907B24">
        <w:t xml:space="preserve">, we have not </w:t>
      </w:r>
      <w:r w:rsidR="00817640">
        <w:t>reinstated the $2</w:t>
      </w:r>
      <w:r w:rsidR="00934B2E">
        <w:t xml:space="preserve"> </w:t>
      </w:r>
      <w:r w:rsidR="00817640">
        <w:t>m</w:t>
      </w:r>
      <w:r w:rsidR="00934B2E">
        <w:t>illion</w:t>
      </w:r>
      <w:r w:rsidR="00817640">
        <w:t xml:space="preserve"> in easement maintenance back into base year opex</w:t>
      </w:r>
      <w:r w:rsidR="00907B24">
        <w:t xml:space="preserve">. </w:t>
      </w:r>
      <w:r w:rsidR="00B74C44">
        <w:t xml:space="preserve">This is discussed in </w:t>
      </w:r>
      <w:r w:rsidR="008C6117">
        <w:rPr>
          <w:rStyle w:val="AERbody"/>
        </w:rPr>
        <w:t>attachment 7</w:t>
      </w:r>
      <w:r w:rsidR="00B74C44">
        <w:t>.</w:t>
      </w:r>
    </w:p>
    <w:p w:rsidR="00C061ED" w:rsidRPr="00C061ED" w:rsidRDefault="008C6117" w:rsidP="00802996">
      <w:pPr>
        <w:pStyle w:val="Heading3"/>
        <w:numPr>
          <w:ilvl w:val="0"/>
          <w:numId w:val="0"/>
        </w:numPr>
        <w:ind w:left="-851"/>
      </w:pPr>
      <w:bookmarkStart w:id="22" w:name="_Ref387739382"/>
      <w:bookmarkStart w:id="23" w:name="_Toc404180033"/>
      <w:r>
        <w:t>9.5.3</w:t>
      </w:r>
      <w:r>
        <w:tab/>
      </w:r>
      <w:r w:rsidR="00C061ED" w:rsidRPr="00C061ED">
        <w:t>How th</w:t>
      </w:r>
      <w:r w:rsidR="001F60A7">
        <w:t>e EBSS will apply in the 2014–18</w:t>
      </w:r>
      <w:r w:rsidR="00C061ED" w:rsidRPr="00C061ED">
        <w:t xml:space="preserve"> period</w:t>
      </w:r>
      <w:bookmarkEnd w:id="22"/>
      <w:bookmarkEnd w:id="23"/>
    </w:p>
    <w:p w:rsidR="00706B7D" w:rsidRDefault="00A95046" w:rsidP="00A95046">
      <w:pPr>
        <w:rPr>
          <w:rStyle w:val="AERbody"/>
        </w:rPr>
      </w:pPr>
      <w:r w:rsidRPr="00A95046">
        <w:rPr>
          <w:rStyle w:val="AERbody"/>
        </w:rPr>
        <w:t xml:space="preserve">We will apply version two of the EBSS to </w:t>
      </w:r>
      <w:r>
        <w:rPr>
          <w:rStyle w:val="AERbody"/>
        </w:rPr>
        <w:t>TransGrid</w:t>
      </w:r>
      <w:r w:rsidR="00170FF0">
        <w:rPr>
          <w:rStyle w:val="AERbody"/>
        </w:rPr>
        <w:t xml:space="preserve"> </w:t>
      </w:r>
      <w:r w:rsidR="00D90ABA">
        <w:rPr>
          <w:rStyle w:val="AERbody"/>
        </w:rPr>
        <w:t>for the 2014</w:t>
      </w:r>
      <w:r w:rsidR="00D90ABA">
        <w:rPr>
          <w:rStyle w:val="AERbody"/>
          <w:rFonts w:cs="Gautami"/>
        </w:rPr>
        <w:t>–</w:t>
      </w:r>
      <w:r w:rsidR="003D3A50">
        <w:rPr>
          <w:rStyle w:val="AERbody"/>
        </w:rPr>
        <w:t>18 period.</w:t>
      </w:r>
      <w:r w:rsidR="005C7298" w:rsidRPr="00A95046">
        <w:rPr>
          <w:rStyle w:val="FootnoteReference"/>
        </w:rPr>
        <w:footnoteReference w:id="15"/>
      </w:r>
      <w:r w:rsidRPr="00A95046">
        <w:t xml:space="preserve"> We consider the EBSS is needed to provide </w:t>
      </w:r>
      <w:r>
        <w:t>TransGrid</w:t>
      </w:r>
      <w:r w:rsidRPr="00A95046">
        <w:t xml:space="preserve"> with a continuous incentive to pursue efficiency gains during </w:t>
      </w:r>
      <w:proofErr w:type="gramStart"/>
      <w:r w:rsidRPr="00A95046">
        <w:t xml:space="preserve">the </w:t>
      </w:r>
      <w:r w:rsidRPr="00A95046">
        <w:rPr>
          <w:rStyle w:val="AERbody"/>
        </w:rPr>
        <w:t>during</w:t>
      </w:r>
      <w:proofErr w:type="gramEnd"/>
      <w:r w:rsidRPr="00A95046">
        <w:rPr>
          <w:rStyle w:val="AERbody"/>
        </w:rPr>
        <w:t xml:space="preserve"> the 201</w:t>
      </w:r>
      <w:r w:rsidR="00AA71E8">
        <w:rPr>
          <w:rStyle w:val="AERbody"/>
        </w:rPr>
        <w:t>4</w:t>
      </w:r>
      <w:r w:rsidRPr="00A95046">
        <w:rPr>
          <w:rStyle w:val="AERbody"/>
        </w:rPr>
        <w:t>–</w:t>
      </w:r>
      <w:r w:rsidR="00AA71E8">
        <w:rPr>
          <w:rStyle w:val="AERbody"/>
        </w:rPr>
        <w:t>18</w:t>
      </w:r>
      <w:r w:rsidRPr="00A95046">
        <w:rPr>
          <w:rStyle w:val="AERbody"/>
        </w:rPr>
        <w:t xml:space="preserve"> period. As we typically rely on a revealed cost approach to forecasting opex, we consider the EBSS is also needed to provide </w:t>
      </w:r>
      <w:r>
        <w:rPr>
          <w:rStyle w:val="AERbody"/>
        </w:rPr>
        <w:t>TransGrid</w:t>
      </w:r>
      <w:r w:rsidRPr="00A95046">
        <w:rPr>
          <w:rStyle w:val="AERbody"/>
        </w:rPr>
        <w:t xml:space="preserve"> with an incentive not to increase its opex in the expected base year.</w:t>
      </w:r>
      <w:r w:rsidR="00706B7D">
        <w:rPr>
          <w:rStyle w:val="AERbody"/>
        </w:rPr>
        <w:t xml:space="preserve"> </w:t>
      </w:r>
    </w:p>
    <w:p w:rsidR="004070E4" w:rsidRDefault="00706B7D" w:rsidP="00706B7D">
      <w:r>
        <w:rPr>
          <w:rStyle w:val="AERbody"/>
        </w:rPr>
        <w:t>In its submission</w:t>
      </w:r>
      <w:r w:rsidR="00CD3CFC">
        <w:rPr>
          <w:rStyle w:val="AERbody"/>
        </w:rPr>
        <w:t>,</w:t>
      </w:r>
      <w:r>
        <w:rPr>
          <w:rStyle w:val="AERbody"/>
        </w:rPr>
        <w:t xml:space="preserve"> the EUAA noted the interactions between the EBSS and our opex forecasting approach. It supported</w:t>
      </w:r>
      <w:r>
        <w:t xml:space="preserve"> the concept of the EBSS provided that the approved opex is prudent and efficient and that </w:t>
      </w:r>
      <w:r w:rsidR="00B75C23">
        <w:t xml:space="preserve">any </w:t>
      </w:r>
      <w:r>
        <w:t>underspend can be realised by customers rather than overtaken by inflated step changes and escalators.</w:t>
      </w:r>
      <w:r>
        <w:rPr>
          <w:rStyle w:val="FootnoteReference"/>
        </w:rPr>
        <w:footnoteReference w:id="16"/>
      </w:r>
      <w:r>
        <w:t xml:space="preserve"> </w:t>
      </w:r>
    </w:p>
    <w:p w:rsidR="00706B7D" w:rsidRPr="00A95046" w:rsidRDefault="00706B7D" w:rsidP="00706B7D">
      <w:r>
        <w:t>We agree with the EUAA that for consumer</w:t>
      </w:r>
      <w:r w:rsidR="00CD3CFC">
        <w:t>s</w:t>
      </w:r>
      <w:r>
        <w:t xml:space="preserve"> to benefit from the EBSS, </w:t>
      </w:r>
      <w:r w:rsidR="00506BFC">
        <w:t>reductions in actual opex must be passed through to consumers through a lower forecast</w:t>
      </w:r>
      <w:r>
        <w:t xml:space="preserve">. Otherwise, consumers could pay for EBSS carryovers </w:t>
      </w:r>
      <w:r w:rsidR="005C7298">
        <w:t>without receiving the benefits of a lower forecast</w:t>
      </w:r>
      <w:r>
        <w:t xml:space="preserve">. </w:t>
      </w:r>
      <w:r w:rsidR="00506BFC">
        <w:t xml:space="preserve">As outlined in </w:t>
      </w:r>
      <w:r w:rsidR="008C6117">
        <w:rPr>
          <w:rStyle w:val="AERbody"/>
        </w:rPr>
        <w:t>attachment 7</w:t>
      </w:r>
      <w:r w:rsidR="00506BFC">
        <w:t xml:space="preserve"> our </w:t>
      </w:r>
      <w:r w:rsidR="00231403">
        <w:t xml:space="preserve">approach </w:t>
      </w:r>
      <w:r w:rsidR="00506BFC">
        <w:lastRenderedPageBreak/>
        <w:t>is to predominantly use a base</w:t>
      </w:r>
      <w:r w:rsidR="00F06C52">
        <w:t xml:space="preserve"> year when forecasting opex. This helps to ensure that </w:t>
      </w:r>
      <w:r w:rsidR="00876838">
        <w:t xml:space="preserve">TransGrid's </w:t>
      </w:r>
      <w:r w:rsidR="00F06C52">
        <w:t xml:space="preserve">consumers benefit </w:t>
      </w:r>
      <w:r w:rsidR="00876838">
        <w:t>from reductions in opex TransGrid has made during the 2009–14 regulatory control period.</w:t>
      </w:r>
    </w:p>
    <w:p w:rsidR="00A95046" w:rsidRPr="00A95046" w:rsidRDefault="00A95046" w:rsidP="00A95046">
      <w:pPr>
        <w:rPr>
          <w:rStyle w:val="AERbody"/>
        </w:rPr>
      </w:pPr>
      <w:r w:rsidRPr="00A95046">
        <w:t xml:space="preserve">Version </w:t>
      </w:r>
      <w:r w:rsidR="0009251C">
        <w:t>two</w:t>
      </w:r>
      <w:r w:rsidRPr="00A95046">
        <w:t xml:space="preserve"> of the EBSS specifies our approach to determining the length of the carryover period, calculating the incremental efficiency gains and adjusting forecast or actual opex when calculating carryover amounts. </w:t>
      </w:r>
      <w:r w:rsidR="00B75C23">
        <w:t>These are detailed below.</w:t>
      </w:r>
    </w:p>
    <w:p w:rsidR="005A5BBE" w:rsidRDefault="005A5BBE" w:rsidP="002965BA">
      <w:pPr>
        <w:pStyle w:val="HeadingBoldBlue"/>
      </w:pPr>
      <w:r>
        <w:t>Length of carryover period</w:t>
      </w:r>
    </w:p>
    <w:p w:rsidR="001674FA" w:rsidRDefault="005A5BBE" w:rsidP="005A5BBE">
      <w:pPr>
        <w:pStyle w:val="AERbodytext"/>
      </w:pPr>
      <w:r>
        <w:t xml:space="preserve">The length of the carryover period </w:t>
      </w:r>
      <w:r w:rsidR="00773088">
        <w:t xml:space="preserve">for the 2014-18 </w:t>
      </w:r>
      <w:proofErr w:type="gramStart"/>
      <w:r w:rsidR="00773088">
        <w:t>period</w:t>
      </w:r>
      <w:proofErr w:type="gramEnd"/>
      <w:r w:rsidR="00773088">
        <w:t xml:space="preserve"> </w:t>
      </w:r>
      <w:r>
        <w:t xml:space="preserve">will be </w:t>
      </w:r>
      <w:r w:rsidR="00623781">
        <w:t>four years</w:t>
      </w:r>
      <w:r>
        <w:t>.</w:t>
      </w:r>
      <w:r w:rsidR="00707A05">
        <w:t xml:space="preserve"> </w:t>
      </w:r>
      <w:r w:rsidR="00623781">
        <w:t>This is to align the EBSS carryover period with the length of TransGrid's regulatory control period</w:t>
      </w:r>
      <w:r w:rsidR="00104A44">
        <w:t>s (that is the 2014-15 transitional period and 2015-18 subsequent regulatory control period)</w:t>
      </w:r>
      <w:r w:rsidR="00623781">
        <w:t xml:space="preserve">. </w:t>
      </w:r>
    </w:p>
    <w:p w:rsidR="00197DE2" w:rsidRPr="00197DE2" w:rsidRDefault="00623781" w:rsidP="00197DE2">
      <w:pPr>
        <w:pStyle w:val="AERbodytext"/>
      </w:pPr>
      <w:r>
        <w:t xml:space="preserve">We </w:t>
      </w:r>
      <w:r w:rsidR="00197DE2">
        <w:t>generally prefer a five year carryover period</w:t>
      </w:r>
      <w:r w:rsidR="00B600B1">
        <w:t xml:space="preserve"> to</w:t>
      </w:r>
      <w:r w:rsidR="002E64CA">
        <w:t xml:space="preserve"> align the EBSS carryover period with the typical length of a regulatory control period.</w:t>
      </w:r>
      <w:r>
        <w:t xml:space="preserve"> </w:t>
      </w:r>
      <w:r w:rsidR="00B600B1">
        <w:t>However, w</w:t>
      </w:r>
      <w:r>
        <w:t xml:space="preserve">here the EBSS carryover period and the length of the regulatory control period do not match, there is a greater risk of perverse outcomes. </w:t>
      </w:r>
      <w:r w:rsidR="000E5D03">
        <w:t xml:space="preserve">For instance </w:t>
      </w:r>
      <w:r w:rsidR="004E68E6">
        <w:t xml:space="preserve">there is </w:t>
      </w:r>
      <w:r w:rsidR="000E5D03">
        <w:t>a</w:t>
      </w:r>
      <w:r w:rsidR="004E68E6">
        <w:t xml:space="preserve"> risk a</w:t>
      </w:r>
      <w:r w:rsidR="000E5D03">
        <w:t xml:space="preserve"> service provider could be rewarded for efficiency losses and penalised for efficiency gains</w:t>
      </w:r>
      <w:r w:rsidR="00EC3EF2">
        <w:t>.</w:t>
      </w:r>
    </w:p>
    <w:p w:rsidR="003F54B9" w:rsidRDefault="003F54B9" w:rsidP="002965BA">
      <w:pPr>
        <w:pStyle w:val="HeadingBoldBlue"/>
      </w:pPr>
      <w:r>
        <w:t>Incremental efficiency gains</w:t>
      </w:r>
    </w:p>
    <w:p w:rsidR="003F54B9" w:rsidRDefault="003F54B9" w:rsidP="003F54B9">
      <w:pPr>
        <w:pStyle w:val="AERbodytext"/>
      </w:pPr>
      <w:r>
        <w:t>We will calculate incremental efficiency gains differently depending on whether they are in:</w:t>
      </w:r>
    </w:p>
    <w:p w:rsidR="003F54B9" w:rsidRDefault="003F54B9" w:rsidP="003F54B9">
      <w:pPr>
        <w:pStyle w:val="AERbulletlistfirststyle"/>
      </w:pPr>
      <w:r>
        <w:t>the first regulatory year</w:t>
      </w:r>
    </w:p>
    <w:p w:rsidR="003F54B9" w:rsidRDefault="003F54B9" w:rsidP="003F54B9">
      <w:pPr>
        <w:pStyle w:val="AERbulletlistfirststyle"/>
      </w:pPr>
      <w:r>
        <w:t>the second regulatory year to the penultimate regulatory year</w:t>
      </w:r>
    </w:p>
    <w:p w:rsidR="003F54B9" w:rsidRDefault="003F54B9" w:rsidP="003F54B9">
      <w:pPr>
        <w:pStyle w:val="AERbulletlistfirststyle"/>
      </w:pPr>
      <w:proofErr w:type="gramStart"/>
      <w:r>
        <w:t>the</w:t>
      </w:r>
      <w:proofErr w:type="gramEnd"/>
      <w:r>
        <w:t xml:space="preserve"> final regulatory year.</w:t>
      </w:r>
    </w:p>
    <w:p w:rsidR="003F54B9" w:rsidRDefault="003F54B9" w:rsidP="003F54B9">
      <w:pPr>
        <w:pStyle w:val="AERbodytext"/>
      </w:pPr>
      <w:r>
        <w:t>We will do this according to the formulas set out in version two of the EBSS.</w:t>
      </w:r>
      <w:r>
        <w:rPr>
          <w:rStyle w:val="FootnoteReference"/>
        </w:rPr>
        <w:footnoteReference w:id="17"/>
      </w:r>
      <w:r w:rsidR="00D17F19">
        <w:t xml:space="preserve"> </w:t>
      </w:r>
    </w:p>
    <w:p w:rsidR="00BD3C88" w:rsidRPr="003F54B9" w:rsidRDefault="00C55CE6" w:rsidP="003F54B9">
      <w:pPr>
        <w:pStyle w:val="AERbodytext"/>
      </w:pPr>
      <w:r>
        <w:t>W</w:t>
      </w:r>
      <w:r w:rsidR="00BD3C88">
        <w:t xml:space="preserve">hen calculating actual opex under the EBSS we will </w:t>
      </w:r>
      <w:r w:rsidR="00BD3C88" w:rsidRPr="006F6CCB">
        <w:t xml:space="preserve">adjust </w:t>
      </w:r>
      <w:r w:rsidR="00BD3C88">
        <w:t xml:space="preserve">reported </w:t>
      </w:r>
      <w:r w:rsidR="00BD3C88" w:rsidRPr="006F6CCB">
        <w:t>actual opex for the 2014–1</w:t>
      </w:r>
      <w:r w:rsidR="009915D4">
        <w:t>8</w:t>
      </w:r>
      <w:r w:rsidR="00BD3C88" w:rsidRPr="006F6CCB">
        <w:t xml:space="preserve"> regulatory control period to rever</w:t>
      </w:r>
      <w:r w:rsidR="00BD3C88">
        <w:t xml:space="preserve">se any movements in provisions. As outlined in section </w:t>
      </w:r>
      <w:r w:rsidR="00180A7A">
        <w:t xml:space="preserve">9.5.2 </w:t>
      </w:r>
      <w:r w:rsidR="001424A9">
        <w:t>above</w:t>
      </w:r>
      <w:r w:rsidR="004E73A0">
        <w:t>,</w:t>
      </w:r>
      <w:r w:rsidR="00FE6880">
        <w:t xml:space="preserve"> </w:t>
      </w:r>
      <w:r w:rsidR="00BD3C88">
        <w:t xml:space="preserve">for regulatory purposes we consider </w:t>
      </w:r>
      <w:r w:rsidR="0073340F">
        <w:t>actual opex net of movement in provisions best reflects the actual opex incurred by the NSP during the regulatory control period.</w:t>
      </w:r>
    </w:p>
    <w:p w:rsidR="002965BA" w:rsidRDefault="002965BA" w:rsidP="002965BA">
      <w:pPr>
        <w:pStyle w:val="HeadingBoldBlue"/>
      </w:pPr>
      <w:r>
        <w:t>Adjustments to forecast or actual opex when calculating carryover amounts</w:t>
      </w:r>
    </w:p>
    <w:p w:rsidR="00F53499" w:rsidRDefault="00F53499" w:rsidP="00F53499">
      <w:pPr>
        <w:pStyle w:val="AERbodytext"/>
      </w:pPr>
      <w:r w:rsidRPr="00E43204">
        <w:t>The EBSS also allows for exclusions of categories of costs from the EBSS where we do not use a single year revealed cost forecasting approach. This is designed to fair</w:t>
      </w:r>
      <w:r>
        <w:t>ly</w:t>
      </w:r>
      <w:r w:rsidRPr="00E43204">
        <w:t xml:space="preserve"> shar</w:t>
      </w:r>
      <w:r>
        <w:t>e</w:t>
      </w:r>
      <w:r w:rsidRPr="00E43204">
        <w:t xml:space="preserve"> efficiency gains and losses. For instance</w:t>
      </w:r>
      <w:r w:rsidR="004646A1">
        <w:t>,</w:t>
      </w:r>
      <w:r w:rsidRPr="00E43204">
        <w:t xml:space="preserve"> where a </w:t>
      </w:r>
      <w:r w:rsidR="004646A1">
        <w:t>service provider</w:t>
      </w:r>
      <w:r w:rsidR="004646A1" w:rsidRPr="00E43204">
        <w:t xml:space="preserve"> </w:t>
      </w:r>
      <w:r w:rsidRPr="00E43204">
        <w:t xml:space="preserve">achieves efficiency improvements, </w:t>
      </w:r>
      <w:r w:rsidR="004646A1">
        <w:t>it</w:t>
      </w:r>
      <w:r w:rsidR="004646A1" w:rsidRPr="00E43204">
        <w:t xml:space="preserve"> </w:t>
      </w:r>
      <w:r w:rsidRPr="00E43204">
        <w:t>receive</w:t>
      </w:r>
      <w:r w:rsidR="004646A1">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 xml:space="preserve">the </w:t>
      </w:r>
      <w:r w:rsidR="004646A1">
        <w:t>service provider</w:t>
      </w:r>
      <w:r w:rsidR="004646A1" w:rsidRPr="00E43204">
        <w:t xml:space="preserve"> </w:t>
      </w:r>
      <w:r w:rsidRPr="00E43204">
        <w:t>share in the benefits of an efficiency improvement.</w:t>
      </w:r>
    </w:p>
    <w:p w:rsidR="00F53499" w:rsidRPr="001A52DA" w:rsidRDefault="00F53499" w:rsidP="00F53499">
      <w:pPr>
        <w:pStyle w:val="AERbodytext"/>
      </w:pPr>
      <w:r w:rsidRPr="001A52DA">
        <w:t xml:space="preserve">If we do not use a single year revealed cost forecasting approach, lower actual opex will not necessarily be passed through to consumers. Consumer should not pay for EBSS benefits where </w:t>
      </w:r>
      <w:r>
        <w:t>they</w:t>
      </w:r>
      <w:r w:rsidRPr="001A52DA">
        <w:t xml:space="preserve"> do not receive the benefits of a lower forecast.</w:t>
      </w:r>
    </w:p>
    <w:p w:rsidR="00EE38B1" w:rsidRPr="00EE38B1" w:rsidRDefault="00EE38B1" w:rsidP="00EE38B1">
      <w:pPr>
        <w:pStyle w:val="AERbulletlistfirststyle"/>
        <w:numPr>
          <w:ilvl w:val="0"/>
          <w:numId w:val="0"/>
        </w:numPr>
      </w:pPr>
      <w:r w:rsidRPr="00EE38B1">
        <w:t>We propose to exclude the following categories of costs</w:t>
      </w:r>
      <w:r w:rsidR="00E43204">
        <w:t xml:space="preserve"> from the EBSS</w:t>
      </w:r>
      <w:r w:rsidR="00876838">
        <w:t>:</w:t>
      </w:r>
    </w:p>
    <w:p w:rsidR="00EE38B1" w:rsidRDefault="00EE38B1" w:rsidP="00EE38B1">
      <w:pPr>
        <w:pStyle w:val="AERbulletlistsecondstyle"/>
      </w:pPr>
      <w:r>
        <w:lastRenderedPageBreak/>
        <w:t>debt raising costs</w:t>
      </w:r>
    </w:p>
    <w:p w:rsidR="00613BD1" w:rsidRDefault="00613BD1" w:rsidP="00EE38B1">
      <w:pPr>
        <w:pStyle w:val="AERbulletlistsecondstyle"/>
      </w:pPr>
      <w:r>
        <w:t>network support</w:t>
      </w:r>
    </w:p>
    <w:p w:rsidR="00FE6880" w:rsidRDefault="004E73A0" w:rsidP="00FE6880">
      <w:pPr>
        <w:pStyle w:val="AERbulletlistsecondstyle"/>
      </w:pPr>
      <w:r>
        <w:t xml:space="preserve">opex on </w:t>
      </w:r>
      <w:r w:rsidR="00FE6880">
        <w:t>network capability incentive</w:t>
      </w:r>
      <w:r>
        <w:t xml:space="preserve"> projects</w:t>
      </w:r>
    </w:p>
    <w:p w:rsidR="00EE38B1" w:rsidRDefault="00FE6880" w:rsidP="00EE38B1">
      <w:pPr>
        <w:pStyle w:val="AERbulletlistsecondstyle"/>
      </w:pPr>
      <w:proofErr w:type="gramStart"/>
      <w:r>
        <w:t>e</w:t>
      </w:r>
      <w:r w:rsidR="00EE38B1">
        <w:t>mployer</w:t>
      </w:r>
      <w:proofErr w:type="gramEnd"/>
      <w:r w:rsidR="00EE38B1">
        <w:t xml:space="preserve"> contributions for </w:t>
      </w:r>
      <w:r w:rsidR="00342645">
        <w:t xml:space="preserve">defined benefits </w:t>
      </w:r>
      <w:r w:rsidR="00EE38B1">
        <w:t>superannuation</w:t>
      </w:r>
      <w:r w:rsidR="00892AD6">
        <w:t>.</w:t>
      </w:r>
    </w:p>
    <w:p w:rsidR="006768FF" w:rsidRDefault="00FE6880" w:rsidP="006768FF">
      <w:pPr>
        <w:pStyle w:val="AERbodytext"/>
      </w:pPr>
      <w:r>
        <w:t>We agree with TransGrid's proposa</w:t>
      </w:r>
      <w:r w:rsidR="006768FF">
        <w:t xml:space="preserve">l to exclude debt raising </w:t>
      </w:r>
      <w:r w:rsidR="00857718">
        <w:t xml:space="preserve">costs and </w:t>
      </w:r>
      <w:r w:rsidR="00613BD1">
        <w:t xml:space="preserve">network support </w:t>
      </w:r>
      <w:r w:rsidR="006768FF">
        <w:t>costs.</w:t>
      </w:r>
      <w:r>
        <w:t xml:space="preserve"> </w:t>
      </w:r>
      <w:r w:rsidR="00613BD1" w:rsidRPr="00613BD1">
        <w:t xml:space="preserve">We </w:t>
      </w:r>
      <w:r w:rsidR="00613BD1">
        <w:t xml:space="preserve">have developed a category specific forecast for debt raising costs. The EBSS is not compatible with </w:t>
      </w:r>
      <w:r w:rsidR="00992AD5">
        <w:t>our forecasting approach for these costs</w:t>
      </w:r>
      <w:r w:rsidR="00613BD1">
        <w:t>. We have not included any network support costs in our opex forecast. However</w:t>
      </w:r>
      <w:r w:rsidR="00365B5C">
        <w:t>,</w:t>
      </w:r>
      <w:r w:rsidR="00613BD1">
        <w:t xml:space="preserve"> </w:t>
      </w:r>
      <w:r w:rsidR="00325C43">
        <w:t>changes in these costs are subject to pass through arrangements. To apply the EBSS to this category of costs</w:t>
      </w:r>
      <w:r w:rsidR="004646A1">
        <w:t>,</w:t>
      </w:r>
      <w:r w:rsidR="00992AD5">
        <w:t xml:space="preserve"> if incurred</w:t>
      </w:r>
      <w:r w:rsidR="004646A1">
        <w:t xml:space="preserve">, </w:t>
      </w:r>
      <w:r w:rsidR="00325C43">
        <w:t xml:space="preserve">would not be compatible with </w:t>
      </w:r>
      <w:r w:rsidR="00857718">
        <w:t>those</w:t>
      </w:r>
      <w:r w:rsidR="00325C43">
        <w:t xml:space="preserve"> arrangements.</w:t>
      </w:r>
      <w:r w:rsidR="00325C43" w:rsidDel="00613BD1">
        <w:t xml:space="preserve"> </w:t>
      </w:r>
    </w:p>
    <w:p w:rsidR="006768FF" w:rsidRDefault="006768FF" w:rsidP="006768FF">
      <w:pPr>
        <w:pStyle w:val="AERbodytext"/>
      </w:pPr>
      <w:r>
        <w:t xml:space="preserve">We also consider opex spent on network capability projects should be excluded from the EBSS. These costs are funded through the network capability component of the transmission STPIS not through forecast opex. We need to exclude these costs from the EBSS </w:t>
      </w:r>
      <w:r w:rsidR="00F53499">
        <w:t>so that</w:t>
      </w:r>
      <w:r>
        <w:t xml:space="preserve"> T</w:t>
      </w:r>
      <w:r w:rsidR="001A52DA">
        <w:t>ransGrid</w:t>
      </w:r>
      <w:r>
        <w:t xml:space="preserve"> does not face EBSS penalties for undertaking these projects</w:t>
      </w:r>
      <w:r w:rsidR="00EC3EF2">
        <w:t>.</w:t>
      </w:r>
    </w:p>
    <w:p w:rsidR="00342645" w:rsidRDefault="006768FF" w:rsidP="006F6CCB">
      <w:r>
        <w:t xml:space="preserve">We do not propose to exclude opex on major operating projects, insurance and most employee entitlements from the EBSS. </w:t>
      </w:r>
      <w:r w:rsidR="00197DE2">
        <w:t>Our forecasting</w:t>
      </w:r>
      <w:r w:rsidR="00342645">
        <w:t xml:space="preserve"> approach is different to TransGrid's </w:t>
      </w:r>
      <w:r w:rsidR="00FF53C3">
        <w:t>proposal for</w:t>
      </w:r>
      <w:r w:rsidR="00342645">
        <w:t xml:space="preserve"> </w:t>
      </w:r>
      <w:r>
        <w:t>these</w:t>
      </w:r>
      <w:r w:rsidR="00342645">
        <w:t xml:space="preserve"> costs. TransGrid preferred to forecast major operating projects, insurance and the cost of </w:t>
      </w:r>
      <w:r w:rsidR="00180A7A">
        <w:t xml:space="preserve">long service leave and annual leave </w:t>
      </w:r>
      <w:r w:rsidR="00342645">
        <w:t xml:space="preserve">entitlements using a </w:t>
      </w:r>
      <w:r w:rsidR="004646A1">
        <w:t>category-specific forecasting</w:t>
      </w:r>
      <w:r w:rsidR="00342645">
        <w:t xml:space="preserve"> approach. As outlined in </w:t>
      </w:r>
      <w:r w:rsidR="008C6117">
        <w:rPr>
          <w:rStyle w:val="AERbody"/>
        </w:rPr>
        <w:t>attachment 7</w:t>
      </w:r>
      <w:r w:rsidR="00342645">
        <w:t xml:space="preserve">, we </w:t>
      </w:r>
      <w:r w:rsidR="004E68E6">
        <w:t>use</w:t>
      </w:r>
      <w:r w:rsidR="00FA4B52">
        <w:t xml:space="preserve"> </w:t>
      </w:r>
      <w:r w:rsidR="00342645">
        <w:t xml:space="preserve">a single year revealed cost approach to </w:t>
      </w:r>
      <w:r w:rsidR="004E68E6">
        <w:t>forecast opex</w:t>
      </w:r>
      <w:r w:rsidR="00FA4B52">
        <w:t>. Our forecast opex</w:t>
      </w:r>
      <w:r w:rsidR="004E68E6">
        <w:t xml:space="preserve"> </w:t>
      </w:r>
      <w:r w:rsidR="00FA4B52">
        <w:t>is inclusive of opex on these categories. We</w:t>
      </w:r>
      <w:r w:rsidR="00A675F9">
        <w:t xml:space="preserve"> see no reason to exclude these costs from the EBSS</w:t>
      </w:r>
      <w:r w:rsidR="00FA4B52">
        <w:t xml:space="preserve"> where we use this </w:t>
      </w:r>
      <w:r w:rsidR="00713408">
        <w:t xml:space="preserve">methodology </w:t>
      </w:r>
      <w:r w:rsidR="00FA4B52">
        <w:t>to forecast</w:t>
      </w:r>
      <w:r w:rsidR="00713408">
        <w:t xml:space="preserve"> opex</w:t>
      </w:r>
      <w:r w:rsidR="00FA4B52">
        <w:t>.</w:t>
      </w:r>
    </w:p>
    <w:p w:rsidR="00342645" w:rsidRDefault="00342645" w:rsidP="006F6CCB">
      <w:r>
        <w:t xml:space="preserve">The only employee entitlement we </w:t>
      </w:r>
      <w:r w:rsidR="005B4E26">
        <w:t>will</w:t>
      </w:r>
      <w:r>
        <w:t xml:space="preserve"> exclude from the EBSS is employer contributions for defined benefits superannuation. </w:t>
      </w:r>
      <w:r w:rsidR="001424A9">
        <w:t xml:space="preserve">As outlined in </w:t>
      </w:r>
      <w:r w:rsidR="008C6117">
        <w:rPr>
          <w:rStyle w:val="AERbody"/>
        </w:rPr>
        <w:t>attachment 7</w:t>
      </w:r>
      <w:r w:rsidR="001424A9">
        <w:t xml:space="preserve"> w</w:t>
      </w:r>
      <w:r w:rsidR="00371A61">
        <w:t xml:space="preserve">e </w:t>
      </w:r>
      <w:r w:rsidR="009321AE">
        <w:t>agree with TransGrid's forecasting approach for</w:t>
      </w:r>
      <w:r w:rsidR="00371A61">
        <w:t xml:space="preserve"> these costs.</w:t>
      </w:r>
      <w:r w:rsidR="00BF1F33">
        <w:t xml:space="preserve"> </w:t>
      </w:r>
    </w:p>
    <w:p w:rsidR="00BD3C88" w:rsidRDefault="00E43204" w:rsidP="006F6CCB">
      <w:r>
        <w:t>W</w:t>
      </w:r>
      <w:r w:rsidR="00FE6880">
        <w:t xml:space="preserve">e </w:t>
      </w:r>
      <w:r>
        <w:t xml:space="preserve">have not </w:t>
      </w:r>
      <w:r w:rsidR="00FE6880">
        <w:t>excluded</w:t>
      </w:r>
      <w:r w:rsidR="001A7843">
        <w:t xml:space="preserve"> self</w:t>
      </w:r>
      <w:r w:rsidR="00D255C5">
        <w:t>-</w:t>
      </w:r>
      <w:r w:rsidR="001A7843">
        <w:t>insurance and</w:t>
      </w:r>
      <w:r w:rsidR="00FE6880">
        <w:t xml:space="preserve"> </w:t>
      </w:r>
      <w:r w:rsidR="00612C8F">
        <w:t xml:space="preserve">a </w:t>
      </w:r>
      <w:r w:rsidR="00FE6880">
        <w:t>Demand Management Innovation Allowance</w:t>
      </w:r>
      <w:r w:rsidR="00FA4B52">
        <w:t xml:space="preserve"> </w:t>
      </w:r>
      <w:r>
        <w:t xml:space="preserve">from the EBSS. We have not approved </w:t>
      </w:r>
      <w:r w:rsidR="001A7843">
        <w:t xml:space="preserve">a Demand Management Innovation Allowance </w:t>
      </w:r>
      <w:r w:rsidR="00FE6880">
        <w:t xml:space="preserve">for TransGrid so we have not excluded </w:t>
      </w:r>
      <w:r>
        <w:t>these</w:t>
      </w:r>
      <w:r w:rsidR="00FE6880">
        <w:t xml:space="preserve"> costs</w:t>
      </w:r>
      <w:r w:rsidR="001A52DA">
        <w:t xml:space="preserve"> from the EBSS</w:t>
      </w:r>
      <w:r w:rsidR="00A87666">
        <w:t>.</w:t>
      </w:r>
      <w:r w:rsidR="001A7843">
        <w:t xml:space="preserve"> </w:t>
      </w:r>
      <w:r w:rsidR="00EC3EF2">
        <w:t xml:space="preserve">We also have not forecast any self-insurance for the 2014–18 </w:t>
      </w:r>
      <w:proofErr w:type="gramStart"/>
      <w:r w:rsidR="00EC3EF2">
        <w:t>period</w:t>
      </w:r>
      <w:proofErr w:type="gramEnd"/>
      <w:r w:rsidR="00EC3EF2">
        <w:t>. This is consistent with TransGrid's forecasting approach.</w:t>
      </w:r>
    </w:p>
    <w:p w:rsidR="00BF1F33" w:rsidRDefault="00BF1F33" w:rsidP="00BF1F33">
      <w:r>
        <w:t xml:space="preserve">In addition to these excluded cost categories we will also: </w:t>
      </w:r>
    </w:p>
    <w:p w:rsidR="00FE6880" w:rsidRDefault="00FE6880" w:rsidP="00FE6880">
      <w:pPr>
        <w:pStyle w:val="AERbulletlistfirststyle"/>
      </w:pPr>
      <w:proofErr w:type="gramStart"/>
      <w:r>
        <w:t>adjust</w:t>
      </w:r>
      <w:proofErr w:type="gramEnd"/>
      <w:r>
        <w:t xml:space="preserve"> forecast opex to add (subtract) any approved revenue increments (decrements) made after the initial regulatory determination. This may include approved pass through amounts or opex for contingent projects</w:t>
      </w:r>
      <w:r w:rsidRPr="006F6CCB">
        <w:t>.</w:t>
      </w:r>
      <w:r>
        <w:t xml:space="preserve"> </w:t>
      </w:r>
    </w:p>
    <w:p w:rsidR="00FE6880" w:rsidRDefault="00FE6880" w:rsidP="00FE6880">
      <w:pPr>
        <w:pStyle w:val="AERbulletlistfirststyle"/>
      </w:pPr>
      <w:proofErr w:type="gramStart"/>
      <w:r>
        <w:t>adjust</w:t>
      </w:r>
      <w:proofErr w:type="gramEnd"/>
      <w:r>
        <w:t xml:space="preserve"> actual opex to add capitalised opex that has been excluded from the Regulatory Asset Base. </w:t>
      </w:r>
    </w:p>
    <w:p w:rsidR="00FE6880" w:rsidRDefault="00FE6880" w:rsidP="00FE6880">
      <w:pPr>
        <w:pStyle w:val="AERbulletlistfirststyle"/>
      </w:pPr>
      <w:proofErr w:type="gramStart"/>
      <w:r>
        <w:t>exclude</w:t>
      </w:r>
      <w:proofErr w:type="gramEnd"/>
      <w:r>
        <w:t xml:space="preserve"> </w:t>
      </w:r>
      <w:r w:rsidRPr="00DA1B7F">
        <w:t xml:space="preserve">categories of opex not forecast using a single year revealed cost approach </w:t>
      </w:r>
      <w:r>
        <w:t>for the regulatory control period beginning in 2018</w:t>
      </w:r>
      <w:r w:rsidRPr="00DA1B7F">
        <w:t xml:space="preserve"> </w:t>
      </w:r>
      <w:r>
        <w:t>where</w:t>
      </w:r>
      <w:r w:rsidRPr="00DA1B7F">
        <w:t xml:space="preserve"> doing so better achieves the requirements of clause 6A.6.5 of the NER.</w:t>
      </w:r>
    </w:p>
    <w:p w:rsidR="00C061ED" w:rsidRPr="00141A8E" w:rsidRDefault="00802996" w:rsidP="006F6CCB">
      <w:pPr>
        <w:rPr>
          <w:rStyle w:val="AERbody"/>
        </w:rPr>
      </w:pPr>
      <w:r>
        <w:fldChar w:fldCharType="begin"/>
      </w:r>
      <w:r>
        <w:instrText xml:space="preserve"> REF _Ref387739277 \h </w:instrText>
      </w:r>
      <w:r>
        <w:fldChar w:fldCharType="separate"/>
      </w:r>
      <w:r>
        <w:t>Table 9.</w:t>
      </w:r>
      <w:r>
        <w:rPr>
          <w:noProof/>
        </w:rPr>
        <w:t>7</w:t>
      </w:r>
      <w:r>
        <w:fldChar w:fldCharType="end"/>
      </w:r>
      <w:r w:rsidR="00BF1F33">
        <w:t xml:space="preserve"> </w:t>
      </w:r>
      <w:r w:rsidR="005D690A" w:rsidRPr="00141A8E">
        <w:rPr>
          <w:rStyle w:val="AERbody"/>
        </w:rPr>
        <w:t>set</w:t>
      </w:r>
      <w:r w:rsidR="00E37D73">
        <w:rPr>
          <w:rStyle w:val="AERbody"/>
        </w:rPr>
        <w:t>s</w:t>
      </w:r>
      <w:r w:rsidR="005D1B25" w:rsidRPr="00141A8E">
        <w:rPr>
          <w:rStyle w:val="AERbody"/>
        </w:rPr>
        <w:t xml:space="preserve"> out our draft decision on </w:t>
      </w:r>
      <w:r w:rsidR="006F6CCB" w:rsidRPr="00141A8E">
        <w:rPr>
          <w:rStyle w:val="AERbody"/>
        </w:rPr>
        <w:t>T</w:t>
      </w:r>
      <w:r w:rsidR="005D690A" w:rsidRPr="00141A8E">
        <w:rPr>
          <w:rStyle w:val="AERbody"/>
        </w:rPr>
        <w:t>r</w:t>
      </w:r>
      <w:r w:rsidR="006F6CCB" w:rsidRPr="00141A8E">
        <w:rPr>
          <w:rStyle w:val="AERbody"/>
        </w:rPr>
        <w:t>ansGrid</w:t>
      </w:r>
      <w:r w:rsidR="005D1B25" w:rsidRPr="00141A8E">
        <w:rPr>
          <w:rStyle w:val="AERbody"/>
        </w:rPr>
        <w:t>’s target opex for the</w:t>
      </w:r>
      <w:r w:rsidR="00141A8E" w:rsidRPr="00141A8E">
        <w:rPr>
          <w:rStyle w:val="AERbody"/>
        </w:rPr>
        <w:t xml:space="preserve"> EBSS (total opex less excluded </w:t>
      </w:r>
      <w:r w:rsidR="005D1B25" w:rsidRPr="00141A8E">
        <w:rPr>
          <w:rStyle w:val="AERbody"/>
        </w:rPr>
        <w:t xml:space="preserve">categories), against which we will calculate efficiency gains in </w:t>
      </w:r>
      <w:r w:rsidR="00A87666">
        <w:rPr>
          <w:rStyle w:val="AERbody"/>
        </w:rPr>
        <w:t xml:space="preserve">the </w:t>
      </w:r>
      <w:r w:rsidR="005D1B25" w:rsidRPr="00141A8E">
        <w:rPr>
          <w:rStyle w:val="AERbody"/>
        </w:rPr>
        <w:t>2014–1</w:t>
      </w:r>
      <w:r w:rsidR="00A87666">
        <w:rPr>
          <w:rStyle w:val="AERbody"/>
        </w:rPr>
        <w:t>8 regulatory control period</w:t>
      </w:r>
      <w:r w:rsidR="005D1B25" w:rsidRPr="00141A8E">
        <w:rPr>
          <w:rStyle w:val="AERbody"/>
        </w:rPr>
        <w:t>.</w:t>
      </w:r>
    </w:p>
    <w:p w:rsidR="006F6CCB" w:rsidRPr="006F6CCB" w:rsidRDefault="006F6CCB" w:rsidP="006F6CCB">
      <w:pPr>
        <w:pStyle w:val="Caption"/>
      </w:pPr>
      <w:bookmarkStart w:id="24" w:name="_Ref387739277"/>
      <w:r>
        <w:lastRenderedPageBreak/>
        <w:t xml:space="preserve">Table </w:t>
      </w:r>
      <w:r w:rsidR="008C6117">
        <w:t>9</w:t>
      </w:r>
      <w:r w:rsidR="00D90ABA">
        <w:t>-</w:t>
      </w:r>
      <w:r w:rsidR="00C138F3">
        <w:fldChar w:fldCharType="begin"/>
      </w:r>
      <w:r w:rsidR="00C138F3">
        <w:instrText xml:space="preserve"> SEQ Table \* ARABIC \s 1 </w:instrText>
      </w:r>
      <w:r w:rsidR="00C138F3">
        <w:fldChar w:fldCharType="separate"/>
      </w:r>
      <w:r w:rsidR="008C6117">
        <w:rPr>
          <w:noProof/>
        </w:rPr>
        <w:t>7</w:t>
      </w:r>
      <w:r w:rsidR="00C138F3">
        <w:rPr>
          <w:noProof/>
        </w:rPr>
        <w:fldChar w:fldCharType="end"/>
      </w:r>
      <w:bookmarkEnd w:id="24"/>
      <w:r>
        <w:tab/>
        <w:t>AER's draft decision on TransGrid's forecast opex for the EBSS ($ million,</w:t>
      </w:r>
      <w:r w:rsidR="00A8610C">
        <w:t> </w:t>
      </w:r>
      <w:r>
        <w:t>2013–14)</w:t>
      </w:r>
    </w:p>
    <w:tbl>
      <w:tblPr>
        <w:tblStyle w:val="AERtable-numbers"/>
        <w:tblW w:w="5000" w:type="pct"/>
        <w:tblLook w:val="04A0" w:firstRow="1" w:lastRow="0" w:firstColumn="1" w:lastColumn="0" w:noHBand="0" w:noVBand="1"/>
      </w:tblPr>
      <w:tblGrid>
        <w:gridCol w:w="3622"/>
        <w:gridCol w:w="1405"/>
        <w:gridCol w:w="1405"/>
        <w:gridCol w:w="1405"/>
        <w:gridCol w:w="1405"/>
      </w:tblGrid>
      <w:tr w:rsidR="00613BD1" w:rsidTr="00275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pct"/>
          </w:tcPr>
          <w:p w:rsidR="00613BD1" w:rsidRDefault="00613BD1" w:rsidP="006F6CCB">
            <w:pPr>
              <w:pStyle w:val="AERtabletextleft"/>
            </w:pPr>
          </w:p>
        </w:tc>
        <w:tc>
          <w:tcPr>
            <w:tcW w:w="760" w:type="pct"/>
          </w:tcPr>
          <w:p w:rsidR="00613BD1" w:rsidRPr="006F6CCB" w:rsidRDefault="00613BD1" w:rsidP="006F6CCB">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t>–</w:t>
            </w:r>
            <w:r w:rsidRPr="005B7AD2">
              <w:t>15</w:t>
            </w:r>
          </w:p>
        </w:tc>
        <w:tc>
          <w:tcPr>
            <w:tcW w:w="760" w:type="pct"/>
          </w:tcPr>
          <w:p w:rsidR="00613BD1" w:rsidRPr="006F6CCB" w:rsidRDefault="00613BD1" w:rsidP="006F6CC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760" w:type="pct"/>
          </w:tcPr>
          <w:p w:rsidR="00613BD1" w:rsidRPr="006F6CCB" w:rsidRDefault="00613BD1" w:rsidP="006F6CCB">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760" w:type="pct"/>
          </w:tcPr>
          <w:p w:rsidR="00613BD1" w:rsidRPr="006F6CCB" w:rsidRDefault="00613BD1" w:rsidP="006F6CCB">
            <w:pPr>
              <w:pStyle w:val="AERtabletextright"/>
              <w:cnfStyle w:val="100000000000" w:firstRow="1" w:lastRow="0" w:firstColumn="0" w:lastColumn="0" w:oddVBand="0" w:evenVBand="0" w:oddHBand="0" w:evenHBand="0" w:firstRowFirstColumn="0" w:firstRowLastColumn="0" w:lastRowFirstColumn="0" w:lastRowLastColumn="0"/>
            </w:pPr>
            <w:r>
              <w:t>201</w:t>
            </w:r>
            <w:r w:rsidRPr="006F6CCB">
              <w:t>7</w:t>
            </w:r>
            <w:r>
              <w:t>–</w:t>
            </w:r>
            <w:r w:rsidRPr="006F6CCB">
              <w:t>18</w:t>
            </w:r>
          </w:p>
        </w:tc>
      </w:tr>
      <w:tr w:rsidR="00613BD1" w:rsidTr="002753FB">
        <w:tc>
          <w:tcPr>
            <w:cnfStyle w:val="001000000000" w:firstRow="0" w:lastRow="0" w:firstColumn="1" w:lastColumn="0" w:oddVBand="0" w:evenVBand="0" w:oddHBand="0" w:evenHBand="0" w:firstRowFirstColumn="0" w:firstRowLastColumn="0" w:lastRowFirstColumn="0" w:lastRowLastColumn="0"/>
            <w:tcW w:w="1959" w:type="pct"/>
          </w:tcPr>
          <w:p w:rsidR="00613BD1" w:rsidRPr="006F6CCB" w:rsidRDefault="00B873AC" w:rsidP="006F6CCB">
            <w:pPr>
              <w:pStyle w:val="AERtabletextleft"/>
            </w:pPr>
            <w:r>
              <w:t>Draft decision forecast</w:t>
            </w:r>
            <w:r w:rsidR="00613BD1">
              <w:t xml:space="preserve"> opex</w:t>
            </w:r>
            <w:r w:rsidR="00613BD1">
              <w:rPr>
                <w:rStyle w:val="FootnoteReference"/>
              </w:rPr>
              <w:footnoteReference w:id="18"/>
            </w:r>
          </w:p>
        </w:tc>
        <w:tc>
          <w:tcPr>
            <w:tcW w:w="760" w:type="pct"/>
          </w:tcPr>
          <w:p w:rsidR="00613BD1" w:rsidRDefault="00613BD1" w:rsidP="006F6CCB">
            <w:pPr>
              <w:pStyle w:val="AERtabletextright"/>
              <w:cnfStyle w:val="000000000000" w:firstRow="0" w:lastRow="0" w:firstColumn="0" w:lastColumn="0" w:oddVBand="0" w:evenVBand="0" w:oddHBand="0" w:evenHBand="0" w:firstRowFirstColumn="0" w:firstRowLastColumn="0" w:lastRowFirstColumn="0" w:lastRowLastColumn="0"/>
            </w:pPr>
            <w:r>
              <w:t>162.</w:t>
            </w:r>
            <w:r w:rsidR="001A4739">
              <w:t>8</w:t>
            </w:r>
          </w:p>
        </w:tc>
        <w:tc>
          <w:tcPr>
            <w:tcW w:w="760" w:type="pct"/>
          </w:tcPr>
          <w:p w:rsidR="00613BD1" w:rsidRDefault="00613BD1" w:rsidP="006F6CCB">
            <w:pPr>
              <w:pStyle w:val="AERtabletextright"/>
              <w:cnfStyle w:val="000000000000" w:firstRow="0" w:lastRow="0" w:firstColumn="0" w:lastColumn="0" w:oddVBand="0" w:evenVBand="0" w:oddHBand="0" w:evenHBand="0" w:firstRowFirstColumn="0" w:firstRowLastColumn="0" w:lastRowFirstColumn="0" w:lastRowLastColumn="0"/>
            </w:pPr>
            <w:r>
              <w:t>16</w:t>
            </w:r>
            <w:r w:rsidR="00B873AC">
              <w:t>1</w:t>
            </w:r>
            <w:r>
              <w:t>.</w:t>
            </w:r>
            <w:r w:rsidR="001A4739">
              <w:t>1</w:t>
            </w:r>
          </w:p>
        </w:tc>
        <w:tc>
          <w:tcPr>
            <w:tcW w:w="760" w:type="pct"/>
          </w:tcPr>
          <w:p w:rsidR="00613BD1" w:rsidRDefault="00613BD1" w:rsidP="006F6CCB">
            <w:pPr>
              <w:pStyle w:val="AERtabletextright"/>
              <w:cnfStyle w:val="000000000000" w:firstRow="0" w:lastRow="0" w:firstColumn="0" w:lastColumn="0" w:oddVBand="0" w:evenVBand="0" w:oddHBand="0" w:evenHBand="0" w:firstRowFirstColumn="0" w:firstRowLastColumn="0" w:lastRowFirstColumn="0" w:lastRowLastColumn="0"/>
            </w:pPr>
            <w:r>
              <w:t>1</w:t>
            </w:r>
            <w:r w:rsidR="00B873AC">
              <w:t>61</w:t>
            </w:r>
            <w:r>
              <w:t>.</w:t>
            </w:r>
            <w:r w:rsidR="001A4739">
              <w:t>2</w:t>
            </w:r>
          </w:p>
        </w:tc>
        <w:tc>
          <w:tcPr>
            <w:tcW w:w="760" w:type="pct"/>
          </w:tcPr>
          <w:p w:rsidR="00613BD1" w:rsidRDefault="00613BD1" w:rsidP="006F6CCB">
            <w:pPr>
              <w:pStyle w:val="AERtabletextright"/>
              <w:cnfStyle w:val="000000000000" w:firstRow="0" w:lastRow="0" w:firstColumn="0" w:lastColumn="0" w:oddVBand="0" w:evenVBand="0" w:oddHBand="0" w:evenHBand="0" w:firstRowFirstColumn="0" w:firstRowLastColumn="0" w:lastRowFirstColumn="0" w:lastRowLastColumn="0"/>
            </w:pPr>
            <w:r>
              <w:t>16</w:t>
            </w:r>
            <w:r w:rsidR="00B873AC">
              <w:t>1</w:t>
            </w:r>
            <w:r>
              <w:t>.</w:t>
            </w:r>
            <w:r w:rsidR="001A4739">
              <w:t>8</w:t>
            </w:r>
          </w:p>
        </w:tc>
      </w:tr>
      <w:tr w:rsidR="00613BD1" w:rsidTr="00275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pct"/>
          </w:tcPr>
          <w:p w:rsidR="00613BD1" w:rsidRPr="006F6CCB" w:rsidRDefault="00857718" w:rsidP="006F6CCB">
            <w:pPr>
              <w:pStyle w:val="AERtabletextleft"/>
            </w:pPr>
            <w:r>
              <w:t>Forecast s</w:t>
            </w:r>
            <w:r w:rsidR="00613BD1">
              <w:t>uperannuation contributions</w:t>
            </w:r>
            <w:r w:rsidR="00613BD1" w:rsidRPr="005B7AD2">
              <w:t xml:space="preserve"> </w:t>
            </w:r>
          </w:p>
        </w:tc>
        <w:tc>
          <w:tcPr>
            <w:tcW w:w="760" w:type="pct"/>
          </w:tcPr>
          <w:p w:rsidR="00613BD1" w:rsidRDefault="00E93A70" w:rsidP="006F6CCB">
            <w:pPr>
              <w:pStyle w:val="AERtabletextright"/>
              <w:cnfStyle w:val="000000010000" w:firstRow="0" w:lastRow="0" w:firstColumn="0" w:lastColumn="0" w:oddVBand="0" w:evenVBand="0" w:oddHBand="0" w:evenHBand="1" w:firstRowFirstColumn="0" w:firstRowLastColumn="0" w:lastRowFirstColumn="0" w:lastRowLastColumn="0"/>
            </w:pPr>
            <w:r>
              <w:t>13.5</w:t>
            </w:r>
          </w:p>
        </w:tc>
        <w:tc>
          <w:tcPr>
            <w:tcW w:w="760" w:type="pct"/>
          </w:tcPr>
          <w:p w:rsidR="00613BD1" w:rsidRDefault="00E93A70" w:rsidP="006F6CCB">
            <w:pPr>
              <w:pStyle w:val="AERtabletextright"/>
              <w:cnfStyle w:val="000000010000" w:firstRow="0" w:lastRow="0" w:firstColumn="0" w:lastColumn="0" w:oddVBand="0" w:evenVBand="0" w:oddHBand="0" w:evenHBand="1" w:firstRowFirstColumn="0" w:firstRowLastColumn="0" w:lastRowFirstColumn="0" w:lastRowLastColumn="0"/>
            </w:pPr>
            <w:r>
              <w:t>13.1</w:t>
            </w:r>
          </w:p>
        </w:tc>
        <w:tc>
          <w:tcPr>
            <w:tcW w:w="760" w:type="pct"/>
          </w:tcPr>
          <w:p w:rsidR="00613BD1" w:rsidRDefault="00E93A70" w:rsidP="006F6CCB">
            <w:pPr>
              <w:pStyle w:val="AERtabletextright"/>
              <w:cnfStyle w:val="000000010000" w:firstRow="0" w:lastRow="0" w:firstColumn="0" w:lastColumn="0" w:oddVBand="0" w:evenVBand="0" w:oddHBand="0" w:evenHBand="1" w:firstRowFirstColumn="0" w:firstRowLastColumn="0" w:lastRowFirstColumn="0" w:lastRowLastColumn="0"/>
            </w:pPr>
            <w:r>
              <w:t>12.7</w:t>
            </w:r>
          </w:p>
        </w:tc>
        <w:tc>
          <w:tcPr>
            <w:tcW w:w="760" w:type="pct"/>
          </w:tcPr>
          <w:p w:rsidR="00613BD1" w:rsidRDefault="00E93A70" w:rsidP="006F6CCB">
            <w:pPr>
              <w:pStyle w:val="AERtabletextright"/>
              <w:cnfStyle w:val="000000010000" w:firstRow="0" w:lastRow="0" w:firstColumn="0" w:lastColumn="0" w:oddVBand="0" w:evenVBand="0" w:oddHBand="0" w:evenHBand="1" w:firstRowFirstColumn="0" w:firstRowLastColumn="0" w:lastRowFirstColumn="0" w:lastRowLastColumn="0"/>
            </w:pPr>
            <w:r>
              <w:t>12.4</w:t>
            </w:r>
          </w:p>
        </w:tc>
      </w:tr>
      <w:tr w:rsidR="00613BD1" w:rsidTr="002753FB">
        <w:tc>
          <w:tcPr>
            <w:cnfStyle w:val="001000000000" w:firstRow="0" w:lastRow="0" w:firstColumn="1" w:lastColumn="0" w:oddVBand="0" w:evenVBand="0" w:oddHBand="0" w:evenHBand="0" w:firstRowFirstColumn="0" w:firstRowLastColumn="0" w:lastRowFirstColumn="0" w:lastRowLastColumn="0"/>
            <w:tcW w:w="1959" w:type="pct"/>
          </w:tcPr>
          <w:p w:rsidR="00613BD1" w:rsidRPr="00B873AC" w:rsidRDefault="00613BD1" w:rsidP="006F6CCB">
            <w:pPr>
              <w:pStyle w:val="AERtabletextleft"/>
              <w:rPr>
                <w:rStyle w:val="AERtextsize8"/>
              </w:rPr>
            </w:pPr>
            <w:r w:rsidRPr="00B873AC">
              <w:rPr>
                <w:rStyle w:val="AERtextsize8"/>
              </w:rPr>
              <w:t xml:space="preserve">Forecast opex for the EBSS </w:t>
            </w:r>
          </w:p>
        </w:tc>
        <w:tc>
          <w:tcPr>
            <w:tcW w:w="760" w:type="pct"/>
          </w:tcPr>
          <w:p w:rsidR="00613BD1" w:rsidRDefault="00E93A70" w:rsidP="006F6CCB">
            <w:pPr>
              <w:pStyle w:val="AERtabletextright"/>
              <w:cnfStyle w:val="000000000000" w:firstRow="0" w:lastRow="0" w:firstColumn="0" w:lastColumn="0" w:oddVBand="0" w:evenVBand="0" w:oddHBand="0" w:evenHBand="0" w:firstRowFirstColumn="0" w:firstRowLastColumn="0" w:lastRowFirstColumn="0" w:lastRowLastColumn="0"/>
            </w:pPr>
            <w:r>
              <w:t>14</w:t>
            </w:r>
            <w:r w:rsidR="00B873AC">
              <w:t>9</w:t>
            </w:r>
            <w:r>
              <w:t>.</w:t>
            </w:r>
            <w:r w:rsidR="00B873AC">
              <w:t>4</w:t>
            </w:r>
          </w:p>
        </w:tc>
        <w:tc>
          <w:tcPr>
            <w:tcW w:w="760" w:type="pct"/>
          </w:tcPr>
          <w:p w:rsidR="00613BD1" w:rsidRDefault="00E93A70" w:rsidP="006F6CCB">
            <w:pPr>
              <w:pStyle w:val="AERtabletextright"/>
              <w:cnfStyle w:val="000000000000" w:firstRow="0" w:lastRow="0" w:firstColumn="0" w:lastColumn="0" w:oddVBand="0" w:evenVBand="0" w:oddHBand="0" w:evenHBand="0" w:firstRowFirstColumn="0" w:firstRowLastColumn="0" w:lastRowFirstColumn="0" w:lastRowLastColumn="0"/>
            </w:pPr>
            <w:r>
              <w:t>14</w:t>
            </w:r>
            <w:r w:rsidR="00B873AC">
              <w:t>8</w:t>
            </w:r>
            <w:r>
              <w:t>.</w:t>
            </w:r>
            <w:r w:rsidR="00B873AC">
              <w:t>1</w:t>
            </w:r>
          </w:p>
        </w:tc>
        <w:tc>
          <w:tcPr>
            <w:tcW w:w="760" w:type="pct"/>
          </w:tcPr>
          <w:p w:rsidR="00613BD1" w:rsidRDefault="00E93A70" w:rsidP="006F6CCB">
            <w:pPr>
              <w:pStyle w:val="AERtabletextright"/>
              <w:cnfStyle w:val="000000000000" w:firstRow="0" w:lastRow="0" w:firstColumn="0" w:lastColumn="0" w:oddVBand="0" w:evenVBand="0" w:oddHBand="0" w:evenHBand="0" w:firstRowFirstColumn="0" w:firstRowLastColumn="0" w:lastRowFirstColumn="0" w:lastRowLastColumn="0"/>
            </w:pPr>
            <w:r>
              <w:t>14</w:t>
            </w:r>
            <w:r w:rsidR="00B873AC">
              <w:t>8</w:t>
            </w:r>
            <w:r>
              <w:t>.</w:t>
            </w:r>
            <w:r w:rsidR="00B873AC">
              <w:t>5</w:t>
            </w:r>
          </w:p>
        </w:tc>
        <w:tc>
          <w:tcPr>
            <w:tcW w:w="760" w:type="pct"/>
          </w:tcPr>
          <w:p w:rsidR="00613BD1" w:rsidRDefault="00E93A70" w:rsidP="006F6CCB">
            <w:pPr>
              <w:pStyle w:val="AERtabletextright"/>
              <w:cnfStyle w:val="000000000000" w:firstRow="0" w:lastRow="0" w:firstColumn="0" w:lastColumn="0" w:oddVBand="0" w:evenVBand="0" w:oddHBand="0" w:evenHBand="0" w:firstRowFirstColumn="0" w:firstRowLastColumn="0" w:lastRowFirstColumn="0" w:lastRowLastColumn="0"/>
            </w:pPr>
            <w:r>
              <w:t>14</w:t>
            </w:r>
            <w:r w:rsidR="00B873AC">
              <w:t>9</w:t>
            </w:r>
            <w:r>
              <w:t>.</w:t>
            </w:r>
            <w:r w:rsidR="001A4739">
              <w:t>4</w:t>
            </w:r>
          </w:p>
        </w:tc>
      </w:tr>
    </w:tbl>
    <w:p w:rsidR="00365B5C" w:rsidRDefault="002753FB" w:rsidP="002753FB">
      <w:pPr>
        <w:pStyle w:val="AERtablesource"/>
      </w:pPr>
      <w:r>
        <w:t>Source: AER analysis</w:t>
      </w:r>
    </w:p>
    <w:p w:rsidR="001F60A7" w:rsidRPr="001F60A7" w:rsidRDefault="001F60A7" w:rsidP="001F60A7">
      <w:pPr>
        <w:pStyle w:val="HeadingBoldBlue"/>
      </w:pPr>
      <w:r>
        <w:t>Assessment of alternative EBSS</w:t>
      </w:r>
      <w:r w:rsidR="007601B4">
        <w:t xml:space="preserve"> </w:t>
      </w:r>
    </w:p>
    <w:p w:rsidR="00793DEB" w:rsidRDefault="00BF1F33" w:rsidP="00793DEB">
      <w:pPr>
        <w:pStyle w:val="AERbodytext"/>
        <w:numPr>
          <w:ilvl w:val="0"/>
          <w:numId w:val="0"/>
        </w:numPr>
      </w:pPr>
      <w:r>
        <w:t xml:space="preserve">We do not </w:t>
      </w:r>
      <w:r w:rsidR="00802996">
        <w:t xml:space="preserve">propose to apply </w:t>
      </w:r>
      <w:r w:rsidR="00892AD6">
        <w:t>the EBSS</w:t>
      </w:r>
      <w:r w:rsidR="00AF0B5F">
        <w:t xml:space="preserve"> that</w:t>
      </w:r>
      <w:r w:rsidR="00892AD6">
        <w:t xml:space="preserve"> TransGrid proposed to apply to major operating projects.</w:t>
      </w:r>
    </w:p>
    <w:p w:rsidR="00FF53C3" w:rsidRPr="00FF53C3" w:rsidRDefault="00BD3C88" w:rsidP="00FF53C3">
      <w:pPr>
        <w:pStyle w:val="AERbodytext"/>
      </w:pPr>
      <w:r>
        <w:t xml:space="preserve">As outlined in </w:t>
      </w:r>
      <w:r w:rsidR="008C6117">
        <w:rPr>
          <w:rStyle w:val="AERbody"/>
        </w:rPr>
        <w:t>attachment 7</w:t>
      </w:r>
      <w:r>
        <w:t xml:space="preserve"> we </w:t>
      </w:r>
      <w:r w:rsidR="005B4E26">
        <w:t xml:space="preserve">have used </w:t>
      </w:r>
      <w:r>
        <w:t xml:space="preserve">a single year revealed cost forecasting approach to </w:t>
      </w:r>
      <w:r w:rsidR="005B4E26">
        <w:t>forecast</w:t>
      </w:r>
      <w:r>
        <w:t xml:space="preserve"> </w:t>
      </w:r>
      <w:r w:rsidR="00793DEB">
        <w:t>most</w:t>
      </w:r>
      <w:r>
        <w:t xml:space="preserve"> of TransGrid's opex. </w:t>
      </w:r>
      <w:r w:rsidR="00793DEB">
        <w:t>We have included opex incurred on m</w:t>
      </w:r>
      <w:r w:rsidR="00FE6880">
        <w:t>ajor operating projects in 2012–</w:t>
      </w:r>
      <w:r w:rsidR="00793DEB">
        <w:t>13 in our</w:t>
      </w:r>
      <w:r w:rsidR="00FF53C3">
        <w:t xml:space="preserve"> opex</w:t>
      </w:r>
      <w:r w:rsidR="00793DEB">
        <w:t xml:space="preserve"> forecast</w:t>
      </w:r>
      <w:r>
        <w:t xml:space="preserve">. </w:t>
      </w:r>
      <w:r w:rsidR="00FF53C3">
        <w:t xml:space="preserve">We consider our current EBSS is the best sharing mechanism when we use this forecasting approach. </w:t>
      </w:r>
      <w:r w:rsidR="00FF53C3" w:rsidRPr="00FF53C3">
        <w:t>An alternative EBSS is not necessary to achieve balance with capex incentives</w:t>
      </w:r>
      <w:r w:rsidR="00AC5826">
        <w:t xml:space="preserve"> or any other reason</w:t>
      </w:r>
      <w:r w:rsidR="00FF53C3" w:rsidRPr="00FF53C3">
        <w:t>.</w:t>
      </w:r>
    </w:p>
    <w:p w:rsidR="0073340F" w:rsidRDefault="008F1832" w:rsidP="00C061ED">
      <w:pPr>
        <w:pStyle w:val="AERbodytext"/>
        <w:numPr>
          <w:ilvl w:val="0"/>
          <w:numId w:val="0"/>
        </w:numPr>
      </w:pPr>
      <w:r>
        <w:t>In any case, even if we considered an alternative EBSS to be needed, we note</w:t>
      </w:r>
      <w:r w:rsidR="009A2240">
        <w:t xml:space="preserve"> we</w:t>
      </w:r>
      <w:r>
        <w:t xml:space="preserve"> do not have the </w:t>
      </w:r>
      <w:r w:rsidR="00A87666">
        <w:t xml:space="preserve">scope under the NER </w:t>
      </w:r>
      <w:r>
        <w:t>to do so. Under the NER</w:t>
      </w:r>
      <w:r w:rsidR="00785AA2">
        <w:t xml:space="preserve"> </w:t>
      </w:r>
      <w:r>
        <w:t xml:space="preserve">we can only amend or replace the application of the EBSS if we do so at least </w:t>
      </w:r>
      <w:r w:rsidR="000E5D03">
        <w:t xml:space="preserve">fifteen </w:t>
      </w:r>
      <w:r>
        <w:t>months before the amendment or replacement coming into operation.</w:t>
      </w:r>
      <w:r>
        <w:rPr>
          <w:rStyle w:val="FootnoteReference"/>
        </w:rPr>
        <w:footnoteReference w:id="19"/>
      </w:r>
      <w:r>
        <w:t xml:space="preserve"> </w:t>
      </w:r>
      <w:r w:rsidR="00892AD6">
        <w:t xml:space="preserve">Even if </w:t>
      </w:r>
      <w:r w:rsidR="00A87666">
        <w:t>we</w:t>
      </w:r>
      <w:r w:rsidR="00892AD6">
        <w:t xml:space="preserve"> preferred such a scheme, i</w:t>
      </w:r>
      <w:r>
        <w:t>t would not be possible to be put in place an alternative EBSS before TransGrid's next regulatory control period commenced.</w:t>
      </w:r>
    </w:p>
    <w:p w:rsidR="003324F7" w:rsidRPr="003324F7" w:rsidRDefault="003324F7" w:rsidP="00EA6B21">
      <w:pPr>
        <w:spacing w:after="0" w:line="240" w:lineRule="auto"/>
        <w:jc w:val="left"/>
      </w:pPr>
    </w:p>
    <w:sectPr w:rsidR="003324F7" w:rsidRPr="003324F7" w:rsidSect="0045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0E" w:rsidRPr="00AB4345" w:rsidRDefault="00E7780E" w:rsidP="00AB4345">
      <w:r>
        <w:separator/>
      </w:r>
    </w:p>
  </w:endnote>
  <w:endnote w:type="continuationSeparator" w:id="0">
    <w:p w:rsidR="00E7780E" w:rsidRPr="00AB4345" w:rsidRDefault="00E7780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7780E" w:rsidRPr="00824CC8" w:rsidRDefault="00D90ABA" w:rsidP="00824CC8">
        <w:pPr>
          <w:pStyle w:val="Footer"/>
        </w:pPr>
        <w:r>
          <w:t>9-</w:t>
        </w:r>
        <w:r w:rsidR="00E7780E" w:rsidRPr="00824CC8">
          <w:fldChar w:fldCharType="begin"/>
        </w:r>
        <w:r w:rsidR="00E7780E" w:rsidRPr="00824CC8">
          <w:instrText xml:space="preserve"> PAGE   \* MERGEFORMAT </w:instrText>
        </w:r>
        <w:r w:rsidR="00E7780E" w:rsidRPr="00824CC8">
          <w:fldChar w:fldCharType="separate"/>
        </w:r>
        <w:r w:rsidR="00C138F3">
          <w:rPr>
            <w:noProof/>
          </w:rPr>
          <w:t>16</w:t>
        </w:r>
        <w:r w:rsidR="00E7780E" w:rsidRPr="00824CC8">
          <w:fldChar w:fldCharType="end"/>
        </w:r>
        <w:r w:rsidR="00E7780E" w:rsidRPr="00824CC8">
          <w:tab/>
        </w:r>
        <w:r w:rsidRPr="00824CC8">
          <w:rPr>
            <w:rStyle w:val="AERbody"/>
          </w:rPr>
          <w:t xml:space="preserve">Attachment </w:t>
        </w:r>
        <w:r>
          <w:rPr>
            <w:rStyle w:val="AERbody"/>
          </w:rPr>
          <w:t xml:space="preserve">9 </w:t>
        </w:r>
        <w:r w:rsidRPr="00824CC8">
          <w:rPr>
            <w:rStyle w:val="AERbody"/>
          </w:rPr>
          <w:t xml:space="preserve">| </w:t>
        </w:r>
        <w:r w:rsidR="004457B2">
          <w:rPr>
            <w:rStyle w:val="AERbody"/>
          </w:rPr>
          <w:t>Efficiency benefit sharing scheme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E" w:rsidRPr="00824CC8" w:rsidRDefault="004457B2" w:rsidP="00824CC8">
    <w:pPr>
      <w:pStyle w:val="Footer"/>
      <w:rPr>
        <w:rStyle w:val="AERbody"/>
      </w:rPr>
    </w:pPr>
    <w:r>
      <w:rPr>
        <w:rStyle w:val="AERbody"/>
      </w:rPr>
      <w:t>Draft decision: TransGrid transmission determination 2015-18</w:t>
    </w:r>
    <w:r w:rsidR="00D90ABA">
      <w:rPr>
        <w:rStyle w:val="AERbody"/>
      </w:rPr>
      <w:t xml:space="preserve"> </w:t>
    </w:r>
    <w:r w:rsidR="00D90ABA" w:rsidRPr="00824CC8">
      <w:rPr>
        <w:rStyle w:val="AERbody"/>
      </w:rPr>
      <w:t xml:space="preserve">| </w:t>
    </w:r>
    <w:r>
      <w:rPr>
        <w:rStyle w:val="AERbody"/>
      </w:rPr>
      <w:t>Attachment 9</w:t>
    </w:r>
    <w:r w:rsidR="00D90ABA">
      <w:rPr>
        <w:rStyle w:val="AERbody"/>
      </w:rPr>
      <w:tab/>
    </w:r>
    <w:r w:rsidR="00E7780E" w:rsidRPr="00210880">
      <w:rPr>
        <w:rStyle w:val="AERbody"/>
      </w:rPr>
      <w:tab/>
    </w:r>
    <w:r w:rsidR="00D90ABA">
      <w:rPr>
        <w:rStyle w:val="AERbody"/>
      </w:rPr>
      <w:t>9-</w:t>
    </w:r>
    <w:r w:rsidR="00E7780E" w:rsidRPr="00824CC8">
      <w:rPr>
        <w:rStyle w:val="AERbody"/>
      </w:rPr>
      <w:fldChar w:fldCharType="begin"/>
    </w:r>
    <w:r w:rsidR="00E7780E" w:rsidRPr="00824CC8">
      <w:rPr>
        <w:rStyle w:val="AERbody"/>
      </w:rPr>
      <w:instrText xml:space="preserve"> PAGE   \* MERGEFORMAT </w:instrText>
    </w:r>
    <w:r w:rsidR="00E7780E" w:rsidRPr="00824CC8">
      <w:rPr>
        <w:rStyle w:val="AERbody"/>
      </w:rPr>
      <w:fldChar w:fldCharType="separate"/>
    </w:r>
    <w:r w:rsidR="00C138F3">
      <w:rPr>
        <w:rStyle w:val="AERbody"/>
        <w:noProof/>
      </w:rPr>
      <w:t>11</w:t>
    </w:r>
    <w:r w:rsidR="00E7780E"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B2" w:rsidRDefault="00445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0E" w:rsidRPr="00AB4345" w:rsidRDefault="00E7780E" w:rsidP="00AB4345">
      <w:r>
        <w:separator/>
      </w:r>
    </w:p>
  </w:footnote>
  <w:footnote w:type="continuationSeparator" w:id="0">
    <w:p w:rsidR="00E7780E" w:rsidRPr="00AB4345" w:rsidRDefault="00E7780E" w:rsidP="00AB4345">
      <w:r>
        <w:continuationSeparator/>
      </w:r>
    </w:p>
  </w:footnote>
  <w:footnote w:id="1">
    <w:p w:rsidR="00E7780E" w:rsidRDefault="00E7780E" w:rsidP="000A28E4">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2">
    <w:p w:rsidR="00E7780E" w:rsidRDefault="00E7780E">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3">
    <w:p w:rsidR="00E7780E" w:rsidRPr="0052352F" w:rsidRDefault="00E7780E" w:rsidP="0052352F">
      <w:pPr>
        <w:pStyle w:val="FootnoteText"/>
        <w:rPr>
          <w:rStyle w:val="AERtextbold"/>
        </w:rPr>
      </w:pPr>
      <w:r>
        <w:rPr>
          <w:rStyle w:val="FootnoteReference"/>
        </w:rPr>
        <w:footnoteRef/>
      </w:r>
      <w:r>
        <w:t xml:space="preserve"> </w:t>
      </w:r>
      <w:r w:rsidR="00180A7A">
        <w:tab/>
      </w:r>
      <w:proofErr w:type="gramStart"/>
      <w:r>
        <w:t xml:space="preserve">AER, </w:t>
      </w:r>
      <w:r>
        <w:rPr>
          <w:rStyle w:val="AERtextitalic"/>
        </w:rPr>
        <w:t xml:space="preserve">TransGrid transmission determination 2009–14 - final decision, </w:t>
      </w:r>
      <w:r w:rsidRPr="0052352F">
        <w:rPr>
          <w:rStyle w:val="AERtextitalic"/>
          <w:i w:val="0"/>
        </w:rPr>
        <w:t>April 2009, p. 9</w:t>
      </w:r>
      <w:r>
        <w:rPr>
          <w:rStyle w:val="AERtextitalic"/>
        </w:rPr>
        <w:t>.</w:t>
      </w:r>
      <w:proofErr w:type="gramEnd"/>
    </w:p>
  </w:footnote>
  <w:footnote w:id="4">
    <w:p w:rsidR="00E7780E" w:rsidRPr="0052352F" w:rsidRDefault="00E7780E">
      <w:pPr>
        <w:pStyle w:val="FootnoteText"/>
        <w:rPr>
          <w:rStyle w:val="AERtextitalic"/>
        </w:rPr>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5">
    <w:p w:rsidR="00E7780E" w:rsidRPr="0052352F" w:rsidRDefault="00E7780E" w:rsidP="0052352F">
      <w:pPr>
        <w:pStyle w:val="FootnoteText"/>
        <w:rPr>
          <w:rStyle w:val="AERtextitalic"/>
        </w:rPr>
      </w:pPr>
      <w:r>
        <w:rPr>
          <w:rStyle w:val="FootnoteReference"/>
        </w:rPr>
        <w:footnoteRef/>
      </w:r>
      <w:r>
        <w:t xml:space="preserve"> </w:t>
      </w:r>
      <w:r>
        <w:tab/>
      </w:r>
      <w:proofErr w:type="gramStart"/>
      <w:r>
        <w:t xml:space="preserve">TransGrid, </w:t>
      </w:r>
      <w:r>
        <w:rPr>
          <w:rStyle w:val="AERtextitalic"/>
        </w:rPr>
        <w:t xml:space="preserve">Revenue proposal, </w:t>
      </w:r>
      <w:r w:rsidR="00D90ABA" w:rsidRPr="00D90ABA">
        <w:rPr>
          <w:rStyle w:val="AERtextsize8"/>
        </w:rPr>
        <w:t>May 2014, p</w:t>
      </w:r>
      <w:r w:rsidR="00D90ABA">
        <w:rPr>
          <w:rStyle w:val="AERtextitalic"/>
        </w:rPr>
        <w:t>.</w:t>
      </w:r>
      <w:r w:rsidRPr="0052352F">
        <w:rPr>
          <w:rStyle w:val="AERtextitalic"/>
          <w:i w:val="0"/>
        </w:rPr>
        <w:t xml:space="preserve"> 219.</w:t>
      </w:r>
      <w:proofErr w:type="gramEnd"/>
    </w:p>
  </w:footnote>
  <w:footnote w:id="6">
    <w:p w:rsidR="00E7780E" w:rsidRDefault="00E7780E" w:rsidP="0052352F">
      <w:pPr>
        <w:pStyle w:val="FootnoteText"/>
      </w:pPr>
      <w:r>
        <w:rPr>
          <w:rStyle w:val="FootnoteReference"/>
        </w:rPr>
        <w:footnoteRef/>
      </w:r>
      <w:r>
        <w:t xml:space="preserve"> </w:t>
      </w:r>
      <w:r>
        <w:tab/>
      </w:r>
      <w:proofErr w:type="gramStart"/>
      <w:r>
        <w:t xml:space="preserve">TransGrid, </w:t>
      </w:r>
      <w:r>
        <w:rPr>
          <w:rStyle w:val="AERtextitalic"/>
        </w:rPr>
        <w:t>Revenue proposal,</w:t>
      </w:r>
      <w:r w:rsidR="00D90ABA">
        <w:rPr>
          <w:rStyle w:val="AERtextitalic"/>
        </w:rPr>
        <w:t xml:space="preserve"> </w:t>
      </w:r>
      <w:r w:rsidR="00D90ABA" w:rsidRPr="00D90ABA">
        <w:rPr>
          <w:rStyle w:val="AERtextsize8"/>
        </w:rPr>
        <w:t>May 2014, p</w:t>
      </w:r>
      <w:r w:rsidRPr="0052352F">
        <w:rPr>
          <w:rStyle w:val="AERtextitalic"/>
          <w:i w:val="0"/>
        </w:rPr>
        <w:t>p. 218-19</w:t>
      </w:r>
      <w:r>
        <w:rPr>
          <w:rStyle w:val="AERtextitalic"/>
        </w:rPr>
        <w:t>.</w:t>
      </w:r>
      <w:proofErr w:type="gramEnd"/>
    </w:p>
  </w:footnote>
  <w:footnote w:id="7">
    <w:p w:rsidR="00E7780E" w:rsidRDefault="00E7780E" w:rsidP="00E7780E">
      <w:pPr>
        <w:pStyle w:val="FootnoteText"/>
      </w:pPr>
      <w:r>
        <w:rPr>
          <w:rStyle w:val="FootnoteReference"/>
        </w:rPr>
        <w:footnoteRef/>
      </w:r>
      <w:r>
        <w:t xml:space="preserve"> </w:t>
      </w:r>
      <w:r>
        <w:tab/>
        <w:t>NER, cl</w:t>
      </w:r>
      <w:r w:rsidR="00D90ABA">
        <w:t>.</w:t>
      </w:r>
      <w:r>
        <w:t xml:space="preserve"> </w:t>
      </w:r>
      <w:proofErr w:type="gramStart"/>
      <w:r>
        <w:t>6A.5.4(</w:t>
      </w:r>
      <w:proofErr w:type="gramEnd"/>
      <w:r>
        <w:t>a)(5).</w:t>
      </w:r>
    </w:p>
  </w:footnote>
  <w:footnote w:id="8">
    <w:p w:rsidR="00E7780E" w:rsidRDefault="00E7780E" w:rsidP="00E7780E">
      <w:pPr>
        <w:pStyle w:val="FootnoteText"/>
      </w:pPr>
      <w:r>
        <w:rPr>
          <w:rStyle w:val="FootnoteReference"/>
        </w:rPr>
        <w:footnoteRef/>
      </w:r>
      <w:r>
        <w:t xml:space="preserve"> </w:t>
      </w:r>
      <w:r>
        <w:tab/>
        <w:t>NER, cl</w:t>
      </w:r>
      <w:r w:rsidR="00D90ABA">
        <w:t>.</w:t>
      </w:r>
      <w:r>
        <w:t xml:space="preserve"> </w:t>
      </w:r>
      <w:proofErr w:type="gramStart"/>
      <w:r>
        <w:t>6A.14.1(</w:t>
      </w:r>
      <w:proofErr w:type="gramEnd"/>
      <w:r>
        <w:t>iv)</w:t>
      </w:r>
      <w:r w:rsidR="00D2570D">
        <w:t>.</w:t>
      </w:r>
    </w:p>
  </w:footnote>
  <w:footnote w:id="9">
    <w:p w:rsidR="00E7780E" w:rsidRDefault="00E7780E" w:rsidP="00E24763">
      <w:pPr>
        <w:pStyle w:val="FootnoteText"/>
      </w:pPr>
      <w:r>
        <w:rPr>
          <w:rStyle w:val="FootnoteReference"/>
        </w:rPr>
        <w:footnoteRef/>
      </w:r>
      <w:r>
        <w:t xml:space="preserve"> </w:t>
      </w:r>
      <w:r>
        <w:tab/>
        <w:t>NER, cl</w:t>
      </w:r>
      <w:r w:rsidR="00D90ABA">
        <w:t>.</w:t>
      </w:r>
      <w:r>
        <w:t xml:space="preserve"> </w:t>
      </w:r>
      <w:proofErr w:type="gramStart"/>
      <w:r>
        <w:t>6A.6.5(</w:t>
      </w:r>
      <w:proofErr w:type="gramEnd"/>
      <w:r>
        <w:t>a).</w:t>
      </w:r>
    </w:p>
  </w:footnote>
  <w:footnote w:id="10">
    <w:p w:rsidR="00E7780E" w:rsidRDefault="00E7780E" w:rsidP="00E24763">
      <w:pPr>
        <w:pStyle w:val="FootnoteText"/>
      </w:pPr>
      <w:r>
        <w:rPr>
          <w:rStyle w:val="FootnoteReference"/>
        </w:rPr>
        <w:footnoteRef/>
      </w:r>
      <w:r>
        <w:t xml:space="preserve"> </w:t>
      </w:r>
      <w:r>
        <w:tab/>
        <w:t>NER, cl</w:t>
      </w:r>
      <w:r w:rsidR="00D90ABA">
        <w:t>.</w:t>
      </w:r>
      <w:r>
        <w:t xml:space="preserve"> </w:t>
      </w:r>
      <w:proofErr w:type="gramStart"/>
      <w:r>
        <w:t>6A.6.5(</w:t>
      </w:r>
      <w:proofErr w:type="gramEnd"/>
      <w:r>
        <w:t>b).</w:t>
      </w:r>
    </w:p>
  </w:footnote>
  <w:footnote w:id="11">
    <w:p w:rsidR="00E7780E" w:rsidRPr="002A4C9A" w:rsidRDefault="00E7780E" w:rsidP="001424A9">
      <w:pPr>
        <w:pStyle w:val="FootnoteText"/>
        <w:rPr>
          <w:rStyle w:val="AERbody"/>
        </w:rPr>
      </w:pPr>
      <w:r>
        <w:rPr>
          <w:rStyle w:val="FootnoteReference"/>
        </w:rPr>
        <w:footnoteRef/>
      </w:r>
      <w:r>
        <w:t xml:space="preserve"> </w:t>
      </w:r>
      <w:r>
        <w:tab/>
        <w:t xml:space="preserve">AER, </w:t>
      </w:r>
      <w:r>
        <w:rPr>
          <w:rStyle w:val="AERtextitalic"/>
        </w:rPr>
        <w:t xml:space="preserve">Explanatory Statement - Efficiency Benefit Sharing Scheme for Electricity Network Service Providers, </w:t>
      </w:r>
      <w:r w:rsidRPr="002A4C9A">
        <w:rPr>
          <w:rStyle w:val="AERtextsize8"/>
        </w:rPr>
        <w:t>November 2013</w:t>
      </w:r>
      <w:r w:rsidR="00D2570D">
        <w:rPr>
          <w:rStyle w:val="AERtextsize8"/>
        </w:rPr>
        <w:t>.</w:t>
      </w:r>
    </w:p>
  </w:footnote>
  <w:footnote w:id="12">
    <w:p w:rsidR="00E7780E" w:rsidRDefault="00E7780E" w:rsidP="009821C7">
      <w:pPr>
        <w:pStyle w:val="FootnoteText"/>
      </w:pPr>
      <w:r>
        <w:rPr>
          <w:rStyle w:val="FootnoteReference"/>
        </w:rPr>
        <w:footnoteRef/>
      </w:r>
      <w:r>
        <w:t xml:space="preserve"> </w:t>
      </w:r>
      <w:r>
        <w:tab/>
      </w:r>
      <w:proofErr w:type="gramStart"/>
      <w:r>
        <w:t xml:space="preserve">AER, </w:t>
      </w:r>
      <w:r>
        <w:rPr>
          <w:rStyle w:val="AERtextitalic"/>
        </w:rPr>
        <w:t>Electricity transmission network service providers - Efficiency benefit sharing scheme</w:t>
      </w:r>
      <w:r>
        <w:t>, September 2007</w:t>
      </w:r>
      <w:r w:rsidR="00180A7A">
        <w:t>,</w:t>
      </w:r>
      <w:r>
        <w:t xml:space="preserve"> p.6.</w:t>
      </w:r>
      <w:proofErr w:type="gramEnd"/>
    </w:p>
  </w:footnote>
  <w:footnote w:id="13">
    <w:p w:rsidR="00E7780E" w:rsidRDefault="00E7780E" w:rsidP="009821C7">
      <w:pPr>
        <w:pStyle w:val="FootnoteText"/>
      </w:pPr>
      <w:r>
        <w:rPr>
          <w:rStyle w:val="FootnoteReference"/>
        </w:rPr>
        <w:footnoteRef/>
      </w:r>
      <w:r>
        <w:t xml:space="preserve"> </w:t>
      </w:r>
      <w:r>
        <w:tab/>
      </w:r>
      <w:proofErr w:type="gramStart"/>
      <w:r>
        <w:t>AASB 137, clause.</w:t>
      </w:r>
      <w:proofErr w:type="gramEnd"/>
      <w:r>
        <w:t xml:space="preserve"> 11, p. 13.</w:t>
      </w:r>
    </w:p>
  </w:footnote>
  <w:footnote w:id="14">
    <w:p w:rsidR="00E7780E" w:rsidRDefault="00E7780E" w:rsidP="00AC3EB2">
      <w:pPr>
        <w:pStyle w:val="FootnoteText"/>
      </w:pPr>
    </w:p>
  </w:footnote>
  <w:footnote w:id="15">
    <w:p w:rsidR="00E7780E" w:rsidRDefault="00E7780E" w:rsidP="005C7298">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16">
    <w:p w:rsidR="00E7780E" w:rsidRPr="00706B7D" w:rsidRDefault="00E7780E">
      <w:pPr>
        <w:pStyle w:val="FootnoteText"/>
        <w:rPr>
          <w:rStyle w:val="AERtextitalic"/>
        </w:rPr>
      </w:pPr>
      <w:r>
        <w:rPr>
          <w:rStyle w:val="FootnoteReference"/>
        </w:rPr>
        <w:footnoteRef/>
      </w:r>
      <w:r>
        <w:t xml:space="preserve"> </w:t>
      </w:r>
      <w:r>
        <w:tab/>
        <w:t xml:space="preserve">EUAA, </w:t>
      </w:r>
      <w:r w:rsidRPr="00706B7D">
        <w:rPr>
          <w:rStyle w:val="AERtextitalic"/>
        </w:rPr>
        <w:t>Submission on TransGrid's Revenue Proposal 2014–19</w:t>
      </w:r>
      <w:r>
        <w:t>, 8 August 2014, p. 11</w:t>
      </w:r>
      <w:r w:rsidR="00D2570D">
        <w:t>.</w:t>
      </w:r>
    </w:p>
  </w:footnote>
  <w:footnote w:id="17">
    <w:p w:rsidR="00E7780E" w:rsidRDefault="00E7780E">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 pp. 5–7.</w:t>
      </w:r>
      <w:proofErr w:type="gramEnd"/>
    </w:p>
  </w:footnote>
  <w:footnote w:id="18">
    <w:p w:rsidR="00E7780E" w:rsidRDefault="00E7780E">
      <w:pPr>
        <w:pStyle w:val="FootnoteText"/>
      </w:pPr>
      <w:r>
        <w:rPr>
          <w:rStyle w:val="FootnoteReference"/>
        </w:rPr>
        <w:footnoteRef/>
      </w:r>
      <w:r>
        <w:t xml:space="preserve"> </w:t>
      </w:r>
      <w:r w:rsidR="00180A7A">
        <w:tab/>
      </w:r>
      <w:r>
        <w:t xml:space="preserve">Exclusive of debt </w:t>
      </w:r>
      <w:proofErr w:type="gramStart"/>
      <w:r>
        <w:t>raising</w:t>
      </w:r>
      <w:proofErr w:type="gramEnd"/>
      <w:r>
        <w:t xml:space="preserve"> costs</w:t>
      </w:r>
      <w:r w:rsidR="00D2570D">
        <w:t>.</w:t>
      </w:r>
    </w:p>
  </w:footnote>
  <w:footnote w:id="19">
    <w:p w:rsidR="00E7780E" w:rsidRDefault="00E7780E">
      <w:pPr>
        <w:pStyle w:val="FootnoteText"/>
      </w:pPr>
      <w:r>
        <w:rPr>
          <w:rStyle w:val="FootnoteReference"/>
        </w:rPr>
        <w:footnoteRef/>
      </w:r>
      <w:r>
        <w:t xml:space="preserve"> </w:t>
      </w:r>
      <w:r w:rsidR="00180A7A">
        <w:tab/>
      </w:r>
      <w:r>
        <w:t>NER, cl</w:t>
      </w:r>
      <w:r w:rsidR="00D90ABA">
        <w:t>.</w:t>
      </w:r>
      <w:r>
        <w:t xml:space="preserve"> 6A</w:t>
      </w:r>
      <w:proofErr w:type="gramStart"/>
      <w:r>
        <w:t>,</w:t>
      </w:r>
      <w:r w:rsidR="004646A1">
        <w:t>.</w:t>
      </w:r>
      <w:proofErr w:type="gramEnd"/>
      <w:r>
        <w:t>6.5(f)</w:t>
      </w:r>
      <w:r w:rsidR="00D2570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B2" w:rsidRDefault="004457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B2" w:rsidRDefault="004457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B2" w:rsidRDefault="00445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708\D12 79824  AER Report Template (Word 2007) - All published draft and final reports(2).DOCX"/>
  </w:docVars>
  <w:rsids>
    <w:rsidRoot w:val="000C052F"/>
    <w:rsid w:val="000027FC"/>
    <w:rsid w:val="000029AD"/>
    <w:rsid w:val="00011129"/>
    <w:rsid w:val="00022606"/>
    <w:rsid w:val="000305D0"/>
    <w:rsid w:val="00032310"/>
    <w:rsid w:val="00033FE6"/>
    <w:rsid w:val="00040599"/>
    <w:rsid w:val="00040749"/>
    <w:rsid w:val="0009251C"/>
    <w:rsid w:val="000A1CC2"/>
    <w:rsid w:val="000A28E4"/>
    <w:rsid w:val="000A5342"/>
    <w:rsid w:val="000B15CA"/>
    <w:rsid w:val="000B3844"/>
    <w:rsid w:val="000B4797"/>
    <w:rsid w:val="000C052F"/>
    <w:rsid w:val="000C3430"/>
    <w:rsid w:val="000D03C2"/>
    <w:rsid w:val="000D04B1"/>
    <w:rsid w:val="000D268B"/>
    <w:rsid w:val="000D401F"/>
    <w:rsid w:val="000E1A25"/>
    <w:rsid w:val="000E5D03"/>
    <w:rsid w:val="000F1375"/>
    <w:rsid w:val="000F15B5"/>
    <w:rsid w:val="000F3A6A"/>
    <w:rsid w:val="001033B3"/>
    <w:rsid w:val="00104A44"/>
    <w:rsid w:val="00105636"/>
    <w:rsid w:val="001103C3"/>
    <w:rsid w:val="00111F34"/>
    <w:rsid w:val="00122CDA"/>
    <w:rsid w:val="00123888"/>
    <w:rsid w:val="0013022D"/>
    <w:rsid w:val="00135689"/>
    <w:rsid w:val="00141A8E"/>
    <w:rsid w:val="001424A9"/>
    <w:rsid w:val="0014729E"/>
    <w:rsid w:val="001473E0"/>
    <w:rsid w:val="001543D2"/>
    <w:rsid w:val="00156B2E"/>
    <w:rsid w:val="00160CEF"/>
    <w:rsid w:val="001674FA"/>
    <w:rsid w:val="00170FF0"/>
    <w:rsid w:val="00174026"/>
    <w:rsid w:val="00180A7A"/>
    <w:rsid w:val="00183B6E"/>
    <w:rsid w:val="00184C2A"/>
    <w:rsid w:val="0018547E"/>
    <w:rsid w:val="001856EE"/>
    <w:rsid w:val="00192796"/>
    <w:rsid w:val="001943E1"/>
    <w:rsid w:val="00194C3C"/>
    <w:rsid w:val="00197DE2"/>
    <w:rsid w:val="001A2861"/>
    <w:rsid w:val="001A4739"/>
    <w:rsid w:val="001A52DA"/>
    <w:rsid w:val="001A7843"/>
    <w:rsid w:val="001A7EE1"/>
    <w:rsid w:val="001B42F6"/>
    <w:rsid w:val="001C12E5"/>
    <w:rsid w:val="001C1FFE"/>
    <w:rsid w:val="001C4309"/>
    <w:rsid w:val="001C5553"/>
    <w:rsid w:val="001D614D"/>
    <w:rsid w:val="001E07B9"/>
    <w:rsid w:val="001F60A7"/>
    <w:rsid w:val="00206207"/>
    <w:rsid w:val="0020711E"/>
    <w:rsid w:val="00210880"/>
    <w:rsid w:val="00213553"/>
    <w:rsid w:val="002257B9"/>
    <w:rsid w:val="0023137D"/>
    <w:rsid w:val="00231403"/>
    <w:rsid w:val="0024022F"/>
    <w:rsid w:val="00266710"/>
    <w:rsid w:val="00272329"/>
    <w:rsid w:val="002753FB"/>
    <w:rsid w:val="002805B8"/>
    <w:rsid w:val="00280F26"/>
    <w:rsid w:val="0028290C"/>
    <w:rsid w:val="00283860"/>
    <w:rsid w:val="00291179"/>
    <w:rsid w:val="00292A7C"/>
    <w:rsid w:val="002938CE"/>
    <w:rsid w:val="00294042"/>
    <w:rsid w:val="002965BA"/>
    <w:rsid w:val="00297747"/>
    <w:rsid w:val="002B0B2F"/>
    <w:rsid w:val="002B6640"/>
    <w:rsid w:val="002C5541"/>
    <w:rsid w:val="002D16B9"/>
    <w:rsid w:val="002D3932"/>
    <w:rsid w:val="002D61AC"/>
    <w:rsid w:val="002E4720"/>
    <w:rsid w:val="002E4C1E"/>
    <w:rsid w:val="002E64CA"/>
    <w:rsid w:val="002E7A3C"/>
    <w:rsid w:val="002F14C7"/>
    <w:rsid w:val="002F2EDD"/>
    <w:rsid w:val="003023F2"/>
    <w:rsid w:val="00303452"/>
    <w:rsid w:val="00325C43"/>
    <w:rsid w:val="00331884"/>
    <w:rsid w:val="003324F7"/>
    <w:rsid w:val="00334F88"/>
    <w:rsid w:val="003360C2"/>
    <w:rsid w:val="00342645"/>
    <w:rsid w:val="00345D15"/>
    <w:rsid w:val="00357FC1"/>
    <w:rsid w:val="003614B7"/>
    <w:rsid w:val="00362041"/>
    <w:rsid w:val="00365B5C"/>
    <w:rsid w:val="003707DB"/>
    <w:rsid w:val="003717AC"/>
    <w:rsid w:val="00371A61"/>
    <w:rsid w:val="00375AEC"/>
    <w:rsid w:val="00376236"/>
    <w:rsid w:val="0037652C"/>
    <w:rsid w:val="003800E4"/>
    <w:rsid w:val="00380FF5"/>
    <w:rsid w:val="0038624E"/>
    <w:rsid w:val="003A6174"/>
    <w:rsid w:val="003A6254"/>
    <w:rsid w:val="003A6FE6"/>
    <w:rsid w:val="003B778E"/>
    <w:rsid w:val="003C3CBA"/>
    <w:rsid w:val="003C5634"/>
    <w:rsid w:val="003D3A50"/>
    <w:rsid w:val="003D6853"/>
    <w:rsid w:val="003E7625"/>
    <w:rsid w:val="003F54B9"/>
    <w:rsid w:val="003F5EF6"/>
    <w:rsid w:val="004030AB"/>
    <w:rsid w:val="004070E4"/>
    <w:rsid w:val="00412282"/>
    <w:rsid w:val="00417DC9"/>
    <w:rsid w:val="00421E6B"/>
    <w:rsid w:val="004256BA"/>
    <w:rsid w:val="00430A5E"/>
    <w:rsid w:val="00431999"/>
    <w:rsid w:val="00435682"/>
    <w:rsid w:val="004457B2"/>
    <w:rsid w:val="00456081"/>
    <w:rsid w:val="00463216"/>
    <w:rsid w:val="004646A1"/>
    <w:rsid w:val="00464F5D"/>
    <w:rsid w:val="00474FBD"/>
    <w:rsid w:val="00475D44"/>
    <w:rsid w:val="004859C2"/>
    <w:rsid w:val="004906F7"/>
    <w:rsid w:val="00491D7D"/>
    <w:rsid w:val="004936D2"/>
    <w:rsid w:val="00497002"/>
    <w:rsid w:val="004A0AA1"/>
    <w:rsid w:val="004A1D7E"/>
    <w:rsid w:val="004A3D10"/>
    <w:rsid w:val="004C2C8E"/>
    <w:rsid w:val="004C3F45"/>
    <w:rsid w:val="004C5FA2"/>
    <w:rsid w:val="004D0301"/>
    <w:rsid w:val="004E338E"/>
    <w:rsid w:val="004E40EF"/>
    <w:rsid w:val="004E68E6"/>
    <w:rsid w:val="004E73A0"/>
    <w:rsid w:val="004E73F7"/>
    <w:rsid w:val="004F76A0"/>
    <w:rsid w:val="00500E7F"/>
    <w:rsid w:val="00506BFC"/>
    <w:rsid w:val="00520284"/>
    <w:rsid w:val="0052179D"/>
    <w:rsid w:val="0052352F"/>
    <w:rsid w:val="005354AC"/>
    <w:rsid w:val="005456A9"/>
    <w:rsid w:val="00547E0B"/>
    <w:rsid w:val="00555D52"/>
    <w:rsid w:val="005566D7"/>
    <w:rsid w:val="00561F7F"/>
    <w:rsid w:val="00565E16"/>
    <w:rsid w:val="00566B35"/>
    <w:rsid w:val="005732CC"/>
    <w:rsid w:val="00575422"/>
    <w:rsid w:val="00591B98"/>
    <w:rsid w:val="005938C6"/>
    <w:rsid w:val="0059497F"/>
    <w:rsid w:val="00596CA5"/>
    <w:rsid w:val="005A0431"/>
    <w:rsid w:val="005A0F12"/>
    <w:rsid w:val="005A5BBE"/>
    <w:rsid w:val="005B30DC"/>
    <w:rsid w:val="005B3752"/>
    <w:rsid w:val="005B4E26"/>
    <w:rsid w:val="005B61C2"/>
    <w:rsid w:val="005C512A"/>
    <w:rsid w:val="005C7298"/>
    <w:rsid w:val="005D1B25"/>
    <w:rsid w:val="005D26B7"/>
    <w:rsid w:val="005D4AA1"/>
    <w:rsid w:val="005D690A"/>
    <w:rsid w:val="005E1050"/>
    <w:rsid w:val="0060146C"/>
    <w:rsid w:val="0060207D"/>
    <w:rsid w:val="006039F2"/>
    <w:rsid w:val="006061B0"/>
    <w:rsid w:val="0060732E"/>
    <w:rsid w:val="006076A9"/>
    <w:rsid w:val="00612C8F"/>
    <w:rsid w:val="00613BD1"/>
    <w:rsid w:val="00620E9A"/>
    <w:rsid w:val="00621534"/>
    <w:rsid w:val="00623781"/>
    <w:rsid w:val="0064487F"/>
    <w:rsid w:val="006541AB"/>
    <w:rsid w:val="006544EA"/>
    <w:rsid w:val="0065651C"/>
    <w:rsid w:val="00661BFD"/>
    <w:rsid w:val="0066569F"/>
    <w:rsid w:val="006724CA"/>
    <w:rsid w:val="006768FF"/>
    <w:rsid w:val="0069004B"/>
    <w:rsid w:val="006A645F"/>
    <w:rsid w:val="006B08EB"/>
    <w:rsid w:val="006B481F"/>
    <w:rsid w:val="006B5F7B"/>
    <w:rsid w:val="006D1A9B"/>
    <w:rsid w:val="006D54F3"/>
    <w:rsid w:val="006F638E"/>
    <w:rsid w:val="006F6CCB"/>
    <w:rsid w:val="00703E42"/>
    <w:rsid w:val="00706B7D"/>
    <w:rsid w:val="00707A05"/>
    <w:rsid w:val="00710512"/>
    <w:rsid w:val="00713408"/>
    <w:rsid w:val="00714701"/>
    <w:rsid w:val="0073340F"/>
    <w:rsid w:val="007368AD"/>
    <w:rsid w:val="007439B9"/>
    <w:rsid w:val="00751D2A"/>
    <w:rsid w:val="0075407C"/>
    <w:rsid w:val="00755095"/>
    <w:rsid w:val="007601B4"/>
    <w:rsid w:val="00773088"/>
    <w:rsid w:val="0077767F"/>
    <w:rsid w:val="00785AA2"/>
    <w:rsid w:val="00792716"/>
    <w:rsid w:val="00793DEB"/>
    <w:rsid w:val="00796A07"/>
    <w:rsid w:val="00797C3E"/>
    <w:rsid w:val="007A39A6"/>
    <w:rsid w:val="007D1353"/>
    <w:rsid w:val="007E03AC"/>
    <w:rsid w:val="007F10E3"/>
    <w:rsid w:val="007F2C0E"/>
    <w:rsid w:val="00802996"/>
    <w:rsid w:val="00804AEB"/>
    <w:rsid w:val="00812DAA"/>
    <w:rsid w:val="00817640"/>
    <w:rsid w:val="00817B2A"/>
    <w:rsid w:val="00820183"/>
    <w:rsid w:val="00824CC8"/>
    <w:rsid w:val="00836D17"/>
    <w:rsid w:val="00840A55"/>
    <w:rsid w:val="00841E25"/>
    <w:rsid w:val="008464CD"/>
    <w:rsid w:val="008515EE"/>
    <w:rsid w:val="00857491"/>
    <w:rsid w:val="00857718"/>
    <w:rsid w:val="00861C4E"/>
    <w:rsid w:val="00866D21"/>
    <w:rsid w:val="00872D85"/>
    <w:rsid w:val="00876838"/>
    <w:rsid w:val="00883DDA"/>
    <w:rsid w:val="00891FF9"/>
    <w:rsid w:val="00892AD6"/>
    <w:rsid w:val="00893367"/>
    <w:rsid w:val="00893D07"/>
    <w:rsid w:val="008B4ECC"/>
    <w:rsid w:val="008B7956"/>
    <w:rsid w:val="008C0E95"/>
    <w:rsid w:val="008C3722"/>
    <w:rsid w:val="008C3B67"/>
    <w:rsid w:val="008C3F48"/>
    <w:rsid w:val="008C6117"/>
    <w:rsid w:val="008D2F45"/>
    <w:rsid w:val="008D49B4"/>
    <w:rsid w:val="008D7498"/>
    <w:rsid w:val="008E0133"/>
    <w:rsid w:val="008E57B5"/>
    <w:rsid w:val="008F1832"/>
    <w:rsid w:val="00904EE7"/>
    <w:rsid w:val="00907B24"/>
    <w:rsid w:val="00926BD5"/>
    <w:rsid w:val="009321AE"/>
    <w:rsid w:val="00932E96"/>
    <w:rsid w:val="00934B2E"/>
    <w:rsid w:val="00935A19"/>
    <w:rsid w:val="009418E6"/>
    <w:rsid w:val="0094235F"/>
    <w:rsid w:val="0094279F"/>
    <w:rsid w:val="00946B98"/>
    <w:rsid w:val="0095052A"/>
    <w:rsid w:val="00954D98"/>
    <w:rsid w:val="009602EF"/>
    <w:rsid w:val="0096505E"/>
    <w:rsid w:val="009658F0"/>
    <w:rsid w:val="009703B9"/>
    <w:rsid w:val="00971655"/>
    <w:rsid w:val="00971C63"/>
    <w:rsid w:val="009821C7"/>
    <w:rsid w:val="009915D4"/>
    <w:rsid w:val="00992AD5"/>
    <w:rsid w:val="009A2240"/>
    <w:rsid w:val="009A426B"/>
    <w:rsid w:val="009A4AE9"/>
    <w:rsid w:val="009C71D5"/>
    <w:rsid w:val="009D2419"/>
    <w:rsid w:val="009E37D2"/>
    <w:rsid w:val="009F49EE"/>
    <w:rsid w:val="009F5356"/>
    <w:rsid w:val="009F7CE4"/>
    <w:rsid w:val="00A056F5"/>
    <w:rsid w:val="00A11162"/>
    <w:rsid w:val="00A13EB9"/>
    <w:rsid w:val="00A211D7"/>
    <w:rsid w:val="00A43227"/>
    <w:rsid w:val="00A46CCD"/>
    <w:rsid w:val="00A4782A"/>
    <w:rsid w:val="00A50A06"/>
    <w:rsid w:val="00A62DE9"/>
    <w:rsid w:val="00A65133"/>
    <w:rsid w:val="00A652C5"/>
    <w:rsid w:val="00A675F9"/>
    <w:rsid w:val="00A80060"/>
    <w:rsid w:val="00A85C5A"/>
    <w:rsid w:val="00A8610C"/>
    <w:rsid w:val="00A87666"/>
    <w:rsid w:val="00A947AA"/>
    <w:rsid w:val="00A95046"/>
    <w:rsid w:val="00A96A08"/>
    <w:rsid w:val="00A971B7"/>
    <w:rsid w:val="00AA0161"/>
    <w:rsid w:val="00AA71E8"/>
    <w:rsid w:val="00AB1D08"/>
    <w:rsid w:val="00AB237C"/>
    <w:rsid w:val="00AB2DD1"/>
    <w:rsid w:val="00AB4345"/>
    <w:rsid w:val="00AB5BD7"/>
    <w:rsid w:val="00AC0135"/>
    <w:rsid w:val="00AC070D"/>
    <w:rsid w:val="00AC1B94"/>
    <w:rsid w:val="00AC2901"/>
    <w:rsid w:val="00AC3EB2"/>
    <w:rsid w:val="00AC5826"/>
    <w:rsid w:val="00AC68B4"/>
    <w:rsid w:val="00AD0616"/>
    <w:rsid w:val="00AD34FF"/>
    <w:rsid w:val="00AD3F51"/>
    <w:rsid w:val="00AD4DE6"/>
    <w:rsid w:val="00AE1844"/>
    <w:rsid w:val="00AE56D5"/>
    <w:rsid w:val="00AE628D"/>
    <w:rsid w:val="00AE6DBC"/>
    <w:rsid w:val="00AF0B5F"/>
    <w:rsid w:val="00AF3E95"/>
    <w:rsid w:val="00AF7C67"/>
    <w:rsid w:val="00B01341"/>
    <w:rsid w:val="00B15FE9"/>
    <w:rsid w:val="00B342DE"/>
    <w:rsid w:val="00B3604B"/>
    <w:rsid w:val="00B51883"/>
    <w:rsid w:val="00B600B1"/>
    <w:rsid w:val="00B61FD4"/>
    <w:rsid w:val="00B64598"/>
    <w:rsid w:val="00B674DB"/>
    <w:rsid w:val="00B74C44"/>
    <w:rsid w:val="00B75C23"/>
    <w:rsid w:val="00B82E8D"/>
    <w:rsid w:val="00B873AC"/>
    <w:rsid w:val="00B9264D"/>
    <w:rsid w:val="00B94D99"/>
    <w:rsid w:val="00B9711D"/>
    <w:rsid w:val="00BB0FEC"/>
    <w:rsid w:val="00BB3FA1"/>
    <w:rsid w:val="00BB62BB"/>
    <w:rsid w:val="00BC05C5"/>
    <w:rsid w:val="00BC3332"/>
    <w:rsid w:val="00BD04BE"/>
    <w:rsid w:val="00BD3C88"/>
    <w:rsid w:val="00BE6F28"/>
    <w:rsid w:val="00BE79BA"/>
    <w:rsid w:val="00BF1F33"/>
    <w:rsid w:val="00BF29FA"/>
    <w:rsid w:val="00BF3718"/>
    <w:rsid w:val="00C0471C"/>
    <w:rsid w:val="00C04D2B"/>
    <w:rsid w:val="00C05559"/>
    <w:rsid w:val="00C061ED"/>
    <w:rsid w:val="00C064E1"/>
    <w:rsid w:val="00C138F3"/>
    <w:rsid w:val="00C55CE6"/>
    <w:rsid w:val="00C64A2B"/>
    <w:rsid w:val="00C737C5"/>
    <w:rsid w:val="00CA3540"/>
    <w:rsid w:val="00CA35C5"/>
    <w:rsid w:val="00CA6DED"/>
    <w:rsid w:val="00CB4202"/>
    <w:rsid w:val="00CB6B8B"/>
    <w:rsid w:val="00CC00A7"/>
    <w:rsid w:val="00CC1EC2"/>
    <w:rsid w:val="00CC25AF"/>
    <w:rsid w:val="00CC2C40"/>
    <w:rsid w:val="00CC450D"/>
    <w:rsid w:val="00CC49D4"/>
    <w:rsid w:val="00CC6FE3"/>
    <w:rsid w:val="00CD2AE7"/>
    <w:rsid w:val="00CD3CFC"/>
    <w:rsid w:val="00CE0402"/>
    <w:rsid w:val="00CE6F5A"/>
    <w:rsid w:val="00CE7233"/>
    <w:rsid w:val="00CF42CF"/>
    <w:rsid w:val="00D01B61"/>
    <w:rsid w:val="00D1025E"/>
    <w:rsid w:val="00D102E9"/>
    <w:rsid w:val="00D1688F"/>
    <w:rsid w:val="00D17F19"/>
    <w:rsid w:val="00D2117F"/>
    <w:rsid w:val="00D25317"/>
    <w:rsid w:val="00D255C5"/>
    <w:rsid w:val="00D2570D"/>
    <w:rsid w:val="00D32B4E"/>
    <w:rsid w:val="00D66E8B"/>
    <w:rsid w:val="00D7323D"/>
    <w:rsid w:val="00D77606"/>
    <w:rsid w:val="00D8231D"/>
    <w:rsid w:val="00D85715"/>
    <w:rsid w:val="00D869D1"/>
    <w:rsid w:val="00D8706C"/>
    <w:rsid w:val="00D90ABA"/>
    <w:rsid w:val="00D96904"/>
    <w:rsid w:val="00DA4C62"/>
    <w:rsid w:val="00DB6A17"/>
    <w:rsid w:val="00DD4E84"/>
    <w:rsid w:val="00DD5520"/>
    <w:rsid w:val="00DE04FF"/>
    <w:rsid w:val="00DF16C2"/>
    <w:rsid w:val="00E00F76"/>
    <w:rsid w:val="00E03EED"/>
    <w:rsid w:val="00E1226B"/>
    <w:rsid w:val="00E12BBC"/>
    <w:rsid w:val="00E21E75"/>
    <w:rsid w:val="00E22DCB"/>
    <w:rsid w:val="00E24763"/>
    <w:rsid w:val="00E26D86"/>
    <w:rsid w:val="00E369B5"/>
    <w:rsid w:val="00E37D73"/>
    <w:rsid w:val="00E43204"/>
    <w:rsid w:val="00E519DC"/>
    <w:rsid w:val="00E5547F"/>
    <w:rsid w:val="00E71662"/>
    <w:rsid w:val="00E7780E"/>
    <w:rsid w:val="00E807DA"/>
    <w:rsid w:val="00E84E3A"/>
    <w:rsid w:val="00E914C7"/>
    <w:rsid w:val="00E92E64"/>
    <w:rsid w:val="00E93A70"/>
    <w:rsid w:val="00E94ADD"/>
    <w:rsid w:val="00EA05AF"/>
    <w:rsid w:val="00EA23EC"/>
    <w:rsid w:val="00EA6B21"/>
    <w:rsid w:val="00EA74C7"/>
    <w:rsid w:val="00EA78EE"/>
    <w:rsid w:val="00EB5CDF"/>
    <w:rsid w:val="00EB5FC2"/>
    <w:rsid w:val="00EC0C5F"/>
    <w:rsid w:val="00EC3EF2"/>
    <w:rsid w:val="00EC43B9"/>
    <w:rsid w:val="00ED4D69"/>
    <w:rsid w:val="00EE10FB"/>
    <w:rsid w:val="00EE362F"/>
    <w:rsid w:val="00EE38B1"/>
    <w:rsid w:val="00EF0E19"/>
    <w:rsid w:val="00F06C52"/>
    <w:rsid w:val="00F114AE"/>
    <w:rsid w:val="00F12126"/>
    <w:rsid w:val="00F152C5"/>
    <w:rsid w:val="00F30928"/>
    <w:rsid w:val="00F331AE"/>
    <w:rsid w:val="00F43CA0"/>
    <w:rsid w:val="00F53499"/>
    <w:rsid w:val="00F55030"/>
    <w:rsid w:val="00F70D92"/>
    <w:rsid w:val="00F7696F"/>
    <w:rsid w:val="00F8209B"/>
    <w:rsid w:val="00F97CD9"/>
    <w:rsid w:val="00FA0576"/>
    <w:rsid w:val="00FA4B52"/>
    <w:rsid w:val="00FB4F14"/>
    <w:rsid w:val="00FB50B4"/>
    <w:rsid w:val="00FC4CA1"/>
    <w:rsid w:val="00FD4B97"/>
    <w:rsid w:val="00FE55EB"/>
    <w:rsid w:val="00FE6880"/>
    <w:rsid w:val="00FF23D4"/>
    <w:rsid w:val="00FF5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B4797"/>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49050">
      <w:bodyDiv w:val="1"/>
      <w:marLeft w:val="0"/>
      <w:marRight w:val="0"/>
      <w:marTop w:val="0"/>
      <w:marBottom w:val="0"/>
      <w:divBdr>
        <w:top w:val="none" w:sz="0" w:space="0" w:color="auto"/>
        <w:left w:val="none" w:sz="0" w:space="0" w:color="auto"/>
        <w:bottom w:val="none" w:sz="0" w:space="0" w:color="auto"/>
        <w:right w:val="none" w:sz="0" w:space="0" w:color="auto"/>
      </w:divBdr>
    </w:div>
    <w:div w:id="90218210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8843099">
      <w:bodyDiv w:val="1"/>
      <w:marLeft w:val="0"/>
      <w:marRight w:val="0"/>
      <w:marTop w:val="0"/>
      <w:marBottom w:val="0"/>
      <w:divBdr>
        <w:top w:val="none" w:sz="0" w:space="0" w:color="auto"/>
        <w:left w:val="none" w:sz="0" w:space="0" w:color="auto"/>
        <w:bottom w:val="none" w:sz="0" w:space="0" w:color="auto"/>
        <w:right w:val="none" w:sz="0" w:space="0" w:color="auto"/>
      </w:divBdr>
    </w:div>
    <w:div w:id="1503206662">
      <w:bodyDiv w:val="1"/>
      <w:marLeft w:val="0"/>
      <w:marRight w:val="0"/>
      <w:marTop w:val="0"/>
      <w:marBottom w:val="0"/>
      <w:divBdr>
        <w:top w:val="none" w:sz="0" w:space="0" w:color="auto"/>
        <w:left w:val="none" w:sz="0" w:space="0" w:color="auto"/>
        <w:bottom w:val="none" w:sz="0" w:space="0" w:color="auto"/>
        <w:right w:val="none" w:sz="0" w:space="0" w:color="auto"/>
      </w:divBdr>
    </w:div>
    <w:div w:id="1510178625">
      <w:bodyDiv w:val="1"/>
      <w:marLeft w:val="0"/>
      <w:marRight w:val="0"/>
      <w:marTop w:val="0"/>
      <w:marBottom w:val="0"/>
      <w:divBdr>
        <w:top w:val="none" w:sz="0" w:space="0" w:color="auto"/>
        <w:left w:val="none" w:sz="0" w:space="0" w:color="auto"/>
        <w:bottom w:val="none" w:sz="0" w:space="0" w:color="auto"/>
        <w:right w:val="none" w:sz="0" w:space="0" w:color="auto"/>
      </w:divBdr>
    </w:div>
    <w:div w:id="17198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CF443959.dotm</Template>
  <TotalTime>0</TotalTime>
  <Pages>16</Pages>
  <Words>4435</Words>
  <Characters>25280</Characters>
  <Application>Microsoft Office Word</Application>
  <DocSecurity>0</DocSecurity>
  <Lines>210</Lines>
  <Paragraphs>59</Paragraphs>
  <ScaleCrop>false</ScaleCrop>
  <Company/>
  <LinksUpToDate>false</LinksUpToDate>
  <CharactersWithSpaces>29656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2014-11-26T04:32:00Z</dcterms:created>
  <dcterms:modified xsi:type="dcterms:W3CDTF">2014-11-26T04:32:00Z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8182615</vt:lpwstr>
  </property>
</Properties>
</file>