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B11" w:rsidRDefault="00AC0236" w:rsidP="00582B11">
      <w:pPr>
        <w:pStyle w:val="AERfactsheetsubtitle"/>
        <w:widowControl w:val="0"/>
        <w:spacing w:before="12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7E209CA7" wp14:editId="4426AF33">
                <wp:simplePos x="0" y="0"/>
                <wp:positionH relativeFrom="column">
                  <wp:posOffset>-457200</wp:posOffset>
                </wp:positionH>
                <wp:positionV relativeFrom="paragraph">
                  <wp:posOffset>-38100</wp:posOffset>
                </wp:positionV>
                <wp:extent cx="7557770" cy="2022475"/>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2022475"/>
                          <a:chOff x="0" y="0"/>
                          <a:chExt cx="7558540" cy="1809738"/>
                        </a:xfrm>
                      </wpg:grpSpPr>
                      <wps:wsp>
                        <wps:cNvPr id="2" name="Text Box 2"/>
                        <wps:cNvSpPr txBox="1">
                          <a:spLocks noChangeArrowheads="1"/>
                        </wps:cNvSpPr>
                        <wps:spPr bwMode="auto">
                          <a:xfrm>
                            <a:off x="0" y="787179"/>
                            <a:ext cx="7558540" cy="102255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582B11"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Australian</w:t>
                              </w:r>
                              <w:r w:rsidR="009B51A1">
                                <w:rPr>
                                  <w:rFonts w:ascii="MS Reference Sans Serif" w:hAnsi="MS Reference Sans Serif" w:cs="Tunga"/>
                                  <w:color w:val="FFFFFF"/>
                                  <w:spacing w:val="10"/>
                                  <w:w w:val="99"/>
                                  <w:kern w:val="44"/>
                                  <w:sz w:val="40"/>
                                  <w:szCs w:val="40"/>
                                </w:rPr>
                                <w:t xml:space="preserve"> Petroleum Pipelines Pty Ltd</w:t>
                              </w:r>
                              <w:r>
                                <w:rPr>
                                  <w:rFonts w:ascii="MS Reference Sans Serif" w:hAnsi="MS Reference Sans Serif" w:cs="Tunga"/>
                                  <w:color w:val="FFFFFF"/>
                                  <w:spacing w:val="10"/>
                                  <w:w w:val="99"/>
                                  <w:kern w:val="44"/>
                                  <w:sz w:val="40"/>
                                  <w:szCs w:val="40"/>
                                </w:rPr>
                                <w:t xml:space="preserve"> (APTPPL)</w:t>
                              </w:r>
                            </w:p>
                            <w:p w:rsidR="002C5AD0" w:rsidRPr="00225391" w:rsidRDefault="00582B1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Roma to Brisbane Pipeline</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59.25pt;z-index:251657216;mso-width-relative:margin;mso-height-relative:margin" coordsize="75585,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">
                <v:shapetype id="_x0000_t202" coordsize="21600,21600" o:spt="202" path="m,l,21600r21600,l21600,xe">
                  <v:stroke joinstyle="miter"/>
                  <v:path gradientshapeok="t" o:connecttype="rect"/>
                </v:shapetype>
                <v:shape id="Text Box 2" o:spid="_x0000_s1027" type="#_x0000_t202" style="position:absolute;top:7871;width:75585;height:1022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582B11"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Australian</w:t>
                        </w:r>
                        <w:r w:rsidR="009B51A1">
                          <w:rPr>
                            <w:rFonts w:ascii="MS Reference Sans Serif" w:hAnsi="MS Reference Sans Serif" w:cs="Tunga"/>
                            <w:color w:val="FFFFFF"/>
                            <w:spacing w:val="10"/>
                            <w:w w:val="99"/>
                            <w:kern w:val="44"/>
                            <w:sz w:val="40"/>
                            <w:szCs w:val="40"/>
                          </w:rPr>
                          <w:t xml:space="preserve"> Petroleum Pipelines Pty Ltd</w:t>
                        </w:r>
                        <w:r>
                          <w:rPr>
                            <w:rFonts w:ascii="MS Reference Sans Serif" w:hAnsi="MS Reference Sans Serif" w:cs="Tunga"/>
                            <w:color w:val="FFFFFF"/>
                            <w:spacing w:val="10"/>
                            <w:w w:val="99"/>
                            <w:kern w:val="44"/>
                            <w:sz w:val="40"/>
                            <w:szCs w:val="40"/>
                          </w:rPr>
                          <w:t xml:space="preserve"> (APTPPL)</w:t>
                        </w:r>
                      </w:p>
                      <w:p w:rsidR="002C5AD0" w:rsidRPr="00225391" w:rsidRDefault="00582B1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Roma to Brisbane Pipeline</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582B11" w:rsidRPr="00582B11" w:rsidRDefault="00582B11" w:rsidP="00582B11">
      <w:pPr>
        <w:rPr>
          <w:sz w:val="16"/>
          <w:szCs w:val="16"/>
          <w:lang w:val="en"/>
        </w:rPr>
        <w:sectPr w:rsidR="00582B11" w:rsidRPr="00582B11"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582B11" w:rsidRDefault="002013CA" w:rsidP="003F62E8">
      <w:pPr>
        <w:pStyle w:val="AERfactsheetbodytext"/>
        <w:widowControl w:val="0"/>
        <w:jc w:val="both"/>
      </w:pPr>
      <w:r>
        <w:t>T</w:t>
      </w:r>
      <w:r w:rsidRPr="0057178D">
        <w:t>he Australian Energy Regulator (AER</w:t>
      </w:r>
      <w:r>
        <w:t xml:space="preserve">) </w:t>
      </w:r>
      <w:r w:rsidR="00582B11">
        <w:t xml:space="preserve">approves access arrangements for APTPPL and other major gas networks in </w:t>
      </w:r>
      <w:r w:rsidR="000A19C3">
        <w:t>most of</w:t>
      </w:r>
      <w:r w:rsidR="00582B11">
        <w:t xml:space="preserve"> Australia under the National Gas Law (NGL) and National Gas Rules (NGR). </w:t>
      </w:r>
      <w:r w:rsidR="009B51A1">
        <w:t xml:space="preserve">APTPPL is the owner and operator of the Roma to Brisbane Pipeline (RBP). </w:t>
      </w:r>
    </w:p>
    <w:p w:rsidR="00136B9B"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5B532F">
        <w:t>A</w:t>
      </w:r>
      <w:r w:rsidR="00582B11">
        <w:t>PTPPL</w:t>
      </w:r>
      <w:r w:rsidR="004609FA" w:rsidRPr="008C5C62">
        <w:t xml:space="preserve"> </w:t>
      </w:r>
      <w:r w:rsidRPr="008C5C62">
        <w:t>to recover $</w:t>
      </w:r>
      <w:r w:rsidR="0092210C">
        <w:t>237.4</w:t>
      </w:r>
      <w:r w:rsidR="0092210C" w:rsidRPr="008C5C62">
        <w:t xml:space="preserve"> </w:t>
      </w:r>
      <w:r w:rsidRPr="008C5C62">
        <w:t xml:space="preserve">million ($nominal) from its customers over five years commencing 1 </w:t>
      </w:r>
      <w:r w:rsidR="00582B11">
        <w:t>July</w:t>
      </w:r>
      <w:r w:rsidR="004A486D">
        <w:t xml:space="preserve"> 2017</w:t>
      </w:r>
      <w:r w:rsidR="007F292B">
        <w:t>.</w:t>
      </w:r>
      <w:r w:rsidR="001D71FF">
        <w:t xml:space="preserve"> </w:t>
      </w:r>
      <w:r w:rsidR="0092210C" w:rsidRPr="0092210C">
        <w:t>If implemented, the forecast revenue requirement approved in this draft decision would allow APTPPL to recover 9.6 per cent less revenue than its 2012–17 allowance of $262.7 million ($ nominal, smoothed).</w:t>
      </w:r>
    </w:p>
    <w:p w:rsidR="0057269F" w:rsidRDefault="00136B9B" w:rsidP="003F62E8">
      <w:pPr>
        <w:pStyle w:val="AERfactsheetbodytext"/>
        <w:widowControl w:val="0"/>
        <w:jc w:val="both"/>
      </w:pPr>
      <w:r>
        <w:t xml:space="preserve">The figure below shows the difference between </w:t>
      </w:r>
      <w:r w:rsidR="00582B11">
        <w:t>APTPPL’s</w:t>
      </w:r>
      <w:r w:rsidR="004609FA">
        <w:t xml:space="preserve"> </w:t>
      </w:r>
      <w:r>
        <w:t xml:space="preserve">proposed revenue, and what we have allowed for each year of the </w:t>
      </w:r>
      <w:r w:rsidR="00582B11">
        <w:t>access arrangement</w:t>
      </w:r>
      <w:r w:rsidR="001B4CF2">
        <w:t xml:space="preserve"> period</w:t>
      </w:r>
      <w:r w:rsidR="006265AD" w:rsidRPr="0057178D">
        <w:t>.</w:t>
      </w:r>
      <w:r w:rsidR="00F821BB">
        <w:t xml:space="preserve"> </w:t>
      </w:r>
    </w:p>
    <w:p w:rsidR="00F943EE" w:rsidRDefault="00582B11" w:rsidP="000E1E87">
      <w:pPr>
        <w:pStyle w:val="AERfactsheetbodytext"/>
        <w:widowControl w:val="0"/>
        <w:jc w:val="both"/>
      </w:pPr>
      <w:r>
        <w:rPr>
          <w:rStyle w:val="AERtextbold"/>
        </w:rPr>
        <w:t>APTPPL’s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582B11" w:rsidP="000E1E87">
      <w:pPr>
        <w:pStyle w:val="AERfactsheetbodytext"/>
        <w:widowControl w:val="0"/>
        <w:jc w:val="both"/>
      </w:pPr>
      <w:r w:rsidRPr="00730A16">
        <w:rPr>
          <w:noProof/>
          <w:lang w:eastAsia="en-AU"/>
        </w:rPr>
        <w:drawing>
          <wp:inline distT="0" distB="0" distL="0" distR="0" wp14:anchorId="17199573" wp14:editId="4B872DB3">
            <wp:extent cx="3215005" cy="1800737"/>
            <wp:effectExtent l="0" t="0" r="444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800737"/>
                    </a:xfrm>
                    <a:prstGeom prst="rect">
                      <a:avLst/>
                    </a:prstGeom>
                    <a:noFill/>
                    <a:ln>
                      <a:noFill/>
                    </a:ln>
                  </pic:spPr>
                </pic:pic>
              </a:graphicData>
            </a:graphic>
          </wp:inline>
        </w:drawing>
      </w:r>
    </w:p>
    <w:p w:rsidR="00DF58E0" w:rsidRDefault="004A5A86" w:rsidP="003F62E8">
      <w:pPr>
        <w:pStyle w:val="AERfactsheetbodytext"/>
        <w:jc w:val="both"/>
      </w:pPr>
      <w:r w:rsidRPr="00FC7080">
        <w:t xml:space="preserve">The revenue we determine affects the </w:t>
      </w:r>
      <w:r w:rsidR="004A486D">
        <w:t>transmission</w:t>
      </w:r>
      <w:r w:rsidRPr="00FC7080">
        <w:t xml:space="preserve"> component of a customer’s </w:t>
      </w:r>
      <w:r w:rsidR="009B51A1">
        <w:t>gas</w:t>
      </w:r>
      <w:r w:rsidRPr="00FC7080">
        <w:t xml:space="preserve"> bill. </w:t>
      </w:r>
      <w:r w:rsidR="004A486D">
        <w:t>Transmission</w:t>
      </w:r>
      <w:r w:rsidR="00EF18D9">
        <w:t xml:space="preserve"> charges </w:t>
      </w:r>
      <w:r w:rsidR="00136B9B">
        <w:t xml:space="preserve">make up </w:t>
      </w:r>
      <w:r w:rsidR="0099246A">
        <w:t>approximately</w:t>
      </w:r>
      <w:r w:rsidR="00136B9B">
        <w:t xml:space="preserve"> </w:t>
      </w:r>
      <w:r w:rsidR="009B51A1">
        <w:t>3</w:t>
      </w:r>
      <w:r w:rsidR="001C0E10">
        <w:t xml:space="preserve"> </w:t>
      </w:r>
      <w:r w:rsidR="00136B9B">
        <w:t xml:space="preserve">per cent of </w:t>
      </w:r>
      <w:r w:rsidR="009B51A1">
        <w:t xml:space="preserve">a Queensland </w:t>
      </w:r>
      <w:r w:rsidR="00120D8E">
        <w:t xml:space="preserve">residential or small business </w:t>
      </w:r>
      <w:r w:rsidR="009B51A1">
        <w:t>customer’s annual gas b</w:t>
      </w:r>
      <w:r w:rsidR="00136B9B">
        <w:t>ill.</w:t>
      </w:r>
    </w:p>
    <w:p w:rsidR="00D71B40" w:rsidRDefault="0099246A" w:rsidP="009B51A1">
      <w:pPr>
        <w:pStyle w:val="AERfactsheetbodytext"/>
        <w:jc w:val="both"/>
      </w:pPr>
      <w:r>
        <w:t>Other components of</w:t>
      </w:r>
      <w:r w:rsidR="00DF61F2">
        <w:t xml:space="preserve"> customer bills include the cost of </w:t>
      </w:r>
      <w:r w:rsidR="00120D8E">
        <w:t>sourcing the gas</w:t>
      </w:r>
      <w:r w:rsidR="00DF61F2">
        <w:t xml:space="preserve">, </w:t>
      </w:r>
      <w:r w:rsidR="004A486D">
        <w:t>distribution</w:t>
      </w:r>
      <w:r w:rsidR="00DF61F2">
        <w:t xml:space="preserve"> network charges and retailer costs. </w:t>
      </w:r>
      <w:r w:rsidR="00136B9B">
        <w:t xml:space="preserve">The AER does not set retail prices. </w:t>
      </w:r>
      <w:r w:rsidR="00266F18" w:rsidRPr="00FC7080">
        <w:rPr>
          <w:noProof/>
          <w:lang w:eastAsia="en-AU"/>
        </w:rPr>
        <w:drawing>
          <wp:anchor distT="0" distB="0" distL="114300" distR="114300" simplePos="0" relativeHeight="251704320" behindDoc="0" locked="0" layoutInCell="1" allowOverlap="1" wp14:anchorId="1BF10C76" wp14:editId="0977DBF1">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9B51A1" w:rsidRDefault="009B51A1" w:rsidP="009B51A1">
      <w:pPr>
        <w:pStyle w:val="AERfactsheetbodytext"/>
        <w:jc w:val="both"/>
      </w:pPr>
    </w:p>
    <w:p w:rsidR="009B51A1" w:rsidRDefault="009B51A1" w:rsidP="009B51A1">
      <w:pPr>
        <w:pStyle w:val="AERfactsheetbodytext"/>
        <w:jc w:val="both"/>
      </w:pPr>
    </w:p>
    <w:p w:rsidR="009B51A1" w:rsidRDefault="009B51A1" w:rsidP="009B51A1">
      <w:pPr>
        <w:pStyle w:val="AERfactsheetbodytext"/>
        <w:jc w:val="both"/>
      </w:pPr>
    </w:p>
    <w:p w:rsidR="009B51A1" w:rsidRDefault="009B51A1" w:rsidP="009B51A1">
      <w:pPr>
        <w:pStyle w:val="AERfactsheetbodytext"/>
        <w:jc w:val="both"/>
      </w:pPr>
    </w:p>
    <w:p w:rsidR="009B51A1" w:rsidRDefault="009B51A1" w:rsidP="009B51A1">
      <w:pPr>
        <w:pStyle w:val="AERfactsheetbodytext"/>
        <w:jc w:val="both"/>
        <w:rPr>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5B0151" w:rsidP="005844C1">
      <w:pPr>
        <w:rPr>
          <w:rFonts w:ascii="MS Reference Sans Serif" w:hAnsi="MS Reference Sans Serif"/>
          <w:sz w:val="18"/>
          <w:szCs w:val="18"/>
        </w:rPr>
      </w:pPr>
      <w:r>
        <w:rPr>
          <w:noProof/>
          <w:szCs w:val="18"/>
          <w:lang w:eastAsia="en-AU"/>
        </w:rPr>
        <mc:AlternateContent>
          <mc:Choice Requires="wps">
            <w:drawing>
              <wp:anchor distT="0" distB="0" distL="114300" distR="114300" simplePos="0" relativeHeight="251705344" behindDoc="0" locked="0" layoutInCell="1" allowOverlap="1" wp14:anchorId="1356A8FA" wp14:editId="7E9D3271">
                <wp:simplePos x="0" y="0"/>
                <wp:positionH relativeFrom="column">
                  <wp:posOffset>-20320</wp:posOffset>
                </wp:positionH>
                <wp:positionV relativeFrom="paragraph">
                  <wp:posOffset>-2540</wp:posOffset>
                </wp:positionV>
                <wp:extent cx="3277870" cy="1544955"/>
                <wp:effectExtent l="0" t="0" r="17780" b="17145"/>
                <wp:wrapNone/>
                <wp:docPr id="6" name="Text Box 6"/>
                <wp:cNvGraphicFramePr/>
                <a:graphic xmlns:a="http://schemas.openxmlformats.org/drawingml/2006/main">
                  <a:graphicData uri="http://schemas.microsoft.com/office/word/2010/wordprocessingShape">
                    <wps:wsp>
                      <wps:cNvSpPr txBox="1"/>
                      <wps:spPr>
                        <a:xfrm>
                          <a:off x="0" y="0"/>
                          <a:ext cx="3277870" cy="154495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2C5AD0" w:rsidRPr="00FC646C" w:rsidRDefault="009344D4" w:rsidP="007A232C">
                            <w:pPr>
                              <w:spacing w:after="120"/>
                              <w:jc w:val="both"/>
                              <w:rPr>
                                <w:strike/>
                              </w:rPr>
                            </w:pPr>
                            <w:r w:rsidRPr="009344D4">
                              <w:t xml:space="preserve">If implemented, </w:t>
                            </w:r>
                            <w:r w:rsidR="009B51A1" w:rsidRPr="009B51A1">
                              <w:t xml:space="preserve">we expect that our draft decision will result in </w:t>
                            </w:r>
                            <w:r w:rsidR="00FC646C">
                              <w:t xml:space="preserve">no material change to </w:t>
                            </w:r>
                            <w:r w:rsidR="009B51A1" w:rsidRPr="009B51A1">
                              <w:t>the transmission component of the average annual gas bills for residential customers in Queensland</w:t>
                            </w:r>
                            <w:r w:rsidR="00FC646C">
                              <w:t xml:space="preserve"> </w:t>
                            </w:r>
                            <w:r w:rsidR="009B51A1" w:rsidRPr="009B51A1">
                              <w:t xml:space="preserve">over the 2017–22 access arrangement period. </w:t>
                            </w:r>
                            <w:r w:rsidR="00072427">
                              <w:t>Similarly, bill impacts for large directly connected customers will be minimal because our draft decision is for relatively flat transmission tariffs</w:t>
                            </w:r>
                            <w:r w:rsidR="00EF18D9" w:rsidRPr="00EF18D9">
                              <w:t>.</w:t>
                            </w:r>
                            <w:r w:rsidRPr="00FC646C" w:rsidDel="009344D4">
                              <w:rPr>
                                <w:strik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6pt;margin-top:-.2pt;width:258.1pt;height:121.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2C5AD0" w:rsidRPr="00FC646C" w:rsidRDefault="009344D4" w:rsidP="007A232C">
                      <w:pPr>
                        <w:spacing w:after="120"/>
                        <w:jc w:val="both"/>
                        <w:rPr>
                          <w:strike/>
                        </w:rPr>
                      </w:pPr>
                      <w:r w:rsidRPr="009344D4">
                        <w:t xml:space="preserve">If implemented, </w:t>
                      </w:r>
                      <w:r w:rsidR="009B51A1" w:rsidRPr="009B51A1">
                        <w:t xml:space="preserve">we expect that our draft decision will result in </w:t>
                      </w:r>
                      <w:r w:rsidR="00FC646C">
                        <w:t xml:space="preserve">no material change to </w:t>
                      </w:r>
                      <w:r w:rsidR="009B51A1" w:rsidRPr="009B51A1">
                        <w:t>the transmission component of the average annual gas bills for residential customers in Queensland</w:t>
                      </w:r>
                      <w:r w:rsidR="00FC646C">
                        <w:t xml:space="preserve"> </w:t>
                      </w:r>
                      <w:r w:rsidR="009B51A1" w:rsidRPr="009B51A1">
                        <w:t xml:space="preserve">over the 2017–22 access arrangement period. </w:t>
                      </w:r>
                      <w:r w:rsidR="00072427">
                        <w:t>Similarly, bill impacts for large directly connected customers will be minimal because our draft decision is for relatively flat transmission tariffs</w:t>
                      </w:r>
                      <w:r w:rsidR="00EF18D9" w:rsidRPr="00EF18D9">
                        <w:t>.</w:t>
                      </w:r>
                      <w:r w:rsidRPr="00FC646C" w:rsidDel="009344D4">
                        <w:rPr>
                          <w:strike/>
                        </w:rPr>
                        <w:t xml:space="preserve"> </w:t>
                      </w:r>
                    </w:p>
                  </w:txbxContent>
                </v:textbox>
              </v:shape>
            </w:pict>
          </mc:Fallback>
        </mc:AlternateContent>
      </w:r>
    </w:p>
    <w:p w:rsidR="00D71B40" w:rsidRDefault="00D71B40" w:rsidP="005844C1">
      <w:pPr>
        <w:rPr>
          <w:rFonts w:ascii="MS Reference Sans Serif" w:hAnsi="MS Reference Sans Serif"/>
          <w:sz w:val="18"/>
          <w:szCs w:val="18"/>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10549E" w:rsidRPr="002B1F46" w:rsidRDefault="005844C1" w:rsidP="009344D4">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A83EEF" w:rsidP="003F62E8">
      <w:pPr>
        <w:pStyle w:val="AERfactsheetbodytext"/>
        <w:widowControl w:val="0"/>
        <w:spacing w:after="0"/>
        <w:jc w:val="both"/>
      </w:pPr>
      <w:r>
        <w:t>We made</w:t>
      </w:r>
      <w:r w:rsidR="00B50A30">
        <w:t xml:space="preserve"> o</w:t>
      </w:r>
      <w:r w:rsidR="0075318C">
        <w:t xml:space="preserve">ur assessment of </w:t>
      </w:r>
      <w:r w:rsidR="009B51A1">
        <w:t>APTPPL’s</w:t>
      </w:r>
      <w:r w:rsidR="004609FA">
        <w:t xml:space="preserve"> </w:t>
      </w:r>
      <w:r w:rsidR="0075318C">
        <w:t xml:space="preserve">proposed revenue </w:t>
      </w:r>
      <w:r>
        <w:t xml:space="preserve">by separately considering its </w:t>
      </w:r>
      <w:r w:rsidR="0075318C">
        <w:t>components. These include expenditure</w:t>
      </w:r>
      <w:r w:rsidR="0099246A">
        <w:t>s</w:t>
      </w:r>
      <w:r w:rsidR="0075318C">
        <w:t xml:space="preserve"> to maintain and operate the </w:t>
      </w:r>
      <w:r w:rsidR="009B51A1">
        <w:t>pipeline</w:t>
      </w:r>
      <w:r w:rsidR="0083733F">
        <w:t>,</w:t>
      </w:r>
      <w:r w:rsidR="0075318C">
        <w:t xml:space="preserve"> and the return to shareholders on their investment. Together, these determine the revenue </w:t>
      </w:r>
      <w:r w:rsidR="009B51A1">
        <w:t>that APTPPL</w:t>
      </w:r>
      <w:r w:rsidR="004609FA">
        <w:t xml:space="preserve"> </w:t>
      </w:r>
      <w:r w:rsidR="008C5C62">
        <w:t>may recover from its</w:t>
      </w:r>
      <w:r w:rsidR="0075318C">
        <w:t xml:space="preserve"> customers. </w:t>
      </w:r>
    </w:p>
    <w:p w:rsidR="009040E6" w:rsidRDefault="00BA59BF" w:rsidP="003F62E8">
      <w:pPr>
        <w:pStyle w:val="AERfactsheetbodytext"/>
        <w:widowControl w:val="0"/>
        <w:spacing w:before="120"/>
        <w:jc w:val="both"/>
      </w:pPr>
      <w:r w:rsidRPr="00BA59BF">
        <w:t>Our draft decision accept</w:t>
      </w:r>
      <w:r>
        <w:t>s</w:t>
      </w:r>
      <w:r w:rsidRPr="00BA59BF">
        <w:t xml:space="preserve"> APTPPL’s opex forecast of $72.1 million ($2016–17) over the 2017–22 access arrangement period.</w:t>
      </w:r>
      <w:r>
        <w:t xml:space="preserve"> We made slight reductions in APTPPL’s proposed ca</w:t>
      </w:r>
      <w:r w:rsidR="00FC646C">
        <w:t>p</w:t>
      </w:r>
      <w:r>
        <w:t xml:space="preserve">ex over the access arrangement period. Our draft decision </w:t>
      </w:r>
      <w:r w:rsidRPr="00BA59BF">
        <w:t>approve</w:t>
      </w:r>
      <w:r>
        <w:t>s</w:t>
      </w:r>
      <w:r w:rsidRPr="00BA59BF">
        <w:t xml:space="preserve"> $</w:t>
      </w:r>
      <w:r w:rsidR="00FC646C">
        <w:t>61.1</w:t>
      </w:r>
      <w:r w:rsidRPr="00BA59BF">
        <w:t xml:space="preserve"> million ($2016–17) of APTPPL’s proposed total net capex of $69.0 million ($2016–17) for the 2012–17 access arrangement period</w:t>
      </w:r>
      <w:r>
        <w:t>.</w:t>
      </w:r>
    </w:p>
    <w:p w:rsidR="00A946DF" w:rsidRDefault="00A83EEF" w:rsidP="003F62E8">
      <w:pPr>
        <w:pStyle w:val="AERfactsheetbodytext"/>
        <w:widowControl w:val="0"/>
        <w:spacing w:before="120"/>
        <w:jc w:val="both"/>
      </w:pPr>
      <w:r>
        <w:t>T</w:t>
      </w:r>
      <w:r w:rsidR="009040E6">
        <w:t>wo</w:t>
      </w:r>
      <w:r w:rsidR="00A946DF">
        <w:t xml:space="preserve"> </w:t>
      </w:r>
      <w:r>
        <w:t>elements</w:t>
      </w:r>
      <w:r w:rsidR="00A946DF">
        <w:t xml:space="preserve"> of our </w:t>
      </w:r>
      <w:r w:rsidR="001B4CF2">
        <w:t>draft</w:t>
      </w:r>
      <w:r w:rsidR="00A946DF">
        <w:t xml:space="preserve"> </w:t>
      </w:r>
      <w:r w:rsidR="000B4299">
        <w:t>decision</w:t>
      </w:r>
      <w:r w:rsidR="008C5C62">
        <w:t xml:space="preserve"> drive most of the difference between </w:t>
      </w:r>
      <w:r w:rsidR="009040E6">
        <w:t xml:space="preserve">the revenue that </w:t>
      </w:r>
      <w:r w:rsidR="009B51A1">
        <w:t>APTPPL</w:t>
      </w:r>
      <w:r w:rsidR="009040E6">
        <w:t xml:space="preserve"> was allowed to recover in the 2012–17 access arrangement period, and the level of revenue approved for the 2017–22 access arrangement period</w:t>
      </w:r>
      <w:r w:rsidR="008C5C62">
        <w:t>:</w:t>
      </w:r>
      <w:r w:rsidR="00A946DF">
        <w:t xml:space="preserve"> rate of return</w:t>
      </w:r>
      <w:r w:rsidR="002544F5">
        <w:t>,</w:t>
      </w:r>
      <w:r w:rsidR="00A946DF">
        <w:t xml:space="preserve"> </w:t>
      </w:r>
      <w:r w:rsidR="009040E6">
        <w:t xml:space="preserve">and </w:t>
      </w:r>
      <w:r w:rsidR="005B2DD6">
        <w:t>depreciation</w:t>
      </w:r>
      <w:r w:rsidR="009A202A">
        <w:t xml:space="preserve"> </w:t>
      </w:r>
      <w:r w:rsidR="005B2DD6">
        <w:t>on assets</w:t>
      </w:r>
      <w:r w:rsidR="009A202A">
        <w:t>.</w:t>
      </w:r>
      <w:r w:rsidR="009040E6">
        <w:t xml:space="preserve"> We discuss each of these below.</w:t>
      </w:r>
    </w:p>
    <w:p w:rsidR="007B340F" w:rsidRDefault="00BA59BF" w:rsidP="009344D4">
      <w:pPr>
        <w:pStyle w:val="AERfactsheetbodytext"/>
        <w:widowControl w:val="0"/>
        <w:spacing w:after="0"/>
        <w:jc w:val="both"/>
        <w:rPr>
          <w:noProof/>
          <w:lang w:eastAsia="en-AU"/>
        </w:rPr>
      </w:pPr>
      <w:r>
        <w:rPr>
          <w:noProof/>
          <w:lang w:eastAsia="en-AU"/>
        </w:rPr>
        <w:t xml:space="preserve">Our draft decision also makes an assessment on </w:t>
      </w:r>
      <w:r w:rsidR="003B5EDB">
        <w:rPr>
          <w:noProof/>
          <w:lang w:eastAsia="en-AU"/>
        </w:rPr>
        <w:t xml:space="preserve">forecast demand and on </w:t>
      </w:r>
      <w:r>
        <w:rPr>
          <w:noProof/>
          <w:lang w:eastAsia="en-AU"/>
        </w:rPr>
        <w:t xml:space="preserve">the services covered by APTPPL’s access arrangement. The key elements of our draft decision </w:t>
      </w:r>
      <w:r w:rsidR="003B5EDB">
        <w:rPr>
          <w:noProof/>
          <w:lang w:eastAsia="en-AU"/>
        </w:rPr>
        <w:t xml:space="preserve">in respect to these matters </w:t>
      </w:r>
      <w:r>
        <w:rPr>
          <w:noProof/>
          <w:lang w:eastAsia="en-AU"/>
        </w:rPr>
        <w:t xml:space="preserve">are also discussed below. </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5B2DD6">
        <w:t>transmission</w:t>
      </w:r>
      <w:r w:rsidRPr="00B671F0">
        <w:t xml:space="preserve"> </w:t>
      </w:r>
      <w:r w:rsidR="00BA59BF">
        <w:t>pipeline</w:t>
      </w:r>
      <w:r w:rsidRPr="00B671F0">
        <w:t xml:space="preserve">. The return </w:t>
      </w:r>
      <w:r w:rsidR="00BA59BF">
        <w:t>that APTPPL</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lastRenderedPageBreak/>
        <w:t xml:space="preserve">Our </w:t>
      </w:r>
      <w:r w:rsidR="005B2DD6">
        <w:t>draft</w:t>
      </w:r>
      <w:r w:rsidRPr="0040653E">
        <w:t xml:space="preserve"> </w:t>
      </w:r>
      <w:r w:rsidR="000B4299">
        <w:t>decision</w:t>
      </w:r>
      <w:r w:rsidR="000B4299" w:rsidRPr="0040653E">
        <w:t xml:space="preserve"> </w:t>
      </w:r>
      <w:r w:rsidRPr="0040653E">
        <w:t xml:space="preserve">sets the allowed rate of return (or ‘cost of capital’) at </w:t>
      </w:r>
      <w:r w:rsidR="0092210C">
        <w:t>5.75</w:t>
      </w:r>
      <w:r w:rsidR="00470A19">
        <w:t xml:space="preserve"> </w:t>
      </w:r>
      <w:r w:rsidR="00A946DF" w:rsidRPr="0040653E">
        <w:t>per cent for 201</w:t>
      </w:r>
      <w:r w:rsidR="00381ECB">
        <w:t>7–18</w:t>
      </w:r>
      <w:r w:rsidR="00114F21">
        <w:t xml:space="preserve">. </w:t>
      </w:r>
      <w:r w:rsidR="00A946DF" w:rsidRPr="0040653E">
        <w:t xml:space="preserve">We have not accepted </w:t>
      </w:r>
      <w:r w:rsidR="00BA59BF">
        <w:t>APTPPL’s</w:t>
      </w:r>
      <w:r w:rsidR="004609FA" w:rsidRPr="0040653E">
        <w:t xml:space="preserve"> </w:t>
      </w:r>
      <w:r w:rsidR="00A946DF" w:rsidRPr="0040653E">
        <w:t>proposed</w:t>
      </w:r>
      <w:r w:rsidR="00A946DF">
        <w:t xml:space="preserve"> </w:t>
      </w:r>
      <w:r w:rsidR="0092210C">
        <w:t>7.7</w:t>
      </w:r>
      <w:r w:rsidR="00FC646C">
        <w:t>2</w:t>
      </w:r>
      <w:r w:rsidR="00A946DF">
        <w:t xml:space="preserve"> per cent.</w:t>
      </w:r>
      <w:r w:rsidR="00BA59BF">
        <w:t xml:space="preserve"> The rate of return approved in our draft decision is a significant decrease compared to the rate of return </w:t>
      </w:r>
      <w:r w:rsidR="00A83EEF">
        <w:t>for the 2012-17 access arrangement period</w:t>
      </w:r>
      <w:r w:rsidR="00BA59BF">
        <w:t xml:space="preserve"> of </w:t>
      </w:r>
      <w:r w:rsidR="0092210C">
        <w:t>7.31</w:t>
      </w:r>
      <w:r w:rsidR="00BA59BF">
        <w:t xml:space="preserve"> per cent. </w:t>
      </w:r>
    </w:p>
    <w:p w:rsidR="0080154B" w:rsidRDefault="008C5C62" w:rsidP="00BA59BF">
      <w:pPr>
        <w:pStyle w:val="AERfactsheetbodytext"/>
        <w:keepNext/>
        <w:widowControl w:val="0"/>
        <w:jc w:val="both"/>
      </w:pPr>
      <w:r>
        <w:t xml:space="preserve">We consider that </w:t>
      </w:r>
      <w:r w:rsidR="00BA59BF">
        <w:t xml:space="preserve">APTPPL </w:t>
      </w:r>
      <w:r>
        <w:t>has sought a rate of return that is higher than necessary given the current investment environment</w:t>
      </w:r>
      <w:r w:rsidR="00E15403">
        <w:t xml:space="preserve"> </w:t>
      </w:r>
      <w:r w:rsidR="00120D8E">
        <w:t>which includes</w:t>
      </w:r>
      <w:r w:rsidR="00E15403">
        <w:t xml:space="preserve"> low interest rates</w:t>
      </w:r>
      <w:r w:rsidR="007B340F">
        <w:t xml:space="preserve"> compared to previous years</w:t>
      </w:r>
      <w:r>
        <w:t>.</w:t>
      </w:r>
      <w:r w:rsidR="001B4CF2">
        <w:t xml:space="preserve"> This translates to lower financing costs necessary to attract efficient investment. </w:t>
      </w:r>
    </w:p>
    <w:p w:rsidR="004A076A" w:rsidRDefault="0099246A" w:rsidP="008C5C62">
      <w:pPr>
        <w:pStyle w:val="AERfactsheetbodytext"/>
        <w:widowControl w:val="0"/>
        <w:jc w:val="both"/>
      </w:pPr>
      <w:r>
        <w:t xml:space="preserve">We have not </w:t>
      </w:r>
      <w:r w:rsidR="008C5C62">
        <w:t>accept</w:t>
      </w:r>
      <w:r>
        <w:t>ed</w:t>
      </w:r>
      <w:r w:rsidR="008C5C62">
        <w:t xml:space="preserve"> the methodology proposed by </w:t>
      </w:r>
      <w:r w:rsidR="00BA59BF">
        <w:t>APTPPL</w:t>
      </w:r>
      <w:r w:rsidR="004609FA">
        <w:t xml:space="preserve"> </w:t>
      </w:r>
      <w:r w:rsidR="008C5C62">
        <w:t xml:space="preserve">to set its rate of return. </w:t>
      </w:r>
      <w:r w:rsidR="009D1833">
        <w:t>Instead, we have used the methodology we developed through</w:t>
      </w:r>
      <w:r w:rsidR="008C5C62">
        <w:t xml:space="preserve"> extensive consultation during our Better Regulation program in 2013. We consider that our approach provides for a rate of return that better reflects the allowed rate of return objective.</w:t>
      </w:r>
    </w:p>
    <w:p w:rsidR="00777750" w:rsidRDefault="00777750" w:rsidP="009B6398">
      <w:pPr>
        <w:pStyle w:val="AERfactsheetbodytext"/>
        <w:widowControl w:val="0"/>
        <w:spacing w:after="0"/>
        <w:jc w:val="both"/>
      </w:pPr>
      <w:r>
        <w:t xml:space="preserve">The lower rate of return in this decision will reduce </w:t>
      </w:r>
      <w:r w:rsidR="00BA59BF">
        <w:t xml:space="preserve">APTPPL’s </w:t>
      </w:r>
      <w:r>
        <w:t xml:space="preserve">average annual </w:t>
      </w:r>
      <w:r w:rsidR="00F4399C">
        <w:t xml:space="preserve">revenue </w:t>
      </w:r>
      <w:r>
        <w:t xml:space="preserve">requirement compared to the </w:t>
      </w:r>
      <w:r w:rsidR="000E4E9B">
        <w:t>previous regulatory period</w:t>
      </w:r>
      <w:r>
        <w:t xml:space="preserve">. </w:t>
      </w:r>
    </w:p>
    <w:p w:rsidR="006564F0" w:rsidRPr="00697FF1" w:rsidRDefault="00381ECB" w:rsidP="006A41BC">
      <w:pPr>
        <w:pStyle w:val="AERFactsheetHeading1"/>
        <w:keepNext w:val="0"/>
        <w:widowControl w:val="0"/>
        <w:spacing w:before="120" w:after="0" w:line="252" w:lineRule="auto"/>
        <w:jc w:val="both"/>
        <w:outlineLvl w:val="9"/>
      </w:pPr>
      <w:r>
        <w:t>Depreciation of assets</w:t>
      </w:r>
    </w:p>
    <w:p w:rsidR="003B5EDB" w:rsidRDefault="00381ECB" w:rsidP="00DB13CB">
      <w:pPr>
        <w:pStyle w:val="AERfactsheetbodytext"/>
        <w:widowControl w:val="0"/>
        <w:jc w:val="both"/>
      </w:pPr>
      <w:r>
        <w:t xml:space="preserve">Depreciation is the amount that </w:t>
      </w:r>
      <w:r w:rsidR="00586FFD">
        <w:t>APTPPL</w:t>
      </w:r>
      <w:r>
        <w:t xml:space="preserve"> recovers </w:t>
      </w:r>
      <w:r w:rsidR="00120D8E">
        <w:t xml:space="preserve">over time </w:t>
      </w:r>
      <w:r>
        <w:t xml:space="preserve">to pay for the cost of an asset. </w:t>
      </w:r>
      <w:r w:rsidR="00586FFD">
        <w:t xml:space="preserve">Our decision on deprecation affects the timing of APTPPL’s revenue recovery, but not the amount of depreciation in total. </w:t>
      </w:r>
      <w:r w:rsidR="00DB13CB" w:rsidRPr="00DB13CB">
        <w:t xml:space="preserve">Our draft decision </w:t>
      </w:r>
      <w:r w:rsidR="00DB13CB">
        <w:t>does</w:t>
      </w:r>
      <w:r w:rsidR="00DB13CB" w:rsidRPr="00DB13CB">
        <w:t xml:space="preserve"> not approve APTPPL’s proposed regulatory depreciation allowance of $18.1 million ($nominal) for the 2017–22 access arrangement period. </w:t>
      </w:r>
      <w:r w:rsidR="003B5EDB">
        <w:t xml:space="preserve">Our draft decision on APTPPL’s regulatory </w:t>
      </w:r>
      <w:r w:rsidR="005B0151">
        <w:t>depreciation</w:t>
      </w:r>
      <w:r w:rsidR="003B5EDB">
        <w:t xml:space="preserve"> allowance is $19.9 million ($nominal). </w:t>
      </w:r>
    </w:p>
    <w:p w:rsidR="00DB13CB" w:rsidRDefault="003B5EDB" w:rsidP="00DB13CB">
      <w:pPr>
        <w:pStyle w:val="AERfactsheetbodytext"/>
        <w:widowControl w:val="0"/>
        <w:jc w:val="both"/>
      </w:pPr>
      <w:r>
        <w:t xml:space="preserve">Our draft decision allowance for regulatory depreciation reflects our </w:t>
      </w:r>
      <w:r w:rsidR="00DB13CB" w:rsidRPr="00DB13CB">
        <w:t xml:space="preserve">decision to update APTPPL's calculation of remaining asset lives as at 1 July 2017 and </w:t>
      </w:r>
      <w:r>
        <w:t xml:space="preserve">also reflects </w:t>
      </w:r>
      <w:r w:rsidR="00DB13CB" w:rsidRPr="00DB13CB">
        <w:t xml:space="preserve">the effect of our determinations on other components of APTPPL’s proposal. </w:t>
      </w:r>
      <w:r w:rsidR="00DB13CB">
        <w:t>T</w:t>
      </w:r>
      <w:r w:rsidR="00DB13CB" w:rsidRPr="00DB13CB">
        <w:t>hese determinations include the opening capital base and the forecast capex.</w:t>
      </w:r>
    </w:p>
    <w:p w:rsidR="003B5EDB" w:rsidRPr="00697FF1" w:rsidRDefault="003B5EDB" w:rsidP="003B5EDB">
      <w:pPr>
        <w:pStyle w:val="AERFactsheetHeading1"/>
        <w:keepNext w:val="0"/>
        <w:widowControl w:val="0"/>
        <w:spacing w:before="120" w:after="0" w:line="252" w:lineRule="auto"/>
        <w:jc w:val="both"/>
        <w:outlineLvl w:val="9"/>
      </w:pPr>
      <w:r>
        <w:t>Demand</w:t>
      </w:r>
    </w:p>
    <w:p w:rsidR="003B5EDB" w:rsidRDefault="003B5EDB" w:rsidP="003B5EDB">
      <w:pPr>
        <w:pStyle w:val="AERfactsheetbodytext"/>
        <w:widowControl w:val="0"/>
        <w:jc w:val="both"/>
      </w:pPr>
      <w:r w:rsidRPr="003B5EDB">
        <w:t xml:space="preserve">Tariff </w:t>
      </w:r>
      <w:r w:rsidR="00586FFD">
        <w:t>levels</w:t>
      </w:r>
      <w:r w:rsidRPr="003B5EDB">
        <w:t xml:space="preserve"> depend on estimates o</w:t>
      </w:r>
      <w:r w:rsidR="00586FFD">
        <w:t>f</w:t>
      </w:r>
      <w:r w:rsidRPr="003B5EDB">
        <w:t xml:space="preserve"> forecast total demand (GJ/day). In simple terms, tariffs are determined by divid</w:t>
      </w:r>
      <w:r w:rsidR="00586FFD">
        <w:t>ing cost</w:t>
      </w:r>
      <w:r w:rsidRPr="003B5EDB">
        <w:t xml:space="preserve"> by total demand (GJ/day), such that an increase in forecast demand has the effect of reducing tariff</w:t>
      </w:r>
      <w:r w:rsidR="00586FFD">
        <w:t>s</w:t>
      </w:r>
      <w:r w:rsidRPr="003B5EDB">
        <w:t xml:space="preserve"> and vice versa.</w:t>
      </w:r>
    </w:p>
    <w:p w:rsidR="003B5EDB" w:rsidRDefault="003B5EDB" w:rsidP="003B5EDB">
      <w:pPr>
        <w:pStyle w:val="AERfactsheetbodytext"/>
        <w:widowControl w:val="0"/>
        <w:jc w:val="both"/>
      </w:pPr>
      <w:r w:rsidRPr="003B5EDB">
        <w:t>Based on the information before us, we are satisfied that APTPPL's forecast of an average of 200TJMDQ/day long term equivalent demand on the RBP for the 2017-22 AA period is the best estimate in the circumstances.</w:t>
      </w:r>
      <w:r w:rsidR="00586FFD">
        <w:t xml:space="preserve"> We note the Queensland Government recently announced the reopening of Swanbank E gas fired power station in 2018. While we have not incorporated Swanbank E in our draft decision, we will consider this further in the context of our final decision. </w:t>
      </w:r>
      <w:r w:rsidRPr="003B5EDB">
        <w:t xml:space="preserve"> </w:t>
      </w:r>
    </w:p>
    <w:p w:rsidR="009040E6" w:rsidRDefault="000D71CD" w:rsidP="009040E6">
      <w:pPr>
        <w:pStyle w:val="AERfactsheetbodytext"/>
        <w:widowControl w:val="0"/>
        <w:spacing w:before="120" w:after="0"/>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Services</w:t>
      </w:r>
    </w:p>
    <w:p w:rsidR="009040E6" w:rsidRDefault="00942D15" w:rsidP="009040E6">
      <w:pPr>
        <w:pStyle w:val="AERfactsheetbodytext"/>
        <w:widowControl w:val="0"/>
        <w:spacing w:before="120" w:after="0"/>
        <w:jc w:val="both"/>
      </w:pPr>
      <w:r w:rsidRPr="00FC7080">
        <w:rPr>
          <w:noProof/>
          <w:lang w:eastAsia="en-AU"/>
        </w:rPr>
        <w:drawing>
          <wp:anchor distT="0" distB="0" distL="114300" distR="114300" simplePos="0" relativeHeight="251707392" behindDoc="0" locked="0" layoutInCell="1" allowOverlap="1" wp14:anchorId="272C5A22" wp14:editId="6B8A9FB1">
            <wp:simplePos x="0" y="0"/>
            <wp:positionH relativeFrom="column">
              <wp:posOffset>-459577</wp:posOffset>
            </wp:positionH>
            <wp:positionV relativeFrom="page">
              <wp:posOffset>10195560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9040E6">
        <w:t xml:space="preserve">Underlying our draft decision for the RBP is an increasingly dynamic market for natural gas. While the RBP traditionally provided long haul and mostly long term services from west to east, RBP users are increasingly demanding bidirectional services to also send gas west to the Wallumbilla gas trading hub. APTPPL responded to this by proposing new bidirectional and short term reference services to complement the existing </w:t>
      </w:r>
      <w:r w:rsidR="009040E6">
        <w:lastRenderedPageBreak/>
        <w:t>eastbound long term reference service.</w:t>
      </w:r>
    </w:p>
    <w:p w:rsidR="009040E6" w:rsidRDefault="009040E6" w:rsidP="009040E6">
      <w:pPr>
        <w:pStyle w:val="AERfactsheetbodytext"/>
        <w:widowControl w:val="0"/>
        <w:spacing w:before="120" w:after="0"/>
        <w:jc w:val="both"/>
      </w:pPr>
      <w:r>
        <w:t xml:space="preserve">We agree a bidirectional long term firm reference service is appropriate. With respect to short term services however, RBP users are already successfully negotiating terms and conditions with APTPPL. Intervening in the emerging market for short term services may not be in users' best interests. Therefore, our draft decision is to approve only a bidirectional long term firm service and allow RBP short term services to continue to evolve. </w:t>
      </w:r>
    </w:p>
    <w:p w:rsidR="00DB13CB" w:rsidRDefault="009040E6" w:rsidP="009040E6">
      <w:pPr>
        <w:pStyle w:val="AERfactsheetbodytext"/>
        <w:widowControl w:val="0"/>
        <w:spacing w:before="120" w:after="0"/>
        <w:jc w:val="both"/>
      </w:pPr>
      <w:r>
        <w:t>We propose to retain the existing postage stamp pricing for the long term firm reference service in this draft decision.  This approach minimises upwards pressure on the reference tariff for the long term firm service. An alternative approach would be to establish multiple pricing zones which would advantage u</w:t>
      </w:r>
      <w:r w:rsidR="00A83EEF">
        <w:t>sers seeking part-haul services</w:t>
      </w:r>
      <w:r>
        <w:t xml:space="preserve"> but lead to higher prices for full-haul services. We note that full-haul services are expected to remain the predominant type of service demanded by users. Having said that, this decision is finely balanced and we seek further views from</w:t>
      </w:r>
      <w:r w:rsidR="00DB13CB">
        <w:t xml:space="preserve"> interested parties on this matter. </w:t>
      </w:r>
    </w:p>
    <w:p w:rsidR="00A946DF" w:rsidRDefault="00DB13CB" w:rsidP="00DB13CB">
      <w:pPr>
        <w:pStyle w:val="AERfactsheetbodytext"/>
        <w:widowControl w:val="0"/>
        <w:spacing w:before="120" w:after="0"/>
        <w:jc w:val="both"/>
        <w:rPr>
          <w:noProof/>
          <w:lang w:eastAsia="en-AU"/>
        </w:rPr>
      </w:pPr>
      <w:r>
        <w:t>Demand fo</w:t>
      </w:r>
      <w:r w:rsidR="009040E6">
        <w:t>r other types of services is also growing, but demand is uncertain. For that reason our draft decision is to make the following services rebateable services; in–pipe trading, capacity trading, and park and loan services.  Part of the revenue earned by APTPPL from these services will be rebated to users.</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Pr="00B671F0" w:rsidRDefault="00DB13CB" w:rsidP="003F62E8">
      <w:pPr>
        <w:pStyle w:val="AERfactsheetbodytext"/>
        <w:jc w:val="both"/>
      </w:pPr>
      <w:r>
        <w:rPr>
          <w:rStyle w:val="Hyperlink"/>
          <w:color w:val="auto"/>
          <w:u w:val="none"/>
        </w:rPr>
        <w:t>APTPPL</w:t>
      </w:r>
      <w:r w:rsidR="00522DD1">
        <w:t xml:space="preserve"> </w:t>
      </w:r>
      <w:r w:rsidR="0041568E">
        <w:t>will submit a revised proposal in response to this draft decision by 14 August 2017. I</w:t>
      </w:r>
      <w:r w:rsidR="0041568E" w:rsidRPr="00AB66ED">
        <w:t xml:space="preserve">nterested parties are invited to make submissions on </w:t>
      </w:r>
      <w:r w:rsidR="0041568E">
        <w:t xml:space="preserve">both </w:t>
      </w:r>
      <w:r w:rsidR="0041568E" w:rsidRPr="00AB66ED">
        <w:t xml:space="preserve">our draft decision </w:t>
      </w:r>
      <w:r w:rsidR="0041568E">
        <w:t xml:space="preserve">and APTPPL's revised proposal </w:t>
      </w:r>
      <w:r w:rsidR="0041568E" w:rsidRPr="0001670D">
        <w:t>by 15 September 2017.</w:t>
      </w:r>
    </w:p>
    <w:p w:rsidR="00CA4074" w:rsidRPr="00DC27B8" w:rsidRDefault="00DC27B8" w:rsidP="003F62E8">
      <w:pPr>
        <w:pStyle w:val="AERfactsheetbodytext"/>
        <w:jc w:val="both"/>
      </w:pPr>
      <w:r w:rsidRPr="00B671F0">
        <w:t xml:space="preserve">More information on </w:t>
      </w:r>
      <w:r w:rsidR="00DB13CB">
        <w:t>APTPPL’s</w:t>
      </w:r>
      <w:r w:rsidR="00CD3EA8" w:rsidRPr="00B671F0">
        <w:t xml:space="preserve"> </w:t>
      </w:r>
      <w:r w:rsidRPr="00B671F0">
        <w:t xml:space="preserve">proposal, our </w:t>
      </w:r>
      <w:r w:rsidR="009F24AD">
        <w:t>draft</w:t>
      </w:r>
      <w:r w:rsidRPr="00B671F0">
        <w:t xml:space="preserve"> </w:t>
      </w:r>
      <w:r w:rsidR="000B4299">
        <w:t>decision</w:t>
      </w:r>
      <w:r w:rsidRPr="00B671F0">
        <w:t xml:space="preserve"> and how to make a submission is on our website: </w:t>
      </w:r>
      <w:hyperlink r:id="rId19"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B1" w:rsidRDefault="00211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defaultTabStop w:val="720"/>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Draft decision Ausnet Services transmission determination - Draft decision factsheet - July 2016.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2427"/>
    <w:rsid w:val="00073789"/>
    <w:rsid w:val="000742B2"/>
    <w:rsid w:val="0007657B"/>
    <w:rsid w:val="00082625"/>
    <w:rsid w:val="00084C36"/>
    <w:rsid w:val="000864DB"/>
    <w:rsid w:val="00097937"/>
    <w:rsid w:val="000A13A8"/>
    <w:rsid w:val="000A19C3"/>
    <w:rsid w:val="000A3CF4"/>
    <w:rsid w:val="000B05F7"/>
    <w:rsid w:val="000B4299"/>
    <w:rsid w:val="000C025A"/>
    <w:rsid w:val="000C07AD"/>
    <w:rsid w:val="000C712D"/>
    <w:rsid w:val="000D3B8F"/>
    <w:rsid w:val="000D4524"/>
    <w:rsid w:val="000D4877"/>
    <w:rsid w:val="000D5AD6"/>
    <w:rsid w:val="000D71CD"/>
    <w:rsid w:val="000E1E87"/>
    <w:rsid w:val="000E2D55"/>
    <w:rsid w:val="000E4995"/>
    <w:rsid w:val="000E4E9B"/>
    <w:rsid w:val="000E50A8"/>
    <w:rsid w:val="000F1C65"/>
    <w:rsid w:val="000F4E95"/>
    <w:rsid w:val="000F75F1"/>
    <w:rsid w:val="0010059A"/>
    <w:rsid w:val="00100E7B"/>
    <w:rsid w:val="0010549E"/>
    <w:rsid w:val="00113361"/>
    <w:rsid w:val="00114F21"/>
    <w:rsid w:val="0011527B"/>
    <w:rsid w:val="001152BD"/>
    <w:rsid w:val="001152E2"/>
    <w:rsid w:val="00117167"/>
    <w:rsid w:val="00120D8E"/>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6513"/>
    <w:rsid w:val="002106B5"/>
    <w:rsid w:val="002113B1"/>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07BC1"/>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3FD9"/>
    <w:rsid w:val="003B46EA"/>
    <w:rsid w:val="003B5EDB"/>
    <w:rsid w:val="003C1E21"/>
    <w:rsid w:val="003F527A"/>
    <w:rsid w:val="003F62E8"/>
    <w:rsid w:val="00404570"/>
    <w:rsid w:val="0040653E"/>
    <w:rsid w:val="0041568E"/>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2B11"/>
    <w:rsid w:val="005844C1"/>
    <w:rsid w:val="00585B4E"/>
    <w:rsid w:val="00586FFD"/>
    <w:rsid w:val="005936A7"/>
    <w:rsid w:val="00595459"/>
    <w:rsid w:val="005A1CBA"/>
    <w:rsid w:val="005A2688"/>
    <w:rsid w:val="005A26FD"/>
    <w:rsid w:val="005A468C"/>
    <w:rsid w:val="005A5E2A"/>
    <w:rsid w:val="005B0151"/>
    <w:rsid w:val="005B07A5"/>
    <w:rsid w:val="005B2DD6"/>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40E6"/>
    <w:rsid w:val="00907326"/>
    <w:rsid w:val="00916002"/>
    <w:rsid w:val="0092057B"/>
    <w:rsid w:val="00921442"/>
    <w:rsid w:val="0092210C"/>
    <w:rsid w:val="00922AE8"/>
    <w:rsid w:val="0092711E"/>
    <w:rsid w:val="00930D72"/>
    <w:rsid w:val="0093250A"/>
    <w:rsid w:val="009344D4"/>
    <w:rsid w:val="00935936"/>
    <w:rsid w:val="00935CAA"/>
    <w:rsid w:val="00937101"/>
    <w:rsid w:val="00942D15"/>
    <w:rsid w:val="00945FE1"/>
    <w:rsid w:val="009462FA"/>
    <w:rsid w:val="00960E54"/>
    <w:rsid w:val="009612A1"/>
    <w:rsid w:val="00961CCC"/>
    <w:rsid w:val="00963F5A"/>
    <w:rsid w:val="00974FE1"/>
    <w:rsid w:val="00975746"/>
    <w:rsid w:val="00985AE6"/>
    <w:rsid w:val="0099246A"/>
    <w:rsid w:val="00993D60"/>
    <w:rsid w:val="009A202A"/>
    <w:rsid w:val="009A2BB4"/>
    <w:rsid w:val="009A702D"/>
    <w:rsid w:val="009B2454"/>
    <w:rsid w:val="009B26BA"/>
    <w:rsid w:val="009B3201"/>
    <w:rsid w:val="009B4D12"/>
    <w:rsid w:val="009B505E"/>
    <w:rsid w:val="009B51A1"/>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83EEF"/>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A59BF"/>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13CB"/>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18D9"/>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646C"/>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ae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A2B0-6EF9-4539-8B71-4957526B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C7CA1E29</Template>
  <TotalTime>0</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2017-07-04T01:14:00Z</dcterms:created>
  <dcterms:modified xsi:type="dcterms:W3CDTF">2017-07-04T01:14:00Z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