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BA14FE" w:rsidP="00290C63">
          <w:r w:rsidRPr="00BA14FE">
            <w:rPr>
              <w:noProof/>
              <w:lang w:eastAsia="zh-CN"/>
            </w:rPr>
            <w:drawing>
              <wp:anchor distT="0" distB="0" distL="114300" distR="114300" simplePos="0" relativeHeight="251659264" behindDoc="1" locked="0" layoutInCell="1" allowOverlap="1" wp14:anchorId="5A6E90D8" wp14:editId="5EB7A5D4">
                <wp:simplePos x="0" y="0"/>
                <wp:positionH relativeFrom="column">
                  <wp:posOffset>-1098341</wp:posOffset>
                </wp:positionH>
                <wp:positionV relativeFrom="paragraph">
                  <wp:posOffset>-919584</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8F24D9" w:rsidRDefault="00CE07E9" w:rsidP="00CE07E9">
          <w:pPr>
            <w:pStyle w:val="AERtitle1"/>
          </w:pPr>
          <w:r>
            <w:t>Explanatory statement</w:t>
          </w:r>
        </w:p>
        <w:p w:rsidR="00CE07E9" w:rsidRDefault="00CE07E9" w:rsidP="00CE07E9">
          <w:pPr>
            <w:pStyle w:val="AERtitle1"/>
          </w:pPr>
          <w:bookmarkStart w:id="0" w:name="_GoBack"/>
          <w:bookmarkEnd w:id="0"/>
        </w:p>
        <w:p w:rsidR="00CE07E9" w:rsidRDefault="00CE07E9" w:rsidP="00CE07E9">
          <w:pPr>
            <w:pStyle w:val="ReportSubtitle"/>
          </w:pPr>
          <w:r w:rsidRPr="00CE07E9">
            <w:t>Proposed amendment</w:t>
          </w:r>
        </w:p>
        <w:p w:rsidR="00CE07E9" w:rsidRDefault="00CE07E9" w:rsidP="00CE07E9">
          <w:pPr>
            <w:pStyle w:val="AERtitle1"/>
          </w:pPr>
        </w:p>
        <w:p w:rsidR="00415F31" w:rsidRPr="008F24D9" w:rsidRDefault="00051A9C" w:rsidP="00CE07E9">
          <w:pPr>
            <w:pStyle w:val="ReportSubtitle"/>
          </w:pPr>
          <w:r>
            <w:t>Service</w:t>
          </w:r>
          <w:r w:rsidR="008F24D9" w:rsidRPr="008F24D9">
            <w:t xml:space="preserve"> </w:t>
          </w:r>
          <w:r w:rsidR="00F76351">
            <w:t>T</w:t>
          </w:r>
          <w:r w:rsidR="00CE07E9">
            <w:t xml:space="preserve">arget </w:t>
          </w:r>
          <w:r w:rsidR="00F76351">
            <w:t>P</w:t>
          </w:r>
          <w:r w:rsidR="00CE07E9">
            <w:t xml:space="preserve">erformance </w:t>
          </w:r>
          <w:r w:rsidR="00F76351">
            <w:t>Incentive S</w:t>
          </w:r>
          <w:r w:rsidR="00CE07E9">
            <w:t>cheme</w:t>
          </w:r>
          <w:r w:rsidR="00F76351">
            <w:t xml:space="preserve"> (STPIS)</w:t>
          </w:r>
        </w:p>
        <w:p w:rsidR="008F07A3" w:rsidRPr="000A6C7B" w:rsidRDefault="008F07A3" w:rsidP="008F07A3">
          <w:pPr>
            <w:pStyle w:val="ReportSubtitle"/>
          </w:pPr>
        </w:p>
        <w:p w:rsidR="000A6C7B" w:rsidRPr="00327A1E" w:rsidRDefault="00D829F0" w:rsidP="00327A1E">
          <w:pPr>
            <w:pStyle w:val="ReportDate"/>
          </w:pPr>
          <w:r>
            <w:t>December</w:t>
          </w:r>
          <w:r w:rsidR="005C0A7F">
            <w:t xml:space="preserve"> </w:t>
          </w:r>
          <w:r w:rsidR="00BA14FE">
            <w:t>2017</w:t>
          </w:r>
        </w:p>
      </w:sdtContent>
    </w:sdt>
    <w:p w:rsidR="00327A1E" w:rsidRPr="00290C63" w:rsidRDefault="00327A1E" w:rsidP="00290C63">
      <w:r>
        <w:br w:type="page"/>
      </w:r>
    </w:p>
    <w:p w:rsidR="000A6C7B" w:rsidRDefault="00BA14FE" w:rsidP="00961A4A">
      <w:pPr>
        <w:pStyle w:val="Copyright"/>
      </w:pPr>
      <w:r>
        <w:lastRenderedPageBreak/>
        <w:t>© Commonwealth of Australia 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D03395" w:rsidRDefault="000A6C7B" w:rsidP="00B9562D">
      <w:pPr>
        <w:pStyle w:val="Copyright"/>
      </w:pPr>
      <w:r>
        <w:t>Tel:</w:t>
      </w:r>
      <w:r w:rsidR="00E6079C">
        <w:t xml:space="preserve"> 1300 585 165</w:t>
      </w:r>
      <w:r w:rsidR="00951978">
        <w:br/>
      </w:r>
      <w:r>
        <w:t xml:space="preserve">Email: </w:t>
      </w:r>
      <w:hyperlink r:id="rId11" w:history="1">
        <w:r w:rsidRPr="00D64888">
          <w:rPr>
            <w:rStyle w:val="Hyperlink"/>
          </w:rPr>
          <w:t>AERInquiry@aer.gov.au</w:t>
        </w:r>
      </w:hyperlink>
      <w:r w:rsidR="00951978">
        <w:rPr>
          <w:rStyle w:val="Hyperlink"/>
        </w:rPr>
        <w:br/>
      </w:r>
    </w:p>
    <w:p w:rsidR="00D03395" w:rsidRDefault="00D03395">
      <w:pPr>
        <w:spacing w:line="240" w:lineRule="auto"/>
        <w:rPr>
          <w:sz w:val="20"/>
          <w:szCs w:val="20"/>
        </w:rPr>
      </w:pPr>
      <w:r>
        <w:br w:type="page"/>
      </w:r>
    </w:p>
    <w:p w:rsidR="008F24D9" w:rsidRPr="008A6D43" w:rsidRDefault="008F24D9" w:rsidP="008A6D43">
      <w:pPr>
        <w:pStyle w:val="Heading1"/>
        <w:rPr>
          <w:rStyle w:val="Strong"/>
          <w:b/>
          <w:bCs/>
        </w:rPr>
      </w:pPr>
      <w:bookmarkStart w:id="1" w:name="_Toc470005473"/>
      <w:bookmarkStart w:id="2" w:name="_Toc499802913"/>
      <w:bookmarkStart w:id="3" w:name="_Toc432083534"/>
      <w:bookmarkStart w:id="4" w:name="_Toc433787709"/>
      <w:bookmarkStart w:id="5" w:name="_Toc462823940"/>
      <w:bookmarkStart w:id="6" w:name="_Toc404354899"/>
      <w:bookmarkStart w:id="7" w:name="_Toc404353070"/>
      <w:bookmarkStart w:id="8" w:name="_Toc404684201"/>
      <w:bookmarkStart w:id="9" w:name="_Toc404700923"/>
      <w:r w:rsidRPr="008A6D43">
        <w:rPr>
          <w:rStyle w:val="Strong"/>
          <w:b/>
          <w:bCs/>
        </w:rPr>
        <w:lastRenderedPageBreak/>
        <w:t>About this consultation</w:t>
      </w:r>
      <w:bookmarkEnd w:id="1"/>
      <w:bookmarkEnd w:id="2"/>
    </w:p>
    <w:p w:rsidR="008F24D9" w:rsidRPr="005137D5" w:rsidRDefault="009A005D" w:rsidP="00C74978">
      <w:pPr>
        <w:rPr>
          <w:rStyle w:val="AERbody"/>
        </w:rPr>
      </w:pPr>
      <w:r>
        <w:t>T</w:t>
      </w:r>
      <w:r w:rsidR="008F24D9" w:rsidRPr="008F24D9">
        <w:t>his explanatory statement</w:t>
      </w:r>
      <w:r w:rsidR="00F85605">
        <w:t xml:space="preserve"> and the draft amended</w:t>
      </w:r>
      <w:r w:rsidR="00DD7F8A">
        <w:t xml:space="preserve"> </w:t>
      </w:r>
      <w:r>
        <w:t>STPIS represent</w:t>
      </w:r>
      <w:r w:rsidR="008F24D9" w:rsidRPr="008F24D9">
        <w:t xml:space="preserve"> our </w:t>
      </w:r>
      <w:r w:rsidR="00407FFD">
        <w:t xml:space="preserve">formal </w:t>
      </w:r>
      <w:r w:rsidR="008F24D9" w:rsidRPr="008F24D9">
        <w:t>consultation with stakeholders on</w:t>
      </w:r>
      <w:r w:rsidR="000F6BCE">
        <w:t xml:space="preserve"> </w:t>
      </w:r>
      <w:r>
        <w:t>our proposed amendment</w:t>
      </w:r>
      <w:r w:rsidR="00407FFD">
        <w:t>s</w:t>
      </w:r>
      <w:r>
        <w:t xml:space="preserve"> to</w:t>
      </w:r>
      <w:r w:rsidR="008F24D9" w:rsidRPr="008F24D9">
        <w:t xml:space="preserve"> </w:t>
      </w:r>
      <w:r>
        <w:t xml:space="preserve">the </w:t>
      </w:r>
      <w:r w:rsidR="009170D4">
        <w:t>STPIS</w:t>
      </w:r>
      <w:r w:rsidR="00407FFD">
        <w:t>, under the guideline amendment provisions of the NER</w:t>
      </w:r>
      <w:r w:rsidR="008F24D9" w:rsidRPr="008F24D9">
        <w:t>.</w:t>
      </w:r>
      <w:r w:rsidR="005137D5">
        <w:rPr>
          <w:rStyle w:val="FootnoteReference"/>
        </w:rPr>
        <w:footnoteReference w:id="1"/>
      </w:r>
      <w:r w:rsidR="008F24D9" w:rsidRPr="008F24D9" w:rsidDel="00E86E7A">
        <w:rPr>
          <w:rStyle w:val="CommentReference"/>
        </w:rPr>
        <w:t xml:space="preserve"> </w:t>
      </w:r>
      <w:r w:rsidR="00407FFD" w:rsidRPr="005137D5">
        <w:rPr>
          <w:rStyle w:val="AERbody"/>
        </w:rPr>
        <w:t xml:space="preserve">Prior to this paper, we released two consultation documents seeking preliminary views on relevant matters. </w:t>
      </w:r>
    </w:p>
    <w:p w:rsidR="00A45C52" w:rsidRDefault="00A45C52" w:rsidP="008F24D9">
      <w:r w:rsidRPr="00A45C52">
        <w:t>The primary purpose of the STPIS is to provide incentives to Distribution Network Service Providers (distributors) to maintain the existing level of supply reliability, and to improve the reliability of supply where customers are willing to pay for these improvements.</w:t>
      </w:r>
      <w:r>
        <w:t xml:space="preserve"> </w:t>
      </w:r>
    </w:p>
    <w:p w:rsidR="000F0A9B" w:rsidRPr="000F0A9B" w:rsidRDefault="00F76351" w:rsidP="000F0A9B">
      <w:r>
        <w:t xml:space="preserve">A recent rule change requires that we develop a Distribution Reliability Measures Guideline </w:t>
      </w:r>
      <w:r w:rsidR="000F0A9B">
        <w:t xml:space="preserve">(the </w:t>
      </w:r>
      <w:r>
        <w:t>G</w:t>
      </w:r>
      <w:r w:rsidR="000F0A9B">
        <w:t>uideline)</w:t>
      </w:r>
      <w:r>
        <w:t xml:space="preserve">. We considered that the STPIS must measure supply reliability in the same manner as that specified by the Guideline. We initiated our consultation process for the development of the Guideline and a review of the STPIS by </w:t>
      </w:r>
      <w:r w:rsidR="000F0A9B" w:rsidRPr="000F0A9B">
        <w:t>publish</w:t>
      </w:r>
      <w:r>
        <w:t xml:space="preserve">ing </w:t>
      </w:r>
      <w:r w:rsidR="000F0A9B" w:rsidRPr="000F0A9B">
        <w:t>an Issues Paper (the issues paper) on 5 January 2017. The issues paper sought stakeholders’ feedback on issues we identified through evaluating the distributors’ performance outcomes under the STPIS, and outlined our position on setting up uniform distribution reliability measures across all jurisdictions</w:t>
      </w:r>
      <w:r w:rsidR="00407FFD">
        <w:t xml:space="preserve"> in the guideline</w:t>
      </w:r>
      <w:r w:rsidR="000F0A9B" w:rsidRPr="000F0A9B">
        <w:t xml:space="preserve">. </w:t>
      </w:r>
    </w:p>
    <w:p w:rsidR="000F0A9B" w:rsidRPr="000F0A9B" w:rsidRDefault="000F0A9B" w:rsidP="000F0A9B">
      <w:r w:rsidRPr="000F0A9B">
        <w:t>The issues paper also clarified that, after the initial consultation, we will split up the two matters in further consultations.</w:t>
      </w:r>
    </w:p>
    <w:p w:rsidR="008F4D19" w:rsidRDefault="000F0A9B" w:rsidP="008F4D19">
      <w:r w:rsidRPr="000F0A9B">
        <w:t>After reviewing stakeholders’ submission</w:t>
      </w:r>
      <w:r w:rsidR="003B5280">
        <w:t>s</w:t>
      </w:r>
      <w:r w:rsidRPr="000F0A9B">
        <w:t xml:space="preserve"> to the issues paper, we published a draft </w:t>
      </w:r>
      <w:r w:rsidR="005137D5">
        <w:t>G</w:t>
      </w:r>
      <w:r w:rsidRPr="000F0A9B">
        <w:t>uideline and an explanatory statement for consultation on 23 June 2017.</w:t>
      </w:r>
      <w:r w:rsidR="008F4D19" w:rsidRPr="008F4D19">
        <w:t xml:space="preserve"> </w:t>
      </w:r>
      <w:r w:rsidR="00F76351">
        <w:t xml:space="preserve">This became the second step in the STPIS review because </w:t>
      </w:r>
      <w:r w:rsidR="006F3570">
        <w:t xml:space="preserve">most of the performance measures, if changed from the current measurement method, must </w:t>
      </w:r>
      <w:r w:rsidR="00407FFD">
        <w:t xml:space="preserve">also </w:t>
      </w:r>
      <w:r w:rsidR="006F3570">
        <w:t>be reflected in the STPIS scheme design.</w:t>
      </w:r>
    </w:p>
    <w:p w:rsidR="006F3570" w:rsidRDefault="006F3570" w:rsidP="008F4D19">
      <w:r>
        <w:t xml:space="preserve">Some of the </w:t>
      </w:r>
      <w:r w:rsidR="003B5280">
        <w:t xml:space="preserve">matters discussed in this paper are related to the </w:t>
      </w:r>
      <w:r w:rsidR="009C4273">
        <w:t>G</w:t>
      </w:r>
      <w:r w:rsidR="003B5280">
        <w:t>uideline––therefore forming another round of consultation in finalising the Guideline</w:t>
      </w:r>
      <w:r>
        <w:t xml:space="preserve">. </w:t>
      </w:r>
    </w:p>
    <w:p w:rsidR="008F4D19" w:rsidRDefault="008F4D19" w:rsidP="008F4D19">
      <w:r w:rsidRPr="00704B63">
        <w:t xml:space="preserve">Following this consultation, we will </w:t>
      </w:r>
      <w:r>
        <w:t>separately publish the</w:t>
      </w:r>
      <w:r w:rsidRPr="00704B63">
        <w:t xml:space="preserve"> </w:t>
      </w:r>
      <w:r>
        <w:t>final</w:t>
      </w:r>
      <w:r w:rsidRPr="00704B63">
        <w:t xml:space="preserve"> </w:t>
      </w:r>
      <w:r w:rsidR="003B5280">
        <w:t>G</w:t>
      </w:r>
      <w:r w:rsidR="00D829F0">
        <w:t xml:space="preserve">uideline </w:t>
      </w:r>
      <w:r>
        <w:t>and the</w:t>
      </w:r>
      <w:r w:rsidRPr="00704B63">
        <w:t xml:space="preserve"> </w:t>
      </w:r>
      <w:r>
        <w:t>final</w:t>
      </w:r>
      <w:r w:rsidRPr="00704B63">
        <w:t xml:space="preserve"> </w:t>
      </w:r>
      <w:r w:rsidR="002715B0">
        <w:t>amended</w:t>
      </w:r>
      <w:r w:rsidRPr="00704B63">
        <w:t xml:space="preserve"> STPIS</w:t>
      </w:r>
      <w:r>
        <w:t>,</w:t>
      </w:r>
      <w:r w:rsidRPr="00704B63">
        <w:t xml:space="preserve"> </w:t>
      </w:r>
      <w:r>
        <w:t>taking into consideration stakeholders'</w:t>
      </w:r>
      <w:r w:rsidRPr="00704B63">
        <w:t xml:space="preserve"> submissions</w:t>
      </w:r>
      <w:r>
        <w:t>,</w:t>
      </w:r>
      <w:r w:rsidRPr="00704B63">
        <w:t xml:space="preserve"> </w:t>
      </w:r>
      <w:r>
        <w:t>prior to finalising these two documents</w:t>
      </w:r>
      <w:r w:rsidRPr="00704B63">
        <w:t>.</w:t>
      </w:r>
    </w:p>
    <w:p w:rsidR="008F24D9" w:rsidRPr="008F24D9" w:rsidRDefault="008F24D9" w:rsidP="008F24D9">
      <w:r w:rsidRPr="008F24D9">
        <w:t xml:space="preserve">Our proposed timelines are set out Section </w:t>
      </w:r>
      <w:r w:rsidRPr="008F24D9">
        <w:fldChar w:fldCharType="begin"/>
      </w:r>
      <w:r w:rsidRPr="008F24D9">
        <w:instrText xml:space="preserve"> REF _Ref470003290 \r \h </w:instrText>
      </w:r>
      <w:r w:rsidRPr="008F24D9">
        <w:fldChar w:fldCharType="separate"/>
      </w:r>
      <w:r w:rsidR="00AF7C2A">
        <w:t>1.2</w:t>
      </w:r>
      <w:r w:rsidRPr="008F24D9">
        <w:fldChar w:fldCharType="end"/>
      </w:r>
      <w:r w:rsidRPr="008F24D9">
        <w:t xml:space="preserve"> below. </w:t>
      </w:r>
    </w:p>
    <w:p w:rsidR="008F24D9" w:rsidRPr="008A6D43" w:rsidRDefault="008F24D9" w:rsidP="008A6D43">
      <w:pPr>
        <w:pStyle w:val="Heading2"/>
        <w:rPr>
          <w:rStyle w:val="Strong"/>
          <w:b/>
          <w:bCs/>
        </w:rPr>
      </w:pPr>
      <w:bookmarkStart w:id="10" w:name="_Toc470005474"/>
      <w:bookmarkStart w:id="11" w:name="_Toc499802914"/>
      <w:r w:rsidRPr="008A6D43">
        <w:rPr>
          <w:rStyle w:val="Strong"/>
          <w:b/>
          <w:bCs/>
        </w:rPr>
        <w:t>How to make a submission</w:t>
      </w:r>
      <w:bookmarkEnd w:id="10"/>
      <w:bookmarkEnd w:id="11"/>
    </w:p>
    <w:p w:rsidR="008F24D9" w:rsidRPr="00575E43" w:rsidRDefault="008F24D9" w:rsidP="003B5280">
      <w:pPr>
        <w:rPr>
          <w:rStyle w:val="AERbody"/>
        </w:rPr>
      </w:pPr>
      <w:r w:rsidRPr="008F24D9">
        <w:t xml:space="preserve">Energy consumers and </w:t>
      </w:r>
      <w:r w:rsidRPr="008F24D9">
        <w:rPr>
          <w:rStyle w:val="AERbody"/>
        </w:rPr>
        <w:t xml:space="preserve">other </w:t>
      </w:r>
      <w:r w:rsidRPr="003B5280">
        <w:rPr>
          <w:rStyle w:val="AERbody"/>
        </w:rPr>
        <w:t xml:space="preserve">interested parties are invited to make submissions on this </w:t>
      </w:r>
      <w:r w:rsidR="009C4273">
        <w:rPr>
          <w:rStyle w:val="AERbody"/>
        </w:rPr>
        <w:t>d</w:t>
      </w:r>
      <w:r w:rsidR="00EA2707" w:rsidRPr="003B5280">
        <w:rPr>
          <w:rStyle w:val="AERbody"/>
        </w:rPr>
        <w:t xml:space="preserve">raft </w:t>
      </w:r>
      <w:r w:rsidR="002715B0">
        <w:rPr>
          <w:rStyle w:val="AERbody"/>
        </w:rPr>
        <w:t>amended</w:t>
      </w:r>
      <w:r w:rsidR="00080E80" w:rsidRPr="003B5280">
        <w:rPr>
          <w:rStyle w:val="AERbody"/>
        </w:rPr>
        <w:t xml:space="preserve"> STPIS</w:t>
      </w:r>
      <w:r w:rsidRPr="003B5280">
        <w:rPr>
          <w:rStyle w:val="AERbody"/>
        </w:rPr>
        <w:t xml:space="preserve"> by </w:t>
      </w:r>
      <w:r w:rsidR="003B5280" w:rsidRPr="003B5280">
        <w:rPr>
          <w:rStyle w:val="AERbody"/>
        </w:rPr>
        <w:t xml:space="preserve">9 </w:t>
      </w:r>
      <w:r w:rsidR="00D829F0" w:rsidRPr="003B5280">
        <w:rPr>
          <w:rStyle w:val="AERbody"/>
        </w:rPr>
        <w:t xml:space="preserve">February </w:t>
      </w:r>
      <w:r w:rsidRPr="003B5280">
        <w:rPr>
          <w:rStyle w:val="AERbody"/>
        </w:rPr>
        <w:t>201</w:t>
      </w:r>
      <w:r w:rsidR="00D829F0" w:rsidRPr="003B5280">
        <w:rPr>
          <w:rStyle w:val="AERbody"/>
        </w:rPr>
        <w:t>8</w:t>
      </w:r>
      <w:r w:rsidRPr="003B5280">
        <w:rPr>
          <w:rStyle w:val="AERbody"/>
        </w:rPr>
        <w:t>.</w:t>
      </w:r>
      <w:r w:rsidRPr="00575E43">
        <w:rPr>
          <w:rStyle w:val="AERbody"/>
        </w:rPr>
        <w:t xml:space="preserve"> </w:t>
      </w:r>
    </w:p>
    <w:p w:rsidR="008F24D9" w:rsidRPr="008F24D9" w:rsidRDefault="008F24D9" w:rsidP="008F24D9">
      <w:pPr>
        <w:rPr>
          <w:rStyle w:val="AERbody"/>
        </w:rPr>
      </w:pPr>
      <w:r w:rsidRPr="008F24D9">
        <w:rPr>
          <w:rStyle w:val="AERbody"/>
        </w:rPr>
        <w:lastRenderedPageBreak/>
        <w:t>In each section</w:t>
      </w:r>
      <w:r w:rsidR="000F6BCE">
        <w:rPr>
          <w:rStyle w:val="AERbody"/>
        </w:rPr>
        <w:t xml:space="preserve"> below</w:t>
      </w:r>
      <w:r w:rsidRPr="008F24D9">
        <w:rPr>
          <w:rStyle w:val="AERbody"/>
        </w:rPr>
        <w:t>, we outline our</w:t>
      </w:r>
      <w:r w:rsidR="00080E80">
        <w:rPr>
          <w:rStyle w:val="AERbody"/>
        </w:rPr>
        <w:t xml:space="preserve"> considerations on each issue identified</w:t>
      </w:r>
      <w:r w:rsidRPr="008F24D9">
        <w:rPr>
          <w:rStyle w:val="AERbody"/>
        </w:rPr>
        <w:t xml:space="preserve">. On these issues we seek and encourage </w:t>
      </w:r>
      <w:r w:rsidR="009E62DF">
        <w:rPr>
          <w:rStyle w:val="AERbody"/>
        </w:rPr>
        <w:t>stakeholders</w:t>
      </w:r>
      <w:r w:rsidR="009E62DF" w:rsidRPr="008F24D9">
        <w:rPr>
          <w:rStyle w:val="AERbody"/>
        </w:rPr>
        <w:t xml:space="preserve"> </w:t>
      </w:r>
      <w:r w:rsidRPr="008F24D9">
        <w:rPr>
          <w:rStyle w:val="AERbody"/>
        </w:rPr>
        <w:t xml:space="preserve">to address any matter of relevance. </w:t>
      </w:r>
    </w:p>
    <w:p w:rsidR="008F24D9" w:rsidRPr="008F24D9" w:rsidRDefault="008F24D9" w:rsidP="008F24D9">
      <w:r w:rsidRPr="008F24D9">
        <w:t xml:space="preserve">We prefer that all submissions are in Microsoft Word or another text readable document format. Submissions on our </w:t>
      </w:r>
      <w:r w:rsidR="009C4273">
        <w:t>d</w:t>
      </w:r>
      <w:r w:rsidR="00EA2707">
        <w:t>raft</w:t>
      </w:r>
      <w:r w:rsidR="009C4273">
        <w:t xml:space="preserve"> </w:t>
      </w:r>
      <w:r w:rsidR="002715B0">
        <w:t>amended</w:t>
      </w:r>
      <w:r w:rsidR="00EA2707">
        <w:t xml:space="preserve"> </w:t>
      </w:r>
      <w:r w:rsidR="00080E80">
        <w:t>STPIS</w:t>
      </w:r>
      <w:r w:rsidRPr="008F24D9">
        <w:t xml:space="preserve"> should be sent to:  </w:t>
      </w:r>
      <w:hyperlink r:id="rId12" w:history="1">
        <w:r w:rsidRPr="008F24D9">
          <w:rPr>
            <w:rStyle w:val="Hyperlink"/>
          </w:rPr>
          <w:t>AERInquiry@aer.gov.au</w:t>
        </w:r>
      </w:hyperlink>
      <w:r w:rsidRPr="008F24D9">
        <w:rPr>
          <w:rStyle w:val="Hyperlink"/>
        </w:rPr>
        <w:t>.</w:t>
      </w:r>
    </w:p>
    <w:p w:rsidR="008F24D9" w:rsidRPr="008F24D9" w:rsidRDefault="008F24D9" w:rsidP="008F24D9">
      <w:r w:rsidRPr="008F24D9">
        <w:t>Alternatively, submissions can be sent to:</w:t>
      </w:r>
    </w:p>
    <w:p w:rsidR="008F24D9" w:rsidRPr="008F24D9" w:rsidRDefault="008F24D9" w:rsidP="008F24D9">
      <w:r w:rsidRPr="008F24D9">
        <w:t>Mr Chris Pattas</w:t>
      </w:r>
      <w:r w:rsidRPr="008F24D9">
        <w:br/>
        <w:t>General Manager</w:t>
      </w:r>
      <w:r w:rsidRPr="008F24D9">
        <w:br/>
        <w:t>Australian Energy Reg</w:t>
      </w:r>
      <w:r w:rsidR="009E03F8">
        <w:t>ulator</w:t>
      </w:r>
      <w:r w:rsidR="009E03F8">
        <w:br/>
        <w:t>GPO Box 520</w:t>
      </w:r>
      <w:r w:rsidR="009E03F8">
        <w:br/>
        <w:t>Melbourne VIC</w:t>
      </w:r>
      <w:r w:rsidRPr="008F24D9">
        <w:t xml:space="preserve"> 3001</w:t>
      </w:r>
    </w:p>
    <w:p w:rsidR="008F24D9" w:rsidRPr="008F24D9" w:rsidRDefault="008F24D9" w:rsidP="008F24D9">
      <w:r w:rsidRPr="008F24D9">
        <w:t>We prefer that all submissions be publicly available to facilitate an informed and transparent consultative process. Submissions will be treated as public documents unless otherwise requested. Parties wishing to submit confidential information should:</w:t>
      </w:r>
    </w:p>
    <w:p w:rsidR="008F24D9" w:rsidRPr="008F24D9" w:rsidRDefault="008F24D9" w:rsidP="008A6D43">
      <w:pPr>
        <w:pStyle w:val="ListNumber"/>
      </w:pPr>
      <w:r w:rsidRPr="008F24D9">
        <w:t>clearly identify the information that is the subject of the confidentiality claim</w:t>
      </w:r>
    </w:p>
    <w:p w:rsidR="008F24D9" w:rsidRPr="008F24D9" w:rsidRDefault="008F24D9" w:rsidP="008A6D43">
      <w:pPr>
        <w:pStyle w:val="ListNumber"/>
      </w:pPr>
      <w:proofErr w:type="gramStart"/>
      <w:r w:rsidRPr="008F24D9">
        <w:t>provide</w:t>
      </w:r>
      <w:proofErr w:type="gramEnd"/>
      <w:r w:rsidRPr="008F24D9">
        <w:t xml:space="preserve"> a non-confidential version of the submission in a form suitable for publication.</w:t>
      </w:r>
    </w:p>
    <w:p w:rsidR="008F24D9" w:rsidRPr="008F24D9" w:rsidRDefault="008F24D9" w:rsidP="008F24D9">
      <w:r w:rsidRPr="008F24D9">
        <w:t>All non-confidential submissions will be placed on our website. For further information regarding our use and disclosure of information provided to us, see the ACCC/AER Information Policy (October 2008), which is available on our website.</w:t>
      </w:r>
    </w:p>
    <w:p w:rsidR="008F24D9" w:rsidRPr="008F24D9" w:rsidRDefault="008F24D9" w:rsidP="008F24D9">
      <w:pPr>
        <w:pStyle w:val="Heading2"/>
      </w:pPr>
      <w:r w:rsidRPr="008F24D9">
        <w:t xml:space="preserve"> </w:t>
      </w:r>
      <w:bookmarkStart w:id="12" w:name="_Ref470003290"/>
      <w:bookmarkStart w:id="13" w:name="_Toc470005475"/>
      <w:bookmarkStart w:id="14" w:name="_Toc499802915"/>
      <w:r w:rsidRPr="008F24D9">
        <w:t>Timelines</w:t>
      </w:r>
      <w:bookmarkEnd w:id="12"/>
      <w:bookmarkEnd w:id="13"/>
      <w:bookmarkEnd w:id="14"/>
      <w:r w:rsidRPr="008F24D9">
        <w:t xml:space="preserve">  </w:t>
      </w:r>
    </w:p>
    <w:p w:rsidR="008F24D9" w:rsidRPr="008F24D9" w:rsidRDefault="008F24D9" w:rsidP="008F24D9">
      <w:pPr>
        <w:pStyle w:val="Tabletitle"/>
      </w:pPr>
      <w:r w:rsidRPr="008F24D9">
        <w:t xml:space="preserve">Table 1.1 </w:t>
      </w:r>
      <w:r w:rsidR="000F0A9B">
        <w:t xml:space="preserve">Indicative </w:t>
      </w:r>
      <w:r w:rsidR="00237BCE">
        <w:t xml:space="preserve">project </w:t>
      </w:r>
      <w:r w:rsidR="000F0A9B">
        <w:t>t</w:t>
      </w:r>
      <w:r w:rsidRPr="008F24D9">
        <w:t xml:space="preserve">imeline for </w:t>
      </w:r>
      <w:r w:rsidR="00080E80">
        <w:t>STPIS</w:t>
      </w:r>
      <w:r w:rsidR="000F0A9B">
        <w:t xml:space="preserve"> review</w:t>
      </w:r>
    </w:p>
    <w:tbl>
      <w:tblPr>
        <w:tblStyle w:val="AERtable-text0"/>
        <w:tblW w:w="5000" w:type="pct"/>
        <w:tblLook w:val="04A0" w:firstRow="1" w:lastRow="0" w:firstColumn="1" w:lastColumn="0" w:noHBand="0" w:noVBand="1"/>
      </w:tblPr>
      <w:tblGrid>
        <w:gridCol w:w="4593"/>
        <w:gridCol w:w="4100"/>
      </w:tblGrid>
      <w:tr w:rsidR="008F24D9" w:rsidRPr="00C103CD" w:rsidTr="00A343CD">
        <w:trPr>
          <w:cnfStyle w:val="100000000000" w:firstRow="1" w:lastRow="0" w:firstColumn="0" w:lastColumn="0" w:oddVBand="0" w:evenVBand="0" w:oddHBand="0" w:evenHBand="0" w:firstRowFirstColumn="0" w:firstRowLastColumn="0" w:lastRowFirstColumn="0" w:lastRowLastColumn="0"/>
        </w:trPr>
        <w:tc>
          <w:tcPr>
            <w:tcW w:w="2642" w:type="pct"/>
          </w:tcPr>
          <w:p w:rsidR="008F24D9" w:rsidRPr="008F24D9" w:rsidRDefault="000F0A9B" w:rsidP="000F0A9B">
            <w:r>
              <w:t>Project steps for</w:t>
            </w:r>
            <w:r w:rsidR="008F24D9" w:rsidRPr="008F24D9">
              <w:t xml:space="preserve"> </w:t>
            </w:r>
            <w:r>
              <w:t xml:space="preserve">revising the </w:t>
            </w:r>
            <w:r w:rsidR="00080E80">
              <w:t>STPIS</w:t>
            </w:r>
            <w:r>
              <w:t xml:space="preserve"> </w:t>
            </w:r>
          </w:p>
        </w:tc>
        <w:tc>
          <w:tcPr>
            <w:tcW w:w="2358" w:type="pct"/>
          </w:tcPr>
          <w:p w:rsidR="008F24D9" w:rsidRPr="008F24D9" w:rsidRDefault="008F24D9" w:rsidP="008F24D9">
            <w:r w:rsidRPr="008F24D9">
              <w:t>Date</w:t>
            </w:r>
          </w:p>
        </w:tc>
      </w:tr>
      <w:tr w:rsidR="008F24D9" w:rsidRPr="00C103CD" w:rsidTr="00A343CD">
        <w:tc>
          <w:tcPr>
            <w:tcW w:w="2642" w:type="pct"/>
          </w:tcPr>
          <w:p w:rsidR="008F24D9" w:rsidRPr="008F24D9" w:rsidRDefault="00DD7F8A" w:rsidP="001D1366">
            <w:r w:rsidRPr="00DD7F8A">
              <w:t xml:space="preserve">Publish draft </w:t>
            </w:r>
            <w:r w:rsidR="002715B0">
              <w:t>amended</w:t>
            </w:r>
            <w:r w:rsidRPr="00DD7F8A">
              <w:t xml:space="preserve"> STPIS</w:t>
            </w:r>
          </w:p>
        </w:tc>
        <w:tc>
          <w:tcPr>
            <w:tcW w:w="2358" w:type="pct"/>
          </w:tcPr>
          <w:p w:rsidR="008F24D9" w:rsidRPr="008F24D9" w:rsidRDefault="00DD7F8A" w:rsidP="008F24D9">
            <w:r>
              <w:t>December</w:t>
            </w:r>
            <w:r w:rsidR="008F24D9" w:rsidRPr="008F24D9">
              <w:t xml:space="preserve"> 2017 </w:t>
            </w:r>
          </w:p>
        </w:tc>
      </w:tr>
      <w:tr w:rsidR="008F24D9" w:rsidRPr="00C103CD" w:rsidTr="00A343CD">
        <w:trPr>
          <w:cnfStyle w:val="000000010000" w:firstRow="0" w:lastRow="0" w:firstColumn="0" w:lastColumn="0" w:oddVBand="0" w:evenVBand="0" w:oddHBand="0" w:evenHBand="1" w:firstRowFirstColumn="0" w:firstRowLastColumn="0" w:lastRowFirstColumn="0" w:lastRowLastColumn="0"/>
        </w:trPr>
        <w:tc>
          <w:tcPr>
            <w:tcW w:w="2642" w:type="pct"/>
          </w:tcPr>
          <w:p w:rsidR="008F24D9" w:rsidRPr="008F24D9" w:rsidRDefault="008F24D9" w:rsidP="009C4273">
            <w:r w:rsidRPr="008F24D9">
              <w:t xml:space="preserve">Submissions on </w:t>
            </w:r>
            <w:r w:rsidR="009C4273">
              <w:t>d</w:t>
            </w:r>
            <w:r w:rsidR="00EA2707">
              <w:t xml:space="preserve">raft </w:t>
            </w:r>
            <w:r w:rsidR="002715B0">
              <w:t>amended</w:t>
            </w:r>
            <w:r w:rsidR="00DD7F8A">
              <w:t xml:space="preserve"> </w:t>
            </w:r>
            <w:r w:rsidR="00080E80">
              <w:t>STPIS</w:t>
            </w:r>
            <w:r w:rsidRPr="008F24D9">
              <w:t xml:space="preserve"> close</w:t>
            </w:r>
          </w:p>
        </w:tc>
        <w:tc>
          <w:tcPr>
            <w:tcW w:w="2358" w:type="pct"/>
          </w:tcPr>
          <w:p w:rsidR="008F24D9" w:rsidRPr="008F24D9" w:rsidRDefault="00971903" w:rsidP="008F24D9">
            <w:r>
              <w:t>February 2018</w:t>
            </w:r>
          </w:p>
        </w:tc>
      </w:tr>
      <w:tr w:rsidR="008F24D9" w:rsidRPr="00C103CD" w:rsidTr="00A343CD">
        <w:tc>
          <w:tcPr>
            <w:tcW w:w="2642" w:type="pct"/>
          </w:tcPr>
          <w:p w:rsidR="008F24D9" w:rsidRPr="008F24D9" w:rsidRDefault="00DD7F8A" w:rsidP="001D1366">
            <w:r w:rsidRPr="00DD7F8A">
              <w:t xml:space="preserve">Publish final </w:t>
            </w:r>
            <w:r w:rsidR="002715B0">
              <w:t>amended</w:t>
            </w:r>
            <w:r>
              <w:t xml:space="preserve"> </w:t>
            </w:r>
            <w:r w:rsidRPr="00DD7F8A">
              <w:t xml:space="preserve">STPIS </w:t>
            </w:r>
          </w:p>
        </w:tc>
        <w:tc>
          <w:tcPr>
            <w:tcW w:w="2358" w:type="pct"/>
          </w:tcPr>
          <w:p w:rsidR="008F24D9" w:rsidRPr="008F24D9" w:rsidRDefault="00971903" w:rsidP="008F24D9">
            <w:r>
              <w:t>May</w:t>
            </w:r>
            <w:r w:rsidR="00DD7F8A">
              <w:t>/June</w:t>
            </w:r>
            <w:r w:rsidR="00895068">
              <w:t xml:space="preserve"> 2018</w:t>
            </w:r>
            <w:r w:rsidR="008F24D9" w:rsidRPr="008F24D9">
              <w:t xml:space="preserve"> </w:t>
            </w:r>
          </w:p>
        </w:tc>
      </w:tr>
    </w:tbl>
    <w:p w:rsidR="008F24D9" w:rsidRPr="008F24D9" w:rsidRDefault="008F24D9" w:rsidP="008F24D9"/>
    <w:p w:rsidR="00DE563D" w:rsidRPr="00A72B34" w:rsidRDefault="00DE563D" w:rsidP="0051787E">
      <w:pPr>
        <w:pStyle w:val="UnnumberedHeading"/>
        <w:numPr>
          <w:ilvl w:val="0"/>
          <w:numId w:val="22"/>
        </w:numPr>
      </w:pPr>
      <w:bookmarkStart w:id="15" w:name="_Toc403144133"/>
      <w:bookmarkStart w:id="16" w:name="_Toc499802916"/>
      <w:bookmarkEnd w:id="3"/>
      <w:bookmarkEnd w:id="4"/>
      <w:bookmarkEnd w:id="5"/>
      <w:bookmarkEnd w:id="6"/>
      <w:bookmarkEnd w:id="7"/>
      <w:bookmarkEnd w:id="8"/>
      <w:bookmarkEnd w:id="9"/>
      <w:r>
        <w:lastRenderedPageBreak/>
        <w:t>Contents</w:t>
      </w:r>
      <w:bookmarkEnd w:id="15"/>
      <w:bookmarkEnd w:id="1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54F4E"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99802913" w:history="1">
            <w:r w:rsidR="00954F4E" w:rsidRPr="00E712D8">
              <w:rPr>
                <w:rStyle w:val="Hyperlink"/>
              </w:rPr>
              <w:t>1</w:t>
            </w:r>
            <w:r w:rsidR="00954F4E">
              <w:rPr>
                <w:rFonts w:asciiTheme="minorHAnsi" w:eastAsiaTheme="minorEastAsia" w:hAnsiTheme="minorHAnsi"/>
                <w:b w:val="0"/>
                <w:color w:val="auto"/>
                <w:sz w:val="22"/>
                <w:lang w:val="en-AU" w:eastAsia="en-AU"/>
              </w:rPr>
              <w:tab/>
            </w:r>
            <w:r w:rsidR="00954F4E" w:rsidRPr="00E712D8">
              <w:rPr>
                <w:rStyle w:val="Hyperlink"/>
              </w:rPr>
              <w:t>About this consultation</w:t>
            </w:r>
            <w:r w:rsidR="00954F4E">
              <w:rPr>
                <w:webHidden/>
              </w:rPr>
              <w:tab/>
            </w:r>
            <w:r w:rsidR="00954F4E">
              <w:rPr>
                <w:webHidden/>
              </w:rPr>
              <w:fldChar w:fldCharType="begin"/>
            </w:r>
            <w:r w:rsidR="00954F4E">
              <w:rPr>
                <w:webHidden/>
              </w:rPr>
              <w:instrText xml:space="preserve"> PAGEREF _Toc499802913 \h </w:instrText>
            </w:r>
            <w:r w:rsidR="00954F4E">
              <w:rPr>
                <w:webHidden/>
              </w:rPr>
            </w:r>
            <w:r w:rsidR="00954F4E">
              <w:rPr>
                <w:webHidden/>
              </w:rPr>
              <w:fldChar w:fldCharType="separate"/>
            </w:r>
            <w:r w:rsidR="00AF7C2A">
              <w:rPr>
                <w:webHidden/>
              </w:rPr>
              <w:t>2</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14" w:history="1">
            <w:r w:rsidR="00954F4E" w:rsidRPr="00E712D8">
              <w:rPr>
                <w:rStyle w:val="Hyperlink"/>
              </w:rPr>
              <w:t>1.1</w:t>
            </w:r>
            <w:r w:rsidR="00954F4E">
              <w:rPr>
                <w:rFonts w:asciiTheme="minorHAnsi" w:eastAsiaTheme="minorEastAsia" w:hAnsiTheme="minorHAnsi"/>
                <w:b w:val="0"/>
                <w:color w:val="auto"/>
                <w:sz w:val="22"/>
                <w:lang w:eastAsia="en-AU"/>
              </w:rPr>
              <w:tab/>
            </w:r>
            <w:r w:rsidR="00954F4E" w:rsidRPr="00E712D8">
              <w:rPr>
                <w:rStyle w:val="Hyperlink"/>
              </w:rPr>
              <w:t>How to make a submission</w:t>
            </w:r>
            <w:r w:rsidR="00954F4E">
              <w:rPr>
                <w:webHidden/>
              </w:rPr>
              <w:tab/>
            </w:r>
            <w:r w:rsidR="00954F4E">
              <w:rPr>
                <w:webHidden/>
              </w:rPr>
              <w:fldChar w:fldCharType="begin"/>
            </w:r>
            <w:r w:rsidR="00954F4E">
              <w:rPr>
                <w:webHidden/>
              </w:rPr>
              <w:instrText xml:space="preserve"> PAGEREF _Toc499802914 \h </w:instrText>
            </w:r>
            <w:r w:rsidR="00954F4E">
              <w:rPr>
                <w:webHidden/>
              </w:rPr>
            </w:r>
            <w:r w:rsidR="00954F4E">
              <w:rPr>
                <w:webHidden/>
              </w:rPr>
              <w:fldChar w:fldCharType="separate"/>
            </w:r>
            <w:r w:rsidR="00AF7C2A">
              <w:rPr>
                <w:webHidden/>
              </w:rPr>
              <w:t>2</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15" w:history="1">
            <w:r w:rsidR="00954F4E" w:rsidRPr="00E712D8">
              <w:rPr>
                <w:rStyle w:val="Hyperlink"/>
              </w:rPr>
              <w:t>1.2</w:t>
            </w:r>
            <w:r w:rsidR="00954F4E">
              <w:rPr>
                <w:rFonts w:asciiTheme="minorHAnsi" w:eastAsiaTheme="minorEastAsia" w:hAnsiTheme="minorHAnsi"/>
                <w:b w:val="0"/>
                <w:color w:val="auto"/>
                <w:sz w:val="22"/>
                <w:lang w:eastAsia="en-AU"/>
              </w:rPr>
              <w:tab/>
            </w:r>
            <w:r w:rsidR="00954F4E" w:rsidRPr="00E712D8">
              <w:rPr>
                <w:rStyle w:val="Hyperlink"/>
              </w:rPr>
              <w:t>Timelines</w:t>
            </w:r>
            <w:r w:rsidR="00954F4E">
              <w:rPr>
                <w:webHidden/>
              </w:rPr>
              <w:tab/>
            </w:r>
            <w:r w:rsidR="00954F4E">
              <w:rPr>
                <w:webHidden/>
              </w:rPr>
              <w:fldChar w:fldCharType="begin"/>
            </w:r>
            <w:r w:rsidR="00954F4E">
              <w:rPr>
                <w:webHidden/>
              </w:rPr>
              <w:instrText xml:space="preserve"> PAGEREF _Toc499802915 \h </w:instrText>
            </w:r>
            <w:r w:rsidR="00954F4E">
              <w:rPr>
                <w:webHidden/>
              </w:rPr>
            </w:r>
            <w:r w:rsidR="00954F4E">
              <w:rPr>
                <w:webHidden/>
              </w:rPr>
              <w:fldChar w:fldCharType="separate"/>
            </w:r>
            <w:r w:rsidR="00AF7C2A">
              <w:rPr>
                <w:webHidden/>
              </w:rPr>
              <w:t>3</w:t>
            </w:r>
            <w:r w:rsidR="00954F4E">
              <w:rPr>
                <w:webHidden/>
              </w:rPr>
              <w:fldChar w:fldCharType="end"/>
            </w:r>
          </w:hyperlink>
        </w:p>
        <w:p w:rsidR="00954F4E" w:rsidRDefault="000D00A9">
          <w:pPr>
            <w:pStyle w:val="TOC1"/>
            <w:rPr>
              <w:rFonts w:asciiTheme="minorHAnsi" w:eastAsiaTheme="minorEastAsia" w:hAnsiTheme="minorHAnsi"/>
              <w:b w:val="0"/>
              <w:color w:val="auto"/>
              <w:sz w:val="22"/>
              <w:lang w:val="en-AU" w:eastAsia="en-AU"/>
            </w:rPr>
          </w:pPr>
          <w:hyperlink w:anchor="_Toc499802916" w:history="1">
            <w:r w:rsidR="00954F4E" w:rsidRPr="00E712D8">
              <w:rPr>
                <w:rStyle w:val="Hyperlink"/>
              </w:rPr>
              <w:t>Contents</w:t>
            </w:r>
            <w:r w:rsidR="00954F4E">
              <w:rPr>
                <w:webHidden/>
              </w:rPr>
              <w:tab/>
            </w:r>
            <w:r w:rsidR="00954F4E">
              <w:rPr>
                <w:webHidden/>
              </w:rPr>
              <w:fldChar w:fldCharType="begin"/>
            </w:r>
            <w:r w:rsidR="00954F4E">
              <w:rPr>
                <w:webHidden/>
              </w:rPr>
              <w:instrText xml:space="preserve"> PAGEREF _Toc499802916 \h </w:instrText>
            </w:r>
            <w:r w:rsidR="00954F4E">
              <w:rPr>
                <w:webHidden/>
              </w:rPr>
            </w:r>
            <w:r w:rsidR="00954F4E">
              <w:rPr>
                <w:webHidden/>
              </w:rPr>
              <w:fldChar w:fldCharType="separate"/>
            </w:r>
            <w:r w:rsidR="00AF7C2A">
              <w:rPr>
                <w:webHidden/>
              </w:rPr>
              <w:t>4</w:t>
            </w:r>
            <w:r w:rsidR="00954F4E">
              <w:rPr>
                <w:webHidden/>
              </w:rPr>
              <w:fldChar w:fldCharType="end"/>
            </w:r>
          </w:hyperlink>
        </w:p>
        <w:p w:rsidR="00954F4E" w:rsidRDefault="000D00A9">
          <w:pPr>
            <w:pStyle w:val="TOC1"/>
            <w:rPr>
              <w:rFonts w:asciiTheme="minorHAnsi" w:eastAsiaTheme="minorEastAsia" w:hAnsiTheme="minorHAnsi"/>
              <w:b w:val="0"/>
              <w:color w:val="auto"/>
              <w:sz w:val="22"/>
              <w:lang w:val="en-AU" w:eastAsia="en-AU"/>
            </w:rPr>
          </w:pPr>
          <w:hyperlink w:anchor="_Toc499802917" w:history="1">
            <w:r w:rsidR="00954F4E" w:rsidRPr="00E712D8">
              <w:rPr>
                <w:rStyle w:val="Hyperlink"/>
              </w:rPr>
              <w:t>Shortened forms</w:t>
            </w:r>
            <w:r w:rsidR="00954F4E">
              <w:rPr>
                <w:webHidden/>
              </w:rPr>
              <w:tab/>
            </w:r>
            <w:r w:rsidR="00954F4E">
              <w:rPr>
                <w:webHidden/>
              </w:rPr>
              <w:fldChar w:fldCharType="begin"/>
            </w:r>
            <w:r w:rsidR="00954F4E">
              <w:rPr>
                <w:webHidden/>
              </w:rPr>
              <w:instrText xml:space="preserve"> PAGEREF _Toc499802917 \h </w:instrText>
            </w:r>
            <w:r w:rsidR="00954F4E">
              <w:rPr>
                <w:webHidden/>
              </w:rPr>
            </w:r>
            <w:r w:rsidR="00954F4E">
              <w:rPr>
                <w:webHidden/>
              </w:rPr>
              <w:fldChar w:fldCharType="separate"/>
            </w:r>
            <w:r w:rsidR="00AF7C2A">
              <w:rPr>
                <w:webHidden/>
              </w:rPr>
              <w:t>6</w:t>
            </w:r>
            <w:r w:rsidR="00954F4E">
              <w:rPr>
                <w:webHidden/>
              </w:rPr>
              <w:fldChar w:fldCharType="end"/>
            </w:r>
          </w:hyperlink>
        </w:p>
        <w:p w:rsidR="00954F4E" w:rsidRDefault="000D00A9">
          <w:pPr>
            <w:pStyle w:val="TOC1"/>
            <w:rPr>
              <w:rFonts w:asciiTheme="minorHAnsi" w:eastAsiaTheme="minorEastAsia" w:hAnsiTheme="minorHAnsi"/>
              <w:b w:val="0"/>
              <w:color w:val="auto"/>
              <w:sz w:val="22"/>
              <w:lang w:val="en-AU" w:eastAsia="en-AU"/>
            </w:rPr>
          </w:pPr>
          <w:hyperlink w:anchor="_Toc499802918" w:history="1">
            <w:r w:rsidR="00954F4E" w:rsidRPr="00E712D8">
              <w:rPr>
                <w:rStyle w:val="Hyperlink"/>
              </w:rPr>
              <w:t>2</w:t>
            </w:r>
            <w:r w:rsidR="00954F4E">
              <w:rPr>
                <w:rFonts w:asciiTheme="minorHAnsi" w:eastAsiaTheme="minorEastAsia" w:hAnsiTheme="minorHAnsi"/>
                <w:b w:val="0"/>
                <w:color w:val="auto"/>
                <w:sz w:val="22"/>
                <w:lang w:val="en-AU" w:eastAsia="en-AU"/>
              </w:rPr>
              <w:tab/>
            </w:r>
            <w:r w:rsidR="00954F4E" w:rsidRPr="00E712D8">
              <w:rPr>
                <w:rStyle w:val="Hyperlink"/>
              </w:rPr>
              <w:t>Summary</w:t>
            </w:r>
            <w:r w:rsidR="00954F4E">
              <w:rPr>
                <w:webHidden/>
              </w:rPr>
              <w:tab/>
            </w:r>
            <w:r w:rsidR="00954F4E">
              <w:rPr>
                <w:webHidden/>
              </w:rPr>
              <w:fldChar w:fldCharType="begin"/>
            </w:r>
            <w:r w:rsidR="00954F4E">
              <w:rPr>
                <w:webHidden/>
              </w:rPr>
              <w:instrText xml:space="preserve"> PAGEREF _Toc499802918 \h </w:instrText>
            </w:r>
            <w:r w:rsidR="00954F4E">
              <w:rPr>
                <w:webHidden/>
              </w:rPr>
            </w:r>
            <w:r w:rsidR="00954F4E">
              <w:rPr>
                <w:webHidden/>
              </w:rPr>
              <w:fldChar w:fldCharType="separate"/>
            </w:r>
            <w:r w:rsidR="00AF7C2A">
              <w:rPr>
                <w:webHidden/>
              </w:rPr>
              <w:t>7</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19" w:history="1">
            <w:r w:rsidR="00954F4E" w:rsidRPr="00E712D8">
              <w:rPr>
                <w:rStyle w:val="Hyperlink"/>
              </w:rPr>
              <w:t>2.1</w:t>
            </w:r>
            <w:r w:rsidR="00954F4E">
              <w:rPr>
                <w:rFonts w:asciiTheme="minorHAnsi" w:eastAsiaTheme="minorEastAsia" w:hAnsiTheme="minorHAnsi"/>
                <w:b w:val="0"/>
                <w:color w:val="auto"/>
                <w:sz w:val="22"/>
                <w:lang w:eastAsia="en-AU"/>
              </w:rPr>
              <w:tab/>
            </w:r>
            <w:r w:rsidR="00954F4E" w:rsidRPr="00E712D8">
              <w:rPr>
                <w:rStyle w:val="Hyperlink"/>
              </w:rPr>
              <w:t>Revising our STPIS</w:t>
            </w:r>
            <w:r w:rsidR="00954F4E">
              <w:rPr>
                <w:webHidden/>
              </w:rPr>
              <w:tab/>
            </w:r>
            <w:r w:rsidR="00954F4E">
              <w:rPr>
                <w:webHidden/>
              </w:rPr>
              <w:fldChar w:fldCharType="begin"/>
            </w:r>
            <w:r w:rsidR="00954F4E">
              <w:rPr>
                <w:webHidden/>
              </w:rPr>
              <w:instrText xml:space="preserve"> PAGEREF _Toc499802919 \h </w:instrText>
            </w:r>
            <w:r w:rsidR="00954F4E">
              <w:rPr>
                <w:webHidden/>
              </w:rPr>
            </w:r>
            <w:r w:rsidR="00954F4E">
              <w:rPr>
                <w:webHidden/>
              </w:rPr>
              <w:fldChar w:fldCharType="separate"/>
            </w:r>
            <w:r w:rsidR="00AF7C2A">
              <w:rPr>
                <w:webHidden/>
              </w:rPr>
              <w:t>7</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20" w:history="1">
            <w:r w:rsidR="00954F4E" w:rsidRPr="00E712D8">
              <w:rPr>
                <w:rStyle w:val="Hyperlink"/>
              </w:rPr>
              <w:t>2.2</w:t>
            </w:r>
            <w:r w:rsidR="00954F4E">
              <w:rPr>
                <w:rFonts w:asciiTheme="minorHAnsi" w:eastAsiaTheme="minorEastAsia" w:hAnsiTheme="minorHAnsi"/>
                <w:b w:val="0"/>
                <w:color w:val="auto"/>
                <w:sz w:val="22"/>
                <w:lang w:eastAsia="en-AU"/>
              </w:rPr>
              <w:tab/>
            </w:r>
            <w:r w:rsidR="00954F4E" w:rsidRPr="00E712D8">
              <w:rPr>
                <w:rStyle w:val="Hyperlink"/>
              </w:rPr>
              <w:t>Consultation process so far</w:t>
            </w:r>
            <w:r w:rsidR="00954F4E">
              <w:rPr>
                <w:webHidden/>
              </w:rPr>
              <w:tab/>
            </w:r>
            <w:r w:rsidR="00954F4E">
              <w:rPr>
                <w:webHidden/>
              </w:rPr>
              <w:fldChar w:fldCharType="begin"/>
            </w:r>
            <w:r w:rsidR="00954F4E">
              <w:rPr>
                <w:webHidden/>
              </w:rPr>
              <w:instrText xml:space="preserve"> PAGEREF _Toc499802920 \h </w:instrText>
            </w:r>
            <w:r w:rsidR="00954F4E">
              <w:rPr>
                <w:webHidden/>
              </w:rPr>
            </w:r>
            <w:r w:rsidR="00954F4E">
              <w:rPr>
                <w:webHidden/>
              </w:rPr>
              <w:fldChar w:fldCharType="separate"/>
            </w:r>
            <w:r w:rsidR="00AF7C2A">
              <w:rPr>
                <w:webHidden/>
              </w:rPr>
              <w:t>8</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21" w:history="1">
            <w:r w:rsidR="00954F4E" w:rsidRPr="00E712D8">
              <w:rPr>
                <w:rStyle w:val="Hyperlink"/>
              </w:rPr>
              <w:t>2.3</w:t>
            </w:r>
            <w:r w:rsidR="00954F4E">
              <w:rPr>
                <w:rFonts w:asciiTheme="minorHAnsi" w:eastAsiaTheme="minorEastAsia" w:hAnsiTheme="minorHAnsi"/>
                <w:b w:val="0"/>
                <w:color w:val="auto"/>
                <w:sz w:val="22"/>
                <w:lang w:eastAsia="en-AU"/>
              </w:rPr>
              <w:tab/>
            </w:r>
            <w:r w:rsidR="00954F4E" w:rsidRPr="00E712D8">
              <w:rPr>
                <w:rStyle w:val="Hyperlink"/>
              </w:rPr>
              <w:t>Structure of this explanatory statement</w:t>
            </w:r>
            <w:r w:rsidR="00954F4E">
              <w:rPr>
                <w:webHidden/>
              </w:rPr>
              <w:tab/>
            </w:r>
            <w:r w:rsidR="00954F4E">
              <w:rPr>
                <w:webHidden/>
              </w:rPr>
              <w:fldChar w:fldCharType="begin"/>
            </w:r>
            <w:r w:rsidR="00954F4E">
              <w:rPr>
                <w:webHidden/>
              </w:rPr>
              <w:instrText xml:space="preserve"> PAGEREF _Toc499802921 \h </w:instrText>
            </w:r>
            <w:r w:rsidR="00954F4E">
              <w:rPr>
                <w:webHidden/>
              </w:rPr>
            </w:r>
            <w:r w:rsidR="00954F4E">
              <w:rPr>
                <w:webHidden/>
              </w:rPr>
              <w:fldChar w:fldCharType="separate"/>
            </w:r>
            <w:r w:rsidR="00AF7C2A">
              <w:rPr>
                <w:webHidden/>
              </w:rPr>
              <w:t>9</w:t>
            </w:r>
            <w:r w:rsidR="00954F4E">
              <w:rPr>
                <w:webHidden/>
              </w:rPr>
              <w:fldChar w:fldCharType="end"/>
            </w:r>
          </w:hyperlink>
        </w:p>
        <w:p w:rsidR="00954F4E" w:rsidRDefault="000D00A9">
          <w:pPr>
            <w:pStyle w:val="TOC1"/>
            <w:rPr>
              <w:rFonts w:asciiTheme="minorHAnsi" w:eastAsiaTheme="minorEastAsia" w:hAnsiTheme="minorHAnsi"/>
              <w:b w:val="0"/>
              <w:color w:val="auto"/>
              <w:sz w:val="22"/>
              <w:lang w:val="en-AU" w:eastAsia="en-AU"/>
            </w:rPr>
          </w:pPr>
          <w:hyperlink w:anchor="_Toc499802922" w:history="1">
            <w:r w:rsidR="00954F4E" w:rsidRPr="00E712D8">
              <w:rPr>
                <w:rStyle w:val="Hyperlink"/>
              </w:rPr>
              <w:t>3</w:t>
            </w:r>
            <w:r w:rsidR="00954F4E">
              <w:rPr>
                <w:rFonts w:asciiTheme="minorHAnsi" w:eastAsiaTheme="minorEastAsia" w:hAnsiTheme="minorHAnsi"/>
                <w:b w:val="0"/>
                <w:color w:val="auto"/>
                <w:sz w:val="22"/>
                <w:lang w:val="en-AU" w:eastAsia="en-AU"/>
              </w:rPr>
              <w:tab/>
            </w:r>
            <w:r w:rsidR="00954F4E" w:rsidRPr="00E712D8">
              <w:rPr>
                <w:rStyle w:val="Hyperlink"/>
              </w:rPr>
              <w:t>Overview of key issues</w:t>
            </w:r>
            <w:r w:rsidR="00954F4E">
              <w:rPr>
                <w:webHidden/>
              </w:rPr>
              <w:tab/>
            </w:r>
            <w:r w:rsidR="00954F4E">
              <w:rPr>
                <w:webHidden/>
              </w:rPr>
              <w:fldChar w:fldCharType="begin"/>
            </w:r>
            <w:r w:rsidR="00954F4E">
              <w:rPr>
                <w:webHidden/>
              </w:rPr>
              <w:instrText xml:space="preserve"> PAGEREF _Toc499802922 \h </w:instrText>
            </w:r>
            <w:r w:rsidR="00954F4E">
              <w:rPr>
                <w:webHidden/>
              </w:rPr>
            </w:r>
            <w:r w:rsidR="00954F4E">
              <w:rPr>
                <w:webHidden/>
              </w:rPr>
              <w:fldChar w:fldCharType="separate"/>
            </w:r>
            <w:r w:rsidR="00AF7C2A">
              <w:rPr>
                <w:webHidden/>
              </w:rPr>
              <w:t>10</w:t>
            </w:r>
            <w:r w:rsidR="00954F4E">
              <w:rPr>
                <w:webHidden/>
              </w:rPr>
              <w:fldChar w:fldCharType="end"/>
            </w:r>
          </w:hyperlink>
        </w:p>
        <w:p w:rsidR="00954F4E" w:rsidRDefault="000D00A9">
          <w:pPr>
            <w:pStyle w:val="TOC1"/>
            <w:rPr>
              <w:rFonts w:asciiTheme="minorHAnsi" w:eastAsiaTheme="minorEastAsia" w:hAnsiTheme="minorHAnsi"/>
              <w:b w:val="0"/>
              <w:color w:val="auto"/>
              <w:sz w:val="22"/>
              <w:lang w:val="en-AU" w:eastAsia="en-AU"/>
            </w:rPr>
          </w:pPr>
          <w:hyperlink w:anchor="_Toc499802923" w:history="1">
            <w:r w:rsidR="00954F4E" w:rsidRPr="00E712D8">
              <w:rPr>
                <w:rStyle w:val="Hyperlink"/>
              </w:rPr>
              <w:t>4</w:t>
            </w:r>
            <w:r w:rsidR="00954F4E">
              <w:rPr>
                <w:rFonts w:asciiTheme="minorHAnsi" w:eastAsiaTheme="minorEastAsia" w:hAnsiTheme="minorHAnsi"/>
                <w:b w:val="0"/>
                <w:color w:val="auto"/>
                <w:sz w:val="22"/>
                <w:lang w:val="en-AU" w:eastAsia="en-AU"/>
              </w:rPr>
              <w:tab/>
            </w:r>
            <w:r w:rsidR="00954F4E" w:rsidRPr="00E712D8">
              <w:rPr>
                <w:rStyle w:val="Hyperlink"/>
              </w:rPr>
              <w:t>Explanation of our draft decision</w:t>
            </w:r>
            <w:r w:rsidR="00954F4E">
              <w:rPr>
                <w:webHidden/>
              </w:rPr>
              <w:tab/>
            </w:r>
            <w:r w:rsidR="00954F4E">
              <w:rPr>
                <w:webHidden/>
              </w:rPr>
              <w:fldChar w:fldCharType="begin"/>
            </w:r>
            <w:r w:rsidR="00954F4E">
              <w:rPr>
                <w:webHidden/>
              </w:rPr>
              <w:instrText xml:space="preserve"> PAGEREF _Toc499802923 \h </w:instrText>
            </w:r>
            <w:r w:rsidR="00954F4E">
              <w:rPr>
                <w:webHidden/>
              </w:rPr>
            </w:r>
            <w:r w:rsidR="00954F4E">
              <w:rPr>
                <w:webHidden/>
              </w:rPr>
              <w:fldChar w:fldCharType="separate"/>
            </w:r>
            <w:r w:rsidR="00AF7C2A">
              <w:rPr>
                <w:webHidden/>
              </w:rPr>
              <w:t>13</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24" w:history="1">
            <w:r w:rsidR="00954F4E" w:rsidRPr="00E712D8">
              <w:rPr>
                <w:rStyle w:val="Hyperlink"/>
              </w:rPr>
              <w:t>4.1</w:t>
            </w:r>
            <w:r w:rsidR="00954F4E">
              <w:rPr>
                <w:rFonts w:asciiTheme="minorHAnsi" w:eastAsiaTheme="minorEastAsia" w:hAnsiTheme="minorHAnsi"/>
                <w:b w:val="0"/>
                <w:color w:val="auto"/>
                <w:sz w:val="22"/>
                <w:lang w:eastAsia="en-AU"/>
              </w:rPr>
              <w:tab/>
            </w:r>
            <w:r w:rsidR="00954F4E" w:rsidRPr="00E712D8">
              <w:rPr>
                <w:rStyle w:val="Hyperlink"/>
              </w:rPr>
              <w:t>Ratio of SAIFI and SAIDI incentive rates</w:t>
            </w:r>
            <w:r w:rsidR="00954F4E">
              <w:rPr>
                <w:webHidden/>
              </w:rPr>
              <w:tab/>
            </w:r>
            <w:r w:rsidR="00954F4E">
              <w:rPr>
                <w:webHidden/>
              </w:rPr>
              <w:fldChar w:fldCharType="begin"/>
            </w:r>
            <w:r w:rsidR="00954F4E">
              <w:rPr>
                <w:webHidden/>
              </w:rPr>
              <w:instrText xml:space="preserve"> PAGEREF _Toc499802924 \h </w:instrText>
            </w:r>
            <w:r w:rsidR="00954F4E">
              <w:rPr>
                <w:webHidden/>
              </w:rPr>
            </w:r>
            <w:r w:rsidR="00954F4E">
              <w:rPr>
                <w:webHidden/>
              </w:rPr>
              <w:fldChar w:fldCharType="separate"/>
            </w:r>
            <w:r w:rsidR="00AF7C2A">
              <w:rPr>
                <w:webHidden/>
              </w:rPr>
              <w:t>13</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25" w:history="1">
            <w:r w:rsidR="00954F4E" w:rsidRPr="00E712D8">
              <w:rPr>
                <w:rStyle w:val="Hyperlink"/>
              </w:rPr>
              <w:t>4.2</w:t>
            </w:r>
            <w:r w:rsidR="00954F4E">
              <w:rPr>
                <w:rFonts w:asciiTheme="minorHAnsi" w:eastAsiaTheme="minorEastAsia" w:hAnsiTheme="minorHAnsi"/>
                <w:b w:val="0"/>
                <w:color w:val="auto"/>
                <w:sz w:val="22"/>
                <w:lang w:eastAsia="en-AU"/>
              </w:rPr>
              <w:tab/>
            </w:r>
            <w:r w:rsidR="00954F4E" w:rsidRPr="00E712D8">
              <w:rPr>
                <w:rStyle w:val="Hyperlink"/>
              </w:rPr>
              <w:t>Exclusions and treatment of major event days</w:t>
            </w:r>
            <w:r w:rsidR="00954F4E">
              <w:rPr>
                <w:webHidden/>
              </w:rPr>
              <w:tab/>
            </w:r>
            <w:r w:rsidR="00954F4E">
              <w:rPr>
                <w:webHidden/>
              </w:rPr>
              <w:fldChar w:fldCharType="begin"/>
            </w:r>
            <w:r w:rsidR="00954F4E">
              <w:rPr>
                <w:webHidden/>
              </w:rPr>
              <w:instrText xml:space="preserve"> PAGEREF _Toc499802925 \h </w:instrText>
            </w:r>
            <w:r w:rsidR="00954F4E">
              <w:rPr>
                <w:webHidden/>
              </w:rPr>
            </w:r>
            <w:r w:rsidR="00954F4E">
              <w:rPr>
                <w:webHidden/>
              </w:rPr>
              <w:fldChar w:fldCharType="separate"/>
            </w:r>
            <w:r w:rsidR="00AF7C2A">
              <w:rPr>
                <w:webHidden/>
              </w:rPr>
              <w:t>17</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28" w:history="1">
            <w:r w:rsidR="00954F4E" w:rsidRPr="00E712D8">
              <w:rPr>
                <w:rStyle w:val="Hyperlink"/>
              </w:rPr>
              <w:t>4.3</w:t>
            </w:r>
            <w:r w:rsidR="00954F4E">
              <w:rPr>
                <w:rFonts w:asciiTheme="minorHAnsi" w:eastAsiaTheme="minorEastAsia" w:hAnsiTheme="minorHAnsi"/>
                <w:b w:val="0"/>
                <w:color w:val="auto"/>
                <w:sz w:val="22"/>
                <w:lang w:eastAsia="en-AU"/>
              </w:rPr>
              <w:tab/>
            </w:r>
            <w:r w:rsidR="00954F4E" w:rsidRPr="00E712D8">
              <w:rPr>
                <w:rStyle w:val="Hyperlink"/>
              </w:rPr>
              <w:t>Adjusting the targets where the reward or penalty exceed the revenue cap under STPIS</w:t>
            </w:r>
            <w:r w:rsidR="00954F4E">
              <w:rPr>
                <w:webHidden/>
              </w:rPr>
              <w:tab/>
            </w:r>
            <w:r w:rsidR="00954F4E">
              <w:rPr>
                <w:webHidden/>
              </w:rPr>
              <w:fldChar w:fldCharType="begin"/>
            </w:r>
            <w:r w:rsidR="00954F4E">
              <w:rPr>
                <w:webHidden/>
              </w:rPr>
              <w:instrText xml:space="preserve"> PAGEREF _Toc499802928 \h </w:instrText>
            </w:r>
            <w:r w:rsidR="00954F4E">
              <w:rPr>
                <w:webHidden/>
              </w:rPr>
            </w:r>
            <w:r w:rsidR="00954F4E">
              <w:rPr>
                <w:webHidden/>
              </w:rPr>
              <w:fldChar w:fldCharType="separate"/>
            </w:r>
            <w:r w:rsidR="00AF7C2A">
              <w:rPr>
                <w:webHidden/>
              </w:rPr>
              <w:t>21</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29" w:history="1">
            <w:r w:rsidR="00954F4E" w:rsidRPr="00E712D8">
              <w:rPr>
                <w:rStyle w:val="Hyperlink"/>
              </w:rPr>
              <w:t>4.4</w:t>
            </w:r>
            <w:r w:rsidR="00954F4E">
              <w:rPr>
                <w:rFonts w:asciiTheme="minorHAnsi" w:eastAsiaTheme="minorEastAsia" w:hAnsiTheme="minorHAnsi"/>
                <w:b w:val="0"/>
                <w:color w:val="auto"/>
                <w:sz w:val="22"/>
                <w:lang w:eastAsia="en-AU"/>
              </w:rPr>
              <w:tab/>
            </w:r>
            <w:r w:rsidR="00954F4E" w:rsidRPr="00E712D8">
              <w:rPr>
                <w:rStyle w:val="Hyperlink"/>
              </w:rPr>
              <w:t>Alignment with other changes proposed for the distribution reliability measures guideline (the Guideline)</w:t>
            </w:r>
            <w:r w:rsidR="00954F4E">
              <w:rPr>
                <w:webHidden/>
              </w:rPr>
              <w:tab/>
            </w:r>
            <w:r w:rsidR="00954F4E">
              <w:rPr>
                <w:webHidden/>
              </w:rPr>
              <w:fldChar w:fldCharType="begin"/>
            </w:r>
            <w:r w:rsidR="00954F4E">
              <w:rPr>
                <w:webHidden/>
              </w:rPr>
              <w:instrText xml:space="preserve"> PAGEREF _Toc499802929 \h </w:instrText>
            </w:r>
            <w:r w:rsidR="00954F4E">
              <w:rPr>
                <w:webHidden/>
              </w:rPr>
            </w:r>
            <w:r w:rsidR="00954F4E">
              <w:rPr>
                <w:webHidden/>
              </w:rPr>
              <w:fldChar w:fldCharType="separate"/>
            </w:r>
            <w:r w:rsidR="00AF7C2A">
              <w:rPr>
                <w:webHidden/>
              </w:rPr>
              <w:t>22</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30" w:history="1">
            <w:r w:rsidR="00954F4E" w:rsidRPr="00E712D8">
              <w:rPr>
                <w:rStyle w:val="Hyperlink"/>
              </w:rPr>
              <w:t>4.5</w:t>
            </w:r>
            <w:r w:rsidR="00954F4E">
              <w:rPr>
                <w:rFonts w:asciiTheme="minorHAnsi" w:eastAsiaTheme="minorEastAsia" w:hAnsiTheme="minorHAnsi"/>
                <w:b w:val="0"/>
                <w:color w:val="auto"/>
                <w:sz w:val="22"/>
                <w:lang w:eastAsia="en-AU"/>
              </w:rPr>
              <w:tab/>
            </w:r>
            <w:r w:rsidR="00954F4E" w:rsidRPr="00E712D8">
              <w:rPr>
                <w:rStyle w:val="Hyperlink"/>
              </w:rPr>
              <w:t>Balancing the incentive to maintain and improve reliability with the incentive to reduce expenditure</w:t>
            </w:r>
            <w:r w:rsidR="00954F4E">
              <w:rPr>
                <w:webHidden/>
              </w:rPr>
              <w:tab/>
            </w:r>
            <w:r w:rsidR="00954F4E">
              <w:rPr>
                <w:webHidden/>
              </w:rPr>
              <w:fldChar w:fldCharType="begin"/>
            </w:r>
            <w:r w:rsidR="00954F4E">
              <w:rPr>
                <w:webHidden/>
              </w:rPr>
              <w:instrText xml:space="preserve"> PAGEREF _Toc499802930 \h </w:instrText>
            </w:r>
            <w:r w:rsidR="00954F4E">
              <w:rPr>
                <w:webHidden/>
              </w:rPr>
            </w:r>
            <w:r w:rsidR="00954F4E">
              <w:rPr>
                <w:webHidden/>
              </w:rPr>
              <w:fldChar w:fldCharType="separate"/>
            </w:r>
            <w:r w:rsidR="00AF7C2A">
              <w:rPr>
                <w:webHidden/>
              </w:rPr>
              <w:t>24</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31" w:history="1">
            <w:r w:rsidR="00954F4E" w:rsidRPr="00E712D8">
              <w:rPr>
                <w:rStyle w:val="Hyperlink"/>
              </w:rPr>
              <w:t>4.6</w:t>
            </w:r>
            <w:r w:rsidR="00954F4E">
              <w:rPr>
                <w:rFonts w:asciiTheme="minorHAnsi" w:eastAsiaTheme="minorEastAsia" w:hAnsiTheme="minorHAnsi"/>
                <w:b w:val="0"/>
                <w:color w:val="auto"/>
                <w:sz w:val="22"/>
                <w:lang w:eastAsia="en-AU"/>
              </w:rPr>
              <w:tab/>
            </w:r>
            <w:r w:rsidR="00954F4E" w:rsidRPr="00E712D8">
              <w:rPr>
                <w:rStyle w:val="Hyperlink"/>
              </w:rPr>
              <w:t>A symmetrical financial incentive scheme</w:t>
            </w:r>
            <w:r w:rsidR="00954F4E">
              <w:rPr>
                <w:webHidden/>
              </w:rPr>
              <w:tab/>
            </w:r>
            <w:r w:rsidR="00954F4E">
              <w:rPr>
                <w:webHidden/>
              </w:rPr>
              <w:fldChar w:fldCharType="begin"/>
            </w:r>
            <w:r w:rsidR="00954F4E">
              <w:rPr>
                <w:webHidden/>
              </w:rPr>
              <w:instrText xml:space="preserve"> PAGEREF _Toc499802931 \h </w:instrText>
            </w:r>
            <w:r w:rsidR="00954F4E">
              <w:rPr>
                <w:webHidden/>
              </w:rPr>
            </w:r>
            <w:r w:rsidR="00954F4E">
              <w:rPr>
                <w:webHidden/>
              </w:rPr>
              <w:fldChar w:fldCharType="separate"/>
            </w:r>
            <w:r w:rsidR="00AF7C2A">
              <w:rPr>
                <w:webHidden/>
              </w:rPr>
              <w:t>25</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32" w:history="1">
            <w:r w:rsidR="00954F4E" w:rsidRPr="00E712D8">
              <w:rPr>
                <w:rStyle w:val="Hyperlink"/>
              </w:rPr>
              <w:t>4.7</w:t>
            </w:r>
            <w:r w:rsidR="00954F4E">
              <w:rPr>
                <w:rFonts w:asciiTheme="minorHAnsi" w:eastAsiaTheme="minorEastAsia" w:hAnsiTheme="minorHAnsi"/>
                <w:b w:val="0"/>
                <w:color w:val="auto"/>
                <w:sz w:val="22"/>
                <w:lang w:eastAsia="en-AU"/>
              </w:rPr>
              <w:tab/>
            </w:r>
            <w:r w:rsidR="00954F4E" w:rsidRPr="00E712D8">
              <w:rPr>
                <w:rStyle w:val="Hyperlink"/>
              </w:rPr>
              <w:t>How to link distributor customer engagement findings and the setting of reliability levels</w:t>
            </w:r>
            <w:r w:rsidR="00954F4E">
              <w:rPr>
                <w:webHidden/>
              </w:rPr>
              <w:tab/>
            </w:r>
            <w:r w:rsidR="00954F4E">
              <w:rPr>
                <w:webHidden/>
              </w:rPr>
              <w:fldChar w:fldCharType="begin"/>
            </w:r>
            <w:r w:rsidR="00954F4E">
              <w:rPr>
                <w:webHidden/>
              </w:rPr>
              <w:instrText xml:space="preserve"> PAGEREF _Toc499802932 \h </w:instrText>
            </w:r>
            <w:r w:rsidR="00954F4E">
              <w:rPr>
                <w:webHidden/>
              </w:rPr>
            </w:r>
            <w:r w:rsidR="00954F4E">
              <w:rPr>
                <w:webHidden/>
              </w:rPr>
              <w:fldChar w:fldCharType="separate"/>
            </w:r>
            <w:r w:rsidR="00AF7C2A">
              <w:rPr>
                <w:webHidden/>
              </w:rPr>
              <w:t>25</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33" w:history="1">
            <w:r w:rsidR="00954F4E" w:rsidRPr="00E712D8">
              <w:rPr>
                <w:rStyle w:val="Hyperlink"/>
              </w:rPr>
              <w:t>4.8</w:t>
            </w:r>
            <w:r w:rsidR="00954F4E">
              <w:rPr>
                <w:rFonts w:asciiTheme="minorHAnsi" w:eastAsiaTheme="minorEastAsia" w:hAnsiTheme="minorHAnsi"/>
                <w:b w:val="0"/>
                <w:color w:val="auto"/>
                <w:sz w:val="22"/>
                <w:lang w:eastAsia="en-AU"/>
              </w:rPr>
              <w:tab/>
            </w:r>
            <w:r w:rsidR="00954F4E" w:rsidRPr="00E712D8">
              <w:rPr>
                <w:rStyle w:val="Hyperlink"/>
              </w:rPr>
              <w:t>Interrelationship with the Demand Management Incentive Scheme</w:t>
            </w:r>
            <w:r w:rsidR="00954F4E">
              <w:rPr>
                <w:webHidden/>
              </w:rPr>
              <w:tab/>
            </w:r>
            <w:r w:rsidR="00954F4E">
              <w:rPr>
                <w:webHidden/>
              </w:rPr>
              <w:fldChar w:fldCharType="begin"/>
            </w:r>
            <w:r w:rsidR="00954F4E">
              <w:rPr>
                <w:webHidden/>
              </w:rPr>
              <w:instrText xml:space="preserve"> PAGEREF _Toc499802933 \h </w:instrText>
            </w:r>
            <w:r w:rsidR="00954F4E">
              <w:rPr>
                <w:webHidden/>
              </w:rPr>
            </w:r>
            <w:r w:rsidR="00954F4E">
              <w:rPr>
                <w:webHidden/>
              </w:rPr>
              <w:fldChar w:fldCharType="separate"/>
            </w:r>
            <w:r w:rsidR="00AF7C2A">
              <w:rPr>
                <w:webHidden/>
              </w:rPr>
              <w:t>28</w:t>
            </w:r>
            <w:r w:rsidR="00954F4E">
              <w:rPr>
                <w:webHidden/>
              </w:rPr>
              <w:fldChar w:fldCharType="end"/>
            </w:r>
          </w:hyperlink>
        </w:p>
        <w:p w:rsidR="00954F4E" w:rsidRDefault="000D00A9">
          <w:pPr>
            <w:pStyle w:val="TOC2"/>
            <w:rPr>
              <w:rFonts w:asciiTheme="minorHAnsi" w:eastAsiaTheme="minorEastAsia" w:hAnsiTheme="minorHAnsi"/>
              <w:b w:val="0"/>
              <w:color w:val="auto"/>
              <w:sz w:val="22"/>
              <w:lang w:eastAsia="en-AU"/>
            </w:rPr>
          </w:pPr>
          <w:hyperlink w:anchor="_Toc499802934" w:history="1">
            <w:r w:rsidR="00954F4E" w:rsidRPr="00E712D8">
              <w:rPr>
                <w:rStyle w:val="Hyperlink"/>
              </w:rPr>
              <w:t>4.9</w:t>
            </w:r>
            <w:r w:rsidR="00954F4E">
              <w:rPr>
                <w:rFonts w:asciiTheme="minorHAnsi" w:eastAsiaTheme="minorEastAsia" w:hAnsiTheme="minorHAnsi"/>
                <w:b w:val="0"/>
                <w:color w:val="auto"/>
                <w:sz w:val="22"/>
                <w:lang w:eastAsia="en-AU"/>
              </w:rPr>
              <w:tab/>
            </w:r>
            <w:r w:rsidR="00954F4E" w:rsidRPr="00E712D8">
              <w:rPr>
                <w:rStyle w:val="Hyperlink"/>
              </w:rPr>
              <w:t>Other minor refinements to the scheme</w:t>
            </w:r>
            <w:r w:rsidR="00954F4E">
              <w:rPr>
                <w:webHidden/>
              </w:rPr>
              <w:tab/>
            </w:r>
            <w:r w:rsidR="00954F4E">
              <w:rPr>
                <w:webHidden/>
              </w:rPr>
              <w:fldChar w:fldCharType="begin"/>
            </w:r>
            <w:r w:rsidR="00954F4E">
              <w:rPr>
                <w:webHidden/>
              </w:rPr>
              <w:instrText xml:space="preserve"> PAGEREF _Toc499802934 \h </w:instrText>
            </w:r>
            <w:r w:rsidR="00954F4E">
              <w:rPr>
                <w:webHidden/>
              </w:rPr>
            </w:r>
            <w:r w:rsidR="00954F4E">
              <w:rPr>
                <w:webHidden/>
              </w:rPr>
              <w:fldChar w:fldCharType="separate"/>
            </w:r>
            <w:r w:rsidR="00AF7C2A">
              <w:rPr>
                <w:webHidden/>
              </w:rPr>
              <w:t>29</w:t>
            </w:r>
            <w:r w:rsidR="00954F4E">
              <w:rPr>
                <w:webHidden/>
              </w:rPr>
              <w:fldChar w:fldCharType="end"/>
            </w:r>
          </w:hyperlink>
        </w:p>
        <w:p w:rsidR="00954F4E" w:rsidRDefault="000D00A9">
          <w:pPr>
            <w:pStyle w:val="TOC2"/>
            <w:tabs>
              <w:tab w:val="left" w:pos="1276"/>
            </w:tabs>
            <w:rPr>
              <w:rFonts w:asciiTheme="minorHAnsi" w:eastAsiaTheme="minorEastAsia" w:hAnsiTheme="minorHAnsi"/>
              <w:b w:val="0"/>
              <w:color w:val="auto"/>
              <w:sz w:val="22"/>
              <w:lang w:eastAsia="en-AU"/>
            </w:rPr>
          </w:pPr>
          <w:hyperlink w:anchor="_Toc499802935" w:history="1">
            <w:r w:rsidR="00954F4E" w:rsidRPr="00E712D8">
              <w:rPr>
                <w:rStyle w:val="Hyperlink"/>
              </w:rPr>
              <w:t>4.10</w:t>
            </w:r>
            <w:r w:rsidR="00954F4E">
              <w:rPr>
                <w:rFonts w:asciiTheme="minorHAnsi" w:eastAsiaTheme="minorEastAsia" w:hAnsiTheme="minorHAnsi"/>
                <w:b w:val="0"/>
                <w:color w:val="auto"/>
                <w:sz w:val="22"/>
                <w:lang w:eastAsia="en-AU"/>
              </w:rPr>
              <w:tab/>
            </w:r>
            <w:r w:rsidR="00954F4E" w:rsidRPr="00E712D8">
              <w:rPr>
                <w:rStyle w:val="Hyperlink"/>
              </w:rPr>
              <w:t>Future of STPIS</w:t>
            </w:r>
            <w:r w:rsidR="00954F4E">
              <w:rPr>
                <w:webHidden/>
              </w:rPr>
              <w:tab/>
            </w:r>
            <w:r w:rsidR="00954F4E">
              <w:rPr>
                <w:webHidden/>
              </w:rPr>
              <w:fldChar w:fldCharType="begin"/>
            </w:r>
            <w:r w:rsidR="00954F4E">
              <w:rPr>
                <w:webHidden/>
              </w:rPr>
              <w:instrText xml:space="preserve"> PAGEREF _Toc499802935 \h </w:instrText>
            </w:r>
            <w:r w:rsidR="00954F4E">
              <w:rPr>
                <w:webHidden/>
              </w:rPr>
            </w:r>
            <w:r w:rsidR="00954F4E">
              <w:rPr>
                <w:webHidden/>
              </w:rPr>
              <w:fldChar w:fldCharType="separate"/>
            </w:r>
            <w:r w:rsidR="00AF7C2A">
              <w:rPr>
                <w:webHidden/>
              </w:rPr>
              <w:t>31</w:t>
            </w:r>
            <w:r w:rsidR="00954F4E">
              <w:rPr>
                <w:webHidden/>
              </w:rPr>
              <w:fldChar w:fldCharType="end"/>
            </w:r>
          </w:hyperlink>
        </w:p>
        <w:p w:rsidR="00954F4E" w:rsidRDefault="000D00A9">
          <w:pPr>
            <w:pStyle w:val="TOC2"/>
            <w:tabs>
              <w:tab w:val="left" w:pos="1276"/>
            </w:tabs>
            <w:rPr>
              <w:rFonts w:asciiTheme="minorHAnsi" w:eastAsiaTheme="minorEastAsia" w:hAnsiTheme="minorHAnsi"/>
              <w:b w:val="0"/>
              <w:color w:val="auto"/>
              <w:sz w:val="22"/>
              <w:lang w:eastAsia="en-AU"/>
            </w:rPr>
          </w:pPr>
          <w:hyperlink w:anchor="_Toc499802936" w:history="1">
            <w:r w:rsidR="00954F4E" w:rsidRPr="00E712D8">
              <w:rPr>
                <w:rStyle w:val="Hyperlink"/>
              </w:rPr>
              <w:t>4.11</w:t>
            </w:r>
            <w:r w:rsidR="00954F4E">
              <w:rPr>
                <w:rFonts w:asciiTheme="minorHAnsi" w:eastAsiaTheme="minorEastAsia" w:hAnsiTheme="minorHAnsi"/>
                <w:b w:val="0"/>
                <w:color w:val="auto"/>
                <w:sz w:val="22"/>
                <w:lang w:eastAsia="en-AU"/>
              </w:rPr>
              <w:tab/>
            </w:r>
            <w:r w:rsidR="00954F4E" w:rsidRPr="00E712D8">
              <w:rPr>
                <w:rStyle w:val="Hyperlink"/>
              </w:rPr>
              <w:t>Issues raised during the ACT/NSW Framework and Approach development stage for the 2019-24 period</w:t>
            </w:r>
            <w:r w:rsidR="00954F4E">
              <w:rPr>
                <w:webHidden/>
              </w:rPr>
              <w:tab/>
            </w:r>
            <w:r w:rsidR="00954F4E">
              <w:rPr>
                <w:webHidden/>
              </w:rPr>
              <w:fldChar w:fldCharType="begin"/>
            </w:r>
            <w:r w:rsidR="00954F4E">
              <w:rPr>
                <w:webHidden/>
              </w:rPr>
              <w:instrText xml:space="preserve"> PAGEREF _Toc499802936 \h </w:instrText>
            </w:r>
            <w:r w:rsidR="00954F4E">
              <w:rPr>
                <w:webHidden/>
              </w:rPr>
            </w:r>
            <w:r w:rsidR="00954F4E">
              <w:rPr>
                <w:webHidden/>
              </w:rPr>
              <w:fldChar w:fldCharType="separate"/>
            </w:r>
            <w:r w:rsidR="00AF7C2A">
              <w:rPr>
                <w:webHidden/>
              </w:rPr>
              <w:t>32</w:t>
            </w:r>
            <w:r w:rsidR="00954F4E">
              <w:rPr>
                <w:webHidden/>
              </w:rPr>
              <w:fldChar w:fldCharType="end"/>
            </w:r>
          </w:hyperlink>
        </w:p>
        <w:p w:rsidR="00954F4E" w:rsidRDefault="000D00A9">
          <w:pPr>
            <w:pStyle w:val="TOC1"/>
            <w:rPr>
              <w:rFonts w:asciiTheme="minorHAnsi" w:eastAsiaTheme="minorEastAsia" w:hAnsiTheme="minorHAnsi"/>
              <w:b w:val="0"/>
              <w:color w:val="auto"/>
              <w:sz w:val="22"/>
              <w:lang w:val="en-AU" w:eastAsia="en-AU"/>
            </w:rPr>
          </w:pPr>
          <w:hyperlink w:anchor="_Toc499802937" w:history="1">
            <w:r w:rsidR="00954F4E" w:rsidRPr="00E712D8">
              <w:rPr>
                <w:rStyle w:val="Hyperlink"/>
              </w:rPr>
              <w:t>A</w:t>
            </w:r>
            <w:r w:rsidR="00954F4E">
              <w:rPr>
                <w:rFonts w:asciiTheme="minorHAnsi" w:eastAsiaTheme="minorEastAsia" w:hAnsiTheme="minorHAnsi"/>
                <w:b w:val="0"/>
                <w:color w:val="auto"/>
                <w:sz w:val="22"/>
                <w:lang w:val="en-AU" w:eastAsia="en-AU"/>
              </w:rPr>
              <w:tab/>
            </w:r>
            <w:r w:rsidR="00954F4E" w:rsidRPr="00E712D8">
              <w:rPr>
                <w:rStyle w:val="Hyperlink"/>
              </w:rPr>
              <w:t>Setting the ratio between SAIFI and SAIDI incentive rates</w:t>
            </w:r>
            <w:r w:rsidR="00954F4E">
              <w:rPr>
                <w:webHidden/>
              </w:rPr>
              <w:tab/>
            </w:r>
            <w:r w:rsidR="00954F4E">
              <w:rPr>
                <w:webHidden/>
              </w:rPr>
              <w:fldChar w:fldCharType="begin"/>
            </w:r>
            <w:r w:rsidR="00954F4E">
              <w:rPr>
                <w:webHidden/>
              </w:rPr>
              <w:instrText xml:space="preserve"> PAGEREF _Toc499802937 \h </w:instrText>
            </w:r>
            <w:r w:rsidR="00954F4E">
              <w:rPr>
                <w:webHidden/>
              </w:rPr>
            </w:r>
            <w:r w:rsidR="00954F4E">
              <w:rPr>
                <w:webHidden/>
              </w:rPr>
              <w:fldChar w:fldCharType="separate"/>
            </w:r>
            <w:r w:rsidR="00AF7C2A">
              <w:rPr>
                <w:webHidden/>
              </w:rPr>
              <w:t>33</w:t>
            </w:r>
            <w:r w:rsidR="00954F4E">
              <w:rPr>
                <w:webHidden/>
              </w:rPr>
              <w:fldChar w:fldCharType="end"/>
            </w:r>
          </w:hyperlink>
        </w:p>
        <w:p w:rsidR="00954F4E" w:rsidRDefault="000D00A9">
          <w:pPr>
            <w:pStyle w:val="TOC1"/>
            <w:rPr>
              <w:rFonts w:asciiTheme="minorHAnsi" w:eastAsiaTheme="minorEastAsia" w:hAnsiTheme="minorHAnsi"/>
              <w:b w:val="0"/>
              <w:color w:val="auto"/>
              <w:sz w:val="22"/>
              <w:lang w:val="en-AU" w:eastAsia="en-AU"/>
            </w:rPr>
          </w:pPr>
          <w:hyperlink w:anchor="_Toc499802938" w:history="1">
            <w:r w:rsidR="00954F4E" w:rsidRPr="00E712D8">
              <w:rPr>
                <w:rStyle w:val="Hyperlink"/>
              </w:rPr>
              <w:t>B</w:t>
            </w:r>
            <w:r w:rsidR="00954F4E">
              <w:rPr>
                <w:rFonts w:asciiTheme="minorHAnsi" w:eastAsiaTheme="minorEastAsia" w:hAnsiTheme="minorHAnsi"/>
                <w:b w:val="0"/>
                <w:color w:val="auto"/>
                <w:sz w:val="22"/>
                <w:lang w:val="en-AU" w:eastAsia="en-AU"/>
              </w:rPr>
              <w:tab/>
            </w:r>
            <w:r w:rsidR="00954F4E" w:rsidRPr="00E712D8">
              <w:rPr>
                <w:rStyle w:val="Hyperlink"/>
              </w:rPr>
              <w:t>Distributors' reported SAIDI and SAIFI outcomes</w:t>
            </w:r>
            <w:r w:rsidR="00954F4E">
              <w:rPr>
                <w:webHidden/>
              </w:rPr>
              <w:tab/>
            </w:r>
            <w:r w:rsidR="00954F4E">
              <w:rPr>
                <w:webHidden/>
              </w:rPr>
              <w:fldChar w:fldCharType="begin"/>
            </w:r>
            <w:r w:rsidR="00954F4E">
              <w:rPr>
                <w:webHidden/>
              </w:rPr>
              <w:instrText xml:space="preserve"> PAGEREF _Toc499802938 \h </w:instrText>
            </w:r>
            <w:r w:rsidR="00954F4E">
              <w:rPr>
                <w:webHidden/>
              </w:rPr>
            </w:r>
            <w:r w:rsidR="00954F4E">
              <w:rPr>
                <w:webHidden/>
              </w:rPr>
              <w:fldChar w:fldCharType="separate"/>
            </w:r>
            <w:r w:rsidR="00AF7C2A">
              <w:rPr>
                <w:webHidden/>
              </w:rPr>
              <w:t>40</w:t>
            </w:r>
            <w:r w:rsidR="00954F4E">
              <w:rPr>
                <w:webHidden/>
              </w:rPr>
              <w:fldChar w:fldCharType="end"/>
            </w:r>
          </w:hyperlink>
        </w:p>
        <w:p w:rsidR="00954F4E" w:rsidRDefault="000D00A9">
          <w:pPr>
            <w:pStyle w:val="TOC1"/>
            <w:rPr>
              <w:rFonts w:asciiTheme="minorHAnsi" w:eastAsiaTheme="minorEastAsia" w:hAnsiTheme="minorHAnsi"/>
              <w:b w:val="0"/>
              <w:color w:val="auto"/>
              <w:sz w:val="22"/>
              <w:lang w:val="en-AU" w:eastAsia="en-AU"/>
            </w:rPr>
          </w:pPr>
          <w:hyperlink w:anchor="_Toc499802939" w:history="1">
            <w:r w:rsidR="00954F4E" w:rsidRPr="00E712D8">
              <w:rPr>
                <w:rStyle w:val="Hyperlink"/>
              </w:rPr>
              <w:t>C</w:t>
            </w:r>
            <w:r w:rsidR="00954F4E">
              <w:rPr>
                <w:rFonts w:asciiTheme="minorHAnsi" w:eastAsiaTheme="minorEastAsia" w:hAnsiTheme="minorHAnsi"/>
                <w:b w:val="0"/>
                <w:color w:val="auto"/>
                <w:sz w:val="22"/>
                <w:lang w:val="en-AU" w:eastAsia="en-AU"/>
              </w:rPr>
              <w:tab/>
            </w:r>
            <w:r w:rsidR="00954F4E" w:rsidRPr="00E712D8">
              <w:rPr>
                <w:rStyle w:val="Hyperlink"/>
              </w:rPr>
              <w:t>Adjusting the targets where the reward or penalty exceed the revenue cap under the STPIS</w:t>
            </w:r>
            <w:r w:rsidR="00954F4E">
              <w:rPr>
                <w:webHidden/>
              </w:rPr>
              <w:tab/>
            </w:r>
            <w:r w:rsidR="00954F4E">
              <w:rPr>
                <w:webHidden/>
              </w:rPr>
              <w:fldChar w:fldCharType="begin"/>
            </w:r>
            <w:r w:rsidR="00954F4E">
              <w:rPr>
                <w:webHidden/>
              </w:rPr>
              <w:instrText xml:space="preserve"> PAGEREF _Toc499802939 \h </w:instrText>
            </w:r>
            <w:r w:rsidR="00954F4E">
              <w:rPr>
                <w:webHidden/>
              </w:rPr>
            </w:r>
            <w:r w:rsidR="00954F4E">
              <w:rPr>
                <w:webHidden/>
              </w:rPr>
              <w:fldChar w:fldCharType="separate"/>
            </w:r>
            <w:r w:rsidR="00AF7C2A">
              <w:rPr>
                <w:webHidden/>
              </w:rPr>
              <w:t>45</w:t>
            </w:r>
            <w:r w:rsidR="00954F4E">
              <w:rPr>
                <w:webHidden/>
              </w:rPr>
              <w:fldChar w:fldCharType="end"/>
            </w:r>
          </w:hyperlink>
        </w:p>
        <w:p w:rsidR="00954F4E" w:rsidRDefault="000D00A9">
          <w:pPr>
            <w:pStyle w:val="TOC1"/>
            <w:rPr>
              <w:rFonts w:asciiTheme="minorHAnsi" w:eastAsiaTheme="minorEastAsia" w:hAnsiTheme="minorHAnsi"/>
              <w:b w:val="0"/>
              <w:color w:val="auto"/>
              <w:sz w:val="22"/>
              <w:lang w:val="en-AU" w:eastAsia="en-AU"/>
            </w:rPr>
          </w:pPr>
          <w:hyperlink w:anchor="_Toc499802940" w:history="1">
            <w:r w:rsidR="00954F4E" w:rsidRPr="00E712D8">
              <w:rPr>
                <w:rStyle w:val="Hyperlink"/>
              </w:rPr>
              <w:t>D</w:t>
            </w:r>
            <w:r w:rsidR="00954F4E">
              <w:rPr>
                <w:rFonts w:asciiTheme="minorHAnsi" w:eastAsiaTheme="minorEastAsia" w:hAnsiTheme="minorHAnsi"/>
                <w:b w:val="0"/>
                <w:color w:val="auto"/>
                <w:sz w:val="22"/>
                <w:lang w:val="en-AU" w:eastAsia="en-AU"/>
              </w:rPr>
              <w:tab/>
            </w:r>
            <w:r w:rsidR="00954F4E" w:rsidRPr="00E712D8">
              <w:rPr>
                <w:rStyle w:val="Hyperlink"/>
              </w:rPr>
              <w:t>Simplify the calculation of the s-factor</w:t>
            </w:r>
            <w:r w:rsidR="00954F4E">
              <w:rPr>
                <w:webHidden/>
              </w:rPr>
              <w:tab/>
            </w:r>
            <w:r w:rsidR="00954F4E">
              <w:rPr>
                <w:webHidden/>
              </w:rPr>
              <w:fldChar w:fldCharType="begin"/>
            </w:r>
            <w:r w:rsidR="00954F4E">
              <w:rPr>
                <w:webHidden/>
              </w:rPr>
              <w:instrText xml:space="preserve"> PAGEREF _Toc499802940 \h </w:instrText>
            </w:r>
            <w:r w:rsidR="00954F4E">
              <w:rPr>
                <w:webHidden/>
              </w:rPr>
            </w:r>
            <w:r w:rsidR="00954F4E">
              <w:rPr>
                <w:webHidden/>
              </w:rPr>
              <w:fldChar w:fldCharType="separate"/>
            </w:r>
            <w:r w:rsidR="00AF7C2A">
              <w:rPr>
                <w:webHidden/>
              </w:rPr>
              <w:t>47</w:t>
            </w:r>
            <w:r w:rsidR="00954F4E">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51787E">
      <w:pPr>
        <w:pStyle w:val="UnnumberedHeading"/>
        <w:numPr>
          <w:ilvl w:val="0"/>
          <w:numId w:val="22"/>
        </w:numPr>
      </w:pPr>
      <w:bookmarkStart w:id="17" w:name="_Toc404700925"/>
      <w:bookmarkStart w:id="18" w:name="_Toc499802917"/>
      <w:r>
        <w:lastRenderedPageBreak/>
        <w:t>Shortened forms</w:t>
      </w:r>
      <w:bookmarkEnd w:id="17"/>
      <w:bookmarkEnd w:id="18"/>
    </w:p>
    <w:tbl>
      <w:tblPr>
        <w:tblStyle w:val="AERtable-numbers"/>
        <w:tblW w:w="0" w:type="auto"/>
        <w:tblLook w:val="04A0" w:firstRow="1" w:lastRow="0" w:firstColumn="1" w:lastColumn="0" w:noHBand="0" w:noVBand="1"/>
      </w:tblPr>
      <w:tblGrid>
        <w:gridCol w:w="3652"/>
        <w:gridCol w:w="5041"/>
      </w:tblGrid>
      <w:tr w:rsidR="00E7494F" w:rsidTr="000B15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51787E">
            <w:pPr>
              <w:numPr>
                <w:ilvl w:val="0"/>
                <w:numId w:val="23"/>
              </w:numPr>
            </w:pPr>
            <w:r>
              <w:t>Shortened form</w:t>
            </w:r>
          </w:p>
        </w:tc>
        <w:tc>
          <w:tcPr>
            <w:tcW w:w="5041" w:type="dxa"/>
          </w:tcPr>
          <w:p w:rsidR="00E7494F" w:rsidRDefault="00E7494F" w:rsidP="0051787E">
            <w:pPr>
              <w:numPr>
                <w:ilvl w:val="0"/>
                <w:numId w:val="23"/>
              </w:numPr>
              <w:cnfStyle w:val="100000000000" w:firstRow="1" w:lastRow="0" w:firstColumn="0" w:lastColumn="0" w:oddVBand="0" w:evenVBand="0" w:oddHBand="0" w:evenHBand="0" w:firstRowFirstColumn="0" w:firstRowLastColumn="0" w:lastRowFirstColumn="0" w:lastRowLastColumn="0"/>
            </w:pPr>
            <w:r>
              <w:t>Extended form</w:t>
            </w:r>
          </w:p>
        </w:tc>
      </w:tr>
      <w:tr w:rsidR="00671A17" w:rsidTr="000B15BF">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AEMC</w:t>
            </w:r>
          </w:p>
        </w:tc>
        <w:tc>
          <w:tcPr>
            <w:tcW w:w="5041" w:type="dxa"/>
          </w:tcPr>
          <w:p w:rsidR="00671A17" w:rsidRPr="00671A17" w:rsidRDefault="00671A17"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Australian Energy Market Commission</w:t>
            </w:r>
          </w:p>
        </w:tc>
      </w:tr>
      <w:tr w:rsidR="00671A17" w:rsidTr="000B15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AER</w:t>
            </w:r>
          </w:p>
        </w:tc>
        <w:tc>
          <w:tcPr>
            <w:tcW w:w="5041" w:type="dxa"/>
          </w:tcPr>
          <w:p w:rsidR="00671A17" w:rsidRPr="00671A17" w:rsidRDefault="00671A17" w:rsidP="00671A17">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 xml:space="preserve">Australian Energy </w:t>
            </w:r>
            <w:r w:rsidRPr="00671A17">
              <w:rPr>
                <w:rStyle w:val="AERtextsize8"/>
              </w:rPr>
              <w:t>Regulator</w:t>
            </w:r>
          </w:p>
        </w:tc>
      </w:tr>
      <w:tr w:rsidR="009E62DF" w:rsidTr="000B15BF">
        <w:tc>
          <w:tcPr>
            <w:cnfStyle w:val="001000000000" w:firstRow="0" w:lastRow="0" w:firstColumn="1" w:lastColumn="0" w:oddVBand="0" w:evenVBand="0" w:oddHBand="0" w:evenHBand="0" w:firstRowFirstColumn="0" w:firstRowLastColumn="0" w:lastRowFirstColumn="0" w:lastRowLastColumn="0"/>
            <w:tcW w:w="3652" w:type="dxa"/>
          </w:tcPr>
          <w:p w:rsidR="009E62DF" w:rsidRPr="00712239" w:rsidRDefault="009E62DF" w:rsidP="00671A17">
            <w:pPr>
              <w:pStyle w:val="AERtabletextleft"/>
              <w:rPr>
                <w:rStyle w:val="AERtextsize8"/>
              </w:rPr>
            </w:pPr>
            <w:r>
              <w:rPr>
                <w:rStyle w:val="AERtextsize8"/>
              </w:rPr>
              <w:t>CAIDI</w:t>
            </w:r>
          </w:p>
        </w:tc>
        <w:tc>
          <w:tcPr>
            <w:tcW w:w="5041" w:type="dxa"/>
          </w:tcPr>
          <w:p w:rsidR="009E62DF" w:rsidRPr="00712239" w:rsidRDefault="009E62DF"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9E62DF">
              <w:rPr>
                <w:rStyle w:val="AERtextsize8"/>
              </w:rPr>
              <w:t>Customer Average Interruption Duration Index</w:t>
            </w:r>
          </w:p>
        </w:tc>
      </w:tr>
      <w:tr w:rsidR="00671A17" w:rsidTr="000B15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distributor</w:t>
            </w:r>
          </w:p>
        </w:tc>
        <w:tc>
          <w:tcPr>
            <w:tcW w:w="5041" w:type="dxa"/>
          </w:tcPr>
          <w:p w:rsidR="00671A17" w:rsidRPr="00671A17" w:rsidRDefault="00671A17" w:rsidP="00671A17">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distribution network service provider</w:t>
            </w:r>
          </w:p>
        </w:tc>
      </w:tr>
      <w:tr w:rsidR="009E62DF" w:rsidTr="000B15BF">
        <w:tc>
          <w:tcPr>
            <w:cnfStyle w:val="001000000000" w:firstRow="0" w:lastRow="0" w:firstColumn="1" w:lastColumn="0" w:oddVBand="0" w:evenVBand="0" w:oddHBand="0" w:evenHBand="0" w:firstRowFirstColumn="0" w:firstRowLastColumn="0" w:lastRowFirstColumn="0" w:lastRowLastColumn="0"/>
            <w:tcW w:w="3652" w:type="dxa"/>
          </w:tcPr>
          <w:p w:rsidR="009E62DF" w:rsidRDefault="009E62DF" w:rsidP="00671A17">
            <w:pPr>
              <w:pStyle w:val="AERtabletextleft"/>
              <w:rPr>
                <w:rStyle w:val="AERtextsize8"/>
              </w:rPr>
            </w:pPr>
            <w:r>
              <w:rPr>
                <w:rStyle w:val="AERtextsize8"/>
              </w:rPr>
              <w:t>ENA</w:t>
            </w:r>
          </w:p>
        </w:tc>
        <w:tc>
          <w:tcPr>
            <w:tcW w:w="5041" w:type="dxa"/>
          </w:tcPr>
          <w:p w:rsidR="009E62DF" w:rsidRDefault="009E62DF"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9E62DF">
              <w:rPr>
                <w:rStyle w:val="AERtextsize8"/>
              </w:rPr>
              <w:t>Energy Networks Australia</w:t>
            </w:r>
          </w:p>
        </w:tc>
      </w:tr>
      <w:tr w:rsidR="009E62DF" w:rsidTr="000B15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E62DF" w:rsidRDefault="009E62DF" w:rsidP="00671A17">
            <w:pPr>
              <w:pStyle w:val="AERtabletextleft"/>
              <w:rPr>
                <w:rStyle w:val="AERtextsize8"/>
              </w:rPr>
            </w:pPr>
            <w:r>
              <w:rPr>
                <w:rStyle w:val="AERtextsize8"/>
              </w:rPr>
              <w:t>Guideline (the)</w:t>
            </w:r>
          </w:p>
        </w:tc>
        <w:tc>
          <w:tcPr>
            <w:tcW w:w="5041" w:type="dxa"/>
          </w:tcPr>
          <w:p w:rsidR="009E62DF" w:rsidRDefault="009E62DF" w:rsidP="00671A17">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distribution reliability measures guideline</w:t>
            </w:r>
          </w:p>
        </w:tc>
      </w:tr>
      <w:tr w:rsidR="00671A17" w:rsidTr="000B15BF">
        <w:tc>
          <w:tcPr>
            <w:cnfStyle w:val="001000000000" w:firstRow="0" w:lastRow="0" w:firstColumn="1" w:lastColumn="0" w:oddVBand="0" w:evenVBand="0" w:oddHBand="0" w:evenHBand="0" w:firstRowFirstColumn="0" w:firstRowLastColumn="0" w:lastRowFirstColumn="0" w:lastRowLastColumn="0"/>
            <w:tcW w:w="3652" w:type="dxa"/>
          </w:tcPr>
          <w:p w:rsidR="00671A17" w:rsidRPr="00712239" w:rsidRDefault="00671A17" w:rsidP="00671A17">
            <w:pPr>
              <w:pStyle w:val="AERtabletextleft"/>
              <w:rPr>
                <w:rStyle w:val="AERtextsize8"/>
              </w:rPr>
            </w:pPr>
            <w:r>
              <w:rPr>
                <w:rStyle w:val="AERtextsize8"/>
              </w:rPr>
              <w:t>MAIFI</w:t>
            </w:r>
          </w:p>
        </w:tc>
        <w:tc>
          <w:tcPr>
            <w:tcW w:w="5041" w:type="dxa"/>
          </w:tcPr>
          <w:p w:rsidR="00671A17" w:rsidRPr="00712239" w:rsidRDefault="00671A17"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m</w:t>
            </w:r>
            <w:r w:rsidRPr="00671A17">
              <w:rPr>
                <w:rStyle w:val="AERtextsize8"/>
              </w:rPr>
              <w:t>omentary average interruption frequency index</w:t>
            </w:r>
          </w:p>
        </w:tc>
      </w:tr>
      <w:tr w:rsidR="00A41CD6" w:rsidTr="00445E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top"/>
          </w:tcPr>
          <w:p w:rsidR="00A41CD6" w:rsidRPr="00A41CD6" w:rsidRDefault="00A41CD6" w:rsidP="00445EE9">
            <w:proofErr w:type="spellStart"/>
            <w:r w:rsidRPr="00A41CD6">
              <w:t>MAIFIe</w:t>
            </w:r>
            <w:proofErr w:type="spellEnd"/>
          </w:p>
        </w:tc>
        <w:tc>
          <w:tcPr>
            <w:tcW w:w="5041" w:type="dxa"/>
            <w:vAlign w:val="top"/>
          </w:tcPr>
          <w:p w:rsidR="00A41CD6" w:rsidRPr="00A41CD6" w:rsidRDefault="00A41CD6" w:rsidP="00445EE9">
            <w:pPr>
              <w:cnfStyle w:val="000000010000" w:firstRow="0" w:lastRow="0" w:firstColumn="0" w:lastColumn="0" w:oddVBand="0" w:evenVBand="0" w:oddHBand="0" w:evenHBand="1" w:firstRowFirstColumn="0" w:firstRowLastColumn="0" w:lastRowFirstColumn="0" w:lastRowLastColumn="0"/>
            </w:pPr>
            <w:r w:rsidRPr="00A41CD6">
              <w:t>momentary average interruption frequency index event</w:t>
            </w:r>
          </w:p>
        </w:tc>
      </w:tr>
      <w:tr w:rsidR="00A41CD6" w:rsidTr="00445EE9">
        <w:tc>
          <w:tcPr>
            <w:cnfStyle w:val="001000000000" w:firstRow="0" w:lastRow="0" w:firstColumn="1" w:lastColumn="0" w:oddVBand="0" w:evenVBand="0" w:oddHBand="0" w:evenHBand="0" w:firstRowFirstColumn="0" w:firstRowLastColumn="0" w:lastRowFirstColumn="0" w:lastRowLastColumn="0"/>
            <w:tcW w:w="3652" w:type="dxa"/>
            <w:vAlign w:val="top"/>
          </w:tcPr>
          <w:p w:rsidR="00A41CD6" w:rsidRPr="00A41CD6" w:rsidRDefault="00A41CD6" w:rsidP="00445EE9">
            <w:r w:rsidRPr="00A41CD6">
              <w:t>NEL</w:t>
            </w:r>
          </w:p>
        </w:tc>
        <w:tc>
          <w:tcPr>
            <w:tcW w:w="5041" w:type="dxa"/>
            <w:vAlign w:val="top"/>
          </w:tcPr>
          <w:p w:rsidR="00A41CD6" w:rsidRPr="00A41CD6" w:rsidRDefault="00A41CD6" w:rsidP="00445EE9">
            <w:pPr>
              <w:cnfStyle w:val="000000000000" w:firstRow="0" w:lastRow="0" w:firstColumn="0" w:lastColumn="0" w:oddVBand="0" w:evenVBand="0" w:oddHBand="0" w:evenHBand="0" w:firstRowFirstColumn="0" w:firstRowLastColumn="0" w:lastRowFirstColumn="0" w:lastRowLastColumn="0"/>
            </w:pPr>
            <w:r w:rsidRPr="00A41CD6">
              <w:t>national electricity law</w:t>
            </w:r>
          </w:p>
        </w:tc>
      </w:tr>
      <w:tr w:rsidR="00671A17" w:rsidTr="000B15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NER</w:t>
            </w:r>
          </w:p>
        </w:tc>
        <w:tc>
          <w:tcPr>
            <w:tcW w:w="5041" w:type="dxa"/>
          </w:tcPr>
          <w:p w:rsidR="00671A17" w:rsidRPr="00671A17" w:rsidRDefault="00671A17" w:rsidP="00671A17">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national electricity rules</w:t>
            </w:r>
          </w:p>
        </w:tc>
      </w:tr>
      <w:tr w:rsidR="00671A17" w:rsidTr="000B15BF">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RIN</w:t>
            </w:r>
          </w:p>
        </w:tc>
        <w:tc>
          <w:tcPr>
            <w:tcW w:w="5041" w:type="dxa"/>
          </w:tcPr>
          <w:p w:rsidR="00671A17" w:rsidRPr="00671A17" w:rsidRDefault="00671A17"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regulatory information notice</w:t>
            </w:r>
          </w:p>
        </w:tc>
      </w:tr>
      <w:tr w:rsidR="00671A17" w:rsidTr="000B15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SAIDI</w:t>
            </w:r>
          </w:p>
        </w:tc>
        <w:tc>
          <w:tcPr>
            <w:tcW w:w="5041" w:type="dxa"/>
          </w:tcPr>
          <w:p w:rsidR="00671A17" w:rsidRPr="00671A17" w:rsidRDefault="00671A17" w:rsidP="00671A17">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 xml:space="preserve">system average </w:t>
            </w:r>
            <w:r w:rsidRPr="00671A17">
              <w:rPr>
                <w:rStyle w:val="AERtextsize8"/>
              </w:rPr>
              <w:t>interruption duration index</w:t>
            </w:r>
          </w:p>
        </w:tc>
      </w:tr>
      <w:tr w:rsidR="00671A17" w:rsidTr="000B15BF">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SAIFI</w:t>
            </w:r>
          </w:p>
        </w:tc>
        <w:tc>
          <w:tcPr>
            <w:tcW w:w="5041" w:type="dxa"/>
          </w:tcPr>
          <w:p w:rsidR="00671A17" w:rsidRPr="00671A17" w:rsidRDefault="00671A17"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system average interruption frequency index</w:t>
            </w:r>
          </w:p>
        </w:tc>
      </w:tr>
      <w:tr w:rsidR="00671A17" w:rsidTr="000B15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STPIS</w:t>
            </w:r>
          </w:p>
        </w:tc>
        <w:tc>
          <w:tcPr>
            <w:tcW w:w="5041" w:type="dxa"/>
          </w:tcPr>
          <w:p w:rsidR="00671A17" w:rsidRPr="00671A17" w:rsidRDefault="00671A17" w:rsidP="00671A17">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service target performance incentive scheme</w:t>
            </w:r>
          </w:p>
        </w:tc>
      </w:tr>
      <w:tr w:rsidR="003A02BF" w:rsidTr="000B15BF">
        <w:tc>
          <w:tcPr>
            <w:cnfStyle w:val="001000000000" w:firstRow="0" w:lastRow="0" w:firstColumn="1" w:lastColumn="0" w:oddVBand="0" w:evenVBand="0" w:oddHBand="0" w:evenHBand="0" w:firstRowFirstColumn="0" w:firstRowLastColumn="0" w:lastRowFirstColumn="0" w:lastRowLastColumn="0"/>
            <w:tcW w:w="3652" w:type="dxa"/>
          </w:tcPr>
          <w:p w:rsidR="003A02BF" w:rsidRPr="00712239" w:rsidRDefault="003A02BF" w:rsidP="00671A17">
            <w:pPr>
              <w:pStyle w:val="AERtabletextleft"/>
              <w:rPr>
                <w:rStyle w:val="AERtextsize8"/>
              </w:rPr>
            </w:pPr>
            <w:r>
              <w:rPr>
                <w:rStyle w:val="AERtextsize8"/>
              </w:rPr>
              <w:t>VCR</w:t>
            </w:r>
          </w:p>
        </w:tc>
        <w:tc>
          <w:tcPr>
            <w:tcW w:w="5041" w:type="dxa"/>
          </w:tcPr>
          <w:p w:rsidR="003A02BF" w:rsidRPr="00712239" w:rsidRDefault="003A02BF"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3A02BF">
              <w:rPr>
                <w:rStyle w:val="AERtextsize8"/>
              </w:rPr>
              <w:t>value of customer reliability</w:t>
            </w:r>
          </w:p>
        </w:tc>
      </w:tr>
    </w:tbl>
    <w:p w:rsidR="00185A92" w:rsidRPr="00185A92" w:rsidRDefault="00185A92" w:rsidP="00185A92">
      <w:bookmarkStart w:id="19" w:name="_Toc470005394"/>
      <w:bookmarkStart w:id="20" w:name="_Toc470005478"/>
      <w:bookmarkStart w:id="21" w:name="_Toc470005395"/>
      <w:bookmarkStart w:id="22" w:name="_Toc470005479"/>
      <w:bookmarkStart w:id="23" w:name="_Toc470005396"/>
      <w:bookmarkStart w:id="24" w:name="_Toc470005480"/>
      <w:bookmarkStart w:id="25" w:name="_Toc470005397"/>
      <w:bookmarkStart w:id="26" w:name="_Toc470005481"/>
      <w:bookmarkStart w:id="27" w:name="_Toc470005398"/>
      <w:bookmarkStart w:id="28" w:name="_Toc470005482"/>
      <w:bookmarkStart w:id="29" w:name="_Toc470005399"/>
      <w:bookmarkStart w:id="30" w:name="_Toc470005483"/>
      <w:bookmarkStart w:id="31" w:name="_Toc470005400"/>
      <w:bookmarkStart w:id="32" w:name="_Toc470005484"/>
      <w:bookmarkStart w:id="33" w:name="_Toc470005401"/>
      <w:bookmarkStart w:id="34" w:name="_Toc470005485"/>
      <w:bookmarkStart w:id="35" w:name="_Toc470005402"/>
      <w:bookmarkStart w:id="36" w:name="_Toc470005486"/>
      <w:bookmarkStart w:id="37" w:name="_Toc470005403"/>
      <w:bookmarkStart w:id="38" w:name="_Toc470005487"/>
      <w:bookmarkStart w:id="39" w:name="_Toc470005404"/>
      <w:bookmarkStart w:id="40" w:name="_Toc470005488"/>
      <w:bookmarkStart w:id="41" w:name="_Toc470005405"/>
      <w:bookmarkStart w:id="42" w:name="_Toc470005489"/>
      <w:bookmarkStart w:id="43" w:name="_Toc470005406"/>
      <w:bookmarkStart w:id="44" w:name="_Toc470005490"/>
      <w:bookmarkStart w:id="45" w:name="_Toc470005407"/>
      <w:bookmarkStart w:id="46" w:name="_Toc470005491"/>
      <w:bookmarkStart w:id="47" w:name="_Toc470005408"/>
      <w:bookmarkStart w:id="48" w:name="_Toc470005492"/>
      <w:bookmarkStart w:id="49" w:name="_Toc430002782"/>
      <w:bookmarkStart w:id="50" w:name="_Toc43604616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F24D9" w:rsidRDefault="008F0E11" w:rsidP="008F24D9">
      <w:pPr>
        <w:pStyle w:val="Heading1"/>
      </w:pPr>
      <w:bookmarkStart w:id="51" w:name="_Toc499802918"/>
      <w:r>
        <w:lastRenderedPageBreak/>
        <w:t>Summary</w:t>
      </w:r>
      <w:bookmarkEnd w:id="51"/>
    </w:p>
    <w:p w:rsidR="002D2253" w:rsidRDefault="00904074" w:rsidP="002D2253">
      <w:r w:rsidRPr="00904074">
        <w:t xml:space="preserve">We are required to publish, administer and maintain a </w:t>
      </w:r>
      <w:r w:rsidR="00AD37DB">
        <w:t>STPIS in accordance with rule 6.6.2</w:t>
      </w:r>
      <w:r w:rsidRPr="00904074">
        <w:t xml:space="preserve"> of the National Electricity Rules (NER) with the purpose of </w:t>
      </w:r>
      <w:r w:rsidR="002D2253">
        <w:t xml:space="preserve">providing incentives for </w:t>
      </w:r>
      <w:r w:rsidR="00AD37DB" w:rsidRPr="00AD37DB">
        <w:t>maintain</w:t>
      </w:r>
      <w:r w:rsidR="00AD37DB">
        <w:t>ing and improving</w:t>
      </w:r>
      <w:r w:rsidR="00AD37DB" w:rsidRPr="00AD37DB">
        <w:t xml:space="preserve"> performance </w:t>
      </w:r>
      <w:r w:rsidRPr="00904074">
        <w:t>of distributors</w:t>
      </w:r>
      <w:r w:rsidR="002D2253">
        <w:t xml:space="preserve"> to the extent that customers are </w:t>
      </w:r>
      <w:r w:rsidR="002D2253" w:rsidRPr="00A45C52">
        <w:t xml:space="preserve">willing to pay for </w:t>
      </w:r>
      <w:r w:rsidR="001722D7">
        <w:t>such</w:t>
      </w:r>
      <w:r w:rsidR="002D2253" w:rsidRPr="00A45C52">
        <w:t xml:space="preserve"> improvements.</w:t>
      </w:r>
      <w:r w:rsidR="002D2253">
        <w:t xml:space="preserve"> </w:t>
      </w:r>
    </w:p>
    <w:p w:rsidR="00904074" w:rsidRPr="00904074" w:rsidRDefault="002E2346" w:rsidP="00904074">
      <w:r>
        <w:t>This</w:t>
      </w:r>
      <w:r w:rsidR="00904074" w:rsidRPr="00904074">
        <w:t xml:space="preserve"> explanatory statement</w:t>
      </w:r>
      <w:r>
        <w:t>, together with the accompanying draft amended STPIS,</w:t>
      </w:r>
      <w:r w:rsidR="00904074" w:rsidRPr="00904074">
        <w:t xml:space="preserve"> outlin</w:t>
      </w:r>
      <w:r>
        <w:t>es</w:t>
      </w:r>
      <w:r w:rsidR="00904074" w:rsidRPr="00904074">
        <w:t xml:space="preserve"> our reasons for </w:t>
      </w:r>
      <w:r w:rsidR="000F0A9B">
        <w:t>amending the STPIS</w:t>
      </w:r>
      <w:r>
        <w:t>. We</w:t>
      </w:r>
      <w:r w:rsidR="00904074" w:rsidRPr="00904074">
        <w:t xml:space="preserve"> seek stakeholders’ responses on adopting these </w:t>
      </w:r>
      <w:r w:rsidR="000F0A9B">
        <w:t>changes</w:t>
      </w:r>
      <w:r w:rsidR="00904074" w:rsidRPr="00904074">
        <w:t>.</w:t>
      </w:r>
    </w:p>
    <w:p w:rsidR="00BF4D13" w:rsidRDefault="002E2346" w:rsidP="008F24D9">
      <w:r>
        <w:t xml:space="preserve">Before </w:t>
      </w:r>
      <w:r w:rsidR="000F0A9B">
        <w:t>amending</w:t>
      </w:r>
      <w:r w:rsidR="00904074">
        <w:t xml:space="preserve"> the </w:t>
      </w:r>
      <w:r w:rsidR="000F0A9B">
        <w:t>STPIS</w:t>
      </w:r>
      <w:r w:rsidR="00BF4D13" w:rsidRPr="008F24D9">
        <w:t>, we must have regard to</w:t>
      </w:r>
      <w:r w:rsidR="003D606E">
        <w:t xml:space="preserve"> stakeholders</w:t>
      </w:r>
      <w:r w:rsidR="003068A6">
        <w:t>'</w:t>
      </w:r>
      <w:r w:rsidR="003D606E">
        <w:t xml:space="preserve"> submissions to our issues paper and the </w:t>
      </w:r>
      <w:r w:rsidR="003068A6">
        <w:t xml:space="preserve">draft </w:t>
      </w:r>
      <w:r w:rsidR="005137D5">
        <w:t>Distribution Reliability Measures</w:t>
      </w:r>
      <w:r w:rsidR="00407FFD">
        <w:t xml:space="preserve"> </w:t>
      </w:r>
      <w:r w:rsidR="00445EE9">
        <w:t>G</w:t>
      </w:r>
      <w:r w:rsidR="003D606E">
        <w:t xml:space="preserve">uideline. </w:t>
      </w:r>
      <w:r w:rsidR="001722D7">
        <w:t xml:space="preserve">It is important that </w:t>
      </w:r>
      <w:r w:rsidR="00BF4D13">
        <w:t xml:space="preserve">the </w:t>
      </w:r>
      <w:r w:rsidR="003D606E">
        <w:t xml:space="preserve">definitions and measures </w:t>
      </w:r>
      <w:r w:rsidR="001722D7">
        <w:t xml:space="preserve">for </w:t>
      </w:r>
      <w:r w:rsidR="003D606E">
        <w:t xml:space="preserve">distribution reliability </w:t>
      </w:r>
      <w:r w:rsidR="00DB66CF">
        <w:t>are</w:t>
      </w:r>
      <w:r w:rsidR="001722D7">
        <w:t xml:space="preserve"> consistent with those used in the STPIS, which provide</w:t>
      </w:r>
      <w:r w:rsidR="005C391A">
        <w:t>s</w:t>
      </w:r>
      <w:r w:rsidR="001722D7">
        <w:t xml:space="preserve"> the financial incentive to </w:t>
      </w:r>
      <w:r w:rsidR="00BF4D13">
        <w:t xml:space="preserve">distributors' </w:t>
      </w:r>
      <w:r w:rsidR="003D606E">
        <w:t>service performance and</w:t>
      </w:r>
      <w:r w:rsidR="001722D7">
        <w:t xml:space="preserve"> reliability</w:t>
      </w:r>
      <w:r w:rsidR="003D606E">
        <w:t xml:space="preserve"> </w:t>
      </w:r>
      <w:r w:rsidR="00BF4D13">
        <w:t xml:space="preserve">outcomes. </w:t>
      </w:r>
    </w:p>
    <w:p w:rsidR="008F4D19" w:rsidRPr="008F4D19" w:rsidRDefault="002E2346" w:rsidP="008F4D19">
      <w:pPr>
        <w:rPr>
          <w:rStyle w:val="AERbody"/>
        </w:rPr>
      </w:pPr>
      <w:r>
        <w:t>We have received submissions</w:t>
      </w:r>
      <w:r w:rsidR="003068A6">
        <w:t xml:space="preserve"> to</w:t>
      </w:r>
      <w:r w:rsidR="003D606E">
        <w:t xml:space="preserve"> our draft guideline </w:t>
      </w:r>
      <w:r w:rsidR="003068A6">
        <w:t xml:space="preserve">on </w:t>
      </w:r>
      <w:r w:rsidR="003D606E">
        <w:t xml:space="preserve">the </w:t>
      </w:r>
      <w:r w:rsidR="003D606E" w:rsidRPr="003D606E">
        <w:t>treatment of “catastrophic days” with respect to major events day (MED) exclusion</w:t>
      </w:r>
      <w:r w:rsidR="003068A6">
        <w:t xml:space="preserve">. </w:t>
      </w:r>
      <w:r w:rsidR="008F4D19" w:rsidRPr="008F4D19">
        <w:rPr>
          <w:rStyle w:val="AERbody"/>
        </w:rPr>
        <w:t xml:space="preserve">Since MED exclusion under the guideline should be closely reflected in the STPIS, </w:t>
      </w:r>
      <w:r w:rsidR="008F4D19">
        <w:rPr>
          <w:rStyle w:val="AERbody"/>
        </w:rPr>
        <w:t xml:space="preserve">we set out </w:t>
      </w:r>
      <w:r w:rsidR="008F4D19" w:rsidRPr="008F4D19">
        <w:rPr>
          <w:rStyle w:val="AERbody"/>
        </w:rPr>
        <w:t xml:space="preserve">our proposed approach </w:t>
      </w:r>
      <w:r w:rsidR="003068A6">
        <w:rPr>
          <w:rStyle w:val="AERbody"/>
        </w:rPr>
        <w:t xml:space="preserve">on the treatment of </w:t>
      </w:r>
      <w:r w:rsidR="003068A6" w:rsidRPr="008F4D19">
        <w:rPr>
          <w:rStyle w:val="AERbody"/>
        </w:rPr>
        <w:t xml:space="preserve">MED exclusion </w:t>
      </w:r>
      <w:r w:rsidR="003068A6">
        <w:rPr>
          <w:rStyle w:val="AERbody"/>
        </w:rPr>
        <w:t xml:space="preserve">in this draft </w:t>
      </w:r>
      <w:r w:rsidR="002715B0">
        <w:rPr>
          <w:rStyle w:val="AERbody"/>
        </w:rPr>
        <w:t>amended</w:t>
      </w:r>
      <w:r w:rsidR="008F4D19" w:rsidRPr="008F4D19">
        <w:rPr>
          <w:rStyle w:val="AERbody"/>
        </w:rPr>
        <w:t xml:space="preserve"> STPIS.</w:t>
      </w:r>
    </w:p>
    <w:p w:rsidR="001722D7" w:rsidRDefault="001722D7" w:rsidP="001722D7">
      <w:r>
        <w:t xml:space="preserve">Some of the matters discussed in this paper are related to the distribution reliability measures guideline––therefore forming another round of consultation in finalising the distribution reliability measures guideline (the Guideline). </w:t>
      </w:r>
    </w:p>
    <w:p w:rsidR="00EA2707" w:rsidRPr="00EA2707" w:rsidRDefault="001722D7" w:rsidP="001722D7">
      <w:r w:rsidRPr="00704B63">
        <w:t xml:space="preserve">Following this consultation, we will </w:t>
      </w:r>
      <w:r>
        <w:t>separately publish the</w:t>
      </w:r>
      <w:r w:rsidRPr="00704B63">
        <w:t xml:space="preserve"> </w:t>
      </w:r>
      <w:r>
        <w:t>final</w:t>
      </w:r>
      <w:r w:rsidRPr="00704B63">
        <w:t xml:space="preserve"> </w:t>
      </w:r>
      <w:r>
        <w:t>Guideline and the</w:t>
      </w:r>
      <w:r w:rsidRPr="00704B63">
        <w:t xml:space="preserve"> </w:t>
      </w:r>
      <w:r>
        <w:t>final</w:t>
      </w:r>
      <w:r w:rsidRPr="00704B63">
        <w:t xml:space="preserve"> </w:t>
      </w:r>
      <w:r w:rsidR="002715B0">
        <w:t>amended</w:t>
      </w:r>
      <w:r w:rsidRPr="00704B63">
        <w:t xml:space="preserve"> STPIS</w:t>
      </w:r>
      <w:r>
        <w:t>,</w:t>
      </w:r>
      <w:r w:rsidRPr="00704B63">
        <w:t xml:space="preserve"> </w:t>
      </w:r>
      <w:r>
        <w:t>taking into consideration stakeholders'</w:t>
      </w:r>
      <w:r w:rsidRPr="00704B63">
        <w:t xml:space="preserve"> submissions</w:t>
      </w:r>
      <w:r>
        <w:t>,</w:t>
      </w:r>
      <w:r w:rsidRPr="00704B63">
        <w:t xml:space="preserve"> </w:t>
      </w:r>
      <w:r>
        <w:t>prior to finalising these two documents</w:t>
      </w:r>
      <w:r w:rsidRPr="00704B63">
        <w:t>.</w:t>
      </w:r>
      <w:r>
        <w:t xml:space="preserve">  </w:t>
      </w:r>
    </w:p>
    <w:p w:rsidR="008F24D9" w:rsidRPr="008F24D9" w:rsidRDefault="000354FF" w:rsidP="008F24D9">
      <w:pPr>
        <w:pStyle w:val="Heading2"/>
      </w:pPr>
      <w:bookmarkStart w:id="52" w:name="_Toc499802919"/>
      <w:r>
        <w:t>Revising our STPIS</w:t>
      </w:r>
      <w:bookmarkEnd w:id="52"/>
    </w:p>
    <w:p w:rsidR="00C0024F" w:rsidRPr="00C0024F" w:rsidRDefault="00C0024F" w:rsidP="00C0024F">
      <w:r w:rsidRPr="00B17683">
        <w:t xml:space="preserve">The </w:t>
      </w:r>
      <w:r w:rsidRPr="00C0024F">
        <w:t xml:space="preserve">STPIS was first implemented in </w:t>
      </w:r>
      <w:r w:rsidR="005466B5">
        <w:t>Queensland</w:t>
      </w:r>
      <w:r>
        <w:t xml:space="preserve"> and</w:t>
      </w:r>
      <w:r w:rsidRPr="00C0024F">
        <w:t xml:space="preserve"> </w:t>
      </w:r>
      <w:r>
        <w:t>S</w:t>
      </w:r>
      <w:r w:rsidR="005466B5">
        <w:t xml:space="preserve">outh </w:t>
      </w:r>
      <w:r>
        <w:t>A</w:t>
      </w:r>
      <w:r w:rsidR="005466B5">
        <w:t>ustralia</w:t>
      </w:r>
      <w:r>
        <w:t xml:space="preserve"> from July 2010, in Victoria</w:t>
      </w:r>
      <w:r w:rsidRPr="00C0024F">
        <w:t xml:space="preserve"> </w:t>
      </w:r>
      <w:r>
        <w:t xml:space="preserve">from </w:t>
      </w:r>
      <w:r w:rsidRPr="00C0024F">
        <w:t>January 2011, in Tasmania in July 2012 (but in a modified form</w:t>
      </w:r>
      <w:r w:rsidRPr="00C0024F">
        <w:rPr>
          <w:rStyle w:val="FootnoteReference"/>
        </w:rPr>
        <w:footnoteReference w:id="2"/>
      </w:r>
      <w:r w:rsidRPr="00C0024F">
        <w:t xml:space="preserve">) and </w:t>
      </w:r>
      <w:r>
        <w:t xml:space="preserve">in New South Wales and </w:t>
      </w:r>
      <w:r w:rsidR="005466B5" w:rsidRPr="005466B5">
        <w:t xml:space="preserve">Australian Capital Territory </w:t>
      </w:r>
      <w:r w:rsidRPr="00C0024F">
        <w:t xml:space="preserve">from July 2015. </w:t>
      </w:r>
    </w:p>
    <w:p w:rsidR="00C0024F" w:rsidRPr="00C0024F" w:rsidRDefault="00C0024F" w:rsidP="00C0024F">
      <w:r>
        <w:t xml:space="preserve">The AEMC recently reviewed the definitions of some distribution reliability measures. This </w:t>
      </w:r>
      <w:r w:rsidRPr="00C0024F">
        <w:t xml:space="preserve">resulted in a rule change requiring the AER to publish a distribution reliability </w:t>
      </w:r>
      <w:r w:rsidR="00E135C1">
        <w:t xml:space="preserve">measures </w:t>
      </w:r>
      <w:r w:rsidRPr="00C0024F">
        <w:t xml:space="preserve">guideline that can be used to measure supply reliability consistently across all jurisdictions. </w:t>
      </w:r>
      <w:r w:rsidR="00407FFD">
        <w:t xml:space="preserve">This is also </w:t>
      </w:r>
      <w:r w:rsidR="0062593B">
        <w:t>useful for performance reporting.</w:t>
      </w:r>
    </w:p>
    <w:p w:rsidR="00C0024F" w:rsidRPr="00C0024F" w:rsidRDefault="00C0024F" w:rsidP="00C0024F">
      <w:r>
        <w:t xml:space="preserve">The AEMC’s key recommendations (not mandated), amongst other things, </w:t>
      </w:r>
      <w:r w:rsidR="002E2346">
        <w:t xml:space="preserve">are </w:t>
      </w:r>
      <w:r>
        <w:t xml:space="preserve">to change the </w:t>
      </w:r>
      <w:r w:rsidR="00CF77BB">
        <w:t xml:space="preserve">definition </w:t>
      </w:r>
      <w:r>
        <w:t xml:space="preserve">of momentary interruption (from </w:t>
      </w:r>
      <w:r w:rsidR="00CF77BB">
        <w:t xml:space="preserve">less than </w:t>
      </w:r>
      <w:r>
        <w:t xml:space="preserve">1 minute to </w:t>
      </w:r>
      <w:r w:rsidR="00CF77BB">
        <w:t xml:space="preserve">less than </w:t>
      </w:r>
      <w:r>
        <w:t xml:space="preserve">3 </w:t>
      </w:r>
      <w:r>
        <w:lastRenderedPageBreak/>
        <w:t xml:space="preserve">minutes). This recommended change alters the definitions of SAIDI, SAIFI, MAIFI and sustained interruptions and </w:t>
      </w:r>
      <w:r w:rsidRPr="00C0024F">
        <w:t>will have substantial impacts on the operation of the STPIS.</w:t>
      </w:r>
    </w:p>
    <w:p w:rsidR="00C0024F" w:rsidRPr="00C0024F" w:rsidRDefault="00C0024F" w:rsidP="00C0024F">
      <w:r>
        <w:t xml:space="preserve">As </w:t>
      </w:r>
      <w:r w:rsidR="0062593B">
        <w:t>part of our consideration of amendments to reflect any changes to reliability definitions for</w:t>
      </w:r>
      <w:r w:rsidR="007B3607">
        <w:t xml:space="preserve"> the</w:t>
      </w:r>
      <w:r>
        <w:t xml:space="preserve"> STPIS, we </w:t>
      </w:r>
      <w:r w:rsidR="0062593B">
        <w:t xml:space="preserve">have </w:t>
      </w:r>
      <w:r>
        <w:t xml:space="preserve">also </w:t>
      </w:r>
      <w:r w:rsidR="0062593B">
        <w:t xml:space="preserve">used this process to consider </w:t>
      </w:r>
      <w:proofErr w:type="gramStart"/>
      <w:r w:rsidR="0062593B">
        <w:t xml:space="preserve">other </w:t>
      </w:r>
      <w:r>
        <w:t xml:space="preserve"> refine</w:t>
      </w:r>
      <w:r w:rsidR="0062593B">
        <w:t>ments</w:t>
      </w:r>
      <w:proofErr w:type="gramEnd"/>
      <w:r w:rsidR="0062593B">
        <w:t xml:space="preserve"> to</w:t>
      </w:r>
      <w:r>
        <w:t xml:space="preserve"> the scheme to </w:t>
      </w:r>
      <w:r w:rsidR="006C3000">
        <w:t>improve the operation of the scheme in meeting its objective to encourage network businesses to maintain reliability while also pursuing eff</w:t>
      </w:r>
      <w:r w:rsidR="00EF0187">
        <w:t>i</w:t>
      </w:r>
      <w:r w:rsidR="006C3000">
        <w:t>ciency improvements</w:t>
      </w:r>
      <w:r w:rsidRPr="00C0024F">
        <w:t>.</w:t>
      </w:r>
    </w:p>
    <w:p w:rsidR="008F24D9" w:rsidRPr="008F24D9" w:rsidRDefault="00010E57" w:rsidP="008F24D9">
      <w:r>
        <w:t>This</w:t>
      </w:r>
      <w:r w:rsidR="008F24D9" w:rsidRPr="008F24D9">
        <w:t xml:space="preserve"> explanatory </w:t>
      </w:r>
      <w:r w:rsidR="00172648" w:rsidRPr="008F24D9">
        <w:t>statement also outline</w:t>
      </w:r>
      <w:r w:rsidR="007B7D12">
        <w:t>s</w:t>
      </w:r>
      <w:r w:rsidR="008F24D9" w:rsidRPr="008F24D9">
        <w:t xml:space="preserve"> </w:t>
      </w:r>
      <w:r w:rsidR="006E4B37">
        <w:t>the process for the staged implementation of the</w:t>
      </w:r>
      <w:r w:rsidR="00C0024F">
        <w:t xml:space="preserve"> </w:t>
      </w:r>
      <w:r w:rsidR="002715B0">
        <w:t>amended</w:t>
      </w:r>
      <w:r w:rsidR="00C0024F">
        <w:t xml:space="preserve"> STPIS</w:t>
      </w:r>
      <w:r w:rsidR="008F24D9" w:rsidRPr="008F24D9">
        <w:t>.</w:t>
      </w:r>
    </w:p>
    <w:p w:rsidR="00010E57" w:rsidRDefault="00010E57" w:rsidP="00010E57">
      <w:pPr>
        <w:pStyle w:val="Heading2"/>
      </w:pPr>
      <w:bookmarkStart w:id="53" w:name="_Toc499802920"/>
      <w:r w:rsidRPr="00010E57">
        <w:t>Consultation process so far</w:t>
      </w:r>
      <w:bookmarkEnd w:id="53"/>
    </w:p>
    <w:p w:rsidR="00661173" w:rsidRDefault="00661173" w:rsidP="00661173">
      <w:r>
        <w:t xml:space="preserve">We have undertaken two rounds of consultations with stakeholders in establishing a new guideline and revising </w:t>
      </w:r>
      <w:r w:rsidR="00CF77BB">
        <w:t xml:space="preserve">the </w:t>
      </w:r>
      <w:r>
        <w:t xml:space="preserve">STPIS.     </w:t>
      </w:r>
    </w:p>
    <w:p w:rsidR="00661173" w:rsidRDefault="00661173" w:rsidP="00661173">
      <w:pPr>
        <w:pStyle w:val="Caption"/>
      </w:pPr>
      <w:r>
        <w:t>First consultation - issues paper on STPIS and Guideline</w:t>
      </w:r>
    </w:p>
    <w:p w:rsidR="00010E57" w:rsidRPr="00010E57" w:rsidRDefault="00585210" w:rsidP="00010E57">
      <w:r>
        <w:t>W</w:t>
      </w:r>
      <w:r w:rsidR="00010E57" w:rsidRPr="00010E57">
        <w:t xml:space="preserve">e published an Issues </w:t>
      </w:r>
      <w:r w:rsidR="00472C2D" w:rsidRPr="00010E57">
        <w:t>Paper on</w:t>
      </w:r>
      <w:r w:rsidR="00010E57" w:rsidRPr="00010E57">
        <w:t xml:space="preserve"> our intention to review the STPIS and to establish a guideline on 5 January 2017. The issues paper sought stakeholders’ feedback on issues we identified through evaluating the distributors’ performance outcomes under the STPIS, and outlined our position on setting up uniform distribution reliability measures </w:t>
      </w:r>
      <w:r w:rsidR="00D77AA4">
        <w:t xml:space="preserve">(in the guideline) </w:t>
      </w:r>
      <w:r w:rsidR="00010E57" w:rsidRPr="00010E57">
        <w:t xml:space="preserve">across all jurisdictions. </w:t>
      </w:r>
    </w:p>
    <w:p w:rsidR="00010E57" w:rsidRPr="00010E57" w:rsidRDefault="00010E57" w:rsidP="00010E57">
      <w:r>
        <w:t xml:space="preserve">The </w:t>
      </w:r>
      <w:r w:rsidRPr="00010E57">
        <w:t xml:space="preserve">issues paper also clarified that, after the initial consultation, we </w:t>
      </w:r>
      <w:r w:rsidR="002E2346">
        <w:t>would</w:t>
      </w:r>
      <w:r w:rsidR="002E2346" w:rsidRPr="00010E57">
        <w:t xml:space="preserve"> </w:t>
      </w:r>
      <w:r w:rsidR="002E2346">
        <w:t xml:space="preserve">carry out further consultation on </w:t>
      </w:r>
      <w:r w:rsidR="0062593B">
        <w:t xml:space="preserve">the </w:t>
      </w:r>
      <w:r w:rsidR="005137D5">
        <w:t>Distribution Reliability Measures</w:t>
      </w:r>
      <w:r w:rsidR="0062593B">
        <w:t xml:space="preserve"> </w:t>
      </w:r>
      <w:r w:rsidR="005137D5">
        <w:t>G</w:t>
      </w:r>
      <w:r w:rsidR="0062593B">
        <w:t>uideline and the STPIS through somewhat distinct processes</w:t>
      </w:r>
      <w:r w:rsidRPr="00010E57">
        <w:t>.</w:t>
      </w:r>
    </w:p>
    <w:p w:rsidR="00B642F6" w:rsidRDefault="00B56406" w:rsidP="00D84CF6">
      <w:r>
        <w:t>Our</w:t>
      </w:r>
      <w:r w:rsidR="00D84CF6">
        <w:t xml:space="preserve"> issues paper sought inputs from stakeholders on </w:t>
      </w:r>
      <w:r w:rsidR="00C0024F" w:rsidRPr="00C0024F">
        <w:t xml:space="preserve">the STPIS </w:t>
      </w:r>
      <w:r w:rsidR="00EF7B61">
        <w:t>including</w:t>
      </w:r>
      <w:r w:rsidR="00B642F6">
        <w:t>:</w:t>
      </w:r>
    </w:p>
    <w:p w:rsidR="00B642F6" w:rsidRDefault="000D4275" w:rsidP="0051787E">
      <w:pPr>
        <w:pStyle w:val="AERbulletlistsecondstyle"/>
      </w:pPr>
      <w:proofErr w:type="gramStart"/>
      <w:r>
        <w:t>o</w:t>
      </w:r>
      <w:r w:rsidR="0051787E" w:rsidRPr="0051787E">
        <w:t>ur</w:t>
      </w:r>
      <w:proofErr w:type="gramEnd"/>
      <w:r w:rsidR="0051787E" w:rsidRPr="0051787E">
        <w:t xml:space="preserve"> observations in</w:t>
      </w:r>
      <w:r w:rsidR="0051787E">
        <w:t xml:space="preserve"> implementing the STPIS to date, in particular </w:t>
      </w:r>
      <w:r w:rsidR="00C0024F">
        <w:t>t</w:t>
      </w:r>
      <w:r w:rsidR="00C0024F" w:rsidRPr="00C0024F">
        <w:t>he average time to restore power supply</w:t>
      </w:r>
      <w:r w:rsidR="002E2346">
        <w:t xml:space="preserve"> </w:t>
      </w:r>
      <w:r w:rsidR="00D77AA4">
        <w:t>(</w:t>
      </w:r>
      <w:r w:rsidR="00C0024F" w:rsidRPr="00C0024F">
        <w:t>after an unplanned outage has occurred</w:t>
      </w:r>
      <w:r w:rsidR="00D77AA4">
        <w:t>)</w:t>
      </w:r>
      <w:r w:rsidR="002E2346">
        <w:t xml:space="preserve"> </w:t>
      </w:r>
      <w:r w:rsidR="00C0024F" w:rsidRPr="00C0024F">
        <w:t>has increased substantially compared to historical levels</w:t>
      </w:r>
      <w:r w:rsidR="0062593B">
        <w:t xml:space="preserve"> and whether this requires changes to the SAIDI-SAIFI ratio used in the scheme</w:t>
      </w:r>
      <w:r w:rsidR="008F0E11">
        <w:t>.</w:t>
      </w:r>
    </w:p>
    <w:p w:rsidR="00B642F6" w:rsidRDefault="000D4275" w:rsidP="0051787E">
      <w:pPr>
        <w:pStyle w:val="AERbulletlistsecondstyle"/>
      </w:pPr>
      <w:proofErr w:type="gramStart"/>
      <w:r>
        <w:t>o</w:t>
      </w:r>
      <w:r w:rsidR="0051787E" w:rsidRPr="0051787E">
        <w:t>ther</w:t>
      </w:r>
      <w:proofErr w:type="gramEnd"/>
      <w:r w:rsidR="0051787E" w:rsidRPr="0051787E">
        <w:t xml:space="preserve"> improvements to the STPIS </w:t>
      </w:r>
      <w:r w:rsidR="0051787E" w:rsidRPr="00871A8A">
        <w:t>where the scheme is currently unclear and ambiguous.</w:t>
      </w:r>
      <w:r w:rsidR="0051787E">
        <w:t xml:space="preserve"> </w:t>
      </w:r>
    </w:p>
    <w:p w:rsidR="00B642F6" w:rsidRDefault="000D4275" w:rsidP="0051787E">
      <w:pPr>
        <w:pStyle w:val="AERbulletlistsecondstyle"/>
      </w:pPr>
      <w:proofErr w:type="gramStart"/>
      <w:r>
        <w:t>i</w:t>
      </w:r>
      <w:r w:rsidR="0051787E" w:rsidRPr="0051787E">
        <w:t>ssues</w:t>
      </w:r>
      <w:proofErr w:type="gramEnd"/>
      <w:r w:rsidR="0051787E" w:rsidRPr="0051787E">
        <w:t xml:space="preserve"> that we need to consider in future</w:t>
      </w:r>
      <w:r w:rsidR="0051787E">
        <w:t xml:space="preserve"> given </w:t>
      </w:r>
      <w:r w:rsidR="0051787E" w:rsidRPr="00871A8A">
        <w:t>the emergence of renewable energy and distributed generation</w:t>
      </w:r>
      <w:r w:rsidR="00B56406">
        <w:t>.</w:t>
      </w:r>
      <w:r w:rsidR="00B642F6">
        <w:t xml:space="preserve"> </w:t>
      </w:r>
    </w:p>
    <w:p w:rsidR="00B67C00" w:rsidRPr="00010E57" w:rsidRDefault="00661173" w:rsidP="00B67C00">
      <w:pPr>
        <w:pStyle w:val="Caption"/>
      </w:pPr>
      <w:r>
        <w:t>S</w:t>
      </w:r>
      <w:r w:rsidR="00B67C00">
        <w:t>econd consultation</w:t>
      </w:r>
      <w:r w:rsidR="00B67C00" w:rsidRPr="00010E57">
        <w:t xml:space="preserve"> </w:t>
      </w:r>
      <w:r>
        <w:t>- draft guideline</w:t>
      </w:r>
    </w:p>
    <w:p w:rsidR="00661173" w:rsidRPr="00010E57" w:rsidRDefault="00661173" w:rsidP="00661173">
      <w:r>
        <w:t xml:space="preserve">After reviewing stakeholders’ submission to the </w:t>
      </w:r>
      <w:r w:rsidRPr="00010E57">
        <w:t xml:space="preserve">issues paper, we published a draft </w:t>
      </w:r>
      <w:r w:rsidR="005137D5">
        <w:t>Distribution Reliability Measures</w:t>
      </w:r>
      <w:r w:rsidR="0062593B">
        <w:t xml:space="preserve"> </w:t>
      </w:r>
      <w:r w:rsidR="000D4275">
        <w:t>G</w:t>
      </w:r>
      <w:r w:rsidRPr="00010E57">
        <w:t xml:space="preserve">uideline and an explanatory statement for consultation on 23 June 2017. </w:t>
      </w:r>
    </w:p>
    <w:p w:rsidR="00010E57" w:rsidRPr="00010E57" w:rsidRDefault="00010E57" w:rsidP="00B67C00">
      <w:r>
        <w:t>Most</w:t>
      </w:r>
      <w:r w:rsidRPr="00010E57">
        <w:t xml:space="preserve"> proposals </w:t>
      </w:r>
      <w:r w:rsidR="0062593B">
        <w:t xml:space="preserve">for the guideline </w:t>
      </w:r>
      <w:r w:rsidR="000D4275">
        <w:t>we</w:t>
      </w:r>
      <w:r w:rsidRPr="00010E57">
        <w:t>re welcomed by stakeholder</w:t>
      </w:r>
      <w:r w:rsidR="000D4275">
        <w:t>s</w:t>
      </w:r>
      <w:r w:rsidRPr="00010E57">
        <w:t>, except for:</w:t>
      </w:r>
    </w:p>
    <w:p w:rsidR="00010E57" w:rsidRPr="00010E57" w:rsidRDefault="00010E57" w:rsidP="00010E57">
      <w:pPr>
        <w:pStyle w:val="AERbulletlistsecondstyle"/>
      </w:pPr>
      <w:r>
        <w:lastRenderedPageBreak/>
        <w:t xml:space="preserve">the </w:t>
      </w:r>
      <w:r w:rsidRPr="00010E57">
        <w:t>treatment of “catastrophic days” with respect to major events day (MED) exclusion</w:t>
      </w:r>
    </w:p>
    <w:p w:rsidR="00010E57" w:rsidRPr="00010E57" w:rsidRDefault="00010E57" w:rsidP="00010E57">
      <w:pPr>
        <w:pStyle w:val="AERbulletlistsecondstyle"/>
      </w:pPr>
      <w:proofErr w:type="gramStart"/>
      <w:r>
        <w:t>the</w:t>
      </w:r>
      <w:proofErr w:type="gramEnd"/>
      <w:r>
        <w:t xml:space="preserve"> definition to identify  the “</w:t>
      </w:r>
      <w:r w:rsidRPr="00010E57">
        <w:t>worst served” customers.</w:t>
      </w:r>
    </w:p>
    <w:p w:rsidR="00B67C00" w:rsidRDefault="00B67C00" w:rsidP="00B67C00">
      <w:r>
        <w:t>Sinc</w:t>
      </w:r>
      <w:r w:rsidRPr="00B67C00">
        <w:t xml:space="preserve">e MED exclusion under the guideline should be closely reflected in the STPIS, </w:t>
      </w:r>
      <w:r>
        <w:t xml:space="preserve">we have set out our </w:t>
      </w:r>
      <w:r w:rsidRPr="00B67C00">
        <w:t xml:space="preserve">approach in response to stakeholders’ submissions </w:t>
      </w:r>
      <w:r w:rsidR="00585210">
        <w:t>in</w:t>
      </w:r>
      <w:r>
        <w:t xml:space="preserve"> this </w:t>
      </w:r>
      <w:r w:rsidRPr="00B67C00">
        <w:t xml:space="preserve">draft decision on the </w:t>
      </w:r>
      <w:r w:rsidR="002715B0">
        <w:t>amended</w:t>
      </w:r>
      <w:r w:rsidRPr="00B67C00">
        <w:t xml:space="preserve"> STPIS.</w:t>
      </w:r>
    </w:p>
    <w:p w:rsidR="00661173" w:rsidRDefault="00CF77BB" w:rsidP="00661173">
      <w:pPr>
        <w:pStyle w:val="Caption"/>
      </w:pPr>
      <w:r>
        <w:t>This (t</w:t>
      </w:r>
      <w:r w:rsidR="00661173">
        <w:t>hird</w:t>
      </w:r>
      <w:r>
        <w:t>)</w:t>
      </w:r>
      <w:r w:rsidR="00661173">
        <w:t xml:space="preserve"> consultation</w:t>
      </w:r>
      <w:r w:rsidR="00661173" w:rsidRPr="00010E57">
        <w:t xml:space="preserve"> </w:t>
      </w:r>
      <w:r w:rsidR="00661173">
        <w:t xml:space="preserve">- draft </w:t>
      </w:r>
      <w:r w:rsidR="002715B0">
        <w:t>amended</w:t>
      </w:r>
      <w:r w:rsidR="00661173">
        <w:t xml:space="preserve"> STPIS</w:t>
      </w:r>
    </w:p>
    <w:p w:rsidR="00661173" w:rsidRDefault="00BB5B94" w:rsidP="00661173">
      <w:r w:rsidRPr="00BB5B94">
        <w:t>This explanatory statement and the draft amended STPIS represent our third consultation with stakeholders</w:t>
      </w:r>
      <w:r w:rsidR="0062593B">
        <w:t>, however, the focus of this is</w:t>
      </w:r>
      <w:r w:rsidRPr="00BB5B94">
        <w:t xml:space="preserve"> on our proposed amendment</w:t>
      </w:r>
      <w:r w:rsidR="0062593B">
        <w:t>s</w:t>
      </w:r>
      <w:r w:rsidRPr="00BB5B94">
        <w:t xml:space="preserve"> to the STPIS.</w:t>
      </w:r>
    </w:p>
    <w:p w:rsidR="00BB5B94" w:rsidRPr="00661173" w:rsidRDefault="00BB5B94" w:rsidP="00661173">
      <w:r>
        <w:t>The result of this consultation will inform the final guideline</w:t>
      </w:r>
      <w:r w:rsidR="00534AA2">
        <w:t>––in particular the Major Event Day exclusion approach––</w:t>
      </w:r>
      <w:r>
        <w:t xml:space="preserve">and </w:t>
      </w:r>
      <w:r w:rsidR="00534AA2">
        <w:t xml:space="preserve">the </w:t>
      </w:r>
      <w:r>
        <w:t xml:space="preserve">STPIS. </w:t>
      </w:r>
    </w:p>
    <w:p w:rsidR="008F24D9" w:rsidRPr="00DF5CAE" w:rsidRDefault="008F24D9" w:rsidP="00675C6D">
      <w:pPr>
        <w:pStyle w:val="Heading2"/>
      </w:pPr>
      <w:bookmarkStart w:id="54" w:name="_Toc499802921"/>
      <w:r w:rsidRPr="00DF5CAE">
        <w:t>Structure of this explanatory statement</w:t>
      </w:r>
      <w:bookmarkEnd w:id="54"/>
    </w:p>
    <w:p w:rsidR="008F24D9" w:rsidRPr="008F24D9" w:rsidRDefault="008F24D9" w:rsidP="008F24D9">
      <w:r w:rsidRPr="008F24D9">
        <w:t xml:space="preserve">The remainder of the explanatory statement is structured as follows: </w:t>
      </w:r>
    </w:p>
    <w:p w:rsidR="008F24D9" w:rsidRPr="008F24D9" w:rsidRDefault="008F24D9" w:rsidP="00E60FE1">
      <w:pPr>
        <w:pStyle w:val="AERbulletlistsecondstyle"/>
      </w:pPr>
      <w:r w:rsidRPr="008F24D9">
        <w:t xml:space="preserve">Chapter </w:t>
      </w:r>
      <w:r w:rsidR="000B642A">
        <w:t>3</w:t>
      </w:r>
      <w:r w:rsidR="00045AC1">
        <w:t>:</w:t>
      </w:r>
      <w:r w:rsidRPr="008F24D9">
        <w:t xml:space="preserve"> </w:t>
      </w:r>
      <w:r w:rsidR="00F7168B">
        <w:t>Outline</w:t>
      </w:r>
      <w:r w:rsidR="000D4275">
        <w:t>s</w:t>
      </w:r>
      <w:r w:rsidR="008F0E11">
        <w:t xml:space="preserve"> the</w:t>
      </w:r>
      <w:r w:rsidR="00F7168B">
        <w:t xml:space="preserve"> key </w:t>
      </w:r>
      <w:r w:rsidR="00AD37DB">
        <w:t xml:space="preserve">issues raised on </w:t>
      </w:r>
      <w:r w:rsidR="000D4275">
        <w:t xml:space="preserve">the </w:t>
      </w:r>
      <w:r w:rsidR="00AD37DB">
        <w:t>STPIS and dra</w:t>
      </w:r>
      <w:r w:rsidR="00FD1563">
        <w:t xml:space="preserve">ft </w:t>
      </w:r>
      <w:r w:rsidR="005137D5">
        <w:t>Distribution Reliability Measures</w:t>
      </w:r>
      <w:r w:rsidR="0062593B">
        <w:t xml:space="preserve"> </w:t>
      </w:r>
      <w:r w:rsidR="000D4275">
        <w:t>G</w:t>
      </w:r>
      <w:r w:rsidR="00AD37DB">
        <w:t>uideline</w:t>
      </w:r>
      <w:r w:rsidR="009E03F8">
        <w:t>.</w:t>
      </w:r>
    </w:p>
    <w:p w:rsidR="008F0E11" w:rsidRDefault="008F24D9" w:rsidP="00E60FE1">
      <w:pPr>
        <w:pStyle w:val="AERbulletlistsecondstyle"/>
      </w:pPr>
      <w:r w:rsidRPr="008F24D9">
        <w:t xml:space="preserve">Chapter </w:t>
      </w:r>
      <w:r w:rsidR="000B642A">
        <w:t>4</w:t>
      </w:r>
      <w:r w:rsidR="00045AC1">
        <w:t>:</w:t>
      </w:r>
      <w:r w:rsidRPr="008F24D9">
        <w:t xml:space="preserve"> </w:t>
      </w:r>
      <w:r w:rsidR="008F0E11">
        <w:t>Explain</w:t>
      </w:r>
      <w:r w:rsidR="000D4275">
        <w:t>s</w:t>
      </w:r>
      <w:r w:rsidR="008F0E11">
        <w:t xml:space="preserve"> our </w:t>
      </w:r>
      <w:r w:rsidR="00534AA2">
        <w:t xml:space="preserve">proposed changes to the current </w:t>
      </w:r>
      <w:r w:rsidR="0051787E">
        <w:t>STPIS</w:t>
      </w:r>
      <w:r w:rsidR="00534AA2">
        <w:t xml:space="preserve"> scheme design</w:t>
      </w:r>
      <w:r w:rsidR="008F0E11">
        <w:t>.</w:t>
      </w:r>
    </w:p>
    <w:p w:rsidR="00FD1563" w:rsidRPr="008F24D9" w:rsidRDefault="00000BBD" w:rsidP="00E60FE1">
      <w:pPr>
        <w:pStyle w:val="AERbulletlistsecondstyle"/>
      </w:pPr>
      <w:r>
        <w:t>Appendices</w:t>
      </w:r>
      <w:r w:rsidR="00534AA2">
        <w:t xml:space="preserve"> A to D</w:t>
      </w:r>
      <w:r>
        <w:t xml:space="preserve">: </w:t>
      </w:r>
      <w:r w:rsidR="000D4275">
        <w:t>C</w:t>
      </w:r>
      <w:r>
        <w:t>ontain</w:t>
      </w:r>
      <w:r w:rsidR="000D4275">
        <w:t>s</w:t>
      </w:r>
      <w:r>
        <w:t xml:space="preserve"> t</w:t>
      </w:r>
      <w:r w:rsidR="00FD1563">
        <w:t xml:space="preserve">echnical models and equations. </w:t>
      </w:r>
    </w:p>
    <w:p w:rsidR="008F24D9" w:rsidRPr="008F24D9" w:rsidRDefault="008F0E11" w:rsidP="008F24D9">
      <w:pPr>
        <w:pStyle w:val="Heading1"/>
      </w:pPr>
      <w:bookmarkStart w:id="55" w:name="_Ref484700644"/>
      <w:bookmarkStart w:id="56" w:name="_Toc499802922"/>
      <w:r>
        <w:lastRenderedPageBreak/>
        <w:t>Overview of k</w:t>
      </w:r>
      <w:r w:rsidR="008F24D9" w:rsidRPr="008F24D9">
        <w:t xml:space="preserve">ey </w:t>
      </w:r>
      <w:bookmarkEnd w:id="55"/>
      <w:r w:rsidR="000354FF">
        <w:t>issues</w:t>
      </w:r>
      <w:bookmarkEnd w:id="56"/>
      <w:r w:rsidR="000354FF">
        <w:t xml:space="preserve"> </w:t>
      </w:r>
    </w:p>
    <w:p w:rsidR="00255796" w:rsidRDefault="00255796" w:rsidP="00E61E81">
      <w:r>
        <w:t xml:space="preserve">This section sets out </w:t>
      </w:r>
      <w:r w:rsidR="001B2759">
        <w:t xml:space="preserve">the </w:t>
      </w:r>
      <w:r>
        <w:t xml:space="preserve">key issues </w:t>
      </w:r>
      <w:r w:rsidR="001B2759">
        <w:t xml:space="preserve">raised by the stakeholders to our issues paper </w:t>
      </w:r>
      <w:r w:rsidR="00D77AA4">
        <w:t xml:space="preserve">on the STPIS amendments </w:t>
      </w:r>
      <w:r w:rsidR="001B2759">
        <w:t xml:space="preserve">and </w:t>
      </w:r>
      <w:r w:rsidR="008A67D1">
        <w:t xml:space="preserve">the </w:t>
      </w:r>
      <w:r w:rsidR="001B2759">
        <w:t xml:space="preserve">draft </w:t>
      </w:r>
      <w:r w:rsidR="005137D5">
        <w:t>Distribution Reliability Measures</w:t>
      </w:r>
      <w:r w:rsidR="00802E4A">
        <w:t xml:space="preserve"> </w:t>
      </w:r>
      <w:r w:rsidR="005137D5">
        <w:t>G</w:t>
      </w:r>
      <w:r w:rsidR="001B2759">
        <w:t xml:space="preserve">uideline. </w:t>
      </w:r>
    </w:p>
    <w:p w:rsidR="001B2759" w:rsidRPr="001B2759" w:rsidRDefault="001B2759" w:rsidP="001B2759">
      <w:pPr>
        <w:pStyle w:val="Tabletitle"/>
      </w:pPr>
      <w:r w:rsidRPr="001B2759">
        <w:t xml:space="preserve">Changing the threshold of a momentary interruption from 1 minute to 3 minutes </w:t>
      </w:r>
    </w:p>
    <w:p w:rsidR="001B2759" w:rsidRPr="001B2759" w:rsidRDefault="00534AA2" w:rsidP="001B2759">
      <w:r>
        <w:t>In the draft decision for the Guideline, w</w:t>
      </w:r>
      <w:r w:rsidR="008A67D1">
        <w:t>e support</w:t>
      </w:r>
      <w:r>
        <w:t>ed</w:t>
      </w:r>
      <w:r w:rsidR="008A67D1">
        <w:t xml:space="preserve"> the </w:t>
      </w:r>
      <w:r>
        <w:t xml:space="preserve">AEMC's recommendation to </w:t>
      </w:r>
      <w:r w:rsidR="008A67D1">
        <w:t>change the</w:t>
      </w:r>
      <w:r>
        <w:t xml:space="preserve"> definition</w:t>
      </w:r>
      <w:r w:rsidR="008A67D1">
        <w:t xml:space="preserve"> of momentary interruption from less than 1 minute to less than 3 minutes. </w:t>
      </w:r>
      <w:r w:rsidR="001B2759">
        <w:t xml:space="preserve">We </w:t>
      </w:r>
      <w:r w:rsidR="005C391A">
        <w:t xml:space="preserve">agree that </w:t>
      </w:r>
      <w:r w:rsidR="001B2759">
        <w:t xml:space="preserve">this change will </w:t>
      </w:r>
      <w:r w:rsidR="001B2759" w:rsidRPr="001B2759">
        <w:t>encourage investment in automation facilities to restore supply more quickly after a network fault.</w:t>
      </w:r>
      <w:r w:rsidR="001B2759" w:rsidRPr="001B2759">
        <w:rPr>
          <w:rStyle w:val="FootnoteReference"/>
        </w:rPr>
        <w:footnoteReference w:id="3"/>
      </w:r>
      <w:r w:rsidR="001B2759" w:rsidRPr="001B2759">
        <w:t xml:space="preserve">  </w:t>
      </w:r>
    </w:p>
    <w:p w:rsidR="001B2759" w:rsidRPr="001B2759" w:rsidRDefault="001B2759" w:rsidP="001B2759">
      <w:r>
        <w:t xml:space="preserve">We received overwhelming support for this change responding to the draft decision for the </w:t>
      </w:r>
      <w:r w:rsidRPr="001B2759">
        <w:t xml:space="preserve">guideline. </w:t>
      </w:r>
    </w:p>
    <w:p w:rsidR="001B2759" w:rsidRDefault="001B2759" w:rsidP="00E61E81">
      <w:r>
        <w:t xml:space="preserve">Therefore, we </w:t>
      </w:r>
      <w:r w:rsidR="00571FB4">
        <w:t xml:space="preserve">have </w:t>
      </w:r>
      <w:r w:rsidR="00802E4A">
        <w:t xml:space="preserve">also </w:t>
      </w:r>
      <w:r w:rsidR="00571FB4">
        <w:t xml:space="preserve">included </w:t>
      </w:r>
      <w:r>
        <w:t xml:space="preserve">this change in the </w:t>
      </w:r>
      <w:r w:rsidR="00571FB4">
        <w:t xml:space="preserve">draft </w:t>
      </w:r>
      <w:r w:rsidR="00EF0187">
        <w:t xml:space="preserve">amended </w:t>
      </w:r>
      <w:r>
        <w:t>STPIS</w:t>
      </w:r>
      <w:r w:rsidR="001C4371">
        <w:t>.</w:t>
      </w:r>
    </w:p>
    <w:p w:rsidR="001B2759" w:rsidRPr="001B2759" w:rsidRDefault="001B2759" w:rsidP="001B2759">
      <w:pPr>
        <w:pStyle w:val="Tabletitle"/>
      </w:pPr>
      <w:r w:rsidRPr="001B2759">
        <w:t>Ratio of SAIFI and SAIDI incentive rates</w:t>
      </w:r>
    </w:p>
    <w:p w:rsidR="001B2759" w:rsidRPr="001B2759" w:rsidRDefault="001B2759" w:rsidP="001B2759">
      <w:r>
        <w:t xml:space="preserve">In the </w:t>
      </w:r>
      <w:r w:rsidRPr="001B2759">
        <w:t xml:space="preserve">issues paper, we identified that distributors typically achieved better improvements to their SAIFI results (reduction </w:t>
      </w:r>
      <w:r w:rsidR="00E70ADE">
        <w:t>to</w:t>
      </w:r>
      <w:r w:rsidRPr="001B2759">
        <w:t xml:space="preserve"> the number of outages in a year) than their SAIDI results (reduction </w:t>
      </w:r>
      <w:r w:rsidR="00E70ADE">
        <w:t>to the</w:t>
      </w:r>
      <w:r w:rsidR="00E70ADE" w:rsidRPr="001B2759">
        <w:t xml:space="preserve"> </w:t>
      </w:r>
      <w:r w:rsidRPr="001B2759">
        <w:t xml:space="preserve">duration of outages in a year). The combined effect </w:t>
      </w:r>
      <w:r w:rsidR="00802E4A">
        <w:t xml:space="preserve">of improvements to SAIFI relative to SAIDI </w:t>
      </w:r>
      <w:r w:rsidRPr="001B2759">
        <w:t>is that the average supply restoration time, CAIDI, is getting longer.</w:t>
      </w:r>
    </w:p>
    <w:p w:rsidR="00C01B92" w:rsidRDefault="001B2759" w:rsidP="001B2759">
      <w:r>
        <w:t xml:space="preserve">We believe </w:t>
      </w:r>
      <w:r w:rsidR="00802E4A">
        <w:t xml:space="preserve">at least part of </w:t>
      </w:r>
      <w:r>
        <w:t xml:space="preserve">this </w:t>
      </w:r>
      <w:r w:rsidR="00802E4A">
        <w:t>increase in supply restorati</w:t>
      </w:r>
      <w:r w:rsidR="00C74978">
        <w:t>o</w:t>
      </w:r>
      <w:r w:rsidR="00802E4A">
        <w:t xml:space="preserve">n time is </w:t>
      </w:r>
      <w:r>
        <w:t xml:space="preserve">due to the current STPIS design </w:t>
      </w:r>
      <w:r w:rsidRPr="001B2759">
        <w:t xml:space="preserve">of an approximate 50/50 allocation of the incentives to SAIDI and SAIFI measures. </w:t>
      </w:r>
      <w:r w:rsidR="00C01B92" w:rsidRPr="00C01B92">
        <w:t xml:space="preserve">The current STPIS rewards each SAIFI improvement to the equivalent value of the reduction of SAIDI by the standard CAIDI amount. That is, the assumption that each SAIFI improvement will result in the corresponding SAIDI improvement </w:t>
      </w:r>
      <w:r w:rsidR="00D77AA4">
        <w:t>(</w:t>
      </w:r>
      <w:r w:rsidR="00C01B92" w:rsidRPr="00C01B92">
        <w:t>the CAIDI value</w:t>
      </w:r>
      <w:r w:rsidR="00D77AA4">
        <w:t>)</w:t>
      </w:r>
      <w:r w:rsidR="00C01B92" w:rsidRPr="00C01B92">
        <w:t xml:space="preserve"> which is about 60-80 minutes for urban feeders</w:t>
      </w:r>
      <w:r w:rsidR="00C01B92">
        <w:t>.</w:t>
      </w:r>
    </w:p>
    <w:p w:rsidR="001B2759" w:rsidRPr="001B2759" w:rsidRDefault="00B86458" w:rsidP="001B2759">
      <w:r>
        <w:t>W</w:t>
      </w:r>
      <w:r w:rsidRPr="00BA15D1">
        <w:rPr>
          <w:rStyle w:val="AERbody"/>
        </w:rPr>
        <w:t>e believe that the current incentive framework may have resulted in a bias towards capex to improve supply reliability.</w:t>
      </w:r>
      <w:r>
        <w:rPr>
          <w:rStyle w:val="AERbody"/>
        </w:rPr>
        <w:t xml:space="preserve"> While the </w:t>
      </w:r>
      <w:r w:rsidR="00D77AA4">
        <w:rPr>
          <w:rStyle w:val="AERbody"/>
        </w:rPr>
        <w:t xml:space="preserve">increased </w:t>
      </w:r>
      <w:r>
        <w:rPr>
          <w:rStyle w:val="AERbody"/>
        </w:rPr>
        <w:t>capex has been effective in reducing the number of supply interruptions, we are concern</w:t>
      </w:r>
      <w:r w:rsidR="00D014C5">
        <w:rPr>
          <w:rStyle w:val="AERbody"/>
        </w:rPr>
        <w:t>ed</w:t>
      </w:r>
      <w:r>
        <w:rPr>
          <w:rStyle w:val="AERbody"/>
        </w:rPr>
        <w:t xml:space="preserve"> that the performance indicators show an increasing trend of the average supply restoration time (CAIDI).</w:t>
      </w:r>
    </w:p>
    <w:p w:rsidR="006B2AD5" w:rsidRPr="006B2AD5" w:rsidRDefault="006B2AD5" w:rsidP="006B2AD5">
      <w:r>
        <w:t xml:space="preserve">Our draft position is </w:t>
      </w:r>
      <w:r w:rsidRPr="006B2AD5">
        <w:t xml:space="preserve">to change the ratio </w:t>
      </w:r>
      <w:r w:rsidR="00585210">
        <w:t>of the SAIDI/SAIFI incentives f</w:t>
      </w:r>
      <w:r w:rsidRPr="006B2AD5">
        <w:t>r</w:t>
      </w:r>
      <w:r w:rsidR="00585210">
        <w:t>o</w:t>
      </w:r>
      <w:r w:rsidRPr="006B2AD5">
        <w:t xml:space="preserve">m 50/50 to 60/40 based on the allocation of energy value. </w:t>
      </w:r>
    </w:p>
    <w:p w:rsidR="00954F4E" w:rsidRDefault="006B2AD5" w:rsidP="00D91373">
      <w:pPr>
        <w:rPr>
          <w:b/>
          <w:color w:val="076A92" w:themeColor="text1"/>
          <w:sz w:val="24"/>
          <w:szCs w:val="20"/>
        </w:rPr>
      </w:pPr>
      <w:r>
        <w:rPr>
          <w:rStyle w:val="AERbody"/>
        </w:rPr>
        <w:t xml:space="preserve">We consider </w:t>
      </w:r>
      <w:r w:rsidRPr="006B2AD5">
        <w:rPr>
          <w:rStyle w:val="AERbody"/>
        </w:rPr>
        <w:t xml:space="preserve">that this change should achieve a better balance between the </w:t>
      </w:r>
      <w:r w:rsidR="00745E02">
        <w:rPr>
          <w:rStyle w:val="AERbody"/>
        </w:rPr>
        <w:t xml:space="preserve">incentive </w:t>
      </w:r>
      <w:r w:rsidRPr="006B2AD5">
        <w:rPr>
          <w:rStyle w:val="AERbody"/>
        </w:rPr>
        <w:t xml:space="preserve">to repair network faults in a timely manner and the incentive to </w:t>
      </w:r>
      <w:r w:rsidR="00534AA2">
        <w:rPr>
          <w:rStyle w:val="AERbody"/>
        </w:rPr>
        <w:t>invest in more automation</w:t>
      </w:r>
      <w:r w:rsidR="00534AA2" w:rsidRPr="006B2AD5">
        <w:rPr>
          <w:rStyle w:val="AERbody"/>
        </w:rPr>
        <w:t xml:space="preserve"> </w:t>
      </w:r>
      <w:r w:rsidRPr="006B2AD5">
        <w:rPr>
          <w:rStyle w:val="AERbody"/>
        </w:rPr>
        <w:t>to isolate the impact of network faults by additional automation.</w:t>
      </w:r>
    </w:p>
    <w:p w:rsidR="006B2AD5" w:rsidRPr="006B2AD5" w:rsidRDefault="006B2AD5" w:rsidP="006B2AD5">
      <w:pPr>
        <w:pStyle w:val="Tabletitle"/>
      </w:pPr>
      <w:r w:rsidRPr="00260D32">
        <w:lastRenderedPageBreak/>
        <w:t>Exclusions</w:t>
      </w:r>
      <w:r w:rsidRPr="006B2AD5">
        <w:t xml:space="preserve"> and major event day (MED)</w:t>
      </w:r>
    </w:p>
    <w:p w:rsidR="006B2AD5" w:rsidRPr="006B2AD5" w:rsidRDefault="006B2AD5" w:rsidP="006B2AD5">
      <w:r>
        <w:t xml:space="preserve">The AEMC's recommendations included a definition </w:t>
      </w:r>
      <w:r w:rsidRPr="006B2AD5">
        <w:t>for catastrophic events and a method to identify catastrophic events interruptions.</w:t>
      </w:r>
      <w:r w:rsidRPr="006B2AD5">
        <w:rPr>
          <w:rStyle w:val="FootnoteReference"/>
        </w:rPr>
        <w:footnoteReference w:id="4"/>
      </w:r>
      <w:r w:rsidRPr="006B2AD5">
        <w:t xml:space="preserve"> Under this proposal, the effect of catastrophic days is to be discounted </w:t>
      </w:r>
      <w:r w:rsidR="003F1D94">
        <w:t xml:space="preserve">from the performance data set </w:t>
      </w:r>
      <w:r w:rsidRPr="006B2AD5">
        <w:t>when determining the MED thresholds under the standard 2.5 beta (standard deviations) method.</w:t>
      </w:r>
      <w:r w:rsidR="003F1D94" w:rsidRPr="003F1D94">
        <w:t xml:space="preserve"> </w:t>
      </w:r>
      <w:r w:rsidR="003F1D94">
        <w:t>This approach will likely increase the number of days to be excluded from the distributors' standard performance measures.</w:t>
      </w:r>
    </w:p>
    <w:p w:rsidR="006B2AD5" w:rsidRDefault="006B2AD5" w:rsidP="006B2AD5">
      <w:r>
        <w:t>In the draft guideline decision, we did not support this proposition</w:t>
      </w:r>
      <w:r w:rsidR="00232C8F">
        <w:t xml:space="preserve"> </w:t>
      </w:r>
      <w:r w:rsidR="00D014C5">
        <w:t>for</w:t>
      </w:r>
      <w:r w:rsidR="00232C8F">
        <w:t xml:space="preserve"> a number of </w:t>
      </w:r>
      <w:r w:rsidR="00D014C5">
        <w:t>reasons</w:t>
      </w:r>
      <w:r w:rsidR="00232C8F">
        <w:t>, including:</w:t>
      </w:r>
    </w:p>
    <w:p w:rsidR="00232C8F" w:rsidRPr="007E39BF" w:rsidRDefault="00232C8F" w:rsidP="00232C8F">
      <w:pPr>
        <w:pStyle w:val="AERbulletlistfirststyle"/>
      </w:pPr>
      <w:r>
        <w:t>T</w:t>
      </w:r>
      <w:r w:rsidRPr="007E39BF">
        <w:t xml:space="preserve">here is no </w:t>
      </w:r>
      <w:r>
        <w:t xml:space="preserve">current </w:t>
      </w:r>
      <w:r w:rsidRPr="007E39BF">
        <w:t xml:space="preserve">objective </w:t>
      </w:r>
      <w:r>
        <w:t xml:space="preserve">or definitive </w:t>
      </w:r>
      <w:r w:rsidRPr="007E39BF">
        <w:t>method to identify catastrophic events</w:t>
      </w:r>
      <w:r>
        <w:t xml:space="preserve"> as outlined by the AEMC.  </w:t>
      </w:r>
    </w:p>
    <w:p w:rsidR="00232C8F" w:rsidRDefault="00232C8F" w:rsidP="00232C8F">
      <w:pPr>
        <w:pStyle w:val="AERbulletlistfirststyle"/>
      </w:pPr>
      <w:r w:rsidRPr="007E39BF">
        <w:tab/>
        <w:t xml:space="preserve">There are </w:t>
      </w:r>
      <w:r>
        <w:t xml:space="preserve">material </w:t>
      </w:r>
      <w:r w:rsidRPr="007E39BF">
        <w:t xml:space="preserve">differences between network characteristics in Australia, ranging from </w:t>
      </w:r>
      <w:r w:rsidR="00802E4A">
        <w:t>highly</w:t>
      </w:r>
      <w:r w:rsidR="00802E4A" w:rsidRPr="007E39BF">
        <w:t xml:space="preserve"> </w:t>
      </w:r>
      <w:r w:rsidRPr="007E39BF">
        <w:t xml:space="preserve">urban </w:t>
      </w:r>
      <w:r w:rsidR="00802E4A">
        <w:t xml:space="preserve">and inner city </w:t>
      </w:r>
      <w:r w:rsidRPr="007E39BF">
        <w:t>network</w:t>
      </w:r>
      <w:r w:rsidR="00F67D67">
        <w:t>s</w:t>
      </w:r>
      <w:r w:rsidRPr="007E39BF">
        <w:t xml:space="preserve"> such as CitiPower, to physically diverse and geographically large networks such as SA Power Networks and Ergon Energy, so any definition of catastrophic events and their measurement methods are not likely to be uniform across all distributors.</w:t>
      </w:r>
    </w:p>
    <w:p w:rsidR="006B2AD5" w:rsidRDefault="006B2AD5" w:rsidP="006B2AD5">
      <w:r>
        <w:t xml:space="preserve">We have undertaken further </w:t>
      </w:r>
      <w:r w:rsidRPr="006B2AD5">
        <w:t xml:space="preserve">analysis on the number of MED for </w:t>
      </w:r>
      <w:r w:rsidR="00571FB4">
        <w:t xml:space="preserve">the </w:t>
      </w:r>
      <w:r w:rsidRPr="006B2AD5">
        <w:t xml:space="preserve">13 distributors under the IEEE 2.5 beta method as well as under a modified 4.15 beta threshold. </w:t>
      </w:r>
    </w:p>
    <w:p w:rsidR="00907C8A" w:rsidRPr="00907C8A" w:rsidRDefault="00907C8A" w:rsidP="00907C8A">
      <w:r>
        <w:t xml:space="preserve">The IEEE method is the standard method </w:t>
      </w:r>
      <w:r w:rsidR="00571FB4">
        <w:t>we use in</w:t>
      </w:r>
      <w:r>
        <w:t xml:space="preserve"> </w:t>
      </w:r>
      <w:r w:rsidR="00F67D67">
        <w:t xml:space="preserve">the </w:t>
      </w:r>
      <w:r w:rsidR="00571FB4">
        <w:t xml:space="preserve">existing </w:t>
      </w:r>
      <w:r>
        <w:t>STPIS. This method attempts to transform daily unplanned SAIDI data through a natural log application––in order to make the data set resemble a “normal distribution”.</w:t>
      </w:r>
    </w:p>
    <w:p w:rsidR="00563BC3" w:rsidRDefault="00563BC3" w:rsidP="00563BC3">
      <w:pPr>
        <w:rPr>
          <w:rStyle w:val="AERbody"/>
        </w:rPr>
      </w:pPr>
      <w:r>
        <w:t>Our analysis</w:t>
      </w:r>
      <w:r w:rsidRPr="00563BC3">
        <w:t xml:space="preserve"> </w:t>
      </w:r>
      <w:r w:rsidRPr="00563BC3">
        <w:rPr>
          <w:rStyle w:val="AERbody"/>
        </w:rPr>
        <w:t>indicate</w:t>
      </w:r>
      <w:r w:rsidR="00F67D67">
        <w:rPr>
          <w:rStyle w:val="AERbody"/>
        </w:rPr>
        <w:t>s</w:t>
      </w:r>
      <w:r w:rsidRPr="00563BC3">
        <w:rPr>
          <w:rStyle w:val="AERbody"/>
        </w:rPr>
        <w:t xml:space="preserve"> that there are wide variations across the distributors regarding the actual number of MED. Under the 2.5 beta method, localised urban networks such as CitiPower or </w:t>
      </w:r>
      <w:proofErr w:type="spellStart"/>
      <w:r w:rsidRPr="00563BC3">
        <w:t>ActewAGL</w:t>
      </w:r>
      <w:proofErr w:type="spellEnd"/>
      <w:r w:rsidRPr="00563BC3">
        <w:rPr>
          <w:rStyle w:val="AERbody"/>
        </w:rPr>
        <w:t xml:space="preserve"> only ha</w:t>
      </w:r>
      <w:r w:rsidR="00571FB4">
        <w:rPr>
          <w:rStyle w:val="AERbody"/>
        </w:rPr>
        <w:t>ve</w:t>
      </w:r>
      <w:r w:rsidRPr="00563BC3">
        <w:rPr>
          <w:rStyle w:val="AERbody"/>
        </w:rPr>
        <w:t xml:space="preserve"> one MED per year. However, </w:t>
      </w:r>
      <w:r w:rsidRPr="00563BC3">
        <w:t>physically diverse and geographically large network</w:t>
      </w:r>
      <w:r w:rsidR="00604A67">
        <w:t>s</w:t>
      </w:r>
      <w:r w:rsidRPr="00563BC3">
        <w:t>, such as Essential Energy or Ergon Energy, ha</w:t>
      </w:r>
      <w:r w:rsidR="00604A67">
        <w:t>ve</w:t>
      </w:r>
      <w:r w:rsidRPr="00563BC3">
        <w:rPr>
          <w:rStyle w:val="AERbody"/>
        </w:rPr>
        <w:t xml:space="preserve"> </w:t>
      </w:r>
      <w:r w:rsidR="00E14A55">
        <w:rPr>
          <w:rStyle w:val="AERbody"/>
        </w:rPr>
        <w:t xml:space="preserve">four </w:t>
      </w:r>
      <w:r w:rsidR="00745E02">
        <w:rPr>
          <w:rStyle w:val="AERbody"/>
        </w:rPr>
        <w:t xml:space="preserve">or </w:t>
      </w:r>
      <w:r w:rsidR="00E14A55">
        <w:rPr>
          <w:rStyle w:val="AERbody"/>
        </w:rPr>
        <w:t xml:space="preserve">five </w:t>
      </w:r>
      <w:r w:rsidRPr="00563BC3">
        <w:rPr>
          <w:rStyle w:val="AERbody"/>
        </w:rPr>
        <w:t>MED</w:t>
      </w:r>
      <w:r w:rsidR="00E14A55">
        <w:rPr>
          <w:rStyle w:val="AERbody"/>
        </w:rPr>
        <w:t>s</w:t>
      </w:r>
      <w:r w:rsidRPr="00563BC3">
        <w:rPr>
          <w:rStyle w:val="AERbody"/>
        </w:rPr>
        <w:t xml:space="preserve"> per year. </w:t>
      </w:r>
      <w:r w:rsidR="00802E4A">
        <w:rPr>
          <w:rStyle w:val="AERbody"/>
        </w:rPr>
        <w:t>Importantly, s</w:t>
      </w:r>
      <w:r w:rsidRPr="00563BC3">
        <w:rPr>
          <w:rStyle w:val="AERbody"/>
        </w:rPr>
        <w:t>imilar patterns are evident under the 4.15 beta method.</w:t>
      </w:r>
    </w:p>
    <w:p w:rsidR="00907C8A" w:rsidRDefault="00907C8A" w:rsidP="00B75950">
      <w:pPr>
        <w:rPr>
          <w:rStyle w:val="AERbody"/>
        </w:rPr>
      </w:pPr>
      <w:r w:rsidRPr="00907C8A">
        <w:rPr>
          <w:rStyle w:val="AERbody"/>
        </w:rPr>
        <w:t xml:space="preserve">Under </w:t>
      </w:r>
      <w:r w:rsidR="00604A67">
        <w:rPr>
          <w:rStyle w:val="AERbody"/>
        </w:rPr>
        <w:t xml:space="preserve">a </w:t>
      </w:r>
      <w:r w:rsidRPr="00907C8A">
        <w:rPr>
          <w:rStyle w:val="AERbody"/>
        </w:rPr>
        <w:t>normal distribution, 2.5 and 4.15 standard deviations represent a</w:t>
      </w:r>
      <w:r w:rsidR="00B75950">
        <w:rPr>
          <w:rStyle w:val="AERbody"/>
        </w:rPr>
        <w:t>n expected frequency of</w:t>
      </w:r>
      <w:r w:rsidRPr="00907C8A">
        <w:rPr>
          <w:rStyle w:val="AERbody"/>
        </w:rPr>
        <w:t xml:space="preserve"> 2.6 events per year and </w:t>
      </w:r>
      <w:r w:rsidR="00B75950" w:rsidRPr="00B75950">
        <w:t>0.</w:t>
      </w:r>
      <w:r w:rsidR="00B75950">
        <w:t>000</w:t>
      </w:r>
      <w:r w:rsidR="009512EF">
        <w:t>167</w:t>
      </w:r>
      <w:r w:rsidR="00B75950">
        <w:t xml:space="preserve"> events per year (equivalent to</w:t>
      </w:r>
      <w:r w:rsidR="00B75950" w:rsidRPr="00B75950">
        <w:t xml:space="preserve"> </w:t>
      </w:r>
      <w:r w:rsidRPr="00907C8A">
        <w:rPr>
          <w:rStyle w:val="AERbody"/>
        </w:rPr>
        <w:t>1 in 163 years frequency</w:t>
      </w:r>
      <w:r w:rsidR="00B75950">
        <w:rPr>
          <w:rStyle w:val="AERbody"/>
        </w:rPr>
        <w:t>)</w:t>
      </w:r>
      <w:r w:rsidRPr="00907C8A">
        <w:rPr>
          <w:rStyle w:val="AERbody"/>
        </w:rPr>
        <w:t xml:space="preserve"> respectively. Our findings suggest that </w:t>
      </w:r>
      <w:r w:rsidR="00E14A55" w:rsidRPr="00E03E4F">
        <w:rPr>
          <w:rStyle w:val="AERbody"/>
        </w:rPr>
        <w:t>the IEEE method to transform daily SAIDI data into a normal distribution data set</w:t>
      </w:r>
      <w:r w:rsidR="00E14A55">
        <w:rPr>
          <w:rStyle w:val="AERbody"/>
        </w:rPr>
        <w:t xml:space="preserve"> does not apply equally to every distributor</w:t>
      </w:r>
      <w:r w:rsidR="00E14A55" w:rsidRPr="00E03E4F">
        <w:rPr>
          <w:rStyle w:val="AERbody"/>
        </w:rPr>
        <w:t xml:space="preserve">. Substantial further research will need to be undertaken to find an alternative method.     </w:t>
      </w:r>
    </w:p>
    <w:p w:rsidR="00954F4E" w:rsidRDefault="000E2191" w:rsidP="003F1D94">
      <w:pPr>
        <w:rPr>
          <w:b/>
          <w:color w:val="076A92" w:themeColor="text1"/>
          <w:sz w:val="24"/>
          <w:szCs w:val="20"/>
        </w:rPr>
      </w:pPr>
      <w:r>
        <w:t>G</w:t>
      </w:r>
      <w:r w:rsidR="00907C8A" w:rsidRPr="00907C8A">
        <w:t>iven that there is no clear method to identify catastrophic event</w:t>
      </w:r>
      <w:r w:rsidR="00571FB4">
        <w:t xml:space="preserve">s in a manner that applies </w:t>
      </w:r>
      <w:r w:rsidR="00802E4A">
        <w:t xml:space="preserve">consistently </w:t>
      </w:r>
      <w:r w:rsidR="00571FB4">
        <w:t>to all distributors</w:t>
      </w:r>
      <w:r w:rsidR="00907C8A" w:rsidRPr="00907C8A">
        <w:t xml:space="preserve">, </w:t>
      </w:r>
      <w:r w:rsidR="00907C8A">
        <w:t>our draft decision is to maintain</w:t>
      </w:r>
      <w:r w:rsidR="00907C8A" w:rsidRPr="00907C8A">
        <w:t xml:space="preserve"> </w:t>
      </w:r>
      <w:r w:rsidR="00907C8A">
        <w:t xml:space="preserve">our position in the draft guideline to </w:t>
      </w:r>
      <w:r w:rsidR="00064C24">
        <w:t xml:space="preserve">not </w:t>
      </w:r>
      <w:r w:rsidR="00907C8A" w:rsidRPr="00907C8A">
        <w:t>implement this change.</w:t>
      </w:r>
    </w:p>
    <w:p w:rsidR="00563BC3" w:rsidRPr="00563BC3" w:rsidRDefault="00563BC3" w:rsidP="00563BC3">
      <w:pPr>
        <w:pStyle w:val="Tabletitle"/>
      </w:pPr>
      <w:r w:rsidRPr="00563BC3">
        <w:lastRenderedPageBreak/>
        <w:t xml:space="preserve">Simplification of current approach for s-factor calculations </w:t>
      </w:r>
    </w:p>
    <w:p w:rsidR="007C182F" w:rsidRDefault="007C182F" w:rsidP="007C182F">
      <w:r>
        <w:t xml:space="preserve">We propose to simplify the </w:t>
      </w:r>
      <w:r w:rsidRPr="007C182F">
        <w:t xml:space="preserve">operation of the scheme by </w:t>
      </w:r>
      <w:r w:rsidR="00BA15D1">
        <w:t>applying</w:t>
      </w:r>
      <w:r w:rsidR="00BA15D1" w:rsidRPr="007C182F" w:rsidDel="00BA15D1">
        <w:t xml:space="preserve"> </w:t>
      </w:r>
      <w:r w:rsidRPr="007C182F">
        <w:t>STPIS outcomes as a fixed monetary amount (fixed dollar) in accordance with the actual performance</w:t>
      </w:r>
      <w:r w:rsidR="00BA15D1">
        <w:t xml:space="preserve"> outcomes of each year</w:t>
      </w:r>
      <w:r w:rsidRPr="007C182F">
        <w:t>; rather than as a percentage adjustment to</w:t>
      </w:r>
      <w:r>
        <w:t xml:space="preserve"> </w:t>
      </w:r>
      <w:r w:rsidRPr="007C182F">
        <w:t>the maximum allowable revenue (MAR)</w:t>
      </w:r>
      <w:r w:rsidR="00BA15D1">
        <w:t xml:space="preserve"> of each year</w:t>
      </w:r>
      <w:r w:rsidRPr="007C182F">
        <w:t>.</w:t>
      </w:r>
    </w:p>
    <w:p w:rsidR="00563BC3" w:rsidRPr="00563BC3" w:rsidRDefault="00563BC3" w:rsidP="00563BC3">
      <w:r>
        <w:t xml:space="preserve">We consider a simplification to the STPIS calculation is </w:t>
      </w:r>
      <w:r w:rsidR="00571FB4">
        <w:t>desirable</w:t>
      </w:r>
      <w:r w:rsidR="00571FB4" w:rsidRPr="00563BC3">
        <w:t xml:space="preserve"> </w:t>
      </w:r>
      <w:r w:rsidRPr="00563BC3">
        <w:t>to address the following issues</w:t>
      </w:r>
      <w:r w:rsidR="00571FB4">
        <w:t>:</w:t>
      </w:r>
    </w:p>
    <w:p w:rsidR="00563BC3" w:rsidRPr="00563BC3" w:rsidRDefault="00563BC3" w:rsidP="006F478B">
      <w:pPr>
        <w:pStyle w:val="AERbulletlistfirststyle"/>
      </w:pPr>
      <w:r>
        <w:t xml:space="preserve">The current scheme design adjusts the </w:t>
      </w:r>
      <w:r w:rsidR="00232C8F">
        <w:t xml:space="preserve">allowed </w:t>
      </w:r>
      <w:r w:rsidR="006F478B">
        <w:t xml:space="preserve">revenue </w:t>
      </w:r>
      <w:r>
        <w:t xml:space="preserve">each year by the s-factor percentage. Hence, the </w:t>
      </w:r>
      <w:r w:rsidR="006F478B" w:rsidRPr="006F478B">
        <w:t>maximum allowable revenue</w:t>
      </w:r>
      <w:r w:rsidR="006F478B">
        <w:t xml:space="preserve"> (MAR)</w:t>
      </w:r>
      <w:r w:rsidR="003541AD">
        <w:t xml:space="preserve"> in</w:t>
      </w:r>
      <w:r w:rsidR="006F478B">
        <w:t xml:space="preserve"> </w:t>
      </w:r>
      <w:r>
        <w:t xml:space="preserve">the price control formula </w:t>
      </w:r>
      <w:r w:rsidR="00571FB4">
        <w:t xml:space="preserve">is </w:t>
      </w:r>
      <w:r>
        <w:t xml:space="preserve">not equal to that under the CPI-X </w:t>
      </w:r>
      <w:r w:rsidRPr="00563BC3">
        <w:t xml:space="preserve">model. The MAR of the following year must </w:t>
      </w:r>
      <w:r w:rsidR="00E14A55">
        <w:t xml:space="preserve">first </w:t>
      </w:r>
      <w:r w:rsidR="003541AD">
        <w:t xml:space="preserve">be </w:t>
      </w:r>
      <w:r w:rsidRPr="00563BC3">
        <w:t>readjusted by remov</w:t>
      </w:r>
      <w:r w:rsidR="00E14A55">
        <w:t xml:space="preserve">ing </w:t>
      </w:r>
      <w:r w:rsidRPr="00563BC3">
        <w:t>the s-factor of the previous regulatory year</w:t>
      </w:r>
      <w:r w:rsidR="00E14A55">
        <w:t>, before applying the new s-factor</w:t>
      </w:r>
    </w:p>
    <w:p w:rsidR="00563BC3" w:rsidRPr="00563BC3" w:rsidRDefault="00563BC3" w:rsidP="00563BC3">
      <w:pPr>
        <w:pStyle w:val="AERbulletlistfirststyle"/>
      </w:pPr>
      <w:r>
        <w:t xml:space="preserve">The s-factor has a two-year time delay between the performance outcome and the adjustment of the MAR. Therefore, the s-factors of the last two years of a regulatory </w:t>
      </w:r>
      <w:r w:rsidR="003541AD">
        <w:t xml:space="preserve">control </w:t>
      </w:r>
      <w:r>
        <w:t xml:space="preserve">period are applied to the MAR of the first two years of the next period. Hence, there is a need to </w:t>
      </w:r>
      <w:r w:rsidRPr="00563BC3">
        <w:t>adjust for any step change in MAR between regulatory control periods––that is 1 per cent of MAR in one period does not equal the same percentage figures in the next period</w:t>
      </w:r>
    </w:p>
    <w:p w:rsidR="00563BC3" w:rsidRPr="00563BC3" w:rsidRDefault="00571FB4" w:rsidP="00563BC3">
      <w:pPr>
        <w:pStyle w:val="AERbulletlistfirststyle"/>
      </w:pPr>
      <w:r>
        <w:t>There is</w:t>
      </w:r>
      <w:r w:rsidR="00563BC3" w:rsidRPr="00563BC3">
        <w:t xml:space="preserve"> potential for the s-bank mechanism under</w:t>
      </w:r>
      <w:r w:rsidR="003541AD">
        <w:t xml:space="preserve"> the</w:t>
      </w:r>
      <w:r w:rsidR="00563BC3" w:rsidRPr="00563BC3">
        <w:t xml:space="preserve"> current scheme</w:t>
      </w:r>
      <w:r w:rsidR="00C51548">
        <w:t xml:space="preserve"> being misused</w:t>
      </w:r>
      <w:r>
        <w:t xml:space="preserve">. </w:t>
      </w:r>
      <w:r w:rsidR="00563BC3" w:rsidRPr="00563BC3">
        <w:t xml:space="preserve">Under </w:t>
      </w:r>
      <w:r w:rsidR="00C51548">
        <w:t>the current</w:t>
      </w:r>
      <w:r w:rsidR="00563BC3" w:rsidRPr="00563BC3">
        <w:t xml:space="preserve"> </w:t>
      </w:r>
      <w:r w:rsidR="00DC52B3">
        <w:t>approach</w:t>
      </w:r>
      <w:r w:rsidR="00563BC3" w:rsidRPr="00563BC3">
        <w:t xml:space="preserve">, a distributor </w:t>
      </w:r>
      <w:r w:rsidR="00C51548">
        <w:t xml:space="preserve">could </w:t>
      </w:r>
      <w:r w:rsidR="00563BC3" w:rsidRPr="00563BC3">
        <w:t xml:space="preserve">bank the s-factor results for more than a year if it expects to receive </w:t>
      </w:r>
      <w:r w:rsidR="00C51548">
        <w:t xml:space="preserve">a windfall gain through </w:t>
      </w:r>
      <w:r w:rsidR="00563BC3" w:rsidRPr="00563BC3">
        <w:t>an increased revenue in future regulatory years due to a rising CPI or cost of debt.</w:t>
      </w:r>
    </w:p>
    <w:p w:rsidR="00563BC3" w:rsidRPr="00563BC3" w:rsidRDefault="00563BC3" w:rsidP="00563BC3">
      <w:pPr>
        <w:pStyle w:val="Tabletitle"/>
      </w:pPr>
      <w:r w:rsidRPr="00563BC3">
        <w:t>Other minor improvements</w:t>
      </w:r>
    </w:p>
    <w:p w:rsidR="00563BC3" w:rsidRPr="00563BC3" w:rsidRDefault="00380426" w:rsidP="00563BC3">
      <w:r>
        <w:t xml:space="preserve">Our draft decision is to </w:t>
      </w:r>
      <w:r w:rsidR="00563BC3">
        <w:t>correct errors in the scheme</w:t>
      </w:r>
      <w:r>
        <w:t xml:space="preserve"> that have previously been identified,</w:t>
      </w:r>
      <w:r w:rsidR="00563BC3">
        <w:t xml:space="preserve"> including </w:t>
      </w:r>
      <w:r w:rsidR="00563BC3" w:rsidRPr="00563BC3">
        <w:t xml:space="preserve">the alignment of </w:t>
      </w:r>
      <w:r w:rsidR="003541AD">
        <w:t xml:space="preserve">the </w:t>
      </w:r>
      <w:r w:rsidR="00563BC3" w:rsidRPr="00563BC3">
        <w:t xml:space="preserve">definition </w:t>
      </w:r>
      <w:r w:rsidR="003541AD">
        <w:t xml:space="preserve">of </w:t>
      </w:r>
      <w:r w:rsidR="00563BC3" w:rsidRPr="00563BC3">
        <w:t xml:space="preserve">year “t” in </w:t>
      </w:r>
      <w:r w:rsidR="003541AD">
        <w:t xml:space="preserve">the </w:t>
      </w:r>
      <w:r w:rsidR="00563BC3" w:rsidRPr="00563BC3">
        <w:t xml:space="preserve">STPIS with </w:t>
      </w:r>
      <w:r w:rsidR="003541AD">
        <w:t xml:space="preserve">that in the </w:t>
      </w:r>
      <w:r>
        <w:t>revenue</w:t>
      </w:r>
      <w:r w:rsidR="00C74978">
        <w:t xml:space="preserve"> </w:t>
      </w:r>
      <w:r w:rsidR="00563BC3" w:rsidRPr="00563BC3">
        <w:t xml:space="preserve">control formula. Stakeholders support our proposal.  </w:t>
      </w:r>
    </w:p>
    <w:p w:rsidR="00563BC3" w:rsidRPr="00563BC3" w:rsidRDefault="00563BC3" w:rsidP="00563BC3">
      <w:r>
        <w:t xml:space="preserve">We </w:t>
      </w:r>
      <w:r w:rsidR="006F478B">
        <w:t xml:space="preserve">also </w:t>
      </w:r>
      <w:r w:rsidRPr="00563BC3">
        <w:t xml:space="preserve">clarify </w:t>
      </w:r>
      <w:r w:rsidR="00380426">
        <w:t xml:space="preserve">that </w:t>
      </w:r>
      <w:r w:rsidR="003541AD">
        <w:t xml:space="preserve">the </w:t>
      </w:r>
      <w:r w:rsidR="006F478B" w:rsidRPr="006F478B">
        <w:t>guaranteed service level</w:t>
      </w:r>
      <w:r w:rsidR="006F478B">
        <w:t xml:space="preserve"> (</w:t>
      </w:r>
      <w:r w:rsidRPr="00563BC3">
        <w:t>GSL</w:t>
      </w:r>
      <w:r w:rsidR="006F478B">
        <w:t>)</w:t>
      </w:r>
      <w:r w:rsidRPr="00563BC3">
        <w:t xml:space="preserve"> payment conditions</w:t>
      </w:r>
      <w:r w:rsidR="006F478B">
        <w:t xml:space="preserve"> for each supply reliability parameter</w:t>
      </w:r>
      <w:r w:rsidRPr="00563BC3">
        <w:t xml:space="preserve"> are </w:t>
      </w:r>
      <w:r w:rsidR="006F478B">
        <w:t xml:space="preserve">made </w:t>
      </w:r>
      <w:r w:rsidRPr="00563BC3">
        <w:t>separate</w:t>
      </w:r>
      <w:r w:rsidR="00B74EF8">
        <w:t>ly</w:t>
      </w:r>
      <w:r w:rsidR="007D3C78">
        <w:t>.</w:t>
      </w:r>
      <w:r w:rsidR="006F478B">
        <w:t xml:space="preserve"> </w:t>
      </w:r>
      <w:r w:rsidR="007D3C78">
        <w:t>F</w:t>
      </w:r>
      <w:r w:rsidR="006F478B">
        <w:t>or example</w:t>
      </w:r>
      <w:r w:rsidR="007D3C78">
        <w:t>,</w:t>
      </w:r>
      <w:r w:rsidR="006F478B">
        <w:t xml:space="preserve"> the GSL payment for </w:t>
      </w:r>
      <w:r w:rsidR="007D3C78">
        <w:t xml:space="preserve">excessive </w:t>
      </w:r>
      <w:r w:rsidR="006F478B">
        <w:t>total hours of supply interruption</w:t>
      </w:r>
      <w:r w:rsidR="007D3C78">
        <w:t>s in a year</w:t>
      </w:r>
      <w:r w:rsidR="006F478B">
        <w:t xml:space="preserve"> </w:t>
      </w:r>
      <w:r w:rsidR="007D3C78">
        <w:t>must be</w:t>
      </w:r>
      <w:r w:rsidR="006F478B">
        <w:t xml:space="preserve"> paid separately from th</w:t>
      </w:r>
      <w:r w:rsidR="00B74EF8">
        <w:t>e payments</w:t>
      </w:r>
      <w:r w:rsidR="006F478B">
        <w:t xml:space="preserve"> for each single interruption </w:t>
      </w:r>
      <w:r w:rsidR="007D3C78">
        <w:t>exceeding the relevant threshold</w:t>
      </w:r>
      <w:r w:rsidRPr="00563BC3">
        <w:t>.</w:t>
      </w:r>
    </w:p>
    <w:p w:rsidR="006B2AD5" w:rsidRDefault="006B2AD5" w:rsidP="006B2AD5"/>
    <w:p w:rsidR="007D3C78" w:rsidRDefault="007D3C78" w:rsidP="007D3C78">
      <w:pPr>
        <w:pStyle w:val="Heading1"/>
      </w:pPr>
      <w:bookmarkStart w:id="57" w:name="_Toc485633939"/>
      <w:bookmarkStart w:id="58" w:name="_Toc499802923"/>
      <w:bookmarkEnd w:id="57"/>
      <w:r>
        <w:lastRenderedPageBreak/>
        <w:t>Explanation of our draft decision</w:t>
      </w:r>
      <w:bookmarkEnd w:id="58"/>
    </w:p>
    <w:p w:rsidR="007D3C78" w:rsidRPr="007D3C78" w:rsidRDefault="007D3C78" w:rsidP="007D3C78">
      <w:r>
        <w:t xml:space="preserve">This chapter provides the background and our reasons for the proposed changes to </w:t>
      </w:r>
      <w:r w:rsidR="00380426">
        <w:t xml:space="preserve">the </w:t>
      </w:r>
      <w:r>
        <w:t>STPIS.</w:t>
      </w:r>
    </w:p>
    <w:p w:rsidR="004274C4" w:rsidRDefault="004274C4" w:rsidP="007D3C78">
      <w:pPr>
        <w:pStyle w:val="Heading2"/>
      </w:pPr>
      <w:bookmarkStart w:id="59" w:name="_Toc499802924"/>
      <w:r w:rsidRPr="004274C4">
        <w:t>Ratio of SAIFI and SAIDI incentive rates</w:t>
      </w:r>
      <w:bookmarkEnd w:id="59"/>
    </w:p>
    <w:p w:rsidR="00353DA0" w:rsidRPr="00353DA0" w:rsidRDefault="00353DA0" w:rsidP="00353DA0">
      <w:pPr>
        <w:pStyle w:val="Tabletitle"/>
      </w:pPr>
      <w:r w:rsidRPr="00353DA0">
        <w:t>Background</w:t>
      </w:r>
    </w:p>
    <w:p w:rsidR="002B6DD2" w:rsidRDefault="00353DA0" w:rsidP="00353DA0">
      <w:r>
        <w:t>As discussed in the issues paper, d</w:t>
      </w:r>
      <w:r w:rsidRPr="00353DA0">
        <w:t xml:space="preserve">istributors typically achieved better improvements to their SAIFI results (the number of outages) than their SAIDI </w:t>
      </w:r>
      <w:r w:rsidR="00B74EF8" w:rsidRPr="00353DA0">
        <w:t xml:space="preserve">results </w:t>
      </w:r>
      <w:r w:rsidRPr="00353DA0">
        <w:t xml:space="preserve">(duration of outages) (red lines vs the blue lines of the charts in Appendix B). </w:t>
      </w:r>
    </w:p>
    <w:p w:rsidR="008B06C9" w:rsidRDefault="002B6DD2" w:rsidP="00353DA0">
      <w:r>
        <w:t xml:space="preserve">This outcome reflects that </w:t>
      </w:r>
      <w:r w:rsidR="00353DA0" w:rsidRPr="00353DA0">
        <w:t>the average service supply restoration time (CAIDI) is getting longer</w:t>
      </w:r>
      <w:r>
        <w:t>.</w:t>
      </w:r>
      <w:r>
        <w:rPr>
          <w:rStyle w:val="FootnoteReference"/>
        </w:rPr>
        <w:footnoteReference w:id="5"/>
      </w:r>
      <w:r>
        <w:t xml:space="preserve"> The extent of the deterioration of CAIDI is shown</w:t>
      </w:r>
      <w:r w:rsidR="00353DA0" w:rsidRPr="00353DA0">
        <w:t xml:space="preserve"> in Table B.1 of Appendix B.</w:t>
      </w:r>
      <w:r>
        <w:t xml:space="preserve"> </w:t>
      </w:r>
    </w:p>
    <w:p w:rsidR="00353DA0" w:rsidRPr="00353DA0" w:rsidRDefault="00353DA0" w:rsidP="00353DA0">
      <w:r w:rsidRPr="00FE71DF">
        <w:t xml:space="preserve">This difference in performance improvement between SAIDI and SAIFI may be </w:t>
      </w:r>
      <w:r w:rsidR="005C3247">
        <w:t xml:space="preserve">in part </w:t>
      </w:r>
      <w:r w:rsidRPr="00FE71DF">
        <w:t xml:space="preserve">due to the current scheme design regarding the ratio of the reward/penalty incentive rates between SAIFI and SAIDI. </w:t>
      </w:r>
    </w:p>
    <w:p w:rsidR="00803308" w:rsidRDefault="00353DA0" w:rsidP="00353DA0">
      <w:r>
        <w:t>T</w:t>
      </w:r>
      <w:r w:rsidRPr="00353DA0">
        <w:t>he current STPIS rewards each SAIFI improvement to the equivalent value of the reduction of SAIDI by the standard CAIDI amount. That is</w:t>
      </w:r>
      <w:r w:rsidR="005C3247">
        <w:t>,</w:t>
      </w:r>
      <w:r w:rsidRPr="00353DA0">
        <w:t xml:space="preserve"> the assumption that each SAIFI improvement will result in the corresponding SAIDI improvement of the CAIDI value, which is about 60-80 minutes for urban feeders. When this assumed improvement is not achieved, the distributor would be over-rewarded.</w:t>
      </w:r>
    </w:p>
    <w:p w:rsidR="00803308" w:rsidRDefault="00803308" w:rsidP="00803308">
      <w:r>
        <w:t>We believe that:</w:t>
      </w:r>
    </w:p>
    <w:p w:rsidR="00803308" w:rsidRDefault="00803308" w:rsidP="00803308">
      <w:pPr>
        <w:pStyle w:val="AERbulletlistfirststyle"/>
      </w:pPr>
      <w:r>
        <w:t>Improvements to SAIFI are mainly achieved through capital expenditures on more network automation such as auto-</w:t>
      </w:r>
      <w:proofErr w:type="spellStart"/>
      <w:r>
        <w:t>reclosers</w:t>
      </w:r>
      <w:proofErr w:type="spellEnd"/>
      <w:r>
        <w:t xml:space="preserve">. </w:t>
      </w:r>
    </w:p>
    <w:p w:rsidR="00803308" w:rsidRPr="00353DA0" w:rsidRDefault="00803308" w:rsidP="00803308">
      <w:pPr>
        <w:pStyle w:val="AERbulletlistfirststyle"/>
      </w:pPr>
      <w:r>
        <w:t xml:space="preserve">Improvements to supply restoration time </w:t>
      </w:r>
      <w:r w:rsidR="00931FB9">
        <w:t>are</w:t>
      </w:r>
      <w:r>
        <w:t xml:space="preserve"> mainly related to refinements of the operational arrangement of the distributors.  </w:t>
      </w:r>
    </w:p>
    <w:p w:rsidR="00BA15D1" w:rsidRPr="00BA15D1" w:rsidRDefault="00BA15D1" w:rsidP="00BA15D1">
      <w:pPr>
        <w:rPr>
          <w:rStyle w:val="AERbody"/>
        </w:rPr>
      </w:pPr>
      <w:r w:rsidRPr="00BA15D1">
        <w:rPr>
          <w:rStyle w:val="AERbody"/>
        </w:rPr>
        <w:t xml:space="preserve">Based on the observed outcomes, </w:t>
      </w:r>
      <w:r w:rsidR="00B86458">
        <w:rPr>
          <w:rStyle w:val="AERbody"/>
        </w:rPr>
        <w:t xml:space="preserve">our analysis as shown in Appendix A and distributors' submissions, </w:t>
      </w:r>
      <w:r w:rsidRPr="00BA15D1">
        <w:rPr>
          <w:rStyle w:val="AERbody"/>
        </w:rPr>
        <w:t xml:space="preserve">we believe that the current incentive framework may have resulted in a bias towards </w:t>
      </w:r>
      <w:r w:rsidR="00D014C5">
        <w:rPr>
          <w:rStyle w:val="AERbody"/>
        </w:rPr>
        <w:t xml:space="preserve">a </w:t>
      </w:r>
      <w:r w:rsidRPr="00BA15D1">
        <w:rPr>
          <w:rStyle w:val="AERbody"/>
        </w:rPr>
        <w:t>capex option to improve supply reliability.</w:t>
      </w:r>
      <w:r w:rsidR="00B86458">
        <w:rPr>
          <w:rStyle w:val="AERbody"/>
        </w:rPr>
        <w:t xml:space="preserve"> While the capex option has been effective in reducing the number of supply interruptions, we are concern</w:t>
      </w:r>
      <w:r w:rsidR="00D014C5">
        <w:rPr>
          <w:rStyle w:val="AERbody"/>
        </w:rPr>
        <w:t>ed</w:t>
      </w:r>
      <w:r w:rsidR="00B86458">
        <w:rPr>
          <w:rStyle w:val="AERbody"/>
        </w:rPr>
        <w:t xml:space="preserve"> that the performance indicators suggested that the average supply restoration time (CAIDI) is showing an increasing trend.</w:t>
      </w:r>
    </w:p>
    <w:p w:rsidR="00353DA0" w:rsidRPr="00353DA0" w:rsidRDefault="00803308" w:rsidP="00353DA0">
      <w:r>
        <w:t xml:space="preserve">Hence, we consider that there is a need to provide more incentives to improve the operational response of the distributors; but with </w:t>
      </w:r>
      <w:r w:rsidRPr="00954F4E">
        <w:rPr>
          <w:rStyle w:val="AERbody"/>
        </w:rPr>
        <w:t xml:space="preserve">no </w:t>
      </w:r>
      <w:r w:rsidR="00EF0187">
        <w:rPr>
          <w:rStyle w:val="AERbody"/>
        </w:rPr>
        <w:t>diminution</w:t>
      </w:r>
      <w:r w:rsidRPr="00954F4E">
        <w:rPr>
          <w:rStyle w:val="AERbody"/>
        </w:rPr>
        <w:t xml:space="preserve"> to the total incentives</w:t>
      </w:r>
      <w:r>
        <w:t xml:space="preserve"> to the distributors under the scheme.</w:t>
      </w:r>
      <w:r w:rsidR="00353DA0" w:rsidRPr="00353DA0">
        <w:t xml:space="preserve"> </w:t>
      </w:r>
    </w:p>
    <w:p w:rsidR="00353DA0" w:rsidRPr="00353DA0" w:rsidRDefault="00353DA0" w:rsidP="00353DA0">
      <w:pPr>
        <w:pStyle w:val="Tabletitle"/>
      </w:pPr>
      <w:r w:rsidRPr="00353DA0">
        <w:lastRenderedPageBreak/>
        <w:t>Submissions</w:t>
      </w:r>
    </w:p>
    <w:p w:rsidR="00353DA0" w:rsidRDefault="00B4306D" w:rsidP="00353DA0">
      <w:pPr>
        <w:pStyle w:val="AERbulletlistfirststyle"/>
      </w:pPr>
      <w:r>
        <w:t xml:space="preserve">Energy Networks Association (ENA) and most electricity distributors (except </w:t>
      </w:r>
      <w:proofErr w:type="spellStart"/>
      <w:r>
        <w:t>ActewAGL</w:t>
      </w:r>
      <w:proofErr w:type="spellEnd"/>
      <w:r>
        <w:t>) made submissions on this issue</w:t>
      </w:r>
      <w:r w:rsidR="00353DA0" w:rsidRPr="00FE71DF">
        <w:t>.</w:t>
      </w:r>
      <w:r w:rsidR="00AC57DB" w:rsidRPr="009472AF">
        <w:rPr>
          <w:rStyle w:val="FootnoteReference"/>
        </w:rPr>
        <w:footnoteReference w:id="6"/>
      </w:r>
    </w:p>
    <w:p w:rsidR="00581AD6" w:rsidRDefault="00B4306D" w:rsidP="00581AD6">
      <w:pPr>
        <w:pStyle w:val="AERbulletlistsecondstyle"/>
      </w:pPr>
      <w:r>
        <w:t xml:space="preserve">Majority of the distributors and ENA suggested </w:t>
      </w:r>
      <w:r w:rsidR="00D014C5">
        <w:t>we</w:t>
      </w:r>
      <w:r>
        <w:t xml:space="preserve"> maintain the current ratio. However, no specific </w:t>
      </w:r>
      <w:r w:rsidR="00581AD6">
        <w:t>reasons were provided. Most of the submissions stated that DNSPs typically target network improvements to reduce instances of supply interruption––hence, resulting in reduction to both SAIFI and SAIDI.</w:t>
      </w:r>
    </w:p>
    <w:p w:rsidR="00581AD6" w:rsidRDefault="00581AD6" w:rsidP="00581AD6">
      <w:pPr>
        <w:pStyle w:val="AERbulletlistsecondstyle"/>
      </w:pPr>
      <w:r>
        <w:t>ENA submitted that "e</w:t>
      </w:r>
      <w:r w:rsidRPr="00581AD6">
        <w:t xml:space="preserve">xperience from </w:t>
      </w:r>
      <w:r>
        <w:t>its</w:t>
      </w:r>
      <w:r w:rsidRPr="00581AD6">
        <w:t xml:space="preserve"> members suggests that capex invested to improve SAIFI and SAIDI delivers better outcomes in terms of service reliability and value for money than </w:t>
      </w:r>
      <w:proofErr w:type="spellStart"/>
      <w:r w:rsidRPr="00581AD6">
        <w:t>opex</w:t>
      </w:r>
      <w:proofErr w:type="spellEnd"/>
      <w:r w:rsidRPr="00581AD6">
        <w:t xml:space="preserve"> initiatives to deliver SAIDI alone</w:t>
      </w:r>
      <w:r w:rsidR="00FF6CB4">
        <w:t>"</w:t>
      </w:r>
      <w:r>
        <w:t>.</w:t>
      </w:r>
    </w:p>
    <w:p w:rsidR="00581AD6" w:rsidRDefault="00581AD6" w:rsidP="00581AD6">
      <w:pPr>
        <w:pStyle w:val="AERbulletlistfirststyle"/>
      </w:pPr>
      <w:r>
        <w:t xml:space="preserve"> We  note</w:t>
      </w:r>
      <w:r w:rsidR="00D014C5">
        <w:t>, however,</w:t>
      </w:r>
      <w:r>
        <w:t xml:space="preserve"> </w:t>
      </w:r>
      <w:r w:rsidR="00FF6CB4">
        <w:t>Ergon Energy and Endeavour Energy expressed similar concerns on this issue</w:t>
      </w:r>
      <w:r>
        <w:t>:</w:t>
      </w:r>
    </w:p>
    <w:p w:rsidR="00AF769B" w:rsidRDefault="00581AD6" w:rsidP="00581AD6">
      <w:pPr>
        <w:pStyle w:val="AERbulletlistsecondstyle"/>
      </w:pPr>
      <w:r w:rsidRPr="00581AD6">
        <w:t>Ergon Energy</w:t>
      </w:r>
      <w:r w:rsidR="00AF769B">
        <w:t>'</w:t>
      </w:r>
      <w:r w:rsidRPr="00581AD6">
        <w:t xml:space="preserve"> </w:t>
      </w:r>
      <w:r w:rsidR="00AF769B">
        <w:t>submi</w:t>
      </w:r>
      <w:r w:rsidR="00FF6CB4">
        <w:t>tted</w:t>
      </w:r>
      <w:r w:rsidR="00AF769B">
        <w:t xml:space="preserve"> that:</w:t>
      </w:r>
    </w:p>
    <w:p w:rsidR="00B4306D" w:rsidRDefault="00FF6CB4" w:rsidP="00AF769B">
      <w:pPr>
        <w:pStyle w:val="AERquoteindent2"/>
      </w:pPr>
      <w:r>
        <w:t>Ergon Energy</w:t>
      </w:r>
      <w:r w:rsidR="00AF769B">
        <w:t xml:space="preserve"> </w:t>
      </w:r>
      <w:r w:rsidR="00581AD6" w:rsidRPr="00581AD6">
        <w:t xml:space="preserve">agrees that a greater economic incentive for SAIDI aligns with our customer survey results and value distribution our residential customers have. However, it is not clear that this will provide a more balanced approach between incentives to improve reliability between capex and </w:t>
      </w:r>
      <w:proofErr w:type="spellStart"/>
      <w:r w:rsidR="00581AD6" w:rsidRPr="00581AD6">
        <w:t>opex</w:t>
      </w:r>
      <w:proofErr w:type="spellEnd"/>
      <w:r w:rsidR="00581AD6" w:rsidRPr="00581AD6">
        <w:t xml:space="preserve">, or that there will be an even improvement to all customers. The relationship between capex and SAIFI and </w:t>
      </w:r>
      <w:proofErr w:type="spellStart"/>
      <w:r w:rsidR="00581AD6" w:rsidRPr="00581AD6">
        <w:t>opex</w:t>
      </w:r>
      <w:proofErr w:type="spellEnd"/>
      <w:r w:rsidR="00581AD6" w:rsidRPr="00581AD6">
        <w:t xml:space="preserve"> and SAIDI is not 1:1. Rather, increased investment in capex is likely to result in improved SAIFI and SAIDI, while increased investment in </w:t>
      </w:r>
      <w:proofErr w:type="spellStart"/>
      <w:r w:rsidR="00581AD6" w:rsidRPr="00581AD6">
        <w:t>opex</w:t>
      </w:r>
      <w:proofErr w:type="spellEnd"/>
      <w:r w:rsidR="00581AD6" w:rsidRPr="00581AD6">
        <w:t xml:space="preserve"> is likely to favour improvement in SAIDI over SAIFI. Moreover, a one-off investment in capex will return a perpetual benefit, whereas to return a benefit from an </w:t>
      </w:r>
      <w:proofErr w:type="spellStart"/>
      <w:r w:rsidR="00581AD6" w:rsidRPr="00581AD6">
        <w:t>opex</w:t>
      </w:r>
      <w:proofErr w:type="spellEnd"/>
      <w:r w:rsidR="00581AD6" w:rsidRPr="00581AD6">
        <w:t xml:space="preserve"> investment will require a continual investment in order to maintain the improvement. As such, Ergon Energy does not agree that allocating a higher incentive rate to SAIDI will have a proportional impact on capex and </w:t>
      </w:r>
      <w:proofErr w:type="spellStart"/>
      <w:r w:rsidR="00581AD6" w:rsidRPr="00581AD6">
        <w:t>opex</w:t>
      </w:r>
      <w:proofErr w:type="spellEnd"/>
      <w:r w:rsidR="00581AD6" w:rsidRPr="00581AD6">
        <w:t xml:space="preserve"> investment. Furthermore, while Ergon Energy agrees that a greater incentive for SAIDI aligns with our residential customer value proposition, there will always exist more cost beneficial opportunities where customer densities are higher and network infrastructure development costs are lower</w:t>
      </w:r>
      <w:r w:rsidR="00AF769B">
        <w:t>.</w:t>
      </w:r>
      <w:r w:rsidR="00581AD6">
        <w:t xml:space="preserve"> </w:t>
      </w:r>
      <w:r w:rsidR="00AF769B" w:rsidRPr="00AF769B">
        <w:t>There exists a gap in the regulatory framework to address those outliers and improvement opportunities</w:t>
      </w:r>
      <w:r w:rsidR="00AF769B">
        <w:t xml:space="preserve"> </w:t>
      </w:r>
      <w:r w:rsidR="00AF769B" w:rsidRPr="00AF769B">
        <w:t>that are beyond the STPIS incentives to fund.</w:t>
      </w:r>
    </w:p>
    <w:p w:rsidR="00AF769B" w:rsidRDefault="00AF769B" w:rsidP="00AF769B">
      <w:pPr>
        <w:pStyle w:val="AERbulletlistsecondstyle"/>
      </w:pPr>
      <w:r w:rsidRPr="00581AD6">
        <w:t>E</w:t>
      </w:r>
      <w:r>
        <w:t>ndeavour</w:t>
      </w:r>
      <w:r w:rsidRPr="00581AD6">
        <w:t xml:space="preserve"> Energy</w:t>
      </w:r>
      <w:r>
        <w:t>'</w:t>
      </w:r>
      <w:r w:rsidRPr="00581AD6">
        <w:t xml:space="preserve"> </w:t>
      </w:r>
      <w:r>
        <w:t>submi</w:t>
      </w:r>
      <w:r w:rsidR="00FF6CB4">
        <w:t>tted</w:t>
      </w:r>
      <w:r>
        <w:t xml:space="preserve"> that:</w:t>
      </w:r>
    </w:p>
    <w:p w:rsidR="00AF769B" w:rsidRDefault="00AF769B" w:rsidP="00AF769B">
      <w:pPr>
        <w:pStyle w:val="AERquoteindent2"/>
      </w:pPr>
      <w:r w:rsidRPr="00AF769B">
        <w:t xml:space="preserve">The positive feedback effect caused by using SAIDI/SAIFI (CAIDI) in its current form is inappropriate. This should be changed to be either a </w:t>
      </w:r>
      <w:r w:rsidRPr="00AF769B">
        <w:lastRenderedPageBreak/>
        <w:t>historical average constant ratio or a negative feedback mechanism using SAIDI/SAIFI (CAIDI)</w:t>
      </w:r>
      <w:r>
        <w:t>….</w:t>
      </w:r>
      <w:r w:rsidRPr="00AF769B">
        <w:t xml:space="preserve"> There is a lack of objective evidence to confidently determine what weighting is appropriate. The network type and historical performance of that network type for the particular organisation will vary significantly and therefore weightings should be specific to each organisation. A possible approach is utilising the average of the lowest 5-10 CAIDI yearly results as a static benchmark weighting to be used into the future.</w:t>
      </w:r>
    </w:p>
    <w:p w:rsidR="00353DA0" w:rsidRPr="00353DA0" w:rsidRDefault="00353DA0" w:rsidP="00353DA0">
      <w:pPr>
        <w:pStyle w:val="AERbulletlistfirststyle"/>
      </w:pPr>
      <w:r w:rsidRPr="00FE71DF">
        <w:t>The Victorian Energy Minister and two submissions from bodies representing customers––St Vincent de Paul Society and Energy &amp; Water Ombudsman SA––expressed concerns about CAIDI getting longer.</w:t>
      </w:r>
      <w:r w:rsidR="00E10DF0">
        <w:rPr>
          <w:rStyle w:val="FootnoteReference"/>
        </w:rPr>
        <w:footnoteReference w:id="7"/>
      </w:r>
      <w:r w:rsidRPr="00FE71DF">
        <w:t xml:space="preserve"> </w:t>
      </w:r>
    </w:p>
    <w:p w:rsidR="00353DA0" w:rsidRPr="00353DA0" w:rsidRDefault="00353DA0" w:rsidP="00353DA0">
      <w:pPr>
        <w:pStyle w:val="AERbulletlistfirststyle"/>
      </w:pPr>
      <w:r w:rsidRPr="00FE71DF">
        <w:t xml:space="preserve">The Victorian Energy Minister also expressed her concern </w:t>
      </w:r>
      <w:r w:rsidR="00B74EF8">
        <w:t xml:space="preserve">that </w:t>
      </w:r>
      <w:r w:rsidRPr="00FE71DF">
        <w:t>the CAIDI measures in Victoria ha</w:t>
      </w:r>
      <w:r w:rsidRPr="00353DA0">
        <w:t>ve deteriorated from period to period.</w:t>
      </w:r>
      <w:r w:rsidR="00506BA7">
        <w:rPr>
          <w:rStyle w:val="FootnoteReference"/>
        </w:rPr>
        <w:footnoteReference w:id="8"/>
      </w:r>
    </w:p>
    <w:p w:rsidR="00353DA0" w:rsidRPr="00353DA0" w:rsidRDefault="00506BA7" w:rsidP="00506BA7">
      <w:pPr>
        <w:pStyle w:val="AERbulletlistfirststyle"/>
      </w:pPr>
      <w:r w:rsidRPr="00506BA7">
        <w:t>S</w:t>
      </w:r>
      <w:r w:rsidR="00F84546">
        <w:t xml:space="preserve"> </w:t>
      </w:r>
      <w:r w:rsidRPr="00506BA7">
        <w:t>and</w:t>
      </w:r>
      <w:r w:rsidR="00F84546">
        <w:t xml:space="preserve"> </w:t>
      </w:r>
      <w:r w:rsidRPr="00506BA7">
        <w:t>C Electric Company</w:t>
      </w:r>
      <w:r>
        <w:t xml:space="preserve">, a </w:t>
      </w:r>
      <w:r w:rsidR="00353DA0" w:rsidRPr="00FE71DF">
        <w:t>power industry manufacturer</w:t>
      </w:r>
      <w:r w:rsidR="00F84546">
        <w:t>,</w:t>
      </w:r>
      <w:r w:rsidR="00353DA0" w:rsidRPr="00FE71DF">
        <w:t xml:space="preserve"> suggested includ</w:t>
      </w:r>
      <w:r w:rsidR="00353DA0" w:rsidRPr="00353DA0">
        <w:t>ing CAIDI as an incentive measure.</w:t>
      </w:r>
      <w:r>
        <w:rPr>
          <w:rStyle w:val="FootnoteReference"/>
        </w:rPr>
        <w:footnoteReference w:id="9"/>
      </w:r>
    </w:p>
    <w:p w:rsidR="00353DA0" w:rsidRPr="00353DA0" w:rsidRDefault="009D4832" w:rsidP="00353DA0">
      <w:pPr>
        <w:pStyle w:val="Tabletitle"/>
      </w:pPr>
      <w:r>
        <w:t>Proposed approach</w:t>
      </w:r>
    </w:p>
    <w:p w:rsidR="0085377E" w:rsidRDefault="0085377E" w:rsidP="00353DA0">
      <w:r>
        <w:t xml:space="preserve">Based on our observation of the outcome of </w:t>
      </w:r>
      <w:r w:rsidR="002B6DD2" w:rsidRPr="002B6DD2">
        <w:t>the current scheme</w:t>
      </w:r>
      <w:r>
        <w:t xml:space="preserve">, we identified that, in general, the </w:t>
      </w:r>
      <w:r w:rsidR="002B6DD2" w:rsidRPr="002B6DD2">
        <w:t>average supply restoration time</w:t>
      </w:r>
      <w:r>
        <w:t xml:space="preserve"> is getting longer</w:t>
      </w:r>
      <w:r w:rsidR="00FF6CB4">
        <w:t>––as demonstrated by the worked example of Appendix A</w:t>
      </w:r>
      <w:r w:rsidR="002B6DD2" w:rsidRPr="002B6DD2">
        <w:t xml:space="preserve">. We are concerned about </w:t>
      </w:r>
      <w:r>
        <w:t xml:space="preserve">the increase in </w:t>
      </w:r>
      <w:r w:rsidR="002B6DD2" w:rsidRPr="002B6DD2">
        <w:t>CAIDI because it indicates th</w:t>
      </w:r>
      <w:r>
        <w:t>at distributors' response to network faults may not meet customers' expectation</w:t>
      </w:r>
      <w:r w:rsidR="00931FB9">
        <w:t>s</w:t>
      </w:r>
      <w:r>
        <w:t xml:space="preserve">. </w:t>
      </w:r>
      <w:r w:rsidR="002B6DD2" w:rsidRPr="002B6DD2">
        <w:t>We consider it is important t</w:t>
      </w:r>
      <w:r>
        <w:t>hat customers should not wait unnecessary long time for suppl</w:t>
      </w:r>
      <w:r w:rsidR="00405B9E">
        <w:t>y</w:t>
      </w:r>
      <w:r>
        <w:t xml:space="preserve"> to be restored. </w:t>
      </w:r>
    </w:p>
    <w:p w:rsidR="00641EB5" w:rsidRDefault="00BA15D1" w:rsidP="008B06C9">
      <w:r>
        <w:t xml:space="preserve">We believe that the current capex biased outcome is </w:t>
      </w:r>
      <w:r w:rsidR="00641EB5">
        <w:t>further exacerbated by the feedback loop of applying the increasing CAIDI value again to the SAIFI incentive in the ensuring periods.</w:t>
      </w:r>
    </w:p>
    <w:p w:rsidR="00641EB5" w:rsidRDefault="00641EB5" w:rsidP="008B06C9">
      <w:r>
        <w:t>There are two potential options to manage the feedback effect:</w:t>
      </w:r>
    </w:p>
    <w:p w:rsidR="00641EB5" w:rsidRDefault="00641EB5" w:rsidP="00641EB5">
      <w:pPr>
        <w:pStyle w:val="AERbulletlistfirststyle"/>
      </w:pPr>
      <w:r>
        <w:t>to freeze the CAIDI value of the SAIFI incentive rate calculation formula</w:t>
      </w:r>
      <w:r w:rsidR="00FF6CB4">
        <w:t xml:space="preserve"> as suggested by Endeavour Energy</w:t>
      </w:r>
    </w:p>
    <w:p w:rsidR="00641EB5" w:rsidRDefault="00641EB5" w:rsidP="00641EB5">
      <w:pPr>
        <w:pStyle w:val="AERbulletlistfirststyle"/>
      </w:pPr>
      <w:proofErr w:type="gramStart"/>
      <w:r>
        <w:t>to</w:t>
      </w:r>
      <w:proofErr w:type="gramEnd"/>
      <w:r>
        <w:t xml:space="preserve"> reduce the size of the CAIDI feedback effect.</w:t>
      </w:r>
    </w:p>
    <w:p w:rsidR="00641EB5" w:rsidRPr="00353DA0" w:rsidRDefault="00641EB5" w:rsidP="00D91373">
      <w:r>
        <w:rPr>
          <w:rStyle w:val="AERbody"/>
        </w:rPr>
        <w:t xml:space="preserve">However, we </w:t>
      </w:r>
      <w:r w:rsidR="00D94EB8">
        <w:rPr>
          <w:rStyle w:val="AERbody"/>
        </w:rPr>
        <w:t xml:space="preserve">agree with Endeavour Energy </w:t>
      </w:r>
      <w:r>
        <w:rPr>
          <w:rStyle w:val="AERbody"/>
        </w:rPr>
        <w:t xml:space="preserve">that the first option is </w:t>
      </w:r>
      <w:r w:rsidR="00D94EB8">
        <w:rPr>
          <w:rStyle w:val="AERbody"/>
        </w:rPr>
        <w:t xml:space="preserve">very </w:t>
      </w:r>
      <w:r>
        <w:rPr>
          <w:rStyle w:val="AERbody"/>
        </w:rPr>
        <w:t xml:space="preserve">difficult to implement because </w:t>
      </w:r>
      <w:r w:rsidR="00B86458">
        <w:rPr>
          <w:rStyle w:val="AERbody"/>
        </w:rPr>
        <w:t>t</w:t>
      </w:r>
      <w:r w:rsidR="0006773B">
        <w:rPr>
          <w:rStyle w:val="AERbody"/>
        </w:rPr>
        <w:t xml:space="preserve">here is no single definitive and suitable CAIDI value that can be </w:t>
      </w:r>
      <w:r w:rsidR="004D437C">
        <w:rPr>
          <w:rStyle w:val="AERbody"/>
        </w:rPr>
        <w:t xml:space="preserve">objectively </w:t>
      </w:r>
      <w:r w:rsidR="0006773B">
        <w:rPr>
          <w:rStyle w:val="AERbody"/>
        </w:rPr>
        <w:t>determined</w:t>
      </w:r>
      <w:r w:rsidR="004D437C">
        <w:rPr>
          <w:rStyle w:val="AERbody"/>
        </w:rPr>
        <w:t>.</w:t>
      </w:r>
      <w:r w:rsidR="0006773B">
        <w:rPr>
          <w:rStyle w:val="AERbody"/>
        </w:rPr>
        <w:t xml:space="preserve"> </w:t>
      </w:r>
      <w:r w:rsidR="004D437C">
        <w:rPr>
          <w:rStyle w:val="AERbody"/>
        </w:rPr>
        <w:t>W</w:t>
      </w:r>
      <w:r w:rsidR="0006773B">
        <w:rPr>
          <w:rStyle w:val="AERbody"/>
        </w:rPr>
        <w:t>e can</w:t>
      </w:r>
      <w:r w:rsidR="00B86458">
        <w:rPr>
          <w:rStyle w:val="AERbody"/>
        </w:rPr>
        <w:t>not</w:t>
      </w:r>
      <w:r w:rsidR="0006773B">
        <w:rPr>
          <w:rStyle w:val="AERbody"/>
        </w:rPr>
        <w:t xml:space="preserve"> be confident that </w:t>
      </w:r>
      <w:r w:rsidR="004D437C">
        <w:rPr>
          <w:rStyle w:val="AERbody"/>
        </w:rPr>
        <w:t xml:space="preserve">either </w:t>
      </w:r>
      <w:r w:rsidR="0006773B">
        <w:rPr>
          <w:rStyle w:val="AERbody"/>
        </w:rPr>
        <w:t>the current year CAIDI value</w:t>
      </w:r>
      <w:r w:rsidR="00B86458">
        <w:rPr>
          <w:rStyle w:val="AERbody"/>
        </w:rPr>
        <w:t>,</w:t>
      </w:r>
      <w:r w:rsidR="0006773B">
        <w:rPr>
          <w:rStyle w:val="AERbody"/>
        </w:rPr>
        <w:t xml:space="preserve"> or the historical average CAIDI value</w:t>
      </w:r>
      <w:r w:rsidR="00B86458">
        <w:rPr>
          <w:rStyle w:val="AERbody"/>
        </w:rPr>
        <w:t>,</w:t>
      </w:r>
      <w:r w:rsidR="0006773B">
        <w:rPr>
          <w:rStyle w:val="AERbody"/>
        </w:rPr>
        <w:t xml:space="preserve"> can represent a suitable balanced ratio for this purpose</w:t>
      </w:r>
      <w:r w:rsidR="004D437C">
        <w:rPr>
          <w:rStyle w:val="AERbody"/>
        </w:rPr>
        <w:t xml:space="preserve"> that will meet the customers' expectation</w:t>
      </w:r>
      <w:r w:rsidR="00405B9E">
        <w:rPr>
          <w:rStyle w:val="AERbody"/>
        </w:rPr>
        <w:t>s</w:t>
      </w:r>
      <w:r w:rsidR="0006773B">
        <w:rPr>
          <w:rStyle w:val="AERbody"/>
        </w:rPr>
        <w:t>.</w:t>
      </w:r>
    </w:p>
    <w:p w:rsidR="00BA15D1" w:rsidRDefault="00641EB5" w:rsidP="008B06C9">
      <w:r>
        <w:lastRenderedPageBreak/>
        <w:t xml:space="preserve"> </w:t>
      </w:r>
      <w:r w:rsidR="00BA15D1">
        <w:t xml:space="preserve"> </w:t>
      </w:r>
    </w:p>
    <w:p w:rsidR="008B06C9" w:rsidRPr="0085377E" w:rsidRDefault="0085377E" w:rsidP="008B06C9">
      <w:r w:rsidRPr="0085377E">
        <w:t xml:space="preserve">We </w:t>
      </w:r>
      <w:r>
        <w:t xml:space="preserve">believe that this issue can be addressed by modifying </w:t>
      </w:r>
      <w:r w:rsidR="00931FB9">
        <w:t xml:space="preserve">the </w:t>
      </w:r>
      <w:r w:rsidRPr="0085377E">
        <w:t>ratio of the SAIDI/SAIFI incentive</w:t>
      </w:r>
      <w:r>
        <w:t xml:space="preserve"> weight</w:t>
      </w:r>
      <w:r w:rsidRPr="0085377E">
        <w:t>s from 50/50 to 60/40 based on the allocation of unserved energy value to CBD, urban and rural feeders</w:t>
      </w:r>
      <w:r w:rsidR="008B06C9">
        <w:t>.</w:t>
      </w:r>
      <w:r w:rsidR="008B06C9" w:rsidRPr="008B06C9">
        <w:t xml:space="preserve"> </w:t>
      </w:r>
      <w:r w:rsidR="008B06C9" w:rsidRPr="0085377E">
        <w:t xml:space="preserve">This </w:t>
      </w:r>
      <w:r w:rsidR="008B06C9">
        <w:t xml:space="preserve">60/40 </w:t>
      </w:r>
      <w:r w:rsidR="008B06C9" w:rsidRPr="0085377E">
        <w:t xml:space="preserve">ratio is </w:t>
      </w:r>
      <w:r w:rsidR="008B06C9">
        <w:t xml:space="preserve">based on our </w:t>
      </w:r>
      <w:r w:rsidR="008B06C9" w:rsidRPr="0085377E">
        <w:t>analysis</w:t>
      </w:r>
      <w:r w:rsidR="008B06C9">
        <w:t xml:space="preserve"> findings</w:t>
      </w:r>
      <w:r w:rsidR="008B06C9" w:rsidRPr="0085377E">
        <w:t xml:space="preserve"> </w:t>
      </w:r>
      <w:r w:rsidR="008B06C9">
        <w:t>as detailed in Appendix A</w:t>
      </w:r>
      <w:r w:rsidR="008B06C9" w:rsidRPr="0085377E">
        <w:t xml:space="preserve">, that: </w:t>
      </w:r>
    </w:p>
    <w:p w:rsidR="008B06C9" w:rsidRPr="0085377E" w:rsidRDefault="008B06C9" w:rsidP="008B06C9">
      <w:pPr>
        <w:pStyle w:val="AERbulletlistfirststyle"/>
      </w:pPr>
      <w:r w:rsidRPr="0085377E">
        <w:t>Currently, the typical improvement to SAIFI of an outage improvement is 5 per cent more than improvement to SAIDI, as demonstrated in Appendix B.</w:t>
      </w:r>
    </w:p>
    <w:p w:rsidR="008B06C9" w:rsidRPr="0085377E" w:rsidRDefault="008B06C9" w:rsidP="008B06C9">
      <w:pPr>
        <w:pStyle w:val="AERbulletlistfirststyle"/>
      </w:pPr>
      <w:r w:rsidRPr="0085377E">
        <w:t>If a distributor’s CAIDI deteriorates by 5 per cent because of a higher level of SAIFI improvement than SAIDI improvement, changing to the 60/40 ratio would result in a 4.7 per cent reduction in overall STPIS reward––this appears to closely offset the existing SAIFI bias compared to maintaining the current 50:50 ratio.</w:t>
      </w:r>
    </w:p>
    <w:p w:rsidR="008B06C9" w:rsidRPr="0085377E" w:rsidRDefault="008B06C9" w:rsidP="008B06C9">
      <w:pPr>
        <w:pStyle w:val="AERbulletlistfirststyle"/>
      </w:pPr>
      <w:r w:rsidRPr="0085377E">
        <w:t xml:space="preserve">For comparison, a 55/45 ratio would only represent a 2 per cent reduction in overall STPIS reward, which may not be sufficient to influence a change in a distributor’s response to restore supply interruptions in a </w:t>
      </w:r>
      <w:proofErr w:type="gramStart"/>
      <w:r w:rsidRPr="0085377E">
        <w:t>more timely</w:t>
      </w:r>
      <w:proofErr w:type="gramEnd"/>
      <w:r w:rsidRPr="0085377E">
        <w:t xml:space="preserve"> manner.</w:t>
      </w:r>
    </w:p>
    <w:p w:rsidR="008B06C9" w:rsidRPr="0085377E" w:rsidRDefault="008B06C9" w:rsidP="008B06C9">
      <w:pPr>
        <w:pStyle w:val="AERbulletlistfirststyle"/>
      </w:pPr>
      <w:r w:rsidRPr="0085377E">
        <w:t>More importantly, if a distributor delivers the same levels of improvement to both SAIFI and SAIDI</w:t>
      </w:r>
      <w:r w:rsidR="00FF6CB4">
        <w:t>––including maintaining the existing average fault repair time</w:t>
      </w:r>
      <w:r w:rsidRPr="0085377E">
        <w:t xml:space="preserve">, it will receive the same STPIS reward under the 60/40 ratio as the existing approximately 50/50 ratio. This change to the incentive rate ratio between SAIFI and SAIDI would </w:t>
      </w:r>
      <w:r w:rsidR="00931FB9">
        <w:t xml:space="preserve">therefore </w:t>
      </w:r>
      <w:r w:rsidRPr="0085377E">
        <w:t>not reduce the financial incentive to implement more automation to restore supply because the financial reward to the distributor would remain unchanged</w:t>
      </w:r>
      <w:r w:rsidR="00405B9E">
        <w:t>,</w:t>
      </w:r>
      <w:r w:rsidRPr="0085377E">
        <w:t xml:space="preserve"> if the current level of supply repair time </w:t>
      </w:r>
      <w:r w:rsidR="00931FB9">
        <w:t xml:space="preserve">(CAIDI) </w:t>
      </w:r>
      <w:r w:rsidRPr="0085377E">
        <w:t xml:space="preserve">is maintained. </w:t>
      </w:r>
    </w:p>
    <w:p w:rsidR="00EF6BDC" w:rsidRDefault="0085377E" w:rsidP="00954F4E">
      <w:pPr>
        <w:rPr>
          <w:rStyle w:val="AERbody"/>
        </w:rPr>
      </w:pPr>
      <w:r w:rsidRPr="0085377E">
        <w:t>We note the proposal by S and C Electric Company to introduce a new STPIS component to provide a direct incentive in order to ensure CAIDI rates do not get any worse. However, our analysis shows that this approach would not work in all situations. As shown in Appendix A, the use of auto-</w:t>
      </w:r>
      <w:proofErr w:type="spellStart"/>
      <w:r w:rsidRPr="0085377E">
        <w:t>reclosers</w:t>
      </w:r>
      <w:proofErr w:type="spellEnd"/>
      <w:r w:rsidRPr="0085377E">
        <w:t xml:space="preserve"> to restore supply quickly after a network fault––all else being equal, including the fault repair time––would result in the same level of improvements to SAIDI and SAIFI in percentage terms. </w:t>
      </w:r>
      <w:r w:rsidR="00803308">
        <w:t xml:space="preserve">This means that </w:t>
      </w:r>
      <w:r w:rsidRPr="0085377E">
        <w:t>the CAIDI time would not change</w:t>
      </w:r>
      <w:r w:rsidR="00803308">
        <w:t xml:space="preserve"> if a distributor invests in more automation and at the same time maintains its operation</w:t>
      </w:r>
      <w:r w:rsidR="00931FB9">
        <w:t>al</w:t>
      </w:r>
      <w:r w:rsidR="00803308">
        <w:t xml:space="preserve"> response time</w:t>
      </w:r>
      <w:r w:rsidRPr="0085377E">
        <w:t xml:space="preserve">. Hence, if we allocated some of the incentives in terms of energy value </w:t>
      </w:r>
      <w:r w:rsidR="00931FB9">
        <w:t xml:space="preserve">directly </w:t>
      </w:r>
      <w:r w:rsidRPr="0085377E">
        <w:t xml:space="preserve">to the CAIDI measure, </w:t>
      </w:r>
      <w:r w:rsidR="00931FB9">
        <w:t xml:space="preserve">as proposed by S&amp;C Electric, </w:t>
      </w:r>
      <w:r w:rsidRPr="0085377E">
        <w:t xml:space="preserve">the rewards to the distributors would be reduced. This financial outcome would not be fair to distributors delivering good service and would reduce their incentive to improve their </w:t>
      </w:r>
      <w:r w:rsidR="00405B9E">
        <w:t xml:space="preserve">overall </w:t>
      </w:r>
      <w:r w:rsidRPr="0085377E">
        <w:t>network reliability.</w:t>
      </w:r>
      <w:r w:rsidR="00353DA0" w:rsidRPr="00353DA0">
        <w:rPr>
          <w:rStyle w:val="AERbody"/>
        </w:rPr>
        <w:t xml:space="preserve"> </w:t>
      </w:r>
    </w:p>
    <w:p w:rsidR="00353DA0" w:rsidRDefault="00353DA0" w:rsidP="00353DA0">
      <w:pPr>
        <w:rPr>
          <w:rStyle w:val="AERbody"/>
        </w:rPr>
      </w:pPr>
      <w:r>
        <w:rPr>
          <w:rStyle w:val="AERbody"/>
        </w:rPr>
        <w:t>We</w:t>
      </w:r>
      <w:r w:rsidR="00B860EA">
        <w:rPr>
          <w:rStyle w:val="AERbody"/>
        </w:rPr>
        <w:t xml:space="preserve"> therefore</w:t>
      </w:r>
      <w:r>
        <w:rPr>
          <w:rStyle w:val="AERbody"/>
        </w:rPr>
        <w:t xml:space="preserve"> consider</w:t>
      </w:r>
      <w:r w:rsidRPr="00353DA0">
        <w:rPr>
          <w:rStyle w:val="AERbody"/>
        </w:rPr>
        <w:t xml:space="preserve"> that this </w:t>
      </w:r>
      <w:r w:rsidR="003C2E65">
        <w:rPr>
          <w:rStyle w:val="AERbody"/>
        </w:rPr>
        <w:t xml:space="preserve">proposed </w:t>
      </w:r>
      <w:r w:rsidRPr="00353DA0">
        <w:rPr>
          <w:rStyle w:val="AERbody"/>
        </w:rPr>
        <w:t>change</w:t>
      </w:r>
      <w:r w:rsidR="003C2E65">
        <w:rPr>
          <w:rStyle w:val="AERbody"/>
        </w:rPr>
        <w:t xml:space="preserve"> to a 60/40 incentive allocation</w:t>
      </w:r>
      <w:r w:rsidRPr="00353DA0">
        <w:rPr>
          <w:rStyle w:val="AERbody"/>
        </w:rPr>
        <w:t xml:space="preserve"> should </w:t>
      </w:r>
      <w:r w:rsidR="00B75950">
        <w:rPr>
          <w:rStyle w:val="AERbody"/>
        </w:rPr>
        <w:t xml:space="preserve">achieve a </w:t>
      </w:r>
      <w:r w:rsidR="003C2E65">
        <w:rPr>
          <w:rStyle w:val="AERbody"/>
        </w:rPr>
        <w:t xml:space="preserve">good </w:t>
      </w:r>
      <w:r w:rsidRPr="00353DA0">
        <w:rPr>
          <w:rStyle w:val="AERbody"/>
        </w:rPr>
        <w:t xml:space="preserve">balance between the need to be able to repair network faults in a timely manner and the incentive to </w:t>
      </w:r>
      <w:r w:rsidR="002512C2">
        <w:rPr>
          <w:rStyle w:val="AERbody"/>
        </w:rPr>
        <w:t>invest in more automation</w:t>
      </w:r>
      <w:r w:rsidR="002512C2" w:rsidRPr="00353DA0" w:rsidDel="002512C2">
        <w:rPr>
          <w:rStyle w:val="AERbody"/>
        </w:rPr>
        <w:t xml:space="preserve"> </w:t>
      </w:r>
      <w:r w:rsidRPr="00353DA0">
        <w:rPr>
          <w:rStyle w:val="AERbody"/>
        </w:rPr>
        <w:t>to isolate the impact of network faults.</w:t>
      </w:r>
    </w:p>
    <w:p w:rsidR="005128C4" w:rsidRDefault="005128C4">
      <w:pPr>
        <w:spacing w:line="240" w:lineRule="auto"/>
        <w:rPr>
          <w:rFonts w:eastAsiaTheme="majorEastAsia" w:cstheme="majorBidi"/>
          <w:b/>
          <w:bCs/>
          <w:color w:val="70635A" w:themeColor="text2"/>
          <w:sz w:val="32"/>
          <w:szCs w:val="26"/>
        </w:rPr>
      </w:pPr>
      <w:bookmarkStart w:id="60" w:name="_Toc499802925"/>
      <w:r>
        <w:br w:type="page"/>
      </w:r>
    </w:p>
    <w:p w:rsidR="009D4832" w:rsidRPr="009D4832" w:rsidRDefault="009D4832" w:rsidP="009D4832">
      <w:pPr>
        <w:pStyle w:val="Heading2"/>
      </w:pPr>
      <w:r w:rsidRPr="009D4832">
        <w:lastRenderedPageBreak/>
        <w:t xml:space="preserve">Exclusions and </w:t>
      </w:r>
      <w:r w:rsidR="007C03D0">
        <w:t xml:space="preserve">treatment </w:t>
      </w:r>
      <w:r w:rsidR="00B2231A">
        <w:t xml:space="preserve">of </w:t>
      </w:r>
      <w:r w:rsidRPr="009D4832">
        <w:t>major event day</w:t>
      </w:r>
      <w:r w:rsidR="00B2231A">
        <w:t>s</w:t>
      </w:r>
      <w:bookmarkEnd w:id="60"/>
    </w:p>
    <w:p w:rsidR="007C03D0" w:rsidRPr="007C03D0" w:rsidRDefault="007C03D0" w:rsidP="007C03D0">
      <w:r w:rsidRPr="007C03D0">
        <w:t>This section discusses the treatment of exclusions and maj</w:t>
      </w:r>
      <w:r>
        <w:t xml:space="preserve">or event days when calculating </w:t>
      </w:r>
      <w:r w:rsidRPr="007C03D0">
        <w:t>distribution reliability measures</w:t>
      </w:r>
      <w:r>
        <w:t xml:space="preserve"> under </w:t>
      </w:r>
      <w:r w:rsidR="00B2231A">
        <w:t xml:space="preserve">the </w:t>
      </w:r>
      <w:r>
        <w:t>STPIS and the guideline</w:t>
      </w:r>
      <w:r w:rsidRPr="007C03D0">
        <w:t xml:space="preserve">. </w:t>
      </w:r>
    </w:p>
    <w:p w:rsidR="007C03D0" w:rsidRDefault="007C03D0" w:rsidP="007C03D0">
      <w:pPr>
        <w:pStyle w:val="Heading3"/>
      </w:pPr>
      <w:bookmarkStart w:id="61" w:name="_Toc485633946"/>
      <w:bookmarkStart w:id="62" w:name="_Toc485812910"/>
      <w:bookmarkStart w:id="63" w:name="_Toc498947745"/>
      <w:bookmarkStart w:id="64" w:name="_Toc499029678"/>
      <w:bookmarkStart w:id="65" w:name="_Toc499802926"/>
      <w:r w:rsidRPr="007C03D0">
        <w:t>Exclusions</w:t>
      </w:r>
      <w:bookmarkEnd w:id="61"/>
      <w:bookmarkEnd w:id="62"/>
      <w:bookmarkEnd w:id="63"/>
      <w:bookmarkEnd w:id="64"/>
      <w:bookmarkEnd w:id="65"/>
    </w:p>
    <w:p w:rsidR="007C03D0" w:rsidRPr="007C03D0" w:rsidRDefault="007C03D0" w:rsidP="007C03D0">
      <w:pPr>
        <w:pStyle w:val="Caption"/>
      </w:pPr>
      <w:r w:rsidRPr="007C03D0">
        <w:t>Background</w:t>
      </w:r>
    </w:p>
    <w:p w:rsidR="007C03D0" w:rsidRPr="007C03D0" w:rsidRDefault="007C03D0" w:rsidP="007C03D0">
      <w:r>
        <w:t>In the draft guideline, w</w:t>
      </w:r>
      <w:r w:rsidRPr="007C03D0">
        <w:t>e support</w:t>
      </w:r>
      <w:r>
        <w:t>ed</w:t>
      </w:r>
      <w:r w:rsidRPr="007C03D0">
        <w:t xml:space="preserve"> the AEMC's recommendation on two additional exclusions for:</w:t>
      </w:r>
    </w:p>
    <w:p w:rsidR="007C03D0" w:rsidRPr="007C03D0" w:rsidRDefault="007C03D0" w:rsidP="007C03D0">
      <w:pPr>
        <w:pStyle w:val="AERbulletlistsecondstyle"/>
      </w:pPr>
      <w:r w:rsidRPr="007C03D0">
        <w:t xml:space="preserve">Load interruptions caused by the exercise of any obligation, right or discretion imposed upon or provided for under jurisdictional electricity legislation and national electricity legislation applying to a Distribution Network Service Provider. </w:t>
      </w:r>
    </w:p>
    <w:p w:rsidR="007C03D0" w:rsidRPr="007C03D0" w:rsidRDefault="007C03D0" w:rsidP="007C03D0">
      <w:pPr>
        <w:pStyle w:val="AERbulletlistsecondstyle"/>
      </w:pPr>
      <w:r w:rsidRPr="007C03D0">
        <w:t>Load interruptions caused or extended by a direction from state or federal emergency services, provided that a fault in, or the operation of, the network did not cause, in whole or part, the event giving rise to the direction.</w:t>
      </w:r>
      <w:r w:rsidRPr="007C03D0">
        <w:rPr>
          <w:rStyle w:val="FootnoteReference"/>
        </w:rPr>
        <w:footnoteReference w:id="10"/>
      </w:r>
      <w:r w:rsidRPr="007C03D0">
        <w:t xml:space="preserve"> </w:t>
      </w:r>
    </w:p>
    <w:p w:rsidR="00B4148A" w:rsidRDefault="00B4148A" w:rsidP="00B4148A">
      <w:pPr>
        <w:rPr>
          <w:rStyle w:val="AERbody"/>
        </w:rPr>
      </w:pPr>
      <w:r>
        <w:rPr>
          <w:rStyle w:val="AERbody"/>
        </w:rPr>
        <w:t xml:space="preserve">In addition to the above AEMC recommendations, we also proposed to modify </w:t>
      </w:r>
      <w:r w:rsidRPr="00B4148A">
        <w:rPr>
          <w:rStyle w:val="AERbody"/>
        </w:rPr>
        <w:t>the current exclusion criterion for "load interruptions caused by a failure of transmission connection assets except where the interruptions were due to inadequate planning of transmission connections</w:t>
      </w:r>
      <w:r>
        <w:rPr>
          <w:rStyle w:val="AERbody"/>
        </w:rPr>
        <w:t>" to add another test that this exclusion is also subject to the condition that:</w:t>
      </w:r>
    </w:p>
    <w:p w:rsidR="00B4148A" w:rsidRPr="00B4148A" w:rsidRDefault="00B4148A" w:rsidP="00B4148A">
      <w:pPr>
        <w:pStyle w:val="AERbulletlistfirststyle"/>
        <w:rPr>
          <w:rStyle w:val="AERbody"/>
        </w:rPr>
      </w:pPr>
      <w:proofErr w:type="gramStart"/>
      <w:r w:rsidRPr="00161423">
        <w:t>the</w:t>
      </w:r>
      <w:proofErr w:type="gramEnd"/>
      <w:r w:rsidRPr="00161423">
        <w:t xml:space="preserve"> primary cause of outages was </w:t>
      </w:r>
      <w:r w:rsidR="007B39CD">
        <w:t xml:space="preserve">not </w:t>
      </w:r>
      <w:r w:rsidRPr="00161423">
        <w:t>due to any act or omission by the distributor.</w:t>
      </w:r>
      <w:r w:rsidRPr="00B4148A">
        <w:rPr>
          <w:rStyle w:val="AERbody"/>
        </w:rPr>
        <w:t xml:space="preserve"> </w:t>
      </w:r>
    </w:p>
    <w:p w:rsidR="007C03D0" w:rsidRPr="007C03D0" w:rsidRDefault="007C03D0" w:rsidP="007C03D0">
      <w:pPr>
        <w:pStyle w:val="Caption"/>
      </w:pPr>
      <w:r w:rsidRPr="007C03D0">
        <w:t>Submissions</w:t>
      </w:r>
    </w:p>
    <w:p w:rsidR="007C03D0" w:rsidRPr="007C03D0" w:rsidRDefault="00840E56" w:rsidP="007C03D0">
      <w:r>
        <w:t>No issue</w:t>
      </w:r>
      <w:r w:rsidR="004A4662">
        <w:t xml:space="preserve"> </w:t>
      </w:r>
      <w:r>
        <w:t xml:space="preserve">has been </w:t>
      </w:r>
      <w:r w:rsidR="004A4662">
        <w:t>raised on</w:t>
      </w:r>
      <w:r w:rsidR="007C03D0">
        <w:t xml:space="preserve"> our proposal. </w:t>
      </w:r>
    </w:p>
    <w:p w:rsidR="007C03D0" w:rsidRPr="007C03D0" w:rsidRDefault="007C03D0" w:rsidP="007C03D0">
      <w:pPr>
        <w:pStyle w:val="Caption"/>
      </w:pPr>
      <w:r w:rsidRPr="007C03D0">
        <w:t>Proposed approach</w:t>
      </w:r>
    </w:p>
    <w:p w:rsidR="007C03D0" w:rsidRPr="007C03D0" w:rsidRDefault="001C4371" w:rsidP="007C03D0">
      <w:r>
        <w:t>We maintain our draft guideline position to include t</w:t>
      </w:r>
      <w:r w:rsidR="004A4662">
        <w:t>hese t</w:t>
      </w:r>
      <w:r w:rsidR="007C03D0">
        <w:t>w</w:t>
      </w:r>
      <w:r w:rsidR="004A4662">
        <w:t>o</w:t>
      </w:r>
      <w:r w:rsidR="007C03D0">
        <w:t xml:space="preserve"> </w:t>
      </w:r>
      <w:r>
        <w:t xml:space="preserve">additional </w:t>
      </w:r>
      <w:r w:rsidR="007C03D0">
        <w:t>exclusions in the STPIS</w:t>
      </w:r>
      <w:r w:rsidR="007C03D0" w:rsidRPr="007C03D0">
        <w:t xml:space="preserve">. </w:t>
      </w:r>
    </w:p>
    <w:p w:rsidR="007C03D0" w:rsidRDefault="007C03D0" w:rsidP="007C03D0">
      <w:pPr>
        <w:pStyle w:val="Heading3"/>
      </w:pPr>
      <w:bookmarkStart w:id="66" w:name="_Toc498947746"/>
      <w:bookmarkStart w:id="67" w:name="_Toc499029679"/>
      <w:bookmarkStart w:id="68" w:name="_Toc499802927"/>
      <w:r>
        <w:t>T</w:t>
      </w:r>
      <w:r w:rsidRPr="007C03D0">
        <w:t xml:space="preserve">reatment </w:t>
      </w:r>
      <w:r w:rsidR="00785CF6">
        <w:t xml:space="preserve">of </w:t>
      </w:r>
      <w:r w:rsidRPr="007C03D0">
        <w:t>major event day</w:t>
      </w:r>
      <w:bookmarkEnd w:id="66"/>
      <w:bookmarkEnd w:id="67"/>
      <w:bookmarkEnd w:id="68"/>
    </w:p>
    <w:p w:rsidR="009D4832" w:rsidRPr="009D4832" w:rsidRDefault="009D4832" w:rsidP="009D4832">
      <w:pPr>
        <w:pStyle w:val="Caption"/>
      </w:pPr>
      <w:r w:rsidRPr="009D4832">
        <w:t>Background</w:t>
      </w:r>
    </w:p>
    <w:p w:rsidR="009D4832" w:rsidRDefault="00812114" w:rsidP="009D4832">
      <w:r>
        <w:t xml:space="preserve">Currently, the </w:t>
      </w:r>
      <w:r w:rsidR="009D4832" w:rsidRPr="005C74FF">
        <w:t>STPIS allow</w:t>
      </w:r>
      <w:r w:rsidR="00785CF6">
        <w:t>s</w:t>
      </w:r>
      <w:r w:rsidR="009D4832" w:rsidRPr="005C74FF">
        <w:t xml:space="preserve"> the removal of some types of interruptions from the set of reliability data being considered when calculating distribution reliability measures for SAIDI, SAIFI, MAIFI and </w:t>
      </w:r>
      <w:proofErr w:type="spellStart"/>
      <w:r w:rsidR="009D4832" w:rsidRPr="005C74FF">
        <w:t>MAIFIe</w:t>
      </w:r>
      <w:proofErr w:type="spellEnd"/>
      <w:r w:rsidR="009D4832">
        <w:t>.</w:t>
      </w:r>
      <w:r w:rsidR="009D4832" w:rsidRPr="005C74FF">
        <w:t xml:space="preserve"> </w:t>
      </w:r>
      <w:r w:rsidR="009D4832">
        <w:t>T</w:t>
      </w:r>
      <w:r w:rsidR="009D4832" w:rsidRPr="005C74FF">
        <w:t xml:space="preserve">hese interruptions are </w:t>
      </w:r>
      <w:r w:rsidR="009D4832">
        <w:t xml:space="preserve">removed because they are </w:t>
      </w:r>
      <w:r w:rsidR="009D4832" w:rsidRPr="005C74FF">
        <w:t xml:space="preserve">either beyond the control of the distributors (exclusions) or are not representative of a </w:t>
      </w:r>
      <w:r w:rsidR="009D4832" w:rsidRPr="005C74FF">
        <w:lastRenderedPageBreak/>
        <w:t>normal day in terms of reasonable network resource availability, the Major Even</w:t>
      </w:r>
      <w:r w:rsidR="00C83453">
        <w:t>t</w:t>
      </w:r>
      <w:r w:rsidR="009D4832" w:rsidRPr="005C74FF">
        <w:t xml:space="preserve"> Day (MED).</w:t>
      </w:r>
      <w:r w:rsidR="009D4832">
        <w:rPr>
          <w:rStyle w:val="FootnoteReference"/>
        </w:rPr>
        <w:footnoteReference w:id="11"/>
      </w:r>
    </w:p>
    <w:p w:rsidR="009D4832" w:rsidRDefault="009D4832" w:rsidP="009D4832">
      <w:r>
        <w:t xml:space="preserve">The methodology used in STPIS to identify major events days is based on the </w:t>
      </w:r>
      <w:r w:rsidRPr="003A021A">
        <w:t>Institute for Electrical and Electronic</w:t>
      </w:r>
      <w:r>
        <w:t xml:space="preserve"> </w:t>
      </w:r>
      <w:r w:rsidRPr="003A021A">
        <w:t>Engineers</w:t>
      </w:r>
      <w:r>
        <w:t xml:space="preserve"> (IEEE) Standards1366, called the 2.5 beta method. This method transform</w:t>
      </w:r>
      <w:r w:rsidR="00C83453">
        <w:t>s</w:t>
      </w:r>
      <w:r>
        <w:t xml:space="preserve"> daily unplanned SAIDI data through a natural log application</w:t>
      </w:r>
      <w:r w:rsidR="00C83453">
        <w:t xml:space="preserve"> </w:t>
      </w:r>
      <w:r>
        <w:t>in order to make the data set resemble a “normal distribution”.</w:t>
      </w:r>
    </w:p>
    <w:p w:rsidR="009D4832" w:rsidRDefault="009D4832" w:rsidP="009D4832">
      <w:r>
        <w:t>The AEMC recommended adding a new exclusion for catastrophic events.</w:t>
      </w:r>
      <w:r>
        <w:rPr>
          <w:rStyle w:val="FootnoteReference"/>
        </w:rPr>
        <w:footnoteReference w:id="12"/>
      </w:r>
      <w:r>
        <w:t xml:space="preserve"> Under this proposal, the effect of catastrophic days are to be discounted from a distributor’s daily unplanned SAIDI data set when determining the MED thresholds under the standard 2.5 beta (standard deviations) method. This will likely increase the number of days to be excluded from performance measurement.</w:t>
      </w:r>
    </w:p>
    <w:p w:rsidR="00812114" w:rsidRDefault="008A67D1" w:rsidP="00812114">
      <w:r>
        <w:t>In our draft Guideline, we proposed no further exclusion of catastrophic events, before the 2.5 beta method is applied to identify major event day threshold, when calculating distribution reliability measures.</w:t>
      </w:r>
      <w:r>
        <w:rPr>
          <w:rStyle w:val="FootnoteReference"/>
        </w:rPr>
        <w:footnoteReference w:id="13"/>
      </w:r>
      <w:r w:rsidR="00812114" w:rsidRPr="00812114">
        <w:t xml:space="preserve"> </w:t>
      </w:r>
      <w:r w:rsidR="00812114">
        <w:t>This draft decision was based on a number of considerations, including that:</w:t>
      </w:r>
    </w:p>
    <w:p w:rsidR="00812114" w:rsidRPr="007E39BF" w:rsidRDefault="00812114" w:rsidP="00812114">
      <w:pPr>
        <w:pStyle w:val="AERbulletlistfirststyle"/>
      </w:pPr>
      <w:r>
        <w:t>T</w:t>
      </w:r>
      <w:r w:rsidRPr="007E39BF">
        <w:t xml:space="preserve">here is no </w:t>
      </w:r>
      <w:r>
        <w:t xml:space="preserve">current </w:t>
      </w:r>
      <w:r w:rsidRPr="007E39BF">
        <w:t xml:space="preserve">objective </w:t>
      </w:r>
      <w:r>
        <w:t xml:space="preserve">or definitive </w:t>
      </w:r>
      <w:r w:rsidRPr="007E39BF">
        <w:t>method to identify catastrophic events</w:t>
      </w:r>
      <w:r>
        <w:t xml:space="preserve"> as outlined by the AEMC.  </w:t>
      </w:r>
    </w:p>
    <w:p w:rsidR="008A67D1" w:rsidRDefault="00812114" w:rsidP="00812114">
      <w:pPr>
        <w:pStyle w:val="AERbulletlistfirststyle"/>
      </w:pPr>
      <w:r w:rsidRPr="007E39BF">
        <w:tab/>
        <w:t xml:space="preserve">There are </w:t>
      </w:r>
      <w:r>
        <w:t xml:space="preserve">material </w:t>
      </w:r>
      <w:r w:rsidRPr="007E39BF">
        <w:t>differences between network characteristics in Australia, ranging from localised urban network</w:t>
      </w:r>
      <w:r w:rsidR="00C83453">
        <w:t>s</w:t>
      </w:r>
      <w:r w:rsidRPr="007E39BF">
        <w:t xml:space="preserve"> such as CitiPower, to physically diverse and geographically large networks such as SA Power Networks and Ergon Energy, so any definition of catastrophic events and their measurement methods are not likely to be uniform across all distributors.</w:t>
      </w:r>
    </w:p>
    <w:p w:rsidR="009D4832" w:rsidRPr="009D4832" w:rsidRDefault="009D4832" w:rsidP="009D4832">
      <w:pPr>
        <w:pStyle w:val="Caption"/>
      </w:pPr>
      <w:r w:rsidRPr="009D4832">
        <w:t>Submissions</w:t>
      </w:r>
    </w:p>
    <w:p w:rsidR="009D4832" w:rsidRDefault="009D4832" w:rsidP="009D4832">
      <w:r>
        <w:t xml:space="preserve">A number of distributors </w:t>
      </w:r>
      <w:r w:rsidR="003C5AE2">
        <w:t xml:space="preserve">expressed </w:t>
      </w:r>
      <w:r w:rsidR="003C5AE2" w:rsidRPr="003C5AE2">
        <w:t>support</w:t>
      </w:r>
      <w:r w:rsidR="003C5AE2">
        <w:t xml:space="preserve"> for</w:t>
      </w:r>
      <w:r w:rsidR="003C5AE2" w:rsidRPr="003C5AE2">
        <w:t xml:space="preserve"> the AMEC’s suggestion to adopt a 4.15 </w:t>
      </w:r>
      <w:r w:rsidR="00E14A55">
        <w:t>b</w:t>
      </w:r>
      <w:r w:rsidR="003C5AE2" w:rsidRPr="003C5AE2">
        <w:t>eta threshold method to identify catastrophic events</w:t>
      </w:r>
      <w:r w:rsidR="003C5AE2">
        <w:t xml:space="preserve"> </w:t>
      </w:r>
      <w:r w:rsidR="00772B3B">
        <w:t>because</w:t>
      </w:r>
      <w:r>
        <w:t>:</w:t>
      </w:r>
      <w:r>
        <w:rPr>
          <w:rStyle w:val="FootnoteReference"/>
        </w:rPr>
        <w:footnoteReference w:id="14"/>
      </w:r>
      <w:r>
        <w:t xml:space="preserve"> </w:t>
      </w:r>
    </w:p>
    <w:p w:rsidR="009D4832" w:rsidRPr="009D4832" w:rsidRDefault="004F58BD" w:rsidP="009D4832">
      <w:pPr>
        <w:pStyle w:val="AERbulletlistfirststyle"/>
      </w:pPr>
      <w:r>
        <w:t>i</w:t>
      </w:r>
      <w:r w:rsidR="009D4832" w:rsidRPr="00251B30">
        <w:t xml:space="preserve">nclusion of a catastrophic day in the calculation can result in a substantial increase in the MED threshold, which could result in </w:t>
      </w:r>
      <w:r w:rsidR="00812114">
        <w:t xml:space="preserve">an otherwise significant outage day </w:t>
      </w:r>
      <w:r w:rsidR="009D4832" w:rsidRPr="00251B30">
        <w:t xml:space="preserve">being </w:t>
      </w:r>
      <w:r w:rsidR="00812114">
        <w:t xml:space="preserve">not treated </w:t>
      </w:r>
      <w:r w:rsidR="009D4832" w:rsidRPr="00251B30">
        <w:t>as a MED</w:t>
      </w:r>
      <w:r w:rsidR="009D4832" w:rsidRPr="009D4832">
        <w:t xml:space="preserve"> </w:t>
      </w:r>
    </w:p>
    <w:p w:rsidR="009D4832" w:rsidRPr="009D4832" w:rsidRDefault="009D4832" w:rsidP="009D4832">
      <w:pPr>
        <w:pStyle w:val="AERbulletlistfirststyle"/>
      </w:pPr>
      <w:r>
        <w:t>e</w:t>
      </w:r>
      <w:r w:rsidRPr="009D4832">
        <w:t>xtremely rare, yet very significant events have a material and long lasting impact on the threshold for MED when retained in the daily SAIDI</w:t>
      </w:r>
    </w:p>
    <w:p w:rsidR="00EF6BDC" w:rsidRPr="006223FA" w:rsidRDefault="00E14A55" w:rsidP="00E14A55">
      <w:r w:rsidRPr="00E14A55">
        <w:lastRenderedPageBreak/>
        <w:t>Public Interest Advocacy Centre</w:t>
      </w:r>
      <w:r>
        <w:t xml:space="preserve"> (</w:t>
      </w:r>
      <w:r w:rsidR="009D4832" w:rsidRPr="006223FA">
        <w:t>PIAC</w:t>
      </w:r>
      <w:r>
        <w:t>)</w:t>
      </w:r>
      <w:r w:rsidR="009D4832" w:rsidRPr="006223FA">
        <w:t xml:space="preserve"> submitted that further investigations are required, stating that including catastrophic events may skew the reliability measure and could be used to justify excessive networks reinforcement.</w:t>
      </w:r>
      <w:r w:rsidR="009D4832" w:rsidRPr="006223FA">
        <w:rPr>
          <w:rStyle w:val="FootnoteReference"/>
        </w:rPr>
        <w:footnoteReference w:id="15"/>
      </w:r>
      <w:r w:rsidR="009D4832" w:rsidRPr="006223FA">
        <w:rPr>
          <w:rStyle w:val="FootnoteReference"/>
        </w:rPr>
        <w:t xml:space="preserve"> </w:t>
      </w:r>
    </w:p>
    <w:p w:rsidR="009D4832" w:rsidRPr="009D4832" w:rsidRDefault="009D4832" w:rsidP="009D4832">
      <w:pPr>
        <w:pStyle w:val="Caption"/>
      </w:pPr>
      <w:r>
        <w:t>Proposed approach</w:t>
      </w:r>
    </w:p>
    <w:p w:rsidR="00843A5F" w:rsidRDefault="009D4832" w:rsidP="008A67D1">
      <w:pPr>
        <w:rPr>
          <w:rStyle w:val="AERbody"/>
        </w:rPr>
      </w:pPr>
      <w:r w:rsidRPr="006223FA">
        <w:t xml:space="preserve">The tables below provide our analysis on the number of MED under the 2.5 beta and 4.15 beta thresholds, respectively. </w:t>
      </w:r>
      <w:r w:rsidRPr="009D4832">
        <w:rPr>
          <w:rStyle w:val="AERbody"/>
        </w:rPr>
        <w:t>The results indicate that</w:t>
      </w:r>
      <w:r w:rsidR="00812114">
        <w:rPr>
          <w:rStyle w:val="AERbody"/>
        </w:rPr>
        <w:t>––based on analysis of outage information</w:t>
      </w:r>
      <w:r w:rsidR="00843A5F">
        <w:rPr>
          <w:rStyle w:val="AERbody"/>
        </w:rPr>
        <w:t xml:space="preserve"> of</w:t>
      </w:r>
      <w:r w:rsidR="00812114">
        <w:rPr>
          <w:rStyle w:val="AERbody"/>
        </w:rPr>
        <w:t xml:space="preserve"> the past eight years</w:t>
      </w:r>
      <w:r w:rsidR="00843A5F">
        <w:rPr>
          <w:rStyle w:val="AERbody"/>
        </w:rPr>
        <w:t>––</w:t>
      </w:r>
      <w:r w:rsidRPr="009D4832">
        <w:rPr>
          <w:rStyle w:val="AERbody"/>
        </w:rPr>
        <w:t xml:space="preserve">there are wide variations across the distributors regarding the actual number of MED. Under the 2.5 beta method, localised urban networks such as CitiPower or </w:t>
      </w:r>
      <w:proofErr w:type="spellStart"/>
      <w:r w:rsidRPr="006223FA">
        <w:t>ActewAGL</w:t>
      </w:r>
      <w:proofErr w:type="spellEnd"/>
      <w:r w:rsidRPr="009D4832">
        <w:rPr>
          <w:rStyle w:val="AERbody"/>
        </w:rPr>
        <w:t xml:space="preserve"> only ha</w:t>
      </w:r>
      <w:r w:rsidR="007E535B">
        <w:rPr>
          <w:rStyle w:val="AERbody"/>
        </w:rPr>
        <w:t>ve</w:t>
      </w:r>
      <w:r w:rsidRPr="009D4832">
        <w:rPr>
          <w:rStyle w:val="AERbody"/>
        </w:rPr>
        <w:t xml:space="preserve"> one MED per year. However, </w:t>
      </w:r>
      <w:r w:rsidRPr="006223FA">
        <w:t>physically diverse and geographically large network</w:t>
      </w:r>
      <w:r w:rsidR="007E535B">
        <w:t>s</w:t>
      </w:r>
      <w:r w:rsidRPr="006223FA">
        <w:t>, such as Essential Energy or Ergon Energy, ha</w:t>
      </w:r>
      <w:r w:rsidR="007E535B">
        <w:t>ve</w:t>
      </w:r>
      <w:r w:rsidRPr="009D4832">
        <w:rPr>
          <w:rStyle w:val="AERbody"/>
        </w:rPr>
        <w:t xml:space="preserve"> </w:t>
      </w:r>
      <w:r w:rsidR="00843A5F">
        <w:rPr>
          <w:rStyle w:val="AERbody"/>
        </w:rPr>
        <w:t xml:space="preserve">four </w:t>
      </w:r>
      <w:r w:rsidRPr="009D4832">
        <w:rPr>
          <w:rStyle w:val="AERbody"/>
        </w:rPr>
        <w:t xml:space="preserve">or </w:t>
      </w:r>
      <w:r w:rsidR="00843A5F">
        <w:rPr>
          <w:rStyle w:val="AERbody"/>
        </w:rPr>
        <w:t>five</w:t>
      </w:r>
      <w:r w:rsidRPr="009D4832">
        <w:rPr>
          <w:rStyle w:val="AERbody"/>
        </w:rPr>
        <w:t xml:space="preserve"> MED</w:t>
      </w:r>
      <w:r w:rsidR="00843A5F">
        <w:rPr>
          <w:rStyle w:val="AERbody"/>
        </w:rPr>
        <w:t>s</w:t>
      </w:r>
      <w:r w:rsidRPr="009D4832">
        <w:rPr>
          <w:rStyle w:val="AERbody"/>
        </w:rPr>
        <w:t xml:space="preserve"> per year. Similar patterns are evident under the 4.15 beta method.  </w:t>
      </w:r>
    </w:p>
    <w:p w:rsidR="00843A5F" w:rsidRPr="00E03E4F" w:rsidRDefault="00843A5F" w:rsidP="00843A5F">
      <w:pPr>
        <w:rPr>
          <w:rStyle w:val="AERbody"/>
        </w:rPr>
      </w:pPr>
      <w:r w:rsidRPr="00E03E4F">
        <w:rPr>
          <w:rStyle w:val="AERbody"/>
        </w:rPr>
        <w:t>Under</w:t>
      </w:r>
      <w:r w:rsidR="007E535B">
        <w:rPr>
          <w:rStyle w:val="AERbody"/>
        </w:rPr>
        <w:t xml:space="preserve"> a</w:t>
      </w:r>
      <w:r w:rsidRPr="00E03E4F">
        <w:rPr>
          <w:rStyle w:val="AERbody"/>
        </w:rPr>
        <w:t xml:space="preserve"> normal distribution, 2.5 and 4.15 standard deviations represent a 2.6 events frequency per year and a 1 in 163 </w:t>
      </w:r>
      <w:r w:rsidR="00CB64B8" w:rsidRPr="00E03E4F">
        <w:rPr>
          <w:rStyle w:val="AERbody"/>
        </w:rPr>
        <w:t>year's</w:t>
      </w:r>
      <w:r w:rsidRPr="00E03E4F">
        <w:rPr>
          <w:rStyle w:val="AERbody"/>
        </w:rPr>
        <w:t xml:space="preserve"> frequency respectively. Our analysis </w:t>
      </w:r>
      <w:r w:rsidR="003C5AE2">
        <w:rPr>
          <w:rStyle w:val="AERbody"/>
        </w:rPr>
        <w:t>finding</w:t>
      </w:r>
      <w:r w:rsidR="00E14A55">
        <w:rPr>
          <w:rStyle w:val="AERbody"/>
        </w:rPr>
        <w:t>s</w:t>
      </w:r>
      <w:r w:rsidR="003C5AE2">
        <w:rPr>
          <w:rStyle w:val="AERbody"/>
        </w:rPr>
        <w:t xml:space="preserve"> </w:t>
      </w:r>
      <w:r w:rsidRPr="00E03E4F">
        <w:rPr>
          <w:rStyle w:val="AERbody"/>
        </w:rPr>
        <w:t xml:space="preserve">suggest </w:t>
      </w:r>
      <w:r w:rsidR="003C5AE2">
        <w:rPr>
          <w:rStyle w:val="AERbody"/>
        </w:rPr>
        <w:t xml:space="preserve">that </w:t>
      </w:r>
      <w:r w:rsidRPr="00E03E4F">
        <w:rPr>
          <w:rStyle w:val="AERbody"/>
        </w:rPr>
        <w:t>the IEEE method to transform daily SAIDI data into a normal distribution data set</w:t>
      </w:r>
      <w:r w:rsidR="003C5AE2">
        <w:rPr>
          <w:rStyle w:val="AERbody"/>
        </w:rPr>
        <w:t xml:space="preserve"> does not apply equally to every distributor</w:t>
      </w:r>
      <w:r w:rsidRPr="00E03E4F">
        <w:rPr>
          <w:rStyle w:val="AERbody"/>
        </w:rPr>
        <w:t>. Substantial further research will need to be undertaken to find an alternative method</w:t>
      </w:r>
      <w:r w:rsidR="00D51103">
        <w:rPr>
          <w:rStyle w:val="AERbody"/>
        </w:rPr>
        <w:t xml:space="preserve"> </w:t>
      </w:r>
      <w:r w:rsidR="00443FD4">
        <w:rPr>
          <w:rStyle w:val="AERbody"/>
        </w:rPr>
        <w:t>to identify MEDs and rare events with catastrophic impacts</w:t>
      </w:r>
      <w:r w:rsidRPr="00E03E4F">
        <w:rPr>
          <w:rStyle w:val="AERbody"/>
        </w:rPr>
        <w:t xml:space="preserve">.     </w:t>
      </w:r>
    </w:p>
    <w:p w:rsidR="00843A5F" w:rsidRDefault="00843A5F" w:rsidP="008A67D1">
      <w:r w:rsidRPr="00E03E4F">
        <w:t>We acknowledge that catastrophic events may have significant impact on the MED boundary</w:t>
      </w:r>
      <w:r w:rsidR="003E2FC8">
        <w:t>.  However</w:t>
      </w:r>
      <w:r w:rsidRPr="00E03E4F">
        <w:t>, given there is no clear method to identify catastrophic event</w:t>
      </w:r>
      <w:r w:rsidR="007E535B">
        <w:t>s</w:t>
      </w:r>
      <w:r w:rsidR="003E2FC8">
        <w:t xml:space="preserve"> consistently for all distributors</w:t>
      </w:r>
      <w:r w:rsidRPr="00E03E4F">
        <w:t xml:space="preserve">, our draft decision is to maintain our position in the draft guideline to not implement this change.  </w:t>
      </w:r>
    </w:p>
    <w:p w:rsidR="00443FD4" w:rsidRDefault="00443FD4" w:rsidP="00443FD4">
      <w:r>
        <w:t xml:space="preserve">Regarding PIAC's concerns, we consider that separately discounting of catastrophic days' effect on a distributor's performance measures would make the distributor's supply reliability measures appear better than not separately discounting catastrophic days. Hence, such treatment of catastrophic days </w:t>
      </w:r>
      <w:r w:rsidR="001D1366">
        <w:t xml:space="preserve">is </w:t>
      </w:r>
      <w:r>
        <w:t xml:space="preserve">unlikely </w:t>
      </w:r>
      <w:r w:rsidR="001D1366">
        <w:t xml:space="preserve">to </w:t>
      </w:r>
      <w:r>
        <w:t>be a basis for more expenditure to maintain the networks.</w:t>
      </w:r>
    </w:p>
    <w:p w:rsidR="00843A5F" w:rsidRDefault="00443FD4" w:rsidP="008A67D1">
      <w:r>
        <w:t xml:space="preserve">Our concern is that </w:t>
      </w:r>
      <w:r w:rsidR="00D44851" w:rsidRPr="00D44851">
        <w:t>there is no clear method to identify catastrophic events in a manner that applies consistently to all distributors</w:t>
      </w:r>
      <w:r>
        <w:t xml:space="preserve"> to identify catastrophic events that are rare and exceptional.</w:t>
      </w:r>
      <w:r w:rsidR="00D44851" w:rsidRPr="00D44851">
        <w:t xml:space="preserve"> </w:t>
      </w:r>
      <w:r>
        <w:t xml:space="preserve">Hence, </w:t>
      </w:r>
      <w:r w:rsidR="00D44851" w:rsidRPr="00D44851">
        <w:t>our draft decision is to maintain our position in the draft guideline to not implement this change</w:t>
      </w:r>
      <w:r w:rsidR="00D44851">
        <w:t>.</w:t>
      </w:r>
      <w:r w:rsidR="00D44851" w:rsidRPr="00D44851">
        <w:t xml:space="preserve"> </w:t>
      </w:r>
      <w:r w:rsidR="00843A5F">
        <w:t>It is also important to note that:</w:t>
      </w:r>
    </w:p>
    <w:p w:rsidR="00843A5F" w:rsidRDefault="00843A5F" w:rsidP="00843A5F">
      <w:pPr>
        <w:pStyle w:val="AERbulletlistfirststyle"/>
      </w:pPr>
      <w:r>
        <w:t>Under the current scheme, "catastrophic days" are excluded from performance measures because they meet the definition of MEDs.</w:t>
      </w:r>
    </w:p>
    <w:p w:rsidR="008A67D1" w:rsidRDefault="00843A5F" w:rsidP="00843A5F">
      <w:pPr>
        <w:pStyle w:val="AERbulletlistfirststyle"/>
        <w:rPr>
          <w:rStyle w:val="AERbody"/>
        </w:rPr>
      </w:pPr>
      <w:r>
        <w:t>For distributors such as Ergon Energy, Energex and Essential Energy with almost one "catastrophic day" per year under the 4.15 beta method, this kind of occurrence</w:t>
      </w:r>
      <w:r w:rsidR="00E14A55">
        <w:t xml:space="preserve"> frequency</w:t>
      </w:r>
      <w:r>
        <w:t xml:space="preserve"> </w:t>
      </w:r>
      <w:r w:rsidR="00E14A55">
        <w:t xml:space="preserve">would not normally be considered </w:t>
      </w:r>
      <w:r>
        <w:t xml:space="preserve">rare. </w:t>
      </w:r>
      <w:r w:rsidR="009D4832" w:rsidRPr="009D4832">
        <w:rPr>
          <w:rStyle w:val="AERbody"/>
        </w:rPr>
        <w:t xml:space="preserve"> </w:t>
      </w:r>
    </w:p>
    <w:p w:rsidR="00306890" w:rsidRPr="005128C4" w:rsidRDefault="00306890">
      <w:pPr>
        <w:spacing w:line="240" w:lineRule="auto"/>
        <w:rPr>
          <w:rStyle w:val="AERsuperscript"/>
        </w:rPr>
      </w:pPr>
    </w:p>
    <w:p w:rsidR="009D4832" w:rsidRDefault="009D4832" w:rsidP="009D4832">
      <w:pPr>
        <w:pStyle w:val="Caption"/>
      </w:pPr>
      <w:r>
        <w:lastRenderedPageBreak/>
        <w:t xml:space="preserve">Table </w:t>
      </w:r>
      <w:r w:rsidRPr="009D4832">
        <w:fldChar w:fldCharType="begin"/>
      </w:r>
      <w:r>
        <w:instrText xml:space="preserve"> SEQ Table \* ARABIC </w:instrText>
      </w:r>
      <w:r w:rsidRPr="009D4832">
        <w:fldChar w:fldCharType="separate"/>
      </w:r>
      <w:r w:rsidR="00AF7C2A">
        <w:rPr>
          <w:noProof/>
        </w:rPr>
        <w:t>1</w:t>
      </w:r>
      <w:r w:rsidRPr="009D4832">
        <w:fldChar w:fldCharType="end"/>
      </w:r>
      <w:r>
        <w:tab/>
        <w:t>Number of MED under 2.5 beta threshold</w:t>
      </w:r>
    </w:p>
    <w:tbl>
      <w:tblPr>
        <w:tblStyle w:val="AERtable-numbers"/>
        <w:tblW w:w="0" w:type="auto"/>
        <w:tblLook w:val="04A0" w:firstRow="1" w:lastRow="0" w:firstColumn="1" w:lastColumn="0" w:noHBand="0" w:noVBand="1"/>
      </w:tblPr>
      <w:tblGrid>
        <w:gridCol w:w="1384"/>
        <w:gridCol w:w="732"/>
        <w:gridCol w:w="732"/>
        <w:gridCol w:w="733"/>
        <w:gridCol w:w="733"/>
        <w:gridCol w:w="733"/>
        <w:gridCol w:w="733"/>
        <w:gridCol w:w="733"/>
        <w:gridCol w:w="733"/>
        <w:gridCol w:w="599"/>
        <w:gridCol w:w="848"/>
      </w:tblGrid>
      <w:tr w:rsidR="009D4832" w:rsidTr="008A67D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rsidR="009D4832" w:rsidRPr="00006FF5" w:rsidRDefault="009D4832" w:rsidP="00006FF5">
            <w:pPr>
              <w:pStyle w:val="NoSpacing"/>
              <w:rPr>
                <w:rStyle w:val="AERtextsize8"/>
              </w:rPr>
            </w:pP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2008-09</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2009-10</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2010-11</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2011-12</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2012-13</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2013-14</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2014-15</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2015-16</w:t>
            </w:r>
          </w:p>
        </w:tc>
        <w:tc>
          <w:tcPr>
            <w:tcW w:w="0" w:type="auto"/>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Total</w:t>
            </w:r>
          </w:p>
        </w:tc>
        <w:tc>
          <w:tcPr>
            <w:tcW w:w="0" w:type="auto"/>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 xml:space="preserve">Average </w:t>
            </w:r>
          </w:p>
        </w:tc>
      </w:tr>
      <w:tr w:rsidR="009D4832" w:rsidTr="008A67D1">
        <w:trPr>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proofErr w:type="spellStart"/>
            <w:r w:rsidRPr="00006FF5">
              <w:rPr>
                <w:rStyle w:val="AERtextsize8"/>
              </w:rPr>
              <w:t>ActewAGL</w:t>
            </w:r>
            <w:proofErr w:type="spellEnd"/>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8</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1.0</w:t>
            </w:r>
          </w:p>
        </w:tc>
      </w:tr>
      <w:tr w:rsidR="009D4832" w:rsidTr="008A67D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proofErr w:type="spellStart"/>
            <w:r w:rsidRPr="00006FF5">
              <w:rPr>
                <w:rStyle w:val="AERtextsize8"/>
              </w:rPr>
              <w:t>Ausgrid</w:t>
            </w:r>
            <w:proofErr w:type="spellEnd"/>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4</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8</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2.6</w:t>
            </w:r>
          </w:p>
        </w:tc>
      </w:tr>
      <w:tr w:rsidR="009D4832" w:rsidTr="008A67D1">
        <w:trPr>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Endeavour</w:t>
            </w:r>
            <w:r w:rsidR="00843A5F" w:rsidRPr="00006FF5">
              <w:rPr>
                <w:rStyle w:val="AERtextsize8"/>
              </w:rPr>
              <w:t xml:space="preserve"> Energy</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4</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17</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2.1</w:t>
            </w:r>
          </w:p>
        </w:tc>
      </w:tr>
      <w:tr w:rsidR="009D4832" w:rsidTr="008A67D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Essential</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7</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7</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6</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40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5.0</w:t>
            </w:r>
          </w:p>
        </w:tc>
      </w:tr>
      <w:tr w:rsidR="009D4832" w:rsidTr="008A67D1">
        <w:trPr>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Energex</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6</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8</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6</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4</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34</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4.3</w:t>
            </w:r>
          </w:p>
        </w:tc>
      </w:tr>
      <w:tr w:rsidR="009D4832" w:rsidTr="008A67D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Ergon</w:t>
            </w:r>
            <w:r w:rsidR="00843A5F" w:rsidRPr="00006FF5">
              <w:rPr>
                <w:rStyle w:val="AERtextsize8"/>
              </w:rPr>
              <w:t xml:space="preserve"> Energy</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6</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7</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6</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4.1</w:t>
            </w:r>
          </w:p>
        </w:tc>
      </w:tr>
      <w:tr w:rsidR="009D4832" w:rsidTr="008A67D1">
        <w:trPr>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SAPN</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7</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23</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2.9</w:t>
            </w:r>
          </w:p>
        </w:tc>
      </w:tr>
      <w:tr w:rsidR="009D4832" w:rsidTr="008A67D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AusNet</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6</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7</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3.8</w:t>
            </w:r>
          </w:p>
        </w:tc>
      </w:tr>
      <w:tr w:rsidR="009D4832" w:rsidTr="008A67D1">
        <w:trPr>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CitiPower</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1.4</w:t>
            </w:r>
          </w:p>
        </w:tc>
      </w:tr>
      <w:tr w:rsidR="009D4832" w:rsidTr="008A67D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Jemena</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8</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1.0</w:t>
            </w:r>
          </w:p>
        </w:tc>
      </w:tr>
      <w:tr w:rsidR="009D4832" w:rsidTr="008A67D1">
        <w:trPr>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proofErr w:type="spellStart"/>
            <w:r w:rsidRPr="00006FF5">
              <w:rPr>
                <w:rStyle w:val="AERtextsize8"/>
              </w:rPr>
              <w:t>Powercor</w:t>
            </w:r>
            <w:proofErr w:type="spellEnd"/>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6</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4</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27</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3.4</w:t>
            </w:r>
          </w:p>
        </w:tc>
      </w:tr>
      <w:tr w:rsidR="009D4832" w:rsidTr="008A67D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United</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4</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4</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14</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1.8</w:t>
            </w:r>
          </w:p>
        </w:tc>
      </w:tr>
      <w:tr w:rsidR="009D4832" w:rsidTr="008A67D1">
        <w:trPr>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proofErr w:type="spellStart"/>
            <w:r w:rsidRPr="00006FF5">
              <w:rPr>
                <w:rStyle w:val="AERtextsize8"/>
              </w:rPr>
              <w:t>TasNetworks</w:t>
            </w:r>
            <w:proofErr w:type="spellEnd"/>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7</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23</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2.9</w:t>
            </w:r>
          </w:p>
        </w:tc>
      </w:tr>
      <w:tr w:rsidR="009D4832" w:rsidTr="008A67D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Average</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2.8</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2.4</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3.5</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1.8</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2.6</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3.9</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2.8</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2.5</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2.8</w:t>
            </w:r>
          </w:p>
        </w:tc>
      </w:tr>
    </w:tbl>
    <w:p w:rsidR="00006FF5" w:rsidRDefault="009D4832" w:rsidP="00006FF5">
      <w:pPr>
        <w:pStyle w:val="NoSpacing"/>
        <w:rPr>
          <w:rStyle w:val="AERtextsize8"/>
        </w:rPr>
      </w:pPr>
      <w:r w:rsidRPr="00006FF5">
        <w:rPr>
          <w:rStyle w:val="AERtextsize8"/>
        </w:rPr>
        <w:t xml:space="preserve">Source: AER analysis. </w:t>
      </w:r>
    </w:p>
    <w:p w:rsidR="009D4832" w:rsidRPr="00006FF5" w:rsidRDefault="009D4832" w:rsidP="00006FF5">
      <w:pPr>
        <w:pStyle w:val="NoSpacing"/>
        <w:rPr>
          <w:rStyle w:val="AERtextsize8"/>
        </w:rPr>
      </w:pPr>
      <w:r w:rsidRPr="00006FF5">
        <w:rPr>
          <w:rStyle w:val="AERtextsize8"/>
        </w:rPr>
        <w:t xml:space="preserve">Note: MED has been calculated using network SAIDI for 8 years of 2008-09 (2009 for Victoria distributors) to 2015-16 (2016 for Victoria distributors). </w:t>
      </w:r>
    </w:p>
    <w:p w:rsidR="009D4832" w:rsidRDefault="009D4832" w:rsidP="009D4832">
      <w:pPr>
        <w:pStyle w:val="Caption"/>
      </w:pPr>
      <w:r>
        <w:t xml:space="preserve">Table </w:t>
      </w:r>
      <w:r w:rsidRPr="009D4832">
        <w:fldChar w:fldCharType="begin"/>
      </w:r>
      <w:r>
        <w:instrText xml:space="preserve"> SEQ Table \* ARABIC </w:instrText>
      </w:r>
      <w:r w:rsidRPr="009D4832">
        <w:fldChar w:fldCharType="separate"/>
      </w:r>
      <w:r w:rsidR="00AF7C2A">
        <w:rPr>
          <w:noProof/>
        </w:rPr>
        <w:t>2</w:t>
      </w:r>
      <w:r w:rsidRPr="009D4832">
        <w:fldChar w:fldCharType="end"/>
      </w:r>
      <w:r>
        <w:tab/>
        <w:t>Number of MED under 4.15 beta threshold</w:t>
      </w:r>
    </w:p>
    <w:tbl>
      <w:tblPr>
        <w:tblStyle w:val="AERtable-numbers"/>
        <w:tblW w:w="0" w:type="auto"/>
        <w:tblLook w:val="04A0" w:firstRow="1" w:lastRow="0" w:firstColumn="1" w:lastColumn="0" w:noHBand="0" w:noVBand="1"/>
      </w:tblPr>
      <w:tblGrid>
        <w:gridCol w:w="1384"/>
        <w:gridCol w:w="732"/>
        <w:gridCol w:w="732"/>
        <w:gridCol w:w="733"/>
        <w:gridCol w:w="733"/>
        <w:gridCol w:w="733"/>
        <w:gridCol w:w="733"/>
        <w:gridCol w:w="733"/>
        <w:gridCol w:w="733"/>
        <w:gridCol w:w="599"/>
        <w:gridCol w:w="848"/>
      </w:tblGrid>
      <w:tr w:rsidR="009D4832" w:rsidTr="008A67D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9D4832" w:rsidRPr="00006FF5" w:rsidRDefault="009D4832" w:rsidP="00006FF5">
            <w:pPr>
              <w:pStyle w:val="NoSpacing"/>
              <w:rPr>
                <w:rStyle w:val="AERtextsize8"/>
              </w:rPr>
            </w:pP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2008-09</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2009-10</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2010-11</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2011-12</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2012-13</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2013-14</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2014-15</w:t>
            </w:r>
          </w:p>
        </w:tc>
        <w:tc>
          <w:tcPr>
            <w:tcW w:w="0" w:type="auto"/>
            <w:vAlign w:val="top"/>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2015-16</w:t>
            </w:r>
          </w:p>
        </w:tc>
        <w:tc>
          <w:tcPr>
            <w:tcW w:w="0" w:type="auto"/>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Total</w:t>
            </w:r>
          </w:p>
        </w:tc>
        <w:tc>
          <w:tcPr>
            <w:tcW w:w="0" w:type="auto"/>
          </w:tcPr>
          <w:p w:rsidR="009D4832" w:rsidRPr="00006FF5" w:rsidRDefault="009D4832" w:rsidP="00006FF5">
            <w:pPr>
              <w:pStyle w:val="NoSpacing"/>
              <w:cnfStyle w:val="100000000000" w:firstRow="1" w:lastRow="0" w:firstColumn="0" w:lastColumn="0" w:oddVBand="0" w:evenVBand="0" w:oddHBand="0" w:evenHBand="0" w:firstRowFirstColumn="0" w:firstRowLastColumn="0" w:lastRowFirstColumn="0" w:lastRowLastColumn="0"/>
              <w:rPr>
                <w:rStyle w:val="AERtextsize8"/>
              </w:rPr>
            </w:pPr>
            <w:r w:rsidRPr="00006FF5">
              <w:rPr>
                <w:rStyle w:val="AERtextsize8"/>
              </w:rPr>
              <w:t>Average</w:t>
            </w:r>
          </w:p>
        </w:tc>
      </w:tr>
      <w:tr w:rsidR="009D4832" w:rsidTr="008A67D1">
        <w:trPr>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proofErr w:type="spellStart"/>
            <w:r w:rsidRPr="00006FF5">
              <w:rPr>
                <w:rStyle w:val="AERtextsize8"/>
              </w:rPr>
              <w:t>ActewAGL</w:t>
            </w:r>
            <w:proofErr w:type="spellEnd"/>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0.0</w:t>
            </w:r>
          </w:p>
        </w:tc>
      </w:tr>
      <w:tr w:rsidR="009D4832" w:rsidTr="008A67D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proofErr w:type="spellStart"/>
            <w:r w:rsidRPr="00006FF5">
              <w:rPr>
                <w:rStyle w:val="AERtextsize8"/>
              </w:rPr>
              <w:t>Ausgrid</w:t>
            </w:r>
            <w:proofErr w:type="spellEnd"/>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0.4</w:t>
            </w:r>
          </w:p>
        </w:tc>
      </w:tr>
      <w:tr w:rsidR="009D4832" w:rsidTr="008A67D1">
        <w:trPr>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Endeavour</w:t>
            </w:r>
            <w:r w:rsidR="00843A5F" w:rsidRPr="00006FF5">
              <w:rPr>
                <w:rStyle w:val="AERtextsize8"/>
              </w:rPr>
              <w:t xml:space="preserve"> Energy</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0.1</w:t>
            </w:r>
          </w:p>
        </w:tc>
      </w:tr>
      <w:tr w:rsidR="009D4832" w:rsidTr="008A67D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Essential</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5</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0.6</w:t>
            </w:r>
          </w:p>
        </w:tc>
      </w:tr>
      <w:tr w:rsidR="009D4832" w:rsidTr="008A67D1">
        <w:trPr>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Energex</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6</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0.8</w:t>
            </w:r>
          </w:p>
        </w:tc>
      </w:tr>
      <w:tr w:rsidR="009D4832" w:rsidTr="008A67D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Ergon</w:t>
            </w:r>
            <w:r w:rsidR="00843A5F" w:rsidRPr="00006FF5">
              <w:rPr>
                <w:rStyle w:val="AERtextsize8"/>
              </w:rPr>
              <w:t xml:space="preserve"> Energy</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6</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0.8</w:t>
            </w:r>
          </w:p>
        </w:tc>
      </w:tr>
      <w:tr w:rsidR="009D4832" w:rsidTr="008A67D1">
        <w:trPr>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SAPN</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0.0</w:t>
            </w:r>
          </w:p>
        </w:tc>
      </w:tr>
      <w:tr w:rsidR="009D4832" w:rsidTr="008A67D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AusNet</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0.4</w:t>
            </w:r>
          </w:p>
        </w:tc>
      </w:tr>
      <w:tr w:rsidR="009D4832" w:rsidTr="008A67D1">
        <w:trPr>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CitiPower</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0.0</w:t>
            </w:r>
          </w:p>
        </w:tc>
      </w:tr>
      <w:tr w:rsidR="009D4832" w:rsidTr="008A67D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Jemena</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0.0</w:t>
            </w:r>
          </w:p>
        </w:tc>
      </w:tr>
      <w:tr w:rsidR="009D4832" w:rsidTr="008A67D1">
        <w:trPr>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proofErr w:type="spellStart"/>
            <w:r w:rsidRPr="00006FF5">
              <w:rPr>
                <w:rStyle w:val="AERtextsize8"/>
              </w:rPr>
              <w:t>Powercor</w:t>
            </w:r>
            <w:proofErr w:type="spellEnd"/>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0.0</w:t>
            </w:r>
          </w:p>
        </w:tc>
      </w:tr>
      <w:tr w:rsidR="009D4832" w:rsidTr="008A67D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United Energy</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0.0</w:t>
            </w:r>
          </w:p>
        </w:tc>
      </w:tr>
      <w:tr w:rsidR="009D4832" w:rsidTr="008A67D1">
        <w:trPr>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proofErr w:type="spellStart"/>
            <w:r w:rsidRPr="00006FF5">
              <w:rPr>
                <w:rStyle w:val="AERtextsize8"/>
              </w:rPr>
              <w:t>TasNetworks</w:t>
            </w:r>
            <w:proofErr w:type="spellEnd"/>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w:t>
            </w:r>
          </w:p>
        </w:tc>
        <w:tc>
          <w:tcPr>
            <w:tcW w:w="0" w:type="auto"/>
            <w:vAlign w:val="top"/>
          </w:tcPr>
          <w:p w:rsidR="009D4832" w:rsidRPr="00006FF5" w:rsidRDefault="009D4832" w:rsidP="00006FF5">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06FF5">
              <w:rPr>
                <w:rStyle w:val="AERtextsize8"/>
              </w:rPr>
              <w:t>0.0</w:t>
            </w:r>
          </w:p>
        </w:tc>
      </w:tr>
      <w:tr w:rsidR="009D4832" w:rsidTr="008A67D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Align w:val="top"/>
          </w:tcPr>
          <w:p w:rsidR="009D4832" w:rsidRPr="00006FF5" w:rsidRDefault="009D4832" w:rsidP="00006FF5">
            <w:pPr>
              <w:pStyle w:val="NoSpacing"/>
              <w:rPr>
                <w:rStyle w:val="AERtextsize8"/>
              </w:rPr>
            </w:pPr>
            <w:r w:rsidRPr="00006FF5">
              <w:rPr>
                <w:rStyle w:val="AERtextsize8"/>
              </w:rPr>
              <w:t>Average</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0.2</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0.3</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0.5</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0.4</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0.1</w:t>
            </w: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vAlign w:val="top"/>
          </w:tcPr>
          <w:p w:rsidR="009D4832" w:rsidRPr="00006FF5" w:rsidRDefault="009D4832" w:rsidP="00006FF5">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06FF5">
              <w:rPr>
                <w:rStyle w:val="AERtextsize8"/>
              </w:rPr>
              <w:t>0.2</w:t>
            </w:r>
          </w:p>
        </w:tc>
      </w:tr>
    </w:tbl>
    <w:p w:rsidR="00006FF5" w:rsidRDefault="009D4832" w:rsidP="00567268">
      <w:pPr>
        <w:pStyle w:val="AERtablesource"/>
        <w:rPr>
          <w:rStyle w:val="AERtextsize8"/>
        </w:rPr>
      </w:pPr>
      <w:r w:rsidRPr="00006FF5">
        <w:rPr>
          <w:rStyle w:val="AERtextsize8"/>
        </w:rPr>
        <w:t xml:space="preserve">Source: AER analysis. </w:t>
      </w:r>
    </w:p>
    <w:p w:rsidR="009D4832" w:rsidRPr="00006FF5" w:rsidRDefault="009D4832" w:rsidP="00567268">
      <w:pPr>
        <w:pStyle w:val="AERtablesource"/>
        <w:rPr>
          <w:rStyle w:val="AERtextsize8"/>
        </w:rPr>
      </w:pPr>
      <w:r w:rsidRPr="00006FF5">
        <w:rPr>
          <w:rStyle w:val="AERtextsize8"/>
        </w:rPr>
        <w:lastRenderedPageBreak/>
        <w:t xml:space="preserve">Note: MED has been calculated using network SAIDI for 8 years of 2008-09 (2009 for Victoria distributors) to 2015-16 (2016 for Victoria distributors).  </w:t>
      </w:r>
    </w:p>
    <w:p w:rsidR="009D4832" w:rsidRPr="009D4832" w:rsidRDefault="009D4832" w:rsidP="009D4832">
      <w:pPr>
        <w:pStyle w:val="Heading2"/>
      </w:pPr>
      <w:bookmarkStart w:id="69" w:name="_Toc499802928"/>
      <w:r w:rsidRPr="009D4832">
        <w:t>Adjusting the targets where the reward or penalty exceed the revenue cap under STPIS</w:t>
      </w:r>
      <w:bookmarkEnd w:id="69"/>
    </w:p>
    <w:p w:rsidR="009D4832" w:rsidRPr="009D4832" w:rsidRDefault="009D4832" w:rsidP="009D4832">
      <w:pPr>
        <w:pStyle w:val="Caption"/>
      </w:pPr>
      <w:r w:rsidRPr="009D4832">
        <w:t>Background</w:t>
      </w:r>
    </w:p>
    <w:p w:rsidR="009D4832" w:rsidRDefault="000C2A37" w:rsidP="009D4832">
      <w:r>
        <w:t>W</w:t>
      </w:r>
      <w:r w:rsidR="009D4832" w:rsidRPr="00DF6536">
        <w:t xml:space="preserve">hen a distributor's actual performance is much better or worse than the performance targets </w:t>
      </w:r>
      <w:r w:rsidR="00772B3B">
        <w:t>leading to</w:t>
      </w:r>
      <w:r w:rsidR="009D4832" w:rsidRPr="00DF6536">
        <w:t xml:space="preserve"> th</w:t>
      </w:r>
      <w:r w:rsidR="00567268">
        <w:t>e</w:t>
      </w:r>
      <w:r w:rsidR="007E535B">
        <w:t xml:space="preserve"> </w:t>
      </w:r>
      <w:r w:rsidR="00567268">
        <w:t xml:space="preserve">financial reward or </w:t>
      </w:r>
      <w:r w:rsidR="009D4832" w:rsidRPr="00DF6536">
        <w:t>penalty under the STPIS exceed</w:t>
      </w:r>
      <w:r w:rsidR="00772B3B">
        <w:t>ing</w:t>
      </w:r>
      <w:r w:rsidR="009D4832" w:rsidRPr="00DF6536">
        <w:t xml:space="preserve"> the revenue at risk cap under the scheme, its actual performance </w:t>
      </w:r>
      <w:r w:rsidR="00006FF5">
        <w:t xml:space="preserve">for the purpose of setting the performance targets for the </w:t>
      </w:r>
      <w:r w:rsidR="00772B3B">
        <w:t xml:space="preserve">subsequent </w:t>
      </w:r>
      <w:r w:rsidR="00006FF5">
        <w:t xml:space="preserve">period </w:t>
      </w:r>
      <w:r w:rsidR="009D4832" w:rsidRPr="00DF6536">
        <w:t>must be adjusted accordingly</w:t>
      </w:r>
      <w:r w:rsidR="009D4832">
        <w:t>.</w:t>
      </w:r>
    </w:p>
    <w:p w:rsidR="009D4832" w:rsidRDefault="009D4832" w:rsidP="009D4832">
      <w:r>
        <w:t>Th</w:t>
      </w:r>
      <w:r w:rsidR="00772B3B">
        <w:t>is</w:t>
      </w:r>
      <w:r>
        <w:t xml:space="preserve"> is to ensure </w:t>
      </w:r>
      <w:r w:rsidRPr="00B0183D">
        <w:t xml:space="preserve">that the distributor's performance target in future </w:t>
      </w:r>
      <w:r w:rsidR="003E2FC8">
        <w:t>reflects</w:t>
      </w:r>
      <w:r w:rsidR="003E2FC8" w:rsidRPr="00B0183D">
        <w:t xml:space="preserve"> </w:t>
      </w:r>
      <w:r w:rsidRPr="00B0183D">
        <w:t xml:space="preserve">the financial reward/penalty </w:t>
      </w:r>
      <w:r w:rsidR="00006FF5">
        <w:t>they received</w:t>
      </w:r>
      <w:r w:rsidRPr="00B0183D">
        <w:t>. In particular, a distributor should not be rewarded for poor performance because of the financial cap protection mechanism under the STPIS.</w:t>
      </w:r>
      <w:r>
        <w:t xml:space="preserve"> </w:t>
      </w:r>
    </w:p>
    <w:p w:rsidR="009D4832" w:rsidRDefault="000C2A37" w:rsidP="009D4832">
      <w:r>
        <w:t>While the current STPIS specifies that an adjustment must be made, t</w:t>
      </w:r>
      <w:r w:rsidR="009D4832" w:rsidRPr="00DF6536">
        <w:t>he scheme currently does not set out how this is done.</w:t>
      </w:r>
      <w:r w:rsidR="009D4832">
        <w:rPr>
          <w:rStyle w:val="FootnoteReference"/>
        </w:rPr>
        <w:footnoteReference w:id="16"/>
      </w:r>
      <w:r w:rsidR="009D4832" w:rsidRPr="00DF6536">
        <w:t xml:space="preserve"> </w:t>
      </w:r>
    </w:p>
    <w:p w:rsidR="009D4832" w:rsidRDefault="009D4832" w:rsidP="009D4832">
      <w:r>
        <w:t xml:space="preserve">We consider that there needs to be a clear method based on a sound hierarchy, which reflects </w:t>
      </w:r>
      <w:r w:rsidR="00006FF5">
        <w:t xml:space="preserve">customers' </w:t>
      </w:r>
      <w:r>
        <w:t xml:space="preserve">values, to determine the adjustment </w:t>
      </w:r>
      <w:r w:rsidR="00006FF5">
        <w:t>quantity</w:t>
      </w:r>
      <w:r>
        <w:t xml:space="preserve">. In the issues paper, we proposed a method </w:t>
      </w:r>
      <w:r w:rsidRPr="00DF6536">
        <w:t>to adjust the targets</w:t>
      </w:r>
      <w:r>
        <w:t>, with details provided in A</w:t>
      </w:r>
      <w:r w:rsidRPr="00A90E02">
        <w:t>ppendix C</w:t>
      </w:r>
      <w:r>
        <w:t xml:space="preserve">. </w:t>
      </w:r>
    </w:p>
    <w:p w:rsidR="009D4832" w:rsidRPr="009D4832" w:rsidRDefault="009D4832" w:rsidP="009D4832">
      <w:pPr>
        <w:pStyle w:val="Caption"/>
      </w:pPr>
      <w:r w:rsidRPr="009D4832">
        <w:t>Submissions</w:t>
      </w:r>
    </w:p>
    <w:p w:rsidR="009D4832" w:rsidRPr="009D4832" w:rsidRDefault="009D4832" w:rsidP="009D4832">
      <w:r>
        <w:t xml:space="preserve">Most distributors supported in principle the need </w:t>
      </w:r>
      <w:r w:rsidR="00B2250B">
        <w:t>for the</w:t>
      </w:r>
      <w:r>
        <w:t xml:space="preserve"> </w:t>
      </w:r>
      <w:r w:rsidRPr="009D4832">
        <w:t>AER's proposed method of making adjustments to the performance targets.</w:t>
      </w:r>
      <w:r w:rsidRPr="009D4832">
        <w:rPr>
          <w:rStyle w:val="FootnoteReference"/>
        </w:rPr>
        <w:footnoteReference w:id="17"/>
      </w:r>
      <w:r w:rsidRPr="009D4832">
        <w:t xml:space="preserve"> Jemena proposed a variation to</w:t>
      </w:r>
      <w:r w:rsidR="00B2250B">
        <w:t xml:space="preserve"> the</w:t>
      </w:r>
      <w:r w:rsidRPr="009D4832">
        <w:t xml:space="preserve"> AER</w:t>
      </w:r>
      <w:r w:rsidR="00B2250B">
        <w:t>'s</w:t>
      </w:r>
      <w:r w:rsidRPr="009D4832">
        <w:t xml:space="preserve"> proposed method, which includes MAIFI in the adjustment.</w:t>
      </w:r>
      <w:r w:rsidRPr="009D4832">
        <w:rPr>
          <w:rStyle w:val="FootnoteReference"/>
        </w:rPr>
        <w:footnoteReference w:id="18"/>
      </w:r>
      <w:r w:rsidRPr="009D4832">
        <w:t xml:space="preserve">  </w:t>
      </w:r>
    </w:p>
    <w:p w:rsidR="009D4832" w:rsidRPr="009D4832" w:rsidRDefault="009D4832" w:rsidP="009D4832">
      <w:pPr>
        <w:pStyle w:val="Caption"/>
      </w:pPr>
      <w:r>
        <w:t>Proposed approach</w:t>
      </w:r>
    </w:p>
    <w:p w:rsidR="009D4832" w:rsidRDefault="009D4832" w:rsidP="009D4832">
      <w:r>
        <w:t xml:space="preserve">We do not consider Jemena's proposed variation </w:t>
      </w:r>
      <w:r w:rsidR="00B2250B">
        <w:t xml:space="preserve">is </w:t>
      </w:r>
      <w:r>
        <w:t>appropriate given it introduces inconsistency to method</w:t>
      </w:r>
      <w:r w:rsidR="00B2250B">
        <w:t>s</w:t>
      </w:r>
      <w:r>
        <w:t xml:space="preserve"> </w:t>
      </w:r>
      <w:r w:rsidRPr="001713D2">
        <w:t xml:space="preserve">across the distributors </w:t>
      </w:r>
      <w:r>
        <w:t xml:space="preserve">because only Victoria has MAIFI in the STPIS. Further it introduces unnecessary complexity to </w:t>
      </w:r>
      <w:r w:rsidR="00B2250B">
        <w:t xml:space="preserve">the </w:t>
      </w:r>
      <w:r>
        <w:t xml:space="preserve">method with the inclusion of MAIFI and telephone answering.  </w:t>
      </w:r>
    </w:p>
    <w:p w:rsidR="00567268" w:rsidRDefault="009D4832" w:rsidP="009D4832">
      <w:r>
        <w:t xml:space="preserve">Accordingly, we maintain our proposed method for the adjustment of performance targets. </w:t>
      </w:r>
    </w:p>
    <w:p w:rsidR="00E14A55" w:rsidRPr="009D4832" w:rsidRDefault="00E14A55" w:rsidP="00E14A55">
      <w:pPr>
        <w:pStyle w:val="Heading2"/>
      </w:pPr>
      <w:bookmarkStart w:id="70" w:name="_Toc499802929"/>
      <w:r>
        <w:lastRenderedPageBreak/>
        <w:t>Align</w:t>
      </w:r>
      <w:r w:rsidR="00B55E29">
        <w:t>ment</w:t>
      </w:r>
      <w:r>
        <w:t xml:space="preserve"> with other changes proposed</w:t>
      </w:r>
      <w:r w:rsidR="00277AE2">
        <w:t xml:space="preserve"> for the distribution reliability measures guideline (the Guideline)</w:t>
      </w:r>
      <w:bookmarkEnd w:id="70"/>
    </w:p>
    <w:p w:rsidR="009512EF" w:rsidRPr="009D4832" w:rsidRDefault="009512EF" w:rsidP="009512EF">
      <w:pPr>
        <w:pStyle w:val="Caption"/>
      </w:pPr>
      <w:r w:rsidRPr="009D4832">
        <w:t>Background</w:t>
      </w:r>
    </w:p>
    <w:p w:rsidR="00277AE2" w:rsidRDefault="00277AE2" w:rsidP="00E14A55">
      <w:r>
        <w:t xml:space="preserve">In our second stage consultation, we proposed a number of minor changes </w:t>
      </w:r>
      <w:r w:rsidR="00B55E29">
        <w:t xml:space="preserve">which will be incorporated in the Guideline </w:t>
      </w:r>
      <w:r>
        <w:t>to:</w:t>
      </w:r>
    </w:p>
    <w:p w:rsidR="009512EF" w:rsidRDefault="00BF686A" w:rsidP="00277AE2">
      <w:pPr>
        <w:pStyle w:val="AERbulletlistfirststyle"/>
      </w:pPr>
      <w:r>
        <w:t xml:space="preserve">clarify that unmetered </w:t>
      </w:r>
      <w:r w:rsidR="00717463">
        <w:t>connections</w:t>
      </w:r>
      <w:r>
        <w:t xml:space="preserve"> should be excluded from the performance measures </w:t>
      </w:r>
    </w:p>
    <w:p w:rsidR="00277AE2" w:rsidRDefault="00BF686A" w:rsidP="00277AE2">
      <w:pPr>
        <w:pStyle w:val="AERbulletlistfirststyle"/>
      </w:pPr>
      <w:r>
        <w:t xml:space="preserve">modify </w:t>
      </w:r>
      <w:r w:rsidR="009512EF">
        <w:t xml:space="preserve">the </w:t>
      </w:r>
      <w:r w:rsidR="00277AE2">
        <w:t xml:space="preserve">definition of </w:t>
      </w:r>
      <w:r>
        <w:t>CBD</w:t>
      </w:r>
      <w:r w:rsidR="007705D6">
        <w:t xml:space="preserve"> and urban</w:t>
      </w:r>
      <w:r>
        <w:t xml:space="preserve"> </w:t>
      </w:r>
      <w:r w:rsidR="00277AE2">
        <w:t>feeders</w:t>
      </w:r>
    </w:p>
    <w:p w:rsidR="00277AE2" w:rsidRDefault="00BF686A" w:rsidP="00277AE2">
      <w:pPr>
        <w:pStyle w:val="AERbulletlistfirststyle"/>
      </w:pPr>
      <w:proofErr w:type="gramStart"/>
      <w:r>
        <w:t>codify</w:t>
      </w:r>
      <w:proofErr w:type="gramEnd"/>
      <w:r>
        <w:t xml:space="preserve"> the </w:t>
      </w:r>
      <w:r w:rsidR="00277AE2">
        <w:t>approach on how to report the number customers impacted by an outage event where the exact number of affected customers is not known.</w:t>
      </w:r>
    </w:p>
    <w:p w:rsidR="00BF686A" w:rsidRPr="00BF686A" w:rsidRDefault="00BF686A" w:rsidP="00BF686A">
      <w:pPr>
        <w:pStyle w:val="Caption"/>
        <w:rPr>
          <w:rStyle w:val="AERtextbolditalics"/>
        </w:rPr>
      </w:pPr>
      <w:r w:rsidRPr="00BF686A">
        <w:rPr>
          <w:rStyle w:val="AERtextbolditalics"/>
        </w:rPr>
        <w:t>Unmetered load</w:t>
      </w:r>
    </w:p>
    <w:p w:rsidR="001F7606" w:rsidRDefault="008043D8" w:rsidP="009512EF">
      <w:r>
        <w:t xml:space="preserve">The AEMC recommended </w:t>
      </w:r>
      <w:r w:rsidR="00EC6678">
        <w:t>standardising</w:t>
      </w:r>
      <w:r>
        <w:t xml:space="preserve"> the definition of customers </w:t>
      </w:r>
      <w:r w:rsidR="00405B9E">
        <w:t>to improve</w:t>
      </w:r>
      <w:r>
        <w:t xml:space="preserve"> consistenc</w:t>
      </w:r>
      <w:r w:rsidR="00405B9E">
        <w:t>y</w:t>
      </w:r>
      <w:r>
        <w:t xml:space="preserve"> in reliability measurements. It suggested to remove the </w:t>
      </w:r>
      <w:r w:rsidRPr="008043D8">
        <w:t>currently discretion</w:t>
      </w:r>
      <w:r>
        <w:t xml:space="preserve"> under STPIS that</w:t>
      </w:r>
      <w:r w:rsidRPr="008043D8">
        <w:t xml:space="preserve"> unmetered connection points </w:t>
      </w:r>
      <w:r w:rsidR="001F7606">
        <w:t xml:space="preserve">may or may not be included </w:t>
      </w:r>
      <w:r w:rsidRPr="008043D8">
        <w:t xml:space="preserve">for the purposes of calculating reliability measures. </w:t>
      </w:r>
      <w:r w:rsidR="001F7606">
        <w:t>The AEMC recommended that the</w:t>
      </w:r>
      <w:r w:rsidRPr="008043D8">
        <w:t xml:space="preserve"> definition of customer </w:t>
      </w:r>
      <w:r w:rsidR="00844C01">
        <w:t xml:space="preserve">should </w:t>
      </w:r>
      <w:r w:rsidRPr="008043D8">
        <w:t>exclude all unmetered connection points from being considered as customers for the purposes of calculating reliability measures</w:t>
      </w:r>
      <w:r w:rsidR="001F7606">
        <w:t>. This is because:</w:t>
      </w:r>
      <w:r w:rsidR="001F7606">
        <w:rPr>
          <w:rStyle w:val="FootnoteReference"/>
        </w:rPr>
        <w:footnoteReference w:id="19"/>
      </w:r>
    </w:p>
    <w:p w:rsidR="001F7606" w:rsidRDefault="001F7606" w:rsidP="001F7606">
      <w:pPr>
        <w:pStyle w:val="AERbulletlistfirststyle"/>
      </w:pPr>
      <w:r>
        <w:t>It</w:t>
      </w:r>
      <w:r w:rsidR="008043D8" w:rsidRPr="008043D8">
        <w:t xml:space="preserve"> noted that incentive schemes do not generally target unmetered supplies as the reliability of the supply of unmetered loads such as public lighting are generally considered separately.</w:t>
      </w:r>
    </w:p>
    <w:p w:rsidR="008043D8" w:rsidRDefault="001F7606" w:rsidP="001F7606">
      <w:pPr>
        <w:pStyle w:val="AERbulletlistfirststyle"/>
      </w:pPr>
      <w:r>
        <w:t>A</w:t>
      </w:r>
      <w:r w:rsidR="008043D8" w:rsidRPr="008043D8">
        <w:t>dopting this definition for a customer would mean that the current inconsistencies in the definitions across the NEM would be removed going forward</w:t>
      </w:r>
      <w:r>
        <w:t>.</w:t>
      </w:r>
    </w:p>
    <w:p w:rsidR="008043D8" w:rsidRDefault="001F7606" w:rsidP="001F7606">
      <w:pPr>
        <w:pStyle w:val="AERbulletlistfirststyle"/>
      </w:pPr>
      <w:r>
        <w:t>A</w:t>
      </w:r>
      <w:r w:rsidR="008043D8" w:rsidRPr="008043D8">
        <w:t>s the number of unmetered connection points is relatively small and would be unlikely to cause a material impact on distribution reliability measures</w:t>
      </w:r>
      <w:r>
        <w:t>.</w:t>
      </w:r>
    </w:p>
    <w:p w:rsidR="009512EF" w:rsidRPr="004056BC" w:rsidRDefault="009512EF" w:rsidP="009512EF">
      <w:r>
        <w:t xml:space="preserve">We </w:t>
      </w:r>
      <w:r w:rsidR="00BF686A">
        <w:t xml:space="preserve">agreed with the AEMC's recommendation not to include unmetered load </w:t>
      </w:r>
      <w:r w:rsidRPr="004056BC">
        <w:t>in the definition of distribution customers</w:t>
      </w:r>
      <w:r w:rsidR="00BF686A">
        <w:t>, because</w:t>
      </w:r>
      <w:r w:rsidRPr="004056BC">
        <w:t>:</w:t>
      </w:r>
    </w:p>
    <w:p w:rsidR="009512EF" w:rsidRPr="004056BC" w:rsidRDefault="009512EF" w:rsidP="009512EF">
      <w:pPr>
        <w:pStyle w:val="AERbulletlistsecondstyle"/>
      </w:pPr>
      <w:r w:rsidRPr="004056BC">
        <w:t xml:space="preserve">The reliability performance of metered load should also reflect the reliability performance provided to unmetered loads. </w:t>
      </w:r>
    </w:p>
    <w:p w:rsidR="00BF686A" w:rsidRDefault="009512EF" w:rsidP="00BF686A">
      <w:pPr>
        <w:pStyle w:val="AERbulletlistsecondstyle"/>
      </w:pPr>
      <w:r w:rsidRPr="004056BC">
        <w:t>Including unmetered load in the overall performance reporting does not provide further clarity on street lighting service outcomes</w:t>
      </w:r>
    </w:p>
    <w:p w:rsidR="00717463" w:rsidRDefault="00717463" w:rsidP="00BF686A">
      <w:pPr>
        <w:pStyle w:val="AERbulletlistsecondstyle"/>
      </w:pPr>
      <w:r>
        <w:lastRenderedPageBreak/>
        <w:t>T</w:t>
      </w:r>
      <w:r w:rsidRPr="004056BC">
        <w:t xml:space="preserve">he quantity of unmetered connections other than street lights </w:t>
      </w:r>
      <w:r>
        <w:t>is</w:t>
      </w:r>
      <w:r w:rsidRPr="004056BC">
        <w:t xml:space="preserve"> not significant compared with metered connections</w:t>
      </w:r>
      <w:r>
        <w:t>. I</w:t>
      </w:r>
      <w:r w:rsidRPr="004056BC">
        <w:t xml:space="preserve">ncluding such loads in the overall performance reporting </w:t>
      </w:r>
      <w:r>
        <w:t>may n</w:t>
      </w:r>
      <w:r w:rsidRPr="004056BC">
        <w:t>ot provide further clarity on the service level to such loads.</w:t>
      </w:r>
    </w:p>
    <w:p w:rsidR="0087311A" w:rsidRPr="0087311A" w:rsidRDefault="00717463" w:rsidP="0087311A">
      <w:pPr>
        <w:pStyle w:val="AERbulletlistsecondstyle"/>
      </w:pPr>
      <w:r>
        <w:t>Outages of street lights do not necessary represent power supply failures, performance of</w:t>
      </w:r>
      <w:r w:rsidR="00BF686A" w:rsidRPr="004056BC">
        <w:t xml:space="preserve"> public lighting</w:t>
      </w:r>
      <w:r>
        <w:t xml:space="preserve"> should be addressed separately under a specific </w:t>
      </w:r>
      <w:r w:rsidR="00BF686A" w:rsidRPr="004056BC">
        <w:t>public lightning code.</w:t>
      </w:r>
      <w:r w:rsidR="0087311A" w:rsidRPr="0087311A">
        <w:t xml:space="preserve"> </w:t>
      </w:r>
    </w:p>
    <w:p w:rsidR="00717463" w:rsidRPr="00BF686A" w:rsidRDefault="0087311A" w:rsidP="00717463">
      <w:pPr>
        <w:pStyle w:val="Caption"/>
        <w:rPr>
          <w:rStyle w:val="AERtextbolditalics"/>
        </w:rPr>
      </w:pPr>
      <w:r>
        <w:rPr>
          <w:rStyle w:val="AERtextbolditalics"/>
        </w:rPr>
        <w:t>Definition of feeders</w:t>
      </w:r>
    </w:p>
    <w:p w:rsidR="007705D6" w:rsidRDefault="007705D6" w:rsidP="0087311A">
      <w:r>
        <w:t xml:space="preserve">In the draft Guideline, we proposed </w:t>
      </w:r>
      <w:r w:rsidRPr="002E106F">
        <w:t>that</w:t>
      </w:r>
      <w:r>
        <w:t>:</w:t>
      </w:r>
    </w:p>
    <w:p w:rsidR="007705D6" w:rsidRDefault="007705D6" w:rsidP="007705D6">
      <w:pPr>
        <w:pStyle w:val="AERbulletlistfirststyle"/>
      </w:pPr>
      <w:r>
        <w:t>F</w:t>
      </w:r>
      <w:r w:rsidRPr="002E106F">
        <w:t xml:space="preserve">or consistency, urban and rural feeders’ classification should be based on a longer term average demand level, rather than based on one year’s variation. Hence, we propose that the feeder classification should be based on a 3-year average maximum demand level. </w:t>
      </w:r>
    </w:p>
    <w:p w:rsidR="007705D6" w:rsidRDefault="007705D6" w:rsidP="007705D6">
      <w:pPr>
        <w:pStyle w:val="AERbulletlistfirststyle"/>
      </w:pPr>
      <w:r>
        <w:t xml:space="preserve">Amending the </w:t>
      </w:r>
      <w:r w:rsidRPr="002E106F">
        <w:t>definition of CBD feeder</w:t>
      </w:r>
      <w:r>
        <w:t>, as recommended by the AEMC,</w:t>
      </w:r>
      <w:r w:rsidRPr="002E106F">
        <w:t xml:space="preserve"> to include one or more geographic areas that are determined by the relevant jurisdiction</w:t>
      </w:r>
      <w:r>
        <w:t xml:space="preserve">. </w:t>
      </w:r>
    </w:p>
    <w:p w:rsidR="0087311A" w:rsidRPr="00BF686A" w:rsidRDefault="0087311A" w:rsidP="0087311A">
      <w:pPr>
        <w:pStyle w:val="Caption"/>
        <w:rPr>
          <w:rStyle w:val="AERtextbolditalics"/>
        </w:rPr>
      </w:pPr>
      <w:r>
        <w:rPr>
          <w:rStyle w:val="AERtextbolditalics"/>
        </w:rPr>
        <w:t>Standardise reporting of affected customers</w:t>
      </w:r>
    </w:p>
    <w:p w:rsidR="009512EF" w:rsidRDefault="009512EF" w:rsidP="009512EF">
      <w:r>
        <w:t xml:space="preserve">In order to improve the level of consistency in reporting performance, we proposed the following additional reporting approaches—to provide greater clarity on the capture and reporting of specific events.  </w:t>
      </w:r>
    </w:p>
    <w:p w:rsidR="009512EF" w:rsidRPr="0031692D" w:rsidRDefault="009512EF" w:rsidP="009512EF">
      <w:pPr>
        <w:pStyle w:val="AERbulletlistsecondstyle"/>
      </w:pPr>
      <w:r>
        <w:t>National Metering Identifiers––clarifying which</w:t>
      </w:r>
      <w:r w:rsidRPr="0031692D">
        <w:t xml:space="preserve"> NMI status codes should be reported (</w:t>
      </w:r>
      <w:r>
        <w:t xml:space="preserve">e.g. </w:t>
      </w:r>
      <w:r w:rsidRPr="0031692D">
        <w:t xml:space="preserve">active, not energised, extinct, </w:t>
      </w:r>
      <w:proofErr w:type="gramStart"/>
      <w:r w:rsidRPr="0031692D">
        <w:t>greenfield</w:t>
      </w:r>
      <w:proofErr w:type="gramEnd"/>
      <w:r w:rsidRPr="0031692D">
        <w:t>)</w:t>
      </w:r>
      <w:r>
        <w:t>.</w:t>
      </w:r>
    </w:p>
    <w:p w:rsidR="009512EF" w:rsidRPr="00074B8D" w:rsidRDefault="009512EF" w:rsidP="009512EF">
      <w:pPr>
        <w:pStyle w:val="AERbulletlistsecondstyle"/>
      </w:pPr>
      <w:r w:rsidRPr="00074B8D">
        <w:t>Single premises outages</w:t>
      </w:r>
      <w:r>
        <w:t xml:space="preserve">––Standardising on the reporting of single premises interruptions </w:t>
      </w:r>
      <w:r w:rsidRPr="00074B8D">
        <w:t xml:space="preserve">as a network </w:t>
      </w:r>
      <w:r>
        <w:t xml:space="preserve">interruption </w:t>
      </w:r>
      <w:r w:rsidRPr="00074B8D">
        <w:t xml:space="preserve">unless </w:t>
      </w:r>
      <w:r>
        <w:t xml:space="preserve">the </w:t>
      </w:r>
      <w:r w:rsidRPr="00074B8D">
        <w:t>customer</w:t>
      </w:r>
      <w:r>
        <w:t>'s</w:t>
      </w:r>
      <w:r w:rsidRPr="00074B8D">
        <w:t xml:space="preserve"> fault is actively identified. </w:t>
      </w:r>
    </w:p>
    <w:p w:rsidR="009512EF" w:rsidRDefault="009512EF" w:rsidP="009512EF">
      <w:pPr>
        <w:pStyle w:val="AERbulletlistsecondstyle"/>
      </w:pPr>
      <w:r>
        <w:t>For partial network failure, where more accurate (i.e. smart meter) information is absent</w:t>
      </w:r>
      <w:r w:rsidR="00401780">
        <w:t xml:space="preserve"> </w:t>
      </w:r>
      <w:r w:rsidR="00414B56">
        <w:t>to identify the spec</w:t>
      </w:r>
      <w:r w:rsidR="005362CE">
        <w:t>i</w:t>
      </w:r>
      <w:r w:rsidR="00414B56">
        <w:t xml:space="preserve">fic affected </w:t>
      </w:r>
      <w:r w:rsidR="00401780">
        <w:t>customers</w:t>
      </w:r>
    </w:p>
    <w:p w:rsidR="009512EF" w:rsidRPr="005F3608" w:rsidRDefault="009512EF" w:rsidP="009512EF">
      <w:pPr>
        <w:pStyle w:val="AERbulletlistsecondstyle"/>
      </w:pPr>
      <w:r w:rsidRPr="00074B8D">
        <w:t>H</w:t>
      </w:r>
      <w:r w:rsidR="00717463">
        <w:t>igh Voltage (H</w:t>
      </w:r>
      <w:r w:rsidRPr="00074B8D">
        <w:t>V</w:t>
      </w:r>
      <w:r w:rsidR="00717463">
        <w:t>)</w:t>
      </w:r>
      <w:r w:rsidRPr="00074B8D">
        <w:t xml:space="preserve"> single phase outage</w:t>
      </w:r>
      <w:r>
        <w:t>—</w:t>
      </w:r>
      <w:proofErr w:type="gramStart"/>
      <w:r w:rsidRPr="005F3608">
        <w:t>Standardising</w:t>
      </w:r>
      <w:proofErr w:type="gramEnd"/>
      <w:r w:rsidRPr="005F3608">
        <w:t xml:space="preserve"> on the reporting of </w:t>
      </w:r>
      <w:r w:rsidR="00D51103">
        <w:t xml:space="preserve">33 </w:t>
      </w:r>
      <w:r>
        <w:t>per cent</w:t>
      </w:r>
      <w:r w:rsidRPr="005F3608">
        <w:t xml:space="preserve"> of all downstream customers for a single-phase HV outage on a three phase network. Reporting of 100</w:t>
      </w:r>
      <w:r>
        <w:t xml:space="preserve"> per cent</w:t>
      </w:r>
      <w:r w:rsidRPr="005F3608">
        <w:t xml:space="preserve"> of customers for all other HV outages, for example; when there is a single HV phase outage on a two phase</w:t>
      </w:r>
      <w:r>
        <w:t>s</w:t>
      </w:r>
      <w:r w:rsidRPr="005F3608">
        <w:t xml:space="preserve"> or single phase HV system. </w:t>
      </w:r>
    </w:p>
    <w:p w:rsidR="009512EF" w:rsidRPr="005F3608" w:rsidRDefault="009512EF" w:rsidP="009512EF">
      <w:pPr>
        <w:pStyle w:val="AERbulletlistsecondstyle"/>
      </w:pPr>
      <w:r w:rsidRPr="00074B8D">
        <w:t>L</w:t>
      </w:r>
      <w:r w:rsidR="00717463">
        <w:t xml:space="preserve">ow </w:t>
      </w:r>
      <w:r w:rsidRPr="00074B8D">
        <w:t>V</w:t>
      </w:r>
      <w:r w:rsidR="00717463">
        <w:t>oltage (LV)</w:t>
      </w:r>
      <w:r w:rsidRPr="00074B8D">
        <w:t xml:space="preserve"> single phase outage</w:t>
      </w:r>
      <w:r>
        <w:t>—</w:t>
      </w:r>
      <w:proofErr w:type="gramStart"/>
      <w:r w:rsidRPr="005F3608">
        <w:t>Standardising</w:t>
      </w:r>
      <w:proofErr w:type="gramEnd"/>
      <w:r w:rsidRPr="005F3608">
        <w:t xml:space="preserve"> on the reporting of 33</w:t>
      </w:r>
      <w:r>
        <w:t xml:space="preserve"> per cent</w:t>
      </w:r>
      <w:r w:rsidRPr="005F3608">
        <w:t xml:space="preserve"> of all downstream customers for a single phase outage.</w:t>
      </w:r>
    </w:p>
    <w:p w:rsidR="005128C4" w:rsidRDefault="005128C4">
      <w:pPr>
        <w:spacing w:line="240" w:lineRule="auto"/>
        <w:rPr>
          <w:b/>
          <w:bCs/>
          <w:color w:val="076A92" w:themeColor="text1"/>
          <w:sz w:val="24"/>
          <w:szCs w:val="18"/>
        </w:rPr>
      </w:pPr>
      <w:r>
        <w:br w:type="page"/>
      </w:r>
    </w:p>
    <w:p w:rsidR="00717463" w:rsidRPr="009D4832" w:rsidRDefault="00717463" w:rsidP="00717463">
      <w:pPr>
        <w:pStyle w:val="Caption"/>
      </w:pPr>
      <w:r w:rsidRPr="009D4832">
        <w:lastRenderedPageBreak/>
        <w:t>Submissions</w:t>
      </w:r>
      <w:r w:rsidRPr="00717463">
        <w:t xml:space="preserve"> </w:t>
      </w:r>
      <w:r>
        <w:t>and proposed approach</w:t>
      </w:r>
    </w:p>
    <w:p w:rsidR="0087311A" w:rsidRDefault="00277AE2" w:rsidP="00E14A55">
      <w:r>
        <w:t>Majority of the submissions supported the proposed changes.</w:t>
      </w:r>
    </w:p>
    <w:p w:rsidR="0087311A" w:rsidRDefault="0087311A" w:rsidP="00E14A55">
      <w:r>
        <w:t xml:space="preserve">CitiPower and </w:t>
      </w:r>
      <w:proofErr w:type="spellStart"/>
      <w:r>
        <w:t>Powercor</w:t>
      </w:r>
      <w:proofErr w:type="spellEnd"/>
      <w:r>
        <w:t xml:space="preserve"> suggested that we should take into account the annual variation of customer demands and the effect of network reconfiguration from time to time.</w:t>
      </w:r>
      <w:r>
        <w:rPr>
          <w:rStyle w:val="FootnoteReference"/>
        </w:rPr>
        <w:footnoteReference w:id="20"/>
      </w:r>
      <w:r w:rsidR="00277AE2">
        <w:t xml:space="preserve"> </w:t>
      </w:r>
    </w:p>
    <w:p w:rsidR="0087311A" w:rsidRDefault="0087311A" w:rsidP="0087311A">
      <w:pPr>
        <w:pStyle w:val="Caption"/>
      </w:pPr>
      <w:r>
        <w:t>Proposed approach</w:t>
      </w:r>
    </w:p>
    <w:p w:rsidR="00C20AEA" w:rsidRDefault="00277AE2" w:rsidP="00E14A55">
      <w:r>
        <w:t>In consideration of</w:t>
      </w:r>
      <w:r w:rsidR="00414B56">
        <w:t xml:space="preserve"> CitiPower and </w:t>
      </w:r>
      <w:proofErr w:type="spellStart"/>
      <w:r w:rsidR="00414B56">
        <w:t>Powercor's</w:t>
      </w:r>
      <w:proofErr w:type="spellEnd"/>
      <w:r w:rsidR="00414B56">
        <w:t xml:space="preserve"> suggestion and in recognition of</w:t>
      </w:r>
      <w:r>
        <w:t xml:space="preserve"> the difference in</w:t>
      </w:r>
      <w:r w:rsidR="00C20AEA">
        <w:t xml:space="preserve"> customer information systems currently deployed by the distributors, we make the following changes to the original proposed approaches:</w:t>
      </w:r>
    </w:p>
    <w:p w:rsidR="009512EF" w:rsidRDefault="00C20AEA" w:rsidP="00717463">
      <w:pPr>
        <w:pStyle w:val="AERbulletlistfirststyle"/>
      </w:pPr>
      <w:r>
        <w:t xml:space="preserve">The measurement of energy density per km threshold for </w:t>
      </w:r>
      <w:r w:rsidRPr="00C20AEA">
        <w:t>urban feeder</w:t>
      </w:r>
      <w:r>
        <w:t xml:space="preserve"> will be based on </w:t>
      </w:r>
      <w:r w:rsidRPr="00C20AEA">
        <w:t>a 3-year average maximum demand over the 3-year average feeder route length</w:t>
      </w:r>
      <w:r w:rsidR="009512EF">
        <w:t>.</w:t>
      </w:r>
    </w:p>
    <w:p w:rsidR="00E14A55" w:rsidRDefault="009512EF" w:rsidP="00E14A55">
      <w:pPr>
        <w:pStyle w:val="AERbulletlistfirststyle"/>
      </w:pPr>
      <w:r>
        <w:t>U</w:t>
      </w:r>
      <w:r w:rsidRPr="009512EF">
        <w:t>nmetered supplies should be excluded from the calculation of reliability measures, except where a DNSP is unable to identify the unmetered supplies</w:t>
      </w:r>
      <w:r w:rsidR="00161B03">
        <w:t xml:space="preserve"> due to the inadequacy of the </w:t>
      </w:r>
      <w:r w:rsidR="00414B56">
        <w:t>existing customer record systems</w:t>
      </w:r>
      <w:r w:rsidRPr="009512EF">
        <w:t xml:space="preserve"> from its historical performance data.</w:t>
      </w:r>
      <w:r w:rsidR="00277AE2">
        <w:t xml:space="preserve"> </w:t>
      </w:r>
    </w:p>
    <w:p w:rsidR="00517AF0" w:rsidRDefault="00517AF0">
      <w:pPr>
        <w:spacing w:line="240" w:lineRule="auto"/>
        <w:rPr>
          <w:rFonts w:eastAsiaTheme="majorEastAsia" w:cstheme="majorBidi"/>
          <w:b/>
          <w:bCs/>
          <w:color w:val="70635A" w:themeColor="text2"/>
          <w:sz w:val="32"/>
          <w:szCs w:val="26"/>
        </w:rPr>
      </w:pPr>
      <w:bookmarkStart w:id="71" w:name="_Toc499802930"/>
    </w:p>
    <w:p w:rsidR="009D4832" w:rsidRPr="009D4832" w:rsidRDefault="009D4832" w:rsidP="009D4832">
      <w:pPr>
        <w:pStyle w:val="Heading2"/>
      </w:pPr>
      <w:r w:rsidRPr="009D4832">
        <w:t>Balancing the incentive to maintain and improve reliability with the incentive to reduce expenditure</w:t>
      </w:r>
      <w:bookmarkEnd w:id="71"/>
    </w:p>
    <w:p w:rsidR="009D4832" w:rsidRPr="009D4832" w:rsidRDefault="009D4832" w:rsidP="009D4832">
      <w:pPr>
        <w:pStyle w:val="Caption"/>
      </w:pPr>
      <w:r w:rsidRPr="009D4832">
        <w:t>Background</w:t>
      </w:r>
    </w:p>
    <w:p w:rsidR="009D4832" w:rsidRDefault="009D4832" w:rsidP="009D4832">
      <w:r w:rsidRPr="00843EBA">
        <w:t>The revenue and pricing principles require that distributors should be provided with effective incentives to promote economic efficiency. Consequently, it is important that distributors be provided an incentive to improve customer reliability where customers value that improvement in reliability more than the cost of achieving the improvement. To this end</w:t>
      </w:r>
      <w:r w:rsidR="00844C01">
        <w:t>,</w:t>
      </w:r>
      <w:r w:rsidRPr="00843EBA">
        <w:t xml:space="preserve"> it is important that the incentive to improve reliability is balanced with the incentive to reduce expenditure, both capex and </w:t>
      </w:r>
      <w:proofErr w:type="spellStart"/>
      <w:r w:rsidRPr="00843EBA">
        <w:t>opex</w:t>
      </w:r>
      <w:proofErr w:type="spellEnd"/>
      <w:r w:rsidR="00B55E29">
        <w:t xml:space="preserve"> or </w:t>
      </w:r>
      <w:r w:rsidR="006C201B">
        <w:t xml:space="preserve">alternatively, that incentive to reduce expenditure (capex and </w:t>
      </w:r>
      <w:proofErr w:type="spellStart"/>
      <w:r w:rsidR="006C201B">
        <w:t>opex</w:t>
      </w:r>
      <w:proofErr w:type="spellEnd"/>
      <w:r w:rsidR="006C201B">
        <w:t xml:space="preserve">) </w:t>
      </w:r>
      <w:r w:rsidR="00E61BE1">
        <w:t xml:space="preserve">is </w:t>
      </w:r>
      <w:r w:rsidR="006C201B">
        <w:t>balanced with incentive to maintain or improve reliability, where this is valued by customers</w:t>
      </w:r>
      <w:r w:rsidRPr="00843EBA">
        <w:t>.</w:t>
      </w:r>
    </w:p>
    <w:p w:rsidR="009D4832" w:rsidRDefault="009D4832" w:rsidP="009D4832">
      <w:r>
        <w:t xml:space="preserve">Currently, the </w:t>
      </w:r>
      <w:r w:rsidRPr="00473362">
        <w:t xml:space="preserve">efficiency benefit sharing scheme </w:t>
      </w:r>
      <w:r>
        <w:t xml:space="preserve">(EBSS) and the </w:t>
      </w:r>
      <w:r w:rsidRPr="00473362">
        <w:t xml:space="preserve">capital expenditure sharing scheme </w:t>
      </w:r>
      <w:r>
        <w:t xml:space="preserve">(CESS) allow distributors to retain 30 per cent of </w:t>
      </w:r>
      <w:proofErr w:type="spellStart"/>
      <w:r w:rsidR="00B2250B">
        <w:t>opex</w:t>
      </w:r>
      <w:proofErr w:type="spellEnd"/>
      <w:r w:rsidR="00B2250B">
        <w:t xml:space="preserve"> and </w:t>
      </w:r>
      <w:r>
        <w:t>capex efficiency gains</w:t>
      </w:r>
      <w:r w:rsidR="00B2250B">
        <w:t>, respectively</w:t>
      </w:r>
      <w:r>
        <w:t>. Similarly, by setting performance targets based on a five year historic</w:t>
      </w:r>
      <w:r w:rsidR="00B2250B">
        <w:t>al</w:t>
      </w:r>
      <w:r>
        <w:t xml:space="preserve"> average distributors should be able to retain around 30 per cent of the value of reliability improvements. Therefore, incentives exist in the regulatory </w:t>
      </w:r>
      <w:r>
        <w:lastRenderedPageBreak/>
        <w:t xml:space="preserve">framework to </w:t>
      </w:r>
      <w:r w:rsidRPr="00260D32">
        <w:t>maintain and improv</w:t>
      </w:r>
      <w:r>
        <w:t xml:space="preserve">e reliability to balance the incentive to </w:t>
      </w:r>
      <w:r w:rsidRPr="00260D32">
        <w:t>reduce expenditure</w:t>
      </w:r>
      <w:r>
        <w:t xml:space="preserve">.  </w:t>
      </w:r>
    </w:p>
    <w:p w:rsidR="009D4832" w:rsidRPr="009D4832" w:rsidRDefault="009D4832" w:rsidP="009D4832">
      <w:pPr>
        <w:pStyle w:val="Caption"/>
      </w:pPr>
      <w:r w:rsidRPr="009D4832">
        <w:t>Submissions</w:t>
      </w:r>
    </w:p>
    <w:p w:rsidR="009D4832" w:rsidRDefault="009D4832" w:rsidP="009D4832">
      <w:r>
        <w:t xml:space="preserve">No issue has been raised </w:t>
      </w:r>
      <w:r w:rsidR="006C201B">
        <w:t>that the STPIS should be amended to better balance reliability and efficiency incentives</w:t>
      </w:r>
      <w:r>
        <w:t xml:space="preserve">.  </w:t>
      </w:r>
    </w:p>
    <w:p w:rsidR="00383AE6" w:rsidRPr="009D4832" w:rsidRDefault="00383AE6" w:rsidP="00383AE6">
      <w:pPr>
        <w:pStyle w:val="Caption"/>
      </w:pPr>
      <w:r>
        <w:t>Proposed approach</w:t>
      </w:r>
    </w:p>
    <w:p w:rsidR="00567268" w:rsidRDefault="00567268" w:rsidP="00954F4E">
      <w:r>
        <w:t xml:space="preserve">No change to the STPIS on this regard. </w:t>
      </w:r>
    </w:p>
    <w:p w:rsidR="009D4832" w:rsidRPr="009D4832" w:rsidRDefault="009D4832" w:rsidP="009D4832">
      <w:pPr>
        <w:pStyle w:val="Heading2"/>
      </w:pPr>
      <w:bookmarkStart w:id="72" w:name="_Toc499802931"/>
      <w:r w:rsidRPr="009D4832">
        <w:t>A symmetrical financial incentive scheme</w:t>
      </w:r>
      <w:bookmarkEnd w:id="72"/>
    </w:p>
    <w:p w:rsidR="00383AE6" w:rsidRPr="009D4832" w:rsidRDefault="00383AE6" w:rsidP="00383AE6">
      <w:pPr>
        <w:pStyle w:val="Caption"/>
      </w:pPr>
      <w:r w:rsidRPr="009D4832">
        <w:t>Background</w:t>
      </w:r>
    </w:p>
    <w:p w:rsidR="009D4832" w:rsidRDefault="00006FF5" w:rsidP="009D4832">
      <w:r>
        <w:t>C</w:t>
      </w:r>
      <w:r w:rsidR="009D4832" w:rsidRPr="00E576EC">
        <w:t>urrent</w:t>
      </w:r>
      <w:r>
        <w:t>ly,</w:t>
      </w:r>
      <w:r w:rsidR="009D4832" w:rsidRPr="00E576EC">
        <w:t xml:space="preserve"> STPIS provides a direct financial incentive for a DNSP to maintain or improve service standards. It operates in a symmetrical way by rewarding performance</w:t>
      </w:r>
      <w:r>
        <w:t xml:space="preserve"> improvement</w:t>
      </w:r>
      <w:r w:rsidR="009D4832" w:rsidRPr="00E576EC">
        <w:t xml:space="preserve"> as well as penalising deteriorating performance. It achieves this by providing a financial reward if service improves and a financial penalty at the same rate as rewards if service declines. In this way it operates in a symmetrical way and provides a direct link between a DNSP’s revenue and the standards of service it provides.</w:t>
      </w:r>
    </w:p>
    <w:p w:rsidR="009D4832" w:rsidRPr="009D4832" w:rsidRDefault="009D4832" w:rsidP="009D4832">
      <w:pPr>
        <w:pStyle w:val="Caption"/>
      </w:pPr>
      <w:r w:rsidRPr="009D4832">
        <w:t>Submissions</w:t>
      </w:r>
    </w:p>
    <w:p w:rsidR="009D4832" w:rsidRDefault="006C201B" w:rsidP="009D4832">
      <w:r>
        <w:t xml:space="preserve">All </w:t>
      </w:r>
      <w:r w:rsidR="009D4832">
        <w:t>Stakeholder</w:t>
      </w:r>
      <w:r>
        <w:t>s</w:t>
      </w:r>
      <w:r w:rsidR="009D4832">
        <w:t xml:space="preserve"> submitted that </w:t>
      </w:r>
      <w:r w:rsidR="00B2250B">
        <w:t xml:space="preserve">the </w:t>
      </w:r>
      <w:r w:rsidR="009D4832">
        <w:t>STPIS</w:t>
      </w:r>
      <w:r w:rsidR="009D4832" w:rsidRPr="00E576EC">
        <w:t xml:space="preserve"> </w:t>
      </w:r>
      <w:r w:rsidR="00B2250B">
        <w:t xml:space="preserve">should </w:t>
      </w:r>
      <w:r w:rsidR="009D4832" w:rsidRPr="00E576EC">
        <w:t>continue to operate in symmetrical way,</w:t>
      </w:r>
      <w:r w:rsidR="00B2250B">
        <w:t xml:space="preserve"> and that</w:t>
      </w:r>
      <w:r w:rsidR="009D4832" w:rsidRPr="00E576EC">
        <w:t xml:space="preserve"> no change </w:t>
      </w:r>
      <w:r w:rsidR="00B2250B">
        <w:t xml:space="preserve">is </w:t>
      </w:r>
      <w:r w:rsidR="009D4832" w:rsidRPr="00E576EC">
        <w:t>needed</w:t>
      </w:r>
      <w:r w:rsidR="009D4832">
        <w:t>.</w:t>
      </w:r>
      <w:r w:rsidR="009D4832" w:rsidRPr="00E576EC">
        <w:t xml:space="preserve"> </w:t>
      </w:r>
    </w:p>
    <w:p w:rsidR="00383AE6" w:rsidRPr="009D4832" w:rsidRDefault="00383AE6" w:rsidP="00383AE6">
      <w:pPr>
        <w:pStyle w:val="Caption"/>
      </w:pPr>
      <w:r>
        <w:t>Proposed approach</w:t>
      </w:r>
    </w:p>
    <w:p w:rsidR="00567268" w:rsidRDefault="00567268" w:rsidP="00954F4E">
      <w:r>
        <w:t xml:space="preserve">No change to the STPIS on this regard. </w:t>
      </w:r>
    </w:p>
    <w:p w:rsidR="009D4832" w:rsidRPr="009D4832" w:rsidRDefault="009D4832" w:rsidP="009D4832">
      <w:pPr>
        <w:pStyle w:val="Heading2"/>
      </w:pPr>
      <w:bookmarkStart w:id="73" w:name="_Toc499802932"/>
      <w:r w:rsidRPr="009D4832">
        <w:t xml:space="preserve">How to link distributor customer engagement findings </w:t>
      </w:r>
      <w:r w:rsidR="006C201B">
        <w:t xml:space="preserve">and the setting of </w:t>
      </w:r>
      <w:r w:rsidRPr="009D4832">
        <w:t>reliability level</w:t>
      </w:r>
      <w:r w:rsidR="006C201B">
        <w:t>s</w:t>
      </w:r>
      <w:bookmarkEnd w:id="73"/>
    </w:p>
    <w:p w:rsidR="00383AE6" w:rsidRPr="009D4832" w:rsidRDefault="00383AE6" w:rsidP="00383AE6">
      <w:pPr>
        <w:pStyle w:val="Caption"/>
      </w:pPr>
      <w:r w:rsidRPr="009D4832">
        <w:t>Background</w:t>
      </w:r>
    </w:p>
    <w:p w:rsidR="00383AE6" w:rsidRDefault="00383AE6" w:rsidP="00383AE6">
      <w:r>
        <w:t>Customer engagement is an important aspect for any business and electricity networks are no exception. Distributors have a formal requirement to engage with customers</w:t>
      </w:r>
      <w:r>
        <w:rPr>
          <w:rStyle w:val="FootnoteReference"/>
        </w:rPr>
        <w:footnoteReference w:id="21"/>
      </w:r>
      <w:r>
        <w:t xml:space="preserve"> and </w:t>
      </w:r>
      <w:r w:rsidR="006C201B">
        <w:t>the AER has</w:t>
      </w:r>
      <w:r>
        <w:t xml:space="preserve"> established a guideline for distributor customer engagement.</w:t>
      </w:r>
      <w:r>
        <w:rPr>
          <w:rStyle w:val="FootnoteReference"/>
        </w:rPr>
        <w:footnoteReference w:id="22"/>
      </w:r>
    </w:p>
    <w:p w:rsidR="00383AE6" w:rsidRDefault="00383AE6" w:rsidP="00383AE6">
      <w:r w:rsidRPr="003919E7">
        <w:t>As part of our regulatory determinations that set the revenues of network</w:t>
      </w:r>
      <w:r>
        <w:t xml:space="preserve"> businesses on a periodic basis, w</w:t>
      </w:r>
      <w:r w:rsidRPr="003919E7">
        <w:t xml:space="preserve">e assess the efficiency of all capex and </w:t>
      </w:r>
      <w:proofErr w:type="spellStart"/>
      <w:r w:rsidRPr="003919E7">
        <w:t>opex</w:t>
      </w:r>
      <w:proofErr w:type="spellEnd"/>
      <w:r w:rsidRPr="003919E7">
        <w:t xml:space="preserve"> against prescribed parameters in the NER, including the capex and </w:t>
      </w:r>
      <w:proofErr w:type="spellStart"/>
      <w:r w:rsidRPr="003919E7">
        <w:t>opex</w:t>
      </w:r>
      <w:proofErr w:type="spellEnd"/>
      <w:r w:rsidRPr="003919E7">
        <w:t xml:space="preserve"> objectives, criteria and factors.</w:t>
      </w:r>
      <w:r>
        <w:t xml:space="preserve"> </w:t>
      </w:r>
    </w:p>
    <w:p w:rsidR="00383AE6" w:rsidRPr="003919E7" w:rsidRDefault="00383AE6" w:rsidP="00383AE6">
      <w:r>
        <w:lastRenderedPageBreak/>
        <w:t xml:space="preserve">Specifically, we </w:t>
      </w:r>
      <w:r w:rsidRPr="003919E7">
        <w:t xml:space="preserve">must have regard to the extent to which the operating </w:t>
      </w:r>
      <w:r>
        <w:t xml:space="preserve">and capital </w:t>
      </w:r>
      <w:r w:rsidRPr="003919E7">
        <w:t>expenditure forecast includes expenditure to address the concerns of electricity consumers as identified by the Distribution Network Service Provider in the course of its engage</w:t>
      </w:r>
      <w:r>
        <w:t>ment with electricity consumers.</w:t>
      </w:r>
      <w:r>
        <w:rPr>
          <w:rStyle w:val="FootnoteReference"/>
        </w:rPr>
        <w:footnoteReference w:id="23"/>
      </w:r>
    </w:p>
    <w:p w:rsidR="00383AE6" w:rsidRDefault="00383AE6" w:rsidP="00383AE6">
      <w:r>
        <w:t>We have also established consumer engagement guidelines that recognise the important relationship between price and service and, in particular, identify that distributors could consult on:</w:t>
      </w:r>
      <w:r>
        <w:rPr>
          <w:rStyle w:val="FootnoteReference"/>
        </w:rPr>
        <w:footnoteReference w:id="24"/>
      </w:r>
    </w:p>
    <w:p w:rsidR="00383AE6" w:rsidRPr="00174459" w:rsidRDefault="00383AE6" w:rsidP="00383AE6">
      <w:pPr>
        <w:pStyle w:val="AERbulletlistfirststyle"/>
      </w:pPr>
      <w:r w:rsidRPr="00D269D3">
        <w:t>making price and reliability trade-offs</w:t>
      </w:r>
    </w:p>
    <w:p w:rsidR="00383AE6" w:rsidRPr="00174459" w:rsidRDefault="00383AE6" w:rsidP="00383AE6">
      <w:pPr>
        <w:pStyle w:val="AERbulletlistfirststyle"/>
      </w:pPr>
      <w:r w:rsidRPr="00D269D3">
        <w:t>setting and designing tariffs (including time of use and critical peak tariffs)</w:t>
      </w:r>
    </w:p>
    <w:p w:rsidR="00383AE6" w:rsidRPr="00174459" w:rsidRDefault="00383AE6" w:rsidP="00383AE6">
      <w:pPr>
        <w:pStyle w:val="AERbulletlistfirststyle"/>
      </w:pPr>
      <w:r w:rsidRPr="00D269D3">
        <w:t>setting reliability targets and standards when appropriate</w:t>
      </w:r>
    </w:p>
    <w:p w:rsidR="00383AE6" w:rsidRDefault="00383AE6" w:rsidP="000C2A37">
      <w:pPr>
        <w:rPr>
          <w:rStyle w:val="AERbody"/>
        </w:rPr>
      </w:pPr>
      <w:r w:rsidRPr="00DC1160">
        <w:rPr>
          <w:rStyle w:val="AERbody"/>
        </w:rPr>
        <w:t>The quality of a service provider's consumer engagement will be a factor in how we assess expenditure proposals</w:t>
      </w:r>
      <w:r w:rsidRPr="00174459">
        <w:rPr>
          <w:rStyle w:val="AERbody"/>
        </w:rPr>
        <w:t>.</w:t>
      </w:r>
      <w:r w:rsidRPr="00174459">
        <w:rPr>
          <w:rStyle w:val="FootnoteReference"/>
        </w:rPr>
        <w:footnoteReference w:id="25"/>
      </w:r>
      <w:r w:rsidRPr="00174459">
        <w:rPr>
          <w:rStyle w:val="AERbody"/>
        </w:rPr>
        <w:t xml:space="preserve"> Our guidelines also identify that consumer engagement may also result in greater ease (for the distributor) in regulatory approval of expenditure proposals.</w:t>
      </w:r>
      <w:r w:rsidRPr="00174459">
        <w:rPr>
          <w:rStyle w:val="FootnoteReference"/>
        </w:rPr>
        <w:footnoteReference w:id="26"/>
      </w:r>
      <w:r w:rsidRPr="00174459">
        <w:rPr>
          <w:rStyle w:val="AERbody"/>
        </w:rPr>
        <w:t xml:space="preserve"> </w:t>
      </w:r>
    </w:p>
    <w:p w:rsidR="009D4832" w:rsidRPr="009472AF" w:rsidRDefault="009D4832" w:rsidP="009D4832">
      <w:r w:rsidRPr="009472AF">
        <w:t xml:space="preserve">We sought stakeholders' feedback on </w:t>
      </w:r>
      <w:r w:rsidR="006C201B">
        <w:t xml:space="preserve">whether and </w:t>
      </w:r>
      <w:r w:rsidRPr="009472AF">
        <w:t>how to link</w:t>
      </w:r>
      <w:r w:rsidR="00102C91">
        <w:t xml:space="preserve"> the</w:t>
      </w:r>
      <w:r w:rsidRPr="009472AF">
        <w:t xml:space="preserve"> STPIS with distributor customer engagement findings seeking changes to reliability level.</w:t>
      </w:r>
      <w:r w:rsidRPr="009472AF">
        <w:rPr>
          <w:rStyle w:val="FootnoteReference"/>
        </w:rPr>
        <w:footnoteReference w:id="27"/>
      </w:r>
      <w:r w:rsidRPr="009472AF">
        <w:t xml:space="preserve"> </w:t>
      </w:r>
    </w:p>
    <w:p w:rsidR="00383AE6" w:rsidRPr="009D4832" w:rsidRDefault="00383AE6" w:rsidP="00383AE6">
      <w:pPr>
        <w:pStyle w:val="Caption"/>
      </w:pPr>
      <w:r w:rsidRPr="009D4832">
        <w:t>Submissions</w:t>
      </w:r>
    </w:p>
    <w:p w:rsidR="009D4832" w:rsidRPr="009472AF" w:rsidRDefault="009D4832" w:rsidP="009D4832">
      <w:r w:rsidRPr="009472AF">
        <w:t>Submissions were varied. Stakeholders submitted that consumer's preferences should be reflected either through the capital and operating funding level,</w:t>
      </w:r>
      <w:r w:rsidRPr="009472AF">
        <w:rPr>
          <w:rStyle w:val="FootnoteReference"/>
        </w:rPr>
        <w:footnoteReference w:id="28"/>
      </w:r>
      <w:r w:rsidRPr="009472AF">
        <w:t xml:space="preserve"> or through the STPIS incentives,</w:t>
      </w:r>
      <w:r w:rsidRPr="009472AF">
        <w:rPr>
          <w:rStyle w:val="FootnoteReference"/>
        </w:rPr>
        <w:footnoteReference w:id="29"/>
      </w:r>
      <w:r w:rsidRPr="009472AF">
        <w:t xml:space="preserve"> or a combination of both measures</w:t>
      </w:r>
      <w:r w:rsidRPr="009472AF">
        <w:rPr>
          <w:rStyle w:val="FootnoteReference"/>
        </w:rPr>
        <w:footnoteReference w:id="30"/>
      </w:r>
      <w:r w:rsidRPr="009472AF">
        <w:t xml:space="preserve">. </w:t>
      </w:r>
    </w:p>
    <w:p w:rsidR="009D4832" w:rsidRPr="009472AF" w:rsidRDefault="009D4832" w:rsidP="009D4832">
      <w:r w:rsidRPr="009472AF">
        <w:t>A number of stakeholders submitted that no change to the ST</w:t>
      </w:r>
      <w:r w:rsidR="003A02BF">
        <w:t>P</w:t>
      </w:r>
      <w:r w:rsidRPr="009472AF">
        <w:t xml:space="preserve">IS is required given that the existing regulatory framework provides sufficient flexibility for the AER to allow for consumer preferences </w:t>
      </w:r>
      <w:r w:rsidR="00102C91">
        <w:t xml:space="preserve">to be </w:t>
      </w:r>
      <w:r w:rsidRPr="009472AF">
        <w:t>reflected in capital and operating expenditure levels and the application of incentive schemes.</w:t>
      </w:r>
      <w:r w:rsidRPr="009472AF">
        <w:rPr>
          <w:rStyle w:val="FootnoteReference"/>
        </w:rPr>
        <w:footnoteReference w:id="31"/>
      </w:r>
      <w:r w:rsidRPr="009472AF">
        <w:t xml:space="preserve"> </w:t>
      </w:r>
    </w:p>
    <w:p w:rsidR="009D4832" w:rsidRPr="009472AF" w:rsidRDefault="009D4832" w:rsidP="009D4832">
      <w:r w:rsidRPr="009472AF">
        <w:lastRenderedPageBreak/>
        <w:t xml:space="preserve">Where consumer preferences on reliability levels are reflected through </w:t>
      </w:r>
      <w:r w:rsidR="00102C91">
        <w:t xml:space="preserve">the </w:t>
      </w:r>
      <w:r w:rsidRPr="009472AF">
        <w:t xml:space="preserve">STPIS, stakeholders submitted that it may be appropriate to allow flexibility in </w:t>
      </w:r>
      <w:r w:rsidR="003A02BF">
        <w:t xml:space="preserve">the </w:t>
      </w:r>
      <w:r w:rsidR="003A02BF" w:rsidRPr="003A02BF">
        <w:t>value of customer reliability</w:t>
      </w:r>
      <w:r w:rsidR="003A02BF">
        <w:t xml:space="preserve"> (</w:t>
      </w:r>
      <w:r w:rsidRPr="009472AF">
        <w:t>VCR</w:t>
      </w:r>
      <w:r w:rsidR="003A02BF">
        <w:t>)</w:t>
      </w:r>
      <w:r w:rsidRPr="009472AF">
        <w:t xml:space="preserve"> rates and the level of revenue at risk</w:t>
      </w:r>
      <w:r w:rsidR="006C201B">
        <w:t>,</w:t>
      </w:r>
      <w:r w:rsidRPr="009472AF">
        <w:t xml:space="preserve"> but the MED exclusion should not be a flexible parameter given that it does</w:t>
      </w:r>
      <w:r w:rsidR="003A02BF">
        <w:t xml:space="preserve"> </w:t>
      </w:r>
      <w:r w:rsidRPr="009472AF">
        <w:t>n</w:t>
      </w:r>
      <w:r w:rsidR="003A02BF">
        <w:t>o</w:t>
      </w:r>
      <w:r w:rsidRPr="009472AF">
        <w:t>t reflect consumer preference.</w:t>
      </w:r>
      <w:r w:rsidRPr="009472AF">
        <w:rPr>
          <w:rStyle w:val="FootnoteReference"/>
        </w:rPr>
        <w:footnoteReference w:id="32"/>
      </w:r>
      <w:r w:rsidRPr="009472AF">
        <w:t xml:space="preserve"> ENA also submitted that this </w:t>
      </w:r>
      <w:r>
        <w:t xml:space="preserve">matter </w:t>
      </w:r>
      <w:r w:rsidRPr="009472AF">
        <w:t>is best dealt with as a DNSP specific issue during the revenue determination</w:t>
      </w:r>
      <w:r>
        <w:t>,</w:t>
      </w:r>
      <w:r w:rsidRPr="009472AF">
        <w:t xml:space="preserve"> rather than opening the STPIS to uncertain outcomes.</w:t>
      </w:r>
      <w:r w:rsidRPr="009472AF">
        <w:rPr>
          <w:rStyle w:val="FootnoteReference"/>
        </w:rPr>
        <w:footnoteReference w:id="33"/>
      </w:r>
      <w:r w:rsidRPr="009472AF">
        <w:t xml:space="preserve">                   </w:t>
      </w:r>
    </w:p>
    <w:p w:rsidR="00383AE6" w:rsidRPr="009D4832" w:rsidRDefault="00383AE6" w:rsidP="00383AE6">
      <w:pPr>
        <w:pStyle w:val="Caption"/>
      </w:pPr>
      <w:r>
        <w:t>Proposed approach</w:t>
      </w:r>
    </w:p>
    <w:p w:rsidR="009D4832" w:rsidRPr="009472AF" w:rsidRDefault="009D4832" w:rsidP="009D4832">
      <w:r w:rsidRPr="009D4832">
        <w:rPr>
          <w:rStyle w:val="AERbody"/>
        </w:rPr>
        <w:t>We agree with the view that no change to the STPIS is requi</w:t>
      </w:r>
      <w:r w:rsidR="00102C91">
        <w:rPr>
          <w:rStyle w:val="AERbody"/>
        </w:rPr>
        <w:t>r</w:t>
      </w:r>
      <w:r w:rsidRPr="009D4832">
        <w:rPr>
          <w:rStyle w:val="AERbody"/>
        </w:rPr>
        <w:t xml:space="preserve">ed as the STPIS is adequately flexible to reflect </w:t>
      </w:r>
      <w:r w:rsidRPr="009472AF">
        <w:t xml:space="preserve">consumer preferences, in conjunction with the capital and operating expenditure </w:t>
      </w:r>
      <w:r w:rsidR="006C201B">
        <w:t>forecast</w:t>
      </w:r>
      <w:r w:rsidR="006C201B" w:rsidRPr="009472AF">
        <w:t xml:space="preserve"> </w:t>
      </w:r>
      <w:r w:rsidRPr="009472AF">
        <w:t xml:space="preserve">levels. We note that consumer preferences are reflected in the STPIS incentives rates for rewards or penalties through the VCR. There is also flexibility in the level of revenue at risk based on different consumer preferences and willingness to pay for reliability.       </w:t>
      </w:r>
    </w:p>
    <w:p w:rsidR="009D4832" w:rsidRDefault="00370235" w:rsidP="009D4832">
      <w:r>
        <w:t xml:space="preserve">We </w:t>
      </w:r>
      <w:r w:rsidR="00F335F6">
        <w:t xml:space="preserve">also </w:t>
      </w:r>
      <w:r w:rsidR="009D4832">
        <w:t>note that:</w:t>
      </w:r>
    </w:p>
    <w:p w:rsidR="009D4832" w:rsidRPr="009D4832" w:rsidRDefault="009D4832" w:rsidP="00370235">
      <w:pPr>
        <w:pStyle w:val="AERbulletlistfirststyle"/>
      </w:pPr>
      <w:r w:rsidRPr="009472AF">
        <w:t>Current funding criteria for distributors' operating and capital expenditures are to maintain current level of reliability, safety and security of the distribution system.</w:t>
      </w:r>
      <w:r w:rsidRPr="009D4832">
        <w:rPr>
          <w:rStyle w:val="FootnoteReference"/>
        </w:rPr>
        <w:footnoteReference w:id="34"/>
      </w:r>
      <w:r w:rsidRPr="009D4832">
        <w:t xml:space="preserve"> </w:t>
      </w:r>
      <w:r w:rsidRPr="009D4832">
        <w:rPr>
          <w:rStyle w:val="AERbody"/>
        </w:rPr>
        <w:t>Our STPIS provides incentives to distributors to maintain the existing level of supply reliability, and to improve the reliability of supply where customers are willing to pay for these improvements. Under the NER, we must consider customers' willingness to pay for improved service performance so benefits to consumers are sufficient to warrant any penalty or reward under the STPIS</w:t>
      </w:r>
      <w:r w:rsidRPr="009D4832">
        <w:t>.</w:t>
      </w:r>
      <w:r w:rsidRPr="009D4832">
        <w:rPr>
          <w:rStyle w:val="FootnoteReference"/>
        </w:rPr>
        <w:footnoteReference w:id="35"/>
      </w:r>
      <w:r w:rsidRPr="009D4832">
        <w:t xml:space="preserve">  </w:t>
      </w:r>
    </w:p>
    <w:p w:rsidR="00F335F6" w:rsidRDefault="009D4832" w:rsidP="00370235">
      <w:pPr>
        <w:pStyle w:val="AERbulletlistfirststyle"/>
      </w:pPr>
      <w:r w:rsidRPr="009472AF">
        <w:t>Our STPIS also provides that the performance targets to apply during the regulatory control period may be modified by a number of factors that are expected to materially affect network reliability performance. In particular, these factors include any reliability improvements completed or planned where the planned reliability improvements are included in the expenditure program.</w:t>
      </w:r>
      <w:r w:rsidRPr="009D4832">
        <w:rPr>
          <w:rStyle w:val="FootnoteReference"/>
        </w:rPr>
        <w:footnoteReference w:id="36"/>
      </w:r>
      <w:r w:rsidRPr="009D4832">
        <w:t xml:space="preserve"> </w:t>
      </w:r>
    </w:p>
    <w:p w:rsidR="00954F4E" w:rsidRDefault="00954F4E">
      <w:pPr>
        <w:spacing w:line="240" w:lineRule="auto"/>
        <w:rPr>
          <w:rFonts w:eastAsiaTheme="majorEastAsia" w:cstheme="majorBidi"/>
          <w:b/>
          <w:bCs/>
          <w:color w:val="70635A" w:themeColor="text2"/>
          <w:sz w:val="32"/>
          <w:szCs w:val="26"/>
        </w:rPr>
      </w:pPr>
      <w:bookmarkStart w:id="74" w:name="_Toc470005520"/>
      <w:bookmarkStart w:id="75" w:name="_Toc499802933"/>
    </w:p>
    <w:p w:rsidR="005128C4" w:rsidRDefault="005128C4">
      <w:pPr>
        <w:spacing w:line="240" w:lineRule="auto"/>
        <w:rPr>
          <w:rFonts w:eastAsiaTheme="majorEastAsia" w:cstheme="majorBidi"/>
          <w:b/>
          <w:bCs/>
          <w:color w:val="70635A" w:themeColor="text2"/>
          <w:sz w:val="32"/>
          <w:szCs w:val="26"/>
        </w:rPr>
      </w:pPr>
      <w:r>
        <w:br w:type="page"/>
      </w:r>
    </w:p>
    <w:p w:rsidR="009D4832" w:rsidRPr="009D4832" w:rsidRDefault="009D4832" w:rsidP="009D4832">
      <w:pPr>
        <w:pStyle w:val="Heading2"/>
      </w:pPr>
      <w:r w:rsidRPr="009D4832">
        <w:lastRenderedPageBreak/>
        <w:t>Interrelationship with the Demand Management Incentive Scheme</w:t>
      </w:r>
      <w:bookmarkEnd w:id="74"/>
      <w:bookmarkEnd w:id="75"/>
    </w:p>
    <w:p w:rsidR="00383AE6" w:rsidRPr="009D4832" w:rsidRDefault="00383AE6" w:rsidP="00383AE6">
      <w:pPr>
        <w:pStyle w:val="Caption"/>
      </w:pPr>
      <w:r w:rsidRPr="009D4832">
        <w:t>Background</w:t>
      </w:r>
    </w:p>
    <w:p w:rsidR="009D4832" w:rsidRDefault="00383AE6" w:rsidP="009D4832">
      <w:pPr>
        <w:rPr>
          <w:rStyle w:val="AERbody"/>
        </w:rPr>
      </w:pPr>
      <w:r>
        <w:rPr>
          <w:rStyle w:val="AERbody"/>
        </w:rPr>
        <w:t>D</w:t>
      </w:r>
      <w:r w:rsidR="009D4832" w:rsidRPr="009D4832">
        <w:rPr>
          <w:rStyle w:val="AERbody"/>
        </w:rPr>
        <w:t>uring our initial consultation with stakeholders regarding the review of the Demand Management Incentive Scheme (DMIS), some stakeholders suggested that we consider modifying the exclusion criteria of the STPIS to “further exclude supply interruptions associated with unexpected underperformance of demand management projects”, so as to facilitate the adoption of demand management projects.</w:t>
      </w:r>
    </w:p>
    <w:p w:rsidR="00383AE6" w:rsidRPr="009D4832" w:rsidRDefault="00383AE6" w:rsidP="00383AE6">
      <w:pPr>
        <w:pStyle w:val="Caption"/>
      </w:pPr>
      <w:r>
        <w:t>Proposed approach</w:t>
      </w:r>
    </w:p>
    <w:p w:rsidR="00F335F6" w:rsidRDefault="009D4832" w:rsidP="009D4832">
      <w:pPr>
        <w:rPr>
          <w:rStyle w:val="AERbody"/>
        </w:rPr>
      </w:pPr>
      <w:r w:rsidRPr="009D4832">
        <w:rPr>
          <w:rStyle w:val="AERbody"/>
        </w:rPr>
        <w:t>As a part of the DMIS review, the AER has decided not to accept this proposal</w:t>
      </w:r>
      <w:r w:rsidR="00B656DE">
        <w:rPr>
          <w:rStyle w:val="AERbody"/>
        </w:rPr>
        <w:t xml:space="preserve">, </w:t>
      </w:r>
      <w:r w:rsidR="000A4F36">
        <w:rPr>
          <w:rStyle w:val="AERbody"/>
        </w:rPr>
        <w:t>because</w:t>
      </w:r>
      <w:r w:rsidR="00B656DE">
        <w:rPr>
          <w:rStyle w:val="AERbody"/>
        </w:rPr>
        <w:t>:</w:t>
      </w:r>
      <w:r w:rsidR="003F54D7">
        <w:rPr>
          <w:rStyle w:val="FootnoteReference"/>
        </w:rPr>
        <w:footnoteReference w:id="37"/>
      </w:r>
    </w:p>
    <w:p w:rsidR="00B656DE" w:rsidRDefault="00B656DE" w:rsidP="00954F4E">
      <w:pPr>
        <w:pStyle w:val="AERbulletlistfirststyle"/>
        <w:rPr>
          <w:rStyle w:val="AERbody"/>
        </w:rPr>
      </w:pPr>
      <w:r w:rsidRPr="00B656DE">
        <w:rPr>
          <w:rStyle w:val="AERbody"/>
        </w:rPr>
        <w:t xml:space="preserve">These would not produce benefits if the STPIS is balancing incentives as intended. We do not consider the STPIS creates a perverse incentive against demand management. </w:t>
      </w:r>
    </w:p>
    <w:p w:rsidR="00B656DE" w:rsidRPr="00B656DE" w:rsidRDefault="00B656DE">
      <w:pPr>
        <w:pStyle w:val="AERbulletlistfirststyle"/>
        <w:rPr>
          <w:rStyle w:val="AERbody"/>
          <w:rFonts w:cstheme="minorBidi"/>
        </w:rPr>
      </w:pPr>
      <w:r w:rsidRPr="00B656DE">
        <w:rPr>
          <w:rStyle w:val="AERbody"/>
        </w:rPr>
        <w:t>To the extent some distributors perceive demand management options to be less reliable than network options, we do not support addressing these perceptions with STPIS exclusions</w:t>
      </w:r>
      <w:r>
        <w:rPr>
          <w:rStyle w:val="AERbody"/>
        </w:rPr>
        <w:t xml:space="preserve">, </w:t>
      </w:r>
      <w:r w:rsidRPr="00B656DE">
        <w:rPr>
          <w:rStyle w:val="AERbody"/>
        </w:rPr>
        <w:t>because:</w:t>
      </w:r>
    </w:p>
    <w:p w:rsidR="00B656DE" w:rsidRPr="00B656DE" w:rsidRDefault="00B656DE" w:rsidP="00954F4E">
      <w:pPr>
        <w:pStyle w:val="ListBullet2"/>
        <w:rPr>
          <w:rStyle w:val="AERbody"/>
        </w:rPr>
      </w:pPr>
      <w:r w:rsidRPr="00B656DE">
        <w:rPr>
          <w:rStyle w:val="AERbody"/>
        </w:rPr>
        <w:t>Exclusions could further embed the perception that demand management options are less reliable than network options.</w:t>
      </w:r>
    </w:p>
    <w:p w:rsidR="00B656DE" w:rsidRPr="00B656DE" w:rsidRDefault="00B656DE" w:rsidP="00954F4E">
      <w:pPr>
        <w:pStyle w:val="ListBullet2"/>
        <w:rPr>
          <w:rStyle w:val="AERbody"/>
        </w:rPr>
      </w:pPr>
      <w:r w:rsidRPr="00B656DE">
        <w:rPr>
          <w:rStyle w:val="AERbody"/>
        </w:rPr>
        <w:t>Distributors' inexperience in providing demand management relative to network solutions would have likely influenced this perception. As such, creating a Scheme that incentivises distributors to undertake more demand management where efficient should already go some way in addressing this inexperience.</w:t>
      </w:r>
    </w:p>
    <w:p w:rsidR="00B656DE" w:rsidRPr="00B656DE" w:rsidRDefault="00B656DE" w:rsidP="00954F4E">
      <w:pPr>
        <w:pStyle w:val="ListBullet2"/>
        <w:rPr>
          <w:rStyle w:val="AERbody"/>
        </w:rPr>
      </w:pPr>
      <w:r w:rsidRPr="00B656DE">
        <w:rPr>
          <w:rStyle w:val="AERbody"/>
        </w:rPr>
        <w:t>STPIS exclusions could skew distributors' incentives towards undertaking relatively unrelia</w:t>
      </w:r>
      <w:r w:rsidRPr="00CC5BBE">
        <w:rPr>
          <w:rStyle w:val="AERbody"/>
        </w:rPr>
        <w:t>ble demand management projects. These skewed incentives could incentivise a number of u</w:t>
      </w:r>
      <w:r w:rsidRPr="005137D5">
        <w:rPr>
          <w:rStyle w:val="AERbody"/>
        </w:rPr>
        <w:t>nreliable demand management options, which would further embed the perception that demand management is unreliable.</w:t>
      </w:r>
    </w:p>
    <w:p w:rsidR="00F335F6" w:rsidRDefault="00B656DE" w:rsidP="00954F4E">
      <w:pPr>
        <w:pStyle w:val="AERbulletlistfirststyle"/>
        <w:spacing w:line="240" w:lineRule="auto"/>
        <w:rPr>
          <w:rStyle w:val="AERbody"/>
        </w:rPr>
      </w:pPr>
      <w:r w:rsidRPr="00B656DE">
        <w:rPr>
          <w:rStyle w:val="AERbody"/>
        </w:rPr>
        <w:t>Stakeholders generally showed little support for providing exemptions to the STPIS</w:t>
      </w:r>
      <w:r>
        <w:rPr>
          <w:rStyle w:val="AERbody"/>
        </w:rPr>
        <w:t>.</w:t>
      </w:r>
      <w:r w:rsidR="000A4F36">
        <w:rPr>
          <w:rStyle w:val="AERbody"/>
        </w:rPr>
        <w:t xml:space="preserve"> </w:t>
      </w:r>
    </w:p>
    <w:p w:rsidR="00517AF0" w:rsidRDefault="00517AF0" w:rsidP="00517AF0">
      <w:pPr>
        <w:rPr>
          <w:rStyle w:val="AERbody"/>
        </w:rPr>
      </w:pPr>
    </w:p>
    <w:p w:rsidR="005128C4" w:rsidRDefault="005128C4">
      <w:pPr>
        <w:spacing w:line="240" w:lineRule="auto"/>
        <w:rPr>
          <w:rFonts w:eastAsiaTheme="majorEastAsia" w:cstheme="majorBidi"/>
          <w:b/>
          <w:bCs/>
          <w:color w:val="70635A" w:themeColor="text2"/>
          <w:sz w:val="32"/>
          <w:szCs w:val="26"/>
        </w:rPr>
      </w:pPr>
      <w:bookmarkStart w:id="76" w:name="_Toc499802934"/>
      <w:r>
        <w:br w:type="page"/>
      </w:r>
    </w:p>
    <w:p w:rsidR="009D4832" w:rsidRPr="009D4832" w:rsidRDefault="009D4832" w:rsidP="00383AE6">
      <w:pPr>
        <w:pStyle w:val="Heading2"/>
      </w:pPr>
      <w:r w:rsidRPr="009D4832">
        <w:lastRenderedPageBreak/>
        <w:t>Other minor refinements to the scheme</w:t>
      </w:r>
      <w:bookmarkEnd w:id="76"/>
    </w:p>
    <w:p w:rsidR="00383AE6" w:rsidRPr="009D4832" w:rsidRDefault="00383AE6" w:rsidP="00383AE6">
      <w:pPr>
        <w:pStyle w:val="Caption"/>
      </w:pPr>
      <w:r w:rsidRPr="009D4832">
        <w:t>Background</w:t>
      </w:r>
    </w:p>
    <w:p w:rsidR="009D4832" w:rsidRDefault="009D4832" w:rsidP="009D4832">
      <w:r>
        <w:t>In the current operation of the scheme, we have also identified a number of other issues requir</w:t>
      </w:r>
      <w:r w:rsidR="00102C91">
        <w:t>ing</w:t>
      </w:r>
      <w:r>
        <w:t xml:space="preserve"> attention, which include:</w:t>
      </w:r>
    </w:p>
    <w:p w:rsidR="009D4832" w:rsidRPr="009D4832" w:rsidRDefault="00102C91" w:rsidP="009D4832">
      <w:pPr>
        <w:pStyle w:val="AERbulletlistfirststyle"/>
      </w:pPr>
      <w:r>
        <w:t>s</w:t>
      </w:r>
      <w:r w:rsidR="009D4832">
        <w:t xml:space="preserve">implification of </w:t>
      </w:r>
      <w:r>
        <w:t>the</w:t>
      </w:r>
      <w:r w:rsidR="009D4832">
        <w:t xml:space="preserve"> </w:t>
      </w:r>
      <w:r w:rsidR="009D4832" w:rsidRPr="009D4832">
        <w:t>current approach for s-factor calculations</w:t>
      </w:r>
    </w:p>
    <w:p w:rsidR="003D7863" w:rsidRDefault="00102C91" w:rsidP="009D4832">
      <w:pPr>
        <w:pStyle w:val="AERbulletlistfirststyle"/>
      </w:pPr>
      <w:r>
        <w:t>l</w:t>
      </w:r>
      <w:r w:rsidR="009D4832" w:rsidRPr="005F4DBE">
        <w:t xml:space="preserve">ine up the definition of year "t" </w:t>
      </w:r>
      <w:r w:rsidR="009D4832" w:rsidRPr="009D4832">
        <w:t>in the STPIS with the price control formula</w:t>
      </w:r>
    </w:p>
    <w:p w:rsidR="009D4832" w:rsidRPr="009D4832" w:rsidRDefault="00E847EC" w:rsidP="009D4832">
      <w:pPr>
        <w:pStyle w:val="AERbulletlistfirststyle"/>
      </w:pPr>
      <w:proofErr w:type="gramStart"/>
      <w:r>
        <w:t>the</w:t>
      </w:r>
      <w:proofErr w:type="gramEnd"/>
      <w:r>
        <w:t xml:space="preserve"> n</w:t>
      </w:r>
      <w:r w:rsidR="003D7863">
        <w:t xml:space="preserve">eed </w:t>
      </w:r>
      <w:r>
        <w:t xml:space="preserve">for greater </w:t>
      </w:r>
      <w:r w:rsidR="003D7863">
        <w:t xml:space="preserve">clarity </w:t>
      </w:r>
      <w:r>
        <w:t>i</w:t>
      </w:r>
      <w:r w:rsidR="003D7863">
        <w:t>n the GSL section</w:t>
      </w:r>
      <w:r w:rsidR="00D1610F">
        <w:t xml:space="preserve"> of the scheme</w:t>
      </w:r>
      <w:r w:rsidR="003D7863">
        <w:t>.</w:t>
      </w:r>
    </w:p>
    <w:p w:rsidR="009D4832" w:rsidRDefault="009D4832" w:rsidP="00383AE6">
      <w:r>
        <w:t xml:space="preserve">In the Issues Paper, we identified that the operation of the scheme </w:t>
      </w:r>
      <w:r w:rsidRPr="009D4832">
        <w:t>could be simplified by implementing STPIS outcome</w:t>
      </w:r>
      <w:r w:rsidR="00D1610F">
        <w:t>s</w:t>
      </w:r>
      <w:r w:rsidRPr="009D4832">
        <w:t xml:space="preserve"> as a fixed monetary amount (fixed dollar) each year in accordance with the actual performance; rather than as a percentage adjustment to the </w:t>
      </w:r>
      <w:r w:rsidR="00DD3EC7">
        <w:t>maximum allowable revenue (</w:t>
      </w:r>
      <w:r w:rsidRPr="009D4832">
        <w:t>MAR</w:t>
      </w:r>
      <w:r w:rsidR="00DD3EC7">
        <w:t>)</w:t>
      </w:r>
      <w:r w:rsidRPr="009D4832">
        <w:t>.</w:t>
      </w:r>
    </w:p>
    <w:p w:rsidR="00BE5806" w:rsidRDefault="00BE5806" w:rsidP="001F4106">
      <w:r>
        <w:t>We propose changing the application of s</w:t>
      </w:r>
      <w:r w:rsidRPr="001F4106">
        <w:t xml:space="preserve"> factor </w:t>
      </w:r>
      <w:r>
        <w:t xml:space="preserve">from </w:t>
      </w:r>
      <m:oMath>
        <m:sSub>
          <m:sSubPr>
            <m:ctrlPr>
              <w:rPr>
                <w:rFonts w:ascii="Cambria Math" w:hAnsi="Cambria Math"/>
              </w:rPr>
            </m:ctrlPr>
          </m:sSubPr>
          <m:e>
            <m:r>
              <w:rPr>
                <w:rFonts w:ascii="Cambria Math" w:hAnsi="Cambria Math"/>
              </w:rPr>
              <m:t>AR</m:t>
            </m:r>
          </m:e>
          <m:sub>
            <m:r>
              <w:rPr>
                <w:rFonts w:ascii="Cambria Math" w:hAnsi="Cambria Math"/>
              </w:rPr>
              <m:t>t</m:t>
            </m:r>
          </m:sub>
        </m:sSub>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m:t>
            </m:r>
          </m:sup>
        </m:sSubSup>
      </m:oMath>
      <w:r w:rsidRPr="001F4106">
        <w:t xml:space="preserve"> to </w:t>
      </w:r>
      <m:oMath>
        <m:sSub>
          <m:sSubPr>
            <m:ctrlPr>
              <w:rPr>
                <w:rFonts w:ascii="Cambria Math" w:hAnsi="Cambria Math"/>
              </w:rPr>
            </m:ctrlPr>
          </m:sSubPr>
          <m:e>
            <m:r>
              <w:rPr>
                <w:rFonts w:ascii="Cambria Math" w:hAnsi="Cambria Math"/>
              </w:rPr>
              <m:t>AR</m:t>
            </m:r>
          </m:e>
          <m:sub>
            <m:r>
              <w:rPr>
                <w:rFonts w:ascii="Cambria Math" w:hAnsi="Cambria Math"/>
              </w:rPr>
              <m:t>t-2</m:t>
            </m:r>
          </m:sub>
        </m:sSub>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m:t>
            </m:r>
          </m:sup>
        </m:sSubSup>
        <m:r>
          <w:rPr>
            <w:rFonts w:ascii="Cambria Math" w:hAnsi="Cambria Math"/>
          </w:rPr>
          <m:t xml:space="preserve">, </m:t>
        </m:r>
      </m:oMath>
      <w:r>
        <w:t xml:space="preserve"> using the raw s factor and annual smooth revenue of same regulatory year. We consider there are a number of advantages with this proposal:</w:t>
      </w:r>
    </w:p>
    <w:p w:rsidR="00BE5806" w:rsidRDefault="00BE5806" w:rsidP="00BE5806">
      <w:pPr>
        <w:pStyle w:val="AERbulletlistfirststyle"/>
      </w:pPr>
      <w:r w:rsidRPr="001F4106">
        <w:t>Th</w:t>
      </w:r>
      <w:r>
        <w:t xml:space="preserve">is method will result in directly linking </w:t>
      </w:r>
      <w:r w:rsidRPr="001F4106">
        <w:t xml:space="preserve">the reward/penalty for the performance outcome </w:t>
      </w:r>
      <w:r>
        <w:t>each year to</w:t>
      </w:r>
      <w:r w:rsidRPr="001F4106">
        <w:t xml:space="preserve"> the revenue input of the same year</w:t>
      </w:r>
      <w:r>
        <w:t>––changing from the current method of calculating the reward/penalty by adjusting each year's allowable revenue by the s-factor outcome of two years ago</w:t>
      </w:r>
      <w:r w:rsidR="00D1610F">
        <w:t xml:space="preserve"> (t-2)</w:t>
      </w:r>
      <w:r>
        <w:t>.</w:t>
      </w:r>
      <w:r w:rsidR="00B656DE">
        <w:t xml:space="preserve"> Therefore, it will remove the need to make adjustment for revenue increment or decrement between regulatory year</w:t>
      </w:r>
      <w:r w:rsidR="000A4F36">
        <w:t>s</w:t>
      </w:r>
      <w:r w:rsidR="00B656DE">
        <w:t xml:space="preserve">.    </w:t>
      </w:r>
    </w:p>
    <w:p w:rsidR="001F4106" w:rsidRPr="001F4106" w:rsidRDefault="00BE5806" w:rsidP="00BE5806">
      <w:pPr>
        <w:pStyle w:val="AERbulletlistfirststyle"/>
      </w:pPr>
      <w:r>
        <w:t xml:space="preserve">Therefore, </w:t>
      </w:r>
      <w:r w:rsidRPr="001F4106">
        <w:t xml:space="preserve">there will </w:t>
      </w:r>
      <w:r>
        <w:t xml:space="preserve">also </w:t>
      </w:r>
      <w:r w:rsidRPr="001F4106">
        <w:t xml:space="preserve">be no </w:t>
      </w:r>
      <w:r>
        <w:t xml:space="preserve">need to make </w:t>
      </w:r>
      <w:r w:rsidR="00D1610F">
        <w:t>inter-</w:t>
      </w:r>
      <w:r w:rsidRPr="001F4106">
        <w:t>per</w:t>
      </w:r>
      <w:r>
        <w:t xml:space="preserve">iod adjustments because of changes in </w:t>
      </w:r>
      <w:r w:rsidR="00D1610F">
        <w:t xml:space="preserve">the </w:t>
      </w:r>
      <w:r>
        <w:t xml:space="preserve">annual smooth revenue under the </w:t>
      </w:r>
      <w:r w:rsidR="00D1610F">
        <w:t xml:space="preserve">current approach of using the </w:t>
      </w:r>
      <w:r>
        <w:t>percentage of allowable revenue</w:t>
      </w:r>
      <w:r w:rsidRPr="001F4106">
        <w:t>.</w:t>
      </w:r>
      <w:r>
        <w:rPr>
          <w:rStyle w:val="FootnoteReference"/>
        </w:rPr>
        <w:footnoteReference w:id="38"/>
      </w:r>
    </w:p>
    <w:p w:rsidR="009D4832" w:rsidRPr="00383AE6" w:rsidRDefault="009D4832" w:rsidP="00954F4E">
      <w:pPr>
        <w:pStyle w:val="AERbulletlistfirststyle"/>
        <w:rPr>
          <w:rStyle w:val="AERbody"/>
        </w:rPr>
      </w:pPr>
      <w:r w:rsidRPr="00383AE6">
        <w:rPr>
          <w:rStyle w:val="AERbody"/>
        </w:rPr>
        <w:t>In addition to reducing</w:t>
      </w:r>
      <w:r w:rsidR="00F335F6">
        <w:rPr>
          <w:rStyle w:val="AERbody"/>
        </w:rPr>
        <w:t xml:space="preserve"> the administrative steps, we</w:t>
      </w:r>
      <w:r w:rsidRPr="00383AE6">
        <w:rPr>
          <w:rStyle w:val="AERbody"/>
        </w:rPr>
        <w:t xml:space="preserve"> consider that the fixed dollar approach would also eliminate the possibility for </w:t>
      </w:r>
      <w:r w:rsidR="000A4F36">
        <w:rPr>
          <w:rStyle w:val="AERbody"/>
        </w:rPr>
        <w:t xml:space="preserve">misuse of the </w:t>
      </w:r>
      <w:r w:rsidRPr="00383AE6">
        <w:rPr>
          <w:rStyle w:val="AERbody"/>
        </w:rPr>
        <w:t>s-factor</w:t>
      </w:r>
      <w:r w:rsidR="000A4F36">
        <w:rPr>
          <w:rStyle w:val="AERbody"/>
        </w:rPr>
        <w:t xml:space="preserve"> </w:t>
      </w:r>
      <w:r w:rsidR="00D11936">
        <w:rPr>
          <w:rStyle w:val="AERbody"/>
        </w:rPr>
        <w:t xml:space="preserve">banking </w:t>
      </w:r>
      <w:r w:rsidR="000A4F36">
        <w:rPr>
          <w:rStyle w:val="AERbody"/>
        </w:rPr>
        <w:t>provision of the scheme by distributors</w:t>
      </w:r>
      <w:r w:rsidRPr="00383AE6">
        <w:rPr>
          <w:rStyle w:val="AERbody"/>
        </w:rPr>
        <w:t xml:space="preserve"> receiv</w:t>
      </w:r>
      <w:r w:rsidR="00081F7C">
        <w:rPr>
          <w:rStyle w:val="AERbody"/>
        </w:rPr>
        <w:t>ing</w:t>
      </w:r>
      <w:r w:rsidRPr="00383AE6">
        <w:rPr>
          <w:rStyle w:val="AERbody"/>
        </w:rPr>
        <w:t xml:space="preserve"> </w:t>
      </w:r>
      <w:r w:rsidR="00B656DE">
        <w:rPr>
          <w:rStyle w:val="AERbody"/>
        </w:rPr>
        <w:t>windfall gains</w:t>
      </w:r>
      <w:r w:rsidRPr="00383AE6">
        <w:rPr>
          <w:rStyle w:val="AERbody"/>
        </w:rPr>
        <w:t xml:space="preserve"> in later years.</w:t>
      </w:r>
    </w:p>
    <w:p w:rsidR="009D4832" w:rsidRPr="00383AE6" w:rsidRDefault="009D4832" w:rsidP="00383AE6">
      <w:pPr>
        <w:rPr>
          <w:rStyle w:val="AERbody"/>
        </w:rPr>
      </w:pPr>
      <w:r w:rsidRPr="00383AE6">
        <w:rPr>
          <w:rStyle w:val="AERbody"/>
        </w:rPr>
        <w:t xml:space="preserve">The s-bank mechanism intends to allow a DNSP to delay a revenue increment or decrement or a portion of a revenue increment or decrement for one regulatory year, in accordance with clauses 2.5(d) and 2.5(e) and appendix C of the scheme, for the purposes of reducing price variations to customers. </w:t>
      </w:r>
    </w:p>
    <w:p w:rsidR="009D4832" w:rsidRPr="00383AE6" w:rsidRDefault="009D4832" w:rsidP="00383AE6">
      <w:pPr>
        <w:rPr>
          <w:rStyle w:val="AERbody"/>
        </w:rPr>
      </w:pPr>
      <w:r w:rsidRPr="00383AE6">
        <w:rPr>
          <w:rStyle w:val="AERbody"/>
        </w:rPr>
        <w:lastRenderedPageBreak/>
        <w:t xml:space="preserve">While the STPIS rules only allow a distributor to bank the s-factor result by </w:t>
      </w:r>
      <w:r w:rsidR="00A57702">
        <w:rPr>
          <w:rStyle w:val="AERbody"/>
        </w:rPr>
        <w:t>one</w:t>
      </w:r>
      <w:r w:rsidRPr="00383AE6">
        <w:rPr>
          <w:rStyle w:val="AERbody"/>
        </w:rPr>
        <w:t xml:space="preserve"> year, a distributor can repeat the banking percentage consecutively b</w:t>
      </w:r>
      <w:r w:rsidR="00E847EC">
        <w:rPr>
          <w:rStyle w:val="AERbody"/>
        </w:rPr>
        <w:t>y</w:t>
      </w:r>
      <w:r w:rsidRPr="00383AE6">
        <w:rPr>
          <w:rStyle w:val="AERbody"/>
        </w:rPr>
        <w:t xml:space="preserve"> treating the banking percentage as that of the subsequent year of the initial banking application.</w:t>
      </w:r>
    </w:p>
    <w:p w:rsidR="00383AE6" w:rsidRDefault="009D4832" w:rsidP="00383AE6">
      <w:pPr>
        <w:rPr>
          <w:rStyle w:val="AERbody"/>
        </w:rPr>
      </w:pPr>
      <w:r w:rsidRPr="00383AE6">
        <w:rPr>
          <w:rStyle w:val="AERbody"/>
        </w:rPr>
        <w:t>The current banking arrangement effectively allow</w:t>
      </w:r>
      <w:r w:rsidR="00E847EC">
        <w:rPr>
          <w:rStyle w:val="AERbody"/>
        </w:rPr>
        <w:t>s</w:t>
      </w:r>
      <w:r w:rsidRPr="00383AE6">
        <w:rPr>
          <w:rStyle w:val="AERbody"/>
        </w:rPr>
        <w:t xml:space="preserve"> the delay of a revenue (or a portion of a revenue) increment or decrement by more than one regulatory year. If the adjustment is still in the form of a certain percentage of MAR, a distributor may be incentivised to bank the s-factors for more than a year, if it expects to receive an increased revenue in future regulatory years due to a rising price path under </w:t>
      </w:r>
      <w:r w:rsidR="000C2A37">
        <w:rPr>
          <w:rStyle w:val="AERbody"/>
        </w:rPr>
        <w:t>a negative</w:t>
      </w:r>
      <w:r w:rsidR="00E847EC">
        <w:rPr>
          <w:rStyle w:val="AERbody"/>
        </w:rPr>
        <w:t xml:space="preserve"> </w:t>
      </w:r>
      <w:r w:rsidRPr="00383AE6">
        <w:rPr>
          <w:rStyle w:val="AERbody"/>
        </w:rPr>
        <w:t>X factor</w:t>
      </w:r>
      <w:r w:rsidR="000C2A37">
        <w:rPr>
          <w:rStyle w:val="AERbody"/>
        </w:rPr>
        <w:t xml:space="preserve"> scenario</w:t>
      </w:r>
      <w:r w:rsidRPr="00383AE6">
        <w:rPr>
          <w:rStyle w:val="AERbody"/>
        </w:rPr>
        <w:t xml:space="preserve"> or cost of debt. This is contrary to the purposes of smoothing price variations to customers due to unexpected s-factor outcome</w:t>
      </w:r>
      <w:r w:rsidR="00E847EC">
        <w:rPr>
          <w:rStyle w:val="AERbody"/>
        </w:rPr>
        <w:t>s</w:t>
      </w:r>
      <w:r w:rsidRPr="00383AE6">
        <w:rPr>
          <w:rStyle w:val="AERbody"/>
        </w:rPr>
        <w:t xml:space="preserve">, usually as the result of mild or harsh weather. </w:t>
      </w:r>
    </w:p>
    <w:p w:rsidR="00383AE6" w:rsidRPr="009D4832" w:rsidRDefault="00383AE6" w:rsidP="00383AE6">
      <w:pPr>
        <w:pStyle w:val="Caption"/>
      </w:pPr>
      <w:r w:rsidRPr="009D4832">
        <w:t>Submissions</w:t>
      </w:r>
    </w:p>
    <w:p w:rsidR="009D4832" w:rsidRPr="009D4832" w:rsidRDefault="009D4832" w:rsidP="00383AE6">
      <w:r>
        <w:t xml:space="preserve">Submissions varied on whether a simplification is necessary to </w:t>
      </w:r>
      <w:r w:rsidR="00A57702">
        <w:t xml:space="preserve">the </w:t>
      </w:r>
      <w:r>
        <w:t xml:space="preserve">current approach to calculate the award or penalty under the </w:t>
      </w:r>
      <w:r w:rsidR="00A57702">
        <w:t>STPIS</w:t>
      </w:r>
      <w:r>
        <w:t>. A number of distributors submitted that</w:t>
      </w:r>
      <w:r w:rsidR="003E07B1">
        <w:t xml:space="preserve"> the</w:t>
      </w:r>
      <w:r>
        <w:t xml:space="preserve"> e</w:t>
      </w:r>
      <w:r w:rsidRPr="009D4832">
        <w:t>xisting calculation is appropriate and no change is needed</w:t>
      </w:r>
      <w:r w:rsidR="00E847EC">
        <w:t>.</w:t>
      </w:r>
      <w:r w:rsidR="00E847EC" w:rsidRPr="009D4832">
        <w:rPr>
          <w:rStyle w:val="FootnoteReference"/>
        </w:rPr>
        <w:footnoteReference w:id="39"/>
      </w:r>
      <w:r w:rsidR="00E847EC" w:rsidRPr="009D4832">
        <w:t xml:space="preserve"> </w:t>
      </w:r>
      <w:r w:rsidR="00E847EC">
        <w:t>O</w:t>
      </w:r>
      <w:r w:rsidRPr="009D4832">
        <w:t xml:space="preserve">thers supported simplification of </w:t>
      </w:r>
      <w:r w:rsidR="00E847EC">
        <w:t xml:space="preserve">the </w:t>
      </w:r>
      <w:r w:rsidRPr="009D4832">
        <w:t xml:space="preserve">current method that would make </w:t>
      </w:r>
      <w:r w:rsidR="00E847EC">
        <w:t xml:space="preserve">the </w:t>
      </w:r>
      <w:r w:rsidRPr="009D4832">
        <w:t xml:space="preserve">STPIS more accessible to customers, noting the need to demonstrate benefits from </w:t>
      </w:r>
      <w:r w:rsidR="00E847EC">
        <w:t xml:space="preserve">a </w:t>
      </w:r>
      <w:r w:rsidRPr="009D4832">
        <w:t>more simplified approach and avoid opportunities for DNSP</w:t>
      </w:r>
      <w:r w:rsidR="00E847EC">
        <w:t>s</w:t>
      </w:r>
      <w:r w:rsidRPr="009D4832">
        <w:t xml:space="preserve"> to be </w:t>
      </w:r>
      <w:r w:rsidR="00D1610F">
        <w:t xml:space="preserve">advantaged or </w:t>
      </w:r>
      <w:r w:rsidRPr="009D4832">
        <w:t xml:space="preserve">disadvantaged by </w:t>
      </w:r>
      <w:r w:rsidR="00E847EC">
        <w:t xml:space="preserve">the </w:t>
      </w:r>
      <w:r w:rsidRPr="009D4832">
        <w:t xml:space="preserve">transition to </w:t>
      </w:r>
      <w:r w:rsidR="00E847EC">
        <w:t xml:space="preserve">a </w:t>
      </w:r>
      <w:r w:rsidRPr="009D4832">
        <w:t>new approach.</w:t>
      </w:r>
      <w:r w:rsidRPr="009D4832">
        <w:rPr>
          <w:rStyle w:val="FootnoteReference"/>
        </w:rPr>
        <w:footnoteReference w:id="40"/>
      </w:r>
      <w:r w:rsidRPr="009D4832">
        <w:t xml:space="preserve"> </w:t>
      </w:r>
    </w:p>
    <w:p w:rsidR="009D4832" w:rsidRPr="009D4832" w:rsidRDefault="009D4832" w:rsidP="00383AE6">
      <w:r>
        <w:t xml:space="preserve">Jemena supported our proposal, noting that </w:t>
      </w:r>
      <w:r w:rsidRPr="009D4832">
        <w:t xml:space="preserve">the adjustment should be aligned to the price control mechanism where a </w:t>
      </w:r>
      <w:r w:rsidR="00D1610F">
        <w:t xml:space="preserve">percentage </w:t>
      </w:r>
      <w:r w:rsidRPr="009D4832">
        <w:t>factor adjustment should apply under a price cap and a dollar adjustment should apply under a revenue cap.</w:t>
      </w:r>
      <w:r w:rsidRPr="009D4832">
        <w:rPr>
          <w:rStyle w:val="FootnoteReference"/>
        </w:rPr>
        <w:footnoteReference w:id="41"/>
      </w:r>
    </w:p>
    <w:p w:rsidR="009D4832" w:rsidRPr="009D4832" w:rsidRDefault="009D4832" w:rsidP="00383AE6">
      <w:proofErr w:type="spellStart"/>
      <w:r w:rsidRPr="009D4832">
        <w:t>TasNetworks</w:t>
      </w:r>
      <w:proofErr w:type="spellEnd"/>
      <w:r w:rsidRPr="009D4832">
        <w:t xml:space="preserve"> submitted that S-</w:t>
      </w:r>
      <w:r w:rsidR="00D1610F">
        <w:t>f</w:t>
      </w:r>
      <w:r w:rsidRPr="009D4832">
        <w:t>actor contributions for reliability of supply should be independent from customer service components, consistent with transmission</w:t>
      </w:r>
      <w:r w:rsidR="00E847EC">
        <w:t xml:space="preserve"> the</w:t>
      </w:r>
      <w:r w:rsidRPr="009D4832">
        <w:t xml:space="preserve"> STPIS system. It also argued that due to </w:t>
      </w:r>
      <w:r w:rsidR="00E847EC">
        <w:t xml:space="preserve">a </w:t>
      </w:r>
      <w:r w:rsidRPr="009D4832">
        <w:t>lag in MED related telephone calls, call service MED should be defined separately to system reliability MEDs.</w:t>
      </w:r>
      <w:r w:rsidRPr="009D4832">
        <w:rPr>
          <w:rStyle w:val="FootnoteReference"/>
        </w:rPr>
        <w:footnoteReference w:id="42"/>
      </w:r>
    </w:p>
    <w:p w:rsidR="00383AE6" w:rsidRPr="009D4832" w:rsidRDefault="00383AE6" w:rsidP="00383AE6">
      <w:pPr>
        <w:pStyle w:val="Caption"/>
      </w:pPr>
      <w:r>
        <w:t>Proposed approach</w:t>
      </w:r>
    </w:p>
    <w:p w:rsidR="009D4832" w:rsidRDefault="009D4832" w:rsidP="009D4832">
      <w:r>
        <w:t>We consider a simplification to the STPIS calculation steps will reduce the administrati</w:t>
      </w:r>
      <w:r w:rsidR="00D1610F">
        <w:t>ve</w:t>
      </w:r>
      <w:r>
        <w:t xml:space="preserve"> cost and remove the risk of gaming by distributor</w:t>
      </w:r>
      <w:r w:rsidR="00E847EC">
        <w:t>s</w:t>
      </w:r>
      <w:r>
        <w:t xml:space="preserve"> for future price movements.</w:t>
      </w:r>
      <w:r w:rsidRPr="003E576F">
        <w:t xml:space="preserve"> </w:t>
      </w:r>
      <w:r>
        <w:t xml:space="preserve">Our </w:t>
      </w:r>
      <w:r w:rsidRPr="000700B4">
        <w:t xml:space="preserve">proposed </w:t>
      </w:r>
      <w:r>
        <w:t xml:space="preserve">method is provided in </w:t>
      </w:r>
      <w:r w:rsidRPr="00A90E02">
        <w:t xml:space="preserve">Appendix D </w:t>
      </w:r>
      <w:r w:rsidRPr="00463FAA">
        <w:t>to treat STPIS rewards and penalties as fixed dollar values rather than as a percentage of the MAR each year.</w:t>
      </w:r>
      <w:r w:rsidRPr="000700B4">
        <w:t xml:space="preserve"> </w:t>
      </w:r>
    </w:p>
    <w:p w:rsidR="00F335F6" w:rsidRPr="00F335F6" w:rsidRDefault="00F335F6" w:rsidP="00F335F6">
      <w:r>
        <w:lastRenderedPageBreak/>
        <w:t xml:space="preserve">We will correct errors in the scheme including </w:t>
      </w:r>
      <w:r w:rsidRPr="00F335F6">
        <w:t xml:space="preserve">the alignment of </w:t>
      </w:r>
      <w:r w:rsidR="00E847EC">
        <w:t xml:space="preserve">the </w:t>
      </w:r>
      <w:r w:rsidRPr="00F335F6">
        <w:t xml:space="preserve">definition year “t” in </w:t>
      </w:r>
      <w:r w:rsidR="00E847EC">
        <w:t xml:space="preserve">the </w:t>
      </w:r>
      <w:r w:rsidRPr="00F335F6">
        <w:t xml:space="preserve">STPIS with </w:t>
      </w:r>
      <w:r w:rsidR="00E847EC">
        <w:t xml:space="preserve">the </w:t>
      </w:r>
      <w:r w:rsidRPr="00F335F6">
        <w:t xml:space="preserve">price control formula. Stakeholders support </w:t>
      </w:r>
      <w:r w:rsidR="00A57702">
        <w:t>this</w:t>
      </w:r>
      <w:r w:rsidR="00A57702" w:rsidRPr="00F335F6">
        <w:t xml:space="preserve"> </w:t>
      </w:r>
      <w:r w:rsidRPr="00F335F6">
        <w:t xml:space="preserve">proposal.  </w:t>
      </w:r>
    </w:p>
    <w:p w:rsidR="00A57702" w:rsidRDefault="00204793" w:rsidP="00F335F6">
      <w:r>
        <w:t xml:space="preserve">We </w:t>
      </w:r>
      <w:r w:rsidRPr="00563BC3">
        <w:t xml:space="preserve">will </w:t>
      </w:r>
      <w:r>
        <w:t xml:space="preserve">also </w:t>
      </w:r>
      <w:r w:rsidRPr="00563BC3">
        <w:t xml:space="preserve">clarify </w:t>
      </w:r>
      <w:r>
        <w:t xml:space="preserve">in the </w:t>
      </w:r>
      <w:r w:rsidRPr="006F478B">
        <w:t>guaranteed service level</w:t>
      </w:r>
      <w:r>
        <w:t xml:space="preserve"> (</w:t>
      </w:r>
      <w:r w:rsidRPr="00563BC3">
        <w:t>GSL</w:t>
      </w:r>
      <w:r>
        <w:t>)</w:t>
      </w:r>
      <w:r w:rsidRPr="00563BC3">
        <w:t xml:space="preserve"> section that payments </w:t>
      </w:r>
      <w:r>
        <w:t>for each supply reliability parameter</w:t>
      </w:r>
      <w:r w:rsidRPr="00563BC3">
        <w:t xml:space="preserve"> are </w:t>
      </w:r>
      <w:r>
        <w:t xml:space="preserve">made </w:t>
      </w:r>
      <w:r w:rsidRPr="00563BC3">
        <w:t>separate</w:t>
      </w:r>
      <w:r>
        <w:t>ly. For example, the GSL payment for excessive total hours of supply interruptions in a year must be paid separately from the payments for each single interruption exceeding the relevant threshold</w:t>
      </w:r>
      <w:r w:rsidRPr="00563BC3">
        <w:t>.</w:t>
      </w:r>
    </w:p>
    <w:p w:rsidR="00954F4E" w:rsidRDefault="00954F4E">
      <w:pPr>
        <w:spacing w:line="240" w:lineRule="auto"/>
        <w:rPr>
          <w:rFonts w:eastAsiaTheme="majorEastAsia" w:cstheme="majorBidi"/>
          <w:b/>
          <w:bCs/>
          <w:color w:val="70635A" w:themeColor="text2"/>
          <w:sz w:val="32"/>
          <w:szCs w:val="26"/>
        </w:rPr>
      </w:pPr>
      <w:bookmarkStart w:id="77" w:name="_Ref470004886"/>
      <w:bookmarkStart w:id="78" w:name="_Toc470005521"/>
      <w:bookmarkStart w:id="79" w:name="_Toc499802935"/>
    </w:p>
    <w:p w:rsidR="009D4832" w:rsidRPr="009D4832" w:rsidRDefault="009D4832" w:rsidP="009D4832">
      <w:pPr>
        <w:pStyle w:val="Heading2"/>
      </w:pPr>
      <w:r w:rsidRPr="009D4832">
        <w:t>Future of STPIS</w:t>
      </w:r>
      <w:bookmarkEnd w:id="77"/>
      <w:bookmarkEnd w:id="78"/>
      <w:bookmarkEnd w:id="79"/>
    </w:p>
    <w:p w:rsidR="00383AE6" w:rsidRPr="009D4832" w:rsidRDefault="00383AE6" w:rsidP="00383AE6">
      <w:pPr>
        <w:pStyle w:val="Caption"/>
      </w:pPr>
      <w:r w:rsidRPr="009D4832">
        <w:t>Background</w:t>
      </w:r>
    </w:p>
    <w:p w:rsidR="009D4832" w:rsidRDefault="009D4832" w:rsidP="009D4832">
      <w:r>
        <w:t>We set out our consideration on the likely challenges on how the scheme may operate in future years, given likely industry developments, such as increasing PV installations and battery storage systems</w:t>
      </w:r>
      <w:r w:rsidR="00D53F18">
        <w:t xml:space="preserve"> and other changes from the greater use of distributed energy resources (DER)</w:t>
      </w:r>
      <w:r>
        <w:t>. We sought comments on what way the</w:t>
      </w:r>
      <w:r w:rsidRPr="00436EB4">
        <w:t xml:space="preserve"> </w:t>
      </w:r>
      <w:r>
        <w:t xml:space="preserve">STPIS </w:t>
      </w:r>
      <w:r w:rsidR="00204793">
        <w:t xml:space="preserve">could </w:t>
      </w:r>
      <w:r>
        <w:t>be changed to reflect the needs of co</w:t>
      </w:r>
      <w:r w:rsidRPr="00436EB4">
        <w:t xml:space="preserve">nsumers </w:t>
      </w:r>
      <w:r w:rsidR="00D53F18">
        <w:t>using DER and</w:t>
      </w:r>
      <w:r>
        <w:t xml:space="preserve"> other similar technologies.</w:t>
      </w:r>
      <w:r w:rsidR="00732D79">
        <w:rPr>
          <w:rStyle w:val="FootnoteReference"/>
        </w:rPr>
        <w:footnoteReference w:id="43"/>
      </w:r>
    </w:p>
    <w:p w:rsidR="00383AE6" w:rsidRPr="009D4832" w:rsidRDefault="00383AE6" w:rsidP="00383AE6">
      <w:pPr>
        <w:pStyle w:val="Caption"/>
      </w:pPr>
      <w:r w:rsidRPr="009D4832">
        <w:t>Submissions</w:t>
      </w:r>
    </w:p>
    <w:p w:rsidR="009D4832" w:rsidRDefault="009D4832" w:rsidP="009D4832">
      <w:r>
        <w:t>In the submissions, stakeholders r</w:t>
      </w:r>
      <w:r w:rsidRPr="00572709">
        <w:t>ecognise</w:t>
      </w:r>
      <w:r w:rsidR="00204793">
        <w:t>d</w:t>
      </w:r>
      <w:r w:rsidRPr="00572709">
        <w:t xml:space="preserve"> the potential need in the future but </w:t>
      </w:r>
      <w:r w:rsidR="00204793">
        <w:t xml:space="preserve">considered it </w:t>
      </w:r>
      <w:r w:rsidRPr="00572709">
        <w:t>would be difficult to amend the STPIS incentives to reflect changes amongst a small sub-category of customers</w:t>
      </w:r>
      <w:r w:rsidR="00204793" w:rsidRPr="00204793">
        <w:t xml:space="preserve"> </w:t>
      </w:r>
      <w:r w:rsidR="00204793" w:rsidRPr="00572709">
        <w:t xml:space="preserve">under </w:t>
      </w:r>
      <w:r w:rsidR="00204793">
        <w:t xml:space="preserve">the </w:t>
      </w:r>
      <w:r w:rsidR="00204793" w:rsidRPr="00572709">
        <w:t>current scheme design</w:t>
      </w:r>
      <w:r w:rsidRPr="00572709">
        <w:t>.</w:t>
      </w:r>
      <w:r w:rsidR="00765BDF" w:rsidRPr="009472AF">
        <w:rPr>
          <w:rStyle w:val="FootnoteReference"/>
        </w:rPr>
        <w:footnoteReference w:id="44"/>
      </w:r>
      <w:r w:rsidRPr="00572709">
        <w:t xml:space="preserve"> </w:t>
      </w:r>
    </w:p>
    <w:p w:rsidR="00383AE6" w:rsidRPr="009D4832" w:rsidRDefault="00383AE6" w:rsidP="00383AE6">
      <w:pPr>
        <w:pStyle w:val="Caption"/>
      </w:pPr>
      <w:r>
        <w:t>Proposed approach</w:t>
      </w:r>
    </w:p>
    <w:p w:rsidR="00F335F6" w:rsidRDefault="009D4832" w:rsidP="009D4832">
      <w:r>
        <w:t xml:space="preserve">We concur with stakeholders that it </w:t>
      </w:r>
      <w:r w:rsidRPr="00B83063">
        <w:t>m</w:t>
      </w:r>
      <w:r>
        <w:t>a</w:t>
      </w:r>
      <w:r w:rsidRPr="00B83063">
        <w:t>y not be possible to address all these</w:t>
      </w:r>
      <w:r>
        <w:t xml:space="preserve"> issues</w:t>
      </w:r>
      <w:r w:rsidRPr="00B83063">
        <w:t xml:space="preserve"> in the foreseeable timeframe for this review</w:t>
      </w:r>
      <w:r w:rsidR="00A57702">
        <w:t>. We</w:t>
      </w:r>
      <w:r w:rsidRPr="00B83063">
        <w:t xml:space="preserve"> </w:t>
      </w:r>
      <w:r w:rsidR="00A57702">
        <w:t xml:space="preserve">will </w:t>
      </w:r>
      <w:r w:rsidRPr="00B83063">
        <w:t xml:space="preserve">be </w:t>
      </w:r>
      <w:r w:rsidR="00A57702">
        <w:t xml:space="preserve">reviewing this matter </w:t>
      </w:r>
      <w:r w:rsidRPr="00B83063">
        <w:t>when these trends and developments are clearer</w:t>
      </w:r>
      <w:r>
        <w:t>.</w:t>
      </w:r>
      <w:r w:rsidRPr="00B83063">
        <w:t xml:space="preserve"> </w:t>
      </w:r>
    </w:p>
    <w:p w:rsidR="005128C4" w:rsidRDefault="005128C4">
      <w:pPr>
        <w:spacing w:line="240" w:lineRule="auto"/>
        <w:rPr>
          <w:rFonts w:eastAsiaTheme="majorEastAsia" w:cstheme="majorBidi"/>
          <w:b/>
          <w:bCs/>
          <w:color w:val="70635A" w:themeColor="text2"/>
          <w:sz w:val="32"/>
          <w:szCs w:val="26"/>
        </w:rPr>
      </w:pPr>
      <w:bookmarkStart w:id="80" w:name="_Toc499802936"/>
      <w:r>
        <w:br w:type="page"/>
      </w:r>
    </w:p>
    <w:p w:rsidR="009D4832" w:rsidRPr="009D4832" w:rsidRDefault="009D4832" w:rsidP="009D4832">
      <w:pPr>
        <w:pStyle w:val="Heading2"/>
      </w:pPr>
      <w:r w:rsidRPr="009D4832">
        <w:lastRenderedPageBreak/>
        <w:t xml:space="preserve">Issues raised during the ACT/NSW Framework and Approach </w:t>
      </w:r>
      <w:r w:rsidR="00A57702">
        <w:t xml:space="preserve">development stage </w:t>
      </w:r>
      <w:r w:rsidRPr="009D4832">
        <w:t xml:space="preserve">for </w:t>
      </w:r>
      <w:r w:rsidR="00A57702">
        <w:t xml:space="preserve">the </w:t>
      </w:r>
      <w:r w:rsidRPr="009D4832">
        <w:t>2019-24</w:t>
      </w:r>
      <w:r w:rsidR="00A57702">
        <w:t xml:space="preserve"> period</w:t>
      </w:r>
      <w:bookmarkEnd w:id="80"/>
    </w:p>
    <w:p w:rsidR="00383AE6" w:rsidRPr="009D4832" w:rsidRDefault="00383AE6" w:rsidP="00383AE6">
      <w:pPr>
        <w:pStyle w:val="Caption"/>
      </w:pPr>
      <w:r w:rsidRPr="009D4832">
        <w:t>Background</w:t>
      </w:r>
    </w:p>
    <w:p w:rsidR="009D4832" w:rsidRDefault="00383AE6" w:rsidP="009D4832">
      <w:r>
        <w:t>I</w:t>
      </w:r>
      <w:r w:rsidR="009D4832">
        <w:t xml:space="preserve">n </w:t>
      </w:r>
      <w:proofErr w:type="spellStart"/>
      <w:r w:rsidR="009D4832">
        <w:t>Ausgrid’s</w:t>
      </w:r>
      <w:proofErr w:type="spellEnd"/>
      <w:r w:rsidR="009D4832">
        <w:t xml:space="preserve"> submission to</w:t>
      </w:r>
      <w:r w:rsidR="00204793">
        <w:t xml:space="preserve"> the</w:t>
      </w:r>
      <w:r w:rsidR="009D4832">
        <w:t xml:space="preserve"> preliminary </w:t>
      </w:r>
      <w:r w:rsidR="009D4832" w:rsidRPr="00331A63">
        <w:t xml:space="preserve">Framework and Approach </w:t>
      </w:r>
      <w:r w:rsidR="009D4832">
        <w:t xml:space="preserve">for 2019-24, it indicated that </w:t>
      </w:r>
      <w:proofErr w:type="spellStart"/>
      <w:r w:rsidR="009D4832">
        <w:t>Ausgrid</w:t>
      </w:r>
      <w:proofErr w:type="spellEnd"/>
      <w:r w:rsidR="009D4832">
        <w:t xml:space="preserve"> is currently exploring </w:t>
      </w:r>
      <w:r w:rsidR="009D4832" w:rsidRPr="00606FD4">
        <w:t>a pilot scheme under the NER on diff</w:t>
      </w:r>
      <w:r w:rsidR="009D4832">
        <w:t>erent customer service measures.</w:t>
      </w:r>
      <w:r w:rsidR="009D4832" w:rsidRPr="00606FD4">
        <w:t xml:space="preserve"> </w:t>
      </w:r>
      <w:r w:rsidR="009D4832">
        <w:t xml:space="preserve">It has also proposed </w:t>
      </w:r>
      <w:r w:rsidR="009D4832" w:rsidRPr="00606FD4">
        <w:t xml:space="preserve">amending the telephone answering definition, to </w:t>
      </w:r>
      <w:r w:rsidR="009D4832">
        <w:t xml:space="preserve">further </w:t>
      </w:r>
      <w:r w:rsidR="009D4832" w:rsidRPr="00606FD4">
        <w:t xml:space="preserve">exclude </w:t>
      </w:r>
      <w:r w:rsidR="009D4832">
        <w:t xml:space="preserve">the </w:t>
      </w:r>
      <w:r w:rsidR="009D4832" w:rsidRPr="00606FD4">
        <w:t>day following a major event.</w:t>
      </w:r>
      <w:r w:rsidR="009D4832">
        <w:rPr>
          <w:rStyle w:val="FootnoteReference"/>
        </w:rPr>
        <w:footnoteReference w:id="45"/>
      </w:r>
      <w:r w:rsidR="009D4832">
        <w:t xml:space="preserve"> </w:t>
      </w:r>
    </w:p>
    <w:p w:rsidR="00383AE6" w:rsidRPr="009D4832" w:rsidRDefault="00383AE6" w:rsidP="00383AE6">
      <w:pPr>
        <w:pStyle w:val="Caption"/>
      </w:pPr>
      <w:r>
        <w:t>Proposed approach</w:t>
      </w:r>
    </w:p>
    <w:p w:rsidR="009D4832" w:rsidRDefault="009D4832" w:rsidP="009D4832">
      <w:r>
        <w:t>A major event day starts from 12</w:t>
      </w:r>
      <w:r w:rsidR="000C2A37">
        <w:t>:00</w:t>
      </w:r>
      <w:r>
        <w:t xml:space="preserve">am to </w:t>
      </w:r>
      <w:r w:rsidR="000C2A37">
        <w:t>11:59</w:t>
      </w:r>
      <w:r>
        <w:t xml:space="preserve">pm </w:t>
      </w:r>
      <w:r w:rsidR="00D53F18">
        <w:t>(</w:t>
      </w:r>
      <w:r w:rsidR="00D11936">
        <w:t>0</w:t>
      </w:r>
      <w:r w:rsidR="00D53F18">
        <w:t>0:00 to 2</w:t>
      </w:r>
      <w:r w:rsidR="00D11936">
        <w:t>3</w:t>
      </w:r>
      <w:r w:rsidR="00D53F18">
        <w:t>:</w:t>
      </w:r>
      <w:r w:rsidR="00D11936">
        <w:t>59 hours</w:t>
      </w:r>
      <w:r w:rsidR="00D53F18">
        <w:t xml:space="preserve">) </w:t>
      </w:r>
      <w:r>
        <w:t xml:space="preserve">of a calendar day. It is expected that most customers would make </w:t>
      </w:r>
      <w:r w:rsidRPr="00946BAE">
        <w:t>telephone</w:t>
      </w:r>
      <w:r>
        <w:t xml:space="preserve"> calls to distributors within two hours from the occurrence of an outage event. Consequently, </w:t>
      </w:r>
      <w:r w:rsidR="00204793">
        <w:t xml:space="preserve">there is </w:t>
      </w:r>
      <w:r>
        <w:t xml:space="preserve">only </w:t>
      </w:r>
      <w:r w:rsidR="00204793">
        <w:t xml:space="preserve">a </w:t>
      </w:r>
      <w:r>
        <w:t xml:space="preserve">very small window of time within a major event day where calls to a distributor’s call centre are made in the ensuing calendar day––for example </w:t>
      </w:r>
      <w:r w:rsidR="00204793">
        <w:t xml:space="preserve">when </w:t>
      </w:r>
      <w:r>
        <w:t>a major event occurs after 10 pm. Modifying the call centre measurement method may result in unnecessary distortion of a distributor’s call centre performance in response to further or unrelated events. Accordingly, we consider</w:t>
      </w:r>
      <w:r w:rsidR="00204793">
        <w:t xml:space="preserve"> the</w:t>
      </w:r>
      <w:r>
        <w:t xml:space="preserve"> current </w:t>
      </w:r>
      <w:r w:rsidRPr="00606FD4">
        <w:t>telephone answering definition</w:t>
      </w:r>
      <w:r>
        <w:t xml:space="preserve"> should be maintained.   </w:t>
      </w:r>
    </w:p>
    <w:p w:rsidR="009D4832" w:rsidRPr="003E67B1" w:rsidRDefault="009D4832" w:rsidP="003E67B1"/>
    <w:bookmarkEnd w:id="49"/>
    <w:bookmarkEnd w:id="50"/>
    <w:p w:rsidR="003A021A" w:rsidRDefault="003A021A" w:rsidP="003A021A"/>
    <w:p w:rsidR="003A021A" w:rsidRDefault="003A021A" w:rsidP="003A021A"/>
    <w:p w:rsidR="003A021A" w:rsidRDefault="00F82A2C" w:rsidP="00F82A2C">
      <w:pPr>
        <w:pStyle w:val="Heading7"/>
      </w:pPr>
      <w:bookmarkStart w:id="81" w:name="_Toc499802937"/>
      <w:r>
        <w:lastRenderedPageBreak/>
        <w:t>Setting t</w:t>
      </w:r>
      <w:r w:rsidRPr="00612998">
        <w:t>he ratio between SAIFI and SAIDI incentive rates</w:t>
      </w:r>
      <w:bookmarkEnd w:id="81"/>
    </w:p>
    <w:p w:rsidR="00F82A2C" w:rsidRPr="00F82A2C" w:rsidRDefault="00F82A2C" w:rsidP="00F82A2C">
      <w:pPr>
        <w:pStyle w:val="TOCHeading"/>
        <w:rPr>
          <w:rStyle w:val="Strong"/>
        </w:rPr>
      </w:pPr>
      <w:r w:rsidRPr="00F82A2C">
        <w:rPr>
          <w:rStyle w:val="Strong"/>
        </w:rPr>
        <w:t>A worked example</w:t>
      </w:r>
    </w:p>
    <w:p w:rsidR="00F82A2C" w:rsidRPr="00F82A2C" w:rsidRDefault="00F82A2C" w:rsidP="00F82A2C">
      <w:r>
        <w:t xml:space="preserve">We observed that the current STPIS incentive may have led to more improvement to SAIFI than SAIDI. As a result the average supply restoration time (CAIDI) is getting longer. </w:t>
      </w:r>
      <w:r w:rsidRPr="00F82A2C">
        <w:t xml:space="preserve">The following example demonstrates the effect of modifying the SAIFI/SAIDI incentive rate ratio </w:t>
      </w:r>
      <w:r w:rsidR="00633D21">
        <w:t>to</w:t>
      </w:r>
      <w:r w:rsidR="00633D21" w:rsidRPr="00F82A2C">
        <w:t xml:space="preserve"> </w:t>
      </w:r>
      <w:r w:rsidRPr="00F82A2C">
        <w:t>provide a higher incentive:</w:t>
      </w:r>
    </w:p>
    <w:p w:rsidR="00F82A2C" w:rsidRPr="00F82A2C" w:rsidRDefault="00F82A2C" w:rsidP="000C2A37">
      <w:pPr>
        <w:pStyle w:val="AERbulletlistfirststyle"/>
      </w:pPr>
      <w:r w:rsidRPr="00F82A2C">
        <w:t xml:space="preserve">to maintain the CAIDI performance, and at the same time </w:t>
      </w:r>
    </w:p>
    <w:p w:rsidR="00F82A2C" w:rsidRDefault="00F82A2C" w:rsidP="000C2A37">
      <w:pPr>
        <w:pStyle w:val="AERbulletlistfirststyle"/>
      </w:pPr>
      <w:r w:rsidRPr="00F82A2C">
        <w:t>NOT diminish the overall incentive amount if the current average supply restoration time (CAIDI) remains unchanged.</w:t>
      </w:r>
    </w:p>
    <w:p w:rsidR="00633D21" w:rsidRPr="00F82A2C" w:rsidRDefault="00D11936" w:rsidP="00954F4E">
      <w:r>
        <w:t>We believe that this approach would provide more incentive to maintain the current supply restoration time. More importantly</w:t>
      </w:r>
      <w:r w:rsidR="00F17B28">
        <w:t>,</w:t>
      </w:r>
      <w:r>
        <w:t xml:space="preserve"> </w:t>
      </w:r>
      <w:r w:rsidR="00F17B28">
        <w:t xml:space="preserve">the total value of </w:t>
      </w:r>
      <w:r w:rsidR="00633D21">
        <w:t xml:space="preserve">incentives for network automation investment </w:t>
      </w:r>
      <w:r w:rsidR="00F17B28">
        <w:t>should remain unchanged, if the network fault repair time remains unchanged.</w:t>
      </w:r>
    </w:p>
    <w:p w:rsidR="00F82A2C" w:rsidRPr="00F82A2C" w:rsidRDefault="00F82A2C" w:rsidP="00F82A2C">
      <w:r>
        <w:t>The following steps are taken:</w:t>
      </w:r>
    </w:p>
    <w:p w:rsidR="00F82A2C" w:rsidRPr="00F82A2C" w:rsidRDefault="00F82A2C" w:rsidP="00F82A2C">
      <w:r w:rsidRPr="00590E6E">
        <w:t xml:space="preserve">A – Derive the </w:t>
      </w:r>
      <w:r w:rsidRPr="00F82A2C">
        <w:t>baseline SAIFI and SAIDI targets (prior to the introduction of network automation)</w:t>
      </w:r>
    </w:p>
    <w:p w:rsidR="00F82A2C" w:rsidRPr="00F82A2C" w:rsidRDefault="00F82A2C" w:rsidP="00F82A2C">
      <w:r w:rsidRPr="00590E6E">
        <w:t xml:space="preserve">B </w:t>
      </w:r>
      <w:r w:rsidRPr="00590E6E">
        <w:softHyphen/>
        <w:t xml:space="preserve">– Derive the </w:t>
      </w:r>
      <w:r w:rsidRPr="00F82A2C">
        <w:t>SAIFI and SAIDI outcomes after the introduction of network automation, assuming supply restoration time (CAIDI) remains unchanged</w:t>
      </w:r>
    </w:p>
    <w:p w:rsidR="00F82A2C" w:rsidRPr="00F82A2C" w:rsidRDefault="00F82A2C" w:rsidP="00F82A2C">
      <w:r>
        <w:t>C</w:t>
      </w:r>
      <w:r w:rsidRPr="00F82A2C">
        <w:t xml:space="preserve"> </w:t>
      </w:r>
      <w:r w:rsidRPr="00F82A2C">
        <w:softHyphen/>
        <w:t>– Derive the SAIFI and SAIDI outcomes after the introduction of network automation, assuming supply restoration time (CAIDI) is 5</w:t>
      </w:r>
      <w:r w:rsidR="00A31B84">
        <w:t xml:space="preserve">per cent </w:t>
      </w:r>
      <w:r w:rsidRPr="00F82A2C">
        <w:t>longer than historical figure</w:t>
      </w:r>
    </w:p>
    <w:p w:rsidR="00F82A2C" w:rsidRPr="00F82A2C" w:rsidRDefault="00F82A2C" w:rsidP="00F82A2C">
      <w:r>
        <w:t>D</w:t>
      </w:r>
      <w:r w:rsidRPr="00F82A2C">
        <w:t xml:space="preserve"> – Derive the incentive rates under the current SAIDI/SAIFI incentive rate ratio</w:t>
      </w:r>
    </w:p>
    <w:p w:rsidR="00F82A2C" w:rsidRPr="00F82A2C" w:rsidRDefault="00F82A2C" w:rsidP="00F82A2C">
      <w:r>
        <w:t>E</w:t>
      </w:r>
      <w:r w:rsidRPr="00F82A2C">
        <w:t xml:space="preserve"> – Derive the incentive rates under a 60/40 SAIDI/SAIFI incentive rate ratio</w:t>
      </w:r>
    </w:p>
    <w:p w:rsidR="00F82A2C" w:rsidRPr="00F82A2C" w:rsidRDefault="00F82A2C" w:rsidP="00F82A2C">
      <w:r>
        <w:t>F</w:t>
      </w:r>
      <w:r w:rsidRPr="00F82A2C">
        <w:t xml:space="preserve"> – Derive the incentive rates under a 55/45 SAIDI/SAIFI incentive rate ratio</w:t>
      </w:r>
    </w:p>
    <w:p w:rsidR="00F82A2C" w:rsidRDefault="00F82A2C" w:rsidP="00F82A2C">
      <w:r>
        <w:t>G and H</w:t>
      </w:r>
      <w:r w:rsidRPr="00F82A2C">
        <w:t xml:space="preserve"> – Compare the result under different incentive ratios</w:t>
      </w:r>
    </w:p>
    <w:p w:rsidR="002102B2" w:rsidRPr="00F82A2C" w:rsidRDefault="002102B2" w:rsidP="00F82A2C"/>
    <w:p w:rsidR="00F82A2C" w:rsidRPr="00F82A2C" w:rsidRDefault="00F82A2C" w:rsidP="00F82A2C">
      <w:pPr>
        <w:pStyle w:val="ListBullet3"/>
        <w:rPr>
          <w:rStyle w:val="AERtextbolditalics"/>
        </w:rPr>
      </w:pPr>
      <w:r w:rsidRPr="00F82A2C">
        <w:rPr>
          <w:rStyle w:val="AERtextbolditalics"/>
        </w:rPr>
        <w:t>Derive the baseline STPIS target</w:t>
      </w:r>
    </w:p>
    <w:p w:rsidR="00F82A2C" w:rsidRPr="00F82A2C" w:rsidRDefault="00F82A2C" w:rsidP="00F82A2C">
      <w:r>
        <w:t>The following distribution feeder is representative of a typical rural feeder of a typical medium size distributor.</w:t>
      </w:r>
    </w:p>
    <w:p w:rsidR="00F82A2C" w:rsidRPr="00F82A2C" w:rsidRDefault="00F82A2C" w:rsidP="00F82A2C">
      <w:r w:rsidRPr="00590E6E">
        <w:t xml:space="preserve">Assumptions: </w:t>
      </w:r>
    </w:p>
    <w:p w:rsidR="00F82A2C" w:rsidRPr="00F82A2C" w:rsidRDefault="00F82A2C" w:rsidP="00F82A2C">
      <w:pPr>
        <w:pStyle w:val="AERbulletlistfirststyle"/>
      </w:pPr>
      <w:r>
        <w:t xml:space="preserve">A long rural </w:t>
      </w:r>
      <w:r w:rsidRPr="00F82A2C">
        <w:t>feeder has 10,000 customers.</w:t>
      </w:r>
    </w:p>
    <w:p w:rsidR="00F82A2C" w:rsidRPr="00F82A2C" w:rsidRDefault="00F82A2C" w:rsidP="00F82A2C">
      <w:pPr>
        <w:pStyle w:val="AERbulletlistfirststyle"/>
      </w:pPr>
      <w:r w:rsidRPr="00590E6E">
        <w:lastRenderedPageBreak/>
        <w:t>The 10</w:t>
      </w:r>
      <w:r w:rsidRPr="00F82A2C">
        <w:t>,000 customers on the rural feeder are distributed evenly along the length of the feeder from the origin.</w:t>
      </w:r>
    </w:p>
    <w:p w:rsidR="00F82A2C" w:rsidRPr="00F82A2C" w:rsidRDefault="00F82A2C" w:rsidP="00F82A2C">
      <w:pPr>
        <w:pStyle w:val="AERbulletlistfirststyle"/>
      </w:pPr>
      <w:r w:rsidRPr="00590E6E">
        <w:t xml:space="preserve">On average, there are 3 supply interruptions per year (total number of customer interruptions or 3 SAIFI events). </w:t>
      </w:r>
    </w:p>
    <w:p w:rsidR="00F82A2C" w:rsidRPr="00F82A2C" w:rsidRDefault="00F82A2C" w:rsidP="00F82A2C">
      <w:pPr>
        <w:pStyle w:val="AERbulletlistfirststyle"/>
      </w:pPr>
      <w:r w:rsidRPr="00590E6E">
        <w:t>The average restoration time to restore supply is 80 minutes (CAIDI).</w:t>
      </w:r>
    </w:p>
    <w:p w:rsidR="00F82A2C" w:rsidRPr="00F82A2C" w:rsidRDefault="00F82A2C" w:rsidP="00F82A2C">
      <w:pPr>
        <w:pStyle w:val="AERbulletlistfirststyle"/>
      </w:pPr>
      <w:r w:rsidRPr="00590E6E">
        <w:t>Mathematically SAIDI, SAIFI and CAIDI are expressed as:</w:t>
      </w:r>
    </w:p>
    <w:p w:rsidR="00F82A2C" w:rsidRPr="00F82A2C" w:rsidRDefault="00F82A2C" w:rsidP="00F82A2C">
      <w:pPr>
        <w:pStyle w:val="AERbulletlistfirststyle"/>
      </w:pPr>
      <m:oMath>
        <m:r>
          <m:rPr>
            <m:sty m:val="p"/>
          </m:rPr>
          <w:rPr>
            <w:rFonts w:ascii="Cambria Math" w:hAnsi="Cambria Math"/>
          </w:rPr>
          <m:t>SAIDI=</m:t>
        </m:r>
        <m:f>
          <m:fPr>
            <m:ctrlPr>
              <w:rPr>
                <w:rFonts w:ascii="Cambria Math" w:hAnsi="Cambria Math"/>
              </w:rPr>
            </m:ctrlPr>
          </m:fPr>
          <m:num>
            <m:r>
              <w:rPr>
                <w:rFonts w:ascii="Cambria Math" w:hAnsi="Cambria Math"/>
              </w:rPr>
              <m:t>sum of all customer interruption duration</m:t>
            </m:r>
          </m:num>
          <m:den>
            <m:r>
              <w:rPr>
                <w:rFonts w:ascii="Cambria Math" w:hAnsi="Cambria Math"/>
              </w:rPr>
              <m:t>total number of customers served</m:t>
            </m:r>
          </m:den>
        </m:f>
      </m:oMath>
    </w:p>
    <w:p w:rsidR="00F82A2C" w:rsidRPr="00F82A2C" w:rsidRDefault="00F82A2C" w:rsidP="00F82A2C">
      <w:pPr>
        <w:pStyle w:val="AERbulletlistfirststyle"/>
      </w:pPr>
      <m:oMath>
        <m:r>
          <m:rPr>
            <m:sty m:val="p"/>
          </m:rPr>
          <w:rPr>
            <w:rFonts w:ascii="Cambria Math" w:hAnsi="Cambria Math"/>
          </w:rPr>
          <m:t>SAIFI=</m:t>
        </m:r>
        <m:f>
          <m:fPr>
            <m:ctrlPr>
              <w:rPr>
                <w:rFonts w:ascii="Cambria Math" w:hAnsi="Cambria Math"/>
              </w:rPr>
            </m:ctrlPr>
          </m:fPr>
          <m:num>
            <m:r>
              <w:rPr>
                <w:rFonts w:ascii="Cambria Math" w:hAnsi="Cambria Math"/>
              </w:rPr>
              <m:t>total number of customer interruptions</m:t>
            </m:r>
          </m:num>
          <m:den>
            <m:r>
              <w:rPr>
                <w:rFonts w:ascii="Cambria Math" w:hAnsi="Cambria Math"/>
              </w:rPr>
              <m:t>total number of customers served</m:t>
            </m:r>
          </m:den>
        </m:f>
      </m:oMath>
    </w:p>
    <w:p w:rsidR="00F82A2C" w:rsidRPr="00F82A2C" w:rsidRDefault="00F82A2C" w:rsidP="00F82A2C">
      <w:pPr>
        <w:pStyle w:val="AERbulletlistfirststyle"/>
      </w:pPr>
      <m:oMath>
        <m:r>
          <m:rPr>
            <m:sty m:val="p"/>
          </m:rPr>
          <w:rPr>
            <w:rFonts w:ascii="Cambria Math" w:hAnsi="Cambria Math"/>
          </w:rPr>
          <m:t>CAIDI=</m:t>
        </m:r>
        <m:f>
          <m:fPr>
            <m:ctrlPr>
              <w:rPr>
                <w:rFonts w:ascii="Cambria Math" w:hAnsi="Cambria Math"/>
              </w:rPr>
            </m:ctrlPr>
          </m:fPr>
          <m:num>
            <m:r>
              <w:rPr>
                <w:rFonts w:ascii="Cambria Math" w:hAnsi="Cambria Math"/>
              </w:rPr>
              <m:t>sum of all customer interruption duration</m:t>
            </m:r>
          </m:num>
          <m:den>
            <m:r>
              <w:rPr>
                <w:rFonts w:ascii="Cambria Math" w:hAnsi="Cambria Math"/>
              </w:rPr>
              <m:t xml:space="preserve">total number of customer interruptions </m:t>
            </m:r>
          </m:den>
        </m:f>
        <m:r>
          <w:rPr>
            <w:rFonts w:ascii="Cambria Math" w:hAnsi="Cambria Math"/>
          </w:rPr>
          <m:t>=</m:t>
        </m:r>
        <m:f>
          <m:fPr>
            <m:ctrlPr>
              <w:rPr>
                <w:rFonts w:ascii="Cambria Math" w:hAnsi="Cambria Math"/>
              </w:rPr>
            </m:ctrlPr>
          </m:fPr>
          <m:num>
            <m:r>
              <w:rPr>
                <w:rFonts w:ascii="Cambria Math" w:hAnsi="Cambria Math"/>
              </w:rPr>
              <m:t>SAIDI</m:t>
            </m:r>
          </m:num>
          <m:den>
            <m:r>
              <w:rPr>
                <w:rFonts w:ascii="Cambria Math" w:hAnsi="Cambria Math"/>
              </w:rPr>
              <m:t xml:space="preserve">SAIFI </m:t>
            </m:r>
          </m:den>
        </m:f>
      </m:oMath>
    </w:p>
    <w:p w:rsidR="00F82A2C" w:rsidRPr="00F82A2C" w:rsidRDefault="00F82A2C" w:rsidP="00F82A2C">
      <w:r w:rsidRPr="00590E6E">
        <w:t>Using the above assumptions and formulas, we can calculate the STPIS targets being:</w:t>
      </w:r>
    </w:p>
    <w:p w:rsidR="00F82A2C" w:rsidRPr="00F82A2C" w:rsidRDefault="00F82A2C" w:rsidP="00F82A2C">
      <w:r>
        <w:tab/>
      </w:r>
      <w:r w:rsidRPr="00F82A2C">
        <w:t>SAIFI = 3 interruptions</w:t>
      </w:r>
    </w:p>
    <w:p w:rsidR="00F82A2C" w:rsidRPr="00F82A2C" w:rsidRDefault="00F82A2C" w:rsidP="00F82A2C">
      <m:oMathPara>
        <m:oMathParaPr>
          <m:jc m:val="left"/>
        </m:oMathParaPr>
        <m:oMath>
          <m:r>
            <m:rPr>
              <m:sty m:val="p"/>
            </m:rPr>
            <w:rPr>
              <w:rFonts w:ascii="Cambria Math" w:hAnsi="Cambria Math"/>
            </w:rPr>
            <m:t>SAIDI=</m:t>
          </m:r>
          <m:f>
            <m:fPr>
              <m:ctrlPr>
                <w:rPr>
                  <w:rFonts w:ascii="Cambria Math" w:hAnsi="Cambria Math"/>
                </w:rPr>
              </m:ctrlPr>
            </m:fPr>
            <m:num>
              <m:r>
                <w:rPr>
                  <w:rFonts w:ascii="Cambria Math" w:hAnsi="Cambria Math"/>
                </w:rPr>
                <m:t>sum of all customer interruption duration</m:t>
              </m:r>
            </m:num>
            <m:den>
              <m:r>
                <w:rPr>
                  <w:rFonts w:ascii="Cambria Math" w:hAnsi="Cambria Math"/>
                </w:rPr>
                <m:t>total number of customers served</m:t>
              </m:r>
            </m:den>
          </m:f>
          <m:r>
            <w:rPr>
              <w:rFonts w:ascii="Cambria Math" w:hAnsi="Cambria Math"/>
            </w:rPr>
            <m:t>=</m:t>
          </m:r>
          <m:f>
            <m:fPr>
              <m:ctrlPr>
                <w:rPr>
                  <w:rFonts w:ascii="Cambria Math" w:hAnsi="Cambria Math"/>
                </w:rPr>
              </m:ctrlPr>
            </m:fPr>
            <m:num>
              <m:r>
                <w:rPr>
                  <w:rFonts w:ascii="Cambria Math" w:hAnsi="Cambria Math"/>
                </w:rPr>
                <m:t>80*3*10000</m:t>
              </m:r>
            </m:num>
            <m:den>
              <m:r>
                <w:rPr>
                  <w:rFonts w:ascii="Cambria Math" w:hAnsi="Cambria Math"/>
                </w:rPr>
                <m:t>10000</m:t>
              </m:r>
            </m:den>
          </m:f>
          <m:r>
            <w:rPr>
              <w:rFonts w:ascii="Cambria Math" w:hAnsi="Cambria Math"/>
            </w:rPr>
            <m:t xml:space="preserve"> </m:t>
          </m:r>
        </m:oMath>
      </m:oMathPara>
    </w:p>
    <w:p w:rsidR="00F82A2C" w:rsidRPr="00F82A2C" w:rsidRDefault="00F82A2C" w:rsidP="00F82A2C">
      <w:r>
        <w:t xml:space="preserve">           = 240 minutes</w:t>
      </w:r>
    </w:p>
    <w:p w:rsidR="00F82A2C" w:rsidRDefault="00F82A2C" w:rsidP="00F82A2C">
      <w:r w:rsidRPr="00590E6E">
        <w:t xml:space="preserve">CAIDI = </w:t>
      </w:r>
      <w:r w:rsidRPr="00F82A2C">
        <w:t>240/3 = 80 minutes</w:t>
      </w:r>
    </w:p>
    <w:p w:rsidR="002102B2" w:rsidRPr="00F82A2C" w:rsidRDefault="002102B2" w:rsidP="00F82A2C"/>
    <w:p w:rsidR="00F82A2C" w:rsidRPr="00F82A2C" w:rsidRDefault="00F82A2C" w:rsidP="00F82A2C">
      <w:pPr>
        <w:pStyle w:val="ListBullet3"/>
        <w:rPr>
          <w:rStyle w:val="AERtextbolditalics"/>
        </w:rPr>
      </w:pPr>
      <w:r w:rsidRPr="00F82A2C">
        <w:rPr>
          <w:rStyle w:val="AERtextbolditalics"/>
        </w:rPr>
        <w:t xml:space="preserve">  STPIS outcomes Scenario 1: Effect of auto-</w:t>
      </w:r>
      <w:proofErr w:type="spellStart"/>
      <w:r w:rsidRPr="00F82A2C">
        <w:rPr>
          <w:rStyle w:val="AERtextbolditalics"/>
        </w:rPr>
        <w:t>recloser</w:t>
      </w:r>
      <w:proofErr w:type="spellEnd"/>
      <w:r w:rsidRPr="00F82A2C">
        <w:rPr>
          <w:rStyle w:val="AERtextbolditalics"/>
        </w:rPr>
        <w:t>, no change to the average supply restoration time (CAIDI)</w:t>
      </w:r>
    </w:p>
    <w:p w:rsidR="00F82A2C" w:rsidRPr="00F82A2C" w:rsidRDefault="00F82A2C" w:rsidP="00F82A2C">
      <w:r w:rsidRPr="00590E6E">
        <w:t>Assumptions</w:t>
      </w:r>
    </w:p>
    <w:p w:rsidR="00F82A2C" w:rsidRPr="00F82A2C" w:rsidRDefault="00F82A2C" w:rsidP="00F82A2C">
      <w:pPr>
        <w:pStyle w:val="AERbulletlistfirststyle"/>
      </w:pPr>
      <w:r w:rsidRPr="00590E6E">
        <w:t>An auto-</w:t>
      </w:r>
      <w:proofErr w:type="spellStart"/>
      <w:r w:rsidRPr="00590E6E">
        <w:t>recloser</w:t>
      </w:r>
      <w:proofErr w:type="spellEnd"/>
      <w:r w:rsidRPr="00590E6E">
        <w:t xml:space="preserve"> is installed at a distance </w:t>
      </w:r>
      <w:r w:rsidRPr="00F82A2C">
        <w:t>40</w:t>
      </w:r>
      <w:r w:rsidR="004F58BD">
        <w:t xml:space="preserve"> </w:t>
      </w:r>
      <w:r w:rsidR="00A31B84">
        <w:t xml:space="preserve">per cent </w:t>
      </w:r>
      <w:r w:rsidRPr="00F82A2C">
        <w:t>of the length of the feeder from its origin.  The feeder has 10,000 customers spread evenly along its length. The auto-</w:t>
      </w:r>
      <w:proofErr w:type="spellStart"/>
      <w:r w:rsidRPr="00F82A2C">
        <w:t>recloser</w:t>
      </w:r>
      <w:proofErr w:type="spellEnd"/>
      <w:r w:rsidRPr="00F82A2C">
        <w:t xml:space="preserve"> can automatically attempt to reclose a feeder after a supply interruption, in an attempt to restore supply very quickly to customers.</w:t>
      </w:r>
    </w:p>
    <w:p w:rsidR="00F82A2C" w:rsidRPr="00F82A2C" w:rsidRDefault="00F82A2C" w:rsidP="00F82A2C">
      <w:pPr>
        <w:pStyle w:val="AERbulletlistfirststyle"/>
      </w:pPr>
      <w:r w:rsidRPr="00590E6E">
        <w:t xml:space="preserve">As per average, there are 3 network faults leading to supply interruptions during the year or 3 SAIFI events. </w:t>
      </w:r>
    </w:p>
    <w:p w:rsidR="00F82A2C" w:rsidRPr="00F82A2C" w:rsidRDefault="00F82A2C" w:rsidP="00F82A2C">
      <w:pPr>
        <w:pStyle w:val="AERbulletlistfirststyle"/>
      </w:pPr>
      <w:r w:rsidRPr="00590E6E">
        <w:t>Two of the outages occurred near the origin. Hence, the auto-</w:t>
      </w:r>
      <w:proofErr w:type="spellStart"/>
      <w:r w:rsidRPr="00590E6E">
        <w:t>recloser</w:t>
      </w:r>
      <w:proofErr w:type="spellEnd"/>
      <w:r w:rsidRPr="00590E6E">
        <w:t xml:space="preserve"> was unable to have an effect. Both outages lasted 80 minutes. </w:t>
      </w:r>
    </w:p>
    <w:p w:rsidR="00F82A2C" w:rsidRPr="00F82A2C" w:rsidRDefault="00F82A2C" w:rsidP="00F82A2C">
      <w:pPr>
        <w:pStyle w:val="AERbulletlistfirststyle"/>
      </w:pPr>
      <w:r w:rsidRPr="00590E6E">
        <w:t>The third fault occurred at the end of the feeder. For this event the auto-</w:t>
      </w:r>
      <w:proofErr w:type="spellStart"/>
      <w:r w:rsidRPr="00590E6E">
        <w:t>recloser</w:t>
      </w:r>
      <w:proofErr w:type="spellEnd"/>
      <w:r w:rsidRPr="00590E6E">
        <w:t xml:space="preserve"> was successful in isolating the healthy part of the feeder from the fault. Hence, the </w:t>
      </w:r>
      <w:r w:rsidRPr="00F82A2C">
        <w:t>4,000 customers between the feeder origin and the auto-</w:t>
      </w:r>
      <w:proofErr w:type="spellStart"/>
      <w:r w:rsidRPr="00F82A2C">
        <w:t>recloser</w:t>
      </w:r>
      <w:proofErr w:type="spellEnd"/>
      <w:r w:rsidRPr="00F82A2C">
        <w:t xml:space="preserve"> only experience a momentary interruption. The supply to the other 6,000 customers was restored at 80 minutes.</w:t>
      </w:r>
    </w:p>
    <w:p w:rsidR="00F82A2C" w:rsidRPr="00F82A2C" w:rsidRDefault="00F82A2C" w:rsidP="00F82A2C">
      <w:r w:rsidRPr="00590E6E">
        <w:t xml:space="preserve">Mathematically the STPIS performance outcomes may be calculated </w:t>
      </w:r>
      <w:r w:rsidR="00633D21">
        <w:t>as</w:t>
      </w:r>
      <w:r w:rsidR="00633D21" w:rsidRPr="00590E6E">
        <w:t xml:space="preserve"> </w:t>
      </w:r>
      <w:r w:rsidRPr="00590E6E">
        <w:t>follows</w:t>
      </w:r>
    </w:p>
    <w:p w:rsidR="00F82A2C" w:rsidRPr="00F82A2C" w:rsidRDefault="00F82A2C" w:rsidP="00F82A2C">
      <w:pPr>
        <w:pStyle w:val="AERbulletlistfirststyle"/>
      </w:pPr>
      <w:r w:rsidRPr="00590E6E">
        <w:t>SAIFI</w:t>
      </w:r>
    </w:p>
    <w:p w:rsidR="00F82A2C" w:rsidRPr="00F82A2C" w:rsidRDefault="00F82A2C" w:rsidP="00F82A2C">
      <m:oMathPara>
        <m:oMathParaPr>
          <m:jc m:val="left"/>
        </m:oMathParaPr>
        <m:oMath>
          <m:r>
            <m:rPr>
              <m:sty m:val="p"/>
            </m:rPr>
            <w:rPr>
              <w:rFonts w:ascii="Cambria Math" w:hAnsi="Cambria Math"/>
            </w:rPr>
            <w:lastRenderedPageBreak/>
            <m:t>SAIFI=</m:t>
          </m:r>
          <m:f>
            <m:fPr>
              <m:ctrlPr>
                <w:rPr>
                  <w:rFonts w:ascii="Cambria Math" w:hAnsi="Cambria Math"/>
                </w:rPr>
              </m:ctrlPr>
            </m:fPr>
            <m:num>
              <m:r>
                <w:rPr>
                  <w:rFonts w:ascii="Cambria Math" w:hAnsi="Cambria Math"/>
                </w:rPr>
                <m:t>total number of customer interruptions</m:t>
              </m:r>
            </m:num>
            <m:den>
              <m:r>
                <w:rPr>
                  <w:rFonts w:ascii="Cambria Math" w:hAnsi="Cambria Math"/>
                </w:rPr>
                <m:t>total number of customers served</m:t>
              </m:r>
            </m:den>
          </m:f>
        </m:oMath>
      </m:oMathPara>
    </w:p>
    <w:p w:rsidR="00F82A2C" w:rsidRPr="00F82A2C" w:rsidRDefault="00F82A2C" w:rsidP="00F82A2C">
      <w:pPr>
        <w:rPr>
          <w:rStyle w:val="AERbody"/>
        </w:rPr>
      </w:pPr>
      <w:r w:rsidRPr="00590E6E">
        <w:rPr>
          <w:rStyle w:val="AERbody"/>
        </w:rPr>
        <w:t>SAIFI (all events) = SAIFI (event 1) + SAIFI (event 2) + SAIFI (event 3)</w:t>
      </w:r>
    </w:p>
    <w:p w:rsidR="00F82A2C" w:rsidRPr="00F82A2C" w:rsidRDefault="00F82A2C" w:rsidP="00F82A2C">
      <w:pPr>
        <w:rPr>
          <w:rStyle w:val="AERbody"/>
        </w:rPr>
      </w:pPr>
      <m:oMathPara>
        <m:oMath>
          <m:r>
            <m:rPr>
              <m:sty m:val="p"/>
            </m:rPr>
            <w:rPr>
              <w:rFonts w:ascii="Cambria Math" w:hAnsi="Cambria Math"/>
            </w:rPr>
            <m:t>SAIFI=</m:t>
          </m:r>
          <m:f>
            <m:fPr>
              <m:ctrlPr>
                <w:rPr>
                  <w:rFonts w:ascii="Cambria Math" w:hAnsi="Cambria Math"/>
                </w:rPr>
              </m:ctrlPr>
            </m:fPr>
            <m:num>
              <m:r>
                <w:rPr>
                  <w:rFonts w:ascii="Cambria Math" w:hAnsi="Cambria Math"/>
                </w:rPr>
                <m:t>10000</m:t>
              </m:r>
            </m:num>
            <m:den>
              <m:r>
                <w:rPr>
                  <w:rFonts w:ascii="Cambria Math" w:hAnsi="Cambria Math"/>
                </w:rPr>
                <m:t>10000</m:t>
              </m:r>
            </m:den>
          </m:f>
          <m:r>
            <w:rPr>
              <w:rFonts w:ascii="Cambria Math" w:hAnsi="Cambria Math"/>
            </w:rPr>
            <m:t>+</m:t>
          </m:r>
          <m:f>
            <m:fPr>
              <m:ctrlPr>
                <w:rPr>
                  <w:rFonts w:ascii="Cambria Math" w:hAnsi="Cambria Math"/>
                </w:rPr>
              </m:ctrlPr>
            </m:fPr>
            <m:num>
              <m:r>
                <w:rPr>
                  <w:rFonts w:ascii="Cambria Math" w:hAnsi="Cambria Math"/>
                </w:rPr>
                <m:t>10000</m:t>
              </m:r>
            </m:num>
            <m:den>
              <m:r>
                <w:rPr>
                  <w:rFonts w:ascii="Cambria Math" w:hAnsi="Cambria Math"/>
                </w:rPr>
                <m:t>10000</m:t>
              </m:r>
            </m:den>
          </m:f>
          <m:r>
            <w:rPr>
              <w:rFonts w:ascii="Cambria Math" w:hAnsi="Cambria Math"/>
            </w:rPr>
            <m:t>+</m:t>
          </m:r>
          <m:f>
            <m:fPr>
              <m:ctrlPr>
                <w:rPr>
                  <w:rFonts w:ascii="Cambria Math" w:hAnsi="Cambria Math"/>
                </w:rPr>
              </m:ctrlPr>
            </m:fPr>
            <m:num>
              <m:r>
                <w:rPr>
                  <w:rFonts w:ascii="Cambria Math" w:hAnsi="Cambria Math"/>
                </w:rPr>
                <m:t>6000</m:t>
              </m:r>
            </m:num>
            <m:den>
              <m:r>
                <w:rPr>
                  <w:rFonts w:ascii="Cambria Math" w:hAnsi="Cambria Math"/>
                </w:rPr>
                <m:t>10000</m:t>
              </m:r>
            </m:den>
          </m:f>
        </m:oMath>
      </m:oMathPara>
    </w:p>
    <w:p w:rsidR="00F82A2C" w:rsidRPr="00F82A2C" w:rsidRDefault="00F82A2C" w:rsidP="00F82A2C">
      <w:pPr>
        <w:rPr>
          <w:rStyle w:val="AERbody"/>
        </w:rPr>
      </w:pPr>
      <w:r>
        <w:rPr>
          <w:rStyle w:val="AERbody"/>
        </w:rPr>
        <w:t xml:space="preserve">                                           </w:t>
      </w:r>
      <w:r w:rsidRPr="00F82A2C">
        <w:rPr>
          <w:rStyle w:val="AERbody"/>
        </w:rPr>
        <w:t>SAIFI = 2.6</w:t>
      </w:r>
    </w:p>
    <w:p w:rsidR="00F82A2C" w:rsidRPr="00F82A2C" w:rsidRDefault="00F82A2C" w:rsidP="00F82A2C">
      <w:pPr>
        <w:rPr>
          <w:rStyle w:val="AERbody"/>
        </w:rPr>
      </w:pPr>
      <w:r>
        <w:rPr>
          <w:rStyle w:val="AERbody"/>
        </w:rPr>
        <w:t xml:space="preserve">Percentage </w:t>
      </w:r>
      <w:r w:rsidRPr="00F82A2C">
        <w:rPr>
          <w:rStyle w:val="AERbody"/>
        </w:rPr>
        <w:t xml:space="preserve">SAIFI improvement over pre-existing performance </w:t>
      </w:r>
    </w:p>
    <w:p w:rsidR="00F82A2C" w:rsidRPr="00F82A2C" w:rsidRDefault="00F82A2C" w:rsidP="00F82A2C">
      <w:pPr>
        <w:rPr>
          <w:rStyle w:val="AERbody"/>
        </w:rPr>
      </w:pPr>
      <w:r>
        <w:rPr>
          <w:rStyle w:val="AERbody"/>
        </w:rPr>
        <w:t>= (3-26)/3 = 13.33%</w:t>
      </w:r>
    </w:p>
    <w:p w:rsidR="00F82A2C" w:rsidRPr="00F82A2C" w:rsidRDefault="00F82A2C" w:rsidP="00F82A2C">
      <w:pPr>
        <w:pStyle w:val="AERbulletlistfirststyle"/>
      </w:pPr>
      <w:r w:rsidRPr="00590E6E">
        <w:t>SAIDI</w:t>
      </w:r>
    </w:p>
    <w:p w:rsidR="00F82A2C" w:rsidRPr="00F82A2C" w:rsidRDefault="00F82A2C" w:rsidP="00F82A2C">
      <w:pPr>
        <w:rPr>
          <w:rStyle w:val="AERbody"/>
        </w:rPr>
      </w:pPr>
      <m:oMathPara>
        <m:oMathParaPr>
          <m:jc m:val="left"/>
        </m:oMathParaPr>
        <m:oMath>
          <m:r>
            <m:rPr>
              <m:sty m:val="p"/>
            </m:rPr>
            <w:rPr>
              <w:rFonts w:ascii="Cambria Math" w:hAnsi="Cambria Math"/>
            </w:rPr>
            <m:t>SAIDI=</m:t>
          </m:r>
          <m:f>
            <m:fPr>
              <m:ctrlPr>
                <w:rPr>
                  <w:rFonts w:ascii="Cambria Math" w:hAnsi="Cambria Math"/>
                </w:rPr>
              </m:ctrlPr>
            </m:fPr>
            <m:num>
              <m:r>
                <w:rPr>
                  <w:rFonts w:ascii="Cambria Math" w:hAnsi="Cambria Math"/>
                </w:rPr>
                <m:t>sum</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all</m:t>
              </m:r>
              <m:r>
                <m:rPr>
                  <m:sty m:val="p"/>
                </m:rPr>
                <w:rPr>
                  <w:rFonts w:ascii="Cambria Math" w:hAnsi="Cambria Math"/>
                </w:rPr>
                <m:t xml:space="preserve"> </m:t>
              </m:r>
              <m:r>
                <w:rPr>
                  <w:rFonts w:ascii="Cambria Math" w:hAnsi="Cambria Math"/>
                </w:rPr>
                <m:t>customer</m:t>
              </m:r>
              <m:r>
                <m:rPr>
                  <m:sty m:val="p"/>
                </m:rPr>
                <w:rPr>
                  <w:rFonts w:ascii="Cambria Math" w:hAnsi="Cambria Math"/>
                </w:rPr>
                <m:t xml:space="preserve"> </m:t>
              </m:r>
              <m:r>
                <w:rPr>
                  <w:rFonts w:ascii="Cambria Math" w:hAnsi="Cambria Math"/>
                </w:rPr>
                <m:t>interruption</m:t>
              </m:r>
              <m:r>
                <m:rPr>
                  <m:sty m:val="p"/>
                </m:rPr>
                <w:rPr>
                  <w:rFonts w:ascii="Cambria Math" w:hAnsi="Cambria Math"/>
                </w:rPr>
                <m:t xml:space="preserve"> </m:t>
              </m:r>
              <m:r>
                <w:rPr>
                  <w:rFonts w:ascii="Cambria Math" w:hAnsi="Cambria Math"/>
                </w:rPr>
                <m:t>duration</m:t>
              </m:r>
            </m:num>
            <m:den>
              <m:r>
                <w:rPr>
                  <w:rFonts w:ascii="Cambria Math" w:hAnsi="Cambria Math"/>
                </w:rPr>
                <m:t>total</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customers</m:t>
              </m:r>
              <m:r>
                <m:rPr>
                  <m:sty m:val="p"/>
                </m:rPr>
                <w:rPr>
                  <w:rFonts w:ascii="Cambria Math" w:hAnsi="Cambria Math"/>
                </w:rPr>
                <m:t xml:space="preserve"> </m:t>
              </m:r>
              <m:r>
                <w:rPr>
                  <w:rFonts w:ascii="Cambria Math" w:hAnsi="Cambria Math"/>
                </w:rPr>
                <m:t>served</m:t>
              </m:r>
            </m:den>
          </m:f>
        </m:oMath>
      </m:oMathPara>
    </w:p>
    <w:p w:rsidR="00F82A2C" w:rsidRPr="00F82A2C" w:rsidRDefault="00F82A2C" w:rsidP="00F82A2C">
      <w:pPr>
        <w:rPr>
          <w:rStyle w:val="AERbody"/>
        </w:rPr>
      </w:pPr>
      <w:r w:rsidRPr="00590E6E">
        <w:rPr>
          <w:rStyle w:val="AERbody"/>
        </w:rPr>
        <w:t>SAIDI (all events) = SADFI (event 1) + SAIDI (event 2) + SAIDI (event 3)</w:t>
      </w:r>
    </w:p>
    <w:p w:rsidR="00F82A2C" w:rsidRPr="00F82A2C" w:rsidRDefault="00F82A2C" w:rsidP="00F82A2C">
      <w:pPr>
        <w:rPr>
          <w:rStyle w:val="AERbody"/>
        </w:rPr>
      </w:pPr>
      <m:oMathPara>
        <m:oMath>
          <m:r>
            <m:rPr>
              <m:sty m:val="p"/>
            </m:rPr>
            <w:rPr>
              <w:rFonts w:ascii="Cambria Math" w:hAnsi="Cambria Math"/>
            </w:rPr>
            <m:t>SAIDI=</m:t>
          </m:r>
          <m:f>
            <m:fPr>
              <m:ctrlPr>
                <w:rPr>
                  <w:rFonts w:ascii="Cambria Math" w:hAnsi="Cambria Math"/>
                </w:rPr>
              </m:ctrlPr>
            </m:fPr>
            <m:num>
              <m:r>
                <w:rPr>
                  <w:rFonts w:ascii="Cambria Math" w:hAnsi="Cambria Math"/>
                </w:rPr>
                <m:t>10000*80</m:t>
              </m:r>
            </m:num>
            <m:den>
              <m:r>
                <w:rPr>
                  <w:rFonts w:ascii="Cambria Math" w:hAnsi="Cambria Math"/>
                </w:rPr>
                <m:t>10000</m:t>
              </m:r>
            </m:den>
          </m:f>
          <m:r>
            <w:rPr>
              <w:rFonts w:ascii="Cambria Math" w:hAnsi="Cambria Math"/>
            </w:rPr>
            <m:t>+</m:t>
          </m:r>
          <m:f>
            <m:fPr>
              <m:ctrlPr>
                <w:rPr>
                  <w:rFonts w:ascii="Cambria Math" w:hAnsi="Cambria Math"/>
                </w:rPr>
              </m:ctrlPr>
            </m:fPr>
            <m:num>
              <m:r>
                <w:rPr>
                  <w:rFonts w:ascii="Cambria Math" w:hAnsi="Cambria Math"/>
                </w:rPr>
                <m:t>10000*80</m:t>
              </m:r>
            </m:num>
            <m:den>
              <m:r>
                <w:rPr>
                  <w:rFonts w:ascii="Cambria Math" w:hAnsi="Cambria Math"/>
                </w:rPr>
                <m:t>10000</m:t>
              </m:r>
            </m:den>
          </m:f>
          <m:r>
            <w:rPr>
              <w:rFonts w:ascii="Cambria Math" w:hAnsi="Cambria Math"/>
            </w:rPr>
            <m:t>+</m:t>
          </m:r>
          <m:f>
            <m:fPr>
              <m:ctrlPr>
                <w:rPr>
                  <w:rFonts w:ascii="Cambria Math" w:hAnsi="Cambria Math"/>
                </w:rPr>
              </m:ctrlPr>
            </m:fPr>
            <m:num>
              <m:r>
                <w:rPr>
                  <w:rFonts w:ascii="Cambria Math" w:hAnsi="Cambria Math"/>
                </w:rPr>
                <m:t>6000*80</m:t>
              </m:r>
            </m:num>
            <m:den>
              <m:r>
                <w:rPr>
                  <w:rFonts w:ascii="Cambria Math" w:hAnsi="Cambria Math"/>
                </w:rPr>
                <m:t>10000</m:t>
              </m:r>
            </m:den>
          </m:f>
        </m:oMath>
      </m:oMathPara>
    </w:p>
    <w:p w:rsidR="00F82A2C" w:rsidRPr="00F82A2C" w:rsidRDefault="00F82A2C" w:rsidP="00F82A2C">
      <w:pPr>
        <w:rPr>
          <w:rStyle w:val="AERbody"/>
        </w:rPr>
      </w:pPr>
      <w:r>
        <w:rPr>
          <w:rStyle w:val="AERbody"/>
        </w:rPr>
        <w:t xml:space="preserve">                                 </w:t>
      </w:r>
      <w:r w:rsidRPr="00F82A2C">
        <w:rPr>
          <w:rStyle w:val="AERbody"/>
        </w:rPr>
        <w:t>SAIDI = 208 minutes</w:t>
      </w:r>
    </w:p>
    <w:p w:rsidR="00F82A2C" w:rsidRPr="00F82A2C" w:rsidRDefault="00F82A2C" w:rsidP="00F82A2C">
      <w:pPr>
        <w:rPr>
          <w:rStyle w:val="AERbody"/>
        </w:rPr>
      </w:pPr>
      <w:r>
        <w:rPr>
          <w:rStyle w:val="AERbody"/>
        </w:rPr>
        <w:t xml:space="preserve">Percentage </w:t>
      </w:r>
      <w:r w:rsidRPr="00F82A2C">
        <w:rPr>
          <w:rStyle w:val="AERbody"/>
        </w:rPr>
        <w:t xml:space="preserve">SAIDI improvement over pre-existing performance </w:t>
      </w:r>
    </w:p>
    <w:p w:rsidR="00F82A2C" w:rsidRPr="00F82A2C" w:rsidRDefault="00F82A2C" w:rsidP="00F82A2C">
      <w:pPr>
        <w:rPr>
          <w:rStyle w:val="AERbody"/>
        </w:rPr>
      </w:pPr>
      <w:r>
        <w:rPr>
          <w:rStyle w:val="AERbody"/>
        </w:rPr>
        <w:t xml:space="preserve">= (240-208)/240 = 13.33% </w:t>
      </w:r>
      <w:r w:rsidRPr="00F82A2C">
        <w:rPr>
          <w:rStyle w:val="AERtexthighlight"/>
        </w:rPr>
        <w:t>[same percentage improvement as SAIFI]</w:t>
      </w:r>
    </w:p>
    <w:p w:rsidR="00F82A2C" w:rsidRPr="00F82A2C" w:rsidRDefault="00F82A2C" w:rsidP="00F82A2C">
      <w:pPr>
        <w:pStyle w:val="AERbulletlistfirststyle"/>
      </w:pPr>
      <w:r>
        <w:t>C</w:t>
      </w:r>
      <w:r w:rsidRPr="00F82A2C">
        <w:t>AIDI</w:t>
      </w:r>
    </w:p>
    <w:p w:rsidR="00F82A2C" w:rsidRPr="00F82A2C" w:rsidRDefault="00F82A2C" w:rsidP="00F82A2C">
      <w:r>
        <w:t xml:space="preserve">CAIDI = </w:t>
      </w:r>
      <w:r w:rsidRPr="00F82A2C">
        <w:t>SAIDI/SAIFI = 208/2.6 = 80 (</w:t>
      </w:r>
      <w:r w:rsidRPr="00F82A2C">
        <w:rPr>
          <w:rStyle w:val="AERtexthighlight"/>
        </w:rPr>
        <w:t>no change from pre-existing performance</w:t>
      </w:r>
      <w:r w:rsidRPr="00F82A2C">
        <w:t>)</w:t>
      </w:r>
    </w:p>
    <w:p w:rsidR="00F82A2C" w:rsidRPr="00590E6E" w:rsidRDefault="00F82A2C" w:rsidP="00F82A2C">
      <w:pPr>
        <w:rPr>
          <w:rStyle w:val="AERbody"/>
        </w:rPr>
      </w:pPr>
    </w:p>
    <w:p w:rsidR="00F82A2C" w:rsidRPr="00F82A2C" w:rsidRDefault="00F82A2C" w:rsidP="00F82A2C">
      <w:pPr>
        <w:pStyle w:val="ListBullet3"/>
        <w:rPr>
          <w:rStyle w:val="AERtextbolditalics"/>
        </w:rPr>
      </w:pPr>
      <w:r w:rsidRPr="00F82A2C">
        <w:rPr>
          <w:rStyle w:val="AERtextbolditalics"/>
        </w:rPr>
        <w:t xml:space="preserve">  STPIS outcomes Scenario 2: Effect of auto-</w:t>
      </w:r>
      <w:proofErr w:type="spellStart"/>
      <w:r w:rsidRPr="00F82A2C">
        <w:rPr>
          <w:rStyle w:val="AERtextbolditalics"/>
        </w:rPr>
        <w:t>recloser</w:t>
      </w:r>
      <w:proofErr w:type="spellEnd"/>
      <w:r w:rsidRPr="00F82A2C">
        <w:rPr>
          <w:rStyle w:val="AERtextbolditalics"/>
        </w:rPr>
        <w:t xml:space="preserve">, deterioration of supply restoration time by 5% (SAIDI improvement 5% less than SAIFI improvement) [that is CAIDI is 5% higher]  </w:t>
      </w:r>
    </w:p>
    <w:p w:rsidR="00F82A2C" w:rsidRPr="00F82A2C" w:rsidRDefault="00F82A2C" w:rsidP="00F82A2C">
      <w:r w:rsidRPr="00590E6E">
        <w:t>Assumptions</w:t>
      </w:r>
    </w:p>
    <w:p w:rsidR="00F82A2C" w:rsidRPr="00F82A2C" w:rsidRDefault="00F82A2C" w:rsidP="00F82A2C">
      <w:pPr>
        <w:pStyle w:val="AERbulletlistfirststyle"/>
      </w:pPr>
      <w:r>
        <w:t>Same as scenario 1, a</w:t>
      </w:r>
      <w:r w:rsidRPr="00F82A2C">
        <w:t>n auto-</w:t>
      </w:r>
      <w:proofErr w:type="spellStart"/>
      <w:r w:rsidRPr="00F82A2C">
        <w:t>recloser</w:t>
      </w:r>
      <w:proofErr w:type="spellEnd"/>
      <w:r w:rsidRPr="00F82A2C">
        <w:t xml:space="preserve"> is installed at a distance 40% of the length of the feeder from its origin.  The feeder has 10,000 customers spread evenly along its length. The auto-</w:t>
      </w:r>
      <w:proofErr w:type="spellStart"/>
      <w:r w:rsidRPr="00F82A2C">
        <w:t>recloser</w:t>
      </w:r>
      <w:proofErr w:type="spellEnd"/>
      <w:r w:rsidRPr="00F82A2C">
        <w:t xml:space="preserve"> can automatically attempt to reclose a feeder after a supply interruption, in an attempt to restore supply very quickly to customers.</w:t>
      </w:r>
    </w:p>
    <w:p w:rsidR="00F82A2C" w:rsidRPr="00F82A2C" w:rsidRDefault="00F82A2C" w:rsidP="00F82A2C">
      <w:pPr>
        <w:pStyle w:val="AERbulletlistfirststyle"/>
      </w:pPr>
      <w:r w:rsidRPr="00590E6E">
        <w:t xml:space="preserve">As per average, there are 3 network faults leading to supply interruptions during the year or 3 SAIFI events. </w:t>
      </w:r>
    </w:p>
    <w:p w:rsidR="00F82A2C" w:rsidRPr="00F82A2C" w:rsidRDefault="00F82A2C" w:rsidP="00F82A2C">
      <w:pPr>
        <w:pStyle w:val="AERbulletlistfirststyle"/>
      </w:pPr>
      <w:r w:rsidRPr="00590E6E">
        <w:t>Two of the outages occurred near the origin. Hence, the auto-</w:t>
      </w:r>
      <w:proofErr w:type="spellStart"/>
      <w:r w:rsidRPr="00590E6E">
        <w:t>recloser</w:t>
      </w:r>
      <w:proofErr w:type="spellEnd"/>
      <w:r w:rsidRPr="00590E6E">
        <w:t xml:space="preserve"> was unable to have an effect. Both outages lasted 8</w:t>
      </w:r>
      <w:r w:rsidRPr="00F82A2C">
        <w:t xml:space="preserve">4 minutes (5% longer than previous average). </w:t>
      </w:r>
    </w:p>
    <w:p w:rsidR="00F82A2C" w:rsidRPr="00F82A2C" w:rsidRDefault="00F82A2C" w:rsidP="00F82A2C">
      <w:pPr>
        <w:pStyle w:val="AERbulletlistfirststyle"/>
      </w:pPr>
      <w:r w:rsidRPr="00590E6E">
        <w:lastRenderedPageBreak/>
        <w:t>The third fault occurred at the end of the feeder. For this event the auto-</w:t>
      </w:r>
      <w:proofErr w:type="spellStart"/>
      <w:r w:rsidRPr="00590E6E">
        <w:t>recloser</w:t>
      </w:r>
      <w:proofErr w:type="spellEnd"/>
      <w:r w:rsidRPr="00590E6E">
        <w:t xml:space="preserve"> was successful in isolating the healthy part of the feeder from the fault. Hence, the </w:t>
      </w:r>
      <w:r w:rsidRPr="00F82A2C">
        <w:t>4,000 customers between the feeder origin and the auto-</w:t>
      </w:r>
      <w:proofErr w:type="spellStart"/>
      <w:r w:rsidRPr="00F82A2C">
        <w:t>recloser</w:t>
      </w:r>
      <w:proofErr w:type="spellEnd"/>
      <w:r w:rsidRPr="00F82A2C">
        <w:t xml:space="preserve"> only experience a momentary interruption. The supply to the other 6,000 customers was restored at 84 minutes. 5% longer than previous average). </w:t>
      </w:r>
    </w:p>
    <w:p w:rsidR="00F82A2C" w:rsidRPr="00F82A2C" w:rsidRDefault="00F82A2C" w:rsidP="00F82A2C">
      <w:r w:rsidRPr="00590E6E">
        <w:t>Mathematically the STPIS performance outcomes may be calculated formulas follows</w:t>
      </w:r>
    </w:p>
    <w:p w:rsidR="00F82A2C" w:rsidRPr="00F82A2C" w:rsidRDefault="00F82A2C" w:rsidP="00F82A2C">
      <w:pPr>
        <w:pStyle w:val="AERbulletlistfirststyle"/>
      </w:pPr>
      <w:r w:rsidRPr="00590E6E">
        <w:t>SAIFI</w:t>
      </w:r>
    </w:p>
    <w:p w:rsidR="00F82A2C" w:rsidRPr="00F82A2C" w:rsidRDefault="00F82A2C" w:rsidP="00F82A2C">
      <m:oMathPara>
        <m:oMathParaPr>
          <m:jc m:val="left"/>
        </m:oMathParaPr>
        <m:oMath>
          <m:r>
            <m:rPr>
              <m:sty m:val="p"/>
            </m:rPr>
            <w:rPr>
              <w:rFonts w:ascii="Cambria Math" w:hAnsi="Cambria Math"/>
            </w:rPr>
            <m:t>SAIFI=</m:t>
          </m:r>
          <m:f>
            <m:fPr>
              <m:ctrlPr>
                <w:rPr>
                  <w:rFonts w:ascii="Cambria Math" w:hAnsi="Cambria Math"/>
                </w:rPr>
              </m:ctrlPr>
            </m:fPr>
            <m:num>
              <m:r>
                <w:rPr>
                  <w:rFonts w:ascii="Cambria Math" w:hAnsi="Cambria Math"/>
                </w:rPr>
                <m:t>to</m:t>
              </m:r>
              <m:r>
                <w:rPr>
                  <w:rFonts w:ascii="Cambria Math" w:hAnsi="Cambria Math"/>
                </w:rPr>
                <m:t>tal number of customer interruptions</m:t>
              </m:r>
            </m:num>
            <m:den>
              <m:r>
                <w:rPr>
                  <w:rFonts w:ascii="Cambria Math" w:hAnsi="Cambria Math"/>
                </w:rPr>
                <m:t>total number of customers served</m:t>
              </m:r>
            </m:den>
          </m:f>
        </m:oMath>
      </m:oMathPara>
    </w:p>
    <w:p w:rsidR="00F82A2C" w:rsidRPr="00F82A2C" w:rsidRDefault="00F82A2C" w:rsidP="00F82A2C">
      <w:pPr>
        <w:rPr>
          <w:rStyle w:val="AERbody"/>
        </w:rPr>
      </w:pPr>
      <w:r w:rsidRPr="00590E6E">
        <w:rPr>
          <w:rStyle w:val="AERbody"/>
        </w:rPr>
        <w:t>SAIFI (all events) = SAIFI (event 1) + SAIFI (event 2) + SAIFI (event 3)</w:t>
      </w:r>
    </w:p>
    <w:p w:rsidR="00F82A2C" w:rsidRPr="00F82A2C" w:rsidRDefault="00F82A2C" w:rsidP="00F82A2C">
      <w:pPr>
        <w:rPr>
          <w:rStyle w:val="AERbody"/>
        </w:rPr>
      </w:pPr>
      <m:oMathPara>
        <m:oMath>
          <m:r>
            <m:rPr>
              <m:sty m:val="p"/>
            </m:rPr>
            <w:rPr>
              <w:rFonts w:ascii="Cambria Math" w:hAnsi="Cambria Math"/>
            </w:rPr>
            <m:t>SAIFI=</m:t>
          </m:r>
          <m:f>
            <m:fPr>
              <m:ctrlPr>
                <w:rPr>
                  <w:rFonts w:ascii="Cambria Math" w:hAnsi="Cambria Math"/>
                </w:rPr>
              </m:ctrlPr>
            </m:fPr>
            <m:num>
              <m:r>
                <w:rPr>
                  <w:rFonts w:ascii="Cambria Math" w:hAnsi="Cambria Math"/>
                </w:rPr>
                <m:t>10000</m:t>
              </m:r>
            </m:num>
            <m:den>
              <m:r>
                <w:rPr>
                  <w:rFonts w:ascii="Cambria Math" w:hAnsi="Cambria Math"/>
                </w:rPr>
                <m:t>10000</m:t>
              </m:r>
            </m:den>
          </m:f>
          <m:r>
            <w:rPr>
              <w:rFonts w:ascii="Cambria Math" w:hAnsi="Cambria Math"/>
            </w:rPr>
            <m:t>+</m:t>
          </m:r>
          <m:f>
            <m:fPr>
              <m:ctrlPr>
                <w:rPr>
                  <w:rFonts w:ascii="Cambria Math" w:hAnsi="Cambria Math"/>
                </w:rPr>
              </m:ctrlPr>
            </m:fPr>
            <m:num>
              <m:r>
                <w:rPr>
                  <w:rFonts w:ascii="Cambria Math" w:hAnsi="Cambria Math"/>
                </w:rPr>
                <m:t>10000</m:t>
              </m:r>
            </m:num>
            <m:den>
              <m:r>
                <w:rPr>
                  <w:rFonts w:ascii="Cambria Math" w:hAnsi="Cambria Math"/>
                </w:rPr>
                <m:t>10000</m:t>
              </m:r>
            </m:den>
          </m:f>
          <m:r>
            <w:rPr>
              <w:rFonts w:ascii="Cambria Math" w:hAnsi="Cambria Math"/>
            </w:rPr>
            <m:t>+</m:t>
          </m:r>
          <m:f>
            <m:fPr>
              <m:ctrlPr>
                <w:rPr>
                  <w:rFonts w:ascii="Cambria Math" w:hAnsi="Cambria Math"/>
                </w:rPr>
              </m:ctrlPr>
            </m:fPr>
            <m:num>
              <m:r>
                <w:rPr>
                  <w:rFonts w:ascii="Cambria Math" w:hAnsi="Cambria Math"/>
                </w:rPr>
                <m:t>6000</m:t>
              </m:r>
            </m:num>
            <m:den>
              <m:r>
                <w:rPr>
                  <w:rFonts w:ascii="Cambria Math" w:hAnsi="Cambria Math"/>
                </w:rPr>
                <m:t>10000</m:t>
              </m:r>
            </m:den>
          </m:f>
        </m:oMath>
      </m:oMathPara>
    </w:p>
    <w:p w:rsidR="00F82A2C" w:rsidRPr="00F82A2C" w:rsidRDefault="00F82A2C" w:rsidP="00F82A2C">
      <w:pPr>
        <w:rPr>
          <w:rStyle w:val="AERbody"/>
        </w:rPr>
      </w:pPr>
      <w:r>
        <w:rPr>
          <w:rStyle w:val="AERbody"/>
        </w:rPr>
        <w:t xml:space="preserve">                                           </w:t>
      </w:r>
      <w:r w:rsidRPr="00F82A2C">
        <w:rPr>
          <w:rStyle w:val="AERbody"/>
        </w:rPr>
        <w:t>SAIFI = 2.6</w:t>
      </w:r>
    </w:p>
    <w:p w:rsidR="00F82A2C" w:rsidRPr="00F82A2C" w:rsidRDefault="00F82A2C" w:rsidP="00F82A2C">
      <w:pPr>
        <w:rPr>
          <w:rStyle w:val="AERbody"/>
        </w:rPr>
      </w:pPr>
      <w:r>
        <w:rPr>
          <w:rStyle w:val="AERbody"/>
        </w:rPr>
        <w:t xml:space="preserve">Percentage </w:t>
      </w:r>
      <w:r w:rsidRPr="00F82A2C">
        <w:rPr>
          <w:rStyle w:val="AERbody"/>
        </w:rPr>
        <w:t xml:space="preserve">SAIFI improvement over pre-existing performance </w:t>
      </w:r>
    </w:p>
    <w:p w:rsidR="00F82A2C" w:rsidRPr="00F82A2C" w:rsidRDefault="00F82A2C" w:rsidP="00F82A2C">
      <w:pPr>
        <w:rPr>
          <w:rStyle w:val="AERbody"/>
        </w:rPr>
      </w:pPr>
      <w:r>
        <w:rPr>
          <w:rStyle w:val="AERbody"/>
        </w:rPr>
        <w:t>= (3-2.6)/3 = 13.33%</w:t>
      </w:r>
    </w:p>
    <w:p w:rsidR="00F82A2C" w:rsidRPr="00F82A2C" w:rsidRDefault="00F82A2C" w:rsidP="00F82A2C">
      <w:pPr>
        <w:pStyle w:val="AERbulletlistfirststyle"/>
      </w:pPr>
      <w:r w:rsidRPr="00590E6E">
        <w:t>SAIDI</w:t>
      </w:r>
    </w:p>
    <w:p w:rsidR="00F82A2C" w:rsidRPr="00F82A2C" w:rsidRDefault="00F82A2C" w:rsidP="00F82A2C">
      <w:pPr>
        <w:rPr>
          <w:rStyle w:val="AERbody"/>
        </w:rPr>
      </w:pPr>
      <m:oMathPara>
        <m:oMathParaPr>
          <m:jc m:val="left"/>
        </m:oMathParaPr>
        <m:oMath>
          <m:r>
            <m:rPr>
              <m:sty m:val="p"/>
            </m:rPr>
            <w:rPr>
              <w:rFonts w:ascii="Cambria Math" w:hAnsi="Cambria Math"/>
            </w:rPr>
            <m:t>SAIDI=</m:t>
          </m:r>
          <m:f>
            <m:fPr>
              <m:ctrlPr>
                <w:rPr>
                  <w:rFonts w:ascii="Cambria Math" w:hAnsi="Cambria Math"/>
                </w:rPr>
              </m:ctrlPr>
            </m:fPr>
            <m:num>
              <m:r>
                <w:rPr>
                  <w:rFonts w:ascii="Cambria Math" w:hAnsi="Cambria Math"/>
                </w:rPr>
                <m:t>sum</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all</m:t>
              </m:r>
              <m:r>
                <m:rPr>
                  <m:sty m:val="p"/>
                </m:rPr>
                <w:rPr>
                  <w:rFonts w:ascii="Cambria Math" w:hAnsi="Cambria Math"/>
                </w:rPr>
                <m:t xml:space="preserve"> </m:t>
              </m:r>
              <m:r>
                <w:rPr>
                  <w:rFonts w:ascii="Cambria Math" w:hAnsi="Cambria Math"/>
                </w:rPr>
                <m:t>customer</m:t>
              </m:r>
              <m:r>
                <m:rPr>
                  <m:sty m:val="p"/>
                </m:rPr>
                <w:rPr>
                  <w:rFonts w:ascii="Cambria Math" w:hAnsi="Cambria Math"/>
                </w:rPr>
                <m:t xml:space="preserve"> </m:t>
              </m:r>
              <m:r>
                <w:rPr>
                  <w:rFonts w:ascii="Cambria Math" w:hAnsi="Cambria Math"/>
                </w:rPr>
                <m:t>interruption</m:t>
              </m:r>
              <m:r>
                <m:rPr>
                  <m:sty m:val="p"/>
                </m:rPr>
                <w:rPr>
                  <w:rFonts w:ascii="Cambria Math" w:hAnsi="Cambria Math"/>
                </w:rPr>
                <m:t xml:space="preserve"> </m:t>
              </m:r>
              <m:r>
                <w:rPr>
                  <w:rFonts w:ascii="Cambria Math" w:hAnsi="Cambria Math"/>
                </w:rPr>
                <m:t>duration</m:t>
              </m:r>
            </m:num>
            <m:den>
              <m:r>
                <w:rPr>
                  <w:rFonts w:ascii="Cambria Math" w:hAnsi="Cambria Math"/>
                </w:rPr>
                <m:t>total</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customers</m:t>
              </m:r>
              <m:r>
                <m:rPr>
                  <m:sty m:val="p"/>
                </m:rPr>
                <w:rPr>
                  <w:rFonts w:ascii="Cambria Math" w:hAnsi="Cambria Math"/>
                </w:rPr>
                <m:t xml:space="preserve"> </m:t>
              </m:r>
              <m:r>
                <w:rPr>
                  <w:rFonts w:ascii="Cambria Math" w:hAnsi="Cambria Math"/>
                </w:rPr>
                <m:t>served</m:t>
              </m:r>
            </m:den>
          </m:f>
        </m:oMath>
      </m:oMathPara>
    </w:p>
    <w:p w:rsidR="00F82A2C" w:rsidRPr="00F82A2C" w:rsidRDefault="00F82A2C" w:rsidP="00F82A2C">
      <w:pPr>
        <w:rPr>
          <w:rStyle w:val="AERbody"/>
        </w:rPr>
      </w:pPr>
      <w:r w:rsidRPr="00590E6E">
        <w:rPr>
          <w:rStyle w:val="AERbody"/>
        </w:rPr>
        <w:t>SAIDI (all events) = SADFI (event 1) + SAIDI (event 2) + SAIDI (event 3)</w:t>
      </w:r>
    </w:p>
    <w:p w:rsidR="00F82A2C" w:rsidRPr="00F82A2C" w:rsidRDefault="00F82A2C" w:rsidP="00F82A2C">
      <w:pPr>
        <w:rPr>
          <w:rStyle w:val="AERbody"/>
        </w:rPr>
      </w:pPr>
      <m:oMathPara>
        <m:oMath>
          <m:r>
            <m:rPr>
              <m:sty m:val="p"/>
            </m:rPr>
            <w:rPr>
              <w:rFonts w:ascii="Cambria Math" w:hAnsi="Cambria Math"/>
            </w:rPr>
            <m:t>SAIDI=</m:t>
          </m:r>
          <m:f>
            <m:fPr>
              <m:ctrlPr>
                <w:rPr>
                  <w:rFonts w:ascii="Cambria Math" w:hAnsi="Cambria Math"/>
                </w:rPr>
              </m:ctrlPr>
            </m:fPr>
            <m:num>
              <m:r>
                <w:rPr>
                  <w:rFonts w:ascii="Cambria Math" w:hAnsi="Cambria Math"/>
                </w:rPr>
                <m:t>10000*84</m:t>
              </m:r>
            </m:num>
            <m:den>
              <m:r>
                <w:rPr>
                  <w:rFonts w:ascii="Cambria Math" w:hAnsi="Cambria Math"/>
                </w:rPr>
                <m:t>10000</m:t>
              </m:r>
            </m:den>
          </m:f>
          <m:r>
            <w:rPr>
              <w:rFonts w:ascii="Cambria Math" w:hAnsi="Cambria Math"/>
            </w:rPr>
            <m:t>+</m:t>
          </m:r>
          <m:f>
            <m:fPr>
              <m:ctrlPr>
                <w:rPr>
                  <w:rFonts w:ascii="Cambria Math" w:hAnsi="Cambria Math"/>
                </w:rPr>
              </m:ctrlPr>
            </m:fPr>
            <m:num>
              <m:r>
                <w:rPr>
                  <w:rFonts w:ascii="Cambria Math" w:hAnsi="Cambria Math"/>
                </w:rPr>
                <m:t>10000*84</m:t>
              </m:r>
            </m:num>
            <m:den>
              <m:r>
                <w:rPr>
                  <w:rFonts w:ascii="Cambria Math" w:hAnsi="Cambria Math"/>
                </w:rPr>
                <m:t>10000</m:t>
              </m:r>
            </m:den>
          </m:f>
          <m:r>
            <w:rPr>
              <w:rFonts w:ascii="Cambria Math" w:hAnsi="Cambria Math"/>
            </w:rPr>
            <m:t>+</m:t>
          </m:r>
          <m:f>
            <m:fPr>
              <m:ctrlPr>
                <w:rPr>
                  <w:rFonts w:ascii="Cambria Math" w:hAnsi="Cambria Math"/>
                </w:rPr>
              </m:ctrlPr>
            </m:fPr>
            <m:num>
              <m:r>
                <w:rPr>
                  <w:rFonts w:ascii="Cambria Math" w:hAnsi="Cambria Math"/>
                </w:rPr>
                <m:t>6000*84</m:t>
              </m:r>
            </m:num>
            <m:den>
              <m:r>
                <w:rPr>
                  <w:rFonts w:ascii="Cambria Math" w:hAnsi="Cambria Math"/>
                </w:rPr>
                <m:t>10000</m:t>
              </m:r>
            </m:den>
          </m:f>
        </m:oMath>
      </m:oMathPara>
    </w:p>
    <w:p w:rsidR="00F82A2C" w:rsidRPr="00F82A2C" w:rsidRDefault="00F82A2C" w:rsidP="00F82A2C">
      <w:pPr>
        <w:rPr>
          <w:rStyle w:val="AERbody"/>
        </w:rPr>
      </w:pPr>
      <w:r>
        <w:rPr>
          <w:rStyle w:val="AERbody"/>
        </w:rPr>
        <w:t xml:space="preserve">                                 </w:t>
      </w:r>
      <w:r w:rsidRPr="00F82A2C">
        <w:rPr>
          <w:rStyle w:val="AERbody"/>
        </w:rPr>
        <w:t>SAIDI = 218.4 minutes</w:t>
      </w:r>
    </w:p>
    <w:p w:rsidR="00F82A2C" w:rsidRPr="00F82A2C" w:rsidRDefault="00F82A2C" w:rsidP="00F82A2C">
      <w:pPr>
        <w:rPr>
          <w:rStyle w:val="AERbody"/>
        </w:rPr>
      </w:pPr>
      <w:r>
        <w:rPr>
          <w:rStyle w:val="AERbody"/>
        </w:rPr>
        <w:t xml:space="preserve">Percentage </w:t>
      </w:r>
      <w:r w:rsidRPr="00F82A2C">
        <w:rPr>
          <w:rStyle w:val="AERbody"/>
        </w:rPr>
        <w:t xml:space="preserve">SAIDI improvement over pre-existing performance </w:t>
      </w:r>
    </w:p>
    <w:p w:rsidR="00F82A2C" w:rsidRPr="00F82A2C" w:rsidRDefault="00F82A2C" w:rsidP="00F82A2C">
      <w:pPr>
        <w:rPr>
          <w:rStyle w:val="AERbody"/>
        </w:rPr>
      </w:pPr>
      <w:r>
        <w:rPr>
          <w:rStyle w:val="AERbody"/>
        </w:rPr>
        <w:t>= (240-218.4)/240 = 9%</w:t>
      </w:r>
    </w:p>
    <w:p w:rsidR="00F82A2C" w:rsidRPr="00F82A2C" w:rsidRDefault="00F82A2C" w:rsidP="00F82A2C">
      <w:pPr>
        <w:pStyle w:val="AERbulletlistfirststyle"/>
      </w:pPr>
      <w:r>
        <w:t>C</w:t>
      </w:r>
      <w:r w:rsidRPr="00F82A2C">
        <w:t>AIDI</w:t>
      </w:r>
    </w:p>
    <w:p w:rsidR="00F82A2C" w:rsidRDefault="00F82A2C" w:rsidP="00F82A2C">
      <w:r>
        <w:t xml:space="preserve">CAIDI = </w:t>
      </w:r>
      <w:r w:rsidRPr="00F82A2C">
        <w:t>SAIDI/SAIFI = 218.4/2.6 = 84 (5% longer than pre-existing performance)</w:t>
      </w:r>
    </w:p>
    <w:p w:rsidR="002102B2" w:rsidRPr="00F82A2C" w:rsidRDefault="002102B2" w:rsidP="00F82A2C"/>
    <w:p w:rsidR="00F82A2C" w:rsidRPr="00F82A2C" w:rsidRDefault="00F82A2C" w:rsidP="00F82A2C">
      <w:pPr>
        <w:pStyle w:val="ListBullet3"/>
        <w:rPr>
          <w:rStyle w:val="AERtextbolditalics"/>
        </w:rPr>
      </w:pPr>
      <w:bookmarkStart w:id="82" w:name="_Toc469062112"/>
      <w:r w:rsidRPr="00F82A2C">
        <w:rPr>
          <w:rStyle w:val="AERtextbolditalics"/>
        </w:rPr>
        <w:t xml:space="preserve">  SAIFI and SAIDI incentive rates</w:t>
      </w:r>
      <w:bookmarkEnd w:id="82"/>
      <w:r w:rsidRPr="00F82A2C">
        <w:rPr>
          <w:rStyle w:val="AERtextbolditalics"/>
        </w:rPr>
        <w:t xml:space="preserve"> under current scheme SAIDI/SAIFI incentive rate ratio</w:t>
      </w:r>
    </w:p>
    <w:p w:rsidR="00F82A2C" w:rsidRPr="00F82A2C" w:rsidRDefault="00F82A2C" w:rsidP="00F82A2C">
      <w:r w:rsidRPr="00590E6E">
        <w:t xml:space="preserve">Under the </w:t>
      </w:r>
      <w:r w:rsidRPr="00F82A2C">
        <w:t>current STPIS scheme, the incentive rate formulae for the unplanned SAIDI and unplanned SAIFI parameters are expressed as:</w:t>
      </w:r>
    </w:p>
    <w:p w:rsidR="00F82A2C" w:rsidRPr="00F82A2C" w:rsidRDefault="00F82A2C" w:rsidP="00F82A2C">
      <w:r w:rsidRPr="00F82A2C">
        <w:object w:dxaOrig="5220" w:dyaOrig="1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35pt;height:89.85pt" o:ole="">
            <v:imagedata r:id="rId13" o:title=""/>
          </v:shape>
          <o:OLEObject Type="Embed" ProgID="Equation.3" ShapeID="_x0000_i1025" DrawAspect="Content" ObjectID="_1574672982" r:id="rId14"/>
        </w:object>
      </w:r>
      <w:r w:rsidRPr="00F82A2C">
        <w:t xml:space="preserve">     ..................................... (1)</w:t>
      </w:r>
    </w:p>
    <w:p w:rsidR="00F82A2C" w:rsidRPr="00590E6E" w:rsidRDefault="00F82A2C" w:rsidP="00F82A2C"/>
    <w:p w:rsidR="00F82A2C" w:rsidRPr="00590E6E" w:rsidRDefault="00F82A2C" w:rsidP="00F82A2C"/>
    <w:p w:rsidR="00F82A2C" w:rsidRPr="00F82A2C" w:rsidRDefault="00F82A2C" w:rsidP="00F82A2C">
      <w:r w:rsidRPr="00F82A2C">
        <w:object w:dxaOrig="5560" w:dyaOrig="1900">
          <v:shape id="_x0000_i1026" type="#_x0000_t75" style="width:260.4pt;height:89.85pt" o:ole="">
            <v:imagedata r:id="rId15" o:title=""/>
          </v:shape>
          <o:OLEObject Type="Embed" ProgID="Equation.3" ShapeID="_x0000_i1026" DrawAspect="Content" ObjectID="_1574672983" r:id="rId16"/>
        </w:object>
      </w:r>
      <w:r w:rsidRPr="00F82A2C">
        <w:t xml:space="preserve">    …............................. (2)</w:t>
      </w:r>
    </w:p>
    <w:p w:rsidR="00F82A2C" w:rsidRPr="00F82A2C" w:rsidRDefault="00F82A2C" w:rsidP="00F82A2C">
      <w:pPr>
        <w:rPr>
          <w:rStyle w:val="AERbody"/>
        </w:rPr>
      </w:pPr>
      <w:r w:rsidRPr="00590E6E">
        <w:rPr>
          <w:rStyle w:val="AERbody"/>
        </w:rPr>
        <w:t>Where</w:t>
      </w:r>
    </w:p>
    <w:p w:rsidR="00F82A2C" w:rsidRPr="00F82A2C" w:rsidRDefault="00F82A2C" w:rsidP="00F82A2C">
      <w:pPr>
        <w:pStyle w:val="AERbulletlistfirststyle"/>
        <w:rPr>
          <w:rStyle w:val="AERbody"/>
        </w:rPr>
      </w:pPr>
      <w:r w:rsidRPr="00590E6E">
        <w:rPr>
          <w:rStyle w:val="AERbody"/>
        </w:rPr>
        <w:t>ir</w:t>
      </w:r>
      <w:r w:rsidRPr="00590E6E">
        <w:rPr>
          <w:rStyle w:val="AERbody"/>
        </w:rPr>
        <w:tab/>
        <w:t xml:space="preserve">is the incentive rate (expressed in a percentage per unit of the </w:t>
      </w:r>
      <w:r w:rsidRPr="00F82A2C">
        <w:rPr>
          <w:rStyle w:val="AERbody"/>
        </w:rPr>
        <w:t>parameter)</w:t>
      </w:r>
    </w:p>
    <w:p w:rsidR="00F82A2C" w:rsidRPr="00F82A2C" w:rsidRDefault="00F82A2C" w:rsidP="00F82A2C">
      <w:pPr>
        <w:pStyle w:val="AERbulletlistfirststyle"/>
        <w:rPr>
          <w:rStyle w:val="AERbody"/>
        </w:rPr>
      </w:pPr>
      <w:r w:rsidRPr="00590E6E">
        <w:rPr>
          <w:rStyle w:val="AERbody"/>
        </w:rPr>
        <w:t>n</w:t>
      </w:r>
      <w:r w:rsidRPr="00590E6E">
        <w:rPr>
          <w:rStyle w:val="AERbody"/>
        </w:rPr>
        <w:tab/>
        <w:t>is the network type (</w:t>
      </w:r>
      <w:r w:rsidRPr="00F82A2C">
        <w:rPr>
          <w:rStyle w:val="AERbody"/>
        </w:rPr>
        <w:t>rural)</w:t>
      </w:r>
    </w:p>
    <w:p w:rsidR="00F82A2C" w:rsidRPr="00F82A2C" w:rsidRDefault="00F82A2C" w:rsidP="00F82A2C">
      <w:pPr>
        <w:pStyle w:val="AERbulletlistfirststyle"/>
        <w:rPr>
          <w:rStyle w:val="AERbody"/>
        </w:rPr>
      </w:pPr>
      <w:r w:rsidRPr="00590E6E">
        <w:rPr>
          <w:rStyle w:val="AERbody"/>
        </w:rPr>
        <w:t>VCRn</w:t>
      </w:r>
      <w:r w:rsidRPr="00590E6E">
        <w:rPr>
          <w:rStyle w:val="AERbody"/>
        </w:rPr>
        <w:tab/>
        <w:t xml:space="preserve">is the Value of Customer Reliability for network type n escalated to the start of the relevant regulatory control period. </w:t>
      </w:r>
      <w:r w:rsidRPr="00F82A2C">
        <w:rPr>
          <w:rStyle w:val="AERbody"/>
        </w:rPr>
        <w:t>For this example we use the current typical VCR value of $37,000/MWh</w:t>
      </w:r>
      <w:r w:rsidRPr="00F82A2C">
        <w:t>.</w:t>
      </w:r>
    </w:p>
    <w:p w:rsidR="00F82A2C" w:rsidRPr="00F82A2C" w:rsidRDefault="00F82A2C" w:rsidP="00F82A2C">
      <w:pPr>
        <w:pStyle w:val="AERbulletlistfirststyle"/>
        <w:rPr>
          <w:rStyle w:val="AERbody"/>
        </w:rPr>
      </w:pPr>
      <w:r w:rsidRPr="00590E6E">
        <w:rPr>
          <w:rStyle w:val="AERbody"/>
        </w:rPr>
        <w:t>CPI</w:t>
      </w:r>
      <w:r w:rsidRPr="00590E6E">
        <w:rPr>
          <w:rStyle w:val="AERbody"/>
        </w:rPr>
        <w:tab/>
        <w:t xml:space="preserve">the consumer price index used to adjust VCR from the </w:t>
      </w:r>
      <w:r w:rsidRPr="00F82A2C">
        <w:rPr>
          <w:rStyle w:val="AERbody"/>
        </w:rPr>
        <w:t>initial value to the present day value. For this example, we use the value of 3%.</w:t>
      </w:r>
    </w:p>
    <w:p w:rsidR="00F82A2C" w:rsidRPr="00F82A2C" w:rsidRDefault="00F82A2C" w:rsidP="00F82A2C">
      <w:pPr>
        <w:pStyle w:val="AERbulletlistfirststyle"/>
        <w:rPr>
          <w:rStyle w:val="AERbody"/>
        </w:rPr>
      </w:pPr>
      <w:r w:rsidRPr="00590E6E">
        <w:rPr>
          <w:rStyle w:val="AERbody"/>
        </w:rPr>
        <w:t>W</w:t>
      </w:r>
      <w:r w:rsidRPr="00F82A2C">
        <w:rPr>
          <w:rStyle w:val="AERsubscript"/>
        </w:rPr>
        <w:t>n</w:t>
      </w:r>
      <w:r w:rsidRPr="00F82A2C">
        <w:rPr>
          <w:rStyle w:val="AERbody"/>
        </w:rPr>
        <w:tab/>
        <w:t xml:space="preserve"> is the network type weighting for the unplanned SAIDI or unplanned SAIFI parameter. </w:t>
      </w:r>
      <w:r w:rsidRPr="00F82A2C">
        <w:rPr>
          <w:rStyle w:val="AERbody"/>
          <w:highlight w:val="yellow"/>
        </w:rPr>
        <w:t>The W</w:t>
      </w:r>
      <w:r w:rsidRPr="00F82A2C">
        <w:rPr>
          <w:rStyle w:val="AERsubscript"/>
          <w:highlight w:val="yellow"/>
        </w:rPr>
        <w:t>n</w:t>
      </w:r>
      <w:r w:rsidRPr="00F82A2C">
        <w:rPr>
          <w:rStyle w:val="AERbody"/>
          <w:highlight w:val="yellow"/>
        </w:rPr>
        <w:t xml:space="preserve"> values for CBD, urban and rural networks are 1.13, 0.97 and 0.92 respectively. Hence, the factor of [1/(1+ W</w:t>
      </w:r>
      <w:r w:rsidRPr="00F82A2C">
        <w:rPr>
          <w:rStyle w:val="AERsubscript"/>
          <w:highlight w:val="yellow"/>
        </w:rPr>
        <w:t>n</w:t>
      </w:r>
      <w:r w:rsidRPr="00F82A2C">
        <w:rPr>
          <w:rStyle w:val="AERbody"/>
          <w:highlight w:val="yellow"/>
        </w:rPr>
        <w:t>)] equals 0.47, 0.51 and 0.52 respectively (roughly half the value).</w:t>
      </w:r>
    </w:p>
    <w:p w:rsidR="00F82A2C" w:rsidRPr="00F82A2C" w:rsidRDefault="00F82A2C" w:rsidP="00F82A2C">
      <w:pPr>
        <w:pStyle w:val="AERbulletlistfirststyle"/>
        <w:rPr>
          <w:rStyle w:val="AERbody"/>
        </w:rPr>
      </w:pPr>
      <w:r w:rsidRPr="00590E6E">
        <w:rPr>
          <w:rStyle w:val="AERbody"/>
        </w:rPr>
        <w:t>C</w:t>
      </w:r>
      <w:r w:rsidRPr="00F82A2C">
        <w:rPr>
          <w:rStyle w:val="AERsubscript"/>
        </w:rPr>
        <w:t>n</w:t>
      </w:r>
      <w:r w:rsidRPr="00F82A2C">
        <w:rPr>
          <w:rStyle w:val="AERbody"/>
        </w:rPr>
        <w:tab/>
        <w:t>is the average annual energy consumption for network type n (say 1,250,000)</w:t>
      </w:r>
    </w:p>
    <w:p w:rsidR="00F82A2C" w:rsidRPr="00F82A2C" w:rsidRDefault="00F82A2C" w:rsidP="00F82A2C">
      <w:pPr>
        <w:pStyle w:val="AERbulletlistfirststyle"/>
        <w:rPr>
          <w:rStyle w:val="AERbody"/>
        </w:rPr>
      </w:pPr>
      <w:r w:rsidRPr="00590E6E">
        <w:rPr>
          <w:rStyle w:val="AERbody"/>
        </w:rPr>
        <w:t>R</w:t>
      </w:r>
      <w:r w:rsidRPr="00590E6E">
        <w:rPr>
          <w:rStyle w:val="AERbody"/>
        </w:rPr>
        <w:tab/>
        <w:t xml:space="preserve">is the average of the smoothed annual revenue requirement </w:t>
      </w:r>
      <w:r w:rsidRPr="00CB64B8">
        <w:rPr>
          <w:rStyle w:val="AERbody"/>
        </w:rPr>
        <w:t>for</w:t>
      </w:r>
      <w:r w:rsidRPr="00590E6E">
        <w:rPr>
          <w:rStyle w:val="AERbody"/>
        </w:rPr>
        <w:t xml:space="preserve"> the relevant regulatory control period (</w:t>
      </w:r>
      <w:r w:rsidRPr="00F82A2C">
        <w:rPr>
          <w:rStyle w:val="AERbody"/>
        </w:rPr>
        <w:t>say $ 600,000,000)</w:t>
      </w:r>
    </w:p>
    <w:p w:rsidR="00F82A2C" w:rsidRPr="00F82A2C" w:rsidRDefault="00F82A2C" w:rsidP="00F82A2C">
      <w:pPr>
        <w:pStyle w:val="AERbulletlistfirststyle"/>
        <w:rPr>
          <w:rStyle w:val="AERbody"/>
        </w:rPr>
      </w:pPr>
      <w:r w:rsidRPr="00590E6E">
        <w:rPr>
          <w:rStyle w:val="AERbody"/>
        </w:rPr>
        <w:t>SAIDI</w:t>
      </w:r>
      <w:r w:rsidRPr="00F82A2C">
        <w:rPr>
          <w:rStyle w:val="AERsubscript"/>
        </w:rPr>
        <w:t>n</w:t>
      </w:r>
      <w:r w:rsidRPr="00F82A2C">
        <w:rPr>
          <w:rStyle w:val="AERbody"/>
        </w:rPr>
        <w:tab/>
        <w:t xml:space="preserve"> is the average of the unplanned SAIDI targets in the regulatory control period for network type n</w:t>
      </w:r>
    </w:p>
    <w:p w:rsidR="00F82A2C" w:rsidRPr="00F82A2C" w:rsidRDefault="00F82A2C" w:rsidP="00F82A2C">
      <w:pPr>
        <w:pStyle w:val="AERbulletlistfirststyle"/>
        <w:rPr>
          <w:rStyle w:val="AERbody"/>
        </w:rPr>
      </w:pPr>
      <w:r w:rsidRPr="00590E6E">
        <w:rPr>
          <w:rStyle w:val="AERbody"/>
        </w:rPr>
        <w:t>SAIFI</w:t>
      </w:r>
      <w:r w:rsidRPr="00F82A2C">
        <w:rPr>
          <w:rStyle w:val="AERsubscript"/>
        </w:rPr>
        <w:t>n</w:t>
      </w:r>
      <w:r w:rsidRPr="00F82A2C">
        <w:rPr>
          <w:rStyle w:val="AERbody"/>
        </w:rPr>
        <w:t xml:space="preserve"> is the average of the unplanned SAIFI targets in the regulatory control period for network type n.</w:t>
      </w:r>
    </w:p>
    <w:p w:rsidR="00F82A2C" w:rsidRPr="00F82A2C" w:rsidRDefault="00F82A2C" w:rsidP="00F82A2C">
      <w:pPr>
        <w:pStyle w:val="AERbulletlistfirststyle"/>
        <w:rPr>
          <w:rStyle w:val="AERbody"/>
        </w:rPr>
      </w:pPr>
      <w:r w:rsidRPr="00590E6E">
        <w:rPr>
          <w:rStyle w:val="AERbody"/>
        </w:rPr>
        <w:t>Using the above equations with the following we derive:</w:t>
      </w:r>
    </w:p>
    <w:p w:rsidR="00F82A2C" w:rsidRPr="00F82A2C" w:rsidRDefault="003F3D33" w:rsidP="00F82A2C">
      <w:pPr>
        <w:rPr>
          <w:rStyle w:val="AERbody"/>
        </w:rPr>
      </w:pPr>
      <w:r w:rsidRPr="003F3D33">
        <w:rPr>
          <w:rStyle w:val="AERbody"/>
        </w:rPr>
        <w:object w:dxaOrig="6979" w:dyaOrig="1680">
          <v:shape id="_x0000_i1027" type="#_x0000_t75" style="width:334.55pt;height:79.05pt" o:ole="">
            <v:imagedata r:id="rId17" o:title=""/>
          </v:shape>
          <o:OLEObject Type="Embed" ProgID="Equation.3" ShapeID="_x0000_i1027" DrawAspect="Content" ObjectID="_1574672984" r:id="rId18"/>
        </w:object>
      </w:r>
    </w:p>
    <w:p w:rsidR="00F82A2C" w:rsidRPr="00A25CFD" w:rsidRDefault="00F82A2C" w:rsidP="00F82A2C">
      <w:pPr>
        <w:rPr>
          <w:rStyle w:val="AERbody"/>
        </w:rPr>
      </w:pPr>
    </w:p>
    <w:p w:rsidR="00F82A2C" w:rsidRPr="00F82A2C" w:rsidRDefault="00F82A2C" w:rsidP="00F82A2C">
      <w:pPr>
        <w:rPr>
          <w:rStyle w:val="AERbody"/>
        </w:rPr>
      </w:pPr>
      <w:r w:rsidRPr="00F82A2C">
        <w:rPr>
          <w:rStyle w:val="AERbody"/>
        </w:rPr>
        <w:object w:dxaOrig="7820" w:dyaOrig="1780">
          <v:shape id="_x0000_i1028" type="#_x0000_t75" style="width:365.4pt;height:83.9pt" o:ole="">
            <v:imagedata r:id="rId19" o:title=""/>
          </v:shape>
          <o:OLEObject Type="Embed" ProgID="Equation.3" ShapeID="_x0000_i1028" DrawAspect="Content" ObjectID="_1574672985" r:id="rId20"/>
        </w:object>
      </w:r>
    </w:p>
    <w:p w:rsidR="00F82A2C" w:rsidRPr="00590E6E" w:rsidRDefault="00F82A2C" w:rsidP="00F82A2C"/>
    <w:p w:rsidR="00F82A2C" w:rsidRPr="00F82A2C" w:rsidRDefault="00F82A2C" w:rsidP="00F82A2C">
      <w:pPr>
        <w:pStyle w:val="ListBullet3"/>
        <w:rPr>
          <w:rStyle w:val="AERtextbolditalics"/>
        </w:rPr>
      </w:pPr>
      <w:r w:rsidRPr="00F82A2C">
        <w:rPr>
          <w:rStyle w:val="AERtextbolditalics"/>
        </w:rPr>
        <w:t xml:space="preserve">   SAIFI and SAIDI incentive rates when the allocation of energy value changed to 60/40 ratio for SAIDI/SAIFI incentive component</w:t>
      </w:r>
    </w:p>
    <w:p w:rsidR="00F82A2C" w:rsidRPr="00F82A2C" w:rsidRDefault="00F82A2C" w:rsidP="00F82A2C">
      <w:pPr>
        <w:rPr>
          <w:rStyle w:val="AERbody"/>
        </w:rPr>
      </w:pPr>
      <w:r>
        <w:rPr>
          <w:rStyle w:val="AERbody"/>
        </w:rPr>
        <w:t xml:space="preserve">We can use the same formula above, with the exception that the value for </w:t>
      </w:r>
      <w:r w:rsidRPr="00F82A2C">
        <w:rPr>
          <w:rStyle w:val="AERbody"/>
        </w:rPr>
        <w:t>Wn would become 1.49985. Under this allocation:</w:t>
      </w:r>
    </w:p>
    <w:p w:rsidR="00F82A2C" w:rsidRPr="00F82A2C" w:rsidRDefault="00F82A2C" w:rsidP="00F82A2C">
      <w:pPr>
        <w:pStyle w:val="AERbulletlistthirdstyle"/>
        <w:rPr>
          <w:rStyle w:val="AERbody"/>
        </w:rPr>
      </w:pPr>
      <w:r w:rsidRPr="00317617">
        <w:rPr>
          <w:rStyle w:val="AERbody"/>
        </w:rPr>
        <w:t>The proportion of energy value allocated to the SAIDI component is [1-(1/(1+Wn)], equals to 0.60.</w:t>
      </w:r>
    </w:p>
    <w:p w:rsidR="00F82A2C" w:rsidRPr="00F82A2C" w:rsidRDefault="00F82A2C" w:rsidP="00F82A2C">
      <w:pPr>
        <w:pStyle w:val="AERbulletlistthirdstyle"/>
        <w:rPr>
          <w:rStyle w:val="AERbody"/>
        </w:rPr>
      </w:pPr>
      <w:r w:rsidRPr="00317617">
        <w:rPr>
          <w:rStyle w:val="AERbody"/>
        </w:rPr>
        <w:t xml:space="preserve">Similarly, the </w:t>
      </w:r>
      <w:r w:rsidRPr="00F82A2C">
        <w:rPr>
          <w:rStyle w:val="AERbody"/>
        </w:rPr>
        <w:t>proportion of energy value allocated to the SAIFI component is [1/(1+Wn)], equals to 0.40.</w:t>
      </w:r>
    </w:p>
    <w:p w:rsidR="00F82A2C" w:rsidRPr="00F82A2C" w:rsidRDefault="00F82A2C" w:rsidP="00F82A2C">
      <w:pPr>
        <w:rPr>
          <w:rStyle w:val="AERbody"/>
        </w:rPr>
      </w:pPr>
      <w:r>
        <w:rPr>
          <w:rStyle w:val="AERbody"/>
        </w:rPr>
        <w:t xml:space="preserve">Using equations (1) and (2), the incentive rate for SAIDI and SAIFI become </w:t>
      </w:r>
      <w:r w:rsidRPr="00F82A2C">
        <w:rPr>
          <w:rStyle w:val="AERbody"/>
        </w:rPr>
        <w:t>0.009057 per minute of SAIDI and 0.483082 per SAIFI interruption respectively.</w:t>
      </w:r>
    </w:p>
    <w:p w:rsidR="00F82A2C" w:rsidRDefault="00F82A2C" w:rsidP="00F82A2C">
      <w:pPr>
        <w:rPr>
          <w:rStyle w:val="AERbody"/>
        </w:rPr>
      </w:pPr>
    </w:p>
    <w:p w:rsidR="00F82A2C" w:rsidRPr="00F82A2C" w:rsidRDefault="00F82A2C" w:rsidP="00F82A2C">
      <w:pPr>
        <w:pStyle w:val="ListBullet3"/>
        <w:rPr>
          <w:rStyle w:val="AERtextbolditalics"/>
        </w:rPr>
      </w:pPr>
      <w:r w:rsidRPr="00F82A2C">
        <w:rPr>
          <w:rStyle w:val="AERtextbolditalics"/>
        </w:rPr>
        <w:t xml:space="preserve">  SAIFI and SAIDI incentive rates when the allocation of energy value changed to 55/45 ratio for SAIDI/SAIFI incentive component</w:t>
      </w:r>
    </w:p>
    <w:p w:rsidR="00F82A2C" w:rsidRPr="00F82A2C" w:rsidRDefault="00F82A2C" w:rsidP="00F82A2C">
      <w:pPr>
        <w:rPr>
          <w:rStyle w:val="AERbody"/>
        </w:rPr>
      </w:pPr>
      <w:r>
        <w:rPr>
          <w:rStyle w:val="AERbody"/>
        </w:rPr>
        <w:t xml:space="preserve">We can use the same formula above, with the exception that the value for </w:t>
      </w:r>
      <w:r w:rsidRPr="00F82A2C">
        <w:rPr>
          <w:rStyle w:val="AERbody"/>
        </w:rPr>
        <w:t>Wn would become 1.2229. Under this allocation:</w:t>
      </w:r>
    </w:p>
    <w:p w:rsidR="00F82A2C" w:rsidRPr="00F82A2C" w:rsidRDefault="00F82A2C" w:rsidP="00F82A2C">
      <w:pPr>
        <w:pStyle w:val="AERbulletlistthirdstyle"/>
        <w:rPr>
          <w:rStyle w:val="AERbody"/>
        </w:rPr>
      </w:pPr>
      <w:r w:rsidRPr="00317617">
        <w:rPr>
          <w:rStyle w:val="AERbody"/>
        </w:rPr>
        <w:t>The proportion of energy value allocated to the SAIDI component is [1-(1/(1+Wn)], equals to 0.</w:t>
      </w:r>
      <w:r w:rsidRPr="00F82A2C">
        <w:rPr>
          <w:rStyle w:val="AERbody"/>
        </w:rPr>
        <w:t>55.</w:t>
      </w:r>
    </w:p>
    <w:p w:rsidR="00F82A2C" w:rsidRPr="00F82A2C" w:rsidRDefault="00F82A2C" w:rsidP="00F82A2C">
      <w:pPr>
        <w:pStyle w:val="AERbulletlistthirdstyle"/>
        <w:rPr>
          <w:rStyle w:val="AERbody"/>
        </w:rPr>
      </w:pPr>
      <w:r w:rsidRPr="00317617">
        <w:rPr>
          <w:rStyle w:val="AERbody"/>
        </w:rPr>
        <w:t>Similarly, the proportion of energy value allocated to the SAIFI component is [1/(1+Wn)], equals to 0.4</w:t>
      </w:r>
      <w:r w:rsidRPr="00F82A2C">
        <w:rPr>
          <w:rStyle w:val="AERbody"/>
        </w:rPr>
        <w:t>5.</w:t>
      </w:r>
    </w:p>
    <w:p w:rsidR="00F82A2C" w:rsidRPr="00F82A2C" w:rsidRDefault="00F82A2C" w:rsidP="00F82A2C">
      <w:pPr>
        <w:rPr>
          <w:rStyle w:val="AERbody"/>
        </w:rPr>
      </w:pPr>
      <w:r>
        <w:rPr>
          <w:rStyle w:val="AERbody"/>
        </w:rPr>
        <w:t xml:space="preserve">Using equations (1) and (2), the incentive rate for SAIDI and SAIFI become </w:t>
      </w:r>
      <w:r w:rsidRPr="00F82A2C">
        <w:rPr>
          <w:rStyle w:val="AERbody"/>
        </w:rPr>
        <w:t>0.008305 per minute of SAIDI and 0.543270 per SAIFI interruption respectively.</w:t>
      </w:r>
    </w:p>
    <w:p w:rsidR="00F82A2C" w:rsidRDefault="00F82A2C" w:rsidP="00F82A2C">
      <w:pPr>
        <w:rPr>
          <w:rStyle w:val="AERbody"/>
        </w:rPr>
      </w:pPr>
    </w:p>
    <w:p w:rsidR="00F82A2C" w:rsidRPr="00F82A2C" w:rsidRDefault="00F82A2C" w:rsidP="00F82A2C">
      <w:pPr>
        <w:pStyle w:val="ListBullet3"/>
        <w:rPr>
          <w:rStyle w:val="AERtextbolditalics"/>
        </w:rPr>
      </w:pPr>
      <w:r w:rsidRPr="00F82A2C">
        <w:rPr>
          <w:rStyle w:val="AERtextbolditalics"/>
        </w:rPr>
        <w:br w:type="page"/>
      </w:r>
      <w:r w:rsidRPr="00F82A2C">
        <w:rPr>
          <w:rStyle w:val="AERtextbolditalics"/>
        </w:rPr>
        <w:lastRenderedPageBreak/>
        <w:t xml:space="preserve">  Differences between total STPIS reward under different Wn factor, where CAIDI remains under changed, representing equal improvements to both SAIDI and SAIFI improvement   </w:t>
      </w:r>
    </w:p>
    <w:p w:rsidR="00F82A2C" w:rsidRPr="00F82A2C" w:rsidRDefault="00F82A2C" w:rsidP="00F82A2C">
      <w:pPr>
        <w:rPr>
          <w:rStyle w:val="AERbody"/>
        </w:rPr>
      </w:pPr>
    </w:p>
    <w:p w:rsidR="00F82A2C" w:rsidRPr="00F82A2C" w:rsidRDefault="00F82A2C" w:rsidP="00F82A2C">
      <w:pPr>
        <w:rPr>
          <w:rStyle w:val="AERbody"/>
        </w:rPr>
      </w:pPr>
      <w:r w:rsidRPr="00F82A2C">
        <w:rPr>
          <w:rStyle w:val="AERbody"/>
        </w:rPr>
        <w:t>Table A.1</w:t>
      </w:r>
    </w:p>
    <w:tbl>
      <w:tblPr>
        <w:tblStyle w:val="AERtable-numbers"/>
        <w:tblW w:w="0" w:type="auto"/>
        <w:tblLook w:val="04A0" w:firstRow="1" w:lastRow="0" w:firstColumn="1" w:lastColumn="0" w:noHBand="0" w:noVBand="1"/>
      </w:tblPr>
      <w:tblGrid>
        <w:gridCol w:w="3505"/>
        <w:gridCol w:w="1761"/>
        <w:gridCol w:w="1740"/>
        <w:gridCol w:w="1687"/>
      </w:tblGrid>
      <w:tr w:rsidR="00F82A2C" w:rsidRPr="00F56455" w:rsidTr="00F82A2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noWrap/>
            <w:hideMark/>
          </w:tcPr>
          <w:p w:rsidR="00F82A2C" w:rsidRPr="00F56455" w:rsidRDefault="00F82A2C" w:rsidP="00F82A2C"/>
        </w:tc>
        <w:tc>
          <w:tcPr>
            <w:tcW w:w="0" w:type="auto"/>
            <w:gridSpan w:val="3"/>
            <w:noWrap/>
            <w:hideMark/>
          </w:tcPr>
          <w:p w:rsidR="00F82A2C" w:rsidRPr="00F82A2C" w:rsidRDefault="00F82A2C" w:rsidP="00F82A2C">
            <w:pPr>
              <w:cnfStyle w:val="100000000000" w:firstRow="1" w:lastRow="0" w:firstColumn="0" w:lastColumn="0" w:oddVBand="0" w:evenVBand="0" w:oddHBand="0" w:evenHBand="0" w:firstRowFirstColumn="0" w:firstRowLastColumn="0" w:lastRowFirstColumn="0" w:lastRowLastColumn="0"/>
            </w:pPr>
            <w:r w:rsidRPr="00F56455">
              <w:t>for equal improvements to both SAIDI and SAIFI improvement</w:t>
            </w:r>
            <w:r w:rsidRPr="00F82A2C">
              <w:t>, Scenario 1</w:t>
            </w:r>
          </w:p>
        </w:tc>
      </w:tr>
      <w:tr w:rsidR="00F82A2C" w:rsidRPr="00F56455" w:rsidTr="00F82A2C">
        <w:trPr>
          <w:trHeight w:val="312"/>
        </w:trPr>
        <w:tc>
          <w:tcPr>
            <w:cnfStyle w:val="001000000000" w:firstRow="0" w:lastRow="0" w:firstColumn="1" w:lastColumn="0" w:oddVBand="0" w:evenVBand="0" w:oddHBand="0" w:evenHBand="0" w:firstRowFirstColumn="0" w:firstRowLastColumn="0" w:lastRowFirstColumn="0" w:lastRowLastColumn="0"/>
            <w:tcW w:w="0" w:type="auto"/>
            <w:noWrap/>
            <w:hideMark/>
          </w:tcPr>
          <w:p w:rsidR="00F82A2C" w:rsidRPr="00F56455" w:rsidRDefault="00F82A2C" w:rsidP="00F82A2C"/>
        </w:tc>
        <w:tc>
          <w:tcPr>
            <w:tcW w:w="0" w:type="auto"/>
            <w:noWrap/>
            <w:hideMark/>
          </w:tcPr>
          <w:p w:rsidR="00F82A2C" w:rsidRPr="00F82A2C" w:rsidRDefault="00F82A2C" w:rsidP="00F82A2C">
            <w:pPr>
              <w:cnfStyle w:val="000000000000" w:firstRow="0" w:lastRow="0" w:firstColumn="0" w:lastColumn="0" w:oddVBand="0" w:evenVBand="0" w:oddHBand="0" w:evenHBand="0" w:firstRowFirstColumn="0" w:firstRowLastColumn="0" w:lastRowFirstColumn="0" w:lastRowLastColumn="0"/>
            </w:pPr>
            <w:r w:rsidRPr="00F56455">
              <w:t>SAIDI reward</w:t>
            </w:r>
            <w:r w:rsidRPr="00F82A2C">
              <w:t xml:space="preserve"> (%)</w:t>
            </w:r>
          </w:p>
        </w:tc>
        <w:tc>
          <w:tcPr>
            <w:tcW w:w="0" w:type="auto"/>
            <w:noWrap/>
            <w:hideMark/>
          </w:tcPr>
          <w:p w:rsidR="00F82A2C" w:rsidRPr="00F82A2C" w:rsidRDefault="00F82A2C" w:rsidP="00F82A2C">
            <w:pPr>
              <w:cnfStyle w:val="000000000000" w:firstRow="0" w:lastRow="0" w:firstColumn="0" w:lastColumn="0" w:oddVBand="0" w:evenVBand="0" w:oddHBand="0" w:evenHBand="0" w:firstRowFirstColumn="0" w:firstRowLastColumn="0" w:lastRowFirstColumn="0" w:lastRowLastColumn="0"/>
            </w:pPr>
            <w:r w:rsidRPr="00F56455">
              <w:t>SAIFI reward</w:t>
            </w:r>
            <w:r w:rsidRPr="00F82A2C">
              <w:t xml:space="preserve"> (%)</w:t>
            </w:r>
          </w:p>
        </w:tc>
        <w:tc>
          <w:tcPr>
            <w:tcW w:w="0" w:type="auto"/>
            <w:noWrap/>
            <w:hideMark/>
          </w:tcPr>
          <w:p w:rsidR="00F82A2C" w:rsidRPr="00F82A2C" w:rsidRDefault="00F82A2C" w:rsidP="00F82A2C">
            <w:pPr>
              <w:cnfStyle w:val="000000000000" w:firstRow="0" w:lastRow="0" w:firstColumn="0" w:lastColumn="0" w:oddVBand="0" w:evenVBand="0" w:oddHBand="0" w:evenHBand="0" w:firstRowFirstColumn="0" w:firstRowLastColumn="0" w:lastRowFirstColumn="0" w:lastRowLastColumn="0"/>
            </w:pPr>
            <w:r w:rsidRPr="00F56455">
              <w:t>Total reward</w:t>
            </w:r>
            <w:r w:rsidRPr="00F82A2C">
              <w:t xml:space="preserve"> (%)</w:t>
            </w:r>
          </w:p>
        </w:tc>
      </w:tr>
      <w:tr w:rsidR="00F82A2C" w:rsidRPr="00F56455" w:rsidTr="00F82A2C">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noWrap/>
            <w:hideMark/>
          </w:tcPr>
          <w:p w:rsidR="00F82A2C" w:rsidRPr="00F82A2C" w:rsidRDefault="00F82A2C" w:rsidP="00F82A2C">
            <w:r w:rsidRPr="00F56455">
              <w:t>No changes to incentive rate formula</w:t>
            </w:r>
          </w:p>
        </w:tc>
        <w:tc>
          <w:tcPr>
            <w:tcW w:w="0" w:type="auto"/>
            <w:noWrap/>
            <w:hideMark/>
          </w:tcPr>
          <w:p w:rsidR="00F82A2C" w:rsidRPr="00F82A2C" w:rsidRDefault="00F82A2C" w:rsidP="00F82A2C">
            <w:pPr>
              <w:cnfStyle w:val="000000010000" w:firstRow="0" w:lastRow="0" w:firstColumn="0" w:lastColumn="0" w:oddVBand="0" w:evenVBand="0" w:oddHBand="0" w:evenHBand="1" w:firstRowFirstColumn="0" w:firstRowLastColumn="0" w:lastRowFirstColumn="0" w:lastRowLastColumn="0"/>
            </w:pPr>
            <w:r w:rsidRPr="00F56455">
              <w:t>0.2315</w:t>
            </w:r>
          </w:p>
        </w:tc>
        <w:tc>
          <w:tcPr>
            <w:tcW w:w="0" w:type="auto"/>
            <w:noWrap/>
            <w:hideMark/>
          </w:tcPr>
          <w:p w:rsidR="00F82A2C" w:rsidRPr="00F82A2C" w:rsidRDefault="00F82A2C" w:rsidP="00F82A2C">
            <w:pPr>
              <w:cnfStyle w:val="000000010000" w:firstRow="0" w:lastRow="0" w:firstColumn="0" w:lastColumn="0" w:oddVBand="0" w:evenVBand="0" w:oddHBand="0" w:evenHBand="1" w:firstRowFirstColumn="0" w:firstRowLastColumn="0" w:lastRowFirstColumn="0" w:lastRowLastColumn="0"/>
            </w:pPr>
            <w:r w:rsidRPr="00F56455">
              <w:t>0.2516</w:t>
            </w:r>
          </w:p>
        </w:tc>
        <w:tc>
          <w:tcPr>
            <w:tcW w:w="0" w:type="auto"/>
            <w:noWrap/>
            <w:hideMark/>
          </w:tcPr>
          <w:p w:rsidR="00F82A2C" w:rsidRPr="00F82A2C" w:rsidRDefault="00F82A2C" w:rsidP="00F82A2C">
            <w:pPr>
              <w:cnfStyle w:val="000000010000" w:firstRow="0" w:lastRow="0" w:firstColumn="0" w:lastColumn="0" w:oddVBand="0" w:evenVBand="0" w:oddHBand="0" w:evenHBand="1" w:firstRowFirstColumn="0" w:firstRowLastColumn="0" w:lastRowFirstColumn="0" w:lastRowLastColumn="0"/>
            </w:pPr>
            <w:r w:rsidRPr="00F56455">
              <w:t>0.4831</w:t>
            </w:r>
          </w:p>
        </w:tc>
      </w:tr>
      <w:tr w:rsidR="00F82A2C" w:rsidRPr="00F56455" w:rsidTr="00F82A2C">
        <w:trPr>
          <w:trHeight w:val="312"/>
        </w:trPr>
        <w:tc>
          <w:tcPr>
            <w:cnfStyle w:val="001000000000" w:firstRow="0" w:lastRow="0" w:firstColumn="1" w:lastColumn="0" w:oddVBand="0" w:evenVBand="0" w:oddHBand="0" w:evenHBand="0" w:firstRowFirstColumn="0" w:firstRowLastColumn="0" w:lastRowFirstColumn="0" w:lastRowLastColumn="0"/>
            <w:tcW w:w="0" w:type="auto"/>
            <w:noWrap/>
            <w:hideMark/>
          </w:tcPr>
          <w:p w:rsidR="00F82A2C" w:rsidRPr="00F82A2C" w:rsidRDefault="00F82A2C" w:rsidP="00F82A2C">
            <w:r w:rsidRPr="00F56455">
              <w:t>Allocate 60% of energy value to SAIDI, 40% to SAIFI</w:t>
            </w:r>
          </w:p>
        </w:tc>
        <w:tc>
          <w:tcPr>
            <w:tcW w:w="0" w:type="auto"/>
            <w:noWrap/>
            <w:hideMark/>
          </w:tcPr>
          <w:p w:rsidR="00F82A2C" w:rsidRPr="00F82A2C" w:rsidRDefault="00F82A2C" w:rsidP="00F82A2C">
            <w:pPr>
              <w:cnfStyle w:val="000000000000" w:firstRow="0" w:lastRow="0" w:firstColumn="0" w:lastColumn="0" w:oddVBand="0" w:evenVBand="0" w:oddHBand="0" w:evenHBand="0" w:firstRowFirstColumn="0" w:firstRowLastColumn="0" w:lastRowFirstColumn="0" w:lastRowLastColumn="0"/>
            </w:pPr>
            <w:r w:rsidRPr="00F56455">
              <w:t>0.2898</w:t>
            </w:r>
          </w:p>
        </w:tc>
        <w:tc>
          <w:tcPr>
            <w:tcW w:w="0" w:type="auto"/>
            <w:noWrap/>
            <w:hideMark/>
          </w:tcPr>
          <w:p w:rsidR="00F82A2C" w:rsidRPr="00F82A2C" w:rsidRDefault="00F82A2C" w:rsidP="00F82A2C">
            <w:pPr>
              <w:cnfStyle w:val="000000000000" w:firstRow="0" w:lastRow="0" w:firstColumn="0" w:lastColumn="0" w:oddVBand="0" w:evenVBand="0" w:oddHBand="0" w:evenHBand="0" w:firstRowFirstColumn="0" w:firstRowLastColumn="0" w:lastRowFirstColumn="0" w:lastRowLastColumn="0"/>
            </w:pPr>
            <w:r w:rsidRPr="00F56455">
              <w:t>0.1932</w:t>
            </w:r>
          </w:p>
        </w:tc>
        <w:tc>
          <w:tcPr>
            <w:tcW w:w="0" w:type="auto"/>
            <w:noWrap/>
            <w:hideMark/>
          </w:tcPr>
          <w:p w:rsidR="00F82A2C" w:rsidRPr="00F82A2C" w:rsidRDefault="00F82A2C" w:rsidP="00F82A2C">
            <w:pPr>
              <w:cnfStyle w:val="000000000000" w:firstRow="0" w:lastRow="0" w:firstColumn="0" w:lastColumn="0" w:oddVBand="0" w:evenVBand="0" w:oddHBand="0" w:evenHBand="0" w:firstRowFirstColumn="0" w:firstRowLastColumn="0" w:lastRowFirstColumn="0" w:lastRowLastColumn="0"/>
            </w:pPr>
            <w:r w:rsidRPr="00F56455">
              <w:t>0.4831</w:t>
            </w:r>
          </w:p>
        </w:tc>
      </w:tr>
    </w:tbl>
    <w:p w:rsidR="00F82A2C" w:rsidRDefault="00F82A2C" w:rsidP="00F82A2C">
      <w:pPr>
        <w:rPr>
          <w:rStyle w:val="AERbody"/>
        </w:rPr>
      </w:pPr>
    </w:p>
    <w:p w:rsidR="00F82A2C" w:rsidRPr="00F82A2C" w:rsidRDefault="00F82A2C" w:rsidP="00F82A2C">
      <w:pPr>
        <w:pStyle w:val="ListBullet3"/>
        <w:rPr>
          <w:rStyle w:val="AERtextbolditalics"/>
        </w:rPr>
      </w:pPr>
      <w:r w:rsidRPr="00F82A2C">
        <w:rPr>
          <w:rStyle w:val="AERtextbolditalics"/>
        </w:rPr>
        <w:t xml:space="preserve">  Differences between total STPIS reward under different SAIDI/SAIFI incentive rate ratios, where CAIDI is 5% worse than the pre-existing level  </w:t>
      </w:r>
    </w:p>
    <w:p w:rsidR="00F82A2C" w:rsidRPr="00F82A2C" w:rsidRDefault="00F82A2C" w:rsidP="00F82A2C">
      <w:pPr>
        <w:rPr>
          <w:rStyle w:val="AERbody"/>
        </w:rPr>
      </w:pPr>
      <w:r>
        <w:rPr>
          <w:rStyle w:val="AERbody"/>
        </w:rPr>
        <w:t>Under this outcome, the STPIS reward based on the existing incentive rates are:</w:t>
      </w:r>
    </w:p>
    <w:p w:rsidR="00F82A2C" w:rsidRPr="00F82A2C" w:rsidRDefault="00F82A2C" w:rsidP="00F82A2C">
      <w:pPr>
        <w:rPr>
          <w:rStyle w:val="AERbody"/>
        </w:rPr>
      </w:pPr>
      <w:r>
        <w:rPr>
          <w:rStyle w:val="AERbody"/>
        </w:rPr>
        <w:t xml:space="preserve">For SAIDI reduction </w:t>
      </w:r>
      <w:r w:rsidRPr="00F82A2C">
        <w:rPr>
          <w:rStyle w:val="AERbody"/>
        </w:rPr>
        <w:t>0.1562%</w:t>
      </w:r>
    </w:p>
    <w:p w:rsidR="00F82A2C" w:rsidRPr="00F82A2C" w:rsidRDefault="00F82A2C" w:rsidP="00F82A2C">
      <w:pPr>
        <w:rPr>
          <w:rStyle w:val="AERbody"/>
        </w:rPr>
      </w:pPr>
      <w:r>
        <w:rPr>
          <w:rStyle w:val="AERbody"/>
        </w:rPr>
        <w:t xml:space="preserve">For SAIFI reduction </w:t>
      </w:r>
      <w:r w:rsidRPr="00F82A2C">
        <w:rPr>
          <w:rStyle w:val="AERbody"/>
        </w:rPr>
        <w:t>0.2516%</w:t>
      </w:r>
    </w:p>
    <w:p w:rsidR="00F82A2C" w:rsidRPr="00F82A2C" w:rsidRDefault="00F82A2C" w:rsidP="00F82A2C">
      <w:pPr>
        <w:rPr>
          <w:rStyle w:val="AERbody"/>
        </w:rPr>
      </w:pPr>
      <w:r>
        <w:rPr>
          <w:rStyle w:val="AERbody"/>
        </w:rPr>
        <w:t xml:space="preserve">Total reward = </w:t>
      </w:r>
      <w:r w:rsidRPr="00F82A2C">
        <w:rPr>
          <w:rStyle w:val="AERbody"/>
        </w:rPr>
        <w:t>0.4078%</w:t>
      </w:r>
    </w:p>
    <w:p w:rsidR="00F82A2C" w:rsidRPr="00F82A2C" w:rsidRDefault="00F82A2C" w:rsidP="00F82A2C">
      <w:pPr>
        <w:rPr>
          <w:rStyle w:val="AERbody"/>
        </w:rPr>
      </w:pPr>
      <w:r>
        <w:rPr>
          <w:rStyle w:val="AERbody"/>
        </w:rPr>
        <w:t>Table A.2 provides a comparison of the effect on a distributor’s STPIS reward compared with the existing scheme, if the SAIDI/SAIFI incentive rate ratio is changed.</w:t>
      </w:r>
    </w:p>
    <w:p w:rsidR="00F82A2C" w:rsidRPr="00F82A2C" w:rsidRDefault="00F82A2C" w:rsidP="00F82A2C">
      <w:pPr>
        <w:rPr>
          <w:rStyle w:val="AERtextbolditalics"/>
        </w:rPr>
      </w:pPr>
      <w:r w:rsidRPr="00F82A2C">
        <w:rPr>
          <w:rStyle w:val="AERbody"/>
        </w:rPr>
        <w:t>Table A.2</w:t>
      </w:r>
    </w:p>
    <w:tbl>
      <w:tblPr>
        <w:tblStyle w:val="AERtable-text0"/>
        <w:tblW w:w="0" w:type="auto"/>
        <w:tblLayout w:type="fixed"/>
        <w:tblLook w:val="04A0" w:firstRow="1" w:lastRow="0" w:firstColumn="1" w:lastColumn="0" w:noHBand="0" w:noVBand="1"/>
      </w:tblPr>
      <w:tblGrid>
        <w:gridCol w:w="1738"/>
        <w:gridCol w:w="1739"/>
        <w:gridCol w:w="1738"/>
        <w:gridCol w:w="1739"/>
        <w:gridCol w:w="1739"/>
      </w:tblGrid>
      <w:tr w:rsidR="00F82A2C" w:rsidRPr="00F56455" w:rsidTr="00F82A2C">
        <w:trPr>
          <w:cnfStyle w:val="100000000000" w:firstRow="1" w:lastRow="0" w:firstColumn="0" w:lastColumn="0" w:oddVBand="0" w:evenVBand="0" w:oddHBand="0" w:evenHBand="0" w:firstRowFirstColumn="0" w:firstRowLastColumn="0" w:lastRowFirstColumn="0" w:lastRowLastColumn="0"/>
          <w:trHeight w:val="312"/>
        </w:trPr>
        <w:tc>
          <w:tcPr>
            <w:tcW w:w="8693" w:type="dxa"/>
            <w:gridSpan w:val="5"/>
            <w:noWrap/>
            <w:hideMark/>
          </w:tcPr>
          <w:p w:rsidR="00F82A2C" w:rsidRPr="00F82A2C" w:rsidRDefault="00F82A2C" w:rsidP="00F82A2C">
            <w:r w:rsidRPr="00F56455">
              <w:t>for SAIDI improvement 5% less than SAIFI improvement</w:t>
            </w:r>
            <w:r w:rsidRPr="00F82A2C">
              <w:t>, Scenario 2</w:t>
            </w:r>
          </w:p>
        </w:tc>
      </w:tr>
      <w:tr w:rsidR="00F82A2C" w:rsidRPr="00F56455" w:rsidTr="00F82A2C">
        <w:trPr>
          <w:trHeight w:val="312"/>
        </w:trPr>
        <w:tc>
          <w:tcPr>
            <w:tcW w:w="1738" w:type="dxa"/>
            <w:noWrap/>
            <w:hideMark/>
          </w:tcPr>
          <w:p w:rsidR="00F82A2C" w:rsidRPr="00F56455" w:rsidRDefault="00F82A2C" w:rsidP="00F82A2C"/>
        </w:tc>
        <w:tc>
          <w:tcPr>
            <w:tcW w:w="1739" w:type="dxa"/>
            <w:noWrap/>
            <w:hideMark/>
          </w:tcPr>
          <w:p w:rsidR="00F82A2C" w:rsidRPr="00F82A2C" w:rsidRDefault="00F82A2C" w:rsidP="00F82A2C">
            <w:r w:rsidRPr="00F56455">
              <w:t>SAIDI reward</w:t>
            </w:r>
            <w:r w:rsidRPr="00F82A2C">
              <w:t xml:space="preserve">   (%)</w:t>
            </w:r>
          </w:p>
        </w:tc>
        <w:tc>
          <w:tcPr>
            <w:tcW w:w="1738" w:type="dxa"/>
            <w:tcBorders>
              <w:right w:val="single" w:sz="4" w:space="0" w:color="auto"/>
            </w:tcBorders>
            <w:noWrap/>
            <w:hideMark/>
          </w:tcPr>
          <w:p w:rsidR="00F82A2C" w:rsidRPr="00F82A2C" w:rsidRDefault="00F82A2C" w:rsidP="00F82A2C">
            <w:r w:rsidRPr="00F56455">
              <w:t>SAIFI reward</w:t>
            </w:r>
            <w:r w:rsidRPr="00F82A2C">
              <w:t xml:space="preserve">   (%)</w:t>
            </w:r>
          </w:p>
        </w:tc>
        <w:tc>
          <w:tcPr>
            <w:tcW w:w="1739" w:type="dxa"/>
            <w:tcBorders>
              <w:left w:val="single" w:sz="4" w:space="0" w:color="auto"/>
              <w:right w:val="single" w:sz="4" w:space="0" w:color="auto"/>
            </w:tcBorders>
            <w:noWrap/>
            <w:hideMark/>
          </w:tcPr>
          <w:p w:rsidR="00F82A2C" w:rsidRPr="00F82A2C" w:rsidRDefault="00F82A2C" w:rsidP="00F82A2C">
            <w:r w:rsidRPr="00F56455">
              <w:t>Total reward</w:t>
            </w:r>
            <w:r w:rsidRPr="00F82A2C">
              <w:t xml:space="preserve">    (%)</w:t>
            </w:r>
          </w:p>
        </w:tc>
        <w:tc>
          <w:tcPr>
            <w:tcW w:w="1739" w:type="dxa"/>
            <w:tcBorders>
              <w:left w:val="single" w:sz="4" w:space="0" w:color="auto"/>
            </w:tcBorders>
            <w:noWrap/>
            <w:hideMark/>
          </w:tcPr>
          <w:p w:rsidR="00F82A2C" w:rsidRPr="00F82A2C" w:rsidRDefault="00F82A2C" w:rsidP="00F82A2C">
            <w:r w:rsidRPr="00862EFD">
              <w:rPr>
                <w:rStyle w:val="Strong"/>
              </w:rPr>
              <w:t>Percentage difference</w:t>
            </w:r>
            <w:r w:rsidRPr="00F82A2C">
              <w:rPr>
                <w:rStyle w:val="Strong"/>
              </w:rPr>
              <w:t xml:space="preserve"> in total rewards, </w:t>
            </w:r>
            <w:r w:rsidRPr="00F82A2C">
              <w:t>from pre-existing SAIDI/SAIFI incentive rate ratio arrangement</w:t>
            </w:r>
          </w:p>
        </w:tc>
      </w:tr>
      <w:tr w:rsidR="00F82A2C" w:rsidRPr="00F56455" w:rsidTr="00F82A2C">
        <w:trPr>
          <w:cnfStyle w:val="000000010000" w:firstRow="0" w:lastRow="0" w:firstColumn="0" w:lastColumn="0" w:oddVBand="0" w:evenVBand="0" w:oddHBand="0" w:evenHBand="1" w:firstRowFirstColumn="0" w:firstRowLastColumn="0" w:lastRowFirstColumn="0" w:lastRowLastColumn="0"/>
          <w:trHeight w:val="312"/>
        </w:trPr>
        <w:tc>
          <w:tcPr>
            <w:tcW w:w="1738" w:type="dxa"/>
            <w:tcBorders>
              <w:top w:val="single" w:sz="4" w:space="0" w:color="auto"/>
            </w:tcBorders>
            <w:noWrap/>
            <w:hideMark/>
          </w:tcPr>
          <w:p w:rsidR="00F82A2C" w:rsidRPr="00F82A2C" w:rsidRDefault="00F82A2C" w:rsidP="00F82A2C">
            <w:r w:rsidRPr="00F56455">
              <w:t>Allocate 60% of energy value to SAIDI, 40% to SAIFI</w:t>
            </w:r>
          </w:p>
        </w:tc>
        <w:tc>
          <w:tcPr>
            <w:tcW w:w="1739" w:type="dxa"/>
            <w:tcBorders>
              <w:top w:val="single" w:sz="4" w:space="0" w:color="auto"/>
            </w:tcBorders>
            <w:noWrap/>
            <w:hideMark/>
          </w:tcPr>
          <w:p w:rsidR="00F82A2C" w:rsidRPr="00F82A2C" w:rsidRDefault="00F82A2C" w:rsidP="00F82A2C">
            <w:r w:rsidRPr="00F56455">
              <w:t>0.1956</w:t>
            </w:r>
          </w:p>
        </w:tc>
        <w:tc>
          <w:tcPr>
            <w:tcW w:w="1738" w:type="dxa"/>
            <w:tcBorders>
              <w:top w:val="single" w:sz="4" w:space="0" w:color="auto"/>
              <w:right w:val="single" w:sz="4" w:space="0" w:color="auto"/>
            </w:tcBorders>
            <w:noWrap/>
            <w:hideMark/>
          </w:tcPr>
          <w:p w:rsidR="00F82A2C" w:rsidRPr="00F82A2C" w:rsidRDefault="00F82A2C" w:rsidP="00F82A2C">
            <w:r w:rsidRPr="00F56455">
              <w:t>0.1932</w:t>
            </w:r>
          </w:p>
        </w:tc>
        <w:tc>
          <w:tcPr>
            <w:tcW w:w="1739" w:type="dxa"/>
            <w:tcBorders>
              <w:top w:val="single" w:sz="4" w:space="0" w:color="auto"/>
              <w:left w:val="single" w:sz="4" w:space="0" w:color="auto"/>
              <w:right w:val="single" w:sz="4" w:space="0" w:color="auto"/>
            </w:tcBorders>
            <w:noWrap/>
            <w:hideMark/>
          </w:tcPr>
          <w:p w:rsidR="00F82A2C" w:rsidRPr="00F82A2C" w:rsidRDefault="00F82A2C" w:rsidP="00F82A2C">
            <w:r w:rsidRPr="00F56455">
              <w:t>0.3889</w:t>
            </w:r>
          </w:p>
        </w:tc>
        <w:tc>
          <w:tcPr>
            <w:tcW w:w="1739" w:type="dxa"/>
            <w:tcBorders>
              <w:top w:val="single" w:sz="4" w:space="0" w:color="auto"/>
              <w:left w:val="single" w:sz="4" w:space="0" w:color="auto"/>
            </w:tcBorders>
            <w:noWrap/>
            <w:hideMark/>
          </w:tcPr>
          <w:p w:rsidR="00F82A2C" w:rsidRPr="00F82A2C" w:rsidRDefault="00F82A2C" w:rsidP="00F82A2C">
            <w:r w:rsidRPr="00F56455">
              <w:t>4.7%</w:t>
            </w:r>
          </w:p>
        </w:tc>
      </w:tr>
      <w:tr w:rsidR="00F82A2C" w:rsidRPr="00F56455" w:rsidTr="00F82A2C">
        <w:trPr>
          <w:trHeight w:val="312"/>
        </w:trPr>
        <w:tc>
          <w:tcPr>
            <w:tcW w:w="1738" w:type="dxa"/>
            <w:noWrap/>
            <w:hideMark/>
          </w:tcPr>
          <w:p w:rsidR="00F82A2C" w:rsidRPr="00F82A2C" w:rsidRDefault="00F82A2C" w:rsidP="00F82A2C">
            <w:r w:rsidRPr="00F56455">
              <w:t>Allocate 55% of energy value to SAIDI, 45% to SAIFI</w:t>
            </w:r>
          </w:p>
        </w:tc>
        <w:tc>
          <w:tcPr>
            <w:tcW w:w="1739" w:type="dxa"/>
            <w:noWrap/>
            <w:hideMark/>
          </w:tcPr>
          <w:p w:rsidR="00F82A2C" w:rsidRPr="00F82A2C" w:rsidRDefault="00F82A2C" w:rsidP="00F82A2C">
            <w:r w:rsidRPr="00F56455">
              <w:t>0.1794</w:t>
            </w:r>
          </w:p>
        </w:tc>
        <w:tc>
          <w:tcPr>
            <w:tcW w:w="1738" w:type="dxa"/>
            <w:tcBorders>
              <w:right w:val="single" w:sz="4" w:space="0" w:color="auto"/>
            </w:tcBorders>
            <w:noWrap/>
            <w:hideMark/>
          </w:tcPr>
          <w:p w:rsidR="00F82A2C" w:rsidRPr="00F82A2C" w:rsidRDefault="00F82A2C" w:rsidP="00F82A2C">
            <w:r w:rsidRPr="00F56455">
              <w:t>0.2173</w:t>
            </w:r>
          </w:p>
        </w:tc>
        <w:tc>
          <w:tcPr>
            <w:tcW w:w="1739" w:type="dxa"/>
            <w:tcBorders>
              <w:left w:val="single" w:sz="4" w:space="0" w:color="auto"/>
              <w:right w:val="single" w:sz="4" w:space="0" w:color="auto"/>
            </w:tcBorders>
            <w:noWrap/>
            <w:hideMark/>
          </w:tcPr>
          <w:p w:rsidR="00F82A2C" w:rsidRPr="00F82A2C" w:rsidRDefault="00F82A2C" w:rsidP="00F82A2C">
            <w:r w:rsidRPr="00F56455">
              <w:t>0.3967</w:t>
            </w:r>
          </w:p>
        </w:tc>
        <w:tc>
          <w:tcPr>
            <w:tcW w:w="1739" w:type="dxa"/>
            <w:tcBorders>
              <w:left w:val="single" w:sz="4" w:space="0" w:color="auto"/>
            </w:tcBorders>
            <w:noWrap/>
            <w:hideMark/>
          </w:tcPr>
          <w:p w:rsidR="00F82A2C" w:rsidRPr="00F82A2C" w:rsidRDefault="00F82A2C" w:rsidP="00F82A2C">
            <w:r w:rsidRPr="00F56455">
              <w:t>2.7%</w:t>
            </w:r>
          </w:p>
        </w:tc>
      </w:tr>
    </w:tbl>
    <w:p w:rsidR="00F82A2C" w:rsidRDefault="00F82A2C" w:rsidP="00F82A2C">
      <w:pPr>
        <w:rPr>
          <w:rStyle w:val="AERbody"/>
        </w:rPr>
      </w:pPr>
    </w:p>
    <w:p w:rsidR="00F82A2C" w:rsidRDefault="00F82A2C" w:rsidP="00F82A2C">
      <w:pPr>
        <w:rPr>
          <w:rStyle w:val="AERbody"/>
        </w:rPr>
      </w:pPr>
      <w:r w:rsidRPr="00317617">
        <w:rPr>
          <w:rStyle w:val="AERbody"/>
        </w:rPr>
        <w:t xml:space="preserve">  </w:t>
      </w:r>
    </w:p>
    <w:p w:rsidR="00F82A2C" w:rsidRPr="00F82A2C" w:rsidRDefault="00F82A2C" w:rsidP="00F82A2C">
      <w:r>
        <w:br w:type="page"/>
      </w:r>
    </w:p>
    <w:p w:rsidR="00F82A2C" w:rsidRDefault="00F82A2C" w:rsidP="00F82A2C">
      <w:pPr>
        <w:pStyle w:val="Heading7"/>
      </w:pPr>
      <w:bookmarkStart w:id="83" w:name="_Toc499802938"/>
      <w:r w:rsidRPr="00F82A2C">
        <w:lastRenderedPageBreak/>
        <w:t>Distributors' reported SAIDI and SAIFI outcomes</w:t>
      </w:r>
      <w:bookmarkEnd w:id="83"/>
    </w:p>
    <w:p w:rsidR="00F82A2C" w:rsidRPr="00055993" w:rsidRDefault="00F82A2C" w:rsidP="00F82A2C">
      <w:r>
        <w:t xml:space="preserve">The charts in this </w:t>
      </w:r>
      <w:r w:rsidR="00EC2AFC">
        <w:t>a</w:t>
      </w:r>
      <w:r>
        <w:t>ppendix present the details of the business-wide average number of unplanned outages (SAIFI) and the average total duration of unplanned supply outages (SAIDI) of each of the Queensland, South Australian and Victorian distributors. Based on the observed results</w:t>
      </w:r>
      <w:r w:rsidRPr="00055993">
        <w:t>, the scheme appears successful in delivering improvements in supply reliability</w:t>
      </w:r>
      <w:r>
        <w:t xml:space="preserve"> as</w:t>
      </w:r>
      <w:r w:rsidRPr="00055993">
        <w:t>:</w:t>
      </w:r>
    </w:p>
    <w:p w:rsidR="00F82A2C" w:rsidRPr="00F82A2C" w:rsidRDefault="00EC2AFC" w:rsidP="00F82A2C">
      <w:pPr>
        <w:pStyle w:val="AERbulletlistfirststyle"/>
      </w:pPr>
      <w:r>
        <w:t>o</w:t>
      </w:r>
      <w:r w:rsidR="00F82A2C">
        <w:t>nly United Energy reported significant deterioration of performance.</w:t>
      </w:r>
    </w:p>
    <w:p w:rsidR="00F82A2C" w:rsidRPr="00F82A2C" w:rsidRDefault="00F82A2C" w:rsidP="00F82A2C">
      <w:pPr>
        <w:pStyle w:val="AERbulletlistfirststyle"/>
      </w:pPr>
      <w:r>
        <w:t>CitiPower reported a slight improvement (reduction) in the average number of outages (SAIFI) but a substanti</w:t>
      </w:r>
      <w:r w:rsidR="00EC2AFC">
        <w:t>al</w:t>
      </w:r>
      <w:r>
        <w:t xml:space="preserve"> deterioration (increase) in the supply outage time (SAIDI), resulting in a 0.02 per cent average annual s-factor penalty.</w:t>
      </w:r>
    </w:p>
    <w:p w:rsidR="00F82A2C" w:rsidRPr="00F82A2C" w:rsidRDefault="00EC2AFC" w:rsidP="00F82A2C">
      <w:pPr>
        <w:pStyle w:val="AERbulletlistfirststyle"/>
      </w:pPr>
      <w:r>
        <w:t>a</w:t>
      </w:r>
      <w:r w:rsidR="00F82A2C">
        <w:t>ll other distributors achieved significant improvements.</w:t>
      </w:r>
    </w:p>
    <w:p w:rsidR="00F82A2C" w:rsidRPr="00F82A2C" w:rsidRDefault="00EC2AFC" w:rsidP="00F82A2C">
      <w:pPr>
        <w:pStyle w:val="AERbulletlistfirststyle"/>
      </w:pPr>
      <w:r>
        <w:t>m</w:t>
      </w:r>
      <w:r w:rsidR="00F82A2C">
        <w:t>ost significantly, d</w:t>
      </w:r>
      <w:r w:rsidR="00F82A2C" w:rsidRPr="00F82A2C">
        <w:t xml:space="preserve">istributors typically achieved better improvements to their SAIFI results (the number of outages) than their SAIDI (duration of outages) results (red lines vs the blue lines of the charts in this </w:t>
      </w:r>
      <w:r>
        <w:t>a</w:t>
      </w:r>
      <w:r w:rsidR="00F82A2C" w:rsidRPr="00F82A2C">
        <w:t>ppendix).</w:t>
      </w:r>
      <w:r w:rsidR="00F82A2C" w:rsidRPr="00F82A2C">
        <w:rPr>
          <w:rStyle w:val="FootnoteReference"/>
        </w:rPr>
        <w:footnoteReference w:id="46"/>
      </w:r>
    </w:p>
    <w:p w:rsidR="00F82A2C" w:rsidRPr="00F82A2C" w:rsidRDefault="00EC2AFC" w:rsidP="00F82A2C">
      <w:pPr>
        <w:pStyle w:val="AERbulletlistfirststyle"/>
      </w:pPr>
      <w:r>
        <w:t>t</w:t>
      </w:r>
      <w:r w:rsidR="00F82A2C">
        <w:t xml:space="preserve">ypically, the improvement in SAIFI is about 5 per cent better than the improvement in SAIDI. </w:t>
      </w:r>
    </w:p>
    <w:p w:rsidR="00F82A2C" w:rsidRDefault="00F82A2C" w:rsidP="00F82A2C">
      <w:r>
        <w:t>We</w:t>
      </w:r>
      <w:r w:rsidRPr="00573F48">
        <w:t xml:space="preserve"> believe this </w:t>
      </w:r>
      <w:r>
        <w:t xml:space="preserve">difference in performance between SAIDI and SAIFI </w:t>
      </w:r>
      <w:r w:rsidRPr="00573F48">
        <w:t xml:space="preserve">may be due to the current scheme design regarding the ratio of the reward/penalty </w:t>
      </w:r>
      <w:r>
        <w:t xml:space="preserve">incentive </w:t>
      </w:r>
      <w:r w:rsidRPr="00573F48">
        <w:t>rates between SAI</w:t>
      </w:r>
      <w:r>
        <w:t>F</w:t>
      </w:r>
      <w:r w:rsidRPr="00573F48">
        <w:t>I and SAI</w:t>
      </w:r>
      <w:r>
        <w:t>D</w:t>
      </w:r>
      <w:r w:rsidRPr="00573F48">
        <w:t>I.</w:t>
      </w:r>
      <w:r>
        <w:t xml:space="preserve"> We consider this a key issue that needs to be considered in the operation of the current STPIS and this is further discussed in the next chapter. </w:t>
      </w:r>
    </w:p>
    <w:p w:rsidR="00954F4E" w:rsidRDefault="00954F4E">
      <w:pPr>
        <w:spacing w:line="240" w:lineRule="auto"/>
        <w:rPr>
          <w:b/>
          <w:color w:val="076A92" w:themeColor="text1"/>
          <w:sz w:val="24"/>
          <w:szCs w:val="20"/>
        </w:rPr>
      </w:pPr>
      <w:r>
        <w:br w:type="page"/>
      </w:r>
    </w:p>
    <w:p w:rsidR="00F82A2C" w:rsidRPr="002C3D7E" w:rsidRDefault="00F82A2C" w:rsidP="00F82A2C">
      <w:pPr>
        <w:pStyle w:val="Tabletitle"/>
      </w:pPr>
      <w:r w:rsidRPr="002C3D7E">
        <w:lastRenderedPageBreak/>
        <w:t xml:space="preserve">Table </w:t>
      </w:r>
      <w:r>
        <w:t>B1</w:t>
      </w:r>
      <w:r w:rsidRPr="002C3D7E">
        <w:t>: Percentage change in ratio of SAIFI/SAIDI targets (CAIDI) from the previous period to the current period</w:t>
      </w:r>
    </w:p>
    <w:tbl>
      <w:tblPr>
        <w:tblW w:w="8662" w:type="dxa"/>
        <w:tblBorders>
          <w:bottom w:val="single" w:sz="4" w:space="0" w:color="365F91"/>
        </w:tblBorders>
        <w:tblLook w:val="04A0" w:firstRow="1" w:lastRow="0" w:firstColumn="1" w:lastColumn="0" w:noHBand="0" w:noVBand="1"/>
      </w:tblPr>
      <w:tblGrid>
        <w:gridCol w:w="1716"/>
        <w:gridCol w:w="1559"/>
        <w:gridCol w:w="1843"/>
        <w:gridCol w:w="1701"/>
        <w:gridCol w:w="1843"/>
      </w:tblGrid>
      <w:tr w:rsidR="00F82A2C" w:rsidRPr="00AC2FB3" w:rsidTr="00F82A2C">
        <w:trPr>
          <w:trHeight w:val="288"/>
        </w:trPr>
        <w:tc>
          <w:tcPr>
            <w:tcW w:w="1716" w:type="dxa"/>
            <w:shd w:val="clear" w:color="auto" w:fill="365F91"/>
            <w:noWrap/>
            <w:vAlign w:val="center"/>
            <w:hideMark/>
          </w:tcPr>
          <w:p w:rsidR="00F82A2C" w:rsidRPr="00F82A2C" w:rsidRDefault="00F82A2C" w:rsidP="00F82A2C">
            <w:r w:rsidRPr="00F82A2C">
              <w:t>Distributor</w:t>
            </w:r>
          </w:p>
        </w:tc>
        <w:tc>
          <w:tcPr>
            <w:tcW w:w="1559" w:type="dxa"/>
            <w:shd w:val="clear" w:color="auto" w:fill="365F91"/>
            <w:noWrap/>
            <w:vAlign w:val="center"/>
            <w:hideMark/>
          </w:tcPr>
          <w:p w:rsidR="00F82A2C" w:rsidRPr="00F82A2C" w:rsidRDefault="00F82A2C" w:rsidP="00F82A2C">
            <w:r w:rsidRPr="00F82A2C">
              <w:t>CBD feeders</w:t>
            </w:r>
          </w:p>
        </w:tc>
        <w:tc>
          <w:tcPr>
            <w:tcW w:w="1843" w:type="dxa"/>
            <w:shd w:val="clear" w:color="auto" w:fill="365F91"/>
            <w:noWrap/>
            <w:vAlign w:val="center"/>
            <w:hideMark/>
          </w:tcPr>
          <w:p w:rsidR="00F82A2C" w:rsidRPr="00F82A2C" w:rsidRDefault="00F82A2C" w:rsidP="00F82A2C">
            <w:r w:rsidRPr="00F82A2C">
              <w:t>Urban feeders</w:t>
            </w:r>
          </w:p>
        </w:tc>
        <w:tc>
          <w:tcPr>
            <w:tcW w:w="1701" w:type="dxa"/>
            <w:shd w:val="clear" w:color="auto" w:fill="365F91"/>
            <w:noWrap/>
            <w:vAlign w:val="center"/>
            <w:hideMark/>
          </w:tcPr>
          <w:p w:rsidR="00F82A2C" w:rsidRPr="00F82A2C" w:rsidRDefault="00F82A2C" w:rsidP="00F82A2C">
            <w:r w:rsidRPr="00F82A2C">
              <w:t>short rural feeders</w:t>
            </w:r>
          </w:p>
        </w:tc>
        <w:tc>
          <w:tcPr>
            <w:tcW w:w="1843" w:type="dxa"/>
            <w:shd w:val="clear" w:color="auto" w:fill="365F91"/>
            <w:noWrap/>
            <w:vAlign w:val="center"/>
            <w:hideMark/>
          </w:tcPr>
          <w:p w:rsidR="00F82A2C" w:rsidRPr="00F82A2C" w:rsidRDefault="00F82A2C" w:rsidP="00F82A2C">
            <w:r w:rsidRPr="00F82A2C">
              <w:t>long rural feeders</w:t>
            </w:r>
          </w:p>
        </w:tc>
      </w:tr>
      <w:tr w:rsidR="00F82A2C" w:rsidRPr="00AC2FB3" w:rsidTr="00F82A2C">
        <w:trPr>
          <w:trHeight w:val="360"/>
        </w:trPr>
        <w:tc>
          <w:tcPr>
            <w:tcW w:w="1716" w:type="dxa"/>
            <w:shd w:val="clear" w:color="auto" w:fill="auto"/>
            <w:noWrap/>
            <w:vAlign w:val="center"/>
            <w:hideMark/>
          </w:tcPr>
          <w:p w:rsidR="00F82A2C" w:rsidRPr="00F82A2C" w:rsidRDefault="00F82A2C" w:rsidP="00F82A2C">
            <w:r w:rsidRPr="00F82A2C">
              <w:t xml:space="preserve">CitiPower </w:t>
            </w:r>
          </w:p>
        </w:tc>
        <w:tc>
          <w:tcPr>
            <w:tcW w:w="1559" w:type="dxa"/>
            <w:shd w:val="clear" w:color="auto" w:fill="auto"/>
            <w:noWrap/>
            <w:vAlign w:val="center"/>
            <w:hideMark/>
          </w:tcPr>
          <w:p w:rsidR="00F82A2C" w:rsidRPr="00F82A2C" w:rsidRDefault="00F82A2C" w:rsidP="00F82A2C">
            <w:r w:rsidRPr="00F82A2C">
              <w:t>17% worse</w:t>
            </w:r>
          </w:p>
        </w:tc>
        <w:tc>
          <w:tcPr>
            <w:tcW w:w="1843" w:type="dxa"/>
            <w:shd w:val="clear" w:color="auto" w:fill="auto"/>
            <w:noWrap/>
            <w:vAlign w:val="center"/>
            <w:hideMark/>
          </w:tcPr>
          <w:p w:rsidR="00F82A2C" w:rsidRPr="00F82A2C" w:rsidRDefault="00F82A2C" w:rsidP="00F82A2C">
            <w:r w:rsidRPr="00F82A2C">
              <w:t>36% worse</w:t>
            </w:r>
          </w:p>
        </w:tc>
        <w:tc>
          <w:tcPr>
            <w:tcW w:w="1701" w:type="dxa"/>
            <w:shd w:val="clear" w:color="auto" w:fill="auto"/>
            <w:noWrap/>
            <w:vAlign w:val="center"/>
            <w:hideMark/>
          </w:tcPr>
          <w:p w:rsidR="00F82A2C" w:rsidRPr="00F82A2C" w:rsidRDefault="00F82A2C" w:rsidP="00F82A2C">
            <w:r w:rsidRPr="00F82A2C">
              <w:t>na</w:t>
            </w:r>
          </w:p>
        </w:tc>
        <w:tc>
          <w:tcPr>
            <w:tcW w:w="1843" w:type="dxa"/>
            <w:shd w:val="clear" w:color="auto" w:fill="auto"/>
            <w:noWrap/>
            <w:vAlign w:val="center"/>
            <w:hideMark/>
          </w:tcPr>
          <w:p w:rsidR="00F82A2C" w:rsidRPr="00F82A2C" w:rsidRDefault="00F82A2C" w:rsidP="00F82A2C">
            <w:r w:rsidRPr="00F82A2C">
              <w:t>na</w:t>
            </w:r>
          </w:p>
        </w:tc>
      </w:tr>
      <w:tr w:rsidR="00F82A2C" w:rsidRPr="00AC2FB3" w:rsidTr="00F82A2C">
        <w:trPr>
          <w:trHeight w:val="288"/>
        </w:trPr>
        <w:tc>
          <w:tcPr>
            <w:tcW w:w="1716" w:type="dxa"/>
            <w:shd w:val="clear" w:color="auto" w:fill="DBE5F1"/>
            <w:noWrap/>
            <w:vAlign w:val="center"/>
            <w:hideMark/>
          </w:tcPr>
          <w:p w:rsidR="00F82A2C" w:rsidRPr="00F82A2C" w:rsidRDefault="00F82A2C" w:rsidP="00F82A2C">
            <w:r w:rsidRPr="00F82A2C">
              <w:t>Jemena</w:t>
            </w:r>
          </w:p>
        </w:tc>
        <w:tc>
          <w:tcPr>
            <w:tcW w:w="1559" w:type="dxa"/>
            <w:shd w:val="clear" w:color="auto" w:fill="DBE5F1"/>
            <w:noWrap/>
            <w:vAlign w:val="center"/>
            <w:hideMark/>
          </w:tcPr>
          <w:p w:rsidR="00F82A2C" w:rsidRPr="00F82A2C" w:rsidRDefault="00F82A2C" w:rsidP="00F82A2C">
            <w:r w:rsidRPr="00F82A2C">
              <w:t>na</w:t>
            </w:r>
          </w:p>
        </w:tc>
        <w:tc>
          <w:tcPr>
            <w:tcW w:w="1843" w:type="dxa"/>
            <w:shd w:val="clear" w:color="auto" w:fill="DBE5F1"/>
            <w:noWrap/>
            <w:vAlign w:val="center"/>
            <w:hideMark/>
          </w:tcPr>
          <w:p w:rsidR="00F82A2C" w:rsidRPr="00F82A2C" w:rsidRDefault="00F82A2C" w:rsidP="00F82A2C">
            <w:r w:rsidRPr="00F82A2C">
              <w:rPr>
                <w:highlight w:val="yellow"/>
              </w:rPr>
              <w:t>4% better</w:t>
            </w:r>
          </w:p>
        </w:tc>
        <w:tc>
          <w:tcPr>
            <w:tcW w:w="1701" w:type="dxa"/>
            <w:shd w:val="clear" w:color="auto" w:fill="DBE5F1"/>
            <w:noWrap/>
            <w:vAlign w:val="center"/>
            <w:hideMark/>
          </w:tcPr>
          <w:p w:rsidR="00F82A2C" w:rsidRPr="00F82A2C" w:rsidRDefault="00F82A2C" w:rsidP="00F82A2C">
            <w:r w:rsidRPr="00F82A2C">
              <w:t>25% worse</w:t>
            </w:r>
          </w:p>
        </w:tc>
        <w:tc>
          <w:tcPr>
            <w:tcW w:w="1843" w:type="dxa"/>
            <w:shd w:val="clear" w:color="auto" w:fill="DBE5F1"/>
            <w:noWrap/>
            <w:vAlign w:val="center"/>
            <w:hideMark/>
          </w:tcPr>
          <w:p w:rsidR="00F82A2C" w:rsidRPr="00F82A2C" w:rsidRDefault="00F82A2C" w:rsidP="00F82A2C">
            <w:r w:rsidRPr="00F82A2C">
              <w:t>na</w:t>
            </w:r>
          </w:p>
        </w:tc>
      </w:tr>
      <w:tr w:rsidR="00F82A2C" w:rsidRPr="00AC2FB3" w:rsidTr="00F82A2C">
        <w:trPr>
          <w:trHeight w:val="288"/>
        </w:trPr>
        <w:tc>
          <w:tcPr>
            <w:tcW w:w="1716" w:type="dxa"/>
            <w:shd w:val="clear" w:color="auto" w:fill="auto"/>
            <w:noWrap/>
            <w:vAlign w:val="center"/>
            <w:hideMark/>
          </w:tcPr>
          <w:p w:rsidR="00F82A2C" w:rsidRPr="00F82A2C" w:rsidRDefault="00F82A2C" w:rsidP="00F82A2C">
            <w:r w:rsidRPr="00F82A2C">
              <w:t>Powercor</w:t>
            </w:r>
          </w:p>
        </w:tc>
        <w:tc>
          <w:tcPr>
            <w:tcW w:w="1559" w:type="dxa"/>
            <w:shd w:val="clear" w:color="auto" w:fill="auto"/>
            <w:noWrap/>
            <w:vAlign w:val="center"/>
            <w:hideMark/>
          </w:tcPr>
          <w:p w:rsidR="00F82A2C" w:rsidRPr="00F82A2C" w:rsidRDefault="00F82A2C" w:rsidP="00F82A2C">
            <w:r w:rsidRPr="00F82A2C">
              <w:t>na</w:t>
            </w:r>
          </w:p>
        </w:tc>
        <w:tc>
          <w:tcPr>
            <w:tcW w:w="1843" w:type="dxa"/>
            <w:shd w:val="clear" w:color="auto" w:fill="auto"/>
            <w:noWrap/>
            <w:vAlign w:val="center"/>
            <w:hideMark/>
          </w:tcPr>
          <w:p w:rsidR="00F82A2C" w:rsidRPr="00F82A2C" w:rsidRDefault="00F82A2C" w:rsidP="00F82A2C">
            <w:r w:rsidRPr="00F82A2C">
              <w:t>22% worse</w:t>
            </w:r>
          </w:p>
        </w:tc>
        <w:tc>
          <w:tcPr>
            <w:tcW w:w="1701" w:type="dxa"/>
            <w:shd w:val="clear" w:color="auto" w:fill="auto"/>
            <w:noWrap/>
            <w:vAlign w:val="center"/>
            <w:hideMark/>
          </w:tcPr>
          <w:p w:rsidR="00F82A2C" w:rsidRPr="00F82A2C" w:rsidRDefault="00F82A2C" w:rsidP="00F82A2C">
            <w:r w:rsidRPr="00F82A2C">
              <w:t>14% worse</w:t>
            </w:r>
          </w:p>
        </w:tc>
        <w:tc>
          <w:tcPr>
            <w:tcW w:w="1843" w:type="dxa"/>
            <w:shd w:val="clear" w:color="auto" w:fill="auto"/>
            <w:noWrap/>
            <w:vAlign w:val="center"/>
            <w:hideMark/>
          </w:tcPr>
          <w:p w:rsidR="00F82A2C" w:rsidRPr="00F82A2C" w:rsidRDefault="00F82A2C" w:rsidP="00F82A2C">
            <w:r w:rsidRPr="00F82A2C">
              <w:t>25% worse</w:t>
            </w:r>
          </w:p>
        </w:tc>
      </w:tr>
      <w:tr w:rsidR="00F82A2C" w:rsidRPr="00AC2FB3" w:rsidTr="00F82A2C">
        <w:trPr>
          <w:trHeight w:val="288"/>
        </w:trPr>
        <w:tc>
          <w:tcPr>
            <w:tcW w:w="1716" w:type="dxa"/>
            <w:shd w:val="clear" w:color="auto" w:fill="DBE5F1"/>
            <w:noWrap/>
            <w:vAlign w:val="center"/>
            <w:hideMark/>
          </w:tcPr>
          <w:p w:rsidR="00F82A2C" w:rsidRPr="00F82A2C" w:rsidRDefault="00F82A2C" w:rsidP="00F82A2C">
            <w:r w:rsidRPr="00F82A2C">
              <w:t>AusNet Services</w:t>
            </w:r>
          </w:p>
        </w:tc>
        <w:tc>
          <w:tcPr>
            <w:tcW w:w="1559" w:type="dxa"/>
            <w:shd w:val="clear" w:color="auto" w:fill="DBE5F1"/>
            <w:noWrap/>
            <w:vAlign w:val="center"/>
            <w:hideMark/>
          </w:tcPr>
          <w:p w:rsidR="00F82A2C" w:rsidRPr="00F82A2C" w:rsidRDefault="00F82A2C" w:rsidP="00F82A2C">
            <w:r w:rsidRPr="00F82A2C">
              <w:t>na</w:t>
            </w:r>
          </w:p>
        </w:tc>
        <w:tc>
          <w:tcPr>
            <w:tcW w:w="1843" w:type="dxa"/>
            <w:shd w:val="clear" w:color="auto" w:fill="DBE5F1"/>
            <w:noWrap/>
            <w:vAlign w:val="center"/>
            <w:hideMark/>
          </w:tcPr>
          <w:p w:rsidR="00F82A2C" w:rsidRPr="00F82A2C" w:rsidRDefault="00F82A2C" w:rsidP="00F82A2C">
            <w:r w:rsidRPr="00F82A2C">
              <w:t>5% worse</w:t>
            </w:r>
          </w:p>
        </w:tc>
        <w:tc>
          <w:tcPr>
            <w:tcW w:w="1701" w:type="dxa"/>
            <w:shd w:val="clear" w:color="auto" w:fill="DBE5F1"/>
            <w:noWrap/>
            <w:vAlign w:val="center"/>
            <w:hideMark/>
          </w:tcPr>
          <w:p w:rsidR="00F82A2C" w:rsidRPr="00F82A2C" w:rsidRDefault="00F82A2C" w:rsidP="00F82A2C">
            <w:r w:rsidRPr="00F82A2C">
              <w:t>3% worse</w:t>
            </w:r>
          </w:p>
        </w:tc>
        <w:tc>
          <w:tcPr>
            <w:tcW w:w="1843" w:type="dxa"/>
            <w:shd w:val="clear" w:color="auto" w:fill="DBE5F1"/>
            <w:noWrap/>
            <w:vAlign w:val="center"/>
            <w:hideMark/>
          </w:tcPr>
          <w:p w:rsidR="00F82A2C" w:rsidRPr="00F82A2C" w:rsidRDefault="00F82A2C" w:rsidP="00F82A2C">
            <w:r w:rsidRPr="00F82A2C">
              <w:t>7% worse</w:t>
            </w:r>
          </w:p>
        </w:tc>
      </w:tr>
      <w:tr w:rsidR="00F82A2C" w:rsidRPr="00AC2FB3" w:rsidTr="00F82A2C">
        <w:trPr>
          <w:trHeight w:val="288"/>
        </w:trPr>
        <w:tc>
          <w:tcPr>
            <w:tcW w:w="1716" w:type="dxa"/>
            <w:shd w:val="clear" w:color="auto" w:fill="auto"/>
            <w:noWrap/>
            <w:vAlign w:val="center"/>
            <w:hideMark/>
          </w:tcPr>
          <w:p w:rsidR="00F82A2C" w:rsidRPr="00F82A2C" w:rsidRDefault="00F82A2C" w:rsidP="00F82A2C">
            <w:r w:rsidRPr="00F82A2C">
              <w:t>United Energy</w:t>
            </w:r>
          </w:p>
        </w:tc>
        <w:tc>
          <w:tcPr>
            <w:tcW w:w="1559" w:type="dxa"/>
            <w:shd w:val="clear" w:color="auto" w:fill="auto"/>
            <w:noWrap/>
            <w:vAlign w:val="center"/>
            <w:hideMark/>
          </w:tcPr>
          <w:p w:rsidR="00F82A2C" w:rsidRPr="00F82A2C" w:rsidRDefault="00F82A2C" w:rsidP="00F82A2C">
            <w:r w:rsidRPr="00F82A2C">
              <w:t>na</w:t>
            </w:r>
          </w:p>
        </w:tc>
        <w:tc>
          <w:tcPr>
            <w:tcW w:w="1843" w:type="dxa"/>
            <w:shd w:val="clear" w:color="auto" w:fill="auto"/>
            <w:noWrap/>
            <w:vAlign w:val="center"/>
            <w:hideMark/>
          </w:tcPr>
          <w:p w:rsidR="00F82A2C" w:rsidRPr="00F82A2C" w:rsidRDefault="00F82A2C" w:rsidP="00F82A2C">
            <w:r w:rsidRPr="00F82A2C">
              <w:t>12% worse</w:t>
            </w:r>
          </w:p>
        </w:tc>
        <w:tc>
          <w:tcPr>
            <w:tcW w:w="1701" w:type="dxa"/>
            <w:shd w:val="clear" w:color="auto" w:fill="auto"/>
            <w:noWrap/>
            <w:vAlign w:val="center"/>
            <w:hideMark/>
          </w:tcPr>
          <w:p w:rsidR="00F82A2C" w:rsidRPr="00F82A2C" w:rsidRDefault="00F82A2C" w:rsidP="00F82A2C">
            <w:r w:rsidRPr="00F82A2C">
              <w:t>32% worse</w:t>
            </w:r>
          </w:p>
        </w:tc>
        <w:tc>
          <w:tcPr>
            <w:tcW w:w="1843" w:type="dxa"/>
            <w:shd w:val="clear" w:color="auto" w:fill="auto"/>
            <w:noWrap/>
            <w:vAlign w:val="center"/>
            <w:hideMark/>
          </w:tcPr>
          <w:p w:rsidR="00F82A2C" w:rsidRPr="00F82A2C" w:rsidRDefault="00F82A2C" w:rsidP="00F82A2C">
            <w:r w:rsidRPr="00F82A2C">
              <w:t>na</w:t>
            </w:r>
          </w:p>
        </w:tc>
      </w:tr>
      <w:tr w:rsidR="00F82A2C" w:rsidRPr="00AC2FB3" w:rsidTr="00F82A2C">
        <w:trPr>
          <w:trHeight w:val="288"/>
        </w:trPr>
        <w:tc>
          <w:tcPr>
            <w:tcW w:w="1716" w:type="dxa"/>
            <w:shd w:val="clear" w:color="auto" w:fill="DBE5F1"/>
            <w:noWrap/>
            <w:vAlign w:val="center"/>
            <w:hideMark/>
          </w:tcPr>
          <w:p w:rsidR="00F82A2C" w:rsidRPr="00F82A2C" w:rsidRDefault="00F82A2C" w:rsidP="00F82A2C">
            <w:r w:rsidRPr="00F82A2C">
              <w:t>Ergon Energy</w:t>
            </w:r>
          </w:p>
        </w:tc>
        <w:tc>
          <w:tcPr>
            <w:tcW w:w="1559" w:type="dxa"/>
            <w:shd w:val="clear" w:color="auto" w:fill="DBE5F1"/>
            <w:noWrap/>
            <w:vAlign w:val="center"/>
            <w:hideMark/>
          </w:tcPr>
          <w:p w:rsidR="00F82A2C" w:rsidRPr="00F82A2C" w:rsidRDefault="00F82A2C" w:rsidP="00F82A2C">
            <w:r w:rsidRPr="00F82A2C">
              <w:t>na</w:t>
            </w:r>
          </w:p>
        </w:tc>
        <w:tc>
          <w:tcPr>
            <w:tcW w:w="1843" w:type="dxa"/>
            <w:shd w:val="clear" w:color="auto" w:fill="DBE5F1"/>
            <w:noWrap/>
            <w:vAlign w:val="center"/>
            <w:hideMark/>
          </w:tcPr>
          <w:p w:rsidR="00F82A2C" w:rsidRPr="00F82A2C" w:rsidRDefault="00F82A2C" w:rsidP="00F82A2C">
            <w:r w:rsidRPr="00F82A2C">
              <w:t>10% worse</w:t>
            </w:r>
          </w:p>
        </w:tc>
        <w:tc>
          <w:tcPr>
            <w:tcW w:w="1701" w:type="dxa"/>
            <w:shd w:val="clear" w:color="auto" w:fill="DBE5F1"/>
            <w:noWrap/>
            <w:vAlign w:val="center"/>
            <w:hideMark/>
          </w:tcPr>
          <w:p w:rsidR="00F82A2C" w:rsidRPr="00F82A2C" w:rsidRDefault="00F82A2C" w:rsidP="00F82A2C">
            <w:r w:rsidRPr="00F82A2C">
              <w:t>9% worse</w:t>
            </w:r>
          </w:p>
        </w:tc>
        <w:tc>
          <w:tcPr>
            <w:tcW w:w="1843" w:type="dxa"/>
            <w:shd w:val="clear" w:color="auto" w:fill="DBE5F1"/>
            <w:noWrap/>
            <w:vAlign w:val="center"/>
            <w:hideMark/>
          </w:tcPr>
          <w:p w:rsidR="00F82A2C" w:rsidRPr="00F82A2C" w:rsidRDefault="00F82A2C" w:rsidP="00F82A2C">
            <w:r w:rsidRPr="00F82A2C">
              <w:t>11% worse</w:t>
            </w:r>
          </w:p>
        </w:tc>
      </w:tr>
      <w:tr w:rsidR="00F82A2C" w:rsidRPr="00AC2FB3" w:rsidTr="00F82A2C">
        <w:trPr>
          <w:trHeight w:val="288"/>
        </w:trPr>
        <w:tc>
          <w:tcPr>
            <w:tcW w:w="1716" w:type="dxa"/>
            <w:shd w:val="clear" w:color="auto" w:fill="auto"/>
            <w:noWrap/>
            <w:vAlign w:val="center"/>
            <w:hideMark/>
          </w:tcPr>
          <w:p w:rsidR="00F82A2C" w:rsidRPr="00F82A2C" w:rsidRDefault="00F82A2C" w:rsidP="00F82A2C">
            <w:r w:rsidRPr="00F82A2C">
              <w:t>Energex</w:t>
            </w:r>
          </w:p>
        </w:tc>
        <w:tc>
          <w:tcPr>
            <w:tcW w:w="1559" w:type="dxa"/>
            <w:shd w:val="clear" w:color="auto" w:fill="auto"/>
            <w:noWrap/>
            <w:vAlign w:val="center"/>
            <w:hideMark/>
          </w:tcPr>
          <w:p w:rsidR="00F82A2C" w:rsidRPr="00F82A2C" w:rsidRDefault="00F82A2C" w:rsidP="00F82A2C">
            <w:r w:rsidRPr="00F82A2C">
              <w:t>7% worse</w:t>
            </w:r>
          </w:p>
        </w:tc>
        <w:tc>
          <w:tcPr>
            <w:tcW w:w="1843" w:type="dxa"/>
            <w:shd w:val="clear" w:color="auto" w:fill="auto"/>
            <w:noWrap/>
            <w:vAlign w:val="center"/>
            <w:hideMark/>
          </w:tcPr>
          <w:p w:rsidR="00F82A2C" w:rsidRPr="00F82A2C" w:rsidRDefault="00F82A2C" w:rsidP="00F82A2C">
            <w:r w:rsidRPr="00F82A2C">
              <w:rPr>
                <w:highlight w:val="yellow"/>
              </w:rPr>
              <w:t>0%</w:t>
            </w:r>
          </w:p>
        </w:tc>
        <w:tc>
          <w:tcPr>
            <w:tcW w:w="1701" w:type="dxa"/>
            <w:shd w:val="clear" w:color="auto" w:fill="auto"/>
            <w:noWrap/>
            <w:vAlign w:val="center"/>
            <w:hideMark/>
          </w:tcPr>
          <w:p w:rsidR="00F82A2C" w:rsidRPr="00F82A2C" w:rsidRDefault="00F82A2C" w:rsidP="00F82A2C">
            <w:r w:rsidRPr="00F82A2C">
              <w:t>2% worse</w:t>
            </w:r>
          </w:p>
        </w:tc>
        <w:tc>
          <w:tcPr>
            <w:tcW w:w="1843" w:type="dxa"/>
            <w:shd w:val="clear" w:color="auto" w:fill="auto"/>
            <w:noWrap/>
            <w:vAlign w:val="center"/>
            <w:hideMark/>
          </w:tcPr>
          <w:p w:rsidR="00F82A2C" w:rsidRPr="00F82A2C" w:rsidRDefault="00F82A2C" w:rsidP="00F82A2C">
            <w:r w:rsidRPr="00F82A2C">
              <w:t>na</w:t>
            </w:r>
          </w:p>
        </w:tc>
      </w:tr>
      <w:tr w:rsidR="00F82A2C" w:rsidRPr="00AC2FB3" w:rsidTr="00F82A2C">
        <w:trPr>
          <w:trHeight w:val="288"/>
        </w:trPr>
        <w:tc>
          <w:tcPr>
            <w:tcW w:w="1716" w:type="dxa"/>
            <w:shd w:val="clear" w:color="auto" w:fill="DBE5F1"/>
            <w:noWrap/>
            <w:vAlign w:val="center"/>
            <w:hideMark/>
          </w:tcPr>
          <w:p w:rsidR="00F82A2C" w:rsidRPr="00F82A2C" w:rsidRDefault="00F82A2C" w:rsidP="00F82A2C">
            <w:r w:rsidRPr="00F82A2C">
              <w:t>SA Power Networks</w:t>
            </w:r>
          </w:p>
        </w:tc>
        <w:tc>
          <w:tcPr>
            <w:tcW w:w="1559" w:type="dxa"/>
            <w:shd w:val="clear" w:color="auto" w:fill="DBE5F1"/>
            <w:noWrap/>
            <w:vAlign w:val="center"/>
            <w:hideMark/>
          </w:tcPr>
          <w:p w:rsidR="00F82A2C" w:rsidRPr="00F82A2C" w:rsidRDefault="00F82A2C" w:rsidP="00F82A2C">
            <w:r w:rsidRPr="00F82A2C">
              <w:rPr>
                <w:highlight w:val="yellow"/>
              </w:rPr>
              <w:t>8% better</w:t>
            </w:r>
          </w:p>
        </w:tc>
        <w:tc>
          <w:tcPr>
            <w:tcW w:w="1843" w:type="dxa"/>
            <w:shd w:val="clear" w:color="auto" w:fill="DBE5F1"/>
            <w:noWrap/>
            <w:vAlign w:val="center"/>
            <w:hideMark/>
          </w:tcPr>
          <w:p w:rsidR="00F82A2C" w:rsidRPr="00F82A2C" w:rsidRDefault="00F82A2C" w:rsidP="00F82A2C">
            <w:r w:rsidRPr="00F82A2C">
              <w:t>11% worse</w:t>
            </w:r>
          </w:p>
        </w:tc>
        <w:tc>
          <w:tcPr>
            <w:tcW w:w="1701" w:type="dxa"/>
            <w:shd w:val="clear" w:color="auto" w:fill="DBE5F1"/>
            <w:noWrap/>
            <w:vAlign w:val="center"/>
            <w:hideMark/>
          </w:tcPr>
          <w:p w:rsidR="00F82A2C" w:rsidRPr="00F82A2C" w:rsidRDefault="00F82A2C" w:rsidP="00F82A2C">
            <w:r w:rsidRPr="00F82A2C">
              <w:t>13% worse</w:t>
            </w:r>
          </w:p>
        </w:tc>
        <w:tc>
          <w:tcPr>
            <w:tcW w:w="1843" w:type="dxa"/>
            <w:shd w:val="clear" w:color="auto" w:fill="DBE5F1"/>
            <w:noWrap/>
            <w:vAlign w:val="center"/>
            <w:hideMark/>
          </w:tcPr>
          <w:p w:rsidR="00F82A2C" w:rsidRPr="00F82A2C" w:rsidRDefault="00F82A2C" w:rsidP="00F82A2C">
            <w:r w:rsidRPr="00F82A2C">
              <w:t>20% worse</w:t>
            </w:r>
          </w:p>
        </w:tc>
      </w:tr>
    </w:tbl>
    <w:p w:rsidR="00F82A2C" w:rsidRPr="002C3D7E" w:rsidRDefault="00F82A2C" w:rsidP="00F82A2C">
      <w:pPr>
        <w:pStyle w:val="AERtablesource"/>
      </w:pPr>
      <w:r>
        <w:t>Source:</w:t>
      </w:r>
      <w:r>
        <w:tab/>
        <w:t>AER analysis.</w:t>
      </w:r>
      <w:r w:rsidRPr="002C3D7E">
        <w:t xml:space="preserve"> </w:t>
      </w:r>
    </w:p>
    <w:p w:rsidR="00F82A2C" w:rsidRPr="00F82A2C" w:rsidRDefault="00F82A2C" w:rsidP="00F82A2C">
      <w:pPr>
        <w:pStyle w:val="AERtablesource"/>
      </w:pPr>
      <w:r w:rsidRPr="002C3D7E">
        <w:t xml:space="preserve">Note: </w:t>
      </w:r>
      <w:r w:rsidRPr="00F82A2C">
        <w:tab/>
        <w:t>Overall reliability outcomes for consumers (SAIDI) have improved for all distributors with the exception of United Energy;</w:t>
      </w:r>
    </w:p>
    <w:p w:rsidR="00F82A2C" w:rsidRDefault="00F82A2C" w:rsidP="00F82A2C">
      <w:pPr>
        <w:pStyle w:val="AERtablesource"/>
      </w:pPr>
      <w:r>
        <w:tab/>
        <w:t xml:space="preserve">na represents </w:t>
      </w:r>
      <w:r w:rsidRPr="00F82A2C">
        <w:t>not applicable, the distributor does not have this feeder type.</w:t>
      </w:r>
      <w:r>
        <w:t xml:space="preserve"> </w:t>
      </w:r>
    </w:p>
    <w:p w:rsidR="00954F4E" w:rsidRDefault="00954F4E">
      <w:pPr>
        <w:spacing w:line="240" w:lineRule="auto"/>
        <w:rPr>
          <w:rStyle w:val="AERbody"/>
        </w:rPr>
      </w:pPr>
      <w:r>
        <w:rPr>
          <w:rStyle w:val="AERbody"/>
        </w:rPr>
        <w:br w:type="page"/>
      </w:r>
    </w:p>
    <w:p w:rsidR="00F82A2C" w:rsidRDefault="00F82A2C" w:rsidP="00F82A2C">
      <w:r w:rsidRPr="00F82A2C">
        <w:rPr>
          <w:rStyle w:val="AERbody"/>
        </w:rPr>
        <w:lastRenderedPageBreak/>
        <w:t>The charts below show distributors' SAIDI and SAIFI against the performance targets) in normalised form for 2011–15</w:t>
      </w:r>
      <w:r>
        <w:rPr>
          <w:rStyle w:val="FootnoteReference"/>
        </w:rPr>
        <w:footnoteReference w:id="47"/>
      </w:r>
      <w:r w:rsidRPr="00313D3E">
        <w:rPr>
          <w:rStyle w:val="AERsuperscript"/>
        </w:rPr>
        <w:t>,</w:t>
      </w:r>
      <w:r>
        <w:rPr>
          <w:rStyle w:val="FootnoteReference"/>
        </w:rPr>
        <w:footnoteReference w:id="48"/>
      </w:r>
    </w:p>
    <w:p w:rsidR="00F82A2C" w:rsidRDefault="00F82A2C" w:rsidP="00F82A2C">
      <w:r w:rsidRPr="00F82A2C">
        <w:rPr>
          <w:noProof/>
          <w:lang w:eastAsia="zh-CN"/>
        </w:rPr>
        <w:drawing>
          <wp:inline distT="0" distB="0" distL="0" distR="0" wp14:anchorId="372B73BD" wp14:editId="1903E99D">
            <wp:extent cx="5385435" cy="2658745"/>
            <wp:effectExtent l="0" t="0" r="571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5435" cy="2658745"/>
                    </a:xfrm>
                    <a:prstGeom prst="rect">
                      <a:avLst/>
                    </a:prstGeom>
                    <a:noFill/>
                    <a:ln>
                      <a:noFill/>
                    </a:ln>
                  </pic:spPr>
                </pic:pic>
              </a:graphicData>
            </a:graphic>
          </wp:inline>
        </w:drawing>
      </w:r>
    </w:p>
    <w:p w:rsidR="00F82A2C" w:rsidRDefault="00F82A2C" w:rsidP="00F82A2C">
      <w:r w:rsidRPr="00F82A2C">
        <w:rPr>
          <w:noProof/>
          <w:lang w:eastAsia="zh-CN"/>
        </w:rPr>
        <w:drawing>
          <wp:inline distT="0" distB="0" distL="0" distR="0" wp14:anchorId="4625E3B5" wp14:editId="369D6F05">
            <wp:extent cx="5396865" cy="26587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6865" cy="2658745"/>
                    </a:xfrm>
                    <a:prstGeom prst="rect">
                      <a:avLst/>
                    </a:prstGeom>
                    <a:noFill/>
                    <a:ln>
                      <a:noFill/>
                    </a:ln>
                  </pic:spPr>
                </pic:pic>
              </a:graphicData>
            </a:graphic>
          </wp:inline>
        </w:drawing>
      </w:r>
    </w:p>
    <w:p w:rsidR="00F82A2C" w:rsidRDefault="00F82A2C" w:rsidP="00F82A2C">
      <w:r w:rsidRPr="00F82A2C">
        <w:rPr>
          <w:noProof/>
          <w:lang w:eastAsia="zh-CN"/>
        </w:rPr>
        <w:lastRenderedPageBreak/>
        <w:drawing>
          <wp:inline distT="0" distB="0" distL="0" distR="0" wp14:anchorId="50B8EB9B" wp14:editId="61337C83">
            <wp:extent cx="5396865" cy="26587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6865" cy="2658745"/>
                    </a:xfrm>
                    <a:prstGeom prst="rect">
                      <a:avLst/>
                    </a:prstGeom>
                    <a:noFill/>
                    <a:ln>
                      <a:noFill/>
                    </a:ln>
                  </pic:spPr>
                </pic:pic>
              </a:graphicData>
            </a:graphic>
          </wp:inline>
        </w:drawing>
      </w:r>
    </w:p>
    <w:p w:rsidR="00F82A2C" w:rsidRDefault="00F82A2C" w:rsidP="00F82A2C">
      <w:r w:rsidRPr="00F82A2C">
        <w:rPr>
          <w:noProof/>
          <w:lang w:eastAsia="zh-CN"/>
        </w:rPr>
        <w:drawing>
          <wp:inline distT="0" distB="0" distL="0" distR="0" wp14:anchorId="0F3C9A50" wp14:editId="22F8B80B">
            <wp:extent cx="5396865" cy="26587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6865" cy="2658745"/>
                    </a:xfrm>
                    <a:prstGeom prst="rect">
                      <a:avLst/>
                    </a:prstGeom>
                    <a:noFill/>
                    <a:ln>
                      <a:noFill/>
                    </a:ln>
                  </pic:spPr>
                </pic:pic>
              </a:graphicData>
            </a:graphic>
          </wp:inline>
        </w:drawing>
      </w:r>
    </w:p>
    <w:p w:rsidR="00F82A2C" w:rsidRDefault="00F82A2C" w:rsidP="00F82A2C">
      <w:r w:rsidRPr="00F82A2C">
        <w:rPr>
          <w:noProof/>
          <w:lang w:eastAsia="zh-CN"/>
        </w:rPr>
        <w:drawing>
          <wp:inline distT="0" distB="0" distL="0" distR="0" wp14:anchorId="3AB954B0" wp14:editId="72F2C3D8">
            <wp:extent cx="5385435" cy="2658745"/>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5435" cy="2658745"/>
                    </a:xfrm>
                    <a:prstGeom prst="rect">
                      <a:avLst/>
                    </a:prstGeom>
                    <a:noFill/>
                    <a:ln>
                      <a:noFill/>
                    </a:ln>
                  </pic:spPr>
                </pic:pic>
              </a:graphicData>
            </a:graphic>
          </wp:inline>
        </w:drawing>
      </w:r>
    </w:p>
    <w:p w:rsidR="00F82A2C" w:rsidRDefault="00F82A2C" w:rsidP="00F82A2C">
      <w:r w:rsidRPr="00F82A2C">
        <w:rPr>
          <w:noProof/>
          <w:lang w:eastAsia="zh-CN"/>
        </w:rPr>
        <w:lastRenderedPageBreak/>
        <w:drawing>
          <wp:inline distT="0" distB="0" distL="0" distR="0" wp14:anchorId="6650227D" wp14:editId="2B47FA57">
            <wp:extent cx="4807585" cy="2794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07585" cy="2794000"/>
                    </a:xfrm>
                    <a:prstGeom prst="rect">
                      <a:avLst/>
                    </a:prstGeom>
                    <a:noFill/>
                    <a:ln>
                      <a:noFill/>
                    </a:ln>
                  </pic:spPr>
                </pic:pic>
              </a:graphicData>
            </a:graphic>
          </wp:inline>
        </w:drawing>
      </w:r>
    </w:p>
    <w:p w:rsidR="00F82A2C" w:rsidRDefault="00F82A2C" w:rsidP="00F82A2C">
      <w:r w:rsidRPr="00F82A2C">
        <w:rPr>
          <w:noProof/>
          <w:lang w:eastAsia="zh-CN"/>
        </w:rPr>
        <w:drawing>
          <wp:inline distT="0" distB="0" distL="0" distR="0" wp14:anchorId="035BA8C9" wp14:editId="6E66DDF1">
            <wp:extent cx="4807585" cy="2794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07585" cy="2794000"/>
                    </a:xfrm>
                    <a:prstGeom prst="rect">
                      <a:avLst/>
                    </a:prstGeom>
                    <a:noFill/>
                    <a:ln>
                      <a:noFill/>
                    </a:ln>
                  </pic:spPr>
                </pic:pic>
              </a:graphicData>
            </a:graphic>
          </wp:inline>
        </w:drawing>
      </w:r>
    </w:p>
    <w:p w:rsidR="00F82A2C" w:rsidRDefault="00F82A2C" w:rsidP="00F82A2C">
      <w:r w:rsidRPr="00F82A2C">
        <w:rPr>
          <w:noProof/>
          <w:lang w:eastAsia="zh-CN"/>
        </w:rPr>
        <w:drawing>
          <wp:inline distT="0" distB="0" distL="0" distR="0" wp14:anchorId="7B5D45DB" wp14:editId="444DE48F">
            <wp:extent cx="4807585" cy="2794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07585" cy="2794000"/>
                    </a:xfrm>
                    <a:prstGeom prst="rect">
                      <a:avLst/>
                    </a:prstGeom>
                    <a:noFill/>
                    <a:ln>
                      <a:noFill/>
                    </a:ln>
                  </pic:spPr>
                </pic:pic>
              </a:graphicData>
            </a:graphic>
          </wp:inline>
        </w:drawing>
      </w:r>
    </w:p>
    <w:p w:rsidR="00F82A2C" w:rsidRDefault="00F82A2C" w:rsidP="00F82A2C">
      <w:pPr>
        <w:pStyle w:val="Heading7"/>
      </w:pPr>
      <w:bookmarkStart w:id="84" w:name="_Toc499802939"/>
      <w:r w:rsidRPr="00AF077C">
        <w:lastRenderedPageBreak/>
        <w:t xml:space="preserve">Adjusting the targets where the reward or penalty exceed the revenue cap under </w:t>
      </w:r>
      <w:r w:rsidR="00EC2AFC">
        <w:t xml:space="preserve">the </w:t>
      </w:r>
      <w:r w:rsidRPr="00AF077C">
        <w:t>STPIS</w:t>
      </w:r>
      <w:bookmarkEnd w:id="84"/>
    </w:p>
    <w:p w:rsidR="00F82A2C" w:rsidRDefault="00F82A2C" w:rsidP="00F82A2C">
      <w:r>
        <w:t xml:space="preserve">We propose the following steps to make adjustments to the performance targets: </w:t>
      </w:r>
    </w:p>
    <w:p w:rsidR="00F82A2C" w:rsidRPr="00F82A2C" w:rsidRDefault="00F82A2C" w:rsidP="00F82A2C">
      <w:r>
        <w:t xml:space="preserve">Assuming the calculated </w:t>
      </w:r>
      <w:r w:rsidRPr="00F82A2C">
        <w:t>total raw s-factor for the regulatory year t is (</w:t>
      </w:r>
      <m:oMath>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0</m:t>
            </m:r>
          </m:sub>
        </m:sSub>
        <m:r>
          <m:rPr>
            <m:sty m:val="p"/>
          </m:rPr>
          <w:rPr>
            <w:rFonts w:ascii="Cambria Math" w:hAnsi="Cambria Math"/>
          </w:rPr>
          <m:t>)%</m:t>
        </m:r>
      </m:oMath>
      <w:r w:rsidRPr="00F82A2C">
        <w:t xml:space="preserve">, with </w:t>
      </w:r>
      <m:oMath>
        <m:r>
          <w:rPr>
            <w:rFonts w:ascii="Cambria Math" w:hAnsi="Cambria Math"/>
          </w:rPr>
          <m:t>P %</m:t>
        </m:r>
      </m:oMath>
      <w:r w:rsidRPr="00F82A2C">
        <w:t xml:space="preserve"> being residue above or below the revenue at risk, typically</w:t>
      </w:r>
      <m:oMath>
        <m:r>
          <w:rPr>
            <w:rFonts w:ascii="Cambria Math" w:hAnsi="Cambria Math"/>
          </w:rPr>
          <m:t>±5%</m:t>
        </m:r>
      </m:oMath>
      <w:r w:rsidRPr="00F82A2C">
        <w:t>, as set during the revenue determination. We also assume the distributor only has CBD and urban networks. We need to make</w:t>
      </w:r>
      <w:r w:rsidR="00EC2AFC">
        <w:t xml:space="preserve"> the</w:t>
      </w:r>
      <w:r w:rsidRPr="00F82A2C">
        <w:t xml:space="preserve"> adjustment according to the SAIDI and SAIFI targets for the forthcoming regulatory period, between CBD and urban networks, based on the incentive rates respectively. </w:t>
      </w:r>
      <w:r w:rsidR="00A8428B" w:rsidRPr="00A8428B">
        <w:t xml:space="preserve">The VCR of previous regulatory control period will be adopted for the calculation of SAIFI and SAIDI incentive rates.  </w:t>
      </w:r>
    </w:p>
    <w:p w:rsidR="00F82A2C" w:rsidRPr="00F82A2C" w:rsidRDefault="00F82A2C" w:rsidP="00F82A2C">
      <w:r>
        <w:t xml:space="preserve">First, </w:t>
      </w:r>
      <w:r w:rsidRPr="00F82A2C">
        <w:t xml:space="preserve">consistent with our proposed new ratio between SAIDI and SAIFI incentive rates, we allocate 0.6P to SAIDI minutes and 0.4P to SAIFI.  </w:t>
      </w:r>
    </w:p>
    <w:p w:rsidR="00F82A2C" w:rsidRPr="00F82A2C" w:rsidRDefault="00F82A2C" w:rsidP="00F82A2C">
      <w:pPr>
        <w:pStyle w:val="ListParagraph"/>
      </w:pPr>
      <m:oMath>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SAIDI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SAIFI</m:t>
            </m:r>
          </m:sub>
        </m:sSub>
      </m:oMath>
    </w:p>
    <w:p w:rsidR="00F82A2C" w:rsidRPr="00F82A2C" w:rsidRDefault="000D00A9" w:rsidP="00F82A2C">
      <w:pPr>
        <w:pStyle w:val="ListParagraph"/>
      </w:pPr>
      <m:oMath>
        <m:sSub>
          <m:sSubPr>
            <m:ctrlPr>
              <w:rPr>
                <w:rFonts w:ascii="Cambria Math" w:hAnsi="Cambria Math"/>
              </w:rPr>
            </m:ctrlPr>
          </m:sSubPr>
          <m:e>
            <m:r>
              <w:rPr>
                <w:rFonts w:ascii="Cambria Math" w:hAnsi="Cambria Math"/>
              </w:rPr>
              <m:t>P</m:t>
            </m:r>
          </m:e>
          <m:sub>
            <m:r>
              <w:rPr>
                <w:rFonts w:ascii="Cambria Math" w:hAnsi="Cambria Math"/>
              </w:rPr>
              <m:t>SAIDI</m:t>
            </m:r>
          </m:sub>
        </m:sSub>
        <m:r>
          <m:rPr>
            <m:sty m:val="p"/>
          </m:rPr>
          <w:rPr>
            <w:rFonts w:ascii="Cambria Math" w:hAnsi="Cambria Math"/>
          </w:rPr>
          <m:t>=0.6</m:t>
        </m:r>
        <m:r>
          <w:rPr>
            <w:rFonts w:ascii="Cambria Math" w:hAnsi="Cambria Math"/>
          </w:rPr>
          <m:t>P</m:t>
        </m:r>
      </m:oMath>
    </w:p>
    <w:p w:rsidR="00F82A2C" w:rsidRPr="00F82A2C" w:rsidRDefault="000D00A9" w:rsidP="00F82A2C">
      <w:pPr>
        <w:pStyle w:val="ListParagraph"/>
      </w:pPr>
      <m:oMath>
        <m:sSub>
          <m:sSubPr>
            <m:ctrlPr>
              <w:rPr>
                <w:rFonts w:ascii="Cambria Math" w:hAnsi="Cambria Math"/>
              </w:rPr>
            </m:ctrlPr>
          </m:sSubPr>
          <m:e>
            <m:r>
              <w:rPr>
                <w:rFonts w:ascii="Cambria Math" w:hAnsi="Cambria Math"/>
              </w:rPr>
              <m:t>P</m:t>
            </m:r>
          </m:e>
          <m:sub>
            <m:r>
              <w:rPr>
                <w:rFonts w:ascii="Cambria Math" w:hAnsi="Cambria Math"/>
              </w:rPr>
              <m:t>SAIDI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SAIDI,CBD</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SAIDI,urban</m:t>
            </m:r>
          </m:sub>
        </m:sSub>
      </m:oMath>
      <w:r w:rsidR="00F82A2C">
        <w:tab/>
      </w:r>
      <w:r w:rsidR="00F82A2C">
        <w:tab/>
      </w:r>
    </w:p>
    <w:p w:rsidR="00F82A2C" w:rsidRDefault="000D00A9" w:rsidP="00F82A2C">
      <w:pPr>
        <w:pStyle w:val="ListParagraph"/>
      </w:pPr>
      <m:oMath>
        <m:sSub>
          <m:sSubPr>
            <m:ctrlPr>
              <w:rPr>
                <w:rFonts w:ascii="Cambria Math" w:hAnsi="Cambria Math"/>
              </w:rPr>
            </m:ctrlPr>
          </m:sSubPr>
          <m:e>
            <m:r>
              <w:rPr>
                <w:rFonts w:ascii="Cambria Math" w:hAnsi="Cambria Math"/>
              </w:rPr>
              <m:t>P</m:t>
            </m:r>
          </m:e>
          <m:sub>
            <m:r>
              <w:rPr>
                <w:rFonts w:ascii="Cambria Math" w:hAnsi="Cambria Math"/>
              </w:rPr>
              <m:t>SAIDI,CBD</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SAIDI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ir</m:t>
                </m:r>
              </m:e>
              <m:sub>
                <m:r>
                  <m:rPr>
                    <m:sty m:val="p"/>
                  </m:rPr>
                  <w:rPr>
                    <w:rFonts w:ascii="Cambria Math" w:hAnsi="Cambria Math"/>
                  </w:rPr>
                  <m:t>SAIDI,CBD</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oMath>
    </w:p>
    <w:p w:rsidR="00F82A2C" w:rsidRDefault="000D00A9" w:rsidP="00F82A2C">
      <w:pPr>
        <w:pStyle w:val="ListParagraph"/>
      </w:pPr>
      <m:oMath>
        <m:sSub>
          <m:sSubPr>
            <m:ctrlPr>
              <w:rPr>
                <w:rFonts w:ascii="Cambria Math" w:hAnsi="Cambria Math"/>
              </w:rPr>
            </m:ctrlPr>
          </m:sSubPr>
          <m:e>
            <m:r>
              <w:rPr>
                <w:rFonts w:ascii="Cambria Math" w:hAnsi="Cambria Math"/>
              </w:rPr>
              <m:t>P</m:t>
            </m:r>
          </m:e>
          <m:sub>
            <m:r>
              <m:rPr>
                <m:sty m:val="p"/>
              </m:rPr>
              <w:rPr>
                <w:rFonts w:ascii="Cambria Math" w:hAnsi="Cambria Math"/>
              </w:rPr>
              <m:t>SAIDI,urban</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SAIDI</m:t>
            </m:r>
          </m:sub>
        </m:sSub>
        <m:r>
          <m:rPr>
            <m:sty m:val="p"/>
          </m:rPr>
          <w:rPr>
            <w:rFonts w:ascii="Cambria Math" w:hAnsi="Cambria Math"/>
          </w:rPr>
          <m:t>×</m:t>
        </m:r>
        <m:f>
          <m:fPr>
            <m:ctrlPr>
              <w:rPr>
                <w:rFonts w:ascii="Cambria Math" w:hAnsi="Cambria Math"/>
              </w:rPr>
            </m:ctrlPr>
          </m:fPr>
          <m:num>
            <m:r>
              <m:rPr>
                <m:sty m:val="p"/>
              </m:rPr>
              <w:rPr>
                <w:rFonts w:ascii="Cambria Math" w:hAnsi="Cambria Math"/>
              </w:rPr>
              <m:t>ir</m:t>
            </m:r>
          </m:num>
          <m:den>
            <m:sSub>
              <m:sSubPr>
                <m:ctrlPr>
                  <w:rPr>
                    <w:rFonts w:ascii="Cambria Math" w:hAnsi="Cambria Math"/>
                  </w:rPr>
                </m:ctrlPr>
              </m:sSubPr>
              <m:e>
                <m:r>
                  <w:rPr>
                    <w:rFonts w:ascii="Cambria Math" w:hAnsi="Cambria Math"/>
                  </w:rPr>
                  <m:t>ir</m:t>
                </m:r>
              </m:e>
              <m:sub>
                <m: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oMath>
    </w:p>
    <w:p w:rsidR="00F82A2C" w:rsidRDefault="000D00A9" w:rsidP="00F82A2C">
      <w:pPr>
        <w:pStyle w:val="ListParagraph"/>
      </w:pPr>
      <m:oMath>
        <m:sSub>
          <m:sSubPr>
            <m:ctrlPr>
              <w:rPr>
                <w:rFonts w:ascii="Cambria Math" w:hAnsi="Cambria Math"/>
              </w:rPr>
            </m:ctrlPr>
          </m:sSubPr>
          <m:e>
            <m:r>
              <w:rPr>
                <w:rFonts w:ascii="Cambria Math" w:hAnsi="Cambria Math"/>
              </w:rPr>
              <m:t>SAIDI</m:t>
            </m:r>
          </m:e>
          <m:sub>
            <m:r>
              <w:rPr>
                <w:rFonts w:ascii="Cambria Math" w:hAnsi="Cambria Math"/>
              </w:rPr>
              <m:t>CBD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SAIDI,CBD</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SAIDI,CBD</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SAIDI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SAIDI,urban</m:t>
                </m:r>
              </m:sub>
            </m:sSub>
          </m:den>
        </m:f>
      </m:oMath>
    </w:p>
    <w:p w:rsidR="00F82A2C" w:rsidRDefault="000D00A9" w:rsidP="00F82A2C">
      <w:pPr>
        <w:pStyle w:val="ListParagraph"/>
      </w:pPr>
      <m:oMath>
        <m:sSub>
          <m:sSubPr>
            <m:ctrlPr>
              <w:rPr>
                <w:rFonts w:ascii="Cambria Math" w:hAnsi="Cambria Math"/>
              </w:rPr>
            </m:ctrlPr>
          </m:sSubPr>
          <m:e>
            <m:r>
              <w:rPr>
                <w:rFonts w:ascii="Cambria Math" w:hAnsi="Cambria Math"/>
              </w:rPr>
              <m:t>SAIDI</m:t>
            </m:r>
          </m:e>
          <m:sub>
            <m:r>
              <w:rPr>
                <w:rFonts w:ascii="Cambria Math" w:hAnsi="Cambria Math"/>
              </w:rPr>
              <m:t>Urban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Urban</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SAIDI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oMath>
    </w:p>
    <w:p w:rsidR="00F82A2C" w:rsidRDefault="000D00A9" w:rsidP="00F82A2C">
      <w:pPr>
        <w:pStyle w:val="ListParagraph"/>
      </w:pPr>
      <m:oMath>
        <m:sSub>
          <m:sSubPr>
            <m:ctrlPr>
              <w:rPr>
                <w:rFonts w:ascii="Cambria Math" w:hAnsi="Cambria Math"/>
              </w:rPr>
            </m:ctrlPr>
          </m:sSubPr>
          <m:e>
            <m:r>
              <w:rPr>
                <w:rFonts w:ascii="Cambria Math" w:hAnsi="Cambria Math"/>
              </w:rPr>
              <m:t>SAIDI</m:t>
            </m:r>
          </m:e>
          <m:sub>
            <m:r>
              <w:rPr>
                <w:rFonts w:ascii="Cambria Math" w:hAnsi="Cambria Math"/>
              </w:rPr>
              <m:t>CBD</m:t>
            </m:r>
          </m:sub>
        </m:sSub>
        <m:r>
          <w:rPr>
            <w:rFonts w:ascii="Cambria Math" w:hAnsi="Cambria Math"/>
          </w:rPr>
          <m:t>=</m:t>
        </m:r>
        <m:sSub>
          <m:sSubPr>
            <m:ctrlPr>
              <w:rPr>
                <w:rFonts w:ascii="Cambria Math" w:hAnsi="Cambria Math"/>
              </w:rPr>
            </m:ctrlPr>
          </m:sSubPr>
          <m:e>
            <m:r>
              <w:rPr>
                <w:rFonts w:ascii="Cambria Math" w:hAnsi="Cambria Math"/>
              </w:rPr>
              <m:t>SAIDI</m:t>
            </m:r>
          </m:e>
          <m:sub>
            <m:r>
              <w:rPr>
                <w:rFonts w:ascii="Cambria Math" w:hAnsi="Cambria Math"/>
              </w:rPr>
              <m:t>Urban</m:t>
            </m:r>
          </m:sub>
        </m:sSub>
      </m:oMath>
    </w:p>
    <w:p w:rsidR="00741F61" w:rsidRDefault="000D00A9" w:rsidP="00F82A2C">
      <w:pPr>
        <w:pStyle w:val="ListParagraph"/>
      </w:pPr>
      <m:oMath>
        <m:sSub>
          <m:sSubPr>
            <m:ctrlPr>
              <w:rPr>
                <w:rFonts w:ascii="Cambria Math" w:hAnsi="Cambria Math"/>
              </w:rPr>
            </m:ctrlPr>
          </m:sSubPr>
          <m:e>
            <m:r>
              <w:rPr>
                <w:rFonts w:ascii="Cambria Math" w:hAnsi="Cambria Math"/>
              </w:rPr>
              <m:t>Y</m:t>
            </m:r>
          </m:e>
          <m:sub>
            <m:r>
              <w:rPr>
                <w:rFonts w:ascii="Cambria Math" w:hAnsi="Cambria Math"/>
              </w:rPr>
              <m:t>n</m:t>
            </m:r>
          </m:sub>
        </m:sSub>
        <m:r>
          <w:rPr>
            <w:rFonts w:ascii="Cambria Math" w:hAnsi="Cambria Math"/>
          </w:rPr>
          <m:t xml:space="preserve"> </m:t>
        </m:r>
      </m:oMath>
      <w:r w:rsidR="00741F61">
        <w:rPr>
          <w:rStyle w:val="AERsubscript"/>
        </w:rPr>
        <w:t xml:space="preserve"> </w:t>
      </w:r>
      <w:r w:rsidR="00741F61">
        <w:rPr>
          <w:rStyle w:val="AERbody"/>
        </w:rPr>
        <w:t xml:space="preserve">is the number of years </w:t>
      </w:r>
      <w:r w:rsidR="00B86458">
        <w:rPr>
          <w:rStyle w:val="AERbody"/>
        </w:rPr>
        <w:t>covered by the</w:t>
      </w:r>
      <w:r w:rsidR="00741F61">
        <w:rPr>
          <w:rStyle w:val="AERbody"/>
        </w:rPr>
        <w:t xml:space="preserve"> regulatory </w:t>
      </w:r>
      <w:r w:rsidR="00B86458">
        <w:rPr>
          <w:rStyle w:val="AERbody"/>
        </w:rPr>
        <w:t xml:space="preserve">control </w:t>
      </w:r>
      <w:r w:rsidR="00741F61">
        <w:rPr>
          <w:rStyle w:val="AERbody"/>
        </w:rPr>
        <w:t>period</w:t>
      </w:r>
      <w:r w:rsidR="00B86458">
        <w:rPr>
          <w:rStyle w:val="AERbody"/>
        </w:rPr>
        <w:t xml:space="preserve"> where such adjustments are necessary</w:t>
      </w:r>
      <w:r w:rsidR="00741F61">
        <w:rPr>
          <w:rStyle w:val="AERbody"/>
        </w:rPr>
        <w:t xml:space="preserve">. Typically this value is 5. </w:t>
      </w:r>
    </w:p>
    <w:p w:rsidR="00F82A2C" w:rsidRDefault="00F82A2C" w:rsidP="00F82A2C">
      <w:pPr>
        <w:rPr>
          <w:rStyle w:val="AERbody"/>
        </w:rPr>
      </w:pPr>
      <w:r>
        <w:rPr>
          <w:rStyle w:val="AERbody"/>
        </w:rPr>
        <w:t>Therefore, SAIDI performance targets for CBD and urban networks require same adjustments</w:t>
      </w:r>
      <w:r w:rsidR="00274302">
        <w:rPr>
          <w:rStyle w:val="AERbody"/>
        </w:rPr>
        <w:t>. Dividing this adjustment by</w:t>
      </w:r>
      <w:r w:rsidR="00B86458">
        <w:rPr>
          <w:rStyle w:val="AERbody"/>
        </w:rPr>
        <w:t xml:space="preserve"> the number of years covered by the </w:t>
      </w:r>
      <w:r w:rsidR="00844DF9">
        <w:rPr>
          <w:rStyle w:val="AERbody"/>
        </w:rPr>
        <w:t xml:space="preserve">relevant </w:t>
      </w:r>
      <w:r w:rsidR="00B86458">
        <w:rPr>
          <w:rStyle w:val="AERbody"/>
        </w:rPr>
        <w:t>regulatory control period</w:t>
      </w:r>
      <m:oMath>
        <m:r>
          <w:rPr>
            <w:rStyle w:val="AERbody"/>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r>
          <w:rPr>
            <w:rStyle w:val="AERbody"/>
            <w:rFonts w:ascii="Cambria Math" w:hAnsi="Cambria Math"/>
          </w:rPr>
          <m:t>"</m:t>
        </m:r>
      </m:oMath>
      <w:r w:rsidR="00741F61">
        <w:rPr>
          <w:rStyle w:val="AERbody"/>
        </w:rPr>
        <w:t xml:space="preserve"> </w:t>
      </w:r>
      <w:r w:rsidR="00274302">
        <w:rPr>
          <w:rStyle w:val="AERbody"/>
        </w:rPr>
        <w:t xml:space="preserve">, the </w:t>
      </w:r>
      <w:r w:rsidR="00844DF9">
        <w:rPr>
          <w:rStyle w:val="AERbody"/>
        </w:rPr>
        <w:t xml:space="preserve">corresponding </w:t>
      </w:r>
      <w:r w:rsidR="00274302">
        <w:rPr>
          <w:rStyle w:val="AERbody"/>
        </w:rPr>
        <w:t xml:space="preserve">adjustment to the </w:t>
      </w:r>
      <w:r w:rsidR="00844DF9">
        <w:rPr>
          <w:rStyle w:val="AERbody"/>
        </w:rPr>
        <w:t xml:space="preserve">annual </w:t>
      </w:r>
      <w:r w:rsidR="00274302">
        <w:rPr>
          <w:rStyle w:val="AERbody"/>
        </w:rPr>
        <w:t>performance target is derived</w:t>
      </w:r>
      <w:r>
        <w:rPr>
          <w:rStyle w:val="AERbody"/>
        </w:rPr>
        <w:t>:</w:t>
      </w:r>
    </w:p>
    <w:p w:rsidR="00F82A2C" w:rsidRPr="004158CF" w:rsidRDefault="00F82A2C" w:rsidP="00F82A2C">
      <w:pPr>
        <w:pStyle w:val="ListParagraph"/>
        <w:rPr>
          <w:rStyle w:val="AERbody"/>
        </w:rPr>
      </w:pPr>
      <w:r>
        <w:rPr>
          <w:rStyle w:val="AERbody"/>
        </w:rPr>
        <w:t xml:space="preserve"> </w:t>
      </w:r>
      <m:oMath>
        <m:f>
          <m:fPr>
            <m:ctrlPr>
              <w:rPr>
                <w:rStyle w:val="AERbody"/>
                <w:rFonts w:ascii="Cambria Math" w:hAnsi="Cambria Math"/>
              </w:rPr>
            </m:ctrlPr>
          </m:fPr>
          <m:num>
            <m:r>
              <w:rPr>
                <w:rStyle w:val="AERbody"/>
                <w:rFonts w:ascii="Cambria Math" w:hAnsi="Cambria Math"/>
              </w:rPr>
              <m:t>1</m:t>
            </m:r>
          </m:num>
          <m:den>
            <m:sSub>
              <m:sSubPr>
                <m:ctrlPr>
                  <w:rPr>
                    <w:rFonts w:ascii="Cambria Math" w:hAnsi="Cambria Math"/>
                  </w:rPr>
                </m:ctrlPr>
              </m:sSubPr>
              <m:e>
                <m:r>
                  <w:rPr>
                    <w:rFonts w:ascii="Cambria Math" w:hAnsi="Cambria Math"/>
                  </w:rPr>
                  <m:t>Y</m:t>
                </m:r>
              </m:e>
              <m:sub>
                <m:r>
                  <w:rPr>
                    <w:rFonts w:ascii="Cambria Math" w:hAnsi="Cambria Math"/>
                  </w:rPr>
                  <m:t>n</m:t>
                </m:r>
              </m:sub>
            </m:sSub>
          </m:den>
        </m:f>
      </m:oMath>
      <w:r>
        <w:rPr>
          <w:rStyle w:val="AERbody"/>
        </w:rPr>
        <w:t xml:space="preserve"> </w:t>
      </w:r>
      <m:oMath>
        <m:sSub>
          <m:sSubPr>
            <m:ctrlPr>
              <w:rPr>
                <w:rFonts w:ascii="Cambria Math" w:hAnsi="Cambria Math"/>
              </w:rPr>
            </m:ctrlPr>
          </m:sSubPr>
          <m:e>
            <m:r>
              <w:rPr>
                <w:rFonts w:ascii="Cambria Math" w:hAnsi="Cambria Math"/>
              </w:rPr>
              <m:t>SAIDI</m:t>
            </m:r>
          </m:e>
          <m:sub>
            <m:r>
              <w:rPr>
                <w:rFonts w:ascii="Cambria Math" w:hAnsi="Cambria Math"/>
              </w:rPr>
              <m:t>CBD</m:t>
            </m:r>
          </m:sub>
        </m:sSub>
      </m:oMath>
      <w:r>
        <w:t>=</w:t>
      </w:r>
      <w:r>
        <w:rPr>
          <w:rStyle w:val="AERbody"/>
        </w:rPr>
        <w:t xml:space="preserve"> </w:t>
      </w:r>
      <m:oMath>
        <m:f>
          <m:fPr>
            <m:ctrlPr>
              <w:rPr>
                <w:rStyle w:val="AERbody"/>
                <w:rFonts w:ascii="Cambria Math" w:hAnsi="Cambria Math"/>
              </w:rPr>
            </m:ctrlPr>
          </m:fPr>
          <m:num>
            <m:r>
              <w:rPr>
                <w:rStyle w:val="AERbody"/>
                <w:rFonts w:ascii="Cambria Math" w:hAnsi="Cambria Math"/>
              </w:rPr>
              <m:t>1</m:t>
            </m:r>
          </m:num>
          <m:den>
            <m:sSub>
              <m:sSubPr>
                <m:ctrlPr>
                  <w:rPr>
                    <w:rFonts w:ascii="Cambria Math" w:hAnsi="Cambria Math"/>
                  </w:rPr>
                </m:ctrlPr>
              </m:sSubPr>
              <m:e>
                <m:r>
                  <w:rPr>
                    <w:rFonts w:ascii="Cambria Math" w:hAnsi="Cambria Math"/>
                  </w:rPr>
                  <m:t>Y</m:t>
                </m:r>
              </m:e>
              <m:sub>
                <m:r>
                  <w:rPr>
                    <w:rFonts w:ascii="Cambria Math" w:hAnsi="Cambria Math"/>
                  </w:rPr>
                  <m:t>n</m:t>
                </m:r>
              </m:sub>
            </m:sSub>
          </m:den>
        </m:f>
        <m:r>
          <m:rPr>
            <m:sty m:val="p"/>
          </m:rPr>
          <w:rPr>
            <w:rStyle w:val="AERbody"/>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SAIDI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oMath>
      <w:r>
        <w:rPr>
          <w:rStyle w:val="AERbody"/>
        </w:rPr>
        <w:t xml:space="preserve"> =</w:t>
      </w:r>
      <m:oMath>
        <m:f>
          <m:fPr>
            <m:ctrlPr>
              <w:rPr>
                <w:rStyle w:val="AERbody"/>
                <w:rFonts w:ascii="Cambria Math" w:hAnsi="Cambria Math"/>
              </w:rPr>
            </m:ctrlPr>
          </m:fPr>
          <m:num>
            <m:r>
              <w:rPr>
                <w:rStyle w:val="AERbody"/>
                <w:rFonts w:ascii="Cambria Math" w:hAnsi="Cambria Math"/>
              </w:rPr>
              <m:t>3</m:t>
            </m:r>
          </m:num>
          <m:den>
            <m:r>
              <w:rPr>
                <w:rStyle w:val="AERbody"/>
                <w:rFonts w:ascii="Cambria Math" w:hAnsi="Cambria Math"/>
              </w:rPr>
              <m:t>5</m:t>
            </m:r>
            <m:sSub>
              <m:sSubPr>
                <m:ctrlPr>
                  <w:rPr>
                    <w:rFonts w:ascii="Cambria Math" w:hAnsi="Cambria Math"/>
                  </w:rPr>
                </m:ctrlPr>
              </m:sSubPr>
              <m:e>
                <m:r>
                  <w:rPr>
                    <w:rFonts w:ascii="Cambria Math" w:hAnsi="Cambria Math"/>
                  </w:rPr>
                  <m:t>Y</m:t>
                </m:r>
              </m:e>
              <m:sub>
                <m:r>
                  <w:rPr>
                    <w:rFonts w:ascii="Cambria Math" w:hAnsi="Cambria Math"/>
                  </w:rPr>
                  <m:t>n</m:t>
                </m:r>
              </m:sub>
            </m:sSub>
          </m:den>
        </m:f>
        <m:f>
          <m:fPr>
            <m:ctrlPr>
              <w:rPr>
                <w:rFonts w:ascii="Cambria Math" w:hAnsi="Cambria Math"/>
              </w:rPr>
            </m:ctrlPr>
          </m:fPr>
          <m:num>
            <m:r>
              <w:rPr>
                <w:rFonts w:ascii="Cambria Math" w:hAnsi="Cambria Math"/>
              </w:rPr>
              <m:t>P</m:t>
            </m:r>
          </m:num>
          <m:den>
            <m:sSub>
              <m:sSubPr>
                <m:ctrlPr>
                  <w:rPr>
                    <w:rFonts w:ascii="Cambria Math" w:hAnsi="Cambria Math"/>
                  </w:rPr>
                </m:ctrlPr>
              </m:sSubPr>
              <m:e>
                <m:r>
                  <w:rPr>
                    <w:rFonts w:ascii="Cambria Math" w:hAnsi="Cambria Math"/>
                  </w:rPr>
                  <m:t>ir</m:t>
                </m:r>
              </m:e>
              <m:sub>
                <m:r>
                  <m:rPr>
                    <m:sty m:val="p"/>
                  </m:rP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oMath>
    </w:p>
    <w:p w:rsidR="00F82A2C" w:rsidRPr="00474FEF" w:rsidRDefault="00F82A2C" w:rsidP="00F82A2C">
      <w:pPr>
        <w:rPr>
          <w:rStyle w:val="AERbody"/>
        </w:rPr>
      </w:pPr>
      <w:r w:rsidRPr="00474FEF">
        <w:rPr>
          <w:rStyle w:val="AERbody"/>
        </w:rPr>
        <w:t xml:space="preserve">Secondly, we </w:t>
      </w:r>
      <w:r>
        <w:rPr>
          <w:rStyle w:val="AERbody"/>
        </w:rPr>
        <w:t>allocate the rest of P to SAIFI</w:t>
      </w:r>
    </w:p>
    <w:p w:rsidR="00F82A2C" w:rsidRPr="00474FEF" w:rsidRDefault="000D00A9" w:rsidP="00F82A2C">
      <w:pPr>
        <w:pStyle w:val="ListParagraph"/>
      </w:pPr>
      <m:oMath>
        <m:sSub>
          <m:sSubPr>
            <m:ctrlPr>
              <w:rPr>
                <w:rFonts w:ascii="Cambria Math" w:hAnsi="Cambria Math"/>
              </w:rPr>
            </m:ctrlPr>
          </m:sSubPr>
          <m:e>
            <m:r>
              <w:rPr>
                <w:rFonts w:ascii="Cambria Math" w:hAnsi="Cambria Math"/>
              </w:rPr>
              <m:t>P</m:t>
            </m:r>
          </m:e>
          <m:sub>
            <m:r>
              <w:rPr>
                <w:rFonts w:ascii="Cambria Math" w:hAnsi="Cambria Math"/>
              </w:rPr>
              <m:t>SAIFI</m:t>
            </m:r>
          </m:sub>
        </m:sSub>
        <m:r>
          <w:rPr>
            <w:rFonts w:ascii="Cambria Math" w:hAnsi="Cambria Math"/>
          </w:rPr>
          <m:t>=0.4P</m:t>
        </m:r>
      </m:oMath>
    </w:p>
    <w:p w:rsidR="00F82A2C" w:rsidRPr="00474FEF" w:rsidRDefault="000D00A9" w:rsidP="00F82A2C">
      <w:pPr>
        <w:pStyle w:val="ListParagraph"/>
      </w:pPr>
      <m:oMath>
        <m:sSub>
          <m:sSubPr>
            <m:ctrlPr>
              <w:rPr>
                <w:rFonts w:ascii="Cambria Math" w:hAnsi="Cambria Math"/>
              </w:rPr>
            </m:ctrlPr>
          </m:sSubPr>
          <m:e>
            <m:r>
              <w:rPr>
                <w:rFonts w:ascii="Cambria Math" w:hAnsi="Cambria Math"/>
              </w:rPr>
              <m:t>P</m:t>
            </m:r>
          </m:e>
          <m:sub>
            <m:r>
              <w:rPr>
                <w:rFonts w:ascii="Cambria Math" w:hAnsi="Cambria Math"/>
              </w:rPr>
              <m:t>SAIFI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SAIFI,CBD</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SAIFI,urban</m:t>
            </m:r>
          </m:sub>
        </m:sSub>
      </m:oMath>
      <w:r w:rsidR="00F82A2C">
        <w:tab/>
      </w:r>
      <w:r w:rsidR="00F82A2C">
        <w:tab/>
      </w:r>
    </w:p>
    <w:p w:rsidR="00F82A2C" w:rsidRDefault="000D00A9" w:rsidP="00F82A2C">
      <w:pPr>
        <w:pStyle w:val="ListParagraph"/>
      </w:pPr>
      <m:oMath>
        <m:sSub>
          <m:sSubPr>
            <m:ctrlPr>
              <w:rPr>
                <w:rFonts w:ascii="Cambria Math" w:hAnsi="Cambria Math"/>
              </w:rPr>
            </m:ctrlPr>
          </m:sSubPr>
          <m:e>
            <m:r>
              <w:rPr>
                <w:rFonts w:ascii="Cambria Math" w:hAnsi="Cambria Math"/>
              </w:rPr>
              <m:t>P</m:t>
            </m:r>
          </m:e>
          <m:sub>
            <m:r>
              <w:rPr>
                <w:rFonts w:ascii="Cambria Math" w:hAnsi="Cambria Math"/>
              </w:rPr>
              <m:t>SAIFI,CBD</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SAIFI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ir</m:t>
                </m:r>
              </m:e>
              <m:sub>
                <m:r>
                  <m:rPr>
                    <m:sty m:val="p"/>
                  </m:rPr>
                  <w:rPr>
                    <w:rFonts w:ascii="Cambria Math" w:hAnsi="Cambria Math"/>
                  </w:rPr>
                  <m:t>SAIFI,CBD</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SAIFI, urban</m:t>
                </m:r>
              </m:sub>
            </m:sSub>
          </m:den>
        </m:f>
      </m:oMath>
    </w:p>
    <w:p w:rsidR="00F82A2C" w:rsidRDefault="000D00A9" w:rsidP="00F82A2C">
      <w:pPr>
        <w:pStyle w:val="ListParagraph"/>
      </w:pPr>
      <m:oMath>
        <m:sSub>
          <m:sSubPr>
            <m:ctrlPr>
              <w:rPr>
                <w:rFonts w:ascii="Cambria Math" w:hAnsi="Cambria Math"/>
              </w:rPr>
            </m:ctrlPr>
          </m:sSubPr>
          <m:e>
            <m:r>
              <w:rPr>
                <w:rFonts w:ascii="Cambria Math" w:hAnsi="Cambria Math"/>
              </w:rPr>
              <m:t>P</m:t>
            </m:r>
          </m:e>
          <m:sub>
            <m:r>
              <m:rPr>
                <m:sty m:val="p"/>
              </m:rPr>
              <w:rPr>
                <w:rFonts w:ascii="Cambria Math" w:hAnsi="Cambria Math"/>
              </w:rPr>
              <m:t>SAIFI,urban</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SAIFI</m:t>
            </m:r>
          </m:sub>
        </m:sSub>
        <m:r>
          <m:rPr>
            <m:sty m:val="p"/>
          </m:rPr>
          <w:rPr>
            <w:rFonts w:ascii="Cambria Math" w:hAnsi="Cambria Math"/>
          </w:rPr>
          <m:t>×</m:t>
        </m:r>
        <m:f>
          <m:fPr>
            <m:ctrlPr>
              <w:rPr>
                <w:rFonts w:ascii="Cambria Math" w:hAnsi="Cambria Math"/>
              </w:rPr>
            </m:ctrlPr>
          </m:fPr>
          <m:num>
            <m:r>
              <m:rPr>
                <m:sty m:val="p"/>
              </m:rPr>
              <w:rPr>
                <w:rFonts w:ascii="Cambria Math" w:hAnsi="Cambria Math"/>
              </w:rPr>
              <m:t>ir</m:t>
            </m:r>
          </m:num>
          <m:den>
            <m:sSub>
              <m:sSubPr>
                <m:ctrlPr>
                  <w:rPr>
                    <w:rFonts w:ascii="Cambria Math" w:hAnsi="Cambria Math"/>
                  </w:rPr>
                </m:ctrlPr>
              </m:sSubPr>
              <m:e>
                <m:r>
                  <w:rPr>
                    <w:rFonts w:ascii="Cambria Math" w:hAnsi="Cambria Math"/>
                  </w:rPr>
                  <m:t>ir</m:t>
                </m:r>
              </m:e>
              <m:sub>
                <m:r>
                  <w:rPr>
                    <w:rFonts w:ascii="Cambria Math" w:hAnsi="Cambria Math"/>
                  </w:rPr>
                  <m:t>SAIFI,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SAIFI, urban</m:t>
                </m:r>
              </m:sub>
            </m:sSub>
          </m:den>
        </m:f>
      </m:oMath>
    </w:p>
    <w:p w:rsidR="00F82A2C" w:rsidRDefault="000D00A9" w:rsidP="00F82A2C">
      <w:pPr>
        <w:pStyle w:val="ListParagraph"/>
      </w:pPr>
      <m:oMath>
        <m:sSub>
          <m:sSubPr>
            <m:ctrlPr>
              <w:rPr>
                <w:rFonts w:ascii="Cambria Math" w:hAnsi="Cambria Math"/>
              </w:rPr>
            </m:ctrlPr>
          </m:sSubPr>
          <m:e>
            <m:r>
              <w:rPr>
                <w:rFonts w:ascii="Cambria Math" w:hAnsi="Cambria Math"/>
              </w:rPr>
              <m:t>SAIFI</m:t>
            </m:r>
          </m:e>
          <m:sub>
            <m:r>
              <w:rPr>
                <w:rFonts w:ascii="Cambria Math" w:hAnsi="Cambria Math"/>
              </w:rPr>
              <m:t>CBD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SAIFI,CBD</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SAIFI,CBD</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SAIFI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SAIFI,urban</m:t>
                </m:r>
              </m:sub>
            </m:sSub>
          </m:den>
        </m:f>
      </m:oMath>
    </w:p>
    <w:p w:rsidR="00F82A2C" w:rsidRDefault="000D00A9" w:rsidP="00F82A2C">
      <w:pPr>
        <w:pStyle w:val="ListParagraph"/>
      </w:pPr>
      <m:oMath>
        <m:sSub>
          <m:sSubPr>
            <m:ctrlPr>
              <w:rPr>
                <w:rFonts w:ascii="Cambria Math" w:hAnsi="Cambria Math"/>
              </w:rPr>
            </m:ctrlPr>
          </m:sSubPr>
          <m:e>
            <m:r>
              <w:rPr>
                <w:rFonts w:ascii="Cambria Math" w:hAnsi="Cambria Math"/>
              </w:rPr>
              <m:t>SAIFI</m:t>
            </m:r>
          </m:e>
          <m:sub>
            <m:r>
              <w:rPr>
                <w:rFonts w:ascii="Cambria Math" w:hAnsi="Cambria Math"/>
              </w:rPr>
              <m:t>Urban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Urban</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 urban</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SAIDI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SAIFI, urban</m:t>
                </m:r>
              </m:sub>
            </m:sSub>
          </m:den>
        </m:f>
      </m:oMath>
    </w:p>
    <w:p w:rsidR="00F82A2C" w:rsidRDefault="000D00A9" w:rsidP="00F82A2C">
      <w:pPr>
        <w:pStyle w:val="ListParagraph"/>
      </w:pPr>
      <m:oMath>
        <m:sSub>
          <m:sSubPr>
            <m:ctrlPr>
              <w:rPr>
                <w:rFonts w:ascii="Cambria Math" w:hAnsi="Cambria Math"/>
              </w:rPr>
            </m:ctrlPr>
          </m:sSubPr>
          <m:e>
            <m:r>
              <w:rPr>
                <w:rFonts w:ascii="Cambria Math" w:hAnsi="Cambria Math"/>
              </w:rPr>
              <m:t>SAIFI</m:t>
            </m:r>
          </m:e>
          <m:sub>
            <m:r>
              <w:rPr>
                <w:rFonts w:ascii="Cambria Math" w:hAnsi="Cambria Math"/>
              </w:rPr>
              <m:t>CBD</m:t>
            </m:r>
          </m:sub>
        </m:sSub>
      </m:oMath>
      <w:r w:rsidR="00F82A2C">
        <w:t>=</w:t>
      </w:r>
      <m:oMath>
        <m:sSub>
          <m:sSubPr>
            <m:ctrlPr>
              <w:rPr>
                <w:rFonts w:ascii="Cambria Math" w:hAnsi="Cambria Math"/>
              </w:rPr>
            </m:ctrlPr>
          </m:sSubPr>
          <m:e>
            <m:r>
              <w:rPr>
                <w:rFonts w:ascii="Cambria Math" w:hAnsi="Cambria Math"/>
              </w:rPr>
              <m:t>SAIFI</m:t>
            </m:r>
          </m:e>
          <m:sub>
            <m:r>
              <w:rPr>
                <w:rFonts w:ascii="Cambria Math" w:hAnsi="Cambria Math"/>
              </w:rPr>
              <m:t>Urban</m:t>
            </m:r>
          </m:sub>
        </m:sSub>
      </m:oMath>
    </w:p>
    <w:p w:rsidR="00F82A2C" w:rsidRDefault="00F82A2C" w:rsidP="00F82A2C">
      <w:pPr>
        <w:rPr>
          <w:rStyle w:val="AERbody"/>
        </w:rPr>
      </w:pPr>
      <w:r>
        <w:t xml:space="preserve">Similarly, SAIFI </w:t>
      </w:r>
      <w:r w:rsidR="00844DF9">
        <w:t xml:space="preserve">annual </w:t>
      </w:r>
      <w:r>
        <w:rPr>
          <w:rStyle w:val="AERbody"/>
        </w:rPr>
        <w:t>performance targets for CBD and urban networks require same adjustments as below:</w:t>
      </w:r>
    </w:p>
    <w:p w:rsidR="00F82A2C" w:rsidRDefault="000D00A9" w:rsidP="00F82A2C">
      <w:pPr>
        <w:pStyle w:val="ListParagraph"/>
      </w:pPr>
      <m:oMath>
        <m:f>
          <m:fPr>
            <m:ctrlPr>
              <w:rPr>
                <w:rStyle w:val="AERbody"/>
                <w:rFonts w:ascii="Cambria Math" w:hAnsi="Cambria Math"/>
              </w:rPr>
            </m:ctrlPr>
          </m:fPr>
          <m:num>
            <m:r>
              <w:rPr>
                <w:rStyle w:val="AERbody"/>
                <w:rFonts w:ascii="Cambria Math" w:hAnsi="Cambria Math"/>
              </w:rPr>
              <m:t>1</m:t>
            </m:r>
          </m:num>
          <m:den>
            <m:r>
              <w:rPr>
                <w:rStyle w:val="AERbody"/>
                <w:rFonts w:ascii="Cambria Math" w:hAnsi="Cambria Math"/>
              </w:rPr>
              <m:t>y</m:t>
            </m:r>
            <m:r>
              <w:rPr>
                <w:rStyle w:val="AERsubscript"/>
                <w:rFonts w:ascii="Cambria Math" w:hAnsi="Cambria Math"/>
              </w:rPr>
              <m:t>n</m:t>
            </m:r>
          </m:den>
        </m:f>
      </m:oMath>
      <w:r w:rsidR="00F82A2C" w:rsidRPr="00D93245">
        <w:rPr>
          <w:rStyle w:val="AERbody"/>
        </w:rPr>
        <w:t xml:space="preserve"> </w:t>
      </w:r>
      <m:oMath>
        <m:sSub>
          <m:sSubPr>
            <m:ctrlPr>
              <w:rPr>
                <w:rFonts w:ascii="Cambria Math" w:hAnsi="Cambria Math"/>
              </w:rPr>
            </m:ctrlPr>
          </m:sSubPr>
          <m:e>
            <m:r>
              <w:rPr>
                <w:rFonts w:ascii="Cambria Math" w:hAnsi="Cambria Math"/>
              </w:rPr>
              <m:t>SAIFI</m:t>
            </m:r>
          </m:e>
          <m:sub>
            <m:r>
              <w:rPr>
                <w:rFonts w:ascii="Cambria Math" w:hAnsi="Cambria Math"/>
              </w:rPr>
              <m:t>CBD</m:t>
            </m:r>
          </m:sub>
        </m:sSub>
      </m:oMath>
      <w:r w:rsidR="00F82A2C" w:rsidRPr="00D93245">
        <w:t>=</w:t>
      </w:r>
      <w:r w:rsidR="00F82A2C" w:rsidRPr="00D93245">
        <w:rPr>
          <w:rStyle w:val="AERbody"/>
        </w:rPr>
        <w:t xml:space="preserve"> </w:t>
      </w:r>
      <m:oMath>
        <m:f>
          <m:fPr>
            <m:ctrlPr>
              <w:rPr>
                <w:rStyle w:val="AERbody"/>
                <w:rFonts w:ascii="Cambria Math" w:hAnsi="Cambria Math"/>
              </w:rPr>
            </m:ctrlPr>
          </m:fPr>
          <m:num>
            <m:r>
              <w:rPr>
                <w:rStyle w:val="AERbody"/>
                <w:rFonts w:ascii="Cambria Math" w:hAnsi="Cambria Math"/>
              </w:rPr>
              <m:t>1</m:t>
            </m:r>
          </m:num>
          <m:den>
            <m:sSub>
              <m:sSubPr>
                <m:ctrlPr>
                  <w:rPr>
                    <w:rFonts w:ascii="Cambria Math" w:hAnsi="Cambria Math"/>
                  </w:rPr>
                </m:ctrlPr>
              </m:sSubPr>
              <m:e>
                <m:r>
                  <w:rPr>
                    <w:rFonts w:ascii="Cambria Math" w:hAnsi="Cambria Math"/>
                  </w:rPr>
                  <m:t>Y</m:t>
                </m:r>
              </m:e>
              <m:sub>
                <m:r>
                  <w:rPr>
                    <w:rFonts w:ascii="Cambria Math" w:hAnsi="Cambria Math"/>
                  </w:rPr>
                  <m:t>n</m:t>
                </m:r>
              </m:sub>
            </m:sSub>
          </m:den>
        </m:f>
        <m:r>
          <m:rPr>
            <m:sty m:val="p"/>
          </m:rPr>
          <w:rPr>
            <w:rStyle w:val="AERbody"/>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SAIFI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SAIFI, urban</m:t>
                </m:r>
              </m:sub>
            </m:sSub>
          </m:den>
        </m:f>
      </m:oMath>
      <w:r w:rsidR="00F82A2C" w:rsidRPr="00D93245">
        <w:rPr>
          <w:rStyle w:val="AERbody"/>
        </w:rPr>
        <w:t xml:space="preserve"> </w:t>
      </w:r>
      <w:r w:rsidR="00E47BD6">
        <w:rPr>
          <w:rStyle w:val="AERbody"/>
        </w:rPr>
        <w:t xml:space="preserve"> </w:t>
      </w:r>
      <w:r w:rsidR="00F82A2C" w:rsidRPr="008C35C1">
        <w:br w:type="page"/>
      </w:r>
    </w:p>
    <w:p w:rsidR="00F82A2C" w:rsidRDefault="003C7C3D" w:rsidP="003C7C3D">
      <w:pPr>
        <w:pStyle w:val="Heading7"/>
      </w:pPr>
      <w:bookmarkStart w:id="85" w:name="_Toc499802940"/>
      <w:r w:rsidRPr="003C7C3D">
        <w:lastRenderedPageBreak/>
        <w:t>Simplify the calculation of the s-factor</w:t>
      </w:r>
      <w:bookmarkEnd w:id="85"/>
    </w:p>
    <w:p w:rsidR="003C7C3D" w:rsidRDefault="003C7C3D" w:rsidP="003C7C3D">
      <w:r w:rsidRPr="000700B4">
        <w:t xml:space="preserve">Below </w:t>
      </w:r>
      <w:r>
        <w:t>is</w:t>
      </w:r>
      <w:r w:rsidRPr="000700B4">
        <w:t xml:space="preserve"> proposed formula to apply to</w:t>
      </w:r>
      <w:r>
        <w:t xml:space="preserve"> </w:t>
      </w:r>
      <w:r w:rsidRPr="000700B4">
        <w:t>standard control services</w:t>
      </w:r>
      <w:r>
        <w:t xml:space="preserve"> revenues</w:t>
      </w:r>
      <w:r w:rsidRPr="000700B4">
        <w:t>. We consider that the formula gives effect to the revenue cap.</w:t>
      </w:r>
    </w:p>
    <w:p w:rsidR="003C7C3D" w:rsidRDefault="003C7C3D" w:rsidP="003C7C3D">
      <w:pPr>
        <w:pStyle w:val="Caption"/>
      </w:pPr>
      <w:r>
        <w:t xml:space="preserve">Figure </w:t>
      </w:r>
      <w:r w:rsidR="002102B2">
        <w:t>D.1</w:t>
      </w:r>
      <w:r>
        <w:tab/>
        <w:t>Proposed revenue cap to apply to distributors' standard control services</w:t>
      </w:r>
    </w:p>
    <w:p w:rsidR="003C7C3D" w:rsidRPr="003C7C3D" w:rsidRDefault="000D00A9" w:rsidP="002102B2">
      <w:pPr>
        <w:pStyle w:val="ListNumber"/>
        <w:numPr>
          <w:ilvl w:val="0"/>
          <w:numId w:val="40"/>
        </w:numPr>
      </w:pPr>
      <m:oMath>
        <m:sSub>
          <m:sSubPr>
            <m:ctrlPr>
              <w:rPr>
                <w:rFonts w:ascii="Cambria Math" w:hAnsi="Cambria Math"/>
              </w:rPr>
            </m:ctrlPr>
          </m:sSubPr>
          <m:e>
            <m:r>
              <w:rPr>
                <w:rFonts w:ascii="Cambria Math" w:hAnsi="Cambria Math"/>
              </w:rPr>
              <m:t>TAR</m:t>
            </m:r>
          </m:e>
          <m:sub>
            <m:r>
              <w:rPr>
                <w:rFonts w:ascii="Cambria Math" w:hAnsi="Cambria Math"/>
              </w:rPr>
              <m:t>t</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rPr>
                </m:ctrlPr>
              </m:naryPr>
              <m:sub>
                <m:r>
                  <w:rPr>
                    <w:rFonts w:ascii="Cambria Math" w:hAnsi="Cambria Math"/>
                  </w:rPr>
                  <m:t>j=1</m:t>
                </m:r>
              </m:sub>
              <m:sup>
                <m:r>
                  <w:rPr>
                    <w:rFonts w:ascii="Cambria Math" w:hAnsi="Cambria Math"/>
                  </w:rPr>
                  <m:t>m</m:t>
                </m:r>
              </m:sup>
              <m:e>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ij</m:t>
                    </m:r>
                  </m:sup>
                </m:sSubSup>
              </m:e>
            </m:nary>
          </m:e>
        </m:nary>
        <m:sSubSup>
          <m:sSubSupPr>
            <m:ctrlPr>
              <w:rPr>
                <w:rFonts w:ascii="Cambria Math" w:hAnsi="Cambria Math"/>
              </w:rPr>
            </m:ctrlPr>
          </m:sSubSupPr>
          <m:e>
            <m:r>
              <w:rPr>
                <w:rFonts w:ascii="Cambria Math" w:hAnsi="Cambria Math"/>
              </w:rPr>
              <m:t>q</m:t>
            </m:r>
          </m:e>
          <m:sub>
            <m:r>
              <w:rPr>
                <w:rFonts w:ascii="Cambria Math" w:hAnsi="Cambria Math"/>
              </w:rPr>
              <m:t>t</m:t>
            </m:r>
          </m:sub>
          <m:sup>
            <m:r>
              <w:rPr>
                <w:rFonts w:ascii="Cambria Math" w:hAnsi="Cambria Math"/>
              </w:rPr>
              <m:t>ij</m:t>
            </m:r>
          </m:sup>
        </m:sSubSup>
        <m:r>
          <w:rPr>
            <w:rFonts w:ascii="Cambria Math" w:hAnsi="Cambria Math"/>
          </w:rPr>
          <m:t xml:space="preserve">                             i = 1,…,n and j = 1,…,m and t = 1, 2…,5</m:t>
        </m:r>
      </m:oMath>
    </w:p>
    <w:p w:rsidR="003C7C3D" w:rsidRPr="003C7C3D" w:rsidRDefault="000D00A9" w:rsidP="003C7C3D">
      <w:pPr>
        <w:pStyle w:val="ListNumber"/>
      </w:pPr>
      <m:oMath>
        <m:sSub>
          <m:sSubPr>
            <m:ctrlPr>
              <w:rPr>
                <w:rFonts w:ascii="Cambria Math" w:hAnsi="Cambria Math"/>
              </w:rPr>
            </m:ctrlPr>
          </m:sSubPr>
          <m:e>
            <m:r>
              <w:rPr>
                <w:rFonts w:ascii="Cambria Math" w:hAnsi="Cambria Math"/>
              </w:rPr>
              <m:t>TA</m:t>
            </m:r>
            <m:r>
              <w:rPr>
                <w:rFonts w:ascii="Cambria Math" w:hAnsi="Cambria Math"/>
              </w:rPr>
              <m:t>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AAR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m:t>
            </m:r>
          </m:sub>
        </m:sSub>
        <m:r>
          <w:rPr>
            <w:rFonts w:ascii="Cambria Math" w:hAnsi="Cambria Math"/>
          </w:rPr>
          <m:t xml:space="preserve">                                                                             </m:t>
        </m:r>
        <m:r>
          <m:rPr>
            <m:sty m:val="p"/>
          </m:rPr>
          <w:rPr>
            <w:rFonts w:ascii="Cambria Math" w:hAnsi="Cambria Math"/>
          </w:rPr>
          <m:t>t = 1, 2...,5</m:t>
        </m:r>
      </m:oMath>
      <w:r w:rsidR="003C7C3D" w:rsidRPr="003C7C3D">
        <w:t xml:space="preserve"> </w:t>
      </w:r>
    </w:p>
    <w:p w:rsidR="003C7C3D" w:rsidRPr="00F3163C" w:rsidRDefault="000D00A9" w:rsidP="003C7C3D">
      <w:pPr>
        <w:pStyle w:val="ListNumber"/>
      </w:pPr>
      <m:oMath>
        <m:sSub>
          <m:sSubPr>
            <m:ctrlPr>
              <w:rPr>
                <w:rFonts w:ascii="Cambria Math" w:hAnsi="Cambria Math"/>
              </w:rPr>
            </m:ctrlPr>
          </m:sSubPr>
          <m:e>
            <m:r>
              <w:rPr>
                <w:rFonts w:ascii="Cambria Math" w:hAnsi="Cambria Math"/>
              </w:rPr>
              <m:t>AAR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m:t>
            </m:r>
          </m:sub>
        </m:sSub>
        <m:r>
          <w:rPr>
            <w:rFonts w:ascii="Cambria Math" w:hAnsi="Cambria Math"/>
          </w:rPr>
          <m:t xml:space="preserve">                                                                                                                                   </m:t>
        </m:r>
        <m:r>
          <m:rPr>
            <m:sty m:val="p"/>
          </m:rPr>
          <w:rPr>
            <w:rFonts w:ascii="Cambria Math" w:hAnsi="Cambria Math"/>
          </w:rPr>
          <m:t xml:space="preserve">t = 1 </m:t>
        </m:r>
      </m:oMath>
    </w:p>
    <w:p w:rsidR="003C7C3D" w:rsidRPr="00F3163C" w:rsidRDefault="000D00A9" w:rsidP="003C7C3D">
      <w:pPr>
        <w:pStyle w:val="ListNumber"/>
      </w:pPr>
      <m:oMath>
        <m:sSub>
          <m:sSubPr>
            <m:ctrlPr>
              <w:rPr>
                <w:rFonts w:ascii="Cambria Math" w:hAnsi="Cambria Math"/>
              </w:rPr>
            </m:ctrlPr>
          </m:sSubPr>
          <m:e>
            <m:r>
              <w:rPr>
                <w:rFonts w:ascii="Cambria Math" w:hAnsi="Cambria Math"/>
              </w:rPr>
              <m:t>AAR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AAR</m:t>
            </m:r>
          </m:e>
          <m:sub>
            <m:r>
              <w:rPr>
                <w:rFonts w:ascii="Cambria Math" w:hAnsi="Cambria Math"/>
              </w:rPr>
              <m:t>t-1</m:t>
            </m:r>
          </m:sub>
        </m:sSub>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X</m:t>
                </m:r>
              </m:e>
              <m:sub>
                <m:r>
                  <w:rPr>
                    <w:rFonts w:ascii="Cambria Math" w:hAnsi="Cambria Math"/>
                  </w:rPr>
                  <m:t>t</m:t>
                </m:r>
              </m:sub>
            </m:sSub>
          </m:e>
        </m:d>
        <m:r>
          <w:rPr>
            <w:rFonts w:ascii="Cambria Math" w:hAnsi="Cambria Math"/>
          </w:rPr>
          <m:t xml:space="preserve">                                                                 </m:t>
        </m:r>
        <m:r>
          <m:rPr>
            <m:sty m:val="p"/>
          </m:rPr>
          <w:rPr>
            <w:rFonts w:ascii="Cambria Math" w:hAnsi="Cambria Math"/>
          </w:rPr>
          <m:t>t = 2,…, 5</m:t>
        </m:r>
      </m:oMath>
    </w:p>
    <w:p w:rsidR="003C7C3D" w:rsidRPr="005C7CA7" w:rsidRDefault="003C7C3D" w:rsidP="003C7C3D">
      <w:r w:rsidRPr="005C7CA7">
        <w:t>where:</w:t>
      </w:r>
    </w:p>
    <w:p w:rsidR="003C7C3D" w:rsidRPr="005C7CA7" w:rsidRDefault="000D00A9" w:rsidP="003C7C3D">
      <m:oMath>
        <m:sSub>
          <m:sSubPr>
            <m:ctrlPr>
              <w:rPr>
                <w:rFonts w:ascii="Cambria Math" w:hAnsi="Cambria Math"/>
              </w:rPr>
            </m:ctrlPr>
          </m:sSubPr>
          <m:e>
            <m:r>
              <w:rPr>
                <w:rFonts w:ascii="Cambria Math" w:hAnsi="Cambria Math"/>
              </w:rPr>
              <m:t>TAR</m:t>
            </m:r>
          </m:e>
          <m:sub>
            <m:r>
              <w:rPr>
                <w:rFonts w:ascii="Cambria Math" w:hAnsi="Cambria Math"/>
              </w:rPr>
              <m:t>t</m:t>
            </m:r>
          </m:sub>
        </m:sSub>
      </m:oMath>
      <w:r w:rsidR="003C7C3D" w:rsidRPr="005C7CA7">
        <w:tab/>
        <w:t>is the total allowable revenue in year t.</w:t>
      </w:r>
    </w:p>
    <w:p w:rsidR="003C7C3D" w:rsidRPr="005C7CA7" w:rsidRDefault="000D00A9" w:rsidP="003C7C3D">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ij</m:t>
            </m:r>
          </m:sup>
        </m:sSubSup>
      </m:oMath>
      <w:r w:rsidR="003C7C3D" w:rsidRPr="005C7CA7">
        <w:tab/>
      </w:r>
      <w:r w:rsidR="003C7C3D" w:rsidRPr="005C7CA7">
        <w:tab/>
        <w:t>is the price of component 'j' of tariff 'i' in year t.</w:t>
      </w:r>
    </w:p>
    <w:p w:rsidR="003C7C3D" w:rsidRPr="005C7CA7" w:rsidRDefault="000D00A9" w:rsidP="003C7C3D">
      <m:oMath>
        <m:sSubSup>
          <m:sSubSupPr>
            <m:ctrlPr>
              <w:rPr>
                <w:rFonts w:ascii="Cambria Math" w:hAnsi="Cambria Math"/>
              </w:rPr>
            </m:ctrlPr>
          </m:sSubSupPr>
          <m:e>
            <m:r>
              <w:rPr>
                <w:rFonts w:ascii="Cambria Math" w:hAnsi="Cambria Math"/>
              </w:rPr>
              <m:t>q</m:t>
            </m:r>
          </m:e>
          <m:sub>
            <m:r>
              <w:rPr>
                <w:rFonts w:ascii="Cambria Math" w:hAnsi="Cambria Math"/>
              </w:rPr>
              <m:t>t</m:t>
            </m:r>
          </m:sub>
          <m:sup>
            <m:r>
              <w:rPr>
                <w:rFonts w:ascii="Cambria Math" w:hAnsi="Cambria Math"/>
              </w:rPr>
              <m:t>ij</m:t>
            </m:r>
          </m:sup>
        </m:sSubSup>
      </m:oMath>
      <w:r w:rsidR="003C7C3D" w:rsidRPr="005C7CA7">
        <w:tab/>
      </w:r>
      <w:r w:rsidR="003C7C3D" w:rsidRPr="005C7CA7">
        <w:tab/>
        <w:t>is the forecast quantity of component 'j' of tariff 'i' in year t.</w:t>
      </w:r>
    </w:p>
    <w:p w:rsidR="003C7C3D" w:rsidRPr="005C7CA7" w:rsidRDefault="003C7C3D" w:rsidP="003C7C3D">
      <w:r w:rsidRPr="000E6B80">
        <w:object w:dxaOrig="139" w:dyaOrig="240">
          <v:shape id="_x0000_i1029" type="#_x0000_t75" style="width:8.65pt;height:11.9pt" o:ole="">
            <v:imagedata r:id="rId29" o:title=""/>
          </v:shape>
          <o:OLEObject Type="Embed" ProgID="Equation.3" ShapeID="_x0000_i1029" DrawAspect="Content" ObjectID="_1574672986" r:id="rId30"/>
        </w:object>
      </w:r>
      <w:r w:rsidRPr="005C7CA7">
        <w:tab/>
      </w:r>
      <w:r w:rsidRPr="005C7CA7">
        <w:tab/>
      </w:r>
      <w:proofErr w:type="gramStart"/>
      <w:r w:rsidRPr="005C7CA7">
        <w:t>is</w:t>
      </w:r>
      <w:proofErr w:type="gramEnd"/>
      <w:r w:rsidRPr="005C7CA7">
        <w:t xml:space="preserve"> the regulatory year</w:t>
      </w:r>
      <w:r>
        <w:t>.</w:t>
      </w:r>
    </w:p>
    <w:p w:rsidR="003C7C3D" w:rsidRPr="005C7CA7" w:rsidRDefault="000D00A9" w:rsidP="003C7C3D">
      <m:oMath>
        <m:sSub>
          <m:sSubPr>
            <m:ctrlPr>
              <w:rPr>
                <w:rFonts w:ascii="Cambria Math" w:hAnsi="Cambria Math"/>
              </w:rPr>
            </m:ctrlPr>
          </m:sSubPr>
          <m:e>
            <m:r>
              <w:rPr>
                <w:rFonts w:ascii="Cambria Math" w:hAnsi="Cambria Math"/>
              </w:rPr>
              <m:t>AR</m:t>
            </m:r>
          </m:e>
          <m:sub>
            <m:r>
              <w:rPr>
                <w:rFonts w:ascii="Cambria Math" w:hAnsi="Cambria Math"/>
              </w:rPr>
              <m:t>t</m:t>
            </m:r>
          </m:sub>
        </m:sSub>
      </m:oMath>
      <w:r w:rsidR="003C7C3D">
        <w:tab/>
      </w:r>
      <w:r w:rsidR="003C7C3D" w:rsidRPr="005C7CA7">
        <w:t>is the annual smoothed revenue requirement in the Post Tax Revenue Model (PTRM) for year t.</w:t>
      </w:r>
    </w:p>
    <w:p w:rsidR="003C7C3D" w:rsidRPr="005C7CA7" w:rsidRDefault="000D00A9" w:rsidP="003C7C3D">
      <m:oMath>
        <m:sSub>
          <m:sSubPr>
            <m:ctrlPr>
              <w:rPr>
                <w:rFonts w:ascii="Cambria Math" w:hAnsi="Cambria Math"/>
              </w:rPr>
            </m:ctrlPr>
          </m:sSubPr>
          <m:e>
            <m:r>
              <w:rPr>
                <w:rFonts w:ascii="Cambria Math" w:hAnsi="Cambria Math"/>
              </w:rPr>
              <m:t>AAR</m:t>
            </m:r>
          </m:e>
          <m:sub>
            <m:r>
              <w:rPr>
                <w:rFonts w:ascii="Cambria Math" w:hAnsi="Cambria Math"/>
              </w:rPr>
              <m:t>t</m:t>
            </m:r>
          </m:sub>
        </m:sSub>
      </m:oMath>
      <w:r w:rsidR="003C7C3D">
        <w:tab/>
      </w:r>
      <w:r w:rsidR="003C7C3D" w:rsidRPr="005C7CA7">
        <w:t>is the adjusted annual smoothed revenue requirement for year t.</w:t>
      </w:r>
    </w:p>
    <w:p w:rsidR="003C7C3D" w:rsidRDefault="000D00A9" w:rsidP="003C7C3D">
      <m:oMath>
        <m:sSub>
          <m:sSubPr>
            <m:ctrlPr>
              <w:rPr>
                <w:rFonts w:ascii="Cambria Math" w:hAnsi="Cambria Math"/>
              </w:rPr>
            </m:ctrlPr>
          </m:sSubPr>
          <m:e>
            <m:r>
              <w:rPr>
                <w:rFonts w:ascii="Cambria Math" w:hAnsi="Cambria Math"/>
              </w:rPr>
              <m:t>I</m:t>
            </m:r>
          </m:e>
          <m:sub>
            <m:r>
              <w:rPr>
                <w:rFonts w:ascii="Cambria Math" w:hAnsi="Cambria Math"/>
              </w:rPr>
              <m:t>t</m:t>
            </m:r>
          </m:sub>
        </m:sSub>
      </m:oMath>
      <w:r w:rsidR="003C7C3D">
        <w:tab/>
      </w:r>
      <w:r w:rsidR="003C7C3D">
        <w:tab/>
      </w:r>
      <w:r w:rsidR="003C7C3D" w:rsidRPr="005C7CA7">
        <w:t>is the sum of incenti</w:t>
      </w:r>
      <w:r w:rsidR="003C7C3D">
        <w:t xml:space="preserve">ve scheme adjustments in year t. Likely to incorporate but not limited to revenue adjustments for f-factor. </w:t>
      </w:r>
      <w:r w:rsidR="003C7C3D" w:rsidRPr="005C7CA7">
        <w:t xml:space="preserve"> To be decided in the distribution determination.</w:t>
      </w:r>
      <w:r w:rsidR="003C7C3D">
        <w:t xml:space="preserve"> </w:t>
      </w:r>
    </w:p>
    <w:p w:rsidR="003C7C3D" w:rsidRDefault="000D00A9" w:rsidP="003C7C3D">
      <m:oMath>
        <m:sSub>
          <m:sSubPr>
            <m:ctrlPr>
              <w:rPr>
                <w:rFonts w:ascii="Cambria Math" w:hAnsi="Cambria Math"/>
              </w:rPr>
            </m:ctrlPr>
          </m:sSubPr>
          <m:e>
            <m:r>
              <w:rPr>
                <w:rFonts w:ascii="Cambria Math" w:hAnsi="Cambria Math"/>
              </w:rPr>
              <m:t>S</m:t>
            </m:r>
          </m:e>
          <m:sub>
            <m:r>
              <w:rPr>
                <w:rFonts w:ascii="Cambria Math" w:hAnsi="Cambria Math"/>
              </w:rPr>
              <m:t>t</m:t>
            </m:r>
          </m:sub>
        </m:sSub>
      </m:oMath>
      <w:r w:rsidR="003C7C3D" w:rsidRPr="005C7CA7">
        <w:tab/>
      </w:r>
      <w:r w:rsidR="003C7C3D" w:rsidRPr="005C7CA7">
        <w:tab/>
        <w:t xml:space="preserve">is the s-factor </w:t>
      </w:r>
      <w:r w:rsidR="003C7C3D">
        <w:t xml:space="preserve">amount </w:t>
      </w:r>
      <w:r w:rsidR="003C7C3D" w:rsidRPr="005C7CA7">
        <w:t>for regulatory year t.</w:t>
      </w:r>
      <w:r w:rsidR="003C7C3D" w:rsidRPr="005C7CA7">
        <w:rPr>
          <w:rStyle w:val="FootnoteReference"/>
        </w:rPr>
        <w:footnoteReference w:id="49"/>
      </w:r>
      <w:r w:rsidR="003C7C3D" w:rsidRPr="005C7CA7">
        <w:t xml:space="preserve"> </w:t>
      </w:r>
      <w:r w:rsidR="003C7C3D">
        <w:t>As it currently stands, the s</w:t>
      </w:r>
      <w:r w:rsidR="003C7C3D">
        <w:noBreakHyphen/>
        <w:t>factor</w:t>
      </w:r>
      <w:r w:rsidR="003C7C3D" w:rsidRPr="005C7CA7">
        <w:t xml:space="preserve"> will incorporate any adjustments required due to the application of the AER's STPIS</w:t>
      </w:r>
      <w:r w:rsidR="003C7C3D">
        <w:t>.</w:t>
      </w:r>
      <w:r w:rsidR="003C7C3D" w:rsidRPr="005C7CA7">
        <w:t xml:space="preserve"> </w:t>
      </w:r>
    </w:p>
    <w:p w:rsidR="003C7C3D" w:rsidRPr="005C7CA7" w:rsidRDefault="000D00A9" w:rsidP="003C7C3D">
      <m:oMath>
        <m:sSub>
          <m:sSubPr>
            <m:ctrlPr>
              <w:rPr>
                <w:rFonts w:ascii="Cambria Math" w:hAnsi="Cambria Math"/>
              </w:rPr>
            </m:ctrlPr>
          </m:sSubPr>
          <m:e>
            <m:r>
              <w:rPr>
                <w:rFonts w:ascii="Cambria Math" w:hAnsi="Cambria Math"/>
              </w:rPr>
              <m:t>B</m:t>
            </m:r>
          </m:e>
          <m:sub>
            <m:r>
              <w:rPr>
                <w:rFonts w:ascii="Cambria Math" w:hAnsi="Cambria Math"/>
              </w:rPr>
              <m:t>t</m:t>
            </m:r>
          </m:sub>
        </m:sSub>
      </m:oMath>
      <w:r w:rsidR="003C7C3D">
        <w:tab/>
      </w:r>
      <w:r w:rsidR="003C7C3D">
        <w:tab/>
      </w:r>
      <w:r w:rsidR="003C7C3D" w:rsidRPr="005C7CA7">
        <w:t>is the sum of annual adjustment factors in year t. Likely to incorporate but not limited to adjustments for the unders and overs account. To be decided in the distribution determination.</w:t>
      </w:r>
    </w:p>
    <w:p w:rsidR="003C7C3D" w:rsidRPr="005C7CA7" w:rsidRDefault="000D00A9" w:rsidP="003C7C3D">
      <m:oMath>
        <m:sSub>
          <m:sSubPr>
            <m:ctrlPr>
              <w:rPr>
                <w:rFonts w:ascii="Cambria Math" w:hAnsi="Cambria Math"/>
              </w:rPr>
            </m:ctrlPr>
          </m:sSubPr>
          <m:e>
            <m:r>
              <w:rPr>
                <w:rFonts w:ascii="Cambria Math" w:hAnsi="Cambria Math"/>
              </w:rPr>
              <m:t>C</m:t>
            </m:r>
          </m:e>
          <m:sub>
            <m:r>
              <w:rPr>
                <w:rFonts w:ascii="Cambria Math" w:hAnsi="Cambria Math"/>
              </w:rPr>
              <m:t>t</m:t>
            </m:r>
          </m:sub>
        </m:sSub>
      </m:oMath>
      <w:r w:rsidR="003C7C3D">
        <w:tab/>
      </w:r>
      <w:r w:rsidR="003C7C3D">
        <w:tab/>
      </w:r>
      <w:r w:rsidR="003C7C3D" w:rsidRPr="005C7CA7">
        <w:t>is the sum of approved cost pass through amounts (positive or negative) with respect to regulatory year t, as determined by the AER. It will also include any end-of-period adjustments in year t. To be decided in the distribution determination.</w:t>
      </w:r>
    </w:p>
    <w:p w:rsidR="003C7C3D" w:rsidRPr="005C7CA7" w:rsidRDefault="003C7C3D" w:rsidP="003C7C3D">
      <m:oMath>
        <m:r>
          <w:rPr>
            <w:rFonts w:ascii="Cambria Math" w:hAnsi="Cambria Math"/>
          </w:rPr>
          <w:lastRenderedPageBreak/>
          <m:t>∆</m:t>
        </m:r>
        <m:sSub>
          <m:sSubPr>
            <m:ctrlPr>
              <w:rPr>
                <w:rFonts w:ascii="Cambria Math" w:hAnsi="Cambria Math"/>
              </w:rPr>
            </m:ctrlPr>
          </m:sSubPr>
          <m:e>
            <m:r>
              <w:rPr>
                <w:rFonts w:ascii="Cambria Math" w:hAnsi="Cambria Math"/>
              </w:rPr>
              <m:t>CPI</m:t>
            </m:r>
          </m:e>
          <m:sub>
            <m:r>
              <w:rPr>
                <w:rFonts w:ascii="Cambria Math" w:hAnsi="Cambria Math"/>
              </w:rPr>
              <m:t>t</m:t>
            </m:r>
          </m:sub>
        </m:sSub>
      </m:oMath>
      <w:r>
        <w:tab/>
      </w:r>
      <w:r>
        <w:tab/>
      </w:r>
      <w:r w:rsidRPr="005C7CA7">
        <w:t xml:space="preserve">is the </w:t>
      </w:r>
      <w:r w:rsidR="00DD3EC7">
        <w:t>CPI for year t, as determined in the relevant distribution determination</w:t>
      </w:r>
      <w:r w:rsidR="00CB64B8">
        <w:t>.</w:t>
      </w:r>
      <w:r w:rsidR="00DD3EC7">
        <w:t xml:space="preserve">  </w:t>
      </w:r>
    </w:p>
    <w:p w:rsidR="003C7C3D" w:rsidRDefault="000D00A9" w:rsidP="003C7C3D">
      <m:oMath>
        <m:sSub>
          <m:sSubPr>
            <m:ctrlPr>
              <w:rPr>
                <w:rFonts w:ascii="Cambria Math" w:hAnsi="Cambria Math"/>
              </w:rPr>
            </m:ctrlPr>
          </m:sSubPr>
          <m:e>
            <m:r>
              <w:rPr>
                <w:rFonts w:ascii="Cambria Math" w:hAnsi="Cambria Math"/>
              </w:rPr>
              <m:t>X</m:t>
            </m:r>
          </m:e>
          <m:sub>
            <m:r>
              <w:rPr>
                <w:rFonts w:ascii="Cambria Math" w:hAnsi="Cambria Math"/>
              </w:rPr>
              <m:t>t</m:t>
            </m:r>
          </m:sub>
        </m:sSub>
      </m:oMath>
      <w:r w:rsidR="003C7C3D" w:rsidRPr="005C7CA7">
        <w:tab/>
        <w:t>is the X-factor in year t, incorporating annual adjustments to the PTRM for the trailing cost of debt where necessary. To be decided in the distribution determination.</w:t>
      </w:r>
    </w:p>
    <w:p w:rsidR="003C7C3D" w:rsidRDefault="003C7C3D" w:rsidP="003C7C3D">
      <w:pPr>
        <w:pStyle w:val="Caption"/>
      </w:pPr>
      <w:r>
        <w:t>Figure</w:t>
      </w:r>
      <w:r w:rsidR="002102B2">
        <w:t xml:space="preserve"> D.2</w:t>
      </w:r>
      <w:r>
        <w:tab/>
        <w:t>Proposed S-factor formula</w:t>
      </w:r>
    </w:p>
    <w:p w:rsidR="003C7C3D" w:rsidRDefault="000D00A9" w:rsidP="003C7C3D">
      <w:pPr>
        <w:pStyle w:val="ListNumber"/>
      </w:pPr>
      <m:oMath>
        <m:sSub>
          <m:sSubPr>
            <m:ctrlPr>
              <w:rPr>
                <w:rFonts w:ascii="Cambria Math" w:hAnsi="Cambria Math"/>
              </w:rPr>
            </m:ctrlPr>
          </m:sSubPr>
          <m:e>
            <m:r>
              <w:rPr>
                <w:rFonts w:ascii="Cambria Math" w:hAnsi="Cambria Math"/>
              </w:rPr>
              <m:t>S</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t-2</m:t>
            </m:r>
          </m:sub>
        </m:sSub>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m:t>
            </m:r>
          </m:sup>
        </m:sSubSup>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t-1</m:t>
                </m:r>
              </m:sub>
            </m:sSub>
          </m:e>
        </m:d>
        <m:r>
          <w:rPr>
            <w:rFonts w:ascii="Cambria Math" w:hAnsi="Cambria Math"/>
          </w:rPr>
          <m:t>-</m:t>
        </m:r>
        <m:sSub>
          <m:sSubPr>
            <m:ctrlPr>
              <w:rPr>
                <w:rFonts w:ascii="Cambria Math" w:hAnsi="Cambria Math"/>
              </w:rPr>
            </m:ctrlPr>
          </m:sSubPr>
          <m:e>
            <m:r>
              <w:rPr>
                <w:rFonts w:ascii="Cambria Math" w:hAnsi="Cambria Math"/>
              </w:rPr>
              <m:t>Sb</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Sb</m:t>
            </m:r>
          </m:e>
          <m:sub>
            <m:r>
              <w:rPr>
                <w:rFonts w:ascii="Cambria Math" w:hAnsi="Cambria Math"/>
              </w:rPr>
              <m:t>t-1</m:t>
            </m:r>
          </m:sub>
        </m:sSub>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t-1</m:t>
                </m:r>
              </m:sub>
            </m:sSub>
          </m:e>
        </m:d>
        <m:r>
          <w:rPr>
            <w:rFonts w:ascii="Cambria Math" w:hAnsi="Cambria Math"/>
          </w:rPr>
          <m:t xml:space="preserve">              </m:t>
        </m:r>
        <m:r>
          <m:rPr>
            <m:sty m:val="p"/>
          </m:rPr>
          <w:rPr>
            <w:rFonts w:ascii="Cambria Math" w:hAnsi="Cambria Math"/>
          </w:rPr>
          <m:t xml:space="preserve">t =1,…,5  </m:t>
        </m:r>
      </m:oMath>
    </w:p>
    <w:p w:rsidR="003C7C3D" w:rsidRPr="000F7C37" w:rsidRDefault="000D00A9" w:rsidP="003C7C3D">
      <m:oMath>
        <m:sSub>
          <m:sSubPr>
            <m:ctrlPr>
              <w:rPr>
                <w:rFonts w:ascii="Cambria Math" w:hAnsi="Cambria Math"/>
              </w:rPr>
            </m:ctrlPr>
          </m:sSubPr>
          <m:e>
            <m:r>
              <w:rPr>
                <w:rFonts w:ascii="Cambria Math" w:hAnsi="Cambria Math"/>
              </w:rPr>
              <m:t>S</m:t>
            </m:r>
          </m:e>
          <m:sub>
            <m:r>
              <w:rPr>
                <w:rFonts w:ascii="Cambria Math" w:hAnsi="Cambria Math"/>
              </w:rPr>
              <m:t>t</m:t>
            </m:r>
          </m:sub>
        </m:sSub>
      </m:oMath>
      <w:r w:rsidR="003C7C3D" w:rsidRPr="000F7C37">
        <w:tab/>
      </w:r>
      <w:r w:rsidR="003C7C3D" w:rsidRPr="000F7C37">
        <w:tab/>
        <w:t>is the s-factor for regulatory year t.</w:t>
      </w:r>
      <w:r w:rsidR="003C7C3D" w:rsidRPr="000F7C37">
        <w:rPr>
          <w:rStyle w:val="FootnoteReference"/>
        </w:rPr>
        <w:footnoteReference w:id="50"/>
      </w:r>
      <w:r w:rsidR="003C7C3D" w:rsidRPr="000F7C37">
        <w:t xml:space="preserve"> As it currently stands, the s</w:t>
      </w:r>
      <w:r w:rsidR="003C7C3D" w:rsidRPr="000F7C37">
        <w:noBreakHyphen/>
        <w:t>factor</w:t>
      </w:r>
      <w:r w:rsidR="003C7C3D">
        <w:t xml:space="preserve"> will </w:t>
      </w:r>
      <w:r w:rsidR="003C7C3D" w:rsidRPr="000F7C37">
        <w:t>incorporate any adjustments required due to the application of the AER's STPIS.</w:t>
      </w:r>
      <w:r w:rsidR="003C7C3D" w:rsidRPr="000F7C37">
        <w:rPr>
          <w:rStyle w:val="FootnoteReference"/>
        </w:rPr>
        <w:footnoteReference w:id="51"/>
      </w:r>
      <w:r w:rsidR="003C7C3D" w:rsidRPr="000F7C37">
        <w:t xml:space="preserve"> </w:t>
      </w:r>
    </w:p>
    <w:p w:rsidR="003C7C3D" w:rsidRPr="000F7C37" w:rsidRDefault="000D00A9" w:rsidP="003C7C3D">
      <m:oMath>
        <m:sSub>
          <m:sSubPr>
            <m:ctrlPr>
              <w:rPr>
                <w:rFonts w:ascii="Cambria Math" w:hAnsi="Cambria Math"/>
              </w:rPr>
            </m:ctrlPr>
          </m:sSubPr>
          <m:e>
            <m:r>
              <w:rPr>
                <w:rFonts w:ascii="Cambria Math" w:hAnsi="Cambria Math"/>
              </w:rPr>
              <m:t>AR</m:t>
            </m:r>
          </m:e>
          <m:sub>
            <m:r>
              <w:rPr>
                <w:rFonts w:ascii="Cambria Math" w:hAnsi="Cambria Math"/>
              </w:rPr>
              <m:t>t-2</m:t>
            </m:r>
          </m:sub>
        </m:sSub>
      </m:oMath>
      <w:r w:rsidR="003C7C3D" w:rsidRPr="000F7C37">
        <w:tab/>
      </w:r>
      <w:r w:rsidR="003C7C3D">
        <w:t xml:space="preserve">For t=1 and 2, </w:t>
      </w:r>
      <m:oMath>
        <m:sSub>
          <m:sSubPr>
            <m:ctrlPr>
              <w:rPr>
                <w:rFonts w:ascii="Cambria Math" w:hAnsi="Cambria Math"/>
              </w:rPr>
            </m:ctrlPr>
          </m:sSubPr>
          <m:e>
            <m:r>
              <w:rPr>
                <w:rFonts w:ascii="Cambria Math" w:hAnsi="Cambria Math"/>
              </w:rPr>
              <m:t>AR</m:t>
            </m:r>
          </m:e>
          <m:sub>
            <m:r>
              <w:rPr>
                <w:rFonts w:ascii="Cambria Math" w:hAnsi="Cambria Math"/>
              </w:rPr>
              <m:t>t-2</m:t>
            </m:r>
          </m:sub>
        </m:sSub>
        <m:r>
          <w:rPr>
            <w:rFonts w:ascii="Cambria Math" w:hAnsi="Cambria Math"/>
          </w:rPr>
          <m:t xml:space="preserve"> </m:t>
        </m:r>
      </m:oMath>
      <w:r w:rsidR="003C7C3D">
        <w:t>represents</w:t>
      </w:r>
      <w:r w:rsidR="003C7C3D" w:rsidRPr="000F7C37">
        <w:t xml:space="preserve"> the annual smoothed revenue requirement in the Post Tax Revenue Model (PTRM) for </w:t>
      </w:r>
      <w:r w:rsidR="003C7C3D">
        <w:t xml:space="preserve">year 4 and 5 of the previous regulatory control period, respectively.  </w:t>
      </w:r>
    </w:p>
    <w:p w:rsidR="003C7C3D" w:rsidRPr="000F7C37" w:rsidRDefault="000D00A9" w:rsidP="003C7C3D">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m:t>
            </m:r>
          </m:sup>
        </m:sSubSup>
      </m:oMath>
      <w:r w:rsidR="003C7C3D" w:rsidRPr="00AE413E">
        <w:tab/>
      </w:r>
      <w:r w:rsidR="003C7C3D">
        <w:t>is</w:t>
      </w:r>
      <w:r w:rsidR="003C7C3D" w:rsidRPr="00F61C9E">
        <w:t xml:space="preserve"> the sum of the raw s-factors for all parameters for regulatory year t</w:t>
      </w:r>
      <w:r w:rsidR="003C7C3D">
        <w:t xml:space="preserve"> -2</w:t>
      </w:r>
      <w:r w:rsidR="003C7C3D" w:rsidRPr="00F61C9E">
        <w:t>, before banking</w:t>
      </w:r>
      <w:r w:rsidR="003C7C3D">
        <w:t xml:space="preserve">, </w:t>
      </w:r>
      <w:r w:rsidR="003C7C3D" w:rsidRPr="00AE413E">
        <w:t>expressed as a percentage of revenue (or prices)</w:t>
      </w:r>
      <w:r w:rsidR="003C7C3D">
        <w:t xml:space="preserve"> calculated annually through the compliance assessment. For t =1 and 2,</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m:t>
            </m:r>
          </m:sup>
        </m:sSubSup>
      </m:oMath>
      <w:r w:rsidR="003C7C3D">
        <w:t xml:space="preserve"> represents the </w:t>
      </w:r>
      <w:r w:rsidR="003C7C3D" w:rsidRPr="00F61C9E">
        <w:t>sum of the raw s-factors</w:t>
      </w:r>
      <w:r w:rsidR="003C7C3D">
        <w:t xml:space="preserve"> </w:t>
      </w:r>
      <w:r w:rsidR="003C7C3D" w:rsidRPr="000F7C37">
        <w:t xml:space="preserve">for </w:t>
      </w:r>
      <w:r w:rsidR="003C7C3D">
        <w:t xml:space="preserve">year 4 and 5 of the previous regulatory control period, respectively.  </w:t>
      </w:r>
    </w:p>
    <w:p w:rsidR="003C7C3D" w:rsidRDefault="000D00A9" w:rsidP="003C7C3D">
      <m:oMath>
        <m:sSub>
          <m:sSubPr>
            <m:ctrlPr>
              <w:rPr>
                <w:rFonts w:ascii="Cambria Math" w:hAnsi="Cambria Math"/>
              </w:rPr>
            </m:ctrlPr>
          </m:sSubPr>
          <m:e>
            <m:r>
              <w:rPr>
                <w:rFonts w:ascii="Cambria Math" w:hAnsi="Cambria Math"/>
              </w:rPr>
              <m:t>Sb</m:t>
            </m:r>
          </m:e>
          <m:sub>
            <m:r>
              <w:rPr>
                <w:rFonts w:ascii="Cambria Math" w:hAnsi="Cambria Math"/>
              </w:rPr>
              <m:t>t</m:t>
            </m:r>
          </m:sub>
        </m:sSub>
      </m:oMath>
      <w:r w:rsidR="003C7C3D">
        <w:tab/>
      </w:r>
      <w:r w:rsidR="003C7C3D">
        <w:tab/>
      </w:r>
      <w:r w:rsidR="003C7C3D" w:rsidRPr="00640B3A">
        <w:t>is the s-bank for the current regulatory year t</w:t>
      </w:r>
      <w:r w:rsidR="003C7C3D">
        <w:t>, expressed as real dollars amounts.</w:t>
      </w:r>
    </w:p>
    <w:p w:rsidR="003C7C3D" w:rsidRPr="00640B3A" w:rsidRDefault="000D00A9" w:rsidP="003C7C3D">
      <m:oMath>
        <m:sSub>
          <m:sSubPr>
            <m:ctrlPr>
              <w:rPr>
                <w:rFonts w:ascii="Cambria Math" w:hAnsi="Cambria Math"/>
              </w:rPr>
            </m:ctrlPr>
          </m:sSubPr>
          <m:e>
            <m:r>
              <w:rPr>
                <w:rFonts w:ascii="Cambria Math" w:hAnsi="Cambria Math"/>
              </w:rPr>
              <m:t>Sb</m:t>
            </m:r>
          </m:e>
          <m:sub>
            <m:r>
              <w:rPr>
                <w:rFonts w:ascii="Cambria Math" w:hAnsi="Cambria Math"/>
              </w:rPr>
              <m:t>t-1</m:t>
            </m:r>
          </m:sub>
        </m:sSub>
        <m:r>
          <w:rPr>
            <w:rFonts w:ascii="Cambria Math" w:hAnsi="Cambria Math"/>
          </w:rPr>
          <m:t xml:space="preserve">   </m:t>
        </m:r>
      </m:oMath>
      <w:r w:rsidR="003C7C3D">
        <w:t xml:space="preserve">is the </w:t>
      </w:r>
      <w:r w:rsidR="003C7C3D" w:rsidRPr="00640B3A">
        <w:t>s-bank for the previous regulatory year t</w:t>
      </w:r>
      <w:r w:rsidR="003C7C3D">
        <w:t xml:space="preserve">–1, expressed as real dollar amounts. For t =1, it represents the </w:t>
      </w:r>
      <w:r w:rsidR="003C7C3D" w:rsidRPr="00640B3A">
        <w:t>s-bank</w:t>
      </w:r>
      <w:r w:rsidR="003C7C3D">
        <w:t xml:space="preserve"> </w:t>
      </w:r>
      <w:r w:rsidR="003C7C3D" w:rsidRPr="000F7C37">
        <w:t xml:space="preserve">for </w:t>
      </w:r>
      <w:r w:rsidR="003C7C3D">
        <w:t>year 5 of the previous regulatory control period.</w:t>
      </w:r>
    </w:p>
    <w:p w:rsidR="003C7C3D" w:rsidRPr="003C7C3D" w:rsidRDefault="003C7C3D" w:rsidP="003C7C3D"/>
    <w:sectPr w:rsidR="003C7C3D" w:rsidRPr="003C7C3D" w:rsidSect="000B79FF">
      <w:headerReference w:type="even" r:id="rId31"/>
      <w:headerReference w:type="default" r:id="rId32"/>
      <w:footerReference w:type="even" r:id="rId33"/>
      <w:footerReference w:type="default" r:id="rId34"/>
      <w:headerReference w:type="first" r:id="rId35"/>
      <w:footerReference w:type="first" r:id="rId36"/>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AF0" w:rsidRPr="00290C63" w:rsidRDefault="00517AF0" w:rsidP="00290C63">
      <w:r>
        <w:separator/>
      </w:r>
    </w:p>
    <w:p w:rsidR="00517AF0" w:rsidRDefault="00517AF0"/>
  </w:endnote>
  <w:endnote w:type="continuationSeparator" w:id="0">
    <w:p w:rsidR="00517AF0" w:rsidRPr="00290C63" w:rsidRDefault="00517AF0" w:rsidP="00290C63">
      <w:r>
        <w:continuationSeparator/>
      </w:r>
    </w:p>
    <w:p w:rsidR="00517AF0" w:rsidRDefault="00517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F0" w:rsidRDefault="00517AF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517AF0" w:rsidRDefault="00517AF0">
    <w:pPr>
      <w:pStyle w:val="Footer"/>
    </w:pPr>
  </w:p>
  <w:p w:rsidR="00517AF0" w:rsidRDefault="00517AF0">
    <w:pPr>
      <w:pStyle w:val="Footer"/>
    </w:pPr>
    <w:r>
      <w:fldChar w:fldCharType="begin"/>
    </w:r>
    <w:r>
      <w:instrText xml:space="preserve"> DOCPROPERTY DocumentID \* MERGEFORMAT </w:instrText>
    </w:r>
    <w:r>
      <w:fldChar w:fldCharType="separate"/>
    </w:r>
    <w:r w:rsidR="00AF7C2A">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517AF0" w:rsidRPr="00CA52A2" w:rsidRDefault="00517AF0" w:rsidP="00CA52A2">
        <w:pPr>
          <w:pStyle w:val="Footer"/>
        </w:pPr>
        <w:r w:rsidRPr="00CA52A2">
          <w:fldChar w:fldCharType="begin"/>
        </w:r>
        <w:r>
          <w:instrText xml:space="preserve"> PAGE   \* MERGEFORMAT </w:instrText>
        </w:r>
        <w:r w:rsidRPr="00CA52A2">
          <w:fldChar w:fldCharType="separate"/>
        </w:r>
        <w:r w:rsidR="000D00A9">
          <w:rPr>
            <w:noProof/>
          </w:rPr>
          <w:t>0</w:t>
        </w:r>
        <w:r w:rsidRPr="00CA52A2">
          <w:fldChar w:fldCharType="end"/>
        </w:r>
        <w:r w:rsidRPr="00CA52A2">
          <w:t xml:space="preserve">          </w:t>
        </w:r>
        <w:r>
          <w:t xml:space="preserve">Explanatory Statement </w:t>
        </w:r>
        <w:r w:rsidRPr="00CA52A2">
          <w:t xml:space="preserve">| </w:t>
        </w:r>
        <w:r>
          <w:t>Proposed A</w:t>
        </w:r>
        <w:r w:rsidRPr="00D829F0">
          <w:t>mend</w:t>
        </w:r>
        <w:r>
          <w:t>ed Service Target Performance Incentive Scheme</w:t>
        </w:r>
      </w:p>
    </w:sdtContent>
  </w:sdt>
  <w:p w:rsidR="00517AF0" w:rsidRDefault="00517AF0">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A9" w:rsidRDefault="000D0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AF0" w:rsidRPr="00290C63" w:rsidRDefault="00517AF0" w:rsidP="00290C63">
      <w:r>
        <w:separator/>
      </w:r>
    </w:p>
    <w:p w:rsidR="00517AF0" w:rsidRDefault="00517AF0"/>
  </w:footnote>
  <w:footnote w:type="continuationSeparator" w:id="0">
    <w:p w:rsidR="00517AF0" w:rsidRPr="00290C63" w:rsidRDefault="00517AF0" w:rsidP="00290C63">
      <w:r>
        <w:continuationSeparator/>
      </w:r>
    </w:p>
    <w:p w:rsidR="00517AF0" w:rsidRDefault="00517AF0"/>
  </w:footnote>
  <w:footnote w:id="1">
    <w:p w:rsidR="00517AF0" w:rsidRDefault="00517AF0">
      <w:pPr>
        <w:pStyle w:val="FootnoteText"/>
      </w:pPr>
      <w:r>
        <w:rPr>
          <w:rStyle w:val="FootnoteReference"/>
        </w:rPr>
        <w:footnoteRef/>
      </w:r>
      <w:r>
        <w:t xml:space="preserve"> </w:t>
      </w:r>
      <w:r>
        <w:tab/>
      </w:r>
      <w:proofErr w:type="gramStart"/>
      <w:r>
        <w:t>NER, cl 6.6.2(c).</w:t>
      </w:r>
      <w:proofErr w:type="gramEnd"/>
    </w:p>
  </w:footnote>
  <w:footnote w:id="2">
    <w:p w:rsidR="00517AF0" w:rsidRDefault="00517AF0" w:rsidP="00C0024F">
      <w:pPr>
        <w:pStyle w:val="FootnoteText"/>
      </w:pPr>
      <w:r>
        <w:rPr>
          <w:rStyle w:val="FootnoteReference"/>
        </w:rPr>
        <w:footnoteRef/>
      </w:r>
      <w:r>
        <w:t xml:space="preserve"> </w:t>
      </w:r>
      <w:r>
        <w:tab/>
        <w:t>Due to historical data limitation issues, the scheme is applied based on per kVA capacity measures rather than the standard approach of per customer measures.</w:t>
      </w:r>
      <w:r w:rsidRPr="002A7E09">
        <w:t xml:space="preserve"> Full application of the scheme to </w:t>
      </w:r>
      <w:proofErr w:type="spellStart"/>
      <w:r w:rsidRPr="002A7E09">
        <w:t>TasNetworks</w:t>
      </w:r>
      <w:proofErr w:type="spellEnd"/>
      <w:r w:rsidRPr="002A7E09">
        <w:t xml:space="preserve"> began from July 2017.</w:t>
      </w:r>
    </w:p>
  </w:footnote>
  <w:footnote w:id="3">
    <w:p w:rsidR="00517AF0" w:rsidRDefault="00517AF0" w:rsidP="001B2759">
      <w:pPr>
        <w:pStyle w:val="FootnoteText"/>
        <w:spacing w:after="120"/>
      </w:pPr>
      <w:r>
        <w:rPr>
          <w:rStyle w:val="FootnoteReference"/>
        </w:rPr>
        <w:footnoteRef/>
      </w:r>
      <w:r>
        <w:t xml:space="preserve"> </w:t>
      </w:r>
      <w:r>
        <w:tab/>
      </w:r>
      <w:proofErr w:type="gramStart"/>
      <w:r w:rsidRPr="00EF3DDE">
        <w:t xml:space="preserve">AEMC, </w:t>
      </w:r>
      <w:r w:rsidRPr="00EF3DDE">
        <w:rPr>
          <w:rStyle w:val="AERtextitalic"/>
        </w:rPr>
        <w:t>Review of Distribution Reliability Measures</w:t>
      </w:r>
      <w:r w:rsidRPr="00EF3DDE">
        <w:t>, Fina</w:t>
      </w:r>
      <w:r>
        <w:t>l Report, 5 September 2014, p. ii.</w:t>
      </w:r>
      <w:proofErr w:type="gramEnd"/>
    </w:p>
  </w:footnote>
  <w:footnote w:id="4">
    <w:p w:rsidR="00517AF0" w:rsidRDefault="00517AF0" w:rsidP="006B2AD5">
      <w:pPr>
        <w:pStyle w:val="FootnoteText"/>
        <w:spacing w:after="120"/>
      </w:pPr>
      <w:r>
        <w:rPr>
          <w:rStyle w:val="FootnoteReference"/>
        </w:rPr>
        <w:footnoteRef/>
      </w:r>
      <w:r>
        <w:t xml:space="preserve"> </w:t>
      </w:r>
      <w:r>
        <w:tab/>
      </w:r>
      <w:r w:rsidRPr="00DF1D99">
        <w:t xml:space="preserve">AEMC, </w:t>
      </w:r>
      <w:r w:rsidRPr="00DF1D99">
        <w:rPr>
          <w:rStyle w:val="AERtextitalic"/>
        </w:rPr>
        <w:t>Review of Distribution Reliability Measures</w:t>
      </w:r>
      <w:r w:rsidRPr="00DF1D99">
        <w:t>, Final Report, 5 September 2014, p</w:t>
      </w:r>
      <w:r>
        <w:t>p</w:t>
      </w:r>
      <w:r w:rsidRPr="00DF1D99">
        <w:t>.</w:t>
      </w:r>
      <w:r>
        <w:t xml:space="preserve"> 28–31.</w:t>
      </w:r>
    </w:p>
  </w:footnote>
  <w:footnote w:id="5">
    <w:p w:rsidR="00517AF0" w:rsidRDefault="00517AF0">
      <w:pPr>
        <w:pStyle w:val="FootnoteText"/>
      </w:pPr>
      <w:r>
        <w:rPr>
          <w:rStyle w:val="FootnoteReference"/>
        </w:rPr>
        <w:footnoteRef/>
      </w:r>
      <w:r>
        <w:t xml:space="preserve"> </w:t>
      </w:r>
      <w:r>
        <w:tab/>
        <w:t>CAIDI is the measurement of the average duration of supply outages. CAIDI equals SAIDI divided by SAIFI.</w:t>
      </w:r>
    </w:p>
  </w:footnote>
  <w:footnote w:id="6">
    <w:p w:rsidR="00517AF0" w:rsidRDefault="00517AF0" w:rsidP="00AC57DB">
      <w:pPr>
        <w:pStyle w:val="FootnoteText"/>
        <w:spacing w:after="120"/>
      </w:pPr>
      <w:r>
        <w:rPr>
          <w:rStyle w:val="FootnoteReference"/>
        </w:rPr>
        <w:footnoteRef/>
      </w:r>
      <w:r>
        <w:t xml:space="preserve"> </w:t>
      </w:r>
      <w:r>
        <w:tab/>
      </w:r>
      <w:proofErr w:type="spellStart"/>
      <w:r>
        <w:t>Ausgrid</w:t>
      </w:r>
      <w:proofErr w:type="spellEnd"/>
      <w:r>
        <w:t xml:space="preserve">, </w:t>
      </w:r>
      <w:r w:rsidRPr="002F6A38">
        <w:t xml:space="preserve">Submission to </w:t>
      </w:r>
      <w:r>
        <w:t>STPIS and DMRG</w:t>
      </w:r>
      <w:r w:rsidRPr="002F6A38">
        <w:t xml:space="preserve"> issues paper,</w:t>
      </w:r>
      <w:r>
        <w:t xml:space="preserve"> p. 6; AusNet Services, </w:t>
      </w:r>
      <w:r w:rsidRPr="002F6A38">
        <w:t xml:space="preserve">Submission to </w:t>
      </w:r>
      <w:r>
        <w:t>STPIS and DMRG</w:t>
      </w:r>
      <w:r w:rsidRPr="002F6A38">
        <w:t xml:space="preserve"> issues paper,</w:t>
      </w:r>
      <w:r w:rsidRPr="00AC57DB">
        <w:t xml:space="preserve"> p.</w:t>
      </w:r>
      <w:r>
        <w:t xml:space="preserve"> 2; CitiPower and </w:t>
      </w:r>
      <w:proofErr w:type="spellStart"/>
      <w:r>
        <w:t>Powercor</w:t>
      </w:r>
      <w:proofErr w:type="spellEnd"/>
      <w:r>
        <w:t xml:space="preserve">, </w:t>
      </w:r>
      <w:r w:rsidRPr="002F6A38">
        <w:t xml:space="preserve">Submission to </w:t>
      </w:r>
      <w:r>
        <w:t>STPIS and DMRG</w:t>
      </w:r>
      <w:r w:rsidRPr="002F6A38">
        <w:t xml:space="preserve"> issues paper,</w:t>
      </w:r>
      <w:r w:rsidRPr="00AC57DB">
        <w:t xml:space="preserve"> p.</w:t>
      </w:r>
      <w:r>
        <w:t xml:space="preserve"> 3;</w:t>
      </w:r>
      <w:r w:rsidRPr="00AC57DB">
        <w:t xml:space="preserve">  </w:t>
      </w:r>
      <w:r>
        <w:t xml:space="preserve">ENA, </w:t>
      </w:r>
      <w:r w:rsidRPr="002F6A38">
        <w:t xml:space="preserve">Submission to </w:t>
      </w:r>
      <w:r>
        <w:t>STPIS and DMRG</w:t>
      </w:r>
      <w:r w:rsidRPr="002F6A38">
        <w:t xml:space="preserve"> issues paper,</w:t>
      </w:r>
      <w:r w:rsidRPr="00AC57DB">
        <w:t xml:space="preserve"> p</w:t>
      </w:r>
      <w:r>
        <w:t>p</w:t>
      </w:r>
      <w:r w:rsidRPr="00AC57DB">
        <w:t>.</w:t>
      </w:r>
      <w:r>
        <w:t xml:space="preserve"> 5-7;</w:t>
      </w:r>
      <w:r w:rsidRPr="00AC57DB">
        <w:t xml:space="preserve"> </w:t>
      </w:r>
      <w:r>
        <w:t xml:space="preserve">Endeavour Energy, </w:t>
      </w:r>
      <w:r w:rsidRPr="002F6A38">
        <w:t xml:space="preserve">Submission to </w:t>
      </w:r>
      <w:r>
        <w:t>STPIS and DMRG</w:t>
      </w:r>
      <w:r w:rsidRPr="002F6A38">
        <w:t xml:space="preserve"> issues paper,</w:t>
      </w:r>
      <w:r w:rsidRPr="00AC57DB">
        <w:t xml:space="preserve"> p. </w:t>
      </w:r>
      <w:r>
        <w:t xml:space="preserve">2; Energex, </w:t>
      </w:r>
      <w:r w:rsidRPr="002F6A38">
        <w:t xml:space="preserve">Submission to </w:t>
      </w:r>
      <w:r>
        <w:t>STPIS and DMRG</w:t>
      </w:r>
      <w:r w:rsidRPr="002F6A38">
        <w:t xml:space="preserve"> issues paper,</w:t>
      </w:r>
      <w:r w:rsidRPr="00AC57DB">
        <w:t xml:space="preserve"> p. </w:t>
      </w:r>
      <w:r>
        <w:t xml:space="preserve">5; Ergon Energy, </w:t>
      </w:r>
      <w:r w:rsidRPr="002F6A38">
        <w:t xml:space="preserve">Submission to </w:t>
      </w:r>
      <w:r>
        <w:t>STPIS and DMRG</w:t>
      </w:r>
      <w:r w:rsidRPr="002F6A38">
        <w:t xml:space="preserve"> issues paper,</w:t>
      </w:r>
      <w:r w:rsidRPr="00AC57DB">
        <w:t xml:space="preserve"> p. </w:t>
      </w:r>
      <w:r>
        <w:t>3; Essential</w:t>
      </w:r>
      <w:r w:rsidRPr="005F6CD6">
        <w:t xml:space="preserve"> Energy, Submission to </w:t>
      </w:r>
      <w:r>
        <w:t>STPIS and DMRG</w:t>
      </w:r>
      <w:r w:rsidRPr="005F6CD6">
        <w:t xml:space="preserve"> issues paper, p. </w:t>
      </w:r>
      <w:r>
        <w:t>2</w:t>
      </w:r>
      <w:r w:rsidRPr="005F6CD6">
        <w:t>;</w:t>
      </w:r>
      <w:r>
        <w:t xml:space="preserve"> Jemena, </w:t>
      </w:r>
      <w:r w:rsidRPr="002F6A38">
        <w:t xml:space="preserve">Submission to </w:t>
      </w:r>
      <w:r>
        <w:t>STPIS and DMRG</w:t>
      </w:r>
      <w:r w:rsidRPr="002F6A38">
        <w:t xml:space="preserve"> issues paper,</w:t>
      </w:r>
      <w:r w:rsidRPr="00AC57DB">
        <w:t xml:space="preserve"> p. </w:t>
      </w:r>
      <w:r>
        <w:t xml:space="preserve">5; </w:t>
      </w:r>
      <w:r w:rsidRPr="005F6CD6">
        <w:t xml:space="preserve"> </w:t>
      </w:r>
      <w:r>
        <w:t>SA Power Networks</w:t>
      </w:r>
      <w:r w:rsidRPr="005F6CD6">
        <w:t>, Submis</w:t>
      </w:r>
      <w:r>
        <w:t xml:space="preserve">sion to STPIS and DMRG issues paper, p. 7; </w:t>
      </w:r>
      <w:proofErr w:type="spellStart"/>
      <w:r>
        <w:t>TasNetworks</w:t>
      </w:r>
      <w:proofErr w:type="spellEnd"/>
      <w:r>
        <w:t xml:space="preserve">, </w:t>
      </w:r>
      <w:r w:rsidRPr="002F6A38">
        <w:t xml:space="preserve">Submission to </w:t>
      </w:r>
      <w:r>
        <w:t>STPIS and DMRG</w:t>
      </w:r>
      <w:r w:rsidRPr="002F6A38">
        <w:t xml:space="preserve"> issues paper,</w:t>
      </w:r>
      <w:r w:rsidRPr="00AC57DB">
        <w:t xml:space="preserve"> p. </w:t>
      </w:r>
      <w:r>
        <w:t xml:space="preserve">1; United Energy, </w:t>
      </w:r>
      <w:r w:rsidRPr="002F6A38">
        <w:t xml:space="preserve">Submission to </w:t>
      </w:r>
      <w:r>
        <w:t>STPIS and DMRG</w:t>
      </w:r>
      <w:r w:rsidRPr="002F6A38">
        <w:t xml:space="preserve"> issues paper,</w:t>
      </w:r>
      <w:r w:rsidRPr="00AC57DB">
        <w:t xml:space="preserve"> p. </w:t>
      </w:r>
      <w:r>
        <w:t xml:space="preserve">1.  </w:t>
      </w:r>
    </w:p>
  </w:footnote>
  <w:footnote w:id="7">
    <w:p w:rsidR="00517AF0" w:rsidRDefault="00517AF0">
      <w:pPr>
        <w:pStyle w:val="FootnoteText"/>
      </w:pPr>
      <w:r>
        <w:rPr>
          <w:rStyle w:val="FootnoteReference"/>
        </w:rPr>
        <w:footnoteRef/>
      </w:r>
      <w:r>
        <w:t xml:space="preserve"> </w:t>
      </w:r>
      <w:r>
        <w:tab/>
      </w:r>
      <w:r w:rsidRPr="00E10DF0">
        <w:t>Minister for Energy, Environment and Climate Change (Victoria)</w:t>
      </w:r>
      <w:r>
        <w:t>,</w:t>
      </w:r>
      <w:r w:rsidRPr="00E10DF0">
        <w:t xml:space="preserve"> Submission </w:t>
      </w:r>
      <w:r>
        <w:t xml:space="preserve">to STPIS and DMRG issues paper, pp. 1-3; </w:t>
      </w:r>
      <w:r w:rsidRPr="00E10DF0">
        <w:t>Energy and Water Ombud</w:t>
      </w:r>
      <w:r>
        <w:t xml:space="preserve">sman of South Australia, </w:t>
      </w:r>
      <w:r w:rsidRPr="00E10DF0">
        <w:t xml:space="preserve">Submission </w:t>
      </w:r>
      <w:r>
        <w:t>to STPIS and DMRG issues paper, p. 1;</w:t>
      </w:r>
      <w:r w:rsidRPr="00E10DF0">
        <w:t xml:space="preserve"> St Vincent de Paul Society</w:t>
      </w:r>
      <w:r>
        <w:t xml:space="preserve">, </w:t>
      </w:r>
      <w:r w:rsidRPr="00E10DF0">
        <w:t>Submission to STPIS and DMRG issues paper, p. 1</w:t>
      </w:r>
      <w:r>
        <w:t xml:space="preserve">. </w:t>
      </w:r>
      <w:r w:rsidRPr="00E10DF0">
        <w:t xml:space="preserve"> </w:t>
      </w:r>
    </w:p>
  </w:footnote>
  <w:footnote w:id="8">
    <w:p w:rsidR="00517AF0" w:rsidRDefault="00517AF0" w:rsidP="00506BA7">
      <w:pPr>
        <w:pStyle w:val="FootnoteText"/>
      </w:pPr>
      <w:r>
        <w:rPr>
          <w:rStyle w:val="FootnoteReference"/>
        </w:rPr>
        <w:footnoteRef/>
      </w:r>
      <w:r>
        <w:t xml:space="preserve"> </w:t>
      </w:r>
      <w:r>
        <w:tab/>
      </w:r>
      <w:r w:rsidRPr="00E10DF0">
        <w:t>Minister for Energy, Environment and Climate Change (Victoria)</w:t>
      </w:r>
      <w:r>
        <w:t>,</w:t>
      </w:r>
      <w:r w:rsidRPr="00E10DF0">
        <w:t xml:space="preserve"> Submission </w:t>
      </w:r>
      <w:r>
        <w:t xml:space="preserve">to STPIS and DMRG issues paper, p. 2. </w:t>
      </w:r>
    </w:p>
  </w:footnote>
  <w:footnote w:id="9">
    <w:p w:rsidR="00517AF0" w:rsidRDefault="00517AF0" w:rsidP="00506BA7">
      <w:pPr>
        <w:pStyle w:val="FootnoteText"/>
      </w:pPr>
      <w:r>
        <w:rPr>
          <w:rStyle w:val="FootnoteReference"/>
        </w:rPr>
        <w:footnoteRef/>
      </w:r>
      <w:r>
        <w:t xml:space="preserve"> </w:t>
      </w:r>
      <w:r>
        <w:tab/>
      </w:r>
      <w:r w:rsidRPr="00506BA7">
        <w:t>S</w:t>
      </w:r>
      <w:r>
        <w:t xml:space="preserve"> </w:t>
      </w:r>
      <w:r w:rsidRPr="00506BA7">
        <w:t>and</w:t>
      </w:r>
      <w:r>
        <w:t xml:space="preserve"> </w:t>
      </w:r>
      <w:r w:rsidRPr="00506BA7">
        <w:t>C Electric Company</w:t>
      </w:r>
      <w:r>
        <w:t>,</w:t>
      </w:r>
      <w:r w:rsidRPr="00506BA7">
        <w:t xml:space="preserve"> </w:t>
      </w:r>
      <w:r w:rsidRPr="00E10DF0">
        <w:t xml:space="preserve">Submission </w:t>
      </w:r>
      <w:r>
        <w:t xml:space="preserve">to STPIS and DMRG issues paper, p. 3. </w:t>
      </w:r>
    </w:p>
  </w:footnote>
  <w:footnote w:id="10">
    <w:p w:rsidR="00517AF0" w:rsidRPr="009E418B" w:rsidRDefault="00517AF0" w:rsidP="009E418B">
      <w:pPr>
        <w:pStyle w:val="FootnoteText"/>
        <w:rPr>
          <w:i/>
        </w:rPr>
      </w:pPr>
      <w:r>
        <w:rPr>
          <w:rStyle w:val="FootnoteReference"/>
        </w:rPr>
        <w:footnoteRef/>
      </w:r>
      <w:r>
        <w:t xml:space="preserve"> </w:t>
      </w:r>
      <w:r>
        <w:tab/>
        <w:t>AER</w:t>
      </w:r>
      <w:r w:rsidRPr="00DF1D99">
        <w:t xml:space="preserve">, </w:t>
      </w:r>
      <w:r>
        <w:rPr>
          <w:rStyle w:val="AERtextitalic"/>
        </w:rPr>
        <w:t xml:space="preserve">Draft </w:t>
      </w:r>
      <w:r w:rsidRPr="009E418B">
        <w:rPr>
          <w:rStyle w:val="AERtextitalic"/>
        </w:rPr>
        <w:t>Distribution Reliability Measures Guidelines</w:t>
      </w:r>
      <w:r>
        <w:rPr>
          <w:rStyle w:val="AERtextitalic"/>
        </w:rPr>
        <w:t>,</w:t>
      </w:r>
      <w:r w:rsidRPr="009E418B">
        <w:rPr>
          <w:rStyle w:val="AERtextitalic"/>
        </w:rPr>
        <w:t xml:space="preserve"> </w:t>
      </w:r>
      <w:r>
        <w:t>June 2017</w:t>
      </w:r>
      <w:r w:rsidRPr="00DF1D99">
        <w:t>, p.</w:t>
      </w:r>
      <w:r>
        <w:t xml:space="preserve"> 8</w:t>
      </w:r>
      <w:r w:rsidRPr="00DF1D99">
        <w:t>.</w:t>
      </w:r>
    </w:p>
  </w:footnote>
  <w:footnote w:id="11">
    <w:p w:rsidR="00517AF0" w:rsidRDefault="00517AF0" w:rsidP="009D4832">
      <w:pPr>
        <w:pStyle w:val="FootnoteText"/>
        <w:spacing w:after="120"/>
      </w:pPr>
      <w:r>
        <w:rPr>
          <w:rStyle w:val="FootnoteReference"/>
        </w:rPr>
        <w:footnoteRef/>
      </w:r>
      <w:r>
        <w:t xml:space="preserve"> </w:t>
      </w:r>
      <w:r>
        <w:tab/>
        <w:t xml:space="preserve">Major event days </w:t>
      </w:r>
      <w:r w:rsidRPr="005C74FF">
        <w:t>are typically caused by severe weather conditions.</w:t>
      </w:r>
    </w:p>
  </w:footnote>
  <w:footnote w:id="12">
    <w:p w:rsidR="00517AF0" w:rsidRDefault="00517AF0" w:rsidP="009D4832">
      <w:pPr>
        <w:pStyle w:val="FootnoteText"/>
        <w:spacing w:after="120"/>
      </w:pPr>
      <w:r>
        <w:rPr>
          <w:rStyle w:val="FootnoteReference"/>
        </w:rPr>
        <w:footnoteRef/>
      </w:r>
      <w:r>
        <w:t xml:space="preserve"> </w:t>
      </w:r>
      <w:r>
        <w:tab/>
      </w:r>
      <w:r w:rsidRPr="00DF1D99">
        <w:t xml:space="preserve">AEMC, </w:t>
      </w:r>
      <w:r w:rsidRPr="00DF1D99">
        <w:rPr>
          <w:rStyle w:val="AERtextitalic"/>
        </w:rPr>
        <w:t>Review of Distribution Reliability Measures</w:t>
      </w:r>
      <w:r w:rsidRPr="00DF1D99">
        <w:t>, Final Report, 5 September 2014, p</w:t>
      </w:r>
      <w:r>
        <w:t>p</w:t>
      </w:r>
      <w:r w:rsidRPr="00DF1D99">
        <w:t>.</w:t>
      </w:r>
      <w:r>
        <w:t xml:space="preserve"> 28–31.</w:t>
      </w:r>
    </w:p>
  </w:footnote>
  <w:footnote w:id="13">
    <w:p w:rsidR="00517AF0" w:rsidRDefault="00517AF0" w:rsidP="008A67D1">
      <w:pPr>
        <w:pStyle w:val="FootnoteText"/>
      </w:pPr>
      <w:r>
        <w:rPr>
          <w:rStyle w:val="FootnoteReference"/>
        </w:rPr>
        <w:footnoteRef/>
      </w:r>
      <w:r>
        <w:t xml:space="preserve"> </w:t>
      </w:r>
      <w:r>
        <w:tab/>
        <w:t xml:space="preserve">AER, </w:t>
      </w:r>
      <w:r w:rsidRPr="00985B3F">
        <w:t>Explanatory statement to draft distribution reliability measures guidelines</w:t>
      </w:r>
      <w:r>
        <w:t xml:space="preserve">, June 2017, pp. 14–15. </w:t>
      </w:r>
    </w:p>
  </w:footnote>
  <w:footnote w:id="14">
    <w:p w:rsidR="00517AF0" w:rsidRDefault="00517AF0" w:rsidP="009D4832">
      <w:pPr>
        <w:pStyle w:val="FootnoteText"/>
        <w:spacing w:after="120"/>
      </w:pPr>
      <w:r>
        <w:rPr>
          <w:rStyle w:val="FootnoteReference"/>
        </w:rPr>
        <w:footnoteRef/>
      </w:r>
      <w:r>
        <w:t xml:space="preserve"> </w:t>
      </w:r>
      <w:r>
        <w:tab/>
        <w:t xml:space="preserve">ENA, Submission to </w:t>
      </w:r>
      <w:r w:rsidRPr="00251B30">
        <w:t>draft distribution reliability measures guidelines</w:t>
      </w:r>
      <w:r>
        <w:t xml:space="preserve"> and explanatory statement, pp. 1–2; </w:t>
      </w:r>
      <w:r w:rsidRPr="00251B30">
        <w:t>Energex and Ergon</w:t>
      </w:r>
      <w:r>
        <w:t xml:space="preserve">, </w:t>
      </w:r>
      <w:r w:rsidRPr="00251B30">
        <w:t xml:space="preserve">Submission to draft distribution reliability measures guidelines and explanatory statement, </w:t>
      </w:r>
      <w:r>
        <w:t>p. 6, p. 8</w:t>
      </w:r>
      <w:r w:rsidRPr="00251B30">
        <w:t>;</w:t>
      </w:r>
      <w:r>
        <w:t xml:space="preserve"> Essential Energy, </w:t>
      </w:r>
      <w:r w:rsidRPr="00617A08">
        <w:t>Submission to draft distribution reliability measures guidelines and explanatory statement</w:t>
      </w:r>
      <w:r>
        <w:t>, p. 2; SA Power Networks</w:t>
      </w:r>
      <w:r w:rsidRPr="00617A08">
        <w:t>, Submission to draft distribution reliability measures guidelines and explanatory statement, p. 2</w:t>
      </w:r>
      <w:r>
        <w:t>.</w:t>
      </w:r>
    </w:p>
  </w:footnote>
  <w:footnote w:id="15">
    <w:p w:rsidR="00517AF0" w:rsidRDefault="00517AF0" w:rsidP="009D4832">
      <w:pPr>
        <w:pStyle w:val="FootnoteText"/>
        <w:spacing w:after="120"/>
      </w:pPr>
      <w:r>
        <w:rPr>
          <w:rStyle w:val="FootnoteReference"/>
        </w:rPr>
        <w:footnoteRef/>
      </w:r>
      <w:r>
        <w:t xml:space="preserve"> </w:t>
      </w:r>
      <w:r>
        <w:tab/>
        <w:t xml:space="preserve">PIAC, </w:t>
      </w:r>
      <w:r w:rsidRPr="00617A08">
        <w:t xml:space="preserve">Submission to draft distribution reliability measures guidelines and explanatory statement, p. </w:t>
      </w:r>
      <w:r>
        <w:t xml:space="preserve">1. </w:t>
      </w:r>
    </w:p>
  </w:footnote>
  <w:footnote w:id="16">
    <w:p w:rsidR="00517AF0" w:rsidRDefault="00517AF0" w:rsidP="009D4832">
      <w:pPr>
        <w:pStyle w:val="FootnoteText"/>
      </w:pPr>
      <w:r>
        <w:rPr>
          <w:rStyle w:val="FootnoteReference"/>
        </w:rPr>
        <w:footnoteRef/>
      </w:r>
      <w:r>
        <w:t xml:space="preserve"> </w:t>
      </w:r>
      <w:r>
        <w:tab/>
      </w:r>
      <w:r w:rsidRPr="00DF6536">
        <w:t>Clause 3.2.1(a</w:t>
      </w:r>
      <w:proofErr w:type="gramStart"/>
      <w:r w:rsidRPr="00DF6536">
        <w:t>)(</w:t>
      </w:r>
      <w:proofErr w:type="gramEnd"/>
      <w:r w:rsidRPr="00DF6536">
        <w:t>1B) of STPIS</w:t>
      </w:r>
      <w:r>
        <w:t xml:space="preserve">. </w:t>
      </w:r>
    </w:p>
  </w:footnote>
  <w:footnote w:id="17">
    <w:p w:rsidR="00517AF0" w:rsidRDefault="00517AF0" w:rsidP="009D4832">
      <w:pPr>
        <w:pStyle w:val="FootnoteText"/>
        <w:spacing w:after="120"/>
      </w:pPr>
      <w:r>
        <w:rPr>
          <w:rStyle w:val="FootnoteReference"/>
        </w:rPr>
        <w:footnoteRef/>
      </w:r>
      <w:r>
        <w:t xml:space="preserve"> </w:t>
      </w:r>
      <w:r>
        <w:tab/>
      </w:r>
      <w:proofErr w:type="spellStart"/>
      <w:r>
        <w:t>Ausgrid</w:t>
      </w:r>
      <w:proofErr w:type="spellEnd"/>
      <w:r>
        <w:t>, Submissions to AER's issues paper, p. 13;</w:t>
      </w:r>
      <w:r w:rsidRPr="008330B2">
        <w:t xml:space="preserve"> </w:t>
      </w:r>
      <w:r>
        <w:t>Endeavour, Submissions to AER's issues paper, p. 4;</w:t>
      </w:r>
      <w:r w:rsidRPr="00B63327">
        <w:t xml:space="preserve"> </w:t>
      </w:r>
      <w:r>
        <w:t>Essential Energy, Submissions to AER's issues paper, p. 4;</w:t>
      </w:r>
      <w:r w:rsidRPr="008330B2">
        <w:t xml:space="preserve"> </w:t>
      </w:r>
      <w:r>
        <w:t>Energex, Submissions to AER's issues paper, p. 9;</w:t>
      </w:r>
      <w:r w:rsidRPr="00675C20">
        <w:t xml:space="preserve"> </w:t>
      </w:r>
      <w:r>
        <w:t>Ergon Energy, Submissions to AER's issues paper, p. 9; SA Power Networks, Submissions to AER's issues paper, p. 11.</w:t>
      </w:r>
      <w:r w:rsidRPr="008330B2">
        <w:t xml:space="preserve"> </w:t>
      </w:r>
      <w:r>
        <w:t xml:space="preserve">                       </w:t>
      </w:r>
    </w:p>
  </w:footnote>
  <w:footnote w:id="18">
    <w:p w:rsidR="00517AF0" w:rsidRDefault="00517AF0" w:rsidP="009D4832">
      <w:pPr>
        <w:pStyle w:val="FootnoteText"/>
        <w:spacing w:after="120"/>
      </w:pPr>
      <w:r>
        <w:rPr>
          <w:rStyle w:val="FootnoteReference"/>
        </w:rPr>
        <w:footnoteRef/>
      </w:r>
      <w:r>
        <w:t xml:space="preserve"> </w:t>
      </w:r>
      <w:r>
        <w:tab/>
        <w:t>Jemena, Submissions to AER's issues paper, p. 11.</w:t>
      </w:r>
    </w:p>
  </w:footnote>
  <w:footnote w:id="19">
    <w:p w:rsidR="00517AF0" w:rsidRPr="001F7606" w:rsidRDefault="00517AF0" w:rsidP="001F7606">
      <w:pPr>
        <w:pStyle w:val="FootnoteText"/>
      </w:pPr>
      <w:r>
        <w:rPr>
          <w:rStyle w:val="FootnoteReference"/>
        </w:rPr>
        <w:footnoteRef/>
      </w:r>
      <w:r>
        <w:t xml:space="preserve"> </w:t>
      </w:r>
      <w:r>
        <w:tab/>
      </w:r>
      <w:r w:rsidRPr="00EF3DDE">
        <w:t xml:space="preserve">AEMC, </w:t>
      </w:r>
      <w:r w:rsidRPr="001F7606">
        <w:rPr>
          <w:rStyle w:val="AERtextitalic"/>
        </w:rPr>
        <w:t>Review of Distribution Reliability Measures</w:t>
      </w:r>
      <w:r w:rsidRPr="001F7606">
        <w:t>, Final Report, 5 September 2014, p</w:t>
      </w:r>
      <w:r>
        <w:t>p 17-18</w:t>
      </w:r>
      <w:r w:rsidRPr="001F7606">
        <w:t>.</w:t>
      </w:r>
    </w:p>
    <w:p w:rsidR="00517AF0" w:rsidRDefault="00517AF0">
      <w:pPr>
        <w:pStyle w:val="FootnoteText"/>
      </w:pPr>
    </w:p>
  </w:footnote>
  <w:footnote w:id="20">
    <w:p w:rsidR="00517AF0" w:rsidRDefault="00517AF0">
      <w:pPr>
        <w:pStyle w:val="FootnoteText"/>
      </w:pPr>
      <w:r>
        <w:rPr>
          <w:rStyle w:val="FootnoteReference"/>
        </w:rPr>
        <w:footnoteRef/>
      </w:r>
      <w:r>
        <w:t xml:space="preserve"> </w:t>
      </w:r>
      <w:r>
        <w:tab/>
      </w:r>
      <w:r w:rsidRPr="0087311A">
        <w:t xml:space="preserve">CitiPower and </w:t>
      </w:r>
      <w:proofErr w:type="spellStart"/>
      <w:r w:rsidRPr="0087311A">
        <w:t>Powercor</w:t>
      </w:r>
      <w:proofErr w:type="spellEnd"/>
      <w:r w:rsidRPr="0087311A">
        <w:t xml:space="preserve"> - Submission on AER Draft distribution reliability measures guidelines - 11 August 2017</w:t>
      </w:r>
      <w:r>
        <w:t>, pp2-3</w:t>
      </w:r>
    </w:p>
  </w:footnote>
  <w:footnote w:id="21">
    <w:p w:rsidR="00517AF0" w:rsidRDefault="00517AF0" w:rsidP="00383AE6">
      <w:pPr>
        <w:pStyle w:val="FootnoteText"/>
      </w:pPr>
      <w:r>
        <w:rPr>
          <w:rStyle w:val="FootnoteReference"/>
        </w:rPr>
        <w:footnoteRef/>
      </w:r>
      <w:r>
        <w:t xml:space="preserve"> </w:t>
      </w:r>
      <w:r>
        <w:tab/>
      </w:r>
      <w:r w:rsidRPr="0002219B">
        <w:t>NER</w:t>
      </w:r>
      <w:r>
        <w:t>, c</w:t>
      </w:r>
      <w:r w:rsidRPr="0002219B">
        <w:t>l.6.5.6</w:t>
      </w:r>
      <w:proofErr w:type="gramStart"/>
      <w:r>
        <w:t>.(</w:t>
      </w:r>
      <w:proofErr w:type="gramEnd"/>
      <w:r>
        <w:t>e)(5A)</w:t>
      </w:r>
      <w:r w:rsidRPr="0002219B">
        <w:t xml:space="preserve"> and 6.5.7</w:t>
      </w:r>
      <w:r>
        <w:t>(5A).</w:t>
      </w:r>
    </w:p>
  </w:footnote>
  <w:footnote w:id="22">
    <w:p w:rsidR="00517AF0" w:rsidRDefault="00517AF0" w:rsidP="00383AE6">
      <w:pPr>
        <w:pStyle w:val="FootnoteText"/>
      </w:pPr>
      <w:r>
        <w:rPr>
          <w:rStyle w:val="FootnoteReference"/>
        </w:rPr>
        <w:footnoteRef/>
      </w:r>
      <w:r>
        <w:t xml:space="preserve"> </w:t>
      </w:r>
      <w:r>
        <w:tab/>
        <w:t xml:space="preserve">AER, </w:t>
      </w:r>
      <w:r w:rsidRPr="00D269D3">
        <w:t>Consumer Engagement Guideline for Network Service Providers</w:t>
      </w:r>
      <w:r>
        <w:t xml:space="preserve">, AER. </w:t>
      </w:r>
      <w:r w:rsidRPr="00D269D3">
        <w:t>November 2013</w:t>
      </w:r>
      <w:r>
        <w:t>.</w:t>
      </w:r>
    </w:p>
  </w:footnote>
  <w:footnote w:id="23">
    <w:p w:rsidR="00517AF0" w:rsidRDefault="00517AF0" w:rsidP="00383AE6">
      <w:pPr>
        <w:pStyle w:val="FootnoteText"/>
      </w:pPr>
      <w:r>
        <w:rPr>
          <w:rStyle w:val="FootnoteReference"/>
        </w:rPr>
        <w:footnoteRef/>
      </w:r>
      <w:r>
        <w:t xml:space="preserve"> </w:t>
      </w:r>
      <w:r>
        <w:tab/>
      </w:r>
      <w:r w:rsidRPr="0002219B">
        <w:t>NER</w:t>
      </w:r>
      <w:r>
        <w:t>,</w:t>
      </w:r>
      <w:r w:rsidRPr="0002219B">
        <w:t xml:space="preserve"> Cl.6.5.6</w:t>
      </w:r>
      <w:proofErr w:type="gramStart"/>
      <w:r>
        <w:t>.(</w:t>
      </w:r>
      <w:proofErr w:type="gramEnd"/>
      <w:r>
        <w:t>e)(5A)</w:t>
      </w:r>
      <w:r w:rsidRPr="0002219B">
        <w:t xml:space="preserve"> and 6.5.7</w:t>
      </w:r>
      <w:r>
        <w:t>(5A).</w:t>
      </w:r>
    </w:p>
  </w:footnote>
  <w:footnote w:id="24">
    <w:p w:rsidR="00517AF0" w:rsidRDefault="00517AF0" w:rsidP="00383AE6">
      <w:pPr>
        <w:pStyle w:val="FootnoteText"/>
      </w:pPr>
      <w:r>
        <w:rPr>
          <w:rStyle w:val="FootnoteReference"/>
        </w:rPr>
        <w:footnoteRef/>
      </w:r>
      <w:r>
        <w:t xml:space="preserve"> </w:t>
      </w:r>
      <w:r>
        <w:tab/>
        <w:t xml:space="preserve">AER, </w:t>
      </w:r>
      <w:r w:rsidRPr="00D269D3">
        <w:t>Consumer Engagement Guideline for Network Service Providers</w:t>
      </w:r>
      <w:r>
        <w:t xml:space="preserve">, AER. </w:t>
      </w:r>
      <w:r w:rsidRPr="00D269D3">
        <w:t>November 2013</w:t>
      </w:r>
      <w:r>
        <w:t>, p. 12.</w:t>
      </w:r>
    </w:p>
  </w:footnote>
  <w:footnote w:id="25">
    <w:p w:rsidR="00517AF0" w:rsidRDefault="00517AF0" w:rsidP="00383AE6">
      <w:pPr>
        <w:pStyle w:val="FootnoteText"/>
      </w:pPr>
      <w:r>
        <w:rPr>
          <w:rStyle w:val="FootnoteReference"/>
        </w:rPr>
        <w:footnoteRef/>
      </w:r>
      <w:r>
        <w:t xml:space="preserve"> </w:t>
      </w:r>
      <w:r>
        <w:tab/>
      </w:r>
      <w:proofErr w:type="gramStart"/>
      <w:r>
        <w:t>Ibid, p.13.</w:t>
      </w:r>
      <w:proofErr w:type="gramEnd"/>
    </w:p>
  </w:footnote>
  <w:footnote w:id="26">
    <w:p w:rsidR="00517AF0" w:rsidRDefault="00517AF0" w:rsidP="00383AE6">
      <w:pPr>
        <w:pStyle w:val="FootnoteText"/>
      </w:pPr>
      <w:r>
        <w:rPr>
          <w:rStyle w:val="FootnoteReference"/>
        </w:rPr>
        <w:footnoteRef/>
      </w:r>
      <w:r>
        <w:t xml:space="preserve"> </w:t>
      </w:r>
      <w:r>
        <w:tab/>
        <w:t>Ibid.</w:t>
      </w:r>
    </w:p>
  </w:footnote>
  <w:footnote w:id="27">
    <w:p w:rsidR="00517AF0" w:rsidRDefault="00517AF0" w:rsidP="009D4832">
      <w:pPr>
        <w:pStyle w:val="FootnoteText"/>
        <w:spacing w:after="120"/>
      </w:pPr>
      <w:r>
        <w:rPr>
          <w:rStyle w:val="FootnoteReference"/>
        </w:rPr>
        <w:footnoteRef/>
      </w:r>
      <w:r>
        <w:t xml:space="preserve"> </w:t>
      </w:r>
      <w:r>
        <w:tab/>
        <w:t>AER, STPIS issues paper, January 2017, pp. 35–36.</w:t>
      </w:r>
    </w:p>
  </w:footnote>
  <w:footnote w:id="28">
    <w:p w:rsidR="00517AF0" w:rsidRDefault="00517AF0" w:rsidP="009D4832">
      <w:pPr>
        <w:pStyle w:val="FootnoteText"/>
        <w:spacing w:after="120"/>
      </w:pPr>
      <w:r>
        <w:rPr>
          <w:rStyle w:val="FootnoteReference"/>
        </w:rPr>
        <w:footnoteRef/>
      </w:r>
      <w:r>
        <w:t xml:space="preserve"> </w:t>
      </w:r>
      <w:r>
        <w:tab/>
      </w:r>
      <w:r w:rsidRPr="005F6CD6">
        <w:t>Ergon Energy</w:t>
      </w:r>
      <w:r>
        <w:t xml:space="preserve">, </w:t>
      </w:r>
      <w:r w:rsidRPr="002F6A38">
        <w:t>Submission to STPIS issues paper,</w:t>
      </w:r>
      <w:r>
        <w:t xml:space="preserve"> p. 10; Essential</w:t>
      </w:r>
      <w:r w:rsidRPr="005F6CD6">
        <w:t xml:space="preserve"> Energy, Submission to STPIS issues paper, p. </w:t>
      </w:r>
      <w:r>
        <w:t>5</w:t>
      </w:r>
      <w:r w:rsidRPr="005F6CD6">
        <w:t xml:space="preserve">; </w:t>
      </w:r>
      <w:r>
        <w:t>SA Power Networks</w:t>
      </w:r>
      <w:r w:rsidRPr="005F6CD6">
        <w:t>, Submission to STPIS issues paper, p. 1</w:t>
      </w:r>
      <w:r>
        <w:t xml:space="preserve">3; </w:t>
      </w:r>
    </w:p>
  </w:footnote>
  <w:footnote w:id="29">
    <w:p w:rsidR="00517AF0" w:rsidRDefault="00517AF0" w:rsidP="009D4832">
      <w:pPr>
        <w:pStyle w:val="FootnoteText"/>
        <w:spacing w:after="120"/>
      </w:pPr>
      <w:r>
        <w:rPr>
          <w:rStyle w:val="FootnoteReference"/>
        </w:rPr>
        <w:footnoteRef/>
      </w:r>
      <w:r>
        <w:t xml:space="preserve"> </w:t>
      </w:r>
      <w:r>
        <w:tab/>
        <w:t xml:space="preserve">Jemena, </w:t>
      </w:r>
      <w:r w:rsidRPr="002F6A38">
        <w:t>Submission to STPIS issues paper,</w:t>
      </w:r>
      <w:r>
        <w:t xml:space="preserve"> p. 12.</w:t>
      </w:r>
    </w:p>
  </w:footnote>
  <w:footnote w:id="30">
    <w:p w:rsidR="00517AF0" w:rsidRDefault="00517AF0" w:rsidP="009D4832">
      <w:pPr>
        <w:pStyle w:val="FootnoteText"/>
        <w:spacing w:after="120"/>
      </w:pPr>
      <w:r>
        <w:rPr>
          <w:rStyle w:val="FootnoteReference"/>
        </w:rPr>
        <w:footnoteRef/>
      </w:r>
      <w:r>
        <w:t xml:space="preserve"> </w:t>
      </w:r>
      <w:r>
        <w:tab/>
        <w:t xml:space="preserve">Endeavour Energy, </w:t>
      </w:r>
      <w:r w:rsidRPr="002F6A38">
        <w:t>Submission to STPIS issues paper,</w:t>
      </w:r>
      <w:r>
        <w:t xml:space="preserve"> p. 5; </w:t>
      </w:r>
      <w:r w:rsidRPr="005F6CD6">
        <w:t>S</w:t>
      </w:r>
      <w:r>
        <w:t xml:space="preserve"> </w:t>
      </w:r>
      <w:r w:rsidRPr="005F6CD6">
        <w:t>and</w:t>
      </w:r>
      <w:r>
        <w:t xml:space="preserve"> </w:t>
      </w:r>
      <w:r w:rsidRPr="005F6CD6">
        <w:t>C Electric Company</w:t>
      </w:r>
      <w:r>
        <w:t xml:space="preserve">, </w:t>
      </w:r>
      <w:r w:rsidRPr="005F6CD6">
        <w:t>Submis</w:t>
      </w:r>
      <w:r>
        <w:t>sion to STPIS issues paper, p. 8.</w:t>
      </w:r>
    </w:p>
  </w:footnote>
  <w:footnote w:id="31">
    <w:p w:rsidR="00517AF0" w:rsidRDefault="00517AF0" w:rsidP="009D4832">
      <w:pPr>
        <w:pStyle w:val="FootnoteText"/>
        <w:spacing w:after="120"/>
      </w:pPr>
      <w:r>
        <w:rPr>
          <w:rStyle w:val="FootnoteReference"/>
        </w:rPr>
        <w:footnoteRef/>
      </w:r>
      <w:r>
        <w:t xml:space="preserve"> </w:t>
      </w:r>
      <w:r>
        <w:tab/>
      </w:r>
      <w:proofErr w:type="spellStart"/>
      <w:r>
        <w:t>Ausgrid</w:t>
      </w:r>
      <w:proofErr w:type="spellEnd"/>
      <w:r>
        <w:t xml:space="preserve">, Submission to STPIS issues paper, p. 14; </w:t>
      </w:r>
      <w:r w:rsidRPr="00C052F0">
        <w:t>Energy Networks Australia</w:t>
      </w:r>
      <w:r>
        <w:t xml:space="preserve">, </w:t>
      </w:r>
      <w:r w:rsidRPr="00C052F0">
        <w:t>Submission to STPIS issues paper, p. 1</w:t>
      </w:r>
      <w:r>
        <w:t>5</w:t>
      </w:r>
      <w:r w:rsidRPr="00C052F0">
        <w:t>;</w:t>
      </w:r>
      <w:r w:rsidRPr="007F644A">
        <w:t xml:space="preserve"> </w:t>
      </w:r>
      <w:r>
        <w:t>Energex</w:t>
      </w:r>
      <w:r w:rsidRPr="007F644A">
        <w:t>, Submission to STPIS issues paper, p. 1</w:t>
      </w:r>
      <w:r>
        <w:t>0.</w:t>
      </w:r>
    </w:p>
  </w:footnote>
  <w:footnote w:id="32">
    <w:p w:rsidR="00517AF0" w:rsidRDefault="00517AF0" w:rsidP="009D4832">
      <w:pPr>
        <w:pStyle w:val="FootnoteText"/>
        <w:spacing w:after="120"/>
      </w:pPr>
      <w:r>
        <w:rPr>
          <w:rStyle w:val="FootnoteReference"/>
        </w:rPr>
        <w:footnoteRef/>
      </w:r>
      <w:r>
        <w:t xml:space="preserve"> </w:t>
      </w:r>
      <w:r>
        <w:tab/>
      </w:r>
      <w:r w:rsidRPr="00C052F0">
        <w:t>Energy Networks Australia</w:t>
      </w:r>
      <w:r>
        <w:t xml:space="preserve">, </w:t>
      </w:r>
      <w:r w:rsidRPr="00C052F0">
        <w:t>Submission to STPIS issues paper, p. 1</w:t>
      </w:r>
      <w:r>
        <w:t>5</w:t>
      </w:r>
      <w:r w:rsidRPr="00C052F0">
        <w:t>;</w:t>
      </w:r>
      <w:r w:rsidRPr="007F644A">
        <w:t xml:space="preserve"> Endeavour Energy, Submiss</w:t>
      </w:r>
      <w:r>
        <w:t>ion to STPIS issues paper, p. 5.</w:t>
      </w:r>
    </w:p>
  </w:footnote>
  <w:footnote w:id="33">
    <w:p w:rsidR="00517AF0" w:rsidRDefault="00517AF0" w:rsidP="009D4832">
      <w:pPr>
        <w:pStyle w:val="FootnoteText"/>
        <w:spacing w:after="120"/>
      </w:pPr>
      <w:r>
        <w:rPr>
          <w:rStyle w:val="FootnoteReference"/>
        </w:rPr>
        <w:footnoteRef/>
      </w:r>
      <w:r>
        <w:t xml:space="preserve"> </w:t>
      </w:r>
      <w:r>
        <w:tab/>
      </w:r>
      <w:r w:rsidRPr="00C052F0">
        <w:t>Energy Networks Australia</w:t>
      </w:r>
      <w:r>
        <w:t xml:space="preserve">, </w:t>
      </w:r>
      <w:r w:rsidRPr="00C052F0">
        <w:t>Submission to STPIS issues paper, p. 1</w:t>
      </w:r>
      <w:r>
        <w:t>5.</w:t>
      </w:r>
      <w:r w:rsidRPr="007F644A">
        <w:t xml:space="preserve"> </w:t>
      </w:r>
    </w:p>
  </w:footnote>
  <w:footnote w:id="34">
    <w:p w:rsidR="00517AF0" w:rsidRDefault="00517AF0" w:rsidP="009D4832">
      <w:pPr>
        <w:pStyle w:val="FootnoteText"/>
        <w:spacing w:after="120"/>
      </w:pPr>
      <w:r>
        <w:rPr>
          <w:rStyle w:val="FootnoteReference"/>
        </w:rPr>
        <w:footnoteRef/>
      </w:r>
      <w:r>
        <w:t xml:space="preserve"> </w:t>
      </w:r>
      <w:r>
        <w:tab/>
      </w:r>
      <w:proofErr w:type="gramStart"/>
      <w:r>
        <w:t>NER,</w:t>
      </w:r>
      <w:r w:rsidRPr="00FC1A3E">
        <w:t xml:space="preserve"> </w:t>
      </w:r>
      <w:r>
        <w:t xml:space="preserve">cl. </w:t>
      </w:r>
      <w:r w:rsidRPr="00FC1A3E">
        <w:t>6.5.6 and 6.5.7.</w:t>
      </w:r>
      <w:proofErr w:type="gramEnd"/>
    </w:p>
  </w:footnote>
  <w:footnote w:id="35">
    <w:p w:rsidR="00517AF0" w:rsidRDefault="00517AF0" w:rsidP="009D4832">
      <w:pPr>
        <w:pStyle w:val="FootnoteText"/>
        <w:spacing w:after="120"/>
      </w:pPr>
      <w:r>
        <w:rPr>
          <w:rStyle w:val="FootnoteReference"/>
        </w:rPr>
        <w:footnoteRef/>
      </w:r>
      <w:r>
        <w:t xml:space="preserve"> </w:t>
      </w:r>
      <w:r>
        <w:tab/>
        <w:t>NER, cl. 6.6.2(b</w:t>
      </w:r>
      <w:proofErr w:type="gramStart"/>
      <w:r>
        <w:t>)(</w:t>
      </w:r>
      <w:proofErr w:type="gramEnd"/>
      <w:r>
        <w:t xml:space="preserve">3)(vi). </w:t>
      </w:r>
    </w:p>
  </w:footnote>
  <w:footnote w:id="36">
    <w:p w:rsidR="00517AF0" w:rsidRDefault="00517AF0" w:rsidP="009D4832">
      <w:pPr>
        <w:pStyle w:val="FootnoteText"/>
        <w:spacing w:after="120"/>
      </w:pPr>
      <w:r>
        <w:rPr>
          <w:rStyle w:val="FootnoteReference"/>
        </w:rPr>
        <w:footnoteRef/>
      </w:r>
      <w:r>
        <w:t xml:space="preserve"> </w:t>
      </w:r>
      <w:r>
        <w:tab/>
      </w:r>
      <w:proofErr w:type="gramStart"/>
      <w:r>
        <w:t>Clause 3.2.1(a), STPIS.</w:t>
      </w:r>
      <w:proofErr w:type="gramEnd"/>
      <w:r>
        <w:t xml:space="preserve"> </w:t>
      </w:r>
    </w:p>
  </w:footnote>
  <w:footnote w:id="37">
    <w:p w:rsidR="00517AF0" w:rsidRDefault="00517AF0">
      <w:pPr>
        <w:pStyle w:val="FootnoteText"/>
      </w:pPr>
      <w:r>
        <w:rPr>
          <w:rStyle w:val="FootnoteReference"/>
        </w:rPr>
        <w:footnoteRef/>
      </w:r>
      <w:r>
        <w:t xml:space="preserve"> </w:t>
      </w:r>
      <w:r>
        <w:tab/>
      </w:r>
      <w:proofErr w:type="gramStart"/>
      <w:r>
        <w:t xml:space="preserve">AER, </w:t>
      </w:r>
      <w:r w:rsidRPr="003F54D7">
        <w:t>Explanatory statement</w:t>
      </w:r>
      <w:r>
        <w:t xml:space="preserve"> - </w:t>
      </w:r>
      <w:r w:rsidRPr="003F54D7">
        <w:t>Draft demand management incentive scheme</w:t>
      </w:r>
      <w:r>
        <w:t>, August 2017, p. 55.</w:t>
      </w:r>
      <w:proofErr w:type="gramEnd"/>
      <w:r>
        <w:t xml:space="preserve"> </w:t>
      </w:r>
    </w:p>
  </w:footnote>
  <w:footnote w:id="38">
    <w:p w:rsidR="00517AF0" w:rsidRDefault="00517AF0">
      <w:pPr>
        <w:pStyle w:val="FootnoteText"/>
      </w:pPr>
      <w:r>
        <w:rPr>
          <w:rStyle w:val="FootnoteReference"/>
        </w:rPr>
        <w:footnoteRef/>
      </w:r>
      <w:r>
        <w:t xml:space="preserve"> </w:t>
      </w:r>
      <w:r>
        <w:tab/>
      </w:r>
      <w:r w:rsidRPr="00BE5806">
        <w:t>A distributor’s performance in the last two regulatory years of its regulatory control period will affect its revenues in the first two regulatory years of the next regulatory control period. Since the s-factor is</w:t>
      </w:r>
      <w:r>
        <w:t xml:space="preserve"> currently</w:t>
      </w:r>
      <w:r w:rsidRPr="00BE5806">
        <w:t xml:space="preserve"> expressed in percentage terms of the average revenue requirement (ARR), it is necessary to account for any step change in revenues (or prices) from one regulatory control period to the next. This process is described in formula (6) of Appendix C of the </w:t>
      </w:r>
      <w:r>
        <w:t xml:space="preserve">current version of the </w:t>
      </w:r>
      <w:r w:rsidRPr="00BE5806">
        <w:t>STPIS.</w:t>
      </w:r>
    </w:p>
  </w:footnote>
  <w:footnote w:id="39">
    <w:p w:rsidR="00517AF0" w:rsidRDefault="00517AF0" w:rsidP="009D4832">
      <w:pPr>
        <w:pStyle w:val="FootnoteText"/>
        <w:spacing w:after="120"/>
      </w:pPr>
      <w:r>
        <w:rPr>
          <w:rStyle w:val="FootnoteReference"/>
        </w:rPr>
        <w:footnoteRef/>
      </w:r>
      <w:r>
        <w:t xml:space="preserve"> </w:t>
      </w:r>
      <w:r>
        <w:tab/>
      </w:r>
      <w:proofErr w:type="spellStart"/>
      <w:r>
        <w:t>Ausgrid</w:t>
      </w:r>
      <w:proofErr w:type="spellEnd"/>
      <w:r>
        <w:t>, Submissions to AER's issues paper, p. 15;</w:t>
      </w:r>
      <w:r w:rsidRPr="008330B2">
        <w:t xml:space="preserve"> </w:t>
      </w:r>
      <w:r>
        <w:t>Endeavour, Submissions to AER's issues paper, p. 5;</w:t>
      </w:r>
      <w:r w:rsidRPr="00B63327">
        <w:t xml:space="preserve"> </w:t>
      </w:r>
      <w:r>
        <w:t>Essential Energy, Submissions to AER's issues paper, p. 6;</w:t>
      </w:r>
      <w:r w:rsidRPr="008330B2">
        <w:t xml:space="preserve"> </w:t>
      </w:r>
      <w:r>
        <w:t xml:space="preserve">Energex, Submissions to AER's issues paper, p. 10; </w:t>
      </w:r>
      <w:r w:rsidRPr="003A58C2">
        <w:t>SA Power Networks, Submissi</w:t>
      </w:r>
      <w:r>
        <w:t>ons to AER's issues paper, p. 14</w:t>
      </w:r>
      <w:r w:rsidRPr="003A58C2">
        <w:t xml:space="preserve">. </w:t>
      </w:r>
      <w:r>
        <w:t xml:space="preserve">            </w:t>
      </w:r>
      <w:r w:rsidRPr="003A58C2">
        <w:t xml:space="preserve">      </w:t>
      </w:r>
    </w:p>
  </w:footnote>
  <w:footnote w:id="40">
    <w:p w:rsidR="00517AF0" w:rsidRDefault="00517AF0" w:rsidP="009D4832">
      <w:pPr>
        <w:pStyle w:val="FootnoteText"/>
        <w:spacing w:after="120"/>
      </w:pPr>
      <w:r>
        <w:rPr>
          <w:rStyle w:val="FootnoteReference"/>
        </w:rPr>
        <w:footnoteRef/>
      </w:r>
      <w:r>
        <w:t xml:space="preserve"> </w:t>
      </w:r>
      <w:r>
        <w:tab/>
        <w:t xml:space="preserve">ENA, </w:t>
      </w:r>
      <w:r w:rsidRPr="003A58C2">
        <w:t xml:space="preserve">Submissions to AER's issues paper, p. </w:t>
      </w:r>
      <w:r>
        <w:t xml:space="preserve">16; Ergon Energy, Submissions to AER's issues paper, p. 10.                    </w:t>
      </w:r>
    </w:p>
  </w:footnote>
  <w:footnote w:id="41">
    <w:p w:rsidR="00517AF0" w:rsidRDefault="00517AF0" w:rsidP="009D4832">
      <w:pPr>
        <w:pStyle w:val="FootnoteText"/>
        <w:spacing w:after="120"/>
      </w:pPr>
      <w:r>
        <w:rPr>
          <w:rStyle w:val="FootnoteReference"/>
        </w:rPr>
        <w:footnoteRef/>
      </w:r>
      <w:r>
        <w:t xml:space="preserve"> </w:t>
      </w:r>
      <w:r>
        <w:tab/>
        <w:t xml:space="preserve">Jemena, Submissions to AER's issues paper, p. 13.                    </w:t>
      </w:r>
    </w:p>
  </w:footnote>
  <w:footnote w:id="42">
    <w:p w:rsidR="00517AF0" w:rsidRDefault="00517AF0" w:rsidP="009D4832">
      <w:pPr>
        <w:pStyle w:val="FootnoteText"/>
        <w:spacing w:after="120"/>
      </w:pPr>
      <w:r>
        <w:rPr>
          <w:rStyle w:val="FootnoteReference"/>
        </w:rPr>
        <w:footnoteRef/>
      </w:r>
      <w:r>
        <w:t xml:space="preserve"> </w:t>
      </w:r>
      <w:r>
        <w:tab/>
      </w:r>
      <w:proofErr w:type="spellStart"/>
      <w:r w:rsidRPr="00BC3026">
        <w:t>TasNetworks</w:t>
      </w:r>
      <w:proofErr w:type="spellEnd"/>
      <w:r>
        <w:t xml:space="preserve">, Submissions to AER's issues paper, p. 3.                    </w:t>
      </w:r>
    </w:p>
  </w:footnote>
  <w:footnote w:id="43">
    <w:p w:rsidR="00517AF0" w:rsidRDefault="00517AF0">
      <w:pPr>
        <w:pStyle w:val="FootnoteText"/>
      </w:pPr>
      <w:r>
        <w:rPr>
          <w:rStyle w:val="FootnoteReference"/>
        </w:rPr>
        <w:footnoteRef/>
      </w:r>
      <w:r>
        <w:t xml:space="preserve"> </w:t>
      </w:r>
      <w:r>
        <w:tab/>
        <w:t xml:space="preserve">AER, AER </w:t>
      </w:r>
      <w:r w:rsidRPr="00732D79">
        <w:t>STPIS and DMRG issues paper</w:t>
      </w:r>
      <w:r>
        <w:t>,</w:t>
      </w:r>
      <w:r w:rsidRPr="00732D79">
        <w:t xml:space="preserve"> </w:t>
      </w:r>
      <w:r>
        <w:t xml:space="preserve">pp. 39-42. </w:t>
      </w:r>
    </w:p>
  </w:footnote>
  <w:footnote w:id="44">
    <w:p w:rsidR="00517AF0" w:rsidRDefault="00517AF0" w:rsidP="00765BDF">
      <w:pPr>
        <w:pStyle w:val="FootnoteText"/>
        <w:spacing w:after="120"/>
      </w:pPr>
      <w:r>
        <w:rPr>
          <w:rStyle w:val="FootnoteReference"/>
        </w:rPr>
        <w:footnoteRef/>
      </w:r>
      <w:r>
        <w:t xml:space="preserve"> </w:t>
      </w:r>
      <w:r>
        <w:tab/>
      </w:r>
      <w:proofErr w:type="spellStart"/>
      <w:r>
        <w:t>Ausgrid</w:t>
      </w:r>
      <w:proofErr w:type="spellEnd"/>
      <w:r>
        <w:t xml:space="preserve">, </w:t>
      </w:r>
      <w:r w:rsidRPr="002F6A38">
        <w:t xml:space="preserve">Submission to </w:t>
      </w:r>
      <w:r>
        <w:t>STPIS and DMRG</w:t>
      </w:r>
      <w:r w:rsidRPr="002F6A38">
        <w:t xml:space="preserve"> issues paper,</w:t>
      </w:r>
      <w:r>
        <w:t xml:space="preserve"> p. 18; CitiPower and </w:t>
      </w:r>
      <w:proofErr w:type="spellStart"/>
      <w:r>
        <w:t>Powercor</w:t>
      </w:r>
      <w:proofErr w:type="spellEnd"/>
      <w:r>
        <w:t xml:space="preserve">, </w:t>
      </w:r>
      <w:r w:rsidRPr="002F6A38">
        <w:t xml:space="preserve">Submission to </w:t>
      </w:r>
      <w:r>
        <w:t>STPIS and DMRG</w:t>
      </w:r>
      <w:r w:rsidRPr="002F6A38">
        <w:t xml:space="preserve"> issues paper,</w:t>
      </w:r>
      <w:r w:rsidRPr="00AC57DB">
        <w:t xml:space="preserve"> p.</w:t>
      </w:r>
      <w:r>
        <w:t xml:space="preserve"> 8;</w:t>
      </w:r>
      <w:r w:rsidRPr="00AC57DB">
        <w:t xml:space="preserve">  </w:t>
      </w:r>
      <w:r>
        <w:t xml:space="preserve">ENA, </w:t>
      </w:r>
      <w:r w:rsidRPr="002F6A38">
        <w:t xml:space="preserve">Submission to </w:t>
      </w:r>
      <w:r>
        <w:t>STPIS and DMRG</w:t>
      </w:r>
      <w:r w:rsidRPr="002F6A38">
        <w:t xml:space="preserve"> issues paper,</w:t>
      </w:r>
      <w:r w:rsidRPr="00AC57DB">
        <w:t xml:space="preserve"> p</w:t>
      </w:r>
      <w:r>
        <w:t>. 14;</w:t>
      </w:r>
      <w:r w:rsidRPr="00AC57DB">
        <w:t xml:space="preserve"> </w:t>
      </w:r>
      <w:r>
        <w:t xml:space="preserve">Endeavour Energy, </w:t>
      </w:r>
      <w:r w:rsidRPr="002F6A38">
        <w:t xml:space="preserve">Submission to </w:t>
      </w:r>
      <w:r>
        <w:t>STPIS and DMRG</w:t>
      </w:r>
      <w:r w:rsidRPr="002F6A38">
        <w:t xml:space="preserve"> issues paper,</w:t>
      </w:r>
      <w:r w:rsidRPr="00AC57DB">
        <w:t xml:space="preserve"> p. </w:t>
      </w:r>
      <w:r>
        <w:t xml:space="preserve">5; Energex, </w:t>
      </w:r>
      <w:r w:rsidRPr="002F6A38">
        <w:t xml:space="preserve">Submission to </w:t>
      </w:r>
      <w:r>
        <w:t>STPIS and DMRG</w:t>
      </w:r>
      <w:r w:rsidRPr="002F6A38">
        <w:t xml:space="preserve"> issues paper,</w:t>
      </w:r>
      <w:r w:rsidRPr="00AC57DB">
        <w:t xml:space="preserve"> p. </w:t>
      </w:r>
      <w:r>
        <w:t xml:space="preserve">10; Ergon Energy, </w:t>
      </w:r>
      <w:r w:rsidRPr="002F6A38">
        <w:t xml:space="preserve">Submission to </w:t>
      </w:r>
      <w:r>
        <w:t>STPIS and DMRG</w:t>
      </w:r>
      <w:r w:rsidRPr="002F6A38">
        <w:t xml:space="preserve"> issues paper,</w:t>
      </w:r>
      <w:r w:rsidRPr="00AC57DB">
        <w:t xml:space="preserve"> p. </w:t>
      </w:r>
      <w:r>
        <w:t>9; Essential</w:t>
      </w:r>
      <w:r w:rsidRPr="005F6CD6">
        <w:t xml:space="preserve"> Energy, Submission to </w:t>
      </w:r>
      <w:r>
        <w:t>STPIS and DMRG</w:t>
      </w:r>
      <w:r w:rsidRPr="005F6CD6">
        <w:t xml:space="preserve"> issues paper, p. </w:t>
      </w:r>
      <w:r>
        <w:t>5</w:t>
      </w:r>
      <w:r w:rsidRPr="005F6CD6">
        <w:t>;</w:t>
      </w:r>
      <w:r>
        <w:t xml:space="preserve"> Jemena, </w:t>
      </w:r>
      <w:r w:rsidRPr="002F6A38">
        <w:t xml:space="preserve">Submission to </w:t>
      </w:r>
      <w:r>
        <w:t>STPIS and DMRG</w:t>
      </w:r>
      <w:r w:rsidRPr="002F6A38">
        <w:t xml:space="preserve"> issues paper,</w:t>
      </w:r>
      <w:r w:rsidRPr="00AC57DB">
        <w:t xml:space="preserve"> p. </w:t>
      </w:r>
      <w:r>
        <w:t xml:space="preserve">12; </w:t>
      </w:r>
      <w:r w:rsidRPr="005F6CD6">
        <w:t xml:space="preserve"> </w:t>
      </w:r>
      <w:r>
        <w:t>SA Power Networks</w:t>
      </w:r>
      <w:r w:rsidRPr="005F6CD6">
        <w:t>, Submis</w:t>
      </w:r>
      <w:r>
        <w:t xml:space="preserve">sion to STPIS and DMRG issues paper, p. 13.  </w:t>
      </w:r>
    </w:p>
  </w:footnote>
  <w:footnote w:id="45">
    <w:p w:rsidR="00517AF0" w:rsidRDefault="00517AF0" w:rsidP="009D4832">
      <w:pPr>
        <w:pStyle w:val="FootnoteText"/>
        <w:spacing w:after="120"/>
      </w:pPr>
      <w:r>
        <w:rPr>
          <w:rStyle w:val="FootnoteReference"/>
        </w:rPr>
        <w:footnoteRef/>
      </w:r>
      <w:r>
        <w:t xml:space="preserve"> </w:t>
      </w:r>
      <w:r>
        <w:tab/>
      </w:r>
      <w:proofErr w:type="spellStart"/>
      <w:proofErr w:type="gramStart"/>
      <w:r>
        <w:t>Ausgrid</w:t>
      </w:r>
      <w:proofErr w:type="spellEnd"/>
      <w:r>
        <w:t xml:space="preserve">, </w:t>
      </w:r>
      <w:r>
        <w:rPr>
          <w:rStyle w:val="Emphasis"/>
        </w:rPr>
        <w:t>Submission on AER's preliminary framework and approach paper</w:t>
      </w:r>
      <w:r>
        <w:t>, 27 April 2017, pp. 115–16.</w:t>
      </w:r>
      <w:proofErr w:type="gramEnd"/>
    </w:p>
  </w:footnote>
  <w:footnote w:id="46">
    <w:p w:rsidR="00517AF0" w:rsidRPr="00B36B2C" w:rsidRDefault="00517AF0" w:rsidP="00F82A2C">
      <w:pPr>
        <w:pStyle w:val="FootnoteText"/>
        <w:spacing w:line="240" w:lineRule="auto"/>
      </w:pPr>
      <w:r>
        <w:rPr>
          <w:rStyle w:val="FootnoteReference"/>
        </w:rPr>
        <w:footnoteRef/>
      </w:r>
      <w:r>
        <w:t xml:space="preserve"> </w:t>
      </w:r>
      <w:r>
        <w:tab/>
      </w:r>
      <w:r w:rsidRPr="00B36B2C">
        <w:t xml:space="preserve">Notes: </w:t>
      </w:r>
    </w:p>
    <w:p w:rsidR="00517AF0" w:rsidRPr="00B36B2C" w:rsidRDefault="00517AF0" w:rsidP="00F82A2C">
      <w:pPr>
        <w:pStyle w:val="FootnoteText"/>
        <w:spacing w:line="240" w:lineRule="auto"/>
      </w:pPr>
      <w:r w:rsidRPr="00B36B2C">
        <w:tab/>
        <w:t>We have not yet had the results from NSW/ACT distributors.</w:t>
      </w:r>
    </w:p>
    <w:p w:rsidR="00517AF0" w:rsidRDefault="00517AF0" w:rsidP="00F82A2C">
      <w:pPr>
        <w:pStyle w:val="FootnoteText"/>
        <w:spacing w:line="240" w:lineRule="auto"/>
      </w:pPr>
      <w:r w:rsidRPr="00B36B2C">
        <w:tab/>
        <w:t xml:space="preserve">Historical performance results for </w:t>
      </w:r>
      <w:proofErr w:type="spellStart"/>
      <w:r w:rsidRPr="00B36B2C">
        <w:t>TasNetworks</w:t>
      </w:r>
      <w:proofErr w:type="spellEnd"/>
      <w:r w:rsidRPr="00B36B2C">
        <w:t xml:space="preserve"> are not included in this analysis because its STPIS measures were on per kVA capacity base instead of the STPIS scheme standard of per customer base.</w:t>
      </w:r>
    </w:p>
  </w:footnote>
  <w:footnote w:id="47">
    <w:p w:rsidR="00517AF0" w:rsidRPr="00E14B35" w:rsidRDefault="00517AF0" w:rsidP="00F82A2C">
      <w:pPr>
        <w:pStyle w:val="FootnoteText"/>
        <w:spacing w:after="120"/>
      </w:pPr>
      <w:r>
        <w:rPr>
          <w:rStyle w:val="FootnoteReference"/>
        </w:rPr>
        <w:footnoteRef/>
      </w:r>
      <w:r>
        <w:t xml:space="preserve"> </w:t>
      </w:r>
      <w:r>
        <w:tab/>
      </w:r>
      <w:r w:rsidRPr="00E14B35">
        <w:t xml:space="preserve">Notes: </w:t>
      </w:r>
    </w:p>
    <w:p w:rsidR="00517AF0" w:rsidRPr="00E14B35" w:rsidRDefault="00517AF0" w:rsidP="00F82A2C">
      <w:pPr>
        <w:pStyle w:val="FootnoteText"/>
        <w:spacing w:after="120"/>
      </w:pPr>
      <w:r w:rsidRPr="00E14B35">
        <w:t>•</w:t>
      </w:r>
      <w:r w:rsidRPr="00E14B35">
        <w:tab/>
        <w:t>SAIDI and SAIFI overall charts are normalised by scaling different network type performance by the relevant incentive rates so that the charts are reflective of the s-factor impacts of these measures.</w:t>
      </w:r>
    </w:p>
    <w:p w:rsidR="00517AF0" w:rsidRPr="00E14B35" w:rsidRDefault="00517AF0" w:rsidP="00F82A2C">
      <w:pPr>
        <w:pStyle w:val="FootnoteText"/>
        <w:spacing w:after="120"/>
      </w:pPr>
      <w:r w:rsidRPr="00E14B35">
        <w:t>•</w:t>
      </w:r>
      <w:r w:rsidRPr="00E14B35">
        <w:tab/>
        <w:t>The MAIFI and call centre performances (both have effect on the s-factor) not shown on the charts.</w:t>
      </w:r>
    </w:p>
    <w:p w:rsidR="00517AF0" w:rsidRPr="00E14B35" w:rsidRDefault="00517AF0" w:rsidP="00F82A2C">
      <w:pPr>
        <w:pStyle w:val="FootnoteText"/>
        <w:spacing w:after="120"/>
      </w:pPr>
      <w:r w:rsidRPr="00E14B35">
        <w:t>•</w:t>
      </w:r>
      <w:r w:rsidRPr="00E14B35">
        <w:tab/>
        <w:t>Charts show improvement from targets (improvements are shown as above the base line).</w:t>
      </w:r>
    </w:p>
    <w:p w:rsidR="00517AF0" w:rsidRDefault="00517AF0" w:rsidP="00F82A2C">
      <w:pPr>
        <w:pStyle w:val="FootnoteText"/>
        <w:spacing w:after="120"/>
      </w:pPr>
      <w:r w:rsidRPr="00E14B35">
        <w:t>•</w:t>
      </w:r>
      <w:r w:rsidRPr="00E14B35">
        <w:tab/>
        <w:t>The s factor outcomes are scaled up by a factor of 10 for easy presentation.</w:t>
      </w:r>
    </w:p>
    <w:p w:rsidR="00517AF0" w:rsidRDefault="00517AF0" w:rsidP="00F82A2C">
      <w:pPr>
        <w:pStyle w:val="FootnoteText"/>
        <w:spacing w:after="120"/>
      </w:pPr>
    </w:p>
  </w:footnote>
  <w:footnote w:id="48">
    <w:p w:rsidR="00517AF0" w:rsidRDefault="00517AF0" w:rsidP="00F82A2C">
      <w:pPr>
        <w:pStyle w:val="FootnoteText"/>
        <w:spacing w:after="120"/>
      </w:pPr>
      <w:r>
        <w:rPr>
          <w:rStyle w:val="FootnoteReference"/>
        </w:rPr>
        <w:footnoteRef/>
      </w:r>
      <w:r>
        <w:t xml:space="preserve"> </w:t>
      </w:r>
      <w:r>
        <w:tab/>
      </w:r>
      <w:proofErr w:type="gramStart"/>
      <w:r>
        <w:t xml:space="preserve">Historical performance for </w:t>
      </w:r>
      <w:proofErr w:type="spellStart"/>
      <w:r>
        <w:t>TasNetworks</w:t>
      </w:r>
      <w:proofErr w:type="spellEnd"/>
      <w:r>
        <w:t xml:space="preserve"> not shown because its STPIS measures were on per kVA capacity base instead of the STPIS scheme standard of per customer base.</w:t>
      </w:r>
      <w:proofErr w:type="gramEnd"/>
    </w:p>
  </w:footnote>
  <w:footnote w:id="49">
    <w:p w:rsidR="00517AF0" w:rsidRDefault="00517AF0" w:rsidP="003C7C3D">
      <w:pPr>
        <w:pStyle w:val="FootnoteText"/>
      </w:pPr>
      <w:r>
        <w:rPr>
          <w:rStyle w:val="FootnoteReference"/>
        </w:rPr>
        <w:footnoteRef/>
      </w:r>
      <w:r>
        <w:t xml:space="preserve"> </w:t>
      </w:r>
      <w:r>
        <w:tab/>
      </w:r>
      <w:r w:rsidRPr="002972DB">
        <w:t>The meaning for year “t” under the price control formula is different to that in Appendix C of STPIS. Year “t+1” in Appendix</w:t>
      </w:r>
      <w:r>
        <w:t> </w:t>
      </w:r>
      <w:r w:rsidRPr="002972DB">
        <w:t>C of STPIS is equivalent to year “t” in the price control formula of this decision.</w:t>
      </w:r>
    </w:p>
  </w:footnote>
  <w:footnote w:id="50">
    <w:p w:rsidR="00517AF0" w:rsidRDefault="00517AF0" w:rsidP="003C7C3D">
      <w:pPr>
        <w:pStyle w:val="FootnoteText"/>
      </w:pPr>
      <w:r>
        <w:rPr>
          <w:rStyle w:val="FootnoteReference"/>
        </w:rPr>
        <w:footnoteRef/>
      </w:r>
      <w:r>
        <w:t xml:space="preserve"> </w:t>
      </w:r>
      <w:r>
        <w:tab/>
      </w:r>
      <w:r w:rsidRPr="002972DB">
        <w:t>The meaning for year “t” under the price control formula is different to that in Appendix C of STPIS. Year “t+1” in Appendix</w:t>
      </w:r>
      <w:r>
        <w:t> </w:t>
      </w:r>
      <w:r w:rsidRPr="002972DB">
        <w:t>C of STPIS is equivalent to year “t” in the price control formula of this decision.</w:t>
      </w:r>
    </w:p>
  </w:footnote>
  <w:footnote w:id="51">
    <w:p w:rsidR="00517AF0" w:rsidRDefault="00517AF0" w:rsidP="003C7C3D">
      <w:pPr>
        <w:pStyle w:val="FootnoteText"/>
      </w:pPr>
      <w:r>
        <w:rPr>
          <w:rStyle w:val="FootnoteReference"/>
        </w:rPr>
        <w:footnoteRef/>
      </w:r>
      <w:r>
        <w:t xml:space="preserve"> </w:t>
      </w:r>
      <w:r>
        <w:tab/>
      </w:r>
      <w:proofErr w:type="gramStart"/>
      <w:r>
        <w:t xml:space="preserve">AER, </w:t>
      </w:r>
      <w:r w:rsidRPr="00160B70">
        <w:rPr>
          <w:rStyle w:val="Emphasis"/>
        </w:rPr>
        <w:t>Electricity distribution network service providers - service target performance incentive scheme</w:t>
      </w:r>
      <w:r>
        <w:t>, 1 </w:t>
      </w:r>
      <w:r w:rsidRPr="000F2888">
        <w:t>November</w:t>
      </w:r>
      <w:r>
        <w:t> </w:t>
      </w:r>
      <w:r w:rsidRPr="000F2888">
        <w:t>2009</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F0" w:rsidRDefault="000D00A9">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8"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517AF0">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A9" w:rsidRDefault="000D00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F0" w:rsidRDefault="000D00A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7"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E7E82B64"/>
    <w:lvl w:ilvl="0">
      <w:start w:val="1"/>
      <w:numFmt w:val="decimal"/>
      <w:pStyle w:val="ListNumber"/>
      <w:lvlText w:val="%1."/>
      <w:lvlJc w:val="left"/>
      <w:pPr>
        <w:tabs>
          <w:tab w:val="num" w:pos="360"/>
        </w:tabs>
        <w:ind w:left="360" w:hanging="360"/>
      </w:pPr>
    </w:lvl>
  </w:abstractNum>
  <w:abstractNum w:abstractNumId="9">
    <w:nsid w:val="009871B5"/>
    <w:multiLevelType w:val="hybridMultilevel"/>
    <w:tmpl w:val="DC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91EC8344"/>
    <w:lvl w:ilvl="0" w:tplc="B838AF38">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DFC8AA6C"/>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BD7C25"/>
    <w:multiLevelType w:val="hybridMultilevel"/>
    <w:tmpl w:val="BF20C3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E45C00"/>
    <w:multiLevelType w:val="hybridMultilevel"/>
    <w:tmpl w:val="45B241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2955B6"/>
    <w:multiLevelType w:val="hybridMultilevel"/>
    <w:tmpl w:val="C0586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3E3927"/>
    <w:multiLevelType w:val="hybridMultilevel"/>
    <w:tmpl w:val="B8703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BBA35B5"/>
    <w:multiLevelType w:val="hybridMultilevel"/>
    <w:tmpl w:val="444C8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ECE4384"/>
    <w:multiLevelType w:val="multilevel"/>
    <w:tmpl w:val="97681A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08D5974"/>
    <w:multiLevelType w:val="multilevel"/>
    <w:tmpl w:val="F5729946"/>
    <w:lvl w:ilvl="0">
      <w:start w:val="1"/>
      <w:numFmt w:val="bullet"/>
      <w:lvlText w:val=""/>
      <w:lvlJc w:val="left"/>
      <w:pPr>
        <w:tabs>
          <w:tab w:val="num" w:pos="357"/>
        </w:tabs>
        <w:ind w:left="357" w:hanging="357"/>
      </w:pPr>
      <w:rPr>
        <w:rFonts w:ascii="Symbol" w:hAnsi="Symbol"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2C37A67"/>
    <w:multiLevelType w:val="multilevel"/>
    <w:tmpl w:val="191CA7F0"/>
    <w:lvl w:ilvl="0">
      <w:start w:val="3"/>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9"/>
  </w:num>
  <w:num w:numId="14">
    <w:abstractNumId w:val="13"/>
  </w:num>
  <w:num w:numId="15">
    <w:abstractNumId w:val="21"/>
  </w:num>
  <w:num w:numId="16">
    <w:abstractNumId w:val="10"/>
  </w:num>
  <w:num w:numId="17">
    <w:abstractNumId w:val="15"/>
  </w:num>
  <w:num w:numId="18">
    <w:abstractNumId w:val="22"/>
  </w:num>
  <w:num w:numId="19">
    <w:abstractNumId w:val="32"/>
  </w:num>
  <w:num w:numId="20">
    <w:abstractNumId w:val="27"/>
  </w:num>
  <w:num w:numId="21">
    <w:abstractNumId w:val="23"/>
  </w:num>
  <w:num w:numId="22">
    <w:abstractNumId w:val="16"/>
  </w:num>
  <w:num w:numId="23">
    <w:abstractNumId w:val="25"/>
  </w:num>
  <w:num w:numId="24">
    <w:abstractNumId w:val="29"/>
  </w:num>
  <w:num w:numId="25">
    <w:abstractNumId w:val="18"/>
  </w:num>
  <w:num w:numId="26">
    <w:abstractNumId w:val="14"/>
  </w:num>
  <w:num w:numId="27">
    <w:abstractNumId w:val="8"/>
    <w:lvlOverride w:ilvl="0">
      <w:startOverride w:val="1"/>
    </w:lvlOverride>
  </w:num>
  <w:num w:numId="28">
    <w:abstractNumId w:val="11"/>
  </w:num>
  <w:num w:numId="29">
    <w:abstractNumId w:val="11"/>
    <w:lvlOverride w:ilvl="0">
      <w:startOverride w:val="1"/>
    </w:lvlOverride>
  </w:num>
  <w:num w:numId="30">
    <w:abstractNumId w:val="24"/>
  </w:num>
  <w:num w:numId="31">
    <w:abstractNumId w:val="34"/>
  </w:num>
  <w:num w:numId="32">
    <w:abstractNumId w:val="30"/>
  </w:num>
  <w:num w:numId="33">
    <w:abstractNumId w:val="33"/>
  </w:num>
  <w:num w:numId="34">
    <w:abstractNumId w:val="28"/>
  </w:num>
  <w:num w:numId="35">
    <w:abstractNumId w:val="9"/>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0"/>
  </w:num>
  <w:num w:numId="39">
    <w:abstractNumId w:val="26"/>
  </w:num>
  <w:num w:numId="40">
    <w:abstractNumId w:val="8"/>
    <w:lvlOverride w:ilvl="0">
      <w:startOverride w:val="1"/>
    </w:lvlOverride>
  </w:num>
  <w:num w:numId="41">
    <w:abstractNumId w:val="11"/>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ETK+Ob5P/sakdGaZ4P2c4ZOvP+0SMvYKUp5588rzW8=" w:saltValue="Ntk9G+FMoRan80gGLzxh7A==" w:algorithmName="SHA-256"/>
  <w:defaultTabStop w:val="34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PWu\aer -explanatory statement - draft service target performance incentive scheme - september 2017 (D2017-00091601).docx"/>
  </w:docVars>
  <w:rsids>
    <w:rsidRoot w:val="00961A4A"/>
    <w:rsid w:val="0000053D"/>
    <w:rsid w:val="00000BBD"/>
    <w:rsid w:val="00001273"/>
    <w:rsid w:val="00004633"/>
    <w:rsid w:val="00006FF5"/>
    <w:rsid w:val="00010286"/>
    <w:rsid w:val="00010E57"/>
    <w:rsid w:val="0001187C"/>
    <w:rsid w:val="00012EBE"/>
    <w:rsid w:val="00014861"/>
    <w:rsid w:val="00015FF3"/>
    <w:rsid w:val="00016E90"/>
    <w:rsid w:val="0001749A"/>
    <w:rsid w:val="00021202"/>
    <w:rsid w:val="00021C2B"/>
    <w:rsid w:val="0002517F"/>
    <w:rsid w:val="00025430"/>
    <w:rsid w:val="00025A83"/>
    <w:rsid w:val="00026495"/>
    <w:rsid w:val="00031716"/>
    <w:rsid w:val="00032B1A"/>
    <w:rsid w:val="000354FF"/>
    <w:rsid w:val="0003554C"/>
    <w:rsid w:val="0003578C"/>
    <w:rsid w:val="00035AB1"/>
    <w:rsid w:val="000366C6"/>
    <w:rsid w:val="000401AF"/>
    <w:rsid w:val="00041DDA"/>
    <w:rsid w:val="00045AC1"/>
    <w:rsid w:val="00051A9C"/>
    <w:rsid w:val="00051DF0"/>
    <w:rsid w:val="0005219D"/>
    <w:rsid w:val="00062628"/>
    <w:rsid w:val="00063247"/>
    <w:rsid w:val="00063A92"/>
    <w:rsid w:val="00064C24"/>
    <w:rsid w:val="000650CF"/>
    <w:rsid w:val="00065E6F"/>
    <w:rsid w:val="0006654A"/>
    <w:rsid w:val="0006773B"/>
    <w:rsid w:val="00070F9F"/>
    <w:rsid w:val="0007137B"/>
    <w:rsid w:val="00071545"/>
    <w:rsid w:val="00077397"/>
    <w:rsid w:val="000774D7"/>
    <w:rsid w:val="00080E80"/>
    <w:rsid w:val="00080EE8"/>
    <w:rsid w:val="00081F7C"/>
    <w:rsid w:val="000827F1"/>
    <w:rsid w:val="000833E5"/>
    <w:rsid w:val="00085663"/>
    <w:rsid w:val="00085906"/>
    <w:rsid w:val="00085EBF"/>
    <w:rsid w:val="00085F93"/>
    <w:rsid w:val="0008639C"/>
    <w:rsid w:val="000906A3"/>
    <w:rsid w:val="00091B15"/>
    <w:rsid w:val="00092E53"/>
    <w:rsid w:val="00093B97"/>
    <w:rsid w:val="000A1E7C"/>
    <w:rsid w:val="000A22BD"/>
    <w:rsid w:val="000A3020"/>
    <w:rsid w:val="000A3520"/>
    <w:rsid w:val="000A4F36"/>
    <w:rsid w:val="000A592A"/>
    <w:rsid w:val="000A6165"/>
    <w:rsid w:val="000A6319"/>
    <w:rsid w:val="000A6C7B"/>
    <w:rsid w:val="000A6FE8"/>
    <w:rsid w:val="000A7103"/>
    <w:rsid w:val="000A79E6"/>
    <w:rsid w:val="000B0360"/>
    <w:rsid w:val="000B15BF"/>
    <w:rsid w:val="000B492D"/>
    <w:rsid w:val="000B642A"/>
    <w:rsid w:val="000B6614"/>
    <w:rsid w:val="000B79FF"/>
    <w:rsid w:val="000C18EC"/>
    <w:rsid w:val="000C1C49"/>
    <w:rsid w:val="000C2A37"/>
    <w:rsid w:val="000C2B40"/>
    <w:rsid w:val="000C38D3"/>
    <w:rsid w:val="000C4C77"/>
    <w:rsid w:val="000C7C07"/>
    <w:rsid w:val="000D00A9"/>
    <w:rsid w:val="000D01F4"/>
    <w:rsid w:val="000D06C1"/>
    <w:rsid w:val="000D122C"/>
    <w:rsid w:val="000D3016"/>
    <w:rsid w:val="000D3203"/>
    <w:rsid w:val="000D4275"/>
    <w:rsid w:val="000D64F2"/>
    <w:rsid w:val="000D7EBB"/>
    <w:rsid w:val="000D7F32"/>
    <w:rsid w:val="000E06A7"/>
    <w:rsid w:val="000E1819"/>
    <w:rsid w:val="000E2191"/>
    <w:rsid w:val="000E23CD"/>
    <w:rsid w:val="000E4274"/>
    <w:rsid w:val="000E4821"/>
    <w:rsid w:val="000E6B80"/>
    <w:rsid w:val="000E6C72"/>
    <w:rsid w:val="000E7ED0"/>
    <w:rsid w:val="000F0A9B"/>
    <w:rsid w:val="000F0B2B"/>
    <w:rsid w:val="000F2FA7"/>
    <w:rsid w:val="000F366A"/>
    <w:rsid w:val="000F3E72"/>
    <w:rsid w:val="000F48B1"/>
    <w:rsid w:val="000F6BCE"/>
    <w:rsid w:val="000F723D"/>
    <w:rsid w:val="000F7C37"/>
    <w:rsid w:val="000F7CB9"/>
    <w:rsid w:val="00101E36"/>
    <w:rsid w:val="00102C91"/>
    <w:rsid w:val="00102DEC"/>
    <w:rsid w:val="00103A67"/>
    <w:rsid w:val="00103A6F"/>
    <w:rsid w:val="0010440D"/>
    <w:rsid w:val="001046A6"/>
    <w:rsid w:val="001056C1"/>
    <w:rsid w:val="00105E19"/>
    <w:rsid w:val="00106645"/>
    <w:rsid w:val="001105B4"/>
    <w:rsid w:val="00110872"/>
    <w:rsid w:val="00112FF6"/>
    <w:rsid w:val="001169C8"/>
    <w:rsid w:val="00116EB2"/>
    <w:rsid w:val="00117927"/>
    <w:rsid w:val="0012185D"/>
    <w:rsid w:val="00122031"/>
    <w:rsid w:val="00122B85"/>
    <w:rsid w:val="00124609"/>
    <w:rsid w:val="00126A4C"/>
    <w:rsid w:val="00127273"/>
    <w:rsid w:val="00132C48"/>
    <w:rsid w:val="00142AB6"/>
    <w:rsid w:val="001431C1"/>
    <w:rsid w:val="001432DD"/>
    <w:rsid w:val="0014463A"/>
    <w:rsid w:val="0014573B"/>
    <w:rsid w:val="00147E70"/>
    <w:rsid w:val="00155A4E"/>
    <w:rsid w:val="00155D13"/>
    <w:rsid w:val="00156DCC"/>
    <w:rsid w:val="001573E4"/>
    <w:rsid w:val="00157A02"/>
    <w:rsid w:val="00160756"/>
    <w:rsid w:val="00161423"/>
    <w:rsid w:val="00161690"/>
    <w:rsid w:val="00161B03"/>
    <w:rsid w:val="00162493"/>
    <w:rsid w:val="0016273A"/>
    <w:rsid w:val="00165FB9"/>
    <w:rsid w:val="001713D2"/>
    <w:rsid w:val="00172235"/>
    <w:rsid w:val="001722D7"/>
    <w:rsid w:val="0017232E"/>
    <w:rsid w:val="00172648"/>
    <w:rsid w:val="00174102"/>
    <w:rsid w:val="00174459"/>
    <w:rsid w:val="0017480F"/>
    <w:rsid w:val="001754EE"/>
    <w:rsid w:val="00180157"/>
    <w:rsid w:val="00182467"/>
    <w:rsid w:val="00182B2B"/>
    <w:rsid w:val="00183423"/>
    <w:rsid w:val="001850E3"/>
    <w:rsid w:val="00185A92"/>
    <w:rsid w:val="00185CB9"/>
    <w:rsid w:val="00186483"/>
    <w:rsid w:val="00186F77"/>
    <w:rsid w:val="00187DC4"/>
    <w:rsid w:val="00191A4F"/>
    <w:rsid w:val="001926A4"/>
    <w:rsid w:val="00192AD5"/>
    <w:rsid w:val="00196820"/>
    <w:rsid w:val="001975E8"/>
    <w:rsid w:val="001A0ADE"/>
    <w:rsid w:val="001A337B"/>
    <w:rsid w:val="001A584F"/>
    <w:rsid w:val="001A6648"/>
    <w:rsid w:val="001B24B8"/>
    <w:rsid w:val="001B2759"/>
    <w:rsid w:val="001B3F62"/>
    <w:rsid w:val="001B45A0"/>
    <w:rsid w:val="001B45C0"/>
    <w:rsid w:val="001B5E49"/>
    <w:rsid w:val="001B60E3"/>
    <w:rsid w:val="001B6AB5"/>
    <w:rsid w:val="001B6F2E"/>
    <w:rsid w:val="001B7D00"/>
    <w:rsid w:val="001B7D63"/>
    <w:rsid w:val="001C17E7"/>
    <w:rsid w:val="001C3A63"/>
    <w:rsid w:val="001C3DD7"/>
    <w:rsid w:val="001C4371"/>
    <w:rsid w:val="001D0232"/>
    <w:rsid w:val="001D055E"/>
    <w:rsid w:val="001D0E90"/>
    <w:rsid w:val="001D1066"/>
    <w:rsid w:val="001D1366"/>
    <w:rsid w:val="001D370E"/>
    <w:rsid w:val="001D3B8A"/>
    <w:rsid w:val="001D735E"/>
    <w:rsid w:val="001E009C"/>
    <w:rsid w:val="001E3826"/>
    <w:rsid w:val="001E5FE2"/>
    <w:rsid w:val="001F05A4"/>
    <w:rsid w:val="001F2DE8"/>
    <w:rsid w:val="001F2E11"/>
    <w:rsid w:val="001F4106"/>
    <w:rsid w:val="001F4583"/>
    <w:rsid w:val="001F492E"/>
    <w:rsid w:val="001F6DA3"/>
    <w:rsid w:val="001F706A"/>
    <w:rsid w:val="001F7606"/>
    <w:rsid w:val="002010BC"/>
    <w:rsid w:val="002016E7"/>
    <w:rsid w:val="00201F98"/>
    <w:rsid w:val="00202E03"/>
    <w:rsid w:val="00203CE8"/>
    <w:rsid w:val="00203EBE"/>
    <w:rsid w:val="0020478D"/>
    <w:rsid w:val="00204793"/>
    <w:rsid w:val="0020492C"/>
    <w:rsid w:val="00205A33"/>
    <w:rsid w:val="002102B2"/>
    <w:rsid w:val="002146AD"/>
    <w:rsid w:val="002148EC"/>
    <w:rsid w:val="00216F14"/>
    <w:rsid w:val="0021715C"/>
    <w:rsid w:val="00221420"/>
    <w:rsid w:val="002231DB"/>
    <w:rsid w:val="00223AAD"/>
    <w:rsid w:val="0022444D"/>
    <w:rsid w:val="00224DB9"/>
    <w:rsid w:val="002279EF"/>
    <w:rsid w:val="00227DCE"/>
    <w:rsid w:val="0023276C"/>
    <w:rsid w:val="00232C8F"/>
    <w:rsid w:val="00233775"/>
    <w:rsid w:val="00237BCE"/>
    <w:rsid w:val="00250DC2"/>
    <w:rsid w:val="002512C2"/>
    <w:rsid w:val="00251745"/>
    <w:rsid w:val="00251B30"/>
    <w:rsid w:val="00251E5F"/>
    <w:rsid w:val="00252F33"/>
    <w:rsid w:val="00255796"/>
    <w:rsid w:val="00256C0E"/>
    <w:rsid w:val="0026099B"/>
    <w:rsid w:val="00262129"/>
    <w:rsid w:val="00263AC0"/>
    <w:rsid w:val="00264264"/>
    <w:rsid w:val="0026772D"/>
    <w:rsid w:val="00270BC2"/>
    <w:rsid w:val="00270E02"/>
    <w:rsid w:val="002715B0"/>
    <w:rsid w:val="00274302"/>
    <w:rsid w:val="002745D5"/>
    <w:rsid w:val="00277554"/>
    <w:rsid w:val="00277A34"/>
    <w:rsid w:val="00277AE2"/>
    <w:rsid w:val="00277C0F"/>
    <w:rsid w:val="0028121F"/>
    <w:rsid w:val="00281B89"/>
    <w:rsid w:val="00286874"/>
    <w:rsid w:val="00287903"/>
    <w:rsid w:val="00290C63"/>
    <w:rsid w:val="00292103"/>
    <w:rsid w:val="00295B7B"/>
    <w:rsid w:val="00296B65"/>
    <w:rsid w:val="0029724D"/>
    <w:rsid w:val="00297C20"/>
    <w:rsid w:val="002A13A2"/>
    <w:rsid w:val="002A1EAE"/>
    <w:rsid w:val="002A2FD3"/>
    <w:rsid w:val="002A6688"/>
    <w:rsid w:val="002A7DEF"/>
    <w:rsid w:val="002B017C"/>
    <w:rsid w:val="002B1003"/>
    <w:rsid w:val="002B10BF"/>
    <w:rsid w:val="002B451D"/>
    <w:rsid w:val="002B47F5"/>
    <w:rsid w:val="002B573C"/>
    <w:rsid w:val="002B6599"/>
    <w:rsid w:val="002B65CB"/>
    <w:rsid w:val="002B6DD2"/>
    <w:rsid w:val="002B7E04"/>
    <w:rsid w:val="002C0F63"/>
    <w:rsid w:val="002C233C"/>
    <w:rsid w:val="002D017A"/>
    <w:rsid w:val="002D2243"/>
    <w:rsid w:val="002D2253"/>
    <w:rsid w:val="002D72E8"/>
    <w:rsid w:val="002E106F"/>
    <w:rsid w:val="002E2346"/>
    <w:rsid w:val="002E2847"/>
    <w:rsid w:val="002E6B07"/>
    <w:rsid w:val="002E7B22"/>
    <w:rsid w:val="002F0ABD"/>
    <w:rsid w:val="002F1DCD"/>
    <w:rsid w:val="002F2D53"/>
    <w:rsid w:val="002F6A38"/>
    <w:rsid w:val="002F7222"/>
    <w:rsid w:val="002F7986"/>
    <w:rsid w:val="00301B40"/>
    <w:rsid w:val="00301F1F"/>
    <w:rsid w:val="003029A5"/>
    <w:rsid w:val="003029EE"/>
    <w:rsid w:val="00302CDC"/>
    <w:rsid w:val="0030370B"/>
    <w:rsid w:val="00305CC8"/>
    <w:rsid w:val="00306890"/>
    <w:rsid w:val="003068A6"/>
    <w:rsid w:val="00306DB2"/>
    <w:rsid w:val="00307F6D"/>
    <w:rsid w:val="00311FD9"/>
    <w:rsid w:val="00312460"/>
    <w:rsid w:val="003130C9"/>
    <w:rsid w:val="00315073"/>
    <w:rsid w:val="003177A2"/>
    <w:rsid w:val="00320869"/>
    <w:rsid w:val="00322FA6"/>
    <w:rsid w:val="00326B1D"/>
    <w:rsid w:val="003271B5"/>
    <w:rsid w:val="00327532"/>
    <w:rsid w:val="00327A1E"/>
    <w:rsid w:val="00330609"/>
    <w:rsid w:val="00331264"/>
    <w:rsid w:val="00331B75"/>
    <w:rsid w:val="003338A2"/>
    <w:rsid w:val="00333D7A"/>
    <w:rsid w:val="00333E00"/>
    <w:rsid w:val="00334C8D"/>
    <w:rsid w:val="0033548E"/>
    <w:rsid w:val="00335EC4"/>
    <w:rsid w:val="00340FFA"/>
    <w:rsid w:val="00343A18"/>
    <w:rsid w:val="00344473"/>
    <w:rsid w:val="00344D08"/>
    <w:rsid w:val="003455B6"/>
    <w:rsid w:val="003457F9"/>
    <w:rsid w:val="00346308"/>
    <w:rsid w:val="00347114"/>
    <w:rsid w:val="0034779C"/>
    <w:rsid w:val="003518B3"/>
    <w:rsid w:val="00353DA0"/>
    <w:rsid w:val="003541AD"/>
    <w:rsid w:val="00357500"/>
    <w:rsid w:val="003578CD"/>
    <w:rsid w:val="00357DAD"/>
    <w:rsid w:val="0036371D"/>
    <w:rsid w:val="00364D50"/>
    <w:rsid w:val="00365C54"/>
    <w:rsid w:val="003666F2"/>
    <w:rsid w:val="00367055"/>
    <w:rsid w:val="00370235"/>
    <w:rsid w:val="003704BF"/>
    <w:rsid w:val="003705DD"/>
    <w:rsid w:val="003717D8"/>
    <w:rsid w:val="00380426"/>
    <w:rsid w:val="00383AE6"/>
    <w:rsid w:val="003846F1"/>
    <w:rsid w:val="003865FD"/>
    <w:rsid w:val="003903D4"/>
    <w:rsid w:val="00390D17"/>
    <w:rsid w:val="003919E7"/>
    <w:rsid w:val="00391B03"/>
    <w:rsid w:val="00391BF0"/>
    <w:rsid w:val="003931A7"/>
    <w:rsid w:val="00393646"/>
    <w:rsid w:val="003A016B"/>
    <w:rsid w:val="003A021A"/>
    <w:rsid w:val="003A02BF"/>
    <w:rsid w:val="003A1625"/>
    <w:rsid w:val="003A58C2"/>
    <w:rsid w:val="003A5D15"/>
    <w:rsid w:val="003A6BAA"/>
    <w:rsid w:val="003A7761"/>
    <w:rsid w:val="003B30BA"/>
    <w:rsid w:val="003B484F"/>
    <w:rsid w:val="003B48B5"/>
    <w:rsid w:val="003B5280"/>
    <w:rsid w:val="003B7FBA"/>
    <w:rsid w:val="003C16BC"/>
    <w:rsid w:val="003C2E65"/>
    <w:rsid w:val="003C2F9B"/>
    <w:rsid w:val="003C4293"/>
    <w:rsid w:val="003C46EA"/>
    <w:rsid w:val="003C5AE2"/>
    <w:rsid w:val="003C7C3D"/>
    <w:rsid w:val="003D3565"/>
    <w:rsid w:val="003D606E"/>
    <w:rsid w:val="003D61A3"/>
    <w:rsid w:val="003D636E"/>
    <w:rsid w:val="003D7863"/>
    <w:rsid w:val="003E07B1"/>
    <w:rsid w:val="003E2FC8"/>
    <w:rsid w:val="003E5644"/>
    <w:rsid w:val="003E67B1"/>
    <w:rsid w:val="003F174D"/>
    <w:rsid w:val="003F1D94"/>
    <w:rsid w:val="003F2BE7"/>
    <w:rsid w:val="003F3D33"/>
    <w:rsid w:val="003F54D7"/>
    <w:rsid w:val="003F572D"/>
    <w:rsid w:val="003F69A4"/>
    <w:rsid w:val="003F7442"/>
    <w:rsid w:val="003F78E7"/>
    <w:rsid w:val="00401683"/>
    <w:rsid w:val="00401780"/>
    <w:rsid w:val="0040454D"/>
    <w:rsid w:val="004051A9"/>
    <w:rsid w:val="004056BC"/>
    <w:rsid w:val="00405B9E"/>
    <w:rsid w:val="00407FFD"/>
    <w:rsid w:val="00413B18"/>
    <w:rsid w:val="00414B56"/>
    <w:rsid w:val="004158CF"/>
    <w:rsid w:val="00415B74"/>
    <w:rsid w:val="00415F31"/>
    <w:rsid w:val="0041771D"/>
    <w:rsid w:val="0042205D"/>
    <w:rsid w:val="00423969"/>
    <w:rsid w:val="00423A77"/>
    <w:rsid w:val="00425989"/>
    <w:rsid w:val="004274C4"/>
    <w:rsid w:val="00434A75"/>
    <w:rsid w:val="00436ECD"/>
    <w:rsid w:val="00437E91"/>
    <w:rsid w:val="00443FD4"/>
    <w:rsid w:val="004457A4"/>
    <w:rsid w:val="00445EE9"/>
    <w:rsid w:val="0044658A"/>
    <w:rsid w:val="00446680"/>
    <w:rsid w:val="00452473"/>
    <w:rsid w:val="004531AD"/>
    <w:rsid w:val="0045522C"/>
    <w:rsid w:val="0045777E"/>
    <w:rsid w:val="00461AA2"/>
    <w:rsid w:val="00461B0F"/>
    <w:rsid w:val="00461C29"/>
    <w:rsid w:val="00465DD3"/>
    <w:rsid w:val="00471975"/>
    <w:rsid w:val="00472C2D"/>
    <w:rsid w:val="004732F1"/>
    <w:rsid w:val="00474EC7"/>
    <w:rsid w:val="00474FEF"/>
    <w:rsid w:val="00477EA5"/>
    <w:rsid w:val="00480B4B"/>
    <w:rsid w:val="00481926"/>
    <w:rsid w:val="00484027"/>
    <w:rsid w:val="004853A3"/>
    <w:rsid w:val="00485DC4"/>
    <w:rsid w:val="0048741D"/>
    <w:rsid w:val="004914D1"/>
    <w:rsid w:val="0049447C"/>
    <w:rsid w:val="004956CF"/>
    <w:rsid w:val="00496022"/>
    <w:rsid w:val="004A0149"/>
    <w:rsid w:val="004A0A5E"/>
    <w:rsid w:val="004A0EF7"/>
    <w:rsid w:val="004A272A"/>
    <w:rsid w:val="004A43D1"/>
    <w:rsid w:val="004A44D5"/>
    <w:rsid w:val="004A4662"/>
    <w:rsid w:val="004A4AF5"/>
    <w:rsid w:val="004B32EC"/>
    <w:rsid w:val="004B355D"/>
    <w:rsid w:val="004B4412"/>
    <w:rsid w:val="004B68C3"/>
    <w:rsid w:val="004C0C43"/>
    <w:rsid w:val="004C1FD3"/>
    <w:rsid w:val="004C348C"/>
    <w:rsid w:val="004C3CD2"/>
    <w:rsid w:val="004C4A73"/>
    <w:rsid w:val="004C5D5D"/>
    <w:rsid w:val="004C6A30"/>
    <w:rsid w:val="004D1A96"/>
    <w:rsid w:val="004D437C"/>
    <w:rsid w:val="004D55BA"/>
    <w:rsid w:val="004E0179"/>
    <w:rsid w:val="004E132C"/>
    <w:rsid w:val="004E22EC"/>
    <w:rsid w:val="004E2A4C"/>
    <w:rsid w:val="004F1CC0"/>
    <w:rsid w:val="004F4BEC"/>
    <w:rsid w:val="004F58BD"/>
    <w:rsid w:val="004F65FD"/>
    <w:rsid w:val="004F6A0E"/>
    <w:rsid w:val="00501C22"/>
    <w:rsid w:val="0050383F"/>
    <w:rsid w:val="005065FD"/>
    <w:rsid w:val="00506BA7"/>
    <w:rsid w:val="00507585"/>
    <w:rsid w:val="00507991"/>
    <w:rsid w:val="005128C4"/>
    <w:rsid w:val="00513106"/>
    <w:rsid w:val="005137D5"/>
    <w:rsid w:val="0051437C"/>
    <w:rsid w:val="00514BF7"/>
    <w:rsid w:val="005158E1"/>
    <w:rsid w:val="005164B4"/>
    <w:rsid w:val="0051787E"/>
    <w:rsid w:val="00517AF0"/>
    <w:rsid w:val="005200D7"/>
    <w:rsid w:val="0052047B"/>
    <w:rsid w:val="00520BD7"/>
    <w:rsid w:val="005215B9"/>
    <w:rsid w:val="0052374C"/>
    <w:rsid w:val="00524CF7"/>
    <w:rsid w:val="0052623A"/>
    <w:rsid w:val="00530097"/>
    <w:rsid w:val="00530128"/>
    <w:rsid w:val="00531D9E"/>
    <w:rsid w:val="00531FA9"/>
    <w:rsid w:val="0053218A"/>
    <w:rsid w:val="00532467"/>
    <w:rsid w:val="005327E0"/>
    <w:rsid w:val="00533852"/>
    <w:rsid w:val="00534AA2"/>
    <w:rsid w:val="005362CE"/>
    <w:rsid w:val="00537FD6"/>
    <w:rsid w:val="005410F6"/>
    <w:rsid w:val="00541CE7"/>
    <w:rsid w:val="005466B5"/>
    <w:rsid w:val="00551014"/>
    <w:rsid w:val="005531A8"/>
    <w:rsid w:val="00563BC3"/>
    <w:rsid w:val="00564A4D"/>
    <w:rsid w:val="0056588A"/>
    <w:rsid w:val="00565FAC"/>
    <w:rsid w:val="00567268"/>
    <w:rsid w:val="00567BA5"/>
    <w:rsid w:val="005701DE"/>
    <w:rsid w:val="00570BA1"/>
    <w:rsid w:val="00571B35"/>
    <w:rsid w:val="00571D57"/>
    <w:rsid w:val="00571FB4"/>
    <w:rsid w:val="005730D4"/>
    <w:rsid w:val="00575E43"/>
    <w:rsid w:val="005766DB"/>
    <w:rsid w:val="0057714E"/>
    <w:rsid w:val="00577A09"/>
    <w:rsid w:val="00580C0C"/>
    <w:rsid w:val="00581AD6"/>
    <w:rsid w:val="0058236E"/>
    <w:rsid w:val="005829C2"/>
    <w:rsid w:val="0058321D"/>
    <w:rsid w:val="00584D8F"/>
    <w:rsid w:val="00585210"/>
    <w:rsid w:val="00585A4E"/>
    <w:rsid w:val="00585D8C"/>
    <w:rsid w:val="0058680D"/>
    <w:rsid w:val="00586819"/>
    <w:rsid w:val="00592FE1"/>
    <w:rsid w:val="00593664"/>
    <w:rsid w:val="00593CA8"/>
    <w:rsid w:val="0059704C"/>
    <w:rsid w:val="005A1C74"/>
    <w:rsid w:val="005A1F2F"/>
    <w:rsid w:val="005A4034"/>
    <w:rsid w:val="005A404D"/>
    <w:rsid w:val="005A40FD"/>
    <w:rsid w:val="005A4641"/>
    <w:rsid w:val="005B1E3C"/>
    <w:rsid w:val="005B3737"/>
    <w:rsid w:val="005B3FB7"/>
    <w:rsid w:val="005B4D33"/>
    <w:rsid w:val="005B5EC5"/>
    <w:rsid w:val="005B704A"/>
    <w:rsid w:val="005C0A7F"/>
    <w:rsid w:val="005C26CC"/>
    <w:rsid w:val="005C3247"/>
    <w:rsid w:val="005C36E8"/>
    <w:rsid w:val="005C391A"/>
    <w:rsid w:val="005C3D40"/>
    <w:rsid w:val="005C4C9C"/>
    <w:rsid w:val="005C4E24"/>
    <w:rsid w:val="005C4F32"/>
    <w:rsid w:val="005C6218"/>
    <w:rsid w:val="005C74FF"/>
    <w:rsid w:val="005C7727"/>
    <w:rsid w:val="005D03B1"/>
    <w:rsid w:val="005D03DF"/>
    <w:rsid w:val="005D390B"/>
    <w:rsid w:val="005D4DE5"/>
    <w:rsid w:val="005D6171"/>
    <w:rsid w:val="005D7159"/>
    <w:rsid w:val="005D7BA2"/>
    <w:rsid w:val="005E0C91"/>
    <w:rsid w:val="005E36C2"/>
    <w:rsid w:val="005E3D14"/>
    <w:rsid w:val="005E7208"/>
    <w:rsid w:val="005F0183"/>
    <w:rsid w:val="005F2EB0"/>
    <w:rsid w:val="005F3250"/>
    <w:rsid w:val="005F5C4B"/>
    <w:rsid w:val="005F6CD6"/>
    <w:rsid w:val="005F7133"/>
    <w:rsid w:val="005F727F"/>
    <w:rsid w:val="006007DE"/>
    <w:rsid w:val="00601638"/>
    <w:rsid w:val="00604A67"/>
    <w:rsid w:val="00610EF9"/>
    <w:rsid w:val="00612F4F"/>
    <w:rsid w:val="00613988"/>
    <w:rsid w:val="00614C7C"/>
    <w:rsid w:val="00615C6B"/>
    <w:rsid w:val="00615D29"/>
    <w:rsid w:val="00617A08"/>
    <w:rsid w:val="00620DC3"/>
    <w:rsid w:val="00621DCE"/>
    <w:rsid w:val="006234A5"/>
    <w:rsid w:val="00624A9A"/>
    <w:rsid w:val="0062593B"/>
    <w:rsid w:val="00632D6D"/>
    <w:rsid w:val="00633D21"/>
    <w:rsid w:val="0063567C"/>
    <w:rsid w:val="00640812"/>
    <w:rsid w:val="00640B3A"/>
    <w:rsid w:val="00641EB5"/>
    <w:rsid w:val="00642C3E"/>
    <w:rsid w:val="00642EA0"/>
    <w:rsid w:val="0064319B"/>
    <w:rsid w:val="0064509B"/>
    <w:rsid w:val="00645932"/>
    <w:rsid w:val="00646F9A"/>
    <w:rsid w:val="0064797F"/>
    <w:rsid w:val="00650422"/>
    <w:rsid w:val="00650CBE"/>
    <w:rsid w:val="00651C3A"/>
    <w:rsid w:val="00651CB2"/>
    <w:rsid w:val="0065209E"/>
    <w:rsid w:val="00653348"/>
    <w:rsid w:val="00653DB6"/>
    <w:rsid w:val="006560CA"/>
    <w:rsid w:val="0066104A"/>
    <w:rsid w:val="00661173"/>
    <w:rsid w:val="00663DAD"/>
    <w:rsid w:val="0066530A"/>
    <w:rsid w:val="00665649"/>
    <w:rsid w:val="00666E20"/>
    <w:rsid w:val="006672AA"/>
    <w:rsid w:val="00671A17"/>
    <w:rsid w:val="00673CAC"/>
    <w:rsid w:val="00675C20"/>
    <w:rsid w:val="00675C27"/>
    <w:rsid w:val="00675C6D"/>
    <w:rsid w:val="00675E20"/>
    <w:rsid w:val="00676679"/>
    <w:rsid w:val="0068011C"/>
    <w:rsid w:val="0068051B"/>
    <w:rsid w:val="006812E7"/>
    <w:rsid w:val="00683C89"/>
    <w:rsid w:val="00684C16"/>
    <w:rsid w:val="00691D37"/>
    <w:rsid w:val="00691D9A"/>
    <w:rsid w:val="0069402C"/>
    <w:rsid w:val="00694435"/>
    <w:rsid w:val="00695C24"/>
    <w:rsid w:val="00696423"/>
    <w:rsid w:val="006A11DD"/>
    <w:rsid w:val="006A2410"/>
    <w:rsid w:val="006A7A91"/>
    <w:rsid w:val="006A7CB9"/>
    <w:rsid w:val="006A7D76"/>
    <w:rsid w:val="006B0E0F"/>
    <w:rsid w:val="006B0E19"/>
    <w:rsid w:val="006B14D7"/>
    <w:rsid w:val="006B1BC8"/>
    <w:rsid w:val="006B2395"/>
    <w:rsid w:val="006B2AD5"/>
    <w:rsid w:val="006B40FD"/>
    <w:rsid w:val="006B45A4"/>
    <w:rsid w:val="006B4CF9"/>
    <w:rsid w:val="006B785B"/>
    <w:rsid w:val="006B7AC8"/>
    <w:rsid w:val="006C1736"/>
    <w:rsid w:val="006C201B"/>
    <w:rsid w:val="006C3000"/>
    <w:rsid w:val="006C4798"/>
    <w:rsid w:val="006C774D"/>
    <w:rsid w:val="006D22F2"/>
    <w:rsid w:val="006D550F"/>
    <w:rsid w:val="006E0A66"/>
    <w:rsid w:val="006E3679"/>
    <w:rsid w:val="006E3F76"/>
    <w:rsid w:val="006E40A4"/>
    <w:rsid w:val="006E4B37"/>
    <w:rsid w:val="006E5F7C"/>
    <w:rsid w:val="006F1F83"/>
    <w:rsid w:val="006F3570"/>
    <w:rsid w:val="006F3AD1"/>
    <w:rsid w:val="006F3FC8"/>
    <w:rsid w:val="006F478B"/>
    <w:rsid w:val="006F6183"/>
    <w:rsid w:val="006F6E52"/>
    <w:rsid w:val="0070011E"/>
    <w:rsid w:val="00701CAB"/>
    <w:rsid w:val="007025F6"/>
    <w:rsid w:val="007034AC"/>
    <w:rsid w:val="00704886"/>
    <w:rsid w:val="00704CB9"/>
    <w:rsid w:val="00707563"/>
    <w:rsid w:val="00715D21"/>
    <w:rsid w:val="00717463"/>
    <w:rsid w:val="0072348C"/>
    <w:rsid w:val="00724A37"/>
    <w:rsid w:val="00725CC3"/>
    <w:rsid w:val="00730199"/>
    <w:rsid w:val="007303C3"/>
    <w:rsid w:val="00731A60"/>
    <w:rsid w:val="007325DE"/>
    <w:rsid w:val="007326E2"/>
    <w:rsid w:val="00732D79"/>
    <w:rsid w:val="00733FDF"/>
    <w:rsid w:val="00734B44"/>
    <w:rsid w:val="007358EF"/>
    <w:rsid w:val="00735AB7"/>
    <w:rsid w:val="00736710"/>
    <w:rsid w:val="00737596"/>
    <w:rsid w:val="00741C46"/>
    <w:rsid w:val="00741D2D"/>
    <w:rsid w:val="00741E23"/>
    <w:rsid w:val="00741F61"/>
    <w:rsid w:val="007429BE"/>
    <w:rsid w:val="00743223"/>
    <w:rsid w:val="00744486"/>
    <w:rsid w:val="00745E02"/>
    <w:rsid w:val="00746074"/>
    <w:rsid w:val="00746E01"/>
    <w:rsid w:val="0074710F"/>
    <w:rsid w:val="00747EEA"/>
    <w:rsid w:val="007524D3"/>
    <w:rsid w:val="00752C8D"/>
    <w:rsid w:val="00753457"/>
    <w:rsid w:val="00753511"/>
    <w:rsid w:val="00753CD8"/>
    <w:rsid w:val="0075514A"/>
    <w:rsid w:val="007566F1"/>
    <w:rsid w:val="00756C02"/>
    <w:rsid w:val="00757364"/>
    <w:rsid w:val="00757BDF"/>
    <w:rsid w:val="007609D0"/>
    <w:rsid w:val="00761C61"/>
    <w:rsid w:val="00763618"/>
    <w:rsid w:val="00763E5D"/>
    <w:rsid w:val="007642D9"/>
    <w:rsid w:val="00765BDF"/>
    <w:rsid w:val="00767740"/>
    <w:rsid w:val="007705D6"/>
    <w:rsid w:val="00772B3B"/>
    <w:rsid w:val="00777EE6"/>
    <w:rsid w:val="00781C13"/>
    <w:rsid w:val="00782EEA"/>
    <w:rsid w:val="0078365F"/>
    <w:rsid w:val="00785CF6"/>
    <w:rsid w:val="00786E17"/>
    <w:rsid w:val="00795194"/>
    <w:rsid w:val="007967D1"/>
    <w:rsid w:val="007A0B5D"/>
    <w:rsid w:val="007A7002"/>
    <w:rsid w:val="007A7136"/>
    <w:rsid w:val="007A7F63"/>
    <w:rsid w:val="007B011C"/>
    <w:rsid w:val="007B186E"/>
    <w:rsid w:val="007B2C72"/>
    <w:rsid w:val="007B3607"/>
    <w:rsid w:val="007B39CD"/>
    <w:rsid w:val="007B4AB9"/>
    <w:rsid w:val="007B6945"/>
    <w:rsid w:val="007B6C52"/>
    <w:rsid w:val="007B7D12"/>
    <w:rsid w:val="007C030C"/>
    <w:rsid w:val="007C03D0"/>
    <w:rsid w:val="007C0FBC"/>
    <w:rsid w:val="007C182F"/>
    <w:rsid w:val="007C1C53"/>
    <w:rsid w:val="007C364F"/>
    <w:rsid w:val="007C74BB"/>
    <w:rsid w:val="007D3C78"/>
    <w:rsid w:val="007D456E"/>
    <w:rsid w:val="007D6785"/>
    <w:rsid w:val="007D737B"/>
    <w:rsid w:val="007E39BF"/>
    <w:rsid w:val="007E42F4"/>
    <w:rsid w:val="007E4904"/>
    <w:rsid w:val="007E4CB5"/>
    <w:rsid w:val="007E535B"/>
    <w:rsid w:val="007F066B"/>
    <w:rsid w:val="007F213A"/>
    <w:rsid w:val="007F2AAE"/>
    <w:rsid w:val="007F2D44"/>
    <w:rsid w:val="007F376B"/>
    <w:rsid w:val="007F644A"/>
    <w:rsid w:val="007F75C4"/>
    <w:rsid w:val="00800FCA"/>
    <w:rsid w:val="00802E4A"/>
    <w:rsid w:val="00803308"/>
    <w:rsid w:val="008033C4"/>
    <w:rsid w:val="008043D8"/>
    <w:rsid w:val="008055C2"/>
    <w:rsid w:val="008057DE"/>
    <w:rsid w:val="00806C88"/>
    <w:rsid w:val="00807F81"/>
    <w:rsid w:val="00810070"/>
    <w:rsid w:val="0081034E"/>
    <w:rsid w:val="00812114"/>
    <w:rsid w:val="00812B03"/>
    <w:rsid w:val="0081326F"/>
    <w:rsid w:val="00814B73"/>
    <w:rsid w:val="00815CAC"/>
    <w:rsid w:val="008168E7"/>
    <w:rsid w:val="008171B6"/>
    <w:rsid w:val="00821004"/>
    <w:rsid w:val="008221F2"/>
    <w:rsid w:val="00822763"/>
    <w:rsid w:val="00824761"/>
    <w:rsid w:val="00825985"/>
    <w:rsid w:val="008301A7"/>
    <w:rsid w:val="008301B2"/>
    <w:rsid w:val="008330B2"/>
    <w:rsid w:val="008344F6"/>
    <w:rsid w:val="0083510F"/>
    <w:rsid w:val="00836977"/>
    <w:rsid w:val="00836F4C"/>
    <w:rsid w:val="008408C5"/>
    <w:rsid w:val="00840E56"/>
    <w:rsid w:val="008414FC"/>
    <w:rsid w:val="00843A5F"/>
    <w:rsid w:val="00844C01"/>
    <w:rsid w:val="00844DF9"/>
    <w:rsid w:val="00844EA9"/>
    <w:rsid w:val="00847887"/>
    <w:rsid w:val="00851209"/>
    <w:rsid w:val="00852218"/>
    <w:rsid w:val="0085377E"/>
    <w:rsid w:val="0085700D"/>
    <w:rsid w:val="0085722A"/>
    <w:rsid w:val="0086018C"/>
    <w:rsid w:val="00860D76"/>
    <w:rsid w:val="0086226E"/>
    <w:rsid w:val="00862B19"/>
    <w:rsid w:val="00862E9E"/>
    <w:rsid w:val="00864B35"/>
    <w:rsid w:val="00866D99"/>
    <w:rsid w:val="00867CF6"/>
    <w:rsid w:val="0087311A"/>
    <w:rsid w:val="008749E0"/>
    <w:rsid w:val="00874CD0"/>
    <w:rsid w:val="00881228"/>
    <w:rsid w:val="00882481"/>
    <w:rsid w:val="00882741"/>
    <w:rsid w:val="008837AC"/>
    <w:rsid w:val="00883F48"/>
    <w:rsid w:val="00885457"/>
    <w:rsid w:val="0089307F"/>
    <w:rsid w:val="00893162"/>
    <w:rsid w:val="00895068"/>
    <w:rsid w:val="008971E7"/>
    <w:rsid w:val="008A13E2"/>
    <w:rsid w:val="008A43C2"/>
    <w:rsid w:val="008A48BF"/>
    <w:rsid w:val="008A587D"/>
    <w:rsid w:val="008A67D1"/>
    <w:rsid w:val="008A6D43"/>
    <w:rsid w:val="008A7D7D"/>
    <w:rsid w:val="008B06C9"/>
    <w:rsid w:val="008B35CD"/>
    <w:rsid w:val="008B46D4"/>
    <w:rsid w:val="008B5FCC"/>
    <w:rsid w:val="008B7544"/>
    <w:rsid w:val="008C0DB9"/>
    <w:rsid w:val="008C11CE"/>
    <w:rsid w:val="008C3374"/>
    <w:rsid w:val="008C35C1"/>
    <w:rsid w:val="008C39F0"/>
    <w:rsid w:val="008C5486"/>
    <w:rsid w:val="008C63DF"/>
    <w:rsid w:val="008C708B"/>
    <w:rsid w:val="008D0386"/>
    <w:rsid w:val="008D0FB6"/>
    <w:rsid w:val="008D1661"/>
    <w:rsid w:val="008D6800"/>
    <w:rsid w:val="008E0D5B"/>
    <w:rsid w:val="008E258F"/>
    <w:rsid w:val="008E3E44"/>
    <w:rsid w:val="008E7031"/>
    <w:rsid w:val="008E705A"/>
    <w:rsid w:val="008E77DE"/>
    <w:rsid w:val="008F07A3"/>
    <w:rsid w:val="008F0E11"/>
    <w:rsid w:val="008F16B3"/>
    <w:rsid w:val="008F24D9"/>
    <w:rsid w:val="008F34DD"/>
    <w:rsid w:val="008F4D19"/>
    <w:rsid w:val="009001B6"/>
    <w:rsid w:val="00900E1B"/>
    <w:rsid w:val="00901C3C"/>
    <w:rsid w:val="009038ED"/>
    <w:rsid w:val="00904074"/>
    <w:rsid w:val="00907C8A"/>
    <w:rsid w:val="00916AD8"/>
    <w:rsid w:val="009170D4"/>
    <w:rsid w:val="009200B8"/>
    <w:rsid w:val="00920610"/>
    <w:rsid w:val="00922746"/>
    <w:rsid w:val="009233EE"/>
    <w:rsid w:val="00923CFC"/>
    <w:rsid w:val="00923FA9"/>
    <w:rsid w:val="00926867"/>
    <w:rsid w:val="009272AD"/>
    <w:rsid w:val="009277DC"/>
    <w:rsid w:val="00931FB9"/>
    <w:rsid w:val="00933701"/>
    <w:rsid w:val="00935BF4"/>
    <w:rsid w:val="00941E3E"/>
    <w:rsid w:val="009460AA"/>
    <w:rsid w:val="0094641C"/>
    <w:rsid w:val="009512EF"/>
    <w:rsid w:val="00951319"/>
    <w:rsid w:val="00951978"/>
    <w:rsid w:val="00952109"/>
    <w:rsid w:val="0095297B"/>
    <w:rsid w:val="00953FA9"/>
    <w:rsid w:val="00954F4E"/>
    <w:rsid w:val="00961115"/>
    <w:rsid w:val="00961A4A"/>
    <w:rsid w:val="009661DE"/>
    <w:rsid w:val="0097011B"/>
    <w:rsid w:val="00971903"/>
    <w:rsid w:val="00974898"/>
    <w:rsid w:val="00976592"/>
    <w:rsid w:val="009814B6"/>
    <w:rsid w:val="00983C25"/>
    <w:rsid w:val="009856B7"/>
    <w:rsid w:val="00985B3F"/>
    <w:rsid w:val="00985C86"/>
    <w:rsid w:val="009861C3"/>
    <w:rsid w:val="00996BAF"/>
    <w:rsid w:val="009972D8"/>
    <w:rsid w:val="00997784"/>
    <w:rsid w:val="009A005D"/>
    <w:rsid w:val="009A4FAA"/>
    <w:rsid w:val="009A5113"/>
    <w:rsid w:val="009A539D"/>
    <w:rsid w:val="009A5FC3"/>
    <w:rsid w:val="009B163E"/>
    <w:rsid w:val="009B4D47"/>
    <w:rsid w:val="009B5DC8"/>
    <w:rsid w:val="009B6F84"/>
    <w:rsid w:val="009B728E"/>
    <w:rsid w:val="009B7343"/>
    <w:rsid w:val="009B74B0"/>
    <w:rsid w:val="009B7FC2"/>
    <w:rsid w:val="009C229E"/>
    <w:rsid w:val="009C4273"/>
    <w:rsid w:val="009C4E65"/>
    <w:rsid w:val="009C5661"/>
    <w:rsid w:val="009C5FB2"/>
    <w:rsid w:val="009C6611"/>
    <w:rsid w:val="009C691D"/>
    <w:rsid w:val="009C7829"/>
    <w:rsid w:val="009D0670"/>
    <w:rsid w:val="009D2B38"/>
    <w:rsid w:val="009D2DDF"/>
    <w:rsid w:val="009D3906"/>
    <w:rsid w:val="009D435E"/>
    <w:rsid w:val="009D4832"/>
    <w:rsid w:val="009D6B46"/>
    <w:rsid w:val="009E03F8"/>
    <w:rsid w:val="009E0603"/>
    <w:rsid w:val="009E2E6B"/>
    <w:rsid w:val="009E418B"/>
    <w:rsid w:val="009E62DF"/>
    <w:rsid w:val="009F0222"/>
    <w:rsid w:val="009F35BC"/>
    <w:rsid w:val="009F4940"/>
    <w:rsid w:val="009F5BA1"/>
    <w:rsid w:val="009F61B7"/>
    <w:rsid w:val="009F61D8"/>
    <w:rsid w:val="00A02A88"/>
    <w:rsid w:val="00A03718"/>
    <w:rsid w:val="00A0562E"/>
    <w:rsid w:val="00A06085"/>
    <w:rsid w:val="00A0726D"/>
    <w:rsid w:val="00A10E15"/>
    <w:rsid w:val="00A13D03"/>
    <w:rsid w:val="00A16596"/>
    <w:rsid w:val="00A1781E"/>
    <w:rsid w:val="00A17E80"/>
    <w:rsid w:val="00A211FA"/>
    <w:rsid w:val="00A21255"/>
    <w:rsid w:val="00A21487"/>
    <w:rsid w:val="00A2303E"/>
    <w:rsid w:val="00A31B84"/>
    <w:rsid w:val="00A32FBB"/>
    <w:rsid w:val="00A343CD"/>
    <w:rsid w:val="00A36FB8"/>
    <w:rsid w:val="00A40790"/>
    <w:rsid w:val="00A41CD6"/>
    <w:rsid w:val="00A427FC"/>
    <w:rsid w:val="00A428EE"/>
    <w:rsid w:val="00A43458"/>
    <w:rsid w:val="00A43C2D"/>
    <w:rsid w:val="00A44542"/>
    <w:rsid w:val="00A4478A"/>
    <w:rsid w:val="00A44852"/>
    <w:rsid w:val="00A45104"/>
    <w:rsid w:val="00A45C52"/>
    <w:rsid w:val="00A4650A"/>
    <w:rsid w:val="00A47583"/>
    <w:rsid w:val="00A50502"/>
    <w:rsid w:val="00A506F8"/>
    <w:rsid w:val="00A51DC1"/>
    <w:rsid w:val="00A54471"/>
    <w:rsid w:val="00A54FE5"/>
    <w:rsid w:val="00A57702"/>
    <w:rsid w:val="00A57D04"/>
    <w:rsid w:val="00A60A26"/>
    <w:rsid w:val="00A61598"/>
    <w:rsid w:val="00A62441"/>
    <w:rsid w:val="00A643EB"/>
    <w:rsid w:val="00A7177E"/>
    <w:rsid w:val="00A7259C"/>
    <w:rsid w:val="00A74D75"/>
    <w:rsid w:val="00A83BF9"/>
    <w:rsid w:val="00A8428B"/>
    <w:rsid w:val="00A844F4"/>
    <w:rsid w:val="00A84A99"/>
    <w:rsid w:val="00A84F46"/>
    <w:rsid w:val="00A871F4"/>
    <w:rsid w:val="00A90AA4"/>
    <w:rsid w:val="00A923BF"/>
    <w:rsid w:val="00A93F19"/>
    <w:rsid w:val="00A96586"/>
    <w:rsid w:val="00AA4C2A"/>
    <w:rsid w:val="00AA56C3"/>
    <w:rsid w:val="00AA6AB6"/>
    <w:rsid w:val="00AB1896"/>
    <w:rsid w:val="00AB3B35"/>
    <w:rsid w:val="00AB47E1"/>
    <w:rsid w:val="00AB7311"/>
    <w:rsid w:val="00AC1B2C"/>
    <w:rsid w:val="00AC2695"/>
    <w:rsid w:val="00AC3264"/>
    <w:rsid w:val="00AC57DB"/>
    <w:rsid w:val="00AD37DB"/>
    <w:rsid w:val="00AD3884"/>
    <w:rsid w:val="00AD52B1"/>
    <w:rsid w:val="00AD5D92"/>
    <w:rsid w:val="00AD7B56"/>
    <w:rsid w:val="00AE059C"/>
    <w:rsid w:val="00AE0CB1"/>
    <w:rsid w:val="00AE1BF1"/>
    <w:rsid w:val="00AE413E"/>
    <w:rsid w:val="00AE4C20"/>
    <w:rsid w:val="00AF0DD2"/>
    <w:rsid w:val="00AF2B03"/>
    <w:rsid w:val="00AF715F"/>
    <w:rsid w:val="00AF725E"/>
    <w:rsid w:val="00AF769B"/>
    <w:rsid w:val="00AF7C2A"/>
    <w:rsid w:val="00B0209D"/>
    <w:rsid w:val="00B02165"/>
    <w:rsid w:val="00B02961"/>
    <w:rsid w:val="00B02CF8"/>
    <w:rsid w:val="00B03583"/>
    <w:rsid w:val="00B04908"/>
    <w:rsid w:val="00B04B4C"/>
    <w:rsid w:val="00B07CEA"/>
    <w:rsid w:val="00B10240"/>
    <w:rsid w:val="00B13048"/>
    <w:rsid w:val="00B13475"/>
    <w:rsid w:val="00B1716D"/>
    <w:rsid w:val="00B17A1D"/>
    <w:rsid w:val="00B2027C"/>
    <w:rsid w:val="00B207A0"/>
    <w:rsid w:val="00B2231A"/>
    <w:rsid w:val="00B2250B"/>
    <w:rsid w:val="00B2361D"/>
    <w:rsid w:val="00B26E08"/>
    <w:rsid w:val="00B3517B"/>
    <w:rsid w:val="00B3579C"/>
    <w:rsid w:val="00B40CAA"/>
    <w:rsid w:val="00B4148A"/>
    <w:rsid w:val="00B41D44"/>
    <w:rsid w:val="00B4306D"/>
    <w:rsid w:val="00B514DD"/>
    <w:rsid w:val="00B51F3F"/>
    <w:rsid w:val="00B522A3"/>
    <w:rsid w:val="00B52AF0"/>
    <w:rsid w:val="00B55E29"/>
    <w:rsid w:val="00B561BD"/>
    <w:rsid w:val="00B56406"/>
    <w:rsid w:val="00B56E03"/>
    <w:rsid w:val="00B579E8"/>
    <w:rsid w:val="00B61EDF"/>
    <w:rsid w:val="00B63327"/>
    <w:rsid w:val="00B642F6"/>
    <w:rsid w:val="00B656DE"/>
    <w:rsid w:val="00B67C00"/>
    <w:rsid w:val="00B70072"/>
    <w:rsid w:val="00B71B56"/>
    <w:rsid w:val="00B71F03"/>
    <w:rsid w:val="00B74AC5"/>
    <w:rsid w:val="00B74EF8"/>
    <w:rsid w:val="00B757A6"/>
    <w:rsid w:val="00B75950"/>
    <w:rsid w:val="00B75E01"/>
    <w:rsid w:val="00B8080B"/>
    <w:rsid w:val="00B81778"/>
    <w:rsid w:val="00B82223"/>
    <w:rsid w:val="00B83B12"/>
    <w:rsid w:val="00B85A07"/>
    <w:rsid w:val="00B860EA"/>
    <w:rsid w:val="00B86458"/>
    <w:rsid w:val="00B87BA5"/>
    <w:rsid w:val="00B87C39"/>
    <w:rsid w:val="00B915D5"/>
    <w:rsid w:val="00B9562D"/>
    <w:rsid w:val="00B973CC"/>
    <w:rsid w:val="00BA0731"/>
    <w:rsid w:val="00BA14FE"/>
    <w:rsid w:val="00BA15D1"/>
    <w:rsid w:val="00BA20B7"/>
    <w:rsid w:val="00BA4665"/>
    <w:rsid w:val="00BA47EE"/>
    <w:rsid w:val="00BA4BE3"/>
    <w:rsid w:val="00BA53F0"/>
    <w:rsid w:val="00BA6DB8"/>
    <w:rsid w:val="00BB1F30"/>
    <w:rsid w:val="00BB2FB2"/>
    <w:rsid w:val="00BB3304"/>
    <w:rsid w:val="00BB3FD7"/>
    <w:rsid w:val="00BB4FC7"/>
    <w:rsid w:val="00BB5935"/>
    <w:rsid w:val="00BB5B94"/>
    <w:rsid w:val="00BB6848"/>
    <w:rsid w:val="00BB7528"/>
    <w:rsid w:val="00BC18DE"/>
    <w:rsid w:val="00BC2937"/>
    <w:rsid w:val="00BC2FAF"/>
    <w:rsid w:val="00BC3026"/>
    <w:rsid w:val="00BC411B"/>
    <w:rsid w:val="00BC42EF"/>
    <w:rsid w:val="00BC602E"/>
    <w:rsid w:val="00BD0920"/>
    <w:rsid w:val="00BD0C45"/>
    <w:rsid w:val="00BD12CE"/>
    <w:rsid w:val="00BD1F65"/>
    <w:rsid w:val="00BD310B"/>
    <w:rsid w:val="00BD3446"/>
    <w:rsid w:val="00BD3770"/>
    <w:rsid w:val="00BD68DD"/>
    <w:rsid w:val="00BD78E3"/>
    <w:rsid w:val="00BE1F1B"/>
    <w:rsid w:val="00BE4591"/>
    <w:rsid w:val="00BE47B5"/>
    <w:rsid w:val="00BE4AAD"/>
    <w:rsid w:val="00BE5806"/>
    <w:rsid w:val="00BF09B4"/>
    <w:rsid w:val="00BF0C8F"/>
    <w:rsid w:val="00BF0CD7"/>
    <w:rsid w:val="00BF3AD7"/>
    <w:rsid w:val="00BF4730"/>
    <w:rsid w:val="00BF4D13"/>
    <w:rsid w:val="00BF686A"/>
    <w:rsid w:val="00C0024F"/>
    <w:rsid w:val="00C01B92"/>
    <w:rsid w:val="00C04223"/>
    <w:rsid w:val="00C04EEA"/>
    <w:rsid w:val="00C052F0"/>
    <w:rsid w:val="00C05CA9"/>
    <w:rsid w:val="00C11781"/>
    <w:rsid w:val="00C128A6"/>
    <w:rsid w:val="00C140F2"/>
    <w:rsid w:val="00C14A9A"/>
    <w:rsid w:val="00C155E2"/>
    <w:rsid w:val="00C15D3D"/>
    <w:rsid w:val="00C20AEA"/>
    <w:rsid w:val="00C2338D"/>
    <w:rsid w:val="00C25FA6"/>
    <w:rsid w:val="00C26245"/>
    <w:rsid w:val="00C267B8"/>
    <w:rsid w:val="00C275C4"/>
    <w:rsid w:val="00C30637"/>
    <w:rsid w:val="00C351BA"/>
    <w:rsid w:val="00C3670F"/>
    <w:rsid w:val="00C36F19"/>
    <w:rsid w:val="00C41488"/>
    <w:rsid w:val="00C42ACA"/>
    <w:rsid w:val="00C42F0C"/>
    <w:rsid w:val="00C433CA"/>
    <w:rsid w:val="00C43CBD"/>
    <w:rsid w:val="00C44229"/>
    <w:rsid w:val="00C44AAF"/>
    <w:rsid w:val="00C50172"/>
    <w:rsid w:val="00C5122C"/>
    <w:rsid w:val="00C51548"/>
    <w:rsid w:val="00C51A6D"/>
    <w:rsid w:val="00C538A9"/>
    <w:rsid w:val="00C53B5A"/>
    <w:rsid w:val="00C54434"/>
    <w:rsid w:val="00C54F5A"/>
    <w:rsid w:val="00C55211"/>
    <w:rsid w:val="00C569B4"/>
    <w:rsid w:val="00C56A01"/>
    <w:rsid w:val="00C56A3E"/>
    <w:rsid w:val="00C6104A"/>
    <w:rsid w:val="00C610B8"/>
    <w:rsid w:val="00C61CB5"/>
    <w:rsid w:val="00C61E1C"/>
    <w:rsid w:val="00C61E88"/>
    <w:rsid w:val="00C64730"/>
    <w:rsid w:val="00C64AC3"/>
    <w:rsid w:val="00C67A92"/>
    <w:rsid w:val="00C74404"/>
    <w:rsid w:val="00C74978"/>
    <w:rsid w:val="00C7497E"/>
    <w:rsid w:val="00C74D43"/>
    <w:rsid w:val="00C80752"/>
    <w:rsid w:val="00C81568"/>
    <w:rsid w:val="00C831D3"/>
    <w:rsid w:val="00C83453"/>
    <w:rsid w:val="00C84560"/>
    <w:rsid w:val="00C849DB"/>
    <w:rsid w:val="00C84F52"/>
    <w:rsid w:val="00C86065"/>
    <w:rsid w:val="00C86679"/>
    <w:rsid w:val="00C93EBC"/>
    <w:rsid w:val="00C945EB"/>
    <w:rsid w:val="00C94815"/>
    <w:rsid w:val="00C97CDF"/>
    <w:rsid w:val="00C97D23"/>
    <w:rsid w:val="00CA0D63"/>
    <w:rsid w:val="00CA2ABF"/>
    <w:rsid w:val="00CA2C1D"/>
    <w:rsid w:val="00CA489E"/>
    <w:rsid w:val="00CA52A2"/>
    <w:rsid w:val="00CB0279"/>
    <w:rsid w:val="00CB55AF"/>
    <w:rsid w:val="00CB64B8"/>
    <w:rsid w:val="00CB666B"/>
    <w:rsid w:val="00CC5BBE"/>
    <w:rsid w:val="00CC6844"/>
    <w:rsid w:val="00CC7F1D"/>
    <w:rsid w:val="00CD19EE"/>
    <w:rsid w:val="00CD1ECC"/>
    <w:rsid w:val="00CD3E8B"/>
    <w:rsid w:val="00CD47A0"/>
    <w:rsid w:val="00CD59AF"/>
    <w:rsid w:val="00CE07E9"/>
    <w:rsid w:val="00CE484B"/>
    <w:rsid w:val="00CE4900"/>
    <w:rsid w:val="00CF0DEE"/>
    <w:rsid w:val="00CF2C05"/>
    <w:rsid w:val="00CF426B"/>
    <w:rsid w:val="00CF544E"/>
    <w:rsid w:val="00CF5D41"/>
    <w:rsid w:val="00CF6EDE"/>
    <w:rsid w:val="00CF736D"/>
    <w:rsid w:val="00CF74AE"/>
    <w:rsid w:val="00CF77BB"/>
    <w:rsid w:val="00CF78F3"/>
    <w:rsid w:val="00D006AE"/>
    <w:rsid w:val="00D00BCE"/>
    <w:rsid w:val="00D014C5"/>
    <w:rsid w:val="00D01CF0"/>
    <w:rsid w:val="00D01EFD"/>
    <w:rsid w:val="00D03395"/>
    <w:rsid w:val="00D0442A"/>
    <w:rsid w:val="00D04C65"/>
    <w:rsid w:val="00D06055"/>
    <w:rsid w:val="00D066B7"/>
    <w:rsid w:val="00D06D0F"/>
    <w:rsid w:val="00D071F7"/>
    <w:rsid w:val="00D11936"/>
    <w:rsid w:val="00D13F3D"/>
    <w:rsid w:val="00D1610F"/>
    <w:rsid w:val="00D17683"/>
    <w:rsid w:val="00D20D75"/>
    <w:rsid w:val="00D22B6D"/>
    <w:rsid w:val="00D23440"/>
    <w:rsid w:val="00D34057"/>
    <w:rsid w:val="00D348CC"/>
    <w:rsid w:val="00D36FCC"/>
    <w:rsid w:val="00D40808"/>
    <w:rsid w:val="00D41E80"/>
    <w:rsid w:val="00D44851"/>
    <w:rsid w:val="00D45694"/>
    <w:rsid w:val="00D46BD3"/>
    <w:rsid w:val="00D51103"/>
    <w:rsid w:val="00D53F18"/>
    <w:rsid w:val="00D544B0"/>
    <w:rsid w:val="00D546FD"/>
    <w:rsid w:val="00D55D86"/>
    <w:rsid w:val="00D608F6"/>
    <w:rsid w:val="00D60CEA"/>
    <w:rsid w:val="00D60EFF"/>
    <w:rsid w:val="00D61388"/>
    <w:rsid w:val="00D61A54"/>
    <w:rsid w:val="00D636DD"/>
    <w:rsid w:val="00D64275"/>
    <w:rsid w:val="00D64DEA"/>
    <w:rsid w:val="00D65292"/>
    <w:rsid w:val="00D6722D"/>
    <w:rsid w:val="00D71243"/>
    <w:rsid w:val="00D7168E"/>
    <w:rsid w:val="00D71D6D"/>
    <w:rsid w:val="00D71E57"/>
    <w:rsid w:val="00D7518C"/>
    <w:rsid w:val="00D75AA2"/>
    <w:rsid w:val="00D7645E"/>
    <w:rsid w:val="00D77AA4"/>
    <w:rsid w:val="00D80296"/>
    <w:rsid w:val="00D80893"/>
    <w:rsid w:val="00D829F0"/>
    <w:rsid w:val="00D83109"/>
    <w:rsid w:val="00D84854"/>
    <w:rsid w:val="00D848B4"/>
    <w:rsid w:val="00D84CF6"/>
    <w:rsid w:val="00D86B06"/>
    <w:rsid w:val="00D90419"/>
    <w:rsid w:val="00D91373"/>
    <w:rsid w:val="00D91389"/>
    <w:rsid w:val="00D92CF1"/>
    <w:rsid w:val="00D92D38"/>
    <w:rsid w:val="00D93245"/>
    <w:rsid w:val="00D93D92"/>
    <w:rsid w:val="00D948D5"/>
    <w:rsid w:val="00D94EB8"/>
    <w:rsid w:val="00D950F5"/>
    <w:rsid w:val="00D95A75"/>
    <w:rsid w:val="00DA0BCC"/>
    <w:rsid w:val="00DA4752"/>
    <w:rsid w:val="00DA61F3"/>
    <w:rsid w:val="00DA6B93"/>
    <w:rsid w:val="00DA6F94"/>
    <w:rsid w:val="00DA7C7D"/>
    <w:rsid w:val="00DB0F93"/>
    <w:rsid w:val="00DB117F"/>
    <w:rsid w:val="00DB15CC"/>
    <w:rsid w:val="00DB1A67"/>
    <w:rsid w:val="00DB2B98"/>
    <w:rsid w:val="00DB483C"/>
    <w:rsid w:val="00DB5074"/>
    <w:rsid w:val="00DB5B21"/>
    <w:rsid w:val="00DB658C"/>
    <w:rsid w:val="00DB6612"/>
    <w:rsid w:val="00DB66CF"/>
    <w:rsid w:val="00DB7F54"/>
    <w:rsid w:val="00DC52B3"/>
    <w:rsid w:val="00DC7981"/>
    <w:rsid w:val="00DD0FB7"/>
    <w:rsid w:val="00DD1C15"/>
    <w:rsid w:val="00DD3A47"/>
    <w:rsid w:val="00DD3EC7"/>
    <w:rsid w:val="00DD53B8"/>
    <w:rsid w:val="00DD7F8A"/>
    <w:rsid w:val="00DE1093"/>
    <w:rsid w:val="00DE14D6"/>
    <w:rsid w:val="00DE4EFA"/>
    <w:rsid w:val="00DE5520"/>
    <w:rsid w:val="00DE563D"/>
    <w:rsid w:val="00DE5E2E"/>
    <w:rsid w:val="00DE772C"/>
    <w:rsid w:val="00DF1D99"/>
    <w:rsid w:val="00DF1D9A"/>
    <w:rsid w:val="00DF296C"/>
    <w:rsid w:val="00DF312A"/>
    <w:rsid w:val="00DF336E"/>
    <w:rsid w:val="00DF3B97"/>
    <w:rsid w:val="00DF51B7"/>
    <w:rsid w:val="00DF5CAE"/>
    <w:rsid w:val="00DF6536"/>
    <w:rsid w:val="00E00021"/>
    <w:rsid w:val="00E01599"/>
    <w:rsid w:val="00E03E4F"/>
    <w:rsid w:val="00E04818"/>
    <w:rsid w:val="00E0546E"/>
    <w:rsid w:val="00E0636F"/>
    <w:rsid w:val="00E06442"/>
    <w:rsid w:val="00E06A9F"/>
    <w:rsid w:val="00E06BCF"/>
    <w:rsid w:val="00E075EB"/>
    <w:rsid w:val="00E076BD"/>
    <w:rsid w:val="00E07BAD"/>
    <w:rsid w:val="00E1001C"/>
    <w:rsid w:val="00E10DF0"/>
    <w:rsid w:val="00E11949"/>
    <w:rsid w:val="00E12097"/>
    <w:rsid w:val="00E135C1"/>
    <w:rsid w:val="00E14A55"/>
    <w:rsid w:val="00E15EF2"/>
    <w:rsid w:val="00E225C0"/>
    <w:rsid w:val="00E23993"/>
    <w:rsid w:val="00E23A1E"/>
    <w:rsid w:val="00E25203"/>
    <w:rsid w:val="00E257D6"/>
    <w:rsid w:val="00E25B8C"/>
    <w:rsid w:val="00E27360"/>
    <w:rsid w:val="00E3544F"/>
    <w:rsid w:val="00E40FAA"/>
    <w:rsid w:val="00E41C11"/>
    <w:rsid w:val="00E45728"/>
    <w:rsid w:val="00E466F4"/>
    <w:rsid w:val="00E47BD6"/>
    <w:rsid w:val="00E51D65"/>
    <w:rsid w:val="00E534A4"/>
    <w:rsid w:val="00E54D46"/>
    <w:rsid w:val="00E55A0F"/>
    <w:rsid w:val="00E57D89"/>
    <w:rsid w:val="00E605A9"/>
    <w:rsid w:val="00E6079C"/>
    <w:rsid w:val="00E60FE1"/>
    <w:rsid w:val="00E61BE1"/>
    <w:rsid w:val="00E61E81"/>
    <w:rsid w:val="00E6200B"/>
    <w:rsid w:val="00E626CA"/>
    <w:rsid w:val="00E65C85"/>
    <w:rsid w:val="00E65F11"/>
    <w:rsid w:val="00E66199"/>
    <w:rsid w:val="00E70ADE"/>
    <w:rsid w:val="00E711C7"/>
    <w:rsid w:val="00E7285F"/>
    <w:rsid w:val="00E7344A"/>
    <w:rsid w:val="00E737D4"/>
    <w:rsid w:val="00E7494F"/>
    <w:rsid w:val="00E755EC"/>
    <w:rsid w:val="00E75F4D"/>
    <w:rsid w:val="00E7624D"/>
    <w:rsid w:val="00E805CE"/>
    <w:rsid w:val="00E807D1"/>
    <w:rsid w:val="00E82849"/>
    <w:rsid w:val="00E82E33"/>
    <w:rsid w:val="00E83D67"/>
    <w:rsid w:val="00E847EC"/>
    <w:rsid w:val="00E855EB"/>
    <w:rsid w:val="00E86B5C"/>
    <w:rsid w:val="00E9411D"/>
    <w:rsid w:val="00E95FE1"/>
    <w:rsid w:val="00E97242"/>
    <w:rsid w:val="00EA1CB5"/>
    <w:rsid w:val="00EA2707"/>
    <w:rsid w:val="00EA38F3"/>
    <w:rsid w:val="00EA3BF2"/>
    <w:rsid w:val="00EA3D42"/>
    <w:rsid w:val="00EA406D"/>
    <w:rsid w:val="00EA6B1B"/>
    <w:rsid w:val="00EB4AE7"/>
    <w:rsid w:val="00EB5BC8"/>
    <w:rsid w:val="00EB606C"/>
    <w:rsid w:val="00EB7FA6"/>
    <w:rsid w:val="00EC04F1"/>
    <w:rsid w:val="00EC0E8C"/>
    <w:rsid w:val="00EC1B2B"/>
    <w:rsid w:val="00EC222F"/>
    <w:rsid w:val="00EC2AFC"/>
    <w:rsid w:val="00EC32E5"/>
    <w:rsid w:val="00EC3ACE"/>
    <w:rsid w:val="00EC3E9B"/>
    <w:rsid w:val="00EC5D99"/>
    <w:rsid w:val="00EC6678"/>
    <w:rsid w:val="00EC6F05"/>
    <w:rsid w:val="00ED0EC2"/>
    <w:rsid w:val="00ED0FC3"/>
    <w:rsid w:val="00ED2DEF"/>
    <w:rsid w:val="00ED3474"/>
    <w:rsid w:val="00ED41FC"/>
    <w:rsid w:val="00ED7323"/>
    <w:rsid w:val="00EE0BAE"/>
    <w:rsid w:val="00EE196E"/>
    <w:rsid w:val="00EE28F3"/>
    <w:rsid w:val="00EE3089"/>
    <w:rsid w:val="00EE50D1"/>
    <w:rsid w:val="00EE5A65"/>
    <w:rsid w:val="00EE77FA"/>
    <w:rsid w:val="00EE7A83"/>
    <w:rsid w:val="00EF0187"/>
    <w:rsid w:val="00EF1B7A"/>
    <w:rsid w:val="00EF2071"/>
    <w:rsid w:val="00EF3DDE"/>
    <w:rsid w:val="00EF5110"/>
    <w:rsid w:val="00EF6BDC"/>
    <w:rsid w:val="00EF7B61"/>
    <w:rsid w:val="00F00430"/>
    <w:rsid w:val="00F02F8F"/>
    <w:rsid w:val="00F0334E"/>
    <w:rsid w:val="00F07967"/>
    <w:rsid w:val="00F10411"/>
    <w:rsid w:val="00F11C80"/>
    <w:rsid w:val="00F15882"/>
    <w:rsid w:val="00F171E0"/>
    <w:rsid w:val="00F17B28"/>
    <w:rsid w:val="00F20843"/>
    <w:rsid w:val="00F20BD3"/>
    <w:rsid w:val="00F22C65"/>
    <w:rsid w:val="00F2356B"/>
    <w:rsid w:val="00F2526A"/>
    <w:rsid w:val="00F25BC2"/>
    <w:rsid w:val="00F2674B"/>
    <w:rsid w:val="00F26A41"/>
    <w:rsid w:val="00F2740A"/>
    <w:rsid w:val="00F3163C"/>
    <w:rsid w:val="00F335F6"/>
    <w:rsid w:val="00F34FFC"/>
    <w:rsid w:val="00F35081"/>
    <w:rsid w:val="00F373A5"/>
    <w:rsid w:val="00F37AB9"/>
    <w:rsid w:val="00F40045"/>
    <w:rsid w:val="00F425A6"/>
    <w:rsid w:val="00F42E08"/>
    <w:rsid w:val="00F454E8"/>
    <w:rsid w:val="00F46F8F"/>
    <w:rsid w:val="00F47559"/>
    <w:rsid w:val="00F56D86"/>
    <w:rsid w:val="00F57907"/>
    <w:rsid w:val="00F57FF0"/>
    <w:rsid w:val="00F608CD"/>
    <w:rsid w:val="00F6096A"/>
    <w:rsid w:val="00F61176"/>
    <w:rsid w:val="00F61C9E"/>
    <w:rsid w:val="00F621D1"/>
    <w:rsid w:val="00F6223B"/>
    <w:rsid w:val="00F62A30"/>
    <w:rsid w:val="00F64C7B"/>
    <w:rsid w:val="00F65B25"/>
    <w:rsid w:val="00F676DD"/>
    <w:rsid w:val="00F6783C"/>
    <w:rsid w:val="00F67AFD"/>
    <w:rsid w:val="00F67D67"/>
    <w:rsid w:val="00F71667"/>
    <w:rsid w:val="00F7168B"/>
    <w:rsid w:val="00F72CC2"/>
    <w:rsid w:val="00F72F14"/>
    <w:rsid w:val="00F73895"/>
    <w:rsid w:val="00F75A26"/>
    <w:rsid w:val="00F76351"/>
    <w:rsid w:val="00F76706"/>
    <w:rsid w:val="00F768C8"/>
    <w:rsid w:val="00F77C37"/>
    <w:rsid w:val="00F81028"/>
    <w:rsid w:val="00F81B8D"/>
    <w:rsid w:val="00F82A2C"/>
    <w:rsid w:val="00F82F92"/>
    <w:rsid w:val="00F831FA"/>
    <w:rsid w:val="00F83FAD"/>
    <w:rsid w:val="00F84546"/>
    <w:rsid w:val="00F85605"/>
    <w:rsid w:val="00F8653A"/>
    <w:rsid w:val="00F87462"/>
    <w:rsid w:val="00F87EE7"/>
    <w:rsid w:val="00F9103B"/>
    <w:rsid w:val="00F91F55"/>
    <w:rsid w:val="00F92349"/>
    <w:rsid w:val="00F92C0B"/>
    <w:rsid w:val="00F93B21"/>
    <w:rsid w:val="00F94ADE"/>
    <w:rsid w:val="00F952A0"/>
    <w:rsid w:val="00F96123"/>
    <w:rsid w:val="00FA1595"/>
    <w:rsid w:val="00FA3469"/>
    <w:rsid w:val="00FA3C7F"/>
    <w:rsid w:val="00FA5A27"/>
    <w:rsid w:val="00FB0729"/>
    <w:rsid w:val="00FB080F"/>
    <w:rsid w:val="00FB1BF3"/>
    <w:rsid w:val="00FB4402"/>
    <w:rsid w:val="00FB5FEC"/>
    <w:rsid w:val="00FB60FE"/>
    <w:rsid w:val="00FB6603"/>
    <w:rsid w:val="00FB74E2"/>
    <w:rsid w:val="00FC0D28"/>
    <w:rsid w:val="00FC2DB0"/>
    <w:rsid w:val="00FC60BA"/>
    <w:rsid w:val="00FC67A2"/>
    <w:rsid w:val="00FC71DC"/>
    <w:rsid w:val="00FD067E"/>
    <w:rsid w:val="00FD13D4"/>
    <w:rsid w:val="00FD1563"/>
    <w:rsid w:val="00FD2ED2"/>
    <w:rsid w:val="00FD5614"/>
    <w:rsid w:val="00FD5E78"/>
    <w:rsid w:val="00FE0BE1"/>
    <w:rsid w:val="00FE1DE9"/>
    <w:rsid w:val="00FE3343"/>
    <w:rsid w:val="00FE36AF"/>
    <w:rsid w:val="00FE39C2"/>
    <w:rsid w:val="00FE3C32"/>
    <w:rsid w:val="00FE4F90"/>
    <w:rsid w:val="00FE5E1A"/>
    <w:rsid w:val="00FE64AE"/>
    <w:rsid w:val="00FF2807"/>
    <w:rsid w:val="00FF5017"/>
    <w:rsid w:val="00FF6C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4"/>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6"/>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6"/>
      </w:numPr>
      <w:tabs>
        <w:tab w:val="clear" w:pos="680"/>
        <w:tab w:val="left" w:pos="1021"/>
      </w:tabs>
      <w:outlineLvl w:val="7"/>
    </w:pPr>
  </w:style>
  <w:style w:type="paragraph" w:styleId="Heading9">
    <w:name w:val="heading 9"/>
    <w:basedOn w:val="Heading3"/>
    <w:next w:val="Normal"/>
    <w:link w:val="Heading9Char"/>
    <w:qFormat/>
    <w:rsid w:val="00CB0279"/>
    <w:pPr>
      <w:numPr>
        <w:numId w:val="2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6"/>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aliases w:val="Bulleted List"/>
    <w:basedOn w:val="Normal"/>
    <w:uiPriority w:val="34"/>
    <w:qFormat/>
    <w:rsid w:val="00567BA5"/>
    <w:pPr>
      <w:numPr>
        <w:numId w:val="28"/>
      </w:numPr>
      <w:tabs>
        <w:tab w:val="left" w:pos="340"/>
      </w:tabs>
      <w:spacing w:before="12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4"/>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4"/>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4"/>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5"/>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19"/>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7"/>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0"/>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1"/>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2"/>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5"/>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4"/>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6"/>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6"/>
      </w:numPr>
      <w:tabs>
        <w:tab w:val="clear" w:pos="680"/>
        <w:tab w:val="left" w:pos="1021"/>
      </w:tabs>
      <w:outlineLvl w:val="7"/>
    </w:pPr>
  </w:style>
  <w:style w:type="paragraph" w:styleId="Heading9">
    <w:name w:val="heading 9"/>
    <w:basedOn w:val="Heading3"/>
    <w:next w:val="Normal"/>
    <w:link w:val="Heading9Char"/>
    <w:qFormat/>
    <w:rsid w:val="00CB0279"/>
    <w:pPr>
      <w:numPr>
        <w:numId w:val="2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6"/>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aliases w:val="Bulleted List"/>
    <w:basedOn w:val="Normal"/>
    <w:uiPriority w:val="34"/>
    <w:qFormat/>
    <w:rsid w:val="00567BA5"/>
    <w:pPr>
      <w:numPr>
        <w:numId w:val="28"/>
      </w:numPr>
      <w:tabs>
        <w:tab w:val="left" w:pos="340"/>
      </w:tabs>
      <w:spacing w:before="12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4"/>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4"/>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4"/>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5"/>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19"/>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7"/>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0"/>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1"/>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2"/>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5"/>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3066">
      <w:bodyDiv w:val="1"/>
      <w:marLeft w:val="0"/>
      <w:marRight w:val="0"/>
      <w:marTop w:val="0"/>
      <w:marBottom w:val="0"/>
      <w:divBdr>
        <w:top w:val="none" w:sz="0" w:space="0" w:color="auto"/>
        <w:left w:val="none" w:sz="0" w:space="0" w:color="auto"/>
        <w:bottom w:val="none" w:sz="0" w:space="0" w:color="auto"/>
        <w:right w:val="none" w:sz="0" w:space="0" w:color="auto"/>
      </w:divBdr>
    </w:div>
    <w:div w:id="365446201">
      <w:bodyDiv w:val="1"/>
      <w:marLeft w:val="0"/>
      <w:marRight w:val="0"/>
      <w:marTop w:val="0"/>
      <w:marBottom w:val="0"/>
      <w:divBdr>
        <w:top w:val="none" w:sz="0" w:space="0" w:color="auto"/>
        <w:left w:val="none" w:sz="0" w:space="0" w:color="auto"/>
        <w:bottom w:val="none" w:sz="0" w:space="0" w:color="auto"/>
        <w:right w:val="none" w:sz="0" w:space="0" w:color="auto"/>
      </w:divBdr>
    </w:div>
    <w:div w:id="53473802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7770662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97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wmf"/><Relationship Id="rId25" Type="http://schemas.openxmlformats.org/officeDocument/2006/relationships/image" Target="media/image10.e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9.emf"/><Relationship Id="rId32" Type="http://schemas.openxmlformats.org/officeDocument/2006/relationships/header" Target="header2.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oleObject" Target="embeddings/oleObject5.bin"/><Relationship Id="rId35" Type="http://schemas.openxmlformats.org/officeDocument/2006/relationships/header" Target="head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2D6D52-CC1C-4F71-BB20-AC9F2B0C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AF200A45</Template>
  <TotalTime>0</TotalTime>
  <Pages>49</Pages>
  <Words>12079</Words>
  <Characters>68853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2017-12-13T01:23:00Z</dcterms:created>
  <dcterms:modified xsi:type="dcterms:W3CDTF">2017-12-13T01:23:00Z</dcterms:modified>
</cp:coreProperties>
</file>