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83" w:rsidRPr="008A1935" w:rsidRDefault="00760A7C" w:rsidP="008A1935">
      <w:pPr>
        <w:pStyle w:val="AERbodytextleftalign"/>
        <w:rPr>
          <w:rStyle w:val="AERbody"/>
          <w:rFonts w:eastAsiaTheme="majorEastAsia"/>
        </w:rPr>
      </w:pPr>
      <w:bookmarkStart w:id="0" w:name="_GoBack"/>
      <w:bookmarkEnd w:id="0"/>
      <w:r w:rsidRPr="00760A7C">
        <w:rPr>
          <w:noProof/>
          <w:lang w:eastAsia="en-AU"/>
        </w:rPr>
        <w:drawing>
          <wp:anchor distT="0" distB="0" distL="114300" distR="114300" simplePos="0" relativeHeight="251659264" behindDoc="1" locked="0" layoutInCell="1" allowOverlap="1" wp14:anchorId="1789511D" wp14:editId="09F985C1">
            <wp:simplePos x="0" y="0"/>
            <wp:positionH relativeFrom="column">
              <wp:posOffset>-1110234</wp:posOffset>
            </wp:positionH>
            <wp:positionV relativeFrom="paragraph">
              <wp:posOffset>-903156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8A1935">
          <w:pPr>
            <w:pStyle w:val="AERbodytextcentre"/>
          </w:pPr>
        </w:p>
        <w:p w:rsidR="00F171E0" w:rsidRDefault="00F171E0" w:rsidP="008A1935">
          <w:pPr>
            <w:pStyle w:val="AERbodytextcentre"/>
          </w:pPr>
        </w:p>
        <w:p w:rsidR="00F171E0" w:rsidRDefault="00F171E0" w:rsidP="008A1935">
          <w:pPr>
            <w:pStyle w:val="AERbodytextcentre"/>
          </w:pPr>
        </w:p>
        <w:p w:rsidR="00F171E0" w:rsidRDefault="00F171E0" w:rsidP="00F171E0"/>
        <w:p w:rsidR="00F171E0" w:rsidRDefault="00F171E0" w:rsidP="00F171E0"/>
        <w:p w:rsidR="005C16FE" w:rsidRDefault="005C16FE" w:rsidP="00F171E0"/>
        <w:p w:rsidR="004B4A53" w:rsidRDefault="001754EE" w:rsidP="004B4A53">
          <w:pPr>
            <w:pStyle w:val="ReportDate"/>
          </w:pPr>
          <w:r>
            <w:tab/>
          </w:r>
        </w:p>
        <w:p w:rsidR="00B11734" w:rsidRDefault="00B11734" w:rsidP="00B11734">
          <w:pPr>
            <w:pStyle w:val="ReportTitle"/>
          </w:pPr>
          <w:r>
            <w:t>Explanatory statement</w:t>
          </w:r>
        </w:p>
        <w:p w:rsidR="000A6C7B" w:rsidRPr="00B11734" w:rsidRDefault="00044A75" w:rsidP="00B11734">
          <w:pPr>
            <w:pStyle w:val="ReportSubtitle"/>
          </w:pPr>
          <w:r>
            <w:t xml:space="preserve">Draft </w:t>
          </w:r>
          <w:r w:rsidR="00B11734">
            <w:t>demand management incentive s</w:t>
          </w:r>
          <w:r w:rsidR="000274A4" w:rsidRPr="00B11734">
            <w:t>cheme</w:t>
          </w:r>
        </w:p>
        <w:p w:rsidR="00B33BA8" w:rsidRDefault="00B33BA8" w:rsidP="00327A1E">
          <w:pPr>
            <w:pStyle w:val="ReportDate"/>
          </w:pPr>
        </w:p>
        <w:p w:rsidR="004B4A53" w:rsidRDefault="004B4A53" w:rsidP="00327A1E">
          <w:pPr>
            <w:pStyle w:val="ReportDate"/>
          </w:pPr>
          <w:r w:rsidRPr="004B4A53">
            <w:t>Electricity distribution network service providers</w:t>
          </w:r>
        </w:p>
        <w:p w:rsidR="004B4A53" w:rsidRDefault="004B4A53" w:rsidP="00327A1E">
          <w:pPr>
            <w:pStyle w:val="ReportDate"/>
          </w:pPr>
        </w:p>
        <w:p w:rsidR="00723A2C" w:rsidRDefault="00723A2C" w:rsidP="00327A1E">
          <w:pPr>
            <w:pStyle w:val="ReportDate"/>
          </w:pPr>
        </w:p>
        <w:p w:rsidR="000A6C7B" w:rsidRPr="00327A1E" w:rsidRDefault="00C12440" w:rsidP="00327A1E">
          <w:pPr>
            <w:pStyle w:val="ReportDate"/>
          </w:pPr>
          <w:r>
            <w:t>August</w:t>
          </w:r>
          <w:r w:rsidR="00386073">
            <w:t xml:space="preserve"> </w:t>
          </w:r>
          <w:r w:rsidR="000474DF">
            <w:t>201</w:t>
          </w:r>
          <w:r w:rsidR="00386073">
            <w:t>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386073">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00760A7C" w:rsidRPr="005316BC">
          <w:rPr>
            <w:rStyle w:val="Hyperlink"/>
          </w:rPr>
          <w:t>DM@aer.gov.au</w:t>
        </w:r>
      </w:hyperlink>
      <w:r>
        <w:rPr>
          <w:rStyle w:val="Hyperlink"/>
        </w:rPr>
        <w:br/>
      </w:r>
    </w:p>
    <w:p w:rsidR="00030FD9" w:rsidRDefault="00030FD9" w:rsidP="00761454">
      <w:r>
        <w:t>AER reference: 58882</w:t>
      </w:r>
    </w:p>
    <w:p w:rsidR="00291A99" w:rsidRDefault="00B11734" w:rsidP="00B11734">
      <w:pPr>
        <w:pStyle w:val="UnnumberedHeading"/>
      </w:pPr>
      <w:bookmarkStart w:id="2" w:name="_Toc491447225"/>
      <w:r>
        <w:lastRenderedPageBreak/>
        <w:t>Request for submissions</w:t>
      </w:r>
      <w:bookmarkEnd w:id="2"/>
    </w:p>
    <w:p w:rsidR="00B11734" w:rsidRPr="00B11734" w:rsidRDefault="001E57BD" w:rsidP="00B11734">
      <w:r w:rsidRPr="00B11734">
        <w:t xml:space="preserve">The Australian Energy Regulator (AER) </w:t>
      </w:r>
      <w:r>
        <w:t>invites</w:t>
      </w:r>
      <w:r w:rsidR="00B11734">
        <w:t xml:space="preserve"> i</w:t>
      </w:r>
      <w:r w:rsidR="00B11734" w:rsidRPr="00B11734">
        <w:t>nterested parties to make written submissions regarding this paper by the close of business</w:t>
      </w:r>
      <w:r w:rsidR="0069452D">
        <w:rPr>
          <w:rStyle w:val="Bold"/>
        </w:rPr>
        <w:t xml:space="preserve"> 12 </w:t>
      </w:r>
      <w:r w:rsidR="005A2ABC">
        <w:rPr>
          <w:rStyle w:val="Bold"/>
        </w:rPr>
        <w:t>October</w:t>
      </w:r>
      <w:r w:rsidR="00B11734" w:rsidRPr="00B11734">
        <w:rPr>
          <w:rStyle w:val="Bold"/>
        </w:rPr>
        <w:t xml:space="preserve"> 201</w:t>
      </w:r>
      <w:r w:rsidR="00B11734">
        <w:rPr>
          <w:rStyle w:val="Bold"/>
        </w:rPr>
        <w:t>7</w:t>
      </w:r>
      <w:r w:rsidR="00B11734" w:rsidRPr="00B11734">
        <w:t>.</w:t>
      </w:r>
    </w:p>
    <w:p w:rsidR="00B11734" w:rsidRPr="00B11734" w:rsidRDefault="00B11734" w:rsidP="00B11734">
      <w:r>
        <w:t>Interested parties should send s</w:t>
      </w:r>
      <w:r w:rsidRPr="00B11734">
        <w:t xml:space="preserve">ubmissions electronically to: </w:t>
      </w:r>
      <w:hyperlink r:id="rId12" w:history="1">
        <w:r w:rsidRPr="00723547">
          <w:rPr>
            <w:rStyle w:val="Hyperlink"/>
          </w:rPr>
          <w:t>DM@aer.gov.au</w:t>
        </w:r>
      </w:hyperlink>
      <w:r>
        <w:t xml:space="preserve">. </w:t>
      </w:r>
    </w:p>
    <w:p w:rsidR="00B11734" w:rsidRPr="00CC31C5" w:rsidRDefault="00B11734" w:rsidP="00CC31C5">
      <w:pPr>
        <w:rPr>
          <w:rStyle w:val="AERbody"/>
        </w:rPr>
      </w:pPr>
      <w:r w:rsidRPr="00CC31C5">
        <w:rPr>
          <w:rStyle w:val="AERbody"/>
        </w:rPr>
        <w:t xml:space="preserve">Alternatively, </w:t>
      </w:r>
      <w:r w:rsidR="007925FB" w:rsidRPr="00CC31C5">
        <w:rPr>
          <w:rStyle w:val="AERbody"/>
        </w:rPr>
        <w:t xml:space="preserve">people can mail </w:t>
      </w:r>
      <w:r w:rsidRPr="00CC31C5">
        <w:rPr>
          <w:rStyle w:val="AERbody"/>
        </w:rPr>
        <w:t>submissions to:</w:t>
      </w:r>
    </w:p>
    <w:p w:rsidR="00B11734" w:rsidRPr="007925FB" w:rsidRDefault="00B11734" w:rsidP="00CC31C5">
      <w:r w:rsidRPr="007925FB">
        <w:t xml:space="preserve">Mr </w:t>
      </w:r>
      <w:r w:rsidR="007925FB" w:rsidRPr="007925FB">
        <w:t xml:space="preserve">Warwick </w:t>
      </w:r>
      <w:r w:rsidR="007925FB" w:rsidRPr="00CC31C5">
        <w:rPr>
          <w:rStyle w:val="AERbody"/>
        </w:rPr>
        <w:t>Anderson</w:t>
      </w:r>
    </w:p>
    <w:p w:rsidR="00B11734" w:rsidRPr="007925FB" w:rsidRDefault="00B11734" w:rsidP="007925FB">
      <w:pPr>
        <w:pStyle w:val="E-mailSignature"/>
      </w:pPr>
      <w:r w:rsidRPr="007925FB">
        <w:t>General Manager, Network</w:t>
      </w:r>
      <w:r w:rsidR="007925FB" w:rsidRPr="007925FB">
        <w:t xml:space="preserve"> Finance and Reporting</w:t>
      </w:r>
    </w:p>
    <w:p w:rsidR="00B11734" w:rsidRPr="007925FB" w:rsidRDefault="00B11734" w:rsidP="007925FB">
      <w:pPr>
        <w:pStyle w:val="E-mailSignature"/>
      </w:pPr>
      <w:r w:rsidRPr="007925FB">
        <w:t>Australian Energy Regulator</w:t>
      </w:r>
    </w:p>
    <w:p w:rsidR="00B11734" w:rsidRPr="007925FB" w:rsidRDefault="007925FB" w:rsidP="007925FB">
      <w:pPr>
        <w:pStyle w:val="E-mailSignature"/>
      </w:pPr>
      <w:r w:rsidRPr="007925FB">
        <w:t>GPO Box 3131</w:t>
      </w:r>
    </w:p>
    <w:p w:rsidR="00B11734" w:rsidRPr="007925FB" w:rsidRDefault="007925FB" w:rsidP="007925FB">
      <w:pPr>
        <w:pStyle w:val="E-mailSignature"/>
      </w:pPr>
      <w:r w:rsidRPr="007925FB">
        <w:t>Canberra  ACT  26</w:t>
      </w:r>
      <w:r w:rsidR="00B11734" w:rsidRPr="007925FB">
        <w:t>01</w:t>
      </w:r>
    </w:p>
    <w:p w:rsidR="00B11734" w:rsidRPr="00B11734" w:rsidRDefault="001E57BD" w:rsidP="00B11734">
      <w:r>
        <w:t>We prefer</w:t>
      </w:r>
      <w:r w:rsidR="00B11734" w:rsidRPr="00B11734">
        <w:t xml:space="preserve"> that all submissions be publicly available to facilitate an informed and transparent consultative process. </w:t>
      </w:r>
      <w:r w:rsidR="007925FB">
        <w:t>We will treat s</w:t>
      </w:r>
      <w:r w:rsidR="00B11734" w:rsidRPr="00B11734">
        <w:t>ubmissions as public documents unless otherwise requested.</w:t>
      </w:r>
    </w:p>
    <w:p w:rsidR="00B11734" w:rsidRPr="00B11734" w:rsidRDefault="007925FB" w:rsidP="00B11734">
      <w:r>
        <w:t>We request p</w:t>
      </w:r>
      <w:r w:rsidR="00B11734" w:rsidRPr="00B11734">
        <w:t>arties wishing to submit confidential information to:</w:t>
      </w:r>
    </w:p>
    <w:p w:rsidR="00B11734" w:rsidRPr="00B11734" w:rsidRDefault="007925FB" w:rsidP="007925FB">
      <w:pPr>
        <w:pStyle w:val="AERbulletlistfirststyle"/>
      </w:pPr>
      <w:r>
        <w:t>Cl</w:t>
      </w:r>
      <w:r w:rsidR="00B11734" w:rsidRPr="00B11734">
        <w:t>early identify the information that is the subject of the confidentiality claim</w:t>
      </w:r>
      <w:r>
        <w:t>.</w:t>
      </w:r>
    </w:p>
    <w:p w:rsidR="00B11734" w:rsidRPr="00B11734" w:rsidRDefault="007925FB" w:rsidP="007925FB">
      <w:pPr>
        <w:pStyle w:val="AERbulletlistfirststyle"/>
      </w:pPr>
      <w:r>
        <w:t>P</w:t>
      </w:r>
      <w:r w:rsidR="00B11734" w:rsidRPr="00B11734">
        <w:t>rovide a non-confidential version of the submission in a form suitable for publication.</w:t>
      </w:r>
    </w:p>
    <w:p w:rsidR="00B11734" w:rsidRPr="00B11734" w:rsidRDefault="007925FB" w:rsidP="00B11734">
      <w:r>
        <w:t>We will place a</w:t>
      </w:r>
      <w:r w:rsidR="00B11734" w:rsidRPr="00B11734">
        <w:t xml:space="preserve">ll non-confidential submissions </w:t>
      </w:r>
      <w:r w:rsidR="001E57BD">
        <w:t>on our</w:t>
      </w:r>
      <w:r w:rsidR="00B11734" w:rsidRPr="00B11734">
        <w:t xml:space="preserve"> website at www.aer.gov.au. For further information regarding </w:t>
      </w:r>
      <w:r w:rsidR="001E57BD">
        <w:t>our use</w:t>
      </w:r>
      <w:r w:rsidR="00B11734" w:rsidRPr="00B11734">
        <w:t xml:space="preserve"> and disclosu</w:t>
      </w:r>
      <w:r w:rsidR="001E57BD">
        <w:t>re of information provided to us</w:t>
      </w:r>
      <w:r w:rsidR="00B11734" w:rsidRPr="00B11734">
        <w:t xml:space="preserve">, see the ACCC/AER Information Policy, June 2014 available on </w:t>
      </w:r>
      <w:r w:rsidR="001E57BD">
        <w:t>our</w:t>
      </w:r>
      <w:r w:rsidR="00B11734" w:rsidRPr="00B11734">
        <w:t xml:space="preserve"> website.</w:t>
      </w:r>
    </w:p>
    <w:p w:rsidR="00B11734" w:rsidRDefault="007925FB" w:rsidP="00B11734">
      <w:r>
        <w:t>Please direct e</w:t>
      </w:r>
      <w:r w:rsidR="00B11734" w:rsidRPr="00B11734">
        <w:t xml:space="preserve">nquiries about this paper, or about lodging submissions, to </w:t>
      </w:r>
      <w:hyperlink r:id="rId13" w:history="1">
        <w:r w:rsidR="001E57BD" w:rsidRPr="00723547">
          <w:rPr>
            <w:rStyle w:val="Hyperlink"/>
          </w:rPr>
          <w:t>DM@aer.gov.au</w:t>
        </w:r>
      </w:hyperlink>
      <w:r w:rsidR="001E57BD">
        <w:t xml:space="preserve"> or to</w:t>
      </w:r>
      <w:r w:rsidR="00150CC3">
        <w:t xml:space="preserve"> Lisa Beckmann on (02) 9230 9164</w:t>
      </w:r>
      <w:r w:rsidR="00B11734" w:rsidRPr="00B11734">
        <w:t>.</w:t>
      </w:r>
    </w:p>
    <w:p w:rsidR="00B11734" w:rsidRPr="00B11734" w:rsidRDefault="00B11734" w:rsidP="00B11734">
      <w:pPr>
        <w:rPr>
          <w:rStyle w:val="AERbody"/>
        </w:rPr>
      </w:pPr>
    </w:p>
    <w:p w:rsidR="007925FB" w:rsidRDefault="007925FB" w:rsidP="007925FB">
      <w:pPr>
        <w:pStyle w:val="UnnumberedHeading"/>
      </w:pPr>
      <w:bookmarkStart w:id="3" w:name="_Toc491447226"/>
      <w:r>
        <w:lastRenderedPageBreak/>
        <w:t>Shortened forms</w:t>
      </w:r>
      <w:r w:rsidR="00EB22C0">
        <w:t xml:space="preserve"> and glossary</w:t>
      </w:r>
      <w:bookmarkEnd w:id="3"/>
    </w:p>
    <w:tbl>
      <w:tblPr>
        <w:tblStyle w:val="AERtable-text0"/>
        <w:tblW w:w="0" w:type="auto"/>
        <w:tblLook w:val="04A0" w:firstRow="1" w:lastRow="0" w:firstColumn="1" w:lastColumn="0" w:noHBand="0" w:noVBand="1"/>
      </w:tblPr>
      <w:tblGrid>
        <w:gridCol w:w="3369"/>
        <w:gridCol w:w="5324"/>
      </w:tblGrid>
      <w:tr w:rsidR="009259BD" w:rsidRPr="0087648F" w:rsidTr="0040000B">
        <w:trPr>
          <w:cnfStyle w:val="100000000000" w:firstRow="1" w:lastRow="0" w:firstColumn="0" w:lastColumn="0" w:oddVBand="0" w:evenVBand="0" w:oddHBand="0" w:evenHBand="0" w:firstRowFirstColumn="0" w:firstRowLastColumn="0" w:lastRowFirstColumn="0" w:lastRowLastColumn="0"/>
          <w:tblHeader/>
        </w:trPr>
        <w:tc>
          <w:tcPr>
            <w:tcW w:w="3369" w:type="dxa"/>
          </w:tcPr>
          <w:p w:rsidR="009259BD" w:rsidRPr="009259BD" w:rsidRDefault="009259BD" w:rsidP="009259BD">
            <w:r>
              <w:t>Short</w:t>
            </w:r>
            <w:r w:rsidRPr="009259BD">
              <w:t>ened form or term</w:t>
            </w:r>
          </w:p>
        </w:tc>
        <w:tc>
          <w:tcPr>
            <w:tcW w:w="5324" w:type="dxa"/>
          </w:tcPr>
          <w:p w:rsidR="009259BD" w:rsidRPr="009259BD" w:rsidRDefault="009259BD" w:rsidP="009259BD">
            <w:r>
              <w:t>Extended form</w:t>
            </w:r>
            <w:r w:rsidRPr="009259BD">
              <w:t xml:space="preserve"> or definition</w:t>
            </w:r>
          </w:p>
        </w:tc>
      </w:tr>
      <w:tr w:rsidR="009259BD" w:rsidTr="0040000B">
        <w:tc>
          <w:tcPr>
            <w:tcW w:w="3369" w:type="dxa"/>
          </w:tcPr>
          <w:p w:rsidR="009259BD" w:rsidRPr="009259BD" w:rsidRDefault="009259BD" w:rsidP="009259BD">
            <w:pPr>
              <w:pStyle w:val="AERtabletextleft"/>
              <w:rPr>
                <w:rStyle w:val="AERtextsize8"/>
              </w:rPr>
            </w:pPr>
            <w:r w:rsidRPr="00712239">
              <w:rPr>
                <w:rStyle w:val="AERtextsize8"/>
              </w:rPr>
              <w:t>AEMC</w:t>
            </w:r>
          </w:p>
        </w:tc>
        <w:tc>
          <w:tcPr>
            <w:tcW w:w="5324" w:type="dxa"/>
          </w:tcPr>
          <w:p w:rsidR="009259BD" w:rsidRPr="009259BD" w:rsidRDefault="009259BD" w:rsidP="009259BD">
            <w:pPr>
              <w:pStyle w:val="AERtabletextleft"/>
              <w:rPr>
                <w:rStyle w:val="AERtextsize8"/>
              </w:rPr>
            </w:pPr>
            <w:r w:rsidRPr="00712239">
              <w:rPr>
                <w:rStyle w:val="AERtextsize8"/>
              </w:rPr>
              <w:t>Australian Energy Market Commission</w:t>
            </w:r>
          </w:p>
        </w:tc>
      </w:tr>
      <w:tr w:rsidR="009259BD"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9259BD" w:rsidRPr="009259BD" w:rsidRDefault="009259BD" w:rsidP="009259BD">
            <w:pPr>
              <w:pStyle w:val="AERtabletextleft"/>
              <w:rPr>
                <w:rStyle w:val="AERtextsize8"/>
              </w:rPr>
            </w:pPr>
            <w:r w:rsidRPr="00712239">
              <w:rPr>
                <w:rStyle w:val="AERtextsize8"/>
              </w:rPr>
              <w:t>AEMO</w:t>
            </w:r>
          </w:p>
        </w:tc>
        <w:tc>
          <w:tcPr>
            <w:tcW w:w="5324" w:type="dxa"/>
          </w:tcPr>
          <w:p w:rsidR="009259BD" w:rsidRPr="009259BD" w:rsidRDefault="009259BD" w:rsidP="009259BD">
            <w:pPr>
              <w:pStyle w:val="AERtabletextleft"/>
              <w:rPr>
                <w:rStyle w:val="AERtextsize8"/>
              </w:rPr>
            </w:pPr>
            <w:r w:rsidRPr="00712239">
              <w:rPr>
                <w:rStyle w:val="AERtextsize8"/>
              </w:rPr>
              <w:t>Australian Energy Market Operator</w:t>
            </w:r>
          </w:p>
        </w:tc>
      </w:tr>
      <w:tr w:rsidR="009259BD" w:rsidTr="0040000B">
        <w:tc>
          <w:tcPr>
            <w:tcW w:w="3369" w:type="dxa"/>
          </w:tcPr>
          <w:p w:rsidR="009259BD" w:rsidRPr="009259BD" w:rsidRDefault="009259BD" w:rsidP="009259BD">
            <w:pPr>
              <w:pStyle w:val="AERtabletextleft"/>
              <w:rPr>
                <w:rStyle w:val="AERtextsize8"/>
              </w:rPr>
            </w:pPr>
            <w:r w:rsidRPr="00712239">
              <w:rPr>
                <w:rStyle w:val="AERtextsize8"/>
              </w:rPr>
              <w:t>AER</w:t>
            </w:r>
          </w:p>
        </w:tc>
        <w:tc>
          <w:tcPr>
            <w:tcW w:w="5324" w:type="dxa"/>
          </w:tcPr>
          <w:p w:rsidR="009259BD" w:rsidRPr="009259BD" w:rsidRDefault="009259BD" w:rsidP="009259BD">
            <w:pPr>
              <w:pStyle w:val="AERtabletextleft"/>
              <w:rPr>
                <w:rStyle w:val="AERtextsize8"/>
              </w:rPr>
            </w:pPr>
            <w:r w:rsidRPr="00712239">
              <w:rPr>
                <w:rStyle w:val="AERtextsize8"/>
              </w:rPr>
              <w:t xml:space="preserve">Australian Energy </w:t>
            </w:r>
            <w:r w:rsidRPr="009259BD">
              <w:rPr>
                <w:rStyle w:val="AERtextsize8"/>
              </w:rPr>
              <w:t>Regulator</w:t>
            </w:r>
          </w:p>
        </w:tc>
      </w:tr>
      <w:tr w:rsidR="0069452D"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69452D" w:rsidRPr="0069452D" w:rsidRDefault="0069452D" w:rsidP="0069452D">
            <w:pPr>
              <w:pStyle w:val="AERtabletextleft"/>
              <w:rPr>
                <w:rStyle w:val="AERtextsize8"/>
              </w:rPr>
            </w:pPr>
            <w:r>
              <w:rPr>
                <w:rStyle w:val="AERtextsize8"/>
              </w:rPr>
              <w:t>AR</w:t>
            </w:r>
          </w:p>
        </w:tc>
        <w:tc>
          <w:tcPr>
            <w:tcW w:w="5324" w:type="dxa"/>
          </w:tcPr>
          <w:p w:rsidR="0069452D" w:rsidRPr="0069452D" w:rsidRDefault="0069452D" w:rsidP="0069452D">
            <w:pPr>
              <w:pStyle w:val="AERtabletextleft"/>
              <w:rPr>
                <w:rStyle w:val="AERtextsize8"/>
              </w:rPr>
            </w:pPr>
            <w:r>
              <w:rPr>
                <w:rStyle w:val="AERtextsize8"/>
              </w:rPr>
              <w:t>A</w:t>
            </w:r>
            <w:r w:rsidRPr="0069452D">
              <w:rPr>
                <w:rStyle w:val="AERtextsize8"/>
              </w:rPr>
              <w:t>nnual smoothed revenue requirement</w:t>
            </w:r>
          </w:p>
        </w:tc>
      </w:tr>
      <w:tr w:rsidR="0069452D" w:rsidTr="0040000B">
        <w:tc>
          <w:tcPr>
            <w:tcW w:w="3369" w:type="dxa"/>
          </w:tcPr>
          <w:p w:rsidR="0069452D" w:rsidRPr="0069452D" w:rsidRDefault="0069452D" w:rsidP="0069452D">
            <w:pPr>
              <w:pStyle w:val="AERtabletextleft"/>
              <w:rPr>
                <w:rStyle w:val="AERtextsize8"/>
              </w:rPr>
            </w:pPr>
            <w:r>
              <w:rPr>
                <w:rStyle w:val="AERtextsize8"/>
              </w:rPr>
              <w:t>ARENA</w:t>
            </w:r>
          </w:p>
        </w:tc>
        <w:tc>
          <w:tcPr>
            <w:tcW w:w="5324" w:type="dxa"/>
          </w:tcPr>
          <w:p w:rsidR="0069452D" w:rsidRPr="0069452D" w:rsidRDefault="0069452D" w:rsidP="0069452D">
            <w:pPr>
              <w:pStyle w:val="AERtabletextleft"/>
              <w:rPr>
                <w:rStyle w:val="AERtextsize8"/>
              </w:rPr>
            </w:pPr>
            <w:r>
              <w:rPr>
                <w:rStyle w:val="AERtextsize8"/>
              </w:rPr>
              <w:t>Australian Renewable Energy Agency</w:t>
            </w:r>
          </w:p>
        </w:tc>
      </w:tr>
      <w:tr w:rsidR="0069452D"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69452D" w:rsidRPr="0069452D" w:rsidRDefault="0069452D" w:rsidP="0069452D">
            <w:pPr>
              <w:pStyle w:val="AERtabletextleft"/>
              <w:rPr>
                <w:rStyle w:val="AERtextsize8"/>
              </w:rPr>
            </w:pPr>
            <w:r>
              <w:rPr>
                <w:rStyle w:val="AERtextsize8"/>
              </w:rPr>
              <w:t>capex</w:t>
            </w:r>
          </w:p>
        </w:tc>
        <w:tc>
          <w:tcPr>
            <w:tcW w:w="5324" w:type="dxa"/>
          </w:tcPr>
          <w:p w:rsidR="0069452D" w:rsidRPr="0069452D" w:rsidRDefault="0069452D" w:rsidP="0069452D">
            <w:pPr>
              <w:pStyle w:val="AERtabletextleft"/>
              <w:rPr>
                <w:rStyle w:val="AERtextsize8"/>
              </w:rPr>
            </w:pPr>
            <w:r>
              <w:rPr>
                <w:rStyle w:val="AERtextsize8"/>
              </w:rPr>
              <w:t>Capital expenditure</w:t>
            </w:r>
          </w:p>
        </w:tc>
      </w:tr>
      <w:tr w:rsidR="0069452D" w:rsidTr="0040000B">
        <w:tc>
          <w:tcPr>
            <w:tcW w:w="3369" w:type="dxa"/>
          </w:tcPr>
          <w:p w:rsidR="0069452D" w:rsidRPr="0069452D" w:rsidRDefault="0069452D" w:rsidP="0069452D">
            <w:pPr>
              <w:pStyle w:val="AERtabletextleft"/>
              <w:rPr>
                <w:rStyle w:val="AERtextsize8"/>
              </w:rPr>
            </w:pPr>
            <w:r>
              <w:rPr>
                <w:rStyle w:val="AERtextsize8"/>
              </w:rPr>
              <w:t>compliance report</w:t>
            </w:r>
          </w:p>
        </w:tc>
        <w:tc>
          <w:tcPr>
            <w:tcW w:w="5324" w:type="dxa"/>
          </w:tcPr>
          <w:p w:rsidR="0069452D" w:rsidRPr="0069452D" w:rsidRDefault="0069452D" w:rsidP="0069452D">
            <w:pPr>
              <w:pStyle w:val="AERtabletextleft"/>
              <w:rPr>
                <w:rStyle w:val="AERtextsize8"/>
              </w:rPr>
            </w:pPr>
            <w:r>
              <w:rPr>
                <w:rStyle w:val="AERtextsize8"/>
              </w:rPr>
              <w:t xml:space="preserve">The demand management compliance report required under subclause </w:t>
            </w:r>
            <w:r w:rsidRPr="0069452D">
              <w:rPr>
                <w:rStyle w:val="AERtextsize8"/>
              </w:rPr>
              <w:t>2.4.1 of the draft Scheme</w:t>
            </w:r>
          </w:p>
        </w:tc>
      </w:tr>
      <w:tr w:rsidR="0069452D"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69452D" w:rsidRPr="0069452D" w:rsidRDefault="0069452D" w:rsidP="0069452D">
            <w:pPr>
              <w:pStyle w:val="AERtabletextleft"/>
              <w:rPr>
                <w:rStyle w:val="AERtextsize8"/>
              </w:rPr>
            </w:pPr>
            <w:r>
              <w:rPr>
                <w:rStyle w:val="AERtextsize8"/>
              </w:rPr>
              <w:t>credible option</w:t>
            </w:r>
          </w:p>
        </w:tc>
        <w:tc>
          <w:tcPr>
            <w:tcW w:w="5324" w:type="dxa"/>
          </w:tcPr>
          <w:p w:rsidR="0069452D" w:rsidRPr="0069452D" w:rsidRDefault="0069452D" w:rsidP="0069452D">
            <w:pPr>
              <w:pStyle w:val="AERtabletextleft"/>
              <w:rPr>
                <w:rStyle w:val="AERtextsize8"/>
              </w:rPr>
            </w:pPr>
            <w:r>
              <w:rPr>
                <w:rStyle w:val="AERtextsize8"/>
              </w:rPr>
              <w:t>Has the meaning given to it in NER clause 5.15.2(a)</w:t>
            </w:r>
          </w:p>
        </w:tc>
      </w:tr>
      <w:tr w:rsidR="0069452D" w:rsidTr="0040000B">
        <w:tc>
          <w:tcPr>
            <w:tcW w:w="3369" w:type="dxa"/>
          </w:tcPr>
          <w:p w:rsidR="0069452D" w:rsidRPr="0069452D" w:rsidRDefault="0069452D" w:rsidP="0069452D">
            <w:pPr>
              <w:pStyle w:val="AERtabletextleft"/>
              <w:rPr>
                <w:rStyle w:val="AERtextsize8"/>
              </w:rPr>
            </w:pPr>
            <w:r>
              <w:rPr>
                <w:rStyle w:val="AERtextsize8"/>
              </w:rPr>
              <w:t>DAPR</w:t>
            </w:r>
          </w:p>
        </w:tc>
        <w:tc>
          <w:tcPr>
            <w:tcW w:w="5324" w:type="dxa"/>
          </w:tcPr>
          <w:p w:rsidR="0069452D" w:rsidRPr="0069452D" w:rsidRDefault="0069452D" w:rsidP="0069452D">
            <w:pPr>
              <w:pStyle w:val="AERtabletextleft"/>
              <w:rPr>
                <w:rStyle w:val="AERtextsize8"/>
              </w:rPr>
            </w:pPr>
            <w:r>
              <w:rPr>
                <w:rStyle w:val="AERtextsize8"/>
              </w:rPr>
              <w:t>Distribution annual planning report</w:t>
            </w:r>
          </w:p>
        </w:tc>
      </w:tr>
      <w:tr w:rsidR="0069452D" w:rsidTr="0040000B">
        <w:trPr>
          <w:cnfStyle w:val="000000010000" w:firstRow="0" w:lastRow="0" w:firstColumn="0" w:lastColumn="0" w:oddVBand="0" w:evenVBand="0" w:oddHBand="0" w:evenHBand="1" w:firstRowFirstColumn="0" w:firstRowLastColumn="0" w:lastRowFirstColumn="0" w:lastRowLastColumn="0"/>
          <w:trHeight w:val="824"/>
        </w:trPr>
        <w:tc>
          <w:tcPr>
            <w:tcW w:w="3369" w:type="dxa"/>
          </w:tcPr>
          <w:p w:rsidR="0069452D" w:rsidRPr="0069452D" w:rsidRDefault="0069452D" w:rsidP="0069452D">
            <w:pPr>
              <w:pStyle w:val="AERtabletextleft"/>
              <w:rPr>
                <w:rStyle w:val="AERtextsize8"/>
              </w:rPr>
            </w:pPr>
            <w:r>
              <w:rPr>
                <w:rStyle w:val="AERtextsize8"/>
              </w:rPr>
              <w:t>demand management</w:t>
            </w:r>
          </w:p>
        </w:tc>
        <w:tc>
          <w:tcPr>
            <w:tcW w:w="5324" w:type="dxa"/>
          </w:tcPr>
          <w:p w:rsidR="0069452D" w:rsidRPr="0069452D" w:rsidRDefault="0069452D" w:rsidP="0069452D">
            <w:pPr>
              <w:pStyle w:val="AERtabletextleft"/>
              <w:rPr>
                <w:rStyle w:val="AERtextsize8"/>
              </w:rPr>
            </w:pPr>
            <w:r w:rsidRPr="003334A8">
              <w:rPr>
                <w:rStyle w:val="AERtextsize8"/>
              </w:rPr>
              <w:t>Fo</w:t>
            </w:r>
            <w:r w:rsidRPr="0069452D">
              <w:rPr>
                <w:rStyle w:val="AERtextsize8"/>
              </w:rPr>
              <w:t xml:space="preserve">r the purpose of the draft scheme, this relates to network demand management. This is the act of modifying the drivers of network demand to remove a network constraint. </w:t>
            </w:r>
          </w:p>
        </w:tc>
      </w:tr>
      <w:tr w:rsidR="0069452D" w:rsidTr="0040000B">
        <w:tc>
          <w:tcPr>
            <w:tcW w:w="3369" w:type="dxa"/>
          </w:tcPr>
          <w:p w:rsidR="0069452D" w:rsidRPr="0069452D" w:rsidRDefault="0069452D" w:rsidP="0069452D">
            <w:pPr>
              <w:pStyle w:val="AERtabletextleft"/>
              <w:rPr>
                <w:rStyle w:val="AERtextsize8"/>
              </w:rPr>
            </w:pPr>
            <w:r>
              <w:rPr>
                <w:rStyle w:val="AERtextsize8"/>
              </w:rPr>
              <w:t>distributor</w:t>
            </w:r>
          </w:p>
        </w:tc>
        <w:tc>
          <w:tcPr>
            <w:tcW w:w="5324" w:type="dxa"/>
          </w:tcPr>
          <w:p w:rsidR="0069452D" w:rsidRPr="0069452D" w:rsidRDefault="0069452D" w:rsidP="0069452D">
            <w:pPr>
              <w:pStyle w:val="AERtabletextleft"/>
              <w:rPr>
                <w:rStyle w:val="AERtextsize8"/>
              </w:rPr>
            </w:pPr>
            <w:r>
              <w:rPr>
                <w:rStyle w:val="AERtextsize8"/>
              </w:rPr>
              <w:t>Distribution network service provider</w:t>
            </w:r>
          </w:p>
        </w:tc>
      </w:tr>
      <w:tr w:rsidR="0069452D"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69452D" w:rsidRPr="0069452D" w:rsidRDefault="0069452D" w:rsidP="0069452D">
            <w:pPr>
              <w:pStyle w:val="AERtabletextleft"/>
              <w:rPr>
                <w:rStyle w:val="AERtextsize8"/>
              </w:rPr>
            </w:pPr>
            <w:r w:rsidRPr="00712239">
              <w:rPr>
                <w:rStyle w:val="AERtextsize8"/>
              </w:rPr>
              <w:t>EBSS</w:t>
            </w:r>
          </w:p>
        </w:tc>
        <w:tc>
          <w:tcPr>
            <w:tcW w:w="5324" w:type="dxa"/>
          </w:tcPr>
          <w:p w:rsidR="0069452D" w:rsidRPr="0069452D" w:rsidRDefault="0069452D" w:rsidP="0069452D">
            <w:pPr>
              <w:pStyle w:val="AERtabletextleft"/>
              <w:rPr>
                <w:rStyle w:val="AERtextsize8"/>
              </w:rPr>
            </w:pPr>
            <w:r>
              <w:rPr>
                <w:rStyle w:val="AERtextsize8"/>
              </w:rPr>
              <w:t>Efficiency benefit sharing s</w:t>
            </w:r>
            <w:r w:rsidRPr="0069452D">
              <w:rPr>
                <w:rStyle w:val="AERtextsize8"/>
              </w:rPr>
              <w:t>cheme</w:t>
            </w:r>
          </w:p>
        </w:tc>
      </w:tr>
      <w:tr w:rsidR="0069452D" w:rsidTr="0040000B">
        <w:tc>
          <w:tcPr>
            <w:tcW w:w="3369" w:type="dxa"/>
          </w:tcPr>
          <w:p w:rsidR="0069452D" w:rsidRPr="0069452D" w:rsidRDefault="0069452D" w:rsidP="0069452D">
            <w:pPr>
              <w:pStyle w:val="AERtabletextleft"/>
              <w:rPr>
                <w:rStyle w:val="AERtextsize8"/>
              </w:rPr>
            </w:pPr>
            <w:r>
              <w:rPr>
                <w:rStyle w:val="AERtextsize8"/>
              </w:rPr>
              <w:t>eligible project</w:t>
            </w:r>
          </w:p>
        </w:tc>
        <w:tc>
          <w:tcPr>
            <w:tcW w:w="5324" w:type="dxa"/>
          </w:tcPr>
          <w:p w:rsidR="0069452D" w:rsidRPr="0069452D" w:rsidRDefault="0069452D" w:rsidP="0069452D">
            <w:pPr>
              <w:pStyle w:val="AERtabletextleft"/>
              <w:rPr>
                <w:rStyle w:val="AERtextsize8"/>
              </w:rPr>
            </w:pPr>
            <w:r>
              <w:rPr>
                <w:rStyle w:val="AERtextsize8"/>
              </w:rPr>
              <w:t xml:space="preserve">As defined under </w:t>
            </w:r>
            <w:r w:rsidRPr="0069452D">
              <w:rPr>
                <w:rStyle w:val="AERtextsize8"/>
              </w:rPr>
              <w:t>2.2.1) of the draft Scheme</w:t>
            </w:r>
          </w:p>
        </w:tc>
      </w:tr>
      <w:tr w:rsidR="00A03D0E"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A03D0E" w:rsidRDefault="00A03D0E" w:rsidP="0069452D">
            <w:pPr>
              <w:pStyle w:val="AERtabletextleft"/>
              <w:rPr>
                <w:rStyle w:val="AERtextsize8"/>
              </w:rPr>
            </w:pPr>
            <w:r>
              <w:rPr>
                <w:rStyle w:val="AERtextsize8"/>
              </w:rPr>
              <w:t>The ISF</w:t>
            </w:r>
          </w:p>
        </w:tc>
        <w:tc>
          <w:tcPr>
            <w:tcW w:w="5324" w:type="dxa"/>
          </w:tcPr>
          <w:p w:rsidR="00A03D0E" w:rsidRDefault="00A03D0E" w:rsidP="0069452D">
            <w:pPr>
              <w:pStyle w:val="AERtabletextleft"/>
              <w:rPr>
                <w:rStyle w:val="AERtextsize8"/>
              </w:rPr>
            </w:pPr>
            <w:r>
              <w:rPr>
                <w:rStyle w:val="AERtextsize8"/>
              </w:rPr>
              <w:t xml:space="preserve">the Institute for Sustainable Futures </w:t>
            </w:r>
          </w:p>
        </w:tc>
      </w:tr>
      <w:tr w:rsidR="0069452D" w:rsidTr="0040000B">
        <w:tc>
          <w:tcPr>
            <w:tcW w:w="3369" w:type="dxa"/>
          </w:tcPr>
          <w:p w:rsidR="0069452D" w:rsidRPr="0069452D" w:rsidRDefault="0069452D" w:rsidP="0069452D">
            <w:pPr>
              <w:pStyle w:val="AERtabletextleft"/>
              <w:rPr>
                <w:rStyle w:val="AERtextsize8"/>
              </w:rPr>
            </w:pPr>
            <w:r>
              <w:rPr>
                <w:rStyle w:val="AERtextsize8"/>
              </w:rPr>
              <w:t>kVA</w:t>
            </w:r>
          </w:p>
        </w:tc>
        <w:tc>
          <w:tcPr>
            <w:tcW w:w="5324" w:type="dxa"/>
          </w:tcPr>
          <w:p w:rsidR="0069452D" w:rsidRPr="0069452D" w:rsidRDefault="0069452D" w:rsidP="0069452D">
            <w:pPr>
              <w:pStyle w:val="AERtabletextleft"/>
              <w:rPr>
                <w:rStyle w:val="AERtextsize8"/>
              </w:rPr>
            </w:pPr>
            <w:r>
              <w:rPr>
                <w:rStyle w:val="AERtextsize8"/>
              </w:rPr>
              <w:t>A kilovolt -ampere  or 1,000 volt-amperes</w:t>
            </w:r>
            <w:r w:rsidRPr="0069452D">
              <w:rPr>
                <w:rStyle w:val="AERtextsize8"/>
              </w:rPr>
              <w:t xml:space="preserve"> </w:t>
            </w:r>
          </w:p>
        </w:tc>
      </w:tr>
      <w:tr w:rsidR="002D4543"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2D4543" w:rsidRPr="002D4543" w:rsidRDefault="002D4543" w:rsidP="002D4543">
            <w:pPr>
              <w:pStyle w:val="AERtabletextleft"/>
              <w:rPr>
                <w:rStyle w:val="AERtextsize8"/>
              </w:rPr>
            </w:pPr>
            <w:r>
              <w:rPr>
                <w:rStyle w:val="AERtextsize8"/>
              </w:rPr>
              <w:t>the Mechanism</w:t>
            </w:r>
          </w:p>
        </w:tc>
        <w:tc>
          <w:tcPr>
            <w:tcW w:w="5324" w:type="dxa"/>
          </w:tcPr>
          <w:p w:rsidR="002D4543" w:rsidRPr="002D4543" w:rsidRDefault="002D4543" w:rsidP="002D4543">
            <w:pPr>
              <w:pStyle w:val="AERtabletextleft"/>
              <w:rPr>
                <w:rStyle w:val="AERtextsize8"/>
              </w:rPr>
            </w:pPr>
            <w:r>
              <w:rPr>
                <w:rStyle w:val="AERtextsize8"/>
              </w:rPr>
              <w:t xml:space="preserve">the demand management </w:t>
            </w:r>
            <w:r w:rsidRPr="002D4543">
              <w:rPr>
                <w:rStyle w:val="AERtextsize8"/>
              </w:rPr>
              <w:t>innovation allowance mechanism</w:t>
            </w:r>
          </w:p>
        </w:tc>
      </w:tr>
      <w:tr w:rsidR="002D4543" w:rsidTr="0040000B">
        <w:tc>
          <w:tcPr>
            <w:tcW w:w="3369" w:type="dxa"/>
          </w:tcPr>
          <w:p w:rsidR="002D4543" w:rsidRPr="002D4543" w:rsidRDefault="002D4543" w:rsidP="002D4543">
            <w:pPr>
              <w:pStyle w:val="AERtabletextleft"/>
              <w:rPr>
                <w:rStyle w:val="AERtextsize8"/>
              </w:rPr>
            </w:pPr>
            <w:r w:rsidRPr="006671FC">
              <w:rPr>
                <w:rStyle w:val="AERtextsize8"/>
              </w:rPr>
              <w:t>minimum project evaluation</w:t>
            </w:r>
            <w:r w:rsidRPr="002D4543" w:rsidDel="006671FC">
              <w:rPr>
                <w:rStyle w:val="AERtextsize8"/>
              </w:rPr>
              <w:t xml:space="preserve"> </w:t>
            </w:r>
            <w:r w:rsidRPr="002D4543">
              <w:rPr>
                <w:rStyle w:val="AERtextsize8"/>
              </w:rPr>
              <w:t>requirements</w:t>
            </w:r>
          </w:p>
        </w:tc>
        <w:tc>
          <w:tcPr>
            <w:tcW w:w="5324" w:type="dxa"/>
          </w:tcPr>
          <w:p w:rsidR="002D4543" w:rsidRPr="002D4543" w:rsidRDefault="002D4543" w:rsidP="002D4543">
            <w:pPr>
              <w:pStyle w:val="AERtabletextleft"/>
              <w:rPr>
                <w:rStyle w:val="AERtextsize8"/>
              </w:rPr>
            </w:pPr>
            <w:r>
              <w:rPr>
                <w:rStyle w:val="AERtextsize8"/>
              </w:rPr>
              <w:t>A</w:t>
            </w:r>
            <w:r w:rsidRPr="002D4543">
              <w:rPr>
                <w:rStyle w:val="AERtextsize8"/>
              </w:rPr>
              <w:t>s defined under clause 2.2.1 of the draft scheme</w:t>
            </w:r>
          </w:p>
        </w:tc>
      </w:tr>
      <w:tr w:rsidR="002D4543"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2D4543" w:rsidRPr="002D4543" w:rsidRDefault="002D4543" w:rsidP="002D4543">
            <w:pPr>
              <w:pStyle w:val="AERtabletextleft"/>
              <w:rPr>
                <w:rStyle w:val="AERtextsize8"/>
              </w:rPr>
            </w:pPr>
            <w:r w:rsidRPr="0048621D">
              <w:rPr>
                <w:rStyle w:val="AERtextsize8"/>
              </w:rPr>
              <w:t>MWh</w:t>
            </w:r>
          </w:p>
        </w:tc>
        <w:tc>
          <w:tcPr>
            <w:tcW w:w="5324" w:type="dxa"/>
          </w:tcPr>
          <w:p w:rsidR="002D4543" w:rsidRPr="002D4543" w:rsidRDefault="002D4543" w:rsidP="002D4543">
            <w:pPr>
              <w:pStyle w:val="AERtabletextleft"/>
              <w:rPr>
                <w:rStyle w:val="AERtextsize8"/>
              </w:rPr>
            </w:pPr>
            <w:r>
              <w:rPr>
                <w:rStyle w:val="AERtextsize8"/>
              </w:rPr>
              <w:t>Megawatt hour</w:t>
            </w:r>
            <w:r w:rsidRPr="002D4543">
              <w:rPr>
                <w:rStyle w:val="AERtextsize8"/>
              </w:rPr>
              <w:t xml:space="preserve"> or 1,000 kilowatt hours</w:t>
            </w:r>
          </w:p>
        </w:tc>
      </w:tr>
      <w:tr w:rsidR="002D4543" w:rsidTr="0040000B">
        <w:tc>
          <w:tcPr>
            <w:tcW w:w="3369" w:type="dxa"/>
          </w:tcPr>
          <w:p w:rsidR="002D4543" w:rsidRPr="002D4543" w:rsidRDefault="002D4543" w:rsidP="002D4543">
            <w:pPr>
              <w:pStyle w:val="AERtabletextleft"/>
              <w:rPr>
                <w:rStyle w:val="AERtextsize8"/>
              </w:rPr>
            </w:pPr>
            <w:r>
              <w:rPr>
                <w:rStyle w:val="AERtextsize8"/>
              </w:rPr>
              <w:t>NEM</w:t>
            </w:r>
          </w:p>
        </w:tc>
        <w:tc>
          <w:tcPr>
            <w:tcW w:w="5324" w:type="dxa"/>
          </w:tcPr>
          <w:p w:rsidR="002D4543" w:rsidRPr="002D4543" w:rsidRDefault="002D4543" w:rsidP="002D4543">
            <w:pPr>
              <w:pStyle w:val="AERtabletextleft"/>
              <w:rPr>
                <w:rStyle w:val="AERtextsize8"/>
              </w:rPr>
            </w:pPr>
            <w:r>
              <w:rPr>
                <w:rStyle w:val="AERtextsize8"/>
              </w:rPr>
              <w:t>National Electricity Market</w:t>
            </w:r>
          </w:p>
        </w:tc>
      </w:tr>
      <w:tr w:rsidR="002D4543"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2D4543" w:rsidRPr="002D4543" w:rsidRDefault="002D4543" w:rsidP="002D4543">
            <w:pPr>
              <w:pStyle w:val="AERtabletextleft"/>
              <w:rPr>
                <w:rStyle w:val="AERtextsize8"/>
              </w:rPr>
            </w:pPr>
            <w:r>
              <w:rPr>
                <w:rStyle w:val="AERtextsize8"/>
              </w:rPr>
              <w:t>NEO</w:t>
            </w:r>
          </w:p>
        </w:tc>
        <w:tc>
          <w:tcPr>
            <w:tcW w:w="5324" w:type="dxa"/>
          </w:tcPr>
          <w:p w:rsidR="002D4543" w:rsidRPr="002D4543" w:rsidRDefault="002D4543" w:rsidP="002D4543">
            <w:pPr>
              <w:pStyle w:val="AERtabletextleft"/>
              <w:rPr>
                <w:rStyle w:val="AERtextsize8"/>
              </w:rPr>
            </w:pPr>
            <w:r>
              <w:rPr>
                <w:rStyle w:val="AERtextsize8"/>
              </w:rPr>
              <w:t>National Electricity Objective</w:t>
            </w:r>
          </w:p>
        </w:tc>
      </w:tr>
      <w:tr w:rsidR="002D4543" w:rsidTr="0040000B">
        <w:tc>
          <w:tcPr>
            <w:tcW w:w="3369" w:type="dxa"/>
          </w:tcPr>
          <w:p w:rsidR="002D4543" w:rsidRPr="002D4543" w:rsidRDefault="002D4543" w:rsidP="002D4543">
            <w:pPr>
              <w:pStyle w:val="AERtabletextleft"/>
              <w:rPr>
                <w:rStyle w:val="AERtextsize8"/>
              </w:rPr>
            </w:pPr>
            <w:r>
              <w:rPr>
                <w:rStyle w:val="AERtextsize8"/>
              </w:rPr>
              <w:t>NER</w:t>
            </w:r>
          </w:p>
        </w:tc>
        <w:tc>
          <w:tcPr>
            <w:tcW w:w="5324" w:type="dxa"/>
          </w:tcPr>
          <w:p w:rsidR="002D4543" w:rsidRPr="002D4543" w:rsidRDefault="002D4543" w:rsidP="002D4543">
            <w:pPr>
              <w:pStyle w:val="AERtabletextleft"/>
              <w:rPr>
                <w:rStyle w:val="AERtextsize8"/>
              </w:rPr>
            </w:pPr>
            <w:r>
              <w:rPr>
                <w:rStyle w:val="AERtextsize8"/>
              </w:rPr>
              <w:t>N</w:t>
            </w:r>
            <w:r w:rsidRPr="002D4543">
              <w:rPr>
                <w:rStyle w:val="AERtextsize8"/>
              </w:rPr>
              <w:t>ational Electricity Rules</w:t>
            </w:r>
          </w:p>
        </w:tc>
      </w:tr>
      <w:tr w:rsidR="002D4543"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2D4543" w:rsidRDefault="002D4543" w:rsidP="002D4543">
            <w:pPr>
              <w:pStyle w:val="AERtabletextleft"/>
              <w:rPr>
                <w:rStyle w:val="AERtextsize8"/>
              </w:rPr>
            </w:pPr>
            <w:r>
              <w:rPr>
                <w:rStyle w:val="AERtextsize8"/>
              </w:rPr>
              <w:t>non-network options</w:t>
            </w:r>
          </w:p>
        </w:tc>
        <w:tc>
          <w:tcPr>
            <w:tcW w:w="5324" w:type="dxa"/>
          </w:tcPr>
          <w:p w:rsidR="002D4543" w:rsidRDefault="002D4543" w:rsidP="002D4543">
            <w:pPr>
              <w:pStyle w:val="AERtabletextleft"/>
              <w:rPr>
                <w:rStyle w:val="AERtextsize8"/>
              </w:rPr>
            </w:pPr>
            <w:r>
              <w:rPr>
                <w:rStyle w:val="AERtextsize8"/>
              </w:rPr>
              <w:t>As defined in chapter 10 of the NER</w:t>
            </w:r>
          </w:p>
        </w:tc>
      </w:tr>
      <w:tr w:rsidR="002D4543" w:rsidTr="0040000B">
        <w:tc>
          <w:tcPr>
            <w:tcW w:w="3369" w:type="dxa"/>
          </w:tcPr>
          <w:p w:rsidR="002D4543" w:rsidRPr="002D4543" w:rsidRDefault="002D4543" w:rsidP="002D4543">
            <w:pPr>
              <w:pStyle w:val="AERtabletextleft"/>
              <w:rPr>
                <w:rStyle w:val="AERtextsize8"/>
              </w:rPr>
            </w:pPr>
            <w:r>
              <w:rPr>
                <w:rStyle w:val="AERtextsize8"/>
              </w:rPr>
              <w:t>NPV</w:t>
            </w:r>
          </w:p>
        </w:tc>
        <w:tc>
          <w:tcPr>
            <w:tcW w:w="5324" w:type="dxa"/>
          </w:tcPr>
          <w:p w:rsidR="002D4543" w:rsidRPr="002D4543" w:rsidRDefault="002D4543" w:rsidP="002D4543">
            <w:pPr>
              <w:pStyle w:val="AERtabletextleft"/>
              <w:rPr>
                <w:rStyle w:val="AERtextsize8"/>
              </w:rPr>
            </w:pPr>
            <w:r>
              <w:rPr>
                <w:rStyle w:val="AERtextsize8"/>
              </w:rPr>
              <w:t>Net present value</w:t>
            </w:r>
          </w:p>
        </w:tc>
      </w:tr>
      <w:tr w:rsidR="002D4543"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2D4543" w:rsidRPr="002D4543" w:rsidRDefault="002D4543" w:rsidP="002D4543">
            <w:pPr>
              <w:pStyle w:val="AERtabletextleft"/>
              <w:rPr>
                <w:rStyle w:val="AERtextsize8"/>
              </w:rPr>
            </w:pPr>
            <w:r>
              <w:rPr>
                <w:rStyle w:val="AERtextsize8"/>
              </w:rPr>
              <w:t>opex</w:t>
            </w:r>
          </w:p>
        </w:tc>
        <w:tc>
          <w:tcPr>
            <w:tcW w:w="5324" w:type="dxa"/>
          </w:tcPr>
          <w:p w:rsidR="002D4543" w:rsidRPr="002D4543" w:rsidRDefault="002D4543" w:rsidP="002D4543">
            <w:pPr>
              <w:pStyle w:val="AERtabletextleft"/>
              <w:rPr>
                <w:rStyle w:val="AERtextsize8"/>
              </w:rPr>
            </w:pPr>
            <w:r>
              <w:rPr>
                <w:rStyle w:val="AERtextsize8"/>
              </w:rPr>
              <w:t>Operating expenditure</w:t>
            </w:r>
          </w:p>
        </w:tc>
      </w:tr>
      <w:tr w:rsidR="002D4543" w:rsidTr="0040000B">
        <w:tc>
          <w:tcPr>
            <w:tcW w:w="3369" w:type="dxa"/>
          </w:tcPr>
          <w:p w:rsidR="002D4543" w:rsidRPr="002D4543" w:rsidRDefault="002D4543" w:rsidP="002D4543">
            <w:pPr>
              <w:pStyle w:val="AERtabletextleft"/>
              <w:rPr>
                <w:rStyle w:val="AERtextsize8"/>
              </w:rPr>
            </w:pPr>
            <w:r>
              <w:rPr>
                <w:rStyle w:val="AERtextsize8"/>
              </w:rPr>
              <w:t>p</w:t>
            </w:r>
            <w:r w:rsidRPr="002D4543">
              <w:rPr>
                <w:rStyle w:val="AERtextsize8"/>
              </w:rPr>
              <w:t>referred option</w:t>
            </w:r>
          </w:p>
        </w:tc>
        <w:tc>
          <w:tcPr>
            <w:tcW w:w="5324" w:type="dxa"/>
          </w:tcPr>
          <w:p w:rsidR="002D4543" w:rsidRPr="002D4543" w:rsidRDefault="002D4543" w:rsidP="002D4543">
            <w:pPr>
              <w:pStyle w:val="AERtabletextleft"/>
              <w:rPr>
                <w:rStyle w:val="AERtextsize8"/>
              </w:rPr>
            </w:pPr>
            <w:r>
              <w:rPr>
                <w:rStyle w:val="AERtextsize8"/>
              </w:rPr>
              <w:t>H</w:t>
            </w:r>
            <w:r w:rsidRPr="002D4543">
              <w:rPr>
                <w:rStyle w:val="AERtextsize8"/>
              </w:rPr>
              <w:t>as the meaning given in NER clause 5.17.1(b)</w:t>
            </w:r>
          </w:p>
        </w:tc>
      </w:tr>
      <w:tr w:rsidR="002D4543"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2D4543" w:rsidRPr="002D4543" w:rsidRDefault="002D4543" w:rsidP="002D4543">
            <w:pPr>
              <w:pStyle w:val="AERtabletextleft"/>
              <w:rPr>
                <w:rStyle w:val="AERtextsize8"/>
              </w:rPr>
            </w:pPr>
            <w:r>
              <w:rPr>
                <w:rStyle w:val="AERtextsize8"/>
              </w:rPr>
              <w:t>p</w:t>
            </w:r>
            <w:r w:rsidRPr="002D4543">
              <w:rPr>
                <w:rStyle w:val="AERtextsize8"/>
              </w:rPr>
              <w:t>roject incentive</w:t>
            </w:r>
          </w:p>
        </w:tc>
        <w:tc>
          <w:tcPr>
            <w:tcW w:w="5324" w:type="dxa"/>
          </w:tcPr>
          <w:p w:rsidR="002D4543" w:rsidRPr="002D4543" w:rsidRDefault="002D4543" w:rsidP="002D4543">
            <w:pPr>
              <w:pStyle w:val="AERtabletextleft"/>
              <w:rPr>
                <w:rStyle w:val="AERtextsize8"/>
              </w:rPr>
            </w:pPr>
            <w:r>
              <w:rPr>
                <w:rStyle w:val="AERtextsize8"/>
              </w:rPr>
              <w:t>T</w:t>
            </w:r>
            <w:r w:rsidRPr="002D4543">
              <w:rPr>
                <w:rStyle w:val="AERtextsize8"/>
              </w:rPr>
              <w:t>he maximum financial incentive a project can accrue, as  determined under equation 1 in the draft Scheme with respect to a project, i.</w:t>
            </w:r>
          </w:p>
        </w:tc>
      </w:tr>
      <w:tr w:rsidR="002D4543" w:rsidTr="0040000B">
        <w:tc>
          <w:tcPr>
            <w:tcW w:w="3369" w:type="dxa"/>
          </w:tcPr>
          <w:p w:rsidR="002D4543" w:rsidRPr="002D4543" w:rsidRDefault="002D4543" w:rsidP="002D4543">
            <w:pPr>
              <w:pStyle w:val="AERtabletextleft"/>
              <w:rPr>
                <w:rStyle w:val="AERtextsize8"/>
              </w:rPr>
            </w:pPr>
            <w:r>
              <w:rPr>
                <w:rStyle w:val="AERtextsize8"/>
              </w:rPr>
              <w:t>RIN</w:t>
            </w:r>
          </w:p>
        </w:tc>
        <w:tc>
          <w:tcPr>
            <w:tcW w:w="5324" w:type="dxa"/>
          </w:tcPr>
          <w:p w:rsidR="002D4543" w:rsidRPr="002D4543" w:rsidRDefault="002D4543" w:rsidP="002D4543">
            <w:pPr>
              <w:pStyle w:val="AERtabletextleft"/>
              <w:rPr>
                <w:rStyle w:val="AERtextsize8"/>
              </w:rPr>
            </w:pPr>
            <w:r>
              <w:rPr>
                <w:rStyle w:val="AERtextsize8"/>
              </w:rPr>
              <w:t xml:space="preserve">Regulatory </w:t>
            </w:r>
            <w:r w:rsidRPr="002D4543">
              <w:rPr>
                <w:rStyle w:val="AERtextsize8"/>
              </w:rPr>
              <w:t>information notice</w:t>
            </w:r>
          </w:p>
        </w:tc>
      </w:tr>
      <w:tr w:rsidR="002D4543"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2D4543" w:rsidRPr="002D4543" w:rsidRDefault="002D4543" w:rsidP="002D4543">
            <w:pPr>
              <w:pStyle w:val="AERtabletextleft"/>
              <w:rPr>
                <w:rStyle w:val="AERtextsize8"/>
              </w:rPr>
            </w:pPr>
            <w:r>
              <w:rPr>
                <w:rStyle w:val="AERtextsize8"/>
              </w:rPr>
              <w:t>RIT-D</w:t>
            </w:r>
          </w:p>
        </w:tc>
        <w:tc>
          <w:tcPr>
            <w:tcW w:w="5324" w:type="dxa"/>
          </w:tcPr>
          <w:p w:rsidR="002D4543" w:rsidRPr="002D4543" w:rsidRDefault="002D4543" w:rsidP="002D4543">
            <w:pPr>
              <w:pStyle w:val="AERtabletextleft"/>
              <w:rPr>
                <w:rStyle w:val="AERtextsize8"/>
              </w:rPr>
            </w:pPr>
            <w:r>
              <w:rPr>
                <w:rStyle w:val="AERtextsize8"/>
              </w:rPr>
              <w:t>Regulatory investment test for distribution</w:t>
            </w:r>
          </w:p>
        </w:tc>
      </w:tr>
      <w:tr w:rsidR="002D4543" w:rsidTr="0040000B">
        <w:tc>
          <w:tcPr>
            <w:tcW w:w="3369" w:type="dxa"/>
          </w:tcPr>
          <w:p w:rsidR="002D4543" w:rsidRPr="002D4543" w:rsidRDefault="002D4543" w:rsidP="002D4543">
            <w:pPr>
              <w:pStyle w:val="AERtabletextleft"/>
              <w:rPr>
                <w:rStyle w:val="AERtextsize8"/>
              </w:rPr>
            </w:pPr>
            <w:r>
              <w:rPr>
                <w:rStyle w:val="AERtextsize8"/>
              </w:rPr>
              <w:lastRenderedPageBreak/>
              <w:t>the Scheme</w:t>
            </w:r>
          </w:p>
        </w:tc>
        <w:tc>
          <w:tcPr>
            <w:tcW w:w="5324" w:type="dxa"/>
          </w:tcPr>
          <w:p w:rsidR="002D4543" w:rsidRPr="002D4543" w:rsidRDefault="002D4543" w:rsidP="002D4543">
            <w:pPr>
              <w:pStyle w:val="AERtabletextleft"/>
              <w:rPr>
                <w:rStyle w:val="AERtextsize8"/>
              </w:rPr>
            </w:pPr>
            <w:r>
              <w:rPr>
                <w:rStyle w:val="AERtextsize8"/>
              </w:rPr>
              <w:t>the demand management incentive scheme</w:t>
            </w:r>
          </w:p>
        </w:tc>
      </w:tr>
      <w:tr w:rsidR="002D4543" w:rsidTr="0040000B">
        <w:trPr>
          <w:cnfStyle w:val="000000010000" w:firstRow="0" w:lastRow="0" w:firstColumn="0" w:lastColumn="0" w:oddVBand="0" w:evenVBand="0" w:oddHBand="0" w:evenHBand="1" w:firstRowFirstColumn="0" w:firstRowLastColumn="0" w:lastRowFirstColumn="0" w:lastRowLastColumn="0"/>
        </w:trPr>
        <w:tc>
          <w:tcPr>
            <w:tcW w:w="3369" w:type="dxa"/>
          </w:tcPr>
          <w:p w:rsidR="002D4543" w:rsidRPr="002D4543" w:rsidRDefault="002D4543" w:rsidP="002D4543">
            <w:pPr>
              <w:pStyle w:val="AERtabletextleft"/>
              <w:rPr>
                <w:rStyle w:val="AERtextsize8"/>
              </w:rPr>
            </w:pPr>
            <w:r>
              <w:rPr>
                <w:rStyle w:val="AERtextsize8"/>
              </w:rPr>
              <w:t xml:space="preserve">the Scheme </w:t>
            </w:r>
            <w:r w:rsidRPr="002D4543">
              <w:rPr>
                <w:rStyle w:val="AERtextsize8"/>
              </w:rPr>
              <w:t>Objective</w:t>
            </w:r>
          </w:p>
        </w:tc>
        <w:tc>
          <w:tcPr>
            <w:tcW w:w="5324" w:type="dxa"/>
          </w:tcPr>
          <w:p w:rsidR="002D4543" w:rsidRPr="002D4543" w:rsidRDefault="002D4543" w:rsidP="002D4543">
            <w:pPr>
              <w:pStyle w:val="AERtabletextleft"/>
              <w:rPr>
                <w:rStyle w:val="AERtextsize8"/>
              </w:rPr>
            </w:pPr>
            <w:r>
              <w:rPr>
                <w:rStyle w:val="AERtextsize8"/>
              </w:rPr>
              <w:t xml:space="preserve">The </w:t>
            </w:r>
            <w:r w:rsidRPr="002D4543">
              <w:rPr>
                <w:rStyle w:val="AERtextsize8"/>
              </w:rPr>
              <w:t>demand management incentive scheme objective</w:t>
            </w:r>
          </w:p>
        </w:tc>
      </w:tr>
    </w:tbl>
    <w:p w:rsidR="0044460C" w:rsidRPr="0040000B" w:rsidRDefault="0044460C" w:rsidP="0040000B">
      <w:pPr>
        <w:pStyle w:val="UnnumberedHeading"/>
      </w:pPr>
      <w:bookmarkStart w:id="4" w:name="_Toc403144133"/>
      <w:bookmarkStart w:id="5" w:name="_Toc491447227"/>
      <w:bookmarkStart w:id="6" w:name="_Toc432083534"/>
      <w:bookmarkStart w:id="7" w:name="_Toc433787709"/>
      <w:bookmarkStart w:id="8" w:name="_Toc404153950"/>
      <w:bookmarkStart w:id="9" w:name="_Toc404437593"/>
      <w:r w:rsidRPr="0040000B">
        <w:lastRenderedPageBreak/>
        <w:t>Contents</w:t>
      </w:r>
      <w:bookmarkEnd w:id="4"/>
      <w:bookmarkEnd w:id="5"/>
    </w:p>
    <w:sdt>
      <w:sdtPr>
        <w:id w:val="1269200322"/>
        <w:docPartObj>
          <w:docPartGallery w:val="Table of Contents"/>
          <w:docPartUnique/>
        </w:docPartObj>
      </w:sdtPr>
      <w:sdtEndPr/>
      <w:sdtContent>
        <w:p w:rsidR="0001019E" w:rsidRDefault="0044460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91447225" w:history="1">
            <w:r w:rsidR="0001019E" w:rsidRPr="00020329">
              <w:rPr>
                <w:rStyle w:val="Hyperlink"/>
              </w:rPr>
              <w:t>Request for submissions</w:t>
            </w:r>
            <w:r w:rsidR="0001019E">
              <w:rPr>
                <w:webHidden/>
              </w:rPr>
              <w:tab/>
            </w:r>
            <w:r w:rsidR="0001019E">
              <w:rPr>
                <w:webHidden/>
              </w:rPr>
              <w:fldChar w:fldCharType="begin"/>
            </w:r>
            <w:r w:rsidR="0001019E">
              <w:rPr>
                <w:webHidden/>
              </w:rPr>
              <w:instrText xml:space="preserve"> PAGEREF _Toc491447225 \h </w:instrText>
            </w:r>
            <w:r w:rsidR="0001019E">
              <w:rPr>
                <w:webHidden/>
              </w:rPr>
            </w:r>
            <w:r w:rsidR="0001019E">
              <w:rPr>
                <w:webHidden/>
              </w:rPr>
              <w:fldChar w:fldCharType="separate"/>
            </w:r>
            <w:r w:rsidR="0076296B">
              <w:rPr>
                <w:webHidden/>
              </w:rPr>
              <w:t>3</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26" w:history="1">
            <w:r w:rsidR="0001019E" w:rsidRPr="00020329">
              <w:rPr>
                <w:rStyle w:val="Hyperlink"/>
              </w:rPr>
              <w:t>Shortened forms and glossary</w:t>
            </w:r>
            <w:r w:rsidR="0001019E">
              <w:rPr>
                <w:webHidden/>
              </w:rPr>
              <w:tab/>
            </w:r>
            <w:r w:rsidR="0001019E">
              <w:rPr>
                <w:webHidden/>
              </w:rPr>
              <w:fldChar w:fldCharType="begin"/>
            </w:r>
            <w:r w:rsidR="0001019E">
              <w:rPr>
                <w:webHidden/>
              </w:rPr>
              <w:instrText xml:space="preserve"> PAGEREF _Toc491447226 \h </w:instrText>
            </w:r>
            <w:r w:rsidR="0001019E">
              <w:rPr>
                <w:webHidden/>
              </w:rPr>
            </w:r>
            <w:r w:rsidR="0001019E">
              <w:rPr>
                <w:webHidden/>
              </w:rPr>
              <w:fldChar w:fldCharType="separate"/>
            </w:r>
            <w:r>
              <w:rPr>
                <w:webHidden/>
              </w:rPr>
              <w:t>4</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27" w:history="1">
            <w:r w:rsidR="0001019E" w:rsidRPr="00020329">
              <w:rPr>
                <w:rStyle w:val="Hyperlink"/>
              </w:rPr>
              <w:t>Contents</w:t>
            </w:r>
            <w:r w:rsidR="0001019E">
              <w:rPr>
                <w:webHidden/>
              </w:rPr>
              <w:tab/>
            </w:r>
            <w:r w:rsidR="0001019E">
              <w:rPr>
                <w:webHidden/>
              </w:rPr>
              <w:fldChar w:fldCharType="begin"/>
            </w:r>
            <w:r w:rsidR="0001019E">
              <w:rPr>
                <w:webHidden/>
              </w:rPr>
              <w:instrText xml:space="preserve"> PAGEREF _Toc491447227 \h </w:instrText>
            </w:r>
            <w:r w:rsidR="0001019E">
              <w:rPr>
                <w:webHidden/>
              </w:rPr>
            </w:r>
            <w:r w:rsidR="0001019E">
              <w:rPr>
                <w:webHidden/>
              </w:rPr>
              <w:fldChar w:fldCharType="separate"/>
            </w:r>
            <w:r>
              <w:rPr>
                <w:webHidden/>
              </w:rPr>
              <w:t>6</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28" w:history="1">
            <w:r w:rsidR="0001019E" w:rsidRPr="00020329">
              <w:rPr>
                <w:rStyle w:val="Hyperlink"/>
              </w:rPr>
              <w:t>1</w:t>
            </w:r>
            <w:r w:rsidR="0001019E">
              <w:rPr>
                <w:rFonts w:asciiTheme="minorHAnsi" w:eastAsiaTheme="minorEastAsia" w:hAnsiTheme="minorHAnsi"/>
                <w:b w:val="0"/>
                <w:color w:val="auto"/>
                <w:sz w:val="22"/>
                <w:lang w:val="en-AU" w:eastAsia="en-AU"/>
              </w:rPr>
              <w:tab/>
            </w:r>
            <w:r w:rsidR="0001019E" w:rsidRPr="00020329">
              <w:rPr>
                <w:rStyle w:val="Hyperlink"/>
              </w:rPr>
              <w:t>Introduction</w:t>
            </w:r>
            <w:r w:rsidR="0001019E">
              <w:rPr>
                <w:webHidden/>
              </w:rPr>
              <w:tab/>
            </w:r>
            <w:r w:rsidR="0001019E">
              <w:rPr>
                <w:webHidden/>
              </w:rPr>
              <w:fldChar w:fldCharType="begin"/>
            </w:r>
            <w:r w:rsidR="0001019E">
              <w:rPr>
                <w:webHidden/>
              </w:rPr>
              <w:instrText xml:space="preserve"> PAGEREF _Toc491447228 \h </w:instrText>
            </w:r>
            <w:r w:rsidR="0001019E">
              <w:rPr>
                <w:webHidden/>
              </w:rPr>
            </w:r>
            <w:r w:rsidR="0001019E">
              <w:rPr>
                <w:webHidden/>
              </w:rPr>
              <w:fldChar w:fldCharType="separate"/>
            </w:r>
            <w:r>
              <w:rPr>
                <w:webHidden/>
              </w:rPr>
              <w:t>8</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29" w:history="1">
            <w:r w:rsidR="0001019E" w:rsidRPr="00020329">
              <w:rPr>
                <w:rStyle w:val="Hyperlink"/>
              </w:rPr>
              <w:t>2</w:t>
            </w:r>
            <w:r w:rsidR="0001019E">
              <w:rPr>
                <w:rFonts w:asciiTheme="minorHAnsi" w:eastAsiaTheme="minorEastAsia" w:hAnsiTheme="minorHAnsi"/>
                <w:b w:val="0"/>
                <w:color w:val="auto"/>
                <w:sz w:val="22"/>
                <w:lang w:val="en-AU" w:eastAsia="en-AU"/>
              </w:rPr>
              <w:tab/>
            </w:r>
            <w:r w:rsidR="0001019E" w:rsidRPr="00020329">
              <w:rPr>
                <w:rStyle w:val="Hyperlink"/>
              </w:rPr>
              <w:t>Background</w:t>
            </w:r>
            <w:r w:rsidR="0001019E">
              <w:rPr>
                <w:webHidden/>
              </w:rPr>
              <w:tab/>
            </w:r>
            <w:r w:rsidR="0001019E">
              <w:rPr>
                <w:webHidden/>
              </w:rPr>
              <w:fldChar w:fldCharType="begin"/>
            </w:r>
            <w:r w:rsidR="0001019E">
              <w:rPr>
                <w:webHidden/>
              </w:rPr>
              <w:instrText xml:space="preserve"> PAGEREF _Toc491447229 \h </w:instrText>
            </w:r>
            <w:r w:rsidR="0001019E">
              <w:rPr>
                <w:webHidden/>
              </w:rPr>
            </w:r>
            <w:r w:rsidR="0001019E">
              <w:rPr>
                <w:webHidden/>
              </w:rPr>
              <w:fldChar w:fldCharType="separate"/>
            </w:r>
            <w:r>
              <w:rPr>
                <w:webHidden/>
              </w:rPr>
              <w:t>10</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30" w:history="1">
            <w:r w:rsidR="0001019E" w:rsidRPr="00020329">
              <w:rPr>
                <w:rStyle w:val="Hyperlink"/>
              </w:rPr>
              <w:t>2.1</w:t>
            </w:r>
            <w:r w:rsidR="0001019E">
              <w:rPr>
                <w:rFonts w:asciiTheme="minorHAnsi" w:eastAsiaTheme="minorEastAsia" w:hAnsiTheme="minorHAnsi"/>
                <w:b w:val="0"/>
                <w:color w:val="auto"/>
                <w:sz w:val="22"/>
                <w:lang w:eastAsia="en-AU"/>
              </w:rPr>
              <w:tab/>
            </w:r>
            <w:r w:rsidR="0001019E" w:rsidRPr="00020329">
              <w:rPr>
                <w:rStyle w:val="Hyperlink"/>
              </w:rPr>
              <w:t>Our rationale for the Scheme</w:t>
            </w:r>
            <w:r w:rsidR="0001019E">
              <w:rPr>
                <w:webHidden/>
              </w:rPr>
              <w:tab/>
            </w:r>
            <w:r w:rsidR="0001019E">
              <w:rPr>
                <w:webHidden/>
              </w:rPr>
              <w:fldChar w:fldCharType="begin"/>
            </w:r>
            <w:r w:rsidR="0001019E">
              <w:rPr>
                <w:webHidden/>
              </w:rPr>
              <w:instrText xml:space="preserve"> PAGEREF _Toc491447230 \h </w:instrText>
            </w:r>
            <w:r w:rsidR="0001019E">
              <w:rPr>
                <w:webHidden/>
              </w:rPr>
            </w:r>
            <w:r w:rsidR="0001019E">
              <w:rPr>
                <w:webHidden/>
              </w:rPr>
              <w:fldChar w:fldCharType="separate"/>
            </w:r>
            <w:r>
              <w:rPr>
                <w:webHidden/>
              </w:rPr>
              <w:t>10</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31" w:history="1">
            <w:r w:rsidR="0001019E" w:rsidRPr="00020329">
              <w:rPr>
                <w:rStyle w:val="Hyperlink"/>
              </w:rPr>
              <w:t>2.2</w:t>
            </w:r>
            <w:r w:rsidR="0001019E">
              <w:rPr>
                <w:rFonts w:asciiTheme="minorHAnsi" w:eastAsiaTheme="minorEastAsia" w:hAnsiTheme="minorHAnsi"/>
                <w:b w:val="0"/>
                <w:color w:val="auto"/>
                <w:sz w:val="22"/>
                <w:lang w:eastAsia="en-AU"/>
              </w:rPr>
              <w:tab/>
            </w:r>
            <w:r w:rsidR="0001019E" w:rsidRPr="00020329">
              <w:rPr>
                <w:rStyle w:val="Hyperlink"/>
              </w:rPr>
              <w:t>Giving effect to rule requirements</w:t>
            </w:r>
            <w:r w:rsidR="0001019E">
              <w:rPr>
                <w:webHidden/>
              </w:rPr>
              <w:tab/>
            </w:r>
            <w:r w:rsidR="0001019E">
              <w:rPr>
                <w:webHidden/>
              </w:rPr>
              <w:fldChar w:fldCharType="begin"/>
            </w:r>
            <w:r w:rsidR="0001019E">
              <w:rPr>
                <w:webHidden/>
              </w:rPr>
              <w:instrText xml:space="preserve"> PAGEREF _Toc491447231 \h </w:instrText>
            </w:r>
            <w:r w:rsidR="0001019E">
              <w:rPr>
                <w:webHidden/>
              </w:rPr>
            </w:r>
            <w:r w:rsidR="0001019E">
              <w:rPr>
                <w:webHidden/>
              </w:rPr>
              <w:fldChar w:fldCharType="separate"/>
            </w:r>
            <w:r>
              <w:rPr>
                <w:webHidden/>
              </w:rPr>
              <w:t>14</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32" w:history="1">
            <w:r w:rsidR="0001019E" w:rsidRPr="00020329">
              <w:rPr>
                <w:rStyle w:val="Hyperlink"/>
              </w:rPr>
              <w:t>2.3</w:t>
            </w:r>
            <w:r w:rsidR="0001019E">
              <w:rPr>
                <w:rFonts w:asciiTheme="minorHAnsi" w:eastAsiaTheme="minorEastAsia" w:hAnsiTheme="minorHAnsi"/>
                <w:b w:val="0"/>
                <w:color w:val="auto"/>
                <w:sz w:val="22"/>
                <w:lang w:eastAsia="en-AU"/>
              </w:rPr>
              <w:tab/>
            </w:r>
            <w:r w:rsidR="0001019E" w:rsidRPr="00020329">
              <w:rPr>
                <w:rStyle w:val="Hyperlink"/>
              </w:rPr>
              <w:t>Stakeholders support a Scheme</w:t>
            </w:r>
            <w:r w:rsidR="0001019E">
              <w:rPr>
                <w:webHidden/>
              </w:rPr>
              <w:tab/>
            </w:r>
            <w:r w:rsidR="0001019E">
              <w:rPr>
                <w:webHidden/>
              </w:rPr>
              <w:fldChar w:fldCharType="begin"/>
            </w:r>
            <w:r w:rsidR="0001019E">
              <w:rPr>
                <w:webHidden/>
              </w:rPr>
              <w:instrText xml:space="preserve"> PAGEREF _Toc491447232 \h </w:instrText>
            </w:r>
            <w:r w:rsidR="0001019E">
              <w:rPr>
                <w:webHidden/>
              </w:rPr>
            </w:r>
            <w:r w:rsidR="0001019E">
              <w:rPr>
                <w:webHidden/>
              </w:rPr>
              <w:fldChar w:fldCharType="separate"/>
            </w:r>
            <w:r>
              <w:rPr>
                <w:webHidden/>
              </w:rPr>
              <w:t>16</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33" w:history="1">
            <w:r w:rsidR="0001019E" w:rsidRPr="00020329">
              <w:rPr>
                <w:rStyle w:val="Hyperlink"/>
              </w:rPr>
              <w:t>2.4</w:t>
            </w:r>
            <w:r w:rsidR="0001019E">
              <w:rPr>
                <w:rFonts w:asciiTheme="minorHAnsi" w:eastAsiaTheme="minorEastAsia" w:hAnsiTheme="minorHAnsi"/>
                <w:b w:val="0"/>
                <w:color w:val="auto"/>
                <w:sz w:val="22"/>
                <w:lang w:eastAsia="en-AU"/>
              </w:rPr>
              <w:tab/>
            </w:r>
            <w:r w:rsidR="0001019E" w:rsidRPr="00020329">
              <w:rPr>
                <w:rStyle w:val="Hyperlink"/>
              </w:rPr>
              <w:t>Demand management in networks</w:t>
            </w:r>
            <w:r w:rsidR="0001019E">
              <w:rPr>
                <w:webHidden/>
              </w:rPr>
              <w:tab/>
            </w:r>
            <w:r w:rsidR="0001019E">
              <w:rPr>
                <w:webHidden/>
              </w:rPr>
              <w:fldChar w:fldCharType="begin"/>
            </w:r>
            <w:r w:rsidR="0001019E">
              <w:rPr>
                <w:webHidden/>
              </w:rPr>
              <w:instrText xml:space="preserve"> PAGEREF _Toc491447233 \h </w:instrText>
            </w:r>
            <w:r w:rsidR="0001019E">
              <w:rPr>
                <w:webHidden/>
              </w:rPr>
            </w:r>
            <w:r w:rsidR="0001019E">
              <w:rPr>
                <w:webHidden/>
              </w:rPr>
              <w:fldChar w:fldCharType="separate"/>
            </w:r>
            <w:r>
              <w:rPr>
                <w:webHidden/>
              </w:rPr>
              <w:t>17</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34" w:history="1">
            <w:r w:rsidR="0001019E" w:rsidRPr="00020329">
              <w:rPr>
                <w:rStyle w:val="Hyperlink"/>
              </w:rPr>
              <w:t>2.4.1</w:t>
            </w:r>
            <w:r w:rsidR="0001019E">
              <w:rPr>
                <w:rFonts w:asciiTheme="minorHAnsi" w:eastAsiaTheme="minorEastAsia" w:hAnsiTheme="minorHAnsi"/>
                <w:lang w:eastAsia="en-AU"/>
              </w:rPr>
              <w:tab/>
            </w:r>
            <w:r w:rsidR="0001019E" w:rsidRPr="00020329">
              <w:rPr>
                <w:rStyle w:val="Hyperlink"/>
              </w:rPr>
              <w:t>Demand management and peak demand</w:t>
            </w:r>
            <w:r w:rsidR="0001019E">
              <w:rPr>
                <w:webHidden/>
              </w:rPr>
              <w:tab/>
            </w:r>
            <w:r w:rsidR="0001019E">
              <w:rPr>
                <w:webHidden/>
              </w:rPr>
              <w:fldChar w:fldCharType="begin"/>
            </w:r>
            <w:r w:rsidR="0001019E">
              <w:rPr>
                <w:webHidden/>
              </w:rPr>
              <w:instrText xml:space="preserve"> PAGEREF _Toc491447234 \h </w:instrText>
            </w:r>
            <w:r w:rsidR="0001019E">
              <w:rPr>
                <w:webHidden/>
              </w:rPr>
            </w:r>
            <w:r w:rsidR="0001019E">
              <w:rPr>
                <w:webHidden/>
              </w:rPr>
              <w:fldChar w:fldCharType="separate"/>
            </w:r>
            <w:r>
              <w:rPr>
                <w:webHidden/>
              </w:rPr>
              <w:t>17</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35" w:history="1">
            <w:r w:rsidR="0001019E" w:rsidRPr="00020329">
              <w:rPr>
                <w:rStyle w:val="Hyperlink"/>
              </w:rPr>
              <w:t>2.4.2</w:t>
            </w:r>
            <w:r w:rsidR="0001019E">
              <w:rPr>
                <w:rFonts w:asciiTheme="minorHAnsi" w:eastAsiaTheme="minorEastAsia" w:hAnsiTheme="minorHAnsi"/>
                <w:lang w:eastAsia="en-AU"/>
              </w:rPr>
              <w:tab/>
            </w:r>
            <w:r w:rsidR="0001019E" w:rsidRPr="00020329">
              <w:rPr>
                <w:rStyle w:val="Hyperlink"/>
              </w:rPr>
              <w:t>Emerging uses for demand management</w:t>
            </w:r>
            <w:r w:rsidR="0001019E">
              <w:rPr>
                <w:webHidden/>
              </w:rPr>
              <w:tab/>
            </w:r>
            <w:r w:rsidR="0001019E">
              <w:rPr>
                <w:webHidden/>
              </w:rPr>
              <w:fldChar w:fldCharType="begin"/>
            </w:r>
            <w:r w:rsidR="0001019E">
              <w:rPr>
                <w:webHidden/>
              </w:rPr>
              <w:instrText xml:space="preserve"> PAGEREF _Toc491447235 \h </w:instrText>
            </w:r>
            <w:r w:rsidR="0001019E">
              <w:rPr>
                <w:webHidden/>
              </w:rPr>
            </w:r>
            <w:r w:rsidR="0001019E">
              <w:rPr>
                <w:webHidden/>
              </w:rPr>
              <w:fldChar w:fldCharType="separate"/>
            </w:r>
            <w:r>
              <w:rPr>
                <w:webHidden/>
              </w:rPr>
              <w:t>19</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36" w:history="1">
            <w:r w:rsidR="0001019E" w:rsidRPr="00020329">
              <w:rPr>
                <w:rStyle w:val="Hyperlink"/>
              </w:rPr>
              <w:t>2.4.3</w:t>
            </w:r>
            <w:r w:rsidR="0001019E">
              <w:rPr>
                <w:rFonts w:asciiTheme="minorHAnsi" w:eastAsiaTheme="minorEastAsia" w:hAnsiTheme="minorHAnsi"/>
                <w:lang w:eastAsia="en-AU"/>
              </w:rPr>
              <w:tab/>
            </w:r>
            <w:r w:rsidR="0001019E" w:rsidRPr="00020329">
              <w:rPr>
                <w:rStyle w:val="Hyperlink"/>
              </w:rPr>
              <w:t>Network demand management and other parties</w:t>
            </w:r>
            <w:r w:rsidR="0001019E">
              <w:rPr>
                <w:webHidden/>
              </w:rPr>
              <w:tab/>
            </w:r>
            <w:r w:rsidR="0001019E">
              <w:rPr>
                <w:webHidden/>
              </w:rPr>
              <w:fldChar w:fldCharType="begin"/>
            </w:r>
            <w:r w:rsidR="0001019E">
              <w:rPr>
                <w:webHidden/>
              </w:rPr>
              <w:instrText xml:space="preserve"> PAGEREF _Toc491447236 \h </w:instrText>
            </w:r>
            <w:r w:rsidR="0001019E">
              <w:rPr>
                <w:webHidden/>
              </w:rPr>
            </w:r>
            <w:r w:rsidR="0001019E">
              <w:rPr>
                <w:webHidden/>
              </w:rPr>
              <w:fldChar w:fldCharType="separate"/>
            </w:r>
            <w:r>
              <w:rPr>
                <w:webHidden/>
              </w:rPr>
              <w:t>20</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37" w:history="1">
            <w:r w:rsidR="0001019E" w:rsidRPr="00020329">
              <w:rPr>
                <w:rStyle w:val="Hyperlink"/>
              </w:rPr>
              <w:t>3</w:t>
            </w:r>
            <w:r w:rsidR="0001019E">
              <w:rPr>
                <w:rFonts w:asciiTheme="minorHAnsi" w:eastAsiaTheme="minorEastAsia" w:hAnsiTheme="minorHAnsi"/>
                <w:b w:val="0"/>
                <w:color w:val="auto"/>
                <w:sz w:val="22"/>
                <w:lang w:val="en-AU" w:eastAsia="en-AU"/>
              </w:rPr>
              <w:tab/>
            </w:r>
            <w:r w:rsidR="0001019E" w:rsidRPr="00020329">
              <w:rPr>
                <w:rStyle w:val="Hyperlink"/>
              </w:rPr>
              <w:t>Insights from stakeholders</w:t>
            </w:r>
            <w:r w:rsidR="0001019E">
              <w:rPr>
                <w:webHidden/>
              </w:rPr>
              <w:tab/>
            </w:r>
            <w:r w:rsidR="0001019E">
              <w:rPr>
                <w:webHidden/>
              </w:rPr>
              <w:fldChar w:fldCharType="begin"/>
            </w:r>
            <w:r w:rsidR="0001019E">
              <w:rPr>
                <w:webHidden/>
              </w:rPr>
              <w:instrText xml:space="preserve"> PAGEREF _Toc491447237 \h </w:instrText>
            </w:r>
            <w:r w:rsidR="0001019E">
              <w:rPr>
                <w:webHidden/>
              </w:rPr>
            </w:r>
            <w:r w:rsidR="0001019E">
              <w:rPr>
                <w:webHidden/>
              </w:rPr>
              <w:fldChar w:fldCharType="separate"/>
            </w:r>
            <w:r>
              <w:rPr>
                <w:webHidden/>
              </w:rPr>
              <w:t>23</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38" w:history="1">
            <w:r w:rsidR="0001019E" w:rsidRPr="00020329">
              <w:rPr>
                <w:rStyle w:val="Hyperlink"/>
              </w:rPr>
              <w:t>3.1</w:t>
            </w:r>
            <w:r w:rsidR="0001019E">
              <w:rPr>
                <w:rFonts w:asciiTheme="minorHAnsi" w:eastAsiaTheme="minorEastAsia" w:hAnsiTheme="minorHAnsi"/>
                <w:b w:val="0"/>
                <w:color w:val="auto"/>
                <w:sz w:val="22"/>
                <w:lang w:eastAsia="en-AU"/>
              </w:rPr>
              <w:tab/>
            </w:r>
            <w:r w:rsidR="0001019E" w:rsidRPr="00020329">
              <w:rPr>
                <w:rStyle w:val="Hyperlink"/>
              </w:rPr>
              <w:t>Insights on overall Scheme design</w:t>
            </w:r>
            <w:r w:rsidR="0001019E">
              <w:rPr>
                <w:webHidden/>
              </w:rPr>
              <w:tab/>
            </w:r>
            <w:r w:rsidR="0001019E">
              <w:rPr>
                <w:webHidden/>
              </w:rPr>
              <w:fldChar w:fldCharType="begin"/>
            </w:r>
            <w:r w:rsidR="0001019E">
              <w:rPr>
                <w:webHidden/>
              </w:rPr>
              <w:instrText xml:space="preserve"> PAGEREF _Toc491447238 \h </w:instrText>
            </w:r>
            <w:r w:rsidR="0001019E">
              <w:rPr>
                <w:webHidden/>
              </w:rPr>
            </w:r>
            <w:r w:rsidR="0001019E">
              <w:rPr>
                <w:webHidden/>
              </w:rPr>
              <w:fldChar w:fldCharType="separate"/>
            </w:r>
            <w:r>
              <w:rPr>
                <w:webHidden/>
              </w:rPr>
              <w:t>25</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39" w:history="1">
            <w:r w:rsidR="0001019E" w:rsidRPr="00020329">
              <w:rPr>
                <w:rStyle w:val="Hyperlink"/>
              </w:rPr>
              <w:t>3.2</w:t>
            </w:r>
            <w:r w:rsidR="0001019E">
              <w:rPr>
                <w:rFonts w:asciiTheme="minorHAnsi" w:eastAsiaTheme="minorEastAsia" w:hAnsiTheme="minorHAnsi"/>
                <w:b w:val="0"/>
                <w:color w:val="auto"/>
                <w:sz w:val="22"/>
                <w:lang w:eastAsia="en-AU"/>
              </w:rPr>
              <w:tab/>
            </w:r>
            <w:r w:rsidR="0001019E" w:rsidRPr="00020329">
              <w:rPr>
                <w:rStyle w:val="Hyperlink"/>
              </w:rPr>
              <w:t>Insights on the magnitude of the incentive</w:t>
            </w:r>
            <w:r w:rsidR="0001019E">
              <w:rPr>
                <w:webHidden/>
              </w:rPr>
              <w:tab/>
            </w:r>
            <w:r w:rsidR="0001019E">
              <w:rPr>
                <w:webHidden/>
              </w:rPr>
              <w:fldChar w:fldCharType="begin"/>
            </w:r>
            <w:r w:rsidR="0001019E">
              <w:rPr>
                <w:webHidden/>
              </w:rPr>
              <w:instrText xml:space="preserve"> PAGEREF _Toc491447239 \h </w:instrText>
            </w:r>
            <w:r w:rsidR="0001019E">
              <w:rPr>
                <w:webHidden/>
              </w:rPr>
            </w:r>
            <w:r w:rsidR="0001019E">
              <w:rPr>
                <w:webHidden/>
              </w:rPr>
              <w:fldChar w:fldCharType="separate"/>
            </w:r>
            <w:r>
              <w:rPr>
                <w:webHidden/>
              </w:rPr>
              <w:t>26</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40" w:history="1">
            <w:r w:rsidR="0001019E" w:rsidRPr="00020329">
              <w:rPr>
                <w:rStyle w:val="Hyperlink"/>
              </w:rPr>
              <w:t>4</w:t>
            </w:r>
            <w:r w:rsidR="0001019E">
              <w:rPr>
                <w:rFonts w:asciiTheme="minorHAnsi" w:eastAsiaTheme="minorEastAsia" w:hAnsiTheme="minorHAnsi"/>
                <w:b w:val="0"/>
                <w:color w:val="auto"/>
                <w:sz w:val="22"/>
                <w:lang w:val="en-AU" w:eastAsia="en-AU"/>
              </w:rPr>
              <w:tab/>
            </w:r>
            <w:r w:rsidR="0001019E" w:rsidRPr="00020329">
              <w:rPr>
                <w:rStyle w:val="Hyperlink"/>
              </w:rPr>
              <w:t>Application of the Scheme</w:t>
            </w:r>
            <w:r w:rsidR="0001019E">
              <w:rPr>
                <w:webHidden/>
              </w:rPr>
              <w:tab/>
            </w:r>
            <w:r w:rsidR="0001019E">
              <w:rPr>
                <w:webHidden/>
              </w:rPr>
              <w:fldChar w:fldCharType="begin"/>
            </w:r>
            <w:r w:rsidR="0001019E">
              <w:rPr>
                <w:webHidden/>
              </w:rPr>
              <w:instrText xml:space="preserve"> PAGEREF _Toc491447240 \h </w:instrText>
            </w:r>
            <w:r w:rsidR="0001019E">
              <w:rPr>
                <w:webHidden/>
              </w:rPr>
            </w:r>
            <w:r w:rsidR="0001019E">
              <w:rPr>
                <w:webHidden/>
              </w:rPr>
              <w:fldChar w:fldCharType="separate"/>
            </w:r>
            <w:r>
              <w:rPr>
                <w:webHidden/>
              </w:rPr>
              <w:t>28</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41" w:history="1">
            <w:r w:rsidR="0001019E" w:rsidRPr="00020329">
              <w:rPr>
                <w:rStyle w:val="Hyperlink"/>
              </w:rPr>
              <w:t>4.1</w:t>
            </w:r>
            <w:r w:rsidR="0001019E">
              <w:rPr>
                <w:rFonts w:asciiTheme="minorHAnsi" w:eastAsiaTheme="minorEastAsia" w:hAnsiTheme="minorHAnsi"/>
                <w:b w:val="0"/>
                <w:color w:val="auto"/>
                <w:sz w:val="22"/>
                <w:lang w:eastAsia="en-AU"/>
              </w:rPr>
              <w:tab/>
            </w:r>
            <w:r w:rsidR="0001019E" w:rsidRPr="00020329">
              <w:rPr>
                <w:rStyle w:val="Hyperlink"/>
              </w:rPr>
              <w:t>Applying the incentive as a cost uplift</w:t>
            </w:r>
            <w:r w:rsidR="0001019E">
              <w:rPr>
                <w:webHidden/>
              </w:rPr>
              <w:tab/>
            </w:r>
            <w:r w:rsidR="0001019E">
              <w:rPr>
                <w:webHidden/>
              </w:rPr>
              <w:fldChar w:fldCharType="begin"/>
            </w:r>
            <w:r w:rsidR="0001019E">
              <w:rPr>
                <w:webHidden/>
              </w:rPr>
              <w:instrText xml:space="preserve"> PAGEREF _Toc491447241 \h </w:instrText>
            </w:r>
            <w:r w:rsidR="0001019E">
              <w:rPr>
                <w:webHidden/>
              </w:rPr>
            </w:r>
            <w:r w:rsidR="0001019E">
              <w:rPr>
                <w:webHidden/>
              </w:rPr>
              <w:fldChar w:fldCharType="separate"/>
            </w:r>
            <w:r>
              <w:rPr>
                <w:webHidden/>
              </w:rPr>
              <w:t>28</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42" w:history="1">
            <w:r w:rsidR="0001019E" w:rsidRPr="00020329">
              <w:rPr>
                <w:rStyle w:val="Hyperlink"/>
              </w:rPr>
              <w:t>4.1.1</w:t>
            </w:r>
            <w:r w:rsidR="0001019E">
              <w:rPr>
                <w:rFonts w:asciiTheme="minorHAnsi" w:eastAsiaTheme="minorEastAsia" w:hAnsiTheme="minorHAnsi"/>
                <w:lang w:eastAsia="en-AU"/>
              </w:rPr>
              <w:tab/>
            </w:r>
            <w:r w:rsidR="0001019E" w:rsidRPr="00020329">
              <w:rPr>
                <w:rStyle w:val="Hyperlink"/>
              </w:rPr>
              <w:t>The cost multiplier</w:t>
            </w:r>
            <w:r w:rsidR="0001019E">
              <w:rPr>
                <w:webHidden/>
              </w:rPr>
              <w:tab/>
            </w:r>
            <w:r w:rsidR="0001019E">
              <w:rPr>
                <w:webHidden/>
              </w:rPr>
              <w:fldChar w:fldCharType="begin"/>
            </w:r>
            <w:r w:rsidR="0001019E">
              <w:rPr>
                <w:webHidden/>
              </w:rPr>
              <w:instrText xml:space="preserve"> PAGEREF _Toc491447242 \h </w:instrText>
            </w:r>
            <w:r w:rsidR="0001019E">
              <w:rPr>
                <w:webHidden/>
              </w:rPr>
            </w:r>
            <w:r w:rsidR="0001019E">
              <w:rPr>
                <w:webHidden/>
              </w:rPr>
              <w:fldChar w:fldCharType="separate"/>
            </w:r>
            <w:r>
              <w:rPr>
                <w:webHidden/>
              </w:rPr>
              <w:t>28</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43" w:history="1">
            <w:r w:rsidR="0001019E" w:rsidRPr="00020329">
              <w:rPr>
                <w:rStyle w:val="Hyperlink"/>
              </w:rPr>
              <w:t>4.1.2</w:t>
            </w:r>
            <w:r w:rsidR="0001019E">
              <w:rPr>
                <w:rFonts w:asciiTheme="minorHAnsi" w:eastAsiaTheme="minorEastAsia" w:hAnsiTheme="minorHAnsi"/>
                <w:lang w:eastAsia="en-AU"/>
              </w:rPr>
              <w:tab/>
            </w:r>
            <w:r w:rsidR="0001019E" w:rsidRPr="00020329">
              <w:rPr>
                <w:rStyle w:val="Hyperlink"/>
              </w:rPr>
              <w:t>Net-Benefit Sharing</w:t>
            </w:r>
            <w:r w:rsidR="0001019E">
              <w:rPr>
                <w:webHidden/>
              </w:rPr>
              <w:tab/>
            </w:r>
            <w:r w:rsidR="0001019E">
              <w:rPr>
                <w:webHidden/>
              </w:rPr>
              <w:fldChar w:fldCharType="begin"/>
            </w:r>
            <w:r w:rsidR="0001019E">
              <w:rPr>
                <w:webHidden/>
              </w:rPr>
              <w:instrText xml:space="preserve"> PAGEREF _Toc491447243 \h </w:instrText>
            </w:r>
            <w:r w:rsidR="0001019E">
              <w:rPr>
                <w:webHidden/>
              </w:rPr>
            </w:r>
            <w:r w:rsidR="0001019E">
              <w:rPr>
                <w:webHidden/>
              </w:rPr>
              <w:fldChar w:fldCharType="separate"/>
            </w:r>
            <w:r>
              <w:rPr>
                <w:webHidden/>
              </w:rPr>
              <w:t>29</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44" w:history="1">
            <w:r w:rsidR="0001019E" w:rsidRPr="00020329">
              <w:rPr>
                <w:rStyle w:val="Hyperlink"/>
              </w:rPr>
              <w:t>4.1.3</w:t>
            </w:r>
            <w:r w:rsidR="0001019E">
              <w:rPr>
                <w:rFonts w:asciiTheme="minorHAnsi" w:eastAsiaTheme="minorEastAsia" w:hAnsiTheme="minorHAnsi"/>
                <w:lang w:eastAsia="en-AU"/>
              </w:rPr>
              <w:tab/>
            </w:r>
            <w:r w:rsidR="0001019E" w:rsidRPr="00020329">
              <w:rPr>
                <w:rStyle w:val="Hyperlink"/>
              </w:rPr>
              <w:t>Removing disincentives to undertake demand management</w:t>
            </w:r>
            <w:r w:rsidR="0001019E">
              <w:rPr>
                <w:webHidden/>
              </w:rPr>
              <w:tab/>
            </w:r>
            <w:r w:rsidR="0001019E">
              <w:rPr>
                <w:webHidden/>
              </w:rPr>
              <w:fldChar w:fldCharType="begin"/>
            </w:r>
            <w:r w:rsidR="0001019E">
              <w:rPr>
                <w:webHidden/>
              </w:rPr>
              <w:instrText xml:space="preserve"> PAGEREF _Toc491447244 \h </w:instrText>
            </w:r>
            <w:r w:rsidR="0001019E">
              <w:rPr>
                <w:webHidden/>
              </w:rPr>
            </w:r>
            <w:r w:rsidR="0001019E">
              <w:rPr>
                <w:webHidden/>
              </w:rPr>
              <w:fldChar w:fldCharType="separate"/>
            </w:r>
            <w:r>
              <w:rPr>
                <w:webHidden/>
              </w:rPr>
              <w:t>30</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45" w:history="1">
            <w:r w:rsidR="0001019E" w:rsidRPr="00020329">
              <w:rPr>
                <w:rStyle w:val="Hyperlink"/>
              </w:rPr>
              <w:t>4.2</w:t>
            </w:r>
            <w:r w:rsidR="0001019E">
              <w:rPr>
                <w:rFonts w:asciiTheme="minorHAnsi" w:eastAsiaTheme="minorEastAsia" w:hAnsiTheme="minorHAnsi"/>
                <w:b w:val="0"/>
                <w:color w:val="auto"/>
                <w:sz w:val="22"/>
                <w:lang w:eastAsia="en-AU"/>
              </w:rPr>
              <w:tab/>
            </w:r>
            <w:r w:rsidR="0001019E" w:rsidRPr="00020329">
              <w:rPr>
                <w:rStyle w:val="Hyperlink"/>
              </w:rPr>
              <w:t>Setting the cost multiplier in the Scheme</w:t>
            </w:r>
            <w:r w:rsidR="0001019E">
              <w:rPr>
                <w:webHidden/>
              </w:rPr>
              <w:tab/>
            </w:r>
            <w:r w:rsidR="0001019E">
              <w:rPr>
                <w:webHidden/>
              </w:rPr>
              <w:fldChar w:fldCharType="begin"/>
            </w:r>
            <w:r w:rsidR="0001019E">
              <w:rPr>
                <w:webHidden/>
              </w:rPr>
              <w:instrText xml:space="preserve"> PAGEREF _Toc491447245 \h </w:instrText>
            </w:r>
            <w:r w:rsidR="0001019E">
              <w:rPr>
                <w:webHidden/>
              </w:rPr>
            </w:r>
            <w:r w:rsidR="0001019E">
              <w:rPr>
                <w:webHidden/>
              </w:rPr>
              <w:fldChar w:fldCharType="separate"/>
            </w:r>
            <w:r>
              <w:rPr>
                <w:webHidden/>
              </w:rPr>
              <w:t>31</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46" w:history="1">
            <w:r w:rsidR="0001019E" w:rsidRPr="00020329">
              <w:rPr>
                <w:rStyle w:val="Hyperlink"/>
              </w:rPr>
              <w:t>4.3</w:t>
            </w:r>
            <w:r w:rsidR="0001019E">
              <w:rPr>
                <w:rFonts w:asciiTheme="minorHAnsi" w:eastAsiaTheme="minorEastAsia" w:hAnsiTheme="minorHAnsi"/>
                <w:b w:val="0"/>
                <w:color w:val="auto"/>
                <w:sz w:val="22"/>
                <w:lang w:eastAsia="en-AU"/>
              </w:rPr>
              <w:tab/>
            </w:r>
            <w:r w:rsidR="0001019E" w:rsidRPr="00020329">
              <w:rPr>
                <w:rStyle w:val="Hyperlink"/>
              </w:rPr>
              <w:t>The magnitude of the cost multiplier</w:t>
            </w:r>
            <w:r w:rsidR="0001019E">
              <w:rPr>
                <w:webHidden/>
              </w:rPr>
              <w:tab/>
            </w:r>
            <w:r w:rsidR="0001019E">
              <w:rPr>
                <w:webHidden/>
              </w:rPr>
              <w:fldChar w:fldCharType="begin"/>
            </w:r>
            <w:r w:rsidR="0001019E">
              <w:rPr>
                <w:webHidden/>
              </w:rPr>
              <w:instrText xml:space="preserve"> PAGEREF _Toc491447246 \h </w:instrText>
            </w:r>
            <w:r w:rsidR="0001019E">
              <w:rPr>
                <w:webHidden/>
              </w:rPr>
            </w:r>
            <w:r w:rsidR="0001019E">
              <w:rPr>
                <w:webHidden/>
              </w:rPr>
              <w:fldChar w:fldCharType="separate"/>
            </w:r>
            <w:r>
              <w:rPr>
                <w:webHidden/>
              </w:rPr>
              <w:t>31</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47" w:history="1">
            <w:r w:rsidR="0001019E" w:rsidRPr="00020329">
              <w:rPr>
                <w:rStyle w:val="Hyperlink"/>
              </w:rPr>
              <w:t>5</w:t>
            </w:r>
            <w:r w:rsidR="0001019E">
              <w:rPr>
                <w:rFonts w:asciiTheme="minorHAnsi" w:eastAsiaTheme="minorEastAsia" w:hAnsiTheme="minorHAnsi"/>
                <w:b w:val="0"/>
                <w:color w:val="auto"/>
                <w:sz w:val="22"/>
                <w:lang w:val="en-AU" w:eastAsia="en-AU"/>
              </w:rPr>
              <w:tab/>
            </w:r>
            <w:r w:rsidR="0001019E" w:rsidRPr="00020329">
              <w:rPr>
                <w:rStyle w:val="Hyperlink"/>
              </w:rPr>
              <w:t>Identifying and committing eligible projects</w:t>
            </w:r>
            <w:r w:rsidR="0001019E">
              <w:rPr>
                <w:webHidden/>
              </w:rPr>
              <w:tab/>
            </w:r>
            <w:r w:rsidR="0001019E">
              <w:rPr>
                <w:webHidden/>
              </w:rPr>
              <w:fldChar w:fldCharType="begin"/>
            </w:r>
            <w:r w:rsidR="0001019E">
              <w:rPr>
                <w:webHidden/>
              </w:rPr>
              <w:instrText xml:space="preserve"> PAGEREF _Toc491447247 \h </w:instrText>
            </w:r>
            <w:r w:rsidR="0001019E">
              <w:rPr>
                <w:webHidden/>
              </w:rPr>
            </w:r>
            <w:r w:rsidR="0001019E">
              <w:rPr>
                <w:webHidden/>
              </w:rPr>
              <w:fldChar w:fldCharType="separate"/>
            </w:r>
            <w:r>
              <w:rPr>
                <w:webHidden/>
              </w:rPr>
              <w:t>34</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48" w:history="1">
            <w:r w:rsidR="0001019E" w:rsidRPr="00020329">
              <w:rPr>
                <w:rStyle w:val="Hyperlink"/>
              </w:rPr>
              <w:t>5.1</w:t>
            </w:r>
            <w:r w:rsidR="0001019E">
              <w:rPr>
                <w:rFonts w:asciiTheme="minorHAnsi" w:eastAsiaTheme="minorEastAsia" w:hAnsiTheme="minorHAnsi"/>
                <w:b w:val="0"/>
                <w:color w:val="auto"/>
                <w:sz w:val="22"/>
                <w:lang w:eastAsia="en-AU"/>
              </w:rPr>
              <w:tab/>
            </w:r>
            <w:r w:rsidR="0001019E" w:rsidRPr="00020329">
              <w:rPr>
                <w:rStyle w:val="Hyperlink"/>
              </w:rPr>
              <w:t>Defining demand management</w:t>
            </w:r>
            <w:r w:rsidR="0001019E">
              <w:rPr>
                <w:webHidden/>
              </w:rPr>
              <w:tab/>
            </w:r>
            <w:r w:rsidR="0001019E">
              <w:rPr>
                <w:webHidden/>
              </w:rPr>
              <w:fldChar w:fldCharType="begin"/>
            </w:r>
            <w:r w:rsidR="0001019E">
              <w:rPr>
                <w:webHidden/>
              </w:rPr>
              <w:instrText xml:space="preserve"> PAGEREF _Toc491447248 \h </w:instrText>
            </w:r>
            <w:r w:rsidR="0001019E">
              <w:rPr>
                <w:webHidden/>
              </w:rPr>
            </w:r>
            <w:r w:rsidR="0001019E">
              <w:rPr>
                <w:webHidden/>
              </w:rPr>
              <w:fldChar w:fldCharType="separate"/>
            </w:r>
            <w:r>
              <w:rPr>
                <w:webHidden/>
              </w:rPr>
              <w:t>35</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49" w:history="1">
            <w:r w:rsidR="0001019E" w:rsidRPr="00020329">
              <w:rPr>
                <w:rStyle w:val="Hyperlink"/>
              </w:rPr>
              <w:t>5.2</w:t>
            </w:r>
            <w:r w:rsidR="0001019E">
              <w:rPr>
                <w:rFonts w:asciiTheme="minorHAnsi" w:eastAsiaTheme="minorEastAsia" w:hAnsiTheme="minorHAnsi"/>
                <w:b w:val="0"/>
                <w:color w:val="auto"/>
                <w:sz w:val="22"/>
                <w:lang w:eastAsia="en-AU"/>
              </w:rPr>
              <w:tab/>
            </w:r>
            <w:r w:rsidR="0001019E" w:rsidRPr="00020329">
              <w:rPr>
                <w:rStyle w:val="Hyperlink"/>
              </w:rPr>
              <w:t>Defining minimum project evaluation requirements</w:t>
            </w:r>
            <w:r w:rsidR="0001019E">
              <w:rPr>
                <w:webHidden/>
              </w:rPr>
              <w:tab/>
            </w:r>
            <w:r w:rsidR="0001019E">
              <w:rPr>
                <w:webHidden/>
              </w:rPr>
              <w:fldChar w:fldCharType="begin"/>
            </w:r>
            <w:r w:rsidR="0001019E">
              <w:rPr>
                <w:webHidden/>
              </w:rPr>
              <w:instrText xml:space="preserve"> PAGEREF _Toc491447249 \h </w:instrText>
            </w:r>
            <w:r w:rsidR="0001019E">
              <w:rPr>
                <w:webHidden/>
              </w:rPr>
            </w:r>
            <w:r w:rsidR="0001019E">
              <w:rPr>
                <w:webHidden/>
              </w:rPr>
              <w:fldChar w:fldCharType="separate"/>
            </w:r>
            <w:r>
              <w:rPr>
                <w:webHidden/>
              </w:rPr>
              <w:t>37</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50" w:history="1">
            <w:r w:rsidR="0001019E" w:rsidRPr="00020329">
              <w:rPr>
                <w:rStyle w:val="Hyperlink"/>
              </w:rPr>
              <w:t>5.2.1</w:t>
            </w:r>
            <w:r w:rsidR="0001019E">
              <w:rPr>
                <w:rFonts w:asciiTheme="minorHAnsi" w:eastAsiaTheme="minorEastAsia" w:hAnsiTheme="minorHAnsi"/>
                <w:lang w:eastAsia="en-AU"/>
              </w:rPr>
              <w:tab/>
            </w:r>
            <w:r w:rsidR="0001019E" w:rsidRPr="00020329">
              <w:rPr>
                <w:rStyle w:val="Hyperlink"/>
              </w:rPr>
              <w:t>Issuing requests for demand management solutions</w:t>
            </w:r>
            <w:r w:rsidR="0001019E">
              <w:rPr>
                <w:webHidden/>
              </w:rPr>
              <w:tab/>
            </w:r>
            <w:r w:rsidR="0001019E">
              <w:rPr>
                <w:webHidden/>
              </w:rPr>
              <w:fldChar w:fldCharType="begin"/>
            </w:r>
            <w:r w:rsidR="0001019E">
              <w:rPr>
                <w:webHidden/>
              </w:rPr>
              <w:instrText xml:space="preserve"> PAGEREF _Toc491447250 \h </w:instrText>
            </w:r>
            <w:r w:rsidR="0001019E">
              <w:rPr>
                <w:webHidden/>
              </w:rPr>
            </w:r>
            <w:r w:rsidR="0001019E">
              <w:rPr>
                <w:webHidden/>
              </w:rPr>
              <w:fldChar w:fldCharType="separate"/>
            </w:r>
            <w:r>
              <w:rPr>
                <w:webHidden/>
              </w:rPr>
              <w:t>37</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51" w:history="1">
            <w:r w:rsidR="0001019E" w:rsidRPr="00020329">
              <w:rPr>
                <w:rStyle w:val="Hyperlink"/>
              </w:rPr>
              <w:t>5.2.2</w:t>
            </w:r>
            <w:r w:rsidR="0001019E">
              <w:rPr>
                <w:rFonts w:asciiTheme="minorHAnsi" w:eastAsiaTheme="minorEastAsia" w:hAnsiTheme="minorHAnsi"/>
                <w:lang w:eastAsia="en-AU"/>
              </w:rPr>
              <w:tab/>
            </w:r>
            <w:r w:rsidR="0001019E" w:rsidRPr="00020329">
              <w:rPr>
                <w:rStyle w:val="Hyperlink"/>
              </w:rPr>
              <w:t>Information in the request for demand management solutions</w:t>
            </w:r>
            <w:r w:rsidR="0001019E">
              <w:rPr>
                <w:webHidden/>
              </w:rPr>
              <w:tab/>
            </w:r>
            <w:r w:rsidR="0001019E">
              <w:rPr>
                <w:webHidden/>
              </w:rPr>
              <w:fldChar w:fldCharType="begin"/>
            </w:r>
            <w:r w:rsidR="0001019E">
              <w:rPr>
                <w:webHidden/>
              </w:rPr>
              <w:instrText xml:space="preserve"> PAGEREF _Toc491447251 \h </w:instrText>
            </w:r>
            <w:r w:rsidR="0001019E">
              <w:rPr>
                <w:webHidden/>
              </w:rPr>
            </w:r>
            <w:r w:rsidR="0001019E">
              <w:rPr>
                <w:webHidden/>
              </w:rPr>
              <w:fldChar w:fldCharType="separate"/>
            </w:r>
            <w:r>
              <w:rPr>
                <w:webHidden/>
              </w:rPr>
              <w:t>38</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52" w:history="1">
            <w:r w:rsidR="0001019E" w:rsidRPr="00020329">
              <w:rPr>
                <w:rStyle w:val="Hyperlink"/>
              </w:rPr>
              <w:t>5.3</w:t>
            </w:r>
            <w:r w:rsidR="0001019E">
              <w:rPr>
                <w:rFonts w:asciiTheme="minorHAnsi" w:eastAsiaTheme="minorEastAsia" w:hAnsiTheme="minorHAnsi"/>
                <w:b w:val="0"/>
                <w:color w:val="auto"/>
                <w:sz w:val="22"/>
                <w:lang w:eastAsia="en-AU"/>
              </w:rPr>
              <w:tab/>
            </w:r>
            <w:r w:rsidR="0001019E" w:rsidRPr="00020329">
              <w:rPr>
                <w:rStyle w:val="Hyperlink"/>
              </w:rPr>
              <w:t>Requirements for committing projects</w:t>
            </w:r>
            <w:r w:rsidR="0001019E">
              <w:rPr>
                <w:webHidden/>
              </w:rPr>
              <w:tab/>
            </w:r>
            <w:r w:rsidR="0001019E">
              <w:rPr>
                <w:webHidden/>
              </w:rPr>
              <w:fldChar w:fldCharType="begin"/>
            </w:r>
            <w:r w:rsidR="0001019E">
              <w:rPr>
                <w:webHidden/>
              </w:rPr>
              <w:instrText xml:space="preserve"> PAGEREF _Toc491447252 \h </w:instrText>
            </w:r>
            <w:r w:rsidR="0001019E">
              <w:rPr>
                <w:webHidden/>
              </w:rPr>
            </w:r>
            <w:r w:rsidR="0001019E">
              <w:rPr>
                <w:webHidden/>
              </w:rPr>
              <w:fldChar w:fldCharType="separate"/>
            </w:r>
            <w:r>
              <w:rPr>
                <w:webHidden/>
              </w:rPr>
              <w:t>40</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53" w:history="1">
            <w:r w:rsidR="0001019E" w:rsidRPr="00020329">
              <w:rPr>
                <w:rStyle w:val="Hyperlink"/>
              </w:rPr>
              <w:t>5.3.1</w:t>
            </w:r>
            <w:r w:rsidR="0001019E">
              <w:rPr>
                <w:rFonts w:asciiTheme="minorHAnsi" w:eastAsiaTheme="minorEastAsia" w:hAnsiTheme="minorHAnsi"/>
                <w:lang w:eastAsia="en-AU"/>
              </w:rPr>
              <w:tab/>
            </w:r>
            <w:r w:rsidR="0001019E" w:rsidRPr="00020329">
              <w:rPr>
                <w:rStyle w:val="Hyperlink"/>
              </w:rPr>
              <w:t>Rationale for the demand management contract</w:t>
            </w:r>
            <w:r w:rsidR="0001019E">
              <w:rPr>
                <w:webHidden/>
              </w:rPr>
              <w:tab/>
            </w:r>
            <w:r w:rsidR="0001019E">
              <w:rPr>
                <w:webHidden/>
              </w:rPr>
              <w:fldChar w:fldCharType="begin"/>
            </w:r>
            <w:r w:rsidR="0001019E">
              <w:rPr>
                <w:webHidden/>
              </w:rPr>
              <w:instrText xml:space="preserve"> PAGEREF _Toc491447253 \h </w:instrText>
            </w:r>
            <w:r w:rsidR="0001019E">
              <w:rPr>
                <w:webHidden/>
              </w:rPr>
            </w:r>
            <w:r w:rsidR="0001019E">
              <w:rPr>
                <w:webHidden/>
              </w:rPr>
              <w:fldChar w:fldCharType="separate"/>
            </w:r>
            <w:r>
              <w:rPr>
                <w:webHidden/>
              </w:rPr>
              <w:t>40</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54" w:history="1">
            <w:r w:rsidR="0001019E" w:rsidRPr="00020329">
              <w:rPr>
                <w:rStyle w:val="Hyperlink"/>
              </w:rPr>
              <w:t>5.3.2</w:t>
            </w:r>
            <w:r w:rsidR="0001019E">
              <w:rPr>
                <w:rFonts w:asciiTheme="minorHAnsi" w:eastAsiaTheme="minorEastAsia" w:hAnsiTheme="minorHAnsi"/>
                <w:lang w:eastAsia="en-AU"/>
              </w:rPr>
              <w:tab/>
            </w:r>
            <w:r w:rsidR="0001019E" w:rsidRPr="00020329">
              <w:rPr>
                <w:rStyle w:val="Hyperlink"/>
              </w:rPr>
              <w:t>Rationale for demand management proposal</w:t>
            </w:r>
            <w:r w:rsidR="0001019E">
              <w:rPr>
                <w:webHidden/>
              </w:rPr>
              <w:tab/>
            </w:r>
            <w:r w:rsidR="0001019E">
              <w:rPr>
                <w:webHidden/>
              </w:rPr>
              <w:fldChar w:fldCharType="begin"/>
            </w:r>
            <w:r w:rsidR="0001019E">
              <w:rPr>
                <w:webHidden/>
              </w:rPr>
              <w:instrText xml:space="preserve"> PAGEREF _Toc491447254 \h </w:instrText>
            </w:r>
            <w:r w:rsidR="0001019E">
              <w:rPr>
                <w:webHidden/>
              </w:rPr>
            </w:r>
            <w:r w:rsidR="0001019E">
              <w:rPr>
                <w:webHidden/>
              </w:rPr>
              <w:fldChar w:fldCharType="separate"/>
            </w:r>
            <w:r>
              <w:rPr>
                <w:webHidden/>
              </w:rPr>
              <w:t>41</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55" w:history="1">
            <w:r w:rsidR="0001019E" w:rsidRPr="00020329">
              <w:rPr>
                <w:rStyle w:val="Hyperlink"/>
              </w:rPr>
              <w:t>6</w:t>
            </w:r>
            <w:r w:rsidR="0001019E">
              <w:rPr>
                <w:rFonts w:asciiTheme="minorHAnsi" w:eastAsiaTheme="minorEastAsia" w:hAnsiTheme="minorHAnsi"/>
                <w:b w:val="0"/>
                <w:color w:val="auto"/>
                <w:sz w:val="22"/>
                <w:lang w:val="en-AU" w:eastAsia="en-AU"/>
              </w:rPr>
              <w:tab/>
            </w:r>
            <w:r w:rsidR="0001019E" w:rsidRPr="00020329">
              <w:rPr>
                <w:rStyle w:val="Hyperlink"/>
              </w:rPr>
              <w:t>Determining the project incentive</w:t>
            </w:r>
            <w:r w:rsidR="0001019E">
              <w:rPr>
                <w:webHidden/>
              </w:rPr>
              <w:tab/>
            </w:r>
            <w:r w:rsidR="0001019E">
              <w:rPr>
                <w:webHidden/>
              </w:rPr>
              <w:fldChar w:fldCharType="begin"/>
            </w:r>
            <w:r w:rsidR="0001019E">
              <w:rPr>
                <w:webHidden/>
              </w:rPr>
              <w:instrText xml:space="preserve"> PAGEREF _Toc491447255 \h </w:instrText>
            </w:r>
            <w:r w:rsidR="0001019E">
              <w:rPr>
                <w:webHidden/>
              </w:rPr>
            </w:r>
            <w:r w:rsidR="0001019E">
              <w:rPr>
                <w:webHidden/>
              </w:rPr>
              <w:fldChar w:fldCharType="separate"/>
            </w:r>
            <w:r>
              <w:rPr>
                <w:webHidden/>
              </w:rPr>
              <w:t>43</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56" w:history="1">
            <w:r w:rsidR="0001019E" w:rsidRPr="00020329">
              <w:rPr>
                <w:rStyle w:val="Hyperlink"/>
              </w:rPr>
              <w:t>6.1</w:t>
            </w:r>
            <w:r w:rsidR="0001019E">
              <w:rPr>
                <w:rFonts w:asciiTheme="minorHAnsi" w:eastAsiaTheme="minorEastAsia" w:hAnsiTheme="minorHAnsi"/>
                <w:b w:val="0"/>
                <w:color w:val="auto"/>
                <w:sz w:val="22"/>
                <w:lang w:eastAsia="en-AU"/>
              </w:rPr>
              <w:tab/>
            </w:r>
            <w:r w:rsidR="0001019E" w:rsidRPr="00020329">
              <w:rPr>
                <w:rStyle w:val="Hyperlink"/>
              </w:rPr>
              <w:t>Percentage of expected demand management costs</w:t>
            </w:r>
            <w:r w:rsidR="0001019E">
              <w:rPr>
                <w:webHidden/>
              </w:rPr>
              <w:tab/>
            </w:r>
            <w:r w:rsidR="0001019E">
              <w:rPr>
                <w:webHidden/>
              </w:rPr>
              <w:fldChar w:fldCharType="begin"/>
            </w:r>
            <w:r w:rsidR="0001019E">
              <w:rPr>
                <w:webHidden/>
              </w:rPr>
              <w:instrText xml:space="preserve"> PAGEREF _Toc491447256 \h </w:instrText>
            </w:r>
            <w:r w:rsidR="0001019E">
              <w:rPr>
                <w:webHidden/>
              </w:rPr>
            </w:r>
            <w:r w:rsidR="0001019E">
              <w:rPr>
                <w:webHidden/>
              </w:rPr>
              <w:fldChar w:fldCharType="separate"/>
            </w:r>
            <w:r>
              <w:rPr>
                <w:webHidden/>
              </w:rPr>
              <w:t>43</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57" w:history="1">
            <w:r w:rsidR="0001019E" w:rsidRPr="00020329">
              <w:rPr>
                <w:rStyle w:val="Hyperlink"/>
              </w:rPr>
              <w:t>6.2</w:t>
            </w:r>
            <w:r w:rsidR="0001019E">
              <w:rPr>
                <w:rFonts w:asciiTheme="minorHAnsi" w:eastAsiaTheme="minorEastAsia" w:hAnsiTheme="minorHAnsi"/>
                <w:b w:val="0"/>
                <w:color w:val="auto"/>
                <w:sz w:val="22"/>
                <w:lang w:eastAsia="en-AU"/>
              </w:rPr>
              <w:tab/>
            </w:r>
            <w:r w:rsidR="0001019E" w:rsidRPr="00020329">
              <w:rPr>
                <w:rStyle w:val="Hyperlink"/>
              </w:rPr>
              <w:t>The net benefit constraint</w:t>
            </w:r>
            <w:r w:rsidR="0001019E">
              <w:rPr>
                <w:webHidden/>
              </w:rPr>
              <w:tab/>
            </w:r>
            <w:r w:rsidR="0001019E">
              <w:rPr>
                <w:webHidden/>
              </w:rPr>
              <w:fldChar w:fldCharType="begin"/>
            </w:r>
            <w:r w:rsidR="0001019E">
              <w:rPr>
                <w:webHidden/>
              </w:rPr>
              <w:instrText xml:space="preserve"> PAGEREF _Toc491447257 \h </w:instrText>
            </w:r>
            <w:r w:rsidR="0001019E">
              <w:rPr>
                <w:webHidden/>
              </w:rPr>
            </w:r>
            <w:r w:rsidR="0001019E">
              <w:rPr>
                <w:webHidden/>
              </w:rPr>
              <w:fldChar w:fldCharType="separate"/>
            </w:r>
            <w:r>
              <w:rPr>
                <w:webHidden/>
              </w:rPr>
              <w:t>44</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58" w:history="1">
            <w:r w:rsidR="0001019E" w:rsidRPr="00020329">
              <w:rPr>
                <w:rStyle w:val="Hyperlink"/>
              </w:rPr>
              <w:t>6.2.1</w:t>
            </w:r>
            <w:r w:rsidR="0001019E">
              <w:rPr>
                <w:rFonts w:asciiTheme="minorHAnsi" w:eastAsiaTheme="minorEastAsia" w:hAnsiTheme="minorHAnsi"/>
                <w:lang w:eastAsia="en-AU"/>
              </w:rPr>
              <w:tab/>
            </w:r>
            <w:r w:rsidR="0001019E" w:rsidRPr="00020329">
              <w:rPr>
                <w:rStyle w:val="Hyperlink"/>
              </w:rPr>
              <w:t>Why include a net benefit constraint?</w:t>
            </w:r>
            <w:r w:rsidR="0001019E">
              <w:rPr>
                <w:webHidden/>
              </w:rPr>
              <w:tab/>
            </w:r>
            <w:r w:rsidR="0001019E">
              <w:rPr>
                <w:webHidden/>
              </w:rPr>
              <w:fldChar w:fldCharType="begin"/>
            </w:r>
            <w:r w:rsidR="0001019E">
              <w:rPr>
                <w:webHidden/>
              </w:rPr>
              <w:instrText xml:space="preserve"> PAGEREF _Toc491447258 \h </w:instrText>
            </w:r>
            <w:r w:rsidR="0001019E">
              <w:rPr>
                <w:webHidden/>
              </w:rPr>
            </w:r>
            <w:r w:rsidR="0001019E">
              <w:rPr>
                <w:webHidden/>
              </w:rPr>
              <w:fldChar w:fldCharType="separate"/>
            </w:r>
            <w:r>
              <w:rPr>
                <w:webHidden/>
              </w:rPr>
              <w:t>45</w:t>
            </w:r>
            <w:r w:rsidR="0001019E">
              <w:rPr>
                <w:webHidden/>
              </w:rPr>
              <w:fldChar w:fldCharType="end"/>
            </w:r>
          </w:hyperlink>
        </w:p>
        <w:p w:rsidR="0001019E" w:rsidRDefault="0076296B">
          <w:pPr>
            <w:pStyle w:val="TOC3"/>
            <w:rPr>
              <w:rFonts w:asciiTheme="minorHAnsi" w:eastAsiaTheme="minorEastAsia" w:hAnsiTheme="minorHAnsi"/>
              <w:lang w:eastAsia="en-AU"/>
            </w:rPr>
          </w:pPr>
          <w:hyperlink w:anchor="_Toc491447259" w:history="1">
            <w:r w:rsidR="0001019E" w:rsidRPr="00020329">
              <w:rPr>
                <w:rStyle w:val="Hyperlink"/>
              </w:rPr>
              <w:t>6.2.2</w:t>
            </w:r>
            <w:r w:rsidR="0001019E">
              <w:rPr>
                <w:rFonts w:asciiTheme="minorHAnsi" w:eastAsiaTheme="minorEastAsia" w:hAnsiTheme="minorHAnsi"/>
                <w:lang w:eastAsia="en-AU"/>
              </w:rPr>
              <w:tab/>
            </w:r>
            <w:r w:rsidR="0001019E" w:rsidRPr="00020329">
              <w:rPr>
                <w:rStyle w:val="Hyperlink"/>
              </w:rPr>
              <w:t>Why calculate net benefits consistently with RIT</w:t>
            </w:r>
            <w:r w:rsidR="0001019E" w:rsidRPr="00020329">
              <w:rPr>
                <w:rStyle w:val="Hyperlink"/>
                <w:rFonts w:cs="Arial"/>
              </w:rPr>
              <w:t>–</w:t>
            </w:r>
            <w:r w:rsidR="0001019E" w:rsidRPr="00020329">
              <w:rPr>
                <w:rStyle w:val="Hyperlink"/>
              </w:rPr>
              <w:t>D?</w:t>
            </w:r>
            <w:r w:rsidR="0001019E">
              <w:rPr>
                <w:webHidden/>
              </w:rPr>
              <w:tab/>
            </w:r>
            <w:r w:rsidR="0001019E">
              <w:rPr>
                <w:webHidden/>
              </w:rPr>
              <w:fldChar w:fldCharType="begin"/>
            </w:r>
            <w:r w:rsidR="0001019E">
              <w:rPr>
                <w:webHidden/>
              </w:rPr>
              <w:instrText xml:space="preserve"> PAGEREF _Toc491447259 \h </w:instrText>
            </w:r>
            <w:r w:rsidR="0001019E">
              <w:rPr>
                <w:webHidden/>
              </w:rPr>
            </w:r>
            <w:r w:rsidR="0001019E">
              <w:rPr>
                <w:webHidden/>
              </w:rPr>
              <w:fldChar w:fldCharType="separate"/>
            </w:r>
            <w:r>
              <w:rPr>
                <w:webHidden/>
              </w:rPr>
              <w:t>45</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60" w:history="1">
            <w:r w:rsidR="0001019E" w:rsidRPr="00020329">
              <w:rPr>
                <w:rStyle w:val="Hyperlink"/>
              </w:rPr>
              <w:t>7</w:t>
            </w:r>
            <w:r w:rsidR="0001019E">
              <w:rPr>
                <w:rFonts w:asciiTheme="minorHAnsi" w:eastAsiaTheme="minorEastAsia" w:hAnsiTheme="minorHAnsi"/>
                <w:b w:val="0"/>
                <w:color w:val="auto"/>
                <w:sz w:val="22"/>
                <w:lang w:val="en-AU" w:eastAsia="en-AU"/>
              </w:rPr>
              <w:tab/>
            </w:r>
            <w:r w:rsidR="0001019E" w:rsidRPr="00020329">
              <w:rPr>
                <w:rStyle w:val="Hyperlink"/>
              </w:rPr>
              <w:t>Compliance reporting</w:t>
            </w:r>
            <w:r w:rsidR="0001019E">
              <w:rPr>
                <w:webHidden/>
              </w:rPr>
              <w:tab/>
            </w:r>
            <w:r w:rsidR="0001019E">
              <w:rPr>
                <w:webHidden/>
              </w:rPr>
              <w:fldChar w:fldCharType="begin"/>
            </w:r>
            <w:r w:rsidR="0001019E">
              <w:rPr>
                <w:webHidden/>
              </w:rPr>
              <w:instrText xml:space="preserve"> PAGEREF _Toc491447260 \h </w:instrText>
            </w:r>
            <w:r w:rsidR="0001019E">
              <w:rPr>
                <w:webHidden/>
              </w:rPr>
            </w:r>
            <w:r w:rsidR="0001019E">
              <w:rPr>
                <w:webHidden/>
              </w:rPr>
              <w:fldChar w:fldCharType="separate"/>
            </w:r>
            <w:r>
              <w:rPr>
                <w:webHidden/>
              </w:rPr>
              <w:t>47</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61" w:history="1">
            <w:r w:rsidR="0001019E" w:rsidRPr="00020329">
              <w:rPr>
                <w:rStyle w:val="Hyperlink"/>
              </w:rPr>
              <w:t>7.1</w:t>
            </w:r>
            <w:r w:rsidR="0001019E">
              <w:rPr>
                <w:rFonts w:asciiTheme="minorHAnsi" w:eastAsiaTheme="minorEastAsia" w:hAnsiTheme="minorHAnsi"/>
                <w:b w:val="0"/>
                <w:color w:val="auto"/>
                <w:sz w:val="22"/>
                <w:lang w:eastAsia="en-AU"/>
              </w:rPr>
              <w:tab/>
            </w:r>
            <w:r w:rsidR="0001019E" w:rsidRPr="00020329">
              <w:rPr>
                <w:rStyle w:val="Hyperlink"/>
              </w:rPr>
              <w:t>AER use of compliance report</w:t>
            </w:r>
            <w:r w:rsidR="0001019E">
              <w:rPr>
                <w:webHidden/>
              </w:rPr>
              <w:tab/>
            </w:r>
            <w:r w:rsidR="0001019E">
              <w:rPr>
                <w:webHidden/>
              </w:rPr>
              <w:fldChar w:fldCharType="begin"/>
            </w:r>
            <w:r w:rsidR="0001019E">
              <w:rPr>
                <w:webHidden/>
              </w:rPr>
              <w:instrText xml:space="preserve"> PAGEREF _Toc491447261 \h </w:instrText>
            </w:r>
            <w:r w:rsidR="0001019E">
              <w:rPr>
                <w:webHidden/>
              </w:rPr>
            </w:r>
            <w:r w:rsidR="0001019E">
              <w:rPr>
                <w:webHidden/>
              </w:rPr>
              <w:fldChar w:fldCharType="separate"/>
            </w:r>
            <w:r>
              <w:rPr>
                <w:webHidden/>
              </w:rPr>
              <w:t>48</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62" w:history="1">
            <w:r w:rsidR="0001019E" w:rsidRPr="00020329">
              <w:rPr>
                <w:rStyle w:val="Hyperlink"/>
              </w:rPr>
              <w:t>8</w:t>
            </w:r>
            <w:r w:rsidR="0001019E">
              <w:rPr>
                <w:rFonts w:asciiTheme="minorHAnsi" w:eastAsiaTheme="minorEastAsia" w:hAnsiTheme="minorHAnsi"/>
                <w:b w:val="0"/>
                <w:color w:val="auto"/>
                <w:sz w:val="22"/>
                <w:lang w:val="en-AU" w:eastAsia="en-AU"/>
              </w:rPr>
              <w:tab/>
            </w:r>
            <w:r w:rsidR="0001019E" w:rsidRPr="00020329">
              <w:rPr>
                <w:rStyle w:val="Hyperlink"/>
              </w:rPr>
              <w:t>Accruing and applying the financial incentive</w:t>
            </w:r>
            <w:r w:rsidR="0001019E">
              <w:rPr>
                <w:webHidden/>
              </w:rPr>
              <w:tab/>
            </w:r>
            <w:r w:rsidR="0001019E">
              <w:rPr>
                <w:webHidden/>
              </w:rPr>
              <w:fldChar w:fldCharType="begin"/>
            </w:r>
            <w:r w:rsidR="0001019E">
              <w:rPr>
                <w:webHidden/>
              </w:rPr>
              <w:instrText xml:space="preserve"> PAGEREF _Toc491447262 \h </w:instrText>
            </w:r>
            <w:r w:rsidR="0001019E">
              <w:rPr>
                <w:webHidden/>
              </w:rPr>
            </w:r>
            <w:r w:rsidR="0001019E">
              <w:rPr>
                <w:webHidden/>
              </w:rPr>
              <w:fldChar w:fldCharType="separate"/>
            </w:r>
            <w:r>
              <w:rPr>
                <w:webHidden/>
              </w:rPr>
              <w:t>50</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63" w:history="1">
            <w:r w:rsidR="0001019E" w:rsidRPr="00020329">
              <w:rPr>
                <w:rStyle w:val="Hyperlink"/>
              </w:rPr>
              <w:t>8.1</w:t>
            </w:r>
            <w:r w:rsidR="0001019E">
              <w:rPr>
                <w:rFonts w:asciiTheme="minorHAnsi" w:eastAsiaTheme="minorEastAsia" w:hAnsiTheme="minorHAnsi"/>
                <w:b w:val="0"/>
                <w:color w:val="auto"/>
                <w:sz w:val="22"/>
                <w:lang w:eastAsia="en-AU"/>
              </w:rPr>
              <w:tab/>
            </w:r>
            <w:r w:rsidR="0001019E" w:rsidRPr="00020329">
              <w:rPr>
                <w:rStyle w:val="Hyperlink"/>
              </w:rPr>
              <w:t>Total financial incentive cap requirement</w:t>
            </w:r>
            <w:r w:rsidR="0001019E">
              <w:rPr>
                <w:webHidden/>
              </w:rPr>
              <w:tab/>
            </w:r>
            <w:r w:rsidR="0001019E">
              <w:rPr>
                <w:webHidden/>
              </w:rPr>
              <w:fldChar w:fldCharType="begin"/>
            </w:r>
            <w:r w:rsidR="0001019E">
              <w:rPr>
                <w:webHidden/>
              </w:rPr>
              <w:instrText xml:space="preserve"> PAGEREF _Toc491447263 \h </w:instrText>
            </w:r>
            <w:r w:rsidR="0001019E">
              <w:rPr>
                <w:webHidden/>
              </w:rPr>
            </w:r>
            <w:r w:rsidR="0001019E">
              <w:rPr>
                <w:webHidden/>
              </w:rPr>
              <w:fldChar w:fldCharType="separate"/>
            </w:r>
            <w:r>
              <w:rPr>
                <w:webHidden/>
              </w:rPr>
              <w:t>50</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64" w:history="1">
            <w:r w:rsidR="0001019E" w:rsidRPr="00020329">
              <w:rPr>
                <w:rStyle w:val="Hyperlink"/>
              </w:rPr>
              <w:t>8.2</w:t>
            </w:r>
            <w:r w:rsidR="0001019E">
              <w:rPr>
                <w:rFonts w:asciiTheme="minorHAnsi" w:eastAsiaTheme="minorEastAsia" w:hAnsiTheme="minorHAnsi"/>
                <w:b w:val="0"/>
                <w:color w:val="auto"/>
                <w:sz w:val="22"/>
                <w:lang w:eastAsia="en-AU"/>
              </w:rPr>
              <w:tab/>
            </w:r>
            <w:r w:rsidR="0001019E" w:rsidRPr="00020329">
              <w:rPr>
                <w:rStyle w:val="Hyperlink"/>
              </w:rPr>
              <w:t>Applying total financial incentive with a two year lag</w:t>
            </w:r>
            <w:r w:rsidR="0001019E">
              <w:rPr>
                <w:webHidden/>
              </w:rPr>
              <w:tab/>
            </w:r>
            <w:r w:rsidR="0001019E">
              <w:rPr>
                <w:webHidden/>
              </w:rPr>
              <w:fldChar w:fldCharType="begin"/>
            </w:r>
            <w:r w:rsidR="0001019E">
              <w:rPr>
                <w:webHidden/>
              </w:rPr>
              <w:instrText xml:space="preserve"> PAGEREF _Toc491447264 \h </w:instrText>
            </w:r>
            <w:r w:rsidR="0001019E">
              <w:rPr>
                <w:webHidden/>
              </w:rPr>
            </w:r>
            <w:r w:rsidR="0001019E">
              <w:rPr>
                <w:webHidden/>
              </w:rPr>
              <w:fldChar w:fldCharType="separate"/>
            </w:r>
            <w:r>
              <w:rPr>
                <w:webHidden/>
              </w:rPr>
              <w:t>52</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65" w:history="1">
            <w:r w:rsidR="0001019E" w:rsidRPr="00020329">
              <w:rPr>
                <w:rStyle w:val="Hyperlink"/>
              </w:rPr>
              <w:t>8.3</w:t>
            </w:r>
            <w:r w:rsidR="0001019E">
              <w:rPr>
                <w:rFonts w:asciiTheme="minorHAnsi" w:eastAsiaTheme="minorEastAsia" w:hAnsiTheme="minorHAnsi"/>
                <w:b w:val="0"/>
                <w:color w:val="auto"/>
                <w:sz w:val="22"/>
                <w:lang w:eastAsia="en-AU"/>
              </w:rPr>
              <w:tab/>
            </w:r>
            <w:r w:rsidR="0001019E" w:rsidRPr="00020329">
              <w:rPr>
                <w:rStyle w:val="Hyperlink"/>
              </w:rPr>
              <w:t>Incentive accrues on an ex ante basis</w:t>
            </w:r>
            <w:r w:rsidR="0001019E">
              <w:rPr>
                <w:webHidden/>
              </w:rPr>
              <w:tab/>
            </w:r>
            <w:r w:rsidR="0001019E">
              <w:rPr>
                <w:webHidden/>
              </w:rPr>
              <w:fldChar w:fldCharType="begin"/>
            </w:r>
            <w:r w:rsidR="0001019E">
              <w:rPr>
                <w:webHidden/>
              </w:rPr>
              <w:instrText xml:space="preserve"> PAGEREF _Toc491447265 \h </w:instrText>
            </w:r>
            <w:r w:rsidR="0001019E">
              <w:rPr>
                <w:webHidden/>
              </w:rPr>
            </w:r>
            <w:r w:rsidR="0001019E">
              <w:rPr>
                <w:webHidden/>
              </w:rPr>
              <w:fldChar w:fldCharType="separate"/>
            </w:r>
            <w:r>
              <w:rPr>
                <w:webHidden/>
              </w:rPr>
              <w:t>52</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66" w:history="1">
            <w:r w:rsidR="0001019E" w:rsidRPr="00020329">
              <w:rPr>
                <w:rStyle w:val="Hyperlink"/>
              </w:rPr>
              <w:t>9</w:t>
            </w:r>
            <w:r w:rsidR="0001019E">
              <w:rPr>
                <w:rFonts w:asciiTheme="minorHAnsi" w:eastAsiaTheme="minorEastAsia" w:hAnsiTheme="minorHAnsi"/>
                <w:b w:val="0"/>
                <w:color w:val="auto"/>
                <w:sz w:val="22"/>
                <w:lang w:val="en-AU" w:eastAsia="en-AU"/>
              </w:rPr>
              <w:tab/>
            </w:r>
            <w:r w:rsidR="0001019E" w:rsidRPr="00020329">
              <w:rPr>
                <w:rStyle w:val="Hyperlink"/>
              </w:rPr>
              <w:t>Elements considered for the draft Scheme</w:t>
            </w:r>
            <w:r w:rsidR="0001019E">
              <w:rPr>
                <w:webHidden/>
              </w:rPr>
              <w:tab/>
            </w:r>
            <w:r w:rsidR="0001019E">
              <w:rPr>
                <w:webHidden/>
              </w:rPr>
              <w:fldChar w:fldCharType="begin"/>
            </w:r>
            <w:r w:rsidR="0001019E">
              <w:rPr>
                <w:webHidden/>
              </w:rPr>
              <w:instrText xml:space="preserve"> PAGEREF _Toc491447266 \h </w:instrText>
            </w:r>
            <w:r w:rsidR="0001019E">
              <w:rPr>
                <w:webHidden/>
              </w:rPr>
            </w:r>
            <w:r w:rsidR="0001019E">
              <w:rPr>
                <w:webHidden/>
              </w:rPr>
              <w:fldChar w:fldCharType="separate"/>
            </w:r>
            <w:r>
              <w:rPr>
                <w:webHidden/>
              </w:rPr>
              <w:t>54</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67" w:history="1">
            <w:r w:rsidR="0001019E" w:rsidRPr="00020329">
              <w:rPr>
                <w:rStyle w:val="Hyperlink"/>
              </w:rPr>
              <w:t>9.1</w:t>
            </w:r>
            <w:r w:rsidR="0001019E">
              <w:rPr>
                <w:rFonts w:asciiTheme="minorHAnsi" w:eastAsiaTheme="minorEastAsia" w:hAnsiTheme="minorHAnsi"/>
                <w:b w:val="0"/>
                <w:color w:val="auto"/>
                <w:sz w:val="22"/>
                <w:lang w:eastAsia="en-AU"/>
              </w:rPr>
              <w:tab/>
            </w:r>
            <w:r w:rsidR="0001019E" w:rsidRPr="00020329">
              <w:rPr>
                <w:rStyle w:val="Hyperlink"/>
              </w:rPr>
              <w:t>Limiting STPIS penalties</w:t>
            </w:r>
            <w:r w:rsidR="0001019E">
              <w:rPr>
                <w:webHidden/>
              </w:rPr>
              <w:tab/>
            </w:r>
            <w:r w:rsidR="0001019E">
              <w:rPr>
                <w:webHidden/>
              </w:rPr>
              <w:fldChar w:fldCharType="begin"/>
            </w:r>
            <w:r w:rsidR="0001019E">
              <w:rPr>
                <w:webHidden/>
              </w:rPr>
              <w:instrText xml:space="preserve"> PAGEREF _Toc491447267 \h </w:instrText>
            </w:r>
            <w:r w:rsidR="0001019E">
              <w:rPr>
                <w:webHidden/>
              </w:rPr>
            </w:r>
            <w:r w:rsidR="0001019E">
              <w:rPr>
                <w:webHidden/>
              </w:rPr>
              <w:fldChar w:fldCharType="separate"/>
            </w:r>
            <w:r>
              <w:rPr>
                <w:webHidden/>
              </w:rPr>
              <w:t>55</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68" w:history="1">
            <w:r w:rsidR="0001019E" w:rsidRPr="00020329">
              <w:rPr>
                <w:rStyle w:val="Hyperlink"/>
              </w:rPr>
              <w:t>9.2</w:t>
            </w:r>
            <w:r w:rsidR="0001019E">
              <w:rPr>
                <w:rFonts w:asciiTheme="minorHAnsi" w:eastAsiaTheme="minorEastAsia" w:hAnsiTheme="minorHAnsi"/>
                <w:b w:val="0"/>
                <w:color w:val="auto"/>
                <w:sz w:val="22"/>
                <w:lang w:eastAsia="en-AU"/>
              </w:rPr>
              <w:tab/>
            </w:r>
            <w:r w:rsidR="0001019E" w:rsidRPr="00020329">
              <w:rPr>
                <w:rStyle w:val="Hyperlink"/>
              </w:rPr>
              <w:t>Incentivising distributors to provide information</w:t>
            </w:r>
            <w:r w:rsidR="0001019E">
              <w:rPr>
                <w:webHidden/>
              </w:rPr>
              <w:tab/>
            </w:r>
            <w:r w:rsidR="0001019E">
              <w:rPr>
                <w:webHidden/>
              </w:rPr>
              <w:fldChar w:fldCharType="begin"/>
            </w:r>
            <w:r w:rsidR="0001019E">
              <w:rPr>
                <w:webHidden/>
              </w:rPr>
              <w:instrText xml:space="preserve"> PAGEREF _Toc491447268 \h </w:instrText>
            </w:r>
            <w:r w:rsidR="0001019E">
              <w:rPr>
                <w:webHidden/>
              </w:rPr>
            </w:r>
            <w:r w:rsidR="0001019E">
              <w:rPr>
                <w:webHidden/>
              </w:rPr>
              <w:fldChar w:fldCharType="separate"/>
            </w:r>
            <w:r>
              <w:rPr>
                <w:webHidden/>
              </w:rPr>
              <w:t>56</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69" w:history="1">
            <w:r w:rsidR="0001019E" w:rsidRPr="00020329">
              <w:rPr>
                <w:rStyle w:val="Hyperlink"/>
              </w:rPr>
              <w:t>9.3</w:t>
            </w:r>
            <w:r w:rsidR="0001019E">
              <w:rPr>
                <w:rFonts w:asciiTheme="minorHAnsi" w:eastAsiaTheme="minorEastAsia" w:hAnsiTheme="minorHAnsi"/>
                <w:b w:val="0"/>
                <w:color w:val="auto"/>
                <w:sz w:val="22"/>
                <w:lang w:eastAsia="en-AU"/>
              </w:rPr>
              <w:tab/>
            </w:r>
            <w:r w:rsidR="0001019E" w:rsidRPr="00020329">
              <w:rPr>
                <w:rStyle w:val="Hyperlink"/>
              </w:rPr>
              <w:t>Setting demand management targets</w:t>
            </w:r>
            <w:r w:rsidR="0001019E">
              <w:rPr>
                <w:webHidden/>
              </w:rPr>
              <w:tab/>
            </w:r>
            <w:r w:rsidR="0001019E">
              <w:rPr>
                <w:webHidden/>
              </w:rPr>
              <w:fldChar w:fldCharType="begin"/>
            </w:r>
            <w:r w:rsidR="0001019E">
              <w:rPr>
                <w:webHidden/>
              </w:rPr>
              <w:instrText xml:space="preserve"> PAGEREF _Toc491447269 \h </w:instrText>
            </w:r>
            <w:r w:rsidR="0001019E">
              <w:rPr>
                <w:webHidden/>
              </w:rPr>
            </w:r>
            <w:r w:rsidR="0001019E">
              <w:rPr>
                <w:webHidden/>
              </w:rPr>
              <w:fldChar w:fldCharType="separate"/>
            </w:r>
            <w:r>
              <w:rPr>
                <w:webHidden/>
              </w:rPr>
              <w:t>57</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70" w:history="1">
            <w:r w:rsidR="0001019E" w:rsidRPr="00020329">
              <w:rPr>
                <w:rStyle w:val="Hyperlink"/>
              </w:rPr>
              <w:t>A</w:t>
            </w:r>
            <w:r w:rsidR="0001019E">
              <w:rPr>
                <w:rFonts w:asciiTheme="minorHAnsi" w:eastAsiaTheme="minorEastAsia" w:hAnsiTheme="minorHAnsi"/>
                <w:b w:val="0"/>
                <w:color w:val="auto"/>
                <w:sz w:val="22"/>
                <w:lang w:val="en-AU" w:eastAsia="en-AU"/>
              </w:rPr>
              <w:tab/>
            </w:r>
            <w:r w:rsidR="0001019E" w:rsidRPr="00020329">
              <w:rPr>
                <w:rStyle w:val="Hyperlink"/>
              </w:rPr>
              <w:t>Calculating net benefits and approximating option value</w:t>
            </w:r>
            <w:r w:rsidR="0001019E">
              <w:rPr>
                <w:webHidden/>
              </w:rPr>
              <w:tab/>
            </w:r>
            <w:r w:rsidR="0001019E">
              <w:rPr>
                <w:webHidden/>
              </w:rPr>
              <w:fldChar w:fldCharType="begin"/>
            </w:r>
            <w:r w:rsidR="0001019E">
              <w:rPr>
                <w:webHidden/>
              </w:rPr>
              <w:instrText xml:space="preserve"> PAGEREF _Toc491447270 \h </w:instrText>
            </w:r>
            <w:r w:rsidR="0001019E">
              <w:rPr>
                <w:webHidden/>
              </w:rPr>
            </w:r>
            <w:r w:rsidR="0001019E">
              <w:rPr>
                <w:webHidden/>
              </w:rPr>
              <w:fldChar w:fldCharType="separate"/>
            </w:r>
            <w:r>
              <w:rPr>
                <w:webHidden/>
              </w:rPr>
              <w:t>59</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71" w:history="1">
            <w:r w:rsidR="0001019E" w:rsidRPr="00020329">
              <w:rPr>
                <w:rStyle w:val="Hyperlink"/>
              </w:rPr>
              <w:t>A.1</w:t>
            </w:r>
            <w:r w:rsidR="0001019E">
              <w:rPr>
                <w:rFonts w:asciiTheme="minorHAnsi" w:eastAsiaTheme="minorEastAsia" w:hAnsiTheme="minorHAnsi"/>
                <w:b w:val="0"/>
                <w:color w:val="auto"/>
                <w:sz w:val="22"/>
                <w:lang w:eastAsia="en-AU"/>
              </w:rPr>
              <w:tab/>
            </w:r>
            <w:r w:rsidR="0001019E" w:rsidRPr="00020329">
              <w:rPr>
                <w:rStyle w:val="Hyperlink"/>
              </w:rPr>
              <w:t>Method for approximating option value</w:t>
            </w:r>
            <w:r w:rsidR="0001019E">
              <w:rPr>
                <w:webHidden/>
              </w:rPr>
              <w:tab/>
            </w:r>
            <w:r w:rsidR="0001019E">
              <w:rPr>
                <w:webHidden/>
              </w:rPr>
              <w:fldChar w:fldCharType="begin"/>
            </w:r>
            <w:r w:rsidR="0001019E">
              <w:rPr>
                <w:webHidden/>
              </w:rPr>
              <w:instrText xml:space="preserve"> PAGEREF _Toc491447271 \h </w:instrText>
            </w:r>
            <w:r w:rsidR="0001019E">
              <w:rPr>
                <w:webHidden/>
              </w:rPr>
            </w:r>
            <w:r w:rsidR="0001019E">
              <w:rPr>
                <w:webHidden/>
              </w:rPr>
              <w:fldChar w:fldCharType="separate"/>
            </w:r>
            <w:r>
              <w:rPr>
                <w:webHidden/>
              </w:rPr>
              <w:t>61</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72" w:history="1">
            <w:r w:rsidR="0001019E" w:rsidRPr="00020329">
              <w:rPr>
                <w:rStyle w:val="Hyperlink"/>
              </w:rPr>
              <w:t>A.2</w:t>
            </w:r>
            <w:r w:rsidR="0001019E">
              <w:rPr>
                <w:rFonts w:asciiTheme="minorHAnsi" w:eastAsiaTheme="minorEastAsia" w:hAnsiTheme="minorHAnsi"/>
                <w:b w:val="0"/>
                <w:color w:val="auto"/>
                <w:sz w:val="22"/>
                <w:lang w:eastAsia="en-AU"/>
              </w:rPr>
              <w:tab/>
            </w:r>
            <w:r w:rsidR="0001019E" w:rsidRPr="00020329">
              <w:rPr>
                <w:rStyle w:val="Hyperlink"/>
              </w:rPr>
              <w:t>Worked example: Approximating option value</w:t>
            </w:r>
            <w:r w:rsidR="0001019E">
              <w:rPr>
                <w:webHidden/>
              </w:rPr>
              <w:tab/>
            </w:r>
            <w:r w:rsidR="0001019E">
              <w:rPr>
                <w:webHidden/>
              </w:rPr>
              <w:fldChar w:fldCharType="begin"/>
            </w:r>
            <w:r w:rsidR="0001019E">
              <w:rPr>
                <w:webHidden/>
              </w:rPr>
              <w:instrText xml:space="preserve"> PAGEREF _Toc491447272 \h </w:instrText>
            </w:r>
            <w:r w:rsidR="0001019E">
              <w:rPr>
                <w:webHidden/>
              </w:rPr>
            </w:r>
            <w:r w:rsidR="0001019E">
              <w:rPr>
                <w:webHidden/>
              </w:rPr>
              <w:fldChar w:fldCharType="separate"/>
            </w:r>
            <w:r>
              <w:rPr>
                <w:webHidden/>
              </w:rPr>
              <w:t>61</w:t>
            </w:r>
            <w:r w:rsidR="0001019E">
              <w:rPr>
                <w:webHidden/>
              </w:rPr>
              <w:fldChar w:fldCharType="end"/>
            </w:r>
          </w:hyperlink>
        </w:p>
        <w:p w:rsidR="0001019E" w:rsidRDefault="0076296B">
          <w:pPr>
            <w:pStyle w:val="TOC1"/>
            <w:rPr>
              <w:rFonts w:asciiTheme="minorHAnsi" w:eastAsiaTheme="minorEastAsia" w:hAnsiTheme="minorHAnsi"/>
              <w:b w:val="0"/>
              <w:color w:val="auto"/>
              <w:sz w:val="22"/>
              <w:lang w:val="en-AU" w:eastAsia="en-AU"/>
            </w:rPr>
          </w:pPr>
          <w:hyperlink w:anchor="_Toc491447273" w:history="1">
            <w:r w:rsidR="0001019E" w:rsidRPr="00020329">
              <w:rPr>
                <w:rStyle w:val="Hyperlink"/>
              </w:rPr>
              <w:t>B</w:t>
            </w:r>
            <w:r w:rsidR="0001019E">
              <w:rPr>
                <w:rFonts w:asciiTheme="minorHAnsi" w:eastAsiaTheme="minorEastAsia" w:hAnsiTheme="minorHAnsi"/>
                <w:b w:val="0"/>
                <w:color w:val="auto"/>
                <w:sz w:val="22"/>
                <w:lang w:val="en-AU" w:eastAsia="en-AU"/>
              </w:rPr>
              <w:tab/>
            </w:r>
            <w:r w:rsidR="0001019E" w:rsidRPr="00020329">
              <w:rPr>
                <w:rStyle w:val="Hyperlink"/>
              </w:rPr>
              <w:t xml:space="preserve">Worked examples </w:t>
            </w:r>
            <w:r w:rsidR="0001019E" w:rsidRPr="00020329">
              <w:rPr>
                <w:rStyle w:val="Hyperlink"/>
                <w:rFonts w:cs="Arial"/>
              </w:rPr>
              <w:t>―</w:t>
            </w:r>
            <w:r w:rsidR="0001019E" w:rsidRPr="00020329">
              <w:rPr>
                <w:rStyle w:val="Hyperlink"/>
              </w:rPr>
              <w:t xml:space="preserve"> Calculating incentives under the Scheme</w:t>
            </w:r>
            <w:r w:rsidR="0001019E">
              <w:rPr>
                <w:webHidden/>
              </w:rPr>
              <w:tab/>
            </w:r>
            <w:r w:rsidR="0001019E">
              <w:rPr>
                <w:webHidden/>
              </w:rPr>
              <w:fldChar w:fldCharType="begin"/>
            </w:r>
            <w:r w:rsidR="0001019E">
              <w:rPr>
                <w:webHidden/>
              </w:rPr>
              <w:instrText xml:space="preserve"> PAGEREF _Toc491447273 \h </w:instrText>
            </w:r>
            <w:r w:rsidR="0001019E">
              <w:rPr>
                <w:webHidden/>
              </w:rPr>
            </w:r>
            <w:r w:rsidR="0001019E">
              <w:rPr>
                <w:webHidden/>
              </w:rPr>
              <w:fldChar w:fldCharType="separate"/>
            </w:r>
            <w:r>
              <w:rPr>
                <w:webHidden/>
              </w:rPr>
              <w:t>64</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74" w:history="1">
            <w:r w:rsidR="0001019E" w:rsidRPr="00020329">
              <w:rPr>
                <w:rStyle w:val="Hyperlink"/>
              </w:rPr>
              <w:t>B.1</w:t>
            </w:r>
            <w:r w:rsidR="0001019E">
              <w:rPr>
                <w:rFonts w:asciiTheme="minorHAnsi" w:eastAsiaTheme="minorEastAsia" w:hAnsiTheme="minorHAnsi"/>
                <w:b w:val="0"/>
                <w:color w:val="auto"/>
                <w:sz w:val="22"/>
                <w:lang w:eastAsia="en-AU"/>
              </w:rPr>
              <w:tab/>
            </w:r>
            <w:r w:rsidR="0001019E" w:rsidRPr="00020329">
              <w:rPr>
                <w:rStyle w:val="Hyperlink"/>
              </w:rPr>
              <w:t>Switchgear worked example</w:t>
            </w:r>
            <w:r w:rsidR="0001019E">
              <w:rPr>
                <w:webHidden/>
              </w:rPr>
              <w:tab/>
            </w:r>
            <w:r w:rsidR="0001019E">
              <w:rPr>
                <w:webHidden/>
              </w:rPr>
              <w:fldChar w:fldCharType="begin"/>
            </w:r>
            <w:r w:rsidR="0001019E">
              <w:rPr>
                <w:webHidden/>
              </w:rPr>
              <w:instrText xml:space="preserve"> PAGEREF _Toc491447274 \h </w:instrText>
            </w:r>
            <w:r w:rsidR="0001019E">
              <w:rPr>
                <w:webHidden/>
              </w:rPr>
            </w:r>
            <w:r w:rsidR="0001019E">
              <w:rPr>
                <w:webHidden/>
              </w:rPr>
              <w:fldChar w:fldCharType="separate"/>
            </w:r>
            <w:r>
              <w:rPr>
                <w:webHidden/>
              </w:rPr>
              <w:t>64</w:t>
            </w:r>
            <w:r w:rsidR="0001019E">
              <w:rPr>
                <w:webHidden/>
              </w:rPr>
              <w:fldChar w:fldCharType="end"/>
            </w:r>
          </w:hyperlink>
        </w:p>
        <w:p w:rsidR="0001019E" w:rsidRDefault="0076296B">
          <w:pPr>
            <w:pStyle w:val="TOC2"/>
            <w:rPr>
              <w:rFonts w:asciiTheme="minorHAnsi" w:eastAsiaTheme="minorEastAsia" w:hAnsiTheme="minorHAnsi"/>
              <w:b w:val="0"/>
              <w:color w:val="auto"/>
              <w:sz w:val="22"/>
              <w:lang w:eastAsia="en-AU"/>
            </w:rPr>
          </w:pPr>
          <w:hyperlink w:anchor="_Toc491447275" w:history="1">
            <w:r w:rsidR="0001019E" w:rsidRPr="00020329">
              <w:rPr>
                <w:rStyle w:val="Hyperlink"/>
              </w:rPr>
              <w:t>B.2</w:t>
            </w:r>
            <w:r w:rsidR="0001019E">
              <w:rPr>
                <w:rFonts w:asciiTheme="minorHAnsi" w:eastAsiaTheme="minorEastAsia" w:hAnsiTheme="minorHAnsi"/>
                <w:b w:val="0"/>
                <w:color w:val="auto"/>
                <w:sz w:val="22"/>
                <w:lang w:eastAsia="en-AU"/>
              </w:rPr>
              <w:tab/>
            </w:r>
            <w:r w:rsidR="0001019E" w:rsidRPr="00020329">
              <w:rPr>
                <w:rStyle w:val="Hyperlink"/>
              </w:rPr>
              <w:t>Kangaroo Island worked example</w:t>
            </w:r>
            <w:r w:rsidR="0001019E">
              <w:rPr>
                <w:webHidden/>
              </w:rPr>
              <w:tab/>
            </w:r>
            <w:r w:rsidR="0001019E">
              <w:rPr>
                <w:webHidden/>
              </w:rPr>
              <w:fldChar w:fldCharType="begin"/>
            </w:r>
            <w:r w:rsidR="0001019E">
              <w:rPr>
                <w:webHidden/>
              </w:rPr>
              <w:instrText xml:space="preserve"> PAGEREF _Toc491447275 \h </w:instrText>
            </w:r>
            <w:r w:rsidR="0001019E">
              <w:rPr>
                <w:webHidden/>
              </w:rPr>
            </w:r>
            <w:r w:rsidR="0001019E">
              <w:rPr>
                <w:webHidden/>
              </w:rPr>
              <w:fldChar w:fldCharType="separate"/>
            </w:r>
            <w:r>
              <w:rPr>
                <w:webHidden/>
              </w:rPr>
              <w:t>65</w:t>
            </w:r>
            <w:r w:rsidR="0001019E">
              <w:rPr>
                <w:webHidden/>
              </w:rPr>
              <w:fldChar w:fldCharType="end"/>
            </w:r>
          </w:hyperlink>
        </w:p>
        <w:p w:rsidR="0044460C" w:rsidRPr="00CE2A23" w:rsidRDefault="0044460C" w:rsidP="0069452D">
          <w:pPr>
            <w:pStyle w:val="TOC1"/>
          </w:pPr>
          <w:r>
            <w:fldChar w:fldCharType="end"/>
          </w:r>
        </w:p>
      </w:sdtContent>
    </w:sdt>
    <w:p w:rsidR="0077568D" w:rsidRPr="003C0094" w:rsidRDefault="003C0094" w:rsidP="003C0094">
      <w:pPr>
        <w:pStyle w:val="Heading1"/>
        <w:rPr>
          <w:rStyle w:val="Strong"/>
          <w:b/>
          <w:bCs/>
        </w:rPr>
      </w:pPr>
      <w:bookmarkStart w:id="10" w:name="_Toc491447228"/>
      <w:bookmarkEnd w:id="6"/>
      <w:bookmarkEnd w:id="7"/>
      <w:r w:rsidRPr="003C0094">
        <w:rPr>
          <w:rStyle w:val="Strong"/>
          <w:b/>
          <w:bCs/>
        </w:rPr>
        <w:lastRenderedPageBreak/>
        <w:t>Introduction</w:t>
      </w:r>
      <w:bookmarkEnd w:id="10"/>
    </w:p>
    <w:p w:rsidR="005340C7" w:rsidRDefault="00CD0D3F" w:rsidP="00CD0D3F">
      <w:r>
        <w:t>This explanatory statement</w:t>
      </w:r>
      <w:r w:rsidR="005340C7">
        <w:t xml:space="preserve"> accompanies</w:t>
      </w:r>
      <w:r w:rsidR="00C13759">
        <w:t xml:space="preserve"> the draft demand management incentive s</w:t>
      </w:r>
      <w:r w:rsidR="005340C7">
        <w:t xml:space="preserve">cheme (Scheme). We have designed </w:t>
      </w:r>
      <w:r w:rsidR="00C777F4">
        <w:t>the</w:t>
      </w:r>
      <w:r w:rsidR="005340C7">
        <w:t xml:space="preserve"> draft Scheme </w:t>
      </w:r>
      <w:r w:rsidR="005E4A2E">
        <w:t xml:space="preserve">to promote the </w:t>
      </w:r>
      <w:r w:rsidR="005E4A2E" w:rsidRPr="0033204F">
        <w:rPr>
          <w:rStyle w:val="AERbody"/>
        </w:rPr>
        <w:t>Natio</w:t>
      </w:r>
      <w:r w:rsidR="005E4A2E">
        <w:rPr>
          <w:rStyle w:val="AERbody"/>
        </w:rPr>
        <w:t>nal Electricity Objective (NEO) by meeting the Scheme</w:t>
      </w:r>
      <w:r w:rsidR="005340C7">
        <w:t xml:space="preserve"> </w:t>
      </w:r>
      <w:r w:rsidR="00335BA8">
        <w:t>O</w:t>
      </w:r>
      <w:r w:rsidR="00C777F4">
        <w:t xml:space="preserve">bjective </w:t>
      </w:r>
      <w:r w:rsidR="005340C7">
        <w:t>to incentivise</w:t>
      </w:r>
      <w:r w:rsidR="005340C7" w:rsidRPr="00EB22C0">
        <w:t xml:space="preserve"> </w:t>
      </w:r>
      <w:r w:rsidR="003D50EB">
        <w:t>distribution network service providers (</w:t>
      </w:r>
      <w:r w:rsidR="005340C7" w:rsidRPr="00EB22C0">
        <w:t>distributors</w:t>
      </w:r>
      <w:r w:rsidR="003D50EB">
        <w:t>)</w:t>
      </w:r>
      <w:r w:rsidR="005340C7" w:rsidRPr="00EB22C0">
        <w:t xml:space="preserve"> to undertake efficient expenditure on relevant non-network options</w:t>
      </w:r>
      <w:r w:rsidR="005340C7">
        <w:t xml:space="preserve"> relating to demand management. </w:t>
      </w:r>
      <w:r w:rsidR="005E4A2E">
        <w:t>In t</w:t>
      </w:r>
      <w:r w:rsidR="00C777F4">
        <w:t>his</w:t>
      </w:r>
      <w:r w:rsidR="005E4A2E">
        <w:t xml:space="preserve"> context, we </w:t>
      </w:r>
      <w:r w:rsidR="00C777F4">
        <w:t>take</w:t>
      </w:r>
      <w:r w:rsidR="005E4A2E">
        <w:t xml:space="preserve"> '</w:t>
      </w:r>
      <w:r w:rsidR="005340C7">
        <w:t xml:space="preserve">demand management' </w:t>
      </w:r>
      <w:r w:rsidR="005E4A2E">
        <w:t>as it</w:t>
      </w:r>
      <w:r w:rsidR="005340C7">
        <w:t xml:space="preserve"> relates to managing demand on electricity networks</w:t>
      </w:r>
      <w:r w:rsidR="005E4A2E">
        <w:rPr>
          <w:rFonts w:cs="Arial"/>
        </w:rPr>
        <w:t>―</w:t>
      </w:r>
      <w:r w:rsidR="005E4A2E">
        <w:t xml:space="preserve"> </w:t>
      </w:r>
      <w:r w:rsidR="005340C7">
        <w:t xml:space="preserve">the </w:t>
      </w:r>
      <w:r w:rsidR="005340C7" w:rsidRPr="00EB22C0">
        <w:t xml:space="preserve">act of modifying the drivers of network </w:t>
      </w:r>
      <w:r w:rsidR="003461AC">
        <w:t>demand</w:t>
      </w:r>
      <w:r w:rsidR="005E4A2E">
        <w:t xml:space="preserve"> to remove a network constraint</w:t>
      </w:r>
      <w:r w:rsidR="00245484">
        <w:t>.</w:t>
      </w:r>
    </w:p>
    <w:p w:rsidR="00CD0D3F" w:rsidRDefault="005E4A2E" w:rsidP="00CD0D3F">
      <w:r>
        <w:t xml:space="preserve">This </w:t>
      </w:r>
      <w:r w:rsidR="00496345">
        <w:t>document</w:t>
      </w:r>
      <w:r w:rsidR="007A2339">
        <w:t xml:space="preserve"> </w:t>
      </w:r>
      <w:r w:rsidR="00496345">
        <w:t>explains our</w:t>
      </w:r>
      <w:r w:rsidR="005340C7">
        <w:t>:</w:t>
      </w:r>
    </w:p>
    <w:p w:rsidR="005340C7" w:rsidRDefault="00496345" w:rsidP="005340C7">
      <w:pPr>
        <w:pStyle w:val="AERbulletlistfirststyle"/>
        <w:rPr>
          <w:rStyle w:val="AERbody"/>
        </w:rPr>
      </w:pPr>
      <w:r>
        <w:t>Rationale</w:t>
      </w:r>
      <w:r w:rsidR="005340C7">
        <w:t xml:space="preserve"> for applying the Scheme as part of the broader regulatory framework. </w:t>
      </w:r>
      <w:r w:rsidR="002F12B3">
        <w:t>It also describes</w:t>
      </w:r>
      <w:r w:rsidR="005340C7">
        <w:t xml:space="preserve"> how we intend to promote the </w:t>
      </w:r>
      <w:r w:rsidR="005E4A2E">
        <w:rPr>
          <w:rStyle w:val="AERbody"/>
        </w:rPr>
        <w:t>NEO</w:t>
      </w:r>
      <w:r w:rsidR="00335BA8">
        <w:rPr>
          <w:rStyle w:val="AERbody"/>
        </w:rPr>
        <w:t xml:space="preserve"> by meeting the Scheme O</w:t>
      </w:r>
      <w:r w:rsidR="005340C7">
        <w:rPr>
          <w:rStyle w:val="AERbody"/>
        </w:rPr>
        <w:t>bjective and principles in the National Electricity Rules (NER).</w:t>
      </w:r>
    </w:p>
    <w:p w:rsidR="0033204F" w:rsidRDefault="00496345" w:rsidP="005E4A2E">
      <w:pPr>
        <w:pStyle w:val="AERbulletlistfirststyle"/>
      </w:pPr>
      <w:r>
        <w:t>Engagement</w:t>
      </w:r>
      <w:r w:rsidR="005E4A2E">
        <w:t xml:space="preserve"> </w:t>
      </w:r>
      <w:r>
        <w:t>with stakeholders, including how we</w:t>
      </w:r>
      <w:r w:rsidR="005E4A2E">
        <w:t xml:space="preserve"> accounted for their views </w:t>
      </w:r>
      <w:r w:rsidR="00C777F4">
        <w:t>in developing the draft Scheme.</w:t>
      </w:r>
    </w:p>
    <w:p w:rsidR="007A2339" w:rsidRDefault="00496345" w:rsidP="005E4A2E">
      <w:pPr>
        <w:pStyle w:val="AERbulletlistfirststyle"/>
      </w:pPr>
      <w:r>
        <w:t>P</w:t>
      </w:r>
      <w:r w:rsidR="007A2339">
        <w:t xml:space="preserve">roposed application of the Scheme in the regulatory determination process for individual distributors. This explains our decision to </w:t>
      </w:r>
      <w:r w:rsidR="00335BA8">
        <w:t xml:space="preserve">apply the incentive </w:t>
      </w:r>
      <w:r w:rsidR="00B32364">
        <w:t xml:space="preserve">on efficient demand management projects </w:t>
      </w:r>
      <w:r w:rsidR="00335BA8">
        <w:t xml:space="preserve">as a </w:t>
      </w:r>
      <w:r w:rsidR="007A2339">
        <w:t>cost</w:t>
      </w:r>
      <w:r w:rsidR="005E4A2E">
        <w:t xml:space="preserve"> multiplier</w:t>
      </w:r>
      <w:r w:rsidR="00335BA8">
        <w:t xml:space="preserve"> </w:t>
      </w:r>
      <w:r w:rsidR="00B32364">
        <w:t>of</w:t>
      </w:r>
      <w:r w:rsidR="007A2339">
        <w:t xml:space="preserve"> 50</w:t>
      </w:r>
      <w:r w:rsidR="0078383B" w:rsidRPr="0078383B">
        <w:t xml:space="preserve"> per cent</w:t>
      </w:r>
      <w:r w:rsidR="007A2339">
        <w:t>.</w:t>
      </w:r>
    </w:p>
    <w:p w:rsidR="00C02F07" w:rsidRDefault="00496345" w:rsidP="00C02F07">
      <w:pPr>
        <w:pStyle w:val="AERbulletlistfirststyle"/>
      </w:pPr>
      <w:r>
        <w:t>P</w:t>
      </w:r>
      <w:r w:rsidR="00C02F07">
        <w:t>roposed requirements for identifying and committing projects</w:t>
      </w:r>
      <w:r w:rsidR="007A2339">
        <w:t xml:space="preserve"> eligible for receiving incentives under the Scheme</w:t>
      </w:r>
      <w:r w:rsidR="00C02F07">
        <w:t xml:space="preserve">. </w:t>
      </w:r>
      <w:r w:rsidR="002F12B3">
        <w:t>It</w:t>
      </w:r>
      <w:r w:rsidR="00C02F07">
        <w:t xml:space="preserve"> explains </w:t>
      </w:r>
      <w:r w:rsidR="006A079A">
        <w:t>how we de</w:t>
      </w:r>
      <w:r w:rsidR="002F12B3">
        <w:t>termine</w:t>
      </w:r>
      <w:r w:rsidR="00C777F4">
        <w:t xml:space="preserve"> </w:t>
      </w:r>
      <w:r w:rsidR="00C02F07">
        <w:t xml:space="preserve">an </w:t>
      </w:r>
      <w:r w:rsidR="00C777F4">
        <w:t>'</w:t>
      </w:r>
      <w:r w:rsidR="00C02F07">
        <w:t>eligible project</w:t>
      </w:r>
      <w:r w:rsidR="00C777F4">
        <w:t>'</w:t>
      </w:r>
      <w:r w:rsidR="006A079A">
        <w:t xml:space="preserve">, </w:t>
      </w:r>
      <w:r w:rsidR="002F12B3">
        <w:t xml:space="preserve">define </w:t>
      </w:r>
      <w:r w:rsidR="00C02F07">
        <w:t>demand management</w:t>
      </w:r>
      <w:r w:rsidR="002F12B3">
        <w:t>, and set requirements for evaluating and committing projects</w:t>
      </w:r>
      <w:r w:rsidR="00C02F07">
        <w:t>.</w:t>
      </w:r>
    </w:p>
    <w:p w:rsidR="00006E4A" w:rsidRDefault="00496345" w:rsidP="00006E4A">
      <w:pPr>
        <w:pStyle w:val="AERbulletlistfirststyle"/>
        <w:rPr>
          <w:rStyle w:val="AERbody"/>
        </w:rPr>
      </w:pPr>
      <w:r>
        <w:t>P</w:t>
      </w:r>
      <w:r w:rsidR="00006E4A">
        <w:t xml:space="preserve">roposed methodology for how distributors must determine the </w:t>
      </w:r>
      <w:r w:rsidR="00006E4A" w:rsidRPr="0033204F">
        <w:rPr>
          <w:rStyle w:val="AERbody"/>
        </w:rPr>
        <w:t xml:space="preserve">maximum incentive </w:t>
      </w:r>
      <w:r w:rsidR="00006E4A">
        <w:rPr>
          <w:rStyle w:val="AERbody"/>
        </w:rPr>
        <w:t xml:space="preserve">an eligible project can accrue </w:t>
      </w:r>
      <w:r w:rsidR="00006E4A" w:rsidRPr="0033204F">
        <w:rPr>
          <w:rStyle w:val="AERbody"/>
        </w:rPr>
        <w:t>(</w:t>
      </w:r>
      <w:r w:rsidR="00C12B61">
        <w:rPr>
          <w:rStyle w:val="AERbody"/>
        </w:rPr>
        <w:t>the project incentive</w:t>
      </w:r>
      <w:r w:rsidR="00006E4A" w:rsidRPr="0033204F">
        <w:rPr>
          <w:rStyle w:val="AERbody"/>
        </w:rPr>
        <w:t>).</w:t>
      </w:r>
      <w:r w:rsidR="006A079A">
        <w:rPr>
          <w:rStyle w:val="AERbody"/>
        </w:rPr>
        <w:t xml:space="preserve"> It</w:t>
      </w:r>
      <w:r w:rsidR="00006E4A">
        <w:rPr>
          <w:rStyle w:val="AERbody"/>
        </w:rPr>
        <w:t xml:space="preserve"> explains </w:t>
      </w:r>
      <w:r w:rsidR="00B32364">
        <w:rPr>
          <w:rStyle w:val="AERbody"/>
        </w:rPr>
        <w:t>how we cap the incentive a distributor can receive on any project at that</w:t>
      </w:r>
      <w:r w:rsidR="00335BA8">
        <w:rPr>
          <w:rStyle w:val="AERbody"/>
        </w:rPr>
        <w:t xml:space="preserve"> project's expected net benefit</w:t>
      </w:r>
      <w:r w:rsidR="006A079A">
        <w:rPr>
          <w:rStyle w:val="AERbody"/>
        </w:rPr>
        <w:t xml:space="preserve"> across the </w:t>
      </w:r>
      <w:r w:rsidR="007F58DD">
        <w:rPr>
          <w:rStyle w:val="AERbody"/>
        </w:rPr>
        <w:t xml:space="preserve">relevant market, which is typically </w:t>
      </w:r>
      <w:r w:rsidR="006A079A">
        <w:rPr>
          <w:rStyle w:val="AERbody"/>
        </w:rPr>
        <w:t>National Electricity Market (NEM).</w:t>
      </w:r>
      <w:r w:rsidR="007F58DD">
        <w:rPr>
          <w:rStyle w:val="FootnoteReference"/>
        </w:rPr>
        <w:footnoteReference w:id="1"/>
      </w:r>
      <w:r w:rsidR="00B32364">
        <w:rPr>
          <w:rStyle w:val="AERbody"/>
        </w:rPr>
        <w:t xml:space="preserve"> This cap helps the Scheme to deliver cost savings to retail customers.</w:t>
      </w:r>
    </w:p>
    <w:p w:rsidR="0033204F" w:rsidRDefault="00496345" w:rsidP="00006E4A">
      <w:pPr>
        <w:pStyle w:val="AERbulletlistfirststyle"/>
      </w:pPr>
      <w:r>
        <w:t>R</w:t>
      </w:r>
      <w:r w:rsidR="00006E4A">
        <w:t>equirements for annual compliance reporting</w:t>
      </w:r>
      <w:r w:rsidR="00335BA8">
        <w:t xml:space="preserve"> and</w:t>
      </w:r>
      <w:r w:rsidR="006A079A">
        <w:t xml:space="preserve"> how we intend to use</w:t>
      </w:r>
      <w:r w:rsidR="00335BA8">
        <w:t xml:space="preserve"> compliance data</w:t>
      </w:r>
      <w:r>
        <w:t>.</w:t>
      </w:r>
    </w:p>
    <w:p w:rsidR="0033204F" w:rsidRPr="00F30FC3" w:rsidRDefault="00496345" w:rsidP="0033204F">
      <w:pPr>
        <w:pStyle w:val="AERbulletlistfirststyle"/>
      </w:pPr>
      <w:r>
        <w:t xml:space="preserve">Proposed mechanism </w:t>
      </w:r>
      <w:r w:rsidR="00B32364">
        <w:t>to deliver</w:t>
      </w:r>
      <w:r w:rsidR="002F12B3">
        <w:t xml:space="preserve"> the </w:t>
      </w:r>
      <w:r>
        <w:t>incentive</w:t>
      </w:r>
      <w:r w:rsidR="00B32364">
        <w:t xml:space="preserve"> to a distributor after it has committed an</w:t>
      </w:r>
      <w:r w:rsidR="002F12B3">
        <w:t xml:space="preserve"> </w:t>
      </w:r>
      <w:r w:rsidR="00B32364">
        <w:t>eligible project</w:t>
      </w:r>
      <w:r>
        <w:t xml:space="preserve">. </w:t>
      </w:r>
      <w:r w:rsidR="00405066">
        <w:t xml:space="preserve">We cap </w:t>
      </w:r>
      <w:r w:rsidR="006A079A">
        <w:t>the</w:t>
      </w:r>
      <w:r w:rsidR="00405066">
        <w:t xml:space="preserve"> total financial</w:t>
      </w:r>
      <w:r w:rsidR="006A079A">
        <w:t xml:space="preserve"> incentive a distributor can receive in any regulatory year to</w:t>
      </w:r>
      <w:r w:rsidR="006A079A" w:rsidRPr="001C0665">
        <w:t xml:space="preserve"> 1.0</w:t>
      </w:r>
      <w:r w:rsidR="0078383B" w:rsidRPr="0078383B">
        <w:t xml:space="preserve"> per cent</w:t>
      </w:r>
      <w:r w:rsidR="006A079A" w:rsidRPr="001C0665">
        <w:t xml:space="preserve"> of </w:t>
      </w:r>
      <w:r w:rsidR="006A079A">
        <w:t>its</w:t>
      </w:r>
      <w:r w:rsidR="006A079A" w:rsidRPr="001C0665">
        <w:t xml:space="preserve"> annual smoothed revenue requirement </w:t>
      </w:r>
      <w:r w:rsidR="006A079A">
        <w:t>for that year.</w:t>
      </w:r>
    </w:p>
    <w:p w:rsidR="00150CC3" w:rsidRDefault="00EE5081" w:rsidP="00EE5081">
      <w:pPr>
        <w:pStyle w:val="AERbulletlistfirststyle"/>
        <w:numPr>
          <w:ilvl w:val="0"/>
          <w:numId w:val="0"/>
        </w:numPr>
      </w:pPr>
      <w:r>
        <w:t>We also summarise the different mechanisms we discussed in our Consult</w:t>
      </w:r>
      <w:r w:rsidR="006A079A">
        <w:t xml:space="preserve">ation Paper, including why we have </w:t>
      </w:r>
      <w:r w:rsidR="003646A8">
        <w:t xml:space="preserve">either </w:t>
      </w:r>
      <w:r w:rsidR="006A079A">
        <w:t>incorporated</w:t>
      </w:r>
      <w:r w:rsidR="004C3C9F">
        <w:t xml:space="preserve"> them</w:t>
      </w:r>
      <w:r w:rsidR="003646A8">
        <w:t>, or excluded them from the draft Scheme</w:t>
      </w:r>
      <w:r>
        <w:t>.</w:t>
      </w:r>
    </w:p>
    <w:p w:rsidR="00B32364" w:rsidRDefault="00B32364" w:rsidP="00EE5081">
      <w:pPr>
        <w:pStyle w:val="AERbulletlistfirststyle"/>
        <w:numPr>
          <w:ilvl w:val="0"/>
          <w:numId w:val="0"/>
        </w:numPr>
      </w:pPr>
      <w:r>
        <w:lastRenderedPageBreak/>
        <w:fldChar w:fldCharType="begin"/>
      </w:r>
      <w:r>
        <w:instrText xml:space="preserve"> REF _Ref489533107 \h </w:instrText>
      </w:r>
      <w:r>
        <w:fldChar w:fldCharType="separate"/>
      </w:r>
      <w:r w:rsidR="0076296B">
        <w:t xml:space="preserve">Figure </w:t>
      </w:r>
      <w:r w:rsidR="0076296B">
        <w:rPr>
          <w:noProof/>
        </w:rPr>
        <w:t>1</w:t>
      </w:r>
      <w:r>
        <w:fldChar w:fldCharType="end"/>
      </w:r>
      <w:r>
        <w:t xml:space="preserve"> outlines how this draft Scheme would operate. </w:t>
      </w:r>
      <w:r w:rsidR="0061755F">
        <w:t>This combines a simple incentive delivery mechanism (that is, a cost uplift) with constraints and in-built compliance checks designed to deliver benefits to retail customers.</w:t>
      </w:r>
    </w:p>
    <w:p w:rsidR="00FC17F0" w:rsidRDefault="001E52A0" w:rsidP="001E52A0">
      <w:pPr>
        <w:pStyle w:val="Caption"/>
      </w:pPr>
      <w:bookmarkStart w:id="11" w:name="_Ref489533107"/>
      <w:r>
        <w:t xml:space="preserve">Figure </w:t>
      </w:r>
      <w:r w:rsidR="0076296B">
        <w:fldChar w:fldCharType="begin"/>
      </w:r>
      <w:r w:rsidR="0076296B">
        <w:instrText xml:space="preserve"> SEQ Figure \* ARABIC </w:instrText>
      </w:r>
      <w:r w:rsidR="0076296B">
        <w:fldChar w:fldCharType="separate"/>
      </w:r>
      <w:r w:rsidR="0076296B">
        <w:rPr>
          <w:noProof/>
        </w:rPr>
        <w:t>1</w:t>
      </w:r>
      <w:r w:rsidR="0076296B">
        <w:rPr>
          <w:noProof/>
        </w:rPr>
        <w:fldChar w:fldCharType="end"/>
      </w:r>
      <w:bookmarkEnd w:id="11"/>
      <w:r>
        <w:t>: Outline of the</w:t>
      </w:r>
      <w:r w:rsidR="00B32364">
        <w:t xml:space="preserve"> draft</w:t>
      </w:r>
      <w:r>
        <w:t xml:space="preserve"> Scheme operation</w:t>
      </w:r>
    </w:p>
    <w:p w:rsidR="00941B17" w:rsidRDefault="00FC17F0" w:rsidP="00FC17F0">
      <w:r w:rsidRPr="00FC17F0">
        <w:rPr>
          <w:rStyle w:val="PlaceholderText"/>
          <w:noProof/>
          <w:lang w:eastAsia="en-AU"/>
        </w:rPr>
        <w:drawing>
          <wp:inline distT="0" distB="0" distL="0" distR="0" wp14:anchorId="628A8572" wp14:editId="772E4EDC">
            <wp:extent cx="5382895" cy="5294035"/>
            <wp:effectExtent l="0" t="0" r="46355" b="5905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13759" w:rsidRDefault="00C13759" w:rsidP="00EE5081">
      <w:pPr>
        <w:pStyle w:val="AERbulletlistfirststyle"/>
        <w:numPr>
          <w:ilvl w:val="0"/>
          <w:numId w:val="0"/>
        </w:numPr>
      </w:pPr>
      <w:r>
        <w:t xml:space="preserve">In tandem to publishing the draft Scheme and this </w:t>
      </w:r>
      <w:r w:rsidR="00423A2E">
        <w:t>explanatory statement</w:t>
      </w:r>
      <w:r>
        <w:t>, we have also published:</w:t>
      </w:r>
    </w:p>
    <w:p w:rsidR="00C13759" w:rsidRDefault="00C13759" w:rsidP="00C13759">
      <w:pPr>
        <w:pStyle w:val="AERbulletlistfirststyle"/>
      </w:pPr>
      <w:r>
        <w:t>A draft</w:t>
      </w:r>
      <w:r w:rsidR="00423A2E">
        <w:t xml:space="preserve"> </w:t>
      </w:r>
      <w:r>
        <w:t>demand management innovation allowance mechanism (</w:t>
      </w:r>
      <w:r w:rsidR="002D4543">
        <w:t>Mechanism</w:t>
      </w:r>
      <w:r>
        <w:t>) and its accompanying explanatory statement</w:t>
      </w:r>
      <w:r w:rsidR="00335BA8">
        <w:t>.</w:t>
      </w:r>
    </w:p>
    <w:p w:rsidR="00C13759" w:rsidRDefault="00C13759" w:rsidP="00C13759">
      <w:pPr>
        <w:pStyle w:val="AERbulletlistfirststyle"/>
      </w:pPr>
      <w:r>
        <w:t>A</w:t>
      </w:r>
      <w:r w:rsidR="00423A2E">
        <w:t xml:space="preserve"> consultation paper relating to a prospective rule change proposal </w:t>
      </w:r>
      <w:r w:rsidR="00335BA8">
        <w:t>for early implementation of the</w:t>
      </w:r>
      <w:r w:rsidR="00423A2E">
        <w:t xml:space="preserve"> </w:t>
      </w:r>
      <w:r w:rsidR="00036ED3">
        <w:t>S</w:t>
      </w:r>
      <w:r w:rsidR="00423A2E">
        <w:t>cheme.</w:t>
      </w:r>
    </w:p>
    <w:p w:rsidR="00423A2E" w:rsidRDefault="00423A2E" w:rsidP="00C13759">
      <w:r>
        <w:t xml:space="preserve">We encourage stakeholders to consider these documents </w:t>
      </w:r>
      <w:r w:rsidR="009E44FA">
        <w:t>together</w:t>
      </w:r>
      <w:r>
        <w:t xml:space="preserve"> when </w:t>
      </w:r>
      <w:r w:rsidR="009E44FA">
        <w:t>formulating</w:t>
      </w:r>
      <w:r>
        <w:t xml:space="preserve"> their response.</w:t>
      </w:r>
    </w:p>
    <w:p w:rsidR="006A079A" w:rsidRDefault="006A079A" w:rsidP="006A079A">
      <w:pPr>
        <w:pStyle w:val="Heading1"/>
      </w:pPr>
      <w:bookmarkStart w:id="12" w:name="_Toc491447229"/>
      <w:r>
        <w:lastRenderedPageBreak/>
        <w:t>Background</w:t>
      </w:r>
      <w:bookmarkEnd w:id="12"/>
    </w:p>
    <w:p w:rsidR="00C4623B" w:rsidRPr="00C4623B" w:rsidRDefault="00C4623B" w:rsidP="00C4623B">
      <w:pPr>
        <w:pStyle w:val="Heading2"/>
      </w:pPr>
      <w:bookmarkStart w:id="13" w:name="_Ref489514086"/>
      <w:bookmarkStart w:id="14" w:name="_Ref489514240"/>
      <w:bookmarkStart w:id="15" w:name="_Ref489514243"/>
      <w:bookmarkStart w:id="16" w:name="_Ref489519638"/>
      <w:bookmarkStart w:id="17" w:name="_Toc491447230"/>
      <w:r>
        <w:t>Our rationale for the Scheme</w:t>
      </w:r>
      <w:bookmarkEnd w:id="13"/>
      <w:bookmarkEnd w:id="14"/>
      <w:bookmarkEnd w:id="15"/>
      <w:bookmarkEnd w:id="16"/>
      <w:bookmarkEnd w:id="17"/>
    </w:p>
    <w:p w:rsidR="00150CC3" w:rsidRPr="00150CC3" w:rsidRDefault="00150CC3" w:rsidP="00150CC3">
      <w:r w:rsidRPr="00150CC3">
        <w:t>The Scheme</w:t>
      </w:r>
      <w:r w:rsidR="00CD0D3F">
        <w:t xml:space="preserve"> will operate alongside a separate </w:t>
      </w:r>
      <w:r w:rsidR="002D4543">
        <w:t>Mechanism</w:t>
      </w:r>
      <w:r w:rsidR="00CD0D3F">
        <w:t xml:space="preserve"> that we are developing in tandem.</w:t>
      </w:r>
      <w:r w:rsidR="003D50EB">
        <w:t xml:space="preserve"> </w:t>
      </w:r>
      <w:r w:rsidR="00C56233">
        <w:t>T</w:t>
      </w:r>
      <w:r w:rsidR="00CD0D3F">
        <w:t xml:space="preserve">he Scheme and </w:t>
      </w:r>
      <w:r w:rsidR="002D4543">
        <w:t>Mechanism</w:t>
      </w:r>
      <w:r w:rsidR="008708AD">
        <w:t xml:space="preserve"> are</w:t>
      </w:r>
      <w:r w:rsidR="00CD0D3F">
        <w:t xml:space="preserve"> </w:t>
      </w:r>
      <w:r w:rsidR="003C0094">
        <w:t>target</w:t>
      </w:r>
      <w:r w:rsidR="008708AD">
        <w:t>ed,</w:t>
      </w:r>
      <w:r w:rsidR="003C0094">
        <w:t xml:space="preserve"> achievable </w:t>
      </w:r>
      <w:r w:rsidR="00CD0D3F" w:rsidRPr="00150CC3">
        <w:t xml:space="preserve">solutions </w:t>
      </w:r>
      <w:r w:rsidR="00CD0D3F">
        <w:t>that form</w:t>
      </w:r>
      <w:r w:rsidRPr="00150CC3">
        <w:t xml:space="preserve"> a bridge between the current regulatory framework and a framework more focussed on efficient pricing of network services. While we have already taken steps towards the new framework, the transition to more efficient tariff structures is li</w:t>
      </w:r>
      <w:r w:rsidR="00335BA8">
        <w:t>kely to take some time.</w:t>
      </w:r>
    </w:p>
    <w:p w:rsidR="009D712C" w:rsidRDefault="00150CC3" w:rsidP="00150CC3">
      <w:r w:rsidRPr="00150CC3">
        <w:t>Our Better Regulation reform program in 2013 delivered a cohesive package of measures to support an improved regulatory framework.</w:t>
      </w:r>
      <w:r w:rsidR="00F12648">
        <w:t xml:space="preserve"> T</w:t>
      </w:r>
      <w:r w:rsidRPr="00150CC3">
        <w:t xml:space="preserve">hese reforms improved distributors’ incentives to undertake demand management. For instance, </w:t>
      </w:r>
      <w:r w:rsidR="009E44FA">
        <w:t>we</w:t>
      </w:r>
      <w:r w:rsidR="009E44FA" w:rsidRPr="00150CC3">
        <w:t xml:space="preserve"> </w:t>
      </w:r>
      <w:r w:rsidR="009E44FA">
        <w:t>reduced</w:t>
      </w:r>
      <w:r w:rsidR="009E44FA" w:rsidRPr="00150CC3">
        <w:t xml:space="preserve"> </w:t>
      </w:r>
      <w:r w:rsidRPr="00150CC3">
        <w:t xml:space="preserve">the distributors’ incentives to undertake capital expenditure (capex) by </w:t>
      </w:r>
      <w:r w:rsidR="00F12648">
        <w:t>revising</w:t>
      </w:r>
      <w:r w:rsidR="00F12648" w:rsidRPr="00150CC3">
        <w:t xml:space="preserve"> </w:t>
      </w:r>
      <w:r w:rsidRPr="00150CC3">
        <w:t xml:space="preserve">how we set the allowed rate of return and introducing a </w:t>
      </w:r>
      <w:r w:rsidR="00F12648">
        <w:t>C</w:t>
      </w:r>
      <w:r w:rsidRPr="00150CC3">
        <w:t xml:space="preserve">apital </w:t>
      </w:r>
      <w:r w:rsidR="00F12648">
        <w:t>E</w:t>
      </w:r>
      <w:r w:rsidRPr="00150CC3">
        <w:t xml:space="preserve">xpenditure </w:t>
      </w:r>
      <w:r w:rsidR="00F12648">
        <w:t>S</w:t>
      </w:r>
      <w:r w:rsidRPr="00150CC3">
        <w:t xml:space="preserve">haring </w:t>
      </w:r>
      <w:r w:rsidR="00F12648">
        <w:t>S</w:t>
      </w:r>
      <w:r w:rsidRPr="00150CC3">
        <w:t>cheme</w:t>
      </w:r>
      <w:r w:rsidR="00F12648">
        <w:t xml:space="preserve"> (CESS)</w:t>
      </w:r>
      <w:r w:rsidRPr="00150CC3">
        <w:t xml:space="preserve">. The package also included reforms stemming from the </w:t>
      </w:r>
      <w:r w:rsidR="00335BA8">
        <w:t xml:space="preserve">Australian Energy Market Commission's (AEMC's) </w:t>
      </w:r>
      <w:r w:rsidRPr="00150CC3">
        <w:t>Power of Choice</w:t>
      </w:r>
      <w:r w:rsidR="00335BA8">
        <w:t xml:space="preserve"> review</w:t>
      </w:r>
      <w:r w:rsidRPr="00150CC3">
        <w:t>, including moving towards more cost reflective pricing and introducing the Regulatory Invest</w:t>
      </w:r>
      <w:r w:rsidR="00C13AFB">
        <w:t>ment Test for Distribution (RIT</w:t>
      </w:r>
      <w:r w:rsidR="00C13AFB">
        <w:rPr>
          <w:rFonts w:cs="Arial"/>
        </w:rPr>
        <w:t>–</w:t>
      </w:r>
      <w:r w:rsidRPr="00150CC3">
        <w:t xml:space="preserve">D). </w:t>
      </w:r>
      <w:r w:rsidR="009D712C">
        <w:t>In addition to these changes, w</w:t>
      </w:r>
      <w:r w:rsidR="009D712C" w:rsidRPr="00150CC3">
        <w:t>e have also</w:t>
      </w:r>
      <w:r w:rsidR="009D712C">
        <w:t xml:space="preserve"> reduced distributors' barriers to demand management by moving these businesses</w:t>
      </w:r>
      <w:r w:rsidR="009D712C" w:rsidRPr="00150CC3">
        <w:t xml:space="preserve"> </w:t>
      </w:r>
      <w:r w:rsidR="009D712C">
        <w:t>from a</w:t>
      </w:r>
      <w:r w:rsidR="009D712C" w:rsidRPr="00150CC3">
        <w:t xml:space="preserve"> price cap to a revenue cap framework.</w:t>
      </w:r>
      <w:r w:rsidR="009D712C">
        <w:rPr>
          <w:rStyle w:val="FootnoteReference"/>
        </w:rPr>
        <w:footnoteReference w:id="2"/>
      </w:r>
    </w:p>
    <w:p w:rsidR="00150CC3" w:rsidRPr="00150CC3" w:rsidRDefault="009D712C" w:rsidP="00150CC3">
      <w:r>
        <w:t xml:space="preserve">Since our Better Regulation program, we have been implementing a range of complementary reforms. Some of these </w:t>
      </w:r>
      <w:r w:rsidR="00583EDB">
        <w:t xml:space="preserve">reforms promote competition, including </w:t>
      </w:r>
      <w:r>
        <w:t xml:space="preserve">introducing </w:t>
      </w:r>
      <w:r w:rsidR="00583EDB">
        <w:t>the</w:t>
      </w:r>
      <w:r w:rsidR="00583EDB" w:rsidRPr="00583EDB">
        <w:t xml:space="preserve"> </w:t>
      </w:r>
      <w:r w:rsidR="00583EDB">
        <w:t xml:space="preserve">national </w:t>
      </w:r>
      <w:r w:rsidR="00583EDB" w:rsidRPr="00583EDB">
        <w:t xml:space="preserve">ring-fencing guideline </w:t>
      </w:r>
      <w:r w:rsidR="00583EDB">
        <w:t>for distributors</w:t>
      </w:r>
      <w:r>
        <w:t xml:space="preserve"> and</w:t>
      </w:r>
      <w:r w:rsidR="00583EDB">
        <w:t xml:space="preserve"> </w:t>
      </w:r>
      <w:r w:rsidR="00583EDB" w:rsidRPr="00583EDB">
        <w:t>oversee</w:t>
      </w:r>
      <w:r>
        <w:t>ing</w:t>
      </w:r>
      <w:r w:rsidR="00583EDB" w:rsidRPr="00583EDB">
        <w:t xml:space="preserve"> metering contestability arrangements </w:t>
      </w:r>
      <w:r w:rsidR="00583EDB">
        <w:t xml:space="preserve">that commence in December 2017. </w:t>
      </w:r>
      <w:r>
        <w:t xml:space="preserve">We have also increased transparency in a way that will facilitate the contestable market in facilitating demand management.  For instance, we </w:t>
      </w:r>
      <w:r w:rsidRPr="009D712C">
        <w:t xml:space="preserve">initiated a new rule that will increase the transparency of network businesses’ plans to retire and replace assets. </w:t>
      </w:r>
      <w:r>
        <w:t>We have also recently released</w:t>
      </w:r>
      <w:r w:rsidRPr="009D712C">
        <w:t xml:space="preserve"> </w:t>
      </w:r>
      <w:r>
        <w:t>a</w:t>
      </w:r>
      <w:r w:rsidRPr="009D712C">
        <w:t xml:space="preserve"> user-friendly </w:t>
      </w:r>
      <w:r w:rsidR="001B03EA">
        <w:t xml:space="preserve">distribution annual planning report template </w:t>
      </w:r>
      <w:r w:rsidRPr="009D712C">
        <w:t>to better assist non-network business in developing demand-side solutions to address network constraints.</w:t>
      </w:r>
      <w:r>
        <w:rPr>
          <w:rStyle w:val="FootnoteReference"/>
        </w:rPr>
        <w:footnoteReference w:id="3"/>
      </w:r>
    </w:p>
    <w:p w:rsidR="00150CC3" w:rsidRPr="00150CC3" w:rsidRDefault="00150CC3" w:rsidP="00150CC3">
      <w:r w:rsidRPr="00150CC3">
        <w:t>However,</w:t>
      </w:r>
      <w:r w:rsidR="009E44FA">
        <w:t xml:space="preserve"> fully realising</w:t>
      </w:r>
      <w:r w:rsidRPr="00150CC3">
        <w:t xml:space="preserve"> the benefits of these reforms will take time. For example, we agree with the AEMC’s view that:</w:t>
      </w:r>
      <w:r w:rsidR="00CD0D3F">
        <w:rPr>
          <w:rStyle w:val="FootnoteReference"/>
        </w:rPr>
        <w:footnoteReference w:id="4"/>
      </w:r>
    </w:p>
    <w:p w:rsidR="00150CC3" w:rsidRPr="00150CC3" w:rsidRDefault="00150CC3" w:rsidP="00CD0D3F">
      <w:pPr>
        <w:pStyle w:val="AERquote"/>
      </w:pPr>
      <w:r w:rsidRPr="00150CC3">
        <w:lastRenderedPageBreak/>
        <w:t>If networks priced efficiently and all electricity consumers were willing and able to respond to prices and manage their own demand, the need for the networks to manage peak demand would not be an issue.</w:t>
      </w:r>
    </w:p>
    <w:p w:rsidR="00150CC3" w:rsidRPr="00150CC3" w:rsidRDefault="00150CC3" w:rsidP="00CD0D3F">
      <w:pPr>
        <w:pStyle w:val="AERquote"/>
      </w:pPr>
      <w:r w:rsidRPr="00150CC3">
        <w:t>However, moving towards this outcome will take considerable time, given that it would require, among other things, the possible changes to the existing metering arrangements to be implemented and to take effect and for distribution businesses to develop tariffs that appropriately signal network costs.</w:t>
      </w:r>
    </w:p>
    <w:p w:rsidR="00150CC3" w:rsidRPr="00150CC3" w:rsidRDefault="00150CC3" w:rsidP="00CD0D3F">
      <w:pPr>
        <w:pStyle w:val="AERquote"/>
      </w:pPr>
      <w:r w:rsidRPr="00150CC3">
        <w:t>In addition, and perhaps more importantly, the market is unlikely ever to reach the point where price signals mean that there are no network constraints at peak times. This is because it would require highly volatile and very high prices at times of peak demand. It would also require all electricity consumers to be actively engaged and respond rapidly to price changes. In respect of the latter, consumer interests, motivation, willingness and ability to manage electricity use and costs depend on a range of different factors, of which the availability of demand side participation opportunities is just one.</w:t>
      </w:r>
    </w:p>
    <w:p w:rsidR="00150CC3" w:rsidRPr="00150CC3" w:rsidRDefault="00150CC3" w:rsidP="00150CC3">
      <w:r w:rsidRPr="00150CC3">
        <w:t>The AEMC’s view is consistent with our observations of the transition to more efficient tariffs. Distributors’ plans to structure their tariffs over the next five years show a gradual move towards more efficient tariffs</w:t>
      </w:r>
      <w:r w:rsidR="009E44FA">
        <w:t>. While this is welcome, it indicates</w:t>
      </w:r>
      <w:r w:rsidRPr="00150CC3">
        <w:t xml:space="preserve"> that full transition is likel</w:t>
      </w:r>
      <w:r w:rsidR="00335BA8">
        <w:t>y to require considerable time.</w:t>
      </w:r>
    </w:p>
    <w:p w:rsidR="00150CC3" w:rsidRPr="00150CC3" w:rsidRDefault="001B746E" w:rsidP="00C0137A">
      <w:r>
        <w:t>The full benefit of pricing reform will take time to flow on</w:t>
      </w:r>
      <w:r w:rsidR="003D50EB">
        <w:t>,</w:t>
      </w:r>
      <w:r>
        <w:t xml:space="preserve"> but iterative improvements to achieve efficient outcomes are possible</w:t>
      </w:r>
      <w:r w:rsidR="00150CC3" w:rsidRPr="00150CC3">
        <w:t>. For example, we have implemented reforms</w:t>
      </w:r>
      <w:r w:rsidR="009E44FA">
        <w:t xml:space="preserve"> </w:t>
      </w:r>
      <w:r w:rsidR="00BF1647">
        <w:t>(</w:t>
      </w:r>
      <w:r w:rsidR="009E44FA" w:rsidRPr="009E44FA">
        <w:t xml:space="preserve">such as the </w:t>
      </w:r>
      <w:r>
        <w:t>CESS</w:t>
      </w:r>
      <w:r w:rsidR="00BF1647">
        <w:t>)</w:t>
      </w:r>
      <w:r w:rsidR="00150CC3" w:rsidRPr="00150CC3">
        <w:t xml:space="preserve"> to adjust the balance of distributors’ incentives between capex and </w:t>
      </w:r>
      <w:r w:rsidR="00335BA8">
        <w:t>operating expenditure (</w:t>
      </w:r>
      <w:r w:rsidR="00150CC3" w:rsidRPr="00150CC3">
        <w:t>opex</w:t>
      </w:r>
      <w:r w:rsidR="00335BA8">
        <w:t>)</w:t>
      </w:r>
      <w:r w:rsidR="00150CC3" w:rsidRPr="00150CC3">
        <w:t>. Despite these recent adjustments, several experts and industry participants consider that there remain incentives to favour capex over opex. For instance:</w:t>
      </w:r>
    </w:p>
    <w:p w:rsidR="00150CC3" w:rsidRPr="00150CC3" w:rsidRDefault="00150CC3" w:rsidP="00CD0D3F">
      <w:pPr>
        <w:pStyle w:val="AERbulletlistfirststyle"/>
      </w:pPr>
      <w:r w:rsidRPr="00150CC3">
        <w:t>Many of the submissions to our demand management Consultation Paper expressed the view that the regulatory regime created a bias towards network capex over opex.</w:t>
      </w:r>
    </w:p>
    <w:p w:rsidR="00150CC3" w:rsidRPr="00150CC3" w:rsidRDefault="00150CC3" w:rsidP="00CD0D3F">
      <w:pPr>
        <w:pStyle w:val="AERbulletlistfirststyle"/>
      </w:pPr>
      <w:r w:rsidRPr="00150CC3">
        <w:t xml:space="preserve">The </w:t>
      </w:r>
      <w:r w:rsidR="00BF1647">
        <w:t>Institute for Sustainable Futures (ISF)</w:t>
      </w:r>
      <w:r w:rsidR="00BF1647" w:rsidRPr="00150CC3">
        <w:t xml:space="preserve"> </w:t>
      </w:r>
      <w:r w:rsidRPr="00150CC3">
        <w:t xml:space="preserve">undertook modelling that </w:t>
      </w:r>
      <w:r w:rsidR="00021D7C">
        <w:t xml:space="preserve">indicated </w:t>
      </w:r>
      <w:r w:rsidR="008708AD">
        <w:t>a</w:t>
      </w:r>
      <w:r w:rsidRPr="00150CC3">
        <w:t xml:space="preserve"> significant bias against demand management</w:t>
      </w:r>
      <w:r w:rsidR="00BF1647">
        <w:t xml:space="preserve"> remains</w:t>
      </w:r>
      <w:r w:rsidRPr="00150CC3">
        <w:t xml:space="preserve"> in the regulatory framework we apply to distributors.</w:t>
      </w:r>
      <w:r w:rsidR="00021D7C">
        <w:rPr>
          <w:rStyle w:val="FootnoteReference"/>
        </w:rPr>
        <w:footnoteReference w:id="5"/>
      </w:r>
      <w:r w:rsidRPr="00150CC3">
        <w:t xml:space="preserve"> It found that this bias arose from:</w:t>
      </w:r>
    </w:p>
    <w:p w:rsidR="00150CC3" w:rsidRPr="00150CC3" w:rsidRDefault="00150CC3" w:rsidP="00CD0D3F">
      <w:pPr>
        <w:pStyle w:val="AERbulletlistsecondstyle"/>
      </w:pPr>
      <w:r w:rsidRPr="00150CC3">
        <w:t xml:space="preserve">a </w:t>
      </w:r>
      <w:r w:rsidR="00BF1647">
        <w:t xml:space="preserve">general </w:t>
      </w:r>
      <w:r w:rsidRPr="00150CC3">
        <w:t xml:space="preserve">bias in favour of network capex solutions relative to </w:t>
      </w:r>
      <w:r w:rsidR="00BF1647">
        <w:t xml:space="preserve">non-network </w:t>
      </w:r>
      <w:r w:rsidRPr="00150CC3">
        <w:t>opex solutions</w:t>
      </w:r>
      <w:r w:rsidR="00021D7C">
        <w:t>;</w:t>
      </w:r>
    </w:p>
    <w:p w:rsidR="00150CC3" w:rsidRPr="00150CC3" w:rsidRDefault="00150CC3" w:rsidP="00CD0D3F">
      <w:pPr>
        <w:pStyle w:val="AERbulletlistsecondstyle"/>
      </w:pPr>
      <w:r w:rsidRPr="00150CC3">
        <w:t>treating the recovery of demand management opex less favourably than other network opex; and</w:t>
      </w:r>
    </w:p>
    <w:p w:rsidR="00150CC3" w:rsidRPr="00150CC3" w:rsidRDefault="00150CC3" w:rsidP="00CD0D3F">
      <w:pPr>
        <w:pStyle w:val="AERbulletlistsecondstyle"/>
      </w:pPr>
      <w:r w:rsidRPr="00150CC3">
        <w:lastRenderedPageBreak/>
        <w:t>distributors generally excluding future ‘option value’ when considering demand management solutions</w:t>
      </w:r>
      <w:r w:rsidR="00021D7C">
        <w:t>.</w:t>
      </w:r>
    </w:p>
    <w:p w:rsidR="00150CC3" w:rsidRPr="00150CC3" w:rsidRDefault="00454E38" w:rsidP="00CD0D3F">
      <w:pPr>
        <w:pStyle w:val="AERbulletlistfirststyle"/>
      </w:pPr>
      <w:r w:rsidRPr="00150CC3">
        <w:t>In submissions to the AEMC’s current review of the</w:t>
      </w:r>
      <w:r>
        <w:t xml:space="preserve"> '</w:t>
      </w:r>
      <w:r w:rsidRPr="00150CC3">
        <w:t>contestability of energy services’</w:t>
      </w:r>
      <w:r w:rsidRPr="00454E38">
        <w:t xml:space="preserve"> </w:t>
      </w:r>
      <w:r w:rsidRPr="00150CC3">
        <w:t>rule change proposal</w:t>
      </w:r>
      <w:r>
        <w:t>s, m</w:t>
      </w:r>
      <w:r w:rsidR="00150CC3" w:rsidRPr="00150CC3">
        <w:t xml:space="preserve">any stakeholders </w:t>
      </w:r>
      <w:r w:rsidR="009839AC">
        <w:t xml:space="preserve">have </w:t>
      </w:r>
      <w:r>
        <w:t xml:space="preserve">expressed the view that a </w:t>
      </w:r>
      <w:r w:rsidR="009839AC">
        <w:t>bias</w:t>
      </w:r>
      <w:r>
        <w:t xml:space="preserve"> exists</w:t>
      </w:r>
      <w:r w:rsidR="009839AC">
        <w:t xml:space="preserve"> in the</w:t>
      </w:r>
      <w:r w:rsidR="009839AC" w:rsidRPr="00150CC3">
        <w:t xml:space="preserve"> regulatory regime towards network capex over opex</w:t>
      </w:r>
      <w:r w:rsidR="00150CC3" w:rsidRPr="00150CC3">
        <w:t>.</w:t>
      </w:r>
      <w:r w:rsidR="009839AC">
        <w:rPr>
          <w:rStyle w:val="FootnoteReference"/>
        </w:rPr>
        <w:footnoteReference w:id="6"/>
      </w:r>
      <w:r w:rsidR="00150CC3" w:rsidRPr="00150CC3">
        <w:t xml:space="preserve"> </w:t>
      </w:r>
      <w:r w:rsidR="00405066">
        <w:t>These vie</w:t>
      </w:r>
      <w:r w:rsidR="008708AD">
        <w:t>w</w:t>
      </w:r>
      <w:r w:rsidR="00405066">
        <w:t>s have</w:t>
      </w:r>
      <w:r w:rsidR="00150CC3" w:rsidRPr="00150CC3">
        <w:t xml:space="preserve"> prompted the AEMC to explore whether the regulatory framework provides balanced incentives for distributors to use the most efficient mix of </w:t>
      </w:r>
      <w:r w:rsidR="009839AC">
        <w:t>network or non-network options.</w:t>
      </w:r>
      <w:r w:rsidR="009839AC">
        <w:rPr>
          <w:rStyle w:val="FootnoteReference"/>
        </w:rPr>
        <w:footnoteReference w:id="7"/>
      </w:r>
    </w:p>
    <w:p w:rsidR="00150CC3" w:rsidRPr="00150CC3" w:rsidRDefault="00BF1647" w:rsidP="00150CC3">
      <w:r>
        <w:t xml:space="preserve">After </w:t>
      </w:r>
      <w:r w:rsidR="000E6FAF">
        <w:t xml:space="preserve">considering </w:t>
      </w:r>
      <w:r>
        <w:t>this evidence, w</w:t>
      </w:r>
      <w:r w:rsidR="00150CC3" w:rsidRPr="00150CC3">
        <w:t xml:space="preserve">e </w:t>
      </w:r>
      <w:r w:rsidR="000E6FAF">
        <w:t>note</w:t>
      </w:r>
      <w:r w:rsidR="00150CC3" w:rsidRPr="00150CC3">
        <w:t xml:space="preserve"> it </w:t>
      </w:r>
      <w:r w:rsidR="000E6FAF">
        <w:t xml:space="preserve">is </w:t>
      </w:r>
      <w:r w:rsidR="00150CC3" w:rsidRPr="00150CC3">
        <w:t xml:space="preserve">likely that distributors presently face incentives to prefer network options </w:t>
      </w:r>
      <w:r w:rsidR="00595DEF" w:rsidRPr="00150CC3">
        <w:t>to</w:t>
      </w:r>
      <w:r w:rsidR="00150CC3" w:rsidRPr="00150CC3">
        <w:t xml:space="preserve"> non-network options relating to demand management. </w:t>
      </w:r>
      <w:r>
        <w:t xml:space="preserve">This bias manifests itself in a variety of ways. </w:t>
      </w:r>
      <w:r w:rsidR="00150CC3" w:rsidRPr="00150CC3">
        <w:t>For instance, when a distributor invests in network assets, capex is included in its regulatory asset base where it accrues the allowed rate of return over the life of the assets, which is typically decades long. This</w:t>
      </w:r>
      <w:r w:rsidR="00405066">
        <w:t xml:space="preserve"> treatment of capex</w:t>
      </w:r>
      <w:r w:rsidR="00150CC3" w:rsidRPr="00150CC3">
        <w:t xml:space="preserve"> can create an incentive for a distributor to prefer network solutions </w:t>
      </w:r>
      <w:r w:rsidR="00595DEF" w:rsidRPr="00150CC3">
        <w:t>to</w:t>
      </w:r>
      <w:r w:rsidR="00150CC3" w:rsidRPr="00150CC3">
        <w:t xml:space="preserve"> non-network solutions if the di</w:t>
      </w:r>
      <w:r w:rsidR="00C13AFB">
        <w:t>stributor and/or its investors:</w:t>
      </w:r>
    </w:p>
    <w:p w:rsidR="00150CC3" w:rsidRPr="00150CC3" w:rsidRDefault="00150CC3" w:rsidP="00CD0D3F">
      <w:pPr>
        <w:pStyle w:val="AERbulletlistfirststyle"/>
      </w:pPr>
      <w:r w:rsidRPr="00150CC3">
        <w:t>Prefer relatively stable long-term cash flows.</w:t>
      </w:r>
    </w:p>
    <w:p w:rsidR="00150CC3" w:rsidRPr="00150CC3" w:rsidRDefault="00150CC3" w:rsidP="00CD0D3F">
      <w:pPr>
        <w:pStyle w:val="AERbulletlistfirststyle"/>
      </w:pPr>
      <w:r w:rsidRPr="00150CC3">
        <w:t xml:space="preserve">Receive an allowed rate of return on regulated </w:t>
      </w:r>
      <w:r w:rsidR="000E6FAF">
        <w:t>capex</w:t>
      </w:r>
      <w:r w:rsidRPr="00150CC3">
        <w:t xml:space="preserve"> that is above its actual cost of capital, </w:t>
      </w:r>
      <w:r w:rsidR="00405066">
        <w:t>which</w:t>
      </w:r>
      <w:r w:rsidRPr="00150CC3">
        <w:t xml:space="preserve"> would produce an opportunity for it to profit from its </w:t>
      </w:r>
      <w:r w:rsidR="000E6FAF">
        <w:t>capex</w:t>
      </w:r>
      <w:r w:rsidRPr="00150CC3">
        <w:t>.</w:t>
      </w:r>
    </w:p>
    <w:p w:rsidR="00150CC3" w:rsidRPr="00150CC3" w:rsidRDefault="00150CC3" w:rsidP="00CD0D3F">
      <w:pPr>
        <w:pStyle w:val="AERbulletlistfirststyle"/>
      </w:pPr>
      <w:r w:rsidRPr="00150CC3">
        <w:t xml:space="preserve">Value the option to defer </w:t>
      </w:r>
      <w:r w:rsidR="000E6FAF">
        <w:t>capex</w:t>
      </w:r>
      <w:r w:rsidRPr="00150CC3">
        <w:t xml:space="preserve"> less than electricity consumers. </w:t>
      </w:r>
      <w:r w:rsidR="00C35C72">
        <w:t>D</w:t>
      </w:r>
      <w:r w:rsidR="003D50EB">
        <w:t>istributor</w:t>
      </w:r>
      <w:r w:rsidR="00C35C72">
        <w:t xml:space="preserve">s face less down-side risk from overinvestment as the current regulatory regime allows them to pass the majority of these risks onto their customers. </w:t>
      </w:r>
      <w:r w:rsidR="006F4033">
        <w:t>While o</w:t>
      </w:r>
      <w:r w:rsidR="00C35C72">
        <w:t xml:space="preserve">ur Better Regulation  reform program introduced an ex-post capex review mechanism to better balance these </w:t>
      </w:r>
      <w:r w:rsidR="006F4033">
        <w:t xml:space="preserve">risks, these ex-post reviews </w:t>
      </w:r>
      <w:r w:rsidR="00C35C72">
        <w:t>only appl</w:t>
      </w:r>
      <w:r w:rsidR="006F4033">
        <w:t xml:space="preserve">y </w:t>
      </w:r>
      <w:r w:rsidR="00C35C72">
        <w:t xml:space="preserve">in </w:t>
      </w:r>
      <w:r w:rsidR="00BD6B51">
        <w:t>specific situations (for example, when a business has</w:t>
      </w:r>
      <w:r w:rsidR="00C35C72">
        <w:t xml:space="preserve"> </w:t>
      </w:r>
      <w:r w:rsidR="00BD6B51">
        <w:t>overspent its capex allowance on projects that do not meet the capex criteria</w:t>
      </w:r>
      <w:r w:rsidR="00C35C72">
        <w:t>).</w:t>
      </w:r>
      <w:r w:rsidR="00C35C72">
        <w:rPr>
          <w:rStyle w:val="FootnoteReference"/>
        </w:rPr>
        <w:footnoteReference w:id="8"/>
      </w:r>
    </w:p>
    <w:p w:rsidR="00150CC3" w:rsidRPr="00150CC3" w:rsidRDefault="00150CC3" w:rsidP="00150CC3">
      <w:r w:rsidRPr="00150CC3">
        <w:t>In the face of these conclusions, we consider there is value in improving how we regulate to encourage distributors to better utilise efficient demand management in managing their networks. However, when making these improvements, we must balance two important factors:</w:t>
      </w:r>
    </w:p>
    <w:p w:rsidR="00150CC3" w:rsidRPr="00150CC3" w:rsidRDefault="00150CC3" w:rsidP="00CD0D3F">
      <w:pPr>
        <w:pStyle w:val="AERbulletlistfirststyle"/>
      </w:pPr>
      <w:r w:rsidRPr="00150CC3">
        <w:t xml:space="preserve">Regulatory reform is necessarily a gradual process. The </w:t>
      </w:r>
      <w:r w:rsidR="000E6FAF">
        <w:t>NEM</w:t>
      </w:r>
      <w:r w:rsidRPr="00150CC3">
        <w:t xml:space="preserve"> is a complex ecosystem and its accompanying </w:t>
      </w:r>
      <w:r w:rsidR="000E6FAF">
        <w:t>NER</w:t>
      </w:r>
      <w:r w:rsidRPr="00150CC3">
        <w:t xml:space="preserve"> contain important and nuanced interrelationships. Given this, it is appropriate that major regulatory reform is subject to an </w:t>
      </w:r>
      <w:r w:rsidR="000E6FAF">
        <w:t>effective consultative process.</w:t>
      </w:r>
    </w:p>
    <w:p w:rsidR="00150CC3" w:rsidRPr="00150CC3" w:rsidRDefault="00150CC3" w:rsidP="00AA0649">
      <w:pPr>
        <w:pStyle w:val="AERbulletlistfirststyle"/>
      </w:pPr>
      <w:r w:rsidRPr="00150CC3">
        <w:t>There is a risk of ‘letting the perfect become the enemy of the good’. That is, in the interim</w:t>
      </w:r>
      <w:r w:rsidR="004648D0">
        <w:t>, s</w:t>
      </w:r>
      <w:r w:rsidR="004648D0" w:rsidRPr="004648D0">
        <w:t xml:space="preserve">ignificant opportunities to deliver value to electricity consumers via </w:t>
      </w:r>
      <w:r w:rsidR="004648D0" w:rsidRPr="004648D0">
        <w:lastRenderedPageBreak/>
        <w:t>demand management could be lost</w:t>
      </w:r>
      <w:r w:rsidR="004648D0">
        <w:t xml:space="preserve">. Moreover, </w:t>
      </w:r>
      <w:r w:rsidR="00CE5CF1">
        <w:t xml:space="preserve">where </w:t>
      </w:r>
      <w:r w:rsidR="00E609D3">
        <w:t>distributors</w:t>
      </w:r>
      <w:r w:rsidR="00CE5CF1">
        <w:t xml:space="preserve"> see demand management as secondary to network alternatives, this may create a negative feedback loop that makes demand management options riskier and/or less efficient.</w:t>
      </w:r>
      <w:r w:rsidR="000B1B8F">
        <w:t xml:space="preserve"> </w:t>
      </w:r>
      <w:r w:rsidR="00E609D3">
        <w:t>This</w:t>
      </w:r>
      <w:r w:rsidR="000B1B8F">
        <w:t xml:space="preserve"> </w:t>
      </w:r>
      <w:r w:rsidR="00CE5CF1">
        <w:t xml:space="preserve">negative feedback loop </w:t>
      </w:r>
      <w:r w:rsidR="00C13AFB">
        <w:t>means that:</w:t>
      </w:r>
    </w:p>
    <w:p w:rsidR="00076E3B" w:rsidRDefault="00076E3B" w:rsidP="00CD0D3F">
      <w:pPr>
        <w:pStyle w:val="AERbulletlistsecondstyle"/>
      </w:pPr>
      <w:r>
        <w:t>T</w:t>
      </w:r>
      <w:r w:rsidR="00150CC3" w:rsidRPr="00150CC3">
        <w:t>he demand management services market has limited opportunity to mature</w:t>
      </w:r>
      <w:r>
        <w:t>, particularly when it come</w:t>
      </w:r>
      <w:r w:rsidR="00C13AFB">
        <w:t>s to providing network support.</w:t>
      </w:r>
    </w:p>
    <w:p w:rsidR="00150CC3" w:rsidRPr="00150CC3" w:rsidRDefault="00076E3B" w:rsidP="00CD0D3F">
      <w:pPr>
        <w:pStyle w:val="AERbulletlistsecondstyle"/>
      </w:pPr>
      <w:r>
        <w:t>Distributors find themselves relatively inexperienced in relying on demand-side solutions to support their delivery of network services, including managing risks specific to these solutions</w:t>
      </w:r>
      <w:r w:rsidR="00150CC3" w:rsidRPr="00150CC3">
        <w:t>.</w:t>
      </w:r>
    </w:p>
    <w:p w:rsidR="00150CC3" w:rsidRPr="00150CC3" w:rsidRDefault="00150CC3" w:rsidP="00150CC3">
      <w:r w:rsidRPr="00150CC3">
        <w:t>Consequently, we see value in taking a two-pronged approach.</w:t>
      </w:r>
    </w:p>
    <w:p w:rsidR="00150CC3" w:rsidRPr="00150CC3" w:rsidRDefault="00150CC3" w:rsidP="00150CC3">
      <w:r w:rsidRPr="00150CC3">
        <w:t>The first prong focusses on continuing to improve the way we regulate so that distributors have the incentive to utilise demand management wherever it is efficient to do so. At a practical level, this will entail:</w:t>
      </w:r>
    </w:p>
    <w:p w:rsidR="00150CC3" w:rsidRPr="00150CC3" w:rsidRDefault="006E72E8" w:rsidP="00CD0D3F">
      <w:pPr>
        <w:pStyle w:val="AERbulletlistfirststyle"/>
      </w:pPr>
      <w:r>
        <w:t>T</w:t>
      </w:r>
      <w:r w:rsidR="00150CC3" w:rsidRPr="00150CC3">
        <w:t>ransition</w:t>
      </w:r>
      <w:r>
        <w:t>ing further</w:t>
      </w:r>
      <w:r w:rsidR="00150CC3" w:rsidRPr="00150CC3">
        <w:t xml:space="preserve"> towards efficient pricing in distribution networks.</w:t>
      </w:r>
    </w:p>
    <w:p w:rsidR="00150CC3" w:rsidRPr="00150CC3" w:rsidRDefault="00150CC3" w:rsidP="00CD0D3F">
      <w:pPr>
        <w:pStyle w:val="AERbulletlistfirststyle"/>
      </w:pPr>
      <w:r w:rsidRPr="00150CC3">
        <w:t xml:space="preserve">Monitoring the effectiveness of recent regulatory reforms. For instance, we will require distributors to comply with our ring-fencing guideline by no later than the start of 2018 and oversee metering contestability arrangements </w:t>
      </w:r>
      <w:r w:rsidR="000E6FAF">
        <w:t>that commence in December 2017.</w:t>
      </w:r>
    </w:p>
    <w:p w:rsidR="00150CC3" w:rsidRPr="00150CC3" w:rsidRDefault="00150CC3" w:rsidP="00CD0D3F">
      <w:pPr>
        <w:pStyle w:val="AERbulletlistfirststyle"/>
      </w:pPr>
      <w:r w:rsidRPr="00150CC3">
        <w:t xml:space="preserve">Progressing further regulatory reforms where required. For instance, since 2014, the </w:t>
      </w:r>
      <w:r w:rsidR="00405066">
        <w:t>RIT</w:t>
      </w:r>
      <w:r w:rsidR="00405066">
        <w:rPr>
          <w:rFonts w:cs="Arial"/>
        </w:rPr>
        <w:t>–</w:t>
      </w:r>
      <w:r w:rsidR="000E6FAF">
        <w:t>D</w:t>
      </w:r>
      <w:r w:rsidRPr="00150CC3">
        <w:t xml:space="preserve"> has required that distributors engage with interested parties when selecting augmentation projects that deliver the most value to e</w:t>
      </w:r>
      <w:r w:rsidR="00405066">
        <w:t xml:space="preserve">lectricity consumers. While the </w:t>
      </w:r>
      <w:r w:rsidR="00405066" w:rsidRPr="00405066">
        <w:t>RIT–D</w:t>
      </w:r>
      <w:r w:rsidRPr="00150CC3">
        <w:t xml:space="preserve"> has helped put efficient demand management options on a more equal footing to network options, its narrow scope has limited its impact. Recognising this, we requested a rule change</w:t>
      </w:r>
      <w:r w:rsidR="000E6FAF">
        <w:t xml:space="preserve"> that will </w:t>
      </w:r>
      <w:r w:rsidRPr="00150CC3">
        <w:t>requir</w:t>
      </w:r>
      <w:r w:rsidR="00405066">
        <w:t xml:space="preserve">e distributors to apply the </w:t>
      </w:r>
      <w:r w:rsidR="00405066" w:rsidRPr="00405066">
        <w:t xml:space="preserve">RIT–D </w:t>
      </w:r>
      <w:r w:rsidRPr="00150CC3">
        <w:t>to replacement projects</w:t>
      </w:r>
      <w:r w:rsidR="000E6FAF">
        <w:t xml:space="preserve"> from 18 September 2017</w:t>
      </w:r>
      <w:r w:rsidRPr="00150CC3">
        <w:t>.</w:t>
      </w:r>
      <w:r w:rsidR="000E6FAF">
        <w:rPr>
          <w:rStyle w:val="FootnoteReference"/>
        </w:rPr>
        <w:footnoteReference w:id="9"/>
      </w:r>
      <w:r w:rsidR="00405066">
        <w:t xml:space="preserve"> The new rule should</w:t>
      </w:r>
      <w:r w:rsidR="009D5F35">
        <w:t xml:space="preserve"> encourage</w:t>
      </w:r>
      <w:r w:rsidRPr="00150CC3">
        <w:t xml:space="preserve"> distributors </w:t>
      </w:r>
      <w:r w:rsidR="009D5F35">
        <w:t>to</w:t>
      </w:r>
      <w:r w:rsidR="009D5F35" w:rsidRPr="00150CC3">
        <w:t xml:space="preserve"> </w:t>
      </w:r>
      <w:r w:rsidRPr="00150CC3">
        <w:t>consider efficient demand management on a business-as-usual basis when planning their networks.</w:t>
      </w:r>
    </w:p>
    <w:p w:rsidR="00150CC3" w:rsidRPr="00150CC3" w:rsidRDefault="00150CC3" w:rsidP="00CD0D3F">
      <w:pPr>
        <w:pStyle w:val="AERbulletlistfirststyle"/>
      </w:pPr>
      <w:r w:rsidRPr="00150CC3">
        <w:t>Continuing to engage with stakeholders on how we can improve the way we regulate</w:t>
      </w:r>
      <w:r w:rsidR="00405066">
        <w:t xml:space="preserve"> by contributing </w:t>
      </w:r>
      <w:r w:rsidR="009D5F35">
        <w:t>to</w:t>
      </w:r>
      <w:r w:rsidRPr="00150CC3">
        <w:t xml:space="preserve"> various rule change proposals and energy market reviews. </w:t>
      </w:r>
      <w:r w:rsidR="009D5F35">
        <w:t>We will also be</w:t>
      </w:r>
      <w:r w:rsidRPr="00150CC3">
        <w:t xml:space="preserve"> carefully considering the views stakeholders present on how we can </w:t>
      </w:r>
      <w:r w:rsidR="009D5F35">
        <w:t>improve</w:t>
      </w:r>
      <w:r w:rsidR="009D5F35" w:rsidRPr="00150CC3">
        <w:t xml:space="preserve"> </w:t>
      </w:r>
      <w:r w:rsidRPr="00150CC3">
        <w:t xml:space="preserve">our internal practices, </w:t>
      </w:r>
      <w:r w:rsidR="009D5F35">
        <w:t>including our processes for</w:t>
      </w:r>
      <w:r w:rsidRPr="00150CC3">
        <w:t xml:space="preserve"> assess</w:t>
      </w:r>
      <w:r w:rsidR="009D5F35">
        <w:t>ing</w:t>
      </w:r>
      <w:r w:rsidRPr="00150CC3">
        <w:t xml:space="preserve"> expenditure and set</w:t>
      </w:r>
      <w:r w:rsidR="009D5F35">
        <w:t>ting</w:t>
      </w:r>
      <w:r w:rsidR="000E6FAF">
        <w:t xml:space="preserve"> the allowed rate of return.</w:t>
      </w:r>
    </w:p>
    <w:p w:rsidR="00150CC3" w:rsidRDefault="00150CC3" w:rsidP="006A7650">
      <w:r w:rsidRPr="00150CC3">
        <w:t xml:space="preserve">The second prong entails applying </w:t>
      </w:r>
      <w:r w:rsidR="00694714">
        <w:t>the</w:t>
      </w:r>
      <w:r w:rsidRPr="00150CC3">
        <w:t xml:space="preserve"> </w:t>
      </w:r>
      <w:r w:rsidR="00CD0D3F">
        <w:t>Scheme</w:t>
      </w:r>
      <w:r w:rsidRPr="00150CC3">
        <w:t xml:space="preserve"> as a bridge while regulatory and tariff reform progresses. The Scheme will </w:t>
      </w:r>
      <w:r w:rsidR="008C5907">
        <w:t>financially reward distributors for undertaking</w:t>
      </w:r>
      <w:r w:rsidRPr="00150CC3">
        <w:t xml:space="preserve"> demand management where it will deliver </w:t>
      </w:r>
      <w:r w:rsidR="000E6FAF">
        <w:t>value to electricity consumers</w:t>
      </w:r>
      <w:r w:rsidR="004648D0">
        <w:t xml:space="preserve">, thereby leading to more efficient outcomes for </w:t>
      </w:r>
      <w:r w:rsidR="004648D0" w:rsidRPr="004648D0">
        <w:t xml:space="preserve">electricity </w:t>
      </w:r>
      <w:r w:rsidR="004648D0">
        <w:t xml:space="preserve">consumers. In doing so, we anticipate </w:t>
      </w:r>
      <w:r w:rsidR="004648D0">
        <w:lastRenderedPageBreak/>
        <w:t>the Scheme will lead to lower prices for electricity consumers</w:t>
      </w:r>
      <w:r w:rsidR="008C5907">
        <w:t xml:space="preserve"> in the longer term</w:t>
      </w:r>
      <w:r w:rsidR="004648D0">
        <w:t>.</w:t>
      </w:r>
      <w:r w:rsidR="00813AF9">
        <w:t xml:space="preserve"> This </w:t>
      </w:r>
      <w:r w:rsidR="00405066">
        <w:t xml:space="preserve">position </w:t>
      </w:r>
      <w:r w:rsidR="00813AF9">
        <w:t>is consistent with Energy Consumers Australia's view that:</w:t>
      </w:r>
      <w:r w:rsidR="0063421B">
        <w:rPr>
          <w:rStyle w:val="FootnoteReference"/>
        </w:rPr>
        <w:footnoteReference w:id="10"/>
      </w:r>
    </w:p>
    <w:p w:rsidR="00813AF9" w:rsidRPr="00813AF9" w:rsidRDefault="00813AF9" w:rsidP="00813AF9">
      <w:pPr>
        <w:pStyle w:val="AERquote"/>
      </w:pPr>
      <w:r w:rsidRPr="00813AF9">
        <w:t>The [Scheme] could result in consumers funding increased network spending in one regulatory period to realise greater benefits of demand management in subsequent periods. Consumers accept the concept of funding developments on the condition that benefits are shared and outweigh costs over time. Such an eventuality would be acceptable to Energy Consumers Australia, provided engagement between networks, consumers and the AER allows the effectiveness of any [demand management] investment to be properly assessed.</w:t>
      </w:r>
    </w:p>
    <w:p w:rsidR="00150CC3" w:rsidRPr="00150CC3" w:rsidRDefault="00150CC3" w:rsidP="00150CC3">
      <w:r w:rsidRPr="00150CC3">
        <w:t xml:space="preserve">For the Scheme, we propose a simple mechanism, </w:t>
      </w:r>
      <w:r w:rsidR="009D5F35">
        <w:t>composed of</w:t>
      </w:r>
      <w:r w:rsidR="006A7650">
        <w:t xml:space="preserve"> the following</w:t>
      </w:r>
      <w:r w:rsidRPr="00150CC3">
        <w:t>:</w:t>
      </w:r>
    </w:p>
    <w:p w:rsidR="00150CC3" w:rsidRPr="00150CC3" w:rsidRDefault="00C13759" w:rsidP="00CD0D3F">
      <w:pPr>
        <w:pStyle w:val="AERbulletlistfirststyle"/>
      </w:pPr>
      <w:r>
        <w:t>A</w:t>
      </w:r>
      <w:r w:rsidR="00D96ED2">
        <w:t xml:space="preserve"> cost uplift</w:t>
      </w:r>
      <w:r w:rsidR="006A7650">
        <w:t xml:space="preserve"> that</w:t>
      </w:r>
      <w:r w:rsidR="00D96ED2">
        <w:t xml:space="preserve"> provides</w:t>
      </w:r>
      <w:r w:rsidR="00150CC3" w:rsidRPr="00150CC3">
        <w:t xml:space="preserve"> </w:t>
      </w:r>
      <w:r w:rsidR="00036BCF">
        <w:t>distributors with a clear</w:t>
      </w:r>
      <w:r w:rsidR="004C3C9F">
        <w:t xml:space="preserve"> opportunity to earn a return</w:t>
      </w:r>
      <w:r w:rsidR="00036BCF">
        <w:t xml:space="preserve"> for undertaking efficient</w:t>
      </w:r>
      <w:r w:rsidR="00150CC3" w:rsidRPr="00150CC3">
        <w:t xml:space="preserve"> demand management</w:t>
      </w:r>
      <w:r w:rsidR="004C3C9F">
        <w:t xml:space="preserve"> projects. As such, distributors </w:t>
      </w:r>
      <w:r w:rsidR="00150CC3" w:rsidRPr="00150CC3">
        <w:t>are encouraged to actively seek these opportunities in managing and planning their distribution networks.</w:t>
      </w:r>
    </w:p>
    <w:p w:rsidR="00150CC3" w:rsidRPr="00150CC3" w:rsidRDefault="00D96ED2" w:rsidP="00CD0D3F">
      <w:pPr>
        <w:pStyle w:val="AERbulletlistfirststyle"/>
      </w:pPr>
      <w:r>
        <w:t>Features designed to moderate this cost uplift so that the</w:t>
      </w:r>
      <w:r w:rsidR="00150CC3" w:rsidRPr="00150CC3">
        <w:t xml:space="preserve"> level of </w:t>
      </w:r>
      <w:r w:rsidR="00C13759">
        <w:t>incentives</w:t>
      </w:r>
      <w:r w:rsidR="00150CC3" w:rsidRPr="00150CC3">
        <w:t xml:space="preserve"> </w:t>
      </w:r>
      <w:r>
        <w:t>available to</w:t>
      </w:r>
      <w:r w:rsidRPr="00150CC3">
        <w:t xml:space="preserve"> </w:t>
      </w:r>
      <w:r w:rsidR="00150CC3" w:rsidRPr="00150CC3">
        <w:t>distributors:</w:t>
      </w:r>
    </w:p>
    <w:p w:rsidR="00150CC3" w:rsidRPr="00150CC3" w:rsidRDefault="00150CC3" w:rsidP="00CD0D3F">
      <w:pPr>
        <w:pStyle w:val="AERbulletlistsecondstyle"/>
      </w:pPr>
      <w:r w:rsidRPr="00150CC3">
        <w:t>Take</w:t>
      </w:r>
      <w:r w:rsidR="00D96ED2">
        <w:t>s</w:t>
      </w:r>
      <w:r w:rsidRPr="00150CC3">
        <w:t xml:space="preserve"> into account the benefits that demand management delivers to electricity consumers.</w:t>
      </w:r>
    </w:p>
    <w:p w:rsidR="00150CC3" w:rsidRPr="00150CC3" w:rsidRDefault="00D96ED2" w:rsidP="00CD0D3F">
      <w:pPr>
        <w:pStyle w:val="AERbulletlistsecondstyle"/>
      </w:pPr>
      <w:r>
        <w:t>Is</w:t>
      </w:r>
      <w:r w:rsidRPr="00150CC3">
        <w:t xml:space="preserve"> </w:t>
      </w:r>
      <w:r w:rsidR="00150CC3" w:rsidRPr="00150CC3">
        <w:t xml:space="preserve">set so that consumers receive a net benefit from the project, even after the distributor has captured the </w:t>
      </w:r>
      <w:r>
        <w:t>incentive</w:t>
      </w:r>
      <w:r w:rsidR="00150CC3" w:rsidRPr="00150CC3">
        <w:t>.</w:t>
      </w:r>
    </w:p>
    <w:p w:rsidR="00150CC3" w:rsidRDefault="00D96ED2" w:rsidP="00CD0D3F">
      <w:pPr>
        <w:pStyle w:val="AERbulletlistsecondstyle"/>
      </w:pPr>
      <w:r>
        <w:t>Is</w:t>
      </w:r>
      <w:r w:rsidRPr="00150CC3">
        <w:t xml:space="preserve"> </w:t>
      </w:r>
      <w:r w:rsidR="00150CC3" w:rsidRPr="00150CC3">
        <w:t xml:space="preserve">flexible, so we can adjust its magnitude over time. This </w:t>
      </w:r>
      <w:r w:rsidR="00CB3465">
        <w:t xml:space="preserve">adjustability </w:t>
      </w:r>
      <w:r w:rsidR="00150CC3" w:rsidRPr="00150CC3">
        <w:t>recognises that as we continue to improve the way we regulate, the balance in regulatory incentives will change. Following from this, the</w:t>
      </w:r>
      <w:r w:rsidR="004C3C9F">
        <w:t>re might be value in changing the uplift</w:t>
      </w:r>
      <w:r w:rsidR="00150CC3" w:rsidRPr="00150CC3">
        <w:t xml:space="preserve"> we provide under the Scheme.</w:t>
      </w:r>
    </w:p>
    <w:p w:rsidR="00C4623B" w:rsidRDefault="00C4623B" w:rsidP="00C4623B">
      <w:pPr>
        <w:pStyle w:val="Heading2"/>
      </w:pPr>
      <w:bookmarkStart w:id="18" w:name="_Toc491447231"/>
      <w:r>
        <w:t>Giving effect to rule requirements</w:t>
      </w:r>
      <w:bookmarkEnd w:id="18"/>
    </w:p>
    <w:p w:rsidR="00C4623B" w:rsidRDefault="00D96ED2" w:rsidP="00E27D5D">
      <w:pPr>
        <w:rPr>
          <w:rStyle w:val="AERbody"/>
        </w:rPr>
      </w:pPr>
      <w:r>
        <w:t>In designing any component of the regulatory framewo</w:t>
      </w:r>
      <w:r w:rsidR="000E6FAF">
        <w:t xml:space="preserve">rk, we aim to have </w:t>
      </w:r>
      <w:r w:rsidR="00CE1B3C">
        <w:t>it</w:t>
      </w:r>
      <w:r w:rsidR="000E6FAF">
        <w:t xml:space="preserve"> </w:t>
      </w:r>
      <w:r w:rsidR="00C4623B">
        <w:t xml:space="preserve">contribute to the </w:t>
      </w:r>
      <w:r w:rsidR="00C4623B" w:rsidRPr="00514E8A">
        <w:t>achievement of</w:t>
      </w:r>
      <w:r w:rsidR="00C4623B" w:rsidRPr="00C4623B">
        <w:rPr>
          <w:rStyle w:val="AERbody"/>
        </w:rPr>
        <w:t xml:space="preserve"> the </w:t>
      </w:r>
      <w:r w:rsidR="000E6FAF">
        <w:rPr>
          <w:rStyle w:val="AERbody"/>
        </w:rPr>
        <w:t>NEO</w:t>
      </w:r>
      <w:r w:rsidR="00C4623B">
        <w:rPr>
          <w:rStyle w:val="AERbody"/>
        </w:rPr>
        <w:t>, which is:</w:t>
      </w:r>
      <w:r w:rsidR="00C4623B">
        <w:rPr>
          <w:rStyle w:val="FootnoteReference"/>
        </w:rPr>
        <w:footnoteReference w:id="11"/>
      </w:r>
    </w:p>
    <w:p w:rsidR="00C4623B" w:rsidRDefault="00C4623B" w:rsidP="00C4623B">
      <w:pPr>
        <w:pStyle w:val="AERquote"/>
        <w:rPr>
          <w:rStyle w:val="AERbody"/>
        </w:rPr>
      </w:pPr>
      <w:r w:rsidRPr="00C4623B">
        <w:rPr>
          <w:rStyle w:val="AERbody"/>
          <w:color w:val="000000"/>
          <w:sz w:val="20"/>
        </w:rPr>
        <w:t xml:space="preserve">to promote efficient investment in, and efficient operation and use of, electricity services for the long-term interests of consumers of electricity with respect </w:t>
      </w:r>
      <w:r>
        <w:rPr>
          <w:rStyle w:val="AERbody"/>
          <w:rFonts w:cs="Arial"/>
          <w:color w:val="000000"/>
          <w:sz w:val="20"/>
        </w:rPr>
        <w:t>―</w:t>
      </w:r>
    </w:p>
    <w:p w:rsidR="00C4623B" w:rsidRPr="00C4623B" w:rsidRDefault="00C4623B" w:rsidP="00C4623B">
      <w:pPr>
        <w:pStyle w:val="AERquotebullet1"/>
        <w:rPr>
          <w:rStyle w:val="AERbody"/>
          <w:sz w:val="20"/>
        </w:rPr>
      </w:pPr>
      <w:r w:rsidRPr="00C4623B">
        <w:rPr>
          <w:rStyle w:val="AERbody"/>
          <w:sz w:val="20"/>
        </w:rPr>
        <w:t xml:space="preserve">to price, quality, safety, reliability, and security of supply of electricity; and </w:t>
      </w:r>
    </w:p>
    <w:p w:rsidR="00C4623B" w:rsidRPr="00C4623B" w:rsidRDefault="00C4623B" w:rsidP="00C4623B">
      <w:pPr>
        <w:pStyle w:val="AERquotebullet1"/>
        <w:rPr>
          <w:rStyle w:val="AERbody"/>
          <w:sz w:val="20"/>
        </w:rPr>
      </w:pPr>
      <w:r w:rsidRPr="00C4623B">
        <w:rPr>
          <w:rStyle w:val="AERbody"/>
          <w:sz w:val="20"/>
        </w:rPr>
        <w:t>the reliability, safety and security of the national electricity system</w:t>
      </w:r>
    </w:p>
    <w:p w:rsidR="006B4BF8" w:rsidRDefault="00EE2710" w:rsidP="00E27D5D">
      <w:r>
        <w:rPr>
          <w:rStyle w:val="AERbody"/>
        </w:rPr>
        <w:t>The Scheme will contribute to the achievem</w:t>
      </w:r>
      <w:r w:rsidR="000E6FAF">
        <w:rPr>
          <w:rStyle w:val="AERbody"/>
        </w:rPr>
        <w:t>ent of the NEO by applying the Scheme O</w:t>
      </w:r>
      <w:r>
        <w:rPr>
          <w:rStyle w:val="AERbody"/>
        </w:rPr>
        <w:t xml:space="preserve">bjective and principles </w:t>
      </w:r>
      <w:r>
        <w:t xml:space="preserve">in NER clause </w:t>
      </w:r>
      <w:r w:rsidR="00C4623B">
        <w:t>6.6.3</w:t>
      </w:r>
      <w:r>
        <w:t xml:space="preserve">. </w:t>
      </w:r>
    </w:p>
    <w:p w:rsidR="00C4623B" w:rsidRPr="00C4623B" w:rsidRDefault="00EE2710" w:rsidP="00E27D5D">
      <w:pPr>
        <w:rPr>
          <w:rStyle w:val="AERbody"/>
        </w:rPr>
      </w:pPr>
      <w:r>
        <w:lastRenderedPageBreak/>
        <w:t>Th</w:t>
      </w:r>
      <w:r w:rsidR="000E6FAF">
        <w:t>e Scheme O</w:t>
      </w:r>
      <w:r w:rsidR="00D00AEC">
        <w:t xml:space="preserve">bjective is </w:t>
      </w:r>
      <w:r>
        <w:rPr>
          <w:rStyle w:val="AERbody"/>
        </w:rPr>
        <w:t xml:space="preserve">to provide </w:t>
      </w:r>
      <w:r w:rsidR="00C4623B" w:rsidRPr="00C4623B">
        <w:rPr>
          <w:rStyle w:val="AERbody"/>
        </w:rPr>
        <w:t>distributors with an incentive to undertake efficient expenditure on relevant non-network options relating to demand</w:t>
      </w:r>
      <w:r>
        <w:rPr>
          <w:rStyle w:val="AERbody"/>
        </w:rPr>
        <w:t xml:space="preserve"> management</w:t>
      </w:r>
      <w:r w:rsidR="00C4623B" w:rsidRPr="00C4623B">
        <w:rPr>
          <w:rStyle w:val="AERbody"/>
        </w:rPr>
        <w:t>.</w:t>
      </w:r>
      <w:r>
        <w:rPr>
          <w:rStyle w:val="AERbody"/>
        </w:rPr>
        <w:t xml:space="preserve"> </w:t>
      </w:r>
      <w:r w:rsidR="00D96ED2">
        <w:rPr>
          <w:rStyle w:val="AERbody"/>
        </w:rPr>
        <w:t>In doing so</w:t>
      </w:r>
      <w:r>
        <w:rPr>
          <w:rStyle w:val="AERbody"/>
        </w:rPr>
        <w:t>, the NER require we develop and apply the Scheme to take</w:t>
      </w:r>
      <w:r w:rsidR="00C4623B" w:rsidRPr="00C4623B">
        <w:rPr>
          <w:rStyle w:val="AERbody"/>
        </w:rPr>
        <w:t xml:space="preserve"> into account the following</w:t>
      </w:r>
      <w:r>
        <w:rPr>
          <w:rStyle w:val="AERbody"/>
        </w:rPr>
        <w:t xml:space="preserve"> principles</w:t>
      </w:r>
      <w:r w:rsidR="00C4623B" w:rsidRPr="00C4623B">
        <w:rPr>
          <w:rStyle w:val="AERbody"/>
        </w:rPr>
        <w:t>:</w:t>
      </w:r>
    </w:p>
    <w:p w:rsidR="00C4623B" w:rsidRPr="00C4623B" w:rsidRDefault="008C5907" w:rsidP="00C4623B">
      <w:pPr>
        <w:pStyle w:val="AERnumberedlistsecondstyle"/>
        <w:rPr>
          <w:rStyle w:val="AERbody"/>
        </w:rPr>
      </w:pPr>
      <w:r>
        <w:rPr>
          <w:rStyle w:val="AERbody"/>
        </w:rPr>
        <w:t>The</w:t>
      </w:r>
      <w:r w:rsidR="000E6FAF">
        <w:rPr>
          <w:rStyle w:val="AERbody"/>
        </w:rPr>
        <w:t xml:space="preserve"> S</w:t>
      </w:r>
      <w:r w:rsidR="00C4623B" w:rsidRPr="00C4623B">
        <w:rPr>
          <w:rStyle w:val="AERbody"/>
        </w:rPr>
        <w:t>cheme should be applied in a manner that contrib</w:t>
      </w:r>
      <w:r w:rsidR="000E6FAF">
        <w:rPr>
          <w:rStyle w:val="AERbody"/>
        </w:rPr>
        <w:t>utes to the achievement of the Scheme O</w:t>
      </w:r>
      <w:r w:rsidR="00C4623B" w:rsidRPr="00C4623B">
        <w:rPr>
          <w:rStyle w:val="AERbody"/>
        </w:rPr>
        <w:t>bjective</w:t>
      </w:r>
      <w:r w:rsidR="0014216E">
        <w:rPr>
          <w:rStyle w:val="AERbody"/>
        </w:rPr>
        <w:t>.</w:t>
      </w:r>
    </w:p>
    <w:p w:rsidR="00C4623B" w:rsidRPr="00C4623B" w:rsidRDefault="008C5907" w:rsidP="00C4623B">
      <w:pPr>
        <w:pStyle w:val="AERnumberedlistsecondstyle"/>
        <w:rPr>
          <w:rStyle w:val="AERbody"/>
        </w:rPr>
      </w:pPr>
      <w:r>
        <w:rPr>
          <w:rStyle w:val="AERbody"/>
        </w:rPr>
        <w:t>The</w:t>
      </w:r>
      <w:r w:rsidR="000E6FAF">
        <w:rPr>
          <w:rStyle w:val="AERbody"/>
        </w:rPr>
        <w:t xml:space="preserve"> S</w:t>
      </w:r>
      <w:r w:rsidR="00C4623B" w:rsidRPr="00C4623B">
        <w:rPr>
          <w:rStyle w:val="AERbody"/>
        </w:rPr>
        <w:t>cheme should reward distributors for implementing relevant non-network options that deliver net cost savings to retail customers</w:t>
      </w:r>
      <w:r w:rsidR="0014216E">
        <w:rPr>
          <w:rStyle w:val="AERbody"/>
        </w:rPr>
        <w:t>. For clarity, we take this to mean that, all else being equal, projects that the Scheme incentivises should lead to lower prices for energy consumers. Related</w:t>
      </w:r>
      <w:r w:rsidR="00CB3465">
        <w:rPr>
          <w:rStyle w:val="AERbody"/>
        </w:rPr>
        <w:t>ly</w:t>
      </w:r>
      <w:r w:rsidR="0014216E">
        <w:rPr>
          <w:rStyle w:val="AERbody"/>
        </w:rPr>
        <w:t>, the Scheme should only incentivise demand management where it leads to more efficient outcomes.</w:t>
      </w:r>
    </w:p>
    <w:p w:rsidR="00C4623B" w:rsidRPr="00C4623B" w:rsidRDefault="0014216E" w:rsidP="00C4623B">
      <w:pPr>
        <w:pStyle w:val="AERnumberedlistsecondstyle"/>
        <w:rPr>
          <w:rStyle w:val="AERbody"/>
        </w:rPr>
      </w:pPr>
      <w:r>
        <w:rPr>
          <w:rStyle w:val="AERbody"/>
        </w:rPr>
        <w:t>The</w:t>
      </w:r>
      <w:r w:rsidR="004723A9">
        <w:rPr>
          <w:rStyle w:val="AERbody"/>
        </w:rPr>
        <w:t xml:space="preserve"> S</w:t>
      </w:r>
      <w:r w:rsidR="00C4623B" w:rsidRPr="00C4623B">
        <w:rPr>
          <w:rStyle w:val="AERbody"/>
        </w:rPr>
        <w:t xml:space="preserve">cheme should balance the incentives between expenditure on network options and non-network options relating to demand management. In doing so, </w:t>
      </w:r>
      <w:r w:rsidR="00EE2710">
        <w:rPr>
          <w:rStyle w:val="AERbody"/>
        </w:rPr>
        <w:t>we</w:t>
      </w:r>
      <w:r w:rsidR="00C4623B" w:rsidRPr="00C4623B">
        <w:rPr>
          <w:rStyle w:val="AERbody"/>
        </w:rPr>
        <w:t xml:space="preserve"> may take into account the net economic benefits delivered to all those who produce, consume and transport electricity in the market associated with implementing relevant non-network options</w:t>
      </w:r>
      <w:r>
        <w:rPr>
          <w:rStyle w:val="AERbody"/>
        </w:rPr>
        <w:t>.</w:t>
      </w:r>
    </w:p>
    <w:p w:rsidR="00C4623B" w:rsidRPr="00C4623B" w:rsidRDefault="0014216E" w:rsidP="00C4623B">
      <w:pPr>
        <w:pStyle w:val="AERnumberedlistsecondstyle"/>
        <w:rPr>
          <w:rStyle w:val="AERbody"/>
        </w:rPr>
      </w:pPr>
      <w:r>
        <w:rPr>
          <w:rStyle w:val="AERbody"/>
        </w:rPr>
        <w:t>T</w:t>
      </w:r>
      <w:r w:rsidR="00C4623B" w:rsidRPr="00C4623B">
        <w:rPr>
          <w:rStyle w:val="AERbody"/>
        </w:rPr>
        <w:t>he level of the incentive:</w:t>
      </w:r>
    </w:p>
    <w:p w:rsidR="00C4623B" w:rsidRPr="00C4623B" w:rsidRDefault="0014216E" w:rsidP="00C4623B">
      <w:pPr>
        <w:pStyle w:val="AERnumberedlistthirdstyle"/>
        <w:rPr>
          <w:rStyle w:val="AERbody"/>
        </w:rPr>
      </w:pPr>
      <w:r w:rsidRPr="00C4623B">
        <w:rPr>
          <w:rStyle w:val="AERbody"/>
        </w:rPr>
        <w:t>Should</w:t>
      </w:r>
      <w:r w:rsidR="00C4623B" w:rsidRPr="00C4623B">
        <w:rPr>
          <w:rStyle w:val="AERbody"/>
        </w:rPr>
        <w:t xml:space="preserve"> be reasonable, considering the long term benefit to retail customers</w:t>
      </w:r>
      <w:r>
        <w:rPr>
          <w:rStyle w:val="AERbody"/>
        </w:rPr>
        <w:t xml:space="preserve">. For clarity, we take this to mean that the level of incentive should be sufficient to encourage distributors to produce efficient outcomes, but not be so high that it prevents these efficient outcomes from translating into lower long term prices for electricity consumers. </w:t>
      </w:r>
    </w:p>
    <w:p w:rsidR="00C4623B" w:rsidRPr="00C4623B" w:rsidRDefault="0014216E" w:rsidP="00C4623B">
      <w:pPr>
        <w:pStyle w:val="AERnumberedlistthirdstyle"/>
        <w:rPr>
          <w:rStyle w:val="AERbody"/>
        </w:rPr>
      </w:pPr>
      <w:r w:rsidRPr="00C4623B">
        <w:rPr>
          <w:rStyle w:val="AERbody"/>
        </w:rPr>
        <w:t>Should</w:t>
      </w:r>
      <w:r w:rsidR="00C4623B" w:rsidRPr="00C4623B">
        <w:rPr>
          <w:rStyle w:val="AERbody"/>
        </w:rPr>
        <w:t xml:space="preserve"> not include costs that are otherwise recoverable from any another source, including under a relevant distribution determination</w:t>
      </w:r>
      <w:r>
        <w:rPr>
          <w:rStyle w:val="AERbody"/>
        </w:rPr>
        <w:t>.</w:t>
      </w:r>
    </w:p>
    <w:p w:rsidR="00C4623B" w:rsidRPr="00C4623B" w:rsidRDefault="0014216E" w:rsidP="00C4623B">
      <w:pPr>
        <w:pStyle w:val="AERnumberedlistthirdstyle"/>
        <w:rPr>
          <w:rStyle w:val="AERbody"/>
        </w:rPr>
      </w:pPr>
      <w:r w:rsidRPr="00C4623B">
        <w:rPr>
          <w:rStyle w:val="AERbody"/>
        </w:rPr>
        <w:t>May</w:t>
      </w:r>
      <w:r w:rsidR="00C4623B" w:rsidRPr="00C4623B">
        <w:rPr>
          <w:rStyle w:val="AERbody"/>
        </w:rPr>
        <w:t xml:space="preserve"> vary by distributor and over time</w:t>
      </w:r>
      <w:r>
        <w:rPr>
          <w:rStyle w:val="AERbody"/>
        </w:rPr>
        <w:t>.</w:t>
      </w:r>
    </w:p>
    <w:p w:rsidR="00C4623B" w:rsidRPr="00C4623B" w:rsidRDefault="0014216E" w:rsidP="00C4623B">
      <w:pPr>
        <w:pStyle w:val="AERnumberedlistsecondstyle"/>
        <w:rPr>
          <w:rStyle w:val="AERbody"/>
        </w:rPr>
      </w:pPr>
      <w:r>
        <w:rPr>
          <w:rStyle w:val="AERbody"/>
        </w:rPr>
        <w:t>P</w:t>
      </w:r>
      <w:r w:rsidR="00C4623B" w:rsidRPr="00C4623B">
        <w:rPr>
          <w:rStyle w:val="AERbody"/>
        </w:rPr>
        <w:t>enalties should not be imp</w:t>
      </w:r>
      <w:r w:rsidR="004723A9">
        <w:rPr>
          <w:rStyle w:val="AERbody"/>
        </w:rPr>
        <w:t>osed on distributors under any S</w:t>
      </w:r>
      <w:r w:rsidR="00C4623B" w:rsidRPr="00C4623B">
        <w:rPr>
          <w:rStyle w:val="AERbody"/>
        </w:rPr>
        <w:t>cheme</w:t>
      </w:r>
      <w:r>
        <w:rPr>
          <w:rStyle w:val="AERbody"/>
        </w:rPr>
        <w:t>.</w:t>
      </w:r>
    </w:p>
    <w:p w:rsidR="00C4623B" w:rsidRPr="00C4623B" w:rsidRDefault="00C4623B" w:rsidP="00C4623B">
      <w:pPr>
        <w:pStyle w:val="AERnumberedlistsecondstyle"/>
        <w:rPr>
          <w:rStyle w:val="AERbody"/>
        </w:rPr>
      </w:pPr>
      <w:r w:rsidRPr="00C4623B">
        <w:rPr>
          <w:rStyle w:val="AERbody"/>
        </w:rPr>
        <w:t xml:space="preserve"> </w:t>
      </w:r>
      <w:r w:rsidR="0014216E">
        <w:rPr>
          <w:rStyle w:val="AERbody"/>
        </w:rPr>
        <w:t>T</w:t>
      </w:r>
      <w:r w:rsidRPr="00C4623B">
        <w:rPr>
          <w:rStyle w:val="AERbody"/>
        </w:rPr>
        <w:t>he incentives should not be limited by the length of a regulatory control period, if such limitations would not contri</w:t>
      </w:r>
      <w:r w:rsidR="004723A9">
        <w:rPr>
          <w:rStyle w:val="AERbody"/>
        </w:rPr>
        <w:t>bute to the achievement of the Scheme O</w:t>
      </w:r>
      <w:r w:rsidRPr="00C4623B">
        <w:rPr>
          <w:rStyle w:val="AERbody"/>
        </w:rPr>
        <w:t>bjective</w:t>
      </w:r>
      <w:r w:rsidR="0014216E">
        <w:rPr>
          <w:rStyle w:val="AERbody"/>
        </w:rPr>
        <w:t>.</w:t>
      </w:r>
    </w:p>
    <w:p w:rsidR="00C4623B" w:rsidRPr="00C4623B" w:rsidRDefault="0014216E" w:rsidP="00C4623B">
      <w:pPr>
        <w:pStyle w:val="AERnumberedlistsecondstyle"/>
        <w:rPr>
          <w:rStyle w:val="AERbody"/>
        </w:rPr>
      </w:pPr>
      <w:r>
        <w:rPr>
          <w:rStyle w:val="AERbody"/>
        </w:rPr>
        <w:t>T</w:t>
      </w:r>
      <w:r w:rsidR="00C4623B" w:rsidRPr="00C4623B">
        <w:rPr>
          <w:rStyle w:val="AERbody"/>
        </w:rPr>
        <w:t>he po</w:t>
      </w:r>
      <w:r w:rsidR="004723A9">
        <w:rPr>
          <w:rStyle w:val="AERbody"/>
        </w:rPr>
        <w:t>ssible interaction between the S</w:t>
      </w:r>
      <w:r w:rsidR="00C4623B" w:rsidRPr="00C4623B">
        <w:rPr>
          <w:rStyle w:val="AERbody"/>
        </w:rPr>
        <w:t>cheme and:</w:t>
      </w:r>
    </w:p>
    <w:p w:rsidR="00C4623B" w:rsidRPr="00C4623B" w:rsidRDefault="00C4623B" w:rsidP="00D1525D">
      <w:pPr>
        <w:pStyle w:val="AERnumberedlistthirdstyle"/>
        <w:numPr>
          <w:ilvl w:val="0"/>
          <w:numId w:val="28"/>
        </w:numPr>
        <w:rPr>
          <w:rStyle w:val="AERbody"/>
        </w:rPr>
      </w:pPr>
      <w:r w:rsidRPr="00C4623B">
        <w:rPr>
          <w:rStyle w:val="AERbody"/>
        </w:rPr>
        <w:t>any other incentives available to the distributor  in relation to undertaking efficient expenditure on, or implementation of, relevant non-network options;</w:t>
      </w:r>
    </w:p>
    <w:p w:rsidR="00C4623B" w:rsidRPr="00C4623B" w:rsidRDefault="00C4623B" w:rsidP="00C4623B">
      <w:pPr>
        <w:pStyle w:val="AERnumberedlistthirdstyle"/>
        <w:rPr>
          <w:rStyle w:val="AERbody"/>
        </w:rPr>
      </w:pPr>
      <w:r w:rsidRPr="00C4623B">
        <w:rPr>
          <w:rStyle w:val="AERbody"/>
        </w:rPr>
        <w:t xml:space="preserve">particular control mechanisms and their effect on a distributor's available incentives referred to in sub-paragraph (i); and </w:t>
      </w:r>
    </w:p>
    <w:p w:rsidR="00C4623B" w:rsidRPr="00C4623B" w:rsidRDefault="00C4623B" w:rsidP="00C4623B">
      <w:pPr>
        <w:pStyle w:val="AERnumberedlistthirdstyle"/>
        <w:rPr>
          <w:rStyle w:val="AERbody"/>
        </w:rPr>
      </w:pPr>
      <w:r w:rsidRPr="00C4623B">
        <w:rPr>
          <w:rStyle w:val="AERbody"/>
        </w:rPr>
        <w:t>meeting any regulatory obligation or requirement.</w:t>
      </w:r>
    </w:p>
    <w:p w:rsidR="00C4623B" w:rsidRPr="00C4623B" w:rsidRDefault="0014216E" w:rsidP="008C5907">
      <w:r>
        <w:rPr>
          <w:rStyle w:val="AERbody"/>
        </w:rPr>
        <w:t>Moreover, under the NER, w</w:t>
      </w:r>
      <w:r w:rsidR="00EE2710">
        <w:rPr>
          <w:rStyle w:val="AERbody"/>
        </w:rPr>
        <w:t xml:space="preserve">e </w:t>
      </w:r>
      <w:r w:rsidR="00C4623B" w:rsidRPr="00C4623B">
        <w:rPr>
          <w:rStyle w:val="AERbody"/>
        </w:rPr>
        <w:t xml:space="preserve">must develop </w:t>
      </w:r>
      <w:r w:rsidR="004723A9">
        <w:rPr>
          <w:rStyle w:val="AERbody"/>
        </w:rPr>
        <w:t>and publish the S</w:t>
      </w:r>
      <w:r w:rsidR="00C4623B" w:rsidRPr="00C4623B">
        <w:rPr>
          <w:rStyle w:val="AERbody"/>
        </w:rPr>
        <w:t>cheme; and</w:t>
      </w:r>
      <w:r w:rsidR="00EE2710" w:rsidRPr="00EE2710">
        <w:rPr>
          <w:rStyle w:val="AERbody"/>
        </w:rPr>
        <w:t xml:space="preserve"> </w:t>
      </w:r>
      <w:r w:rsidR="00EE2710" w:rsidRPr="00C4623B">
        <w:rPr>
          <w:rStyle w:val="AERbody"/>
        </w:rPr>
        <w:t xml:space="preserve">may, from time to time, amend or replace </w:t>
      </w:r>
      <w:r w:rsidR="00EE2710">
        <w:rPr>
          <w:rStyle w:val="AERbody"/>
        </w:rPr>
        <w:t>it</w:t>
      </w:r>
      <w:r w:rsidR="00EE2710" w:rsidRPr="00EE2710">
        <w:rPr>
          <w:rStyle w:val="AERbody"/>
        </w:rPr>
        <w:t xml:space="preserve"> </w:t>
      </w:r>
      <w:r w:rsidR="00EE2710" w:rsidRPr="00C4623B">
        <w:rPr>
          <w:rStyle w:val="AERbody"/>
        </w:rPr>
        <w:t>in accordance with the dist</w:t>
      </w:r>
      <w:r w:rsidR="00EE2710">
        <w:rPr>
          <w:rStyle w:val="AERbody"/>
        </w:rPr>
        <w:t>ribution consultation procedures.</w:t>
      </w:r>
    </w:p>
    <w:p w:rsidR="00AD3AD2" w:rsidRDefault="00034568" w:rsidP="00C4623B">
      <w:pPr>
        <w:pStyle w:val="Heading2"/>
      </w:pPr>
      <w:bookmarkStart w:id="19" w:name="_Ref489597146"/>
      <w:bookmarkStart w:id="20" w:name="_Toc491447232"/>
      <w:bookmarkEnd w:id="1"/>
      <w:bookmarkEnd w:id="8"/>
      <w:bookmarkEnd w:id="9"/>
      <w:r>
        <w:lastRenderedPageBreak/>
        <w:t>Stakeholders support</w:t>
      </w:r>
      <w:r w:rsidR="00AD3AD2">
        <w:t xml:space="preserve"> a Scheme</w:t>
      </w:r>
      <w:bookmarkEnd w:id="19"/>
      <w:bookmarkEnd w:id="20"/>
    </w:p>
    <w:p w:rsidR="00AD3AD2" w:rsidRDefault="0061755F" w:rsidP="00AD3AD2">
      <w:r>
        <w:t xml:space="preserve">For the reasons described in </w:t>
      </w:r>
      <w:r w:rsidR="00AD3AD2">
        <w:t xml:space="preserve">section </w:t>
      </w:r>
      <w:r w:rsidR="00AD3AD2">
        <w:fldChar w:fldCharType="begin"/>
      </w:r>
      <w:r w:rsidR="00AD3AD2">
        <w:instrText xml:space="preserve"> REF _Ref489514086 \r \h </w:instrText>
      </w:r>
      <w:r w:rsidR="00AD3AD2">
        <w:fldChar w:fldCharType="separate"/>
      </w:r>
      <w:r w:rsidR="0076296B">
        <w:t>2.1</w:t>
      </w:r>
      <w:r w:rsidR="00AD3AD2">
        <w:fldChar w:fldCharType="end"/>
      </w:r>
      <w:r w:rsidR="00AD3AD2">
        <w:t xml:space="preserve"> above</w:t>
      </w:r>
      <w:r w:rsidR="00D51210">
        <w:t>,</w:t>
      </w:r>
      <w:r w:rsidR="00AD3AD2">
        <w:t xml:space="preserve"> we consider that applying a Scheme is the correct course of action.</w:t>
      </w:r>
    </w:p>
    <w:p w:rsidR="00AD3AD2" w:rsidRPr="00AD3AD2" w:rsidRDefault="00AD3AD2" w:rsidP="00AD3AD2">
      <w:r>
        <w:t xml:space="preserve">At our </w:t>
      </w:r>
      <w:r w:rsidR="0061755F">
        <w:t>Options Day</w:t>
      </w:r>
      <w:r>
        <w:t xml:space="preserve"> held on 6 April 2017, we asked stakeholders </w:t>
      </w:r>
      <w:r w:rsidR="00D51210">
        <w:t>whether</w:t>
      </w:r>
      <w:r>
        <w:t xml:space="preserve"> we should apply a Scheme. </w:t>
      </w:r>
      <w:r w:rsidRPr="005050FB">
        <w:t xml:space="preserve">Overall, there </w:t>
      </w:r>
      <w:r>
        <w:t>was</w:t>
      </w:r>
      <w:r w:rsidRPr="005050FB">
        <w:t xml:space="preserve"> clear support for the Scheme</w:t>
      </w:r>
      <w:r w:rsidRPr="00AD3AD2">
        <w:t>.</w:t>
      </w:r>
      <w:r>
        <w:t xml:space="preserve"> Some stakeholders did express the view that the Scheme was </w:t>
      </w:r>
      <w:r w:rsidR="00E33592">
        <w:t>un</w:t>
      </w:r>
      <w:r>
        <w:t>necessary,</w:t>
      </w:r>
      <w:r w:rsidR="00D51210">
        <w:rPr>
          <w:rStyle w:val="FootnoteReference"/>
        </w:rPr>
        <w:footnoteReference w:id="12"/>
      </w:r>
      <w:r>
        <w:t xml:space="preserve"> but the balance of support was strongly in favour of </w:t>
      </w:r>
      <w:r w:rsidR="007E4CB4">
        <w:t xml:space="preserve">a </w:t>
      </w:r>
      <w:r>
        <w:t>Scheme.</w:t>
      </w:r>
      <w:r w:rsidR="00D51210">
        <w:t xml:space="preserve"> In submissions after the </w:t>
      </w:r>
      <w:r w:rsidR="00694714">
        <w:t>O</w:t>
      </w:r>
      <w:r w:rsidR="00D51210">
        <w:t xml:space="preserve">ptions </w:t>
      </w:r>
      <w:r w:rsidR="00694714">
        <w:t>D</w:t>
      </w:r>
      <w:r w:rsidR="00D51210">
        <w:t>ay, stakeholders cited the 'clear legal and policy intent' of the NER in this regard,</w:t>
      </w:r>
      <w:r w:rsidR="00D51210">
        <w:rPr>
          <w:rStyle w:val="FootnoteReference"/>
        </w:rPr>
        <w:footnoteReference w:id="13"/>
      </w:r>
      <w:r w:rsidR="00D51210">
        <w:t xml:space="preserve"> alongside the substantive policy process that addressed this question prior to the AEMC rule change</w:t>
      </w:r>
      <w:r w:rsidR="00283793">
        <w:t>, in support of implementing a Scheme</w:t>
      </w:r>
      <w:r w:rsidR="00D51210">
        <w:t>.</w:t>
      </w:r>
      <w:r w:rsidR="00D51210">
        <w:rPr>
          <w:rStyle w:val="FootnoteReference"/>
        </w:rPr>
        <w:footnoteReference w:id="14"/>
      </w:r>
      <w:r w:rsidR="00D51210">
        <w:t xml:space="preserve"> </w:t>
      </w:r>
    </w:p>
    <w:p w:rsidR="007A5271" w:rsidRDefault="00AD3AD2" w:rsidP="00AD3AD2">
      <w:r w:rsidRPr="005050FB">
        <w:t>There was general recognition</w:t>
      </w:r>
      <w:r w:rsidR="00D51210">
        <w:t xml:space="preserve"> </w:t>
      </w:r>
      <w:r w:rsidRPr="005050FB">
        <w:t xml:space="preserve">that the Scheme would be </w:t>
      </w:r>
      <w:r w:rsidR="007E4CB4">
        <w:t xml:space="preserve">the </w:t>
      </w:r>
      <w:r w:rsidR="009D0E55">
        <w:t>bridge</w:t>
      </w:r>
      <w:r>
        <w:t xml:space="preserve"> </w:t>
      </w:r>
      <w:r w:rsidR="009D0E55">
        <w:t>to</w:t>
      </w:r>
      <w:r w:rsidR="007E4CB4">
        <w:t>wards the changing</w:t>
      </w:r>
      <w:r w:rsidR="009D0E55">
        <w:t xml:space="preserve"> framework</w:t>
      </w:r>
      <w:r w:rsidR="00694714">
        <w:t>,</w:t>
      </w:r>
      <w:r w:rsidR="009D0E55">
        <w:t xml:space="preserve"> </w:t>
      </w:r>
      <w:r w:rsidR="0061755F">
        <w:t xml:space="preserve">as discussed above in </w:t>
      </w:r>
      <w:r>
        <w:t xml:space="preserve">section </w:t>
      </w:r>
      <w:r>
        <w:fldChar w:fldCharType="begin"/>
      </w:r>
      <w:r>
        <w:instrText xml:space="preserve"> REF _Ref489514240 \r \h </w:instrText>
      </w:r>
      <w:r>
        <w:fldChar w:fldCharType="separate"/>
      </w:r>
      <w:r w:rsidR="0076296B">
        <w:t>2.1</w:t>
      </w:r>
      <w:r>
        <w:fldChar w:fldCharType="end"/>
      </w:r>
      <w:r>
        <w:t xml:space="preserve">. </w:t>
      </w:r>
      <w:r w:rsidR="007A5271">
        <w:t>There was also consumer</w:t>
      </w:r>
      <w:r w:rsidR="00034568">
        <w:t xml:space="preserve"> support for</w:t>
      </w:r>
      <w:r w:rsidR="007A5271">
        <w:t xml:space="preserve"> paying the cost of the incentive </w:t>
      </w:r>
      <w:r w:rsidR="00694714">
        <w:t xml:space="preserve">if it would be </w:t>
      </w:r>
      <w:r w:rsidR="007A5271">
        <w:t xml:space="preserve">in their long term interests. </w:t>
      </w:r>
      <w:r w:rsidR="00034568">
        <w:t>Consumer</w:t>
      </w:r>
      <w:r w:rsidR="00694714">
        <w:t xml:space="preserve"> </w:t>
      </w:r>
      <w:r w:rsidR="00034568">
        <w:t xml:space="preserve">support </w:t>
      </w:r>
      <w:r w:rsidR="00694714">
        <w:t xml:space="preserve">for the Scheme </w:t>
      </w:r>
      <w:r w:rsidR="00034568">
        <w:t xml:space="preserve">was </w:t>
      </w:r>
      <w:r w:rsidR="007A5271">
        <w:t>succinctly stated in Energy Consumers Australia</w:t>
      </w:r>
      <w:r w:rsidR="00694714">
        <w:t>'s</w:t>
      </w:r>
      <w:r w:rsidR="007A5271">
        <w:t xml:space="preserve"> (ECA</w:t>
      </w:r>
      <w:r w:rsidR="00694714">
        <w:t>'s</w:t>
      </w:r>
      <w:r w:rsidR="007A5271">
        <w:t>) submission:</w:t>
      </w:r>
    </w:p>
    <w:p w:rsidR="00034568" w:rsidRDefault="007A5271" w:rsidP="00277AB2">
      <w:pPr>
        <w:pStyle w:val="AERquote"/>
      </w:pPr>
      <w:r>
        <w:t>Effective DM programs by networks are a critical measure to ensure that overall distribution network costs for consumers reduce over time. Distribution Network Service Providers (DNSP) operates like any other business organisation and will respond to the incentives available to them.</w:t>
      </w:r>
    </w:p>
    <w:p w:rsidR="00034568" w:rsidRPr="00034568" w:rsidRDefault="00034568" w:rsidP="00034568">
      <w:pPr>
        <w:pStyle w:val="AERquote"/>
      </w:pPr>
      <w:r w:rsidRPr="00034568">
        <w:t>Enabling and empowering consumers to manage their consumption and costs, and at the same time contribute to the overall efficiency and stability of the system, is a priority for the National Electricity Market (NEM). Electricity prices have risen significantly in recent years, doubling in some cases; investment in new network capacity has contributed to this increase. Maximising the value extracted from existing infrastructure can avoid further capital investments and contribute to keeping prices lower for consumers.</w:t>
      </w:r>
    </w:p>
    <w:p w:rsidR="00034568" w:rsidRPr="00034568" w:rsidRDefault="00034568" w:rsidP="0031687D">
      <w:pPr>
        <w:pStyle w:val="AERquote"/>
      </w:pPr>
      <w:r w:rsidRPr="00034568">
        <w:t>Investment has been made recently to meet forecast increases in peak demand though total consumption declined. DM (that is, strategies by network businesses to manage peak demand by means other than new network investment) offers the opportunity to ensure that this extra investment is not required and to hence reduce costs.</w:t>
      </w:r>
    </w:p>
    <w:p w:rsidR="00034568" w:rsidRDefault="00034568" w:rsidP="00277AB2">
      <w:pPr>
        <w:pStyle w:val="AERquote"/>
      </w:pPr>
      <w:r w:rsidRPr="00034568">
        <w:t>The overall efficiency ‘prize’ on offer is potentially very significant.</w:t>
      </w:r>
    </w:p>
    <w:p w:rsidR="007A5271" w:rsidRDefault="00034568" w:rsidP="00277AB2">
      <w:pPr>
        <w:pStyle w:val="AERquote"/>
      </w:pPr>
      <w:r w:rsidRPr="00034568">
        <w:t xml:space="preserve">The DMIS could result in consumers funding increased network spending in one regulatory period to realise greater benefits of demand management in </w:t>
      </w:r>
      <w:r w:rsidRPr="00034568">
        <w:lastRenderedPageBreak/>
        <w:t>subsequent periods. Consumers accept the concept of funding developments on the condition that benefits are shared and outweigh costs over time. Such an eventuality would be acceptable to Energy Consumers Australia, provided engagement between networks, consumers and the AER allows the effectiveness of any DM investment to be properly assessed</w:t>
      </w:r>
      <w:r w:rsidR="0078288C">
        <w:t>.</w:t>
      </w:r>
      <w:r w:rsidR="007A5271">
        <w:rPr>
          <w:rStyle w:val="FootnoteReference"/>
        </w:rPr>
        <w:footnoteReference w:id="15"/>
      </w:r>
    </w:p>
    <w:p w:rsidR="00AD3AD2" w:rsidRPr="00AD3AD2" w:rsidRDefault="0078288C" w:rsidP="00AD3AD2">
      <w:r>
        <w:t>Section 3 provides further insights from stakeholders</w:t>
      </w:r>
      <w:r w:rsidR="00077F28">
        <w:t>,</w:t>
      </w:r>
      <w:r>
        <w:t xml:space="preserve"> which we have taken into consideration in developing the draft Scheme</w:t>
      </w:r>
      <w:r w:rsidR="00D51210">
        <w:t>.</w:t>
      </w:r>
    </w:p>
    <w:p w:rsidR="0052799E" w:rsidRDefault="00C4623B" w:rsidP="00C4623B">
      <w:pPr>
        <w:pStyle w:val="Heading2"/>
      </w:pPr>
      <w:bookmarkStart w:id="21" w:name="_Toc491447233"/>
      <w:r>
        <w:t>Demand management in networks</w:t>
      </w:r>
      <w:bookmarkEnd w:id="21"/>
    </w:p>
    <w:p w:rsidR="00F324A7" w:rsidRDefault="004723A9" w:rsidP="00EB22C0">
      <w:r>
        <w:t>The Scheme O</w:t>
      </w:r>
      <w:r w:rsidR="00EB22C0" w:rsidRPr="00EB22C0">
        <w:t xml:space="preserve">bjective </w:t>
      </w:r>
      <w:r w:rsidR="00EB22C0">
        <w:t>is to incentivise</w:t>
      </w:r>
      <w:r w:rsidR="00EB22C0" w:rsidRPr="00EB22C0">
        <w:t xml:space="preserve"> distributors to undertake efficient expenditure on relevant non-network options</w:t>
      </w:r>
      <w:r w:rsidR="00EB22C0">
        <w:t xml:space="preserve"> relating to demand management. </w:t>
      </w:r>
      <w:r w:rsidR="00CB3465">
        <w:t>In this context</w:t>
      </w:r>
      <w:r w:rsidR="00EB22C0">
        <w:t xml:space="preserve">, we </w:t>
      </w:r>
      <w:r w:rsidR="00794DC4">
        <w:t xml:space="preserve">consider </w:t>
      </w:r>
      <w:r w:rsidR="00EB22C0">
        <w:t xml:space="preserve">'demand management' </w:t>
      </w:r>
      <w:r w:rsidR="00794DC4">
        <w:t xml:space="preserve">relates </w:t>
      </w:r>
      <w:r w:rsidR="00EB22C0">
        <w:t xml:space="preserve">specifically </w:t>
      </w:r>
      <w:r w:rsidR="00794DC4">
        <w:t>t</w:t>
      </w:r>
      <w:r w:rsidR="00EB22C0">
        <w:t xml:space="preserve">o </w:t>
      </w:r>
      <w:r w:rsidR="00794DC4">
        <w:t xml:space="preserve">managing demand on </w:t>
      </w:r>
      <w:r w:rsidR="00EB22C0">
        <w:t>electricity networks</w:t>
      </w:r>
      <w:r w:rsidR="00EB22C0" w:rsidRPr="00EB22C0">
        <w:t>.</w:t>
      </w:r>
      <w:r w:rsidR="00794DC4">
        <w:t xml:space="preserve"> We define electricity network demand management as the </w:t>
      </w:r>
      <w:r w:rsidR="00EB22C0" w:rsidRPr="00EB22C0">
        <w:t xml:space="preserve">act of modifying the drivers of network </w:t>
      </w:r>
      <w:r w:rsidR="00C13759">
        <w:t xml:space="preserve">demand </w:t>
      </w:r>
      <w:r w:rsidR="00EB22C0" w:rsidRPr="00EB22C0">
        <w:t>to remove a network constraint.</w:t>
      </w:r>
    </w:p>
    <w:p w:rsidR="00F324A7" w:rsidRDefault="00F324A7" w:rsidP="008C5907">
      <w:r>
        <w:t>This definition recognises that demand management need not be specific to removing</w:t>
      </w:r>
      <w:r w:rsidRPr="00EC4685">
        <w:t xml:space="preserve"> network constraint</w:t>
      </w:r>
      <w:r>
        <w:t xml:space="preserve">s </w:t>
      </w:r>
      <w:r w:rsidRPr="00EC4685">
        <w:rPr>
          <w:rStyle w:val="AERtextitalic"/>
        </w:rPr>
        <w:t>at peak</w:t>
      </w:r>
      <w:r>
        <w:t>. Rather, distributors can get value out of using demand management to remove network constraints driven by:</w:t>
      </w:r>
    </w:p>
    <w:p w:rsidR="00F324A7" w:rsidRDefault="00CC1666" w:rsidP="00F324A7">
      <w:pPr>
        <w:pStyle w:val="AERbulletlistfirststyle"/>
      </w:pPr>
      <w:r>
        <w:t>peak demand;</w:t>
      </w:r>
    </w:p>
    <w:p w:rsidR="00F324A7" w:rsidRDefault="00CC1666" w:rsidP="00F324A7">
      <w:pPr>
        <w:pStyle w:val="AERbulletlistfirststyle"/>
      </w:pPr>
      <w:r>
        <w:t xml:space="preserve">aging assets and </w:t>
      </w:r>
      <w:r w:rsidR="00F324A7" w:rsidRPr="006B35B6">
        <w:t>risks associated with equipment failure</w:t>
      </w:r>
      <w:r>
        <w:t>;</w:t>
      </w:r>
    </w:p>
    <w:p w:rsidR="00F324A7" w:rsidRDefault="00F324A7" w:rsidP="00F324A7">
      <w:pPr>
        <w:pStyle w:val="AERbulletlistfirststyle"/>
      </w:pPr>
      <w:r>
        <w:t xml:space="preserve">minimum demand and associated issues with voltage, system frequencies </w:t>
      </w:r>
      <w:r w:rsidR="00CC1666">
        <w:t>and power quality management; and</w:t>
      </w:r>
    </w:p>
    <w:p w:rsidR="00EB22C0" w:rsidRDefault="00CC1666" w:rsidP="00EB22C0">
      <w:pPr>
        <w:pStyle w:val="AERbulletlistfirststyle"/>
      </w:pPr>
      <w:r>
        <w:t xml:space="preserve">the need to manage diverse power flows and </w:t>
      </w:r>
      <w:r w:rsidR="00F324A7" w:rsidRPr="009817B7">
        <w:t>system security</w:t>
      </w:r>
      <w:r>
        <w:t xml:space="preserve"> issues.</w:t>
      </w:r>
    </w:p>
    <w:p w:rsidR="00CC1666" w:rsidRDefault="00CC1666" w:rsidP="008C5907">
      <w:pPr>
        <w:pStyle w:val="Heading3"/>
      </w:pPr>
      <w:bookmarkStart w:id="22" w:name="_Toc491447234"/>
      <w:r>
        <w:t>Demand management and peak demand</w:t>
      </w:r>
      <w:bookmarkEnd w:id="22"/>
    </w:p>
    <w:p w:rsidR="00EB22C0" w:rsidRDefault="00794DC4" w:rsidP="00EB22C0">
      <w:pPr>
        <w:rPr>
          <w:rStyle w:val="AERbody"/>
        </w:rPr>
      </w:pPr>
      <w:r>
        <w:t>While distributors build n</w:t>
      </w:r>
      <w:r w:rsidR="00EB22C0">
        <w:t xml:space="preserve">etworks </w:t>
      </w:r>
      <w:r>
        <w:t xml:space="preserve">to meet peak demand, they </w:t>
      </w:r>
      <w:r w:rsidR="00EB22C0">
        <w:t xml:space="preserve">only hit their peak for a limited time in the year. At all other times, the network is underutilised. For example, </w:t>
      </w:r>
      <w:r w:rsidR="00EB22C0">
        <w:rPr>
          <w:rStyle w:val="AERbody"/>
        </w:rPr>
        <w:fldChar w:fldCharType="begin"/>
      </w:r>
      <w:r w:rsidR="00EB22C0">
        <w:rPr>
          <w:rStyle w:val="AERbody"/>
        </w:rPr>
        <w:instrText xml:space="preserve"> REF _Ref468964107 \h </w:instrText>
      </w:r>
      <w:r w:rsidR="00EB22C0">
        <w:rPr>
          <w:rStyle w:val="AERbody"/>
        </w:rPr>
      </w:r>
      <w:r w:rsidR="00EB22C0">
        <w:rPr>
          <w:rStyle w:val="AERbody"/>
        </w:rPr>
        <w:fldChar w:fldCharType="separate"/>
      </w:r>
      <w:r w:rsidR="0076296B">
        <w:t xml:space="preserve">Figure </w:t>
      </w:r>
      <w:r w:rsidR="0076296B">
        <w:rPr>
          <w:noProof/>
        </w:rPr>
        <w:t>2</w:t>
      </w:r>
      <w:r w:rsidR="00EB22C0">
        <w:rPr>
          <w:rStyle w:val="AERbody"/>
        </w:rPr>
        <w:fldChar w:fldCharType="end"/>
      </w:r>
      <w:r w:rsidR="00EB22C0">
        <w:rPr>
          <w:rStyle w:val="AERbody"/>
        </w:rPr>
        <w:t xml:space="preserve"> illustrates a typical load duration curve for a distributor, using Powercor in 2015 as an example. This</w:t>
      </w:r>
      <w:r w:rsidR="00CB3465" w:rsidRPr="00CB3465">
        <w:rPr>
          <w:rStyle w:val="AERbody"/>
        </w:rPr>
        <w:t xml:space="preserve"> load duration curve</w:t>
      </w:r>
      <w:r w:rsidR="00EB22C0">
        <w:rPr>
          <w:rStyle w:val="AERbody"/>
        </w:rPr>
        <w:t xml:space="preserve"> </w:t>
      </w:r>
      <w:r w:rsidR="00CB3465">
        <w:rPr>
          <w:rStyle w:val="AERbody"/>
        </w:rPr>
        <w:t>shows</w:t>
      </w:r>
      <w:r w:rsidR="00EB22C0">
        <w:rPr>
          <w:rStyle w:val="AERbody"/>
        </w:rPr>
        <w:t xml:space="preserve"> that while demand in Powercor's distribution network reached well over 2,000 MW</w:t>
      </w:r>
      <w:r w:rsidR="00EB22C0" w:rsidRPr="00DB5CE9">
        <w:rPr>
          <w:rStyle w:val="AERbody"/>
        </w:rPr>
        <w:t xml:space="preserve"> in 2015</w:t>
      </w:r>
      <w:r w:rsidR="00EB22C0">
        <w:rPr>
          <w:rStyle w:val="AERbody"/>
        </w:rPr>
        <w:t>, it was only at that level for a few hours in that year.</w:t>
      </w:r>
    </w:p>
    <w:p w:rsidR="00EB22C0" w:rsidRPr="00FF670E" w:rsidRDefault="00EB22C0" w:rsidP="00EB22C0">
      <w:pPr>
        <w:pStyle w:val="Caption"/>
        <w:rPr>
          <w:rStyle w:val="AERbody"/>
        </w:rPr>
      </w:pPr>
      <w:bookmarkStart w:id="23" w:name="_Ref468964107"/>
      <w:r>
        <w:lastRenderedPageBreak/>
        <w:t xml:space="preserve">Figure </w:t>
      </w:r>
      <w:r w:rsidRPr="00EB22C0">
        <w:fldChar w:fldCharType="begin"/>
      </w:r>
      <w:r>
        <w:instrText xml:space="preserve"> SEQ Figure \* ARABIC </w:instrText>
      </w:r>
      <w:r w:rsidRPr="00EB22C0">
        <w:fldChar w:fldCharType="separate"/>
      </w:r>
      <w:r w:rsidR="0076296B">
        <w:rPr>
          <w:noProof/>
        </w:rPr>
        <w:t>2</w:t>
      </w:r>
      <w:r w:rsidRPr="00EB22C0">
        <w:fldChar w:fldCharType="end"/>
      </w:r>
      <w:bookmarkEnd w:id="23"/>
      <w:r>
        <w:t>: Example of a load duration curve</w:t>
      </w:r>
    </w:p>
    <w:p w:rsidR="00EB22C0" w:rsidRPr="007549AA" w:rsidRDefault="00EB22C0" w:rsidP="00EB22C0">
      <w:r w:rsidRPr="00EB22C0">
        <w:rPr>
          <w:noProof/>
          <w:lang w:eastAsia="en-AU"/>
        </w:rPr>
        <w:drawing>
          <wp:inline distT="0" distB="0" distL="0" distR="0" wp14:anchorId="34B3AAFA" wp14:editId="6BB3047F">
            <wp:extent cx="5381625" cy="327570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7029"/>
                    <a:stretch/>
                  </pic:blipFill>
                  <pic:spPr bwMode="auto">
                    <a:xfrm>
                      <a:off x="0" y="0"/>
                      <a:ext cx="5382895" cy="3276478"/>
                    </a:xfrm>
                    <a:prstGeom prst="rect">
                      <a:avLst/>
                    </a:prstGeom>
                    <a:ln>
                      <a:noFill/>
                    </a:ln>
                    <a:extLst>
                      <a:ext uri="{53640926-AAD7-44D8-BBD7-CCE9431645EC}">
                        <a14:shadowObscured xmlns:a14="http://schemas.microsoft.com/office/drawing/2010/main"/>
                      </a:ext>
                    </a:extLst>
                  </pic:spPr>
                </pic:pic>
              </a:graphicData>
            </a:graphic>
          </wp:inline>
        </w:drawing>
      </w:r>
    </w:p>
    <w:p w:rsidR="00EB22C0" w:rsidRDefault="00EB22C0" w:rsidP="00EB22C0">
      <w:pPr>
        <w:pStyle w:val="AERtablesource"/>
      </w:pPr>
      <w:r>
        <w:t xml:space="preserve">Source: CitiPower/Powercor, </w:t>
      </w:r>
      <w:r w:rsidRPr="00FF670E">
        <w:rPr>
          <w:rStyle w:val="AERtextitalic"/>
        </w:rPr>
        <w:t>Demand side engagement strategy</w:t>
      </w:r>
      <w:r>
        <w:t>, 25 July 2016, v.2.0, Figure 3.2.</w:t>
      </w:r>
    </w:p>
    <w:p w:rsidR="00EB22C0" w:rsidRDefault="00EB22C0" w:rsidP="00EB22C0">
      <w:r>
        <w:t>Demand management can reduce or shift the peak and provide a less costly alternative to network investment. Distributors can shift or reduce consumer demand through various methods, such as providing financial incentives to encourage behavioural change, providing local generation support or physically controlling electricity usage.</w:t>
      </w:r>
    </w:p>
    <w:p w:rsidR="008C5907" w:rsidRDefault="008C5907" w:rsidP="00EB22C0">
      <w:r>
        <w:fldChar w:fldCharType="begin"/>
      </w:r>
      <w:r>
        <w:instrText xml:space="preserve"> REF _Ref463959308 \h </w:instrText>
      </w:r>
      <w:r>
        <w:fldChar w:fldCharType="separate"/>
      </w:r>
      <w:r w:rsidR="0076296B">
        <w:t xml:space="preserve">Figure </w:t>
      </w:r>
      <w:r w:rsidR="0076296B">
        <w:rPr>
          <w:noProof/>
        </w:rPr>
        <w:t>3</w:t>
      </w:r>
      <w:r>
        <w:fldChar w:fldCharType="end"/>
      </w:r>
      <w:r>
        <w:t xml:space="preserve"> highlights</w:t>
      </w:r>
      <w:r w:rsidRPr="00E06A15">
        <w:t xml:space="preserve"> th</w:t>
      </w:r>
      <w:r>
        <w:t>ree major demand management approaches:</w:t>
      </w:r>
    </w:p>
    <w:p w:rsidR="008C5907" w:rsidRDefault="008C5907" w:rsidP="008C5907">
      <w:pPr>
        <w:pStyle w:val="AERbulletlistfirststyle"/>
      </w:pPr>
      <w:r>
        <w:t xml:space="preserve">'Peak shaving', which </w:t>
      </w:r>
      <w:r w:rsidR="00A35703">
        <w:t>entails</w:t>
      </w:r>
      <w:r w:rsidR="00A35703" w:rsidRPr="00E06A15">
        <w:t xml:space="preserve"> </w:t>
      </w:r>
      <w:r w:rsidR="00A35703">
        <w:t>reducing</w:t>
      </w:r>
      <w:r w:rsidR="00A35703" w:rsidRPr="00E06A15">
        <w:t xml:space="preserve"> </w:t>
      </w:r>
      <w:r w:rsidR="00A35703">
        <w:t xml:space="preserve">demand </w:t>
      </w:r>
      <w:r w:rsidR="00A35703" w:rsidRPr="00E06A15">
        <w:t>at peak</w:t>
      </w:r>
      <w:r w:rsidR="00A35703">
        <w:t xml:space="preserve"> periods</w:t>
      </w:r>
      <w:r>
        <w:t>.</w:t>
      </w:r>
    </w:p>
    <w:p w:rsidR="008C5907" w:rsidRDefault="008C5907" w:rsidP="008C5907">
      <w:pPr>
        <w:pStyle w:val="AERbulletlistfirststyle"/>
      </w:pPr>
      <w:r>
        <w:t xml:space="preserve">'Load shifting', which </w:t>
      </w:r>
      <w:r w:rsidR="00A35703">
        <w:t>entails shifting</w:t>
      </w:r>
      <w:r w:rsidR="00A35703" w:rsidRPr="00E06A15">
        <w:t xml:space="preserve"> </w:t>
      </w:r>
      <w:r w:rsidR="00A35703">
        <w:t>demand</w:t>
      </w:r>
      <w:r w:rsidR="00A35703" w:rsidRPr="00E06A15">
        <w:t xml:space="preserve"> to other times of the day</w:t>
      </w:r>
      <w:r w:rsidR="00A35703" w:rsidRPr="00935B66">
        <w:t xml:space="preserve"> </w:t>
      </w:r>
      <w:r w:rsidR="00A35703">
        <w:t xml:space="preserve">when networks are less constrained, but </w:t>
      </w:r>
      <w:r>
        <w:t>can be broader than managing demand at peak</w:t>
      </w:r>
      <w:r w:rsidR="00CB3465">
        <w:t xml:space="preserve"> (for example, it could </w:t>
      </w:r>
      <w:r>
        <w:t>also address minimum demand issues</w:t>
      </w:r>
      <w:r w:rsidR="00CB3465">
        <w:t>)</w:t>
      </w:r>
      <w:r>
        <w:t>.</w:t>
      </w:r>
    </w:p>
    <w:p w:rsidR="008C5907" w:rsidRDefault="008C5907" w:rsidP="008C5907">
      <w:pPr>
        <w:pStyle w:val="AERbulletlistfirststyle"/>
      </w:pPr>
      <w:r>
        <w:t>'Broad-based load reduction', which is also referred to as 'demand improvement' or 'energy efficiency'.</w:t>
      </w:r>
      <w:r w:rsidR="00A35703" w:rsidRPr="00A35703">
        <w:t xml:space="preserve"> </w:t>
      </w:r>
      <w:r w:rsidR="00A35703">
        <w:t>At constrained parts of the network, distributors might use these measures to manage demand.</w:t>
      </w:r>
    </w:p>
    <w:p w:rsidR="00EB22C0" w:rsidRDefault="00EB22C0" w:rsidP="00EB22C0">
      <w:pPr>
        <w:pStyle w:val="Caption"/>
      </w:pPr>
      <w:bookmarkStart w:id="24" w:name="_Ref463959308"/>
      <w:r>
        <w:lastRenderedPageBreak/>
        <w:t xml:space="preserve">Figure </w:t>
      </w:r>
      <w:r w:rsidRPr="00EB22C0">
        <w:fldChar w:fldCharType="begin"/>
      </w:r>
      <w:r>
        <w:instrText xml:space="preserve"> SEQ Figure \* ARABIC </w:instrText>
      </w:r>
      <w:r w:rsidRPr="00EB22C0">
        <w:fldChar w:fldCharType="separate"/>
      </w:r>
      <w:r w:rsidR="0076296B">
        <w:rPr>
          <w:noProof/>
        </w:rPr>
        <w:t>3</w:t>
      </w:r>
      <w:r w:rsidRPr="00EB22C0">
        <w:fldChar w:fldCharType="end"/>
      </w:r>
      <w:bookmarkEnd w:id="24"/>
      <w:r w:rsidR="00576C2D">
        <w:t>: Some d</w:t>
      </w:r>
      <w:r>
        <w:t>emand management approaches</w:t>
      </w:r>
    </w:p>
    <w:p w:rsidR="00EB22C0" w:rsidRDefault="00EB22C0" w:rsidP="00EB22C0">
      <w:r w:rsidRPr="00EB22C0">
        <w:rPr>
          <w:noProof/>
          <w:lang w:eastAsia="en-AU"/>
        </w:rPr>
        <w:drawing>
          <wp:inline distT="0" distB="0" distL="0" distR="0" wp14:anchorId="4DC06782" wp14:editId="694FCB4D">
            <wp:extent cx="4552950" cy="411169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52950" cy="4111695"/>
                    </a:xfrm>
                    <a:prstGeom prst="rect">
                      <a:avLst/>
                    </a:prstGeom>
                  </pic:spPr>
                </pic:pic>
              </a:graphicData>
            </a:graphic>
          </wp:inline>
        </w:drawing>
      </w:r>
      <w:r w:rsidRPr="00183AD6">
        <w:t xml:space="preserve"> </w:t>
      </w:r>
    </w:p>
    <w:p w:rsidR="00EB22C0" w:rsidRDefault="00EB22C0" w:rsidP="00C4623B">
      <w:r>
        <w:t xml:space="preserve">These approaches will typically be implemented </w:t>
      </w:r>
      <w:r w:rsidR="004D4D99">
        <w:t>by</w:t>
      </w:r>
      <w:r>
        <w:t xml:space="preserve"> an end-user</w:t>
      </w:r>
      <w:r w:rsidRPr="00602CC8">
        <w:t xml:space="preserve"> </w:t>
      </w:r>
      <w:r>
        <w:t xml:space="preserve">in practice. </w:t>
      </w:r>
      <w:r w:rsidR="004D4D99">
        <w:t>To exemplify the differences, d</w:t>
      </w:r>
      <w:r>
        <w:t>irect load control of air conditioning will have a peak-shaving impact, whereas high-efficiency air conditioners will reduce energy consumption whenever the air conditioner is operating.</w:t>
      </w:r>
    </w:p>
    <w:p w:rsidR="00CC1666" w:rsidRDefault="00CC1666" w:rsidP="00CC1666">
      <w:pPr>
        <w:pStyle w:val="Heading3"/>
      </w:pPr>
      <w:bookmarkStart w:id="25" w:name="_Toc491447235"/>
      <w:r>
        <w:t>Emerging uses for d</w:t>
      </w:r>
      <w:r w:rsidRPr="00CC1666">
        <w:t>emand management</w:t>
      </w:r>
      <w:bookmarkEnd w:id="25"/>
    </w:p>
    <w:p w:rsidR="0095185B" w:rsidRDefault="004C3C9F" w:rsidP="0095185B">
      <w:r>
        <w:t>Over the past few years,</w:t>
      </w:r>
      <w:r w:rsidR="0095185B">
        <w:t xml:space="preserve"> network demand has flattened and em</w:t>
      </w:r>
      <w:r>
        <w:t>bedded generation ha</w:t>
      </w:r>
      <w:r w:rsidR="004D4D99">
        <w:t>s</w:t>
      </w:r>
      <w:r>
        <w:t xml:space="preserve"> increased. As a result,</w:t>
      </w:r>
      <w:r w:rsidR="0095185B">
        <w:t xml:space="preserve"> peak demand has become</w:t>
      </w:r>
      <w:r w:rsidR="00AE361F">
        <w:t xml:space="preserve"> a</w:t>
      </w:r>
      <w:r w:rsidR="0095185B">
        <w:t xml:space="preserve"> less </w:t>
      </w:r>
      <w:r w:rsidR="00AE361F">
        <w:t xml:space="preserve">widespread </w:t>
      </w:r>
      <w:r w:rsidR="0095185B">
        <w:t>issue</w:t>
      </w:r>
      <w:r w:rsidR="00AE361F">
        <w:t>, typically only causing network constraints in certain geographic regions</w:t>
      </w:r>
      <w:r w:rsidR="0095185B">
        <w:t xml:space="preserve">. Meanwhile, voltage and power quality issues </w:t>
      </w:r>
      <w:r w:rsidR="00AE361F">
        <w:t>have been becoming more common</w:t>
      </w:r>
      <w:r w:rsidR="0095185B">
        <w:t>. Given this, peak demand reduction has been becoming a smaller part of demand management. For example:</w:t>
      </w:r>
    </w:p>
    <w:p w:rsidR="0095185B" w:rsidRDefault="00E63E52" w:rsidP="0095185B">
      <w:pPr>
        <w:pStyle w:val="AERbulletlistfirststyle"/>
      </w:pPr>
      <w:r>
        <w:t>Some networks rarely face peak demand issues, but have aging assets and a need for redundancy support. In such instances,</w:t>
      </w:r>
      <w:r w:rsidR="0095185B">
        <w:t xml:space="preserve"> demand management can</w:t>
      </w:r>
      <w:r w:rsidR="0095185B" w:rsidRPr="006B35B6">
        <w:t xml:space="preserve"> </w:t>
      </w:r>
      <w:r w:rsidR="0095185B">
        <w:t>address</w:t>
      </w:r>
      <w:r w:rsidR="0095185B" w:rsidRPr="006B35B6">
        <w:t xml:space="preserve"> risks associated with equipment failure</w:t>
      </w:r>
      <w:r w:rsidR="0095185B">
        <w:t xml:space="preserve">, and </w:t>
      </w:r>
      <w:r>
        <w:t xml:space="preserve">can </w:t>
      </w:r>
      <w:r w:rsidR="0095185B" w:rsidRPr="006B35B6">
        <w:t>defer the retirement</w:t>
      </w:r>
      <w:r w:rsidR="0095185B">
        <w:t xml:space="preserve"> or replacement of aging assets.</w:t>
      </w:r>
      <w:r w:rsidR="0095185B">
        <w:rPr>
          <w:rStyle w:val="FootnoteReference"/>
        </w:rPr>
        <w:footnoteReference w:id="16"/>
      </w:r>
    </w:p>
    <w:p w:rsidR="0095185B" w:rsidRDefault="00E63E52" w:rsidP="00E63E52">
      <w:pPr>
        <w:pStyle w:val="AERbulletlistfirststyle"/>
      </w:pPr>
      <w:r>
        <w:lastRenderedPageBreak/>
        <w:t>Where there are high levels of intermittent distributed generation, minimum demand can drive network constraints.</w:t>
      </w:r>
      <w:r w:rsidR="004216E7">
        <w:t xml:space="preserve"> </w:t>
      </w:r>
      <w:r>
        <w:t xml:space="preserve">For instance, minimum demand can create </w:t>
      </w:r>
      <w:r w:rsidR="0095185B">
        <w:t xml:space="preserve">technical challenges </w:t>
      </w:r>
      <w:r>
        <w:t>such as high voltage levels and system frequencies, as well as power quality issues</w:t>
      </w:r>
      <w:r w:rsidR="00F14CB4">
        <w:t xml:space="preserve"> from needing to</w:t>
      </w:r>
      <w:r w:rsidR="00F14CB4" w:rsidRPr="00F14CB4">
        <w:t xml:space="preserve"> </w:t>
      </w:r>
      <w:r w:rsidR="00F14CB4">
        <w:t>manage</w:t>
      </w:r>
      <w:r w:rsidR="00F14CB4" w:rsidRPr="009817B7">
        <w:t xml:space="preserve"> diverse power flows</w:t>
      </w:r>
      <w:r w:rsidR="0095185B">
        <w:t>.</w:t>
      </w:r>
      <w:r w:rsidR="0095185B">
        <w:rPr>
          <w:rStyle w:val="FootnoteReference"/>
        </w:rPr>
        <w:footnoteReference w:id="17"/>
      </w:r>
      <w:r w:rsidR="0095185B">
        <w:t xml:space="preserve"> </w:t>
      </w:r>
      <w:r w:rsidR="008C5907">
        <w:t xml:space="preserve">Minimum demand challenges are expected to become more </w:t>
      </w:r>
      <w:r w:rsidR="00416984">
        <w:t xml:space="preserve">frequent </w:t>
      </w:r>
      <w:r w:rsidR="004216E7">
        <w:t>over</w:t>
      </w:r>
      <w:r w:rsidR="00416984">
        <w:t xml:space="preserve"> </w:t>
      </w:r>
      <w:r w:rsidR="004216E7">
        <w:t>time. AEMO forecasts negative minimum demand in South Australia by 2027</w:t>
      </w:r>
      <w:r w:rsidR="004216E7" w:rsidRPr="004216E7">
        <w:t>–</w:t>
      </w:r>
      <w:r w:rsidR="00836A5B">
        <w:t xml:space="preserve">28, as it expects </w:t>
      </w:r>
      <w:r w:rsidR="004216E7">
        <w:t xml:space="preserve">rooftop </w:t>
      </w:r>
      <w:r w:rsidR="00836A5B">
        <w:t xml:space="preserve">PV will </w:t>
      </w:r>
      <w:r w:rsidR="004216E7">
        <w:t>exceed customer demand in some hours.</w:t>
      </w:r>
      <w:r w:rsidR="004216E7">
        <w:rPr>
          <w:rStyle w:val="FootnoteReference"/>
        </w:rPr>
        <w:footnoteReference w:id="18"/>
      </w:r>
    </w:p>
    <w:p w:rsidR="00F04B93" w:rsidRDefault="00F14CB4" w:rsidP="00F14CB4">
      <w:pPr>
        <w:pStyle w:val="AERbulletlistfirststyle"/>
      </w:pPr>
      <w:r>
        <w:t xml:space="preserve">It is no longer generally accepted that excess network capacity will eventually be met by peak demand growth. Rather, </w:t>
      </w:r>
      <w:r>
        <w:rPr>
          <w:rStyle w:val="AERbody"/>
        </w:rPr>
        <w:t>peak demand growth</w:t>
      </w:r>
      <w:r>
        <w:t xml:space="preserve"> is </w:t>
      </w:r>
      <w:r w:rsidR="00416984">
        <w:t xml:space="preserve">recognised as </w:t>
      </w:r>
      <w:r>
        <w:t>particularly difficult to forecast</w:t>
      </w:r>
      <w:r w:rsidR="00A2755B">
        <w:t xml:space="preserve"> (see </w:t>
      </w:r>
      <w:r w:rsidR="00A2755B">
        <w:fldChar w:fldCharType="begin"/>
      </w:r>
      <w:r w:rsidR="00A2755B">
        <w:instrText xml:space="preserve"> REF  _Ref488755565 \* Lower \h </w:instrText>
      </w:r>
      <w:r w:rsidR="00A2755B">
        <w:fldChar w:fldCharType="separate"/>
      </w:r>
      <w:r w:rsidR="0076296B">
        <w:t xml:space="preserve">figure </w:t>
      </w:r>
      <w:r w:rsidR="0076296B">
        <w:rPr>
          <w:noProof/>
        </w:rPr>
        <w:t>4</w:t>
      </w:r>
      <w:r w:rsidR="00A2755B">
        <w:fldChar w:fldCharType="end"/>
      </w:r>
      <w:r w:rsidR="00A2755B">
        <w:t>)</w:t>
      </w:r>
      <w:r w:rsidR="00BB1E71">
        <w:t>. D</w:t>
      </w:r>
      <w:r>
        <w:rPr>
          <w:rStyle w:val="AERbody"/>
        </w:rPr>
        <w:t xml:space="preserve">emand management options can be particularly valuable </w:t>
      </w:r>
      <w:r w:rsidR="00BB1E71">
        <w:rPr>
          <w:rStyle w:val="AERbody"/>
        </w:rPr>
        <w:t>when there are forecasting difficulties because</w:t>
      </w:r>
      <w:r>
        <w:rPr>
          <w:rStyle w:val="AERbody"/>
        </w:rPr>
        <w:t xml:space="preserve">, </w:t>
      </w:r>
      <w:r>
        <w:t>unlike network options, these tend not to lock in long-term irreversible investments. As such, these options can have considerable 'option value' or flexibility benefits.</w:t>
      </w:r>
      <w:r w:rsidR="0095185B">
        <w:rPr>
          <w:rStyle w:val="FootnoteReference"/>
        </w:rPr>
        <w:footnoteReference w:id="19"/>
      </w:r>
    </w:p>
    <w:p w:rsidR="00A2755B" w:rsidRDefault="00A2755B" w:rsidP="00A2755B">
      <w:pPr>
        <w:pStyle w:val="Caption"/>
      </w:pPr>
      <w:bookmarkStart w:id="26" w:name="_Ref488755565"/>
      <w:r>
        <w:t xml:space="preserve">Figure </w:t>
      </w:r>
      <w:r w:rsidR="0076296B">
        <w:fldChar w:fldCharType="begin"/>
      </w:r>
      <w:r w:rsidR="0076296B">
        <w:instrText xml:space="preserve"> SEQ Figure \* ARABIC </w:instrText>
      </w:r>
      <w:r w:rsidR="0076296B">
        <w:fldChar w:fldCharType="separate"/>
      </w:r>
      <w:r w:rsidR="0076296B">
        <w:rPr>
          <w:noProof/>
        </w:rPr>
        <w:t>4</w:t>
      </w:r>
      <w:r w:rsidR="0076296B">
        <w:rPr>
          <w:noProof/>
        </w:rPr>
        <w:fldChar w:fldCharType="end"/>
      </w:r>
      <w:bookmarkEnd w:id="26"/>
      <w:r>
        <w:t>: Comparison of strong, neutral and weak scenario forecasts</w:t>
      </w:r>
    </w:p>
    <w:p w:rsidR="00A2755B" w:rsidRDefault="00A2755B" w:rsidP="00A2755B">
      <w:pPr>
        <w:pStyle w:val="AERbulletlistfirststyle"/>
        <w:numPr>
          <w:ilvl w:val="0"/>
          <w:numId w:val="0"/>
        </w:numPr>
      </w:pPr>
      <w:r w:rsidRPr="00A2755B">
        <w:rPr>
          <w:noProof/>
          <w:lang w:eastAsia="en-AU"/>
        </w:rPr>
        <w:drawing>
          <wp:inline distT="0" distB="0" distL="0" distR="0" wp14:anchorId="35374A73" wp14:editId="252FF2D3">
            <wp:extent cx="5455341" cy="26741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923" t="6832"/>
                    <a:stretch/>
                  </pic:blipFill>
                  <pic:spPr bwMode="auto">
                    <a:xfrm>
                      <a:off x="0" y="0"/>
                      <a:ext cx="5455356" cy="2674195"/>
                    </a:xfrm>
                    <a:prstGeom prst="rect">
                      <a:avLst/>
                    </a:prstGeom>
                    <a:ln>
                      <a:noFill/>
                    </a:ln>
                    <a:extLst>
                      <a:ext uri="{53640926-AAD7-44D8-BBD7-CCE9431645EC}">
                        <a14:shadowObscured xmlns:a14="http://schemas.microsoft.com/office/drawing/2010/main"/>
                      </a:ext>
                    </a:extLst>
                  </pic:spPr>
                </pic:pic>
              </a:graphicData>
            </a:graphic>
          </wp:inline>
        </w:drawing>
      </w:r>
    </w:p>
    <w:p w:rsidR="00A2755B" w:rsidRDefault="00A2755B" w:rsidP="00A2755B">
      <w:pPr>
        <w:pStyle w:val="AERtablesource"/>
      </w:pPr>
      <w:r>
        <w:t xml:space="preserve">Source, AEMO, </w:t>
      </w:r>
      <w:r w:rsidRPr="00A2755B">
        <w:rPr>
          <w:rStyle w:val="AERtextitalic"/>
        </w:rPr>
        <w:t>Electricity forecasting insights for the NEM</w:t>
      </w:r>
      <w:r>
        <w:t>, June 2017, Figure 2.</w:t>
      </w:r>
    </w:p>
    <w:p w:rsidR="00F04B93" w:rsidRPr="00F04B93" w:rsidRDefault="00F04B93" w:rsidP="00F14CB4">
      <w:pPr>
        <w:pStyle w:val="Heading3"/>
      </w:pPr>
      <w:bookmarkStart w:id="27" w:name="_Toc491447236"/>
      <w:r>
        <w:t>Network demand management and other parties</w:t>
      </w:r>
      <w:bookmarkEnd w:id="27"/>
    </w:p>
    <w:p w:rsidR="000D3CB3" w:rsidRPr="000D3CB3" w:rsidRDefault="000D3CB3" w:rsidP="000D3CB3">
      <w:r w:rsidRPr="000D3CB3">
        <w:t xml:space="preserve">The draft Scheme </w:t>
      </w:r>
      <w:r>
        <w:t xml:space="preserve">is neutral towards whether a </w:t>
      </w:r>
      <w:r w:rsidRPr="000D3CB3">
        <w:t>d</w:t>
      </w:r>
      <w:r>
        <w:t>istributor</w:t>
      </w:r>
      <w:r w:rsidRPr="000D3CB3">
        <w:t xml:space="preserve"> provide</w:t>
      </w:r>
      <w:r>
        <w:t>s</w:t>
      </w:r>
      <w:r w:rsidRPr="000D3CB3">
        <w:t xml:space="preserve"> the demand management component of an eligible project in-house</w:t>
      </w:r>
      <w:r>
        <w:t>,</w:t>
      </w:r>
      <w:r w:rsidRPr="000D3CB3">
        <w:t xml:space="preserve"> </w:t>
      </w:r>
      <w:r>
        <w:t>as long as the in-house option is both</w:t>
      </w:r>
      <w:r w:rsidRPr="000D3CB3">
        <w:t>:</w:t>
      </w:r>
    </w:p>
    <w:p w:rsidR="000D3CB3" w:rsidRPr="000D3CB3" w:rsidRDefault="00936D42" w:rsidP="000D3CB3">
      <w:pPr>
        <w:pStyle w:val="AERbulletlistfirststyle"/>
      </w:pPr>
      <w:r>
        <w:lastRenderedPageBreak/>
        <w:t>P</w:t>
      </w:r>
      <w:r w:rsidR="000D3CB3" w:rsidRPr="000D3CB3">
        <w:t>ermitted under other regulatory</w:t>
      </w:r>
      <w:r w:rsidR="000D3CB3">
        <w:t xml:space="preserve"> requirements</w:t>
      </w:r>
      <w:r>
        <w:t xml:space="preserve">. </w:t>
      </w:r>
      <w:r w:rsidR="00CB3465">
        <w:t>For instance, the</w:t>
      </w:r>
      <w:r w:rsidRPr="00936D42">
        <w:t xml:space="preserve"> national ring-fencing guideline requires distributors to implement </w:t>
      </w:r>
      <w:r w:rsidR="001353EC">
        <w:t>ring fencing arrangements</w:t>
      </w:r>
      <w:r w:rsidRPr="00936D42">
        <w:t xml:space="preserve"> between direct control services and other (negotiated and unclassified/unregulated) distribution services.</w:t>
      </w:r>
      <w:r w:rsidRPr="00936D42">
        <w:rPr>
          <w:rStyle w:val="FootnoteReference"/>
        </w:rPr>
        <w:footnoteReference w:id="20"/>
      </w:r>
      <w:r>
        <w:t xml:space="preserve"> </w:t>
      </w:r>
      <w:r w:rsidR="00CB3465">
        <w:t>O</w:t>
      </w:r>
      <w:r w:rsidR="00816F0E">
        <w:t xml:space="preserve">ther or </w:t>
      </w:r>
      <w:r>
        <w:t xml:space="preserve">future </w:t>
      </w:r>
      <w:r w:rsidRPr="00936D42">
        <w:t xml:space="preserve">rules may </w:t>
      </w:r>
      <w:r w:rsidR="00D00092">
        <w:t>also narrow</w:t>
      </w:r>
      <w:r w:rsidR="00D00092" w:rsidRPr="00936D42">
        <w:t xml:space="preserve"> </w:t>
      </w:r>
      <w:r w:rsidRPr="00936D42">
        <w:t xml:space="preserve">the scope of </w:t>
      </w:r>
      <w:r w:rsidR="00D00092">
        <w:t xml:space="preserve">demand management </w:t>
      </w:r>
      <w:r w:rsidRPr="00936D42">
        <w:t>activi</w:t>
      </w:r>
      <w:r>
        <w:t>ties distributors can undertake</w:t>
      </w:r>
      <w:r w:rsidRPr="00936D42">
        <w:t>.</w:t>
      </w:r>
      <w:r w:rsidRPr="00936D42">
        <w:rPr>
          <w:rStyle w:val="FootnoteReference"/>
        </w:rPr>
        <w:footnoteReference w:id="21"/>
      </w:r>
    </w:p>
    <w:p w:rsidR="000D3CB3" w:rsidRPr="000D3CB3" w:rsidRDefault="00936D42" w:rsidP="000D3CB3">
      <w:pPr>
        <w:pStyle w:val="AERbulletlistfirststyle"/>
      </w:pPr>
      <w:r>
        <w:t>M</w:t>
      </w:r>
      <w:r w:rsidR="000D3CB3" w:rsidRPr="000D3CB3">
        <w:t>aximi</w:t>
      </w:r>
      <w:r w:rsidR="00EB11CF">
        <w:t>sing</w:t>
      </w:r>
      <w:r w:rsidR="000D3CB3" w:rsidRPr="000D3CB3">
        <w:t xml:space="preserve"> the expected net benefit of the preferred option.</w:t>
      </w:r>
      <w:r>
        <w:t xml:space="preserve"> We propose that any eligible project under the Scheme must </w:t>
      </w:r>
      <w:r w:rsidR="00CB3465">
        <w:t>have the highe</w:t>
      </w:r>
      <w:r w:rsidR="00C26AD1">
        <w:t xml:space="preserve">st expected net benefit across the relevant market, which will often be the </w:t>
      </w:r>
      <w:r w:rsidR="00CB3465">
        <w:t>NEM</w:t>
      </w:r>
      <w:r>
        <w:t>.</w:t>
      </w:r>
      <w:r w:rsidR="00C26AD1" w:rsidRPr="00C26AD1">
        <w:rPr>
          <w:rStyle w:val="FootnoteReference"/>
        </w:rPr>
        <w:footnoteReference w:id="22"/>
      </w:r>
      <w:r>
        <w:t xml:space="preserve"> </w:t>
      </w:r>
      <w:r w:rsidR="00CB3465">
        <w:t>In achieving this, the</w:t>
      </w:r>
      <w:r>
        <w:t xml:space="preserve"> </w:t>
      </w:r>
      <w:r w:rsidR="00CB3465">
        <w:t>Scheme should promote</w:t>
      </w:r>
      <w:r>
        <w:t xml:space="preserve"> efficient outcomes</w:t>
      </w:r>
      <w:r w:rsidR="00CB3465">
        <w:t xml:space="preserve"> that</w:t>
      </w:r>
      <w:r>
        <w:t xml:space="preserve"> reduce electricity prices in the long term, </w:t>
      </w:r>
      <w:r w:rsidRPr="00936D42">
        <w:t>all else</w:t>
      </w:r>
      <w:r>
        <w:t xml:space="preserve"> being equal.</w:t>
      </w:r>
    </w:p>
    <w:p w:rsidR="00575121" w:rsidRDefault="00936D42" w:rsidP="003F0AC8">
      <w:r>
        <w:t>Nevertheless, we anticipate that</w:t>
      </w:r>
      <w:r w:rsidR="003F0AC8" w:rsidRPr="003F0AC8">
        <w:t xml:space="preserve"> a third party</w:t>
      </w:r>
      <w:r w:rsidR="00DC6BEA">
        <w:t xml:space="preserve"> demand management provider</w:t>
      </w:r>
      <w:r w:rsidR="003F0AC8">
        <w:t xml:space="preserve"> or a</w:t>
      </w:r>
      <w:r w:rsidR="003F0AC8" w:rsidRPr="003F0AC8">
        <w:t xml:space="preserve"> ring-fenced entity</w:t>
      </w:r>
      <w:r w:rsidR="00DC6BEA">
        <w:t xml:space="preserve"> (</w:t>
      </w:r>
      <w:r w:rsidR="00D507BB">
        <w:t xml:space="preserve">acting </w:t>
      </w:r>
      <w:r w:rsidR="00DC6BEA">
        <w:t>as a demand management provider)</w:t>
      </w:r>
      <w:r w:rsidR="003F0AC8" w:rsidRPr="003F0AC8">
        <w:t xml:space="preserve"> </w:t>
      </w:r>
      <w:r w:rsidR="003F0AC8">
        <w:t xml:space="preserve">will typically provide </w:t>
      </w:r>
      <w:r>
        <w:t xml:space="preserve">the </w:t>
      </w:r>
      <w:r w:rsidRPr="00936D42">
        <w:t>demand management component of an eligible project</w:t>
      </w:r>
      <w:r>
        <w:t>.</w:t>
      </w:r>
      <w:r w:rsidR="00DC6BEA" w:rsidRPr="00DC6BEA">
        <w:t xml:space="preserve"> </w:t>
      </w:r>
      <w:r w:rsidR="00DC6BEA" w:rsidRPr="00575121">
        <w:t xml:space="preserve">A demand management provider could negotiate to share the benefits listed in </w:t>
      </w:r>
      <w:r w:rsidR="00DC6BEA" w:rsidRPr="00575121">
        <w:fldChar w:fldCharType="begin"/>
      </w:r>
      <w:r w:rsidR="00DC6BEA" w:rsidRPr="00575121">
        <w:instrText xml:space="preserve"> REF  _Ref488760363 \* Lower \h </w:instrText>
      </w:r>
      <w:r w:rsidR="00DC6BEA" w:rsidRPr="00575121">
        <w:fldChar w:fldCharType="separate"/>
      </w:r>
      <w:r w:rsidR="0076296B">
        <w:t xml:space="preserve">figure </w:t>
      </w:r>
      <w:r w:rsidR="0076296B">
        <w:rPr>
          <w:noProof/>
        </w:rPr>
        <w:t>5</w:t>
      </w:r>
      <w:r w:rsidR="00DC6BEA" w:rsidRPr="00575121">
        <w:fldChar w:fldCharType="end"/>
      </w:r>
      <w:r w:rsidR="00DC6BEA" w:rsidRPr="00575121">
        <w:t xml:space="preserve"> to</w:t>
      </w:r>
      <w:r w:rsidR="00DC6BEA">
        <w:t xml:space="preserve"> the parties accruing each of those</w:t>
      </w:r>
      <w:r w:rsidR="00DC6BEA" w:rsidRPr="00575121">
        <w:t xml:space="preserve"> benefit</w:t>
      </w:r>
      <w:r w:rsidR="00DC6BEA">
        <w:t>s</w:t>
      </w:r>
      <w:r w:rsidR="00DC6BEA" w:rsidRPr="00575121">
        <w:t>. By stacking and sharing these benefits,</w:t>
      </w:r>
      <w:r w:rsidR="00DC6BEA">
        <w:t xml:space="preserve"> the demand management provider can spread</w:t>
      </w:r>
      <w:r w:rsidR="00DC6BEA" w:rsidRPr="00575121">
        <w:t xml:space="preserve"> the cost of providing </w:t>
      </w:r>
      <w:r w:rsidR="00DC6BEA">
        <w:t>its service</w:t>
      </w:r>
      <w:r w:rsidR="00DC6BEA" w:rsidRPr="00575121">
        <w:t xml:space="preserve"> across different </w:t>
      </w:r>
      <w:r w:rsidR="00DC6BEA">
        <w:t xml:space="preserve">parties. </w:t>
      </w:r>
      <w:r w:rsidR="00EB11CF">
        <w:t>T</w:t>
      </w:r>
      <w:r w:rsidR="00DC6BEA">
        <w:t>his should reduce</w:t>
      </w:r>
      <w:r w:rsidR="00DC6BEA" w:rsidRPr="00575121">
        <w:t xml:space="preserve"> the costs of the demand management service, relative to if the distributor provided it in-house </w:t>
      </w:r>
      <w:r w:rsidR="00DC6BEA">
        <w:t>as it</w:t>
      </w:r>
      <w:r w:rsidR="00DC6BEA" w:rsidRPr="00575121">
        <w:t xml:space="preserve"> could </w:t>
      </w:r>
      <w:r w:rsidR="00DC6BEA">
        <w:t>capture (or monetise) only a portion of these benefits</w:t>
      </w:r>
      <w:r w:rsidR="00DC6BEA" w:rsidRPr="00575121">
        <w:t xml:space="preserve">. </w:t>
      </w:r>
      <w:r w:rsidR="00575121" w:rsidRPr="00575121">
        <w:fldChar w:fldCharType="begin"/>
      </w:r>
      <w:r w:rsidR="00575121" w:rsidRPr="00575121">
        <w:instrText xml:space="preserve"> REF  _Ref488760363 \* FirstCap \h </w:instrText>
      </w:r>
      <w:r w:rsidR="00575121" w:rsidRPr="00575121">
        <w:fldChar w:fldCharType="separate"/>
      </w:r>
      <w:r w:rsidR="0076296B">
        <w:t xml:space="preserve">Figure </w:t>
      </w:r>
      <w:r w:rsidR="0076296B">
        <w:rPr>
          <w:noProof/>
        </w:rPr>
        <w:t>5</w:t>
      </w:r>
      <w:r w:rsidR="00575121" w:rsidRPr="00575121">
        <w:fldChar w:fldCharType="end"/>
      </w:r>
      <w:r w:rsidR="00575121" w:rsidRPr="00575121">
        <w:t xml:space="preserve"> illustrates the concept of benefit stacking. </w:t>
      </w:r>
    </w:p>
    <w:p w:rsidR="00090FDD" w:rsidRDefault="00090FDD" w:rsidP="00090FDD">
      <w:pPr>
        <w:pStyle w:val="Caption"/>
      </w:pPr>
      <w:bookmarkStart w:id="28" w:name="_Ref488760363"/>
      <w:r>
        <w:t xml:space="preserve">Figure </w:t>
      </w:r>
      <w:r w:rsidR="0076296B">
        <w:fldChar w:fldCharType="begin"/>
      </w:r>
      <w:r w:rsidR="0076296B">
        <w:instrText xml:space="preserve"> SEQ Figure \* ARABIC </w:instrText>
      </w:r>
      <w:r w:rsidR="0076296B">
        <w:fldChar w:fldCharType="separate"/>
      </w:r>
      <w:r w:rsidR="0076296B">
        <w:rPr>
          <w:noProof/>
        </w:rPr>
        <w:t>5</w:t>
      </w:r>
      <w:r w:rsidR="0076296B">
        <w:rPr>
          <w:noProof/>
        </w:rPr>
        <w:fldChar w:fldCharType="end"/>
      </w:r>
      <w:bookmarkEnd w:id="28"/>
      <w:r w:rsidR="00816F0E">
        <w:t>: Illustration of stacking demand management's b</w:t>
      </w:r>
      <w:r>
        <w:t>enefit</w:t>
      </w:r>
      <w:r w:rsidR="00816F0E">
        <w:t>s</w:t>
      </w:r>
    </w:p>
    <w:p w:rsidR="00F04B93" w:rsidRDefault="00F04B93" w:rsidP="00C4623B">
      <w:r w:rsidRPr="00F04B93">
        <w:rPr>
          <w:noProof/>
          <w:lang w:eastAsia="en-AU"/>
        </w:rPr>
        <w:drawing>
          <wp:inline distT="0" distB="0" distL="0" distR="0" wp14:anchorId="3B834259" wp14:editId="359524ED">
            <wp:extent cx="4891177" cy="22920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39167"/>
                    <a:stretch/>
                  </pic:blipFill>
                  <pic:spPr bwMode="auto">
                    <a:xfrm>
                      <a:off x="0" y="0"/>
                      <a:ext cx="4891177" cy="2292000"/>
                    </a:xfrm>
                    <a:prstGeom prst="rect">
                      <a:avLst/>
                    </a:prstGeom>
                    <a:ln>
                      <a:noFill/>
                    </a:ln>
                    <a:extLst>
                      <a:ext uri="{53640926-AAD7-44D8-BBD7-CCE9431645EC}">
                        <a14:shadowObscured xmlns:a14="http://schemas.microsoft.com/office/drawing/2010/main"/>
                      </a:ext>
                    </a:extLst>
                  </pic:spPr>
                </pic:pic>
              </a:graphicData>
            </a:graphic>
          </wp:inline>
        </w:drawing>
      </w:r>
    </w:p>
    <w:p w:rsidR="00F04B93" w:rsidRDefault="00F04B93" w:rsidP="00331998">
      <w:pPr>
        <w:pStyle w:val="AERtablesource"/>
      </w:pPr>
      <w:r>
        <w:t xml:space="preserve">Source: </w:t>
      </w:r>
      <w:r>
        <w:tab/>
        <w:t xml:space="preserve">Reposit Power, </w:t>
      </w:r>
      <w:r w:rsidRPr="00331998">
        <w:rPr>
          <w:rStyle w:val="AERtextitalic"/>
        </w:rPr>
        <w:t>Australian Energy Week presentation: Reposit customer grid participation progress update</w:t>
      </w:r>
      <w:r>
        <w:t>, June 2017</w:t>
      </w:r>
    </w:p>
    <w:p w:rsidR="00442709" w:rsidRDefault="00CB3465" w:rsidP="00442709">
      <w:r>
        <w:lastRenderedPageBreak/>
        <w:t>W</w:t>
      </w:r>
      <w:r w:rsidR="00442709">
        <w:t>e also recognise that there may be cases where a demand management option has higher controllability when provided in-house. Generation or customer loads that the distributor can dispatch</w:t>
      </w:r>
      <w:r w:rsidR="00ED74F0">
        <w:t xml:space="preserve"> may have higher value if they</w:t>
      </w:r>
      <w:r w:rsidR="00442709">
        <w:t xml:space="preserve"> offer a higher level of firmness</w:t>
      </w:r>
      <w:r w:rsidR="00D00092">
        <w:t xml:space="preserve"> or controllability</w:t>
      </w:r>
      <w:r w:rsidR="00442709">
        <w:t xml:space="preserve">. </w:t>
      </w:r>
      <w:r w:rsidR="00ED74F0">
        <w:t>If a</w:t>
      </w:r>
      <w:r w:rsidR="00442709">
        <w:t xml:space="preserve"> distributor is unable to guarantee dispatch, it would provide </w:t>
      </w:r>
      <w:r>
        <w:t>this</w:t>
      </w:r>
      <w:r w:rsidRPr="00CB3465">
        <w:t xml:space="preserve"> option</w:t>
      </w:r>
      <w:r w:rsidR="00442709">
        <w:t xml:space="preserve"> on an expectation of performance and would probabilistically adjust the value of this capacity.</w:t>
      </w:r>
    </w:p>
    <w:p w:rsidR="00C4623B" w:rsidRDefault="00C4623B" w:rsidP="00C4623B">
      <w:pPr>
        <w:pStyle w:val="Heading1"/>
      </w:pPr>
      <w:bookmarkStart w:id="29" w:name="_Toc491447237"/>
      <w:r>
        <w:lastRenderedPageBreak/>
        <w:t>Insights from stakeholders</w:t>
      </w:r>
      <w:bookmarkEnd w:id="29"/>
    </w:p>
    <w:p w:rsidR="00C4623B" w:rsidRDefault="00C36911" w:rsidP="00C4623B">
      <w:r>
        <w:t xml:space="preserve">There has been great stakeholder interest and engagement </w:t>
      </w:r>
      <w:r w:rsidR="004C3C9F">
        <w:t xml:space="preserve">in </w:t>
      </w:r>
      <w:r>
        <w:t xml:space="preserve">this project. </w:t>
      </w:r>
      <w:r w:rsidR="00CB3465" w:rsidRPr="00CB3465">
        <w:t xml:space="preserve">The Scheme development process </w:t>
      </w:r>
      <w:r>
        <w:t xml:space="preserve">has resulted in a variety of stakeholders </w:t>
      </w:r>
      <w:r w:rsidR="00DC6BEA">
        <w:t xml:space="preserve">sharing </w:t>
      </w:r>
      <w:r w:rsidR="00CB3465">
        <w:t>their valuable insights</w:t>
      </w:r>
      <w:r>
        <w:t>. For instance:</w:t>
      </w:r>
    </w:p>
    <w:p w:rsidR="002B1507" w:rsidRDefault="002B1507" w:rsidP="002B1507">
      <w:pPr>
        <w:pStyle w:val="AERbulletlistfirststyle"/>
      </w:pPr>
      <w:r>
        <w:t>Prior to the Issues Day</w:t>
      </w:r>
      <w:r w:rsidR="00630BC5">
        <w:t>, 57</w:t>
      </w:r>
      <w:r>
        <w:t xml:space="preserve"> stakeholders responded to a pre-workshop survey by submitting to us their top three issues concerning network demand management and the development of the Scheme.</w:t>
      </w:r>
    </w:p>
    <w:p w:rsidR="00C36911" w:rsidRDefault="00C36911" w:rsidP="002B1507">
      <w:pPr>
        <w:pStyle w:val="AERbulletlistfirststyle"/>
      </w:pPr>
      <w:r>
        <w:t xml:space="preserve">68 stakeholders </w:t>
      </w:r>
      <w:r w:rsidR="002B1507">
        <w:t>attended</w:t>
      </w:r>
      <w:r>
        <w:t xml:space="preserve"> our demand management Issues Day</w:t>
      </w:r>
      <w:r w:rsidRPr="00C36911">
        <w:t xml:space="preserve"> </w:t>
      </w:r>
      <w:r>
        <w:t xml:space="preserve">on 20 September 2016. </w:t>
      </w:r>
      <w:r w:rsidR="002B1507">
        <w:t>Eight</w:t>
      </w:r>
      <w:r w:rsidR="002B1507" w:rsidRPr="002B1507">
        <w:t xml:space="preserve"> stakeholders gave presentations and </w:t>
      </w:r>
      <w:r w:rsidR="002B1507">
        <w:t>all participants actively brainstormed views and solutions around key issues during</w:t>
      </w:r>
      <w:r w:rsidR="002B1507" w:rsidRPr="002B1507">
        <w:t xml:space="preserve"> </w:t>
      </w:r>
      <w:r w:rsidR="002B1507">
        <w:t>'</w:t>
      </w:r>
      <w:r w:rsidR="002B1507" w:rsidRPr="002B1507">
        <w:t>breakout sessions</w:t>
      </w:r>
      <w:r w:rsidR="002B1507">
        <w:t>'</w:t>
      </w:r>
      <w:r w:rsidR="002B1507" w:rsidRPr="002B1507">
        <w:t>.</w:t>
      </w:r>
    </w:p>
    <w:p w:rsidR="00C36911" w:rsidRDefault="00C36911" w:rsidP="00C36911">
      <w:pPr>
        <w:pStyle w:val="AERbulletlistfirststyle"/>
      </w:pPr>
      <w:r>
        <w:t xml:space="preserve">28 stakeholders lodged detailed submissions on a Consultation Paper </w:t>
      </w:r>
      <w:r w:rsidR="00DC6BEA">
        <w:t xml:space="preserve">we </w:t>
      </w:r>
      <w:r>
        <w:t xml:space="preserve">published on 4 January 2017. </w:t>
      </w:r>
    </w:p>
    <w:p w:rsidR="00C36911" w:rsidRDefault="00C36911" w:rsidP="00C36911">
      <w:pPr>
        <w:pStyle w:val="AERbulletlistfirststyle"/>
      </w:pPr>
      <w:r>
        <w:t>42 stakeholders actively participated in a round table discussion at our demand management Options Day</w:t>
      </w:r>
      <w:r w:rsidRPr="00C36911">
        <w:t xml:space="preserve"> </w:t>
      </w:r>
      <w:r>
        <w:t>on 6 April 2017.</w:t>
      </w:r>
    </w:p>
    <w:p w:rsidR="00C36911" w:rsidRDefault="00C36911" w:rsidP="00C36911">
      <w:pPr>
        <w:pStyle w:val="AERbulletlistfirststyle"/>
      </w:pPr>
      <w:r>
        <w:t>1</w:t>
      </w:r>
      <w:r w:rsidR="00C12440">
        <w:t>2</w:t>
      </w:r>
      <w:r w:rsidR="00F73394">
        <w:t xml:space="preserve"> </w:t>
      </w:r>
      <w:r w:rsidR="00630BC5">
        <w:t>s</w:t>
      </w:r>
      <w:r w:rsidR="002B1507">
        <w:t>takeholders that attended the Options Day lodged supplementary submissions following the Options Day.</w:t>
      </w:r>
    </w:p>
    <w:p w:rsidR="002B1507" w:rsidRDefault="00C12440" w:rsidP="00C36911">
      <w:pPr>
        <w:pStyle w:val="AERbulletlistfirststyle"/>
      </w:pPr>
      <w:r>
        <w:t>51</w:t>
      </w:r>
      <w:r w:rsidR="002B1507">
        <w:t xml:space="preserve"> stakeholders attended a Direction</w:t>
      </w:r>
      <w:r>
        <w:t>s</w:t>
      </w:r>
      <w:r w:rsidR="002B1507">
        <w:t xml:space="preserve"> Forum v</w:t>
      </w:r>
      <w:r w:rsidR="00340CB4">
        <w:t>ideoconference on 29 June 2017.</w:t>
      </w:r>
    </w:p>
    <w:p w:rsidR="002B1507" w:rsidRDefault="002B1507" w:rsidP="002B1507">
      <w:pPr>
        <w:pStyle w:val="AERbulletlistfirststyle"/>
        <w:numPr>
          <w:ilvl w:val="0"/>
          <w:numId w:val="0"/>
        </w:numPr>
      </w:pPr>
      <w:r>
        <w:t>Where possible, we have made the material that stakeholders have provided to us publicly available on our website.</w:t>
      </w:r>
      <w:r>
        <w:rPr>
          <w:rStyle w:val="FootnoteReference"/>
        </w:rPr>
        <w:footnoteReference w:id="23"/>
      </w:r>
    </w:p>
    <w:p w:rsidR="002B1507" w:rsidRDefault="002B1507" w:rsidP="002B1507">
      <w:pPr>
        <w:pStyle w:val="AERbulletlistfirststyle"/>
        <w:numPr>
          <w:ilvl w:val="0"/>
          <w:numId w:val="0"/>
        </w:numPr>
      </w:pPr>
      <w:r>
        <w:t xml:space="preserve">A diverse range of stakeholders have taken an active interest in this project. While this </w:t>
      </w:r>
      <w:r w:rsidR="00CB3465">
        <w:t xml:space="preserve">diversity </w:t>
      </w:r>
      <w:r>
        <w:t xml:space="preserve">makes it difficult to summarise the key messages, </w:t>
      </w:r>
      <w:r w:rsidR="00340CB4">
        <w:t>the following themes emerge</w:t>
      </w:r>
      <w:r w:rsidR="0006356E">
        <w:t>d</w:t>
      </w:r>
      <w:r w:rsidR="00340CB4">
        <w:t>:</w:t>
      </w:r>
    </w:p>
    <w:p w:rsidR="002B1507" w:rsidRPr="002B1507" w:rsidRDefault="00473D76" w:rsidP="002B1507">
      <w:pPr>
        <w:pStyle w:val="AERbulletlistfirststyle"/>
      </w:pPr>
      <w:r>
        <w:t xml:space="preserve">As exemplified in </w:t>
      </w:r>
      <w:r w:rsidR="00EE2CC4">
        <w:fldChar w:fldCharType="begin"/>
      </w:r>
      <w:r w:rsidR="00EE2CC4">
        <w:instrText xml:space="preserve"> REF  _Ref485212523 \* Lower \h </w:instrText>
      </w:r>
      <w:r w:rsidR="00EE2CC4">
        <w:fldChar w:fldCharType="separate"/>
      </w:r>
      <w:r w:rsidR="0076296B">
        <w:t xml:space="preserve">figure </w:t>
      </w:r>
      <w:r w:rsidR="0076296B">
        <w:rPr>
          <w:noProof/>
        </w:rPr>
        <w:t>6</w:t>
      </w:r>
      <w:r w:rsidR="00EE2CC4">
        <w:fldChar w:fldCharType="end"/>
      </w:r>
      <w:r>
        <w:t>, s</w:t>
      </w:r>
      <w:r w:rsidR="002B1507" w:rsidRPr="002B1507">
        <w:t xml:space="preserve">takeholder views on the new Scheme and </w:t>
      </w:r>
      <w:r w:rsidR="002D4543">
        <w:t>Mechanism</w:t>
      </w:r>
      <w:r w:rsidR="002B1507" w:rsidRPr="002B1507">
        <w:t xml:space="preserve"> are generally positive. </w:t>
      </w:r>
      <w:r w:rsidR="00A368DD">
        <w:t>This sentiment was also</w:t>
      </w:r>
      <w:r w:rsidR="008B2D9E">
        <w:t xml:space="preserve"> clear </w:t>
      </w:r>
      <w:r w:rsidR="00340CB4">
        <w:t xml:space="preserve">at </w:t>
      </w:r>
      <w:r w:rsidR="008B2D9E">
        <w:t xml:space="preserve">the Options Day. </w:t>
      </w:r>
      <w:r>
        <w:t>While t</w:t>
      </w:r>
      <w:r w:rsidRPr="00473D76">
        <w:t xml:space="preserve">he majority of stakeholders support the </w:t>
      </w:r>
      <w:r w:rsidR="002D4543">
        <w:t>Mechanism</w:t>
      </w:r>
      <w:r w:rsidRPr="00473D76">
        <w:t xml:space="preserve"> as having value, the</w:t>
      </w:r>
      <w:r>
        <w:t>y generally see the</w:t>
      </w:r>
      <w:r w:rsidRPr="00473D76">
        <w:t xml:space="preserve"> Scheme</w:t>
      </w:r>
      <w:r>
        <w:t xml:space="preserve"> </w:t>
      </w:r>
      <w:r w:rsidRPr="00473D76">
        <w:t>as the ‘main game’</w:t>
      </w:r>
      <w:r>
        <w:t>.</w:t>
      </w:r>
    </w:p>
    <w:p w:rsidR="00473D76" w:rsidRDefault="002B1507" w:rsidP="00473D76">
      <w:pPr>
        <w:pStyle w:val="AERbulletlistfirststyle"/>
      </w:pPr>
      <w:r w:rsidRPr="002B1507">
        <w:t>The majority of stakeholders support the Scheme but recognise it is a Band-Aid. They consider there are bigger, unresolved issues such as whether there is a capex/opex bias</w:t>
      </w:r>
      <w:r w:rsidR="002B3ECF">
        <w:t xml:space="preserve"> and w</w:t>
      </w:r>
      <w:r w:rsidRPr="002B1507">
        <w:t xml:space="preserve">hile the AEMC is doing work </w:t>
      </w:r>
      <w:r w:rsidR="002B3ECF">
        <w:t xml:space="preserve">looking </w:t>
      </w:r>
      <w:r w:rsidRPr="002B1507">
        <w:t xml:space="preserve">into this, there is value in us </w:t>
      </w:r>
      <w:r w:rsidR="002B3ECF">
        <w:t>also looking at this issue.</w:t>
      </w:r>
      <w:r w:rsidRPr="002B1507">
        <w:t xml:space="preserve"> </w:t>
      </w:r>
      <w:r w:rsidR="00595DEF">
        <w:t>Fully cost reflective pricing</w:t>
      </w:r>
      <w:r w:rsidR="00595DEF" w:rsidRPr="002B1507">
        <w:t xml:space="preserve"> </w:t>
      </w:r>
      <w:r w:rsidRPr="002B1507">
        <w:t xml:space="preserve">is </w:t>
      </w:r>
      <w:r w:rsidR="00595DEF">
        <w:t>a complex and multilayered goal</w:t>
      </w:r>
      <w:r w:rsidR="00595DEF" w:rsidRPr="002B1507">
        <w:t xml:space="preserve"> </w:t>
      </w:r>
      <w:r w:rsidR="00364CB1">
        <w:t>that</w:t>
      </w:r>
      <w:r w:rsidRPr="002B1507">
        <w:t xml:space="preserve"> </w:t>
      </w:r>
      <w:r w:rsidR="00595DEF">
        <w:t>will likely</w:t>
      </w:r>
      <w:r w:rsidR="00595DEF" w:rsidRPr="002B1507">
        <w:t xml:space="preserve"> </w:t>
      </w:r>
      <w:r w:rsidRPr="002B1507">
        <w:t xml:space="preserve">take a </w:t>
      </w:r>
      <w:r w:rsidR="00B75D50">
        <w:t>long time</w:t>
      </w:r>
      <w:r w:rsidR="00595DEF">
        <w:t xml:space="preserve"> to </w:t>
      </w:r>
      <w:r w:rsidR="00B75D50">
        <w:t>achieve</w:t>
      </w:r>
      <w:r w:rsidRPr="002B1507">
        <w:t xml:space="preserve">. In the meantime, many stakeholders see value in doing something quickly and simply so that </w:t>
      </w:r>
      <w:r w:rsidR="00A368DD">
        <w:t>'</w:t>
      </w:r>
      <w:r w:rsidRPr="002B1507">
        <w:t>the perfect does n</w:t>
      </w:r>
      <w:r w:rsidR="00473D76">
        <w:t>ot become the enemy of the good</w:t>
      </w:r>
      <w:r w:rsidR="00A368DD">
        <w:t>'</w:t>
      </w:r>
      <w:r w:rsidR="00473D76">
        <w:t>.</w:t>
      </w:r>
    </w:p>
    <w:p w:rsidR="002B1507" w:rsidRDefault="0006356E" w:rsidP="00473D76">
      <w:pPr>
        <w:pStyle w:val="AERbulletlistfirststyle"/>
      </w:pPr>
      <w:r>
        <w:lastRenderedPageBreak/>
        <w:t xml:space="preserve">Expectation </w:t>
      </w:r>
      <w:r w:rsidR="008B2D9E">
        <w:t xml:space="preserve">among </w:t>
      </w:r>
      <w:r w:rsidR="002B1507" w:rsidRPr="002B1507">
        <w:t xml:space="preserve">stakeholders </w:t>
      </w:r>
      <w:r>
        <w:t xml:space="preserve">for </w:t>
      </w:r>
      <w:r w:rsidR="008B2D9E">
        <w:t>the</w:t>
      </w:r>
      <w:r w:rsidR="008B2D9E" w:rsidRPr="002B1507">
        <w:t xml:space="preserve"> new Scheme</w:t>
      </w:r>
      <w:r>
        <w:t xml:space="preserve"> to be operational earlier than the current timeline</w:t>
      </w:r>
      <w:r w:rsidR="008B2D9E">
        <w:t xml:space="preserve">. </w:t>
      </w:r>
      <w:r w:rsidR="00D20550">
        <w:t>Some</w:t>
      </w:r>
      <w:r w:rsidR="008B2D9E">
        <w:t xml:space="preserve"> stakeholder</w:t>
      </w:r>
      <w:r w:rsidR="00D20550">
        <w:t>s</w:t>
      </w:r>
      <w:r w:rsidR="008B2D9E">
        <w:t xml:space="preserve"> saw </w:t>
      </w:r>
      <w:r w:rsidR="008B2D9E" w:rsidRPr="00A368DD">
        <w:t xml:space="preserve">value in adjusting the Scheme </w:t>
      </w:r>
      <w:r w:rsidR="00576C2D">
        <w:t xml:space="preserve">over time </w:t>
      </w:r>
      <w:r w:rsidR="008B2D9E" w:rsidRPr="00A368DD">
        <w:t>to keep up with market developments.</w:t>
      </w:r>
    </w:p>
    <w:p w:rsidR="008B2D9E" w:rsidRDefault="008B2D9E" w:rsidP="00A368DD">
      <w:pPr>
        <w:pStyle w:val="AERbulletlistfirststyle"/>
      </w:pPr>
      <w:r>
        <w:t>A</w:t>
      </w:r>
      <w:r w:rsidR="00A368DD">
        <w:t xml:space="preserve"> </w:t>
      </w:r>
      <w:r>
        <w:t xml:space="preserve">consensus that the </w:t>
      </w:r>
      <w:r w:rsidR="00A368DD">
        <w:t>Scheme should not include</w:t>
      </w:r>
      <w:r w:rsidR="00A368DD" w:rsidRPr="00A97FB0">
        <w:t xml:space="preserve"> incentives or cost-recovery for supporting</w:t>
      </w:r>
      <w:r w:rsidR="00A368DD">
        <w:t xml:space="preserve"> infrastructure (such as information and procurement processes/platforms). </w:t>
      </w:r>
      <w:r>
        <w:t>I</w:t>
      </w:r>
      <w:r w:rsidRPr="00A368DD">
        <w:t xml:space="preserve">nformation provision </w:t>
      </w:r>
      <w:r>
        <w:t>too often detracts</w:t>
      </w:r>
      <w:r w:rsidRPr="00A368DD">
        <w:t xml:space="preserve"> from the main issue</w:t>
      </w:r>
      <w:r>
        <w:t xml:space="preserve"> and</w:t>
      </w:r>
      <w:r w:rsidRPr="00A368DD">
        <w:t xml:space="preserve"> if we improve distributors’ incentives to undertake efficient demand management, then their incentive to provide supportive infrastructure </w:t>
      </w:r>
      <w:r>
        <w:t xml:space="preserve">should </w:t>
      </w:r>
      <w:r w:rsidRPr="00A368DD">
        <w:t>follow</w:t>
      </w:r>
      <w:r>
        <w:t>.</w:t>
      </w:r>
    </w:p>
    <w:p w:rsidR="00A368DD" w:rsidRDefault="008B2D9E" w:rsidP="00A368DD">
      <w:pPr>
        <w:pStyle w:val="AERbulletlistfirststyle"/>
      </w:pPr>
      <w:r>
        <w:t xml:space="preserve">Support for </w:t>
      </w:r>
      <w:r w:rsidR="00A368DD" w:rsidRPr="00A368DD">
        <w:t>linking incentives</w:t>
      </w:r>
      <w:r>
        <w:t xml:space="preserve"> under the Scheme</w:t>
      </w:r>
      <w:r w:rsidR="00A368DD" w:rsidRPr="00A368DD">
        <w:t xml:space="preserve"> to deliverables. </w:t>
      </w:r>
      <w:r>
        <w:t>Generally, there ha</w:t>
      </w:r>
      <w:r w:rsidR="00A368DD" w:rsidRPr="00A368DD">
        <w:t xml:space="preserve">s </w:t>
      </w:r>
      <w:r>
        <w:t xml:space="preserve">been greater </w:t>
      </w:r>
      <w:r w:rsidR="00A368DD" w:rsidRPr="00A368DD">
        <w:t>support for a p</w:t>
      </w:r>
      <w:r w:rsidR="00340CB4">
        <w:t xml:space="preserve">ercentage uplift to the demand management </w:t>
      </w:r>
      <w:r w:rsidR="00A368DD" w:rsidRPr="00A368DD">
        <w:t>contract (if out-sourced</w:t>
      </w:r>
      <w:r w:rsidR="00340CB4">
        <w:t xml:space="preserve"> to another party</w:t>
      </w:r>
      <w:r w:rsidR="00A368DD" w:rsidRPr="00A368DD">
        <w:t>) or to the project cost (if in-house), where the most efficient project is determined by the market through a competitive procurement process.</w:t>
      </w:r>
    </w:p>
    <w:p w:rsidR="00576C2D" w:rsidRDefault="00576C2D" w:rsidP="00A368DD">
      <w:pPr>
        <w:pStyle w:val="AERbulletlistfirststyle"/>
      </w:pPr>
      <w:r>
        <w:t>A widely-held view that we should interpret 'demand management' broadly, so as not to limit the Scheme to constraints emerging from peak demand.</w:t>
      </w:r>
    </w:p>
    <w:p w:rsidR="00DF068A" w:rsidRPr="00A368DD" w:rsidRDefault="00583872" w:rsidP="00583872">
      <w:pPr>
        <w:pStyle w:val="AERbulletlistfirststyle"/>
      </w:pPr>
      <w:r>
        <w:t>C</w:t>
      </w:r>
      <w:r w:rsidR="00DF068A">
        <w:t xml:space="preserve">onsumer groups have </w:t>
      </w:r>
      <w:r w:rsidR="00E22E53">
        <w:t xml:space="preserve">generally </w:t>
      </w:r>
      <w:r w:rsidR="00DF068A">
        <w:t>indicated they are willing to fund the costs of the Scheme in the expectation that their initial investment in the Scheme will pay dividends in the long-run through lower overall network charges.</w:t>
      </w:r>
      <w:r w:rsidR="00DF068A">
        <w:rPr>
          <w:rStyle w:val="FootnoteReference"/>
        </w:rPr>
        <w:footnoteReference w:id="24"/>
      </w:r>
      <w:r w:rsidR="00DF068A">
        <w:t xml:space="preserve"> </w:t>
      </w:r>
      <w:r>
        <w:t>They have recognised that the Scheme will deliver a number of benefits to consumers.</w:t>
      </w:r>
      <w:r>
        <w:rPr>
          <w:rStyle w:val="FootnoteReference"/>
        </w:rPr>
        <w:footnoteReference w:id="25"/>
      </w:r>
      <w:r w:rsidRPr="00583872">
        <w:t xml:space="preserve"> </w:t>
      </w:r>
      <w:r>
        <w:t>They have acknowledged that the Scheme aims to</w:t>
      </w:r>
      <w:r w:rsidRPr="00583872">
        <w:t xml:space="preserve"> encourage demand management that would save consumers money but also avoid further infrastructure development</w:t>
      </w:r>
      <w:r w:rsidR="00DF068A">
        <w:t>.</w:t>
      </w:r>
      <w:r>
        <w:rPr>
          <w:rStyle w:val="FootnoteReference"/>
        </w:rPr>
        <w:footnoteReference w:id="26"/>
      </w:r>
      <w:r>
        <w:t xml:space="preserve"> They see </w:t>
      </w:r>
      <w:r w:rsidR="00E22E53">
        <w:t>demand</w:t>
      </w:r>
      <w:r>
        <w:t xml:space="preserve"> </w:t>
      </w:r>
      <w:r w:rsidR="00E22E53">
        <w:t>management</w:t>
      </w:r>
      <w:r>
        <w:t xml:space="preserve"> as playing a critical role in the </w:t>
      </w:r>
      <w:r w:rsidR="00E22E53">
        <w:t>future</w:t>
      </w:r>
      <w:r>
        <w:t xml:space="preserve"> energy system and support moves to better incorporate as a tool to reduce costs, as well as providing other benefits.</w:t>
      </w:r>
      <w:r>
        <w:rPr>
          <w:rStyle w:val="FootnoteReference"/>
        </w:rPr>
        <w:footnoteReference w:id="27"/>
      </w:r>
      <w:r w:rsidR="00E22E53">
        <w:t xml:space="preserve"> While some consumer groups supporting greater use of demand management are hesitant to provide financial incentives to distributors, we consider there is value in doing so for the reasons set out under section </w:t>
      </w:r>
      <w:r w:rsidR="00E22E53">
        <w:fldChar w:fldCharType="begin"/>
      </w:r>
      <w:r w:rsidR="00E22E53">
        <w:instrText xml:space="preserve"> REF _Ref489519638 \r \h </w:instrText>
      </w:r>
      <w:r w:rsidR="00E22E53">
        <w:fldChar w:fldCharType="separate"/>
      </w:r>
      <w:r w:rsidR="0076296B">
        <w:t>2.1</w:t>
      </w:r>
      <w:r w:rsidR="00E22E53">
        <w:fldChar w:fldCharType="end"/>
      </w:r>
      <w:r w:rsidR="00E22E53">
        <w:t>.</w:t>
      </w:r>
      <w:r w:rsidR="00E22E53">
        <w:rPr>
          <w:rStyle w:val="FootnoteReference"/>
        </w:rPr>
        <w:footnoteReference w:id="28"/>
      </w:r>
    </w:p>
    <w:p w:rsidR="00473D76" w:rsidRDefault="00473D76" w:rsidP="00473D76">
      <w:pPr>
        <w:pStyle w:val="Caption"/>
      </w:pPr>
      <w:bookmarkStart w:id="30" w:name="_Ref485212523"/>
      <w:r>
        <w:lastRenderedPageBreak/>
        <w:t xml:space="preserve">Figure </w:t>
      </w:r>
      <w:r w:rsidR="0076296B">
        <w:fldChar w:fldCharType="begin"/>
      </w:r>
      <w:r w:rsidR="0076296B">
        <w:instrText xml:space="preserve"> SEQ Figure \* ARABIC </w:instrText>
      </w:r>
      <w:r w:rsidR="0076296B">
        <w:fldChar w:fldCharType="separate"/>
      </w:r>
      <w:r w:rsidR="0076296B">
        <w:rPr>
          <w:noProof/>
        </w:rPr>
        <w:t>6</w:t>
      </w:r>
      <w:r w:rsidR="0076296B">
        <w:rPr>
          <w:noProof/>
        </w:rPr>
        <w:fldChar w:fldCharType="end"/>
      </w:r>
      <w:bookmarkEnd w:id="30"/>
      <w:r>
        <w:t>: Support for Scheme from submissions on Consultation Paper</w:t>
      </w:r>
    </w:p>
    <w:p w:rsidR="00473D76" w:rsidRDefault="00473D76" w:rsidP="00A368DD">
      <w:r w:rsidRPr="00473D76">
        <w:rPr>
          <w:noProof/>
          <w:lang w:eastAsia="en-AU"/>
        </w:rPr>
        <w:drawing>
          <wp:inline distT="0" distB="0" distL="0" distR="0" wp14:anchorId="35B674B6" wp14:editId="33A83113">
            <wp:extent cx="5000625" cy="2962275"/>
            <wp:effectExtent l="0" t="0" r="9525"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012488" cy="2969302"/>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E569E0" w:rsidRDefault="00F73394" w:rsidP="00A368DD">
      <w:r>
        <w:t>Where possible, we have incorporated the</w:t>
      </w:r>
      <w:r w:rsidR="00E569E0">
        <w:t xml:space="preserve"> broad themes arising from stakeholders </w:t>
      </w:r>
      <w:r>
        <w:t>into our</w:t>
      </w:r>
      <w:r w:rsidR="00E569E0">
        <w:t xml:space="preserve"> draft Scheme</w:t>
      </w:r>
      <w:r>
        <w:t xml:space="preserve"> so</w:t>
      </w:r>
      <w:r w:rsidR="00E569E0">
        <w:t xml:space="preserve"> that</w:t>
      </w:r>
      <w:r>
        <w:t xml:space="preserve"> it</w:t>
      </w:r>
      <w:r w:rsidR="00E569E0">
        <w:t xml:space="preserve"> achieves the following:</w:t>
      </w:r>
    </w:p>
    <w:p w:rsidR="00E569E0" w:rsidRDefault="00E569E0" w:rsidP="00E569E0">
      <w:pPr>
        <w:pStyle w:val="AERbulletlistfirststyle"/>
      </w:pPr>
      <w:r>
        <w:t>Provides financial incentives</w:t>
      </w:r>
      <w:r w:rsidR="00F73394">
        <w:t xml:space="preserve"> for demand management,</w:t>
      </w:r>
      <w:r>
        <w:t xml:space="preserve"> </w:t>
      </w:r>
      <w:r w:rsidR="00F73394">
        <w:t>but does not include incentives or cost recovery for supporting infrastructure (such as information provision and contract development).</w:t>
      </w:r>
    </w:p>
    <w:p w:rsidR="00F73394" w:rsidRDefault="00F73394" w:rsidP="00F73394">
      <w:pPr>
        <w:pStyle w:val="AERbulletlistfirststyle"/>
      </w:pPr>
      <w:r>
        <w:t xml:space="preserve">Provides </w:t>
      </w:r>
      <w:r w:rsidRPr="00F73394">
        <w:t>a percentage uplift to the demand response contract (if out-sourced) or to the project cost (if in-house), where the most efficient project is determined by the market through a c</w:t>
      </w:r>
      <w:r>
        <w:t>ompetitive procurement process, where:</w:t>
      </w:r>
    </w:p>
    <w:p w:rsidR="00A35703" w:rsidRPr="00A35703" w:rsidRDefault="00F73394" w:rsidP="00A35703">
      <w:pPr>
        <w:pStyle w:val="AERbulletlistsecondstyle"/>
      </w:pPr>
      <w:r w:rsidRPr="00F73394">
        <w:t>Market-based contracts specify a quantifiable demand management deliverable</w:t>
      </w:r>
      <w:r w:rsidR="00A35703">
        <w:t>. Th</w:t>
      </w:r>
      <w:r w:rsidR="002B306B">
        <w:t>e deliverable</w:t>
      </w:r>
      <w:r w:rsidR="00A35703">
        <w:t xml:space="preserve"> is </w:t>
      </w:r>
      <w:r w:rsidR="00A35703" w:rsidRPr="00A35703">
        <w:t xml:space="preserve">a specified kVA per year network demand </w:t>
      </w:r>
      <w:r w:rsidR="002B306B">
        <w:t xml:space="preserve">that </w:t>
      </w:r>
      <w:r w:rsidR="00A35703" w:rsidRPr="00A35703">
        <w:t xml:space="preserve">can be </w:t>
      </w:r>
      <w:r w:rsidR="00BF5DAC">
        <w:t>manag</w:t>
      </w:r>
      <w:r w:rsidR="00BF5DAC" w:rsidRPr="00A35703">
        <w:t>ed</w:t>
      </w:r>
      <w:r w:rsidR="00A35703" w:rsidRPr="00A35703">
        <w:t>, at the distributor's or other lega</w:t>
      </w:r>
      <w:r w:rsidR="00A27D4B">
        <w:t>l entity's request or control</w:t>
      </w:r>
      <w:r w:rsidR="00A35703" w:rsidRPr="00A35703">
        <w:t xml:space="preserve">. </w:t>
      </w:r>
    </w:p>
    <w:p w:rsidR="00F73394" w:rsidRDefault="00F73394" w:rsidP="00F73394">
      <w:pPr>
        <w:pStyle w:val="AERbulletlistsecondstyle"/>
      </w:pPr>
      <w:r w:rsidRPr="00F73394">
        <w:t>We establish a framework to verify that distributors select projects under the Scheme using a genuinely competitive procurement process</w:t>
      </w:r>
      <w:r>
        <w:t xml:space="preserve"> (that is, either via the existing RIT-D requirements of the '</w:t>
      </w:r>
      <w:r w:rsidR="006671FC">
        <w:t>minimum project evaluation</w:t>
      </w:r>
      <w:r>
        <w:t xml:space="preserve"> requirements').</w:t>
      </w:r>
    </w:p>
    <w:p w:rsidR="00F73394" w:rsidRPr="00F73394" w:rsidRDefault="00F73394" w:rsidP="00F73394">
      <w:pPr>
        <w:pStyle w:val="AERbulletlistsecondstyle"/>
      </w:pPr>
      <w:r w:rsidRPr="00F73394">
        <w:t xml:space="preserve">We require annual compliance reporting to allow </w:t>
      </w:r>
      <w:r>
        <w:t xml:space="preserve">us to compare </w:t>
      </w:r>
      <w:r w:rsidRPr="00F73394">
        <w:t>outcomes</w:t>
      </w:r>
      <w:r>
        <w:t xml:space="preserve"> across distributors</w:t>
      </w:r>
      <w:r w:rsidRPr="00F73394">
        <w:t>.</w:t>
      </w:r>
    </w:p>
    <w:p w:rsidR="007A5079" w:rsidRDefault="007A5079" w:rsidP="007A5079">
      <w:pPr>
        <w:pStyle w:val="Heading2"/>
      </w:pPr>
      <w:bookmarkStart w:id="31" w:name="_Toc491447238"/>
      <w:r>
        <w:t>Insights on overall Scheme design</w:t>
      </w:r>
      <w:bookmarkEnd w:id="31"/>
    </w:p>
    <w:p w:rsidR="007A5079" w:rsidRDefault="00041128" w:rsidP="007A5079">
      <w:r>
        <w:t>We received a variety of views from stakeholders on the overall design of the Scheme</w:t>
      </w:r>
      <w:r w:rsidR="0078288C">
        <w:t>.</w:t>
      </w:r>
      <w:r>
        <w:t xml:space="preserve"> </w:t>
      </w:r>
      <w:r w:rsidR="003E1DB5">
        <w:t xml:space="preserve">In </w:t>
      </w:r>
      <w:r w:rsidR="0078288C">
        <w:t xml:space="preserve">our </w:t>
      </w:r>
      <w:r w:rsidR="003E1DB5">
        <w:t xml:space="preserve">Consultation Paper, we requested stakeholder views on several types of Scheme design options, which we discuss later on under section </w:t>
      </w:r>
      <w:r w:rsidR="003E1DB5">
        <w:fldChar w:fldCharType="begin"/>
      </w:r>
      <w:r w:rsidR="003E1DB5">
        <w:instrText xml:space="preserve"> REF _Ref489535522 \r \h </w:instrText>
      </w:r>
      <w:r w:rsidR="003E1DB5">
        <w:fldChar w:fldCharType="separate"/>
      </w:r>
      <w:r w:rsidR="0076296B">
        <w:t>9</w:t>
      </w:r>
      <w:r w:rsidR="003E1DB5">
        <w:fldChar w:fldCharType="end"/>
      </w:r>
      <w:r w:rsidR="003E1DB5">
        <w:t xml:space="preserve"> (see </w:t>
      </w:r>
      <w:r w:rsidR="003E1DB5">
        <w:fldChar w:fldCharType="begin"/>
      </w:r>
      <w:r w:rsidR="003E1DB5">
        <w:instrText xml:space="preserve"> REF  _Ref487011848 \* Lower \h </w:instrText>
      </w:r>
      <w:r w:rsidR="003E1DB5">
        <w:fldChar w:fldCharType="separate"/>
      </w:r>
      <w:r w:rsidR="0076296B">
        <w:t xml:space="preserve">table </w:t>
      </w:r>
      <w:r w:rsidR="0076296B">
        <w:rPr>
          <w:noProof/>
        </w:rPr>
        <w:t>6</w:t>
      </w:r>
      <w:r w:rsidR="003E1DB5">
        <w:fldChar w:fldCharType="end"/>
      </w:r>
      <w:r w:rsidR="003E1DB5">
        <w:t xml:space="preserve"> for a summary of these options).</w:t>
      </w:r>
    </w:p>
    <w:p w:rsidR="003E1DB5" w:rsidRDefault="003E1DB5" w:rsidP="007A5079">
      <w:r>
        <w:t>Based on</w:t>
      </w:r>
      <w:r w:rsidR="0051641E">
        <w:t xml:space="preserve"> stakeholder responses to the Consultation Paper, we requested stakeholder views at our Options Day on how we should determine the magnitude of the incentive </w:t>
      </w:r>
      <w:r w:rsidR="0051641E">
        <w:lastRenderedPageBreak/>
        <w:t>and link it to performance. Specifically, we requested views on whether we should design the Scheme in a way that:</w:t>
      </w:r>
    </w:p>
    <w:p w:rsidR="0051641E" w:rsidRDefault="0051641E" w:rsidP="0051641E">
      <w:pPr>
        <w:pStyle w:val="AERbulletlistfirststyle"/>
      </w:pPr>
      <w:r>
        <w:t>Promoted a</w:t>
      </w:r>
      <w:r w:rsidRPr="0051641E">
        <w:t>ccountability by requiring</w:t>
      </w:r>
      <w:r>
        <w:t xml:space="preserve"> distributors to apply </w:t>
      </w:r>
      <w:r w:rsidRPr="0051641E">
        <w:t xml:space="preserve">competitive procurement </w:t>
      </w:r>
      <w:r>
        <w:t xml:space="preserve">practices when identifying eligible projects. Stakeholders were supportive of this design mechanism. Distributors were also supportive as long as it did not preclude them from undertaking demand management projects in-house where efficient and permitted under the ring-fencing guidelines. We have incorporated this into the Scheme design by requiring distributors to identify eligible projects via undertaking a </w:t>
      </w:r>
      <w:r w:rsidRPr="0051641E">
        <w:t xml:space="preserve">RIT-D or </w:t>
      </w:r>
      <w:r>
        <w:t>following minimum tendering requirements.</w:t>
      </w:r>
    </w:p>
    <w:p w:rsidR="0051641E" w:rsidRDefault="0051641E" w:rsidP="0051641E">
      <w:pPr>
        <w:pStyle w:val="AERbulletlistfirststyle"/>
      </w:pPr>
      <w:r>
        <w:t xml:space="preserve">Attached incentive payments to performance, including in the form of $/kVA </w:t>
      </w:r>
      <w:r w:rsidR="00BB29B3">
        <w:t xml:space="preserve">of demand management </w:t>
      </w:r>
      <w:r>
        <w:t xml:space="preserve">at peak </w:t>
      </w:r>
      <w:r w:rsidR="00E121FA">
        <w:t xml:space="preserve">delivered, $/kVA </w:t>
      </w:r>
      <w:r w:rsidR="00BB29B3">
        <w:t xml:space="preserve">of demand management </w:t>
      </w:r>
      <w:r w:rsidR="00E121FA">
        <w:t>at peak contrac</w:t>
      </w:r>
      <w:r w:rsidR="00BB29B3">
        <w:t>ted</w:t>
      </w:r>
      <w:r w:rsidR="00E121FA">
        <w:t>, or as a percentage of the demand management costs. A percentage uplift of the demand management costs was the most favoured of these options. Several submissions we received following the Options Day reiterated support for this preference, noting benefits such as its simplicity, relatively low administrative burden and flexibility.</w:t>
      </w:r>
      <w:r w:rsidR="00E121FA">
        <w:rPr>
          <w:rStyle w:val="FootnoteReference"/>
        </w:rPr>
        <w:footnoteReference w:id="29"/>
      </w:r>
      <w:r w:rsidR="00BB29B3">
        <w:t xml:space="preserve"> While </w:t>
      </w:r>
      <w:r w:rsidR="00A03D0E">
        <w:t xml:space="preserve">the </w:t>
      </w:r>
      <w:r w:rsidR="00BB29B3">
        <w:t>ISF preferred providing an incentive in the form of $/kVA of demand management at peak contracted, it also submitted the following on the approach of tying incentives to demand management expenditure:</w:t>
      </w:r>
      <w:r w:rsidR="00BB29B3">
        <w:rPr>
          <w:rStyle w:val="FootnoteReference"/>
        </w:rPr>
        <w:footnoteReference w:id="30"/>
      </w:r>
    </w:p>
    <w:p w:rsidR="00123B86" w:rsidRPr="00123B86" w:rsidRDefault="00BB29B3" w:rsidP="009D0E55">
      <w:pPr>
        <w:pStyle w:val="AERquote"/>
      </w:pPr>
      <w:r w:rsidRPr="00BB29B3">
        <w:t xml:space="preserve">such an approach could be effective if it is complemented with a rigorous measurement and verification system to ensure efficiency and value for money for consumers. Such an approach could also have potential benefits in the early stage of a </w:t>
      </w:r>
      <w:r>
        <w:t>[Scheme]</w:t>
      </w:r>
      <w:r w:rsidRPr="00BB29B3">
        <w:t xml:space="preserve"> in reducing uncertainty about funding and reducing the scope for complex technical and administrative processes.</w:t>
      </w:r>
    </w:p>
    <w:p w:rsidR="00473D76" w:rsidRDefault="00D20550" w:rsidP="007A5079">
      <w:pPr>
        <w:pStyle w:val="Heading2"/>
      </w:pPr>
      <w:bookmarkStart w:id="32" w:name="_Toc491447239"/>
      <w:r>
        <w:t>Insights on the magnitude of the incentive</w:t>
      </w:r>
      <w:bookmarkEnd w:id="32"/>
    </w:p>
    <w:p w:rsidR="00D20550" w:rsidRDefault="00D20550" w:rsidP="00D20550">
      <w:r>
        <w:t xml:space="preserve">To date, we have not had a detailed discussion with stakeholders on a suitable magnitude for the incentive under the Scheme. However, the </w:t>
      </w:r>
      <w:r w:rsidRPr="00473D76">
        <w:t>ISF</w:t>
      </w:r>
      <w:r>
        <w:t xml:space="preserve"> has been particularly active in providing analysis to inform what an </w:t>
      </w:r>
      <w:r w:rsidR="00340CB4">
        <w:t>appropriate magnitude might be.</w:t>
      </w:r>
    </w:p>
    <w:p w:rsidR="00E569E0" w:rsidRDefault="00A03D0E" w:rsidP="00D20550">
      <w:r>
        <w:t xml:space="preserve">The </w:t>
      </w:r>
      <w:r w:rsidR="005B4E26">
        <w:t xml:space="preserve">ISF ran </w:t>
      </w:r>
      <w:r w:rsidR="00D20550" w:rsidRPr="00473D76">
        <w:t xml:space="preserve">a </w:t>
      </w:r>
      <w:r w:rsidR="00340CB4">
        <w:t>'</w:t>
      </w:r>
      <w:r w:rsidR="00D20550" w:rsidRPr="00473D76">
        <w:t xml:space="preserve">Network </w:t>
      </w:r>
      <w:r w:rsidR="00340CB4">
        <w:t xml:space="preserve">demand management </w:t>
      </w:r>
      <w:r w:rsidR="00D20550" w:rsidRPr="00473D76">
        <w:t>incentives stocktake project</w:t>
      </w:r>
      <w:r w:rsidR="00340CB4">
        <w:t>'</w:t>
      </w:r>
      <w:r w:rsidR="00D20550" w:rsidRPr="00473D76">
        <w:t xml:space="preserve"> with support from</w:t>
      </w:r>
      <w:r w:rsidR="00340CB4">
        <w:t xml:space="preserve"> the </w:t>
      </w:r>
      <w:r w:rsidR="00D20550" w:rsidRPr="00473D76">
        <w:t>Victorian Department of Environment, La</w:t>
      </w:r>
      <w:r w:rsidR="00340CB4">
        <w:t xml:space="preserve">nd, Water and Planning (DELWP) and the </w:t>
      </w:r>
      <w:r w:rsidR="00340CB4" w:rsidRPr="00340CB4">
        <w:t>Australian Renewable Energy Agency (ARENA)</w:t>
      </w:r>
      <w:r w:rsidR="00340CB4">
        <w:t xml:space="preserve">, </w:t>
      </w:r>
      <w:r w:rsidR="00340CB4" w:rsidRPr="00340CB4">
        <w:t>as an A-lab study</w:t>
      </w:r>
      <w:r w:rsidR="00340CB4">
        <w:t xml:space="preserve">. Both </w:t>
      </w:r>
      <w:r w:rsidR="00D20550" w:rsidRPr="00473D76">
        <w:t>Network and non-network stakeholders collaborated in this project and we participated as an observer. The study</w:t>
      </w:r>
      <w:r w:rsidR="00595DEF">
        <w:t xml:space="preserve"> </w:t>
      </w:r>
      <w:r w:rsidR="00595DEF" w:rsidRPr="00595DEF">
        <w:t>quantitatively</w:t>
      </w:r>
      <w:r w:rsidR="00D20550" w:rsidRPr="00473D76">
        <w:t xml:space="preserve"> analysed the impacts of regulation and incentives for networks to undertake </w:t>
      </w:r>
      <w:r w:rsidR="00B75D50">
        <w:t>demand management</w:t>
      </w:r>
      <w:r w:rsidR="00D20550" w:rsidRPr="00473D76">
        <w:t xml:space="preserve"> and </w:t>
      </w:r>
      <w:r w:rsidR="00595DEF">
        <w:t>the impact of</w:t>
      </w:r>
      <w:r w:rsidR="00595DEF" w:rsidRPr="00473D76">
        <w:t xml:space="preserve"> </w:t>
      </w:r>
      <w:r w:rsidR="00D20550" w:rsidRPr="00473D76">
        <w:t>th</w:t>
      </w:r>
      <w:r w:rsidR="002B306B">
        <w:t>ese incentives</w:t>
      </w:r>
      <w:r w:rsidR="00D20550" w:rsidRPr="00473D76">
        <w:t xml:space="preserve"> </w:t>
      </w:r>
      <w:r w:rsidR="00B75D50">
        <w:t xml:space="preserve">on </w:t>
      </w:r>
      <w:r w:rsidR="00D20550" w:rsidRPr="00473D76">
        <w:t xml:space="preserve">consumers. As an output, </w:t>
      </w:r>
      <w:r>
        <w:t xml:space="preserve">the </w:t>
      </w:r>
      <w:r w:rsidR="00D20550" w:rsidRPr="00473D76">
        <w:t>ISF has produced a quantitative model for valuing network and non-network options under different scenarios, which formed its submission on our Consultation Paper</w:t>
      </w:r>
      <w:r w:rsidR="00E569E0">
        <w:t xml:space="preserve"> that recommended an incentive in the form of $/kVA at peak per year</w:t>
      </w:r>
      <w:r w:rsidR="00D20550" w:rsidRPr="00473D76">
        <w:t xml:space="preserve">. </w:t>
      </w:r>
    </w:p>
    <w:p w:rsidR="00630BC5" w:rsidRDefault="00E569E0" w:rsidP="00817022">
      <w:r>
        <w:lastRenderedPageBreak/>
        <w:t xml:space="preserve">During the Options Day, a number of stakeholders expressed a preference towards applying an incentive under the Scheme in the form of a cost uplift. Following </w:t>
      </w:r>
      <w:r w:rsidR="002B306B">
        <w:t>this discussion</w:t>
      </w:r>
      <w:r>
        <w:t xml:space="preserve">, in its supplementary submission, </w:t>
      </w:r>
      <w:r w:rsidR="00A03D0E">
        <w:t xml:space="preserve">the </w:t>
      </w:r>
      <w:r w:rsidR="00630BC5">
        <w:t xml:space="preserve">ISF also suggested </w:t>
      </w:r>
      <w:r>
        <w:t>an incentive that coul</w:t>
      </w:r>
      <w:r w:rsidR="00B75D50">
        <w:t xml:space="preserve">d be applied </w:t>
      </w:r>
      <w:r w:rsidR="00364CB1">
        <w:t>in the form of</w:t>
      </w:r>
      <w:r w:rsidR="009C511D">
        <w:t xml:space="preserve"> a</w:t>
      </w:r>
      <w:r w:rsidR="00D712F2">
        <w:t xml:space="preserve"> cost uplift, although </w:t>
      </w:r>
      <w:r w:rsidR="00630BC5">
        <w:t>an appropriate</w:t>
      </w:r>
      <w:r w:rsidR="00630BC5" w:rsidRPr="00630BC5">
        <w:t xml:space="preserve"> uplift level</w:t>
      </w:r>
      <w:r w:rsidR="00630BC5">
        <w:t xml:space="preserve"> would vary depending on which identified need the distributor is considering. </w:t>
      </w:r>
      <w:r w:rsidR="00D712F2">
        <w:t>It recommended</w:t>
      </w:r>
      <w:r w:rsidR="00817022">
        <w:t xml:space="preserve"> </w:t>
      </w:r>
      <w:r w:rsidR="00D712F2">
        <w:t xml:space="preserve">a </w:t>
      </w:r>
      <w:r w:rsidR="00817022">
        <w:t xml:space="preserve">cost uplift </w:t>
      </w:r>
      <w:r w:rsidR="00D712F2">
        <w:t>of</w:t>
      </w:r>
      <w:r w:rsidR="00630BC5" w:rsidRPr="00630BC5">
        <w:t xml:space="preserve"> </w:t>
      </w:r>
      <w:r w:rsidR="00817022">
        <w:t xml:space="preserve">between </w:t>
      </w:r>
      <w:r w:rsidR="00630BC5" w:rsidRPr="00630BC5">
        <w:t>40</w:t>
      </w:r>
      <w:r w:rsidR="0078383B">
        <w:t xml:space="preserve"> and 104</w:t>
      </w:r>
      <w:r w:rsidR="0078383B" w:rsidRPr="0078383B">
        <w:t xml:space="preserve"> per cent</w:t>
      </w:r>
      <w:r w:rsidR="00D712F2">
        <w:t>, but also suggested we examine</w:t>
      </w:r>
      <w:r w:rsidR="00630BC5" w:rsidRPr="00630BC5">
        <w:t xml:space="preserve"> a wider range of case studies and assumptions.</w:t>
      </w:r>
      <w:r w:rsidR="00817022">
        <w:rPr>
          <w:rStyle w:val="FootnoteReference"/>
        </w:rPr>
        <w:footnoteReference w:id="31"/>
      </w:r>
      <w:r w:rsidR="00B00AA0">
        <w:t xml:space="preserve"> </w:t>
      </w:r>
      <w:r w:rsidR="00D712F2">
        <w:t>I</w:t>
      </w:r>
      <w:r w:rsidR="00B00AA0">
        <w:t>n</w:t>
      </w:r>
      <w:r w:rsidR="00D712F2">
        <w:t xml:space="preserve"> its final report to ARENA, it narrowed its recommended </w:t>
      </w:r>
      <w:r w:rsidR="00B00AA0">
        <w:t xml:space="preserve">cost uplift range </w:t>
      </w:r>
      <w:r w:rsidR="00D712F2">
        <w:t xml:space="preserve">to be </w:t>
      </w:r>
      <w:r w:rsidR="00B00AA0" w:rsidRPr="00A8255A">
        <w:t xml:space="preserve">between </w:t>
      </w:r>
      <w:r w:rsidR="00FE65E5">
        <w:t>40</w:t>
      </w:r>
      <w:r w:rsidR="0078383B">
        <w:t xml:space="preserve"> and 90 per cent</w:t>
      </w:r>
      <w:r w:rsidR="00B00AA0">
        <w:t>.</w:t>
      </w:r>
      <w:r w:rsidR="00B00AA0">
        <w:rPr>
          <w:rStyle w:val="FootnoteReference"/>
        </w:rPr>
        <w:footnoteReference w:id="32"/>
      </w:r>
    </w:p>
    <w:p w:rsidR="00B00AA0" w:rsidRDefault="00B00AA0" w:rsidP="00817022"/>
    <w:p w:rsidR="00B00AA0" w:rsidRDefault="00B00AA0" w:rsidP="00817022"/>
    <w:p w:rsidR="00473D76" w:rsidRPr="00C4623B" w:rsidRDefault="00473D76" w:rsidP="00473D76">
      <w:pPr>
        <w:pStyle w:val="AERbulletlistfirststyle"/>
        <w:numPr>
          <w:ilvl w:val="0"/>
          <w:numId w:val="0"/>
        </w:numPr>
      </w:pPr>
    </w:p>
    <w:p w:rsidR="009D0E55" w:rsidRPr="009D0E55" w:rsidRDefault="009D0E55" w:rsidP="009D0E55"/>
    <w:p w:rsidR="00C4623B" w:rsidRDefault="00EE2710" w:rsidP="00C4623B">
      <w:pPr>
        <w:pStyle w:val="Heading1"/>
      </w:pPr>
      <w:bookmarkStart w:id="33" w:name="_Toc491447240"/>
      <w:r>
        <w:lastRenderedPageBreak/>
        <w:t>Application of the Scheme</w:t>
      </w:r>
      <w:bookmarkEnd w:id="33"/>
    </w:p>
    <w:p w:rsidR="00534032" w:rsidRDefault="00C46C51" w:rsidP="00C46C51">
      <w:r>
        <w:t>Subc</w:t>
      </w:r>
      <w:r w:rsidR="00260E20">
        <w:t>lause 2.1</w:t>
      </w:r>
      <w:r w:rsidR="007F58DD">
        <w:t>(</w:t>
      </w:r>
      <w:r>
        <w:t>2)</w:t>
      </w:r>
      <w:r w:rsidR="00DD7928">
        <w:t>(a)</w:t>
      </w:r>
      <w:r w:rsidR="00260E20">
        <w:t xml:space="preserve"> of the </w:t>
      </w:r>
      <w:r w:rsidR="00EE2710">
        <w:t xml:space="preserve">draft Scheme specifies that </w:t>
      </w:r>
      <w:r>
        <w:t>our</w:t>
      </w:r>
      <w:r w:rsidR="00EE2710" w:rsidRPr="00EE2710">
        <w:t xml:space="preserve"> distribution determination will set out how </w:t>
      </w:r>
      <w:r w:rsidR="00260E20">
        <w:t>the S</w:t>
      </w:r>
      <w:r w:rsidR="00EE2710" w:rsidRPr="00EE2710">
        <w:t xml:space="preserve">cheme </w:t>
      </w:r>
      <w:r w:rsidR="002737B9">
        <w:t>will</w:t>
      </w:r>
      <w:r w:rsidR="00EE2710" w:rsidRPr="00EE2710">
        <w:t xml:space="preserve"> apply to </w:t>
      </w:r>
      <w:r w:rsidR="002737B9">
        <w:t>a</w:t>
      </w:r>
      <w:r w:rsidR="00EE2710" w:rsidRPr="00EE2710">
        <w:t xml:space="preserve"> distributor in the rel</w:t>
      </w:r>
      <w:r w:rsidR="00EA45A5">
        <w:t>evant regulatory contro</w:t>
      </w:r>
      <w:r w:rsidR="002737B9">
        <w:t xml:space="preserve">l period. </w:t>
      </w:r>
    </w:p>
    <w:p w:rsidR="008C6598" w:rsidRDefault="00534032" w:rsidP="00E909F1">
      <w:r>
        <w:t>The Scheme</w:t>
      </w:r>
      <w:r w:rsidR="002737B9">
        <w:t xml:space="preserve"> will specify </w:t>
      </w:r>
      <w:r w:rsidR="00DD7928">
        <w:t xml:space="preserve">that </w:t>
      </w:r>
      <w:r w:rsidR="00DD7928" w:rsidRPr="00CC31C5">
        <w:t>the cost multiplier applied to any eligible project must be that sp</w:t>
      </w:r>
      <w:r w:rsidR="002737B9">
        <w:t>ecified in the version of the S</w:t>
      </w:r>
      <w:r w:rsidR="00DD7928" w:rsidRPr="00CC31C5">
        <w:t>cheme that is current when the distributo</w:t>
      </w:r>
      <w:r w:rsidR="00DD7928">
        <w:t xml:space="preserve">r </w:t>
      </w:r>
      <w:r w:rsidR="00E909F1">
        <w:t>commits</w:t>
      </w:r>
      <w:r w:rsidR="00E909F1">
        <w:rPr>
          <w:rStyle w:val="CommentReference"/>
          <w:rFonts w:asciiTheme="minorHAnsi" w:eastAsia="Calibri" w:hAnsiTheme="minorHAnsi" w:cs="Times New Roman"/>
        </w:rPr>
        <w:t xml:space="preserve"> </w:t>
      </w:r>
      <w:r w:rsidR="00E909F1">
        <w:t xml:space="preserve">the </w:t>
      </w:r>
      <w:r w:rsidR="00DD7928">
        <w:t>eligible project</w:t>
      </w:r>
      <w:r w:rsidR="00E909F1">
        <w:t xml:space="preserve"> as per the requirements in </w:t>
      </w:r>
      <w:r w:rsidR="007F58DD">
        <w:t>clause</w:t>
      </w:r>
      <w:r w:rsidR="00E909F1">
        <w:t xml:space="preserve"> 2.2.2 of the draft Scheme</w:t>
      </w:r>
      <w:r w:rsidR="00DD7928">
        <w:t xml:space="preserve">. </w:t>
      </w:r>
    </w:p>
    <w:p w:rsidR="00EE2710" w:rsidRDefault="00DD7928" w:rsidP="00E909F1">
      <w:r>
        <w:t>The draft Scheme specifies a</w:t>
      </w:r>
      <w:r w:rsidRPr="00CC31C5">
        <w:t xml:space="preserve"> cost multiplier </w:t>
      </w:r>
      <w:r>
        <w:t xml:space="preserve">of </w:t>
      </w:r>
      <w:r w:rsidRPr="00CC31C5">
        <w:t>50</w:t>
      </w:r>
      <w:r w:rsidR="0078383B" w:rsidRPr="0078383B">
        <w:t xml:space="preserve"> per cent</w:t>
      </w:r>
      <w:r w:rsidRPr="00CC31C5">
        <w:t>. Only one cost multiplier will apply to any eligible project over the life of that project</w:t>
      </w:r>
      <w:r w:rsidR="002737B9">
        <w:t>.</w:t>
      </w:r>
    </w:p>
    <w:p w:rsidR="00C46C51" w:rsidRDefault="00C46C51" w:rsidP="00C46C51">
      <w:pPr>
        <w:pStyle w:val="AERbulletlistfirststyle"/>
        <w:numPr>
          <w:ilvl w:val="0"/>
          <w:numId w:val="0"/>
        </w:numPr>
      </w:pPr>
      <w:r>
        <w:t>In the following sections, we explain our decision to:</w:t>
      </w:r>
    </w:p>
    <w:p w:rsidR="00534032" w:rsidRDefault="00534032" w:rsidP="00C46C51">
      <w:pPr>
        <w:pStyle w:val="AERbulletlistfirststyle"/>
      </w:pPr>
      <w:r>
        <w:t>Apply the incentive as a cost uplift.</w:t>
      </w:r>
    </w:p>
    <w:p w:rsidR="00DD7928" w:rsidRDefault="00C46C51" w:rsidP="00C46C51">
      <w:pPr>
        <w:pStyle w:val="AERbulletlistfirststyle"/>
      </w:pPr>
      <w:r>
        <w:t>Set the cost multiplier in</w:t>
      </w:r>
      <w:r w:rsidR="00AE20AD">
        <w:t xml:space="preserve"> the Scheme rather than in the distribution </w:t>
      </w:r>
      <w:r w:rsidR="00DD7928">
        <w:t>determination or framework and approach (F&amp;A).</w:t>
      </w:r>
    </w:p>
    <w:p w:rsidR="00EA45A5" w:rsidRDefault="00DD7928" w:rsidP="002737B9">
      <w:pPr>
        <w:pStyle w:val="AERbulletlistfirststyle"/>
      </w:pPr>
      <w:r>
        <w:t xml:space="preserve">Set the </w:t>
      </w:r>
      <w:r w:rsidR="002737B9">
        <w:t xml:space="preserve">magnitude of the </w:t>
      </w:r>
      <w:r w:rsidR="00D712F2">
        <w:t>cost multiplier to 50</w:t>
      </w:r>
      <w:r w:rsidR="0078383B" w:rsidRPr="0078383B">
        <w:t xml:space="preserve"> per cent</w:t>
      </w:r>
      <w:r w:rsidR="00D712F2">
        <w:t>.</w:t>
      </w:r>
    </w:p>
    <w:p w:rsidR="00534032" w:rsidRDefault="00534032" w:rsidP="002737B9">
      <w:pPr>
        <w:pStyle w:val="Heading2"/>
      </w:pPr>
      <w:bookmarkStart w:id="34" w:name="_Toc491447241"/>
      <w:r>
        <w:t>Applying the incentive as a cost uplift</w:t>
      </w:r>
      <w:bookmarkEnd w:id="34"/>
    </w:p>
    <w:p w:rsidR="009D0E55" w:rsidRPr="009D0E55" w:rsidRDefault="009D0E55" w:rsidP="009D0E55">
      <w:r w:rsidRPr="009D0E55">
        <w:t>We co</w:t>
      </w:r>
      <w:r w:rsidR="00664205">
        <w:t>nsidered a variety of possible S</w:t>
      </w:r>
      <w:r w:rsidRPr="009D0E55">
        <w:t>cheme designs. Our consideration focussed on three possible designs:</w:t>
      </w:r>
    </w:p>
    <w:p w:rsidR="009D0E55" w:rsidRPr="009D0E55" w:rsidRDefault="009D0E55" w:rsidP="009D0E55">
      <w:pPr>
        <w:pStyle w:val="AERbulletlistsecondstyle"/>
      </w:pPr>
      <w:r w:rsidRPr="009D0E55">
        <w:t>The cost multiplier,</w:t>
      </w:r>
    </w:p>
    <w:p w:rsidR="009D0E55" w:rsidRPr="009D0E55" w:rsidRDefault="006F4E75" w:rsidP="009D0E55">
      <w:pPr>
        <w:pStyle w:val="AERbulletlistsecondstyle"/>
      </w:pPr>
      <w:r>
        <w:t>Net-</w:t>
      </w:r>
      <w:r w:rsidR="00664205">
        <w:t>b</w:t>
      </w:r>
      <w:r w:rsidR="009D0E55" w:rsidRPr="009D0E55">
        <w:t>enefit sharing,</w:t>
      </w:r>
    </w:p>
    <w:p w:rsidR="009D0E55" w:rsidRPr="009D0E55" w:rsidRDefault="009D0E55" w:rsidP="009D0E55">
      <w:pPr>
        <w:pStyle w:val="AERbulletlistsecondstyle"/>
      </w:pPr>
      <w:r w:rsidRPr="009D0E55">
        <w:t>Mechanisms to reduce t</w:t>
      </w:r>
      <w:r w:rsidR="00664205">
        <w:t>he disincentives to undertake demand management</w:t>
      </w:r>
      <w:r w:rsidRPr="009D0E55">
        <w:t>.</w:t>
      </w:r>
    </w:p>
    <w:p w:rsidR="009D0E55" w:rsidRDefault="00664205" w:rsidP="009D0E55">
      <w:r>
        <w:t>We also considered a</w:t>
      </w:r>
      <w:r w:rsidR="009D0E55" w:rsidRPr="009D0E55">
        <w:t xml:space="preserve"> suite of other options</w:t>
      </w:r>
      <w:r>
        <w:t xml:space="preserve">, which also included the possibility of not implementing a Scheme (see section </w:t>
      </w:r>
      <w:r>
        <w:fldChar w:fldCharType="begin"/>
      </w:r>
      <w:r>
        <w:instrText xml:space="preserve"> REF _Ref489597146 \r \h </w:instrText>
      </w:r>
      <w:r>
        <w:fldChar w:fldCharType="separate"/>
      </w:r>
      <w:r w:rsidR="0076296B">
        <w:t>2.3</w:t>
      </w:r>
      <w:r>
        <w:fldChar w:fldCharType="end"/>
      </w:r>
      <w:r>
        <w:t>). F</w:t>
      </w:r>
      <w:r w:rsidR="00F37952">
        <w:t>ollowing our deliberations</w:t>
      </w:r>
      <w:r>
        <w:t xml:space="preserve">, we considered the above three </w:t>
      </w:r>
      <w:r w:rsidR="00F37952">
        <w:t xml:space="preserve">options were the most viable </w:t>
      </w:r>
      <w:r>
        <w:t>for</w:t>
      </w:r>
      <w:r w:rsidR="00F37952">
        <w:t xml:space="preserve"> achieving the Scheme Objective.</w:t>
      </w:r>
    </w:p>
    <w:p w:rsidR="00F37952" w:rsidRDefault="00F37952" w:rsidP="00F37952">
      <w:pPr>
        <w:pStyle w:val="Heading3"/>
      </w:pPr>
      <w:bookmarkStart w:id="35" w:name="_Toc491447242"/>
      <w:r>
        <w:t>The cost multiplier</w:t>
      </w:r>
      <w:bookmarkEnd w:id="35"/>
    </w:p>
    <w:p w:rsidR="00F37952" w:rsidRDefault="00DA3D57" w:rsidP="00F37952">
      <w:r>
        <w:t>The cost m</w:t>
      </w:r>
      <w:r w:rsidR="00F37952">
        <w:t xml:space="preserve">ultiplier consists of an uplift on the costs of demand management projects. </w:t>
      </w:r>
      <w:r w:rsidR="006F4E75">
        <w:t xml:space="preserve">This provides distributors with an incentive to undertake </w:t>
      </w:r>
      <w:r w:rsidR="00A856F6">
        <w:t>efficient</w:t>
      </w:r>
      <w:r w:rsidR="006F4E75">
        <w:t xml:space="preserve"> projects, as they receive a return on demand management costs. </w:t>
      </w:r>
    </w:p>
    <w:p w:rsidR="00F37952" w:rsidRDefault="00F37952" w:rsidP="00F37952">
      <w:r>
        <w:t xml:space="preserve">Following our consultation and guideline development process, we consider that </w:t>
      </w:r>
      <w:r w:rsidR="006F4E75">
        <w:t>the</w:t>
      </w:r>
      <w:r>
        <w:t xml:space="preserve"> cost multiplier </w:t>
      </w:r>
      <w:r w:rsidR="008C6598">
        <w:t xml:space="preserve">is </w:t>
      </w:r>
      <w:r w:rsidR="00664205">
        <w:t xml:space="preserve">the most effective option. Our assessment </w:t>
      </w:r>
      <w:r>
        <w:t>took into account stakeholder views that indicated that the Scheme shoul</w:t>
      </w:r>
      <w:r w:rsidR="00A856F6">
        <w:t>d include financial incentives,</w:t>
      </w:r>
      <w:r>
        <w:t xml:space="preserve"> impose a </w:t>
      </w:r>
      <w:r w:rsidR="006F4E75">
        <w:t>small</w:t>
      </w:r>
      <w:r>
        <w:t xml:space="preserve"> administrative burden</w:t>
      </w:r>
      <w:r w:rsidR="006F4E75">
        <w:t>, and not</w:t>
      </w:r>
      <w:r>
        <w:t xml:space="preserve"> contribute to uncertainty. We consider that the cost multiplier is</w:t>
      </w:r>
      <w:r w:rsidR="006F4E75">
        <w:t xml:space="preserve"> the</w:t>
      </w:r>
      <w:r w:rsidR="00A856F6">
        <w:t xml:space="preserve"> </w:t>
      </w:r>
      <w:r w:rsidR="00F833DB">
        <w:t>better</w:t>
      </w:r>
      <w:r w:rsidR="006F4E75">
        <w:t xml:space="preserve"> option</w:t>
      </w:r>
      <w:r>
        <w:t xml:space="preserve"> to address these concerns</w:t>
      </w:r>
      <w:r w:rsidR="00F833DB">
        <w:t xml:space="preserve">. Relative to net benefit sharing, </w:t>
      </w:r>
      <w:r w:rsidR="00DD085E">
        <w:t>as a starting point for the Scheme</w:t>
      </w:r>
      <w:r w:rsidR="00F833DB">
        <w:t xml:space="preserve"> we consider that </w:t>
      </w:r>
      <w:r w:rsidR="006F4E75">
        <w:t xml:space="preserve">it </w:t>
      </w:r>
      <w:r>
        <w:t>provides a high degree of certainty to distributors when committing projects, imposes a relatively modest administrative burden, and provides a</w:t>
      </w:r>
      <w:r w:rsidR="00F833DB">
        <w:t>n adequate</w:t>
      </w:r>
      <w:r>
        <w:t xml:space="preserve"> financial incentive. </w:t>
      </w:r>
    </w:p>
    <w:p w:rsidR="00F37952" w:rsidRDefault="00AD1A22" w:rsidP="00F37952">
      <w:r>
        <w:lastRenderedPageBreak/>
        <w:t>We</w:t>
      </w:r>
      <w:r w:rsidR="00F37952">
        <w:t xml:space="preserve"> recognise that there are drawbacks to this </w:t>
      </w:r>
      <w:r w:rsidR="00664205">
        <w:t>approach (see s</w:t>
      </w:r>
      <w:r>
        <w:t xml:space="preserve">ection </w:t>
      </w:r>
      <w:r>
        <w:fldChar w:fldCharType="begin"/>
      </w:r>
      <w:r>
        <w:instrText xml:space="preserve"> REF _Ref489597726 \r \h </w:instrText>
      </w:r>
      <w:r>
        <w:fldChar w:fldCharType="separate"/>
      </w:r>
      <w:r w:rsidR="0076296B">
        <w:t>4.3</w:t>
      </w:r>
      <w:r>
        <w:fldChar w:fldCharType="end"/>
      </w:r>
      <w:r w:rsidR="00664205">
        <w:t xml:space="preserve"> for a discussion)</w:t>
      </w:r>
      <w:r w:rsidR="00F37952">
        <w:t xml:space="preserve">. </w:t>
      </w:r>
      <w:r>
        <w:t xml:space="preserve">We have also designed the Scheme so that only efficient projects are eligible to receive an incentive. Further, </w:t>
      </w:r>
      <w:r w:rsidR="00664205">
        <w:t xml:space="preserve">our net benefit constraints provide </w:t>
      </w:r>
      <w:r>
        <w:t>safeguards to e</w:t>
      </w:r>
      <w:r w:rsidR="00664205">
        <w:t>nsure that consumers receive the</w:t>
      </w:r>
      <w:r>
        <w:t xml:space="preserve"> economic benefits. Moreover, as discussed in section 4.2 we have set the cost uplift </w:t>
      </w:r>
      <w:r w:rsidR="00F53FD1">
        <w:t>in the Scheme so that</w:t>
      </w:r>
      <w:r>
        <w:t xml:space="preserve"> we </w:t>
      </w:r>
      <w:r w:rsidR="00F53FD1">
        <w:t>can adjust it over time based on its effectiveness and benefits.</w:t>
      </w:r>
      <w:r>
        <w:t xml:space="preserve"> </w:t>
      </w:r>
    </w:p>
    <w:p w:rsidR="006F4E75" w:rsidRDefault="006F4E75" w:rsidP="006F4E75">
      <w:pPr>
        <w:pStyle w:val="Heading3"/>
      </w:pPr>
      <w:bookmarkStart w:id="36" w:name="_Toc491447243"/>
      <w:r>
        <w:t>Net-Benefit Sharing</w:t>
      </w:r>
      <w:bookmarkEnd w:id="36"/>
    </w:p>
    <w:p w:rsidR="003A13A5" w:rsidRDefault="006B4BF8" w:rsidP="006F4E75">
      <w:r>
        <w:t>A</w:t>
      </w:r>
      <w:r w:rsidR="003A13A5">
        <w:t xml:space="preserve"> </w:t>
      </w:r>
      <w:r w:rsidR="003A13A5" w:rsidRPr="003A13A5">
        <w:t>net benefit sharing mechanism</w:t>
      </w:r>
      <w:r w:rsidR="003A13A5">
        <w:t xml:space="preserve"> </w:t>
      </w:r>
      <w:r w:rsidR="006F4E75">
        <w:t xml:space="preserve">would entail calculating the benefits of a given demand management project </w:t>
      </w:r>
      <w:r>
        <w:t>in the relevant market</w:t>
      </w:r>
      <w:r w:rsidR="006F4E75">
        <w:t xml:space="preserve"> and providing distributors with some portion of that benefit as an incentive. </w:t>
      </w:r>
      <w:r>
        <w:t xml:space="preserve">The concept of net </w:t>
      </w:r>
      <w:r w:rsidR="00D55167" w:rsidRPr="00D55167">
        <w:t>benefits is integral to our implementation of the cost multiplie</w:t>
      </w:r>
      <w:r>
        <w:t>r, as described in s</w:t>
      </w:r>
      <w:r w:rsidR="00D55167">
        <w:t>ection 6.2</w:t>
      </w:r>
      <w:r>
        <w:t>. However</w:t>
      </w:r>
      <w:r w:rsidR="00D55167">
        <w:t xml:space="preserve">, our </w:t>
      </w:r>
      <w:r>
        <w:t>chosen S</w:t>
      </w:r>
      <w:r w:rsidR="00D55167" w:rsidRPr="00D55167">
        <w:t xml:space="preserve">cheme design acknowledges the bounds of our current understanding of the net benefits of demand management. </w:t>
      </w:r>
    </w:p>
    <w:p w:rsidR="003A13A5" w:rsidRDefault="00F53FD1" w:rsidP="006F4E75">
      <w:r>
        <w:t xml:space="preserve">A precise calculation of the benefits involved would provide customers with a more certain value proposition. </w:t>
      </w:r>
      <w:r w:rsidR="006B4BF8">
        <w:t xml:space="preserve">Oakley </w:t>
      </w:r>
      <w:r w:rsidR="00C62DFE">
        <w:t xml:space="preserve">Greenwood advocated </w:t>
      </w:r>
      <w:r w:rsidR="00A856F6">
        <w:t>such an</w:t>
      </w:r>
      <w:r w:rsidR="00C62DFE">
        <w:t xml:space="preserve"> </w:t>
      </w:r>
      <w:r w:rsidR="00A856F6">
        <w:t>approach</w:t>
      </w:r>
      <w:r w:rsidR="00C62DFE">
        <w:t xml:space="preserve"> in their commissioned report</w:t>
      </w:r>
      <w:r>
        <w:t xml:space="preserve"> as its first preference</w:t>
      </w:r>
      <w:r w:rsidR="00C62DFE">
        <w:t xml:space="preserve">, as did the </w:t>
      </w:r>
      <w:r w:rsidR="00A03D0E">
        <w:t>ISF</w:t>
      </w:r>
      <w:r w:rsidR="00C62DFE">
        <w:t xml:space="preserve"> in </w:t>
      </w:r>
      <w:r w:rsidR="006B4BF8">
        <w:t>its</w:t>
      </w:r>
      <w:r w:rsidR="00C62DFE">
        <w:t xml:space="preserve"> </w:t>
      </w:r>
      <w:r w:rsidR="006B4BF8">
        <w:t>submission on the Consultation Paper</w:t>
      </w:r>
      <w:r w:rsidR="00C62DFE">
        <w:t>.</w:t>
      </w:r>
      <w:r w:rsidR="000E171C">
        <w:t xml:space="preserve"> Some distributors also considered that we should adopt such an approach.</w:t>
      </w:r>
      <w:r w:rsidR="00C62DFE">
        <w:t xml:space="preserve"> We agree that in theory </w:t>
      </w:r>
      <w:r w:rsidR="00A856F6">
        <w:t>this</w:t>
      </w:r>
      <w:r w:rsidR="00C62DFE">
        <w:t xml:space="preserve"> approach </w:t>
      </w:r>
      <w:r w:rsidR="003A13A5">
        <w:t xml:space="preserve">should </w:t>
      </w:r>
      <w:r w:rsidR="00C62DFE">
        <w:t>provide the greatest val</w:t>
      </w:r>
      <w:r w:rsidR="006B5B2E">
        <w:t>ue to customers and the broader</w:t>
      </w:r>
      <w:r w:rsidR="00C62DFE">
        <w:t xml:space="preserve"> market</w:t>
      </w:r>
      <w:r w:rsidR="003A13A5">
        <w:t xml:space="preserve">. </w:t>
      </w:r>
      <w:r w:rsidR="00A856F6" w:rsidRPr="00A856F6">
        <w:t xml:space="preserve">Given the stakeholder support, we </w:t>
      </w:r>
      <w:r w:rsidR="003A13A5">
        <w:t xml:space="preserve">gave this option </w:t>
      </w:r>
      <w:r w:rsidR="00A856F6" w:rsidRPr="00A856F6">
        <w:t>consider</w:t>
      </w:r>
      <w:r w:rsidR="003A13A5">
        <w:t xml:space="preserve">able thought. </w:t>
      </w:r>
    </w:p>
    <w:p w:rsidR="00D55167" w:rsidRDefault="007432C4" w:rsidP="006F4E75">
      <w:r>
        <w:t>However, in</w:t>
      </w:r>
      <w:r w:rsidR="003A13A5">
        <w:t xml:space="preserve"> </w:t>
      </w:r>
      <w:r w:rsidR="00D55167">
        <w:t>practice,</w:t>
      </w:r>
      <w:r w:rsidR="003A13A5">
        <w:t xml:space="preserve"> such a sharing Scheme </w:t>
      </w:r>
      <w:r>
        <w:t>faces difficulties at this time</w:t>
      </w:r>
      <w:r w:rsidR="003A13A5">
        <w:t xml:space="preserve">. </w:t>
      </w:r>
      <w:r w:rsidR="00D55167">
        <w:t>Such</w:t>
      </w:r>
      <w:r w:rsidR="003A13A5">
        <w:t xml:space="preserve"> calculations are sensitive to the inputs </w:t>
      </w:r>
      <w:r w:rsidR="00A01521">
        <w:t>and assumptions made by the entity performing the calculation. While significant work is taking place in this area, the market's understanding of the benefits of demand management is</w:t>
      </w:r>
      <w:r w:rsidR="007C6191">
        <w:t xml:space="preserve"> still</w:t>
      </w:r>
      <w:r w:rsidR="00A01521">
        <w:t xml:space="preserve"> relatively limited</w:t>
      </w:r>
      <w:r w:rsidR="00C24B0F">
        <w:t>, due to the infrequent d</w:t>
      </w:r>
      <w:r w:rsidR="00D55167" w:rsidRPr="00D55167">
        <w:t xml:space="preserve">eployment of demand management by distributors in Australia. </w:t>
      </w:r>
      <w:r w:rsidR="00D55167">
        <w:t>T</w:t>
      </w:r>
      <w:r w:rsidR="00D55167" w:rsidRPr="00D55167">
        <w:t>echnological improvements appear to be driving new</w:t>
      </w:r>
      <w:r w:rsidR="00C24B0F">
        <w:t>,</w:t>
      </w:r>
      <w:r w:rsidR="00D55167" w:rsidRPr="00D55167">
        <w:t xml:space="preserve"> sophisticated forms </w:t>
      </w:r>
      <w:r w:rsidR="00C24B0F">
        <w:t xml:space="preserve">of demand management </w:t>
      </w:r>
      <w:r w:rsidR="00D55167" w:rsidRPr="00D55167">
        <w:t xml:space="preserve">and altering the </w:t>
      </w:r>
      <w:r>
        <w:t>information available for calculating the benefits of non-solutions with increasing pace</w:t>
      </w:r>
      <w:r w:rsidR="006B4BF8">
        <w:t>.</w:t>
      </w:r>
    </w:p>
    <w:p w:rsidR="003A13A5" w:rsidRDefault="00D55167" w:rsidP="006F4E75">
      <w:r w:rsidRPr="00D55167">
        <w:t>In our view,</w:t>
      </w:r>
      <w:r w:rsidR="007F58DD">
        <w:t xml:space="preserve"> there is a limited</w:t>
      </w:r>
      <w:r w:rsidR="007432C4">
        <w:t xml:space="preserve"> understanding of </w:t>
      </w:r>
      <w:r w:rsidR="007F58DD">
        <w:t xml:space="preserve">demand management's market-wide </w:t>
      </w:r>
      <w:r w:rsidR="007432C4">
        <w:t>benefits</w:t>
      </w:r>
      <w:r w:rsidR="007F58DD">
        <w:t xml:space="preserve">, and </w:t>
      </w:r>
      <w:r w:rsidR="007432C4">
        <w:t xml:space="preserve">calculating </w:t>
      </w:r>
      <w:r w:rsidR="007F58DD">
        <w:t xml:space="preserve">these </w:t>
      </w:r>
      <w:r w:rsidR="007432C4">
        <w:t>benefits</w:t>
      </w:r>
      <w:r>
        <w:t xml:space="preserve"> </w:t>
      </w:r>
      <w:r w:rsidR="007F58DD">
        <w:t>can be difficult</w:t>
      </w:r>
      <w:r>
        <w:t>. Wh</w:t>
      </w:r>
      <w:r w:rsidR="00883652">
        <w:t>ile</w:t>
      </w:r>
      <w:r w:rsidR="00A01521">
        <w:t xml:space="preserve"> Oakley</w:t>
      </w:r>
      <w:r w:rsidR="00883652">
        <w:t xml:space="preserve"> </w:t>
      </w:r>
      <w:r w:rsidR="00A01521">
        <w:t>Greenwood</w:t>
      </w:r>
      <w:r w:rsidR="00883652">
        <w:t xml:space="preserve"> provided us with some worked e</w:t>
      </w:r>
      <w:r w:rsidR="007F58DD">
        <w:t>xamples for calculating certain</w:t>
      </w:r>
      <w:r w:rsidR="00A01521">
        <w:t xml:space="preserve"> benefits</w:t>
      </w:r>
      <w:r w:rsidR="00753967">
        <w:t xml:space="preserve"> associated with demand management</w:t>
      </w:r>
      <w:r w:rsidR="00A01521">
        <w:t xml:space="preserve">, </w:t>
      </w:r>
      <w:r w:rsidR="00557340">
        <w:t>these required employing approximation methods and assumptions.</w:t>
      </w:r>
      <w:r w:rsidR="00753967">
        <w:rPr>
          <w:rStyle w:val="FootnoteReference"/>
        </w:rPr>
        <w:footnoteReference w:id="33"/>
      </w:r>
      <w:r w:rsidR="006B4BF8">
        <w:t xml:space="preserve"> </w:t>
      </w:r>
      <w:r w:rsidR="00557340">
        <w:t>Given the challenges and the potential subjectivity involved in estimating market</w:t>
      </w:r>
      <w:r w:rsidR="007F58DD">
        <w:t>-wide</w:t>
      </w:r>
      <w:r w:rsidR="00557340">
        <w:t xml:space="preserve"> benefits, we do not consider it would be prudent to rely too heavily on these estimates when calculating the magnitude of incentives under the Scheme. We consider</w:t>
      </w:r>
      <w:r w:rsidR="007F58DD">
        <w:t xml:space="preserve"> this might result in</w:t>
      </w:r>
      <w:r w:rsidR="00557340">
        <w:t xml:space="preserve"> </w:t>
      </w:r>
      <w:r w:rsidR="00A01521">
        <w:t>customers pay</w:t>
      </w:r>
      <w:r w:rsidR="00557340">
        <w:t>ing</w:t>
      </w:r>
      <w:r w:rsidR="00A01521">
        <w:t xml:space="preserve"> for expected be</w:t>
      </w:r>
      <w:r w:rsidR="007432C4">
        <w:t xml:space="preserve">nefits that </w:t>
      </w:r>
      <w:r w:rsidR="007F58DD">
        <w:t>are unlikely to occur</w:t>
      </w:r>
      <w:r w:rsidR="00A01521">
        <w:t xml:space="preserve">. This makes it difficult to have certainty about the impact of the </w:t>
      </w:r>
      <w:r w:rsidR="00557340">
        <w:t>S</w:t>
      </w:r>
      <w:r w:rsidR="00A01521">
        <w:t xml:space="preserve">cheme in this first </w:t>
      </w:r>
      <w:r w:rsidR="007C6191">
        <w:t>iteration</w:t>
      </w:r>
      <w:r w:rsidR="006B4BF8">
        <w:t>.</w:t>
      </w:r>
    </w:p>
    <w:p w:rsidR="000E171C" w:rsidRDefault="000E171C" w:rsidP="000E171C">
      <w:r>
        <w:lastRenderedPageBreak/>
        <w:t xml:space="preserve">We consider it important that </w:t>
      </w:r>
      <w:r w:rsidR="00664205">
        <w:t>the</w:t>
      </w:r>
      <w:r>
        <w:t xml:space="preserve"> </w:t>
      </w:r>
      <w:r w:rsidR="00664205">
        <w:t xml:space="preserve">demand management </w:t>
      </w:r>
      <w:r>
        <w:t xml:space="preserve">incentive </w:t>
      </w:r>
      <w:r w:rsidR="00664205">
        <w:t xml:space="preserve">under the first version of the Scheme </w:t>
      </w:r>
      <w:r>
        <w:t>provide</w:t>
      </w:r>
      <w:r w:rsidR="00664205">
        <w:t>s certainty. Th</w:t>
      </w:r>
      <w:r>
        <w:t>is</w:t>
      </w:r>
      <w:r w:rsidR="00664205">
        <w:t xml:space="preserve"> certainty</w:t>
      </w:r>
      <w:r>
        <w:t xml:space="preserve"> is better achieved at this time via a cost </w:t>
      </w:r>
      <w:r w:rsidR="007C6191">
        <w:t>uplift. Moreover</w:t>
      </w:r>
      <w:r>
        <w:t>, the cost uplift will have a l</w:t>
      </w:r>
      <w:r w:rsidR="006B4BF8">
        <w:t>ower</w:t>
      </w:r>
      <w:r>
        <w:t xml:space="preserve"> compliance burden as the incentive is not </w:t>
      </w:r>
      <w:r w:rsidR="00A01521">
        <w:t xml:space="preserve">tied to </w:t>
      </w:r>
      <w:r>
        <w:t>the benefit calculation</w:t>
      </w:r>
      <w:r w:rsidR="007C6191">
        <w:t>,</w:t>
      </w:r>
      <w:r>
        <w:t xml:space="preserve"> which is sensitive to inputs. </w:t>
      </w:r>
      <w:r w:rsidR="00156A91">
        <w:t>The new</w:t>
      </w:r>
      <w:r w:rsidR="006E30AE">
        <w:t xml:space="preserve"> Scheme also contains components, such as the use of the RIT-D, which encourage the public sharing and scrutiny of the net benefit calculations used by distributors. We consider that overtime this will lead to a greater market understanding of how to calculate the benefits of demand management.</w:t>
      </w:r>
    </w:p>
    <w:p w:rsidR="000E171C" w:rsidRDefault="000E171C" w:rsidP="000E171C">
      <w:r>
        <w:t xml:space="preserve">Additionally, calculations of net-benefit cannot address potential non-financial barriers to demand management, such as a cultural bias among distributors. The cost uplift </w:t>
      </w:r>
      <w:r w:rsidR="00D55167">
        <w:t xml:space="preserve">is </w:t>
      </w:r>
      <w:r>
        <w:t xml:space="preserve">better </w:t>
      </w:r>
      <w:r w:rsidR="00D55167">
        <w:t xml:space="preserve">suited to </w:t>
      </w:r>
      <w:r>
        <w:t xml:space="preserve">address this </w:t>
      </w:r>
      <w:r w:rsidR="00275CD0">
        <w:t>barrier,</w:t>
      </w:r>
      <w:r>
        <w:t xml:space="preserve"> as it requires distributors to identify and commit to eligible projects and thereby receive a return for their effort. This could also provide a better impetus for the dem</w:t>
      </w:r>
      <w:r w:rsidR="007F58DD">
        <w:t>and management services market.</w:t>
      </w:r>
    </w:p>
    <w:p w:rsidR="00251219" w:rsidRDefault="00416A07" w:rsidP="006F4E75">
      <w:r>
        <w:t xml:space="preserve">The draft Scheme </w:t>
      </w:r>
      <w:r w:rsidR="00D55167">
        <w:t xml:space="preserve">also </w:t>
      </w:r>
      <w:r>
        <w:t>contains several measure</w:t>
      </w:r>
      <w:r w:rsidR="00251219">
        <w:t>s intended to moderate the size of the incentive</w:t>
      </w:r>
      <w:r>
        <w:t>, while providing a health</w:t>
      </w:r>
      <w:r w:rsidR="00251219">
        <w:t xml:space="preserve">y incentive that we consider will </w:t>
      </w:r>
      <w:r w:rsidR="00664205">
        <w:t xml:space="preserve">encourage </w:t>
      </w:r>
      <w:r w:rsidR="00251219">
        <w:t>distributors to engage in projects where they are efficient.</w:t>
      </w:r>
      <w:r w:rsidR="00847890">
        <w:t xml:space="preserve"> To be eligible for an uplift the net benefits of projects must have been assessed, and this assessment will inform (but not alone determine) the size of the incentive.</w:t>
      </w:r>
      <w:r w:rsidR="00251219">
        <w:t xml:space="preserve"> In the long term, this will increase the market's ability to assess the benefits of demand management, </w:t>
      </w:r>
      <w:r w:rsidR="00275CD0">
        <w:t>while</w:t>
      </w:r>
      <w:r w:rsidR="00251219">
        <w:t xml:space="preserve"> improving our ability to access those benefits</w:t>
      </w:r>
      <w:r w:rsidR="00847890">
        <w:t>, but mitigates the risk</w:t>
      </w:r>
      <w:r w:rsidR="00275CD0">
        <w:t xml:space="preserve"> to consumers</w:t>
      </w:r>
      <w:r w:rsidR="00847890">
        <w:t xml:space="preserve"> of miscalculating the benefits</w:t>
      </w:r>
      <w:r w:rsidR="00251219">
        <w:t>.</w:t>
      </w:r>
    </w:p>
    <w:p w:rsidR="000B4777" w:rsidRDefault="000B4777" w:rsidP="000B4777">
      <w:pPr>
        <w:pStyle w:val="Heading3"/>
      </w:pPr>
      <w:bookmarkStart w:id="37" w:name="_Toc491447244"/>
      <w:r>
        <w:t>Removing disincentives to undertake demand management</w:t>
      </w:r>
      <w:bookmarkEnd w:id="37"/>
    </w:p>
    <w:p w:rsidR="006475D5" w:rsidRDefault="00A856F6" w:rsidP="000B4777">
      <w:r>
        <w:t>Throughout both the AEMC rule c</w:t>
      </w:r>
      <w:r w:rsidR="000B4777">
        <w:t>hange process an</w:t>
      </w:r>
      <w:r w:rsidR="00171E38">
        <w:t>d our own consultation,</w:t>
      </w:r>
      <w:r w:rsidR="000B4777">
        <w:t xml:space="preserve"> </w:t>
      </w:r>
      <w:r w:rsidR="00171E38">
        <w:t xml:space="preserve">we considered </w:t>
      </w:r>
      <w:r w:rsidR="00664205">
        <w:t xml:space="preserve">exempting demand management projects associated with the Scheme from </w:t>
      </w:r>
      <w:r w:rsidR="00171E38">
        <w:t>other schemes, such as the Service target performance incentive scheme (STPIS), the Efficiency benefit sharing scheme (EBSS) and the Capital Expenditure Sharing Scheme</w:t>
      </w:r>
      <w:r w:rsidR="00F80A76">
        <w:t xml:space="preserve"> (CESS)</w:t>
      </w:r>
      <w:r w:rsidR="007F64BC">
        <w:t>.</w:t>
      </w:r>
    </w:p>
    <w:p w:rsidR="006475D5" w:rsidRDefault="00171E38" w:rsidP="000B4777">
      <w:r>
        <w:t>However, STPIS</w:t>
      </w:r>
      <w:r w:rsidR="006475D5">
        <w:t xml:space="preserve"> exemptions</w:t>
      </w:r>
      <w:r w:rsidR="007C6191">
        <w:t xml:space="preserve"> may also</w:t>
      </w:r>
      <w:r>
        <w:t xml:space="preserve"> </w:t>
      </w:r>
      <w:r w:rsidR="007C6191">
        <w:t xml:space="preserve">expose </w:t>
      </w:r>
      <w:r>
        <w:t>consumers</w:t>
      </w:r>
      <w:r w:rsidR="007C6191">
        <w:t xml:space="preserve"> to more risk</w:t>
      </w:r>
      <w:r>
        <w:t>, by placing the risk of project unreliability on them. We consider that distributors are better placed to mitigate these risks, and therefore should bea</w:t>
      </w:r>
      <w:r w:rsidR="006475D5">
        <w:t>r the costs associated</w:t>
      </w:r>
      <w:r>
        <w:t>.</w:t>
      </w:r>
      <w:r w:rsidR="006475D5">
        <w:t xml:space="preserve"> We also consider that exempting demand management projects from the STPIS may serve to increase a perception that demand management projects are less reliable than capex alternatives, which would be contrary to the aims of the Scheme.</w:t>
      </w:r>
      <w:r>
        <w:t xml:space="preserve"> </w:t>
      </w:r>
    </w:p>
    <w:p w:rsidR="006475D5" w:rsidRDefault="006475D5" w:rsidP="000B4777">
      <w:r>
        <w:t xml:space="preserve">With regard to the CESS and EBSS, we consider that the symmetrical operation of these incentives will balance out any negative impacts that distributors may experience. As distributors spend more on opex, they may exceed their targets under the EBSS. However, commensurate savings in capex gained from project deferral should provide them with gains under the CESS. We therefore see no reason to </w:t>
      </w:r>
      <w:r w:rsidR="00251219">
        <w:t>alter</w:t>
      </w:r>
      <w:r>
        <w:t xml:space="preserve"> the operation of these incentives. </w:t>
      </w:r>
    </w:p>
    <w:p w:rsidR="006B4BF8" w:rsidRPr="000B4777" w:rsidRDefault="006B4BF8" w:rsidP="000B4777"/>
    <w:p w:rsidR="002737B9" w:rsidRDefault="002737B9" w:rsidP="002737B9">
      <w:pPr>
        <w:pStyle w:val="Heading2"/>
      </w:pPr>
      <w:bookmarkStart w:id="38" w:name="_Ref489597584"/>
      <w:bookmarkStart w:id="39" w:name="_Toc491447245"/>
      <w:r>
        <w:lastRenderedPageBreak/>
        <w:t>Setting the cost multiplier in the Scheme</w:t>
      </w:r>
      <w:bookmarkEnd w:id="38"/>
      <w:bookmarkEnd w:id="39"/>
    </w:p>
    <w:p w:rsidR="002B306B" w:rsidRDefault="00DF5BFB" w:rsidP="002B306B">
      <w:r>
        <w:t>Every</w:t>
      </w:r>
      <w:r w:rsidR="00DB5082">
        <w:t xml:space="preserve"> version of the Scheme will specify a cost multiplier to apply </w:t>
      </w:r>
      <w:r w:rsidR="002B306B">
        <w:t>to</w:t>
      </w:r>
      <w:r w:rsidR="00DB5082">
        <w:t xml:space="preserve"> any eligible project the distributor commits when that version is current. </w:t>
      </w:r>
    </w:p>
    <w:p w:rsidR="00DB5082" w:rsidRDefault="004B6F7A" w:rsidP="002B306B">
      <w:r>
        <w:t>We have proposed to set the cost multiplier in the Scheme itself rather than in the distribution determination or F&amp;A</w:t>
      </w:r>
      <w:r w:rsidR="002B306B">
        <w:t xml:space="preserve"> because doing so</w:t>
      </w:r>
      <w:r>
        <w:t>:</w:t>
      </w:r>
    </w:p>
    <w:p w:rsidR="004B6F7A" w:rsidRDefault="002B306B" w:rsidP="004B6F7A">
      <w:pPr>
        <w:pStyle w:val="AERbulletlistfirststyle"/>
      </w:pPr>
      <w:r>
        <w:t>R</w:t>
      </w:r>
      <w:r w:rsidR="004B6F7A">
        <w:t>educes the scope for repetitive debate across different regulatory resets regarding setting the magnitude of the cost multiplier.</w:t>
      </w:r>
    </w:p>
    <w:p w:rsidR="00946F1D" w:rsidRDefault="002B306B" w:rsidP="004B6F7A">
      <w:pPr>
        <w:pStyle w:val="AERbulletlistfirststyle"/>
      </w:pPr>
      <w:r>
        <w:t>A</w:t>
      </w:r>
      <w:r w:rsidR="00447B6D">
        <w:t>llow</w:t>
      </w:r>
      <w:r>
        <w:t>s</w:t>
      </w:r>
      <w:r w:rsidR="00447B6D">
        <w:t xml:space="preserve"> </w:t>
      </w:r>
      <w:r w:rsidR="00946F1D">
        <w:t>us to vary the cost multiplier by varying the Scheme. This will affect all distributors and will allow us to consult broadly by following the distribution consultation procedures. We consider this appropriate given that, in our view, we are more likely to vary the cost multiplier following changes to regulatory incentives</w:t>
      </w:r>
      <w:r w:rsidR="00496F0D">
        <w:t xml:space="preserve">, evidence of </w:t>
      </w:r>
      <w:r w:rsidR="002B43DD">
        <w:t xml:space="preserve">the magnitude of </w:t>
      </w:r>
      <w:r w:rsidR="00496F0D">
        <w:t>economic benefits</w:t>
      </w:r>
      <w:r w:rsidR="002B43DD">
        <w:t xml:space="preserve"> and</w:t>
      </w:r>
      <w:r w:rsidR="00946F1D">
        <w:t xml:space="preserve"> market developments that affect distributors </w:t>
      </w:r>
      <w:r w:rsidR="00C26AD1">
        <w:t>to which the Scheme applies</w:t>
      </w:r>
      <w:r w:rsidR="007F64BC">
        <w:t>.</w:t>
      </w:r>
    </w:p>
    <w:p w:rsidR="00946F1D" w:rsidRDefault="002B306B" w:rsidP="004B6F7A">
      <w:pPr>
        <w:pStyle w:val="AERbulletlistfirststyle"/>
      </w:pPr>
      <w:r>
        <w:t xml:space="preserve">Allows us to </w:t>
      </w:r>
      <w:r w:rsidRPr="002B306B">
        <w:t xml:space="preserve">adjust the cost multiplier mid-regulatory control period without having to reopen the determination. </w:t>
      </w:r>
      <w:r>
        <w:t>We have this flexibility because t</w:t>
      </w:r>
      <w:r w:rsidR="009672E0">
        <w:t xml:space="preserve">he </w:t>
      </w:r>
      <w:r w:rsidR="00946F1D">
        <w:t>applicabl</w:t>
      </w:r>
      <w:r>
        <w:t xml:space="preserve">e cost multiplier for a project </w:t>
      </w:r>
      <w:r w:rsidR="009672E0">
        <w:t>is the one in the</w:t>
      </w:r>
      <w:r w:rsidR="00946F1D">
        <w:t xml:space="preserve"> current version of the Scheme </w:t>
      </w:r>
      <w:r>
        <w:t xml:space="preserve">when that project </w:t>
      </w:r>
      <w:r w:rsidRPr="002B306B">
        <w:t xml:space="preserve">is committed </w:t>
      </w:r>
      <w:r w:rsidR="00946F1D">
        <w:t>and not</w:t>
      </w:r>
      <w:r>
        <w:t xml:space="preserve"> a cost-multiplier</w:t>
      </w:r>
      <w:r w:rsidR="00946F1D">
        <w:t xml:space="preserve"> </w:t>
      </w:r>
      <w:r w:rsidR="009672E0">
        <w:t xml:space="preserve">fixed in </w:t>
      </w:r>
      <w:r w:rsidR="00946F1D">
        <w:t>the distribution determination</w:t>
      </w:r>
      <w:r w:rsidR="009672E0">
        <w:t xml:space="preserve">. </w:t>
      </w:r>
      <w:r w:rsidR="00946F1D">
        <w:t>This</w:t>
      </w:r>
      <w:r>
        <w:t xml:space="preserve"> feature</w:t>
      </w:r>
      <w:r w:rsidR="00946F1D">
        <w:t xml:space="preserve"> provides us with flexibility to </w:t>
      </w:r>
      <w:r w:rsidR="00946F1D" w:rsidRPr="002E0F17">
        <w:t>adjust the power of the incentive over time</w:t>
      </w:r>
      <w:r w:rsidR="00946F1D">
        <w:t>. This flexibility can be particularly valuable given the market for demand management appears to be rapidly evolving</w:t>
      </w:r>
      <w:r w:rsidR="002B43DD">
        <w:t xml:space="preserve"> and we anticipate more evidence of demonstrable economic benefits once the Scheme is operational.</w:t>
      </w:r>
    </w:p>
    <w:p w:rsidR="00544954" w:rsidRDefault="00DD085E" w:rsidP="00544954">
      <w:pPr>
        <w:pStyle w:val="AERbulletlistfirststyle"/>
        <w:numPr>
          <w:ilvl w:val="0"/>
          <w:numId w:val="0"/>
        </w:numPr>
      </w:pPr>
      <w:r>
        <w:t xml:space="preserve">ECA also </w:t>
      </w:r>
      <w:r w:rsidR="004B3B75">
        <w:t>submi</w:t>
      </w:r>
      <w:r>
        <w:t xml:space="preserve">tted </w:t>
      </w:r>
      <w:r w:rsidR="004B3B75">
        <w:t xml:space="preserve">that it was important for consumers to be able to engage </w:t>
      </w:r>
      <w:r>
        <w:t>with distributors and us</w:t>
      </w:r>
      <w:r w:rsidR="004B3B75">
        <w:t xml:space="preserve"> to </w:t>
      </w:r>
      <w:r>
        <w:t>assess the effectiveness of any demand management investment.</w:t>
      </w:r>
      <w:r>
        <w:rPr>
          <w:rStyle w:val="FootnoteReference"/>
        </w:rPr>
        <w:footnoteReference w:id="34"/>
      </w:r>
      <w:r w:rsidR="004B3B75">
        <w:t xml:space="preserve"> </w:t>
      </w:r>
      <w:r w:rsidR="002B306B">
        <w:t>W</w:t>
      </w:r>
      <w:r w:rsidR="00544954" w:rsidRPr="00544954">
        <w:t xml:space="preserve">hile we </w:t>
      </w:r>
      <w:r w:rsidR="00544954">
        <w:t>may</w:t>
      </w:r>
      <w:r w:rsidR="00544954" w:rsidRPr="00544954">
        <w:t xml:space="preserve"> adjust the </w:t>
      </w:r>
      <w:r w:rsidR="00544954">
        <w:t>cost multiplier over time, t</w:t>
      </w:r>
      <w:r w:rsidR="00544954" w:rsidRPr="00544954">
        <w:t>he new incentive will only apply to new projects prospectively</w:t>
      </w:r>
      <w:r w:rsidR="002B306B">
        <w:t xml:space="preserve"> (that is, we will not apply an ex-post adjustment for projects that distributors have already committed)</w:t>
      </w:r>
      <w:r w:rsidR="00544954" w:rsidRPr="00544954">
        <w:t xml:space="preserve">. </w:t>
      </w:r>
      <w:r w:rsidR="002B306B">
        <w:t>D</w:t>
      </w:r>
      <w:r w:rsidR="00544954">
        <w:t>istributors will make investment decisions having regard to the cost multiplier</w:t>
      </w:r>
      <w:r w:rsidR="002B306B">
        <w:t xml:space="preserve"> and we see value in balancing </w:t>
      </w:r>
      <w:r w:rsidR="00544954">
        <w:t>the benefits of having a flexible Scheme against the benefits of promoting regulatory certainty that can support informed investment decisions.</w:t>
      </w:r>
    </w:p>
    <w:p w:rsidR="00260E20" w:rsidRDefault="009C511D" w:rsidP="00260E20">
      <w:pPr>
        <w:pStyle w:val="Heading2"/>
      </w:pPr>
      <w:bookmarkStart w:id="40" w:name="_Ref487205143"/>
      <w:bookmarkStart w:id="41" w:name="_Ref489597726"/>
      <w:bookmarkStart w:id="42" w:name="_Toc491447246"/>
      <w:r>
        <w:t>The magnitude of the cost multiplier</w:t>
      </w:r>
      <w:bookmarkEnd w:id="40"/>
      <w:bookmarkEnd w:id="41"/>
      <w:bookmarkEnd w:id="42"/>
    </w:p>
    <w:p w:rsidR="005123E8" w:rsidRDefault="005123E8" w:rsidP="00DB5082">
      <w:pPr>
        <w:pStyle w:val="AERbulletlistfirststyle"/>
        <w:numPr>
          <w:ilvl w:val="0"/>
          <w:numId w:val="0"/>
        </w:numPr>
      </w:pPr>
      <w:r>
        <w:t>The draft Scheme specifies that the</w:t>
      </w:r>
      <w:r w:rsidRPr="00EE2710">
        <w:t xml:space="preserve"> cost multiplier </w:t>
      </w:r>
      <w:r w:rsidR="00CC31C5">
        <w:t>is</w:t>
      </w:r>
      <w:r w:rsidRPr="00EE2710">
        <w:t xml:space="preserve"> 50</w:t>
      </w:r>
      <w:r w:rsidR="0078383B" w:rsidRPr="0078383B">
        <w:t xml:space="preserve"> per cent</w:t>
      </w:r>
      <w:r w:rsidRPr="00EE2710">
        <w:t xml:space="preserve">. </w:t>
      </w:r>
    </w:p>
    <w:p w:rsidR="00677196" w:rsidRDefault="00CC31C5" w:rsidP="00677196">
      <w:pPr>
        <w:pStyle w:val="AERbulletlistfirststyle"/>
        <w:numPr>
          <w:ilvl w:val="0"/>
          <w:numId w:val="0"/>
        </w:numPr>
      </w:pPr>
      <w:r>
        <w:t>We will consider varying the cost multiplier in future versions of the Scheme. For instance, we anticipate there may be a future need to adjust</w:t>
      </w:r>
      <w:r w:rsidR="0028082F" w:rsidRPr="0028082F">
        <w:t xml:space="preserve"> the cost multiplier</w:t>
      </w:r>
      <w:r w:rsidR="003918A6">
        <w:t>:</w:t>
      </w:r>
    </w:p>
    <w:p w:rsidR="003918A6" w:rsidRDefault="0028082F" w:rsidP="003918A6">
      <w:pPr>
        <w:pStyle w:val="AERbulletlistfirststyle"/>
      </w:pPr>
      <w:r>
        <w:t>Downwards if there are compliance breaches under the Scheme.</w:t>
      </w:r>
    </w:p>
    <w:p w:rsidR="0028082F" w:rsidRDefault="0028082F" w:rsidP="0028082F">
      <w:pPr>
        <w:pStyle w:val="AERbulletlistfirststyle"/>
      </w:pPr>
      <w:r>
        <w:t>Downwards, but also possibly upwards in response to regulatory chang</w:t>
      </w:r>
      <w:r w:rsidR="00544954">
        <w:t>es that affect distributors'</w:t>
      </w:r>
      <w:r>
        <w:t xml:space="preserve"> incentives to undertake efficient demand management. </w:t>
      </w:r>
      <w:r w:rsidR="000F2A01">
        <w:t>S</w:t>
      </w:r>
      <w:r>
        <w:t xml:space="preserve">ince the </w:t>
      </w:r>
      <w:r>
        <w:lastRenderedPageBreak/>
        <w:t xml:space="preserve">regulatory framework is evolving to better facilitate efficient investment decisions, we consider an upwards </w:t>
      </w:r>
      <w:r w:rsidR="000F2A01">
        <w:t xml:space="preserve">movement </w:t>
      </w:r>
      <w:r w:rsidR="00D712F2">
        <w:t>unlikely.</w:t>
      </w:r>
    </w:p>
    <w:p w:rsidR="0028082F" w:rsidRDefault="0028082F" w:rsidP="003918A6">
      <w:pPr>
        <w:pStyle w:val="AERbulletlistfirststyle"/>
      </w:pPr>
      <w:r>
        <w:t>Downwards, but also possibly upwards in response to market chan</w:t>
      </w:r>
      <w:r w:rsidR="00544954">
        <w:t>ges that affect</w:t>
      </w:r>
      <w:r w:rsidR="007F64BC">
        <w:t xml:space="preserve"> the likelihood of</w:t>
      </w:r>
      <w:r w:rsidR="00544954">
        <w:t xml:space="preserve"> distributor</w:t>
      </w:r>
      <w:r>
        <w:t>s</w:t>
      </w:r>
      <w:r w:rsidR="000F2A01">
        <w:t xml:space="preserve"> undertaking</w:t>
      </w:r>
      <w:r>
        <w:t xml:space="preserve"> efficient demand management. </w:t>
      </w:r>
      <w:r w:rsidR="00BB1E71" w:rsidRPr="00BB1E71">
        <w:t xml:space="preserve">We consider </w:t>
      </w:r>
      <w:r w:rsidR="000F2A01">
        <w:t>t</w:t>
      </w:r>
      <w:r>
        <w:t>he market for demand manageme</w:t>
      </w:r>
      <w:r w:rsidR="00BB1E71">
        <w:t xml:space="preserve">nt services is new and growing and will </w:t>
      </w:r>
      <w:r w:rsidR="000F2A01">
        <w:t xml:space="preserve">likely develop to provide more </w:t>
      </w:r>
      <w:r w:rsidR="00597155">
        <w:t>relevant and efficient services. These developments</w:t>
      </w:r>
      <w:r w:rsidR="000F2A01">
        <w:t xml:space="preserve"> </w:t>
      </w:r>
      <w:r w:rsidR="00597155">
        <w:t>should</w:t>
      </w:r>
      <w:r w:rsidR="000F2A01">
        <w:t xml:space="preserve"> increase t</w:t>
      </w:r>
      <w:r w:rsidR="00597155">
        <w:t>he</w:t>
      </w:r>
      <w:r w:rsidR="00D712F2">
        <w:t xml:space="preserve"> likelihood that distributor</w:t>
      </w:r>
      <w:r w:rsidR="000F2A01">
        <w:t>s will undertake more efficient demand management.</w:t>
      </w:r>
    </w:p>
    <w:p w:rsidR="000F2A01" w:rsidRDefault="000F2A01" w:rsidP="003918A6">
      <w:pPr>
        <w:pStyle w:val="AERbulletlistfirststyle"/>
      </w:pPr>
      <w:r>
        <w:t>Upwards if distributor</w:t>
      </w:r>
      <w:r w:rsidR="00544954">
        <w:t>s face</w:t>
      </w:r>
      <w:r>
        <w:t xml:space="preserve"> a greater imbalance in incentives against demand management than w</w:t>
      </w:r>
      <w:r w:rsidR="00F80A76">
        <w:t>as</w:t>
      </w:r>
      <w:r>
        <w:t xml:space="preserve"> initially considered when setting the cost multiplier</w:t>
      </w:r>
      <w:r w:rsidR="00F123EC">
        <w:t>.</w:t>
      </w:r>
    </w:p>
    <w:p w:rsidR="00534032" w:rsidRDefault="00446965" w:rsidP="0028082F">
      <w:pPr>
        <w:pStyle w:val="AERbulletlistfirststyle"/>
        <w:numPr>
          <w:ilvl w:val="0"/>
          <w:numId w:val="0"/>
        </w:numPr>
      </w:pPr>
      <w:r>
        <w:t>We recognise that setting a cost multiplier is</w:t>
      </w:r>
      <w:r w:rsidR="00534032">
        <w:t xml:space="preserve"> not a perfectly precise exercise</w:t>
      </w:r>
      <w:r>
        <w:t xml:space="preserve">. </w:t>
      </w:r>
      <w:r w:rsidR="00534032">
        <w:t xml:space="preserve">At this point, the demand management market is immature and there is considerable uncertainty about its costs and benefits. Any calculation of the net benefits necessarily requires assumptions and projections. As the demand management market matures, more accurate estimates of net benefits will hopefully develop. </w:t>
      </w:r>
    </w:p>
    <w:p w:rsidR="00447390" w:rsidRDefault="00534032" w:rsidP="0028082F">
      <w:pPr>
        <w:pStyle w:val="AERbulletlistfirststyle"/>
        <w:numPr>
          <w:ilvl w:val="0"/>
          <w:numId w:val="0"/>
        </w:numPr>
      </w:pPr>
      <w:r>
        <w:t>A</w:t>
      </w:r>
      <w:r w:rsidR="00446965">
        <w:t xml:space="preserve">n 'ideal' cost multiplier would be calculated on a project-specific basis. </w:t>
      </w:r>
      <w:r w:rsidR="00597155">
        <w:t>However</w:t>
      </w:r>
      <w:r w:rsidR="00446965">
        <w:t>, we nevertheless</w:t>
      </w:r>
      <w:r w:rsidR="00447390">
        <w:t xml:space="preserve"> consider that 50</w:t>
      </w:r>
      <w:r w:rsidR="0078383B" w:rsidRPr="0078383B">
        <w:t xml:space="preserve"> per cent</w:t>
      </w:r>
      <w:r w:rsidR="00447390">
        <w:t xml:space="preserve"> is a reasonable </w:t>
      </w:r>
      <w:r w:rsidR="00446965">
        <w:t>cost-multiplier</w:t>
      </w:r>
      <w:r w:rsidR="00597155">
        <w:t xml:space="preserve"> </w:t>
      </w:r>
      <w:r>
        <w:t xml:space="preserve">to apply as a starting point for the Scheme </w:t>
      </w:r>
      <w:r w:rsidR="00597155">
        <w:t>as it</w:t>
      </w:r>
      <w:r w:rsidR="00F123EC">
        <w:t xml:space="preserve"> is</w:t>
      </w:r>
      <w:r w:rsidR="00446965">
        <w:t>:</w:t>
      </w:r>
    </w:p>
    <w:p w:rsidR="00791130" w:rsidRDefault="00B75D50" w:rsidP="00791130">
      <w:pPr>
        <w:pStyle w:val="AERbulletlistfirststyle"/>
      </w:pPr>
      <w:r>
        <w:t>On</w:t>
      </w:r>
      <w:r w:rsidR="00791130">
        <w:t xml:space="preserve"> the lower side of </w:t>
      </w:r>
      <w:r w:rsidR="00A03D0E">
        <w:t xml:space="preserve">the </w:t>
      </w:r>
      <w:r w:rsidR="00791130">
        <w:t>ISF's</w:t>
      </w:r>
      <w:r w:rsidR="00791130" w:rsidRPr="00A8255A">
        <w:t xml:space="preserve"> </w:t>
      </w:r>
      <w:r w:rsidR="00791130">
        <w:t xml:space="preserve">suggested cost uplift range of </w:t>
      </w:r>
      <w:r w:rsidR="00791130" w:rsidRPr="00A8255A">
        <w:t>between 40</w:t>
      </w:r>
      <w:r w:rsidR="00791130">
        <w:t xml:space="preserve"> and 104,</w:t>
      </w:r>
      <w:r w:rsidR="00791130" w:rsidRPr="00A8255A">
        <w:rPr>
          <w:rStyle w:val="FootnoteReference"/>
        </w:rPr>
        <w:footnoteReference w:id="35"/>
      </w:r>
      <w:r w:rsidR="00791130" w:rsidRPr="0099641B">
        <w:t xml:space="preserve"> </w:t>
      </w:r>
      <w:r w:rsidR="00791130">
        <w:t>or 40 to 90</w:t>
      </w:r>
      <w:r w:rsidR="0078383B">
        <w:t xml:space="preserve"> </w:t>
      </w:r>
      <w:r w:rsidR="0078383B" w:rsidRPr="0078383B">
        <w:t>per cent</w:t>
      </w:r>
      <w:r w:rsidR="00791130">
        <w:t>.</w:t>
      </w:r>
      <w:r w:rsidR="00791130">
        <w:rPr>
          <w:rStyle w:val="FootnoteReference"/>
        </w:rPr>
        <w:footnoteReference w:id="36"/>
      </w:r>
    </w:p>
    <w:p w:rsidR="00791130" w:rsidRDefault="00B75D50" w:rsidP="00791130">
      <w:pPr>
        <w:pStyle w:val="AERbulletlistfirststyle"/>
      </w:pPr>
      <w:r>
        <w:t>Consistent</w:t>
      </w:r>
      <w:r w:rsidR="00791130">
        <w:t xml:space="preserve"> with the magnitude of </w:t>
      </w:r>
      <w:r w:rsidR="0078383B">
        <w:t>25</w:t>
      </w:r>
      <w:r w:rsidR="001E322B">
        <w:t xml:space="preserve"> or </w:t>
      </w:r>
      <w:r w:rsidR="00791130">
        <w:t>50</w:t>
      </w:r>
      <w:r w:rsidR="0078383B">
        <w:t xml:space="preserve"> </w:t>
      </w:r>
      <w:r w:rsidR="0078383B" w:rsidRPr="0078383B">
        <w:t>per cent</w:t>
      </w:r>
      <w:r w:rsidR="00791130">
        <w:t xml:space="preserve"> that GreenSync proposed in its submission to our Consultation Paper.</w:t>
      </w:r>
      <w:r w:rsidR="00791130">
        <w:rPr>
          <w:rStyle w:val="FootnoteReference"/>
        </w:rPr>
        <w:footnoteReference w:id="37"/>
      </w:r>
    </w:p>
    <w:p w:rsidR="00791130" w:rsidRDefault="00B75D50" w:rsidP="00791130">
      <w:pPr>
        <w:pStyle w:val="AERbulletlistfirststyle"/>
      </w:pPr>
      <w:r>
        <w:t>Higher</w:t>
      </w:r>
      <w:r w:rsidR="00791130">
        <w:t xml:space="preserve"> than the cost uplift suggested in United Energy's supplementary submission following the Options Day</w:t>
      </w:r>
      <w:r w:rsidR="00597155">
        <w:t xml:space="preserve"> that</w:t>
      </w:r>
      <w:r w:rsidR="00791130">
        <w:t xml:space="preserve"> equated to the nominal vanilla WACC on a one-off basis.</w:t>
      </w:r>
      <w:r w:rsidR="00791130">
        <w:rPr>
          <w:rStyle w:val="FootnoteReference"/>
        </w:rPr>
        <w:footnoteReference w:id="38"/>
      </w:r>
    </w:p>
    <w:p w:rsidR="00446965" w:rsidRDefault="00B75D50" w:rsidP="00446965">
      <w:pPr>
        <w:pStyle w:val="AERbulletlistfirststyle"/>
      </w:pPr>
      <w:r>
        <w:t>Higher</w:t>
      </w:r>
      <w:r w:rsidR="00791130">
        <w:t xml:space="preserve"> than the </w:t>
      </w:r>
      <w:r w:rsidR="002D73DE">
        <w:t>cost uplift</w:t>
      </w:r>
      <w:r w:rsidR="00791130">
        <w:t xml:space="preserve"> Oakley Greenwood </w:t>
      </w:r>
      <w:r w:rsidR="007F64BC">
        <w:t>r</w:t>
      </w:r>
      <w:r w:rsidR="00791130">
        <w:t>ecommend</w:t>
      </w:r>
      <w:r w:rsidR="007F64BC">
        <w:t>ed</w:t>
      </w:r>
      <w:r w:rsidR="002D73DE">
        <w:t xml:space="preserve"> we apply to </w:t>
      </w:r>
      <w:r w:rsidR="007F64BC">
        <w:t xml:space="preserve">the </w:t>
      </w:r>
      <w:r w:rsidR="002D73DE">
        <w:t xml:space="preserve">three projects it considered </w:t>
      </w:r>
      <w:r w:rsidR="002D73DE">
        <w:rPr>
          <w:rFonts w:cs="Arial"/>
        </w:rPr>
        <w:t>―</w:t>
      </w:r>
      <w:r w:rsidR="002D73DE">
        <w:t>which would be 7.4, 8.4, and 26.5</w:t>
      </w:r>
      <w:r w:rsidR="0078383B" w:rsidRPr="0078383B">
        <w:t xml:space="preserve"> per cent</w:t>
      </w:r>
      <w:r w:rsidR="00791130">
        <w:t>.</w:t>
      </w:r>
      <w:r w:rsidR="00791130">
        <w:rPr>
          <w:rStyle w:val="FootnoteReference"/>
        </w:rPr>
        <w:footnoteReference w:id="39"/>
      </w:r>
      <w:r w:rsidR="00791130">
        <w:t xml:space="preserve"> </w:t>
      </w:r>
      <w:r w:rsidR="002D73DE">
        <w:t>However, it based these estimates on an approximation of option value alone</w:t>
      </w:r>
      <w:r w:rsidR="00B00AA0">
        <w:t>, whereas we recognise there might be value in considering a broader range of benefits associated with demand management when determining the magnitude of the cost uplift</w:t>
      </w:r>
      <w:r w:rsidR="001C055B">
        <w:t>.</w:t>
      </w:r>
    </w:p>
    <w:p w:rsidR="00A8255A" w:rsidRDefault="00B75D50" w:rsidP="0099641B">
      <w:pPr>
        <w:pStyle w:val="AERbulletlistfirststyle"/>
      </w:pPr>
      <w:r>
        <w:lastRenderedPageBreak/>
        <w:t>Equivalent</w:t>
      </w:r>
      <w:r w:rsidR="0099641B">
        <w:t xml:space="preserve"> to receiving </w:t>
      </w:r>
      <w:r w:rsidR="00BA244B">
        <w:t>an allowed rate of return of 6.3</w:t>
      </w:r>
      <w:r w:rsidR="0078383B" w:rsidRPr="0078383B">
        <w:t xml:space="preserve"> per cent</w:t>
      </w:r>
      <w:r w:rsidR="0099641B">
        <w:t xml:space="preserve"> compounded semi</w:t>
      </w:r>
      <w:r w:rsidR="0099641B" w:rsidRPr="00A16C32">
        <w:t>-annually</w:t>
      </w:r>
      <w:r w:rsidR="00E10903">
        <w:t xml:space="preserve"> over approximately 6.5</w:t>
      </w:r>
      <w:r w:rsidR="0099641B">
        <w:t xml:space="preserve"> years.</w:t>
      </w:r>
      <w:r w:rsidR="00E10903">
        <w:rPr>
          <w:rStyle w:val="FootnoteReference"/>
        </w:rPr>
        <w:footnoteReference w:id="40"/>
      </w:r>
      <w:r w:rsidR="0099641B">
        <w:t xml:space="preserve"> We do not consider this to be an unreasonable magnitude for an incentive, which we have estimated u</w:t>
      </w:r>
      <w:r w:rsidR="008B5A94">
        <w:t>sing the compoun</w:t>
      </w:r>
      <w:r w:rsidR="00A16C32">
        <w:t xml:space="preserve">ding interest formula in </w:t>
      </w:r>
      <w:r w:rsidR="0078383B">
        <w:fldChar w:fldCharType="begin"/>
      </w:r>
      <w:r w:rsidR="0078383B">
        <w:instrText xml:space="preserve"> REF  _Ref485285614 \* Lower \h </w:instrText>
      </w:r>
      <w:r w:rsidR="0078383B">
        <w:fldChar w:fldCharType="separate"/>
      </w:r>
      <w:r w:rsidR="0076296B">
        <w:t xml:space="preserve">equation </w:t>
      </w:r>
      <w:r w:rsidR="0076296B">
        <w:rPr>
          <w:noProof/>
        </w:rPr>
        <w:t>1</w:t>
      </w:r>
      <w:r w:rsidR="0078383B">
        <w:fldChar w:fldCharType="end"/>
      </w:r>
      <w:r w:rsidR="00A16C32">
        <w:t>.</w:t>
      </w:r>
    </w:p>
    <w:p w:rsidR="00A16C32" w:rsidRDefault="00A16C32" w:rsidP="00A16C32">
      <w:pPr>
        <w:pStyle w:val="Caption"/>
      </w:pPr>
      <w:bookmarkStart w:id="43" w:name="_Ref485285614"/>
      <w:r>
        <w:t xml:space="preserve">Equation </w:t>
      </w:r>
      <w:r w:rsidR="0076296B">
        <w:fldChar w:fldCharType="begin"/>
      </w:r>
      <w:r w:rsidR="0076296B">
        <w:instrText xml:space="preserve"> SEQ Equation \* ARABIC </w:instrText>
      </w:r>
      <w:r w:rsidR="0076296B">
        <w:fldChar w:fldCharType="separate"/>
      </w:r>
      <w:r w:rsidR="0076296B">
        <w:rPr>
          <w:noProof/>
        </w:rPr>
        <w:t>1</w:t>
      </w:r>
      <w:r w:rsidR="0076296B">
        <w:rPr>
          <w:noProof/>
        </w:rPr>
        <w:fldChar w:fldCharType="end"/>
      </w:r>
      <w:bookmarkEnd w:id="43"/>
      <w:r w:rsidR="0078383B">
        <w:t>: Effective years to receive 50 per cent</w:t>
      </w:r>
      <w:r>
        <w:t xml:space="preserve"> return </w:t>
      </w:r>
    </w:p>
    <w:p w:rsidR="00A16C32" w:rsidRPr="00A16C32" w:rsidRDefault="00A16C32" w:rsidP="00A16C32">
      <m:oMathPara>
        <m:oMath>
          <m:r>
            <w:rPr>
              <w:rFonts w:ascii="Cambria Math" w:hAnsi="Cambria Math"/>
            </w:rPr>
            <m:t>Future value=Present value×</m:t>
          </m:r>
          <m:sSup>
            <m:sSupPr>
              <m:ctrlPr>
                <w:rPr>
                  <w:rFonts w:ascii="Cambria Math" w:hAnsi="Cambria Math"/>
                </w:rPr>
              </m:ctrlPr>
            </m:sSupPr>
            <m:e>
              <m:r>
                <w:rPr>
                  <w:rFonts w:ascii="Cambria Math" w:hAnsi="Cambria Math"/>
                </w:rPr>
                <m:t>(1+rate per compound period)</m:t>
              </m:r>
            </m:e>
            <m:sup>
              <m:r>
                <w:rPr>
                  <w:rFonts w:ascii="Cambria Math" w:hAnsi="Cambria Math"/>
                </w:rPr>
                <m:t>compound periods</m:t>
              </m:r>
            </m:sup>
          </m:sSup>
        </m:oMath>
      </m:oMathPara>
    </w:p>
    <w:p w:rsidR="00A16C32" w:rsidRPr="00A16C32" w:rsidRDefault="00A16C32" w:rsidP="00A16C32">
      <m:oMathPara>
        <m:oMath>
          <m:r>
            <w:rPr>
              <w:rFonts w:ascii="Cambria Math" w:hAnsi="Cambria Math"/>
            </w:rPr>
            <m:t>1.5=1×</m:t>
          </m:r>
          <m:sSup>
            <m:sSupPr>
              <m:ctrlPr>
                <w:rPr>
                  <w:rFonts w:ascii="Cambria Math" w:hAnsi="Cambria Math"/>
                </w:rPr>
              </m:ctrlPr>
            </m:sSupPr>
            <m:e>
              <m:r>
                <w:rPr>
                  <w:rFonts w:ascii="Cambria Math" w:hAnsi="Cambria Math"/>
                </w:rPr>
                <m:t>(1+</m:t>
              </m:r>
              <m:f>
                <m:fPr>
                  <m:ctrlPr>
                    <w:rPr>
                      <w:rFonts w:ascii="Cambria Math" w:hAnsi="Cambria Math"/>
                      <w:i/>
                    </w:rPr>
                  </m:ctrlPr>
                </m:fPr>
                <m:num>
                  <m:r>
                    <w:rPr>
                      <w:rFonts w:ascii="Cambria Math" w:hAnsi="Cambria Math"/>
                    </w:rPr>
                    <m:t>0.063</m:t>
                  </m:r>
                </m:num>
                <m:den>
                  <m:r>
                    <w:rPr>
                      <w:rFonts w:ascii="Cambria Math" w:hAnsi="Cambria Math"/>
                    </w:rPr>
                    <m:t>2</m:t>
                  </m:r>
                </m:den>
              </m:f>
              <m:r>
                <w:rPr>
                  <w:rFonts w:ascii="Cambria Math" w:hAnsi="Cambria Math"/>
                </w:rPr>
                <m:t>)</m:t>
              </m:r>
            </m:e>
            <m:sup>
              <m:r>
                <w:rPr>
                  <w:rFonts w:ascii="Cambria Math" w:hAnsi="Cambria Math"/>
                </w:rPr>
                <m:t>2×x</m:t>
              </m:r>
            </m:sup>
          </m:sSup>
        </m:oMath>
      </m:oMathPara>
    </w:p>
    <w:p w:rsidR="00A16C32" w:rsidRPr="00A16C32" w:rsidRDefault="0076296B" w:rsidP="00A16C32">
      <m:oMathPara>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1.5</m:t>
                  </m:r>
                </m:e>
              </m:d>
            </m:e>
          </m:func>
          <m:r>
            <w:rPr>
              <w:rFonts w:ascii="Cambria Math" w:hAnsi="Cambria Math"/>
            </w:rPr>
            <m:t>=2x×ln(1+</m:t>
          </m:r>
          <m:f>
            <m:fPr>
              <m:ctrlPr>
                <w:rPr>
                  <w:rFonts w:ascii="Cambria Math" w:hAnsi="Cambria Math"/>
                  <w:i/>
                </w:rPr>
              </m:ctrlPr>
            </m:fPr>
            <m:num>
              <m:r>
                <w:rPr>
                  <w:rFonts w:ascii="Cambria Math" w:hAnsi="Cambria Math"/>
                </w:rPr>
                <m:t>0.063</m:t>
              </m:r>
            </m:num>
            <m:den>
              <m:r>
                <w:rPr>
                  <w:rFonts w:ascii="Cambria Math" w:hAnsi="Cambria Math"/>
                </w:rPr>
                <m:t>2</m:t>
              </m:r>
            </m:den>
          </m:f>
          <m:r>
            <w:rPr>
              <w:rFonts w:ascii="Cambria Math" w:hAnsi="Cambria Math"/>
            </w:rPr>
            <m:t>)</m:t>
          </m:r>
        </m:oMath>
      </m:oMathPara>
    </w:p>
    <w:p w:rsidR="00A16C32" w:rsidRPr="00A16C32" w:rsidRDefault="0076296B" w:rsidP="00A16C32">
      <m:oMathPara>
        <m:oMath>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1.5</m:t>
                      </m:r>
                    </m:e>
                  </m:d>
                </m:e>
              </m:func>
            </m:num>
            <m:den>
              <m:r>
                <w:rPr>
                  <w:rFonts w:ascii="Cambria Math" w:hAnsi="Cambria Math"/>
                </w:rPr>
                <m:t>ln(1+</m:t>
              </m:r>
              <m:f>
                <m:fPr>
                  <m:ctrlPr>
                    <w:rPr>
                      <w:rFonts w:ascii="Cambria Math" w:hAnsi="Cambria Math"/>
                      <w:i/>
                    </w:rPr>
                  </m:ctrlPr>
                </m:fPr>
                <m:num>
                  <m:r>
                    <w:rPr>
                      <w:rFonts w:ascii="Cambria Math" w:hAnsi="Cambria Math"/>
                    </w:rPr>
                    <m:t>0.063</m:t>
                  </m:r>
                </m:num>
                <m:den>
                  <m:r>
                    <w:rPr>
                      <w:rFonts w:ascii="Cambria Math" w:hAnsi="Cambria Math"/>
                    </w:rPr>
                    <m:t>2</m:t>
                  </m:r>
                </m:den>
              </m:f>
              <m:r>
                <w:rPr>
                  <w:rFonts w:ascii="Cambria Math" w:hAnsi="Cambria Math"/>
                </w:rPr>
                <m:t>)</m:t>
              </m:r>
            </m:den>
          </m:f>
          <m:r>
            <w:rPr>
              <w:rFonts w:ascii="Cambria Math" w:hAnsi="Cambria Math"/>
            </w:rPr>
            <m:t>=2x</m:t>
          </m:r>
        </m:oMath>
      </m:oMathPara>
    </w:p>
    <w:p w:rsidR="00A16C32" w:rsidRDefault="00A16C32" w:rsidP="00B00AA0">
      <m:oMathPara>
        <m:oMath>
          <m:r>
            <w:rPr>
              <w:rFonts w:ascii="Cambria Math" w:hAnsi="Cambria Math"/>
            </w:rPr>
            <m:t>x=</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1.5</m:t>
                      </m:r>
                    </m:e>
                  </m:d>
                </m:e>
              </m:func>
            </m:num>
            <m:den>
              <m:r>
                <w:rPr>
                  <w:rFonts w:ascii="Cambria Math" w:hAnsi="Cambria Math"/>
                </w:rPr>
                <m:t>2×ln(1.0315)</m:t>
              </m:r>
            </m:den>
          </m:f>
          <m:r>
            <w:rPr>
              <w:rFonts w:ascii="Cambria Math" w:hAnsi="Cambria Math"/>
            </w:rPr>
            <m:t>≈6.5 years</m:t>
          </m:r>
        </m:oMath>
      </m:oMathPara>
    </w:p>
    <w:p w:rsidR="00260E20" w:rsidRDefault="00260E20" w:rsidP="00260E20">
      <w:pPr>
        <w:pStyle w:val="Heading1"/>
      </w:pPr>
      <w:bookmarkStart w:id="44" w:name="_Toc491447247"/>
      <w:r>
        <w:lastRenderedPageBreak/>
        <w:t>Identifying and committing eligible projects</w:t>
      </w:r>
      <w:bookmarkEnd w:id="44"/>
    </w:p>
    <w:p w:rsidR="0052799E" w:rsidRDefault="00260E20" w:rsidP="00260E20">
      <w:pPr>
        <w:pStyle w:val="AERbulletlistsecondstyle"/>
        <w:numPr>
          <w:ilvl w:val="0"/>
          <w:numId w:val="0"/>
        </w:numPr>
      </w:pPr>
      <w:r>
        <w:t xml:space="preserve">Clause 2.2 of the draft Scheme defines the type of projects that the Scheme will apply to ('eligible projects'). </w:t>
      </w:r>
      <w:r w:rsidR="007D0D6F">
        <w:fldChar w:fldCharType="begin"/>
      </w:r>
      <w:r w:rsidR="007D0D6F">
        <w:instrText xml:space="preserve"> REF _Ref485200718 \h </w:instrText>
      </w:r>
      <w:r w:rsidR="007D0D6F">
        <w:fldChar w:fldCharType="separate"/>
      </w:r>
      <w:r w:rsidR="0076296B">
        <w:t xml:space="preserve">Table </w:t>
      </w:r>
      <w:r w:rsidR="0076296B">
        <w:rPr>
          <w:noProof/>
        </w:rPr>
        <w:t>1</w:t>
      </w:r>
      <w:r w:rsidR="007D0D6F">
        <w:fldChar w:fldCharType="end"/>
      </w:r>
      <w:r w:rsidR="007D0D6F">
        <w:t xml:space="preserve"> summarises </w:t>
      </w:r>
      <w:r w:rsidR="00597155">
        <w:t>the elements of an eligible project</w:t>
      </w:r>
      <w:r w:rsidR="007D0D6F">
        <w:t>. It also explains how each element will give effect to the rules, and how it i</w:t>
      </w:r>
      <w:r w:rsidR="00E33FB8">
        <w:t>ncorporates stakeholder views</w:t>
      </w:r>
      <w:r w:rsidR="004C0582">
        <w:t>.</w:t>
      </w:r>
    </w:p>
    <w:p w:rsidR="007D0D6F" w:rsidRDefault="007D0D6F" w:rsidP="007D0D6F">
      <w:pPr>
        <w:pStyle w:val="Caption"/>
      </w:pPr>
      <w:bookmarkStart w:id="45" w:name="_Ref485200718"/>
      <w:r>
        <w:t xml:space="preserve">Table </w:t>
      </w:r>
      <w:r w:rsidR="0076296B">
        <w:fldChar w:fldCharType="begin"/>
      </w:r>
      <w:r w:rsidR="0076296B">
        <w:instrText xml:space="preserve"> SEQ Table \* ARABIC </w:instrText>
      </w:r>
      <w:r w:rsidR="0076296B">
        <w:fldChar w:fldCharType="separate"/>
      </w:r>
      <w:r w:rsidR="0076296B">
        <w:rPr>
          <w:noProof/>
        </w:rPr>
        <w:t>1</w:t>
      </w:r>
      <w:r w:rsidR="0076296B">
        <w:rPr>
          <w:noProof/>
        </w:rPr>
        <w:fldChar w:fldCharType="end"/>
      </w:r>
      <w:bookmarkEnd w:id="45"/>
      <w:r>
        <w:t xml:space="preserve">: Elements of project eligibility </w:t>
      </w:r>
    </w:p>
    <w:tbl>
      <w:tblPr>
        <w:tblStyle w:val="AERtable-text0"/>
        <w:tblW w:w="0" w:type="auto"/>
        <w:tblLook w:val="04A0" w:firstRow="1" w:lastRow="0" w:firstColumn="1" w:lastColumn="0" w:noHBand="0" w:noVBand="1"/>
      </w:tblPr>
      <w:tblGrid>
        <w:gridCol w:w="2897"/>
        <w:gridCol w:w="2898"/>
        <w:gridCol w:w="2898"/>
      </w:tblGrid>
      <w:tr w:rsidR="002D7184" w:rsidTr="002D7184">
        <w:trPr>
          <w:cnfStyle w:val="100000000000" w:firstRow="1" w:lastRow="0" w:firstColumn="0" w:lastColumn="0" w:oddVBand="0" w:evenVBand="0" w:oddHBand="0" w:evenHBand="0" w:firstRowFirstColumn="0" w:firstRowLastColumn="0" w:lastRowFirstColumn="0" w:lastRowLastColumn="0"/>
        </w:trPr>
        <w:tc>
          <w:tcPr>
            <w:tcW w:w="2897" w:type="dxa"/>
          </w:tcPr>
          <w:p w:rsidR="002D7184" w:rsidRDefault="002D7184" w:rsidP="00260E20">
            <w:pPr>
              <w:pStyle w:val="AERbulletlistsecondstyle"/>
              <w:numPr>
                <w:ilvl w:val="0"/>
                <w:numId w:val="0"/>
              </w:numPr>
            </w:pPr>
            <w:r>
              <w:t>Element required for 'eligibility'</w:t>
            </w:r>
          </w:p>
        </w:tc>
        <w:tc>
          <w:tcPr>
            <w:tcW w:w="2898" w:type="dxa"/>
          </w:tcPr>
          <w:p w:rsidR="002D7184" w:rsidRDefault="002D7184" w:rsidP="00260E20">
            <w:pPr>
              <w:pStyle w:val="AERbulletlistsecondstyle"/>
              <w:numPr>
                <w:ilvl w:val="0"/>
                <w:numId w:val="0"/>
              </w:numPr>
            </w:pPr>
            <w:r>
              <w:t>Rationale for element</w:t>
            </w:r>
          </w:p>
        </w:tc>
        <w:tc>
          <w:tcPr>
            <w:tcW w:w="2898" w:type="dxa"/>
          </w:tcPr>
          <w:p w:rsidR="002D7184" w:rsidRDefault="00B73599" w:rsidP="00260E20">
            <w:pPr>
              <w:pStyle w:val="AERbulletlistsecondstyle"/>
              <w:numPr>
                <w:ilvl w:val="0"/>
                <w:numId w:val="0"/>
              </w:numPr>
            </w:pPr>
            <w:r>
              <w:t>Regard</w:t>
            </w:r>
            <w:r w:rsidR="002D7184">
              <w:t xml:space="preserve"> to stakeholder views</w:t>
            </w:r>
          </w:p>
        </w:tc>
      </w:tr>
      <w:tr w:rsidR="002D7184" w:rsidTr="002D7184">
        <w:tc>
          <w:tcPr>
            <w:tcW w:w="2897" w:type="dxa"/>
          </w:tcPr>
          <w:p w:rsidR="00395EE5" w:rsidRDefault="00395EE5" w:rsidP="002D7184">
            <w:pPr>
              <w:pStyle w:val="AERbulletlistsecondstyle"/>
              <w:numPr>
                <w:ilvl w:val="0"/>
                <w:numId w:val="0"/>
              </w:numPr>
            </w:pPr>
            <w:r>
              <w:t xml:space="preserve">When identifying whether a project is an efficient non-network option, a </w:t>
            </w:r>
            <w:r w:rsidR="002D7184">
              <w:t xml:space="preserve">distributor </w:t>
            </w:r>
            <w:r>
              <w:t>has either</w:t>
            </w:r>
            <w:r w:rsidR="002D7184" w:rsidRPr="00260E20">
              <w:t xml:space="preserve"> </w:t>
            </w:r>
            <w:r>
              <w:t>completed</w:t>
            </w:r>
            <w:r w:rsidR="002D7184">
              <w:t xml:space="preserve"> a RIT</w:t>
            </w:r>
            <w:r w:rsidR="002D7184">
              <w:rPr>
                <w:rFonts w:cs="Arial"/>
              </w:rPr>
              <w:t>–</w:t>
            </w:r>
            <w:r w:rsidR="002D7184">
              <w:t>D or '</w:t>
            </w:r>
            <w:r w:rsidR="006671FC">
              <w:t>minimum project evaluation</w:t>
            </w:r>
            <w:r w:rsidR="002D7184">
              <w:t xml:space="preserve"> requirements'</w:t>
            </w:r>
          </w:p>
        </w:tc>
        <w:tc>
          <w:tcPr>
            <w:tcW w:w="2898" w:type="dxa"/>
          </w:tcPr>
          <w:p w:rsidR="002D7184" w:rsidRDefault="00597155" w:rsidP="006703C3">
            <w:pPr>
              <w:pStyle w:val="AERbulletlistsecondstyle"/>
              <w:numPr>
                <w:ilvl w:val="0"/>
                <w:numId w:val="0"/>
              </w:numPr>
            </w:pPr>
            <w:r>
              <w:t>This element acts</w:t>
            </w:r>
            <w:r w:rsidR="00395EE5">
              <w:t xml:space="preserve"> an in-built compliance check </w:t>
            </w:r>
            <w:r w:rsidR="006703C3">
              <w:t>to verify that the</w:t>
            </w:r>
            <w:r w:rsidR="00D8790F">
              <w:t xml:space="preserve"> Scheme is </w:t>
            </w:r>
            <w:r w:rsidR="006703C3">
              <w:t xml:space="preserve">only incentivising </w:t>
            </w:r>
            <w:r w:rsidR="00D8790F">
              <w:t>efficient projects that deliver cost savings to retail customers</w:t>
            </w:r>
            <w:r w:rsidR="006703C3">
              <w:t>, by:</w:t>
            </w:r>
          </w:p>
          <w:p w:rsidR="006703C3" w:rsidRDefault="006703C3" w:rsidP="006703C3">
            <w:pPr>
              <w:pStyle w:val="AERbulletlistfirststyle"/>
            </w:pPr>
            <w:r>
              <w:t>Requiring the distributor conduct a cost-benefit analysis of its credible options for addressing network constraints; and</w:t>
            </w:r>
          </w:p>
          <w:p w:rsidR="006703C3" w:rsidRDefault="006703C3" w:rsidP="00B73599">
            <w:pPr>
              <w:pStyle w:val="AERbulletlistfirststyle"/>
            </w:pPr>
            <w:r>
              <w:t>Subjecting this analysis to third party testing.</w:t>
            </w:r>
          </w:p>
        </w:tc>
        <w:tc>
          <w:tcPr>
            <w:tcW w:w="2898" w:type="dxa"/>
          </w:tcPr>
          <w:p w:rsidR="006703C3" w:rsidRDefault="006703C3" w:rsidP="006703C3">
            <w:pPr>
              <w:pStyle w:val="AERbulletlistsecondstyle"/>
              <w:numPr>
                <w:ilvl w:val="0"/>
                <w:numId w:val="0"/>
              </w:numPr>
            </w:pPr>
            <w:r>
              <w:t>We only require a distributor follow '</w:t>
            </w:r>
            <w:r w:rsidR="006671FC">
              <w:t>minimum project evaluation</w:t>
            </w:r>
            <w:r>
              <w:t xml:space="preserve"> requirements' before accessing incentives for non-RIT-D projects. We agree with the view</w:t>
            </w:r>
            <w:r w:rsidR="00B73599">
              <w:t>s</w:t>
            </w:r>
            <w:r>
              <w:t xml:space="preserve"> expressed</w:t>
            </w:r>
            <w:r w:rsidRPr="006703C3">
              <w:t xml:space="preserve"> </w:t>
            </w:r>
            <w:r>
              <w:t>by some stakeholders</w:t>
            </w:r>
            <w:r w:rsidR="00CF0DFE">
              <w:t xml:space="preserve"> that we should not add requirements where existing processes, l</w:t>
            </w:r>
            <w:r w:rsidR="00B73599">
              <w:t>ike the RIT-D, already address</w:t>
            </w:r>
            <w:r w:rsidR="00CF0DFE">
              <w:t xml:space="preserve"> the relevant issue. </w:t>
            </w:r>
          </w:p>
          <w:p w:rsidR="002D7184" w:rsidRDefault="006703C3" w:rsidP="00B73599">
            <w:pPr>
              <w:pStyle w:val="AERbulletlistsecondstyle"/>
              <w:numPr>
                <w:ilvl w:val="0"/>
                <w:numId w:val="0"/>
              </w:numPr>
            </w:pPr>
            <w:r>
              <w:t>For details relevant to</w:t>
            </w:r>
            <w:r w:rsidR="00B73599">
              <w:t xml:space="preserve"> how we the</w:t>
            </w:r>
            <w:r>
              <w:t xml:space="preserve"> specified '</w:t>
            </w:r>
            <w:r w:rsidR="006671FC">
              <w:t>minimum project evaluation</w:t>
            </w:r>
            <w:r w:rsidR="00CF0DFE">
              <w:t xml:space="preserve"> requirements'</w:t>
            </w:r>
            <w:r>
              <w:t xml:space="preserve">, see section </w:t>
            </w:r>
            <w:r>
              <w:fldChar w:fldCharType="begin"/>
            </w:r>
            <w:r>
              <w:instrText xml:space="preserve"> REF _Ref487113990 \r \h </w:instrText>
            </w:r>
            <w:r>
              <w:fldChar w:fldCharType="separate"/>
            </w:r>
            <w:r w:rsidR="0076296B">
              <w:t>5.2</w:t>
            </w:r>
            <w:r>
              <w:fldChar w:fldCharType="end"/>
            </w:r>
            <w:r>
              <w:t>.</w:t>
            </w:r>
          </w:p>
        </w:tc>
      </w:tr>
      <w:tr w:rsidR="002D7184" w:rsidTr="002D7184">
        <w:trPr>
          <w:cnfStyle w:val="000000010000" w:firstRow="0" w:lastRow="0" w:firstColumn="0" w:lastColumn="0" w:oddVBand="0" w:evenVBand="0" w:oddHBand="0" w:evenHBand="1" w:firstRowFirstColumn="0" w:firstRowLastColumn="0" w:lastRowFirstColumn="0" w:lastRowLastColumn="0"/>
        </w:trPr>
        <w:tc>
          <w:tcPr>
            <w:tcW w:w="2897" w:type="dxa"/>
          </w:tcPr>
          <w:p w:rsidR="002D7184" w:rsidRDefault="002D7184" w:rsidP="00395EE5">
            <w:pPr>
              <w:pStyle w:val="AERbulletlistsecondstyle"/>
              <w:numPr>
                <w:ilvl w:val="0"/>
                <w:numId w:val="0"/>
              </w:numPr>
            </w:pPr>
            <w:r>
              <w:t>It is efficient if it</w:t>
            </w:r>
            <w:r w:rsidR="00395EE5">
              <w:t xml:space="preserve"> </w:t>
            </w:r>
            <w:r w:rsidR="00395EE5" w:rsidRPr="00395EE5">
              <w:t>is a credible option to meet an identified need on the distribution network, where that credible option is the preferred option</w:t>
            </w:r>
            <w:r w:rsidR="00395EE5">
              <w:t>.</w:t>
            </w:r>
          </w:p>
        </w:tc>
        <w:tc>
          <w:tcPr>
            <w:tcW w:w="2898" w:type="dxa"/>
          </w:tcPr>
          <w:p w:rsidR="005C348E" w:rsidRDefault="00597155" w:rsidP="00260E20">
            <w:pPr>
              <w:pStyle w:val="AERbulletlistsecondstyle"/>
              <w:numPr>
                <w:ilvl w:val="0"/>
                <w:numId w:val="0"/>
              </w:numPr>
            </w:pPr>
            <w:r>
              <w:t>A</w:t>
            </w:r>
            <w:r w:rsidR="00CF0DFE">
              <w:t>dopting the term 'preferred</w:t>
            </w:r>
            <w:r>
              <w:t xml:space="preserve"> option' used in the RIT-D</w:t>
            </w:r>
            <w:r w:rsidR="005C348E">
              <w:t>:</w:t>
            </w:r>
          </w:p>
          <w:p w:rsidR="005C348E" w:rsidRDefault="005C348E" w:rsidP="005C348E">
            <w:pPr>
              <w:pStyle w:val="AERbulletlistfirststyle"/>
            </w:pPr>
            <w:r>
              <w:t>S</w:t>
            </w:r>
            <w:r w:rsidR="00CF0DFE">
              <w:t xml:space="preserve">treamlines the assessment process </w:t>
            </w:r>
            <w:r>
              <w:t>with the RIT-D</w:t>
            </w:r>
            <w:r w:rsidR="00395EE5">
              <w:t>.</w:t>
            </w:r>
          </w:p>
          <w:p w:rsidR="005C348E" w:rsidRDefault="005C348E" w:rsidP="005C348E">
            <w:pPr>
              <w:pStyle w:val="AERbulletlistfirststyle"/>
            </w:pPr>
            <w:r>
              <w:t>C</w:t>
            </w:r>
            <w:r w:rsidR="00CF0DFE">
              <w:t>aptures the concept of 'net economic benefits' referred to in NER cl. 6.6.3(c)(3)</w:t>
            </w:r>
            <w:r w:rsidR="00395EE5">
              <w:t>.</w:t>
            </w:r>
          </w:p>
          <w:p w:rsidR="001C2C22" w:rsidRPr="005C348E" w:rsidRDefault="005C348E" w:rsidP="005C348E">
            <w:pPr>
              <w:pStyle w:val="AERbulletlistfirststyle"/>
            </w:pPr>
            <w:r>
              <w:t>Aligns with an</w:t>
            </w:r>
            <w:r w:rsidR="00EB0E15">
              <w:t xml:space="preserve"> </w:t>
            </w:r>
            <w:r>
              <w:t xml:space="preserve">'efficient non-network option', which we interpret as needing to meet an </w:t>
            </w:r>
            <w:r w:rsidRPr="001C2C22">
              <w:t>identified need</w:t>
            </w:r>
            <w:r>
              <w:t>/network constraint</w:t>
            </w:r>
            <w:r w:rsidR="00395EE5">
              <w:t>.</w:t>
            </w:r>
          </w:p>
        </w:tc>
        <w:tc>
          <w:tcPr>
            <w:tcW w:w="2898" w:type="dxa"/>
          </w:tcPr>
          <w:p w:rsidR="00EB0E15" w:rsidRDefault="00EB0E15" w:rsidP="00EB0E15">
            <w:pPr>
              <w:pStyle w:val="AERbulletlistsecondstyle"/>
              <w:numPr>
                <w:ilvl w:val="0"/>
                <w:numId w:val="0"/>
              </w:numPr>
            </w:pPr>
            <w:r>
              <w:t xml:space="preserve">This position is consistent with many stakeholders' views that </w:t>
            </w:r>
            <w:r w:rsidR="001C2C22">
              <w:t xml:space="preserve">support </w:t>
            </w:r>
            <w:r>
              <w:t>efficiency</w:t>
            </w:r>
            <w:r w:rsidR="001C2C22">
              <w:t xml:space="preserve"> assessments </w:t>
            </w:r>
            <w:r>
              <w:t xml:space="preserve">at the network planning </w:t>
            </w:r>
            <w:r w:rsidR="001C2C22">
              <w:t>stage</w:t>
            </w:r>
            <w:r>
              <w:t>.</w:t>
            </w:r>
            <w:r>
              <w:rPr>
                <w:rStyle w:val="FootnoteReference"/>
              </w:rPr>
              <w:footnoteReference w:id="41"/>
            </w:r>
          </w:p>
          <w:p w:rsidR="005C348E" w:rsidRDefault="005C348E" w:rsidP="00C113B3">
            <w:pPr>
              <w:pStyle w:val="AERbulletlistsecondstyle"/>
              <w:numPr>
                <w:ilvl w:val="0"/>
                <w:numId w:val="0"/>
              </w:numPr>
            </w:pPr>
            <w:r>
              <w:t xml:space="preserve">While some stakeholders caution against quantifying broad market benefits, others specifically </w:t>
            </w:r>
            <w:r w:rsidR="007F64BC">
              <w:t>supported</w:t>
            </w:r>
            <w:r>
              <w:t xml:space="preserve"> this approach.</w:t>
            </w:r>
            <w:r>
              <w:rPr>
                <w:rStyle w:val="FootnoteReference"/>
              </w:rPr>
              <w:footnoteReference w:id="42"/>
            </w:r>
            <w:r>
              <w:t xml:space="preserve"> We consider this analysis necessary to deliver the NER's intent, but note it can also be complex, costly and subjective. We have therefore developed some worked examples using 'rule of thumb' approaches to estimating broad market benefits.</w:t>
            </w:r>
          </w:p>
          <w:p w:rsidR="002A5F3C" w:rsidRDefault="002A5F3C" w:rsidP="00C113B3">
            <w:pPr>
              <w:pStyle w:val="AERbulletlistsecondstyle"/>
              <w:numPr>
                <w:ilvl w:val="0"/>
                <w:numId w:val="0"/>
              </w:numPr>
            </w:pPr>
          </w:p>
        </w:tc>
      </w:tr>
      <w:tr w:rsidR="002D7184" w:rsidTr="002D7184">
        <w:tc>
          <w:tcPr>
            <w:tcW w:w="2897" w:type="dxa"/>
          </w:tcPr>
          <w:p w:rsidR="002D7184" w:rsidRDefault="002D7184" w:rsidP="00597155">
            <w:pPr>
              <w:pStyle w:val="AERbulletlistsecondstyle"/>
              <w:numPr>
                <w:ilvl w:val="0"/>
                <w:numId w:val="0"/>
              </w:numPr>
            </w:pPr>
            <w:r>
              <w:lastRenderedPageBreak/>
              <w:t xml:space="preserve">It is a </w:t>
            </w:r>
            <w:r w:rsidRPr="00260E20">
              <w:t>non-network option relating to demand management</w:t>
            </w:r>
            <w:r w:rsidR="007D0D6F">
              <w:t xml:space="preserve">, where </w:t>
            </w:r>
            <w:r w:rsidR="00597155">
              <w:t>demand management</w:t>
            </w:r>
            <w:r w:rsidR="007D0D6F" w:rsidRPr="007D0D6F">
              <w:t xml:space="preserve"> is the act of modifying the drivers of network </w:t>
            </w:r>
            <w:r w:rsidR="003461AC">
              <w:t>d</w:t>
            </w:r>
            <w:r w:rsidR="003461AC" w:rsidRPr="003461AC">
              <w:t>emand</w:t>
            </w:r>
            <w:r w:rsidR="007D0D6F" w:rsidRPr="007D0D6F">
              <w:t xml:space="preserve"> to remove a network constraint.</w:t>
            </w:r>
          </w:p>
        </w:tc>
        <w:tc>
          <w:tcPr>
            <w:tcW w:w="2898" w:type="dxa"/>
          </w:tcPr>
          <w:p w:rsidR="002D7184" w:rsidRDefault="00BE1DE3" w:rsidP="00DF5BFB">
            <w:pPr>
              <w:pStyle w:val="AERbulletlistsecondstyle"/>
              <w:numPr>
                <w:ilvl w:val="0"/>
                <w:numId w:val="0"/>
              </w:numPr>
            </w:pPr>
            <w:r>
              <w:t>Eligible projects must</w:t>
            </w:r>
            <w:r w:rsidR="0006356E">
              <w:t xml:space="preserve"> </w:t>
            </w:r>
            <w:r w:rsidR="00DF5BFB">
              <w:t xml:space="preserve">be </w:t>
            </w:r>
            <w:r>
              <w:t>non-</w:t>
            </w:r>
            <w:r w:rsidRPr="00260E20">
              <w:t>network option</w:t>
            </w:r>
            <w:r>
              <w:t>s</w:t>
            </w:r>
            <w:r w:rsidRPr="00260E20">
              <w:t xml:space="preserve"> relating to demand management</w:t>
            </w:r>
            <w:r w:rsidRPr="00BE1DE3">
              <w:t xml:space="preserve"> </w:t>
            </w:r>
            <w:r w:rsidR="002D7184">
              <w:t xml:space="preserve">to achieve the </w:t>
            </w:r>
            <w:r>
              <w:t>Scheme O</w:t>
            </w:r>
            <w:r w:rsidR="002D7184">
              <w:t xml:space="preserve">bjective </w:t>
            </w:r>
            <w:r>
              <w:t xml:space="preserve">under </w:t>
            </w:r>
            <w:r w:rsidR="002D7184">
              <w:t>NER cl. 6.6.3(b)</w:t>
            </w:r>
            <w:r>
              <w:t>.</w:t>
            </w:r>
          </w:p>
        </w:tc>
        <w:tc>
          <w:tcPr>
            <w:tcW w:w="2898" w:type="dxa"/>
          </w:tcPr>
          <w:p w:rsidR="002D7184" w:rsidRDefault="00266283" w:rsidP="00266283">
            <w:pPr>
              <w:pStyle w:val="AERbulletlistsecondstyle"/>
              <w:numPr>
                <w:ilvl w:val="0"/>
                <w:numId w:val="0"/>
              </w:numPr>
            </w:pPr>
            <w:r>
              <w:t>In response to stakeholder views, we broadened o</w:t>
            </w:r>
            <w:r w:rsidR="00BE1DE3">
              <w:t xml:space="preserve">ur definition of 'demand management' </w:t>
            </w:r>
            <w:r>
              <w:t>so that the</w:t>
            </w:r>
            <w:r w:rsidR="00BE1DE3">
              <w:t xml:space="preserve"> network constraint </w:t>
            </w:r>
            <w:r>
              <w:t>need not be</w:t>
            </w:r>
            <w:r w:rsidR="0006356E">
              <w:t xml:space="preserve"> only</w:t>
            </w:r>
            <w:r>
              <w:t xml:space="preserve"> </w:t>
            </w:r>
            <w:r w:rsidR="00BE1DE3">
              <w:t xml:space="preserve">'at peak'. </w:t>
            </w:r>
          </w:p>
        </w:tc>
      </w:tr>
      <w:tr w:rsidR="002D7184" w:rsidTr="002D7184">
        <w:trPr>
          <w:cnfStyle w:val="000000010000" w:firstRow="0" w:lastRow="0" w:firstColumn="0" w:lastColumn="0" w:oddVBand="0" w:evenVBand="0" w:oddHBand="0" w:evenHBand="1" w:firstRowFirstColumn="0" w:firstRowLastColumn="0" w:lastRowFirstColumn="0" w:lastRowLastColumn="0"/>
        </w:trPr>
        <w:tc>
          <w:tcPr>
            <w:tcW w:w="2897" w:type="dxa"/>
          </w:tcPr>
          <w:p w:rsidR="002D7184" w:rsidRDefault="00BE1DE3" w:rsidP="00260E20">
            <w:pPr>
              <w:pStyle w:val="AERbulletlistsecondstyle"/>
              <w:numPr>
                <w:ilvl w:val="0"/>
                <w:numId w:val="0"/>
              </w:numPr>
            </w:pPr>
            <w:r>
              <w:t>W</w:t>
            </w:r>
            <w:r w:rsidR="002D7184" w:rsidRPr="00260E20">
              <w:t>ould not have had expenditure committed to it by a relevant distributor before</w:t>
            </w:r>
            <w:r w:rsidR="00597155">
              <w:t xml:space="preserve"> the first application of the S</w:t>
            </w:r>
            <w:r w:rsidR="002D7184" w:rsidRPr="00260E20">
              <w:t>cheme to that distributor</w:t>
            </w:r>
          </w:p>
        </w:tc>
        <w:tc>
          <w:tcPr>
            <w:tcW w:w="2898" w:type="dxa"/>
          </w:tcPr>
          <w:p w:rsidR="002D7184" w:rsidRDefault="00BE1DE3" w:rsidP="00BE1DE3">
            <w:pPr>
              <w:pStyle w:val="AERbulletlistsecondstyle"/>
              <w:numPr>
                <w:ilvl w:val="0"/>
                <w:numId w:val="0"/>
              </w:numPr>
            </w:pPr>
            <w:r>
              <w:t xml:space="preserve">Added for avoidance of doubt. Rewarding decisions made prior to the Scheme's commencement would create a cost to retail customers that is independent of whether the Scheme incentivised efficient investment decisions. </w:t>
            </w:r>
          </w:p>
        </w:tc>
        <w:tc>
          <w:tcPr>
            <w:tcW w:w="2898" w:type="dxa"/>
          </w:tcPr>
          <w:p w:rsidR="002D7184" w:rsidRDefault="00BE1DE3" w:rsidP="00260E20">
            <w:pPr>
              <w:pStyle w:val="AERbulletlistsecondstyle"/>
              <w:numPr>
                <w:ilvl w:val="0"/>
                <w:numId w:val="0"/>
              </w:numPr>
            </w:pPr>
            <w:r>
              <w:t>Not applicable.</w:t>
            </w:r>
          </w:p>
        </w:tc>
      </w:tr>
    </w:tbl>
    <w:p w:rsidR="007D0D6F" w:rsidRDefault="00266283" w:rsidP="007D0D6F">
      <w:pPr>
        <w:pStyle w:val="AERbulletlistsecondstyle"/>
        <w:numPr>
          <w:ilvl w:val="0"/>
          <w:numId w:val="0"/>
        </w:numPr>
      </w:pPr>
      <w:r>
        <w:t xml:space="preserve">The </w:t>
      </w:r>
      <w:r w:rsidR="00583C07">
        <w:t>next</w:t>
      </w:r>
      <w:r>
        <w:t xml:space="preserve"> sections elaborate on</w:t>
      </w:r>
      <w:r w:rsidR="00583C07">
        <w:t xml:space="preserve"> the following</w:t>
      </w:r>
      <w:r>
        <w:t xml:space="preserve"> elements summarised in </w:t>
      </w:r>
      <w:r>
        <w:fldChar w:fldCharType="begin"/>
      </w:r>
      <w:r>
        <w:instrText xml:space="preserve"> REF  _Ref485200718 \* Lower \h </w:instrText>
      </w:r>
      <w:r>
        <w:fldChar w:fldCharType="separate"/>
      </w:r>
      <w:r w:rsidR="0076296B">
        <w:t xml:space="preserve">table </w:t>
      </w:r>
      <w:r w:rsidR="0076296B">
        <w:rPr>
          <w:noProof/>
        </w:rPr>
        <w:t>1</w:t>
      </w:r>
      <w:r>
        <w:fldChar w:fldCharType="end"/>
      </w:r>
      <w:r>
        <w:t>:</w:t>
      </w:r>
    </w:p>
    <w:p w:rsidR="00266283" w:rsidRDefault="00266283" w:rsidP="00266283">
      <w:pPr>
        <w:pStyle w:val="AERbulletlistfirststyle"/>
      </w:pPr>
      <w:r>
        <w:t>Using a broad definition of 'demand management'</w:t>
      </w:r>
      <w:r w:rsidR="00395EE5">
        <w:t>; and</w:t>
      </w:r>
    </w:p>
    <w:p w:rsidR="00266283" w:rsidRDefault="00266283" w:rsidP="00266283">
      <w:pPr>
        <w:pStyle w:val="AERbulletlistfirststyle"/>
      </w:pPr>
      <w:r>
        <w:t xml:space="preserve">Defining </w:t>
      </w:r>
      <w:r w:rsidR="00583C07">
        <w:t>'</w:t>
      </w:r>
      <w:r w:rsidR="006671FC">
        <w:t>minimum project evaluation</w:t>
      </w:r>
      <w:r w:rsidR="00583C07">
        <w:t xml:space="preserve"> requirements'.</w:t>
      </w:r>
    </w:p>
    <w:p w:rsidR="00266283" w:rsidRDefault="00266283" w:rsidP="00266283">
      <w:pPr>
        <w:pStyle w:val="Heading2"/>
      </w:pPr>
      <w:bookmarkStart w:id="46" w:name="_Toc491447248"/>
      <w:r>
        <w:t>Defining demand management</w:t>
      </w:r>
      <w:bookmarkEnd w:id="46"/>
    </w:p>
    <w:p w:rsidR="00EC4685" w:rsidRDefault="00EC4685" w:rsidP="00266283">
      <w:r>
        <w:t xml:space="preserve">As discussed in </w:t>
      </w:r>
      <w:r w:rsidR="00395EE5">
        <w:fldChar w:fldCharType="begin"/>
      </w:r>
      <w:r w:rsidR="00395EE5">
        <w:instrText xml:space="preserve"> REF  _Ref485200718 \* Lower \h </w:instrText>
      </w:r>
      <w:r w:rsidR="00395EE5">
        <w:fldChar w:fldCharType="separate"/>
      </w:r>
      <w:r w:rsidR="0076296B">
        <w:t xml:space="preserve">table </w:t>
      </w:r>
      <w:r w:rsidR="0076296B">
        <w:rPr>
          <w:noProof/>
        </w:rPr>
        <w:t>1</w:t>
      </w:r>
      <w:r w:rsidR="00395EE5">
        <w:fldChar w:fldCharType="end"/>
      </w:r>
      <w:r>
        <w:t>, projects eligible for financial incentives under the Scheme must be non-network options relating to</w:t>
      </w:r>
      <w:r w:rsidRPr="00EC4685">
        <w:t xml:space="preserve"> demand management</w:t>
      </w:r>
      <w:r>
        <w:t>. In applying this</w:t>
      </w:r>
      <w:r w:rsidR="00597155">
        <w:t xml:space="preserve"> criterion</w:t>
      </w:r>
      <w:r>
        <w:t xml:space="preserve">, we have taken a broad view of demand management on the distribution network as </w:t>
      </w:r>
      <w:r w:rsidRPr="00EC4685">
        <w:t xml:space="preserve">the act of modifying the drivers of network </w:t>
      </w:r>
      <w:r w:rsidR="003461AC">
        <w:t xml:space="preserve">demand </w:t>
      </w:r>
      <w:r w:rsidRPr="00EC4685">
        <w:t>to remove a network constraint.</w:t>
      </w:r>
      <w:r>
        <w:t xml:space="preserve"> This </w:t>
      </w:r>
      <w:r w:rsidR="00597155">
        <w:t xml:space="preserve">definition </w:t>
      </w:r>
      <w:r>
        <w:t xml:space="preserve">differs from a narrower view we </w:t>
      </w:r>
      <w:r w:rsidR="007F64BC">
        <w:t xml:space="preserve">previously </w:t>
      </w:r>
      <w:r>
        <w:t>consider</w:t>
      </w:r>
      <w:r w:rsidR="00657396">
        <w:t>ed</w:t>
      </w:r>
      <w:r>
        <w:t xml:space="preserve"> that </w:t>
      </w:r>
      <w:r w:rsidR="003461AC">
        <w:t>was specific to removing</w:t>
      </w:r>
      <w:r w:rsidRPr="00EC4685">
        <w:t xml:space="preserve"> network constraint</w:t>
      </w:r>
      <w:r w:rsidR="003461AC">
        <w:t>s</w:t>
      </w:r>
      <w:r>
        <w:t xml:space="preserve"> </w:t>
      </w:r>
      <w:r w:rsidRPr="00EC4685">
        <w:rPr>
          <w:rStyle w:val="AERtextitalic"/>
        </w:rPr>
        <w:t>at peak</w:t>
      </w:r>
      <w:r w:rsidR="007F64BC">
        <w:t>.</w:t>
      </w:r>
    </w:p>
    <w:p w:rsidR="00266283" w:rsidRDefault="00657396" w:rsidP="00266283">
      <w:r>
        <w:t>We decided</w:t>
      </w:r>
      <w:r w:rsidR="00EC4685">
        <w:t xml:space="preserve"> to remove the reference to 'at peak' </w:t>
      </w:r>
      <w:r>
        <w:t xml:space="preserve">from </w:t>
      </w:r>
      <w:r w:rsidR="00EC4685">
        <w:t xml:space="preserve">our definition of demand management </w:t>
      </w:r>
      <w:r w:rsidR="007060B5">
        <w:t>because of</w:t>
      </w:r>
      <w:r w:rsidR="00266283">
        <w:t xml:space="preserve"> the following:</w:t>
      </w:r>
    </w:p>
    <w:p w:rsidR="00266283" w:rsidRDefault="00266283" w:rsidP="00266283">
      <w:pPr>
        <w:pStyle w:val="AERbulletlistfirststyle"/>
      </w:pPr>
      <w:r>
        <w:t xml:space="preserve">Restricting the definition of demand management to peak demand issues would limit the relevance of the Scheme and prevent </w:t>
      </w:r>
      <w:r w:rsidR="005C2656">
        <w:t xml:space="preserve">it from being dynamic </w:t>
      </w:r>
      <w:r w:rsidR="005C2656">
        <w:rPr>
          <w:rFonts w:cs="Arial"/>
        </w:rPr>
        <w:t>―</w:t>
      </w:r>
      <w:r w:rsidR="005C2656">
        <w:t xml:space="preserve">particularly </w:t>
      </w:r>
      <w:r w:rsidR="00395EE5">
        <w:t>when</w:t>
      </w:r>
      <w:r w:rsidR="005C2656">
        <w:t xml:space="preserve"> peak demand reduction is becoming a smaller part of demand management.</w:t>
      </w:r>
      <w:r>
        <w:rPr>
          <w:rStyle w:val="FootnoteReference"/>
        </w:rPr>
        <w:footnoteReference w:id="43"/>
      </w:r>
    </w:p>
    <w:p w:rsidR="006B35B6" w:rsidRDefault="005C2656" w:rsidP="00266283">
      <w:pPr>
        <w:pStyle w:val="AERbulletlistfirststyle"/>
      </w:pPr>
      <w:r>
        <w:t>In particular</w:t>
      </w:r>
      <w:r w:rsidR="00806A07">
        <w:t>,</w:t>
      </w:r>
      <w:r>
        <w:t xml:space="preserve"> networks</w:t>
      </w:r>
      <w:r w:rsidR="00806A07">
        <w:t>'</w:t>
      </w:r>
      <w:r>
        <w:t xml:space="preserve"> demand management is more likely </w:t>
      </w:r>
      <w:r w:rsidR="006B35B6">
        <w:t xml:space="preserve">to </w:t>
      </w:r>
      <w:r>
        <w:t xml:space="preserve">address constraints that are not </w:t>
      </w:r>
      <w:r w:rsidR="006B35B6">
        <w:t xml:space="preserve">driven by </w:t>
      </w:r>
      <w:r>
        <w:t xml:space="preserve">peak demand. For instance, </w:t>
      </w:r>
      <w:r w:rsidR="006B35B6">
        <w:t>in Ausgrid's network,</w:t>
      </w:r>
      <w:r w:rsidR="006B35B6" w:rsidRPr="006B35B6">
        <w:t xml:space="preserve"> </w:t>
      </w:r>
      <w:r w:rsidR="006B35B6">
        <w:t xml:space="preserve">peak demand drives few constraints, but demand management nevertheless has value in meeting </w:t>
      </w:r>
      <w:r w:rsidR="00A131B1">
        <w:t>its</w:t>
      </w:r>
      <w:r w:rsidR="006B35B6">
        <w:t xml:space="preserve"> need for redundancy support</w:t>
      </w:r>
      <w:r w:rsidR="00A131B1">
        <w:t>.</w:t>
      </w:r>
      <w:r w:rsidR="006B35B6">
        <w:t xml:space="preserve"> For instance, demand management</w:t>
      </w:r>
      <w:r w:rsidR="00A131B1">
        <w:t xml:space="preserve"> can</w:t>
      </w:r>
      <w:r w:rsidR="006B35B6" w:rsidRPr="006B35B6">
        <w:t xml:space="preserve"> </w:t>
      </w:r>
      <w:r w:rsidR="00A131B1">
        <w:t>address</w:t>
      </w:r>
      <w:r w:rsidR="00A131B1" w:rsidRPr="006B35B6">
        <w:t xml:space="preserve"> risks associated with equipment failure</w:t>
      </w:r>
      <w:r w:rsidR="00A131B1">
        <w:t>, and thereby add value when deciding whether to</w:t>
      </w:r>
      <w:r w:rsidR="006B35B6" w:rsidRPr="006B35B6">
        <w:t xml:space="preserve"> defer the retirement</w:t>
      </w:r>
      <w:r w:rsidR="00395EE5">
        <w:t xml:space="preserve"> or</w:t>
      </w:r>
      <w:r w:rsidR="00A131B1">
        <w:t xml:space="preserve"> replacement of aging assets.</w:t>
      </w:r>
      <w:r w:rsidR="00A131B1">
        <w:rPr>
          <w:rStyle w:val="FootnoteReference"/>
        </w:rPr>
        <w:footnoteReference w:id="44"/>
      </w:r>
    </w:p>
    <w:p w:rsidR="00A131B1" w:rsidRDefault="00A131B1" w:rsidP="00266283">
      <w:pPr>
        <w:pStyle w:val="AERbulletlistfirststyle"/>
      </w:pPr>
      <w:r>
        <w:t xml:space="preserve">SA Power Networks expressed the importance of incentivising </w:t>
      </w:r>
      <w:r w:rsidR="00395EE5">
        <w:t xml:space="preserve">the use of </w:t>
      </w:r>
      <w:r>
        <w:t xml:space="preserve">demand management </w:t>
      </w:r>
      <w:r w:rsidR="00395EE5">
        <w:t>in</w:t>
      </w:r>
      <w:r>
        <w:t xml:space="preserve"> address</w:t>
      </w:r>
      <w:r w:rsidR="00395EE5">
        <w:t>ing</w:t>
      </w:r>
      <w:r>
        <w:t xml:space="preserve"> constraints associated with minimum demand, as well </w:t>
      </w:r>
      <w:r>
        <w:lastRenderedPageBreak/>
        <w:t>as peak demand.</w:t>
      </w:r>
      <w:r>
        <w:rPr>
          <w:rStyle w:val="FootnoteReference"/>
        </w:rPr>
        <w:footnoteReference w:id="45"/>
      </w:r>
      <w:r>
        <w:t xml:space="preserve"> It noted that some of the technical challenges associated with minimum demand concern network voltage and system frequencies, and noted that </w:t>
      </w:r>
      <w:r w:rsidR="00597155">
        <w:t xml:space="preserve">these challenges </w:t>
      </w:r>
      <w:r>
        <w:t>will present key opportunities.</w:t>
      </w:r>
      <w:r>
        <w:rPr>
          <w:rStyle w:val="FootnoteReference"/>
        </w:rPr>
        <w:footnoteReference w:id="46"/>
      </w:r>
      <w:r w:rsidR="009817B7">
        <w:t xml:space="preserve"> Energex also </w:t>
      </w:r>
      <w:r w:rsidR="00447B6D">
        <w:t>identified</w:t>
      </w:r>
      <w:r w:rsidR="009817B7">
        <w:t xml:space="preserve"> value in designing the Scheme to encompass emerging is</w:t>
      </w:r>
      <w:r w:rsidR="0098035D">
        <w:t>sues such as voltage and power q</w:t>
      </w:r>
      <w:r w:rsidR="009817B7">
        <w:t>uality management issues.</w:t>
      </w:r>
      <w:r w:rsidR="009817B7">
        <w:rPr>
          <w:rStyle w:val="FootnoteReference"/>
        </w:rPr>
        <w:footnoteReference w:id="47"/>
      </w:r>
    </w:p>
    <w:p w:rsidR="00082852" w:rsidRDefault="00395EE5" w:rsidP="009817B7">
      <w:pPr>
        <w:pStyle w:val="AERbulletlistfirststyle"/>
      </w:pPr>
      <w:r>
        <w:t>The Australian Energy Market Operator (</w:t>
      </w:r>
      <w:r w:rsidR="009817B7">
        <w:t>AEMO</w:t>
      </w:r>
      <w:r>
        <w:t>)</w:t>
      </w:r>
      <w:r w:rsidR="009817B7">
        <w:t xml:space="preserve"> submitted that the Scheme would miss </w:t>
      </w:r>
      <w:r w:rsidR="009817B7" w:rsidRPr="009817B7">
        <w:t xml:space="preserve">many opportunities to drive customer benefits if it has a narrow focus on using demand management to offset peak demand. It </w:t>
      </w:r>
      <w:r w:rsidR="009817B7">
        <w:t>discussed the benefits of the Scheme being broad</w:t>
      </w:r>
      <w:r w:rsidR="00364CB1">
        <w:t xml:space="preserve"> enough</w:t>
      </w:r>
      <w:r w:rsidR="009817B7">
        <w:t xml:space="preserve"> to also focus</w:t>
      </w:r>
      <w:r w:rsidR="00364CB1">
        <w:t xml:space="preserve"> </w:t>
      </w:r>
      <w:r w:rsidR="009817B7" w:rsidRPr="009817B7">
        <w:t>on downsizing/deferring r</w:t>
      </w:r>
      <w:r w:rsidR="009817B7">
        <w:t>eplacement expenditure</w:t>
      </w:r>
      <w:r w:rsidR="009817B7" w:rsidRPr="009817B7">
        <w:t>, managing diverse power flows, fle</w:t>
      </w:r>
      <w:r w:rsidR="009817B7">
        <w:t>xibility under uncertain demand</w:t>
      </w:r>
      <w:r w:rsidR="009817B7" w:rsidRPr="009817B7">
        <w:t xml:space="preserve"> and grid support services to maintain system security</w:t>
      </w:r>
      <w:r w:rsidR="009817B7">
        <w:t>.</w:t>
      </w:r>
      <w:r w:rsidR="009817B7">
        <w:rPr>
          <w:rStyle w:val="FootnoteReference"/>
        </w:rPr>
        <w:footnoteReference w:id="48"/>
      </w:r>
    </w:p>
    <w:p w:rsidR="002E7B6B" w:rsidRDefault="002E7B6B" w:rsidP="002E7B6B">
      <w:pPr>
        <w:pStyle w:val="AERbulletlistfirststyle"/>
        <w:numPr>
          <w:ilvl w:val="0"/>
          <w:numId w:val="0"/>
        </w:numPr>
      </w:pPr>
      <w:r>
        <w:t xml:space="preserve">Recognising these benefits, the draft Scheme does not restrict demand management to addressing peak demand. However, in taking </w:t>
      </w:r>
      <w:r w:rsidR="00597155">
        <w:t>a</w:t>
      </w:r>
      <w:r>
        <w:t xml:space="preserve"> broader definition, we are also </w:t>
      </w:r>
      <w:r w:rsidR="009817B7">
        <w:t xml:space="preserve">aware of </w:t>
      </w:r>
      <w:r>
        <w:t>the following:</w:t>
      </w:r>
    </w:p>
    <w:p w:rsidR="005C2656" w:rsidRDefault="009817B7" w:rsidP="002E7B6B">
      <w:pPr>
        <w:pStyle w:val="AERbulletlistfirststyle"/>
      </w:pPr>
      <w:r>
        <w:t>Some stakeholders saw value in tying incentives to peak demand in their submissions on our Consultation Paper.</w:t>
      </w:r>
      <w:r>
        <w:rPr>
          <w:rStyle w:val="FootnoteReference"/>
        </w:rPr>
        <w:footnoteReference w:id="49"/>
      </w:r>
      <w:r w:rsidRPr="00082852">
        <w:t xml:space="preserve"> </w:t>
      </w:r>
      <w:r w:rsidR="00405D89">
        <w:t xml:space="preserve">Oakley Greenwood also advised that in most cases, a distributor's </w:t>
      </w:r>
      <w:r w:rsidR="00D47D4F">
        <w:t>underlying</w:t>
      </w:r>
      <w:r w:rsidR="00405D89">
        <w:t xml:space="preserve"> augmentation cost driver will be either co-</w:t>
      </w:r>
      <w:r w:rsidR="00D47D4F">
        <w:t>incident</w:t>
      </w:r>
      <w:r w:rsidR="00405D89">
        <w:t xml:space="preserve"> peak </w:t>
      </w:r>
      <w:r w:rsidR="00D47D4F">
        <w:t>demand</w:t>
      </w:r>
      <w:r w:rsidR="00405D89">
        <w:t xml:space="preserve"> or energy at risk</w:t>
      </w:r>
      <w:r w:rsidR="00D47D4F">
        <w:t xml:space="preserve">. It advised that for this reason, </w:t>
      </w:r>
      <m:oMath>
        <m:r>
          <w:rPr>
            <w:rFonts w:ascii="Cambria Math" w:hAnsi="Cambria Math"/>
          </w:rPr>
          <m:t>$/kVA</m:t>
        </m:r>
      </m:oMath>
      <w:r w:rsidR="00D47D4F">
        <w:t xml:space="preserve"> of demand management would be an appropriate metric for delivering incentives under the Scheme.</w:t>
      </w:r>
      <w:r w:rsidR="00395EE5">
        <w:rPr>
          <w:rStyle w:val="FootnoteReference"/>
        </w:rPr>
        <w:footnoteReference w:id="50"/>
      </w:r>
    </w:p>
    <w:p w:rsidR="00D47D4F" w:rsidRDefault="0098035D" w:rsidP="002E7B6B">
      <w:pPr>
        <w:pStyle w:val="AERbulletlistfirststyle"/>
      </w:pPr>
      <w:r>
        <w:t xml:space="preserve">Expanding the definition potentially increases the complexity of tying incentives to performance. </w:t>
      </w:r>
      <w:r w:rsidR="00405D89">
        <w:t xml:space="preserve">For instance, if we tied incentives to peak demand reductions, we could deliver the incentive in the form, </w:t>
      </w:r>
      <m:oMath>
        <m:sSub>
          <m:sSubPr>
            <m:ctrlPr>
              <w:rPr>
                <w:rFonts w:ascii="Cambria Math" w:hAnsi="Cambria Math"/>
              </w:rPr>
            </m:ctrlPr>
          </m:sSubPr>
          <m:e>
            <m:r>
              <w:rPr>
                <w:rFonts w:ascii="Cambria Math" w:hAnsi="Cambria Math"/>
              </w:rPr>
              <m:t>$/kVA</m:t>
            </m:r>
          </m:e>
          <m:sub>
            <m:r>
              <w:rPr>
                <w:rFonts w:ascii="Cambria Math" w:hAnsi="Cambria Math"/>
              </w:rPr>
              <m:t>peak</m:t>
            </m:r>
          </m:sub>
        </m:sSub>
      </m:oMath>
      <w:r w:rsidR="00405D89">
        <w:t xml:space="preserve">. </w:t>
      </w:r>
      <w:r w:rsidR="00D47D4F">
        <w:t xml:space="preserve">However, this </w:t>
      </w:r>
      <w:r w:rsidR="00597155">
        <w:t xml:space="preserve">form </w:t>
      </w:r>
      <w:r w:rsidR="00D47D4F">
        <w:t xml:space="preserve">is difficult to apply if we take a broader approach, which </w:t>
      </w:r>
      <w:r w:rsidR="00423A2E">
        <w:t xml:space="preserve">leads </w:t>
      </w:r>
      <w:r w:rsidR="00D47D4F">
        <w:t>us to either provide an incentive:</w:t>
      </w:r>
    </w:p>
    <w:p w:rsidR="00D47D4F" w:rsidRDefault="00D47D4F" w:rsidP="00D47D4F">
      <w:pPr>
        <w:pStyle w:val="AERbulletlistsecondstyle"/>
      </w:pPr>
      <w:r>
        <w:t>based on a</w:t>
      </w:r>
      <w:r w:rsidR="00405D89">
        <w:t xml:space="preserve"> broader measure, such as a percentage uplift on the costs</w:t>
      </w:r>
      <w:r>
        <w:t xml:space="preserve"> of demand management (as we have in the draft Scheme); or</w:t>
      </w:r>
    </w:p>
    <w:p w:rsidR="0098035D" w:rsidRDefault="00405D89" w:rsidP="00D47D4F">
      <w:pPr>
        <w:pStyle w:val="AERbulletlistsecondstyle"/>
      </w:pPr>
      <w:r>
        <w:t xml:space="preserve">in </w:t>
      </w:r>
      <w:r w:rsidR="00D47D4F">
        <w:t xml:space="preserve">potentially multiple forms, varying between whether </w:t>
      </w:r>
      <w:r>
        <w:t>the demand management address</w:t>
      </w:r>
      <w:r w:rsidR="00D47D4F">
        <w:t>es</w:t>
      </w:r>
      <w:r>
        <w:t xml:space="preserve"> issues relating to peak demand, voltage</w:t>
      </w:r>
      <w:r w:rsidR="00CC765E">
        <w:t xml:space="preserve"> control, or some other factor.</w:t>
      </w:r>
    </w:p>
    <w:p w:rsidR="00082852" w:rsidRDefault="0098035D" w:rsidP="00082852">
      <w:pPr>
        <w:pStyle w:val="AERbulletlistfirststyle"/>
        <w:numPr>
          <w:ilvl w:val="0"/>
          <w:numId w:val="0"/>
        </w:numPr>
      </w:pPr>
      <w:r>
        <w:t xml:space="preserve">While the above factors may cause difficulties, we </w:t>
      </w:r>
      <w:r w:rsidR="00A27013">
        <w:t xml:space="preserve">also consider there is value in implementing a Scheme that is adaptable to changing market conditions and recognises that demand management can add value outside of peak demand management. Moreover, we consider we can apply a broader definition whilst maintaining many of the benefits to the </w:t>
      </w:r>
      <m:oMath>
        <m:sSub>
          <m:sSubPr>
            <m:ctrlPr>
              <w:rPr>
                <w:rFonts w:ascii="Cambria Math" w:hAnsi="Cambria Math"/>
              </w:rPr>
            </m:ctrlPr>
          </m:sSubPr>
          <m:e>
            <m:r>
              <w:rPr>
                <w:rFonts w:ascii="Cambria Math" w:hAnsi="Cambria Math"/>
              </w:rPr>
              <m:t>$/kVA</m:t>
            </m:r>
          </m:e>
          <m:sub>
            <m:r>
              <w:rPr>
                <w:rFonts w:ascii="Cambria Math" w:hAnsi="Cambria Math"/>
              </w:rPr>
              <m:t>peak</m:t>
            </m:r>
          </m:sub>
        </m:sSub>
      </m:oMath>
      <w:r w:rsidR="00A27013">
        <w:t xml:space="preserve"> approach</w:t>
      </w:r>
      <w:r w:rsidR="00D70816">
        <w:t xml:space="preserve"> </w:t>
      </w:r>
      <w:r w:rsidR="007F64BC">
        <w:t>by:</w:t>
      </w:r>
    </w:p>
    <w:p w:rsidR="00D70816" w:rsidRDefault="00D70816" w:rsidP="0098035D">
      <w:pPr>
        <w:pStyle w:val="AERbulletlistfirststyle"/>
      </w:pPr>
      <w:r>
        <w:lastRenderedPageBreak/>
        <w:t>Applying the financial incentive on a broad measure (percentage uplift on the cost of demand management), so the Scheme does not become</w:t>
      </w:r>
      <w:r w:rsidR="00CC765E">
        <w:t xml:space="preserve"> prohibitively</w:t>
      </w:r>
      <w:r>
        <w:t xml:space="preserve"> complicated and administratively burdensome</w:t>
      </w:r>
      <w:r w:rsidR="00EC4685">
        <w:t>.</w:t>
      </w:r>
    </w:p>
    <w:p w:rsidR="0098035D" w:rsidRDefault="00D70816" w:rsidP="0098035D">
      <w:pPr>
        <w:pStyle w:val="AERbulletlistfirststyle"/>
      </w:pPr>
      <w:r>
        <w:t>Capping any eligible project's incentive at its expected net benefits, so the financial incentive has a basis in the project's benefits.</w:t>
      </w:r>
    </w:p>
    <w:p w:rsidR="00D70816" w:rsidRDefault="00534032" w:rsidP="0098035D">
      <w:pPr>
        <w:pStyle w:val="AERbulletlistfirststyle"/>
      </w:pPr>
      <w:r>
        <w:t xml:space="preserve">Requiring the distributor </w:t>
      </w:r>
      <w:r w:rsidR="00221830">
        <w:t xml:space="preserve">to </w:t>
      </w:r>
      <w:r>
        <w:t>set</w:t>
      </w:r>
      <w:r w:rsidR="00D70816">
        <w:t xml:space="preserve"> deliverables when it commits to a project. For example, when a distributor contracts demand management services, it must write these deliverables into the contract</w:t>
      </w:r>
      <w:r w:rsidR="00CC765E">
        <w:t xml:space="preserve"> (see sections </w:t>
      </w:r>
      <w:r w:rsidR="00CC765E">
        <w:fldChar w:fldCharType="begin"/>
      </w:r>
      <w:r w:rsidR="00CC765E">
        <w:instrText xml:space="preserve"> REF _Ref488157984 \r \h </w:instrText>
      </w:r>
      <w:r w:rsidR="00CC765E">
        <w:fldChar w:fldCharType="separate"/>
      </w:r>
      <w:r w:rsidR="0076296B">
        <w:t>5.3.1</w:t>
      </w:r>
      <w:r w:rsidR="00CC765E">
        <w:fldChar w:fldCharType="end"/>
      </w:r>
      <w:r w:rsidR="00CC765E">
        <w:t xml:space="preserve"> and </w:t>
      </w:r>
      <w:r w:rsidR="00CC765E">
        <w:fldChar w:fldCharType="begin"/>
      </w:r>
      <w:r w:rsidR="00CC765E">
        <w:instrText xml:space="preserve"> REF _Ref488157985 \r \h </w:instrText>
      </w:r>
      <w:r w:rsidR="00CC765E">
        <w:fldChar w:fldCharType="separate"/>
      </w:r>
      <w:r w:rsidR="0076296B">
        <w:t>5.3.2</w:t>
      </w:r>
      <w:r w:rsidR="00CC765E">
        <w:fldChar w:fldCharType="end"/>
      </w:r>
      <w:r w:rsidR="00CC765E">
        <w:t xml:space="preserve"> on the rationale for requiring demand management contracts and proposals)</w:t>
      </w:r>
      <w:r w:rsidR="00D70816">
        <w:t>.</w:t>
      </w:r>
    </w:p>
    <w:p w:rsidR="00221830" w:rsidRPr="00266283" w:rsidRDefault="00B117E9" w:rsidP="00221830">
      <w:pPr>
        <w:pStyle w:val="AERbulletlistfirststyle"/>
        <w:numPr>
          <w:ilvl w:val="0"/>
          <w:numId w:val="0"/>
        </w:numPr>
      </w:pPr>
      <w:r>
        <w:t>The aim of these measures is</w:t>
      </w:r>
      <w:r w:rsidR="000B1E36" w:rsidRPr="000B1E36">
        <w:t xml:space="preserve"> that projects deliver net benefits and measureable deliverables for consumers.</w:t>
      </w:r>
      <w:r>
        <w:t xml:space="preserve"> We require distributors to identify and quantify what a project will deliver, make benefit calculations on this basis and then cap the incentive based on the calculated benefits.</w:t>
      </w:r>
      <w:r w:rsidR="000B1E36" w:rsidRPr="000B1E36">
        <w:t xml:space="preserve"> </w:t>
      </w:r>
      <w:r>
        <w:t xml:space="preserve">We consider that this creates an identifiable metric for success, and then places limits on the incentive in line with this metric, meaning that customers and the broader market will receive value and that we will be able to identify and communicate this value. The result of this process will likely be a market that is informed about the costs and benefits of demand management, which we consider a more effective market. </w:t>
      </w:r>
      <w:r w:rsidR="00FF5578">
        <w:t>This</w:t>
      </w:r>
      <w:r>
        <w:t xml:space="preserve"> feature</w:t>
      </w:r>
      <w:r w:rsidR="00FF5578">
        <w:t xml:space="preserve"> will also assist us in determining the effectiveness of the scheme through compliance procedures laid out in Section </w:t>
      </w:r>
      <w:r w:rsidR="00FF5578">
        <w:fldChar w:fldCharType="begin"/>
      </w:r>
      <w:r w:rsidR="00FF5578">
        <w:instrText xml:space="preserve"> REF _Ref489605954 \r \h </w:instrText>
      </w:r>
      <w:r w:rsidR="00FF5578">
        <w:fldChar w:fldCharType="separate"/>
      </w:r>
      <w:r w:rsidR="0076296B">
        <w:t>7</w:t>
      </w:r>
      <w:r w:rsidR="00FF5578">
        <w:fldChar w:fldCharType="end"/>
      </w:r>
      <w:r w:rsidR="00FF5578">
        <w:t xml:space="preserve">. </w:t>
      </w:r>
    </w:p>
    <w:p w:rsidR="00260E20" w:rsidRPr="00260E20" w:rsidRDefault="008762FA" w:rsidP="008762FA">
      <w:pPr>
        <w:pStyle w:val="Heading2"/>
      </w:pPr>
      <w:bookmarkStart w:id="47" w:name="_Ref487113990"/>
      <w:bookmarkStart w:id="48" w:name="_Toc491447249"/>
      <w:r>
        <w:t xml:space="preserve">Defining </w:t>
      </w:r>
      <w:r w:rsidR="006671FC">
        <w:t>minimum project evaluation</w:t>
      </w:r>
      <w:r>
        <w:t xml:space="preserve"> requirements</w:t>
      </w:r>
      <w:bookmarkEnd w:id="47"/>
      <w:bookmarkEnd w:id="48"/>
    </w:p>
    <w:p w:rsidR="0098035D" w:rsidRDefault="00115858" w:rsidP="00115858">
      <w:r>
        <w:t xml:space="preserve">Subclause 2.2.1 of the draft Scheme </w:t>
      </w:r>
      <w:r w:rsidR="0098035D">
        <w:t xml:space="preserve">sets out the </w:t>
      </w:r>
      <w:r w:rsidR="00CC765E">
        <w:t>competitive</w:t>
      </w:r>
      <w:r w:rsidR="0098035D">
        <w:t xml:space="preserve"> testing that</w:t>
      </w:r>
      <w:r>
        <w:t xml:space="preserve"> distributors </w:t>
      </w:r>
      <w:r w:rsidR="00E174F6">
        <w:t xml:space="preserve">must undertake </w:t>
      </w:r>
      <w:r w:rsidR="0098035D">
        <w:t>before a non-RIT-D project can</w:t>
      </w:r>
      <w:r>
        <w:t xml:space="preserve"> be eligible to receive incentives</w:t>
      </w:r>
      <w:r w:rsidR="00E174F6">
        <w:t xml:space="preserve"> under the Scheme</w:t>
      </w:r>
      <w:r>
        <w:t>.</w:t>
      </w:r>
      <w:r w:rsidR="0098035D">
        <w:t xml:space="preserve"> This</w:t>
      </w:r>
      <w:r w:rsidR="00E174F6">
        <w:t xml:space="preserve"> </w:t>
      </w:r>
      <w:r w:rsidR="00CC765E" w:rsidRPr="00CC765E">
        <w:t xml:space="preserve">competitive </w:t>
      </w:r>
      <w:r w:rsidR="00E174F6">
        <w:t>testing</w:t>
      </w:r>
      <w:r w:rsidR="0098035D">
        <w:t xml:space="preserve"> entails:</w:t>
      </w:r>
    </w:p>
    <w:p w:rsidR="0098035D" w:rsidRDefault="0098035D" w:rsidP="0098035D">
      <w:pPr>
        <w:pStyle w:val="AERbulletlistfirststyle"/>
      </w:pPr>
      <w:r>
        <w:t xml:space="preserve">Issuing a </w:t>
      </w:r>
      <w:r w:rsidR="006671FC">
        <w:t>request for demand management solutions</w:t>
      </w:r>
      <w:r>
        <w:t xml:space="preserve"> </w:t>
      </w:r>
      <w:r w:rsidR="00CC765E">
        <w:t xml:space="preserve">to </w:t>
      </w:r>
      <w:r w:rsidR="00BF5374">
        <w:t>other legal entities</w:t>
      </w:r>
      <w:r w:rsidR="00BF5374" w:rsidRPr="00D87D7B">
        <w:t xml:space="preserve"> </w:t>
      </w:r>
      <w:r w:rsidR="006307AF">
        <w:t>that could provide</w:t>
      </w:r>
      <w:r>
        <w:t xml:space="preserve"> the demand </w:t>
      </w:r>
      <w:r w:rsidR="006307AF">
        <w:t xml:space="preserve">management </w:t>
      </w:r>
      <w:r w:rsidR="006307AF" w:rsidRPr="00115858">
        <w:t>product</w:t>
      </w:r>
      <w:r w:rsidR="00CC765E">
        <w:t xml:space="preserve">, service or solution </w:t>
      </w:r>
      <w:r>
        <w:t xml:space="preserve">needed to meet, or contribute to meeting, the </w:t>
      </w:r>
      <w:r w:rsidR="00036BCF">
        <w:t>identified need on its network.</w:t>
      </w:r>
    </w:p>
    <w:p w:rsidR="006307AF" w:rsidRDefault="006307AF" w:rsidP="00115858">
      <w:pPr>
        <w:pStyle w:val="AERbulletlistfirststyle"/>
      </w:pPr>
      <w:r>
        <w:t xml:space="preserve">Including, within that request for </w:t>
      </w:r>
      <w:r w:rsidR="00597155">
        <w:t>demand management solutions</w:t>
      </w:r>
      <w:r>
        <w:t xml:space="preserve">, </w:t>
      </w:r>
      <w:r w:rsidR="00CC765E">
        <w:t>material</w:t>
      </w:r>
      <w:r>
        <w:t xml:space="preserve"> that allows </w:t>
      </w:r>
      <w:r w:rsidR="00BF5374">
        <w:t>other legal entities</w:t>
      </w:r>
      <w:r>
        <w:t xml:space="preserve"> </w:t>
      </w:r>
      <w:r w:rsidR="00534032">
        <w:t>to make</w:t>
      </w:r>
      <w:r w:rsidRPr="00115858">
        <w:t xml:space="preserve"> informed response</w:t>
      </w:r>
      <w:r w:rsidR="00534032">
        <w:t>s</w:t>
      </w:r>
      <w:r w:rsidRPr="00115858">
        <w:t xml:space="preserve"> in presenting </w:t>
      </w:r>
      <w:r>
        <w:t>a credible option</w:t>
      </w:r>
      <w:r w:rsidR="00534032">
        <w:t>s</w:t>
      </w:r>
      <w:r>
        <w:t xml:space="preserve"> to meet the identified need</w:t>
      </w:r>
      <w:r w:rsidR="00CC765E">
        <w:t>.</w:t>
      </w:r>
    </w:p>
    <w:p w:rsidR="006307AF" w:rsidRDefault="00B10B3E" w:rsidP="00B10B3E">
      <w:pPr>
        <w:pStyle w:val="AERbulletlistfirststyle"/>
        <w:numPr>
          <w:ilvl w:val="0"/>
          <w:numId w:val="0"/>
        </w:numPr>
      </w:pPr>
      <w:r>
        <w:t xml:space="preserve">Once a distributor completes this </w:t>
      </w:r>
      <w:r w:rsidR="00CC765E">
        <w:t>competitive</w:t>
      </w:r>
      <w:r>
        <w:t xml:space="preserve"> testing, it will identify</w:t>
      </w:r>
      <w:r w:rsidR="007F64BC">
        <w:t xml:space="preserve"> whether a non-</w:t>
      </w:r>
      <w:r w:rsidR="006307AF">
        <w:t xml:space="preserve">network option relating to demand management has the highest net benefit across the </w:t>
      </w:r>
      <w:r w:rsidR="00C26AD1">
        <w:t>relevant market</w:t>
      </w:r>
      <w:r w:rsidR="006307AF" w:rsidRPr="00115858">
        <w:t xml:space="preserve">. </w:t>
      </w:r>
      <w:r w:rsidR="006307AF">
        <w:t>If it does,</w:t>
      </w:r>
      <w:r w:rsidR="00CC765E">
        <w:t xml:space="preserve"> it will make</w:t>
      </w:r>
      <w:r w:rsidR="006307AF">
        <w:t xml:space="preserve"> a commitment to the demand management component of that </w:t>
      </w:r>
      <w:r w:rsidR="00CC765E">
        <w:t>non-network option</w:t>
      </w:r>
      <w:r w:rsidR="006307AF">
        <w:t xml:space="preserve">. </w:t>
      </w:r>
      <w:r w:rsidR="00597155">
        <w:t>Committing a project</w:t>
      </w:r>
      <w:r w:rsidR="006307AF">
        <w:t xml:space="preserve"> includes contracting or signing off on the costs and deliverables of the demand management</w:t>
      </w:r>
      <w:r>
        <w:t xml:space="preserve"> (see section </w:t>
      </w:r>
      <w:r>
        <w:fldChar w:fldCharType="begin"/>
      </w:r>
      <w:r>
        <w:instrText xml:space="preserve"> REF _Ref487190667 \r \h </w:instrText>
      </w:r>
      <w:r>
        <w:fldChar w:fldCharType="separate"/>
      </w:r>
      <w:r w:rsidR="0076296B">
        <w:t>5.3</w:t>
      </w:r>
      <w:r>
        <w:fldChar w:fldCharType="end"/>
      </w:r>
      <w:r>
        <w:t>)</w:t>
      </w:r>
      <w:r w:rsidR="006307AF">
        <w:t>.</w:t>
      </w:r>
    </w:p>
    <w:p w:rsidR="00123BE1" w:rsidRDefault="00123BE1" w:rsidP="00B10B3E">
      <w:pPr>
        <w:pStyle w:val="AERbulletlistfirststyle"/>
        <w:numPr>
          <w:ilvl w:val="0"/>
          <w:numId w:val="0"/>
        </w:numPr>
      </w:pPr>
      <w:r w:rsidRPr="00123BE1">
        <w:t xml:space="preserve">For clarity, a distributor is </w:t>
      </w:r>
      <w:r w:rsidR="00992B92" w:rsidRPr="00123BE1">
        <w:t xml:space="preserve">obliged to comply with the </w:t>
      </w:r>
      <w:r w:rsidR="00992B92" w:rsidRPr="00992B92">
        <w:t xml:space="preserve">minimum project evaluation requirements </w:t>
      </w:r>
      <w:r w:rsidR="00992B92">
        <w:t>only if it is</w:t>
      </w:r>
      <w:r w:rsidRPr="00123BE1">
        <w:t xml:space="preserve"> </w:t>
      </w:r>
      <w:r w:rsidR="00992B92">
        <w:t>seeking</w:t>
      </w:r>
      <w:r w:rsidR="00992B92" w:rsidRPr="00123BE1">
        <w:t xml:space="preserve"> </w:t>
      </w:r>
      <w:r w:rsidRPr="00123BE1">
        <w:t xml:space="preserve">financial incentives under </w:t>
      </w:r>
      <w:r>
        <w:t>the S</w:t>
      </w:r>
      <w:r w:rsidRPr="00123BE1">
        <w:t>cheme</w:t>
      </w:r>
      <w:r w:rsidR="00534032">
        <w:t>.</w:t>
      </w:r>
    </w:p>
    <w:p w:rsidR="006307AF" w:rsidRDefault="006307AF" w:rsidP="006307AF">
      <w:pPr>
        <w:pStyle w:val="Heading3"/>
      </w:pPr>
      <w:bookmarkStart w:id="49" w:name="_Toc491447250"/>
      <w:r>
        <w:t xml:space="preserve">Issuing requests for </w:t>
      </w:r>
      <w:r w:rsidR="00036BCF">
        <w:t>demand management solutions</w:t>
      </w:r>
      <w:bookmarkEnd w:id="49"/>
    </w:p>
    <w:p w:rsidR="00260E20" w:rsidRPr="00260E20" w:rsidRDefault="00ED3538" w:rsidP="006307AF">
      <w:pPr>
        <w:pStyle w:val="AERbulletlistfirststyle"/>
        <w:numPr>
          <w:ilvl w:val="0"/>
          <w:numId w:val="0"/>
        </w:numPr>
      </w:pPr>
      <w:r>
        <w:t>When following the</w:t>
      </w:r>
      <w:r w:rsidR="006307AF">
        <w:t xml:space="preserve"> </w:t>
      </w:r>
      <w:r w:rsidR="006671FC">
        <w:t>minimum project evaluation</w:t>
      </w:r>
      <w:r>
        <w:t xml:space="preserve"> requirements in the draft Scheme</w:t>
      </w:r>
      <w:r w:rsidR="00794A3D">
        <w:t xml:space="preserve">, </w:t>
      </w:r>
      <w:r>
        <w:t>a distributor will</w:t>
      </w:r>
      <w:r w:rsidR="00794A3D">
        <w:t xml:space="preserve"> i</w:t>
      </w:r>
      <w:r>
        <w:t>ssue</w:t>
      </w:r>
      <w:r w:rsidR="00260E20" w:rsidRPr="00260E20">
        <w:t xml:space="preserve"> a </w:t>
      </w:r>
      <w:r w:rsidR="006671FC">
        <w:t>request for demand management solutions</w:t>
      </w:r>
      <w:r w:rsidR="00260E20" w:rsidRPr="00260E20">
        <w:t xml:space="preserve"> to the following parties:</w:t>
      </w:r>
    </w:p>
    <w:p w:rsidR="00260E20" w:rsidRPr="00115858" w:rsidRDefault="00260E20" w:rsidP="00115858">
      <w:pPr>
        <w:pStyle w:val="AERbulletlistfirststyle"/>
      </w:pPr>
      <w:r w:rsidRPr="00115858">
        <w:lastRenderedPageBreak/>
        <w:t>Persons registered on its demand side engagement register.</w:t>
      </w:r>
      <w:r w:rsidR="00ED3538" w:rsidRPr="00ED3538">
        <w:t xml:space="preserve"> </w:t>
      </w:r>
      <w:r w:rsidR="00ED3538">
        <w:t xml:space="preserve">This register is a </w:t>
      </w:r>
      <w:r w:rsidR="00ED3538" w:rsidRPr="00794A3D">
        <w:t xml:space="preserve">facility by which a person can register with a </w:t>
      </w:r>
      <w:r w:rsidR="00ED3538">
        <w:t>distributor t</w:t>
      </w:r>
      <w:r w:rsidR="00ED3538" w:rsidRPr="00794A3D">
        <w:t>heir interest in being noti</w:t>
      </w:r>
      <w:r w:rsidR="00ED3538">
        <w:t xml:space="preserve">fied of developments relating to distribution network </w:t>
      </w:r>
      <w:r w:rsidR="00ED3538" w:rsidRPr="00794A3D">
        <w:t>planning and expansion</w:t>
      </w:r>
      <w:r w:rsidR="00ED3538">
        <w:t>.</w:t>
      </w:r>
      <w:r w:rsidR="00ED3538">
        <w:rPr>
          <w:rStyle w:val="FootnoteReference"/>
        </w:rPr>
        <w:footnoteReference w:id="51"/>
      </w:r>
    </w:p>
    <w:p w:rsidR="00260E20" w:rsidRPr="00115858" w:rsidRDefault="00260E20" w:rsidP="00115858">
      <w:pPr>
        <w:pStyle w:val="AERbulletlistfirststyle"/>
      </w:pPr>
      <w:r w:rsidRPr="00115858">
        <w:tab/>
        <w:t>Any other parties the distributor may identify as having or potentially having the capabilitie</w:t>
      </w:r>
      <w:r w:rsidR="00ED3538">
        <w:t xml:space="preserve">s to provide demand management </w:t>
      </w:r>
      <w:r w:rsidRPr="00115858">
        <w:t>product</w:t>
      </w:r>
      <w:r w:rsidR="00CC765E">
        <w:t>,</w:t>
      </w:r>
      <w:r w:rsidRPr="00115858">
        <w:t xml:space="preserve"> service</w:t>
      </w:r>
      <w:r w:rsidR="00CC765E">
        <w:t xml:space="preserve"> or solution needed</w:t>
      </w:r>
      <w:r w:rsidRPr="00115858">
        <w:t xml:space="preserve"> to either fully or partly form a credible option to address the identified need on the distribution network.</w:t>
      </w:r>
    </w:p>
    <w:p w:rsidR="00794A3D" w:rsidRDefault="00CC765E" w:rsidP="00115858">
      <w:r>
        <w:t>We consider it</w:t>
      </w:r>
      <w:r w:rsidR="00ED3538">
        <w:t xml:space="preserve"> approp</w:t>
      </w:r>
      <w:r w:rsidR="00597155">
        <w:t>riate for distributors to issue</w:t>
      </w:r>
      <w:r w:rsidR="00ED3538">
        <w:t xml:space="preserve"> requests for </w:t>
      </w:r>
      <w:r w:rsidR="00036BCF">
        <w:t>demand management solutions</w:t>
      </w:r>
      <w:r w:rsidR="00ED3538">
        <w:t xml:space="preserve"> to persons registered on its</w:t>
      </w:r>
      <w:r w:rsidR="00ED3538" w:rsidRPr="00ED3538">
        <w:t xml:space="preserve"> </w:t>
      </w:r>
      <w:r w:rsidR="00ED3538" w:rsidRPr="00115858">
        <w:t>demand side engagement register</w:t>
      </w:r>
      <w:r w:rsidR="00ED3538">
        <w:t xml:space="preserve"> as this is</w:t>
      </w:r>
      <w:r w:rsidR="00794A3D">
        <w:t xml:space="preserve"> a </w:t>
      </w:r>
      <w:r>
        <w:t>fit-for-</w:t>
      </w:r>
      <w:r w:rsidR="00B10B3E">
        <w:t xml:space="preserve">purpose </w:t>
      </w:r>
      <w:r w:rsidR="00794A3D">
        <w:t>pre-established facility</w:t>
      </w:r>
      <w:r w:rsidR="00B10B3E">
        <w:t>. In fact, distributors already use this facility for similar purposes. For instance, when a distributor is a RIT</w:t>
      </w:r>
      <w:r w:rsidR="00B10B3E" w:rsidRPr="00B10B3E">
        <w:t>–</w:t>
      </w:r>
      <w:r w:rsidR="00B10B3E">
        <w:t xml:space="preserve">D proponent, it </w:t>
      </w:r>
      <w:r w:rsidR="00794A3D">
        <w:t>must consult with persons registered on its demand side engagement register</w:t>
      </w:r>
      <w:r w:rsidR="00992B92">
        <w:t xml:space="preserve">. It must </w:t>
      </w:r>
      <w:r w:rsidR="001D1B13">
        <w:t xml:space="preserve">notify </w:t>
      </w:r>
      <w:r w:rsidR="00B10B3E">
        <w:t>them</w:t>
      </w:r>
      <w:r w:rsidR="001D1B13">
        <w:t xml:space="preserve"> when it publishes a non-network options report and </w:t>
      </w:r>
      <w:r w:rsidR="00B10B3E">
        <w:t>requests</w:t>
      </w:r>
      <w:r w:rsidR="001D1B13">
        <w:t xml:space="preserve"> submissions on its draft project assessment report.</w:t>
      </w:r>
      <w:r w:rsidR="00B10B3E">
        <w:rPr>
          <w:rStyle w:val="FootnoteReference"/>
        </w:rPr>
        <w:footnoteReference w:id="52"/>
      </w:r>
    </w:p>
    <w:p w:rsidR="00794A3D" w:rsidRDefault="0069452D" w:rsidP="00B10B3E">
      <w:pPr>
        <w:pStyle w:val="Heading3"/>
      </w:pPr>
      <w:bookmarkStart w:id="50" w:name="_Toc491447251"/>
      <w:r>
        <w:t>Information in</w:t>
      </w:r>
      <w:r w:rsidR="00B10B3E">
        <w:t xml:space="preserve"> </w:t>
      </w:r>
      <w:r w:rsidR="007F58DD">
        <w:t xml:space="preserve">the </w:t>
      </w:r>
      <w:r w:rsidR="006671FC">
        <w:t>request for demand management solutions</w:t>
      </w:r>
      <w:bookmarkEnd w:id="50"/>
    </w:p>
    <w:p w:rsidR="00260E20" w:rsidRDefault="00310A4E" w:rsidP="00115858">
      <w:r>
        <w:t>The draft Scheme specifies that, a</w:t>
      </w:r>
      <w:r w:rsidR="00260E20" w:rsidRPr="00115858">
        <w:t xml:space="preserve">ccompanying the </w:t>
      </w:r>
      <w:r w:rsidR="006671FC">
        <w:t>request for demand management solutions</w:t>
      </w:r>
      <w:r w:rsidR="00260E20" w:rsidRPr="00115858">
        <w:t xml:space="preserve">, a distributor shall provide the </w:t>
      </w:r>
      <w:r>
        <w:t>following information</w:t>
      </w:r>
      <w:r w:rsidR="00BA0D83">
        <w:t>.</w:t>
      </w:r>
    </w:p>
    <w:p w:rsidR="00CC765E" w:rsidRPr="00CC765E" w:rsidRDefault="00CC765E" w:rsidP="00CC765E">
      <w:pPr>
        <w:pStyle w:val="AERbulletlistfirststyle"/>
      </w:pPr>
      <w:r w:rsidRPr="00CC765E">
        <w:t>Key technical information, including the load at risk, energy at risk, duration and load curves, and the annual proba</w:t>
      </w:r>
      <w:r w:rsidR="007F64BC">
        <w:t>bility and frequency of events.</w:t>
      </w:r>
    </w:p>
    <w:p w:rsidR="00CC765E" w:rsidRPr="00CC765E" w:rsidRDefault="00CC765E" w:rsidP="00CC765E">
      <w:pPr>
        <w:pStyle w:val="AERbulletlistfirststyle"/>
      </w:pPr>
      <w:r w:rsidRPr="00CC765E">
        <w:t>The location of the identified need and the impacted customers/network area.</w:t>
      </w:r>
    </w:p>
    <w:p w:rsidR="00310A4E" w:rsidRPr="00310A4E" w:rsidRDefault="00310A4E" w:rsidP="00310A4E">
      <w:pPr>
        <w:pStyle w:val="AERbulletlistfirststyle"/>
      </w:pPr>
      <w:r w:rsidRPr="00310A4E">
        <w:t xml:space="preserve">The project it has identified as its preferred option to meet the identified need on </w:t>
      </w:r>
      <w:r>
        <w:t xml:space="preserve">its </w:t>
      </w:r>
      <w:r w:rsidRPr="00310A4E">
        <w:t xml:space="preserve">network. This includes </w:t>
      </w:r>
      <w:r>
        <w:t>its</w:t>
      </w:r>
      <w:r w:rsidRPr="00310A4E">
        <w:t xml:space="preserve"> estimate of the project's net economic benefit to all those who produce, consume and transport electricity in the </w:t>
      </w:r>
      <w:r w:rsidR="00C26AD1">
        <w:t>relevant market</w:t>
      </w:r>
      <w:r w:rsidRPr="00310A4E">
        <w:t xml:space="preserve">. </w:t>
      </w:r>
      <w:r>
        <w:t>It</w:t>
      </w:r>
      <w:r w:rsidRPr="00310A4E">
        <w:t xml:space="preserve"> must estimate a project's net economic benefit as the net present value (NPV), which must be positive unless the project is for</w:t>
      </w:r>
      <w:r w:rsidR="007F64BC">
        <w:t xml:space="preserve"> reliability corrective action.</w:t>
      </w:r>
    </w:p>
    <w:p w:rsidR="00310A4E" w:rsidRDefault="00310A4E" w:rsidP="00310A4E">
      <w:pPr>
        <w:pStyle w:val="AERbulletlistfirststyle"/>
      </w:pPr>
      <w:r w:rsidRPr="00310A4E">
        <w:t>Other information sufficient</w:t>
      </w:r>
      <w:r>
        <w:t xml:space="preserve"> to allow</w:t>
      </w:r>
      <w:r w:rsidRPr="00310A4E">
        <w:t xml:space="preserve"> parties receiving the </w:t>
      </w:r>
      <w:r w:rsidR="006671FC">
        <w:t>request for demand management solutions</w:t>
      </w:r>
      <w:r w:rsidR="00CC765E">
        <w:t xml:space="preserve"> </w:t>
      </w:r>
      <w:r w:rsidRPr="00310A4E">
        <w:t xml:space="preserve">to make an informed response in presenting an alternative potential credible option. In </w:t>
      </w:r>
      <w:r w:rsidR="00992B92">
        <w:t xml:space="preserve">the context of </w:t>
      </w:r>
      <w:r w:rsidRPr="00310A4E">
        <w:t>determining what constitutes 'other information', a</w:t>
      </w:r>
      <w:r w:rsidR="00534032">
        <w:t xml:space="preserve"> distributor should have regard</w:t>
      </w:r>
      <w:r w:rsidRPr="00310A4E">
        <w:t xml:space="preserve"> to the information required in non-network options reports.</w:t>
      </w:r>
      <w:r w:rsidR="00543543">
        <w:rPr>
          <w:rStyle w:val="FootnoteReference"/>
        </w:rPr>
        <w:footnoteReference w:id="53"/>
      </w:r>
    </w:p>
    <w:p w:rsidR="007F518A" w:rsidRDefault="00534032" w:rsidP="007F518A">
      <w:pPr>
        <w:pStyle w:val="AERbulletlistfirststyle"/>
        <w:numPr>
          <w:ilvl w:val="0"/>
          <w:numId w:val="0"/>
        </w:numPr>
      </w:pPr>
      <w:r>
        <w:t>The intent of these requirements</w:t>
      </w:r>
      <w:r w:rsidR="007F518A">
        <w:t xml:space="preserve"> </w:t>
      </w:r>
      <w:r w:rsidR="00B73798">
        <w:t>is to require distributors to provide sufficient information to</w:t>
      </w:r>
      <w:r w:rsidR="007F518A">
        <w:t xml:space="preserve"> </w:t>
      </w:r>
      <w:r w:rsidR="00B73798">
        <w:t>allow</w:t>
      </w:r>
      <w:r w:rsidR="00B73798" w:rsidRPr="00B73798">
        <w:t xml:space="preserve"> parties receiving the </w:t>
      </w:r>
      <w:r w:rsidR="006671FC">
        <w:t>request for demand management solutions</w:t>
      </w:r>
      <w:r w:rsidR="00B73798" w:rsidRPr="00B73798">
        <w:t xml:space="preserve"> to make an informed response in presenting an alternative </w:t>
      </w:r>
      <w:r w:rsidR="00543543">
        <w:t>(</w:t>
      </w:r>
      <w:r w:rsidR="00B73798" w:rsidRPr="00B73798">
        <w:t>potential</w:t>
      </w:r>
      <w:r w:rsidR="00543543">
        <w:t>)</w:t>
      </w:r>
      <w:r w:rsidR="00B73798" w:rsidRPr="00B73798">
        <w:t xml:space="preserve"> credible option</w:t>
      </w:r>
      <w:r w:rsidR="00B73798">
        <w:t xml:space="preserve">. However, we have also balanced this against setting prescriptive requirements that </w:t>
      </w:r>
      <w:r w:rsidR="00A114A6">
        <w:t>may</w:t>
      </w:r>
      <w:r w:rsidR="00B73798">
        <w:t xml:space="preserve"> not always</w:t>
      </w:r>
      <w:r w:rsidR="00A114A6">
        <w:t xml:space="preserve"> be</w:t>
      </w:r>
      <w:r w:rsidR="00B73798">
        <w:t xml:space="preserve"> fit-for-p</w:t>
      </w:r>
      <w:r w:rsidR="007F64BC">
        <w:t>urpose.</w:t>
      </w:r>
    </w:p>
    <w:p w:rsidR="00A114A6" w:rsidRDefault="00A114A6" w:rsidP="007F518A">
      <w:pPr>
        <w:pStyle w:val="AERbulletlistfirststyle"/>
        <w:numPr>
          <w:ilvl w:val="0"/>
          <w:numId w:val="0"/>
        </w:numPr>
      </w:pPr>
      <w:r>
        <w:lastRenderedPageBreak/>
        <w:t>The draft Scheme specifies that</w:t>
      </w:r>
      <w:r w:rsidRPr="00A114A6">
        <w:t xml:space="preserve"> distributor</w:t>
      </w:r>
      <w:r>
        <w:t>s</w:t>
      </w:r>
      <w:r w:rsidR="00534032">
        <w:t xml:space="preserve"> should have regard</w:t>
      </w:r>
      <w:r w:rsidRPr="00A114A6">
        <w:t xml:space="preserve"> to the information required in non-network options reports</w:t>
      </w:r>
      <w:r>
        <w:t xml:space="preserve">. While this is not prescriptive, it recognises that the contents </w:t>
      </w:r>
      <w:r w:rsidR="00610C68">
        <w:t>in a non-network options report</w:t>
      </w:r>
      <w:r>
        <w:t xml:space="preserve"> would typically include information</w:t>
      </w:r>
      <w:r w:rsidRPr="00A114A6">
        <w:t xml:space="preserve"> </w:t>
      </w:r>
      <w:r>
        <w:t>that would assist parties in making</w:t>
      </w:r>
      <w:r w:rsidRPr="00A114A6">
        <w:t xml:space="preserve"> informed response</w:t>
      </w:r>
      <w:r>
        <w:t>s</w:t>
      </w:r>
      <w:r w:rsidRPr="00A114A6">
        <w:t xml:space="preserve"> </w:t>
      </w:r>
      <w:r>
        <w:t xml:space="preserve">to a distributor's </w:t>
      </w:r>
      <w:r w:rsidR="006671FC">
        <w:t>request for demand management solutions</w:t>
      </w:r>
      <w:r>
        <w:t xml:space="preserve">. </w:t>
      </w:r>
      <w:r w:rsidR="00610C68">
        <w:t xml:space="preserve">This is because a non-network options report and </w:t>
      </w:r>
      <w:r w:rsidR="006671FC">
        <w:t>request for demand management solutions</w:t>
      </w:r>
      <w:r w:rsidR="00610C68">
        <w:t xml:space="preserve"> would serve a similar function in allowing </w:t>
      </w:r>
      <w:r w:rsidRPr="00A114A6">
        <w:t>parties to identify the scope for, and develop, alternative potential credible options or variants to the potential credible options.</w:t>
      </w:r>
      <w:r w:rsidR="00610C68">
        <w:rPr>
          <w:rStyle w:val="FootnoteReference"/>
        </w:rPr>
        <w:footnoteReference w:id="54"/>
      </w:r>
    </w:p>
    <w:p w:rsidR="007F518A" w:rsidRPr="007F518A" w:rsidRDefault="007F518A" w:rsidP="007F518A">
      <w:pPr>
        <w:pStyle w:val="AERbulletlistfirststyle"/>
        <w:numPr>
          <w:ilvl w:val="0"/>
          <w:numId w:val="0"/>
        </w:numPr>
      </w:pPr>
      <w:r>
        <w:t>NER 5.17.4(e) outlines the contents of n</w:t>
      </w:r>
      <w:r w:rsidRPr="007F518A">
        <w:t>on-network options report</w:t>
      </w:r>
      <w:r>
        <w:t>s, which include:</w:t>
      </w:r>
    </w:p>
    <w:p w:rsidR="007F518A" w:rsidRDefault="007F518A" w:rsidP="007F518A">
      <w:pPr>
        <w:pStyle w:val="AERbulletlistfirststyle"/>
      </w:pPr>
      <w:r>
        <w:t>A</w:t>
      </w:r>
      <w:r w:rsidRPr="007F518A">
        <w:t xml:space="preserve"> des</w:t>
      </w:r>
      <w:r>
        <w:t>cription of the identified need.</w:t>
      </w:r>
    </w:p>
    <w:p w:rsidR="007F518A" w:rsidRDefault="007F518A" w:rsidP="007F518A">
      <w:pPr>
        <w:pStyle w:val="AERbulletlistfirststyle"/>
      </w:pPr>
      <w:r>
        <w:t>T</w:t>
      </w:r>
      <w:r w:rsidRPr="007F518A">
        <w:t xml:space="preserve">he assumptions used in identifying the identified need (including, in the case of proposed reliability corrective action, why the RIT-D proponent considers reliability </w:t>
      </w:r>
      <w:r>
        <w:t>corrective action is necessary).</w:t>
      </w:r>
    </w:p>
    <w:p w:rsidR="007F518A" w:rsidRPr="007F518A" w:rsidRDefault="007F518A" w:rsidP="007F518A">
      <w:pPr>
        <w:pStyle w:val="AERbulletlistfirststyle"/>
      </w:pPr>
      <w:r>
        <w:t>I</w:t>
      </w:r>
      <w:r w:rsidRPr="007F518A">
        <w:t>f available, the relevant annual deferred augmentation charge asso</w:t>
      </w:r>
      <w:r>
        <w:t>ciated with the identified need.</w:t>
      </w:r>
    </w:p>
    <w:p w:rsidR="007F518A" w:rsidRPr="007F518A" w:rsidRDefault="007F518A" w:rsidP="007F518A">
      <w:pPr>
        <w:pStyle w:val="AERbulletlistfirststyle"/>
      </w:pPr>
      <w:r>
        <w:t>T</w:t>
      </w:r>
      <w:r w:rsidRPr="007F518A">
        <w:t>he technical characteristics of the identified need that a non-network option would be required to deliver, such as:</w:t>
      </w:r>
    </w:p>
    <w:p w:rsidR="007F518A" w:rsidRPr="007F518A" w:rsidRDefault="007F518A" w:rsidP="007F518A">
      <w:pPr>
        <w:pStyle w:val="AERbulletlistsecondstyle"/>
      </w:pPr>
      <w:r w:rsidRPr="007F518A">
        <w:t>the size of load reduction or additional supply;</w:t>
      </w:r>
    </w:p>
    <w:p w:rsidR="007F518A" w:rsidRPr="007F518A" w:rsidRDefault="007F518A" w:rsidP="007F518A">
      <w:pPr>
        <w:pStyle w:val="AERbulletlistsecondstyle"/>
      </w:pPr>
      <w:r w:rsidRPr="007F518A">
        <w:t>location;</w:t>
      </w:r>
    </w:p>
    <w:p w:rsidR="007F518A" w:rsidRPr="007F518A" w:rsidRDefault="007F518A" w:rsidP="007F518A">
      <w:pPr>
        <w:pStyle w:val="AERbulletlistsecondstyle"/>
      </w:pPr>
      <w:r w:rsidRPr="007F518A">
        <w:t>contribution to power system security or reliability;</w:t>
      </w:r>
    </w:p>
    <w:p w:rsidR="007F518A" w:rsidRPr="007F518A" w:rsidRDefault="007F518A" w:rsidP="007F518A">
      <w:pPr>
        <w:pStyle w:val="AERbulletlistsecondstyle"/>
      </w:pPr>
      <w:r w:rsidRPr="007F518A">
        <w:t xml:space="preserve">contribution to power system fault levels as determined under </w:t>
      </w:r>
      <w:r>
        <w:t xml:space="preserve">NER </w:t>
      </w:r>
      <w:r w:rsidRPr="007F518A">
        <w:t>cl</w:t>
      </w:r>
      <w:r>
        <w:t>.</w:t>
      </w:r>
      <w:r w:rsidRPr="007F518A">
        <w:t>4.6.1; and</w:t>
      </w:r>
    </w:p>
    <w:p w:rsidR="007F518A" w:rsidRPr="007F518A" w:rsidRDefault="007F518A" w:rsidP="007F518A">
      <w:pPr>
        <w:pStyle w:val="AERbulletlistsecondstyle"/>
      </w:pPr>
      <w:r>
        <w:t>the operating profile.</w:t>
      </w:r>
    </w:p>
    <w:p w:rsidR="007F518A" w:rsidRPr="007F518A" w:rsidRDefault="007F518A" w:rsidP="007F518A">
      <w:pPr>
        <w:pStyle w:val="AERbulletlistfirststyle"/>
      </w:pPr>
      <w:r w:rsidRPr="007F518A">
        <w:t>A summary of potential credible options to address the identified need, as identified by the RIT-D proponent, including network options and non-network options.</w:t>
      </w:r>
    </w:p>
    <w:p w:rsidR="007F518A" w:rsidRPr="007F518A" w:rsidRDefault="007F518A" w:rsidP="007F518A">
      <w:pPr>
        <w:pStyle w:val="AERbulletlistfirststyle"/>
      </w:pPr>
      <w:r>
        <w:t>F</w:t>
      </w:r>
      <w:r w:rsidRPr="007F518A">
        <w:t>or each potential credible option, the RIT-D proponent must provide information, to the extent practicable, on:</w:t>
      </w:r>
    </w:p>
    <w:p w:rsidR="007F518A" w:rsidRPr="007F518A" w:rsidRDefault="007F518A" w:rsidP="007F518A">
      <w:pPr>
        <w:pStyle w:val="AERbulletlistsecondstyle"/>
      </w:pPr>
      <w:r w:rsidRPr="007F518A">
        <w:t>a technical definition or characteristics of the option;</w:t>
      </w:r>
    </w:p>
    <w:p w:rsidR="007F518A" w:rsidRPr="007F518A" w:rsidRDefault="007F518A" w:rsidP="007F518A">
      <w:pPr>
        <w:pStyle w:val="AERbulletlistsecondstyle"/>
      </w:pPr>
      <w:r w:rsidRPr="007F518A">
        <w:t>the estimated construction timetable and commissioning date (where relevant); and</w:t>
      </w:r>
    </w:p>
    <w:p w:rsidR="007F518A" w:rsidRPr="007F518A" w:rsidRDefault="007F518A" w:rsidP="007F518A">
      <w:pPr>
        <w:pStyle w:val="AERbulletlistsecondstyle"/>
      </w:pPr>
      <w:r w:rsidRPr="007F518A">
        <w:t>the total indicative cost (including capital and operating costs)</w:t>
      </w:r>
      <w:r>
        <w:t>.</w:t>
      </w:r>
    </w:p>
    <w:p w:rsidR="007F518A" w:rsidRDefault="007F518A" w:rsidP="007F518A">
      <w:pPr>
        <w:pStyle w:val="AERbulletlistfirststyle"/>
      </w:pPr>
      <w:r>
        <w:t>I</w:t>
      </w:r>
      <w:r w:rsidRPr="007F518A">
        <w:t>nformation to assist non-network providers wishing to present alternative potential credible options including details of how to submit a non-network proposal for consideration by the RIT-D proponent.</w:t>
      </w:r>
    </w:p>
    <w:p w:rsidR="006B4BF8" w:rsidRPr="007F518A" w:rsidRDefault="006B4BF8" w:rsidP="006B4BF8">
      <w:pPr>
        <w:pStyle w:val="AERbulletlistfirststyle"/>
        <w:numPr>
          <w:ilvl w:val="0"/>
          <w:numId w:val="0"/>
        </w:numPr>
        <w:ind w:left="357"/>
      </w:pPr>
    </w:p>
    <w:p w:rsidR="00610C68" w:rsidRDefault="008A1369" w:rsidP="00610C68">
      <w:pPr>
        <w:pStyle w:val="Heading2"/>
      </w:pPr>
      <w:bookmarkStart w:id="51" w:name="_Ref487190667"/>
      <w:bookmarkStart w:id="52" w:name="_Toc491447252"/>
      <w:r>
        <w:lastRenderedPageBreak/>
        <w:t>R</w:t>
      </w:r>
      <w:r w:rsidR="008762FA">
        <w:t>equirements for c</w:t>
      </w:r>
      <w:r w:rsidR="00260E20" w:rsidRPr="00260E20">
        <w:t>ommitting projects</w:t>
      </w:r>
      <w:bookmarkEnd w:id="51"/>
      <w:bookmarkEnd w:id="52"/>
    </w:p>
    <w:p w:rsidR="00260E20" w:rsidRPr="00260E20" w:rsidRDefault="008A1369" w:rsidP="003D5EE7">
      <w:pPr>
        <w:pStyle w:val="AERbulletlistfirststyle"/>
        <w:numPr>
          <w:ilvl w:val="0"/>
          <w:numId w:val="0"/>
        </w:numPr>
      </w:pPr>
      <w:r>
        <w:t>The draft Scheme specifies that o</w:t>
      </w:r>
      <w:r w:rsidR="003F6F89">
        <w:t xml:space="preserve">nce a distributor identifies an eligible project, it </w:t>
      </w:r>
      <w:r w:rsidR="003D5EE7" w:rsidRPr="00260E20">
        <w:t>will make a project commitmen</w:t>
      </w:r>
      <w:r w:rsidR="003D5EE7">
        <w:t>t</w:t>
      </w:r>
      <w:r>
        <w:t xml:space="preserve"> supported by written documentation</w:t>
      </w:r>
      <w:r w:rsidR="00260E20" w:rsidRPr="00260E20">
        <w:t xml:space="preserve">. </w:t>
      </w:r>
      <w:r>
        <w:t>This</w:t>
      </w:r>
      <w:r w:rsidR="00260E20" w:rsidRPr="00260E20">
        <w:t xml:space="preserve"> documentation must take either of the following forms:</w:t>
      </w:r>
    </w:p>
    <w:p w:rsidR="008A1369" w:rsidRPr="0036416B" w:rsidRDefault="00260E20" w:rsidP="008A1369">
      <w:pPr>
        <w:pStyle w:val="AERbulletlistfirststyle"/>
        <w:rPr>
          <w:rStyle w:val="AERbody"/>
        </w:rPr>
      </w:pPr>
      <w:r w:rsidRPr="00260E20">
        <w:t xml:space="preserve">A </w:t>
      </w:r>
      <w:r w:rsidR="0036416B">
        <w:t>'</w:t>
      </w:r>
      <w:r w:rsidR="007523EE">
        <w:t xml:space="preserve">demand management </w:t>
      </w:r>
      <w:r w:rsidRPr="00260E20">
        <w:t>contract</w:t>
      </w:r>
      <w:r w:rsidR="0036416B">
        <w:t>'</w:t>
      </w:r>
      <w:r w:rsidRPr="00260E20">
        <w:t xml:space="preserve"> </w:t>
      </w:r>
      <w:r w:rsidR="008A1369">
        <w:t xml:space="preserve">the distributor </w:t>
      </w:r>
      <w:r w:rsidRPr="00260E20">
        <w:t xml:space="preserve">has entered with </w:t>
      </w:r>
      <w:r w:rsidR="000D756F">
        <w:t>another legal entity</w:t>
      </w:r>
      <w:r w:rsidR="007523EE">
        <w:t xml:space="preserve">. Under this contact, a distributor will </w:t>
      </w:r>
      <w:r w:rsidR="007523EE">
        <w:rPr>
          <w:rStyle w:val="AERbody"/>
        </w:rPr>
        <w:t>pay that</w:t>
      </w:r>
      <w:r w:rsidR="007523EE" w:rsidRPr="009C485F">
        <w:rPr>
          <w:rStyle w:val="AERbody"/>
        </w:rPr>
        <w:t xml:space="preserve"> legal entity to </w:t>
      </w:r>
      <w:r w:rsidR="007523EE" w:rsidRPr="0036416B">
        <w:rPr>
          <w:rStyle w:val="AERbody"/>
        </w:rPr>
        <w:t xml:space="preserve">manage network </w:t>
      </w:r>
      <w:r w:rsidR="003461AC">
        <w:t xml:space="preserve">demand </w:t>
      </w:r>
      <w:r w:rsidR="00DF5BFB" w:rsidRPr="0036416B">
        <w:rPr>
          <w:rStyle w:val="AERbody"/>
        </w:rPr>
        <w:t>by a specified kVA per year</w:t>
      </w:r>
      <w:r w:rsidR="00DF5BFB">
        <w:rPr>
          <w:rStyle w:val="AERbody"/>
        </w:rPr>
        <w:t>.</w:t>
      </w:r>
      <w:r w:rsidR="007523EE" w:rsidRPr="0036416B">
        <w:rPr>
          <w:rStyle w:val="AERbody"/>
        </w:rPr>
        <w:t xml:space="preserve"> </w:t>
      </w:r>
      <w:r w:rsidR="00DF5BFB">
        <w:rPr>
          <w:rStyle w:val="AERbody"/>
        </w:rPr>
        <w:t xml:space="preserve">This demand management might be at the </w:t>
      </w:r>
      <w:r w:rsidR="00ED74F0" w:rsidRPr="0036416B">
        <w:rPr>
          <w:rStyle w:val="AERbody"/>
        </w:rPr>
        <w:t>distributor's request or control</w:t>
      </w:r>
      <w:r w:rsidR="00ED74F0">
        <w:rPr>
          <w:rStyle w:val="AERbody"/>
        </w:rPr>
        <w:t xml:space="preserve">. It may also be at the </w:t>
      </w:r>
      <w:r w:rsidR="00DF5BFB">
        <w:rPr>
          <w:rStyle w:val="AERbody"/>
        </w:rPr>
        <w:t xml:space="preserve">other legal entity's </w:t>
      </w:r>
      <w:r w:rsidR="007523EE" w:rsidRPr="0036416B">
        <w:rPr>
          <w:rStyle w:val="AERbody"/>
        </w:rPr>
        <w:t>request or control</w:t>
      </w:r>
      <w:r w:rsidRPr="0036416B">
        <w:rPr>
          <w:rStyle w:val="AERbody"/>
        </w:rPr>
        <w:t xml:space="preserve">. For clarity, a distributor's ring-fenced entity </w:t>
      </w:r>
      <w:r w:rsidR="006E07DF">
        <w:rPr>
          <w:rStyle w:val="AERbody"/>
        </w:rPr>
        <w:t>can constitute</w:t>
      </w:r>
      <w:r w:rsidRPr="0036416B">
        <w:rPr>
          <w:rStyle w:val="AERbody"/>
        </w:rPr>
        <w:t xml:space="preserve"> </w:t>
      </w:r>
      <w:r w:rsidR="000D756F" w:rsidRPr="0036416B">
        <w:rPr>
          <w:rStyle w:val="AERbody"/>
        </w:rPr>
        <w:t>another legal entity</w:t>
      </w:r>
      <w:r w:rsidRPr="0036416B">
        <w:rPr>
          <w:rStyle w:val="AERbody"/>
        </w:rPr>
        <w:t xml:space="preserve">. </w:t>
      </w:r>
      <w:r w:rsidR="006E07DF">
        <w:rPr>
          <w:rStyle w:val="AERbody"/>
        </w:rPr>
        <w:t xml:space="preserve">Payment under this demand management contract </w:t>
      </w:r>
      <w:r w:rsidR="008A1369" w:rsidRPr="0036416B">
        <w:rPr>
          <w:rStyle w:val="AERbody"/>
        </w:rPr>
        <w:t xml:space="preserve">must be tied to a specified kVA per year of network demand that can be modified at the distributor's or </w:t>
      </w:r>
      <w:r w:rsidR="000D756F" w:rsidRPr="0036416B">
        <w:rPr>
          <w:rStyle w:val="AERbody"/>
        </w:rPr>
        <w:t xml:space="preserve">the contracted party's </w:t>
      </w:r>
      <w:r w:rsidR="008A1369" w:rsidRPr="0036416B">
        <w:rPr>
          <w:rStyle w:val="AERbody"/>
        </w:rPr>
        <w:t>request or control; or</w:t>
      </w:r>
    </w:p>
    <w:p w:rsidR="008A1369" w:rsidRDefault="007523EE" w:rsidP="008A1369">
      <w:pPr>
        <w:pStyle w:val="AERbulletlistfirststyle"/>
      </w:pPr>
      <w:r w:rsidRPr="0036416B">
        <w:rPr>
          <w:rStyle w:val="AERbody"/>
        </w:rPr>
        <w:t>A 'demand management proposal', but o</w:t>
      </w:r>
      <w:r w:rsidR="008A1369" w:rsidRPr="0036416B">
        <w:rPr>
          <w:rStyle w:val="AERbody"/>
        </w:rPr>
        <w:t xml:space="preserve">nly if and where the distribution ring-fencing guidelines permit a distributor to provide demand management under an eligible project in-house, and doing so maximises the expected net </w:t>
      </w:r>
      <w:r w:rsidRPr="0036416B">
        <w:rPr>
          <w:rStyle w:val="AERbody"/>
        </w:rPr>
        <w:t>benefit of the preferred option</w:t>
      </w:r>
      <w:r w:rsidR="006E07DF">
        <w:rPr>
          <w:rStyle w:val="AERbody"/>
        </w:rPr>
        <w:t xml:space="preserve"> across the </w:t>
      </w:r>
      <w:r w:rsidR="00C26AD1">
        <w:rPr>
          <w:rStyle w:val="AERbody"/>
        </w:rPr>
        <w:t>relevant market</w:t>
      </w:r>
      <w:r w:rsidRPr="0036416B">
        <w:rPr>
          <w:rStyle w:val="AERbody"/>
        </w:rPr>
        <w:t xml:space="preserve">. The demand management proposal </w:t>
      </w:r>
      <w:r w:rsidR="00423A2E">
        <w:rPr>
          <w:rStyle w:val="AERbody"/>
        </w:rPr>
        <w:t>sets out the means by which</w:t>
      </w:r>
      <w:r w:rsidR="00423A2E" w:rsidRPr="0036416B">
        <w:rPr>
          <w:rStyle w:val="AERbody"/>
        </w:rPr>
        <w:t xml:space="preserve"> </w:t>
      </w:r>
      <w:r w:rsidR="007060B5">
        <w:rPr>
          <w:rStyle w:val="AERbody"/>
        </w:rPr>
        <w:t xml:space="preserve">the distributor can control </w:t>
      </w:r>
      <w:r w:rsidRPr="0036416B">
        <w:rPr>
          <w:rStyle w:val="AERbody"/>
        </w:rPr>
        <w:t xml:space="preserve">network </w:t>
      </w:r>
      <w:r w:rsidR="003461AC">
        <w:t>demand</w:t>
      </w:r>
      <w:r w:rsidR="007060B5">
        <w:rPr>
          <w:rStyle w:val="AERbody"/>
        </w:rPr>
        <w:t>.</w:t>
      </w:r>
      <w:r w:rsidR="00423A2E">
        <w:rPr>
          <w:rStyle w:val="AERbody"/>
        </w:rPr>
        <w:t xml:space="preserve"> The proposal must </w:t>
      </w:r>
      <w:r w:rsidRPr="0036416B">
        <w:rPr>
          <w:rStyle w:val="AERbody"/>
        </w:rPr>
        <w:t>specif</w:t>
      </w:r>
      <w:r w:rsidR="00423A2E">
        <w:rPr>
          <w:rStyle w:val="AERbody"/>
        </w:rPr>
        <w:t>y</w:t>
      </w:r>
      <w:r w:rsidRPr="0036416B">
        <w:rPr>
          <w:rStyle w:val="AERbody"/>
        </w:rPr>
        <w:t xml:space="preserve"> </w:t>
      </w:r>
      <w:r w:rsidR="00423A2E">
        <w:rPr>
          <w:rStyle w:val="AERbody"/>
        </w:rPr>
        <w:t xml:space="preserve">the amount of demand </w:t>
      </w:r>
      <w:r w:rsidR="007060B5" w:rsidRPr="006E07DF">
        <w:rPr>
          <w:rStyle w:val="AERbody"/>
        </w:rPr>
        <w:t>the distributor can control</w:t>
      </w:r>
      <w:r w:rsidR="00423A2E" w:rsidRPr="006E07DF">
        <w:rPr>
          <w:rStyle w:val="AERbody"/>
        </w:rPr>
        <w:t xml:space="preserve">, expressed in terms of </w:t>
      </w:r>
      <w:r w:rsidRPr="006E07DF">
        <w:rPr>
          <w:rStyle w:val="AERbody"/>
        </w:rPr>
        <w:t>kVA per year</w:t>
      </w:r>
      <w:r w:rsidR="0036416B" w:rsidRPr="006E07DF">
        <w:rPr>
          <w:rStyle w:val="AERbody"/>
        </w:rPr>
        <w:t xml:space="preserve">. This proposal also </w:t>
      </w:r>
      <w:r w:rsidRPr="006E07DF">
        <w:rPr>
          <w:rStyle w:val="AERbody"/>
        </w:rPr>
        <w:t>sets out the costs that the distributor expects</w:t>
      </w:r>
      <w:r>
        <w:rPr>
          <w:rStyle w:val="AERbody"/>
        </w:rPr>
        <w:t xml:space="preserve"> to incur in </w:t>
      </w:r>
      <w:r w:rsidR="0036416B">
        <w:rPr>
          <w:rStyle w:val="AERbody"/>
        </w:rPr>
        <w:t>managing</w:t>
      </w:r>
      <w:r>
        <w:rPr>
          <w:rStyle w:val="AERbody"/>
        </w:rPr>
        <w:t xml:space="preserve">, or having the capacity to </w:t>
      </w:r>
      <w:r w:rsidR="0036416B">
        <w:rPr>
          <w:rStyle w:val="AERbody"/>
        </w:rPr>
        <w:t>manage</w:t>
      </w:r>
      <w:r w:rsidR="00D00092">
        <w:rPr>
          <w:rStyle w:val="AERbody"/>
        </w:rPr>
        <w:t xml:space="preserve"> demand </w:t>
      </w:r>
      <w:r w:rsidR="0036416B">
        <w:rPr>
          <w:rStyle w:val="AERbody"/>
        </w:rPr>
        <w:t>on its</w:t>
      </w:r>
      <w:r>
        <w:rPr>
          <w:rStyle w:val="AERbody"/>
        </w:rPr>
        <w:t xml:space="preserve"> network in this manner</w:t>
      </w:r>
      <w:r w:rsidR="0036416B">
        <w:t>.</w:t>
      </w:r>
    </w:p>
    <w:p w:rsidR="0036416B" w:rsidRPr="0036416B" w:rsidRDefault="007F64BC" w:rsidP="0036416B">
      <w:pPr>
        <w:pStyle w:val="AERbulletlistfirststyle"/>
        <w:numPr>
          <w:ilvl w:val="0"/>
          <w:numId w:val="0"/>
        </w:numPr>
      </w:pPr>
      <w:r>
        <w:t>We have included a</w:t>
      </w:r>
      <w:r w:rsidR="0036416B" w:rsidRPr="0036416B">
        <w:t xml:space="preserve"> requirement for distributors to set deliverables when it commits to a project because this provides greater assurance that we are linking incentives under the Scheme to</w:t>
      </w:r>
      <w:r>
        <w:t xml:space="preserve"> demand management deliverables</w:t>
      </w:r>
      <w:r w:rsidR="0036416B" w:rsidRPr="0036416B">
        <w:t>.</w:t>
      </w:r>
    </w:p>
    <w:p w:rsidR="0036416B" w:rsidRPr="008A1369" w:rsidRDefault="0036416B" w:rsidP="0036416B">
      <w:pPr>
        <w:pStyle w:val="Heading3"/>
      </w:pPr>
      <w:bookmarkStart w:id="53" w:name="_Ref488157984"/>
      <w:bookmarkStart w:id="54" w:name="_Toc491447253"/>
      <w:r>
        <w:t>Rationale for the demand management contract</w:t>
      </w:r>
      <w:bookmarkEnd w:id="53"/>
      <w:bookmarkEnd w:id="54"/>
    </w:p>
    <w:p w:rsidR="0036416B" w:rsidRPr="00D87D7B" w:rsidRDefault="00D87D7B" w:rsidP="00D87D7B">
      <w:r>
        <w:t>T</w:t>
      </w:r>
      <w:r w:rsidR="00FC44E5">
        <w:t xml:space="preserve">he most practical and </w:t>
      </w:r>
      <w:r w:rsidR="00657396">
        <w:t xml:space="preserve">transparent </w:t>
      </w:r>
      <w:r w:rsidR="00FC44E5">
        <w:t>way</w:t>
      </w:r>
      <w:r w:rsidR="00597A4E">
        <w:t xml:space="preserve"> </w:t>
      </w:r>
      <w:r w:rsidR="0006588A">
        <w:t xml:space="preserve">for a distributor </w:t>
      </w:r>
      <w:r w:rsidR="00597A4E">
        <w:t xml:space="preserve">to </w:t>
      </w:r>
      <w:r w:rsidR="00FC44E5">
        <w:t xml:space="preserve">commit to </w:t>
      </w:r>
      <w:r w:rsidR="00FC44E5" w:rsidRPr="00D87D7B">
        <w:t xml:space="preserve">deliverables is via specifying </w:t>
      </w:r>
      <w:r w:rsidR="00657396">
        <w:t>them</w:t>
      </w:r>
      <w:r w:rsidR="00657396" w:rsidRPr="00D87D7B">
        <w:t xml:space="preserve"> </w:t>
      </w:r>
      <w:r w:rsidR="00FC44E5" w:rsidRPr="00D87D7B">
        <w:t xml:space="preserve">in </w:t>
      </w:r>
      <w:r w:rsidRPr="00D87D7B">
        <w:t>a</w:t>
      </w:r>
      <w:r w:rsidR="00FC44E5" w:rsidRPr="00D87D7B">
        <w:t xml:space="preserve"> contract</w:t>
      </w:r>
      <w:r w:rsidR="0006588A" w:rsidRPr="00D87D7B">
        <w:t xml:space="preserve"> with </w:t>
      </w:r>
      <w:r w:rsidRPr="00D87D7B">
        <w:t xml:space="preserve">another legal entity from which it is procuring </w:t>
      </w:r>
      <w:r w:rsidR="006E07DF">
        <w:t xml:space="preserve">a </w:t>
      </w:r>
      <w:r w:rsidRPr="00D87D7B">
        <w:t xml:space="preserve">demand management </w:t>
      </w:r>
      <w:r w:rsidR="006E07DF">
        <w:t>product, service or solution</w:t>
      </w:r>
      <w:r w:rsidR="0006588A" w:rsidRPr="00D87D7B">
        <w:t>.</w:t>
      </w:r>
      <w:r w:rsidRPr="00D87D7B">
        <w:t xml:space="preserve"> Under this demand management contract, the other </w:t>
      </w:r>
      <w:r w:rsidR="0036416B" w:rsidRPr="00D87D7B">
        <w:t xml:space="preserve">legal entity </w:t>
      </w:r>
      <w:r w:rsidRPr="00D87D7B">
        <w:t xml:space="preserve">must commit to having the capacity to manage </w:t>
      </w:r>
      <w:r w:rsidR="0036416B" w:rsidRPr="00D87D7B">
        <w:t xml:space="preserve">network </w:t>
      </w:r>
      <w:r w:rsidR="003461AC">
        <w:t xml:space="preserve">demand </w:t>
      </w:r>
      <w:r w:rsidR="0036416B" w:rsidRPr="00D87D7B">
        <w:t>by a specified kVA per year. The purpose of this is to promote transparency, accountability and per</w:t>
      </w:r>
      <w:r w:rsidR="00155D07">
        <w:t>formance measurement under the S</w:t>
      </w:r>
      <w:r w:rsidR="006E07DF">
        <w:t>cheme.</w:t>
      </w:r>
    </w:p>
    <w:p w:rsidR="0036416B" w:rsidRDefault="00D87D7B" w:rsidP="00D87D7B">
      <w:r w:rsidRPr="00D87D7B">
        <w:t xml:space="preserve">Under the draft Scheme, we propose to provide the distributor with </w:t>
      </w:r>
      <w:r w:rsidR="0036416B" w:rsidRPr="00D87D7B">
        <w:t>discretion on how to structure payments for availability versus dispatch under a demand management contract. However, the expected costs of this contract must align with the unit prices and its probabilist</w:t>
      </w:r>
      <w:r w:rsidR="006E07DF">
        <w:t>ic assessment of future demand.</w:t>
      </w:r>
    </w:p>
    <w:p w:rsidR="00A74CD3" w:rsidRDefault="00A74CD3" w:rsidP="00A74CD3">
      <w:pPr>
        <w:pStyle w:val="Caption"/>
      </w:pPr>
      <w:bookmarkStart w:id="55" w:name="_Ref487476311"/>
      <w:r>
        <w:t xml:space="preserve">Example </w:t>
      </w:r>
      <w:r w:rsidR="0076296B">
        <w:fldChar w:fldCharType="begin"/>
      </w:r>
      <w:r w:rsidR="0076296B">
        <w:instrText xml:space="preserve"> SEQ Example \* ARABIC </w:instrText>
      </w:r>
      <w:r w:rsidR="0076296B">
        <w:fldChar w:fldCharType="separate"/>
      </w:r>
      <w:r w:rsidR="0076296B">
        <w:rPr>
          <w:noProof/>
        </w:rPr>
        <w:t>1</w:t>
      </w:r>
      <w:r w:rsidR="0076296B">
        <w:rPr>
          <w:noProof/>
        </w:rPr>
        <w:fldChar w:fldCharType="end"/>
      </w:r>
      <w:bookmarkEnd w:id="55"/>
      <w:r w:rsidRPr="00A74CD3">
        <w:t>: Illustrative demand management contract and expected costs</w:t>
      </w:r>
    </w:p>
    <w:tbl>
      <w:tblPr>
        <w:tblStyle w:val="LightShading-Accent2"/>
        <w:tblW w:w="0" w:type="auto"/>
        <w:tblLook w:val="04A0" w:firstRow="1" w:lastRow="0" w:firstColumn="1" w:lastColumn="0" w:noHBand="0" w:noVBand="1"/>
      </w:tblPr>
      <w:tblGrid>
        <w:gridCol w:w="8693"/>
      </w:tblGrid>
      <w:tr w:rsidR="00A74CD3" w:rsidTr="00A74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tcPr>
          <w:p w:rsidR="006E07DF" w:rsidRDefault="006E07DF" w:rsidP="00A74CD3"/>
          <w:p w:rsidR="00A74CD3" w:rsidRPr="00A74CD3" w:rsidRDefault="00A74CD3" w:rsidP="00A74CD3">
            <w:r>
              <w:t xml:space="preserve">Assume a distributor forms a demand management contract for the next year based on the fees in </w:t>
            </w:r>
            <w:r w:rsidRPr="00A74CD3">
              <w:fldChar w:fldCharType="begin"/>
            </w:r>
            <w:r w:rsidRPr="00A74CD3">
              <w:instrText xml:space="preserve"> REF  _Ref487475781 \* Lower \h </w:instrText>
            </w:r>
            <w:r w:rsidRPr="00A74CD3">
              <w:fldChar w:fldCharType="separate"/>
            </w:r>
            <w:r w:rsidR="0076296B">
              <w:rPr>
                <w:color w:val="076A92" w:themeColor="text1"/>
                <w14:textFill>
                  <w14:solidFill>
                    <w14:schemeClr w14:val="tx1">
                      <w14:lumMod w14:val="75000"/>
                      <w14:lumMod w14:val="75000"/>
                      <w14:lumOff w14:val="0"/>
                    </w14:schemeClr>
                  </w14:solidFill>
                </w14:textFill>
              </w:rPr>
              <w:t xml:space="preserve">table </w:t>
            </w:r>
            <w:r w:rsidR="0076296B">
              <w:rPr>
                <w:noProof/>
                <w:color w:val="076A92" w:themeColor="text1"/>
                <w14:textFill>
                  <w14:solidFill>
                    <w14:schemeClr w14:val="tx1">
                      <w14:lumMod w14:val="75000"/>
                      <w14:lumMod w14:val="75000"/>
                      <w14:lumOff w14:val="0"/>
                    </w14:schemeClr>
                  </w14:solidFill>
                </w14:textFill>
              </w:rPr>
              <w:t>2</w:t>
            </w:r>
            <w:r w:rsidRPr="00A74CD3">
              <w:fldChar w:fldCharType="end"/>
            </w:r>
            <w:r w:rsidRPr="00A74CD3">
              <w:t>. Also, assume that given the distributor's assessment of future demand, the weighted average probability that it will dispatch its tot</w:t>
            </w:r>
            <w:r w:rsidR="00D00092">
              <w:t>al contracted capacity is 10</w:t>
            </w:r>
            <w:r w:rsidR="0078383B">
              <w:t xml:space="preserve"> </w:t>
            </w:r>
            <w:r w:rsidR="0078383B" w:rsidRPr="0078383B">
              <w:t>per cent</w:t>
            </w:r>
            <w:r w:rsidR="00D00092">
              <w:t>.</w:t>
            </w:r>
          </w:p>
          <w:p w:rsidR="00A74CD3" w:rsidRPr="00A74CD3" w:rsidRDefault="00A74CD3" w:rsidP="00A74CD3">
            <w:pPr>
              <w:pStyle w:val="Caption"/>
              <w:rPr>
                <w14:textFill>
                  <w14:solidFill>
                    <w14:schemeClr w14:val="tx1">
                      <w14:lumMod w14:val="75000"/>
                      <w14:lumMod w14:val="75000"/>
                      <w14:lumOff w14:val="0"/>
                    </w14:schemeClr>
                  </w14:solidFill>
                </w14:textFill>
              </w:rPr>
            </w:pPr>
            <w:bookmarkStart w:id="56" w:name="_Ref487475781"/>
            <w:r>
              <w:rPr>
                <w14:textFill>
                  <w14:solidFill>
                    <w14:schemeClr w14:val="tx1">
                      <w14:lumMod w14:val="75000"/>
                      <w14:lumMod w14:val="75000"/>
                      <w14:lumOff w14:val="0"/>
                    </w14:schemeClr>
                  </w14:solidFill>
                </w14:textFill>
              </w:rPr>
              <w:lastRenderedPageBreak/>
              <w:t xml:space="preserve">Table </w:t>
            </w:r>
            <w:r w:rsidRPr="00A74CD3">
              <w:rPr>
                <w14:textFill>
                  <w14:solidFill>
                    <w14:schemeClr w14:val="tx1">
                      <w14:lumMod w14:val="75000"/>
                      <w14:lumMod w14:val="75000"/>
                      <w14:lumOff w14:val="0"/>
                    </w14:schemeClr>
                  </w14:solidFill>
                </w14:textFill>
              </w:rPr>
              <w:fldChar w:fldCharType="begin"/>
            </w:r>
            <w:r w:rsidRPr="00A74CD3">
              <w:rPr>
                <w14:textFill>
                  <w14:solidFill>
                    <w14:schemeClr w14:val="tx1">
                      <w14:lumMod w14:val="75000"/>
                      <w14:lumMod w14:val="75000"/>
                      <w14:lumOff w14:val="0"/>
                    </w14:schemeClr>
                  </w14:solidFill>
                </w14:textFill>
              </w:rPr>
              <w:instrText xml:space="preserve"> SEQ Table \* ARABIC </w:instrText>
            </w:r>
            <w:r w:rsidRPr="00A74CD3">
              <w:rPr>
                <w14:textFill>
                  <w14:solidFill>
                    <w14:schemeClr w14:val="tx1">
                      <w14:lumMod w14:val="75000"/>
                      <w14:lumMod w14:val="75000"/>
                      <w14:lumOff w14:val="0"/>
                    </w14:schemeClr>
                  </w14:solidFill>
                </w14:textFill>
              </w:rPr>
              <w:fldChar w:fldCharType="separate"/>
            </w:r>
            <w:r w:rsidR="0076296B">
              <w:rPr>
                <w:noProof/>
                <w14:textFill>
                  <w14:solidFill>
                    <w14:schemeClr w14:val="tx1">
                      <w14:lumMod w14:val="75000"/>
                      <w14:lumMod w14:val="75000"/>
                      <w14:lumOff w14:val="0"/>
                    </w14:schemeClr>
                  </w14:solidFill>
                </w14:textFill>
              </w:rPr>
              <w:t>2</w:t>
            </w:r>
            <w:r w:rsidRPr="00A74CD3">
              <w:rPr>
                <w14:textFill>
                  <w14:solidFill>
                    <w14:schemeClr w14:val="tx1">
                      <w14:lumMod w14:val="75000"/>
                      <w14:lumMod w14:val="75000"/>
                      <w14:lumOff w14:val="0"/>
                    </w14:schemeClr>
                  </w14:solidFill>
                </w14:textFill>
              </w:rPr>
              <w:fldChar w:fldCharType="end"/>
            </w:r>
            <w:bookmarkEnd w:id="56"/>
            <w:r w:rsidRPr="00A74CD3">
              <w:rPr>
                <w14:textFill>
                  <w14:solidFill>
                    <w14:schemeClr w14:val="tx1">
                      <w14:lumMod w14:val="75000"/>
                      <w14:lumMod w14:val="75000"/>
                      <w14:lumOff w14:val="0"/>
                    </w14:schemeClr>
                  </w14:solidFill>
                </w14:textFill>
              </w:rPr>
              <w:t>: Fees and expected costs under hypothetical contract</w:t>
            </w:r>
          </w:p>
          <w:tbl>
            <w:tblPr>
              <w:tblStyle w:val="AERtable-text0"/>
              <w:tblW w:w="0" w:type="auto"/>
              <w:tblLook w:val="04A0" w:firstRow="1" w:lastRow="0" w:firstColumn="1" w:lastColumn="0" w:noHBand="0" w:noVBand="1"/>
            </w:tblPr>
            <w:tblGrid>
              <w:gridCol w:w="1701"/>
              <w:gridCol w:w="1418"/>
              <w:gridCol w:w="1276"/>
              <w:gridCol w:w="1275"/>
              <w:gridCol w:w="2807"/>
            </w:tblGrid>
            <w:tr w:rsidR="00A74CD3" w:rsidTr="007F64BC">
              <w:trPr>
                <w:cnfStyle w:val="100000000000" w:firstRow="1" w:lastRow="0" w:firstColumn="0" w:lastColumn="0" w:oddVBand="0" w:evenVBand="0" w:oddHBand="0" w:evenHBand="0" w:firstRowFirstColumn="0" w:firstRowLastColumn="0" w:lastRowFirstColumn="0" w:lastRowLastColumn="0"/>
              </w:trPr>
              <w:tc>
                <w:tcPr>
                  <w:tcW w:w="1701" w:type="dxa"/>
                </w:tcPr>
                <w:p w:rsidR="00A74CD3" w:rsidRDefault="00A74CD3" w:rsidP="00A74CD3">
                  <w:r>
                    <w:t>Type of demand management</w:t>
                  </w:r>
                </w:p>
              </w:tc>
              <w:tc>
                <w:tcPr>
                  <w:tcW w:w="1418" w:type="dxa"/>
                </w:tcPr>
                <w:p w:rsidR="00A74CD3" w:rsidRPr="00A74CD3" w:rsidRDefault="00A74CD3" w:rsidP="00A74CD3">
                  <w:r>
                    <w:t>Load available per year</w:t>
                  </w:r>
                  <w:r w:rsidRPr="00A74CD3">
                    <w:t xml:space="preserve"> (kW)</w:t>
                  </w:r>
                </w:p>
              </w:tc>
              <w:tc>
                <w:tcPr>
                  <w:tcW w:w="1276" w:type="dxa"/>
                </w:tcPr>
                <w:p w:rsidR="00A74CD3" w:rsidRDefault="00A74CD3" w:rsidP="00A74CD3">
                  <w:r>
                    <w:t>Capacity fees year ($/kW)</w:t>
                  </w:r>
                </w:p>
              </w:tc>
              <w:tc>
                <w:tcPr>
                  <w:tcW w:w="1275" w:type="dxa"/>
                </w:tcPr>
                <w:p w:rsidR="00A74CD3" w:rsidRDefault="00A74CD3" w:rsidP="00A74CD3">
                  <w:r>
                    <w:t>Dispatch fees ($/kWh)</w:t>
                  </w:r>
                </w:p>
              </w:tc>
              <w:tc>
                <w:tcPr>
                  <w:tcW w:w="2807" w:type="dxa"/>
                </w:tcPr>
                <w:p w:rsidR="00A74CD3" w:rsidRDefault="00A74CD3" w:rsidP="00A74CD3">
                  <w:r>
                    <w:t xml:space="preserve">Expected cost at a 10% weighted probability of dispatch </w:t>
                  </w:r>
                </w:p>
              </w:tc>
            </w:tr>
            <w:tr w:rsidR="00A74CD3" w:rsidTr="007F64BC">
              <w:tc>
                <w:tcPr>
                  <w:tcW w:w="1701" w:type="dxa"/>
                </w:tcPr>
                <w:p w:rsidR="00A74CD3" w:rsidRDefault="00A74CD3" w:rsidP="00A74CD3">
                  <w:r>
                    <w:t>Fast demand response</w:t>
                  </w:r>
                </w:p>
              </w:tc>
              <w:tc>
                <w:tcPr>
                  <w:tcW w:w="1418" w:type="dxa"/>
                </w:tcPr>
                <w:p w:rsidR="00A74CD3" w:rsidRPr="00A74CD3" w:rsidRDefault="00A74CD3" w:rsidP="00A74CD3">
                  <w:r>
                    <w:t>4</w:t>
                  </w:r>
                  <w:r w:rsidRPr="00A74CD3">
                    <w:t>,000</w:t>
                  </w:r>
                </w:p>
              </w:tc>
              <w:tc>
                <w:tcPr>
                  <w:tcW w:w="1276" w:type="dxa"/>
                </w:tcPr>
                <w:p w:rsidR="00A74CD3" w:rsidRPr="00A74CD3" w:rsidRDefault="00A74CD3" w:rsidP="00A74CD3">
                  <w:r>
                    <w:t>5</w:t>
                  </w:r>
                  <w:r w:rsidRPr="00A74CD3">
                    <w:t>0</w:t>
                  </w:r>
                </w:p>
              </w:tc>
              <w:tc>
                <w:tcPr>
                  <w:tcW w:w="1275" w:type="dxa"/>
                </w:tcPr>
                <w:p w:rsidR="00A74CD3" w:rsidRPr="00A74CD3" w:rsidRDefault="00A74CD3" w:rsidP="00A74CD3">
                  <w:r>
                    <w:t>800</w:t>
                  </w:r>
                </w:p>
              </w:tc>
              <w:tc>
                <w:tcPr>
                  <w:tcW w:w="2807" w:type="dxa"/>
                </w:tcPr>
                <w:p w:rsidR="00A74CD3" w:rsidRPr="00A74CD3" w:rsidRDefault="00A74CD3" w:rsidP="00A74CD3">
                  <m:oMathPara>
                    <m:oMath>
                      <m:r>
                        <w:rPr>
                          <w:rFonts w:ascii="Cambria Math" w:hAnsi="Cambria Math"/>
                        </w:rPr>
                        <m:t>4,000×$50+ 4,000×10%×$800=200,000+320,000=520,000</m:t>
                      </m:r>
                    </m:oMath>
                  </m:oMathPara>
                </w:p>
              </w:tc>
            </w:tr>
            <w:tr w:rsidR="00A74CD3" w:rsidTr="007F64BC">
              <w:trPr>
                <w:cnfStyle w:val="000000010000" w:firstRow="0" w:lastRow="0" w:firstColumn="0" w:lastColumn="0" w:oddVBand="0" w:evenVBand="0" w:oddHBand="0" w:evenHBand="1" w:firstRowFirstColumn="0" w:firstRowLastColumn="0" w:lastRowFirstColumn="0" w:lastRowLastColumn="0"/>
              </w:trPr>
              <w:tc>
                <w:tcPr>
                  <w:tcW w:w="1701" w:type="dxa"/>
                </w:tcPr>
                <w:p w:rsidR="00A74CD3" w:rsidRDefault="00A74CD3" w:rsidP="00A74CD3">
                  <w:r>
                    <w:t>Day prior demand response</w:t>
                  </w:r>
                </w:p>
              </w:tc>
              <w:tc>
                <w:tcPr>
                  <w:tcW w:w="1418" w:type="dxa"/>
                </w:tcPr>
                <w:p w:rsidR="00A74CD3" w:rsidRPr="00A74CD3" w:rsidRDefault="00A74CD3" w:rsidP="00A74CD3">
                  <w:r>
                    <w:t>2</w:t>
                  </w:r>
                  <w:r w:rsidRPr="00A74CD3">
                    <w:t>,000</w:t>
                  </w:r>
                </w:p>
              </w:tc>
              <w:tc>
                <w:tcPr>
                  <w:tcW w:w="1276" w:type="dxa"/>
                </w:tcPr>
                <w:p w:rsidR="00A74CD3" w:rsidRPr="00A74CD3" w:rsidRDefault="00A74CD3" w:rsidP="00A74CD3">
                  <w:r>
                    <w:t>4</w:t>
                  </w:r>
                  <w:r w:rsidRPr="00A74CD3">
                    <w:t>0</w:t>
                  </w:r>
                </w:p>
              </w:tc>
              <w:tc>
                <w:tcPr>
                  <w:tcW w:w="1275" w:type="dxa"/>
                </w:tcPr>
                <w:p w:rsidR="00A74CD3" w:rsidRPr="00A74CD3" w:rsidRDefault="00A74CD3" w:rsidP="00A74CD3">
                  <w:r>
                    <w:t>600</w:t>
                  </w:r>
                </w:p>
              </w:tc>
              <w:tc>
                <w:tcPr>
                  <w:tcW w:w="2807" w:type="dxa"/>
                </w:tcPr>
                <w:p w:rsidR="00A74CD3" w:rsidRPr="00A74CD3" w:rsidRDefault="00A74CD3" w:rsidP="00A74CD3">
                  <m:oMathPara>
                    <m:oMath>
                      <m:r>
                        <w:rPr>
                          <w:rFonts w:ascii="Cambria Math" w:hAnsi="Cambria Math"/>
                        </w:rPr>
                        <m:t>2,000×$40+ 2,000×10%×$600=80,000+120,000=200,000</m:t>
                      </m:r>
                    </m:oMath>
                  </m:oMathPara>
                </w:p>
              </w:tc>
            </w:tr>
            <w:tr w:rsidR="00A74CD3" w:rsidTr="007F64BC">
              <w:tc>
                <w:tcPr>
                  <w:tcW w:w="1701" w:type="dxa"/>
                </w:tcPr>
                <w:p w:rsidR="00A74CD3" w:rsidRPr="00A74CD3" w:rsidRDefault="00A74CD3" w:rsidP="00A74CD3">
                  <w:r>
                    <w:t>Expected cost of demand management</w:t>
                  </w:r>
                </w:p>
              </w:tc>
              <w:tc>
                <w:tcPr>
                  <w:tcW w:w="1418" w:type="dxa"/>
                </w:tcPr>
                <w:p w:rsidR="00A74CD3" w:rsidRDefault="00A74CD3" w:rsidP="00A74CD3"/>
              </w:tc>
              <w:tc>
                <w:tcPr>
                  <w:tcW w:w="1276" w:type="dxa"/>
                </w:tcPr>
                <w:p w:rsidR="00A74CD3" w:rsidRDefault="00A74CD3" w:rsidP="00A74CD3"/>
              </w:tc>
              <w:tc>
                <w:tcPr>
                  <w:tcW w:w="1275" w:type="dxa"/>
                </w:tcPr>
                <w:p w:rsidR="00A74CD3" w:rsidRDefault="00A74CD3" w:rsidP="00A74CD3"/>
              </w:tc>
              <w:tc>
                <w:tcPr>
                  <w:tcW w:w="2807" w:type="dxa"/>
                </w:tcPr>
                <w:p w:rsidR="00A74CD3" w:rsidRPr="00A74CD3" w:rsidRDefault="00A74CD3" w:rsidP="00A74CD3">
                  <w:r>
                    <w:t>$</w:t>
                  </w:r>
                  <w:r w:rsidRPr="00A74CD3">
                    <w:t>720,000</w:t>
                  </w:r>
                </w:p>
              </w:tc>
            </w:tr>
          </w:tbl>
          <w:p w:rsidR="00A74CD3" w:rsidRDefault="00A74CD3" w:rsidP="00A74CD3"/>
          <w:p w:rsidR="006E07DF" w:rsidRDefault="00A74CD3" w:rsidP="00D87D7B">
            <w:r>
              <w:t xml:space="preserve">In this example, the distributor's </w:t>
            </w:r>
            <w:r w:rsidRPr="00A74CD3">
              <w:t>expected demand management costs for the one year would be $720,000.</w:t>
            </w:r>
          </w:p>
        </w:tc>
      </w:tr>
    </w:tbl>
    <w:p w:rsidR="00D87D7B" w:rsidRDefault="0006216B" w:rsidP="0006216B">
      <w:r>
        <w:lastRenderedPageBreak/>
        <w:fldChar w:fldCharType="begin"/>
      </w:r>
      <w:r>
        <w:instrText xml:space="preserve"> REF _Ref487476311 \h </w:instrText>
      </w:r>
      <w:r>
        <w:fldChar w:fldCharType="separate"/>
      </w:r>
      <w:r w:rsidR="0076296B">
        <w:t xml:space="preserve">Example </w:t>
      </w:r>
      <w:r w:rsidR="0076296B">
        <w:rPr>
          <w:noProof/>
        </w:rPr>
        <w:t>1</w:t>
      </w:r>
      <w:r>
        <w:fldChar w:fldCharType="end"/>
      </w:r>
      <w:r>
        <w:t xml:space="preserve"> provides a simple illustration of expected costs</w:t>
      </w:r>
      <w:r w:rsidRPr="0006216B">
        <w:t xml:space="preserve"> </w:t>
      </w:r>
      <w:r>
        <w:t xml:space="preserve">under a demand management contract. A distributor might structure a contract with another legal entity differently to this. However, the draft Scheme specifies that a distributor should base any demand management contract under the Scheme on the capacity to </w:t>
      </w:r>
      <w:r w:rsidRPr="0006216B">
        <w:t xml:space="preserve">manage network </w:t>
      </w:r>
      <w:r w:rsidR="003461AC">
        <w:t>demand</w:t>
      </w:r>
      <w:r w:rsidRPr="0006216B">
        <w:t xml:space="preserve"> by a specified kVA per year</w:t>
      </w:r>
      <w:r>
        <w:t xml:space="preserve">. </w:t>
      </w:r>
      <w:r w:rsidR="00F2373D">
        <w:t>A contract might specify</w:t>
      </w:r>
      <w:r>
        <w:t xml:space="preserve"> payment on deliverables in </w:t>
      </w:r>
      <w:r w:rsidR="00F2373D">
        <w:t>various ways,</w:t>
      </w:r>
      <w:r>
        <w:t xml:space="preserve"> including but not limited to:</w:t>
      </w:r>
    </w:p>
    <w:p w:rsidR="0006216B" w:rsidRPr="0006216B" w:rsidRDefault="0006216B" w:rsidP="0006216B">
      <w:pPr>
        <w:pStyle w:val="AERbulletlistfirststyle"/>
      </w:pPr>
      <w:r>
        <w:t>An availab</w:t>
      </w:r>
      <w:r w:rsidR="006E07DF">
        <w:t>ility payment of $/kVA per year;</w:t>
      </w:r>
    </w:p>
    <w:p w:rsidR="0006216B" w:rsidRPr="0006216B" w:rsidRDefault="00F2373D" w:rsidP="0006216B">
      <w:pPr>
        <w:pStyle w:val="AERbulletlistfirststyle"/>
      </w:pPr>
      <w:r>
        <w:t>$/</w:t>
      </w:r>
      <w:r w:rsidR="0006216B" w:rsidRPr="0006216B">
        <w:t>kVA per year x number of times used;</w:t>
      </w:r>
    </w:p>
    <w:p w:rsidR="0006216B" w:rsidRPr="0006216B" w:rsidRDefault="00F2373D" w:rsidP="0006216B">
      <w:pPr>
        <w:pStyle w:val="AERbulletlistfirststyle"/>
      </w:pPr>
      <w:r>
        <w:t>$/</w:t>
      </w:r>
      <w:r w:rsidR="0006216B" w:rsidRPr="0006216B">
        <w:t>kVA per year x hours of operation;</w:t>
      </w:r>
    </w:p>
    <w:p w:rsidR="0036416B" w:rsidRDefault="00F2373D" w:rsidP="00F2373D">
      <w:pPr>
        <w:pStyle w:val="AERbulletlistfirststyle"/>
      </w:pPr>
      <w:r>
        <w:t>$/</w:t>
      </w:r>
      <w:r w:rsidR="0006216B" w:rsidRPr="0006216B">
        <w:t xml:space="preserve">kVA per year + MWh of demand </w:t>
      </w:r>
      <w:r>
        <w:t xml:space="preserve">management </w:t>
      </w:r>
      <w:r w:rsidR="0006216B" w:rsidRPr="0006216B">
        <w:t>delivered</w:t>
      </w:r>
      <w:r w:rsidR="00F744B7">
        <w:t>.</w:t>
      </w:r>
    </w:p>
    <w:p w:rsidR="0036416B" w:rsidRDefault="0036416B" w:rsidP="0036416B">
      <w:pPr>
        <w:pStyle w:val="Heading3"/>
      </w:pPr>
      <w:bookmarkStart w:id="57" w:name="_Ref488157985"/>
      <w:bookmarkStart w:id="58" w:name="_Toc491447254"/>
      <w:r>
        <w:t>Rationale for demand management proposal</w:t>
      </w:r>
      <w:bookmarkEnd w:id="57"/>
      <w:bookmarkEnd w:id="58"/>
    </w:p>
    <w:p w:rsidR="00597A4E" w:rsidRDefault="0036416B" w:rsidP="0036416B">
      <w:r>
        <w:t>While we consider t</w:t>
      </w:r>
      <w:r w:rsidRPr="0036416B">
        <w:t xml:space="preserve">he most practical and </w:t>
      </w:r>
      <w:r w:rsidR="00657396">
        <w:t>transparent</w:t>
      </w:r>
      <w:r w:rsidR="00657396" w:rsidRPr="0036416B">
        <w:t xml:space="preserve"> </w:t>
      </w:r>
      <w:r w:rsidRPr="0036416B">
        <w:t xml:space="preserve">way for a distributor to commit to deliverables is </w:t>
      </w:r>
      <w:r>
        <w:t xml:space="preserve">to specify </w:t>
      </w:r>
      <w:r w:rsidRPr="0036416B">
        <w:t xml:space="preserve">these in </w:t>
      </w:r>
      <w:r>
        <w:t>a</w:t>
      </w:r>
      <w:r w:rsidRPr="0036416B">
        <w:t xml:space="preserve"> contract</w:t>
      </w:r>
      <w:r w:rsidR="0006588A">
        <w:t xml:space="preserve">, we also recognise there may be </w:t>
      </w:r>
      <w:r w:rsidR="00657396">
        <w:t>instances where</w:t>
      </w:r>
      <w:r>
        <w:t xml:space="preserve"> </w:t>
      </w:r>
      <w:r w:rsidR="0006588A">
        <w:t>the distributor would not have</w:t>
      </w:r>
      <w:r>
        <w:t xml:space="preserve"> a contract</w:t>
      </w:r>
      <w:r w:rsidR="0006588A">
        <w:t xml:space="preserve"> </w:t>
      </w:r>
      <w:r w:rsidR="006E07DF">
        <w:t xml:space="preserve">with </w:t>
      </w:r>
      <w:r>
        <w:t>another legal entity</w:t>
      </w:r>
      <w:r w:rsidR="0006588A">
        <w:t xml:space="preserve">. Specifically, </w:t>
      </w:r>
      <w:r w:rsidR="00036BCF">
        <w:t>a distributor might provide</w:t>
      </w:r>
      <w:r w:rsidR="0006588A" w:rsidRPr="008A1369">
        <w:t xml:space="preserve"> </w:t>
      </w:r>
      <w:r w:rsidR="0006588A" w:rsidRPr="0006588A">
        <w:t>the demand management component of an eligible project in-house</w:t>
      </w:r>
      <w:r w:rsidR="00036BCF">
        <w:t xml:space="preserve"> if doing so</w:t>
      </w:r>
      <w:r w:rsidR="008727CA">
        <w:t xml:space="preserve"> is both</w:t>
      </w:r>
      <w:r w:rsidR="0006588A">
        <w:t>:</w:t>
      </w:r>
    </w:p>
    <w:p w:rsidR="0006588A" w:rsidRDefault="0006588A" w:rsidP="0006588A">
      <w:pPr>
        <w:pStyle w:val="AERbulletlistfirststyle"/>
      </w:pPr>
      <w:r>
        <w:t xml:space="preserve">permitted under </w:t>
      </w:r>
      <w:r w:rsidRPr="008A1369">
        <w:t>the distribution ring-fencing guidelines</w:t>
      </w:r>
      <w:r>
        <w:t>; and</w:t>
      </w:r>
    </w:p>
    <w:p w:rsidR="008A1369" w:rsidRDefault="0006588A" w:rsidP="0006588A">
      <w:pPr>
        <w:pStyle w:val="AERbulletlistfirststyle"/>
      </w:pPr>
      <w:r>
        <w:t>m</w:t>
      </w:r>
      <w:r w:rsidRPr="008A1369">
        <w:t>aximises the expected net benefit of the preferred option</w:t>
      </w:r>
      <w:r w:rsidR="006E07DF">
        <w:t>.</w:t>
      </w:r>
    </w:p>
    <w:p w:rsidR="00832D9D" w:rsidRDefault="008727CA" w:rsidP="008727CA">
      <w:pPr>
        <w:pStyle w:val="AERbulletlistfirststyle"/>
        <w:numPr>
          <w:ilvl w:val="0"/>
          <w:numId w:val="0"/>
        </w:numPr>
      </w:pPr>
      <w:r>
        <w:t>If such a situation aris</w:t>
      </w:r>
      <w:r w:rsidR="00036BCF">
        <w:t>es, we see value in allowing in-house projects under the</w:t>
      </w:r>
      <w:r>
        <w:t xml:space="preserve"> Scheme, whilst still encouraging the distributor to make a transparent commitment. Recognising that a</w:t>
      </w:r>
      <w:r w:rsidR="0006588A">
        <w:t xml:space="preserve"> distributor cannot enter a contract with itself</w:t>
      </w:r>
      <w:r>
        <w:t>, in these situations, we</w:t>
      </w:r>
      <w:r w:rsidR="0006588A">
        <w:t xml:space="preserve"> </w:t>
      </w:r>
      <w:r w:rsidR="0006588A">
        <w:lastRenderedPageBreak/>
        <w:t xml:space="preserve">would require the distributor </w:t>
      </w:r>
      <w:r w:rsidR="00EC4354">
        <w:t xml:space="preserve">to </w:t>
      </w:r>
      <w:r w:rsidR="0006588A">
        <w:t xml:space="preserve">provide </w:t>
      </w:r>
      <w:r w:rsidR="0006588A" w:rsidRPr="008A1369">
        <w:t>information equival</w:t>
      </w:r>
      <w:r w:rsidR="0006588A" w:rsidRPr="0006588A">
        <w:t xml:space="preserve">ent to </w:t>
      </w:r>
      <w:r w:rsidR="0036416B">
        <w:t>a</w:t>
      </w:r>
      <w:r w:rsidR="0006588A" w:rsidRPr="0006588A">
        <w:t xml:space="preserve"> contract</w:t>
      </w:r>
      <w:r w:rsidR="0036416B">
        <w:t xml:space="preserve"> with another legal entity</w:t>
      </w:r>
      <w:r w:rsidR="0006588A" w:rsidRPr="0006588A">
        <w:t>. For instance, this documentation must include a specified kVA per year of demand that a distributor can either directly or indirectly modify, as well as its expected cost of modifying (or having the capability to modify) that demand on the network</w:t>
      </w:r>
      <w:r w:rsidR="006E07DF">
        <w:t>.</w:t>
      </w:r>
    </w:p>
    <w:p w:rsidR="00275B20" w:rsidRDefault="00832D9D" w:rsidP="008727CA">
      <w:pPr>
        <w:pStyle w:val="AERbulletlistfirststyle"/>
        <w:numPr>
          <w:ilvl w:val="0"/>
          <w:numId w:val="0"/>
        </w:numPr>
      </w:pPr>
      <w:r>
        <w:t xml:space="preserve">We note, although the in-house </w:t>
      </w:r>
      <w:r w:rsidR="00AF6DE3">
        <w:t>option</w:t>
      </w:r>
      <w:r>
        <w:t xml:space="preserve"> is an available approach, the distributor is still required to follow competitive testing as set out in clause 2.2.1 of the draft Scheme (and explained</w:t>
      </w:r>
      <w:r w:rsidR="00BC73BD">
        <w:t xml:space="preserve"> in section </w:t>
      </w:r>
      <w:r w:rsidR="00ED74F0">
        <w:fldChar w:fldCharType="begin"/>
      </w:r>
      <w:r w:rsidR="00ED74F0">
        <w:instrText xml:space="preserve"> REF _Ref487113990 \r \h </w:instrText>
      </w:r>
      <w:r w:rsidR="00ED74F0">
        <w:fldChar w:fldCharType="separate"/>
      </w:r>
      <w:r w:rsidR="0076296B">
        <w:t>5.2</w:t>
      </w:r>
      <w:r w:rsidR="00ED74F0">
        <w:fldChar w:fldCharType="end"/>
      </w:r>
      <w:r w:rsidR="00ED74F0">
        <w:t xml:space="preserve"> </w:t>
      </w:r>
      <w:r w:rsidR="00BC73BD">
        <w:t>above).</w:t>
      </w:r>
    </w:p>
    <w:p w:rsidR="00597A4E" w:rsidRDefault="00275B20" w:rsidP="0036416B">
      <w:pPr>
        <w:pStyle w:val="AERbulletlistfirststyle"/>
        <w:numPr>
          <w:ilvl w:val="0"/>
          <w:numId w:val="0"/>
        </w:numPr>
        <w:rPr>
          <w:rStyle w:val="AERbody"/>
        </w:rPr>
      </w:pPr>
      <w:r>
        <w:t xml:space="preserve">It is important for this documentation to carry weight, such that it constitutes </w:t>
      </w:r>
      <w:r w:rsidR="008727CA">
        <w:t>a credible commitment</w:t>
      </w:r>
      <w:r>
        <w:t xml:space="preserve">. </w:t>
      </w:r>
      <w:r w:rsidR="001A7D39">
        <w:t>As such</w:t>
      </w:r>
      <w:r w:rsidRPr="0036416B">
        <w:rPr>
          <w:rStyle w:val="AERbody"/>
        </w:rPr>
        <w:t xml:space="preserve">, </w:t>
      </w:r>
      <w:r w:rsidR="001A7D39">
        <w:rPr>
          <w:rStyle w:val="AERbody"/>
        </w:rPr>
        <w:t>we require the</w:t>
      </w:r>
      <w:r w:rsidR="008727CA" w:rsidRPr="0036416B">
        <w:rPr>
          <w:rStyle w:val="AERbody"/>
        </w:rPr>
        <w:t xml:space="preserve"> </w:t>
      </w:r>
      <w:r w:rsidR="006E07DF" w:rsidRPr="006E07DF">
        <w:rPr>
          <w:rStyle w:val="AERbody"/>
        </w:rPr>
        <w:t xml:space="preserve">demand management proposal </w:t>
      </w:r>
      <w:r w:rsidR="008727CA" w:rsidRPr="0036416B">
        <w:rPr>
          <w:rStyle w:val="AERbody"/>
        </w:rPr>
        <w:t xml:space="preserve">receive </w:t>
      </w:r>
      <w:r w:rsidR="0036416B" w:rsidRPr="0036416B">
        <w:rPr>
          <w:rStyle w:val="AERbody"/>
        </w:rPr>
        <w:t xml:space="preserve">approval </w:t>
      </w:r>
      <w:r w:rsidR="006E07DF">
        <w:rPr>
          <w:rStyle w:val="AERbody"/>
        </w:rPr>
        <w:t xml:space="preserve">from </w:t>
      </w:r>
      <w:r w:rsidR="006E07DF" w:rsidRPr="006E07DF">
        <w:rPr>
          <w:rStyle w:val="AERbody"/>
        </w:rPr>
        <w:t xml:space="preserve">a delegate of the chief executive officer </w:t>
      </w:r>
      <w:r w:rsidR="006E07DF">
        <w:rPr>
          <w:rStyle w:val="AERbody"/>
        </w:rPr>
        <w:t>(CEO) of the distributor</w:t>
      </w:r>
      <w:r w:rsidR="006E07DF" w:rsidRPr="006E07DF">
        <w:rPr>
          <w:rStyle w:val="AERbody"/>
        </w:rPr>
        <w:t xml:space="preserve">. </w:t>
      </w:r>
      <w:r w:rsidR="006E07DF">
        <w:rPr>
          <w:rStyle w:val="AERbody"/>
        </w:rPr>
        <w:t xml:space="preserve">Moreover, this approval must include </w:t>
      </w:r>
      <w:r w:rsidR="006E07DF" w:rsidRPr="006E07DF">
        <w:rPr>
          <w:rStyle w:val="AERbody"/>
        </w:rPr>
        <w:t xml:space="preserve">a declaration by the delegate of the </w:t>
      </w:r>
      <w:r w:rsidR="006E07DF">
        <w:rPr>
          <w:rStyle w:val="AERbody"/>
        </w:rPr>
        <w:t>CEO</w:t>
      </w:r>
      <w:r w:rsidR="006E07DF" w:rsidRPr="006E07DF">
        <w:rPr>
          <w:rStyle w:val="AERbody"/>
        </w:rPr>
        <w:t xml:space="preserve"> that he or she has a reasonable basis for being of the view that the </w:t>
      </w:r>
      <w:r w:rsidR="006E07DF">
        <w:rPr>
          <w:rStyle w:val="AERbody"/>
        </w:rPr>
        <w:t xml:space="preserve">estimated </w:t>
      </w:r>
      <w:r w:rsidR="006E07DF" w:rsidRPr="006E07DF">
        <w:rPr>
          <w:rStyle w:val="AERbody"/>
        </w:rPr>
        <w:t xml:space="preserve">costs </w:t>
      </w:r>
      <w:r w:rsidR="006E07DF">
        <w:rPr>
          <w:rStyle w:val="AERbody"/>
        </w:rPr>
        <w:t>in its</w:t>
      </w:r>
      <w:r w:rsidR="006E07DF" w:rsidRPr="006E07DF">
        <w:rPr>
          <w:rStyle w:val="AERbody"/>
        </w:rPr>
        <w:t xml:space="preserve"> </w:t>
      </w:r>
      <w:r w:rsidR="006E07DF">
        <w:rPr>
          <w:rStyle w:val="AERbody"/>
        </w:rPr>
        <w:t xml:space="preserve">demand management proposal </w:t>
      </w:r>
      <w:r w:rsidR="006E07DF" w:rsidRPr="006E07DF">
        <w:rPr>
          <w:rStyle w:val="AERbody"/>
        </w:rPr>
        <w:t xml:space="preserve">are </w:t>
      </w:r>
      <w:r w:rsidR="00BC73BD">
        <w:rPr>
          <w:rStyle w:val="AERbody"/>
        </w:rPr>
        <w:t>efficient</w:t>
      </w:r>
      <w:r w:rsidR="006E07DF">
        <w:rPr>
          <w:rStyle w:val="AERbody"/>
        </w:rPr>
        <w:t>. It must declare that the distributor calculated these cost estimates using a consistent approach</w:t>
      </w:r>
      <w:r w:rsidR="006E07DF" w:rsidRPr="006E07DF">
        <w:rPr>
          <w:rStyle w:val="AERbody"/>
        </w:rPr>
        <w:t xml:space="preserve"> to what the distributor would typically apply in estimating a project's costs shortly before th</w:t>
      </w:r>
      <w:r w:rsidR="006E07DF">
        <w:rPr>
          <w:rStyle w:val="AERbody"/>
        </w:rPr>
        <w:t>at project's commissioning date</w:t>
      </w:r>
      <w:r w:rsidR="006E07DF" w:rsidRPr="006E07DF">
        <w:rPr>
          <w:rStyle w:val="AERbody"/>
        </w:rPr>
        <w:t>.</w:t>
      </w:r>
      <w:r w:rsidR="006E07DF">
        <w:rPr>
          <w:rStyle w:val="AERbody"/>
        </w:rPr>
        <w:t xml:space="preserve"> </w:t>
      </w:r>
      <w:r w:rsidR="007F64BC">
        <w:rPr>
          <w:rStyle w:val="AERbody"/>
        </w:rPr>
        <w:t>T</w:t>
      </w:r>
      <w:r w:rsidR="006E07DF">
        <w:rPr>
          <w:rStyle w:val="AERbody"/>
        </w:rPr>
        <w:t xml:space="preserve">he delegate of the CEO should have </w:t>
      </w:r>
      <w:r w:rsidR="0036416B" w:rsidRPr="0036416B">
        <w:rPr>
          <w:rStyle w:val="AERbody"/>
        </w:rPr>
        <w:t>a reasonable basis for being of the view that the distributor will</w:t>
      </w:r>
      <w:r w:rsidR="006E07DF">
        <w:rPr>
          <w:rStyle w:val="AERbody"/>
        </w:rPr>
        <w:t xml:space="preserve"> likely</w:t>
      </w:r>
      <w:r w:rsidR="0036416B" w:rsidRPr="0036416B">
        <w:rPr>
          <w:rStyle w:val="AERbody"/>
        </w:rPr>
        <w:t xml:space="preserve"> incur the costs set out in the demand management proposal</w:t>
      </w:r>
      <w:r w:rsidR="00E02DA5">
        <w:rPr>
          <w:rStyle w:val="AERbody"/>
        </w:rPr>
        <w:t xml:space="preserve"> within some reasonable bounds of uncertainty (such as those it would normally apply to projects of a similar nature soon before the project commissioning date).</w:t>
      </w:r>
    </w:p>
    <w:p w:rsidR="00AF6DE3" w:rsidRPr="00260E20" w:rsidRDefault="00AF6DE3" w:rsidP="0036416B">
      <w:pPr>
        <w:pStyle w:val="AERbulletlistfirststyle"/>
        <w:numPr>
          <w:ilvl w:val="0"/>
          <w:numId w:val="0"/>
        </w:numPr>
      </w:pPr>
      <w:r>
        <w:rPr>
          <w:rStyle w:val="AERbody"/>
        </w:rPr>
        <w:t xml:space="preserve">As set out in clause 2.2.2(1)(b) of the draft Scheme, </w:t>
      </w:r>
      <w:r w:rsidR="0032133A">
        <w:rPr>
          <w:rStyle w:val="AERbody"/>
        </w:rPr>
        <w:t xml:space="preserve">without </w:t>
      </w:r>
      <w:r w:rsidR="00214021">
        <w:rPr>
          <w:rStyle w:val="AERbody"/>
        </w:rPr>
        <w:t xml:space="preserve">a </w:t>
      </w:r>
      <w:r w:rsidR="0032133A">
        <w:rPr>
          <w:rStyle w:val="AERbody"/>
        </w:rPr>
        <w:t>demand management proposal</w:t>
      </w:r>
      <w:r w:rsidR="00ED74F0">
        <w:rPr>
          <w:rStyle w:val="AERbody"/>
        </w:rPr>
        <w:t xml:space="preserve"> compliant with the Scheme</w:t>
      </w:r>
      <w:r w:rsidR="0032133A">
        <w:rPr>
          <w:rStyle w:val="AERbody"/>
        </w:rPr>
        <w:t xml:space="preserve">, an in-house option will not be recognised as a committed project and therefore ineligible for </w:t>
      </w:r>
      <w:r w:rsidR="00214021">
        <w:rPr>
          <w:rStyle w:val="AERbody"/>
        </w:rPr>
        <w:t>project</w:t>
      </w:r>
      <w:r w:rsidR="0032133A">
        <w:rPr>
          <w:rStyle w:val="AERbody"/>
        </w:rPr>
        <w:t xml:space="preserve"> incentives.</w:t>
      </w:r>
    </w:p>
    <w:p w:rsidR="00260E20" w:rsidRDefault="00214021" w:rsidP="00260E20">
      <w:pPr>
        <w:pStyle w:val="Heading1"/>
      </w:pPr>
      <w:bookmarkStart w:id="59" w:name="_Toc491447255"/>
      <w:r>
        <w:lastRenderedPageBreak/>
        <w:t>Determining the</w:t>
      </w:r>
      <w:r w:rsidR="00260E20">
        <w:t xml:space="preserve"> project incentive</w:t>
      </w:r>
      <w:bookmarkEnd w:id="59"/>
    </w:p>
    <w:p w:rsidR="002D7184" w:rsidRPr="009B14F7" w:rsidRDefault="00260E20" w:rsidP="008A1369">
      <w:pPr>
        <w:pStyle w:val="AERbulletlistsecondstyle"/>
        <w:numPr>
          <w:ilvl w:val="0"/>
          <w:numId w:val="0"/>
        </w:numPr>
        <w:rPr>
          <w:rStyle w:val="AERbody"/>
        </w:rPr>
      </w:pPr>
      <w:r>
        <w:t>Clause</w:t>
      </w:r>
      <w:r w:rsidRPr="00260E20">
        <w:t xml:space="preserve"> 2.</w:t>
      </w:r>
      <w:r>
        <w:t xml:space="preserve">3 of the draft </w:t>
      </w:r>
      <w:r w:rsidRPr="009B14F7">
        <w:rPr>
          <w:rStyle w:val="AERbody"/>
        </w:rPr>
        <w:t xml:space="preserve">Scheme </w:t>
      </w:r>
      <w:r w:rsidR="008A1369" w:rsidRPr="009B14F7">
        <w:rPr>
          <w:rStyle w:val="AERbody"/>
        </w:rPr>
        <w:t>specifies that w</w:t>
      </w:r>
      <w:r w:rsidR="002D7184" w:rsidRPr="009B14F7">
        <w:rPr>
          <w:rStyle w:val="AERbody"/>
        </w:rPr>
        <w:t>hen a distributor commits to an eligible project</w:t>
      </w:r>
      <w:r w:rsidR="009B14F7">
        <w:rPr>
          <w:rStyle w:val="AERbody"/>
        </w:rPr>
        <w:t xml:space="preserve">, it must calculate </w:t>
      </w:r>
      <w:r w:rsidR="004F3183">
        <w:rPr>
          <w:rStyle w:val="AERbody"/>
        </w:rPr>
        <w:t>the</w:t>
      </w:r>
      <w:r w:rsidR="002D7184" w:rsidRPr="009B14F7">
        <w:rPr>
          <w:rStyle w:val="AERbody"/>
        </w:rPr>
        <w:t xml:space="preserve"> </w:t>
      </w:r>
      <w:r w:rsidR="00214021">
        <w:rPr>
          <w:rStyle w:val="AERbody"/>
        </w:rPr>
        <w:t>project</w:t>
      </w:r>
      <w:r w:rsidR="002D7184" w:rsidRPr="009B14F7">
        <w:rPr>
          <w:rStyle w:val="AERbody"/>
        </w:rPr>
        <w:t xml:space="preserve"> incentive that </w:t>
      </w:r>
      <w:r w:rsidR="004F3183">
        <w:rPr>
          <w:rStyle w:val="AERbody"/>
        </w:rPr>
        <w:t>the</w:t>
      </w:r>
      <w:r w:rsidR="009B14F7">
        <w:rPr>
          <w:rStyle w:val="AERbody"/>
        </w:rPr>
        <w:t xml:space="preserve"> </w:t>
      </w:r>
      <w:r w:rsidR="002D7184" w:rsidRPr="009B14F7">
        <w:rPr>
          <w:rStyle w:val="AERbody"/>
        </w:rPr>
        <w:t>project can accrue (</w:t>
      </w:r>
      <w:r w:rsidR="008A1369" w:rsidRPr="009B14F7">
        <w:rPr>
          <w:rStyle w:val="AERbody"/>
        </w:rPr>
        <w:t xml:space="preserve">the </w:t>
      </w:r>
      <w:r w:rsidR="002D7184" w:rsidRPr="009B14F7">
        <w:rPr>
          <w:rStyle w:val="AERbody"/>
        </w:rPr>
        <w:t>project</w:t>
      </w:r>
      <w:r w:rsidR="00214021">
        <w:rPr>
          <w:rStyle w:val="AERbody"/>
        </w:rPr>
        <w:t xml:space="preserve"> incentive</w:t>
      </w:r>
      <w:r w:rsidR="002D7184" w:rsidRPr="009B14F7">
        <w:rPr>
          <w:rStyle w:val="AERbody"/>
        </w:rPr>
        <w:t xml:space="preserve">). </w:t>
      </w:r>
      <w:r w:rsidR="004F3183">
        <w:rPr>
          <w:rStyle w:val="AERbody"/>
        </w:rPr>
        <w:t xml:space="preserve">The distributor must calculate the project incentive </w:t>
      </w:r>
      <w:r w:rsidR="009B14F7" w:rsidRPr="009B14F7">
        <w:rPr>
          <w:rStyle w:val="AERbody"/>
        </w:rPr>
        <w:t xml:space="preserve">at the project commitment date (time </w:t>
      </w:r>
      <w:r w:rsidR="009B14F7" w:rsidRPr="009B14F7">
        <w:rPr>
          <w:rStyle w:val="AERtextitalic"/>
        </w:rPr>
        <w:t>t</w:t>
      </w:r>
      <w:r w:rsidR="009B14F7" w:rsidRPr="009B14F7">
        <w:rPr>
          <w:rStyle w:val="AERbody"/>
        </w:rPr>
        <w:t>)</w:t>
      </w:r>
      <w:r w:rsidR="004F3183">
        <w:rPr>
          <w:rStyle w:val="AERbody"/>
        </w:rPr>
        <w:t>.</w:t>
      </w:r>
    </w:p>
    <w:p w:rsidR="002D7184" w:rsidRPr="009B14F7" w:rsidRDefault="002D7184" w:rsidP="008A1369">
      <w:pPr>
        <w:pStyle w:val="LegalNumbering"/>
        <w:numPr>
          <w:ilvl w:val="0"/>
          <w:numId w:val="0"/>
        </w:numPr>
        <w:rPr>
          <w:rStyle w:val="AERbody"/>
        </w:rPr>
      </w:pPr>
      <w:r w:rsidRPr="009B14F7">
        <w:rPr>
          <w:rStyle w:val="AERbody"/>
        </w:rPr>
        <w:t xml:space="preserve">A distributor must calculate </w:t>
      </w:r>
      <w:r w:rsidR="009B14F7">
        <w:rPr>
          <w:rStyle w:val="AERbody"/>
        </w:rPr>
        <w:t xml:space="preserve">the </w:t>
      </w:r>
      <w:r w:rsidRPr="009B14F7">
        <w:rPr>
          <w:rStyle w:val="AERbody"/>
        </w:rPr>
        <w:t>project</w:t>
      </w:r>
      <w:r w:rsidR="009B14F7">
        <w:rPr>
          <w:rStyle w:val="AERbody"/>
        </w:rPr>
        <w:t xml:space="preserve"> </w:t>
      </w:r>
      <w:r w:rsidR="00214021">
        <w:rPr>
          <w:rStyle w:val="AERbody"/>
        </w:rPr>
        <w:t>incentive</w:t>
      </w:r>
      <w:r w:rsidRPr="009B14F7">
        <w:rPr>
          <w:rStyle w:val="AERbody"/>
        </w:rPr>
        <w:t xml:space="preserve"> </w:t>
      </w:r>
      <w:r w:rsidR="009B14F7" w:rsidRPr="009B14F7">
        <w:rPr>
          <w:rStyle w:val="AERbody"/>
        </w:rPr>
        <w:t>as</w:t>
      </w:r>
      <w:r w:rsidRPr="009B14F7">
        <w:rPr>
          <w:rStyle w:val="AERbody"/>
        </w:rPr>
        <w:t xml:space="preserve"> the lower of the two values:</w:t>
      </w:r>
    </w:p>
    <w:p w:rsidR="009B14F7" w:rsidRDefault="009B14F7" w:rsidP="009B14F7">
      <w:pPr>
        <w:pStyle w:val="AERbulletlistfirststyle"/>
      </w:pPr>
      <w:r w:rsidRPr="009B14F7">
        <w:t xml:space="preserve">The expected present value at time </w:t>
      </w:r>
      <w:r w:rsidRPr="009B14F7">
        <w:rPr>
          <w:rStyle w:val="AERtextitalic"/>
        </w:rPr>
        <w:t xml:space="preserve">t </w:t>
      </w:r>
      <w:r w:rsidRPr="009B14F7">
        <w:t xml:space="preserve">of </w:t>
      </w:r>
      <w:r>
        <w:t xml:space="preserve">the </w:t>
      </w:r>
      <w:r w:rsidRPr="009B14F7">
        <w:rPr>
          <w:rStyle w:val="AERbody"/>
        </w:rPr>
        <w:t>project's demand management costs</w:t>
      </w:r>
      <w:r w:rsidRPr="009B14F7">
        <w:t xml:space="preserve">, multiplied by the cost multiplier </w:t>
      </w:r>
      <m:oMath>
        <m:sSub>
          <m:sSubPr>
            <m:ctrlPr>
              <w:rPr>
                <w:rFonts w:ascii="Cambria Math" w:hAnsi="Cambria Math"/>
              </w:rPr>
            </m:ctrlPr>
          </m:sSubPr>
          <m:e>
            <m:r>
              <w:rPr>
                <w:rFonts w:ascii="Cambria Math" w:hAnsi="Cambria Math"/>
              </w:rPr>
              <m:t>d</m:t>
            </m:r>
          </m:e>
          <m:sub>
            <m:r>
              <w:rPr>
                <w:rFonts w:ascii="Cambria Math" w:hAnsi="Cambria Math"/>
              </w:rPr>
              <m:t>1</m:t>
            </m:r>
          </m:sub>
        </m:sSub>
        <m:r>
          <w:rPr>
            <w:rFonts w:ascii="Cambria Math" w:hAnsi="Cambria Math"/>
          </w:rPr>
          <m:t>=50%</m:t>
        </m:r>
      </m:oMath>
      <w:r w:rsidRPr="009B14F7">
        <w:t xml:space="preserve">. </w:t>
      </w:r>
      <w:r w:rsidR="000F6C8E">
        <w:t>These expected demand management costs must be consistent with:</w:t>
      </w:r>
    </w:p>
    <w:p w:rsidR="000F6C8E" w:rsidRPr="009B14F7" w:rsidRDefault="000F6C8E" w:rsidP="000F6C8E">
      <w:pPr>
        <w:pStyle w:val="AERbulletlistsecondstyle"/>
        <w:rPr>
          <w:rStyle w:val="AERbody"/>
        </w:rPr>
      </w:pPr>
      <w:r w:rsidRPr="009B14F7">
        <w:rPr>
          <w:rStyle w:val="AERbody"/>
        </w:rPr>
        <w:t>The costs of the demand management solution in the</w:t>
      </w:r>
      <w:r w:rsidR="00966CBF">
        <w:rPr>
          <w:rStyle w:val="AERbody"/>
        </w:rPr>
        <w:t xml:space="preserve"> distributor's demand management contract or proposal.</w:t>
      </w:r>
    </w:p>
    <w:p w:rsidR="000F6C8E" w:rsidRPr="009B14F7" w:rsidRDefault="000F6C8E" w:rsidP="000F6C8E">
      <w:pPr>
        <w:pStyle w:val="AERbulletlistsecondstyle"/>
      </w:pPr>
      <w:r w:rsidRPr="009B14F7">
        <w:rPr>
          <w:rStyle w:val="AERbody"/>
        </w:rPr>
        <w:t xml:space="preserve">The distributor's reasonable expectation of the frequency and duration on which it will call on or utilise its capability to control demand under the </w:t>
      </w:r>
      <w:r w:rsidR="00966CBF">
        <w:rPr>
          <w:rStyle w:val="AERbody"/>
        </w:rPr>
        <w:t>demand management contract or proposal</w:t>
      </w:r>
      <w:r w:rsidRPr="009B14F7">
        <w:rPr>
          <w:rStyle w:val="AERbody"/>
        </w:rPr>
        <w:t xml:space="preserve">. That is, the distributor would need to </w:t>
      </w:r>
      <w:r w:rsidR="00364CB1">
        <w:rPr>
          <w:rStyle w:val="AERbody"/>
        </w:rPr>
        <w:t xml:space="preserve">determine </w:t>
      </w:r>
      <w:r w:rsidRPr="009B14F7">
        <w:rPr>
          <w:rStyle w:val="AERbody"/>
        </w:rPr>
        <w:t>probabilistically the demand it expects to control when calculating the project's expected demand management costs.</w:t>
      </w:r>
    </w:p>
    <w:p w:rsidR="007259C8" w:rsidRPr="007259C8" w:rsidRDefault="002D7184" w:rsidP="007259C8">
      <w:pPr>
        <w:pStyle w:val="AERbulletlistfirststyle"/>
        <w:rPr>
          <w:rStyle w:val="AERbody"/>
        </w:rPr>
      </w:pPr>
      <w:r w:rsidRPr="009B14F7">
        <w:rPr>
          <w:rStyle w:val="AERbody"/>
        </w:rPr>
        <w:t xml:space="preserve">The expected present value at time </w:t>
      </w:r>
      <w:r w:rsidRPr="004F3183">
        <w:rPr>
          <w:rStyle w:val="AERtextitalic"/>
        </w:rPr>
        <w:t>t</w:t>
      </w:r>
      <w:r w:rsidRPr="009B14F7">
        <w:rPr>
          <w:rStyle w:val="AERbody"/>
        </w:rPr>
        <w:t xml:space="preserve"> of the </w:t>
      </w:r>
      <w:r w:rsidR="009B14F7" w:rsidRPr="009B14F7">
        <w:rPr>
          <w:rStyle w:val="AERbody"/>
        </w:rPr>
        <w:t xml:space="preserve">project's </w:t>
      </w:r>
      <w:r w:rsidRPr="009B14F7">
        <w:rPr>
          <w:rStyle w:val="AERbody"/>
        </w:rPr>
        <w:t xml:space="preserve">net benefit to all those who produce, consume and transport electricity in the </w:t>
      </w:r>
      <w:r w:rsidR="00C26AD1">
        <w:rPr>
          <w:rStyle w:val="AERbody"/>
        </w:rPr>
        <w:t>relevant market</w:t>
      </w:r>
      <w:r w:rsidR="004F3183">
        <w:rPr>
          <w:rStyle w:val="AERbody"/>
        </w:rPr>
        <w:t xml:space="preserve"> (the net benefit constraint)</w:t>
      </w:r>
      <w:r w:rsidRPr="009B14F7">
        <w:rPr>
          <w:rStyle w:val="AERbody"/>
        </w:rPr>
        <w:t xml:space="preserve">. </w:t>
      </w:r>
      <w:r w:rsidR="007259C8">
        <w:rPr>
          <w:rStyle w:val="AERbody"/>
        </w:rPr>
        <w:t xml:space="preserve">A distributor must calculate this expected </w:t>
      </w:r>
      <w:r w:rsidR="007259C8" w:rsidRPr="007259C8">
        <w:rPr>
          <w:rStyle w:val="AERbody"/>
        </w:rPr>
        <w:t xml:space="preserve">net benefit </w:t>
      </w:r>
      <w:r w:rsidR="007259C8">
        <w:rPr>
          <w:rStyle w:val="AERbody"/>
        </w:rPr>
        <w:t>in accordance</w:t>
      </w:r>
      <w:r w:rsidR="007259C8" w:rsidRPr="007259C8">
        <w:rPr>
          <w:rStyle w:val="AERbody"/>
        </w:rPr>
        <w:t xml:space="preserve"> with</w:t>
      </w:r>
      <w:r w:rsidR="007259C8">
        <w:rPr>
          <w:rStyle w:val="AERbody"/>
        </w:rPr>
        <w:t xml:space="preserve"> the</w:t>
      </w:r>
      <w:r w:rsidR="007259C8" w:rsidRPr="007259C8">
        <w:rPr>
          <w:rStyle w:val="AERbody"/>
        </w:rPr>
        <w:t xml:space="preserve"> guidance for applying the cost–benefit analysis under the RIT–D. </w:t>
      </w:r>
      <w:r w:rsidR="001A7D39">
        <w:rPr>
          <w:rStyle w:val="AERbody"/>
        </w:rPr>
        <w:t>In doing so, the distributor must</w:t>
      </w:r>
      <w:r w:rsidR="007259C8" w:rsidRPr="007259C8">
        <w:rPr>
          <w:rStyle w:val="AERbody"/>
        </w:rPr>
        <w:t xml:space="preserve"> estimate the project's net benefit relative to</w:t>
      </w:r>
      <w:r w:rsidR="007259C8">
        <w:rPr>
          <w:rStyle w:val="AERbody"/>
        </w:rPr>
        <w:t xml:space="preserve"> the '</w:t>
      </w:r>
      <w:r w:rsidR="007259C8" w:rsidRPr="007259C8">
        <w:rPr>
          <w:rStyle w:val="AERbody"/>
        </w:rPr>
        <w:t>bas</w:t>
      </w:r>
      <w:r w:rsidR="007259C8">
        <w:rPr>
          <w:rStyle w:val="AERbody"/>
        </w:rPr>
        <w:t xml:space="preserve">e case' </w:t>
      </w:r>
      <w:r w:rsidR="007259C8" w:rsidRPr="007259C8">
        <w:rPr>
          <w:rStyle w:val="AERbody"/>
        </w:rPr>
        <w:t>where:</w:t>
      </w:r>
    </w:p>
    <w:p w:rsidR="007259C8" w:rsidRPr="007259C8" w:rsidRDefault="007259C8" w:rsidP="007259C8">
      <w:pPr>
        <w:pStyle w:val="AERbulletlistsecondstyle"/>
        <w:rPr>
          <w:rStyle w:val="AERbody"/>
        </w:rPr>
      </w:pPr>
      <w:r w:rsidRPr="007259C8">
        <w:rPr>
          <w:rStyle w:val="AERbody"/>
        </w:rPr>
        <w:t>the distributor does not implement a credible option; or</w:t>
      </w:r>
    </w:p>
    <w:p w:rsidR="000F6C8E" w:rsidRDefault="007259C8" w:rsidP="007259C8">
      <w:pPr>
        <w:pStyle w:val="AERbulletlistsecondstyle"/>
        <w:rPr>
          <w:rStyle w:val="AERbody"/>
        </w:rPr>
      </w:pPr>
      <w:r w:rsidRPr="007259C8">
        <w:rPr>
          <w:rStyle w:val="AERbody"/>
        </w:rPr>
        <w:t>only if the identified need is for reliability corrective action, the distributor's preferred network option</w:t>
      </w:r>
      <w:r>
        <w:rPr>
          <w:rStyle w:val="AERbody"/>
        </w:rPr>
        <w:t>.</w:t>
      </w:r>
    </w:p>
    <w:p w:rsidR="004F3183" w:rsidRPr="004F3183" w:rsidRDefault="004F3183" w:rsidP="004F3183">
      <w:pPr>
        <w:pStyle w:val="Heading2"/>
        <w:rPr>
          <w:rStyle w:val="AERbody"/>
          <w:color w:val="70635A" w:themeColor="text2"/>
          <w:sz w:val="32"/>
        </w:rPr>
      </w:pPr>
      <w:bookmarkStart w:id="60" w:name="_Ref487552169"/>
      <w:bookmarkStart w:id="61" w:name="_Toc491447256"/>
      <w:r w:rsidRPr="004F3183">
        <w:rPr>
          <w:rStyle w:val="AERbody"/>
          <w:color w:val="70635A" w:themeColor="text2"/>
          <w:sz w:val="32"/>
        </w:rPr>
        <w:t>Percentage of expected demand management costs</w:t>
      </w:r>
      <w:bookmarkEnd w:id="60"/>
      <w:bookmarkEnd w:id="61"/>
    </w:p>
    <w:p w:rsidR="007259C8" w:rsidRDefault="007259C8" w:rsidP="009B14F7">
      <w:pPr>
        <w:pStyle w:val="ListBullet2"/>
        <w:numPr>
          <w:ilvl w:val="0"/>
          <w:numId w:val="0"/>
        </w:numPr>
        <w:rPr>
          <w:rStyle w:val="AERbody"/>
        </w:rPr>
      </w:pPr>
      <w:r>
        <w:rPr>
          <w:rStyle w:val="AERbody"/>
        </w:rPr>
        <w:t>This section ex</w:t>
      </w:r>
      <w:r w:rsidR="00214021">
        <w:rPr>
          <w:rStyle w:val="AERbody"/>
        </w:rPr>
        <w:t>plains why we base the project incentive</w:t>
      </w:r>
      <w:r>
        <w:rPr>
          <w:rStyle w:val="AERbody"/>
        </w:rPr>
        <w:t xml:space="preserve"> on expected demand management costs. For information on w</w:t>
      </w:r>
      <w:r w:rsidR="00214021">
        <w:rPr>
          <w:rStyle w:val="AERbody"/>
        </w:rPr>
        <w:t>hy we base the project incentive</w:t>
      </w:r>
      <w:r>
        <w:rPr>
          <w:rStyle w:val="AERbody"/>
        </w:rPr>
        <w:t xml:space="preserve"> on a</w:t>
      </w:r>
      <w:r w:rsidRPr="007259C8">
        <w:rPr>
          <w:rStyle w:val="AERbody"/>
        </w:rPr>
        <w:t xml:space="preserve"> percentage of 50</w:t>
      </w:r>
      <w:r w:rsidR="0078383B" w:rsidRPr="0078383B">
        <w:t xml:space="preserve"> per cent</w:t>
      </w:r>
      <w:r w:rsidRPr="007259C8">
        <w:rPr>
          <w:rStyle w:val="AERbody"/>
        </w:rPr>
        <w:t xml:space="preserve"> (the cost multiplier), see section </w:t>
      </w:r>
      <w:r w:rsidRPr="007259C8">
        <w:rPr>
          <w:rStyle w:val="AERbody"/>
        </w:rPr>
        <w:fldChar w:fldCharType="begin"/>
      </w:r>
      <w:r w:rsidRPr="007259C8">
        <w:rPr>
          <w:rStyle w:val="AERbody"/>
        </w:rPr>
        <w:instrText xml:space="preserve"> REF _Ref487205143 \r \h </w:instrText>
      </w:r>
      <w:r w:rsidRPr="007259C8">
        <w:rPr>
          <w:rStyle w:val="AERbody"/>
        </w:rPr>
      </w:r>
      <w:r w:rsidRPr="007259C8">
        <w:rPr>
          <w:rStyle w:val="AERbody"/>
        </w:rPr>
        <w:fldChar w:fldCharType="separate"/>
      </w:r>
      <w:r w:rsidR="0076296B">
        <w:rPr>
          <w:rStyle w:val="AERbody"/>
        </w:rPr>
        <w:t>4.3</w:t>
      </w:r>
      <w:r w:rsidRPr="007259C8">
        <w:rPr>
          <w:rStyle w:val="AERbody"/>
        </w:rPr>
        <w:fldChar w:fldCharType="end"/>
      </w:r>
      <w:r>
        <w:rPr>
          <w:rStyle w:val="AERbody"/>
        </w:rPr>
        <w:t>.</w:t>
      </w:r>
    </w:p>
    <w:p w:rsidR="004465F5" w:rsidRDefault="00F25CD1" w:rsidP="004465F5">
      <w:pPr>
        <w:rPr>
          <w:rStyle w:val="AERbody"/>
        </w:rPr>
      </w:pPr>
      <w:r>
        <w:rPr>
          <w:rStyle w:val="AERbody"/>
        </w:rPr>
        <w:t xml:space="preserve">Since </w:t>
      </w:r>
      <w:r w:rsidRPr="004465F5">
        <w:rPr>
          <w:rStyle w:val="AERbody"/>
        </w:rPr>
        <w:t>a non-network option</w:t>
      </w:r>
      <w:r>
        <w:rPr>
          <w:rStyle w:val="AERbody"/>
        </w:rPr>
        <w:t xml:space="preserve"> under the NER</w:t>
      </w:r>
      <w:r w:rsidRPr="004465F5">
        <w:rPr>
          <w:rStyle w:val="AERbody"/>
        </w:rPr>
        <w:t xml:space="preserve"> can contain a network component</w:t>
      </w:r>
      <w:r>
        <w:rPr>
          <w:rStyle w:val="AERbody"/>
        </w:rPr>
        <w:t>, it is important for us to base</w:t>
      </w:r>
      <w:r w:rsidR="00214021">
        <w:rPr>
          <w:rStyle w:val="AERbody"/>
        </w:rPr>
        <w:t xml:space="preserve"> the project incentive</w:t>
      </w:r>
      <w:r w:rsidR="004465F5">
        <w:rPr>
          <w:rStyle w:val="AERbody"/>
        </w:rPr>
        <w:t xml:space="preserve"> </w:t>
      </w:r>
      <w:r>
        <w:rPr>
          <w:rStyle w:val="AERbody"/>
        </w:rPr>
        <w:t>on the costs</w:t>
      </w:r>
      <w:r w:rsidR="004465F5">
        <w:rPr>
          <w:rStyle w:val="AERbody"/>
        </w:rPr>
        <w:t xml:space="preserve"> relating to demand management</w:t>
      </w:r>
      <w:r>
        <w:rPr>
          <w:rStyle w:val="AERbody"/>
        </w:rPr>
        <w:t xml:space="preserve"> alone.</w:t>
      </w:r>
      <w:r w:rsidR="004465F5">
        <w:rPr>
          <w:rStyle w:val="AERbody"/>
        </w:rPr>
        <w:t xml:space="preserve"> </w:t>
      </w:r>
      <w:r>
        <w:rPr>
          <w:rStyle w:val="AERbody"/>
        </w:rPr>
        <w:t xml:space="preserve">A non-network option relating to </w:t>
      </w:r>
      <w:r w:rsidR="004465F5">
        <w:rPr>
          <w:rStyle w:val="AERbody"/>
        </w:rPr>
        <w:t xml:space="preserve">demand management </w:t>
      </w:r>
      <w:r>
        <w:rPr>
          <w:rStyle w:val="AERbody"/>
        </w:rPr>
        <w:t>could</w:t>
      </w:r>
      <w:r w:rsidR="004465F5">
        <w:rPr>
          <w:rStyle w:val="AERbody"/>
        </w:rPr>
        <w:t xml:space="preserve"> </w:t>
      </w:r>
      <w:r w:rsidR="004465F5" w:rsidRPr="004465F5">
        <w:rPr>
          <w:rStyle w:val="AERbody"/>
        </w:rPr>
        <w:t>contain a</w:t>
      </w:r>
      <w:r w:rsidR="004465F5">
        <w:rPr>
          <w:rStyle w:val="AERbody"/>
        </w:rPr>
        <w:t xml:space="preserve"> demand management component</w:t>
      </w:r>
      <w:r>
        <w:rPr>
          <w:rStyle w:val="AERbody"/>
        </w:rPr>
        <w:t xml:space="preserve"> that</w:t>
      </w:r>
      <w:r w:rsidR="006105A7">
        <w:rPr>
          <w:rStyle w:val="AERbody"/>
        </w:rPr>
        <w:t xml:space="preserve"> constitute</w:t>
      </w:r>
      <w:r>
        <w:rPr>
          <w:rStyle w:val="AERbody"/>
        </w:rPr>
        <w:t>s</w:t>
      </w:r>
      <w:r w:rsidR="006105A7">
        <w:rPr>
          <w:rStyle w:val="AERbody"/>
        </w:rPr>
        <w:t xml:space="preserve"> a proportion of the project's total costs. For instance, </w:t>
      </w:r>
      <w:r w:rsidR="006105A7">
        <w:rPr>
          <w:rStyle w:val="AERbody"/>
        </w:rPr>
        <w:fldChar w:fldCharType="begin"/>
      </w:r>
      <w:r w:rsidR="006105A7">
        <w:rPr>
          <w:rStyle w:val="AERbody"/>
        </w:rPr>
        <w:instrText xml:space="preserve"> REF  _Ref487205932 \* Lower \h </w:instrText>
      </w:r>
      <w:r w:rsidR="006105A7">
        <w:rPr>
          <w:rStyle w:val="AERbody"/>
        </w:rPr>
      </w:r>
      <w:r w:rsidR="006105A7">
        <w:rPr>
          <w:rStyle w:val="AERbody"/>
        </w:rPr>
        <w:fldChar w:fldCharType="separate"/>
      </w:r>
      <w:r w:rsidR="0076296B">
        <w:t xml:space="preserve">table </w:t>
      </w:r>
      <w:r w:rsidR="0076296B">
        <w:rPr>
          <w:noProof/>
        </w:rPr>
        <w:t>3</w:t>
      </w:r>
      <w:r w:rsidR="006105A7">
        <w:rPr>
          <w:rStyle w:val="AERbody"/>
        </w:rPr>
        <w:fldChar w:fldCharType="end"/>
      </w:r>
      <w:r w:rsidR="006105A7">
        <w:rPr>
          <w:rStyle w:val="AERbody"/>
        </w:rPr>
        <w:t xml:space="preserve"> includes </w:t>
      </w:r>
      <w:r>
        <w:rPr>
          <w:rStyle w:val="AERbody"/>
        </w:rPr>
        <w:t>information about a</w:t>
      </w:r>
      <w:r w:rsidR="006105A7">
        <w:rPr>
          <w:rStyle w:val="AERbody"/>
        </w:rPr>
        <w:t xml:space="preserve"> non-network option assessed under a RIT</w:t>
      </w:r>
      <w:r w:rsidR="006105A7">
        <w:rPr>
          <w:rStyle w:val="AERbody"/>
          <w:rFonts w:cs="Arial"/>
        </w:rPr>
        <w:t>–</w:t>
      </w:r>
      <w:r w:rsidR="006105A7">
        <w:rPr>
          <w:rStyle w:val="AERbody"/>
        </w:rPr>
        <w:t xml:space="preserve">D. This non-network option included a </w:t>
      </w:r>
      <w:r w:rsidR="006F70DD">
        <w:rPr>
          <w:rStyle w:val="AERbody"/>
        </w:rPr>
        <w:t>one-year</w:t>
      </w:r>
      <w:r w:rsidR="006105A7">
        <w:rPr>
          <w:rStyle w:val="AERbody"/>
        </w:rPr>
        <w:t xml:space="preserve"> non-network support component costing $0.35 million, combined with a deferred network augmentation component costing $4.69 million. If a distributor undertook this project under the Scheme, we would only base the</w:t>
      </w:r>
      <w:r w:rsidR="00214021">
        <w:rPr>
          <w:rStyle w:val="AERbody"/>
        </w:rPr>
        <w:t xml:space="preserve"> project</w:t>
      </w:r>
      <w:r w:rsidR="006105A7">
        <w:rPr>
          <w:rStyle w:val="AERbody"/>
        </w:rPr>
        <w:t xml:space="preserve"> incentive on the non-network component relating to demand management</w:t>
      </w:r>
      <w:r w:rsidR="006105A7">
        <w:rPr>
          <w:rStyle w:val="AERbody"/>
          <w:rFonts w:cs="Arial"/>
        </w:rPr>
        <w:t>―</w:t>
      </w:r>
      <w:r w:rsidR="006105A7">
        <w:rPr>
          <w:rStyle w:val="AERbody"/>
        </w:rPr>
        <w:t xml:space="preserve">which would </w:t>
      </w:r>
      <w:r w:rsidR="00214021">
        <w:rPr>
          <w:rStyle w:val="AERbody"/>
        </w:rPr>
        <w:t xml:space="preserve">be </w:t>
      </w:r>
      <w:r w:rsidR="006105A7">
        <w:rPr>
          <w:rStyle w:val="AERbody"/>
        </w:rPr>
        <w:t>$</w:t>
      </w:r>
      <w:r w:rsidR="001D29B4">
        <w:rPr>
          <w:rStyle w:val="AERbody"/>
        </w:rPr>
        <w:t>0.</w:t>
      </w:r>
      <w:r w:rsidR="00BC73BD">
        <w:rPr>
          <w:rStyle w:val="AERbody"/>
        </w:rPr>
        <w:t>1</w:t>
      </w:r>
      <w:r w:rsidR="001D29B4">
        <w:rPr>
          <w:rStyle w:val="AERbody"/>
        </w:rPr>
        <w:t>75 million</w:t>
      </w:r>
      <w:r w:rsidR="006105A7">
        <w:rPr>
          <w:rStyle w:val="AERbody"/>
        </w:rPr>
        <w:t>.</w:t>
      </w:r>
    </w:p>
    <w:p w:rsidR="004465F5" w:rsidRPr="00715783" w:rsidRDefault="004465F5" w:rsidP="004465F5">
      <w:pPr>
        <w:pStyle w:val="Caption"/>
      </w:pPr>
      <w:bookmarkStart w:id="62" w:name="_Ref487205932"/>
      <w:r>
        <w:lastRenderedPageBreak/>
        <w:t xml:space="preserve">Table </w:t>
      </w:r>
      <w:r w:rsidR="0076296B">
        <w:fldChar w:fldCharType="begin"/>
      </w:r>
      <w:r w:rsidR="0076296B">
        <w:instrText xml:space="preserve"> SEQ Table \* ARABIC </w:instrText>
      </w:r>
      <w:r w:rsidR="0076296B">
        <w:fldChar w:fldCharType="separate"/>
      </w:r>
      <w:r w:rsidR="0076296B">
        <w:rPr>
          <w:noProof/>
        </w:rPr>
        <w:t>3</w:t>
      </w:r>
      <w:r w:rsidR="0076296B">
        <w:rPr>
          <w:noProof/>
        </w:rPr>
        <w:fldChar w:fldCharType="end"/>
      </w:r>
      <w:bookmarkEnd w:id="62"/>
      <w:r w:rsidR="00F25CD1">
        <w:t>: Example of setting a p</w:t>
      </w:r>
      <w:r>
        <w:t xml:space="preserve">roject incentive </w:t>
      </w:r>
      <w:r w:rsidR="00F25CD1">
        <w:t>for</w:t>
      </w:r>
      <w:r>
        <w:t xml:space="preserve"> United Energy's Notting Hill option 2 </w:t>
      </w:r>
      <w:r w:rsidR="007F64BC">
        <w:t>(</w:t>
      </w:r>
      <w:r w:rsidR="00055DED">
        <w:t>under base demand growth</w:t>
      </w:r>
      <w:r w:rsidR="007F64BC">
        <w:t>)</w:t>
      </w:r>
    </w:p>
    <w:tbl>
      <w:tblPr>
        <w:tblStyle w:val="AERtable-text0"/>
        <w:tblW w:w="5000" w:type="pct"/>
        <w:tblLook w:val="04A0" w:firstRow="1" w:lastRow="0" w:firstColumn="1" w:lastColumn="0" w:noHBand="0" w:noVBand="1"/>
      </w:tblPr>
      <w:tblGrid>
        <w:gridCol w:w="6344"/>
        <w:gridCol w:w="2349"/>
      </w:tblGrid>
      <w:tr w:rsidR="004465F5" w:rsidTr="004465F5">
        <w:trPr>
          <w:cnfStyle w:val="100000000000" w:firstRow="1" w:lastRow="0" w:firstColumn="0" w:lastColumn="0" w:oddVBand="0" w:evenVBand="0" w:oddHBand="0" w:evenHBand="0" w:firstRowFirstColumn="0" w:firstRowLastColumn="0" w:lastRowFirstColumn="0" w:lastRowLastColumn="0"/>
        </w:trPr>
        <w:tc>
          <w:tcPr>
            <w:tcW w:w="3649" w:type="pct"/>
          </w:tcPr>
          <w:p w:rsidR="004465F5" w:rsidRPr="004465F5" w:rsidRDefault="004465F5" w:rsidP="004465F5">
            <w:r>
              <w:t>Value estimated for 'option 2'</w:t>
            </w:r>
          </w:p>
        </w:tc>
        <w:tc>
          <w:tcPr>
            <w:tcW w:w="1351" w:type="pct"/>
          </w:tcPr>
          <w:p w:rsidR="004465F5" w:rsidRPr="004465F5" w:rsidRDefault="004465F5" w:rsidP="004465F5">
            <w:r>
              <w:t>$m, present value</w:t>
            </w:r>
            <w:r w:rsidRPr="004465F5">
              <w:t xml:space="preserve"> </w:t>
            </w:r>
          </w:p>
        </w:tc>
      </w:tr>
      <w:tr w:rsidR="004465F5" w:rsidTr="004465F5">
        <w:tc>
          <w:tcPr>
            <w:tcW w:w="3649" w:type="pct"/>
          </w:tcPr>
          <w:p w:rsidR="004465F5" w:rsidRPr="004465F5" w:rsidRDefault="004465F5" w:rsidP="004465F5">
            <w:r>
              <w:t>Expected  non-network costs (demand management component)</w:t>
            </w:r>
          </w:p>
        </w:tc>
        <w:tc>
          <w:tcPr>
            <w:tcW w:w="1351" w:type="pct"/>
          </w:tcPr>
          <w:p w:rsidR="004465F5" w:rsidRPr="004465F5" w:rsidRDefault="004465F5" w:rsidP="004465F5">
            <w:r>
              <w:t>0.35</w:t>
            </w:r>
          </w:p>
        </w:tc>
      </w:tr>
      <w:tr w:rsidR="004465F5" w:rsidTr="004465F5">
        <w:trPr>
          <w:cnfStyle w:val="000000010000" w:firstRow="0" w:lastRow="0" w:firstColumn="0" w:lastColumn="0" w:oddVBand="0" w:evenVBand="0" w:oddHBand="0" w:evenHBand="1" w:firstRowFirstColumn="0" w:firstRowLastColumn="0" w:lastRowFirstColumn="0" w:lastRowLastColumn="0"/>
        </w:trPr>
        <w:tc>
          <w:tcPr>
            <w:tcW w:w="3649" w:type="pct"/>
          </w:tcPr>
          <w:p w:rsidR="004465F5" w:rsidRDefault="004465F5" w:rsidP="004465F5">
            <w:r>
              <w:t>Expected network costs</w:t>
            </w:r>
          </w:p>
        </w:tc>
        <w:tc>
          <w:tcPr>
            <w:tcW w:w="1351" w:type="pct"/>
          </w:tcPr>
          <w:p w:rsidR="004465F5" w:rsidRDefault="004465F5" w:rsidP="004465F5">
            <w:r>
              <w:t>4.69</w:t>
            </w:r>
          </w:p>
        </w:tc>
      </w:tr>
      <w:tr w:rsidR="004465F5" w:rsidTr="004465F5">
        <w:tc>
          <w:tcPr>
            <w:tcW w:w="3649" w:type="pct"/>
          </w:tcPr>
          <w:p w:rsidR="004465F5" w:rsidRDefault="004465F5" w:rsidP="004465F5">
            <w:r>
              <w:t>Expected total costs</w:t>
            </w:r>
          </w:p>
        </w:tc>
        <w:tc>
          <w:tcPr>
            <w:tcW w:w="1351" w:type="pct"/>
          </w:tcPr>
          <w:p w:rsidR="004465F5" w:rsidRDefault="004465F5" w:rsidP="004465F5">
            <w:r>
              <w:t>5.04</w:t>
            </w:r>
          </w:p>
        </w:tc>
      </w:tr>
      <w:tr w:rsidR="004465F5" w:rsidTr="004465F5">
        <w:trPr>
          <w:cnfStyle w:val="000000010000" w:firstRow="0" w:lastRow="0" w:firstColumn="0" w:lastColumn="0" w:oddVBand="0" w:evenVBand="0" w:oddHBand="0" w:evenHBand="1" w:firstRowFirstColumn="0" w:firstRowLastColumn="0" w:lastRowFirstColumn="0" w:lastRowLastColumn="0"/>
        </w:trPr>
        <w:tc>
          <w:tcPr>
            <w:tcW w:w="3649" w:type="pct"/>
          </w:tcPr>
          <w:p w:rsidR="004465F5" w:rsidRPr="004465F5" w:rsidRDefault="00055DED" w:rsidP="00055DED">
            <w:r>
              <w:t>E</w:t>
            </w:r>
            <w:r w:rsidR="004465F5" w:rsidRPr="004465F5">
              <w:t>xpected net economic benefit</w:t>
            </w:r>
          </w:p>
        </w:tc>
        <w:tc>
          <w:tcPr>
            <w:tcW w:w="1351" w:type="pct"/>
          </w:tcPr>
          <w:p w:rsidR="004465F5" w:rsidRPr="004465F5" w:rsidRDefault="004465F5" w:rsidP="00055DED">
            <w:r>
              <w:t>8.67</w:t>
            </w:r>
          </w:p>
        </w:tc>
      </w:tr>
      <w:tr w:rsidR="004465F5" w:rsidTr="004465F5">
        <w:tc>
          <w:tcPr>
            <w:tcW w:w="3649" w:type="pct"/>
          </w:tcPr>
          <w:p w:rsidR="004465F5" w:rsidRPr="004465F5" w:rsidRDefault="004465F5" w:rsidP="00214021">
            <w:r>
              <w:t>Project incentive</w:t>
            </w:r>
          </w:p>
        </w:tc>
        <w:tc>
          <w:tcPr>
            <w:tcW w:w="1351" w:type="pct"/>
          </w:tcPr>
          <w:p w:rsidR="004465F5" w:rsidRPr="004465F5" w:rsidRDefault="004465F5" w:rsidP="004465F5">
            <m:oMath>
              <m:r>
                <w:rPr>
                  <w:rFonts w:ascii="Cambria Math" w:hAnsi="Cambria Math"/>
                </w:rPr>
                <m:t>0.35×50%=0.175</m:t>
              </m:r>
            </m:oMath>
            <w:r w:rsidRPr="004465F5">
              <w:t xml:space="preserve"> </w:t>
            </w:r>
          </w:p>
        </w:tc>
      </w:tr>
    </w:tbl>
    <w:p w:rsidR="004465F5" w:rsidRDefault="004465F5" w:rsidP="004465F5">
      <w:pPr>
        <w:pStyle w:val="AERtablesource"/>
      </w:pPr>
      <w:r>
        <w:t xml:space="preserve">Source: United Energy, </w:t>
      </w:r>
      <w:r w:rsidRPr="0055055D">
        <w:rPr>
          <w:rStyle w:val="AERtextitalic"/>
        </w:rPr>
        <w:t xml:space="preserve">Final project assessment report: </w:t>
      </w:r>
      <w:r>
        <w:rPr>
          <w:rStyle w:val="AERtextitalic"/>
        </w:rPr>
        <w:t>Notting Hill</w:t>
      </w:r>
      <w:r w:rsidRPr="0055055D">
        <w:rPr>
          <w:rStyle w:val="AERtextitalic"/>
        </w:rPr>
        <w:t xml:space="preserve"> supply area</w:t>
      </w:r>
      <w:r>
        <w:t>, 14 December 2016, p. 39.</w:t>
      </w:r>
    </w:p>
    <w:p w:rsidR="00064375" w:rsidRDefault="0005250F" w:rsidP="00D00092">
      <w:pPr>
        <w:rPr>
          <w:rStyle w:val="AERbody"/>
        </w:rPr>
      </w:pPr>
      <w:r>
        <w:rPr>
          <w:rStyle w:val="AERbody"/>
        </w:rPr>
        <w:t xml:space="preserve">Under the </w:t>
      </w:r>
      <w:r w:rsidR="001D29B4">
        <w:rPr>
          <w:rStyle w:val="AERbody"/>
        </w:rPr>
        <w:t>draft Scheme</w:t>
      </w:r>
      <w:r>
        <w:rPr>
          <w:rStyle w:val="AERbody"/>
        </w:rPr>
        <w:t>,</w:t>
      </w:r>
      <w:r w:rsidR="001D29B4">
        <w:rPr>
          <w:rStyle w:val="AERbody"/>
        </w:rPr>
        <w:t xml:space="preserve"> </w:t>
      </w:r>
      <w:r w:rsidRPr="0005250F">
        <w:rPr>
          <w:rStyle w:val="AERbody"/>
        </w:rPr>
        <w:t>the project incentive</w:t>
      </w:r>
      <w:r>
        <w:rPr>
          <w:rStyle w:val="AERbody"/>
        </w:rPr>
        <w:t xml:space="preserve"> is based</w:t>
      </w:r>
      <w:r w:rsidRPr="0005250F">
        <w:rPr>
          <w:rStyle w:val="AERbody"/>
        </w:rPr>
        <w:t xml:space="preserve"> on expected costs</w:t>
      </w:r>
      <w:r w:rsidR="00064375">
        <w:rPr>
          <w:rStyle w:val="AERbody"/>
          <w:rFonts w:cs="Arial"/>
        </w:rPr>
        <w:t>―</w:t>
      </w:r>
      <w:r w:rsidR="00064375">
        <w:rPr>
          <w:rStyle w:val="AERbody"/>
        </w:rPr>
        <w:t xml:space="preserve">that is </w:t>
      </w:r>
      <w:r w:rsidR="00064375" w:rsidRPr="0005250F">
        <w:rPr>
          <w:rStyle w:val="AERbody"/>
        </w:rPr>
        <w:t>an ex-ante</w:t>
      </w:r>
      <w:r w:rsidR="00064375">
        <w:rPr>
          <w:rStyle w:val="AERbody"/>
        </w:rPr>
        <w:t xml:space="preserve"> probabilistic</w:t>
      </w:r>
      <w:r w:rsidR="00064375" w:rsidRPr="0005250F">
        <w:rPr>
          <w:rStyle w:val="AERbody"/>
        </w:rPr>
        <w:t xml:space="preserve"> assessment of</w:t>
      </w:r>
      <w:r w:rsidR="00064375">
        <w:rPr>
          <w:rStyle w:val="AERbody"/>
        </w:rPr>
        <w:t xml:space="preserve"> what the distributor expects its efficient demand management costs will be</w:t>
      </w:r>
      <w:r>
        <w:rPr>
          <w:rStyle w:val="AERbody"/>
        </w:rPr>
        <w:t>.</w:t>
      </w:r>
      <w:r w:rsidR="00064375">
        <w:rPr>
          <w:rStyle w:val="AERbody"/>
        </w:rPr>
        <w:t xml:space="preserve"> </w:t>
      </w:r>
      <w:r w:rsidR="001A7D39">
        <w:rPr>
          <w:rStyle w:val="AERbody"/>
        </w:rPr>
        <w:t>An ex-ante project incentive</w:t>
      </w:r>
      <w:r w:rsidR="00064375">
        <w:rPr>
          <w:rStyle w:val="AERbody"/>
        </w:rPr>
        <w:t xml:space="preserve"> is consistent with:</w:t>
      </w:r>
    </w:p>
    <w:p w:rsidR="00064375" w:rsidRDefault="00064375" w:rsidP="00064375">
      <w:pPr>
        <w:pStyle w:val="AERbulletlistfirststyle"/>
        <w:rPr>
          <w:rStyle w:val="AERbody"/>
        </w:rPr>
      </w:pPr>
      <w:r>
        <w:rPr>
          <w:rStyle w:val="AERbody"/>
        </w:rPr>
        <w:t xml:space="preserve">Network planning, which takes place on a forward-looking basis and is based on a probabilistic assessment of future outcomes. That is, distributors make investment decisions based </w:t>
      </w:r>
      <w:r w:rsidR="00966CBF">
        <w:rPr>
          <w:rStyle w:val="AERbody"/>
        </w:rPr>
        <w:t>on expected costs and benefits.</w:t>
      </w:r>
    </w:p>
    <w:p w:rsidR="00064375" w:rsidRDefault="00064375" w:rsidP="00064375">
      <w:pPr>
        <w:pStyle w:val="AERbulletlistfirststyle"/>
        <w:rPr>
          <w:rStyle w:val="AERbody"/>
        </w:rPr>
      </w:pPr>
      <w:r>
        <w:rPr>
          <w:rStyle w:val="AERbody"/>
        </w:rPr>
        <w:t>Incentive regulation, where we determine distributors' maximum allowed revenues based on ex-ante assessment</w:t>
      </w:r>
      <w:r w:rsidR="00966CBF">
        <w:rPr>
          <w:rStyle w:val="AERbody"/>
        </w:rPr>
        <w:t>s</w:t>
      </w:r>
      <w:r>
        <w:rPr>
          <w:rStyle w:val="AERbody"/>
        </w:rPr>
        <w:t xml:space="preserve"> of efficient cost</w:t>
      </w:r>
      <w:r w:rsidR="00966CBF">
        <w:rPr>
          <w:rStyle w:val="AERbody"/>
        </w:rPr>
        <w:t>s</w:t>
      </w:r>
      <w:r>
        <w:rPr>
          <w:rStyle w:val="AERbody"/>
        </w:rPr>
        <w:t>.</w:t>
      </w:r>
    </w:p>
    <w:p w:rsidR="004F3183" w:rsidRDefault="004F3183" w:rsidP="004F3183">
      <w:pPr>
        <w:pStyle w:val="Heading2"/>
      </w:pPr>
      <w:bookmarkStart w:id="63" w:name="_Ref489598664"/>
      <w:bookmarkStart w:id="64" w:name="_Toc491447257"/>
      <w:r>
        <w:t>The net benefit constraint</w:t>
      </w:r>
      <w:bookmarkEnd w:id="63"/>
      <w:bookmarkEnd w:id="64"/>
    </w:p>
    <w:p w:rsidR="001F1AF0" w:rsidRPr="00D00092" w:rsidRDefault="00A475D0" w:rsidP="00D00092">
      <w:pPr>
        <w:rPr>
          <w:rStyle w:val="AERbody"/>
        </w:rPr>
      </w:pPr>
      <w:r w:rsidRPr="00D00092">
        <w:rPr>
          <w:rStyle w:val="AERbody"/>
        </w:rPr>
        <w:t>Und</w:t>
      </w:r>
      <w:r w:rsidR="00214021" w:rsidRPr="00D00092">
        <w:rPr>
          <w:rStyle w:val="AERbody"/>
        </w:rPr>
        <w:t>er the draft Scheme, a project</w:t>
      </w:r>
      <w:r w:rsidRPr="00D00092">
        <w:rPr>
          <w:rStyle w:val="AERbody"/>
        </w:rPr>
        <w:t xml:space="preserve"> incentive cannot exceed the expected present value at time</w:t>
      </w:r>
      <w:r w:rsidRPr="00D00092">
        <w:rPr>
          <w:rStyle w:val="AERtextitalic"/>
        </w:rPr>
        <w:t xml:space="preserve"> t</w:t>
      </w:r>
      <w:r w:rsidRPr="00D00092">
        <w:rPr>
          <w:rStyle w:val="AERbody"/>
        </w:rPr>
        <w:t xml:space="preserve"> of the project's net benefit to all those who produce, consume and transport electricity in the </w:t>
      </w:r>
      <w:r w:rsidR="00C26AD1">
        <w:rPr>
          <w:rStyle w:val="AERbody"/>
        </w:rPr>
        <w:t>relevant market</w:t>
      </w:r>
      <w:r w:rsidRPr="00D00092">
        <w:rPr>
          <w:rStyle w:val="AERbody"/>
        </w:rPr>
        <w:t xml:space="preserve"> (the net benefit constraint).</w:t>
      </w:r>
      <w:r w:rsidR="00214021" w:rsidRPr="00D00092">
        <w:rPr>
          <w:rStyle w:val="AERbody"/>
        </w:rPr>
        <w:t xml:space="preserve"> That is, although a project</w:t>
      </w:r>
      <w:r w:rsidR="001F1AF0" w:rsidRPr="00D00092">
        <w:rPr>
          <w:rStyle w:val="AERbody"/>
        </w:rPr>
        <w:t xml:space="preserve"> incentive is 50</w:t>
      </w:r>
      <w:r w:rsidR="0078383B" w:rsidRPr="0078383B">
        <w:t xml:space="preserve"> per cent</w:t>
      </w:r>
      <w:r w:rsidR="001F1AF0" w:rsidRPr="00D00092">
        <w:rPr>
          <w:rStyle w:val="AERbody"/>
        </w:rPr>
        <w:t xml:space="preserve"> of its expected demand management costs, a constraint on </w:t>
      </w:r>
      <w:r w:rsidR="001A7D39" w:rsidRPr="00D00092">
        <w:rPr>
          <w:rStyle w:val="AERbody"/>
        </w:rPr>
        <w:t>this calculation applies so the</w:t>
      </w:r>
      <w:r w:rsidR="00214021" w:rsidRPr="00D00092">
        <w:rPr>
          <w:rStyle w:val="AERbody"/>
        </w:rPr>
        <w:t xml:space="preserve"> project incentive</w:t>
      </w:r>
      <w:r w:rsidR="001F1AF0" w:rsidRPr="00D00092">
        <w:rPr>
          <w:rStyle w:val="AERbody"/>
        </w:rPr>
        <w:t xml:space="preserve"> cannot exceed the project's expected net economic benefit.</w:t>
      </w:r>
    </w:p>
    <w:p w:rsidR="00A475D0" w:rsidRPr="007259C8" w:rsidRDefault="00A475D0" w:rsidP="00D00092">
      <w:pPr>
        <w:rPr>
          <w:rStyle w:val="AERbody"/>
        </w:rPr>
      </w:pPr>
      <w:r>
        <w:rPr>
          <w:rStyle w:val="AERbody"/>
        </w:rPr>
        <w:t xml:space="preserve">A distributor must calculate </w:t>
      </w:r>
      <w:r w:rsidR="001A7D39">
        <w:rPr>
          <w:rStyle w:val="AERbody"/>
        </w:rPr>
        <w:t>the</w:t>
      </w:r>
      <w:r>
        <w:rPr>
          <w:rStyle w:val="AERbody"/>
        </w:rPr>
        <w:t xml:space="preserve"> expected </w:t>
      </w:r>
      <w:r w:rsidRPr="007259C8">
        <w:rPr>
          <w:rStyle w:val="AERbody"/>
        </w:rPr>
        <w:t xml:space="preserve">net benefit </w:t>
      </w:r>
      <w:r w:rsidR="008A7A62">
        <w:rPr>
          <w:rStyle w:val="AERbody"/>
        </w:rPr>
        <w:t>consistently</w:t>
      </w:r>
      <w:r w:rsidRPr="007259C8">
        <w:rPr>
          <w:rStyle w:val="AERbody"/>
        </w:rPr>
        <w:t xml:space="preserve"> with</w:t>
      </w:r>
      <w:r>
        <w:rPr>
          <w:rStyle w:val="AERbody"/>
        </w:rPr>
        <w:t xml:space="preserve"> the</w:t>
      </w:r>
      <w:r w:rsidRPr="007259C8">
        <w:rPr>
          <w:rStyle w:val="AERbody"/>
        </w:rPr>
        <w:t xml:space="preserve"> guidance for applying the cost–benefit analysis under the RIT–D.</w:t>
      </w:r>
      <w:r w:rsidR="008A7A62">
        <w:rPr>
          <w:rStyle w:val="FootnoteReference"/>
        </w:rPr>
        <w:footnoteReference w:id="55"/>
      </w:r>
      <w:r w:rsidRPr="007259C8">
        <w:rPr>
          <w:rStyle w:val="AERbody"/>
        </w:rPr>
        <w:t xml:space="preserve"> </w:t>
      </w:r>
      <w:r w:rsidR="00D00092">
        <w:rPr>
          <w:rStyle w:val="AERbody"/>
        </w:rPr>
        <w:t>Di</w:t>
      </w:r>
      <w:r w:rsidR="008A7A62">
        <w:rPr>
          <w:rStyle w:val="AERbody"/>
        </w:rPr>
        <w:t>stributors</w:t>
      </w:r>
      <w:r w:rsidR="00D00092">
        <w:rPr>
          <w:rStyle w:val="AERbody"/>
        </w:rPr>
        <w:t xml:space="preserve"> must</w:t>
      </w:r>
      <w:r w:rsidR="008A7A62">
        <w:rPr>
          <w:rStyle w:val="AERbody"/>
        </w:rPr>
        <w:t xml:space="preserve"> estimate a</w:t>
      </w:r>
      <w:r w:rsidRPr="007259C8">
        <w:rPr>
          <w:rStyle w:val="AERbody"/>
        </w:rPr>
        <w:t xml:space="preserve"> project's net benefit relative to</w:t>
      </w:r>
      <w:r>
        <w:rPr>
          <w:rStyle w:val="AERbody"/>
        </w:rPr>
        <w:t xml:space="preserve"> </w:t>
      </w:r>
      <w:r w:rsidR="008A7A62">
        <w:rPr>
          <w:rStyle w:val="AERbody"/>
        </w:rPr>
        <w:t xml:space="preserve">a </w:t>
      </w:r>
      <w:r>
        <w:rPr>
          <w:rStyle w:val="AERbody"/>
        </w:rPr>
        <w:t>'</w:t>
      </w:r>
      <w:r w:rsidRPr="007259C8">
        <w:rPr>
          <w:rStyle w:val="AERbody"/>
        </w:rPr>
        <w:t>bas</w:t>
      </w:r>
      <w:r w:rsidR="007F64BC">
        <w:rPr>
          <w:rStyle w:val="AERbody"/>
        </w:rPr>
        <w:t>e case'</w:t>
      </w:r>
      <w:r w:rsidR="008A7A62">
        <w:rPr>
          <w:rStyle w:val="AERbody"/>
        </w:rPr>
        <w:t xml:space="preserve"> </w:t>
      </w:r>
      <w:r w:rsidRPr="007259C8">
        <w:rPr>
          <w:rStyle w:val="AERbody"/>
        </w:rPr>
        <w:t>where:</w:t>
      </w:r>
    </w:p>
    <w:p w:rsidR="00A475D0" w:rsidRPr="007259C8" w:rsidRDefault="00A475D0" w:rsidP="00A475D0">
      <w:pPr>
        <w:pStyle w:val="AERbulletlistfirststyle"/>
        <w:rPr>
          <w:rStyle w:val="AERbody"/>
        </w:rPr>
      </w:pPr>
      <w:r w:rsidRPr="007259C8">
        <w:rPr>
          <w:rStyle w:val="AERbody"/>
        </w:rPr>
        <w:t>the distributor does not implement a credible option; or</w:t>
      </w:r>
    </w:p>
    <w:p w:rsidR="00A475D0" w:rsidRDefault="00A475D0" w:rsidP="00A475D0">
      <w:pPr>
        <w:pStyle w:val="AERbulletlistfirststyle"/>
        <w:rPr>
          <w:rStyle w:val="AERbody"/>
        </w:rPr>
      </w:pPr>
      <w:r w:rsidRPr="007259C8">
        <w:rPr>
          <w:rStyle w:val="AERbody"/>
        </w:rPr>
        <w:t>if the identified need is for reliability corrective action, the distributor's preferred network option</w:t>
      </w:r>
      <w:r>
        <w:rPr>
          <w:rStyle w:val="AERbody"/>
        </w:rPr>
        <w:t>.</w:t>
      </w:r>
    </w:p>
    <w:p w:rsidR="008A7A62" w:rsidRDefault="008A7A62" w:rsidP="00A475D0">
      <w:pPr>
        <w:pStyle w:val="AERbulletlistfirststyle"/>
        <w:numPr>
          <w:ilvl w:val="0"/>
          <w:numId w:val="0"/>
        </w:numPr>
        <w:rPr>
          <w:rStyle w:val="AERbody"/>
        </w:rPr>
      </w:pPr>
      <w:r>
        <w:rPr>
          <w:rStyle w:val="AERbody"/>
        </w:rPr>
        <w:t>The following sections explain our rationale for:</w:t>
      </w:r>
    </w:p>
    <w:p w:rsidR="008A7A62" w:rsidRDefault="008A7A62" w:rsidP="008A7A62">
      <w:pPr>
        <w:pStyle w:val="AERbulletlistfirststyle"/>
        <w:rPr>
          <w:rStyle w:val="AERbody"/>
        </w:rPr>
      </w:pPr>
      <w:r>
        <w:rPr>
          <w:rStyle w:val="AERbody"/>
        </w:rPr>
        <w:t>Including a net benefit constraint; and</w:t>
      </w:r>
    </w:p>
    <w:p w:rsidR="008A7A62" w:rsidRDefault="008A7A62" w:rsidP="008A7A62">
      <w:pPr>
        <w:pStyle w:val="AERbulletlistfirststyle"/>
        <w:rPr>
          <w:rStyle w:val="AERbody"/>
        </w:rPr>
      </w:pPr>
      <w:r>
        <w:rPr>
          <w:rStyle w:val="AERbody"/>
        </w:rPr>
        <w:lastRenderedPageBreak/>
        <w:t>Requiring distributors calculate net benefits</w:t>
      </w:r>
      <w:r w:rsidR="000E112B">
        <w:rPr>
          <w:rStyle w:val="AERbody"/>
        </w:rPr>
        <w:t xml:space="preserve"> relative to a 'base case' as specified above, and </w:t>
      </w:r>
      <w:r>
        <w:rPr>
          <w:rStyle w:val="AERbody"/>
        </w:rPr>
        <w:t xml:space="preserve"> consistently with the </w:t>
      </w:r>
      <w:r w:rsidRPr="007259C8">
        <w:rPr>
          <w:rStyle w:val="AERbody"/>
        </w:rPr>
        <w:t>cost–benefit analysis under the RIT–D</w:t>
      </w:r>
      <w:r w:rsidR="007F64BC">
        <w:rPr>
          <w:rStyle w:val="AERbody"/>
        </w:rPr>
        <w:t>.</w:t>
      </w:r>
    </w:p>
    <w:p w:rsidR="008A7A62" w:rsidRPr="00291278" w:rsidRDefault="00291278" w:rsidP="00291278">
      <w:pPr>
        <w:pStyle w:val="Heading3"/>
        <w:rPr>
          <w:rStyle w:val="AERbody"/>
          <w:color w:val="70635A" w:themeColor="text2"/>
          <w:sz w:val="28"/>
        </w:rPr>
      </w:pPr>
      <w:bookmarkStart w:id="65" w:name="_Toc491447258"/>
      <w:r w:rsidRPr="00291278">
        <w:rPr>
          <w:rStyle w:val="AERbody"/>
          <w:color w:val="70635A" w:themeColor="text2"/>
          <w:sz w:val="28"/>
        </w:rPr>
        <w:t>Why include a</w:t>
      </w:r>
      <w:r w:rsidR="008A7A62" w:rsidRPr="00291278">
        <w:rPr>
          <w:rStyle w:val="AERbody"/>
          <w:color w:val="70635A" w:themeColor="text2"/>
          <w:sz w:val="28"/>
        </w:rPr>
        <w:t xml:space="preserve"> net benefit constraint</w:t>
      </w:r>
      <w:r w:rsidRPr="00291278">
        <w:rPr>
          <w:rStyle w:val="AERbody"/>
          <w:color w:val="70635A" w:themeColor="text2"/>
          <w:sz w:val="28"/>
        </w:rPr>
        <w:t>?</w:t>
      </w:r>
      <w:bookmarkEnd w:id="65"/>
    </w:p>
    <w:p w:rsidR="00324722" w:rsidRDefault="00966CBF" w:rsidP="00324722">
      <w:r>
        <w:t>In meeting the Scheme O</w:t>
      </w:r>
      <w:r w:rsidR="00324722">
        <w:t>bjective and principles in the NER, our Scheme</w:t>
      </w:r>
      <w:r w:rsidR="006360E4" w:rsidRPr="00324722">
        <w:t xml:space="preserve"> should operate to </w:t>
      </w:r>
      <w:r w:rsidR="00D1525D" w:rsidRPr="00324722">
        <w:t>incentivise efficient projects that deliver net cost savings to retail customers</w:t>
      </w:r>
      <w:r w:rsidR="006360E4" w:rsidRPr="00324722">
        <w:t>.</w:t>
      </w:r>
      <w:r w:rsidR="00324722">
        <w:rPr>
          <w:rStyle w:val="FootnoteReference"/>
        </w:rPr>
        <w:footnoteReference w:id="56"/>
      </w:r>
    </w:p>
    <w:p w:rsidR="00D1525D" w:rsidRPr="000E112B" w:rsidRDefault="0071567B" w:rsidP="006B211A">
      <w:pPr>
        <w:rPr>
          <w:rStyle w:val="AERbody"/>
        </w:rPr>
      </w:pPr>
      <w:r w:rsidRPr="000E112B">
        <w:rPr>
          <w:rStyle w:val="AERbody"/>
        </w:rPr>
        <w:t xml:space="preserve">So </w:t>
      </w:r>
      <w:r w:rsidR="00822870" w:rsidRPr="000E112B">
        <w:rPr>
          <w:rStyle w:val="AERbody"/>
        </w:rPr>
        <w:t xml:space="preserve">that </w:t>
      </w:r>
      <w:r w:rsidRPr="000E112B">
        <w:rPr>
          <w:rStyle w:val="AERbody"/>
        </w:rPr>
        <w:t xml:space="preserve">the Scheme delivers </w:t>
      </w:r>
      <w:r w:rsidR="006E014A" w:rsidRPr="000E112B">
        <w:rPr>
          <w:rStyle w:val="AERbody"/>
        </w:rPr>
        <w:t xml:space="preserve">ex-ante </w:t>
      </w:r>
      <w:r w:rsidRPr="000E112B">
        <w:rPr>
          <w:rStyle w:val="AERbody"/>
        </w:rPr>
        <w:t xml:space="preserve">net cost savings to retail customers, </w:t>
      </w:r>
      <w:r w:rsidR="00214021" w:rsidRPr="000E112B">
        <w:rPr>
          <w:rStyle w:val="AERbody"/>
        </w:rPr>
        <w:t>a project</w:t>
      </w:r>
      <w:r w:rsidR="00324722" w:rsidRPr="000E112B">
        <w:rPr>
          <w:rStyle w:val="AERbody"/>
        </w:rPr>
        <w:t xml:space="preserve"> incentive </w:t>
      </w:r>
      <w:r w:rsidR="00214021" w:rsidRPr="000E112B">
        <w:rPr>
          <w:rStyle w:val="AERbody"/>
        </w:rPr>
        <w:t>must</w:t>
      </w:r>
      <w:r w:rsidRPr="000E112B">
        <w:rPr>
          <w:rStyle w:val="AERbody"/>
        </w:rPr>
        <w:t xml:space="preserve"> </w:t>
      </w:r>
      <w:r w:rsidR="006E014A" w:rsidRPr="000E112B">
        <w:rPr>
          <w:rStyle w:val="AERbody"/>
        </w:rPr>
        <w:t>be</w:t>
      </w:r>
      <w:r w:rsidRPr="000E112B">
        <w:rPr>
          <w:rStyle w:val="AERbody"/>
        </w:rPr>
        <w:t xml:space="preserve"> no</w:t>
      </w:r>
      <w:r w:rsidR="00324722" w:rsidRPr="000E112B">
        <w:rPr>
          <w:rStyle w:val="AERbody"/>
        </w:rPr>
        <w:t xml:space="preserve"> higher than </w:t>
      </w:r>
      <w:r w:rsidR="006E014A" w:rsidRPr="000E112B">
        <w:rPr>
          <w:rStyle w:val="AERbody"/>
        </w:rPr>
        <w:t xml:space="preserve">its </w:t>
      </w:r>
      <w:r w:rsidR="00D1525D" w:rsidRPr="000E112B">
        <w:rPr>
          <w:rStyle w:val="AERbody"/>
        </w:rPr>
        <w:t xml:space="preserve">expected net </w:t>
      </w:r>
      <w:r w:rsidR="006E014A" w:rsidRPr="000E112B">
        <w:rPr>
          <w:rStyle w:val="AERbody"/>
        </w:rPr>
        <w:t>economic benefit</w:t>
      </w:r>
      <w:r w:rsidRPr="000E112B">
        <w:rPr>
          <w:rStyle w:val="AERbody"/>
        </w:rPr>
        <w:t xml:space="preserve"> across the </w:t>
      </w:r>
      <w:r w:rsidR="00C26AD1">
        <w:rPr>
          <w:rStyle w:val="AERbody"/>
        </w:rPr>
        <w:t>relevant market</w:t>
      </w:r>
      <w:r w:rsidRPr="000E112B">
        <w:rPr>
          <w:rStyle w:val="AERbody"/>
        </w:rPr>
        <w:t xml:space="preserve">. The illustrative example in </w:t>
      </w:r>
      <w:r w:rsidRPr="000E112B">
        <w:rPr>
          <w:rStyle w:val="AERbody"/>
        </w:rPr>
        <w:fldChar w:fldCharType="begin"/>
      </w:r>
      <w:r w:rsidRPr="000E112B">
        <w:rPr>
          <w:rStyle w:val="AERbody"/>
        </w:rPr>
        <w:instrText xml:space="preserve"> REF  _Ref487311498 \* Lower \h </w:instrText>
      </w:r>
      <w:r w:rsidR="000E112B" w:rsidRPr="000E112B">
        <w:rPr>
          <w:rStyle w:val="AERbody"/>
        </w:rPr>
        <w:instrText xml:space="preserve"> \* MERGEFORMAT </w:instrText>
      </w:r>
      <w:r w:rsidRPr="000E112B">
        <w:rPr>
          <w:rStyle w:val="AERbody"/>
        </w:rPr>
      </w:r>
      <w:r w:rsidRPr="000E112B">
        <w:rPr>
          <w:rStyle w:val="AERbody"/>
        </w:rPr>
        <w:fldChar w:fldCharType="separate"/>
      </w:r>
      <w:r w:rsidR="0076296B" w:rsidRPr="0076296B">
        <w:rPr>
          <w:rStyle w:val="AERbody"/>
        </w:rPr>
        <w:t>table 4</w:t>
      </w:r>
      <w:r w:rsidRPr="000E112B">
        <w:rPr>
          <w:rStyle w:val="AERbody"/>
        </w:rPr>
        <w:fldChar w:fldCharType="end"/>
      </w:r>
      <w:r w:rsidRPr="000E112B">
        <w:rPr>
          <w:rStyle w:val="AERbody"/>
        </w:rPr>
        <w:t xml:space="preserve"> highlights what effect a binding net benefit cons</w:t>
      </w:r>
      <w:r w:rsidR="00214021" w:rsidRPr="000E112B">
        <w:rPr>
          <w:rStyle w:val="AERbody"/>
        </w:rPr>
        <w:t>traint could have on a project incentive</w:t>
      </w:r>
      <w:r w:rsidRPr="000E112B">
        <w:rPr>
          <w:rStyle w:val="AERbody"/>
        </w:rPr>
        <w:t xml:space="preserve">. </w:t>
      </w:r>
      <w:r w:rsidR="00D1525D" w:rsidRPr="000E112B">
        <w:rPr>
          <w:rStyle w:val="AERbody"/>
        </w:rPr>
        <w:t>In th</w:t>
      </w:r>
      <w:r w:rsidR="006B211A" w:rsidRPr="000E112B">
        <w:rPr>
          <w:rStyle w:val="AERbody"/>
        </w:rPr>
        <w:t xml:space="preserve">e hypothetical scenario presented in </w:t>
      </w:r>
      <w:r w:rsidR="007060B5" w:rsidRPr="000E112B">
        <w:rPr>
          <w:rStyle w:val="AERbody"/>
        </w:rPr>
        <w:fldChar w:fldCharType="begin"/>
      </w:r>
      <w:r w:rsidR="007060B5" w:rsidRPr="000E112B">
        <w:rPr>
          <w:rStyle w:val="AERbody"/>
        </w:rPr>
        <w:instrText xml:space="preserve"> REF  _Ref487311498 \* Lower \h </w:instrText>
      </w:r>
      <w:r w:rsidR="000E112B" w:rsidRPr="000E112B">
        <w:rPr>
          <w:rStyle w:val="AERbody"/>
        </w:rPr>
        <w:instrText xml:space="preserve"> \* MERGEFORMAT </w:instrText>
      </w:r>
      <w:r w:rsidR="007060B5" w:rsidRPr="000E112B">
        <w:rPr>
          <w:rStyle w:val="AERbody"/>
        </w:rPr>
      </w:r>
      <w:r w:rsidR="007060B5" w:rsidRPr="000E112B">
        <w:rPr>
          <w:rStyle w:val="AERbody"/>
        </w:rPr>
        <w:fldChar w:fldCharType="separate"/>
      </w:r>
      <w:r w:rsidR="0076296B" w:rsidRPr="0076296B">
        <w:rPr>
          <w:rStyle w:val="AERbody"/>
        </w:rPr>
        <w:t>table 4</w:t>
      </w:r>
      <w:r w:rsidR="007060B5" w:rsidRPr="000E112B">
        <w:rPr>
          <w:rStyle w:val="AERbody"/>
        </w:rPr>
        <w:fldChar w:fldCharType="end"/>
      </w:r>
      <w:r w:rsidR="006B211A" w:rsidRPr="000E112B">
        <w:rPr>
          <w:rStyle w:val="AERbody"/>
        </w:rPr>
        <w:t>, the net benefit constraint binds such that the project incentive is set to the expected net benefit ($2.5 million) rather than 50</w:t>
      </w:r>
      <w:r w:rsidR="0078383B" w:rsidRPr="0078383B">
        <w:t xml:space="preserve"> per cent</w:t>
      </w:r>
      <w:r w:rsidR="006B211A" w:rsidRPr="000E112B">
        <w:rPr>
          <w:rStyle w:val="AERbody"/>
        </w:rPr>
        <w:t xml:space="preserve"> of the project's demand management costs ($5 million). If the draft Scheme did not feature a net benefit constraint, the project incentive would have been set to $5 million, which would have produced an</w:t>
      </w:r>
      <w:r w:rsidR="00D1525D" w:rsidRPr="000E112B">
        <w:rPr>
          <w:rStyle w:val="AERbody"/>
        </w:rPr>
        <w:t xml:space="preserve"> expected net </w:t>
      </w:r>
      <w:r w:rsidR="006B211A" w:rsidRPr="000E112B">
        <w:rPr>
          <w:rStyle w:val="AERbody"/>
        </w:rPr>
        <w:t>cost to the retail customers of $2.5 million.</w:t>
      </w:r>
      <w:r w:rsidR="00D1525D" w:rsidRPr="000E112B">
        <w:rPr>
          <w:rStyle w:val="AERbody"/>
        </w:rPr>
        <w:t xml:space="preserve"> </w:t>
      </w:r>
      <w:r w:rsidR="006B211A" w:rsidRPr="000E112B">
        <w:rPr>
          <w:rStyle w:val="AERbody"/>
        </w:rPr>
        <w:t>As such, the</w:t>
      </w:r>
      <w:r w:rsidR="00D1525D" w:rsidRPr="000E112B">
        <w:rPr>
          <w:rStyle w:val="AERbody"/>
        </w:rPr>
        <w:t xml:space="preserve"> net benefit constraint help</w:t>
      </w:r>
      <w:r w:rsidR="006B211A" w:rsidRPr="000E112B">
        <w:rPr>
          <w:rStyle w:val="AERbody"/>
        </w:rPr>
        <w:t>s</w:t>
      </w:r>
      <w:r w:rsidR="00D1525D" w:rsidRPr="000E112B">
        <w:rPr>
          <w:rStyle w:val="AERbody"/>
        </w:rPr>
        <w:t xml:space="preserve"> the </w:t>
      </w:r>
      <w:r w:rsidR="006B211A" w:rsidRPr="000E112B">
        <w:rPr>
          <w:rStyle w:val="AERbody"/>
        </w:rPr>
        <w:t xml:space="preserve">draft </w:t>
      </w:r>
      <w:r w:rsidR="00D1525D" w:rsidRPr="000E112B">
        <w:rPr>
          <w:rStyle w:val="AERbody"/>
        </w:rPr>
        <w:t xml:space="preserve">Scheme </w:t>
      </w:r>
      <w:r w:rsidR="00966CBF" w:rsidRPr="000E112B">
        <w:rPr>
          <w:rStyle w:val="AERbody"/>
        </w:rPr>
        <w:t xml:space="preserve">to </w:t>
      </w:r>
      <w:r w:rsidR="006B211A" w:rsidRPr="000E112B">
        <w:rPr>
          <w:rStyle w:val="AERbody"/>
        </w:rPr>
        <w:t xml:space="preserve">satisfy the principle in the </w:t>
      </w:r>
      <w:r w:rsidR="00966CBF" w:rsidRPr="000E112B">
        <w:rPr>
          <w:rStyle w:val="AERbody"/>
        </w:rPr>
        <w:t>NER</w:t>
      </w:r>
      <w:r w:rsidR="006B211A" w:rsidRPr="000E112B">
        <w:rPr>
          <w:rStyle w:val="AERbody"/>
        </w:rPr>
        <w:t xml:space="preserve"> to deliver net cost savings </w:t>
      </w:r>
      <w:r w:rsidR="00D1525D" w:rsidRPr="000E112B">
        <w:rPr>
          <w:rStyle w:val="AERbody"/>
        </w:rPr>
        <w:t>to retail customers</w:t>
      </w:r>
      <w:r w:rsidR="006B211A" w:rsidRPr="000E112B">
        <w:rPr>
          <w:rStyle w:val="AERbody"/>
        </w:rPr>
        <w:t>.</w:t>
      </w:r>
    </w:p>
    <w:p w:rsidR="00364014" w:rsidRPr="00715783" w:rsidRDefault="00364014" w:rsidP="00364014">
      <w:pPr>
        <w:pStyle w:val="Caption"/>
      </w:pPr>
      <w:bookmarkStart w:id="66" w:name="_Ref487311498"/>
      <w:r>
        <w:t xml:space="preserve">Table </w:t>
      </w:r>
      <w:r w:rsidR="0076296B">
        <w:fldChar w:fldCharType="begin"/>
      </w:r>
      <w:r w:rsidR="0076296B">
        <w:instrText xml:space="preserve"> SEQ Table \* ARABIC </w:instrText>
      </w:r>
      <w:r w:rsidR="0076296B">
        <w:fldChar w:fldCharType="separate"/>
      </w:r>
      <w:r w:rsidR="0076296B">
        <w:rPr>
          <w:noProof/>
        </w:rPr>
        <w:t>4</w:t>
      </w:r>
      <w:r w:rsidR="0076296B">
        <w:rPr>
          <w:noProof/>
        </w:rPr>
        <w:fldChar w:fldCharType="end"/>
      </w:r>
      <w:bookmarkEnd w:id="66"/>
      <w:r>
        <w:t xml:space="preserve">: Illustrative example of binding </w:t>
      </w:r>
      <w:r w:rsidR="00C12B61">
        <w:t>net benefit constraint in setting the project incentive</w:t>
      </w:r>
    </w:p>
    <w:tbl>
      <w:tblPr>
        <w:tblStyle w:val="AERtable-text0"/>
        <w:tblW w:w="5000" w:type="pct"/>
        <w:tblLook w:val="04A0" w:firstRow="1" w:lastRow="0" w:firstColumn="1" w:lastColumn="0" w:noHBand="0" w:noVBand="1"/>
      </w:tblPr>
      <w:tblGrid>
        <w:gridCol w:w="4786"/>
        <w:gridCol w:w="3907"/>
      </w:tblGrid>
      <w:tr w:rsidR="00364014" w:rsidTr="00BD0253">
        <w:trPr>
          <w:cnfStyle w:val="100000000000" w:firstRow="1" w:lastRow="0" w:firstColumn="0" w:lastColumn="0" w:oddVBand="0" w:evenVBand="0" w:oddHBand="0" w:evenHBand="0" w:firstRowFirstColumn="0" w:firstRowLastColumn="0" w:lastRowFirstColumn="0" w:lastRowLastColumn="0"/>
        </w:trPr>
        <w:tc>
          <w:tcPr>
            <w:tcW w:w="2753" w:type="pct"/>
          </w:tcPr>
          <w:p w:rsidR="00364014" w:rsidRPr="00364014" w:rsidRDefault="00364014" w:rsidP="00364014">
            <w:r>
              <w:t>V</w:t>
            </w:r>
            <w:r w:rsidRPr="00364014">
              <w:t>alue estimated</w:t>
            </w:r>
          </w:p>
        </w:tc>
        <w:tc>
          <w:tcPr>
            <w:tcW w:w="2247" w:type="pct"/>
          </w:tcPr>
          <w:p w:rsidR="00364014" w:rsidRPr="00364014" w:rsidRDefault="00364014" w:rsidP="00364014">
            <w:r>
              <w:t>$</w:t>
            </w:r>
            <w:r w:rsidR="00966CBF">
              <w:t xml:space="preserve"> million</w:t>
            </w:r>
          </w:p>
        </w:tc>
      </w:tr>
      <w:tr w:rsidR="00364014" w:rsidTr="00BD0253">
        <w:tc>
          <w:tcPr>
            <w:tcW w:w="2753" w:type="pct"/>
          </w:tcPr>
          <w:p w:rsidR="00364014" w:rsidRPr="00364014" w:rsidRDefault="005B32E7" w:rsidP="00364014">
            <w:r>
              <w:t>Expected demand management costs</w:t>
            </w:r>
          </w:p>
        </w:tc>
        <w:tc>
          <w:tcPr>
            <w:tcW w:w="2247" w:type="pct"/>
          </w:tcPr>
          <w:p w:rsidR="00364014" w:rsidRPr="00364014" w:rsidRDefault="005B32E7" w:rsidP="005B32E7">
            <w:r>
              <w:t>10.0</w:t>
            </w:r>
          </w:p>
        </w:tc>
      </w:tr>
      <w:tr w:rsidR="00364014" w:rsidTr="00BD0253">
        <w:trPr>
          <w:cnfStyle w:val="000000010000" w:firstRow="0" w:lastRow="0" w:firstColumn="0" w:lastColumn="0" w:oddVBand="0" w:evenVBand="0" w:oddHBand="0" w:evenHBand="1" w:firstRowFirstColumn="0" w:firstRowLastColumn="0" w:lastRowFirstColumn="0" w:lastRowLastColumn="0"/>
        </w:trPr>
        <w:tc>
          <w:tcPr>
            <w:tcW w:w="2753" w:type="pct"/>
          </w:tcPr>
          <w:p w:rsidR="00364014" w:rsidRPr="00364014" w:rsidRDefault="005B32E7" w:rsidP="005B32E7">
            <w:r>
              <w:t>E</w:t>
            </w:r>
            <w:r w:rsidR="00364014" w:rsidRPr="00364014">
              <w:t xml:space="preserve">xpected net economic benefit (against </w:t>
            </w:r>
            <w:r>
              <w:t xml:space="preserve"> the </w:t>
            </w:r>
            <w:r w:rsidR="00364014" w:rsidRPr="00364014">
              <w:t>base case)</w:t>
            </w:r>
          </w:p>
        </w:tc>
        <w:tc>
          <w:tcPr>
            <w:tcW w:w="2247" w:type="pct"/>
          </w:tcPr>
          <w:p w:rsidR="00364014" w:rsidRPr="00364014" w:rsidRDefault="005B32E7" w:rsidP="005B32E7">
            <w:r>
              <w:t>2.5</w:t>
            </w:r>
          </w:p>
        </w:tc>
      </w:tr>
      <w:tr w:rsidR="00364014" w:rsidTr="00BD0253">
        <w:tc>
          <w:tcPr>
            <w:tcW w:w="2753" w:type="pct"/>
          </w:tcPr>
          <w:p w:rsidR="00364014" w:rsidRPr="00364014" w:rsidRDefault="00364014" w:rsidP="00A80D27">
            <w:r>
              <w:t>Project incentive</w:t>
            </w:r>
          </w:p>
        </w:tc>
        <w:tc>
          <w:tcPr>
            <w:tcW w:w="2247" w:type="pct"/>
          </w:tcPr>
          <w:p w:rsidR="00364014" w:rsidRPr="00364014" w:rsidRDefault="00364014" w:rsidP="005B32E7">
            <w:r>
              <w:t xml:space="preserve"> </w:t>
            </w:r>
            <m:oMath>
              <m:func>
                <m:funcPr>
                  <m:ctrlPr>
                    <w:rPr>
                      <w:rFonts w:ascii="Cambria Math" w:hAnsi="Cambria Math"/>
                    </w:rPr>
                  </m:ctrlPr>
                </m:funcPr>
                <m:fName>
                  <m:r>
                    <m:rPr>
                      <m:sty m:val="p"/>
                    </m:rPr>
                    <w:rPr>
                      <w:rFonts w:ascii="Cambria Math" w:hAnsi="Cambria Math"/>
                    </w:rPr>
                    <m:t>min</m:t>
                  </m:r>
                </m:fName>
                <m:e>
                  <m:r>
                    <w:rPr>
                      <w:rFonts w:ascii="Cambria Math" w:hAnsi="Cambria Math"/>
                    </w:rPr>
                    <m:t>{10×50%=5;  2.5}</m:t>
                  </m:r>
                </m:e>
              </m:func>
              <m:r>
                <w:rPr>
                  <w:rFonts w:ascii="Cambria Math" w:hAnsi="Cambria Math"/>
                </w:rPr>
                <m:t>=2.5</m:t>
              </m:r>
            </m:oMath>
            <w:r w:rsidRPr="00364014">
              <w:t xml:space="preserve"> </w:t>
            </w:r>
          </w:p>
        </w:tc>
      </w:tr>
    </w:tbl>
    <w:p w:rsidR="008A7A62" w:rsidRDefault="00291278" w:rsidP="008A7A62">
      <w:pPr>
        <w:pStyle w:val="Heading3"/>
      </w:pPr>
      <w:bookmarkStart w:id="67" w:name="_Toc491447259"/>
      <w:r>
        <w:t>Why calculate</w:t>
      </w:r>
      <w:r w:rsidR="008A7A62">
        <w:t xml:space="preserve"> net </w:t>
      </w:r>
      <w:r>
        <w:t xml:space="preserve">benefits consistently with </w:t>
      </w:r>
      <w:r w:rsidR="008A7A62">
        <w:t>RIT</w:t>
      </w:r>
      <w:r w:rsidR="008A7A62">
        <w:rPr>
          <w:rFonts w:cs="Arial"/>
        </w:rPr>
        <w:t>–</w:t>
      </w:r>
      <w:r w:rsidR="008A7A62">
        <w:t>D</w:t>
      </w:r>
      <w:r>
        <w:t>?</w:t>
      </w:r>
      <w:bookmarkEnd w:id="67"/>
    </w:p>
    <w:p w:rsidR="00B07D82" w:rsidRDefault="001A7D39" w:rsidP="00DA3D57">
      <w:r>
        <w:t>T</w:t>
      </w:r>
      <w:r w:rsidR="00B07D82" w:rsidRPr="00C17CC5">
        <w:t xml:space="preserve">he draft Scheme requires distributors to calculate </w:t>
      </w:r>
      <w:r w:rsidRPr="00C17CC5">
        <w:t xml:space="preserve">the net benefit constraint </w:t>
      </w:r>
      <w:r w:rsidR="00B07D82" w:rsidRPr="00C17CC5">
        <w:t xml:space="preserve">consistently with the cost–benefit analysis under the RIT–D. </w:t>
      </w:r>
      <w:r w:rsidR="00DA3D57">
        <w:t>This</w:t>
      </w:r>
      <w:r>
        <w:t xml:space="preserve"> promote</w:t>
      </w:r>
      <w:r w:rsidR="000E112B">
        <w:t>s c</w:t>
      </w:r>
      <w:r w:rsidR="00B07D82" w:rsidRPr="00C17CC5">
        <w:t>onsistency with how the distributor has already identified projects considered 'efficient' under the draft Scheme</w:t>
      </w:r>
      <w:r w:rsidR="00B07D82" w:rsidRPr="00B07D82">
        <w:t>―</w:t>
      </w:r>
      <w:r w:rsidR="00B07D82">
        <w:t>that is, projects it has evaluated as a</w:t>
      </w:r>
      <w:r w:rsidR="00B07D82" w:rsidRPr="00C17CC5">
        <w:t xml:space="preserve"> 'preferred option'</w:t>
      </w:r>
      <w:r w:rsidR="00B07D82">
        <w:t xml:space="preserve"> (as </w:t>
      </w:r>
      <w:r w:rsidR="00B07D82" w:rsidRPr="00C17CC5">
        <w:t xml:space="preserve">referred to in </w:t>
      </w:r>
      <w:r w:rsidR="00B07D82">
        <w:t xml:space="preserve">NER </w:t>
      </w:r>
      <w:r w:rsidR="00B07D82" w:rsidRPr="00C17CC5">
        <w:t>chapter 5</w:t>
      </w:r>
      <w:r w:rsidR="00B07D82">
        <w:t>)</w:t>
      </w:r>
      <w:r w:rsidR="00B07D82" w:rsidRPr="00C17CC5">
        <w:t>.</w:t>
      </w:r>
      <w:r w:rsidR="00B07D82">
        <w:t xml:space="preserve"> For further explanation, s</w:t>
      </w:r>
      <w:r w:rsidR="00B07D82" w:rsidRPr="00C17CC5">
        <w:t xml:space="preserve">ee </w:t>
      </w:r>
      <w:r w:rsidR="00966CBF">
        <w:fldChar w:fldCharType="begin"/>
      </w:r>
      <w:r w:rsidR="00966CBF">
        <w:instrText xml:space="preserve"> REF  _Ref485200718 \* Lower \h  \* MERGEFORMAT </w:instrText>
      </w:r>
      <w:r w:rsidR="00966CBF">
        <w:fldChar w:fldCharType="separate"/>
      </w:r>
      <w:r w:rsidR="0076296B">
        <w:t xml:space="preserve">table </w:t>
      </w:r>
      <w:r w:rsidR="0076296B">
        <w:rPr>
          <w:noProof/>
        </w:rPr>
        <w:t>1</w:t>
      </w:r>
      <w:r w:rsidR="00966CBF">
        <w:fldChar w:fldCharType="end"/>
      </w:r>
      <w:r w:rsidR="00966CBF">
        <w:t>.</w:t>
      </w:r>
    </w:p>
    <w:p w:rsidR="00B07D82" w:rsidRDefault="000E112B" w:rsidP="00DA3D57">
      <w:r>
        <w:rPr>
          <w:rStyle w:val="AERbody"/>
        </w:rPr>
        <w:t>Also, a distributor must estimate its</w:t>
      </w:r>
      <w:r w:rsidRPr="007259C8">
        <w:rPr>
          <w:rStyle w:val="AERbody"/>
        </w:rPr>
        <w:t xml:space="preserve"> project's net benefit relative to</w:t>
      </w:r>
      <w:r>
        <w:rPr>
          <w:rStyle w:val="AERbody"/>
        </w:rPr>
        <w:t xml:space="preserve"> a '</w:t>
      </w:r>
      <w:r w:rsidRPr="007259C8">
        <w:rPr>
          <w:rStyle w:val="AERbody"/>
        </w:rPr>
        <w:t>bas</w:t>
      </w:r>
      <w:r>
        <w:rPr>
          <w:rStyle w:val="AERbody"/>
        </w:rPr>
        <w:t>e case' wher</w:t>
      </w:r>
      <w:r w:rsidR="00A03D0E">
        <w:rPr>
          <w:rStyle w:val="AERbody"/>
        </w:rPr>
        <w:t>e</w:t>
      </w:r>
      <w:r>
        <w:rPr>
          <w:rStyle w:val="AERbody"/>
        </w:rPr>
        <w:t xml:space="preserve"> it </w:t>
      </w:r>
      <w:r w:rsidRPr="007259C8">
        <w:rPr>
          <w:rStyle w:val="AERbody"/>
        </w:rPr>
        <w:t>does not implem</w:t>
      </w:r>
      <w:r>
        <w:rPr>
          <w:rStyle w:val="AERbody"/>
        </w:rPr>
        <w:t>ent a credible option,</w:t>
      </w:r>
      <w:r w:rsidRPr="007259C8">
        <w:rPr>
          <w:rStyle w:val="AERbody"/>
        </w:rPr>
        <w:t xml:space="preserve"> or</w:t>
      </w:r>
      <w:r>
        <w:rPr>
          <w:rStyle w:val="AERbody"/>
        </w:rPr>
        <w:t xml:space="preserve"> </w:t>
      </w:r>
      <w:r w:rsidR="00A03D0E">
        <w:rPr>
          <w:rStyle w:val="AERbody"/>
        </w:rPr>
        <w:t>where it implements its</w:t>
      </w:r>
      <w:r w:rsidR="00A03D0E" w:rsidRPr="007259C8">
        <w:rPr>
          <w:rStyle w:val="AERbody"/>
        </w:rPr>
        <w:t xml:space="preserve"> preferred network option</w:t>
      </w:r>
      <w:r w:rsidR="00A03D0E" w:rsidRPr="00A03D0E">
        <w:rPr>
          <w:rStyle w:val="AERbody"/>
        </w:rPr>
        <w:t xml:space="preserve"> </w:t>
      </w:r>
      <w:r w:rsidR="00A03D0E">
        <w:rPr>
          <w:rStyle w:val="AERbody"/>
        </w:rPr>
        <w:t xml:space="preserve">(but </w:t>
      </w:r>
      <w:r w:rsidRPr="007259C8">
        <w:rPr>
          <w:rStyle w:val="AERbody"/>
        </w:rPr>
        <w:t>only if the identified need is for reliability corrective action</w:t>
      </w:r>
      <w:r w:rsidR="00A03D0E">
        <w:rPr>
          <w:rStyle w:val="AERbody"/>
        </w:rPr>
        <w:t>)</w:t>
      </w:r>
      <w:r>
        <w:rPr>
          <w:rStyle w:val="AERbody"/>
        </w:rPr>
        <w:t xml:space="preserve">. </w:t>
      </w:r>
      <w:r>
        <w:t xml:space="preserve">This allows for a </w:t>
      </w:r>
      <w:r w:rsidR="00B07D82">
        <w:t xml:space="preserve">practical application of the net benefit constraint, </w:t>
      </w:r>
      <w:r>
        <w:t>that</w:t>
      </w:r>
      <w:r w:rsidR="00B07D82">
        <w:t xml:space="preserve"> adjusts for the fact that reliability corrective action projects need not have a positive net benefit against a 'do nothing' base case. This is </w:t>
      </w:r>
      <w:r>
        <w:t xml:space="preserve">consistent with </w:t>
      </w:r>
      <w:r w:rsidR="00B07D82">
        <w:t xml:space="preserve">the </w:t>
      </w:r>
      <w:r w:rsidR="00B07D82" w:rsidRPr="00C17CC5">
        <w:t>RIT-D</w:t>
      </w:r>
      <w:r>
        <w:t>, which</w:t>
      </w:r>
      <w:r w:rsidR="00B07D82">
        <w:t xml:space="preserve"> does not require the base case for </w:t>
      </w:r>
      <w:r w:rsidR="00B07D82">
        <w:lastRenderedPageBreak/>
        <w:t>calculating net benefits to be a do-nothing option</w:t>
      </w:r>
      <w:r w:rsidRPr="000E112B">
        <w:t xml:space="preserve"> where the identified need is for reliability corrective action</w:t>
      </w:r>
      <w:r w:rsidR="00B07D82">
        <w:t xml:space="preserve">. </w:t>
      </w:r>
      <w:r w:rsidR="001A7D39">
        <w:t>As such,  the draft Scheme</w:t>
      </w:r>
      <w:r w:rsidR="00B07D82">
        <w:t xml:space="preserve"> require</w:t>
      </w:r>
      <w:r w:rsidR="001A7D39">
        <w:t>s</w:t>
      </w:r>
      <w:r w:rsidR="00B07D82" w:rsidRPr="00421BFA">
        <w:t xml:space="preserve"> </w:t>
      </w:r>
      <w:r w:rsidR="00B07D82">
        <w:t xml:space="preserve">the </w:t>
      </w:r>
      <w:r w:rsidR="00B07D82" w:rsidRPr="00C17CC5">
        <w:t>‘base case’</w:t>
      </w:r>
      <w:r w:rsidR="00B07D82">
        <w:t xml:space="preserve"> be a</w:t>
      </w:r>
      <w:r w:rsidR="00B07D82" w:rsidRPr="00C17CC5">
        <w:t xml:space="preserve"> do-nothing option unless the project is for reliability corrective action</w:t>
      </w:r>
      <w:r w:rsidR="00B07D82">
        <w:t>; in which case it must be</w:t>
      </w:r>
      <w:r w:rsidR="00B07D82" w:rsidRPr="00223562">
        <w:t xml:space="preserve"> </w:t>
      </w:r>
      <w:r w:rsidR="00B07D82">
        <w:t xml:space="preserve">the </w:t>
      </w:r>
      <w:r w:rsidR="00B07D82" w:rsidRPr="00223562">
        <w:t>network option with the highest net benefit.</w:t>
      </w:r>
    </w:p>
    <w:p w:rsidR="00E85051" w:rsidRPr="008A7A62" w:rsidRDefault="00E85051" w:rsidP="008A7A62"/>
    <w:p w:rsidR="00A475D0" w:rsidRDefault="00A475D0" w:rsidP="009B14F7">
      <w:pPr>
        <w:pStyle w:val="LegalNumbering"/>
        <w:numPr>
          <w:ilvl w:val="0"/>
          <w:numId w:val="0"/>
        </w:numPr>
      </w:pPr>
    </w:p>
    <w:p w:rsidR="002D7184" w:rsidRDefault="002D7184" w:rsidP="004F3183">
      <w:pPr>
        <w:pStyle w:val="Heading1"/>
      </w:pPr>
      <w:bookmarkStart w:id="68" w:name="_Ref489605954"/>
      <w:bookmarkStart w:id="69" w:name="_Toc491447260"/>
      <w:r>
        <w:lastRenderedPageBreak/>
        <w:t>Compliance reporting</w:t>
      </w:r>
      <w:bookmarkEnd w:id="68"/>
      <w:bookmarkEnd w:id="69"/>
    </w:p>
    <w:p w:rsidR="00B07D82" w:rsidRDefault="00B07D82" w:rsidP="00B07D82">
      <w:r>
        <w:t>Clause 2.4 of the draft Scheme specifies that e</w:t>
      </w:r>
      <w:r w:rsidRPr="002D7184">
        <w:t xml:space="preserve">ach regulatory year, a distributor will submit a demand management compliance report to </w:t>
      </w:r>
      <w:r>
        <w:t>us</w:t>
      </w:r>
      <w:r w:rsidR="00706269">
        <w:t xml:space="preserve"> no later than </w:t>
      </w:r>
      <w:r w:rsidR="00BF5EBE">
        <w:t>four</w:t>
      </w:r>
      <w:r w:rsidR="00BF5EBE" w:rsidRPr="002D7184">
        <w:t xml:space="preserve"> </w:t>
      </w:r>
      <w:r w:rsidRPr="002D7184">
        <w:t>months after that regulatory year</w:t>
      </w:r>
      <w:r w:rsidR="00BD0253">
        <w:t xml:space="preserve"> ends</w:t>
      </w:r>
      <w:r w:rsidRPr="002D7184">
        <w:t>.</w:t>
      </w:r>
      <w:r w:rsidR="00BF5EBE">
        <w:t xml:space="preserve"> This aligns with the submission of the information in response to the distributor</w:t>
      </w:r>
      <w:r w:rsidR="000E112B">
        <w:t>'</w:t>
      </w:r>
      <w:r w:rsidR="00BF5EBE">
        <w:t>s regular Regulatory Information Notice (RIN).</w:t>
      </w:r>
      <w:r w:rsidR="00EF1860">
        <w:t xml:space="preserve"> The report produced should form part of the information submitted during the RIN process, and be </w:t>
      </w:r>
      <w:r w:rsidR="001B03EA">
        <w:t>reviewed as per the assurance requirements of the RIN</w:t>
      </w:r>
      <w:r w:rsidR="00EF1860">
        <w:t>.</w:t>
      </w:r>
      <w:r w:rsidRPr="002D7184">
        <w:t xml:space="preserve"> </w:t>
      </w:r>
      <w:r w:rsidR="001A7D39">
        <w:t>Clause 2.4</w:t>
      </w:r>
      <w:r w:rsidR="00BC750F">
        <w:t xml:space="preserve"> of the draft Scheme</w:t>
      </w:r>
      <w:r w:rsidR="001A7D39">
        <w:t xml:space="preserve"> also </w:t>
      </w:r>
      <w:r w:rsidR="003C5125">
        <w:t>lists</w:t>
      </w:r>
      <w:r>
        <w:t xml:space="preserve"> the </w:t>
      </w:r>
      <w:r w:rsidR="003C5125">
        <w:t xml:space="preserve">project-specific </w:t>
      </w:r>
      <w:r>
        <w:t>data the distributor must report</w:t>
      </w:r>
      <w:r w:rsidR="001B077E">
        <w:t>.</w:t>
      </w:r>
    </w:p>
    <w:p w:rsidR="00B07D82" w:rsidRPr="002D7184" w:rsidRDefault="001B077E" w:rsidP="00A80D27">
      <w:pPr>
        <w:pStyle w:val="AERbulletlistfirststyle"/>
        <w:numPr>
          <w:ilvl w:val="0"/>
          <w:numId w:val="0"/>
        </w:numPr>
      </w:pPr>
      <w:r>
        <w:t>The distributor must include d</w:t>
      </w:r>
      <w:r w:rsidR="00B07D82">
        <w:t xml:space="preserve">ata pertaining to </w:t>
      </w:r>
      <w:r w:rsidR="00BD0253">
        <w:t xml:space="preserve">expenditure incurred in the past regulatory year </w:t>
      </w:r>
      <w:r w:rsidR="006F70DD">
        <w:t xml:space="preserve">for which </w:t>
      </w:r>
      <w:r w:rsidR="00BC750F">
        <w:t>it</w:t>
      </w:r>
      <w:r w:rsidR="00BD0253">
        <w:t xml:space="preserve"> is seeking incentives</w:t>
      </w:r>
      <w:r w:rsidR="00B07D82">
        <w:t xml:space="preserve">. </w:t>
      </w:r>
      <w:r w:rsidR="001A7D39">
        <w:t>Data must include</w:t>
      </w:r>
      <w:r w:rsidR="00A80D27">
        <w:t xml:space="preserve"> s</w:t>
      </w:r>
      <w:r w:rsidR="00BD0253">
        <w:t>ufficien</w:t>
      </w:r>
      <w:r w:rsidR="00AE5EBA">
        <w:t>t information for us to verify what</w:t>
      </w:r>
      <w:r w:rsidR="00BD0253">
        <w:t xml:space="preserve"> outcomes</w:t>
      </w:r>
      <w:r w:rsidR="00AE5EBA">
        <w:t xml:space="preserve"> were achieved due to </w:t>
      </w:r>
      <w:r w:rsidR="00BD0253">
        <w:t xml:space="preserve">that expenditure. Specifically, this includes </w:t>
      </w:r>
      <w:r w:rsidR="003C5125">
        <w:t>listing the c</w:t>
      </w:r>
      <w:r w:rsidR="003C5125" w:rsidRPr="002D7184">
        <w:t>ommitted demand management projects</w:t>
      </w:r>
      <w:r w:rsidR="003C5125">
        <w:t xml:space="preserve"> and reporting </w:t>
      </w:r>
      <w:r w:rsidR="00BD0253">
        <w:t>t</w:t>
      </w:r>
      <w:r w:rsidR="00B07D82" w:rsidRPr="002D7184">
        <w:t xml:space="preserve">he kVA per year </w:t>
      </w:r>
      <w:r w:rsidR="00B07D82">
        <w:t>of d</w:t>
      </w:r>
      <w:r w:rsidR="00B07D82" w:rsidRPr="002D7184">
        <w:t xml:space="preserve">emand management </w:t>
      </w:r>
      <w:r w:rsidR="003C5125">
        <w:t>delivered under committed projects. It also includes</w:t>
      </w:r>
      <w:r w:rsidR="00AE5EBA">
        <w:t xml:space="preserve"> reporting on</w:t>
      </w:r>
      <w:r w:rsidR="003C5125">
        <w:t xml:space="preserve"> the benefits the distributor</w:t>
      </w:r>
      <w:r w:rsidR="003C5125" w:rsidRPr="003C5125">
        <w:t xml:space="preserve"> </w:t>
      </w:r>
      <w:r w:rsidR="003C5125" w:rsidRPr="002D7184">
        <w:t>estimates the demand management to have realised</w:t>
      </w:r>
      <w:r w:rsidR="003C5125">
        <w:t>.</w:t>
      </w:r>
    </w:p>
    <w:p w:rsidR="00E94399" w:rsidRDefault="001B077E" w:rsidP="001B077E">
      <w:pPr>
        <w:pStyle w:val="AERbulletlistfirststyle"/>
        <w:numPr>
          <w:ilvl w:val="0"/>
          <w:numId w:val="0"/>
        </w:numPr>
      </w:pPr>
      <w:r>
        <w:t>The distributor must also include d</w:t>
      </w:r>
      <w:r w:rsidR="003C5125">
        <w:t xml:space="preserve">ata on any </w:t>
      </w:r>
      <w:r w:rsidR="002D7184" w:rsidRPr="002D7184">
        <w:t xml:space="preserve">eligible project </w:t>
      </w:r>
      <w:r w:rsidR="00966CBF">
        <w:t xml:space="preserve">it </w:t>
      </w:r>
      <w:r w:rsidR="00A80D27">
        <w:t xml:space="preserve">committed </w:t>
      </w:r>
      <w:r w:rsidR="003C5125">
        <w:t>in the past regulatory year</w:t>
      </w:r>
      <w:r w:rsidR="001A7D39">
        <w:t>, including</w:t>
      </w:r>
      <w:r w:rsidR="00E94399">
        <w:t>:</w:t>
      </w:r>
    </w:p>
    <w:p w:rsidR="00A80D27" w:rsidRPr="002D7184" w:rsidRDefault="00A80D27" w:rsidP="00A80D27">
      <w:pPr>
        <w:pStyle w:val="AERbulletlistfirststyle"/>
      </w:pPr>
      <w:r>
        <w:t>T</w:t>
      </w:r>
      <w:r w:rsidRPr="002D7184">
        <w:t xml:space="preserve">he total financial incentive </w:t>
      </w:r>
      <w:r>
        <w:t xml:space="preserve">the distributor </w:t>
      </w:r>
      <w:r w:rsidRPr="002D7184">
        <w:t>accrued</w:t>
      </w:r>
      <w:r>
        <w:t>, based on the project incentives it accrued from the pr</w:t>
      </w:r>
      <w:r w:rsidR="001A7D39">
        <w:t>ojects it committed that year. Reporting on t</w:t>
      </w:r>
      <w:r>
        <w:t>his allows us to validate the total financial incentive.</w:t>
      </w:r>
    </w:p>
    <w:p w:rsidR="002D7184" w:rsidRDefault="00E94399" w:rsidP="001B077E">
      <w:pPr>
        <w:pStyle w:val="AERbulletlistfirststyle"/>
      </w:pPr>
      <w:r>
        <w:t>L</w:t>
      </w:r>
      <w:r w:rsidR="003C5125">
        <w:t xml:space="preserve">isting the </w:t>
      </w:r>
      <w:r w:rsidR="00966CBF">
        <w:t>identified eligible projects</w:t>
      </w:r>
      <w:r w:rsidR="003C5125">
        <w:t xml:space="preserve">, as well as their expected costs and benefits. </w:t>
      </w:r>
      <w:r w:rsidR="002D7184" w:rsidRPr="002D7184">
        <w:t xml:space="preserve"> </w:t>
      </w:r>
      <w:r>
        <w:t>This</w:t>
      </w:r>
      <w:r w:rsidR="001A7D39">
        <w:t xml:space="preserve"> information</w:t>
      </w:r>
      <w:r>
        <w:t xml:space="preserve"> allows us to understand the types of eligible projects under the Scheme and the</w:t>
      </w:r>
      <w:r w:rsidR="00C12B61">
        <w:t xml:space="preserve"> project incentives</w:t>
      </w:r>
      <w:r w:rsidR="00966CBF">
        <w:t>.</w:t>
      </w:r>
    </w:p>
    <w:p w:rsidR="0037286A" w:rsidRDefault="00E94399" w:rsidP="001B077E">
      <w:pPr>
        <w:pStyle w:val="AERbulletlistfirststyle"/>
      </w:pPr>
      <w:r>
        <w:t>Information on the r</w:t>
      </w:r>
      <w:r w:rsidR="002D7184" w:rsidRPr="002D7184">
        <w:t xml:space="preserve">esponses </w:t>
      </w:r>
      <w:r w:rsidR="00481286">
        <w:t xml:space="preserve">that constituted 'credible options' that </w:t>
      </w:r>
      <w:r>
        <w:t>the distributor</w:t>
      </w:r>
      <w:r w:rsidR="002D7184" w:rsidRPr="002D7184">
        <w:t xml:space="preserve"> received to either its RIT–D or its request for </w:t>
      </w:r>
      <w:r w:rsidR="00BC750F">
        <w:t xml:space="preserve">demand management proposals </w:t>
      </w:r>
      <w:r w:rsidR="002D7184" w:rsidRPr="002D7184">
        <w:t xml:space="preserve">under the </w:t>
      </w:r>
      <w:r w:rsidR="006671FC">
        <w:t>minimum project evaluation</w:t>
      </w:r>
      <w:r w:rsidR="002D7184" w:rsidRPr="002D7184">
        <w:t xml:space="preserve"> requirements</w:t>
      </w:r>
      <w:r>
        <w:t>.</w:t>
      </w:r>
      <w:r w:rsidR="00481286">
        <w:rPr>
          <w:rStyle w:val="FootnoteReference"/>
        </w:rPr>
        <w:footnoteReference w:id="57"/>
      </w:r>
      <w:r>
        <w:t xml:space="preserve"> This information should include a description of these proposed projects, as well as their proposed costs, deliverables and estimated net benefit. This </w:t>
      </w:r>
      <w:r w:rsidR="001B03EA">
        <w:t>will assist</w:t>
      </w:r>
      <w:r>
        <w:t xml:space="preserve"> us in verifying whether distributors have </w:t>
      </w:r>
      <w:r w:rsidR="00BC750F">
        <w:t xml:space="preserve">tested the demand management services market in </w:t>
      </w:r>
      <w:r>
        <w:t xml:space="preserve">selecting the preferred option. </w:t>
      </w:r>
      <w:r w:rsidR="001A7D39">
        <w:t>It</w:t>
      </w:r>
      <w:r>
        <w:t xml:space="preserve"> also helps us understand any differing results between distributors' demand side engagement activities and whether these results are </w:t>
      </w:r>
      <w:r w:rsidR="0037286A">
        <w:t xml:space="preserve">likely </w:t>
      </w:r>
      <w:r>
        <w:t>driven by differing procurement practices, geographic markets or</w:t>
      </w:r>
      <w:r w:rsidR="0037286A">
        <w:t xml:space="preserve"> unique</w:t>
      </w:r>
      <w:r>
        <w:t xml:space="preserve"> network needs.</w:t>
      </w:r>
    </w:p>
    <w:p w:rsidR="0037286A" w:rsidRPr="0037286A" w:rsidRDefault="0037286A" w:rsidP="001B077E">
      <w:pPr>
        <w:pStyle w:val="AERbulletlistfirststyle"/>
      </w:pPr>
      <w:r w:rsidRPr="0037286A">
        <w:t xml:space="preserve">Identify </w:t>
      </w:r>
      <w:r w:rsidR="00706269" w:rsidRPr="0037286A">
        <w:t>the party/parties it</w:t>
      </w:r>
      <w:r w:rsidR="00706269">
        <w:t xml:space="preserve"> proposes to contract</w:t>
      </w:r>
      <w:r w:rsidR="00706269" w:rsidRPr="0037286A">
        <w:t xml:space="preserve"> </w:t>
      </w:r>
      <w:r w:rsidR="00364CB1">
        <w:t>with</w:t>
      </w:r>
      <w:r w:rsidR="00706269">
        <w:t>, or whether</w:t>
      </w:r>
      <w:r w:rsidRPr="0037286A">
        <w:t xml:space="preserve"> it proposes to provide </w:t>
      </w:r>
      <w:r w:rsidR="00706269">
        <w:t xml:space="preserve">the </w:t>
      </w:r>
      <w:r w:rsidRPr="0037286A">
        <w:t>demand management component in-house</w:t>
      </w:r>
      <w:r w:rsidR="001B077E">
        <w:t>.</w:t>
      </w:r>
      <w:r w:rsidR="001A7D39">
        <w:t xml:space="preserve"> Identifying t</w:t>
      </w:r>
      <w:r w:rsidR="00706269">
        <w:t>his</w:t>
      </w:r>
      <w:r w:rsidR="001A7D39">
        <w:t xml:space="preserve"> should help</w:t>
      </w:r>
      <w:r w:rsidR="001B077E">
        <w:t xml:space="preserve"> </w:t>
      </w:r>
      <w:r w:rsidR="001B077E">
        <w:lastRenderedPageBreak/>
        <w:t xml:space="preserve">us understand the state of the market for demand management services, and the outcomes of the distributors' </w:t>
      </w:r>
      <w:r w:rsidR="006D620F">
        <w:t>competitive</w:t>
      </w:r>
      <w:r w:rsidR="00A80D27">
        <w:t xml:space="preserve"> testing</w:t>
      </w:r>
      <w:r w:rsidR="001B077E">
        <w:t>.</w:t>
      </w:r>
    </w:p>
    <w:p w:rsidR="00706269" w:rsidRDefault="0037286A" w:rsidP="001B077E">
      <w:pPr>
        <w:pStyle w:val="AERbulletlistfirststyle"/>
      </w:pPr>
      <w:r w:rsidRPr="0037286A">
        <w:t>The expected costs of delivering demand management under the non-network option, as applied in its cost</w:t>
      </w:r>
      <w:r w:rsidR="00BC750F">
        <w:rPr>
          <w:rFonts w:cs="Arial"/>
        </w:rPr>
        <w:t>–</w:t>
      </w:r>
      <w:r w:rsidRPr="0037286A">
        <w:t xml:space="preserve">benefit analysis to determine the preferred option. </w:t>
      </w:r>
      <w:r w:rsidR="001A7D39">
        <w:t>A distributor</w:t>
      </w:r>
      <w:r w:rsidRPr="0037286A">
        <w:t xml:space="preserve"> must include the kVA per year of </w:t>
      </w:r>
      <w:r w:rsidR="003461AC" w:rsidRPr="0037286A">
        <w:t>ne</w:t>
      </w:r>
      <w:r w:rsidR="003461AC">
        <w:t xml:space="preserve">twork </w:t>
      </w:r>
      <w:r w:rsidRPr="0037286A">
        <w:t xml:space="preserve">demand </w:t>
      </w:r>
      <w:r>
        <w:t xml:space="preserve">that </w:t>
      </w:r>
      <w:r w:rsidR="001A7D39">
        <w:t>it</w:t>
      </w:r>
      <w:r>
        <w:t xml:space="preserve"> </w:t>
      </w:r>
      <w:r w:rsidR="00706269">
        <w:t>can call upon or control</w:t>
      </w:r>
      <w:r w:rsidRPr="0037286A">
        <w:t xml:space="preserve"> and</w:t>
      </w:r>
      <w:r>
        <w:t xml:space="preserve"> </w:t>
      </w:r>
      <w:r w:rsidRPr="0037286A">
        <w:t>expects to dispatch or control, based on its probabilisti</w:t>
      </w:r>
      <w:r w:rsidR="00706269">
        <w:t>c assessment. This</w:t>
      </w:r>
      <w:r w:rsidR="001A7D39">
        <w:t xml:space="preserve"> information should assist</w:t>
      </w:r>
      <w:r w:rsidR="00706269">
        <w:t xml:space="preserve"> us in:</w:t>
      </w:r>
    </w:p>
    <w:p w:rsidR="00706269" w:rsidRDefault="00706269" w:rsidP="001B077E">
      <w:pPr>
        <w:pStyle w:val="AERbulletlistsecondstyle"/>
      </w:pPr>
      <w:r>
        <w:t>Understanding the assumptions distributor</w:t>
      </w:r>
      <w:r w:rsidR="001B077E">
        <w:t>s apply</w:t>
      </w:r>
      <w:r>
        <w:t xml:space="preserve"> in assessing demand management option</w:t>
      </w:r>
      <w:r w:rsidR="001B077E">
        <w:t>s in their cost-benefit analyse</w:t>
      </w:r>
      <w:r>
        <w:t>s.</w:t>
      </w:r>
    </w:p>
    <w:p w:rsidR="0037286A" w:rsidRPr="002D7184" w:rsidRDefault="001B077E" w:rsidP="001B077E">
      <w:pPr>
        <w:pStyle w:val="AERbulletlistsecondstyle"/>
      </w:pPr>
      <w:r>
        <w:t>Projecting the Scheme's impact in subsequent financial years.</w:t>
      </w:r>
    </w:p>
    <w:p w:rsidR="002D7184" w:rsidRPr="002D7184" w:rsidRDefault="002D7184" w:rsidP="001B077E">
      <w:pPr>
        <w:pStyle w:val="Heading2"/>
      </w:pPr>
      <w:bookmarkStart w:id="70" w:name="_Toc491447261"/>
      <w:r w:rsidRPr="002D7184">
        <w:t>AER use of compliance report</w:t>
      </w:r>
      <w:bookmarkEnd w:id="70"/>
    </w:p>
    <w:p w:rsidR="00443DCA" w:rsidRDefault="002F6623" w:rsidP="002F6623">
      <w:r>
        <w:t>W</w:t>
      </w:r>
      <w:r w:rsidR="00706269">
        <w:t xml:space="preserve">ithin </w:t>
      </w:r>
      <w:r w:rsidR="00BF5EBE">
        <w:t>nine</w:t>
      </w:r>
      <w:r w:rsidR="00BF5EBE" w:rsidRPr="002D7184">
        <w:t xml:space="preserve"> </w:t>
      </w:r>
      <w:r w:rsidR="002D7184" w:rsidRPr="002D7184">
        <w:t>months of the completion of the regulatory year to which that compliance report pertains</w:t>
      </w:r>
      <w:r w:rsidR="00BC6A3B">
        <w:t>, we will</w:t>
      </w:r>
      <w:r>
        <w:t xml:space="preserve"> v</w:t>
      </w:r>
      <w:r w:rsidR="002D7184" w:rsidRPr="002D7184">
        <w:t xml:space="preserve">alidate the pass through of the incentive payment through the annual pricing proposal. </w:t>
      </w:r>
      <w:r w:rsidR="00A80D27">
        <w:t>Not necessarily at th</w:t>
      </w:r>
      <w:r w:rsidR="001A7D39">
        <w:t>e same</w:t>
      </w:r>
      <w:r w:rsidR="00A80D27">
        <w:t xml:space="preserve"> time, we </w:t>
      </w:r>
      <w:r>
        <w:t xml:space="preserve">will </w:t>
      </w:r>
      <w:r w:rsidR="00A80D27">
        <w:t xml:space="preserve">also </w:t>
      </w:r>
      <w:r w:rsidR="002D7184" w:rsidRPr="002D7184">
        <w:t xml:space="preserve">publish a performance report that compares how different </w:t>
      </w:r>
      <w:r w:rsidR="00443DCA">
        <w:t>distributors have applied the S</w:t>
      </w:r>
      <w:r w:rsidR="002D7184" w:rsidRPr="002D7184">
        <w:t>cheme.</w:t>
      </w:r>
      <w:r w:rsidR="00A80D27">
        <w:rPr>
          <w:rStyle w:val="FootnoteReference"/>
        </w:rPr>
        <w:footnoteReference w:id="58"/>
      </w:r>
      <w:r w:rsidR="00A80D27">
        <w:t xml:space="preserve"> </w:t>
      </w:r>
    </w:p>
    <w:p w:rsidR="00443DCA" w:rsidRDefault="002F6623" w:rsidP="000347DC">
      <w:pPr>
        <w:pStyle w:val="AERbulletlistfirststyle"/>
        <w:numPr>
          <w:ilvl w:val="0"/>
          <w:numId w:val="0"/>
        </w:numPr>
      </w:pPr>
      <w:r>
        <w:t xml:space="preserve">The annual </w:t>
      </w:r>
      <w:r w:rsidR="00443DCA">
        <w:t>performance report</w:t>
      </w:r>
      <w:r w:rsidR="000347DC">
        <w:t xml:space="preserve"> </w:t>
      </w:r>
      <w:r w:rsidR="00443DCA">
        <w:t>will assist us in identifying</w:t>
      </w:r>
      <w:r w:rsidR="002D7184" w:rsidRPr="002D7184">
        <w:t xml:space="preserve"> if </w:t>
      </w:r>
      <w:r w:rsidR="00AC404C">
        <w:t xml:space="preserve">there </w:t>
      </w:r>
      <w:r w:rsidR="000347DC">
        <w:t>is</w:t>
      </w:r>
      <w:r w:rsidR="00AC404C">
        <w:t xml:space="preserve"> </w:t>
      </w:r>
      <w:r w:rsidR="00364CB1">
        <w:t xml:space="preserve">merit </w:t>
      </w:r>
      <w:r w:rsidR="00AC404C">
        <w:t xml:space="preserve">in </w:t>
      </w:r>
      <w:r w:rsidR="006F70DD">
        <w:t xml:space="preserve">altering </w:t>
      </w:r>
      <w:r w:rsidR="00AC404C">
        <w:t>the m</w:t>
      </w:r>
      <w:r w:rsidR="000347DC">
        <w:t>agnitude of the cost multiplier</w:t>
      </w:r>
      <w:r w:rsidR="00AC404C">
        <w:t xml:space="preserve"> in</w:t>
      </w:r>
      <w:r w:rsidR="00364CB1">
        <w:t xml:space="preserve"> a</w:t>
      </w:r>
      <w:r w:rsidR="00AC404C">
        <w:t xml:space="preserve"> future </w:t>
      </w:r>
      <w:r w:rsidR="00364CB1">
        <w:t xml:space="preserve">version </w:t>
      </w:r>
      <w:r w:rsidR="00AC404C">
        <w:t xml:space="preserve">of the Scheme. </w:t>
      </w:r>
      <w:r>
        <w:t>For instance</w:t>
      </w:r>
      <w:r w:rsidR="000347DC">
        <w:t xml:space="preserve">, </w:t>
      </w:r>
      <w:r w:rsidR="000347DC" w:rsidRPr="000347DC">
        <w:t>when amending the Scheme</w:t>
      </w:r>
      <w:r w:rsidR="000347DC">
        <w:t>,</w:t>
      </w:r>
      <w:r w:rsidR="00443DCA">
        <w:t xml:space="preserve"> we may consider:</w:t>
      </w:r>
    </w:p>
    <w:p w:rsidR="00443DCA" w:rsidRDefault="002D7184" w:rsidP="000347DC">
      <w:pPr>
        <w:pStyle w:val="AERbulletlistfirststyle"/>
      </w:pPr>
      <w:r w:rsidRPr="002D7184">
        <w:tab/>
        <w:t xml:space="preserve">Reducing the </w:t>
      </w:r>
      <w:r w:rsidR="000347DC">
        <w:t xml:space="preserve">cost </w:t>
      </w:r>
      <w:r w:rsidRPr="002D7184">
        <w:t xml:space="preserve">multiplier where </w:t>
      </w:r>
      <w:r w:rsidR="00443DCA">
        <w:t>there are</w:t>
      </w:r>
      <w:r w:rsidRPr="002D7184">
        <w:t xml:space="preserve"> compliance concerns wi</w:t>
      </w:r>
      <w:r w:rsidR="00443DCA">
        <w:t>th</w:t>
      </w:r>
      <w:r w:rsidR="002736C5">
        <w:t xml:space="preserve"> distributor</w:t>
      </w:r>
      <w:r w:rsidR="00443DCA">
        <w:t>s</w:t>
      </w:r>
      <w:r w:rsidR="002736C5">
        <w:t>'</w:t>
      </w:r>
      <w:r w:rsidR="00443DCA">
        <w:t xml:space="preserve"> use of the S</w:t>
      </w:r>
      <w:r w:rsidRPr="002D7184">
        <w:t xml:space="preserve">cheme. </w:t>
      </w:r>
      <w:r w:rsidR="000347DC">
        <w:t>Compliance concerns</w:t>
      </w:r>
      <w:r w:rsidRPr="002D7184">
        <w:t xml:space="preserve"> might include</w:t>
      </w:r>
      <w:r w:rsidR="000347DC">
        <w:t xml:space="preserve"> (but are</w:t>
      </w:r>
      <w:r w:rsidR="002736C5">
        <w:t xml:space="preserve"> not limited to) distributors</w:t>
      </w:r>
      <w:r w:rsidRPr="002D7184">
        <w:t xml:space="preserve"> </w:t>
      </w:r>
      <w:r w:rsidR="00443DCA">
        <w:t xml:space="preserve">inflating </w:t>
      </w:r>
      <w:r w:rsidR="006D620F">
        <w:t xml:space="preserve">expected </w:t>
      </w:r>
      <w:r w:rsidR="00443DCA">
        <w:t xml:space="preserve">costs, reporting misleading information, </w:t>
      </w:r>
      <w:r w:rsidR="002736C5">
        <w:t>not complying</w:t>
      </w:r>
      <w:r w:rsidR="00443DCA">
        <w:t xml:space="preserve"> with the ring-fencing guidelines, and </w:t>
      </w:r>
      <w:r w:rsidR="002736C5">
        <w:t>not complying</w:t>
      </w:r>
      <w:r w:rsidR="00443DCA">
        <w:t xml:space="preserve"> with the </w:t>
      </w:r>
      <w:r w:rsidR="006671FC">
        <w:t>minimum project evaluation</w:t>
      </w:r>
      <w:r w:rsidR="00443DCA">
        <w:t xml:space="preserve"> requirements</w:t>
      </w:r>
      <w:r w:rsidR="002736C5">
        <w:t xml:space="preserve"> when</w:t>
      </w:r>
      <w:r w:rsidR="00443DCA">
        <w:t xml:space="preserve"> </w:t>
      </w:r>
      <w:r w:rsidR="00BF4F97">
        <w:t>relevant</w:t>
      </w:r>
      <w:r w:rsidR="00BC750F">
        <w:t>.</w:t>
      </w:r>
    </w:p>
    <w:p w:rsidR="000347DC" w:rsidRPr="002D7184" w:rsidRDefault="00C6232D" w:rsidP="000347DC">
      <w:pPr>
        <w:pStyle w:val="AERbulletlistfirststyle"/>
      </w:pPr>
      <w:r>
        <w:t>Adjusting</w:t>
      </w:r>
      <w:r w:rsidR="000347DC">
        <w:t xml:space="preserve"> </w:t>
      </w:r>
      <w:r w:rsidR="002D7184" w:rsidRPr="002D7184">
        <w:t xml:space="preserve">the </w:t>
      </w:r>
      <w:r w:rsidR="000347DC">
        <w:t xml:space="preserve">cost </w:t>
      </w:r>
      <w:r w:rsidR="002D7184" w:rsidRPr="002D7184">
        <w:t xml:space="preserve">multiplier where there is evidence that </w:t>
      </w:r>
      <w:r>
        <w:t>doing so might better incentivise</w:t>
      </w:r>
      <w:r w:rsidR="002D7184" w:rsidRPr="002D7184">
        <w:t xml:space="preserve"> </w:t>
      </w:r>
      <w:r w:rsidR="000347DC" w:rsidRPr="002D7184">
        <w:t>distributors to undertake efficient non-network options relating to demand management</w:t>
      </w:r>
      <w:r w:rsidR="002D7184" w:rsidRPr="002D7184">
        <w:t xml:space="preserve">. </w:t>
      </w:r>
      <w:r w:rsidR="001A7D39">
        <w:t>Such evidence</w:t>
      </w:r>
      <w:r w:rsidR="000347DC">
        <w:t xml:space="preserve"> might </w:t>
      </w:r>
      <w:r w:rsidR="001A7D39">
        <w:t xml:space="preserve">arise </w:t>
      </w:r>
      <w:r w:rsidR="000347DC">
        <w:t xml:space="preserve">following </w:t>
      </w:r>
      <w:r w:rsidR="002D7184" w:rsidRPr="002D7184">
        <w:t>market</w:t>
      </w:r>
      <w:r w:rsidR="000347DC">
        <w:t xml:space="preserve"> or regulatory changes</w:t>
      </w:r>
      <w:r w:rsidR="0068682F">
        <w:t xml:space="preserve"> or</w:t>
      </w:r>
      <w:r w:rsidR="000347DC">
        <w:t xml:space="preserve"> if our decision to set a cost multiplier of 50</w:t>
      </w:r>
      <w:r w:rsidR="0078383B" w:rsidRPr="0078383B">
        <w:t xml:space="preserve"> per cent</w:t>
      </w:r>
      <w:r w:rsidR="007060B5">
        <w:t xml:space="preserve"> </w:t>
      </w:r>
      <w:r w:rsidR="00BF4F97">
        <w:t xml:space="preserve">proves </w:t>
      </w:r>
      <w:r w:rsidR="000347DC">
        <w:t>either generous or conservative.</w:t>
      </w:r>
    </w:p>
    <w:p w:rsidR="003C0DA4" w:rsidRDefault="000636AB" w:rsidP="003C0DA4">
      <w:pPr>
        <w:pStyle w:val="AERbulletlistfirststyle"/>
        <w:numPr>
          <w:ilvl w:val="0"/>
          <w:numId w:val="0"/>
        </w:numPr>
      </w:pPr>
      <w:r>
        <w:t>The</w:t>
      </w:r>
      <w:r w:rsidR="003C0DA4">
        <w:t xml:space="preserve"> annual performance report should </w:t>
      </w:r>
      <w:r>
        <w:t xml:space="preserve">also </w:t>
      </w:r>
      <w:r w:rsidR="003C0DA4">
        <w:t xml:space="preserve">provide transparency </w:t>
      </w:r>
      <w:r w:rsidR="005C346C">
        <w:t>to enhance</w:t>
      </w:r>
      <w:r w:rsidR="005C346C" w:rsidRPr="005C346C">
        <w:t xml:space="preserve"> understanding </w:t>
      </w:r>
      <w:r w:rsidR="003C0DA4">
        <w:t>around how different distributors are:</w:t>
      </w:r>
    </w:p>
    <w:p w:rsidR="003C0DA4" w:rsidRDefault="003C0DA4" w:rsidP="003C0DA4">
      <w:pPr>
        <w:pStyle w:val="AERbulletlistfirststyle"/>
      </w:pPr>
      <w:r>
        <w:t>Estimating</w:t>
      </w:r>
      <w:r w:rsidR="005B0EED">
        <w:t xml:space="preserve">, </w:t>
      </w:r>
      <w:r>
        <w:t>accounting fo</w:t>
      </w:r>
      <w:r w:rsidR="005B0EED">
        <w:t>r and realising</w:t>
      </w:r>
      <w:r>
        <w:t xml:space="preserve"> the benefits of demand management.</w:t>
      </w:r>
    </w:p>
    <w:p w:rsidR="00FB3F28" w:rsidRDefault="00FB3F28" w:rsidP="003C0DA4">
      <w:pPr>
        <w:pStyle w:val="AERbulletlistfirststyle"/>
      </w:pPr>
      <w:r>
        <w:t xml:space="preserve">Procuring </w:t>
      </w:r>
      <w:r w:rsidR="005C346C">
        <w:t xml:space="preserve">or providing </w:t>
      </w:r>
      <w:r>
        <w:t>demand management as</w:t>
      </w:r>
      <w:r w:rsidR="005C346C">
        <w:t xml:space="preserve"> an input</w:t>
      </w:r>
      <w:r>
        <w:t xml:space="preserve"> </w:t>
      </w:r>
      <w:r w:rsidR="005C346C">
        <w:t>for</w:t>
      </w:r>
      <w:r>
        <w:t xml:space="preserve"> </w:t>
      </w:r>
      <w:r w:rsidR="005C346C">
        <w:t xml:space="preserve">distribution network services, and subsequently accruing </w:t>
      </w:r>
      <w:r w:rsidR="005C346C" w:rsidRPr="002D7184">
        <w:t>financial incentive</w:t>
      </w:r>
      <w:r w:rsidR="005C346C">
        <w:t>s under the Scheme.</w:t>
      </w:r>
    </w:p>
    <w:p w:rsidR="005B0EED" w:rsidRDefault="005B0EED" w:rsidP="005B0EED">
      <w:pPr>
        <w:pStyle w:val="AERbulletlistfirststyle"/>
      </w:pPr>
      <w:r>
        <w:lastRenderedPageBreak/>
        <w:t xml:space="preserve">Proactively tendering for </w:t>
      </w:r>
      <w:r w:rsidR="00BF5374" w:rsidRPr="00D87D7B">
        <w:t xml:space="preserve">another legal entity </w:t>
      </w:r>
      <w:r w:rsidR="00BF5374">
        <w:t>to provide</w:t>
      </w:r>
      <w:r>
        <w:t xml:space="preserve"> demand management services.</w:t>
      </w:r>
    </w:p>
    <w:p w:rsidR="005B0EED" w:rsidRDefault="005B0EED" w:rsidP="005B0EED">
      <w:pPr>
        <w:pStyle w:val="AERbulletlistfirststyle"/>
      </w:pPr>
      <w:r>
        <w:t>Undertaking demand management in-house in a manner that is compliant with the ring-fencing guidelines.</w:t>
      </w:r>
    </w:p>
    <w:p w:rsidR="003C0DA4" w:rsidRDefault="005C346C" w:rsidP="005B0EED">
      <w:pPr>
        <w:pStyle w:val="AERbulletlistfirststyle"/>
      </w:pPr>
      <w:r>
        <w:t>Utilising demand management in different ways to m</w:t>
      </w:r>
      <w:r w:rsidR="001B03EA">
        <w:t>eet their unique network needs.</w:t>
      </w:r>
    </w:p>
    <w:p w:rsidR="00BC6A3B" w:rsidRDefault="00BC6A3B" w:rsidP="00BC6A3B">
      <w:pPr>
        <w:pStyle w:val="Heading1"/>
      </w:pPr>
      <w:bookmarkStart w:id="71" w:name="_Toc491447262"/>
      <w:r>
        <w:lastRenderedPageBreak/>
        <w:t>Accruing</w:t>
      </w:r>
      <w:r w:rsidR="00BA05DA">
        <w:t xml:space="preserve"> and applying</w:t>
      </w:r>
      <w:r>
        <w:t xml:space="preserve"> the financial incentive</w:t>
      </w:r>
      <w:bookmarkEnd w:id="71"/>
    </w:p>
    <w:p w:rsidR="00675BD0" w:rsidRDefault="00E5584C" w:rsidP="00675BD0">
      <w:r w:rsidRPr="00F30FC3">
        <w:t>Clause</w:t>
      </w:r>
      <w:r w:rsidR="00BA05DA" w:rsidRPr="00F30FC3">
        <w:t>s</w:t>
      </w:r>
      <w:r w:rsidR="00533CF5">
        <w:t xml:space="preserve"> 2.5–2.6</w:t>
      </w:r>
      <w:r w:rsidR="00675BD0">
        <w:t xml:space="preserve"> of the draft Scheme describe</w:t>
      </w:r>
      <w:r w:rsidRPr="00F30FC3">
        <w:t xml:space="preserve"> how </w:t>
      </w:r>
      <w:r w:rsidR="00675BD0">
        <w:t>project</w:t>
      </w:r>
      <w:r w:rsidR="00BA05DA" w:rsidRPr="00F30FC3">
        <w:t xml:space="preserve"> incentive</w:t>
      </w:r>
      <w:r w:rsidR="00675BD0">
        <w:t>s</w:t>
      </w:r>
      <w:r w:rsidR="00BA05DA" w:rsidRPr="00F30FC3">
        <w:t xml:space="preserve"> </w:t>
      </w:r>
      <w:r w:rsidRPr="00F30FC3">
        <w:t>accrue</w:t>
      </w:r>
      <w:r w:rsidR="00675BD0">
        <w:t xml:space="preserve"> to form a total financial incentive for a regulatory year</w:t>
      </w:r>
      <w:r w:rsidRPr="00F30FC3">
        <w:t xml:space="preserve">. </w:t>
      </w:r>
      <w:r w:rsidR="00675BD0">
        <w:t>These clauses set out that:</w:t>
      </w:r>
    </w:p>
    <w:p w:rsidR="00E5584C" w:rsidRDefault="00675BD0" w:rsidP="00675BD0">
      <w:pPr>
        <w:pStyle w:val="AERbulletlistfirststyle"/>
      </w:pPr>
      <w:r>
        <w:t xml:space="preserve">The total financial </w:t>
      </w:r>
      <w:r w:rsidR="00C92B78">
        <w:t xml:space="preserve">incentive accrued </w:t>
      </w:r>
      <w:r w:rsidR="00E5584C">
        <w:t>to a distribut</w:t>
      </w:r>
      <w:r w:rsidR="006D620F">
        <w:t>or</w:t>
      </w:r>
      <w:r w:rsidR="00E5584C">
        <w:t xml:space="preserve"> in any regulatory year </w:t>
      </w:r>
      <w:r>
        <w:t>cannot exceed</w:t>
      </w:r>
      <w:r w:rsidR="00C92B78">
        <w:t xml:space="preserve"> </w:t>
      </w:r>
      <w:r w:rsidR="0078383B">
        <w:t>1.0 per cent</w:t>
      </w:r>
      <w:r w:rsidR="00C92B78" w:rsidRPr="001C0665">
        <w:t xml:space="preserve"> of </w:t>
      </w:r>
      <w:r>
        <w:t>the distributor's</w:t>
      </w:r>
      <w:r w:rsidR="00C92B78" w:rsidRPr="001C0665">
        <w:t xml:space="preserve"> revenue requirement </w:t>
      </w:r>
      <w:r w:rsidR="00E5584C">
        <w:t>for that regulatory year.</w:t>
      </w:r>
    </w:p>
    <w:p w:rsidR="00F30FC3" w:rsidRDefault="00675BD0" w:rsidP="00F30FC3">
      <w:pPr>
        <w:pStyle w:val="AERbulletlistfirststyle"/>
      </w:pPr>
      <w:r>
        <w:t>We i</w:t>
      </w:r>
      <w:r w:rsidR="00E5584C">
        <w:t>ncorporate</w:t>
      </w:r>
      <w:r w:rsidR="00C92B78">
        <w:t xml:space="preserve"> the</w:t>
      </w:r>
      <w:r>
        <w:t xml:space="preserve"> total</w:t>
      </w:r>
      <w:r w:rsidR="00C92B78">
        <w:t xml:space="preserve"> financial incentive into </w:t>
      </w:r>
      <w:r w:rsidR="00E5584C">
        <w:t>a distributor's r</w:t>
      </w:r>
      <w:r w:rsidR="00C92B78">
        <w:t xml:space="preserve">evenue </w:t>
      </w:r>
      <w:r w:rsidR="00C81709">
        <w:t>requirement with a two</w:t>
      </w:r>
      <w:r w:rsidR="00BF4F97">
        <w:t>-</w:t>
      </w:r>
      <w:r w:rsidR="00C81709">
        <w:t>year lag.</w:t>
      </w:r>
    </w:p>
    <w:p w:rsidR="00B70E07" w:rsidRDefault="00B70E07" w:rsidP="00F30FC3">
      <w:pPr>
        <w:pStyle w:val="AERbulletlistfirststyle"/>
      </w:pPr>
      <w:r>
        <w:t>The</w:t>
      </w:r>
      <w:r w:rsidR="00192646">
        <w:t xml:space="preserve"> total project incentive</w:t>
      </w:r>
      <w:r>
        <w:t xml:space="preserve"> accrue</w:t>
      </w:r>
      <w:r w:rsidR="00192646">
        <w:t>s</w:t>
      </w:r>
      <w:r>
        <w:t xml:space="preserve"> to distributors</w:t>
      </w:r>
      <w:r w:rsidR="00192646">
        <w:t xml:space="preserve"> </w:t>
      </w:r>
      <w:r>
        <w:t>on an ex-ante basis.</w:t>
      </w:r>
    </w:p>
    <w:p w:rsidR="00E5584C" w:rsidRDefault="00675BD0" w:rsidP="00E5584C">
      <w:pPr>
        <w:pStyle w:val="Heading2"/>
      </w:pPr>
      <w:bookmarkStart w:id="72" w:name="_Toc491447263"/>
      <w:r>
        <w:t>Total financial i</w:t>
      </w:r>
      <w:r w:rsidR="00E5584C">
        <w:t>ncentive cap</w:t>
      </w:r>
      <w:r w:rsidR="00C26AD1">
        <w:t xml:space="preserve"> requirement</w:t>
      </w:r>
      <w:bookmarkEnd w:id="72"/>
    </w:p>
    <w:p w:rsidR="00E5584C" w:rsidRDefault="000608BA" w:rsidP="00E5584C">
      <w:pPr>
        <w:pStyle w:val="AERbulletlistfirststyle"/>
        <w:numPr>
          <w:ilvl w:val="0"/>
          <w:numId w:val="0"/>
        </w:numPr>
      </w:pPr>
      <w:r>
        <w:t xml:space="preserve">The draft Scheme caps the </w:t>
      </w:r>
      <w:r w:rsidR="00675BD0">
        <w:t>total</w:t>
      </w:r>
      <w:r>
        <w:t xml:space="preserve"> financial incentive a distributor can receiv</w:t>
      </w:r>
      <w:r w:rsidR="0078383B">
        <w:t>e in any regulatory year to 1.0 per cent</w:t>
      </w:r>
      <w:r>
        <w:t xml:space="preserve"> of its </w:t>
      </w:r>
      <w:r w:rsidRPr="001C0665">
        <w:t xml:space="preserve">annual smoothed revenue requirement </w:t>
      </w:r>
      <w:r w:rsidRPr="000608BA">
        <w:t>for that regulatory year</w:t>
      </w:r>
      <w:r>
        <w:t>.</w:t>
      </w:r>
    </w:p>
    <w:p w:rsidR="00EA310E" w:rsidRDefault="000608BA" w:rsidP="00E5584C">
      <w:pPr>
        <w:pStyle w:val="AERbulletlistfirststyle"/>
        <w:numPr>
          <w:ilvl w:val="0"/>
          <w:numId w:val="0"/>
        </w:numPr>
      </w:pPr>
      <w:r>
        <w:t>We have decided to include a cap</w:t>
      </w:r>
      <w:r w:rsidR="00007520">
        <w:t xml:space="preserve"> to</w:t>
      </w:r>
      <w:r w:rsidR="00007520" w:rsidRPr="00007520">
        <w:t xml:space="preserve"> protect retail customers from the possibility of bearing costs under the Scheme that are </w:t>
      </w:r>
      <w:r w:rsidR="00EC4354">
        <w:t>unexpectedly high</w:t>
      </w:r>
      <w:r w:rsidR="00007520" w:rsidRPr="00007520">
        <w:t>.</w:t>
      </w:r>
      <w:r w:rsidR="00007520" w:rsidRPr="00007520">
        <w:rPr>
          <w:rStyle w:val="FootnoteReference"/>
        </w:rPr>
        <w:footnoteReference w:id="59"/>
      </w:r>
      <w:r w:rsidR="00007520">
        <w:t xml:space="preserve"> There is value in providing such protection</w:t>
      </w:r>
      <w:r w:rsidR="00557E9A">
        <w:t>, which</w:t>
      </w:r>
      <w:r w:rsidR="00007520">
        <w:t xml:space="preserve"> </w:t>
      </w:r>
      <w:r w:rsidR="005558E7" w:rsidRPr="005558E7">
        <w:t>can limit the potential risk</w:t>
      </w:r>
      <w:r w:rsidR="005558E7">
        <w:t xml:space="preserve"> of</w:t>
      </w:r>
      <w:r w:rsidR="00EA310E">
        <w:t>:</w:t>
      </w:r>
    </w:p>
    <w:p w:rsidR="00594AB7" w:rsidRDefault="006D620F" w:rsidP="00B13B36">
      <w:pPr>
        <w:pStyle w:val="AERbulletlistfirststyle"/>
      </w:pPr>
      <w:r>
        <w:t>S</w:t>
      </w:r>
      <w:r w:rsidR="007F7ED0">
        <w:t>etting an incentive that is too high-powered</w:t>
      </w:r>
      <w:r w:rsidR="005558E7">
        <w:t>, which may arise given</w:t>
      </w:r>
      <w:r w:rsidR="00594AB7">
        <w:t xml:space="preserve"> we adopt</w:t>
      </w:r>
      <w:r w:rsidR="007F7ED0">
        <w:t xml:space="preserve"> a</w:t>
      </w:r>
      <w:r w:rsidR="00594AB7">
        <w:t xml:space="preserve"> simpler and</w:t>
      </w:r>
      <w:r w:rsidR="007F7ED0">
        <w:t xml:space="preserve"> less '</w:t>
      </w:r>
      <w:r w:rsidR="006E014A">
        <w:t>precise</w:t>
      </w:r>
      <w:r w:rsidR="007F7ED0">
        <w:t>' approach</w:t>
      </w:r>
      <w:r w:rsidR="00557E9A">
        <w:t>. For instance, the draft Scheme proposes a uniform incentive (a dema</w:t>
      </w:r>
      <w:r w:rsidR="0078383B">
        <w:t>nd management cost uplift of 50 per cent</w:t>
      </w:r>
      <w:r w:rsidR="00557E9A">
        <w:t>),</w:t>
      </w:r>
      <w:r w:rsidR="00557E9A">
        <w:rPr>
          <w:rStyle w:val="FootnoteReference"/>
        </w:rPr>
        <w:footnoteReference w:id="60"/>
      </w:r>
      <w:r w:rsidR="00557E9A">
        <w:t xml:space="preserve"> which we consider a </w:t>
      </w:r>
      <w:r w:rsidR="00557E9A" w:rsidRPr="00B13B36">
        <w:t xml:space="preserve">reasonable magnitude for </w:t>
      </w:r>
      <w:r w:rsidR="00557E9A">
        <w:t>projects on average (but not necessarily at an individual-project level).</w:t>
      </w:r>
      <w:r w:rsidR="00557E9A">
        <w:rPr>
          <w:rStyle w:val="FootnoteReference"/>
        </w:rPr>
        <w:footnoteReference w:id="61"/>
      </w:r>
    </w:p>
    <w:p w:rsidR="00557E9A" w:rsidRDefault="00557E9A" w:rsidP="0063421B">
      <w:pPr>
        <w:pStyle w:val="AERbulletlistfirststyle"/>
      </w:pPr>
      <w:r>
        <w:t>The initial design containing unintended loopholes or challenges for enforcing compliance. Such design limitations could lead the Scheme</w:t>
      </w:r>
      <w:r w:rsidR="006D620F">
        <w:t xml:space="preserve"> to</w:t>
      </w:r>
      <w:r>
        <w:t xml:space="preserve"> unintentionally incentivise </w:t>
      </w:r>
      <w:r w:rsidR="006D620F">
        <w:t xml:space="preserve">inefficient </w:t>
      </w:r>
      <w:r>
        <w:t xml:space="preserve">projects and/or </w:t>
      </w:r>
      <w:r w:rsidR="006D620F">
        <w:t xml:space="preserve">project that </w:t>
      </w:r>
      <w:r>
        <w:t>do not deliver net co</w:t>
      </w:r>
      <w:r w:rsidR="006D620F">
        <w:t>st savings to retail customers.</w:t>
      </w:r>
      <w:r w:rsidR="0063421B">
        <w:t xml:space="preserve"> For instance, Energy Consumers Australia's support for providing financial incentives under the Scheme is contingent on networks </w:t>
      </w:r>
      <w:r w:rsidR="0063421B" w:rsidRPr="0063421B">
        <w:t xml:space="preserve">engaging the support of their consumers for proposed </w:t>
      </w:r>
      <w:r w:rsidR="0063421B">
        <w:t xml:space="preserve">demand management activities, and </w:t>
      </w:r>
      <w:r w:rsidR="0063421B" w:rsidRPr="0063421B">
        <w:t>providing clear and a</w:t>
      </w:r>
      <w:r w:rsidR="0063421B">
        <w:t xml:space="preserve">ccessible information about these </w:t>
      </w:r>
      <w:r w:rsidR="0063421B" w:rsidRPr="0063421B">
        <w:t xml:space="preserve">activities </w:t>
      </w:r>
      <w:r w:rsidR="0063421B">
        <w:t xml:space="preserve">and </w:t>
      </w:r>
      <w:r w:rsidR="0063421B" w:rsidRPr="0063421B">
        <w:t>the</w:t>
      </w:r>
      <w:r w:rsidR="0063421B">
        <w:t>ir</w:t>
      </w:r>
      <w:r w:rsidR="0063421B" w:rsidRPr="0063421B">
        <w:t xml:space="preserve"> impacts on the need for other network investments.</w:t>
      </w:r>
      <w:r w:rsidR="0063421B">
        <w:rPr>
          <w:rStyle w:val="FootnoteReference"/>
        </w:rPr>
        <w:footnoteReference w:id="62"/>
      </w:r>
      <w:r w:rsidR="0063421B">
        <w:t xml:space="preserve"> While the Scheme should hopefully support these activities, </w:t>
      </w:r>
      <w:r w:rsidR="00EC4354">
        <w:t>there are always risks in designing and implementing a new incentive scheme or regulatory mechanism</w:t>
      </w:r>
      <w:r w:rsidR="00533CF5">
        <w:t>.</w:t>
      </w:r>
    </w:p>
    <w:p w:rsidR="000608BA" w:rsidRDefault="000608BA" w:rsidP="00E5584C">
      <w:pPr>
        <w:pStyle w:val="AERbulletlistfirststyle"/>
        <w:numPr>
          <w:ilvl w:val="0"/>
          <w:numId w:val="0"/>
        </w:numPr>
      </w:pPr>
      <w:r>
        <w:lastRenderedPageBreak/>
        <w:t>We consider 1.</w:t>
      </w:r>
      <w:r w:rsidR="0078383B">
        <w:t>0 per cent</w:t>
      </w:r>
      <w:r>
        <w:t xml:space="preserve"> of the revenue requirement </w:t>
      </w:r>
      <w:r w:rsidR="006D620F">
        <w:t>is</w:t>
      </w:r>
      <w:r>
        <w:t xml:space="preserve"> a reasonable cap </w:t>
      </w:r>
      <w:r w:rsidR="006D620F">
        <w:t>to place in the</w:t>
      </w:r>
      <w:r w:rsidR="00EA310E">
        <w:t xml:space="preserve"> first version of the Scheme</w:t>
      </w:r>
      <w:r w:rsidR="006D620F">
        <w:t xml:space="preserve"> </w:t>
      </w:r>
      <w:r w:rsidR="0068682F">
        <w:t>as this</w:t>
      </w:r>
      <w:r>
        <w:t>:</w:t>
      </w:r>
    </w:p>
    <w:p w:rsidR="009F6C8A" w:rsidRDefault="0068682F" w:rsidP="00A77A23">
      <w:pPr>
        <w:pStyle w:val="AERbulletlistfirststyle"/>
      </w:pPr>
      <w:r>
        <w:t xml:space="preserve">Is </w:t>
      </w:r>
      <w:r w:rsidR="00A77A23">
        <w:t>similar to the</w:t>
      </w:r>
      <w:r w:rsidR="00472802">
        <w:t xml:space="preserve"> </w:t>
      </w:r>
      <w:r w:rsidR="00A77A23">
        <w:t>cap</w:t>
      </w:r>
      <w:r w:rsidR="00472802">
        <w:t xml:space="preserve"> used under </w:t>
      </w:r>
      <w:r w:rsidR="00A77A23">
        <w:t>t</w:t>
      </w:r>
      <w:r w:rsidR="00DA0029" w:rsidRPr="00DA0029">
        <w:t>he</w:t>
      </w:r>
      <w:r w:rsidR="009F6C8A">
        <w:t xml:space="preserve"> annual network capability incentive allowance</w:t>
      </w:r>
      <w:r w:rsidR="00A77A23">
        <w:t>. This</w:t>
      </w:r>
      <w:r w:rsidR="009F6C8A">
        <w:t xml:space="preserve"> cannot be greater than 1.5 per cent of the average annual maximum allowed revenue</w:t>
      </w:r>
      <w:r w:rsidR="009F6C8A" w:rsidRPr="00DA0029">
        <w:t xml:space="preserve"> </w:t>
      </w:r>
      <w:r w:rsidR="009F6C8A">
        <w:t>of</w:t>
      </w:r>
      <w:r w:rsidR="00DA0029" w:rsidRPr="00DA0029">
        <w:t xml:space="preserve"> </w:t>
      </w:r>
      <w:r w:rsidR="00DA0029">
        <w:t>a transmission network service prov</w:t>
      </w:r>
      <w:r w:rsidR="009F6C8A">
        <w:t>ider over the regulatory control period</w:t>
      </w:r>
      <w:r w:rsidR="00DA0029">
        <w:t>.</w:t>
      </w:r>
      <w:r w:rsidR="00DA0029">
        <w:rPr>
          <w:rStyle w:val="FootnoteReference"/>
        </w:rPr>
        <w:footnoteReference w:id="63"/>
      </w:r>
    </w:p>
    <w:p w:rsidR="00BC4E62" w:rsidRDefault="00564B67" w:rsidP="00EA310E">
      <w:pPr>
        <w:pStyle w:val="AERbulletlistfirststyle"/>
      </w:pPr>
      <w:r>
        <w:t xml:space="preserve">As illustrated in </w:t>
      </w:r>
      <w:r>
        <w:fldChar w:fldCharType="begin"/>
      </w:r>
      <w:r>
        <w:instrText xml:space="preserve"> REF  _Ref486949375 \* Lower \h </w:instrText>
      </w:r>
      <w:r>
        <w:fldChar w:fldCharType="separate"/>
      </w:r>
      <w:r w:rsidR="0076296B">
        <w:t xml:space="preserve">table </w:t>
      </w:r>
      <w:r w:rsidR="0076296B">
        <w:rPr>
          <w:noProof/>
        </w:rPr>
        <w:t>5</w:t>
      </w:r>
      <w:r>
        <w:fldChar w:fldCharType="end"/>
      </w:r>
      <w:r>
        <w:t>, a</w:t>
      </w:r>
      <w:r w:rsidR="00C26AD1">
        <w:t>llows distributors to receive a total incentive on their</w:t>
      </w:r>
      <w:r>
        <w:t xml:space="preserve"> efficient demand management costs of </w:t>
      </w:r>
      <w:r w:rsidR="00C26AD1">
        <w:t xml:space="preserve">up to </w:t>
      </w:r>
      <w:r>
        <w:t>approximately $1.2</w:t>
      </w:r>
      <w:r>
        <w:rPr>
          <w:rFonts w:cs="Arial"/>
        </w:rPr>
        <w:t>–</w:t>
      </w:r>
      <w:r>
        <w:t>15.1 million per year, depending on the size of the distribut</w:t>
      </w:r>
      <w:r w:rsidR="00BC4E62">
        <w:t>or. We are of the view that</w:t>
      </w:r>
      <w:r w:rsidR="0068682F">
        <w:t xml:space="preserve"> this is</w:t>
      </w:r>
      <w:r w:rsidR="00BC4E62">
        <w:t>:</w:t>
      </w:r>
    </w:p>
    <w:p w:rsidR="004926D5" w:rsidRDefault="0068682F" w:rsidP="00BC4E62">
      <w:pPr>
        <w:pStyle w:val="AERbulletlistsecondstyle"/>
      </w:pPr>
      <w:r>
        <w:t>Substantial</w:t>
      </w:r>
      <w:r w:rsidR="00EA310E">
        <w:t xml:space="preserve"> enough to incentivise distributors to actively explore demand management opportunities</w:t>
      </w:r>
      <w:r w:rsidR="00EA310E" w:rsidRPr="004926D5">
        <w:t>, where efficient to do so</w:t>
      </w:r>
      <w:r w:rsidR="00EA310E">
        <w:t>, as a competitive solution against supply-side options.</w:t>
      </w:r>
    </w:p>
    <w:p w:rsidR="00BC4E62" w:rsidRDefault="0068682F" w:rsidP="00BC4E62">
      <w:pPr>
        <w:pStyle w:val="AERbulletlistsecondstyle"/>
      </w:pPr>
      <w:r>
        <w:t>Modest</w:t>
      </w:r>
      <w:r w:rsidR="00BC4E62">
        <w:t xml:space="preserve"> enough to protect retail customers from bearing costs under the Scheme that are </w:t>
      </w:r>
      <w:r w:rsidR="00EC4354">
        <w:t>unexpectedly high</w:t>
      </w:r>
      <w:r w:rsidR="00BC4E62">
        <w:t>, considering the long term benefits that the Scheme will provide to them.</w:t>
      </w:r>
      <w:r w:rsidR="00BC4E62">
        <w:rPr>
          <w:rStyle w:val="FootnoteReference"/>
        </w:rPr>
        <w:footnoteReference w:id="64"/>
      </w:r>
    </w:p>
    <w:p w:rsidR="00EA310E" w:rsidRDefault="0068682F" w:rsidP="00007520">
      <w:pPr>
        <w:pStyle w:val="AERbulletlistsecondstyle"/>
      </w:pPr>
      <w:r>
        <w:t>Unlikely to be too restrictive. For instance, t</w:t>
      </w:r>
      <w:r w:rsidR="00007520">
        <w:t>here is no pressing need</w:t>
      </w:r>
      <w:r w:rsidR="0078383B">
        <w:t xml:space="preserve"> to consider increasing the 1.0 per cent</w:t>
      </w:r>
      <w:r w:rsidR="00007520">
        <w:t xml:space="preserve"> cap given d</w:t>
      </w:r>
      <w:r w:rsidR="00BC4E62">
        <w:t xml:space="preserve">istributors will need to undertake a </w:t>
      </w:r>
      <w:r w:rsidR="006D620F">
        <w:t xml:space="preserve">notably </w:t>
      </w:r>
      <w:r w:rsidR="00BC4E62">
        <w:t xml:space="preserve">larger amount of efficient demand management before </w:t>
      </w:r>
      <w:r w:rsidR="00007520">
        <w:t>they reach this cap</w:t>
      </w:r>
      <w:r w:rsidR="00BC4E62">
        <w:t>.</w:t>
      </w:r>
      <w:r w:rsidR="00007520">
        <w:t xml:space="preserve"> As such, there is merit in revaluating the 1.0</w:t>
      </w:r>
      <w:r w:rsidR="0078383B" w:rsidRPr="0078383B">
        <w:t xml:space="preserve"> per cent</w:t>
      </w:r>
      <w:r w:rsidR="00007520">
        <w:t xml:space="preserve"> cap after observing the Scheme's impact on encouraging net</w:t>
      </w:r>
      <w:r w:rsidR="006D620F">
        <w:t>work-level demand management.</w:t>
      </w:r>
    </w:p>
    <w:p w:rsidR="002E59D6" w:rsidRDefault="002E59D6" w:rsidP="002E59D6">
      <w:pPr>
        <w:pStyle w:val="Caption"/>
      </w:pPr>
      <w:bookmarkStart w:id="73" w:name="_Ref486949375"/>
      <w:r>
        <w:t xml:space="preserve">Table </w:t>
      </w:r>
      <w:r w:rsidR="0076296B">
        <w:fldChar w:fldCharType="begin"/>
      </w:r>
      <w:r w:rsidR="0076296B">
        <w:instrText xml:space="preserve"> SEQ Table \* ARABIC </w:instrText>
      </w:r>
      <w:r w:rsidR="0076296B">
        <w:fldChar w:fldCharType="separate"/>
      </w:r>
      <w:r w:rsidR="0076296B">
        <w:rPr>
          <w:noProof/>
        </w:rPr>
        <w:t>5</w:t>
      </w:r>
      <w:r w:rsidR="0076296B">
        <w:rPr>
          <w:noProof/>
        </w:rPr>
        <w:fldChar w:fldCharType="end"/>
      </w:r>
      <w:bookmarkEnd w:id="73"/>
      <w:r>
        <w:t xml:space="preserve">: </w:t>
      </w:r>
      <w:r w:rsidR="00564B67">
        <w:t>One per cent</w:t>
      </w:r>
      <w:r>
        <w:t xml:space="preserve"> allowed revenue in </w:t>
      </w:r>
      <w:r w:rsidR="00564B67">
        <w:t>recent year ($ mil)</w:t>
      </w:r>
      <w:r>
        <w:rPr>
          <w:rStyle w:val="FootnoteReference"/>
        </w:rPr>
        <w:footnoteReference w:id="65"/>
      </w:r>
    </w:p>
    <w:tbl>
      <w:tblPr>
        <w:tblStyle w:val="AERtable-text0"/>
        <w:tblW w:w="5000" w:type="pct"/>
        <w:tblLook w:val="04A0" w:firstRow="1" w:lastRow="0" w:firstColumn="1" w:lastColumn="0" w:noHBand="0" w:noVBand="1"/>
      </w:tblPr>
      <w:tblGrid>
        <w:gridCol w:w="2297"/>
        <w:gridCol w:w="2132"/>
        <w:gridCol w:w="2132"/>
        <w:gridCol w:w="2132"/>
      </w:tblGrid>
      <w:tr w:rsidR="00564B67" w:rsidRPr="002E59D6" w:rsidTr="00564B67">
        <w:trPr>
          <w:cnfStyle w:val="100000000000" w:firstRow="1" w:lastRow="0" w:firstColumn="0" w:lastColumn="0" w:oddVBand="0" w:evenVBand="0" w:oddHBand="0" w:evenHBand="0" w:firstRowFirstColumn="0" w:firstRowLastColumn="0" w:lastRowFirstColumn="0" w:lastRowLastColumn="0"/>
          <w:trHeight w:val="315"/>
        </w:trPr>
        <w:tc>
          <w:tcPr>
            <w:tcW w:w="1321" w:type="pct"/>
            <w:noWrap/>
            <w:hideMark/>
          </w:tcPr>
          <w:p w:rsidR="00564B67" w:rsidRPr="00564B67" w:rsidRDefault="00564B67" w:rsidP="00564B67">
            <w:r w:rsidRPr="00564B67">
              <w:t>Distributor</w:t>
            </w:r>
            <w:r>
              <w:t xml:space="preserve"> (</w:t>
            </w:r>
            <w:r w:rsidRPr="00564B67">
              <w:t>2015–16</w:t>
            </w:r>
            <w:r>
              <w:t>)</w:t>
            </w:r>
          </w:p>
        </w:tc>
        <w:tc>
          <w:tcPr>
            <w:tcW w:w="1226" w:type="pct"/>
            <w:noWrap/>
            <w:hideMark/>
          </w:tcPr>
          <w:p w:rsidR="00564B67" w:rsidRPr="00564B67" w:rsidRDefault="00564B67" w:rsidP="00C26AD1">
            <w:r w:rsidRPr="00564B67">
              <w:t xml:space="preserve"> 1.0% of </w:t>
            </w:r>
            <w:r w:rsidR="00C26AD1">
              <w:t>allowed revenue</w:t>
            </w:r>
          </w:p>
        </w:tc>
        <w:tc>
          <w:tcPr>
            <w:tcW w:w="1226" w:type="pct"/>
          </w:tcPr>
          <w:p w:rsidR="00564B67" w:rsidRPr="00564B67" w:rsidRDefault="00564B67" w:rsidP="00564B67">
            <w:r w:rsidRPr="00564B67">
              <w:t>Distributor</w:t>
            </w:r>
            <w:r>
              <w:t xml:space="preserve"> (</w:t>
            </w:r>
            <w:r w:rsidRPr="00564B67">
              <w:t>2016</w:t>
            </w:r>
            <w:r>
              <w:t>)</w:t>
            </w:r>
          </w:p>
        </w:tc>
        <w:tc>
          <w:tcPr>
            <w:tcW w:w="1226" w:type="pct"/>
          </w:tcPr>
          <w:p w:rsidR="00564B67" w:rsidRPr="00564B67" w:rsidRDefault="00564B67" w:rsidP="00C26AD1">
            <w:r w:rsidRPr="00564B67">
              <w:t> 1.0% o</w:t>
            </w:r>
            <w:r w:rsidR="00C26AD1">
              <w:t>f allowed revenue</w:t>
            </w:r>
          </w:p>
        </w:tc>
      </w:tr>
      <w:tr w:rsidR="00564B67" w:rsidRPr="002E59D6" w:rsidTr="00564B67">
        <w:trPr>
          <w:trHeight w:val="315"/>
        </w:trPr>
        <w:tc>
          <w:tcPr>
            <w:tcW w:w="1321" w:type="pct"/>
            <w:noWrap/>
          </w:tcPr>
          <w:p w:rsidR="00564B67" w:rsidRPr="00564B67" w:rsidRDefault="00564B67" w:rsidP="00564B67">
            <w:r w:rsidRPr="00564B67">
              <w:t>ActewAGL Distribution*</w:t>
            </w:r>
          </w:p>
        </w:tc>
        <w:tc>
          <w:tcPr>
            <w:tcW w:w="1226" w:type="pct"/>
            <w:noWrap/>
          </w:tcPr>
          <w:p w:rsidR="00564B67" w:rsidRPr="00564B67" w:rsidRDefault="00564B67" w:rsidP="00564B67">
            <w:r w:rsidRPr="00564B67">
              <w:t xml:space="preserve">      1.22</w:t>
            </w:r>
          </w:p>
        </w:tc>
        <w:tc>
          <w:tcPr>
            <w:tcW w:w="1226" w:type="pct"/>
          </w:tcPr>
          <w:p w:rsidR="00564B67" w:rsidRPr="00564B67" w:rsidRDefault="00564B67" w:rsidP="00564B67">
            <w:r w:rsidRPr="00564B67">
              <w:t xml:space="preserve">AusNet </w:t>
            </w:r>
          </w:p>
        </w:tc>
        <w:tc>
          <w:tcPr>
            <w:tcW w:w="1226" w:type="pct"/>
          </w:tcPr>
          <w:p w:rsidR="00564B67" w:rsidRPr="00564B67" w:rsidRDefault="00564B67" w:rsidP="00564B67">
            <w:r w:rsidRPr="00564B67">
              <w:t xml:space="preserve">      5.86 </w:t>
            </w:r>
          </w:p>
        </w:tc>
      </w:tr>
      <w:tr w:rsidR="00564B67" w:rsidRPr="002E59D6" w:rsidTr="00564B67">
        <w:trPr>
          <w:cnfStyle w:val="000000010000" w:firstRow="0" w:lastRow="0" w:firstColumn="0" w:lastColumn="0" w:oddVBand="0" w:evenVBand="0" w:oddHBand="0" w:evenHBand="1" w:firstRowFirstColumn="0" w:firstRowLastColumn="0" w:lastRowFirstColumn="0" w:lastRowLastColumn="0"/>
          <w:trHeight w:val="315"/>
        </w:trPr>
        <w:tc>
          <w:tcPr>
            <w:tcW w:w="1321" w:type="pct"/>
            <w:noWrap/>
          </w:tcPr>
          <w:p w:rsidR="00564B67" w:rsidRPr="00564B67" w:rsidRDefault="00564B67" w:rsidP="00564B67">
            <w:r w:rsidRPr="00564B67">
              <w:t>Ausgrid*</w:t>
            </w:r>
          </w:p>
        </w:tc>
        <w:tc>
          <w:tcPr>
            <w:tcW w:w="1226" w:type="pct"/>
            <w:noWrap/>
          </w:tcPr>
          <w:p w:rsidR="00564B67" w:rsidRPr="00564B67" w:rsidRDefault="00564B67" w:rsidP="00564B67">
            <w:r w:rsidRPr="00564B67">
              <w:t xml:space="preserve">    15.07</w:t>
            </w:r>
          </w:p>
        </w:tc>
        <w:tc>
          <w:tcPr>
            <w:tcW w:w="1226" w:type="pct"/>
          </w:tcPr>
          <w:p w:rsidR="00564B67" w:rsidRPr="00564B67" w:rsidRDefault="00564B67" w:rsidP="00564B67">
            <w:r w:rsidRPr="00564B67">
              <w:t>CitiPower</w:t>
            </w:r>
          </w:p>
        </w:tc>
        <w:tc>
          <w:tcPr>
            <w:tcW w:w="1226" w:type="pct"/>
          </w:tcPr>
          <w:p w:rsidR="00564B67" w:rsidRPr="00564B67" w:rsidRDefault="00564B67" w:rsidP="00564B67">
            <w:r w:rsidRPr="00564B67">
              <w:t xml:space="preserve">      2.83</w:t>
            </w:r>
          </w:p>
        </w:tc>
      </w:tr>
      <w:tr w:rsidR="00564B67" w:rsidRPr="002E59D6" w:rsidTr="00564B67">
        <w:trPr>
          <w:trHeight w:val="315"/>
        </w:trPr>
        <w:tc>
          <w:tcPr>
            <w:tcW w:w="1321" w:type="pct"/>
            <w:noWrap/>
          </w:tcPr>
          <w:p w:rsidR="00564B67" w:rsidRPr="00564B67" w:rsidRDefault="00564B67" w:rsidP="00564B67">
            <w:r w:rsidRPr="00564B67">
              <w:t>Endeavour Energy</w:t>
            </w:r>
          </w:p>
        </w:tc>
        <w:tc>
          <w:tcPr>
            <w:tcW w:w="1226" w:type="pct"/>
            <w:noWrap/>
          </w:tcPr>
          <w:p w:rsidR="00564B67" w:rsidRPr="00564B67" w:rsidRDefault="00564B67" w:rsidP="00564B67">
            <w:r w:rsidRPr="00564B67">
              <w:t xml:space="preserve">      8.04 </w:t>
            </w:r>
          </w:p>
        </w:tc>
        <w:tc>
          <w:tcPr>
            <w:tcW w:w="1226" w:type="pct"/>
          </w:tcPr>
          <w:p w:rsidR="00564B67" w:rsidRPr="00564B67" w:rsidRDefault="00564B67" w:rsidP="00564B67">
            <w:r w:rsidRPr="00564B67">
              <w:t>Jemena Electricity</w:t>
            </w:r>
          </w:p>
        </w:tc>
        <w:tc>
          <w:tcPr>
            <w:tcW w:w="1226" w:type="pct"/>
          </w:tcPr>
          <w:p w:rsidR="00564B67" w:rsidRPr="00564B67" w:rsidRDefault="00564B67" w:rsidP="00564B67">
            <w:r w:rsidRPr="00564B67">
              <w:t xml:space="preserve">      2.38 </w:t>
            </w:r>
          </w:p>
        </w:tc>
      </w:tr>
      <w:tr w:rsidR="00564B67" w:rsidRPr="002E59D6" w:rsidTr="00564B67">
        <w:trPr>
          <w:cnfStyle w:val="000000010000" w:firstRow="0" w:lastRow="0" w:firstColumn="0" w:lastColumn="0" w:oddVBand="0" w:evenVBand="0" w:oddHBand="0" w:evenHBand="1" w:firstRowFirstColumn="0" w:firstRowLastColumn="0" w:lastRowFirstColumn="0" w:lastRowLastColumn="0"/>
          <w:trHeight w:val="315"/>
        </w:trPr>
        <w:tc>
          <w:tcPr>
            <w:tcW w:w="1321" w:type="pct"/>
            <w:noWrap/>
          </w:tcPr>
          <w:p w:rsidR="00564B67" w:rsidRPr="00564B67" w:rsidRDefault="00564B67" w:rsidP="00564B67">
            <w:r w:rsidRPr="00564B67">
              <w:t>Energex</w:t>
            </w:r>
          </w:p>
        </w:tc>
        <w:tc>
          <w:tcPr>
            <w:tcW w:w="1226" w:type="pct"/>
            <w:noWrap/>
          </w:tcPr>
          <w:p w:rsidR="00564B67" w:rsidRPr="00564B67" w:rsidRDefault="00564B67" w:rsidP="00564B67">
            <w:r w:rsidRPr="00564B67">
              <w:t xml:space="preserve">    11.40 </w:t>
            </w:r>
          </w:p>
        </w:tc>
        <w:tc>
          <w:tcPr>
            <w:tcW w:w="1226" w:type="pct"/>
          </w:tcPr>
          <w:p w:rsidR="00564B67" w:rsidRPr="00564B67" w:rsidRDefault="00564B67" w:rsidP="00564B67">
            <w:r w:rsidRPr="00564B67">
              <w:t>Powercor Australia</w:t>
            </w:r>
          </w:p>
        </w:tc>
        <w:tc>
          <w:tcPr>
            <w:tcW w:w="1226" w:type="pct"/>
          </w:tcPr>
          <w:p w:rsidR="00564B67" w:rsidRPr="00564B67" w:rsidRDefault="00564B67" w:rsidP="00564B67">
            <w:r w:rsidRPr="00564B67">
              <w:t xml:space="preserve">      6.22 </w:t>
            </w:r>
          </w:p>
        </w:tc>
      </w:tr>
      <w:tr w:rsidR="00564B67" w:rsidRPr="002E59D6" w:rsidTr="00564B67">
        <w:trPr>
          <w:trHeight w:val="315"/>
        </w:trPr>
        <w:tc>
          <w:tcPr>
            <w:tcW w:w="1321" w:type="pct"/>
            <w:noWrap/>
          </w:tcPr>
          <w:p w:rsidR="00564B67" w:rsidRPr="00564B67" w:rsidRDefault="00564B67" w:rsidP="00564B67">
            <w:r w:rsidRPr="00564B67">
              <w:t>Ergon Energy</w:t>
            </w:r>
          </w:p>
        </w:tc>
        <w:tc>
          <w:tcPr>
            <w:tcW w:w="1226" w:type="pct"/>
            <w:noWrap/>
          </w:tcPr>
          <w:p w:rsidR="00564B67" w:rsidRPr="00564B67" w:rsidRDefault="00564B67" w:rsidP="00564B67">
            <w:r w:rsidRPr="00564B67">
              <w:t xml:space="preserve">    11.38</w:t>
            </w:r>
          </w:p>
        </w:tc>
        <w:tc>
          <w:tcPr>
            <w:tcW w:w="1226" w:type="pct"/>
          </w:tcPr>
          <w:p w:rsidR="00564B67" w:rsidRPr="00564B67" w:rsidRDefault="00564B67" w:rsidP="00564B67">
            <w:r w:rsidRPr="00564B67">
              <w:t>United Energy</w:t>
            </w:r>
          </w:p>
        </w:tc>
        <w:tc>
          <w:tcPr>
            <w:tcW w:w="1226" w:type="pct"/>
          </w:tcPr>
          <w:p w:rsidR="00564B67" w:rsidRPr="00564B67" w:rsidRDefault="00564B67" w:rsidP="00564B67">
            <w:r w:rsidRPr="00564B67">
              <w:t xml:space="preserve">      3.75</w:t>
            </w:r>
          </w:p>
        </w:tc>
      </w:tr>
      <w:tr w:rsidR="00564B67" w:rsidRPr="002E59D6" w:rsidTr="00564B67">
        <w:trPr>
          <w:cnfStyle w:val="000000010000" w:firstRow="0" w:lastRow="0" w:firstColumn="0" w:lastColumn="0" w:oddVBand="0" w:evenVBand="0" w:oddHBand="0" w:evenHBand="1" w:firstRowFirstColumn="0" w:firstRowLastColumn="0" w:lastRowFirstColumn="0" w:lastRowLastColumn="0"/>
          <w:trHeight w:val="315"/>
        </w:trPr>
        <w:tc>
          <w:tcPr>
            <w:tcW w:w="1321" w:type="pct"/>
            <w:noWrap/>
          </w:tcPr>
          <w:p w:rsidR="00564B67" w:rsidRPr="00564B67" w:rsidRDefault="00564B67" w:rsidP="00564B67">
            <w:r w:rsidRPr="00564B67">
              <w:t>Essential Energy</w:t>
            </w:r>
          </w:p>
        </w:tc>
        <w:tc>
          <w:tcPr>
            <w:tcW w:w="1226" w:type="pct"/>
            <w:noWrap/>
          </w:tcPr>
          <w:p w:rsidR="00564B67" w:rsidRPr="00564B67" w:rsidRDefault="00564B67" w:rsidP="00564B67">
            <w:r w:rsidRPr="00564B67">
              <w:t xml:space="preserve">      9.11 </w:t>
            </w:r>
          </w:p>
        </w:tc>
        <w:tc>
          <w:tcPr>
            <w:tcW w:w="1226" w:type="pct"/>
          </w:tcPr>
          <w:p w:rsidR="00564B67" w:rsidRPr="00564B67" w:rsidRDefault="00564B67" w:rsidP="00564B67"/>
        </w:tc>
        <w:tc>
          <w:tcPr>
            <w:tcW w:w="1226" w:type="pct"/>
          </w:tcPr>
          <w:p w:rsidR="00564B67" w:rsidRPr="00564B67" w:rsidRDefault="00564B67" w:rsidP="00564B67"/>
        </w:tc>
      </w:tr>
      <w:tr w:rsidR="00564B67" w:rsidRPr="002E59D6" w:rsidTr="00564B67">
        <w:trPr>
          <w:trHeight w:val="315"/>
        </w:trPr>
        <w:tc>
          <w:tcPr>
            <w:tcW w:w="1321" w:type="pct"/>
            <w:noWrap/>
          </w:tcPr>
          <w:p w:rsidR="00564B67" w:rsidRPr="00564B67" w:rsidRDefault="00564B67" w:rsidP="00564B67">
            <w:r w:rsidRPr="00564B67">
              <w:t>SA Power Networks</w:t>
            </w:r>
          </w:p>
        </w:tc>
        <w:tc>
          <w:tcPr>
            <w:tcW w:w="1226" w:type="pct"/>
            <w:noWrap/>
          </w:tcPr>
          <w:p w:rsidR="00564B67" w:rsidRPr="00564B67" w:rsidRDefault="00564B67" w:rsidP="00564B67">
            <w:r w:rsidRPr="00564B67">
              <w:t xml:space="preserve">      6.82 </w:t>
            </w:r>
          </w:p>
        </w:tc>
        <w:tc>
          <w:tcPr>
            <w:tcW w:w="1226" w:type="pct"/>
          </w:tcPr>
          <w:p w:rsidR="00564B67" w:rsidRPr="00564B67" w:rsidRDefault="00564B67" w:rsidP="00564B67"/>
        </w:tc>
        <w:tc>
          <w:tcPr>
            <w:tcW w:w="1226" w:type="pct"/>
          </w:tcPr>
          <w:p w:rsidR="00564B67" w:rsidRPr="00564B67" w:rsidRDefault="00564B67" w:rsidP="00564B67"/>
        </w:tc>
      </w:tr>
      <w:tr w:rsidR="00564B67" w:rsidRPr="002E59D6" w:rsidTr="00564B67">
        <w:trPr>
          <w:cnfStyle w:val="000000010000" w:firstRow="0" w:lastRow="0" w:firstColumn="0" w:lastColumn="0" w:oddVBand="0" w:evenVBand="0" w:oddHBand="0" w:evenHBand="1" w:firstRowFirstColumn="0" w:firstRowLastColumn="0" w:lastRowFirstColumn="0" w:lastRowLastColumn="0"/>
          <w:trHeight w:val="315"/>
        </w:trPr>
        <w:tc>
          <w:tcPr>
            <w:tcW w:w="1321" w:type="pct"/>
            <w:noWrap/>
          </w:tcPr>
          <w:p w:rsidR="00564B67" w:rsidRPr="00564B67" w:rsidRDefault="00564B67" w:rsidP="00564B67">
            <w:r w:rsidRPr="00564B67">
              <w:t>TasNetworks*</w:t>
            </w:r>
          </w:p>
        </w:tc>
        <w:tc>
          <w:tcPr>
            <w:tcW w:w="1226" w:type="pct"/>
            <w:noWrap/>
          </w:tcPr>
          <w:p w:rsidR="00564B67" w:rsidRPr="00564B67" w:rsidRDefault="00564B67" w:rsidP="00564B67">
            <w:r w:rsidRPr="00564B67">
              <w:t xml:space="preserve">      2.87</w:t>
            </w:r>
          </w:p>
        </w:tc>
        <w:tc>
          <w:tcPr>
            <w:tcW w:w="1226" w:type="pct"/>
          </w:tcPr>
          <w:p w:rsidR="00564B67" w:rsidRPr="00564B67" w:rsidRDefault="00564B67" w:rsidP="00564B67"/>
        </w:tc>
        <w:tc>
          <w:tcPr>
            <w:tcW w:w="1226" w:type="pct"/>
          </w:tcPr>
          <w:p w:rsidR="00564B67" w:rsidRPr="00564B67" w:rsidRDefault="00564B67" w:rsidP="00564B67"/>
        </w:tc>
      </w:tr>
    </w:tbl>
    <w:p w:rsidR="002E59D6" w:rsidRDefault="002E59D6" w:rsidP="00060BF6">
      <w:pPr>
        <w:pStyle w:val="AERtablesource"/>
      </w:pPr>
      <w:r>
        <w:t xml:space="preserve">* </w:t>
      </w:r>
      <w:r w:rsidR="00A10FF4">
        <w:tab/>
      </w:r>
      <w:r>
        <w:t>Distribution assets only</w:t>
      </w:r>
      <w:r w:rsidR="00A10FF4">
        <w:t>.</w:t>
      </w:r>
    </w:p>
    <w:p w:rsidR="00E5584C" w:rsidRDefault="000608BA" w:rsidP="00E5584C">
      <w:pPr>
        <w:pStyle w:val="Heading2"/>
      </w:pPr>
      <w:bookmarkStart w:id="74" w:name="_Toc491447264"/>
      <w:r>
        <w:lastRenderedPageBreak/>
        <w:t xml:space="preserve">Applying </w:t>
      </w:r>
      <w:r w:rsidR="00675BD0">
        <w:t xml:space="preserve">total financial </w:t>
      </w:r>
      <w:r>
        <w:t>incentive with a two year lag</w:t>
      </w:r>
      <w:bookmarkEnd w:id="74"/>
    </w:p>
    <w:p w:rsidR="00E5584C" w:rsidRDefault="003D6073" w:rsidP="00E5584C">
      <w:pPr>
        <w:pStyle w:val="AERbulletlistfirststyle"/>
        <w:numPr>
          <w:ilvl w:val="0"/>
          <w:numId w:val="0"/>
        </w:numPr>
      </w:pPr>
      <w:r>
        <w:t>C</w:t>
      </w:r>
      <w:r w:rsidR="00533CF5">
        <w:t>lause 2.6</w:t>
      </w:r>
      <w:r>
        <w:t xml:space="preserve"> of the draft Scheme describes our process for </w:t>
      </w:r>
      <w:r w:rsidR="001B7F95">
        <w:t xml:space="preserve">including </w:t>
      </w:r>
      <w:r>
        <w:t>the</w:t>
      </w:r>
      <w:r w:rsidR="00675BD0">
        <w:t xml:space="preserve"> total</w:t>
      </w:r>
      <w:r>
        <w:t xml:space="preserve"> financial incentive </w:t>
      </w:r>
      <w:r w:rsidR="00533CF5">
        <w:t>in the</w:t>
      </w:r>
      <w:r>
        <w:t xml:space="preserve"> distributor</w:t>
      </w:r>
      <w:r w:rsidR="00533CF5">
        <w:t>'</w:t>
      </w:r>
      <w:r>
        <w:t>s</w:t>
      </w:r>
      <w:r w:rsidR="001B7F95">
        <w:t xml:space="preserve"> annual revenue requirement</w:t>
      </w:r>
      <w:r w:rsidR="0068682F">
        <w:t xml:space="preserve">. Under this process, we apply </w:t>
      </w:r>
      <w:r w:rsidR="00BA05DA">
        <w:t xml:space="preserve">the </w:t>
      </w:r>
      <w:r w:rsidR="00675BD0">
        <w:t xml:space="preserve">total financial </w:t>
      </w:r>
      <w:r w:rsidR="00BA05DA">
        <w:t xml:space="preserve">incentive with a two year lag. This </w:t>
      </w:r>
      <w:r w:rsidR="0068682F">
        <w:t xml:space="preserve">lag </w:t>
      </w:r>
      <w:r w:rsidR="00BA05DA">
        <w:t>allows us to</w:t>
      </w:r>
      <w:r w:rsidR="0068682F">
        <w:t xml:space="preserve"> pragmatically incorporate the total financial incentive</w:t>
      </w:r>
      <w:r w:rsidR="00BA05DA">
        <w:t xml:space="preserve"> into a distributor's allowed revenues via its annua</w:t>
      </w:r>
      <w:r w:rsidR="0068682F">
        <w:t>l pricing proposal process. A two-year</w:t>
      </w:r>
      <w:r w:rsidR="00BA05DA">
        <w:t xml:space="preserve"> lag is also consistent with the </w:t>
      </w:r>
      <w:r w:rsidR="00891C7C">
        <w:t xml:space="preserve">lag we apply to the </w:t>
      </w:r>
      <w:r w:rsidR="00BA05DA">
        <w:t>current demand management innovation allowance</w:t>
      </w:r>
      <w:r>
        <w:t xml:space="preserve">, which is also for pragmatic reasons </w:t>
      </w:r>
      <w:r w:rsidR="00891C7C">
        <w:t>(</w:t>
      </w:r>
      <w:r>
        <w:t>given the time lag in data collection</w:t>
      </w:r>
      <w:r w:rsidR="00C26AD1">
        <w:t xml:space="preserve"> and assessment</w:t>
      </w:r>
      <w:r w:rsidR="00891C7C">
        <w:t>)</w:t>
      </w:r>
      <w:r w:rsidR="00BA05DA">
        <w:t>.</w:t>
      </w:r>
      <w:r w:rsidR="00BA05DA">
        <w:rPr>
          <w:rStyle w:val="FootnoteReference"/>
        </w:rPr>
        <w:footnoteReference w:id="66"/>
      </w:r>
    </w:p>
    <w:p w:rsidR="00060BF6" w:rsidRDefault="003D6073" w:rsidP="00E5584C">
      <w:pPr>
        <w:pStyle w:val="AERbulletlistfirststyle"/>
        <w:numPr>
          <w:ilvl w:val="0"/>
          <w:numId w:val="0"/>
        </w:numPr>
      </w:pPr>
      <w:r w:rsidRPr="003D6073">
        <w:fldChar w:fldCharType="begin"/>
      </w:r>
      <w:r w:rsidRPr="003D6073">
        <w:instrText xml:space="preserve"> REF _Ref485205693 \h </w:instrText>
      </w:r>
      <w:r w:rsidRPr="003D6073">
        <w:fldChar w:fldCharType="separate"/>
      </w:r>
      <w:r w:rsidR="0076296B">
        <w:t xml:space="preserve">Figure </w:t>
      </w:r>
      <w:r w:rsidR="0076296B">
        <w:rPr>
          <w:noProof/>
        </w:rPr>
        <w:t>7</w:t>
      </w:r>
      <w:r w:rsidRPr="003D6073">
        <w:fldChar w:fldCharType="end"/>
      </w:r>
      <w:r w:rsidRPr="003D6073">
        <w:t>, which also appears in the draft Scheme, summarises th</w:t>
      </w:r>
      <w:r>
        <w:t xml:space="preserve">e process for applying the </w:t>
      </w:r>
      <w:r w:rsidR="00675BD0">
        <w:t xml:space="preserve">total financial </w:t>
      </w:r>
      <w:r>
        <w:t>incentive</w:t>
      </w:r>
      <w:r w:rsidR="00060BF6">
        <w:t>. This</w:t>
      </w:r>
      <w:r w:rsidR="0068682F">
        <w:t xml:space="preserve"> process</w:t>
      </w:r>
      <w:r w:rsidR="00060BF6">
        <w:t xml:space="preserve"> </w:t>
      </w:r>
      <w:r>
        <w:t>requires a two year time lag from</w:t>
      </w:r>
      <w:r w:rsidRPr="003D6073">
        <w:t xml:space="preserve"> when</w:t>
      </w:r>
      <w:r>
        <w:t xml:space="preserve"> the</w:t>
      </w:r>
      <w:r w:rsidRPr="003D6073">
        <w:t xml:space="preserve"> demand management expenditure occurs</w:t>
      </w:r>
      <w:r w:rsidR="00060BF6">
        <w:t xml:space="preserve"> so that:</w:t>
      </w:r>
    </w:p>
    <w:p w:rsidR="00E5584C" w:rsidRDefault="00060BF6" w:rsidP="00060BF6">
      <w:pPr>
        <w:pStyle w:val="AERbulletlistfirststyle"/>
      </w:pPr>
      <w:r>
        <w:t xml:space="preserve">The distributor can submit compliance information to us </w:t>
      </w:r>
      <w:r w:rsidR="00D169BB">
        <w:t xml:space="preserve">four </w:t>
      </w:r>
      <w:r>
        <w:t>months after t</w:t>
      </w:r>
      <w:r w:rsidR="00105F8C">
        <w:t xml:space="preserve">hat </w:t>
      </w:r>
      <w:r>
        <w:t>regulatory year.</w:t>
      </w:r>
    </w:p>
    <w:p w:rsidR="00060BF6" w:rsidRDefault="00060BF6" w:rsidP="00F13EBF">
      <w:pPr>
        <w:pStyle w:val="AERbulletlistfirststyle"/>
      </w:pPr>
      <w:r>
        <w:t xml:space="preserve">We can verify </w:t>
      </w:r>
      <w:r w:rsidR="00675BD0">
        <w:t>the total financial i</w:t>
      </w:r>
      <w:r w:rsidR="000E58CE">
        <w:t>ncent</w:t>
      </w:r>
      <w:r>
        <w:t xml:space="preserve">ive to be passed through to consumers </w:t>
      </w:r>
      <w:r w:rsidR="00D169BB">
        <w:t xml:space="preserve">five </w:t>
      </w:r>
      <w:r>
        <w:t xml:space="preserve">months after </w:t>
      </w:r>
      <w:r w:rsidR="00105F8C">
        <w:t>receiving</w:t>
      </w:r>
      <w:r>
        <w:t xml:space="preserve"> the compliance information</w:t>
      </w:r>
      <w:r w:rsidR="00891C7C">
        <w:t>.</w:t>
      </w:r>
      <w:r w:rsidR="00F13EBF">
        <w:t xml:space="preserve"> At this time, the distributor </w:t>
      </w:r>
      <w:r w:rsidR="000E58CE">
        <w:t>incorporate</w:t>
      </w:r>
      <w:r w:rsidR="00F13EBF">
        <w:t>s</w:t>
      </w:r>
      <w:r w:rsidR="000E58CE">
        <w:t xml:space="preserve"> the </w:t>
      </w:r>
      <w:r w:rsidR="00675BD0">
        <w:t xml:space="preserve">total financial </w:t>
      </w:r>
      <w:r w:rsidR="000E58CE">
        <w:t xml:space="preserve">incentive into </w:t>
      </w:r>
      <w:r>
        <w:t>its pricing proposal</w:t>
      </w:r>
      <w:r w:rsidR="00891C7C">
        <w:t>.</w:t>
      </w:r>
    </w:p>
    <w:p w:rsidR="00B70E07" w:rsidRDefault="00192646" w:rsidP="00B70E07">
      <w:pPr>
        <w:pStyle w:val="AERbulletlistfirststyle"/>
      </w:pPr>
      <w:r>
        <w:t>T</w:t>
      </w:r>
      <w:r w:rsidR="00060BF6">
        <w:t>he</w:t>
      </w:r>
      <w:r w:rsidR="000E58CE">
        <w:t xml:space="preserve"> distribution use of system charges</w:t>
      </w:r>
      <w:r w:rsidR="00060BF6">
        <w:t xml:space="preserve"> come into effect three months after we receive the distributor's pricing proposal</w:t>
      </w:r>
      <w:r>
        <w:t xml:space="preserve"> </w:t>
      </w:r>
      <w:r>
        <w:rPr>
          <w:rFonts w:cs="Arial"/>
        </w:rPr>
        <w:t>―</w:t>
      </w:r>
      <w:r>
        <w:t xml:space="preserve"> that is, at the start of the next regulatory year.</w:t>
      </w:r>
    </w:p>
    <w:p w:rsidR="00B70E07" w:rsidRDefault="00C26AD1" w:rsidP="00277AB2">
      <w:pPr>
        <w:pStyle w:val="Heading2"/>
      </w:pPr>
      <w:bookmarkStart w:id="75" w:name="_Toc491447265"/>
      <w:r>
        <w:t>Incentive</w:t>
      </w:r>
      <w:r w:rsidR="00B70E07">
        <w:t xml:space="preserve"> accrue</w:t>
      </w:r>
      <w:r>
        <w:t>s</w:t>
      </w:r>
      <w:r w:rsidR="00B70E07">
        <w:t xml:space="preserve"> on an ex ante basis</w:t>
      </w:r>
      <w:bookmarkEnd w:id="75"/>
    </w:p>
    <w:p w:rsidR="00A91A61" w:rsidRDefault="00B70E07" w:rsidP="00277AB2">
      <w:r>
        <w:t xml:space="preserve">Under the Scheme, a distributor accrues the incentive on project costs before </w:t>
      </w:r>
      <w:r w:rsidR="00EA1854">
        <w:t>it incurs those costs</w:t>
      </w:r>
      <w:r>
        <w:t>. We consider that ex ante accrual has several benefits</w:t>
      </w:r>
      <w:r w:rsidR="00A91A61">
        <w:t xml:space="preserve"> as it</w:t>
      </w:r>
      <w:r>
        <w:t xml:space="preserve"> delivers greater certainty and a low administrative burden. By allowing the incentive to accrue up front, we consider that distributors are </w:t>
      </w:r>
      <w:r w:rsidR="00E909F1">
        <w:t xml:space="preserve">more </w:t>
      </w:r>
      <w:r>
        <w:t xml:space="preserve">likely to </w:t>
      </w:r>
      <w:r w:rsidR="00E909F1">
        <w:t>make</w:t>
      </w:r>
      <w:r>
        <w:t xml:space="preserve"> </w:t>
      </w:r>
      <w:r w:rsidR="00E909F1">
        <w:t>investments,</w:t>
      </w:r>
      <w:r>
        <w:t xml:space="preserve"> as there is greater certainty about the size of their return. This is valuable, given the </w:t>
      </w:r>
      <w:r w:rsidR="00C26AD1">
        <w:t>consistent</w:t>
      </w:r>
      <w:r>
        <w:t xml:space="preserve"> feedback from stakeholders indicating that </w:t>
      </w:r>
      <w:r w:rsidR="00835AC8">
        <w:t>a</w:t>
      </w:r>
      <w:r>
        <w:t xml:space="preserve"> regulatory framework </w:t>
      </w:r>
      <w:r w:rsidR="00835AC8">
        <w:t xml:space="preserve">that supports investment in demand management </w:t>
      </w:r>
      <w:r w:rsidR="00A91A61">
        <w:t xml:space="preserve">is </w:t>
      </w:r>
      <w:r>
        <w:t>essential</w:t>
      </w:r>
      <w:r w:rsidR="00EA1854">
        <w:t>, given the developing nature of the demand management market</w:t>
      </w:r>
      <w:r w:rsidR="00734D09">
        <w:t>.</w:t>
      </w:r>
    </w:p>
    <w:p w:rsidR="003D76FD" w:rsidRDefault="00A91A61" w:rsidP="00277AB2">
      <w:r>
        <w:t xml:space="preserve">An alternative approach we considered was to cap the incentive based on expected costs but </w:t>
      </w:r>
      <w:r w:rsidR="003D76FD">
        <w:t>deliver the incentive on actual costs over the life of the project. This approach</w:t>
      </w:r>
      <w:r w:rsidR="00835AC8">
        <w:t xml:space="preserve"> would</w:t>
      </w:r>
      <w:r w:rsidR="003D76FD">
        <w:t xml:space="preserve"> smooth the incentive payment over the life of the project based on actual costs, but would require significant resources to reconcile with the ex-ante cap and track payments, potentially over a long p</w:t>
      </w:r>
      <w:r w:rsidR="00734D09">
        <w:t>eriod.</w:t>
      </w:r>
    </w:p>
    <w:p w:rsidR="00EA1854" w:rsidRDefault="00E909F1" w:rsidP="00277AB2">
      <w:r>
        <w:lastRenderedPageBreak/>
        <w:t>Were we to base the incentive on actual costs</w:t>
      </w:r>
      <w:r w:rsidR="00A91A61">
        <w:t xml:space="preserve"> over the life of the project</w:t>
      </w:r>
      <w:r>
        <w:t>, there may be less certainty about the return. This may lead distributors not to investigate potentially efficient options and the incentive would therefore be less effective in overcoming the barriers faced by demand management.</w:t>
      </w:r>
      <w:r w:rsidR="003D76FD">
        <w:t xml:space="preserve"> </w:t>
      </w:r>
      <w:r w:rsidR="00897F31">
        <w:t>However, the actual costs payment approach could allow consumers to gain from deman</w:t>
      </w:r>
      <w:r w:rsidR="00F13EBF">
        <w:t>d management cost underspends.</w:t>
      </w:r>
    </w:p>
    <w:p w:rsidR="00B70E07" w:rsidRDefault="0001019E" w:rsidP="00277AB2">
      <w:r>
        <w:t>Accrui</w:t>
      </w:r>
      <w:r w:rsidR="00E909F1">
        <w:t>ng the incentive ex ante also has the benefit of a low administrative burden</w:t>
      </w:r>
      <w:r w:rsidR="00A91A61">
        <w:t>. I</w:t>
      </w:r>
      <w:r w:rsidR="00B70E07">
        <w:t>n considering example projects</w:t>
      </w:r>
      <w:r w:rsidR="00835AC8">
        <w:t>,</w:t>
      </w:r>
      <w:r w:rsidR="00B70E07">
        <w:t xml:space="preserve"> we formed the view that the administrative burden of ex post review, particularly for projects that extend over a significant period, would be high. </w:t>
      </w:r>
      <w:r w:rsidR="00EA1854" w:rsidRPr="00EA1854">
        <w:t>Some example projects</w:t>
      </w:r>
      <w:r w:rsidR="00A91A61">
        <w:t xml:space="preserve"> that </w:t>
      </w:r>
      <w:r w:rsidR="00A91A61" w:rsidRPr="00EA1854">
        <w:t xml:space="preserve">we identified </w:t>
      </w:r>
      <w:r w:rsidR="00EA1854" w:rsidRPr="00EA1854">
        <w:t xml:space="preserve">could run for up to 25 years. </w:t>
      </w:r>
      <w:r w:rsidR="00EA1854">
        <w:t>Other measures</w:t>
      </w:r>
      <w:r w:rsidR="00835AC8">
        <w:t>,</w:t>
      </w:r>
      <w:r w:rsidR="00EA1854">
        <w:t xml:space="preserve"> such as</w:t>
      </w:r>
      <w:r w:rsidR="00897F31">
        <w:t xml:space="preserve"> paying the incentive ex post but within a</w:t>
      </w:r>
      <w:r w:rsidR="00EA1854">
        <w:t xml:space="preserve"> </w:t>
      </w:r>
      <w:r w:rsidR="00897F31">
        <w:t xml:space="preserve">set number of </w:t>
      </w:r>
      <w:r w:rsidR="00EA1854">
        <w:t>regulatory control periods</w:t>
      </w:r>
      <w:r w:rsidR="00835AC8">
        <w:t>, would</w:t>
      </w:r>
      <w:r w:rsidR="00897F31">
        <w:t xml:space="preserve"> only </w:t>
      </w:r>
      <w:r w:rsidR="00835AC8">
        <w:t xml:space="preserve">have </w:t>
      </w:r>
      <w:r w:rsidR="00897F31">
        <w:t>a marginal impact on</w:t>
      </w:r>
      <w:r w:rsidR="00835AC8">
        <w:t xml:space="preserve"> lowering</w:t>
      </w:r>
      <w:r w:rsidR="00897F31">
        <w:t xml:space="preserve"> the administrative burden. Moreover, it is unclear how best to identify and limit the periods. This marginal benefit would, in our view, still</w:t>
      </w:r>
      <w:r w:rsidR="00EA1854">
        <w:t xml:space="preserve"> exclude useful, forward thinking projects that will help to achieve the Scheme</w:t>
      </w:r>
      <w:r w:rsidR="00835AC8">
        <w:t xml:space="preserve"> O</w:t>
      </w:r>
      <w:r w:rsidR="00EA1854">
        <w:t>bjective.</w:t>
      </w:r>
    </w:p>
    <w:p w:rsidR="007604FE" w:rsidRPr="00B70E07" w:rsidRDefault="007604FE" w:rsidP="00277AB2">
      <w:r>
        <w:t>On balance, to start the Scheme</w:t>
      </w:r>
      <w:r w:rsidR="00835AC8">
        <w:t>,</w:t>
      </w:r>
      <w:r>
        <w:t xml:space="preserve"> we consider the ex ante accruing of the incentive on project costs will better achieve the Scheme </w:t>
      </w:r>
      <w:r w:rsidR="00835AC8">
        <w:t>O</w:t>
      </w:r>
      <w:r>
        <w:t>bjective at this time.</w:t>
      </w:r>
    </w:p>
    <w:p w:rsidR="00C033C4" w:rsidRPr="00FF6D71" w:rsidRDefault="00C033C4" w:rsidP="00C033C4">
      <w:pPr>
        <w:pStyle w:val="Caption"/>
      </w:pPr>
      <w:bookmarkStart w:id="76" w:name="_Ref485205693"/>
      <w:r>
        <w:t xml:space="preserve">Figure </w:t>
      </w:r>
      <w:r w:rsidRPr="00684865">
        <w:fldChar w:fldCharType="begin"/>
      </w:r>
      <w:r>
        <w:instrText xml:space="preserve"> SEQ Figure \* ARABIC </w:instrText>
      </w:r>
      <w:r w:rsidRPr="00684865">
        <w:fldChar w:fldCharType="separate"/>
      </w:r>
      <w:r w:rsidR="0076296B">
        <w:rPr>
          <w:noProof/>
        </w:rPr>
        <w:t>7</w:t>
      </w:r>
      <w:r w:rsidRPr="00684865">
        <w:fldChar w:fldCharType="end"/>
      </w:r>
      <w:bookmarkEnd w:id="76"/>
      <w:r>
        <w:t>: Process for passing through</w:t>
      </w:r>
      <w:r w:rsidR="00675BD0" w:rsidRPr="00675BD0">
        <w:t xml:space="preserve"> </w:t>
      </w:r>
      <w:r w:rsidR="00675BD0">
        <w:t>the total financial</w:t>
      </w:r>
      <w:r w:rsidR="00F13EBF">
        <w:t xml:space="preserve"> incentive</w:t>
      </w:r>
    </w:p>
    <w:p w:rsidR="00C033C4" w:rsidRDefault="00835AC8" w:rsidP="00C033C4">
      <w:r w:rsidRPr="00835AC8">
        <w:rPr>
          <w:rStyle w:val="PlaceholderText"/>
          <w:noProof/>
          <w:lang w:eastAsia="en-AU"/>
        </w:rPr>
        <w:drawing>
          <wp:inline distT="0" distB="0" distL="0" distR="0" wp14:anchorId="566F8044" wp14:editId="0E988CCB">
            <wp:extent cx="5382895" cy="3934007"/>
            <wp:effectExtent l="0" t="0" r="27305"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B2D9E" w:rsidRDefault="008B2D9E" w:rsidP="008B2D9E">
      <w:pPr>
        <w:pStyle w:val="Heading1"/>
      </w:pPr>
      <w:bookmarkStart w:id="77" w:name="_Ref489535521"/>
      <w:bookmarkStart w:id="78" w:name="_Ref489535522"/>
      <w:bookmarkStart w:id="79" w:name="_Toc491447266"/>
      <w:r>
        <w:lastRenderedPageBreak/>
        <w:t xml:space="preserve">Elements </w:t>
      </w:r>
      <w:r w:rsidR="00EC4354">
        <w:t>considered for</w:t>
      </w:r>
      <w:r>
        <w:t xml:space="preserve"> the draft</w:t>
      </w:r>
      <w:r w:rsidR="00A90941">
        <w:t xml:space="preserve"> Scheme</w:t>
      </w:r>
      <w:bookmarkEnd w:id="77"/>
      <w:bookmarkEnd w:id="78"/>
      <w:bookmarkEnd w:id="79"/>
    </w:p>
    <w:p w:rsidR="000D41C6" w:rsidRPr="000D41C6" w:rsidRDefault="000D41C6" w:rsidP="00891C7C">
      <w:r>
        <w:fldChar w:fldCharType="begin"/>
      </w:r>
      <w:r>
        <w:instrText xml:space="preserve"> REF _Ref487011848 \h </w:instrText>
      </w:r>
      <w:r>
        <w:fldChar w:fldCharType="separate"/>
      </w:r>
      <w:r w:rsidR="0076296B">
        <w:t xml:space="preserve">Table </w:t>
      </w:r>
      <w:r w:rsidR="0076296B">
        <w:rPr>
          <w:noProof/>
        </w:rPr>
        <w:t>6</w:t>
      </w:r>
      <w:r>
        <w:fldChar w:fldCharType="end"/>
      </w:r>
      <w:r>
        <w:t xml:space="preserve"> summarises </w:t>
      </w:r>
      <w:r w:rsidR="00891C7C">
        <w:t>the different incentive mechanisms we consulted on as potential options in our Consultation Paper. It also summarises w</w:t>
      </w:r>
      <w:r>
        <w:t xml:space="preserve">hether </w:t>
      </w:r>
      <w:r w:rsidR="00891C7C">
        <w:t>or</w:t>
      </w:r>
      <w:r>
        <w:t xml:space="preserve"> how we </w:t>
      </w:r>
      <w:r w:rsidR="00891C7C">
        <w:t>have applied these options in</w:t>
      </w:r>
      <w:r w:rsidR="002D4543">
        <w:t xml:space="preserve"> the draft Scheme.</w:t>
      </w:r>
    </w:p>
    <w:p w:rsidR="00640F98" w:rsidRDefault="000D41C6" w:rsidP="000D41C6">
      <w:pPr>
        <w:pStyle w:val="Caption"/>
      </w:pPr>
      <w:bookmarkStart w:id="80" w:name="_Ref487011848"/>
      <w:r>
        <w:t xml:space="preserve">Table </w:t>
      </w:r>
      <w:r w:rsidR="0076296B">
        <w:fldChar w:fldCharType="begin"/>
      </w:r>
      <w:r w:rsidR="0076296B">
        <w:instrText xml:space="preserve"> SEQ Table \* ARABIC </w:instrText>
      </w:r>
      <w:r w:rsidR="0076296B">
        <w:fldChar w:fldCharType="separate"/>
      </w:r>
      <w:r w:rsidR="0076296B">
        <w:rPr>
          <w:noProof/>
        </w:rPr>
        <w:t>6</w:t>
      </w:r>
      <w:r w:rsidR="0076296B">
        <w:rPr>
          <w:noProof/>
        </w:rPr>
        <w:fldChar w:fldCharType="end"/>
      </w:r>
      <w:bookmarkEnd w:id="80"/>
      <w:r>
        <w:t xml:space="preserve">: </w:t>
      </w:r>
      <w:r w:rsidR="00EC4354">
        <w:t>M</w:t>
      </w:r>
      <w:r>
        <w:t xml:space="preserve">echanisms </w:t>
      </w:r>
      <w:r w:rsidR="00EC4354">
        <w:t>considered for</w:t>
      </w:r>
      <w:r>
        <w:t xml:space="preserve"> the draft Scheme</w:t>
      </w:r>
    </w:p>
    <w:tbl>
      <w:tblPr>
        <w:tblStyle w:val="AERtable-text0"/>
        <w:tblW w:w="5000" w:type="pct"/>
        <w:tblLook w:val="04A0" w:firstRow="1" w:lastRow="0" w:firstColumn="1" w:lastColumn="0" w:noHBand="0" w:noVBand="1"/>
      </w:tblPr>
      <w:tblGrid>
        <w:gridCol w:w="4346"/>
        <w:gridCol w:w="4347"/>
      </w:tblGrid>
      <w:tr w:rsidR="00640F98" w:rsidTr="001009EA">
        <w:trPr>
          <w:cnfStyle w:val="100000000000" w:firstRow="1" w:lastRow="0" w:firstColumn="0" w:lastColumn="0" w:oddVBand="0" w:evenVBand="0" w:oddHBand="0" w:evenHBand="0" w:firstRowFirstColumn="0" w:firstRowLastColumn="0" w:lastRowFirstColumn="0" w:lastRowLastColumn="0"/>
        </w:trPr>
        <w:tc>
          <w:tcPr>
            <w:tcW w:w="2500" w:type="pct"/>
          </w:tcPr>
          <w:p w:rsidR="00640F98" w:rsidRDefault="00640F98" w:rsidP="008B2D9E">
            <w:r>
              <w:t>Incentive mechanism consulted upon</w:t>
            </w:r>
          </w:p>
        </w:tc>
        <w:tc>
          <w:tcPr>
            <w:tcW w:w="2500" w:type="pct"/>
          </w:tcPr>
          <w:p w:rsidR="00640F98" w:rsidRDefault="00640F98" w:rsidP="008B2D9E">
            <w:r>
              <w:t>Incorporated into the draft Scheme?</w:t>
            </w:r>
          </w:p>
        </w:tc>
      </w:tr>
      <w:tr w:rsidR="00640F98" w:rsidTr="001009EA">
        <w:tc>
          <w:tcPr>
            <w:tcW w:w="2500" w:type="pct"/>
          </w:tcPr>
          <w:p w:rsidR="00640F98" w:rsidRDefault="00640F98" w:rsidP="00891C7C">
            <w:r w:rsidRPr="00640F98">
              <w:t>Mechanisms to target potential disincentives</w:t>
            </w:r>
            <w:r>
              <w:t>: Limiting penalties</w:t>
            </w:r>
            <w:r w:rsidR="00891C7C">
              <w:t xml:space="preserve"> under the service target performance incentive scheme (STPIS).</w:t>
            </w:r>
          </w:p>
        </w:tc>
        <w:tc>
          <w:tcPr>
            <w:tcW w:w="2500" w:type="pct"/>
          </w:tcPr>
          <w:p w:rsidR="00640F98" w:rsidRDefault="000D41C6" w:rsidP="008B2D9E">
            <w:r>
              <w:t>No</w:t>
            </w:r>
            <w:r w:rsidR="007A0BA7">
              <w:t xml:space="preserve">, for the reasons set out in section </w:t>
            </w:r>
            <w:r w:rsidR="007A0BA7">
              <w:fldChar w:fldCharType="begin"/>
            </w:r>
            <w:r w:rsidR="007A0BA7">
              <w:instrText xml:space="preserve"> REF _Ref489522116 \r \h </w:instrText>
            </w:r>
            <w:r w:rsidR="007A0BA7">
              <w:fldChar w:fldCharType="separate"/>
            </w:r>
            <w:r w:rsidR="0076296B">
              <w:t>9.1</w:t>
            </w:r>
            <w:r w:rsidR="007A0BA7">
              <w:fldChar w:fldCharType="end"/>
            </w:r>
            <w:r w:rsidR="007A0BA7">
              <w:t>.</w:t>
            </w:r>
          </w:p>
        </w:tc>
      </w:tr>
      <w:tr w:rsidR="00640F98" w:rsidTr="001009EA">
        <w:trPr>
          <w:cnfStyle w:val="000000010000" w:firstRow="0" w:lastRow="0" w:firstColumn="0" w:lastColumn="0" w:oddVBand="0" w:evenVBand="0" w:oddHBand="0" w:evenHBand="1" w:firstRowFirstColumn="0" w:firstRowLastColumn="0" w:lastRowFirstColumn="0" w:lastRowLastColumn="0"/>
        </w:trPr>
        <w:tc>
          <w:tcPr>
            <w:tcW w:w="2500" w:type="pct"/>
          </w:tcPr>
          <w:p w:rsidR="00640F98" w:rsidRDefault="00640F98" w:rsidP="008B2D9E">
            <w:r w:rsidRPr="00640F98">
              <w:t>Mechanisms to target potential disincentives:</w:t>
            </w:r>
            <w:r>
              <w:t xml:space="preserve"> Excluding demand management research and development from the opex building block</w:t>
            </w:r>
            <w:r w:rsidR="00891C7C">
              <w:t>.</w:t>
            </w:r>
          </w:p>
        </w:tc>
        <w:tc>
          <w:tcPr>
            <w:tcW w:w="2500" w:type="pct"/>
          </w:tcPr>
          <w:p w:rsidR="00640F98" w:rsidRDefault="000D41C6" w:rsidP="0068682F">
            <w:r>
              <w:t>We incorporate this</w:t>
            </w:r>
            <w:r w:rsidR="0068682F">
              <w:t xml:space="preserve"> mechanism</w:t>
            </w:r>
            <w:r>
              <w:t xml:space="preserve">, but </w:t>
            </w:r>
            <w:r w:rsidR="0068682F">
              <w:t xml:space="preserve">as </w:t>
            </w:r>
            <w:r>
              <w:t xml:space="preserve">a feature of the </w:t>
            </w:r>
            <w:r w:rsidR="002D4543">
              <w:t>Mechanism</w:t>
            </w:r>
            <w:r>
              <w:t xml:space="preserve"> rather than the Scheme.</w:t>
            </w:r>
          </w:p>
        </w:tc>
      </w:tr>
      <w:tr w:rsidR="00640F98" w:rsidTr="001009EA">
        <w:tc>
          <w:tcPr>
            <w:tcW w:w="2500" w:type="pct"/>
          </w:tcPr>
          <w:p w:rsidR="00640F98" w:rsidRDefault="00640F98" w:rsidP="008B2D9E">
            <w:r w:rsidRPr="00640F98">
              <w:t>Mechanisms to target potential disincentives:</w:t>
            </w:r>
            <w:r>
              <w:t xml:space="preserve"> Incentives to help place capex and opex on a more equal footing, including:</w:t>
            </w:r>
          </w:p>
          <w:p w:rsidR="00640F98" w:rsidRDefault="000D41C6" w:rsidP="00640F98">
            <w:pPr>
              <w:pStyle w:val="AERbulletlistfirststyle"/>
            </w:pPr>
            <w:r>
              <w:t>Demand management c</w:t>
            </w:r>
            <w:r w:rsidR="00640F98">
              <w:t>ost uplift</w:t>
            </w:r>
            <w:r w:rsidR="00891C7C">
              <w:t>;</w:t>
            </w:r>
          </w:p>
          <w:p w:rsidR="00640F98" w:rsidRDefault="00640F98" w:rsidP="00640F98">
            <w:pPr>
              <w:pStyle w:val="AERbulletlistfirststyle"/>
            </w:pPr>
            <w:r>
              <w:t>Ret</w:t>
            </w:r>
            <w:r w:rsidR="000D41C6">
              <w:t xml:space="preserve">urn equivalent to foregone </w:t>
            </w:r>
            <w:r>
              <w:t>return on and of capital over one or two regulatory control periods</w:t>
            </w:r>
            <w:r w:rsidR="00891C7C">
              <w:t>;</w:t>
            </w:r>
          </w:p>
          <w:p w:rsidR="00640F98" w:rsidRDefault="00640F98" w:rsidP="00640F98">
            <w:pPr>
              <w:pStyle w:val="AERbulletlistfirststyle"/>
            </w:pPr>
            <w:r>
              <w:t>Financial up</w:t>
            </w:r>
            <w:r w:rsidR="000D41C6">
              <w:t>lift on demand management propor</w:t>
            </w:r>
            <w:r>
              <w:t>tional to option value</w:t>
            </w:r>
            <w:r w:rsidR="00891C7C">
              <w:t>;</w:t>
            </w:r>
          </w:p>
          <w:p w:rsidR="00640F98" w:rsidRDefault="000D41C6" w:rsidP="00640F98">
            <w:pPr>
              <w:pStyle w:val="AERbulletlistfirststyle"/>
            </w:pPr>
            <w:r>
              <w:t xml:space="preserve">Link projects under the </w:t>
            </w:r>
            <w:r w:rsidR="002D4543">
              <w:t>Mechanism</w:t>
            </w:r>
            <w:r w:rsidR="00640F98">
              <w:t xml:space="preserve"> to the Scheme by providing an 'innovation return bonus'</w:t>
            </w:r>
            <w:r w:rsidR="00891C7C">
              <w:t>; and/or</w:t>
            </w:r>
          </w:p>
          <w:p w:rsidR="00640F98" w:rsidRDefault="00640F98" w:rsidP="00640F98">
            <w:pPr>
              <w:pStyle w:val="AERbulletlistfirststyle"/>
            </w:pPr>
            <w:r>
              <w:t>Extending the recovery of foregone revenue mechanism to ActewAGL, which is under an average revenue cap</w:t>
            </w:r>
            <w:r w:rsidR="00891C7C">
              <w:t>.</w:t>
            </w:r>
          </w:p>
        </w:tc>
        <w:tc>
          <w:tcPr>
            <w:tcW w:w="2500" w:type="pct"/>
          </w:tcPr>
          <w:p w:rsidR="00AC692A" w:rsidRDefault="001009EA" w:rsidP="001009EA">
            <w:pPr>
              <w:pStyle w:val="AERbulletlistfirststyle"/>
            </w:pPr>
            <w:r>
              <w:t>Yes, the draft Scheme is</w:t>
            </w:r>
            <w:r w:rsidR="00AC692A">
              <w:t xml:space="preserve"> based on a demand management cost uplift</w:t>
            </w:r>
            <w:r w:rsidR="00891C7C">
              <w:t>.</w:t>
            </w:r>
          </w:p>
          <w:p w:rsidR="001009EA" w:rsidRDefault="009933B0" w:rsidP="00AC692A">
            <w:pPr>
              <w:pStyle w:val="AERbulletlistfirststyle"/>
            </w:pPr>
            <w:r>
              <w:t>D</w:t>
            </w:r>
            <w:r w:rsidR="001009EA">
              <w:t>istributors will consider</w:t>
            </w:r>
            <w:r w:rsidR="00891C7C">
              <w:t xml:space="preserve"> the</w:t>
            </w:r>
            <w:r w:rsidR="001009EA">
              <w:t xml:space="preserve"> costs associated with</w:t>
            </w:r>
            <w:r w:rsidR="00891C7C">
              <w:t xml:space="preserve"> competing</w:t>
            </w:r>
            <w:r>
              <w:t xml:space="preserve"> network</w:t>
            </w:r>
            <w:r w:rsidR="001009EA">
              <w:t xml:space="preserve"> capex </w:t>
            </w:r>
            <w:r w:rsidR="00891C7C">
              <w:t xml:space="preserve">options </w:t>
            </w:r>
            <w:r w:rsidR="001009EA">
              <w:t xml:space="preserve">when calculating </w:t>
            </w:r>
            <w:r>
              <w:t xml:space="preserve">the </w:t>
            </w:r>
            <w:r w:rsidR="001009EA">
              <w:t>net benefits</w:t>
            </w:r>
            <w:r w:rsidR="00891C7C">
              <w:t>.</w:t>
            </w:r>
            <w:r>
              <w:t xml:space="preserve"> </w:t>
            </w:r>
          </w:p>
          <w:p w:rsidR="001009EA" w:rsidRPr="001009EA" w:rsidRDefault="001009EA" w:rsidP="001009EA">
            <w:pPr>
              <w:pStyle w:val="AERbulletlistfirststyle"/>
            </w:pPr>
            <w:r>
              <w:t xml:space="preserve">Distributors will consider demand management's option value when </w:t>
            </w:r>
            <w:r w:rsidRPr="001009EA">
              <w:t>calculating net benefits</w:t>
            </w:r>
            <w:r w:rsidR="009933B0">
              <w:t>.</w:t>
            </w:r>
          </w:p>
          <w:p w:rsidR="001009EA" w:rsidRDefault="001009EA" w:rsidP="00AC692A">
            <w:pPr>
              <w:pStyle w:val="AERbulletlistfirststyle"/>
            </w:pPr>
            <w:r>
              <w:t xml:space="preserve">Introducing demand management cost uplifts should already increase distributors' incentives to commercialise research and development under the </w:t>
            </w:r>
            <w:r w:rsidR="002D4543">
              <w:t>Mechanism</w:t>
            </w:r>
            <w:r>
              <w:t>.</w:t>
            </w:r>
          </w:p>
          <w:p w:rsidR="00AC692A" w:rsidRDefault="007A0BA7" w:rsidP="001009EA">
            <w:pPr>
              <w:pStyle w:val="AERbulletlistfirststyle"/>
            </w:pPr>
            <w:r>
              <w:t>R</w:t>
            </w:r>
            <w:r w:rsidR="001009EA">
              <w:t>ecovery of foregone revenue is no longer relevant as we are moving ActewAGL to a revenue cap.</w:t>
            </w:r>
          </w:p>
        </w:tc>
      </w:tr>
      <w:tr w:rsidR="00640F98" w:rsidTr="001009EA">
        <w:trPr>
          <w:cnfStyle w:val="000000010000" w:firstRow="0" w:lastRow="0" w:firstColumn="0" w:lastColumn="0" w:oddVBand="0" w:evenVBand="0" w:oddHBand="0" w:evenHBand="1" w:firstRowFirstColumn="0" w:firstRowLastColumn="0" w:lastRowFirstColumn="0" w:lastRowLastColumn="0"/>
        </w:trPr>
        <w:tc>
          <w:tcPr>
            <w:tcW w:w="2500" w:type="pct"/>
          </w:tcPr>
          <w:p w:rsidR="00640F98" w:rsidRDefault="00640F98" w:rsidP="008B2D9E">
            <w:r>
              <w:t>Net market benefit sharing mechanism</w:t>
            </w:r>
          </w:p>
        </w:tc>
        <w:tc>
          <w:tcPr>
            <w:tcW w:w="2500" w:type="pct"/>
          </w:tcPr>
          <w:p w:rsidR="00640F98" w:rsidRDefault="00AC692A" w:rsidP="00C26AD1">
            <w:r>
              <w:t xml:space="preserve">Not in the form presented in the Consultation Paper. However, distributors calculate net market benefits when selecting the credible option with the highest net benefit across the </w:t>
            </w:r>
            <w:r w:rsidR="00C26AD1">
              <w:t>relevant market</w:t>
            </w:r>
            <w:r>
              <w:t>. The net benefit calculation affects both project selection and the level of incentive a distributor can receive under the draft Scheme.</w:t>
            </w:r>
          </w:p>
        </w:tc>
      </w:tr>
      <w:tr w:rsidR="00640F98" w:rsidTr="001009EA">
        <w:tc>
          <w:tcPr>
            <w:tcW w:w="2500" w:type="pct"/>
          </w:tcPr>
          <w:p w:rsidR="00640F98" w:rsidRDefault="00640F98" w:rsidP="008B2D9E">
            <w:r>
              <w:t>Mechanism to promote competition: Incentivising distributors to provide information</w:t>
            </w:r>
          </w:p>
        </w:tc>
        <w:tc>
          <w:tcPr>
            <w:tcW w:w="2500" w:type="pct"/>
          </w:tcPr>
          <w:p w:rsidR="00640F98" w:rsidRDefault="00AC692A" w:rsidP="007A0BA7">
            <w:r>
              <w:t>No</w:t>
            </w:r>
            <w:r w:rsidR="007A0BA7">
              <w:t xml:space="preserve">, for the reasons set out in section </w:t>
            </w:r>
            <w:r w:rsidR="007A0BA7">
              <w:fldChar w:fldCharType="begin"/>
            </w:r>
            <w:r w:rsidR="007A0BA7">
              <w:instrText xml:space="preserve"> REF _Ref489522134 \r \h </w:instrText>
            </w:r>
            <w:r w:rsidR="007A0BA7">
              <w:fldChar w:fldCharType="separate"/>
            </w:r>
            <w:r w:rsidR="0076296B">
              <w:t>9.2</w:t>
            </w:r>
            <w:r w:rsidR="007A0BA7">
              <w:fldChar w:fldCharType="end"/>
            </w:r>
            <w:r w:rsidR="007A0BA7">
              <w:t>.</w:t>
            </w:r>
          </w:p>
        </w:tc>
      </w:tr>
      <w:tr w:rsidR="00640F98" w:rsidTr="001009EA">
        <w:trPr>
          <w:cnfStyle w:val="000000010000" w:firstRow="0" w:lastRow="0" w:firstColumn="0" w:lastColumn="0" w:oddVBand="0" w:evenVBand="0" w:oddHBand="0" w:evenHBand="1" w:firstRowFirstColumn="0" w:firstRowLastColumn="0" w:lastRowFirstColumn="0" w:lastRowLastColumn="0"/>
        </w:trPr>
        <w:tc>
          <w:tcPr>
            <w:tcW w:w="2500" w:type="pct"/>
          </w:tcPr>
          <w:p w:rsidR="00640F98" w:rsidRDefault="00640F98" w:rsidP="008B2D9E">
            <w:r>
              <w:t>M</w:t>
            </w:r>
            <w:r w:rsidRPr="00640F98">
              <w:t>echanism to promote competition:</w:t>
            </w:r>
            <w:r>
              <w:t xml:space="preserve"> Bidding mechanism to encourage market delivery</w:t>
            </w:r>
          </w:p>
        </w:tc>
        <w:tc>
          <w:tcPr>
            <w:tcW w:w="2500" w:type="pct"/>
          </w:tcPr>
          <w:p w:rsidR="00640F98" w:rsidRDefault="00AC692A" w:rsidP="009933B0">
            <w:r>
              <w:t xml:space="preserve">Not in the form presented in the Consultation Paper. However, we require distributors to subject all eligible projects under the Scheme to </w:t>
            </w:r>
            <w:r w:rsidR="009933B0">
              <w:t>competitive</w:t>
            </w:r>
            <w:r>
              <w:t xml:space="preserve"> testing.</w:t>
            </w:r>
          </w:p>
        </w:tc>
      </w:tr>
      <w:tr w:rsidR="00640F98" w:rsidTr="001009EA">
        <w:tc>
          <w:tcPr>
            <w:tcW w:w="2500" w:type="pct"/>
          </w:tcPr>
          <w:p w:rsidR="00640F98" w:rsidRDefault="00640F98" w:rsidP="008B2D9E">
            <w:r>
              <w:t>Targets for demand management deployment</w:t>
            </w:r>
          </w:p>
        </w:tc>
        <w:tc>
          <w:tcPr>
            <w:tcW w:w="2500" w:type="pct"/>
          </w:tcPr>
          <w:p w:rsidR="00640F98" w:rsidRDefault="000D41C6" w:rsidP="008B2D9E">
            <w:r>
              <w:t>No</w:t>
            </w:r>
            <w:r w:rsidR="007A0BA7">
              <w:t xml:space="preserve">, for the reasons set out in section </w:t>
            </w:r>
            <w:r w:rsidR="007A0BA7">
              <w:fldChar w:fldCharType="begin"/>
            </w:r>
            <w:r w:rsidR="007A0BA7">
              <w:instrText xml:space="preserve"> REF _Ref489522146 \r \h </w:instrText>
            </w:r>
            <w:r w:rsidR="007A0BA7">
              <w:fldChar w:fldCharType="separate"/>
            </w:r>
            <w:r w:rsidR="0076296B">
              <w:t>9.3</w:t>
            </w:r>
            <w:r w:rsidR="007A0BA7">
              <w:fldChar w:fldCharType="end"/>
            </w:r>
            <w:r w:rsidR="007A0BA7">
              <w:t>.</w:t>
            </w:r>
          </w:p>
        </w:tc>
      </w:tr>
    </w:tbl>
    <w:p w:rsidR="000D41C6" w:rsidRDefault="000D41C6" w:rsidP="000D41C6">
      <w:r>
        <w:t>In this section, we explain why we did not incorporate the following mechanisms into the draft Scheme:</w:t>
      </w:r>
    </w:p>
    <w:p w:rsidR="000D41C6" w:rsidRDefault="009933B0" w:rsidP="000D41C6">
      <w:pPr>
        <w:pStyle w:val="AERbulletlistfirststyle"/>
      </w:pPr>
      <w:r>
        <w:t>Limiting penalties under the STPIS</w:t>
      </w:r>
      <w:r w:rsidR="00194094">
        <w:t>;</w:t>
      </w:r>
    </w:p>
    <w:p w:rsidR="000D41C6" w:rsidRDefault="000D41C6" w:rsidP="000D41C6">
      <w:pPr>
        <w:pStyle w:val="AERbulletlistfirststyle"/>
      </w:pPr>
      <w:r>
        <w:t>Incentivising distributors to provide information</w:t>
      </w:r>
      <w:r w:rsidR="00194094">
        <w:t>; and</w:t>
      </w:r>
    </w:p>
    <w:p w:rsidR="000D41C6" w:rsidRPr="000D41C6" w:rsidRDefault="000D41C6" w:rsidP="000D41C6">
      <w:pPr>
        <w:pStyle w:val="AERbulletlistfirststyle"/>
      </w:pPr>
      <w:r>
        <w:t>Demand management targets</w:t>
      </w:r>
      <w:r w:rsidR="00194094">
        <w:t>.</w:t>
      </w:r>
    </w:p>
    <w:p w:rsidR="00640F98" w:rsidRDefault="000D41C6" w:rsidP="000D41C6">
      <w:pPr>
        <w:pStyle w:val="Heading2"/>
      </w:pPr>
      <w:bookmarkStart w:id="81" w:name="_Ref489522116"/>
      <w:bookmarkStart w:id="82" w:name="_Toc491447267"/>
      <w:r>
        <w:lastRenderedPageBreak/>
        <w:t>Limiting STPIS penalties</w:t>
      </w:r>
      <w:bookmarkEnd w:id="81"/>
      <w:bookmarkEnd w:id="82"/>
    </w:p>
    <w:p w:rsidR="000B64A9" w:rsidRDefault="00351E7E" w:rsidP="008B2D9E">
      <w:r>
        <w:t>In our Consultation Paper, we discussed the possibility of l</w:t>
      </w:r>
      <w:r w:rsidRPr="00351E7E">
        <w:t xml:space="preserve">imiting penalties associated </w:t>
      </w:r>
      <w:r>
        <w:t xml:space="preserve">with demand management projects </w:t>
      </w:r>
      <w:r w:rsidRPr="00351E7E">
        <w:t>under the STPIS</w:t>
      </w:r>
      <w:r>
        <w:t>.</w:t>
      </w:r>
      <w:r>
        <w:rPr>
          <w:rStyle w:val="FootnoteReference"/>
        </w:rPr>
        <w:footnoteReference w:id="67"/>
      </w:r>
      <w:r>
        <w:t xml:space="preserve"> </w:t>
      </w:r>
      <w:r w:rsidR="00BF5830" w:rsidRPr="00BF5830">
        <w:t xml:space="preserve">For instance, when estimating the reliability component under the STPIS, we </w:t>
      </w:r>
      <w:r w:rsidR="000B64A9">
        <w:t xml:space="preserve">suggested that we </w:t>
      </w:r>
      <w:r w:rsidR="00BF5830" w:rsidRPr="00BF5830">
        <w:t>could</w:t>
      </w:r>
      <w:r w:rsidR="000B64A9">
        <w:t xml:space="preserve"> possibly</w:t>
      </w:r>
      <w:r w:rsidR="00BF5830" w:rsidRPr="00BF5830">
        <w:t xml:space="preserve"> exclude a defined number of network interruptions associated with unexpected underperformances </w:t>
      </w:r>
      <w:r w:rsidR="009933B0">
        <w:t>of demand management projects.</w:t>
      </w:r>
    </w:p>
    <w:p w:rsidR="00351E7E" w:rsidRDefault="00351E7E" w:rsidP="008B2D9E">
      <w:r>
        <w:t xml:space="preserve">We have not incorporated </w:t>
      </w:r>
      <w:r w:rsidR="009933B0">
        <w:t>STPIS exclusions</w:t>
      </w:r>
      <w:r>
        <w:t xml:space="preserve"> into our draft Scheme for the following reasons:</w:t>
      </w:r>
    </w:p>
    <w:p w:rsidR="00351E7E" w:rsidRDefault="009933B0" w:rsidP="00351E7E">
      <w:pPr>
        <w:pStyle w:val="AERbulletlistfirststyle"/>
      </w:pPr>
      <w:r>
        <w:t>These would not produce benefits</w:t>
      </w:r>
      <w:r w:rsidR="00351E7E">
        <w:t xml:space="preserve"> if the STPIS is</w:t>
      </w:r>
      <w:r w:rsidR="00351E7E" w:rsidRPr="00351E7E">
        <w:t xml:space="preserve"> balancing incentives as intended</w:t>
      </w:r>
      <w:r>
        <w:t>. We do not consider the STPIS</w:t>
      </w:r>
      <w:r w:rsidR="00BF5830">
        <w:t xml:space="preserve"> </w:t>
      </w:r>
      <w:r>
        <w:t>creates</w:t>
      </w:r>
      <w:r w:rsidR="00BF5830">
        <w:t xml:space="preserve"> a perverse incentive against demand management. </w:t>
      </w:r>
      <w:r w:rsidR="00351E7E">
        <w:t xml:space="preserve">Moreover, if evidence </w:t>
      </w:r>
      <w:r>
        <w:t>suggested otherwise</w:t>
      </w:r>
      <w:r w:rsidR="00351E7E">
        <w:t xml:space="preserve">, it would be suitable to address </w:t>
      </w:r>
      <w:r w:rsidR="0068682F">
        <w:t>such a problem</w:t>
      </w:r>
      <w:r w:rsidR="00351E7E">
        <w:t xml:space="preserve"> via amending the STPIS directly </w:t>
      </w:r>
      <w:r w:rsidR="00351E7E">
        <w:rPr>
          <w:rFonts w:cs="Arial"/>
        </w:rPr>
        <w:t>―</w:t>
      </w:r>
      <w:r w:rsidR="00351E7E">
        <w:t xml:space="preserve"> particularly as we are currently reviewing our STPIS.</w:t>
      </w:r>
      <w:r w:rsidR="00351E7E">
        <w:rPr>
          <w:rStyle w:val="FootnoteReference"/>
        </w:rPr>
        <w:footnoteReference w:id="68"/>
      </w:r>
    </w:p>
    <w:p w:rsidR="00BF5830" w:rsidRDefault="00BF5830" w:rsidP="00351E7E">
      <w:pPr>
        <w:pStyle w:val="AERbulletlistfirststyle"/>
      </w:pPr>
      <w:r>
        <w:t xml:space="preserve">To the extent </w:t>
      </w:r>
      <w:r w:rsidR="0068682F">
        <w:t xml:space="preserve">some </w:t>
      </w:r>
      <w:r>
        <w:t>distributors p</w:t>
      </w:r>
      <w:r w:rsidR="00351E7E" w:rsidRPr="00351E7E">
        <w:t>erceive demand management options to be less reliable than network options</w:t>
      </w:r>
      <w:r>
        <w:t>, w</w:t>
      </w:r>
      <w:r w:rsidR="0068682F">
        <w:t>e do not support addressing these</w:t>
      </w:r>
      <w:r>
        <w:t xml:space="preserve"> </w:t>
      </w:r>
      <w:r w:rsidR="0068682F">
        <w:t xml:space="preserve">perceptions with STPIS exclusions </w:t>
      </w:r>
      <w:r>
        <w:t>because:</w:t>
      </w:r>
    </w:p>
    <w:p w:rsidR="00BF5830" w:rsidRDefault="009933B0" w:rsidP="00BF5830">
      <w:pPr>
        <w:pStyle w:val="AERbulletlistsecondstyle"/>
      </w:pPr>
      <w:r>
        <w:t xml:space="preserve">Exclusions </w:t>
      </w:r>
      <w:r w:rsidR="00BF5830">
        <w:t xml:space="preserve">could </w:t>
      </w:r>
      <w:r w:rsidR="000B64A9">
        <w:t>further embed</w:t>
      </w:r>
      <w:r w:rsidR="00BF5830">
        <w:t xml:space="preserve"> the perception that demand management options are less reliable than network options.</w:t>
      </w:r>
    </w:p>
    <w:p w:rsidR="00BF5830" w:rsidRDefault="00BF5830" w:rsidP="00BF5830">
      <w:pPr>
        <w:pStyle w:val="AERbulletlistsecondstyle"/>
      </w:pPr>
      <w:r>
        <w:t>D</w:t>
      </w:r>
      <w:r w:rsidRPr="00BF5830">
        <w:t>istributors' inexperience in providing demand management relative to network solutions</w:t>
      </w:r>
      <w:r>
        <w:t xml:space="preserve"> would have likely influenced this perception. </w:t>
      </w:r>
      <w:r w:rsidR="00126445">
        <w:t>As such</w:t>
      </w:r>
      <w:r>
        <w:t>, creating a Scheme that incentivises distributors to undertake more demand management where efficient</w:t>
      </w:r>
      <w:r w:rsidR="00126445">
        <w:t xml:space="preserve"> should</w:t>
      </w:r>
      <w:r>
        <w:t xml:space="preserve"> already go some way i</w:t>
      </w:r>
      <w:r w:rsidR="00A03D0E">
        <w:t>n addressing this inexperience.</w:t>
      </w:r>
    </w:p>
    <w:p w:rsidR="000B64A9" w:rsidRDefault="000B64A9" w:rsidP="00BF5830">
      <w:pPr>
        <w:pStyle w:val="AERbulletlistsecondstyle"/>
      </w:pPr>
      <w:r>
        <w:t xml:space="preserve">STPIS exclusions could skew distributors' incentives towards undertaking relatively unreliable </w:t>
      </w:r>
      <w:r w:rsidR="00126445">
        <w:t>demand management projects. These skewed incentives</w:t>
      </w:r>
      <w:r>
        <w:t xml:space="preserve"> could incentivise a number of unreliable demand management </w:t>
      </w:r>
      <w:r w:rsidR="00E741CD">
        <w:t>options, which</w:t>
      </w:r>
      <w:r>
        <w:t xml:space="preserve"> would further embed the perception that demand management is unreliable.</w:t>
      </w:r>
    </w:p>
    <w:p w:rsidR="008B2D9E" w:rsidRDefault="00E741CD" w:rsidP="00E741CD">
      <w:pPr>
        <w:pStyle w:val="AERbulletlistfirststyle"/>
        <w:numPr>
          <w:ilvl w:val="0"/>
          <w:numId w:val="0"/>
        </w:numPr>
      </w:pPr>
      <w:r>
        <w:t>S</w:t>
      </w:r>
      <w:r w:rsidR="000B64A9" w:rsidRPr="000B64A9">
        <w:t>takeholders</w:t>
      </w:r>
      <w:r w:rsidR="00C75D89">
        <w:t xml:space="preserve"> generally</w:t>
      </w:r>
      <w:r w:rsidR="000B64A9" w:rsidRPr="000B64A9">
        <w:t xml:space="preserve"> showed little support for providing exemptions to the </w:t>
      </w:r>
      <w:r>
        <w:t xml:space="preserve">STPIS. </w:t>
      </w:r>
      <w:r w:rsidR="00B923B0">
        <w:t>Submissions to the Consultation Paper provided reasons against this approach, including</w:t>
      </w:r>
      <w:r w:rsidR="00C75D89">
        <w:t>:</w:t>
      </w:r>
    </w:p>
    <w:p w:rsidR="00E741CD" w:rsidRDefault="00C75D89" w:rsidP="00E741CD">
      <w:pPr>
        <w:pStyle w:val="AERbulletlistfirststyle"/>
      </w:pPr>
      <w:r>
        <w:t xml:space="preserve">United Energy advised against excluding demand management </w:t>
      </w:r>
      <w:r w:rsidR="00E741CD" w:rsidRPr="00E741CD">
        <w:t>solutions from the STPIS as</w:t>
      </w:r>
      <w:r w:rsidR="00126445">
        <w:t xml:space="preserve"> doing so</w:t>
      </w:r>
      <w:r w:rsidR="00E741CD" w:rsidRPr="00E741CD">
        <w:t xml:space="preserve"> may compromise the intended network reliability associated with these solutions</w:t>
      </w:r>
      <w:r w:rsidR="00B923B0">
        <w:t>,</w:t>
      </w:r>
      <w:r w:rsidR="00E741CD" w:rsidRPr="00E741CD">
        <w:t xml:space="preserve"> resulting in customers paying for a service they may not be getting.</w:t>
      </w:r>
    </w:p>
    <w:p w:rsidR="00C75D89" w:rsidRDefault="00C75D89" w:rsidP="00B923B0">
      <w:pPr>
        <w:pStyle w:val="AERbulletlistfirststyle"/>
      </w:pPr>
      <w:r>
        <w:lastRenderedPageBreak/>
        <w:t xml:space="preserve">Ausnet Services, </w:t>
      </w:r>
      <w:r w:rsidRPr="00C75D89">
        <w:t xml:space="preserve">CitiPower and Powercor </w:t>
      </w:r>
      <w:r>
        <w:t xml:space="preserve">saw </w:t>
      </w:r>
      <w:r w:rsidRPr="00C75D89">
        <w:t>STPIS exemptions</w:t>
      </w:r>
      <w:r>
        <w:t xml:space="preserve"> as a </w:t>
      </w:r>
      <w:r w:rsidRPr="00C75D89">
        <w:t xml:space="preserve">distortion </w:t>
      </w:r>
      <w:r>
        <w:t xml:space="preserve">that </w:t>
      </w:r>
      <w:r w:rsidRPr="00C75D89">
        <w:t>transfers risk of poorer reliability onto consumers.</w:t>
      </w:r>
      <w:r>
        <w:t xml:space="preserve"> </w:t>
      </w:r>
      <w:r w:rsidR="00B923B0" w:rsidRPr="00B923B0">
        <w:t xml:space="preserve">Origin Energy </w:t>
      </w:r>
      <w:r w:rsidR="00B923B0">
        <w:t xml:space="preserve">also </w:t>
      </w:r>
      <w:r w:rsidR="00126445">
        <w:t xml:space="preserve">felt these exemptions </w:t>
      </w:r>
      <w:r w:rsidR="00B923B0">
        <w:t xml:space="preserve">would </w:t>
      </w:r>
      <w:r w:rsidR="00B923B0" w:rsidRPr="00B923B0">
        <w:t>be inefficient and inequitable.</w:t>
      </w:r>
    </w:p>
    <w:p w:rsidR="00C75D89" w:rsidRDefault="00B923B0" w:rsidP="00C75D89">
      <w:pPr>
        <w:pStyle w:val="AERbulletlistfirststyle"/>
      </w:pPr>
      <w:r>
        <w:t>Erg</w:t>
      </w:r>
      <w:r w:rsidR="00C75D89">
        <w:t>on Energy</w:t>
      </w:r>
      <w:r>
        <w:t xml:space="preserve"> </w:t>
      </w:r>
      <w:r w:rsidR="007A0BA7">
        <w:t xml:space="preserve">submitted </w:t>
      </w:r>
      <w:r>
        <w:t>that we should limit considering</w:t>
      </w:r>
      <w:r w:rsidR="00C75D89">
        <w:t xml:space="preserve"> STPIS changes </w:t>
      </w:r>
      <w:r>
        <w:t>to our</w:t>
      </w:r>
      <w:r w:rsidR="00C75D89">
        <w:t xml:space="preserve"> STPIS review </w:t>
      </w:r>
      <w:r>
        <w:t>rather than under</w:t>
      </w:r>
      <w:r w:rsidR="00C75D89">
        <w:t xml:space="preserve"> the Scheme.</w:t>
      </w:r>
    </w:p>
    <w:p w:rsidR="00C75D89" w:rsidRDefault="00C75D89" w:rsidP="00C75D89">
      <w:pPr>
        <w:pStyle w:val="AERbulletlistfirststyle"/>
      </w:pPr>
      <w:r>
        <w:t>SA Power Networks</w:t>
      </w:r>
      <w:r w:rsidR="00B923B0">
        <w:t xml:space="preserve"> </w:t>
      </w:r>
      <w:r w:rsidR="007A0BA7">
        <w:t>submitted that</w:t>
      </w:r>
      <w:r w:rsidR="00B923B0">
        <w:t xml:space="preserve"> we should leave service underperformance risks </w:t>
      </w:r>
      <w:r w:rsidR="007A0BA7">
        <w:t xml:space="preserve">for </w:t>
      </w:r>
      <w:r w:rsidR="00B923B0">
        <w:t>distributors to manage flexibly, depending o</w:t>
      </w:r>
      <w:r w:rsidR="009933B0">
        <w:t>n the prevailing circumstances.</w:t>
      </w:r>
    </w:p>
    <w:p w:rsidR="00B923B0" w:rsidRPr="00B923B0" w:rsidRDefault="00B923B0" w:rsidP="00B923B0">
      <w:pPr>
        <w:pStyle w:val="AERbulletlistfirststyle"/>
      </w:pPr>
      <w:r w:rsidRPr="00B923B0">
        <w:t>The ISF advised that instead of making a special dispensation within the STPIS for demand management underperformance, we should encourage distributors to implement normal risk management strategies and avoid passing disproportionate risks onto demand management service providers.</w:t>
      </w:r>
    </w:p>
    <w:p w:rsidR="00B923B0" w:rsidRDefault="00B923B0" w:rsidP="008B2D9E">
      <w:r w:rsidRPr="00B923B0">
        <w:t xml:space="preserve">While some stakeholders supported </w:t>
      </w:r>
      <w:r w:rsidR="00126445">
        <w:t xml:space="preserve">STPIS exemptions </w:t>
      </w:r>
      <w:r w:rsidRPr="00B923B0">
        <w:t>in their submissions to our Consultation Paper,</w:t>
      </w:r>
      <w:r>
        <w:rPr>
          <w:rStyle w:val="FootnoteReference"/>
        </w:rPr>
        <w:footnoteReference w:id="69"/>
      </w:r>
      <w:r w:rsidR="007A0BA7">
        <w:t xml:space="preserve"> these</w:t>
      </w:r>
      <w:r w:rsidRPr="00B923B0">
        <w:t xml:space="preserve"> position</w:t>
      </w:r>
      <w:r w:rsidR="007A0BA7">
        <w:t>s</w:t>
      </w:r>
      <w:r w:rsidRPr="00B923B0">
        <w:t xml:space="preserve"> appeared to fall away in the Options Day and the following consultation steps.</w:t>
      </w:r>
    </w:p>
    <w:p w:rsidR="000D41C6" w:rsidRPr="00A368DD" w:rsidRDefault="000D41C6" w:rsidP="008B2D9E">
      <w:pPr>
        <w:pStyle w:val="Heading2"/>
      </w:pPr>
      <w:bookmarkStart w:id="83" w:name="_Ref489522134"/>
      <w:bookmarkStart w:id="84" w:name="_Ref489522135"/>
      <w:bookmarkStart w:id="85" w:name="_Toc491447268"/>
      <w:r>
        <w:t>Incentivising distributors to provide information</w:t>
      </w:r>
      <w:bookmarkEnd w:id="83"/>
      <w:bookmarkEnd w:id="84"/>
      <w:bookmarkEnd w:id="85"/>
    </w:p>
    <w:p w:rsidR="00210543" w:rsidRDefault="00210543" w:rsidP="00210543">
      <w:r w:rsidRPr="00210543">
        <w:t>An option discussed in our Consultation Paper entailed incentivising distributors to develop (where necessary) and publish timely information in accessible formats to better facilitate</w:t>
      </w:r>
      <w:r w:rsidR="00BF5374">
        <w:t xml:space="preserve"> other legal entities</w:t>
      </w:r>
      <w:r w:rsidRPr="00210543">
        <w:t xml:space="preserve"> in providing demand management services.</w:t>
      </w:r>
      <w:r w:rsidRPr="00210543">
        <w:rPr>
          <w:rStyle w:val="FootnoteReference"/>
        </w:rPr>
        <w:footnoteReference w:id="70"/>
      </w:r>
      <w:r>
        <w:t xml:space="preserve"> In our Options Day presentation, we broadened this option to include providing i</w:t>
      </w:r>
      <w:r w:rsidRPr="00210543">
        <w:t xml:space="preserve">ncentives or </w:t>
      </w:r>
      <w:r>
        <w:t xml:space="preserve">allowing for </w:t>
      </w:r>
      <w:r w:rsidRPr="00210543">
        <w:t xml:space="preserve">cost-recovery </w:t>
      </w:r>
      <w:r>
        <w:t>of</w:t>
      </w:r>
      <w:r w:rsidRPr="00210543">
        <w:t xml:space="preserve"> </w:t>
      </w:r>
      <w:r>
        <w:t>'</w:t>
      </w:r>
      <w:r w:rsidRPr="00210543">
        <w:t>supporting infrastructure</w:t>
      </w:r>
      <w:r>
        <w:t xml:space="preserve">'. </w:t>
      </w:r>
      <w:r w:rsidR="00126445">
        <w:t>'Supporting infrastructure'</w:t>
      </w:r>
      <w:r>
        <w:t xml:space="preserve"> referred to infrastructure to</w:t>
      </w:r>
      <w:r w:rsidRPr="00210543">
        <w:t xml:space="preserve"> support the development of an effective demand management market</w:t>
      </w:r>
      <w:r>
        <w:t>, including by allowing cost recovery for developing:</w:t>
      </w:r>
    </w:p>
    <w:p w:rsidR="00210543" w:rsidRDefault="00210543" w:rsidP="00210543">
      <w:pPr>
        <w:pStyle w:val="AERbulletlistfirststyle"/>
      </w:pPr>
      <w:r>
        <w:t>Standard form contracts;</w:t>
      </w:r>
    </w:p>
    <w:p w:rsidR="00210543" w:rsidRDefault="00210543" w:rsidP="00210543">
      <w:pPr>
        <w:pStyle w:val="AERbulletlistfirststyle"/>
      </w:pPr>
      <w:r>
        <w:t>Procurement processes/platforms; and/or</w:t>
      </w:r>
    </w:p>
    <w:p w:rsidR="00210543" w:rsidRPr="00210543" w:rsidRDefault="00210543" w:rsidP="00210543">
      <w:pPr>
        <w:pStyle w:val="AERbulletlistfirststyle"/>
      </w:pPr>
      <w:r>
        <w:t>M</w:t>
      </w:r>
      <w:r w:rsidRPr="00210543">
        <w:t>ore effective systems for provide information to the market</w:t>
      </w:r>
      <w:r w:rsidR="00B8527C">
        <w:t>.</w:t>
      </w:r>
    </w:p>
    <w:p w:rsidR="00210543" w:rsidRDefault="00210543" w:rsidP="004F5B8B">
      <w:r>
        <w:t xml:space="preserve">Providing cost recovery of supporting infrastructure or incentivising distributors to provide information are not features of our draft </w:t>
      </w:r>
      <w:r w:rsidRPr="00210543">
        <w:t>Scheme</w:t>
      </w:r>
      <w:r>
        <w:t>. This option received very little support from stakeholders at the Options Day</w:t>
      </w:r>
      <w:r w:rsidR="004F5B8B">
        <w:t xml:space="preserve">. In principle, we agree with the view that if we </w:t>
      </w:r>
      <w:r w:rsidR="004F5B8B" w:rsidRPr="008B2D9E">
        <w:t xml:space="preserve">improve distributors’ incentives to undertake efficient demand management, then their incentive to provide supportive information and procurement infrastructure </w:t>
      </w:r>
      <w:r w:rsidR="004F5B8B">
        <w:t>should</w:t>
      </w:r>
      <w:r w:rsidR="004F5B8B" w:rsidRPr="008B2D9E">
        <w:t xml:space="preserve"> follow</w:t>
      </w:r>
      <w:r w:rsidR="004F5B8B">
        <w:t>. We also acknowledge that several stakeholders at the Options Day felt that in</w:t>
      </w:r>
      <w:r w:rsidRPr="008B2D9E">
        <w:t>formation</w:t>
      </w:r>
      <w:r w:rsidR="004F5B8B">
        <w:t xml:space="preserve"> provision had</w:t>
      </w:r>
      <w:r w:rsidR="008B2D9E" w:rsidRPr="008B2D9E">
        <w:t xml:space="preserve"> too often detracted from the main issue</w:t>
      </w:r>
      <w:r>
        <w:rPr>
          <w:rFonts w:cs="Arial"/>
        </w:rPr>
        <w:t>―</w:t>
      </w:r>
      <w:r>
        <w:t xml:space="preserve"> the balancing of distributors' incentives</w:t>
      </w:r>
      <w:r w:rsidR="008B2D9E" w:rsidRPr="008B2D9E">
        <w:t>.</w:t>
      </w:r>
    </w:p>
    <w:p w:rsidR="004F5B8B" w:rsidRDefault="004F5B8B" w:rsidP="004F5B8B">
      <w:r>
        <w:lastRenderedPageBreak/>
        <w:t xml:space="preserve">Moreover, we have recently published a </w:t>
      </w:r>
      <w:r w:rsidRPr="004F5B8B">
        <w:t>Distribution Annual Planning Report (DAPR) template.</w:t>
      </w:r>
      <w:r>
        <w:rPr>
          <w:rStyle w:val="FootnoteReference"/>
        </w:rPr>
        <w:footnoteReference w:id="71"/>
      </w:r>
      <w:r w:rsidRPr="004F5B8B">
        <w:t xml:space="preserve"> </w:t>
      </w:r>
      <w:r w:rsidR="00126445">
        <w:t>The DAPR template should</w:t>
      </w:r>
      <w:r>
        <w:t xml:space="preserve"> encourage distributors to provide information in a more accessible and timely format, independent of the Scheme</w:t>
      </w:r>
      <w:r w:rsidR="00126445">
        <w:t xml:space="preserve"> as it</w:t>
      </w:r>
      <w:r>
        <w:t xml:space="preserve"> aims to</w:t>
      </w:r>
      <w:r w:rsidRPr="004F5B8B">
        <w:t xml:space="preserve"> improve</w:t>
      </w:r>
      <w:r>
        <w:t>:</w:t>
      </w:r>
    </w:p>
    <w:p w:rsidR="004F5B8B" w:rsidRDefault="004F5B8B" w:rsidP="004F5B8B">
      <w:pPr>
        <w:pStyle w:val="AERbulletlistfirststyle"/>
      </w:pPr>
      <w:r>
        <w:t>C</w:t>
      </w:r>
      <w:r w:rsidRPr="004F5B8B">
        <w:t xml:space="preserve">onsistency and useability of DAPRs across the </w:t>
      </w:r>
      <w:r>
        <w:t>NEM.</w:t>
      </w:r>
    </w:p>
    <w:p w:rsidR="004F5B8B" w:rsidRPr="004F5B8B" w:rsidRDefault="004F5B8B" w:rsidP="004F5B8B">
      <w:pPr>
        <w:pStyle w:val="AERbulletlistfirststyle"/>
      </w:pPr>
      <w:r w:rsidRPr="004F5B8B">
        <w:t>The ability for non-network providers to identify and propose solutions to addressed identified network needs.</w:t>
      </w:r>
    </w:p>
    <w:p w:rsidR="004F5B8B" w:rsidRPr="004F5B8B" w:rsidRDefault="004F5B8B" w:rsidP="004F5B8B">
      <w:pPr>
        <w:pStyle w:val="AERbulletlistfirststyle"/>
        <w:numPr>
          <w:ilvl w:val="0"/>
          <w:numId w:val="0"/>
        </w:numPr>
      </w:pPr>
      <w:r>
        <w:t xml:space="preserve">It is a </w:t>
      </w:r>
      <w:r w:rsidRPr="004F5B8B">
        <w:t>living document</w:t>
      </w:r>
      <w:r>
        <w:t>,</w:t>
      </w:r>
      <w:r w:rsidRPr="004F5B8B">
        <w:t xml:space="preserve"> which will evolve in response to stakeholders’ needs in a timely manner.</w:t>
      </w:r>
      <w:r>
        <w:t xml:space="preserve"> It includes, among</w:t>
      </w:r>
      <w:r w:rsidRPr="004F5B8B">
        <w:t xml:space="preserve"> other information:</w:t>
      </w:r>
    </w:p>
    <w:p w:rsidR="004F5B8B" w:rsidRPr="004F5B8B" w:rsidRDefault="004F5B8B" w:rsidP="004F5B8B">
      <w:pPr>
        <w:pStyle w:val="AERbulletlistfirststyle"/>
      </w:pPr>
      <w:r>
        <w:t>T</w:t>
      </w:r>
      <w:r w:rsidRPr="004F5B8B">
        <w:t>he name and location of network assets where a limitation has been identified;</w:t>
      </w:r>
    </w:p>
    <w:p w:rsidR="004F5B8B" w:rsidRPr="004F5B8B" w:rsidRDefault="004F5B8B" w:rsidP="004F5B8B">
      <w:pPr>
        <w:pStyle w:val="AERbulletlistfirststyle"/>
      </w:pPr>
      <w:r w:rsidRPr="004F5B8B">
        <w:t>The timing of the limitation;</w:t>
      </w:r>
    </w:p>
    <w:p w:rsidR="004F5B8B" w:rsidRPr="004F5B8B" w:rsidRDefault="004F5B8B" w:rsidP="004F5B8B">
      <w:pPr>
        <w:pStyle w:val="AERbulletlistfirststyle"/>
      </w:pPr>
      <w:r w:rsidRPr="004F5B8B">
        <w:t>The proposed solution;</w:t>
      </w:r>
    </w:p>
    <w:p w:rsidR="004F5B8B" w:rsidRDefault="004F5B8B" w:rsidP="004F5B8B">
      <w:pPr>
        <w:pStyle w:val="AERbulletlistfirststyle"/>
      </w:pPr>
      <w:r w:rsidRPr="004F5B8B">
        <w:t>The estimated cost;</w:t>
      </w:r>
      <w:r>
        <w:t xml:space="preserve"> and</w:t>
      </w:r>
    </w:p>
    <w:p w:rsidR="004F5B8B" w:rsidRDefault="004F5B8B" w:rsidP="004F5B8B">
      <w:pPr>
        <w:pStyle w:val="AERbulletlistfirststyle"/>
      </w:pPr>
      <w:r w:rsidRPr="004F5B8B">
        <w:t>The amount by which peak demand would need to be reduced to defer the proposed solution and the dollar value of each year of deferral.</w:t>
      </w:r>
    </w:p>
    <w:p w:rsidR="000D41C6" w:rsidRPr="00A368DD" w:rsidRDefault="000D41C6" w:rsidP="000D41C6">
      <w:pPr>
        <w:pStyle w:val="Heading2"/>
      </w:pPr>
      <w:bookmarkStart w:id="86" w:name="_Ref489522146"/>
      <w:bookmarkStart w:id="87" w:name="_Toc491447269"/>
      <w:r>
        <w:t>Setting demand management targets</w:t>
      </w:r>
      <w:bookmarkEnd w:id="86"/>
      <w:bookmarkEnd w:id="87"/>
    </w:p>
    <w:p w:rsidR="00627D97" w:rsidRDefault="00820DBE" w:rsidP="008B2D9E">
      <w:r w:rsidRPr="00820DBE">
        <w:t xml:space="preserve">In our Consultation Paper, we noted a potential option might </w:t>
      </w:r>
      <w:r w:rsidR="00187D1D">
        <w:t xml:space="preserve">entail rewarding </w:t>
      </w:r>
      <w:r w:rsidR="00187D1D" w:rsidRPr="00187D1D">
        <w:t>distributor</w:t>
      </w:r>
      <w:r w:rsidR="00187D1D">
        <w:t>s</w:t>
      </w:r>
      <w:r w:rsidR="00187D1D" w:rsidRPr="00187D1D">
        <w:t xml:space="preserve"> </w:t>
      </w:r>
      <w:r w:rsidR="00187D1D">
        <w:t>for achieving</w:t>
      </w:r>
      <w:r w:rsidR="00187D1D" w:rsidRPr="00187D1D">
        <w:t xml:space="preserve"> pre-determined </w:t>
      </w:r>
      <w:r w:rsidR="00187D1D">
        <w:t>demand management</w:t>
      </w:r>
      <w:r w:rsidR="00187D1D" w:rsidRPr="00187D1D">
        <w:t xml:space="preserve"> targets based on identified constraints at the planning stage.</w:t>
      </w:r>
      <w:r w:rsidR="00187D1D" w:rsidRPr="00187D1D">
        <w:rPr>
          <w:rStyle w:val="FootnoteReference"/>
        </w:rPr>
        <w:footnoteReference w:id="72"/>
      </w:r>
      <w:r w:rsidR="00187D1D" w:rsidRPr="00187D1D">
        <w:t xml:space="preserve"> </w:t>
      </w:r>
      <w:r w:rsidR="00187D1D">
        <w:t xml:space="preserve">We recognised that </w:t>
      </w:r>
      <w:r w:rsidR="00126445">
        <w:t xml:space="preserve">demand management targets </w:t>
      </w:r>
      <w:r w:rsidR="00187D1D">
        <w:t xml:space="preserve">would be difficult to implement as </w:t>
      </w:r>
      <w:r w:rsidR="00B8527C">
        <w:t>these</w:t>
      </w:r>
      <w:r w:rsidR="00187D1D">
        <w:t xml:space="preserve"> would require setting</w:t>
      </w:r>
      <w:r w:rsidR="00187D1D" w:rsidRPr="00187D1D">
        <w:t xml:space="preserve"> baseline peak demand targets. </w:t>
      </w:r>
      <w:r w:rsidR="00187D1D">
        <w:t xml:space="preserve">We would also have to make </w:t>
      </w:r>
      <w:r w:rsidR="00187D1D" w:rsidRPr="00187D1D">
        <w:t xml:space="preserve">annual adjustments for </w:t>
      </w:r>
      <w:r w:rsidR="00B8527C">
        <w:t xml:space="preserve">factors like </w:t>
      </w:r>
      <w:r w:rsidR="00187D1D" w:rsidRPr="00187D1D">
        <w:t xml:space="preserve">weather, energy efficiency and major plant closures </w:t>
      </w:r>
      <w:r w:rsidR="00B8527C">
        <w:t xml:space="preserve">to </w:t>
      </w:r>
      <w:r w:rsidR="00187D1D">
        <w:t xml:space="preserve">determine </w:t>
      </w:r>
      <w:r w:rsidR="00B8527C">
        <w:t xml:space="preserve">whether </w:t>
      </w:r>
      <w:r w:rsidR="00187D1D">
        <w:t>a distributor's demand management activ</w:t>
      </w:r>
      <w:r w:rsidR="007A0BA7">
        <w:t>iti</w:t>
      </w:r>
      <w:r w:rsidR="00187D1D">
        <w:t xml:space="preserve">es had </w:t>
      </w:r>
      <w:r w:rsidR="00627D97">
        <w:t>driven the</w:t>
      </w:r>
      <w:r w:rsidR="00187D1D">
        <w:t xml:space="preserve"> observed demand reductions</w:t>
      </w:r>
      <w:r w:rsidR="00B8527C">
        <w:t>.</w:t>
      </w:r>
    </w:p>
    <w:p w:rsidR="00627D97" w:rsidRDefault="00627D97" w:rsidP="008B2D9E">
      <w:r>
        <w:t xml:space="preserve">We have not based the </w:t>
      </w:r>
      <w:r w:rsidR="00210543">
        <w:t xml:space="preserve">draft </w:t>
      </w:r>
      <w:r w:rsidR="00187D1D" w:rsidRPr="00187D1D">
        <w:t>Scheme</w:t>
      </w:r>
      <w:r>
        <w:t xml:space="preserve"> on demand management targets. We are </w:t>
      </w:r>
      <w:r w:rsidR="007A0BA7">
        <w:t>satisfied</w:t>
      </w:r>
      <w:r>
        <w:t xml:space="preserve"> that a target-based Scheme would be difficult to implement in a way that would achieve the Scheme </w:t>
      </w:r>
      <w:r w:rsidR="00B8527C">
        <w:t>O</w:t>
      </w:r>
      <w:r>
        <w:t>bjective to incentivise distributors to undertake efficient non-network options relating to demand management. Specifically, it would require us to set a target level of demand management that was 'efficient'</w:t>
      </w:r>
      <w:r w:rsidR="00126445">
        <w:t xml:space="preserve">, which </w:t>
      </w:r>
      <w:r>
        <w:t xml:space="preserve">would be difficult for us to set. </w:t>
      </w:r>
      <w:r w:rsidR="00EE31F2">
        <w:t>Rather, w</w:t>
      </w:r>
      <w:r>
        <w:t xml:space="preserve">e consider it preferable for the distributor </w:t>
      </w:r>
      <w:r w:rsidR="007A0BA7">
        <w:t xml:space="preserve">to </w:t>
      </w:r>
      <w:r>
        <w:t>assess efficiency at the project-level when network planning</w:t>
      </w:r>
      <w:r w:rsidR="00EE31F2">
        <w:t>.</w:t>
      </w:r>
    </w:p>
    <w:p w:rsidR="00EE31F2" w:rsidRDefault="00627D97" w:rsidP="008B2D9E">
      <w:r>
        <w:t>Stakeholder submissions</w:t>
      </w:r>
      <w:r w:rsidR="00EE31F2">
        <w:t xml:space="preserve"> to the Consultation Paper generally </w:t>
      </w:r>
      <w:r>
        <w:t>emphasised the d</w:t>
      </w:r>
      <w:r w:rsidR="00EE31F2">
        <w:t xml:space="preserve">ifficulties with implementing a </w:t>
      </w:r>
      <w:r>
        <w:t>target-based Scheme</w:t>
      </w:r>
      <w:r w:rsidR="00EE31F2">
        <w:t xml:space="preserve"> that</w:t>
      </w:r>
      <w:r w:rsidR="00121204">
        <w:t xml:space="preserve"> would encourage</w:t>
      </w:r>
      <w:r w:rsidR="00EE31F2">
        <w:t xml:space="preserve"> efficient expenditure. We</w:t>
      </w:r>
      <w:r w:rsidR="007A0BA7">
        <w:t xml:space="preserve"> generally accept the following submissions</w:t>
      </w:r>
      <w:r w:rsidR="00B8527C">
        <w:t>:</w:t>
      </w:r>
    </w:p>
    <w:p w:rsidR="00121204" w:rsidRPr="00121204" w:rsidRDefault="00121204" w:rsidP="00121204">
      <w:pPr>
        <w:pStyle w:val="AERbulletlistfirststyle"/>
      </w:pPr>
      <w:r w:rsidRPr="00121204">
        <w:lastRenderedPageBreak/>
        <w:t xml:space="preserve">Origin Energy </w:t>
      </w:r>
      <w:r w:rsidR="007A0BA7">
        <w:t>submitted that</w:t>
      </w:r>
      <w:r w:rsidRPr="00121204">
        <w:t xml:space="preserve"> targets could create perverse investment signals. It </w:t>
      </w:r>
      <w:r>
        <w:t>preferred</w:t>
      </w:r>
      <w:r w:rsidRPr="00121204">
        <w:t xml:space="preserve"> a market-driven investment environment </w:t>
      </w:r>
      <w:r>
        <w:t>for</w:t>
      </w:r>
      <w:r w:rsidRPr="00121204">
        <w:t xml:space="preserve"> provid</w:t>
      </w:r>
      <w:r>
        <w:t>ing</w:t>
      </w:r>
      <w:r w:rsidRPr="00121204">
        <w:t xml:space="preserve"> long-term efficient price signals and investment. United Energy also noted that targets would create distortions that would undermine the intent of encouraging effic</w:t>
      </w:r>
      <w:r w:rsidR="00B8527C">
        <w:t>ient demand management.</w:t>
      </w:r>
    </w:p>
    <w:p w:rsidR="00121204" w:rsidRPr="00121204" w:rsidRDefault="00121204" w:rsidP="00121204">
      <w:pPr>
        <w:pStyle w:val="AERbulletlistfirststyle"/>
      </w:pPr>
      <w:r w:rsidRPr="00121204">
        <w:t>Ausnet Services and Jemena noted the risk or inefficiency if the target level is poorly set in either direction. Endeavour Energy, Ergon Energy, SA Power Networks and the ENA</w:t>
      </w:r>
      <w:r w:rsidR="007A0BA7" w:rsidRPr="007A0BA7">
        <w:t xml:space="preserve"> </w:t>
      </w:r>
      <w:r w:rsidR="007A0BA7">
        <w:t>submitted that</w:t>
      </w:r>
      <w:r w:rsidR="007A0BA7" w:rsidRPr="00121204">
        <w:t xml:space="preserve"> </w:t>
      </w:r>
      <w:r w:rsidRPr="00121204">
        <w:t>broad-based targets could incentivise distributors to implement demand management where inefficient. CitiPower and Powercor noted that the risk of consumers bearing the cost of inefficient demand management would be particularly high in the current low demand growth environment.</w:t>
      </w:r>
    </w:p>
    <w:p w:rsidR="002D7A0B" w:rsidRDefault="002D7A0B" w:rsidP="002D7A0B">
      <w:pPr>
        <w:pStyle w:val="AERbulletlistfirststyle"/>
      </w:pPr>
      <w:r w:rsidRPr="002D7A0B">
        <w:t>GreenSync highlighted the complexity of this approach. Baseline targets would require us to determine the MW or MWh targets, which would require significant consultation with the market and modelling of future outcomes. Ausnet Services</w:t>
      </w:r>
      <w:r w:rsidR="00121204">
        <w:t>, Jemena</w:t>
      </w:r>
      <w:r w:rsidRPr="002D7A0B">
        <w:t xml:space="preserve"> </w:t>
      </w:r>
      <w:r>
        <w:t xml:space="preserve">and United Energy also </w:t>
      </w:r>
      <w:r w:rsidRPr="002D7A0B">
        <w:t xml:space="preserve">saw demand management targets as </w:t>
      </w:r>
      <w:r>
        <w:t>creating</w:t>
      </w:r>
      <w:r w:rsidRPr="002D7A0B">
        <w:t xml:space="preserve"> unnecessary </w:t>
      </w:r>
      <w:r>
        <w:t>complexity</w:t>
      </w:r>
      <w:r w:rsidR="00121204">
        <w:t xml:space="preserve"> or subjectivity</w:t>
      </w:r>
      <w:r w:rsidRPr="002D7A0B">
        <w:t>.</w:t>
      </w:r>
    </w:p>
    <w:p w:rsidR="00121204" w:rsidRPr="00121204" w:rsidRDefault="00121204" w:rsidP="00121204">
      <w:pPr>
        <w:pStyle w:val="AERbulletlistfirststyle"/>
      </w:pPr>
      <w:r w:rsidRPr="00121204">
        <w:t>Ausgrid and the ENA recognised that while we would base a target on a distributor's requirements at a point in time, network planning is a continuous process. Ausnet Services noted that targets would not align with approaches to develop efficient network development plans.</w:t>
      </w:r>
    </w:p>
    <w:p w:rsidR="00322BE0" w:rsidRDefault="00322BE0" w:rsidP="00322BE0">
      <w:pPr>
        <w:pStyle w:val="AERbulletlistfirststyle"/>
      </w:pPr>
      <w:r>
        <w:t xml:space="preserve">Energex </w:t>
      </w:r>
      <w:r w:rsidR="007A0BA7">
        <w:t>submitted that</w:t>
      </w:r>
      <w:r>
        <w:t xml:space="preserve"> targets would fail to recognise the full range of demand management projects</w:t>
      </w:r>
      <w:r w:rsidR="00121204">
        <w:t>.</w:t>
      </w:r>
    </w:p>
    <w:p w:rsidR="00187D1D" w:rsidRPr="00187D1D" w:rsidRDefault="00EE31F2" w:rsidP="00187D1D">
      <w:r w:rsidRPr="00EE31F2">
        <w:t xml:space="preserve">While some stakeholders supported </w:t>
      </w:r>
      <w:r w:rsidR="00126445">
        <w:t>demand management targets</w:t>
      </w:r>
      <w:r w:rsidRPr="00EE31F2">
        <w:t xml:space="preserve"> in their submissions to our Consultation Paper,</w:t>
      </w:r>
      <w:r w:rsidRPr="00EE31F2">
        <w:rPr>
          <w:rStyle w:val="FootnoteReference"/>
        </w:rPr>
        <w:footnoteReference w:id="73"/>
      </w:r>
      <w:r w:rsidRPr="00EE31F2">
        <w:t xml:space="preserve"> this position appeared to fall away in the Options Day and the following consultation steps.</w:t>
      </w:r>
    </w:p>
    <w:p w:rsidR="00C3345D" w:rsidRDefault="00416F55" w:rsidP="00C3345D">
      <w:pPr>
        <w:pStyle w:val="Heading7"/>
      </w:pPr>
      <w:bookmarkStart w:id="88" w:name="_Toc491447270"/>
      <w:r>
        <w:lastRenderedPageBreak/>
        <w:t xml:space="preserve">Calculating net </w:t>
      </w:r>
      <w:r w:rsidR="007A6E1C">
        <w:t>benefit</w:t>
      </w:r>
      <w:r>
        <w:t>s and approximating option value</w:t>
      </w:r>
      <w:bookmarkEnd w:id="88"/>
    </w:p>
    <w:p w:rsidR="00416F55" w:rsidRDefault="007A6E1C" w:rsidP="007A6E1C">
      <w:r>
        <w:t>The net benefit calculation has the same purpose as the RIT</w:t>
      </w:r>
      <w:r>
        <w:rPr>
          <w:rFonts w:cs="Arial"/>
        </w:rPr>
        <w:t>–</w:t>
      </w:r>
      <w:r w:rsidRPr="007A6E1C">
        <w:t xml:space="preserve">D, as set </w:t>
      </w:r>
      <w:r>
        <w:t>out at cl. 5.17.1(b) of the NER. This</w:t>
      </w:r>
      <w:r w:rsidRPr="007A6E1C">
        <w:t xml:space="preserve"> </w:t>
      </w:r>
      <w:r w:rsidR="00126445">
        <w:t>calculation aims to</w:t>
      </w:r>
      <w:r w:rsidRPr="007A6E1C">
        <w:t xml:space="preserve"> identify the preferred option</w:t>
      </w:r>
      <w:r>
        <w:t>, which is</w:t>
      </w:r>
      <w:r w:rsidRPr="007A6E1C">
        <w:t xml:space="preserve"> the credible option that maximises the present value of </w:t>
      </w:r>
      <w:r w:rsidR="00B8527C">
        <w:t xml:space="preserve">the </w:t>
      </w:r>
      <w:r w:rsidRPr="007A6E1C">
        <w:t xml:space="preserve">net economic benefit to all those who produce, consume and transport electricity in the </w:t>
      </w:r>
      <w:r w:rsidR="00C26AD1">
        <w:t>relevant market</w:t>
      </w:r>
      <w:r w:rsidRPr="007A6E1C">
        <w:t>.</w:t>
      </w:r>
      <w:r>
        <w:t xml:space="preserve"> </w:t>
      </w:r>
      <w:r w:rsidR="00126445">
        <w:t xml:space="preserve">In this calculation, the </w:t>
      </w:r>
      <w:r w:rsidR="00D63715" w:rsidRPr="00D63715">
        <w:t xml:space="preserve">net economic benefit equals </w:t>
      </w:r>
      <w:r w:rsidR="00B8527C">
        <w:t>the market benefits less costs.</w:t>
      </w:r>
    </w:p>
    <w:p w:rsidR="007A6E1C" w:rsidRDefault="00126445" w:rsidP="007A6E1C">
      <w:r>
        <w:t>As such</w:t>
      </w:r>
      <w:r w:rsidR="007A6E1C">
        <w:t>, distributors should refer to the RIT</w:t>
      </w:r>
      <w:r w:rsidR="007A6E1C" w:rsidRPr="007A6E1C">
        <w:t>–</w:t>
      </w:r>
      <w:r w:rsidR="007A6E1C">
        <w:t>D and its application guidelines for guidance in performing the net benefit calculation.</w:t>
      </w:r>
      <w:r w:rsidR="007A6E1C">
        <w:rPr>
          <w:rStyle w:val="FootnoteReference"/>
        </w:rPr>
        <w:footnoteReference w:id="74"/>
      </w:r>
      <w:r w:rsidR="007A6E1C">
        <w:t xml:space="preserve"> </w:t>
      </w:r>
      <w:r w:rsidR="00416F55">
        <w:t>In particular, Attachment A of</w:t>
      </w:r>
      <w:r w:rsidR="00416F55" w:rsidRPr="00416F55">
        <w:t xml:space="preserve"> </w:t>
      </w:r>
      <w:r w:rsidR="00416F55">
        <w:t>the RIT</w:t>
      </w:r>
      <w:r w:rsidR="00416F55" w:rsidRPr="00416F55">
        <w:t>–</w:t>
      </w:r>
      <w:r w:rsidR="00416F55">
        <w:t>D application guidelines provides specific guidance and worked examples on valuing classes of market benefits.</w:t>
      </w:r>
      <w:r w:rsidR="00416F55" w:rsidRPr="00416F55">
        <w:rPr>
          <w:rStyle w:val="FootnoteReference"/>
        </w:rPr>
        <w:t xml:space="preserve"> </w:t>
      </w:r>
      <w:r w:rsidR="00416F55">
        <w:rPr>
          <w:rStyle w:val="FootnoteReference"/>
        </w:rPr>
        <w:footnoteReference w:id="75"/>
      </w:r>
      <w:r w:rsidR="00416F55">
        <w:t xml:space="preserve"> This</w:t>
      </w:r>
      <w:r>
        <w:t xml:space="preserve"> guidance</w:t>
      </w:r>
      <w:r w:rsidR="00416F55">
        <w:t xml:space="preserve"> includes a worked example of quantifying changes in costs to other parties as a market benefit.</w:t>
      </w:r>
      <w:r w:rsidR="00416F55">
        <w:rPr>
          <w:rStyle w:val="FootnoteReference"/>
        </w:rPr>
        <w:footnoteReference w:id="76"/>
      </w:r>
    </w:p>
    <w:p w:rsidR="00416F55" w:rsidRDefault="007A6E1C" w:rsidP="007A6E1C">
      <w:r>
        <w:t>A number of eligible projects under the Scheme will be subject to the RIT</w:t>
      </w:r>
      <w:r>
        <w:rPr>
          <w:rFonts w:cs="Arial"/>
        </w:rPr>
        <w:t>–</w:t>
      </w:r>
      <w:r>
        <w:t>D in the first instance, and would therefore undergo a net b</w:t>
      </w:r>
      <w:r w:rsidR="0001019E">
        <w:t>enefit calculation independent</w:t>
      </w:r>
      <w:r>
        <w:t xml:space="preserve"> of the Scheme. However, there will also be projects eligible under the Scheme that fall </w:t>
      </w:r>
      <w:r w:rsidR="00D63715">
        <w:t>under</w:t>
      </w:r>
      <w:r>
        <w:t xml:space="preserve"> the RIT</w:t>
      </w:r>
      <w:r>
        <w:rPr>
          <w:rFonts w:cs="Arial"/>
        </w:rPr>
        <w:t>–</w:t>
      </w:r>
      <w:r>
        <w:t>D threshold.</w:t>
      </w:r>
      <w:r>
        <w:rPr>
          <w:rStyle w:val="FootnoteReference"/>
        </w:rPr>
        <w:footnoteReference w:id="77"/>
      </w:r>
      <w:r w:rsidR="00D63715">
        <w:t xml:space="preserve"> When determining the net benefits for non-RIT-D projects, </w:t>
      </w:r>
      <w:r w:rsidR="00B8527C">
        <w:t xml:space="preserve">there may be value in </w:t>
      </w:r>
      <w:r w:rsidR="00D63715">
        <w:t xml:space="preserve">distributors </w:t>
      </w:r>
      <w:r w:rsidR="00B8527C">
        <w:t>applying</w:t>
      </w:r>
      <w:r w:rsidR="00D63715">
        <w:t xml:space="preserve"> simplified approaches to quantifying particular costs or benefits where appropriate</w:t>
      </w:r>
      <w:r w:rsidR="00416F55">
        <w:t xml:space="preserve"> and reasonable</w:t>
      </w:r>
      <w:r w:rsidR="00D63715">
        <w:t>.</w:t>
      </w:r>
      <w:r w:rsidR="00416F55">
        <w:t xml:space="preserve"> </w:t>
      </w:r>
    </w:p>
    <w:p w:rsidR="00ED278E" w:rsidRDefault="00ED278E" w:rsidP="00ED278E">
      <w:r>
        <w:t>In particular, option value is an</w:t>
      </w:r>
      <w:r w:rsidR="00416F55">
        <w:t xml:space="preserve"> economic benefit</w:t>
      </w:r>
      <w:r>
        <w:t xml:space="preserve"> that can be especially difficult to estimate due to its complexity and reliance on assumptions</w:t>
      </w:r>
      <w:r w:rsidR="00416F55">
        <w:t xml:space="preserve">. </w:t>
      </w:r>
      <w:r>
        <w:t>Various stakeholders have explicitly recognised these difficulties.</w:t>
      </w:r>
      <w:r>
        <w:rPr>
          <w:rStyle w:val="FootnoteReference"/>
        </w:rPr>
        <w:footnoteReference w:id="78"/>
      </w:r>
      <w:r w:rsidR="00C31818">
        <w:t xml:space="preserve"> </w:t>
      </w:r>
      <w:r w:rsidR="007A0BA7">
        <w:t>For example</w:t>
      </w:r>
      <w:r w:rsidR="00C31818">
        <w:t>, SA Power Networks</w:t>
      </w:r>
      <w:r w:rsidR="005B362E">
        <w:t xml:space="preserve"> only</w:t>
      </w:r>
      <w:r w:rsidR="00C31818">
        <w:t xml:space="preserve"> supported internalising opt</w:t>
      </w:r>
      <w:r w:rsidR="005B362E">
        <w:t>ion value if the calculation could</w:t>
      </w:r>
      <w:r w:rsidR="00C31818">
        <w:t xml:space="preserve"> be simple.</w:t>
      </w:r>
      <w:r w:rsidR="00C31818">
        <w:rPr>
          <w:rStyle w:val="FootnoteReference"/>
        </w:rPr>
        <w:footnoteReference w:id="79"/>
      </w:r>
      <w:r w:rsidR="00C31818">
        <w:t xml:space="preserve"> Also, Endeavour Energy requested we provide guidance if we</w:t>
      </w:r>
      <w:r w:rsidR="005B362E">
        <w:t xml:space="preserve"> were to</w:t>
      </w:r>
      <w:r w:rsidR="00C31818">
        <w:t xml:space="preserve"> internalise </w:t>
      </w:r>
      <w:r w:rsidR="005B362E">
        <w:t>option value</w:t>
      </w:r>
      <w:r w:rsidR="00C31818">
        <w:t xml:space="preserve"> in the Scheme.</w:t>
      </w:r>
      <w:r w:rsidR="00C31818">
        <w:rPr>
          <w:rStyle w:val="FootnoteReference"/>
        </w:rPr>
        <w:footnoteReference w:id="80"/>
      </w:r>
      <w:r w:rsidR="005B362E">
        <w:t xml:space="preserve"> </w:t>
      </w:r>
    </w:p>
    <w:p w:rsidR="0034337A" w:rsidRDefault="0034337A" w:rsidP="00ED278E">
      <w:pPr>
        <w:rPr>
          <w:rStyle w:val="AERbody"/>
        </w:rPr>
      </w:pPr>
    </w:p>
    <w:p w:rsidR="00B8527C" w:rsidRDefault="005B362E" w:rsidP="00ED278E">
      <w:pPr>
        <w:rPr>
          <w:rStyle w:val="AERbody"/>
        </w:rPr>
      </w:pPr>
      <w:r>
        <w:rPr>
          <w:rStyle w:val="AERbody"/>
        </w:rPr>
        <w:lastRenderedPageBreak/>
        <w:t xml:space="preserve">While option value can be complex to calculate, Oakley Greenwood recommended a method </w:t>
      </w:r>
      <w:r w:rsidR="001B03EA">
        <w:rPr>
          <w:rStyle w:val="AERbody"/>
        </w:rPr>
        <w:t>that it</w:t>
      </w:r>
      <w:r w:rsidR="0001019E">
        <w:rPr>
          <w:rStyle w:val="AERbody"/>
        </w:rPr>
        <w:t xml:space="preserve"> considered</w:t>
      </w:r>
      <w:r w:rsidR="00B8527C">
        <w:rPr>
          <w:rStyle w:val="AERbody"/>
        </w:rPr>
        <w:t xml:space="preserve"> would be reasonable for </w:t>
      </w:r>
      <w:r>
        <w:rPr>
          <w:rStyle w:val="AERbody"/>
        </w:rPr>
        <w:t>approximat</w:t>
      </w:r>
      <w:r w:rsidR="00B8527C">
        <w:rPr>
          <w:rStyle w:val="AERbody"/>
        </w:rPr>
        <w:t>ing option value</w:t>
      </w:r>
      <w:r>
        <w:rPr>
          <w:rStyle w:val="AERbody"/>
        </w:rPr>
        <w:t xml:space="preserve">. </w:t>
      </w:r>
      <w:r w:rsidR="00836E91">
        <w:rPr>
          <w:rStyle w:val="AERbody"/>
        </w:rPr>
        <w:t xml:space="preserve">In section </w:t>
      </w:r>
      <w:r w:rsidR="00836E91">
        <w:rPr>
          <w:rStyle w:val="AERbody"/>
        </w:rPr>
        <w:fldChar w:fldCharType="begin"/>
      </w:r>
      <w:r w:rsidR="00836E91">
        <w:rPr>
          <w:rStyle w:val="AERbody"/>
        </w:rPr>
        <w:instrText xml:space="preserve"> REF _Ref489358993 \r \h </w:instrText>
      </w:r>
      <w:r w:rsidR="00836E91">
        <w:rPr>
          <w:rStyle w:val="AERbody"/>
        </w:rPr>
      </w:r>
      <w:r w:rsidR="00836E91">
        <w:rPr>
          <w:rStyle w:val="AERbody"/>
        </w:rPr>
        <w:fldChar w:fldCharType="separate"/>
      </w:r>
      <w:r w:rsidR="0076296B">
        <w:rPr>
          <w:rStyle w:val="AERbody"/>
        </w:rPr>
        <w:t>A.1</w:t>
      </w:r>
      <w:r w:rsidR="00836E91">
        <w:rPr>
          <w:rStyle w:val="AERbody"/>
        </w:rPr>
        <w:fldChar w:fldCharType="end"/>
      </w:r>
      <w:r w:rsidR="00836E91">
        <w:rPr>
          <w:rStyle w:val="AERbody"/>
        </w:rPr>
        <w:t>,</w:t>
      </w:r>
      <w:r>
        <w:rPr>
          <w:rStyle w:val="AERbody"/>
        </w:rPr>
        <w:t xml:space="preserve"> we set out Oakley Greenwood's suggested method as a </w:t>
      </w:r>
      <w:r w:rsidR="00B8527C">
        <w:rPr>
          <w:rStyle w:val="AERbody"/>
        </w:rPr>
        <w:t xml:space="preserve">potential </w:t>
      </w:r>
      <w:r>
        <w:rPr>
          <w:rStyle w:val="AERbody"/>
        </w:rPr>
        <w:t>means to approximate option value.</w:t>
      </w:r>
      <w:r w:rsidR="00883652">
        <w:rPr>
          <w:rStyle w:val="FootnoteReference"/>
        </w:rPr>
        <w:footnoteReference w:id="81"/>
      </w:r>
    </w:p>
    <w:p w:rsidR="005B362E" w:rsidRDefault="00B8527C" w:rsidP="00ED278E">
      <w:pPr>
        <w:rPr>
          <w:rStyle w:val="AERbody"/>
        </w:rPr>
      </w:pPr>
      <w:r>
        <w:rPr>
          <w:rStyle w:val="AERbody"/>
        </w:rPr>
        <w:t xml:space="preserve">We are interested in stakeholder views on this approximation method, and </w:t>
      </w:r>
      <w:r w:rsidR="0084295F">
        <w:rPr>
          <w:rStyle w:val="AERbody"/>
        </w:rPr>
        <w:t xml:space="preserve">whether </w:t>
      </w:r>
      <w:r>
        <w:rPr>
          <w:rStyle w:val="AERbody"/>
        </w:rPr>
        <w:t>stakeholders would find it useful for us to include th</w:t>
      </w:r>
      <w:r w:rsidR="0084295F">
        <w:rPr>
          <w:rStyle w:val="AERbody"/>
        </w:rPr>
        <w:t>is approximation method in the explanatory statement for our final Scheme.</w:t>
      </w:r>
    </w:p>
    <w:p w:rsidR="00ED278E" w:rsidRDefault="005B362E" w:rsidP="00F24D9F">
      <w:pPr>
        <w:rPr>
          <w:rStyle w:val="AERbody"/>
        </w:rPr>
      </w:pPr>
      <w:r>
        <w:rPr>
          <w:rStyle w:val="AERbody"/>
        </w:rPr>
        <w:t xml:space="preserve">We have put </w:t>
      </w:r>
      <w:r w:rsidR="00126445">
        <w:rPr>
          <w:rStyle w:val="AERbody"/>
        </w:rPr>
        <w:t>Oakley Greenwood's approximation method</w:t>
      </w:r>
      <w:r>
        <w:rPr>
          <w:rStyle w:val="AERbody"/>
        </w:rPr>
        <w:t xml:space="preserve"> forward because </w:t>
      </w:r>
      <w:r w:rsidR="007A0BA7">
        <w:rPr>
          <w:rStyle w:val="AERbody"/>
        </w:rPr>
        <w:t xml:space="preserve">option value is a key benefit that can be provided by demand management options. The option value benefit arises because </w:t>
      </w:r>
      <w:r w:rsidR="00F24D9F">
        <w:t>d</w:t>
      </w:r>
      <w:r w:rsidR="00ED278E">
        <w:rPr>
          <w:rStyle w:val="AERbody"/>
        </w:rPr>
        <w:t>emand management</w:t>
      </w:r>
      <w:r w:rsidR="007A0BA7">
        <w:rPr>
          <w:rStyle w:val="AERbody"/>
        </w:rPr>
        <w:t xml:space="preserve"> projects have relatively low sunk costs</w:t>
      </w:r>
      <w:r w:rsidR="00ED278E">
        <w:rPr>
          <w:rStyle w:val="AERbody"/>
        </w:rPr>
        <w:t>. Various s</w:t>
      </w:r>
      <w:r w:rsidR="00C31818">
        <w:rPr>
          <w:rStyle w:val="AERbody"/>
        </w:rPr>
        <w:t>takeholders have recognised that demand management has high option value, which is often undervalued</w:t>
      </w:r>
      <w:r w:rsidR="00ED278E">
        <w:rPr>
          <w:rStyle w:val="AERbody"/>
        </w:rPr>
        <w:t>.</w:t>
      </w:r>
      <w:r w:rsidR="00ED278E">
        <w:rPr>
          <w:rStyle w:val="FootnoteReference"/>
        </w:rPr>
        <w:footnoteReference w:id="82"/>
      </w:r>
    </w:p>
    <w:p w:rsidR="00C1092B" w:rsidRDefault="00F24D9F" w:rsidP="00F24D9F">
      <w:pPr>
        <w:pStyle w:val="AERbulletlistfirststyle"/>
        <w:numPr>
          <w:ilvl w:val="0"/>
          <w:numId w:val="0"/>
        </w:numPr>
        <w:rPr>
          <w:rStyle w:val="AERbody"/>
        </w:rPr>
      </w:pPr>
      <w:r>
        <w:rPr>
          <w:rStyle w:val="AERbody"/>
        </w:rPr>
        <w:t>Demand management</w:t>
      </w:r>
      <w:r w:rsidRPr="00F24D9F">
        <w:rPr>
          <w:rStyle w:val="AERbody"/>
        </w:rPr>
        <w:t xml:space="preserve"> can provide </w:t>
      </w:r>
      <w:r>
        <w:rPr>
          <w:rStyle w:val="AERbody"/>
        </w:rPr>
        <w:t xml:space="preserve">particularly high </w:t>
      </w:r>
      <w:r w:rsidR="00836E91">
        <w:rPr>
          <w:rStyle w:val="AERbody"/>
        </w:rPr>
        <w:t>option</w:t>
      </w:r>
      <w:r w:rsidR="00836E91" w:rsidRPr="00836E91">
        <w:rPr>
          <w:rStyle w:val="AERbody"/>
        </w:rPr>
        <w:t xml:space="preserve"> </w:t>
      </w:r>
      <w:r>
        <w:rPr>
          <w:rStyle w:val="AERbody"/>
        </w:rPr>
        <w:t>value to</w:t>
      </w:r>
      <w:r w:rsidRPr="00F24D9F">
        <w:rPr>
          <w:rStyle w:val="AERbody"/>
        </w:rPr>
        <w:t xml:space="preserve"> distributor</w:t>
      </w:r>
      <w:r w:rsidR="00836E91">
        <w:rPr>
          <w:rStyle w:val="AERbody"/>
        </w:rPr>
        <w:t xml:space="preserve">s </w:t>
      </w:r>
      <w:r>
        <w:rPr>
          <w:rStyle w:val="AERbody"/>
        </w:rPr>
        <w:t>w</w:t>
      </w:r>
      <w:r w:rsidR="00266212" w:rsidRPr="00266212">
        <w:rPr>
          <w:rStyle w:val="AERbody"/>
        </w:rPr>
        <w:t>hen load forecast</w:t>
      </w:r>
      <w:r w:rsidR="00836E91">
        <w:rPr>
          <w:rStyle w:val="AERbody"/>
        </w:rPr>
        <w:t>s are</w:t>
      </w:r>
      <w:r w:rsidR="00266212" w:rsidRPr="00266212">
        <w:rPr>
          <w:rStyle w:val="AERbody"/>
        </w:rPr>
        <w:t xml:space="preserve"> </w:t>
      </w:r>
      <w:r w:rsidR="00266212">
        <w:rPr>
          <w:rStyle w:val="AERbody"/>
        </w:rPr>
        <w:t xml:space="preserve">uncertain, </w:t>
      </w:r>
      <w:r w:rsidR="00836E91">
        <w:rPr>
          <w:rStyle w:val="AERbody"/>
        </w:rPr>
        <w:t>by allowing them</w:t>
      </w:r>
      <w:r w:rsidR="00C1092B">
        <w:rPr>
          <w:rStyle w:val="AERbody"/>
        </w:rPr>
        <w:t xml:space="preserve"> to</w:t>
      </w:r>
      <w:r w:rsidR="00266212" w:rsidRPr="00266212">
        <w:rPr>
          <w:rStyle w:val="AERbody"/>
        </w:rPr>
        <w:t xml:space="preserve"> see how load develops</w:t>
      </w:r>
      <w:r w:rsidR="00836E91">
        <w:rPr>
          <w:rStyle w:val="AERbody"/>
        </w:rPr>
        <w:t>. D</w:t>
      </w:r>
      <w:r w:rsidR="00C1092B">
        <w:rPr>
          <w:rStyle w:val="AERbody"/>
        </w:rPr>
        <w:t>istributor</w:t>
      </w:r>
      <w:r w:rsidR="00836E91">
        <w:rPr>
          <w:rStyle w:val="AERbody"/>
        </w:rPr>
        <w:t>s</w:t>
      </w:r>
      <w:r w:rsidR="00C1092B">
        <w:rPr>
          <w:rStyle w:val="AERbody"/>
        </w:rPr>
        <w:t xml:space="preserve"> c</w:t>
      </w:r>
      <w:r w:rsidR="00836E91">
        <w:rPr>
          <w:rStyle w:val="AERbody"/>
        </w:rPr>
        <w:t>an then make</w:t>
      </w:r>
      <w:r w:rsidR="00C1092B">
        <w:rPr>
          <w:rStyle w:val="AERbody"/>
        </w:rPr>
        <w:t xml:space="preserve"> more informed decision</w:t>
      </w:r>
      <w:r w:rsidR="00836E91">
        <w:rPr>
          <w:rStyle w:val="AERbody"/>
        </w:rPr>
        <w:t>s</w:t>
      </w:r>
      <w:r w:rsidR="00C1092B">
        <w:rPr>
          <w:rStyle w:val="AERbody"/>
        </w:rPr>
        <w:t xml:space="preserve"> regarding </w:t>
      </w:r>
      <w:r w:rsidR="00266212" w:rsidRPr="00266212">
        <w:rPr>
          <w:rStyle w:val="AERbody"/>
        </w:rPr>
        <w:t xml:space="preserve">whether </w:t>
      </w:r>
      <w:r w:rsidR="00C1092B">
        <w:rPr>
          <w:rStyle w:val="AERbody"/>
        </w:rPr>
        <w:t>to invest in a supply-side option (or</w:t>
      </w:r>
      <w:r w:rsidR="00266212">
        <w:rPr>
          <w:rStyle w:val="AERbody"/>
        </w:rPr>
        <w:t xml:space="preserve"> to what scale </w:t>
      </w:r>
      <w:r w:rsidR="00C1092B">
        <w:rPr>
          <w:rStyle w:val="AERbody"/>
        </w:rPr>
        <w:t xml:space="preserve">it should invest). </w:t>
      </w:r>
      <w:r w:rsidR="00AA096C">
        <w:rPr>
          <w:rStyle w:val="AERbody"/>
        </w:rPr>
        <w:t xml:space="preserve">That is, by </w:t>
      </w:r>
      <w:r w:rsidR="00266212">
        <w:rPr>
          <w:rStyle w:val="AERbody"/>
        </w:rPr>
        <w:t xml:space="preserve">building capacity to manage demand (for instance, </w:t>
      </w:r>
      <w:r w:rsidR="00AA096C">
        <w:rPr>
          <w:rStyle w:val="AERbody"/>
        </w:rPr>
        <w:t xml:space="preserve">by </w:t>
      </w:r>
      <w:r w:rsidR="00266212">
        <w:rPr>
          <w:rStyle w:val="AERbody"/>
        </w:rPr>
        <w:t xml:space="preserve">having demand response on standby or </w:t>
      </w:r>
      <w:r w:rsidR="00AA096C">
        <w:rPr>
          <w:rStyle w:val="AERbody"/>
        </w:rPr>
        <w:t xml:space="preserve">by </w:t>
      </w:r>
      <w:r w:rsidR="00266212">
        <w:rPr>
          <w:rStyle w:val="AERbody"/>
        </w:rPr>
        <w:t>building the capability to directly control load)</w:t>
      </w:r>
      <w:r w:rsidR="00836E91">
        <w:rPr>
          <w:rStyle w:val="AERbody"/>
        </w:rPr>
        <w:t xml:space="preserve">, </w:t>
      </w:r>
      <w:r w:rsidR="00AA096C">
        <w:rPr>
          <w:rStyle w:val="AERbody"/>
        </w:rPr>
        <w:t>distributor</w:t>
      </w:r>
      <w:r w:rsidR="00836E91">
        <w:rPr>
          <w:rStyle w:val="AERbody"/>
        </w:rPr>
        <w:t>s can generate</w:t>
      </w:r>
      <w:r w:rsidR="00AA096C">
        <w:rPr>
          <w:rStyle w:val="AERbody"/>
        </w:rPr>
        <w:t xml:space="preserve"> the option</w:t>
      </w:r>
      <w:r w:rsidR="00266212">
        <w:rPr>
          <w:rStyle w:val="AERbody"/>
        </w:rPr>
        <w:t xml:space="preserve"> </w:t>
      </w:r>
      <w:r w:rsidR="00266212" w:rsidRPr="00266212">
        <w:rPr>
          <w:rStyle w:val="AERbody"/>
        </w:rPr>
        <w:t>to support the network if needed</w:t>
      </w:r>
      <w:r w:rsidR="00AA096C">
        <w:rPr>
          <w:rStyle w:val="AERbody"/>
        </w:rPr>
        <w:t xml:space="preserve">. This </w:t>
      </w:r>
      <w:r w:rsidR="00AA096C" w:rsidRPr="00AA096C">
        <w:rPr>
          <w:rStyle w:val="AERbody"/>
        </w:rPr>
        <w:t xml:space="preserve">option </w:t>
      </w:r>
      <w:r w:rsidR="00266212" w:rsidRPr="00266212">
        <w:rPr>
          <w:rStyle w:val="AERbody"/>
        </w:rPr>
        <w:t>is essentially</w:t>
      </w:r>
      <w:r w:rsidR="00227CB1">
        <w:rPr>
          <w:rStyle w:val="AERbody"/>
        </w:rPr>
        <w:t xml:space="preserve"> akin to</w:t>
      </w:r>
      <w:r w:rsidR="00266212" w:rsidRPr="00266212">
        <w:rPr>
          <w:rStyle w:val="AERbody"/>
        </w:rPr>
        <w:t xml:space="preserve"> an insurance policy</w:t>
      </w:r>
      <w:r w:rsidR="006B4BF8">
        <w:rPr>
          <w:rStyle w:val="AERbody"/>
        </w:rPr>
        <w:t xml:space="preserve">. </w:t>
      </w:r>
      <w:r>
        <w:rPr>
          <w:rStyle w:val="AERbody"/>
        </w:rPr>
        <w:t>AEMO</w:t>
      </w:r>
      <w:r w:rsidR="00836E91">
        <w:rPr>
          <w:rStyle w:val="AERbody"/>
        </w:rPr>
        <w:t xml:space="preserve"> recognised this point in submitting that:</w:t>
      </w:r>
      <w:r>
        <w:rPr>
          <w:rStyle w:val="FootnoteReference"/>
        </w:rPr>
        <w:footnoteReference w:id="83"/>
      </w:r>
    </w:p>
    <w:p w:rsidR="00F24D9F" w:rsidRPr="00836E91" w:rsidRDefault="00F24D9F" w:rsidP="00836E91">
      <w:pPr>
        <w:pStyle w:val="AERquote"/>
        <w:rPr>
          <w:rStyle w:val="AERbody"/>
          <w:color w:val="000000"/>
          <w:sz w:val="20"/>
        </w:rPr>
      </w:pPr>
      <w:r w:rsidRPr="00836E91">
        <w:rPr>
          <w:rStyle w:val="AERbody"/>
          <w:color w:val="000000"/>
          <w:sz w:val="20"/>
        </w:rPr>
        <w:t>The decision to invest in network infrastructure is relatively straightforward if demand for electricity network services consistently grows. Historically, network planners have been confident that network infrastructure will ultimately be used, even if their demand forecasts are not quite right. Over the decade, this assumption has ceased to hold true.</w:t>
      </w:r>
    </w:p>
    <w:p w:rsidR="00F24D9F" w:rsidRPr="00836E91" w:rsidRDefault="00F24D9F" w:rsidP="00836E91">
      <w:pPr>
        <w:pStyle w:val="AERquote"/>
        <w:rPr>
          <w:rStyle w:val="AERbody"/>
          <w:color w:val="000000"/>
          <w:sz w:val="20"/>
        </w:rPr>
      </w:pPr>
      <w:r w:rsidRPr="00836E91">
        <w:rPr>
          <w:rStyle w:val="AERbody"/>
          <w:color w:val="000000"/>
          <w:sz w:val="20"/>
        </w:rPr>
        <w:t>There is now more scope to consider alternatives to expensive, lumpy network upgrades. Demand management options have the potential to be more cost effective and flexible in circumstances where it is unclear whether an identified constraint is likely to persist. Having a scheme that appropriately incentivises businesses to invest in projects that are more flexible to declining (or uncertain) demand conditions will mean there is a less likelihood of future stranded assets.</w:t>
      </w:r>
    </w:p>
    <w:p w:rsidR="00836E91" w:rsidRPr="006B4BF8" w:rsidRDefault="00836E91" w:rsidP="006B4BF8">
      <w:pPr>
        <w:pStyle w:val="Heading8"/>
        <w:rPr>
          <w:rStyle w:val="AERbody"/>
          <w:color w:val="70635A" w:themeColor="text2"/>
          <w:sz w:val="32"/>
        </w:rPr>
      </w:pPr>
      <w:bookmarkStart w:id="89" w:name="_Ref489358993"/>
      <w:bookmarkStart w:id="90" w:name="_Toc491447271"/>
      <w:r w:rsidRPr="006B4BF8">
        <w:rPr>
          <w:rStyle w:val="AERbody"/>
          <w:color w:val="70635A" w:themeColor="text2"/>
          <w:sz w:val="32"/>
        </w:rPr>
        <w:lastRenderedPageBreak/>
        <w:t>Method for approximating option value</w:t>
      </w:r>
      <w:bookmarkEnd w:id="89"/>
      <w:bookmarkEnd w:id="90"/>
    </w:p>
    <w:p w:rsidR="00266212" w:rsidRPr="00266212" w:rsidRDefault="00F45584" w:rsidP="00266212">
      <w:pPr>
        <w:rPr>
          <w:rStyle w:val="AERbody"/>
        </w:rPr>
      </w:pPr>
      <w:r>
        <w:rPr>
          <w:rStyle w:val="AERbody"/>
        </w:rPr>
        <w:t xml:space="preserve">We sought advice from Oakley Greenwood, which suggested a </w:t>
      </w:r>
      <w:r w:rsidR="00AA096C">
        <w:rPr>
          <w:rStyle w:val="AERbody"/>
        </w:rPr>
        <w:t>distributor should calculate</w:t>
      </w:r>
      <w:r w:rsidR="00266212" w:rsidRPr="00266212">
        <w:rPr>
          <w:rStyle w:val="AERbody"/>
        </w:rPr>
        <w:t xml:space="preserve"> option value </w:t>
      </w:r>
      <w:r w:rsidR="00AA096C">
        <w:rPr>
          <w:rStyle w:val="AERbody"/>
        </w:rPr>
        <w:t xml:space="preserve">to </w:t>
      </w:r>
      <w:r w:rsidR="00266212" w:rsidRPr="00266212">
        <w:rPr>
          <w:rStyle w:val="AERbody"/>
        </w:rPr>
        <w:t>reflect:</w:t>
      </w:r>
    </w:p>
    <w:p w:rsidR="00266212" w:rsidRPr="00266212" w:rsidRDefault="00AA096C" w:rsidP="00C1092B">
      <w:pPr>
        <w:pStyle w:val="AERbulletlistfirststyle"/>
        <w:rPr>
          <w:rStyle w:val="AERbody"/>
        </w:rPr>
      </w:pPr>
      <w:r w:rsidRPr="00266212">
        <w:rPr>
          <w:rStyle w:val="AERbody"/>
        </w:rPr>
        <w:t>The</w:t>
      </w:r>
      <w:r w:rsidR="00266212" w:rsidRPr="00266212">
        <w:rPr>
          <w:rStyle w:val="AERbody"/>
        </w:rPr>
        <w:t xml:space="preserve"> level of uncertai</w:t>
      </w:r>
      <w:r>
        <w:rPr>
          <w:rStyle w:val="AERbody"/>
        </w:rPr>
        <w:t>nty in the demand forecast</w:t>
      </w:r>
      <w:r w:rsidR="00126445">
        <w:rPr>
          <w:rStyle w:val="AERbody"/>
        </w:rPr>
        <w:t>, which</w:t>
      </w:r>
      <w:r w:rsidR="00266212" w:rsidRPr="00266212">
        <w:rPr>
          <w:rStyle w:val="AERbody"/>
        </w:rPr>
        <w:t xml:space="preserve"> </w:t>
      </w:r>
      <w:r>
        <w:rPr>
          <w:rStyle w:val="AERbody"/>
        </w:rPr>
        <w:t xml:space="preserve">reflects </w:t>
      </w:r>
      <w:r w:rsidR="00266212" w:rsidRPr="00266212">
        <w:rPr>
          <w:rStyle w:val="AERbody"/>
        </w:rPr>
        <w:t>the probability of a demand scenario occurring</w:t>
      </w:r>
      <w:r w:rsidR="00126445">
        <w:rPr>
          <w:rStyle w:val="AERbody"/>
        </w:rPr>
        <w:t xml:space="preserve"> that will cause a network constraint</w:t>
      </w:r>
      <w:r>
        <w:rPr>
          <w:rStyle w:val="AERbody"/>
        </w:rPr>
        <w:t>.</w:t>
      </w:r>
      <w:r w:rsidR="00266212" w:rsidRPr="00266212">
        <w:rPr>
          <w:rStyle w:val="AERbody"/>
        </w:rPr>
        <w:t xml:space="preserve"> </w:t>
      </w:r>
    </w:p>
    <w:p w:rsidR="00266212" w:rsidRPr="00266212" w:rsidRDefault="00AA096C" w:rsidP="00C1092B">
      <w:pPr>
        <w:pStyle w:val="AERbulletlistfirststyle"/>
        <w:rPr>
          <w:rStyle w:val="AERbody"/>
        </w:rPr>
      </w:pPr>
      <w:r w:rsidRPr="00266212">
        <w:rPr>
          <w:rStyle w:val="AERbody"/>
        </w:rPr>
        <w:t>The</w:t>
      </w:r>
      <w:r w:rsidR="00266212" w:rsidRPr="00266212">
        <w:rPr>
          <w:rStyle w:val="AERbody"/>
        </w:rPr>
        <w:t xml:space="preserve"> impact </w:t>
      </w:r>
      <w:r w:rsidR="00126445">
        <w:rPr>
          <w:rStyle w:val="AERbody"/>
        </w:rPr>
        <w:t>demand</w:t>
      </w:r>
      <w:r w:rsidR="00266212" w:rsidRPr="00266212">
        <w:rPr>
          <w:rStyle w:val="AERbody"/>
        </w:rPr>
        <w:t xml:space="preserve"> uncertainty has on</w:t>
      </w:r>
      <w:r w:rsidR="00126445">
        <w:rPr>
          <w:rStyle w:val="AERbody"/>
        </w:rPr>
        <w:t xml:space="preserve"> a distributor's</w:t>
      </w:r>
      <w:r>
        <w:rPr>
          <w:rStyle w:val="AERbody"/>
        </w:rPr>
        <w:t xml:space="preserve"> capex program. T</w:t>
      </w:r>
      <w:r w:rsidR="00266212" w:rsidRPr="00266212">
        <w:rPr>
          <w:rStyle w:val="AERbody"/>
        </w:rPr>
        <w:t xml:space="preserve">his </w:t>
      </w:r>
      <w:r>
        <w:rPr>
          <w:rStyle w:val="AERbody"/>
        </w:rPr>
        <w:t xml:space="preserve">reflects </w:t>
      </w:r>
      <w:r w:rsidR="00266212" w:rsidRPr="00266212">
        <w:rPr>
          <w:rStyle w:val="AERbody"/>
        </w:rPr>
        <w:t>the difference in the cost of the options required under different demand scenario outcomes.</w:t>
      </w:r>
    </w:p>
    <w:p w:rsidR="00227CB1" w:rsidRDefault="00AA096C" w:rsidP="00F13EBF">
      <w:pPr>
        <w:rPr>
          <w:rStyle w:val="AERbody"/>
        </w:rPr>
      </w:pPr>
      <w:r w:rsidRPr="0084295F">
        <w:rPr>
          <w:rStyle w:val="AERbody"/>
        </w:rPr>
        <w:t xml:space="preserve">While option value can be complex to </w:t>
      </w:r>
      <w:r w:rsidR="00F45584" w:rsidRPr="0084295F">
        <w:rPr>
          <w:rStyle w:val="AERbody"/>
        </w:rPr>
        <w:t xml:space="preserve">calculate, Oakley Greenwood recommended a method </w:t>
      </w:r>
      <w:r w:rsidR="00E254D5" w:rsidRPr="0084295F">
        <w:rPr>
          <w:rStyle w:val="AERbody"/>
        </w:rPr>
        <w:t xml:space="preserve">by which it can be </w:t>
      </w:r>
      <w:r w:rsidR="00F45584" w:rsidRPr="0084295F">
        <w:rPr>
          <w:rStyle w:val="AERbody"/>
        </w:rPr>
        <w:t>approximate</w:t>
      </w:r>
      <w:r w:rsidR="00E254D5" w:rsidRPr="0084295F">
        <w:rPr>
          <w:rStyle w:val="AERbody"/>
        </w:rPr>
        <w:t>d</w:t>
      </w:r>
      <w:r w:rsidR="00F45584" w:rsidRPr="0084295F">
        <w:rPr>
          <w:rStyle w:val="AERbody"/>
        </w:rPr>
        <w:t xml:space="preserve">. This </w:t>
      </w:r>
      <w:r w:rsidR="00126445" w:rsidRPr="0084295F">
        <w:rPr>
          <w:rStyle w:val="AERbody"/>
        </w:rPr>
        <w:t xml:space="preserve">approach </w:t>
      </w:r>
      <w:r w:rsidR="00F45584" w:rsidRPr="0084295F">
        <w:rPr>
          <w:rStyle w:val="AERbody"/>
        </w:rPr>
        <w:t xml:space="preserve">entails </w:t>
      </w:r>
      <w:r w:rsidRPr="0084295F">
        <w:rPr>
          <w:rStyle w:val="AERbody"/>
        </w:rPr>
        <w:t>calculating option value a</w:t>
      </w:r>
      <w:r w:rsidR="00266212" w:rsidRPr="0084295F">
        <w:rPr>
          <w:rStyle w:val="AERbody"/>
        </w:rPr>
        <w:t xml:space="preserve">s the difference between the cost of the asset the </w:t>
      </w:r>
      <w:r w:rsidRPr="0084295F">
        <w:rPr>
          <w:rStyle w:val="AERbody"/>
        </w:rPr>
        <w:t>distributor</w:t>
      </w:r>
      <w:r w:rsidR="00266212" w:rsidRPr="0084295F">
        <w:rPr>
          <w:rStyle w:val="AERbody"/>
        </w:rPr>
        <w:t xml:space="preserve"> is proposing based on its 50</w:t>
      </w:r>
      <w:r w:rsidRPr="0084295F">
        <w:rPr>
          <w:rStyle w:val="AERbody"/>
        </w:rPr>
        <w:t xml:space="preserve"> probability of ex</w:t>
      </w:r>
      <w:r w:rsidR="00F23806" w:rsidRPr="0084295F">
        <w:rPr>
          <w:rStyle w:val="AERbody"/>
        </w:rPr>
        <w:t>ce</w:t>
      </w:r>
      <w:r w:rsidR="0084295F">
        <w:rPr>
          <w:rStyle w:val="AERbody"/>
        </w:rPr>
        <w:t>e</w:t>
      </w:r>
      <w:r w:rsidR="00F23806" w:rsidRPr="0084295F">
        <w:rPr>
          <w:rStyle w:val="AERbody"/>
        </w:rPr>
        <w:t>danc</w:t>
      </w:r>
      <w:r w:rsidRPr="0084295F">
        <w:rPr>
          <w:rStyle w:val="AERbody"/>
        </w:rPr>
        <w:t>e (</w:t>
      </w:r>
      <w:r w:rsidR="00266212" w:rsidRPr="0084295F">
        <w:rPr>
          <w:rStyle w:val="AERbody"/>
        </w:rPr>
        <w:t>POE</w:t>
      </w:r>
      <w:r w:rsidRPr="0084295F">
        <w:rPr>
          <w:rStyle w:val="AERbody"/>
        </w:rPr>
        <w:t>)</w:t>
      </w:r>
      <w:r w:rsidR="00266212" w:rsidRPr="0084295F">
        <w:rPr>
          <w:rStyle w:val="AERbody"/>
        </w:rPr>
        <w:t xml:space="preserve"> planning criterion and the cost of the assets it would need to build if the forecast were to develop very differently.</w:t>
      </w:r>
      <w:r w:rsidR="00F13EBF">
        <w:rPr>
          <w:rStyle w:val="FootnoteReference"/>
        </w:rPr>
        <w:footnoteReference w:id="84"/>
      </w:r>
    </w:p>
    <w:p w:rsidR="00F45584" w:rsidRPr="00836E91" w:rsidRDefault="00836E91" w:rsidP="00836E91">
      <w:pPr>
        <w:pStyle w:val="Heading8"/>
        <w:rPr>
          <w:rStyle w:val="AERbody"/>
          <w:color w:val="70635A" w:themeColor="text2"/>
          <w:sz w:val="32"/>
        </w:rPr>
      </w:pPr>
      <w:bookmarkStart w:id="91" w:name="_Toc491447272"/>
      <w:r w:rsidRPr="00836E91">
        <w:rPr>
          <w:rStyle w:val="AERbody"/>
          <w:color w:val="70635A" w:themeColor="text2"/>
          <w:sz w:val="32"/>
        </w:rPr>
        <w:t>Worked example: Approximating o</w:t>
      </w:r>
      <w:r w:rsidR="00F45584" w:rsidRPr="00836E91">
        <w:rPr>
          <w:rStyle w:val="AERbody"/>
          <w:color w:val="70635A" w:themeColor="text2"/>
          <w:sz w:val="32"/>
        </w:rPr>
        <w:t>ption value</w:t>
      </w:r>
      <w:bookmarkEnd w:id="91"/>
    </w:p>
    <w:p w:rsidR="00F45584" w:rsidRDefault="00F45584" w:rsidP="00F45584">
      <w:r>
        <w:t>Oakley Greenwood developed a worked example using data from United Energy's RIT</w:t>
      </w:r>
      <w:r>
        <w:rPr>
          <w:rFonts w:cs="Arial"/>
        </w:rPr>
        <w:t>–</w:t>
      </w:r>
      <w:r>
        <w:t>D report on the Lower Mornington Peninsula.</w:t>
      </w:r>
      <w:r>
        <w:rPr>
          <w:rStyle w:val="FootnoteReference"/>
        </w:rPr>
        <w:footnoteReference w:id="85"/>
      </w:r>
      <w:r w:rsidR="001454D8">
        <w:t xml:space="preserve"> Oakley Greenwood's worked example</w:t>
      </w:r>
      <w:r w:rsidR="005253B1">
        <w:t xml:space="preserve"> entailed:</w:t>
      </w:r>
      <w:r w:rsidR="00883652">
        <w:rPr>
          <w:rStyle w:val="FootnoteReference"/>
        </w:rPr>
        <w:footnoteReference w:id="86"/>
      </w:r>
    </w:p>
    <w:p w:rsidR="005253B1" w:rsidRDefault="005253B1" w:rsidP="00266212">
      <w:pPr>
        <w:pStyle w:val="AERbulletlistfirststyle"/>
      </w:pPr>
      <w:r>
        <w:t xml:space="preserve">Relying on data from the </w:t>
      </w:r>
      <w:r w:rsidRPr="005253B1">
        <w:t>RIT–D</w:t>
      </w:r>
      <w:r>
        <w:t xml:space="preserve"> wherever possible</w:t>
      </w:r>
      <w:r w:rsidR="00960BA2">
        <w:t>.</w:t>
      </w:r>
    </w:p>
    <w:p w:rsidR="00D73287" w:rsidRDefault="00D73287" w:rsidP="00266212">
      <w:pPr>
        <w:pStyle w:val="AERbulletlistfirststyle"/>
      </w:pPr>
      <w:r>
        <w:t xml:space="preserve">Modelling a business-as-usual </w:t>
      </w:r>
      <w:r w:rsidR="00266212" w:rsidRPr="00266212">
        <w:t xml:space="preserve">scenario (in terms of </w:t>
      </w:r>
      <w:r>
        <w:t xml:space="preserve">the </w:t>
      </w:r>
      <w:r w:rsidR="00266212" w:rsidRPr="00266212">
        <w:t xml:space="preserve">NPV of costs), reflecting the RIT-D capex, opex and </w:t>
      </w:r>
      <w:r>
        <w:t>demand management</w:t>
      </w:r>
      <w:r w:rsidR="0084295F">
        <w:t xml:space="preserve"> assumptions.</w:t>
      </w:r>
    </w:p>
    <w:p w:rsidR="00266212" w:rsidRDefault="00D73287" w:rsidP="00266212">
      <w:pPr>
        <w:pStyle w:val="AERbulletlistfirststyle"/>
      </w:pPr>
      <w:r>
        <w:t xml:space="preserve">Assuming </w:t>
      </w:r>
      <w:r w:rsidR="00266212" w:rsidRPr="00266212">
        <w:t>the least-cost means of balancing supply and d</w:t>
      </w:r>
      <w:r w:rsidR="0084295F">
        <w:t>emand, under a POE 50 scenario.</w:t>
      </w:r>
    </w:p>
    <w:p w:rsidR="00266212" w:rsidRDefault="00D73287" w:rsidP="00266212">
      <w:pPr>
        <w:pStyle w:val="AERbulletlistfirststyle"/>
      </w:pPr>
      <w:r>
        <w:t xml:space="preserve">Estimating </w:t>
      </w:r>
      <w:r w:rsidR="00266212" w:rsidRPr="00266212">
        <w:t xml:space="preserve">a POE 90 scenario, based on the impact that a large-scale take-up of battery storage could have on the underlying POE 50 demand forecast.  </w:t>
      </w:r>
      <w:r>
        <w:t>This</w:t>
      </w:r>
      <w:r w:rsidR="00266212" w:rsidRPr="00266212">
        <w:t xml:space="preserve"> assumes </w:t>
      </w:r>
      <w:r>
        <w:t>a 10 per cent</w:t>
      </w:r>
      <w:r w:rsidRPr="00D73287">
        <w:t xml:space="preserve"> chance that </w:t>
      </w:r>
      <w:r>
        <w:t>there will be</w:t>
      </w:r>
      <w:r w:rsidRPr="00D73287">
        <w:t xml:space="preserve"> </w:t>
      </w:r>
      <w:r w:rsidR="00266212" w:rsidRPr="00266212">
        <w:t>a 15</w:t>
      </w:r>
      <w:r w:rsidR="0078383B" w:rsidRPr="0078383B">
        <w:t xml:space="preserve"> per cent</w:t>
      </w:r>
      <w:r w:rsidR="00266212" w:rsidRPr="00266212">
        <w:t xml:space="preserve"> penetrat</w:t>
      </w:r>
      <w:r>
        <w:t>ion of batteries within 10 years, and that each battery would</w:t>
      </w:r>
      <w:r w:rsidR="00266212" w:rsidRPr="00266212">
        <w:t xml:space="preserve"> contribute 2.5kW of peak demand reduction (5kW of c</w:t>
      </w:r>
      <w:r w:rsidR="0084295F">
        <w:t>ontinuous cycle, over 2 hours).</w:t>
      </w:r>
    </w:p>
    <w:p w:rsidR="00D73287" w:rsidRDefault="00D73287" w:rsidP="00266212">
      <w:pPr>
        <w:pStyle w:val="AERbulletlistfirststyle"/>
      </w:pPr>
      <w:r>
        <w:t xml:space="preserve">Estimating the </w:t>
      </w:r>
      <w:r w:rsidRPr="00D73287">
        <w:t xml:space="preserve">impact </w:t>
      </w:r>
      <w:r>
        <w:t>the POE</w:t>
      </w:r>
      <w:r w:rsidRPr="00D73287">
        <w:t xml:space="preserve">90 demand forecast could have on the timing of the original </w:t>
      </w:r>
      <w:r>
        <w:t>expenditure</w:t>
      </w:r>
      <w:r w:rsidRPr="00D73287">
        <w:t xml:space="preserve"> program as described in the RIT-D, based broadly on when the new POE 90 demand forecast would reach the original threshold level that triggered the expenditure under the POE 50 scenario</w:t>
      </w:r>
      <w:r>
        <w:t>.</w:t>
      </w:r>
    </w:p>
    <w:p w:rsidR="00266212" w:rsidRDefault="00333810" w:rsidP="00266212">
      <w:pPr>
        <w:pStyle w:val="AERbulletlistfirststyle"/>
      </w:pPr>
      <w:r>
        <w:lastRenderedPageBreak/>
        <w:t>Assuming</w:t>
      </w:r>
      <w:r w:rsidRPr="00D73287">
        <w:t xml:space="preserve"> </w:t>
      </w:r>
      <w:r>
        <w:t xml:space="preserve"> </w:t>
      </w:r>
      <w:r w:rsidRPr="00266212">
        <w:t xml:space="preserve">the </w:t>
      </w:r>
      <w:r>
        <w:t>distributor</w:t>
      </w:r>
      <w:r w:rsidRPr="00266212">
        <w:t xml:space="preserve"> would have to utilise </w:t>
      </w:r>
      <w:r>
        <w:t>demand management for three</w:t>
      </w:r>
      <w:r w:rsidRPr="00266212">
        <w:t xml:space="preserve"> years</w:t>
      </w:r>
      <w:r>
        <w:t xml:space="preserve"> before it can see </w:t>
      </w:r>
      <w:r w:rsidRPr="00266212">
        <w:t xml:space="preserve"> </w:t>
      </w:r>
      <w:r w:rsidR="00D73287">
        <w:t>whether the</w:t>
      </w:r>
      <w:r>
        <w:t xml:space="preserve"> high demand scenario under the</w:t>
      </w:r>
      <w:r w:rsidR="00D73287">
        <w:t xml:space="preserve"> POE</w:t>
      </w:r>
      <w:r w:rsidR="00D73287" w:rsidRPr="00D73287">
        <w:t xml:space="preserve">90 forecast </w:t>
      </w:r>
      <w:r>
        <w:t xml:space="preserve">scenario </w:t>
      </w:r>
      <w:r w:rsidR="00D73287" w:rsidRPr="00D73287">
        <w:t>comes to fruition</w:t>
      </w:r>
      <w:r w:rsidR="0084295F">
        <w:t>.</w:t>
      </w:r>
    </w:p>
    <w:p w:rsidR="00266212" w:rsidRPr="00266212" w:rsidRDefault="00F45584" w:rsidP="00755DFD">
      <w:pPr>
        <w:pStyle w:val="Caption"/>
      </w:pPr>
      <w:bookmarkStart w:id="92" w:name="_Ref486941790"/>
      <w:r>
        <w:t xml:space="preserve">Table </w:t>
      </w:r>
      <w:r w:rsidR="0076296B">
        <w:fldChar w:fldCharType="begin"/>
      </w:r>
      <w:r w:rsidR="0076296B">
        <w:instrText xml:space="preserve"> SEQ Table \* ARABIC </w:instrText>
      </w:r>
      <w:r w:rsidR="0076296B">
        <w:fldChar w:fldCharType="separate"/>
      </w:r>
      <w:r w:rsidR="0076296B">
        <w:rPr>
          <w:noProof/>
        </w:rPr>
        <w:t>7</w:t>
      </w:r>
      <w:r w:rsidR="0076296B">
        <w:rPr>
          <w:noProof/>
        </w:rPr>
        <w:fldChar w:fldCharType="end"/>
      </w:r>
      <w:bookmarkEnd w:id="92"/>
      <w:r>
        <w:t xml:space="preserve">: </w:t>
      </w:r>
      <w:r w:rsidR="00755DFD" w:rsidRPr="00755DFD">
        <w:t xml:space="preserve">Assumptions for Lower Mornington Peninsula Project </w:t>
      </w:r>
      <w:r w:rsidR="00266212" w:rsidRPr="00266212">
        <w:t xml:space="preserve"> </w:t>
      </w:r>
    </w:p>
    <w:tbl>
      <w:tblPr>
        <w:tblStyle w:val="AERtable-text0"/>
        <w:tblW w:w="0" w:type="auto"/>
        <w:tblLayout w:type="fixed"/>
        <w:tblLook w:val="04A0" w:firstRow="1" w:lastRow="0" w:firstColumn="1" w:lastColumn="0" w:noHBand="0" w:noVBand="1"/>
      </w:tblPr>
      <w:tblGrid>
        <w:gridCol w:w="959"/>
        <w:gridCol w:w="709"/>
        <w:gridCol w:w="1559"/>
        <w:gridCol w:w="850"/>
        <w:gridCol w:w="1418"/>
        <w:gridCol w:w="992"/>
        <w:gridCol w:w="1418"/>
        <w:gridCol w:w="788"/>
      </w:tblGrid>
      <w:tr w:rsidR="00755DFD" w:rsidRPr="00755DFD" w:rsidTr="00EC135B">
        <w:trPr>
          <w:cnfStyle w:val="100000000000" w:firstRow="1" w:lastRow="0" w:firstColumn="0" w:lastColumn="0" w:oddVBand="0" w:evenVBand="0" w:oddHBand="0" w:evenHBand="0" w:firstRowFirstColumn="0" w:firstRowLastColumn="0" w:lastRowFirstColumn="0" w:lastRowLastColumn="0"/>
        </w:trPr>
        <w:tc>
          <w:tcPr>
            <w:tcW w:w="1668" w:type="dxa"/>
            <w:gridSpan w:val="2"/>
          </w:tcPr>
          <w:p w:rsidR="00755DFD" w:rsidRPr="00755DFD" w:rsidRDefault="00755DFD" w:rsidP="00755DFD">
            <w:r w:rsidRPr="00755DFD">
              <w:t>General Assumptions</w:t>
            </w:r>
          </w:p>
        </w:tc>
        <w:tc>
          <w:tcPr>
            <w:tcW w:w="2409" w:type="dxa"/>
            <w:gridSpan w:val="2"/>
          </w:tcPr>
          <w:p w:rsidR="00755DFD" w:rsidRPr="00755DFD" w:rsidRDefault="00755DFD" w:rsidP="00755DFD">
            <w:r w:rsidRPr="00755DFD">
              <w:t>DM parameters</w:t>
            </w:r>
          </w:p>
        </w:tc>
        <w:tc>
          <w:tcPr>
            <w:tcW w:w="2410" w:type="dxa"/>
            <w:gridSpan w:val="2"/>
          </w:tcPr>
          <w:p w:rsidR="00755DFD" w:rsidRPr="00755DFD" w:rsidRDefault="00755DFD" w:rsidP="00755DFD">
            <w:r w:rsidRPr="00755DFD">
              <w:t>Capital and Operating Cost Parameters</w:t>
            </w:r>
          </w:p>
        </w:tc>
        <w:tc>
          <w:tcPr>
            <w:tcW w:w="2206" w:type="dxa"/>
            <w:gridSpan w:val="2"/>
          </w:tcPr>
          <w:p w:rsidR="00755DFD" w:rsidRPr="00755DFD" w:rsidRDefault="00755DFD" w:rsidP="00755DFD">
            <w:r w:rsidRPr="00755DFD">
              <w:t>Demand Parameters</w:t>
            </w:r>
          </w:p>
        </w:tc>
      </w:tr>
      <w:tr w:rsidR="00755DFD" w:rsidRPr="00755DFD" w:rsidTr="00EC135B">
        <w:tc>
          <w:tcPr>
            <w:tcW w:w="959" w:type="dxa"/>
          </w:tcPr>
          <w:p w:rsidR="00755DFD" w:rsidRPr="00755DFD" w:rsidRDefault="00755DFD" w:rsidP="00755DFD">
            <w:r w:rsidRPr="00755DFD">
              <w:t>Annual inflation</w:t>
            </w:r>
          </w:p>
        </w:tc>
        <w:tc>
          <w:tcPr>
            <w:tcW w:w="709" w:type="dxa"/>
          </w:tcPr>
          <w:p w:rsidR="00755DFD" w:rsidRPr="00755DFD" w:rsidRDefault="00755DFD" w:rsidP="00755DFD">
            <w:r w:rsidRPr="00755DFD">
              <w:t>2.5%</w:t>
            </w:r>
          </w:p>
        </w:tc>
        <w:tc>
          <w:tcPr>
            <w:tcW w:w="1559" w:type="dxa"/>
          </w:tcPr>
          <w:p w:rsidR="00755DFD" w:rsidRPr="00755DFD" w:rsidRDefault="00EC135B" w:rsidP="00755DFD">
            <w:r>
              <w:t>DM total c</w:t>
            </w:r>
            <w:r w:rsidR="00755DFD" w:rsidRPr="00755DFD">
              <w:t>ost in RIT-D</w:t>
            </w:r>
          </w:p>
        </w:tc>
        <w:tc>
          <w:tcPr>
            <w:tcW w:w="850" w:type="dxa"/>
          </w:tcPr>
          <w:p w:rsidR="00755DFD" w:rsidRPr="00755DFD" w:rsidRDefault="00755DFD" w:rsidP="00755DFD">
            <w:r w:rsidRPr="00755DFD">
              <w:t>917,500</w:t>
            </w:r>
            <w:r>
              <w:t xml:space="preserve"> ($2016)</w:t>
            </w:r>
          </w:p>
        </w:tc>
        <w:tc>
          <w:tcPr>
            <w:tcW w:w="1418" w:type="dxa"/>
          </w:tcPr>
          <w:p w:rsidR="00755DFD" w:rsidRPr="00755DFD" w:rsidRDefault="00755DFD" w:rsidP="00755DFD">
            <w:r w:rsidRPr="00755DFD">
              <w:t xml:space="preserve">Total </w:t>
            </w:r>
            <w:r w:rsidR="00EC135B">
              <w:t>capital c</w:t>
            </w:r>
            <w:r w:rsidRPr="00755DFD">
              <w:t>ost in RIT-D</w:t>
            </w:r>
          </w:p>
        </w:tc>
        <w:tc>
          <w:tcPr>
            <w:tcW w:w="992" w:type="dxa"/>
          </w:tcPr>
          <w:p w:rsidR="00755DFD" w:rsidRPr="00755DFD" w:rsidRDefault="00755DFD" w:rsidP="00755DFD">
            <w:r>
              <w:t xml:space="preserve"> </w:t>
            </w:r>
            <w:r w:rsidRPr="00755DFD">
              <w:t>29</w:t>
            </w:r>
            <w:r>
              <w:t xml:space="preserve">.5 </w:t>
            </w:r>
            <w:r w:rsidRPr="00755DFD">
              <w:t>($</w:t>
            </w:r>
            <w:r>
              <w:t xml:space="preserve">mil </w:t>
            </w:r>
            <w:r w:rsidRPr="00755DFD">
              <w:t xml:space="preserve">2016) </w:t>
            </w:r>
          </w:p>
        </w:tc>
        <w:tc>
          <w:tcPr>
            <w:tcW w:w="1418" w:type="dxa"/>
          </w:tcPr>
          <w:p w:rsidR="00755DFD" w:rsidRPr="00755DFD" w:rsidRDefault="00EC135B" w:rsidP="00755DFD">
            <w:r>
              <w:t>Current POE50 peak d</w:t>
            </w:r>
            <w:r w:rsidR="00755DFD" w:rsidRPr="00755DFD">
              <w:t xml:space="preserve">emand </w:t>
            </w:r>
          </w:p>
        </w:tc>
        <w:tc>
          <w:tcPr>
            <w:tcW w:w="788" w:type="dxa"/>
          </w:tcPr>
          <w:p w:rsidR="00755DFD" w:rsidRPr="00755DFD" w:rsidRDefault="00755DFD" w:rsidP="00755DFD">
            <w:r w:rsidRPr="00755DFD">
              <w:t>110.00</w:t>
            </w:r>
            <w:r>
              <w:t xml:space="preserve"> MVA</w:t>
            </w:r>
          </w:p>
        </w:tc>
      </w:tr>
      <w:tr w:rsidR="00755DFD" w:rsidRPr="00755DFD" w:rsidTr="00EC135B">
        <w:trPr>
          <w:cnfStyle w:val="000000010000" w:firstRow="0" w:lastRow="0" w:firstColumn="0" w:lastColumn="0" w:oddVBand="0" w:evenVBand="0" w:oddHBand="0" w:evenHBand="1" w:firstRowFirstColumn="0" w:firstRowLastColumn="0" w:lastRowFirstColumn="0" w:lastRowLastColumn="0"/>
        </w:trPr>
        <w:tc>
          <w:tcPr>
            <w:tcW w:w="959" w:type="dxa"/>
          </w:tcPr>
          <w:p w:rsidR="00755DFD" w:rsidRPr="00755DFD" w:rsidRDefault="00755DFD" w:rsidP="00755DFD">
            <w:r w:rsidRPr="00755DFD">
              <w:t>Starting Year</w:t>
            </w:r>
          </w:p>
        </w:tc>
        <w:tc>
          <w:tcPr>
            <w:tcW w:w="709" w:type="dxa"/>
          </w:tcPr>
          <w:p w:rsidR="00755DFD" w:rsidRPr="00755DFD" w:rsidRDefault="00755DFD" w:rsidP="00755DFD">
            <w:r w:rsidRPr="00755DFD">
              <w:t>2016</w:t>
            </w:r>
          </w:p>
        </w:tc>
        <w:tc>
          <w:tcPr>
            <w:tcW w:w="1559" w:type="dxa"/>
          </w:tcPr>
          <w:p w:rsidR="00755DFD" w:rsidRPr="00755DFD" w:rsidRDefault="00755DFD" w:rsidP="00EC135B">
            <w:r w:rsidRPr="00755DFD">
              <w:t>DM required in RIT-D to defer capex</w:t>
            </w:r>
          </w:p>
        </w:tc>
        <w:tc>
          <w:tcPr>
            <w:tcW w:w="850" w:type="dxa"/>
          </w:tcPr>
          <w:p w:rsidR="00755DFD" w:rsidRPr="00755DFD" w:rsidRDefault="00755DFD" w:rsidP="00755DFD">
            <w:r w:rsidRPr="00755DFD">
              <w:t>12</w:t>
            </w:r>
            <w:r w:rsidR="00EC135B" w:rsidRPr="00755DFD">
              <w:t xml:space="preserve"> </w:t>
            </w:r>
            <w:r w:rsidR="00EC135B" w:rsidRPr="00EC135B">
              <w:t>MVA per annum</w:t>
            </w:r>
          </w:p>
        </w:tc>
        <w:tc>
          <w:tcPr>
            <w:tcW w:w="1418" w:type="dxa"/>
          </w:tcPr>
          <w:p w:rsidR="00755DFD" w:rsidRPr="00755DFD" w:rsidRDefault="00EC135B" w:rsidP="00755DFD">
            <w:r>
              <w:t>Original capex construction y</w:t>
            </w:r>
            <w:r w:rsidR="00755DFD" w:rsidRPr="00755DFD">
              <w:t>ear in RIT-D</w:t>
            </w:r>
          </w:p>
        </w:tc>
        <w:tc>
          <w:tcPr>
            <w:tcW w:w="992" w:type="dxa"/>
          </w:tcPr>
          <w:p w:rsidR="00755DFD" w:rsidRPr="00755DFD" w:rsidRDefault="00755DFD" w:rsidP="00755DFD">
            <w:r w:rsidRPr="00755DFD">
              <w:t>2022</w:t>
            </w:r>
          </w:p>
        </w:tc>
        <w:tc>
          <w:tcPr>
            <w:tcW w:w="1418" w:type="dxa"/>
          </w:tcPr>
          <w:p w:rsidR="00755DFD" w:rsidRPr="00755DFD" w:rsidRDefault="00EC135B" w:rsidP="00755DFD">
            <w:r>
              <w:t>Estimated n</w:t>
            </w:r>
            <w:r w:rsidR="00755DFD" w:rsidRPr="00755DFD">
              <w:t>umber of customers served*</w:t>
            </w:r>
          </w:p>
        </w:tc>
        <w:tc>
          <w:tcPr>
            <w:tcW w:w="788" w:type="dxa"/>
          </w:tcPr>
          <w:p w:rsidR="00755DFD" w:rsidRPr="00755DFD" w:rsidRDefault="00755DFD" w:rsidP="00755DFD">
            <w:r w:rsidRPr="00755DFD">
              <w:t>60</w:t>
            </w:r>
            <w:r>
              <w:t>,</w:t>
            </w:r>
            <w:r w:rsidRPr="00755DFD">
              <w:t>000</w:t>
            </w:r>
          </w:p>
        </w:tc>
      </w:tr>
      <w:tr w:rsidR="00755DFD" w:rsidRPr="00755DFD" w:rsidTr="00EC135B">
        <w:tc>
          <w:tcPr>
            <w:tcW w:w="959" w:type="dxa"/>
          </w:tcPr>
          <w:p w:rsidR="00755DFD" w:rsidRPr="00755DFD" w:rsidRDefault="00755DFD" w:rsidP="00755DFD">
            <w:r w:rsidRPr="00755DFD">
              <w:t>Discount rate</w:t>
            </w:r>
            <w:r w:rsidR="00EC135B" w:rsidRPr="00EC135B">
              <w:rPr>
                <w:rStyle w:val="FootnoteReference"/>
              </w:rPr>
              <w:footnoteReference w:id="87"/>
            </w:r>
          </w:p>
        </w:tc>
        <w:tc>
          <w:tcPr>
            <w:tcW w:w="709" w:type="dxa"/>
          </w:tcPr>
          <w:p w:rsidR="00755DFD" w:rsidRPr="00755DFD" w:rsidRDefault="00755DFD" w:rsidP="00EC135B">
            <w:r w:rsidRPr="00755DFD">
              <w:t>6.37%</w:t>
            </w:r>
          </w:p>
        </w:tc>
        <w:tc>
          <w:tcPr>
            <w:tcW w:w="1559" w:type="dxa"/>
          </w:tcPr>
          <w:p w:rsidR="00755DFD" w:rsidRPr="00755DFD" w:rsidRDefault="00EC135B" w:rsidP="00755DFD">
            <w:r>
              <w:t>Raw c</w:t>
            </w:r>
            <w:r w:rsidR="00755DFD" w:rsidRPr="00755DFD">
              <w:t>ost per MVA in RIT-D</w:t>
            </w:r>
          </w:p>
        </w:tc>
        <w:tc>
          <w:tcPr>
            <w:tcW w:w="850" w:type="dxa"/>
          </w:tcPr>
          <w:p w:rsidR="00755DFD" w:rsidRPr="00755DFD" w:rsidRDefault="00755DFD" w:rsidP="00755DFD">
            <w:r w:rsidRPr="00755DFD">
              <w:t>$76,458</w:t>
            </w:r>
          </w:p>
        </w:tc>
        <w:tc>
          <w:tcPr>
            <w:tcW w:w="1418" w:type="dxa"/>
          </w:tcPr>
          <w:p w:rsidR="00755DFD" w:rsidRPr="00755DFD" w:rsidRDefault="00EC135B" w:rsidP="00755DFD">
            <w:r>
              <w:t>New construction year (assume POE90 d</w:t>
            </w:r>
            <w:r w:rsidR="00755DFD" w:rsidRPr="00755DFD">
              <w:t>eferral) – Capex*</w:t>
            </w:r>
          </w:p>
        </w:tc>
        <w:tc>
          <w:tcPr>
            <w:tcW w:w="992" w:type="dxa"/>
          </w:tcPr>
          <w:p w:rsidR="00755DFD" w:rsidRPr="00755DFD" w:rsidRDefault="00755DFD" w:rsidP="00755DFD">
            <w:r w:rsidRPr="00755DFD">
              <w:t>2028</w:t>
            </w:r>
          </w:p>
        </w:tc>
        <w:tc>
          <w:tcPr>
            <w:tcW w:w="1418" w:type="dxa"/>
          </w:tcPr>
          <w:p w:rsidR="00755DFD" w:rsidRPr="00755DFD" w:rsidRDefault="00EC135B" w:rsidP="00755DFD">
            <w:r>
              <w:t>C</w:t>
            </w:r>
            <w:r w:rsidR="00755DFD" w:rsidRPr="00755DFD">
              <w:t>ustomers with a battery in 10 years under POE90 scenario*</w:t>
            </w:r>
          </w:p>
        </w:tc>
        <w:tc>
          <w:tcPr>
            <w:tcW w:w="788" w:type="dxa"/>
          </w:tcPr>
          <w:p w:rsidR="00755DFD" w:rsidRPr="00755DFD" w:rsidRDefault="00755DFD" w:rsidP="00755DFD">
            <w:r w:rsidRPr="00755DFD">
              <w:t>15%</w:t>
            </w:r>
          </w:p>
        </w:tc>
      </w:tr>
      <w:tr w:rsidR="00755DFD" w:rsidRPr="00755DFD" w:rsidTr="00EC135B">
        <w:trPr>
          <w:cnfStyle w:val="000000010000" w:firstRow="0" w:lastRow="0" w:firstColumn="0" w:lastColumn="0" w:oddVBand="0" w:evenVBand="0" w:oddHBand="0" w:evenHBand="1" w:firstRowFirstColumn="0" w:firstRowLastColumn="0" w:lastRowFirstColumn="0" w:lastRowLastColumn="0"/>
        </w:trPr>
        <w:tc>
          <w:tcPr>
            <w:tcW w:w="959" w:type="dxa"/>
          </w:tcPr>
          <w:p w:rsidR="00755DFD" w:rsidRPr="00755DFD" w:rsidRDefault="00755DFD" w:rsidP="00755DFD">
            <w:r w:rsidRPr="00755DFD">
              <w:t>Assumed impact of each battery</w:t>
            </w:r>
            <w:r w:rsidR="00EC135B" w:rsidRPr="00EC135B">
              <w:rPr>
                <w:rStyle w:val="FootnoteReference"/>
              </w:rPr>
              <w:footnoteReference w:id="88"/>
            </w:r>
          </w:p>
        </w:tc>
        <w:tc>
          <w:tcPr>
            <w:tcW w:w="709" w:type="dxa"/>
          </w:tcPr>
          <w:p w:rsidR="00755DFD" w:rsidRPr="00755DFD" w:rsidRDefault="00755DFD" w:rsidP="00EC135B">
            <w:r w:rsidRPr="00755DFD">
              <w:t xml:space="preserve">2.5kW </w:t>
            </w:r>
          </w:p>
        </w:tc>
        <w:tc>
          <w:tcPr>
            <w:tcW w:w="1559" w:type="dxa"/>
          </w:tcPr>
          <w:p w:rsidR="00755DFD" w:rsidRPr="00755DFD" w:rsidRDefault="00EC135B" w:rsidP="00755DFD">
            <w:r>
              <w:t>Original - Start y</w:t>
            </w:r>
            <w:r w:rsidR="00755DFD" w:rsidRPr="00755DFD">
              <w:t>ear DM in RIT-D</w:t>
            </w:r>
          </w:p>
        </w:tc>
        <w:tc>
          <w:tcPr>
            <w:tcW w:w="850" w:type="dxa"/>
          </w:tcPr>
          <w:p w:rsidR="00755DFD" w:rsidRPr="00755DFD" w:rsidRDefault="00755DFD" w:rsidP="00755DFD">
            <w:r w:rsidRPr="00755DFD">
              <w:t>2018</w:t>
            </w:r>
          </w:p>
        </w:tc>
        <w:tc>
          <w:tcPr>
            <w:tcW w:w="1418" w:type="dxa"/>
          </w:tcPr>
          <w:p w:rsidR="00755DFD" w:rsidRPr="00755DFD" w:rsidRDefault="00EC135B" w:rsidP="00EC135B">
            <w:r>
              <w:t>Annual opexc</w:t>
            </w:r>
            <w:r w:rsidR="00755DFD" w:rsidRPr="00755DFD">
              <w:t xml:space="preserve">osts </w:t>
            </w:r>
          </w:p>
        </w:tc>
        <w:tc>
          <w:tcPr>
            <w:tcW w:w="992" w:type="dxa"/>
          </w:tcPr>
          <w:p w:rsidR="00755DFD" w:rsidRPr="00755DFD" w:rsidRDefault="00755DFD" w:rsidP="00755DFD">
            <w:r w:rsidRPr="00755DFD">
              <w:t xml:space="preserve">147,500 </w:t>
            </w:r>
            <w:r w:rsidR="00EC135B" w:rsidRPr="00EC135B">
              <w:t>($2016)</w:t>
            </w:r>
          </w:p>
        </w:tc>
        <w:tc>
          <w:tcPr>
            <w:tcW w:w="1418" w:type="dxa"/>
          </w:tcPr>
          <w:p w:rsidR="00755DFD" w:rsidRPr="00755DFD" w:rsidRDefault="00755DFD" w:rsidP="00755DFD">
            <w:r w:rsidRPr="00755DFD">
              <w:t>Impact o</w:t>
            </w:r>
            <w:r w:rsidR="00EC135B">
              <w:t>f battery</w:t>
            </w:r>
            <w:r w:rsidRPr="00755DFD">
              <w:t>*</w:t>
            </w:r>
          </w:p>
        </w:tc>
        <w:tc>
          <w:tcPr>
            <w:tcW w:w="788" w:type="dxa"/>
          </w:tcPr>
          <w:p w:rsidR="00755DFD" w:rsidRPr="00755DFD" w:rsidRDefault="00755DFD" w:rsidP="00755DFD">
            <w:r w:rsidRPr="00755DFD">
              <w:t>22.5</w:t>
            </w:r>
            <w:r w:rsidR="00EC135B">
              <w:t xml:space="preserve"> MVA</w:t>
            </w:r>
          </w:p>
        </w:tc>
      </w:tr>
      <w:tr w:rsidR="00755DFD" w:rsidRPr="00755DFD" w:rsidTr="00EC135B">
        <w:tc>
          <w:tcPr>
            <w:tcW w:w="959" w:type="dxa"/>
          </w:tcPr>
          <w:p w:rsidR="00755DFD" w:rsidRPr="00755DFD" w:rsidRDefault="00755DFD" w:rsidP="00755DFD"/>
        </w:tc>
        <w:tc>
          <w:tcPr>
            <w:tcW w:w="709" w:type="dxa"/>
          </w:tcPr>
          <w:p w:rsidR="00755DFD" w:rsidRPr="00755DFD" w:rsidRDefault="00755DFD" w:rsidP="00755DFD"/>
        </w:tc>
        <w:tc>
          <w:tcPr>
            <w:tcW w:w="1559" w:type="dxa"/>
          </w:tcPr>
          <w:p w:rsidR="00755DFD" w:rsidRPr="00755DFD" w:rsidRDefault="00EC135B" w:rsidP="00755DFD">
            <w:r>
              <w:t>Original - End y</w:t>
            </w:r>
            <w:r w:rsidR="00755DFD" w:rsidRPr="00755DFD">
              <w:t>ear DM in RIT-D*</w:t>
            </w:r>
          </w:p>
        </w:tc>
        <w:tc>
          <w:tcPr>
            <w:tcW w:w="850" w:type="dxa"/>
          </w:tcPr>
          <w:p w:rsidR="00755DFD" w:rsidRPr="00755DFD" w:rsidRDefault="00755DFD" w:rsidP="00755DFD">
            <w:r w:rsidRPr="00755DFD">
              <w:t>2021</w:t>
            </w:r>
          </w:p>
        </w:tc>
        <w:tc>
          <w:tcPr>
            <w:tcW w:w="1418" w:type="dxa"/>
          </w:tcPr>
          <w:p w:rsidR="00755DFD" w:rsidRPr="00755DFD" w:rsidRDefault="00EC135B" w:rsidP="00755DFD">
            <w:r>
              <w:t>Original year – Opex c</w:t>
            </w:r>
            <w:r w:rsidR="00755DFD" w:rsidRPr="00755DFD">
              <w:t>ommences</w:t>
            </w:r>
          </w:p>
        </w:tc>
        <w:tc>
          <w:tcPr>
            <w:tcW w:w="992" w:type="dxa"/>
          </w:tcPr>
          <w:p w:rsidR="00755DFD" w:rsidRPr="00755DFD" w:rsidRDefault="00755DFD" w:rsidP="00755DFD">
            <w:r w:rsidRPr="00755DFD">
              <w:t>2023</w:t>
            </w:r>
          </w:p>
        </w:tc>
        <w:tc>
          <w:tcPr>
            <w:tcW w:w="1418" w:type="dxa"/>
          </w:tcPr>
          <w:p w:rsidR="00755DFD" w:rsidRPr="00755DFD" w:rsidRDefault="00755DFD" w:rsidP="00755DFD"/>
        </w:tc>
        <w:tc>
          <w:tcPr>
            <w:tcW w:w="788" w:type="dxa"/>
          </w:tcPr>
          <w:p w:rsidR="00755DFD" w:rsidRPr="00755DFD" w:rsidRDefault="00755DFD" w:rsidP="00755DFD"/>
        </w:tc>
      </w:tr>
      <w:tr w:rsidR="00755DFD" w:rsidRPr="00755DFD" w:rsidTr="00EC135B">
        <w:trPr>
          <w:cnfStyle w:val="000000010000" w:firstRow="0" w:lastRow="0" w:firstColumn="0" w:lastColumn="0" w:oddVBand="0" w:evenVBand="0" w:oddHBand="0" w:evenHBand="1" w:firstRowFirstColumn="0" w:firstRowLastColumn="0" w:lastRowFirstColumn="0" w:lastRowLastColumn="0"/>
        </w:trPr>
        <w:tc>
          <w:tcPr>
            <w:tcW w:w="959" w:type="dxa"/>
          </w:tcPr>
          <w:p w:rsidR="00755DFD" w:rsidRPr="00755DFD" w:rsidRDefault="00755DFD" w:rsidP="00755DFD"/>
        </w:tc>
        <w:tc>
          <w:tcPr>
            <w:tcW w:w="709" w:type="dxa"/>
          </w:tcPr>
          <w:p w:rsidR="00755DFD" w:rsidRPr="00755DFD" w:rsidRDefault="00755DFD" w:rsidP="00755DFD"/>
        </w:tc>
        <w:tc>
          <w:tcPr>
            <w:tcW w:w="1559" w:type="dxa"/>
          </w:tcPr>
          <w:p w:rsidR="00755DFD" w:rsidRPr="00755DFD" w:rsidRDefault="00755DFD" w:rsidP="00EC135B">
            <w:r w:rsidRPr="00755DFD">
              <w:t xml:space="preserve">Final year when DM is required to generate </w:t>
            </w:r>
            <w:r w:rsidR="00EC135B">
              <w:t>option value</w:t>
            </w:r>
            <w:r w:rsidRPr="00755DFD">
              <w:t>*</w:t>
            </w:r>
          </w:p>
        </w:tc>
        <w:tc>
          <w:tcPr>
            <w:tcW w:w="850" w:type="dxa"/>
          </w:tcPr>
          <w:p w:rsidR="00755DFD" w:rsidRPr="00755DFD" w:rsidRDefault="00755DFD" w:rsidP="00755DFD">
            <w:r w:rsidRPr="00755DFD">
              <w:t>NA</w:t>
            </w:r>
          </w:p>
        </w:tc>
        <w:tc>
          <w:tcPr>
            <w:tcW w:w="1418" w:type="dxa"/>
          </w:tcPr>
          <w:p w:rsidR="00755DFD" w:rsidRPr="00755DFD" w:rsidRDefault="00EC135B" w:rsidP="00EC135B">
            <w:r>
              <w:t>New start year of opex (assume POE90 d</w:t>
            </w:r>
            <w:r w:rsidR="00755DFD" w:rsidRPr="00755DFD">
              <w:t>eferral)*</w:t>
            </w:r>
          </w:p>
        </w:tc>
        <w:tc>
          <w:tcPr>
            <w:tcW w:w="992" w:type="dxa"/>
          </w:tcPr>
          <w:p w:rsidR="00755DFD" w:rsidRPr="00755DFD" w:rsidRDefault="00755DFD" w:rsidP="00755DFD">
            <w:r w:rsidRPr="00755DFD">
              <w:t>2029</w:t>
            </w:r>
          </w:p>
        </w:tc>
        <w:tc>
          <w:tcPr>
            <w:tcW w:w="1418" w:type="dxa"/>
          </w:tcPr>
          <w:p w:rsidR="00755DFD" w:rsidRPr="00755DFD" w:rsidRDefault="00755DFD" w:rsidP="00755DFD"/>
        </w:tc>
        <w:tc>
          <w:tcPr>
            <w:tcW w:w="788" w:type="dxa"/>
          </w:tcPr>
          <w:p w:rsidR="00755DFD" w:rsidRPr="00755DFD" w:rsidRDefault="00755DFD" w:rsidP="00755DFD"/>
        </w:tc>
      </w:tr>
      <w:tr w:rsidR="00755DFD" w:rsidRPr="00755DFD" w:rsidTr="00EC135B">
        <w:tc>
          <w:tcPr>
            <w:tcW w:w="959" w:type="dxa"/>
          </w:tcPr>
          <w:p w:rsidR="00755DFD" w:rsidRPr="00755DFD" w:rsidRDefault="00755DFD" w:rsidP="00755DFD"/>
        </w:tc>
        <w:tc>
          <w:tcPr>
            <w:tcW w:w="709" w:type="dxa"/>
          </w:tcPr>
          <w:p w:rsidR="00755DFD" w:rsidRPr="00755DFD" w:rsidRDefault="00755DFD" w:rsidP="00755DFD"/>
        </w:tc>
        <w:tc>
          <w:tcPr>
            <w:tcW w:w="1559" w:type="dxa"/>
          </w:tcPr>
          <w:p w:rsidR="00755DFD" w:rsidRPr="00755DFD" w:rsidRDefault="00EC135B" w:rsidP="00EC135B">
            <w:r>
              <w:t>Start y</w:t>
            </w:r>
            <w:r w:rsidR="00755DFD" w:rsidRPr="00755DFD">
              <w:t xml:space="preserve">ear when DM is required to generate </w:t>
            </w:r>
            <w:r>
              <w:t>option value</w:t>
            </w:r>
            <w:r w:rsidR="00755DFD" w:rsidRPr="00755DFD">
              <w:t>*</w:t>
            </w:r>
          </w:p>
        </w:tc>
        <w:tc>
          <w:tcPr>
            <w:tcW w:w="850" w:type="dxa"/>
          </w:tcPr>
          <w:p w:rsidR="00755DFD" w:rsidRPr="00755DFD" w:rsidRDefault="00755DFD" w:rsidP="00755DFD">
            <w:r w:rsidRPr="00755DFD">
              <w:t>NA</w:t>
            </w:r>
          </w:p>
        </w:tc>
        <w:tc>
          <w:tcPr>
            <w:tcW w:w="1418" w:type="dxa"/>
          </w:tcPr>
          <w:p w:rsidR="00755DFD" w:rsidRPr="00755DFD" w:rsidRDefault="00755DFD" w:rsidP="00755DFD"/>
        </w:tc>
        <w:tc>
          <w:tcPr>
            <w:tcW w:w="992" w:type="dxa"/>
          </w:tcPr>
          <w:p w:rsidR="00755DFD" w:rsidRPr="00755DFD" w:rsidRDefault="00755DFD" w:rsidP="00755DFD"/>
        </w:tc>
        <w:tc>
          <w:tcPr>
            <w:tcW w:w="1418" w:type="dxa"/>
          </w:tcPr>
          <w:p w:rsidR="00755DFD" w:rsidRPr="00755DFD" w:rsidRDefault="00755DFD" w:rsidP="00755DFD"/>
        </w:tc>
        <w:tc>
          <w:tcPr>
            <w:tcW w:w="788" w:type="dxa"/>
          </w:tcPr>
          <w:p w:rsidR="00755DFD" w:rsidRPr="00755DFD" w:rsidRDefault="00755DFD" w:rsidP="00755DFD"/>
        </w:tc>
      </w:tr>
    </w:tbl>
    <w:p w:rsidR="00755DFD" w:rsidRDefault="00266212" w:rsidP="00755DFD">
      <w:pPr>
        <w:pStyle w:val="AERtablesource"/>
      </w:pPr>
      <w:r w:rsidRPr="00755DFD">
        <w:t xml:space="preserve">Source: </w:t>
      </w:r>
      <w:r w:rsidR="00755DFD">
        <w:tab/>
      </w:r>
      <w:r w:rsidRPr="00755DFD">
        <w:t xml:space="preserve">United Energy, </w:t>
      </w:r>
      <w:r w:rsidRPr="00A10FF4">
        <w:rPr>
          <w:rStyle w:val="AERtextitalic"/>
        </w:rPr>
        <w:t>Project Assessment Report Lower Morningto</w:t>
      </w:r>
      <w:r w:rsidR="00755DFD" w:rsidRPr="00A10FF4">
        <w:rPr>
          <w:rStyle w:val="AERtextitalic"/>
        </w:rPr>
        <w:t>n Peninsula Supply Area Project</w:t>
      </w:r>
      <w:r w:rsidR="00A10FF4">
        <w:t>.</w:t>
      </w:r>
    </w:p>
    <w:p w:rsidR="00266212" w:rsidRPr="00755DFD" w:rsidRDefault="00755DFD" w:rsidP="00755DFD">
      <w:pPr>
        <w:pStyle w:val="AERtablesource"/>
      </w:pPr>
      <w:r>
        <w:t xml:space="preserve">* </w:t>
      </w:r>
      <w:r>
        <w:tab/>
        <w:t>O</w:t>
      </w:r>
      <w:r w:rsidR="00333810">
        <w:t xml:space="preserve">akley Greenwood's assumption in </w:t>
      </w:r>
      <w:r w:rsidR="00333810" w:rsidRPr="00333810">
        <w:rPr>
          <w:rStyle w:val="AERtextitalic"/>
        </w:rPr>
        <w:t>Advice on the DMIS incentive: Prepared for AER</w:t>
      </w:r>
      <w:r w:rsidR="00333810">
        <w:t>, June 2017, p. 16.</w:t>
      </w:r>
    </w:p>
    <w:p w:rsidR="0034337A" w:rsidRDefault="00960BA2" w:rsidP="00960BA2">
      <w:r>
        <w:fldChar w:fldCharType="begin"/>
      </w:r>
      <w:r>
        <w:instrText xml:space="preserve"> REF _Ref486943861 \h </w:instrText>
      </w:r>
      <w:r>
        <w:fldChar w:fldCharType="separate"/>
      </w:r>
      <w:r w:rsidR="0076296B">
        <w:t xml:space="preserve">Table </w:t>
      </w:r>
      <w:r w:rsidR="0076296B">
        <w:rPr>
          <w:noProof/>
        </w:rPr>
        <w:t>8</w:t>
      </w:r>
      <w:r>
        <w:fldChar w:fldCharType="end"/>
      </w:r>
      <w:r>
        <w:t xml:space="preserve"> summari</w:t>
      </w:r>
      <w:r w:rsidR="0084295F">
        <w:t>s</w:t>
      </w:r>
      <w:r>
        <w:t xml:space="preserve">es the results of </w:t>
      </w:r>
      <w:r w:rsidRPr="00960BA2">
        <w:t>Oakley Greenwood</w:t>
      </w:r>
      <w:r>
        <w:t xml:space="preserve">'s </w:t>
      </w:r>
      <w:r w:rsidRPr="00960BA2">
        <w:t xml:space="preserve">worked example </w:t>
      </w:r>
      <w:r w:rsidR="0084295F">
        <w:t xml:space="preserve">on approximating </w:t>
      </w:r>
      <w:r>
        <w:t xml:space="preserve">option value under </w:t>
      </w:r>
      <w:r w:rsidRPr="00960BA2">
        <w:t>United Energy's Lower Mornington Peninsula</w:t>
      </w:r>
      <w:r>
        <w:t xml:space="preserve"> project</w:t>
      </w:r>
      <w:r w:rsidRPr="00960BA2">
        <w:t>.</w:t>
      </w:r>
      <w:r w:rsidRPr="00960BA2">
        <w:rPr>
          <w:rStyle w:val="FootnoteReference"/>
        </w:rPr>
        <w:footnoteReference w:id="89"/>
      </w:r>
      <w:r>
        <w:t xml:space="preserve"> </w:t>
      </w:r>
    </w:p>
    <w:p w:rsidR="0034337A" w:rsidRDefault="0034337A" w:rsidP="00960BA2"/>
    <w:p w:rsidR="00960BA2" w:rsidRPr="00960BA2" w:rsidRDefault="00960BA2" w:rsidP="00960BA2">
      <w:r>
        <w:lastRenderedPageBreak/>
        <w:t>This entailed e</w:t>
      </w:r>
      <w:r w:rsidRPr="00960BA2">
        <w:t>stimating the uplift percentage applicable demand management as:</w:t>
      </w:r>
    </w:p>
    <w:p w:rsidR="00960BA2" w:rsidRPr="00960BA2" w:rsidRDefault="00960BA2" w:rsidP="00960BA2">
      <w:pPr>
        <w:pStyle w:val="AERbulletlistfirststyle"/>
        <w:numPr>
          <w:ilvl w:val="0"/>
          <w:numId w:val="0"/>
        </w:numPr>
        <w:ind w:left="357"/>
      </w:pPr>
      <m:oMathPara>
        <m:oMath>
          <m:r>
            <w:rPr>
              <w:rFonts w:ascii="Cambria Math" w:hAnsi="Cambria Math"/>
            </w:rPr>
            <m:t xml:space="preserve"> </m:t>
          </m:r>
          <m:f>
            <m:fPr>
              <m:ctrlPr>
                <w:rPr>
                  <w:rFonts w:ascii="Cambria Math" w:hAnsi="Cambria Math"/>
                  <w:i/>
                </w:rPr>
              </m:ctrlPr>
            </m:fPr>
            <m:num>
              <m:r>
                <w:rPr>
                  <w:rFonts w:ascii="Cambria Math" w:hAnsi="Cambria Math"/>
                </w:rPr>
                <m:t>NPV(raw option value×10%)</m:t>
              </m:r>
            </m:num>
            <m:den>
              <m:r>
                <w:rPr>
                  <w:rFonts w:ascii="Cambria Math" w:hAnsi="Cambria Math"/>
                </w:rPr>
                <m:t>NPV(DM cost for 3 years)</m:t>
              </m:r>
            </m:den>
          </m:f>
        </m:oMath>
      </m:oMathPara>
    </w:p>
    <w:p w:rsidR="00266212" w:rsidRPr="00266212" w:rsidRDefault="00960BA2" w:rsidP="00960BA2">
      <w:pPr>
        <w:pStyle w:val="Caption"/>
      </w:pPr>
      <w:bookmarkStart w:id="93" w:name="_Ref486943861"/>
      <w:r>
        <w:t xml:space="preserve">Table </w:t>
      </w:r>
      <w:r w:rsidR="0076296B">
        <w:fldChar w:fldCharType="begin"/>
      </w:r>
      <w:r w:rsidR="0076296B">
        <w:instrText xml:space="preserve"> SEQ Table \* ARABIC </w:instrText>
      </w:r>
      <w:r w:rsidR="0076296B">
        <w:fldChar w:fldCharType="separate"/>
      </w:r>
      <w:r w:rsidR="0076296B">
        <w:rPr>
          <w:noProof/>
        </w:rPr>
        <w:t>8</w:t>
      </w:r>
      <w:r w:rsidR="0076296B">
        <w:rPr>
          <w:noProof/>
        </w:rPr>
        <w:fldChar w:fldCharType="end"/>
      </w:r>
      <w:bookmarkEnd w:id="93"/>
      <w:r w:rsidR="00266212" w:rsidRPr="00266212">
        <w:t xml:space="preserve">: Results for Lower Mornington Peninsula Project </w:t>
      </w:r>
    </w:p>
    <w:tbl>
      <w:tblPr>
        <w:tblStyle w:val="AERtable-text0"/>
        <w:tblW w:w="0" w:type="auto"/>
        <w:tblLook w:val="04A0" w:firstRow="1" w:lastRow="0" w:firstColumn="1" w:lastColumn="0" w:noHBand="0" w:noVBand="1"/>
      </w:tblPr>
      <w:tblGrid>
        <w:gridCol w:w="4346"/>
        <w:gridCol w:w="4347"/>
      </w:tblGrid>
      <w:tr w:rsidR="00755DFD" w:rsidRPr="00755DFD" w:rsidTr="00755DFD">
        <w:trPr>
          <w:cnfStyle w:val="100000000000" w:firstRow="1" w:lastRow="0" w:firstColumn="0" w:lastColumn="0" w:oddVBand="0" w:evenVBand="0" w:oddHBand="0" w:evenHBand="0" w:firstRowFirstColumn="0" w:firstRowLastColumn="0" w:lastRowFirstColumn="0" w:lastRowLastColumn="0"/>
        </w:trPr>
        <w:tc>
          <w:tcPr>
            <w:tcW w:w="4346" w:type="dxa"/>
          </w:tcPr>
          <w:p w:rsidR="00755DFD" w:rsidRPr="00755DFD" w:rsidRDefault="00755DFD" w:rsidP="00755DFD">
            <w:r w:rsidRPr="00755DFD">
              <w:t>Parameter</w:t>
            </w:r>
          </w:p>
        </w:tc>
        <w:tc>
          <w:tcPr>
            <w:tcW w:w="4347" w:type="dxa"/>
          </w:tcPr>
          <w:p w:rsidR="00755DFD" w:rsidRPr="00755DFD" w:rsidRDefault="00755DFD" w:rsidP="00960BA2">
            <w:r w:rsidRPr="00755DFD">
              <w:t>Results</w:t>
            </w:r>
            <w:r>
              <w:t xml:space="preserve"> </w:t>
            </w:r>
          </w:p>
        </w:tc>
      </w:tr>
      <w:tr w:rsidR="00755DFD" w:rsidRPr="00755DFD" w:rsidTr="00755DFD">
        <w:tc>
          <w:tcPr>
            <w:tcW w:w="4346" w:type="dxa"/>
          </w:tcPr>
          <w:p w:rsidR="00755DFD" w:rsidRPr="00755DFD" w:rsidRDefault="00960BA2" w:rsidP="00755DFD">
            <w:r>
              <w:t>NPV of o</w:t>
            </w:r>
            <w:r w:rsidR="00755DFD" w:rsidRPr="00755DFD">
              <w:t>riginal servicing approach</w:t>
            </w:r>
          </w:p>
        </w:tc>
        <w:tc>
          <w:tcPr>
            <w:tcW w:w="4347" w:type="dxa"/>
          </w:tcPr>
          <w:p w:rsidR="00755DFD" w:rsidRPr="00755DFD" w:rsidRDefault="00755DFD" w:rsidP="00755DFD">
            <w:r w:rsidRPr="00755DFD">
              <w:t>$26,969,373</w:t>
            </w:r>
          </w:p>
        </w:tc>
      </w:tr>
      <w:tr w:rsidR="00755DFD" w:rsidRPr="00755DFD" w:rsidTr="00755DFD">
        <w:trPr>
          <w:cnfStyle w:val="000000010000" w:firstRow="0" w:lastRow="0" w:firstColumn="0" w:lastColumn="0" w:oddVBand="0" w:evenVBand="0" w:oddHBand="0" w:evenHBand="1" w:firstRowFirstColumn="0" w:firstRowLastColumn="0" w:lastRowFirstColumn="0" w:lastRowLastColumn="0"/>
        </w:trPr>
        <w:tc>
          <w:tcPr>
            <w:tcW w:w="4346" w:type="dxa"/>
          </w:tcPr>
          <w:p w:rsidR="00755DFD" w:rsidRPr="00755DFD" w:rsidRDefault="00755DFD" w:rsidP="00755DFD">
            <w:r w:rsidRPr="00755DFD">
              <w:t>NPV of alternative approach assum</w:t>
            </w:r>
            <w:r w:rsidR="00960BA2">
              <w:t>ing POE 90 forecast (excluding option c</w:t>
            </w:r>
            <w:r w:rsidRPr="00755DFD">
              <w:t>ost)</w:t>
            </w:r>
          </w:p>
        </w:tc>
        <w:tc>
          <w:tcPr>
            <w:tcW w:w="4347" w:type="dxa"/>
          </w:tcPr>
          <w:p w:rsidR="00755DFD" w:rsidRPr="00755DFD" w:rsidRDefault="00755DFD" w:rsidP="00755DFD">
            <w:r w:rsidRPr="00755DFD">
              <w:t>$18,923,062</w:t>
            </w:r>
          </w:p>
        </w:tc>
      </w:tr>
      <w:tr w:rsidR="00755DFD" w:rsidRPr="00755DFD" w:rsidTr="00755DFD">
        <w:tc>
          <w:tcPr>
            <w:tcW w:w="4346" w:type="dxa"/>
          </w:tcPr>
          <w:p w:rsidR="00755DFD" w:rsidRPr="00755DFD" w:rsidRDefault="00960BA2" w:rsidP="00755DFD">
            <w:r>
              <w:t>NPV (option c</w:t>
            </w:r>
            <w:r w:rsidR="00755DFD" w:rsidRPr="00755DFD">
              <w:t>ost)</w:t>
            </w:r>
            <w:r w:rsidR="00755DFD">
              <w:rPr>
                <w:rStyle w:val="FootnoteReference"/>
              </w:rPr>
              <w:footnoteReference w:id="90"/>
            </w:r>
          </w:p>
        </w:tc>
        <w:tc>
          <w:tcPr>
            <w:tcW w:w="4347" w:type="dxa"/>
          </w:tcPr>
          <w:p w:rsidR="00755DFD" w:rsidRPr="00755DFD" w:rsidRDefault="00755DFD" w:rsidP="00755DFD">
            <w:r w:rsidRPr="00755DFD">
              <w:t>$0.00</w:t>
            </w:r>
          </w:p>
        </w:tc>
      </w:tr>
      <w:tr w:rsidR="00755DFD" w:rsidRPr="00755DFD" w:rsidTr="00755DFD">
        <w:trPr>
          <w:cnfStyle w:val="000000010000" w:firstRow="0" w:lastRow="0" w:firstColumn="0" w:lastColumn="0" w:oddVBand="0" w:evenVBand="0" w:oddHBand="0" w:evenHBand="1" w:firstRowFirstColumn="0" w:firstRowLastColumn="0" w:lastRowFirstColumn="0" w:lastRowLastColumn="0"/>
        </w:trPr>
        <w:tc>
          <w:tcPr>
            <w:tcW w:w="4346" w:type="dxa"/>
          </w:tcPr>
          <w:p w:rsidR="00755DFD" w:rsidRPr="00755DFD" w:rsidRDefault="00960BA2" w:rsidP="00755DFD">
            <w:r>
              <w:t>Option value (r</w:t>
            </w:r>
            <w:r w:rsidR="00755DFD" w:rsidRPr="00755DFD">
              <w:t>aw)</w:t>
            </w:r>
          </w:p>
        </w:tc>
        <w:tc>
          <w:tcPr>
            <w:tcW w:w="4347" w:type="dxa"/>
          </w:tcPr>
          <w:p w:rsidR="00755DFD" w:rsidRPr="00755DFD" w:rsidRDefault="00755DFD" w:rsidP="00755DFD">
            <w:r w:rsidRPr="00755DFD">
              <w:t>$8,046,312</w:t>
            </w:r>
          </w:p>
        </w:tc>
      </w:tr>
      <w:tr w:rsidR="00755DFD" w:rsidRPr="00755DFD" w:rsidTr="00755DFD">
        <w:tc>
          <w:tcPr>
            <w:tcW w:w="4346" w:type="dxa"/>
          </w:tcPr>
          <w:p w:rsidR="00755DFD" w:rsidRPr="00755DFD" w:rsidRDefault="00960BA2" w:rsidP="00755DFD">
            <w:r>
              <w:t xml:space="preserve">Option value </w:t>
            </w:r>
            <w:r w:rsidR="0001019E">
              <w:t>(</w:t>
            </w:r>
            <w:r>
              <w:t>p</w:t>
            </w:r>
            <w:r w:rsidR="00755DFD" w:rsidRPr="00755DFD">
              <w:t>robability weighted)</w:t>
            </w:r>
          </w:p>
        </w:tc>
        <w:tc>
          <w:tcPr>
            <w:tcW w:w="4347" w:type="dxa"/>
          </w:tcPr>
          <w:p w:rsidR="00755DFD" w:rsidRPr="00755DFD" w:rsidRDefault="00755DFD" w:rsidP="00755DFD">
            <w:r w:rsidRPr="00755DFD">
              <w:t>$804,631</w:t>
            </w:r>
          </w:p>
        </w:tc>
      </w:tr>
      <w:tr w:rsidR="00755DFD" w:rsidRPr="00755DFD" w:rsidTr="00755DFD">
        <w:trPr>
          <w:cnfStyle w:val="000000010000" w:firstRow="0" w:lastRow="0" w:firstColumn="0" w:lastColumn="0" w:oddVBand="0" w:evenVBand="0" w:oddHBand="0" w:evenHBand="1" w:firstRowFirstColumn="0" w:firstRowLastColumn="0" w:lastRowFirstColumn="0" w:lastRowLastColumn="0"/>
        </w:trPr>
        <w:tc>
          <w:tcPr>
            <w:tcW w:w="4346" w:type="dxa"/>
          </w:tcPr>
          <w:p w:rsidR="00755DFD" w:rsidRPr="00755DFD" w:rsidRDefault="00755DFD" w:rsidP="00755DFD">
            <w:r w:rsidRPr="00755DFD">
              <w:t>Uplif</w:t>
            </w:r>
            <w:r w:rsidR="00960BA2">
              <w:t>t percentage on DM expenditure</w:t>
            </w:r>
            <w:r w:rsidR="004B76C4">
              <w:rPr>
                <w:rStyle w:val="FootnoteReference"/>
              </w:rPr>
              <w:footnoteReference w:id="91"/>
            </w:r>
          </w:p>
        </w:tc>
        <w:tc>
          <w:tcPr>
            <w:tcW w:w="4347" w:type="dxa"/>
          </w:tcPr>
          <w:p w:rsidR="00755DFD" w:rsidRPr="00755DFD" w:rsidRDefault="00755DFD" w:rsidP="00755DFD">
            <w:r w:rsidRPr="00755DFD">
              <w:t>26.53%</w:t>
            </w:r>
          </w:p>
        </w:tc>
      </w:tr>
    </w:tbl>
    <w:p w:rsidR="004B72D8" w:rsidRDefault="004B72D8" w:rsidP="00266212">
      <w:r>
        <w:t>This worked example includes several caveats. For instance, the analysis:</w:t>
      </w:r>
    </w:p>
    <w:p w:rsidR="004B72D8" w:rsidRDefault="004B72D8" w:rsidP="00266212">
      <w:pPr>
        <w:pStyle w:val="AERbulletlistfirststyle"/>
      </w:pPr>
      <w:r>
        <w:t xml:space="preserve">Did not seek to </w:t>
      </w:r>
      <w:r w:rsidR="00266212" w:rsidRPr="00266212">
        <w:t xml:space="preserve">determine whether </w:t>
      </w:r>
      <w:r>
        <w:t>demand management had the highest net benefit.</w:t>
      </w:r>
    </w:p>
    <w:p w:rsidR="004B72D8" w:rsidRDefault="00266212" w:rsidP="004B72D8">
      <w:pPr>
        <w:pStyle w:val="AERbulletlistfirststyle"/>
      </w:pPr>
      <w:r w:rsidRPr="00266212">
        <w:tab/>
      </w:r>
      <w:r w:rsidR="004B72D8">
        <w:t>Relied</w:t>
      </w:r>
      <w:r w:rsidRPr="00266212">
        <w:t xml:space="preserve"> on </w:t>
      </w:r>
      <w:r w:rsidR="004B72D8">
        <w:t>several</w:t>
      </w:r>
      <w:r w:rsidRPr="00266212">
        <w:t xml:space="preserve"> assumptions</w:t>
      </w:r>
      <w:r w:rsidR="004B72D8">
        <w:t xml:space="preserve">. This included assuming </w:t>
      </w:r>
      <w:r w:rsidRPr="00266212">
        <w:t>a 10</w:t>
      </w:r>
      <w:r w:rsidR="0078383B" w:rsidRPr="0078383B">
        <w:t xml:space="preserve"> per cent</w:t>
      </w:r>
      <w:r w:rsidRPr="00266212">
        <w:t xml:space="preserve"> probability of a 15</w:t>
      </w:r>
      <w:r w:rsidR="0078383B" w:rsidRPr="0078383B">
        <w:t xml:space="preserve"> per cent</w:t>
      </w:r>
      <w:r w:rsidRPr="00266212">
        <w:t xml:space="preserve"> penetration of battery storage occurring within 10 years, </w:t>
      </w:r>
      <w:r w:rsidR="004B72D8">
        <w:t>which would</w:t>
      </w:r>
      <w:r w:rsidRPr="00266212">
        <w:t xml:space="preserve"> </w:t>
      </w:r>
      <w:r w:rsidR="004B72D8">
        <w:t>reduce peak demand by</w:t>
      </w:r>
      <w:r w:rsidRPr="00266212">
        <w:t xml:space="preserve"> 2.5kW </w:t>
      </w:r>
      <w:r w:rsidR="004B72D8">
        <w:t xml:space="preserve">per battery. However, </w:t>
      </w:r>
      <w:r w:rsidRPr="00266212">
        <w:t xml:space="preserve">option value will </w:t>
      </w:r>
      <w:r w:rsidR="004B72D8">
        <w:t xml:space="preserve">depend </w:t>
      </w:r>
      <w:r w:rsidRPr="00266212">
        <w:t xml:space="preserve">on numerous factors </w:t>
      </w:r>
      <w:r w:rsidR="004B72D8">
        <w:t>in practice</w:t>
      </w:r>
      <w:r w:rsidR="0084295F">
        <w:t>.</w:t>
      </w:r>
    </w:p>
    <w:p w:rsidR="004B76C4" w:rsidRDefault="004B72D8" w:rsidP="004B76C4">
      <w:pPr>
        <w:pStyle w:val="AERbulletlistfirststyle"/>
      </w:pPr>
      <w:r>
        <w:t>Assumed that everything else was</w:t>
      </w:r>
      <w:r w:rsidR="00266212" w:rsidRPr="00266212">
        <w:t xml:space="preserve"> equal </w:t>
      </w:r>
      <w:r>
        <w:t>when assessing the options</w:t>
      </w:r>
      <w:r w:rsidR="00266212" w:rsidRPr="00266212">
        <w:t>.</w:t>
      </w:r>
    </w:p>
    <w:p w:rsidR="0055055D" w:rsidRDefault="009A73BC" w:rsidP="009A73BC">
      <w:pPr>
        <w:pStyle w:val="Heading7"/>
      </w:pPr>
      <w:bookmarkStart w:id="94" w:name="_Toc491447273"/>
      <w:r>
        <w:lastRenderedPageBreak/>
        <w:t>Worked example</w:t>
      </w:r>
      <w:r w:rsidR="00D169BB">
        <w:t>s</w:t>
      </w:r>
      <w:r>
        <w:t xml:space="preserve"> </w:t>
      </w:r>
      <w:r>
        <w:rPr>
          <w:rFonts w:cs="Arial"/>
        </w:rPr>
        <w:t>―</w:t>
      </w:r>
      <w:r w:rsidR="00DF2056">
        <w:t xml:space="preserve"> </w:t>
      </w:r>
      <w:r w:rsidR="00836E91">
        <w:t>Calculating incentives under the Scheme</w:t>
      </w:r>
      <w:bookmarkEnd w:id="94"/>
      <w:r w:rsidR="00836E91">
        <w:t xml:space="preserve"> </w:t>
      </w:r>
    </w:p>
    <w:p w:rsidR="000E1136" w:rsidRDefault="000E1136" w:rsidP="000E1136">
      <w:pPr>
        <w:pStyle w:val="Heading8"/>
        <w:numPr>
          <w:ilvl w:val="1"/>
          <w:numId w:val="34"/>
        </w:numPr>
      </w:pPr>
      <w:bookmarkStart w:id="95" w:name="_Toc491447274"/>
      <w:r>
        <w:t>Switchgear worked example</w:t>
      </w:r>
      <w:bookmarkEnd w:id="95"/>
    </w:p>
    <w:p w:rsidR="00BF5EBE" w:rsidRDefault="000E1136" w:rsidP="004B1DDF">
      <w:r>
        <w:t>We have based this worked example on information provided to us by Ausgrid</w:t>
      </w:r>
      <w:r w:rsidR="00CF5C65">
        <w:t>. I</w:t>
      </w:r>
      <w:r w:rsidR="00454004">
        <w:t>t represents a typical example of how they assess a project, but the numbers used are not based on a real identified need</w:t>
      </w:r>
      <w:r>
        <w:t>.</w:t>
      </w:r>
      <w:r w:rsidR="00765F16">
        <w:t xml:space="preserve"> </w:t>
      </w:r>
      <w:r w:rsidR="00A63215">
        <w:t xml:space="preserve">This worked example is for illustrative purposes only. </w:t>
      </w:r>
      <w:r w:rsidR="00765F16">
        <w:t>This is a relatively simple worked example to demonstrate the basic functioning of the Scheme.</w:t>
      </w:r>
      <w:r w:rsidR="00454004" w:rsidRPr="00454004">
        <w:t xml:space="preserve"> The distributor has already quantified the net benefit delivered by the option</w:t>
      </w:r>
      <w:r w:rsidR="00454004">
        <w:t xml:space="preserve">, and so this example </w:t>
      </w:r>
      <w:r w:rsidR="00847890">
        <w:t>does not deal with that stage of the process.</w:t>
      </w:r>
      <w:r w:rsidR="00B95B7F">
        <w:t xml:space="preserve"> We have also assumed that the requirements for identifying and committing projects to ensure efficiency under</w:t>
      </w:r>
      <w:r w:rsidR="0084295F">
        <w:t xml:space="preserve"> the Scheme have been followed.</w:t>
      </w:r>
    </w:p>
    <w:p w:rsidR="00CF5C65" w:rsidRDefault="000E1136" w:rsidP="004B1DDF">
      <w:r>
        <w:t>In this example</w:t>
      </w:r>
      <w:r w:rsidR="0084295F">
        <w:t>,</w:t>
      </w:r>
      <w:r>
        <w:t xml:space="preserve"> the distributor ha</w:t>
      </w:r>
      <w:r w:rsidR="009A006F">
        <w:t xml:space="preserve">s </w:t>
      </w:r>
      <w:r>
        <w:t xml:space="preserve">identified </w:t>
      </w:r>
      <w:r w:rsidR="005D0728">
        <w:t>that the</w:t>
      </w:r>
      <w:r>
        <w:t xml:space="preserve"> switchgear in a zone substation </w:t>
      </w:r>
      <w:r w:rsidR="005D0728">
        <w:t>needs to be</w:t>
      </w:r>
      <w:r>
        <w:t xml:space="preserve"> </w:t>
      </w:r>
      <w:r w:rsidR="009A006F">
        <w:t>retire</w:t>
      </w:r>
      <w:r w:rsidR="005D0728">
        <w:t>d or replaced</w:t>
      </w:r>
      <w:r>
        <w:t>.</w:t>
      </w:r>
      <w:r w:rsidR="004B1DDF">
        <w:t xml:space="preserve"> </w:t>
      </w:r>
      <w:r w:rsidR="004B1DDF" w:rsidRPr="004B1DDF">
        <w:t xml:space="preserve">The failure of this asset would result in the loss of power to customers. </w:t>
      </w:r>
      <w:r w:rsidR="004B1DDF">
        <w:t>In response</w:t>
      </w:r>
      <w:r w:rsidR="0084295F">
        <w:t>,</w:t>
      </w:r>
      <w:r w:rsidR="004B1DDF">
        <w:t xml:space="preserve"> the distributor has identified that replacement of the asset is </w:t>
      </w:r>
      <w:r w:rsidR="00847890">
        <w:t>a credible</w:t>
      </w:r>
      <w:r w:rsidR="004B1DDF">
        <w:t xml:space="preserve"> option.</w:t>
      </w:r>
    </w:p>
    <w:p w:rsidR="0076296B" w:rsidRDefault="007C0B60" w:rsidP="001B03EA">
      <w:r>
        <w:t xml:space="preserve">In this example, the distributor has discounted using a real rate of return, which is consistent with the real cashflows </w:t>
      </w:r>
      <w:r w:rsidR="00256E94">
        <w:t xml:space="preserve">used </w:t>
      </w:r>
      <w:r>
        <w:t>in its modelling.</w:t>
      </w:r>
      <w:r w:rsidR="00194DA3">
        <w:t xml:space="preserve"> In </w:t>
      </w:r>
      <w:r w:rsidR="00194DA3">
        <w:fldChar w:fldCharType="begin"/>
      </w:r>
      <w:r w:rsidR="00194DA3">
        <w:instrText xml:space="preserve"> REF  _Ref491257717 \* Lower \h </w:instrText>
      </w:r>
      <w:r w:rsidR="001B03EA">
        <w:instrText xml:space="preserve"> \* MERGEFORMAT </w:instrText>
      </w:r>
      <w:r w:rsidR="00194DA3">
        <w:fldChar w:fldCharType="separate"/>
      </w:r>
      <w:r w:rsidR="0076296B">
        <w:t>to address the identified need.</w:t>
      </w:r>
    </w:p>
    <w:p w:rsidR="0076296B" w:rsidRDefault="0076296B" w:rsidP="001B03EA">
      <w:r>
        <w:t xml:space="preserve">table </w:t>
      </w:r>
      <w:r>
        <w:rPr>
          <w:noProof/>
        </w:rPr>
        <w:t>9</w:t>
      </w:r>
      <w:r w:rsidR="00194DA3">
        <w:fldChar w:fldCharType="end"/>
      </w:r>
      <w:r w:rsidR="00194DA3">
        <w:t xml:space="preserve"> and </w:t>
      </w:r>
      <w:r w:rsidR="00194DA3">
        <w:fldChar w:fldCharType="begin"/>
      </w:r>
      <w:r w:rsidR="00194DA3">
        <w:instrText xml:space="preserve"> REF  _Ref491257719 \* Lower \h </w:instrText>
      </w:r>
      <w:r w:rsidR="001B03EA">
        <w:instrText xml:space="preserve"> \* MERGEFORMAT </w:instrText>
      </w:r>
      <w:r w:rsidR="00194DA3">
        <w:fldChar w:fldCharType="separate"/>
      </w:r>
      <w:r>
        <w:t>table 10</w:t>
      </w:r>
      <w:r w:rsidR="00194DA3">
        <w:fldChar w:fldCharType="end"/>
      </w:r>
      <w:r w:rsidR="00194DA3">
        <w:t>, cash flows are presented in 2018 dollars and the NPV calculations employ a discount rate of 4.66</w:t>
      </w:r>
      <w:r w:rsidR="0078383B" w:rsidRPr="0078383B">
        <w:t xml:space="preserve"> per cent</w:t>
      </w:r>
      <w:r w:rsidR="00194DA3">
        <w:t xml:space="preserve">. The costs and benefits presented in </w:t>
      </w:r>
      <w:r w:rsidR="00194DA3">
        <w:fldChar w:fldCharType="begin"/>
      </w:r>
      <w:r w:rsidR="00194DA3">
        <w:instrText xml:space="preserve"> REF  _Ref491257717 \* Lower \h </w:instrText>
      </w:r>
      <w:r w:rsidR="001B03EA">
        <w:instrText xml:space="preserve"> \* MERGEFORMAT </w:instrText>
      </w:r>
      <w:r w:rsidR="00194DA3">
        <w:fldChar w:fldCharType="separate"/>
      </w:r>
      <w:r>
        <w:t>to address the identified need.</w:t>
      </w:r>
    </w:p>
    <w:p w:rsidR="001B03EA" w:rsidRDefault="0076296B" w:rsidP="001B03EA">
      <w:r>
        <w:t xml:space="preserve">table </w:t>
      </w:r>
      <w:r>
        <w:rPr>
          <w:noProof/>
        </w:rPr>
        <w:t>9</w:t>
      </w:r>
      <w:r w:rsidR="00194DA3">
        <w:fldChar w:fldCharType="end"/>
      </w:r>
      <w:r w:rsidR="00194DA3">
        <w:t xml:space="preserve"> and </w:t>
      </w:r>
      <w:r w:rsidR="00194DA3">
        <w:fldChar w:fldCharType="begin"/>
      </w:r>
      <w:r w:rsidR="00194DA3">
        <w:instrText xml:space="preserve"> REF  _Ref491257719 \* Lower \h </w:instrText>
      </w:r>
      <w:r w:rsidR="001B03EA">
        <w:instrText xml:space="preserve"> \* MERGEFORMAT </w:instrText>
      </w:r>
      <w:r w:rsidR="00194DA3">
        <w:fldChar w:fldCharType="separate"/>
      </w:r>
      <w:r>
        <w:t>table 10</w:t>
      </w:r>
      <w:r w:rsidR="00194DA3">
        <w:fldChar w:fldCharType="end"/>
      </w:r>
      <w:r w:rsidR="00194DA3">
        <w:t xml:space="preserve"> are calculated with reference to a base case</w:t>
      </w:r>
      <w:r w:rsidR="00194DA3" w:rsidRPr="00194DA3">
        <w:t xml:space="preserve"> </w:t>
      </w:r>
      <w:r w:rsidR="00194DA3">
        <w:t xml:space="preserve">of doing nothing </w:t>
      </w:r>
      <w:bookmarkStart w:id="96" w:name="_Ref491257717"/>
      <w:r w:rsidR="0078383B">
        <w:t>to address the identified need.</w:t>
      </w:r>
    </w:p>
    <w:p w:rsidR="00592500" w:rsidRDefault="008D2B19" w:rsidP="008D2B19">
      <w:pPr>
        <w:pStyle w:val="Caption"/>
      </w:pPr>
      <w:r>
        <w:t xml:space="preserve">Table </w:t>
      </w:r>
      <w:r w:rsidR="0076296B">
        <w:fldChar w:fldCharType="begin"/>
      </w:r>
      <w:r w:rsidR="0076296B">
        <w:instrText xml:space="preserve"> SEQ Table \* ARABIC </w:instrText>
      </w:r>
      <w:r w:rsidR="0076296B">
        <w:fldChar w:fldCharType="separate"/>
      </w:r>
      <w:r w:rsidR="0076296B">
        <w:rPr>
          <w:noProof/>
        </w:rPr>
        <w:t>9</w:t>
      </w:r>
      <w:r w:rsidR="0076296B">
        <w:rPr>
          <w:noProof/>
        </w:rPr>
        <w:fldChar w:fldCharType="end"/>
      </w:r>
      <w:bookmarkEnd w:id="96"/>
      <w:r>
        <w:t xml:space="preserve">: Network preferred option </w:t>
      </w:r>
      <w:r w:rsidRPr="008D2B19">
        <w:t>($20</w:t>
      </w:r>
      <w:r w:rsidR="00256E94">
        <w:t>18</w:t>
      </w:r>
      <w:r w:rsidRPr="008D2B19">
        <w:t>, '000)</w:t>
      </w:r>
    </w:p>
    <w:tbl>
      <w:tblPr>
        <w:tblStyle w:val="AERtable-text0"/>
        <w:tblW w:w="5000" w:type="pct"/>
        <w:tblLayout w:type="fixed"/>
        <w:tblLook w:val="04A0" w:firstRow="1" w:lastRow="0" w:firstColumn="1" w:lastColumn="0" w:noHBand="0" w:noVBand="1"/>
      </w:tblPr>
      <w:tblGrid>
        <w:gridCol w:w="2245"/>
        <w:gridCol w:w="716"/>
        <w:gridCol w:w="833"/>
        <w:gridCol w:w="850"/>
        <w:gridCol w:w="709"/>
        <w:gridCol w:w="709"/>
        <w:gridCol w:w="708"/>
        <w:gridCol w:w="489"/>
        <w:gridCol w:w="716"/>
        <w:gridCol w:w="718"/>
      </w:tblGrid>
      <w:tr w:rsidR="00235A07" w:rsidRPr="00C04E98" w:rsidTr="00C21BF2">
        <w:trPr>
          <w:cnfStyle w:val="100000000000" w:firstRow="1" w:lastRow="0" w:firstColumn="0" w:lastColumn="0" w:oddVBand="0" w:evenVBand="0" w:oddHBand="0" w:evenHBand="0" w:firstRowFirstColumn="0" w:firstRowLastColumn="0" w:lastRowFirstColumn="0" w:lastRowLastColumn="0"/>
          <w:trHeight w:val="300"/>
        </w:trPr>
        <w:tc>
          <w:tcPr>
            <w:tcW w:w="1291" w:type="pct"/>
            <w:noWrap/>
            <w:hideMark/>
          </w:tcPr>
          <w:p w:rsidR="00235A07" w:rsidRPr="00235A07" w:rsidRDefault="00235A07" w:rsidP="00235A07">
            <w:r w:rsidRPr="00C04E98">
              <w:t>Year</w:t>
            </w:r>
          </w:p>
        </w:tc>
        <w:tc>
          <w:tcPr>
            <w:tcW w:w="412" w:type="pct"/>
            <w:noWrap/>
            <w:hideMark/>
          </w:tcPr>
          <w:p w:rsidR="00235A07" w:rsidRPr="00235A07" w:rsidRDefault="00235A07" w:rsidP="00235A07">
            <w:r w:rsidRPr="00C04E98">
              <w:t>2018</w:t>
            </w:r>
          </w:p>
        </w:tc>
        <w:tc>
          <w:tcPr>
            <w:tcW w:w="479" w:type="pct"/>
            <w:noWrap/>
            <w:hideMark/>
          </w:tcPr>
          <w:p w:rsidR="00235A07" w:rsidRPr="00235A07" w:rsidRDefault="00235A07" w:rsidP="00235A07">
            <w:r w:rsidRPr="00C04E98">
              <w:t>2019</w:t>
            </w:r>
          </w:p>
        </w:tc>
        <w:tc>
          <w:tcPr>
            <w:tcW w:w="489" w:type="pct"/>
            <w:noWrap/>
            <w:hideMark/>
          </w:tcPr>
          <w:p w:rsidR="00235A07" w:rsidRPr="00235A07" w:rsidRDefault="00235A07" w:rsidP="00235A07">
            <w:r w:rsidRPr="00C04E98">
              <w:t>2020</w:t>
            </w:r>
          </w:p>
        </w:tc>
        <w:tc>
          <w:tcPr>
            <w:tcW w:w="408" w:type="pct"/>
            <w:noWrap/>
            <w:hideMark/>
          </w:tcPr>
          <w:p w:rsidR="00235A07" w:rsidRPr="00235A07" w:rsidRDefault="00235A07" w:rsidP="00235A07">
            <w:r w:rsidRPr="00C04E98">
              <w:t>2021</w:t>
            </w:r>
          </w:p>
        </w:tc>
        <w:tc>
          <w:tcPr>
            <w:tcW w:w="408" w:type="pct"/>
            <w:noWrap/>
            <w:hideMark/>
          </w:tcPr>
          <w:p w:rsidR="00235A07" w:rsidRPr="00235A07" w:rsidRDefault="00235A07" w:rsidP="00235A07">
            <w:r w:rsidRPr="00C04E98">
              <w:t>2022</w:t>
            </w:r>
          </w:p>
        </w:tc>
        <w:tc>
          <w:tcPr>
            <w:tcW w:w="407" w:type="pct"/>
            <w:noWrap/>
            <w:hideMark/>
          </w:tcPr>
          <w:p w:rsidR="00235A07" w:rsidRPr="00235A07" w:rsidRDefault="00235A07" w:rsidP="00235A07">
            <w:r w:rsidRPr="00C04E98">
              <w:t>2023</w:t>
            </w:r>
          </w:p>
        </w:tc>
        <w:tc>
          <w:tcPr>
            <w:tcW w:w="281" w:type="pct"/>
            <w:noWrap/>
            <w:hideMark/>
          </w:tcPr>
          <w:p w:rsidR="00235A07" w:rsidRPr="00235A07" w:rsidRDefault="00235A07" w:rsidP="00235A07">
            <w:r w:rsidRPr="00C04E98">
              <w:t>…</w:t>
            </w:r>
          </w:p>
        </w:tc>
        <w:tc>
          <w:tcPr>
            <w:tcW w:w="412" w:type="pct"/>
            <w:noWrap/>
            <w:hideMark/>
          </w:tcPr>
          <w:p w:rsidR="00235A07" w:rsidRPr="00235A07" w:rsidRDefault="00235A07" w:rsidP="00235A07">
            <w:r w:rsidRPr="00C04E98">
              <w:t>2033</w:t>
            </w:r>
          </w:p>
        </w:tc>
        <w:tc>
          <w:tcPr>
            <w:tcW w:w="413" w:type="pct"/>
            <w:noWrap/>
            <w:hideMark/>
          </w:tcPr>
          <w:p w:rsidR="00235A07" w:rsidRPr="00235A07" w:rsidRDefault="00235A07" w:rsidP="00235A07">
            <w:r w:rsidRPr="00C04E98">
              <w:t>2034</w:t>
            </w:r>
          </w:p>
        </w:tc>
      </w:tr>
      <w:tr w:rsidR="00235A07" w:rsidRPr="00C04E98" w:rsidTr="00C21BF2">
        <w:trPr>
          <w:trHeight w:val="347"/>
        </w:trPr>
        <w:tc>
          <w:tcPr>
            <w:tcW w:w="1291" w:type="pct"/>
            <w:hideMark/>
          </w:tcPr>
          <w:p w:rsidR="00235A07" w:rsidRPr="00235A07" w:rsidRDefault="00235A07" w:rsidP="00235A07">
            <w:r w:rsidRPr="00515611">
              <w:t>Benefits</w:t>
            </w:r>
            <w:r w:rsidRPr="00235A07">
              <w:t>*</w:t>
            </w:r>
          </w:p>
        </w:tc>
        <w:tc>
          <w:tcPr>
            <w:tcW w:w="412" w:type="pct"/>
            <w:noWrap/>
            <w:hideMark/>
          </w:tcPr>
          <w:p w:rsidR="00235A07" w:rsidRPr="00235A07" w:rsidRDefault="00235A07" w:rsidP="00235A07">
            <w:r w:rsidRPr="00515611">
              <w:t>0</w:t>
            </w:r>
          </w:p>
        </w:tc>
        <w:tc>
          <w:tcPr>
            <w:tcW w:w="479" w:type="pct"/>
            <w:noWrap/>
            <w:hideMark/>
          </w:tcPr>
          <w:p w:rsidR="00235A07" w:rsidRPr="00235A07" w:rsidRDefault="00235A07" w:rsidP="00235A07">
            <w:r w:rsidRPr="00515611">
              <w:t>0</w:t>
            </w:r>
          </w:p>
        </w:tc>
        <w:tc>
          <w:tcPr>
            <w:tcW w:w="489" w:type="pct"/>
            <w:noWrap/>
            <w:hideMark/>
          </w:tcPr>
          <w:p w:rsidR="00235A07" w:rsidRPr="00235A07" w:rsidRDefault="00235A07" w:rsidP="00235A07">
            <w:r w:rsidRPr="00515611">
              <w:t>0</w:t>
            </w:r>
          </w:p>
        </w:tc>
        <w:tc>
          <w:tcPr>
            <w:tcW w:w="408" w:type="pct"/>
            <w:noWrap/>
            <w:hideMark/>
          </w:tcPr>
          <w:p w:rsidR="00235A07" w:rsidRPr="00235A07" w:rsidRDefault="00235A07" w:rsidP="00235A07">
            <w:r w:rsidRPr="00515611">
              <w:t>0</w:t>
            </w:r>
          </w:p>
        </w:tc>
        <w:tc>
          <w:tcPr>
            <w:tcW w:w="408" w:type="pct"/>
            <w:noWrap/>
            <w:hideMark/>
          </w:tcPr>
          <w:p w:rsidR="00235A07" w:rsidRPr="00235A07" w:rsidRDefault="00235A07" w:rsidP="00235A07">
            <w:r w:rsidRPr="00515611">
              <w:t>2,02</w:t>
            </w:r>
            <w:r w:rsidRPr="00235A07">
              <w:t>3</w:t>
            </w:r>
          </w:p>
        </w:tc>
        <w:tc>
          <w:tcPr>
            <w:tcW w:w="407" w:type="pct"/>
            <w:noWrap/>
            <w:hideMark/>
          </w:tcPr>
          <w:p w:rsidR="00235A07" w:rsidRPr="00235A07" w:rsidRDefault="00235A07" w:rsidP="00235A07">
            <w:r w:rsidRPr="00515611">
              <w:t>2,223</w:t>
            </w:r>
            <w:r w:rsidRPr="00235A07">
              <w:t xml:space="preserve"> </w:t>
            </w:r>
          </w:p>
        </w:tc>
        <w:tc>
          <w:tcPr>
            <w:tcW w:w="281" w:type="pct"/>
            <w:noWrap/>
            <w:hideMark/>
          </w:tcPr>
          <w:p w:rsidR="00235A07" w:rsidRPr="00235A07" w:rsidRDefault="00235A07" w:rsidP="00235A07">
            <w:r>
              <w:t>…</w:t>
            </w:r>
          </w:p>
        </w:tc>
        <w:tc>
          <w:tcPr>
            <w:tcW w:w="412" w:type="pct"/>
            <w:noWrap/>
            <w:hideMark/>
          </w:tcPr>
          <w:p w:rsidR="00235A07" w:rsidRPr="00235A07" w:rsidRDefault="00235A07" w:rsidP="00235A07">
            <w:r w:rsidRPr="00515611">
              <w:t>5,1</w:t>
            </w:r>
            <w:r w:rsidRPr="00235A07">
              <w:t>80</w:t>
            </w:r>
          </w:p>
        </w:tc>
        <w:tc>
          <w:tcPr>
            <w:tcW w:w="413" w:type="pct"/>
            <w:noWrap/>
            <w:hideMark/>
          </w:tcPr>
          <w:p w:rsidR="00235A07" w:rsidRPr="00235A07" w:rsidRDefault="00235A07" w:rsidP="00235A07">
            <w:r w:rsidRPr="00515611">
              <w:t xml:space="preserve"> </w:t>
            </w:r>
            <w:r w:rsidRPr="00235A07">
              <w:t xml:space="preserve">5,793 </w:t>
            </w:r>
          </w:p>
        </w:tc>
      </w:tr>
      <w:tr w:rsidR="00235A07" w:rsidRPr="00C04E98" w:rsidTr="00C21BF2">
        <w:trPr>
          <w:cnfStyle w:val="000000010000" w:firstRow="0" w:lastRow="0" w:firstColumn="0" w:lastColumn="0" w:oddVBand="0" w:evenVBand="0" w:oddHBand="0" w:evenHBand="1" w:firstRowFirstColumn="0" w:firstRowLastColumn="0" w:lastRowFirstColumn="0" w:lastRowLastColumn="0"/>
          <w:trHeight w:val="465"/>
        </w:trPr>
        <w:tc>
          <w:tcPr>
            <w:tcW w:w="1291" w:type="pct"/>
            <w:hideMark/>
          </w:tcPr>
          <w:p w:rsidR="00235A07" w:rsidRPr="00235A07" w:rsidRDefault="00235A07" w:rsidP="00235A07">
            <w:r w:rsidRPr="00515611">
              <w:t>Residual benefits</w:t>
            </w:r>
          </w:p>
        </w:tc>
        <w:tc>
          <w:tcPr>
            <w:tcW w:w="412" w:type="pct"/>
            <w:noWrap/>
            <w:hideMark/>
          </w:tcPr>
          <w:p w:rsidR="00235A07" w:rsidRPr="00235A07" w:rsidRDefault="00235A07" w:rsidP="00235A07">
            <w:r w:rsidRPr="00515611">
              <w:t>0</w:t>
            </w:r>
          </w:p>
        </w:tc>
        <w:tc>
          <w:tcPr>
            <w:tcW w:w="479" w:type="pct"/>
            <w:noWrap/>
            <w:hideMark/>
          </w:tcPr>
          <w:p w:rsidR="00235A07" w:rsidRPr="00235A07" w:rsidRDefault="00235A07" w:rsidP="00235A07">
            <w:r w:rsidRPr="00515611">
              <w:t>0</w:t>
            </w:r>
          </w:p>
        </w:tc>
        <w:tc>
          <w:tcPr>
            <w:tcW w:w="489" w:type="pct"/>
            <w:noWrap/>
            <w:hideMark/>
          </w:tcPr>
          <w:p w:rsidR="00235A07" w:rsidRPr="00235A07" w:rsidRDefault="00235A07" w:rsidP="00235A07">
            <w:r w:rsidRPr="00515611">
              <w:t>0</w:t>
            </w:r>
          </w:p>
        </w:tc>
        <w:tc>
          <w:tcPr>
            <w:tcW w:w="408" w:type="pct"/>
            <w:noWrap/>
            <w:hideMark/>
          </w:tcPr>
          <w:p w:rsidR="00235A07" w:rsidRPr="00235A07" w:rsidRDefault="00235A07" w:rsidP="00235A07">
            <w:r w:rsidRPr="00515611">
              <w:t>0</w:t>
            </w:r>
          </w:p>
        </w:tc>
        <w:tc>
          <w:tcPr>
            <w:tcW w:w="408" w:type="pct"/>
            <w:noWrap/>
            <w:hideMark/>
          </w:tcPr>
          <w:p w:rsidR="00235A07" w:rsidRPr="00235A07" w:rsidRDefault="00235A07" w:rsidP="00235A07">
            <w:r w:rsidRPr="00515611">
              <w:t>0</w:t>
            </w:r>
          </w:p>
        </w:tc>
        <w:tc>
          <w:tcPr>
            <w:tcW w:w="407" w:type="pct"/>
            <w:noWrap/>
            <w:hideMark/>
          </w:tcPr>
          <w:p w:rsidR="00235A07" w:rsidRPr="00235A07" w:rsidRDefault="00235A07" w:rsidP="00235A07">
            <w:r w:rsidRPr="00515611">
              <w:t>0</w:t>
            </w:r>
          </w:p>
        </w:tc>
        <w:tc>
          <w:tcPr>
            <w:tcW w:w="281" w:type="pct"/>
            <w:noWrap/>
            <w:hideMark/>
          </w:tcPr>
          <w:p w:rsidR="00235A07" w:rsidRPr="00235A07" w:rsidRDefault="00235A07" w:rsidP="00235A07">
            <w:r>
              <w:t>…</w:t>
            </w:r>
          </w:p>
        </w:tc>
        <w:tc>
          <w:tcPr>
            <w:tcW w:w="412" w:type="pct"/>
            <w:noWrap/>
            <w:hideMark/>
          </w:tcPr>
          <w:p w:rsidR="00235A07" w:rsidRPr="00235A07" w:rsidRDefault="00235A07" w:rsidP="00235A07">
            <w:r w:rsidRPr="00515611">
              <w:t>0</w:t>
            </w:r>
          </w:p>
        </w:tc>
        <w:tc>
          <w:tcPr>
            <w:tcW w:w="413" w:type="pct"/>
            <w:noWrap/>
            <w:hideMark/>
          </w:tcPr>
          <w:p w:rsidR="00235A07" w:rsidRPr="00235A07" w:rsidRDefault="00235A07" w:rsidP="00235A07">
            <w:r w:rsidRPr="00515611">
              <w:t>24,35</w:t>
            </w:r>
            <w:r w:rsidRPr="00235A07">
              <w:t>6</w:t>
            </w:r>
          </w:p>
        </w:tc>
      </w:tr>
      <w:tr w:rsidR="00235A07" w:rsidRPr="00C04E98" w:rsidTr="00C21BF2">
        <w:trPr>
          <w:trHeight w:val="407"/>
        </w:trPr>
        <w:tc>
          <w:tcPr>
            <w:tcW w:w="1291" w:type="pct"/>
            <w:noWrap/>
            <w:hideMark/>
          </w:tcPr>
          <w:p w:rsidR="00235A07" w:rsidRPr="00235A07" w:rsidRDefault="00235A07" w:rsidP="00235A07">
            <w:r w:rsidRPr="00515611">
              <w:t>Project cost relative to do-nothing option</w:t>
            </w:r>
          </w:p>
        </w:tc>
        <w:tc>
          <w:tcPr>
            <w:tcW w:w="412" w:type="pct"/>
            <w:noWrap/>
            <w:hideMark/>
          </w:tcPr>
          <w:p w:rsidR="00235A07" w:rsidRPr="00235A07" w:rsidRDefault="00235A07" w:rsidP="00235A07">
            <w:r w:rsidRPr="00515611">
              <w:t>650</w:t>
            </w:r>
            <w:r w:rsidRPr="00235A07">
              <w:t xml:space="preserve"> </w:t>
            </w:r>
          </w:p>
        </w:tc>
        <w:tc>
          <w:tcPr>
            <w:tcW w:w="479" w:type="pct"/>
            <w:noWrap/>
            <w:hideMark/>
          </w:tcPr>
          <w:p w:rsidR="00235A07" w:rsidRPr="00235A07" w:rsidRDefault="00235A07" w:rsidP="00235A07">
            <w:r w:rsidRPr="00515611">
              <w:t>18,000</w:t>
            </w:r>
          </w:p>
        </w:tc>
        <w:tc>
          <w:tcPr>
            <w:tcW w:w="489" w:type="pct"/>
            <w:noWrap/>
            <w:hideMark/>
          </w:tcPr>
          <w:p w:rsidR="00235A07" w:rsidRPr="00235A07" w:rsidRDefault="00235A07" w:rsidP="00235A07">
            <w:r w:rsidRPr="00515611">
              <w:t>15,000</w:t>
            </w:r>
          </w:p>
        </w:tc>
        <w:tc>
          <w:tcPr>
            <w:tcW w:w="408" w:type="pct"/>
            <w:noWrap/>
            <w:hideMark/>
          </w:tcPr>
          <w:p w:rsidR="00235A07" w:rsidRPr="00235A07" w:rsidRDefault="00235A07" w:rsidP="00235A07">
            <w:r w:rsidRPr="00515611">
              <w:t>600</w:t>
            </w:r>
            <w:r w:rsidRPr="00235A07">
              <w:t xml:space="preserve"> </w:t>
            </w:r>
          </w:p>
        </w:tc>
        <w:tc>
          <w:tcPr>
            <w:tcW w:w="408" w:type="pct"/>
            <w:noWrap/>
            <w:hideMark/>
          </w:tcPr>
          <w:p w:rsidR="00235A07" w:rsidRPr="00235A07" w:rsidRDefault="00235A07" w:rsidP="00235A07">
            <w:r w:rsidRPr="00515611">
              <w:t>0</w:t>
            </w:r>
            <w:r w:rsidRPr="00235A07">
              <w:t xml:space="preserve"> </w:t>
            </w:r>
          </w:p>
        </w:tc>
        <w:tc>
          <w:tcPr>
            <w:tcW w:w="407" w:type="pct"/>
            <w:noWrap/>
            <w:hideMark/>
          </w:tcPr>
          <w:p w:rsidR="00235A07" w:rsidRPr="00235A07" w:rsidRDefault="00235A07" w:rsidP="00235A07">
            <w:r w:rsidRPr="00515611">
              <w:t>0</w:t>
            </w:r>
            <w:r w:rsidRPr="00235A07">
              <w:t xml:space="preserve"> </w:t>
            </w:r>
          </w:p>
        </w:tc>
        <w:tc>
          <w:tcPr>
            <w:tcW w:w="281" w:type="pct"/>
            <w:noWrap/>
            <w:hideMark/>
          </w:tcPr>
          <w:p w:rsidR="00235A07" w:rsidRPr="00235A07" w:rsidRDefault="00235A07" w:rsidP="00235A07">
            <w:r>
              <w:t>…</w:t>
            </w:r>
          </w:p>
        </w:tc>
        <w:tc>
          <w:tcPr>
            <w:tcW w:w="412" w:type="pct"/>
            <w:noWrap/>
            <w:hideMark/>
          </w:tcPr>
          <w:p w:rsidR="00235A07" w:rsidRPr="00235A07" w:rsidRDefault="00235A07" w:rsidP="00235A07">
            <w:r w:rsidRPr="00515611">
              <w:t>0</w:t>
            </w:r>
            <w:r w:rsidRPr="00235A07">
              <w:t xml:space="preserve"> </w:t>
            </w:r>
          </w:p>
        </w:tc>
        <w:tc>
          <w:tcPr>
            <w:tcW w:w="413" w:type="pct"/>
            <w:noWrap/>
            <w:hideMark/>
          </w:tcPr>
          <w:p w:rsidR="00235A07" w:rsidRPr="00235A07" w:rsidRDefault="00235A07" w:rsidP="00235A07">
            <w:r w:rsidRPr="00515611">
              <w:t>0</w:t>
            </w:r>
            <w:r w:rsidRPr="00235A07">
              <w:t xml:space="preserve"> </w:t>
            </w:r>
          </w:p>
        </w:tc>
      </w:tr>
      <w:tr w:rsidR="00235A07" w:rsidRPr="00C04E98" w:rsidTr="00C21BF2">
        <w:trPr>
          <w:cnfStyle w:val="000000010000" w:firstRow="0" w:lastRow="0" w:firstColumn="0" w:lastColumn="0" w:oddVBand="0" w:evenVBand="0" w:oddHBand="0" w:evenHBand="1" w:firstRowFirstColumn="0" w:firstRowLastColumn="0" w:lastRowFirstColumn="0" w:lastRowLastColumn="0"/>
          <w:trHeight w:val="300"/>
        </w:trPr>
        <w:tc>
          <w:tcPr>
            <w:tcW w:w="1291" w:type="pct"/>
            <w:noWrap/>
            <w:hideMark/>
          </w:tcPr>
          <w:p w:rsidR="00235A07" w:rsidRPr="00235A07" w:rsidRDefault="00235A07" w:rsidP="00235A07">
            <w:r w:rsidRPr="00C04E98">
              <w:t>Net benefit</w:t>
            </w:r>
          </w:p>
        </w:tc>
        <w:tc>
          <w:tcPr>
            <w:tcW w:w="412" w:type="pct"/>
            <w:noWrap/>
            <w:hideMark/>
          </w:tcPr>
          <w:p w:rsidR="00235A07" w:rsidRPr="00235A07" w:rsidRDefault="00235A07" w:rsidP="00235A07">
            <w:r w:rsidRPr="00C04E98">
              <w:t>-</w:t>
            </w:r>
            <w:r w:rsidRPr="00235A07">
              <w:t xml:space="preserve">650 </w:t>
            </w:r>
          </w:p>
        </w:tc>
        <w:tc>
          <w:tcPr>
            <w:tcW w:w="479" w:type="pct"/>
            <w:noWrap/>
            <w:hideMark/>
          </w:tcPr>
          <w:p w:rsidR="00235A07" w:rsidRPr="00235A07" w:rsidRDefault="00235A07" w:rsidP="00235A07">
            <w:r>
              <w:t>-</w:t>
            </w:r>
            <w:r w:rsidRPr="00235A07">
              <w:t>18,000</w:t>
            </w:r>
          </w:p>
        </w:tc>
        <w:tc>
          <w:tcPr>
            <w:tcW w:w="489" w:type="pct"/>
            <w:noWrap/>
            <w:hideMark/>
          </w:tcPr>
          <w:p w:rsidR="00235A07" w:rsidRPr="00235A07" w:rsidRDefault="00235A07" w:rsidP="00235A07">
            <w:r w:rsidRPr="00C04E98">
              <w:t>-</w:t>
            </w:r>
            <w:r w:rsidRPr="00235A07">
              <w:t>15,000</w:t>
            </w:r>
          </w:p>
        </w:tc>
        <w:tc>
          <w:tcPr>
            <w:tcW w:w="408" w:type="pct"/>
            <w:noWrap/>
            <w:hideMark/>
          </w:tcPr>
          <w:p w:rsidR="00235A07" w:rsidRPr="00235A07" w:rsidRDefault="00235A07" w:rsidP="00235A07">
            <w:r w:rsidRPr="00C04E98">
              <w:t xml:space="preserve">- </w:t>
            </w:r>
            <w:r w:rsidRPr="00235A07">
              <w:t xml:space="preserve">600 </w:t>
            </w:r>
          </w:p>
        </w:tc>
        <w:tc>
          <w:tcPr>
            <w:tcW w:w="408" w:type="pct"/>
            <w:noWrap/>
            <w:hideMark/>
          </w:tcPr>
          <w:p w:rsidR="00235A07" w:rsidRPr="00235A07" w:rsidRDefault="00235A07" w:rsidP="00235A07">
            <w:r w:rsidRPr="00C04E98">
              <w:t>2,02</w:t>
            </w:r>
            <w:r w:rsidRPr="00235A07">
              <w:t>3</w:t>
            </w:r>
          </w:p>
        </w:tc>
        <w:tc>
          <w:tcPr>
            <w:tcW w:w="407" w:type="pct"/>
            <w:noWrap/>
            <w:hideMark/>
          </w:tcPr>
          <w:p w:rsidR="00235A07" w:rsidRPr="00235A07" w:rsidRDefault="00235A07" w:rsidP="00235A07">
            <w:r w:rsidRPr="00C04E98">
              <w:t>2,223</w:t>
            </w:r>
            <w:r w:rsidRPr="00235A07">
              <w:t xml:space="preserve"> </w:t>
            </w:r>
          </w:p>
        </w:tc>
        <w:tc>
          <w:tcPr>
            <w:tcW w:w="281" w:type="pct"/>
            <w:noWrap/>
            <w:hideMark/>
          </w:tcPr>
          <w:p w:rsidR="00235A07" w:rsidRPr="00235A07" w:rsidRDefault="00235A07" w:rsidP="00235A07">
            <w:r>
              <w:t>…</w:t>
            </w:r>
          </w:p>
        </w:tc>
        <w:tc>
          <w:tcPr>
            <w:tcW w:w="412" w:type="pct"/>
            <w:noWrap/>
            <w:hideMark/>
          </w:tcPr>
          <w:p w:rsidR="00235A07" w:rsidRPr="00235A07" w:rsidRDefault="00235A07" w:rsidP="00235A07">
            <w:r w:rsidRPr="00C04E98">
              <w:t>5,1</w:t>
            </w:r>
            <w:r w:rsidRPr="00235A07">
              <w:t>80</w:t>
            </w:r>
          </w:p>
        </w:tc>
        <w:tc>
          <w:tcPr>
            <w:tcW w:w="413" w:type="pct"/>
            <w:noWrap/>
            <w:hideMark/>
          </w:tcPr>
          <w:p w:rsidR="00235A07" w:rsidRPr="00235A07" w:rsidRDefault="00235A07" w:rsidP="00235A07">
            <w:r w:rsidRPr="00C04E98">
              <w:t>30,14</w:t>
            </w:r>
            <w:r w:rsidRPr="00235A07">
              <w:t>9</w:t>
            </w:r>
          </w:p>
        </w:tc>
      </w:tr>
      <w:tr w:rsidR="00235A07" w:rsidRPr="00C04E98" w:rsidTr="00C21BF2">
        <w:trPr>
          <w:trHeight w:val="300"/>
        </w:trPr>
        <w:tc>
          <w:tcPr>
            <w:tcW w:w="1291" w:type="pct"/>
            <w:noWrap/>
            <w:hideMark/>
          </w:tcPr>
          <w:p w:rsidR="00235A07" w:rsidRPr="00235A07" w:rsidRDefault="00235A07" w:rsidP="00235A07">
            <w:r w:rsidRPr="00C04E98">
              <w:t>NPV</w:t>
            </w:r>
          </w:p>
        </w:tc>
        <w:tc>
          <w:tcPr>
            <w:tcW w:w="412" w:type="pct"/>
            <w:noWrap/>
            <w:hideMark/>
          </w:tcPr>
          <w:p w:rsidR="00235A07" w:rsidRPr="00235A07" w:rsidRDefault="00235A07" w:rsidP="00235A07">
            <w:r w:rsidRPr="00C04E98">
              <w:t>7,91</w:t>
            </w:r>
            <w:r w:rsidRPr="00235A07">
              <w:t>9</w:t>
            </w:r>
          </w:p>
        </w:tc>
        <w:tc>
          <w:tcPr>
            <w:tcW w:w="479" w:type="pct"/>
            <w:noWrap/>
            <w:hideMark/>
          </w:tcPr>
          <w:p w:rsidR="00235A07" w:rsidRPr="00C04E98" w:rsidRDefault="00235A07" w:rsidP="00235A07"/>
        </w:tc>
        <w:tc>
          <w:tcPr>
            <w:tcW w:w="489" w:type="pct"/>
            <w:noWrap/>
            <w:hideMark/>
          </w:tcPr>
          <w:p w:rsidR="00235A07" w:rsidRPr="00C04E98" w:rsidRDefault="00235A07" w:rsidP="00235A07"/>
        </w:tc>
        <w:tc>
          <w:tcPr>
            <w:tcW w:w="408" w:type="pct"/>
            <w:noWrap/>
            <w:hideMark/>
          </w:tcPr>
          <w:p w:rsidR="00235A07" w:rsidRPr="00C04E98" w:rsidRDefault="00235A07" w:rsidP="00235A07"/>
        </w:tc>
        <w:tc>
          <w:tcPr>
            <w:tcW w:w="408" w:type="pct"/>
            <w:noWrap/>
            <w:hideMark/>
          </w:tcPr>
          <w:p w:rsidR="00235A07" w:rsidRPr="00C04E98" w:rsidRDefault="00235A07" w:rsidP="00235A07"/>
        </w:tc>
        <w:tc>
          <w:tcPr>
            <w:tcW w:w="407" w:type="pct"/>
            <w:noWrap/>
            <w:hideMark/>
          </w:tcPr>
          <w:p w:rsidR="00235A07" w:rsidRPr="00C04E98" w:rsidRDefault="00235A07" w:rsidP="00235A07"/>
        </w:tc>
        <w:tc>
          <w:tcPr>
            <w:tcW w:w="281" w:type="pct"/>
            <w:noWrap/>
            <w:hideMark/>
          </w:tcPr>
          <w:p w:rsidR="00235A07" w:rsidRPr="00C04E98" w:rsidRDefault="00235A07" w:rsidP="00235A07"/>
        </w:tc>
        <w:tc>
          <w:tcPr>
            <w:tcW w:w="412" w:type="pct"/>
            <w:noWrap/>
            <w:hideMark/>
          </w:tcPr>
          <w:p w:rsidR="00235A07" w:rsidRPr="00C04E98" w:rsidRDefault="00235A07" w:rsidP="00235A07"/>
        </w:tc>
        <w:tc>
          <w:tcPr>
            <w:tcW w:w="413" w:type="pct"/>
            <w:noWrap/>
            <w:hideMark/>
          </w:tcPr>
          <w:p w:rsidR="00235A07" w:rsidRPr="00C04E98" w:rsidRDefault="00235A07" w:rsidP="00235A07"/>
        </w:tc>
      </w:tr>
    </w:tbl>
    <w:p w:rsidR="00235A07" w:rsidRDefault="00235A07" w:rsidP="001B03EA">
      <w:pPr>
        <w:pStyle w:val="AERtablesource"/>
      </w:pPr>
      <w:r>
        <w:t>*</w:t>
      </w:r>
      <w:r>
        <w:tab/>
        <w:t>Benefits include the value of unserved energy, safety risk and major repairs.</w:t>
      </w:r>
    </w:p>
    <w:p w:rsidR="00CF5C65" w:rsidRDefault="004B1DDF" w:rsidP="000E1136">
      <w:r>
        <w:t>T</w:t>
      </w:r>
      <w:r w:rsidR="00233EFC">
        <w:t>his</w:t>
      </w:r>
      <w:r>
        <w:t xml:space="preserve"> option</w:t>
      </w:r>
      <w:r w:rsidR="000E1136">
        <w:t xml:space="preserve"> delivers</w:t>
      </w:r>
      <w:r w:rsidR="00765F16">
        <w:t xml:space="preserve"> a net benefit of $7.9 million</w:t>
      </w:r>
      <w:r w:rsidR="00235A07">
        <w:t xml:space="preserve"> in 2018 dollars</w:t>
      </w:r>
      <w:r w:rsidR="00765F16">
        <w:t>. The project comes online in</w:t>
      </w:r>
      <w:r w:rsidR="000E1136">
        <w:t xml:space="preserve"> 2021</w:t>
      </w:r>
      <w:r>
        <w:t>, with a rolling set of repairs commencing in 2018</w:t>
      </w:r>
      <w:r w:rsidR="0078383B">
        <w:t>.</w:t>
      </w:r>
    </w:p>
    <w:p w:rsidR="000E1136" w:rsidRDefault="000E1136" w:rsidP="000E1136">
      <w:r>
        <w:lastRenderedPageBreak/>
        <w:t>Analysis of non-network options reveals a demand management option, which can</w:t>
      </w:r>
      <w:r w:rsidR="00235A07">
        <w:t xml:space="preserve"> </w:t>
      </w:r>
      <w:r>
        <w:t xml:space="preserve">defer the </w:t>
      </w:r>
      <w:r w:rsidR="004B1DDF">
        <w:t>start of repairs by one year</w:t>
      </w:r>
      <w:r w:rsidR="00765F16">
        <w:t>,</w:t>
      </w:r>
      <w:r w:rsidR="00511F6A">
        <w:t xml:space="preserve"> </w:t>
      </w:r>
      <w:r w:rsidR="00454004">
        <w:t>by covering a portion of the load at risk. T</w:t>
      </w:r>
      <w:r w:rsidR="00511F6A">
        <w:t xml:space="preserve">he project </w:t>
      </w:r>
      <w:r w:rsidR="00454004">
        <w:t xml:space="preserve">is </w:t>
      </w:r>
      <w:r w:rsidR="00511F6A">
        <w:t xml:space="preserve">completed </w:t>
      </w:r>
      <w:r w:rsidR="00765F16">
        <w:t>on otherwise the same schedule as in</w:t>
      </w:r>
      <w:r w:rsidR="00235A07">
        <w:t xml:space="preserve"> </w:t>
      </w:r>
      <w:r w:rsidR="00235A07">
        <w:fldChar w:fldCharType="begin"/>
      </w:r>
      <w:r w:rsidR="00235A07">
        <w:instrText xml:space="preserve"> REF  _Ref491257719 \* Lower \h </w:instrText>
      </w:r>
      <w:r w:rsidR="00235A07">
        <w:fldChar w:fldCharType="separate"/>
      </w:r>
      <w:r w:rsidR="0076296B">
        <w:t xml:space="preserve">table </w:t>
      </w:r>
      <w:r w:rsidR="0076296B">
        <w:rPr>
          <w:noProof/>
        </w:rPr>
        <w:t>10</w:t>
      </w:r>
      <w:r w:rsidR="00235A07">
        <w:fldChar w:fldCharType="end"/>
      </w:r>
      <w:r w:rsidR="00765F16">
        <w:t>.</w:t>
      </w:r>
    </w:p>
    <w:p w:rsidR="008D2B19" w:rsidRDefault="008D2B19" w:rsidP="008D2B19">
      <w:pPr>
        <w:pStyle w:val="Caption"/>
      </w:pPr>
      <w:bookmarkStart w:id="97" w:name="_Ref491257719"/>
      <w:bookmarkStart w:id="98" w:name="_Ref489631536"/>
      <w:r>
        <w:t xml:space="preserve">Table </w:t>
      </w:r>
      <w:r w:rsidR="0076296B">
        <w:fldChar w:fldCharType="begin"/>
      </w:r>
      <w:r w:rsidR="0076296B">
        <w:instrText xml:space="preserve"> SEQ Table \* ARABIC </w:instrText>
      </w:r>
      <w:r w:rsidR="0076296B">
        <w:fldChar w:fldCharType="separate"/>
      </w:r>
      <w:r w:rsidR="0076296B">
        <w:rPr>
          <w:noProof/>
        </w:rPr>
        <w:t>10</w:t>
      </w:r>
      <w:r w:rsidR="0076296B">
        <w:rPr>
          <w:noProof/>
        </w:rPr>
        <w:fldChar w:fldCharType="end"/>
      </w:r>
      <w:bookmarkEnd w:id="97"/>
      <w:r>
        <w:t>: Preferred option with one year deferral ($201</w:t>
      </w:r>
      <w:r w:rsidR="00235A07">
        <w:t>8</w:t>
      </w:r>
      <w:r>
        <w:t>, '000)</w:t>
      </w:r>
      <w:bookmarkEnd w:id="98"/>
    </w:p>
    <w:tbl>
      <w:tblPr>
        <w:tblStyle w:val="AERtable-text0"/>
        <w:tblW w:w="5000" w:type="pct"/>
        <w:tblLayout w:type="fixed"/>
        <w:tblLook w:val="04A0" w:firstRow="1" w:lastRow="0" w:firstColumn="1" w:lastColumn="0" w:noHBand="0" w:noVBand="1"/>
      </w:tblPr>
      <w:tblGrid>
        <w:gridCol w:w="2240"/>
        <w:gridCol w:w="716"/>
        <w:gridCol w:w="722"/>
        <w:gridCol w:w="826"/>
        <w:gridCol w:w="850"/>
        <w:gridCol w:w="709"/>
        <w:gridCol w:w="709"/>
        <w:gridCol w:w="487"/>
        <w:gridCol w:w="718"/>
        <w:gridCol w:w="716"/>
      </w:tblGrid>
      <w:tr w:rsidR="004F1550" w:rsidRPr="00C04E98" w:rsidTr="004F1550">
        <w:trPr>
          <w:cnfStyle w:val="100000000000" w:firstRow="1" w:lastRow="0" w:firstColumn="0" w:lastColumn="0" w:oddVBand="0" w:evenVBand="0" w:oddHBand="0" w:evenHBand="0" w:firstRowFirstColumn="0" w:firstRowLastColumn="0" w:lastRowFirstColumn="0" w:lastRowLastColumn="0"/>
          <w:trHeight w:val="300"/>
        </w:trPr>
        <w:tc>
          <w:tcPr>
            <w:tcW w:w="1288" w:type="pct"/>
            <w:noWrap/>
            <w:hideMark/>
          </w:tcPr>
          <w:p w:rsidR="00235A07" w:rsidRPr="00235A07" w:rsidRDefault="00235A07" w:rsidP="00235A07">
            <w:r w:rsidRPr="00C04E98">
              <w:t>Year</w:t>
            </w:r>
          </w:p>
        </w:tc>
        <w:tc>
          <w:tcPr>
            <w:tcW w:w="412" w:type="pct"/>
            <w:noWrap/>
            <w:hideMark/>
          </w:tcPr>
          <w:p w:rsidR="00235A07" w:rsidRPr="00235A07" w:rsidRDefault="00235A07" w:rsidP="00235A07">
            <w:r w:rsidRPr="00C04E98">
              <w:t>2018</w:t>
            </w:r>
          </w:p>
        </w:tc>
        <w:tc>
          <w:tcPr>
            <w:tcW w:w="415" w:type="pct"/>
            <w:noWrap/>
            <w:hideMark/>
          </w:tcPr>
          <w:p w:rsidR="00235A07" w:rsidRPr="00235A07" w:rsidRDefault="00235A07" w:rsidP="00235A07">
            <w:r w:rsidRPr="00C04E98">
              <w:t>2019</w:t>
            </w:r>
          </w:p>
        </w:tc>
        <w:tc>
          <w:tcPr>
            <w:tcW w:w="475" w:type="pct"/>
            <w:noWrap/>
            <w:hideMark/>
          </w:tcPr>
          <w:p w:rsidR="00235A07" w:rsidRPr="00235A07" w:rsidRDefault="00235A07" w:rsidP="00235A07">
            <w:r w:rsidRPr="00C04E98">
              <w:t>2020</w:t>
            </w:r>
          </w:p>
        </w:tc>
        <w:tc>
          <w:tcPr>
            <w:tcW w:w="489" w:type="pct"/>
            <w:noWrap/>
            <w:hideMark/>
          </w:tcPr>
          <w:p w:rsidR="00235A07" w:rsidRPr="00235A07" w:rsidRDefault="00235A07" w:rsidP="00235A07">
            <w:r w:rsidRPr="00C04E98">
              <w:t>2021</w:t>
            </w:r>
          </w:p>
        </w:tc>
        <w:tc>
          <w:tcPr>
            <w:tcW w:w="408" w:type="pct"/>
            <w:noWrap/>
            <w:hideMark/>
          </w:tcPr>
          <w:p w:rsidR="00235A07" w:rsidRPr="00235A07" w:rsidRDefault="00235A07" w:rsidP="00235A07">
            <w:r w:rsidRPr="00C04E98">
              <w:t>2022</w:t>
            </w:r>
          </w:p>
        </w:tc>
        <w:tc>
          <w:tcPr>
            <w:tcW w:w="408" w:type="pct"/>
            <w:noWrap/>
            <w:hideMark/>
          </w:tcPr>
          <w:p w:rsidR="00235A07" w:rsidRPr="00235A07" w:rsidRDefault="00235A07" w:rsidP="00235A07">
            <w:r w:rsidRPr="00C04E98">
              <w:t>2023</w:t>
            </w:r>
          </w:p>
        </w:tc>
        <w:tc>
          <w:tcPr>
            <w:tcW w:w="280" w:type="pct"/>
            <w:noWrap/>
            <w:hideMark/>
          </w:tcPr>
          <w:p w:rsidR="00235A07" w:rsidRPr="00235A07" w:rsidRDefault="00235A07" w:rsidP="00235A07">
            <w:r w:rsidRPr="00C04E98">
              <w:t>…</w:t>
            </w:r>
          </w:p>
        </w:tc>
        <w:tc>
          <w:tcPr>
            <w:tcW w:w="413" w:type="pct"/>
            <w:noWrap/>
            <w:hideMark/>
          </w:tcPr>
          <w:p w:rsidR="00235A07" w:rsidRPr="00235A07" w:rsidRDefault="00235A07" w:rsidP="00235A07">
            <w:r w:rsidRPr="00C04E98">
              <w:t>2033</w:t>
            </w:r>
          </w:p>
        </w:tc>
        <w:tc>
          <w:tcPr>
            <w:tcW w:w="412" w:type="pct"/>
            <w:noWrap/>
            <w:hideMark/>
          </w:tcPr>
          <w:p w:rsidR="00235A07" w:rsidRPr="00235A07" w:rsidRDefault="00235A07" w:rsidP="00235A07">
            <w:r w:rsidRPr="00C04E98">
              <w:t>2034</w:t>
            </w:r>
          </w:p>
        </w:tc>
      </w:tr>
      <w:tr w:rsidR="004F1550" w:rsidRPr="00C04E98" w:rsidTr="004F1550">
        <w:trPr>
          <w:trHeight w:val="426"/>
        </w:trPr>
        <w:tc>
          <w:tcPr>
            <w:tcW w:w="1288" w:type="pct"/>
            <w:hideMark/>
          </w:tcPr>
          <w:p w:rsidR="00235A07" w:rsidRPr="00235A07" w:rsidRDefault="00235A07" w:rsidP="00235A07">
            <w:r w:rsidRPr="00C04E98">
              <w:t>Benefits</w:t>
            </w:r>
            <w:r w:rsidRPr="00235A07">
              <w:t>*</w:t>
            </w:r>
          </w:p>
        </w:tc>
        <w:tc>
          <w:tcPr>
            <w:tcW w:w="412" w:type="pct"/>
            <w:noWrap/>
            <w:hideMark/>
          </w:tcPr>
          <w:p w:rsidR="00235A07" w:rsidRPr="00235A07" w:rsidRDefault="00235A07" w:rsidP="00235A07">
            <w:r>
              <w:t>0</w:t>
            </w:r>
          </w:p>
        </w:tc>
        <w:tc>
          <w:tcPr>
            <w:tcW w:w="415" w:type="pct"/>
            <w:noWrap/>
            <w:hideMark/>
          </w:tcPr>
          <w:p w:rsidR="00235A07" w:rsidRPr="00235A07" w:rsidRDefault="00235A07" w:rsidP="00235A07">
            <w:r w:rsidRPr="00C04E98">
              <w:t>570</w:t>
            </w:r>
            <w:r w:rsidRPr="00235A07">
              <w:t xml:space="preserve"> </w:t>
            </w:r>
          </w:p>
        </w:tc>
        <w:tc>
          <w:tcPr>
            <w:tcW w:w="475" w:type="pct"/>
            <w:noWrap/>
            <w:hideMark/>
          </w:tcPr>
          <w:p w:rsidR="00235A07" w:rsidRPr="00235A07" w:rsidRDefault="00235A07" w:rsidP="00235A07">
            <w:r w:rsidRPr="00C04E98">
              <w:t>732</w:t>
            </w:r>
            <w:r w:rsidRPr="00235A07">
              <w:t xml:space="preserve"> </w:t>
            </w:r>
          </w:p>
        </w:tc>
        <w:tc>
          <w:tcPr>
            <w:tcW w:w="489" w:type="pct"/>
            <w:noWrap/>
            <w:hideMark/>
          </w:tcPr>
          <w:p w:rsidR="00235A07" w:rsidRPr="00235A07" w:rsidRDefault="00235A07" w:rsidP="00235A07">
            <w:r w:rsidRPr="00C04E98">
              <w:t>1,09</w:t>
            </w:r>
            <w:r w:rsidRPr="00235A07">
              <w:t>7</w:t>
            </w:r>
          </w:p>
        </w:tc>
        <w:tc>
          <w:tcPr>
            <w:tcW w:w="408" w:type="pct"/>
            <w:noWrap/>
            <w:hideMark/>
          </w:tcPr>
          <w:p w:rsidR="00235A07" w:rsidRPr="00235A07" w:rsidRDefault="00235A07" w:rsidP="00235A07">
            <w:r w:rsidRPr="00C04E98">
              <w:t xml:space="preserve"> </w:t>
            </w:r>
            <w:r w:rsidRPr="00235A07">
              <w:t xml:space="preserve">1,474 </w:t>
            </w:r>
          </w:p>
        </w:tc>
        <w:tc>
          <w:tcPr>
            <w:tcW w:w="408" w:type="pct"/>
            <w:noWrap/>
            <w:hideMark/>
          </w:tcPr>
          <w:p w:rsidR="00235A07" w:rsidRPr="00235A07" w:rsidRDefault="00235A07" w:rsidP="00235A07">
            <w:r w:rsidRPr="00C04E98">
              <w:t>2,223</w:t>
            </w:r>
            <w:r w:rsidRPr="00235A07">
              <w:t xml:space="preserve"> </w:t>
            </w:r>
          </w:p>
        </w:tc>
        <w:tc>
          <w:tcPr>
            <w:tcW w:w="280" w:type="pct"/>
            <w:noWrap/>
            <w:hideMark/>
          </w:tcPr>
          <w:p w:rsidR="00235A07" w:rsidRPr="00235A07" w:rsidRDefault="00235A07" w:rsidP="00235A07">
            <w:r>
              <w:t>…</w:t>
            </w:r>
          </w:p>
        </w:tc>
        <w:tc>
          <w:tcPr>
            <w:tcW w:w="413" w:type="pct"/>
            <w:noWrap/>
            <w:hideMark/>
          </w:tcPr>
          <w:p w:rsidR="00235A07" w:rsidRPr="00235A07" w:rsidRDefault="00235A07" w:rsidP="00235A07">
            <w:r w:rsidRPr="00C04E98">
              <w:t>5,1</w:t>
            </w:r>
            <w:r w:rsidRPr="00235A07">
              <w:t>80</w:t>
            </w:r>
          </w:p>
        </w:tc>
        <w:tc>
          <w:tcPr>
            <w:tcW w:w="412" w:type="pct"/>
            <w:noWrap/>
            <w:hideMark/>
          </w:tcPr>
          <w:p w:rsidR="00235A07" w:rsidRPr="00235A07" w:rsidRDefault="00235A07" w:rsidP="00235A07">
            <w:r w:rsidRPr="00C04E98">
              <w:t>5,793</w:t>
            </w:r>
            <w:r w:rsidRPr="00235A07">
              <w:t xml:space="preserve"> </w:t>
            </w:r>
          </w:p>
        </w:tc>
      </w:tr>
      <w:tr w:rsidR="004F1550" w:rsidRPr="00C04E98" w:rsidTr="004F1550">
        <w:trPr>
          <w:cnfStyle w:val="000000010000" w:firstRow="0" w:lastRow="0" w:firstColumn="0" w:lastColumn="0" w:oddVBand="0" w:evenVBand="0" w:oddHBand="0" w:evenHBand="1" w:firstRowFirstColumn="0" w:firstRowLastColumn="0" w:lastRowFirstColumn="0" w:lastRowLastColumn="0"/>
          <w:trHeight w:val="465"/>
        </w:trPr>
        <w:tc>
          <w:tcPr>
            <w:tcW w:w="1288" w:type="pct"/>
            <w:hideMark/>
          </w:tcPr>
          <w:p w:rsidR="00235A07" w:rsidRPr="00235A07" w:rsidRDefault="00235A07" w:rsidP="00235A07">
            <w:r w:rsidRPr="00C04E98">
              <w:t>Residual benefits</w:t>
            </w:r>
          </w:p>
        </w:tc>
        <w:tc>
          <w:tcPr>
            <w:tcW w:w="412" w:type="pct"/>
            <w:noWrap/>
            <w:hideMark/>
          </w:tcPr>
          <w:p w:rsidR="00235A07" w:rsidRPr="00235A07" w:rsidRDefault="00235A07" w:rsidP="00235A07">
            <w:r>
              <w:t>0</w:t>
            </w:r>
            <w:r w:rsidRPr="00235A07">
              <w:t xml:space="preserve">   </w:t>
            </w:r>
          </w:p>
        </w:tc>
        <w:tc>
          <w:tcPr>
            <w:tcW w:w="415" w:type="pct"/>
            <w:noWrap/>
            <w:hideMark/>
          </w:tcPr>
          <w:p w:rsidR="00235A07" w:rsidRPr="00235A07" w:rsidRDefault="00235A07" w:rsidP="00235A07">
            <w:r>
              <w:t>0</w:t>
            </w:r>
            <w:r w:rsidRPr="00235A07">
              <w:t xml:space="preserve">   </w:t>
            </w:r>
          </w:p>
        </w:tc>
        <w:tc>
          <w:tcPr>
            <w:tcW w:w="475" w:type="pct"/>
            <w:noWrap/>
            <w:hideMark/>
          </w:tcPr>
          <w:p w:rsidR="00235A07" w:rsidRPr="00235A07" w:rsidRDefault="00235A07" w:rsidP="00235A07">
            <w:r>
              <w:t>0</w:t>
            </w:r>
          </w:p>
        </w:tc>
        <w:tc>
          <w:tcPr>
            <w:tcW w:w="489" w:type="pct"/>
            <w:noWrap/>
            <w:hideMark/>
          </w:tcPr>
          <w:p w:rsidR="00235A07" w:rsidRPr="00235A07" w:rsidRDefault="00235A07" w:rsidP="00235A07">
            <w:r>
              <w:t>0</w:t>
            </w:r>
          </w:p>
        </w:tc>
        <w:tc>
          <w:tcPr>
            <w:tcW w:w="408" w:type="pct"/>
            <w:noWrap/>
            <w:hideMark/>
          </w:tcPr>
          <w:p w:rsidR="00235A07" w:rsidRPr="00235A07" w:rsidRDefault="00235A07" w:rsidP="00235A07">
            <w:r w:rsidRPr="00C04E98">
              <w:t>0</w:t>
            </w:r>
          </w:p>
        </w:tc>
        <w:tc>
          <w:tcPr>
            <w:tcW w:w="408" w:type="pct"/>
            <w:noWrap/>
            <w:hideMark/>
          </w:tcPr>
          <w:p w:rsidR="00235A07" w:rsidRPr="00235A07" w:rsidRDefault="00235A07" w:rsidP="00235A07">
            <w:r w:rsidRPr="00C04E98">
              <w:t>0</w:t>
            </w:r>
          </w:p>
        </w:tc>
        <w:tc>
          <w:tcPr>
            <w:tcW w:w="280" w:type="pct"/>
            <w:noWrap/>
            <w:hideMark/>
          </w:tcPr>
          <w:p w:rsidR="00235A07" w:rsidRPr="00235A07" w:rsidRDefault="00235A07" w:rsidP="00235A07">
            <w:r>
              <w:t>…</w:t>
            </w:r>
          </w:p>
        </w:tc>
        <w:tc>
          <w:tcPr>
            <w:tcW w:w="413" w:type="pct"/>
            <w:noWrap/>
            <w:hideMark/>
          </w:tcPr>
          <w:p w:rsidR="00235A07" w:rsidRPr="00235A07" w:rsidRDefault="00235A07" w:rsidP="00235A07">
            <w:r w:rsidRPr="00C04E98">
              <w:t>0</w:t>
            </w:r>
          </w:p>
        </w:tc>
        <w:tc>
          <w:tcPr>
            <w:tcW w:w="412" w:type="pct"/>
            <w:noWrap/>
            <w:hideMark/>
          </w:tcPr>
          <w:p w:rsidR="00235A07" w:rsidRPr="00235A07" w:rsidRDefault="00235A07" w:rsidP="00235A07">
            <w:r w:rsidRPr="00C04E98">
              <w:t>25,11</w:t>
            </w:r>
            <w:r w:rsidRPr="00235A07">
              <w:t>7</w:t>
            </w:r>
          </w:p>
        </w:tc>
      </w:tr>
      <w:tr w:rsidR="004F1550" w:rsidRPr="00C04E98" w:rsidTr="004F1550">
        <w:trPr>
          <w:trHeight w:val="309"/>
        </w:trPr>
        <w:tc>
          <w:tcPr>
            <w:tcW w:w="1288" w:type="pct"/>
            <w:noWrap/>
            <w:hideMark/>
          </w:tcPr>
          <w:p w:rsidR="00235A07" w:rsidRPr="00235A07" w:rsidRDefault="00235A07" w:rsidP="00235A07">
            <w:r w:rsidRPr="00C04E98">
              <w:t>Network cost</w:t>
            </w:r>
          </w:p>
        </w:tc>
        <w:tc>
          <w:tcPr>
            <w:tcW w:w="412" w:type="pct"/>
            <w:noWrap/>
            <w:hideMark/>
          </w:tcPr>
          <w:p w:rsidR="00235A07" w:rsidRPr="00235A07" w:rsidRDefault="00235A07" w:rsidP="00235A07">
            <w:r>
              <w:t>0</w:t>
            </w:r>
            <w:r w:rsidRPr="00235A07">
              <w:t xml:space="preserve"> </w:t>
            </w:r>
          </w:p>
        </w:tc>
        <w:tc>
          <w:tcPr>
            <w:tcW w:w="415" w:type="pct"/>
            <w:noWrap/>
            <w:hideMark/>
          </w:tcPr>
          <w:p w:rsidR="00235A07" w:rsidRPr="00235A07" w:rsidRDefault="00235A07" w:rsidP="00235A07">
            <w:r w:rsidRPr="00C04E98">
              <w:t>650</w:t>
            </w:r>
            <w:r w:rsidRPr="00235A07">
              <w:t xml:space="preserve"> </w:t>
            </w:r>
          </w:p>
        </w:tc>
        <w:tc>
          <w:tcPr>
            <w:tcW w:w="475" w:type="pct"/>
            <w:noWrap/>
            <w:hideMark/>
          </w:tcPr>
          <w:p w:rsidR="00235A07" w:rsidRPr="00235A07" w:rsidRDefault="00235A07" w:rsidP="00235A07">
            <w:r w:rsidRPr="00C04E98">
              <w:t>18,000</w:t>
            </w:r>
            <w:r w:rsidRPr="00235A07">
              <w:t xml:space="preserve"> </w:t>
            </w:r>
          </w:p>
        </w:tc>
        <w:tc>
          <w:tcPr>
            <w:tcW w:w="489" w:type="pct"/>
            <w:noWrap/>
            <w:hideMark/>
          </w:tcPr>
          <w:p w:rsidR="00235A07" w:rsidRPr="00235A07" w:rsidRDefault="00235A07" w:rsidP="00235A07">
            <w:r w:rsidRPr="00C04E98">
              <w:t>15,000</w:t>
            </w:r>
            <w:r w:rsidRPr="00235A07">
              <w:t xml:space="preserve"> </w:t>
            </w:r>
          </w:p>
        </w:tc>
        <w:tc>
          <w:tcPr>
            <w:tcW w:w="408" w:type="pct"/>
            <w:noWrap/>
            <w:hideMark/>
          </w:tcPr>
          <w:p w:rsidR="00235A07" w:rsidRPr="00235A07" w:rsidRDefault="00235A07" w:rsidP="00235A07">
            <w:r w:rsidRPr="00C04E98">
              <w:t>600</w:t>
            </w:r>
            <w:r w:rsidRPr="00235A07">
              <w:t xml:space="preserve"> </w:t>
            </w:r>
          </w:p>
        </w:tc>
        <w:tc>
          <w:tcPr>
            <w:tcW w:w="408" w:type="pct"/>
            <w:noWrap/>
            <w:hideMark/>
          </w:tcPr>
          <w:p w:rsidR="00235A07" w:rsidRPr="00235A07" w:rsidRDefault="00235A07" w:rsidP="00235A07">
            <w:r w:rsidRPr="00C04E98">
              <w:t>0</w:t>
            </w:r>
          </w:p>
        </w:tc>
        <w:tc>
          <w:tcPr>
            <w:tcW w:w="280" w:type="pct"/>
            <w:noWrap/>
            <w:hideMark/>
          </w:tcPr>
          <w:p w:rsidR="00235A07" w:rsidRPr="00235A07" w:rsidRDefault="00235A07" w:rsidP="00235A07">
            <w:r w:rsidRPr="00C04E98">
              <w:t>…</w:t>
            </w:r>
          </w:p>
        </w:tc>
        <w:tc>
          <w:tcPr>
            <w:tcW w:w="413" w:type="pct"/>
            <w:noWrap/>
            <w:hideMark/>
          </w:tcPr>
          <w:p w:rsidR="00235A07" w:rsidRPr="00235A07" w:rsidRDefault="00235A07" w:rsidP="00235A07">
            <w:r w:rsidRPr="00C04E98">
              <w:t>0</w:t>
            </w:r>
          </w:p>
        </w:tc>
        <w:tc>
          <w:tcPr>
            <w:tcW w:w="412" w:type="pct"/>
            <w:noWrap/>
            <w:hideMark/>
          </w:tcPr>
          <w:p w:rsidR="00235A07" w:rsidRPr="00235A07" w:rsidRDefault="00235A07" w:rsidP="00235A07">
            <w:r w:rsidRPr="00C04E98">
              <w:t>0</w:t>
            </w:r>
          </w:p>
        </w:tc>
      </w:tr>
      <w:tr w:rsidR="004F1550" w:rsidRPr="00C04E98" w:rsidTr="004F1550">
        <w:trPr>
          <w:cnfStyle w:val="000000010000" w:firstRow="0" w:lastRow="0" w:firstColumn="0" w:lastColumn="0" w:oddVBand="0" w:evenVBand="0" w:oddHBand="0" w:evenHBand="1" w:firstRowFirstColumn="0" w:firstRowLastColumn="0" w:lastRowFirstColumn="0" w:lastRowLastColumn="0"/>
          <w:trHeight w:val="300"/>
        </w:trPr>
        <w:tc>
          <w:tcPr>
            <w:tcW w:w="1288" w:type="pct"/>
            <w:noWrap/>
            <w:hideMark/>
          </w:tcPr>
          <w:p w:rsidR="00235A07" w:rsidRPr="00235A07" w:rsidRDefault="00235A07" w:rsidP="00235A07">
            <w:r>
              <w:t>D</w:t>
            </w:r>
            <w:r w:rsidRPr="00235A07">
              <w:t>emand management cost</w:t>
            </w:r>
          </w:p>
        </w:tc>
        <w:tc>
          <w:tcPr>
            <w:tcW w:w="412" w:type="pct"/>
            <w:noWrap/>
            <w:hideMark/>
          </w:tcPr>
          <w:p w:rsidR="00235A07" w:rsidRPr="00235A07" w:rsidRDefault="00235A07" w:rsidP="00235A07">
            <w:r>
              <w:t>0</w:t>
            </w:r>
            <w:r w:rsidRPr="00235A07">
              <w:t xml:space="preserve">   </w:t>
            </w:r>
          </w:p>
        </w:tc>
        <w:tc>
          <w:tcPr>
            <w:tcW w:w="415" w:type="pct"/>
            <w:noWrap/>
            <w:hideMark/>
          </w:tcPr>
          <w:p w:rsidR="00235A07" w:rsidRPr="00235A07" w:rsidRDefault="00235A07" w:rsidP="00235A07">
            <w:r w:rsidRPr="00C04E98">
              <w:t>578</w:t>
            </w:r>
            <w:r w:rsidRPr="00235A07">
              <w:t xml:space="preserve"> </w:t>
            </w:r>
          </w:p>
        </w:tc>
        <w:tc>
          <w:tcPr>
            <w:tcW w:w="475" w:type="pct"/>
            <w:noWrap/>
            <w:hideMark/>
          </w:tcPr>
          <w:p w:rsidR="00235A07" w:rsidRPr="00235A07" w:rsidRDefault="00235A07" w:rsidP="00235A07">
            <w:r w:rsidRPr="00C04E98">
              <w:t>731</w:t>
            </w:r>
            <w:r w:rsidRPr="00235A07">
              <w:t xml:space="preserve"> </w:t>
            </w:r>
          </w:p>
        </w:tc>
        <w:tc>
          <w:tcPr>
            <w:tcW w:w="489" w:type="pct"/>
            <w:noWrap/>
            <w:hideMark/>
          </w:tcPr>
          <w:p w:rsidR="00235A07" w:rsidRPr="00235A07" w:rsidRDefault="00235A07" w:rsidP="00235A07">
            <w:r w:rsidRPr="00C04E98">
              <w:t>1,130</w:t>
            </w:r>
            <w:r w:rsidRPr="00235A07">
              <w:t xml:space="preserve"> </w:t>
            </w:r>
          </w:p>
        </w:tc>
        <w:tc>
          <w:tcPr>
            <w:tcW w:w="408" w:type="pct"/>
            <w:noWrap/>
            <w:hideMark/>
          </w:tcPr>
          <w:p w:rsidR="00235A07" w:rsidRPr="00235A07" w:rsidRDefault="00235A07" w:rsidP="00235A07">
            <w:r w:rsidRPr="00C04E98">
              <w:t xml:space="preserve"> </w:t>
            </w:r>
            <w:r w:rsidRPr="00235A07">
              <w:t>1,563</w:t>
            </w:r>
          </w:p>
        </w:tc>
        <w:tc>
          <w:tcPr>
            <w:tcW w:w="408" w:type="pct"/>
            <w:noWrap/>
            <w:hideMark/>
          </w:tcPr>
          <w:p w:rsidR="00235A07" w:rsidRPr="00235A07" w:rsidRDefault="00235A07" w:rsidP="00235A07">
            <w:r w:rsidRPr="00C04E98">
              <w:t>0</w:t>
            </w:r>
          </w:p>
        </w:tc>
        <w:tc>
          <w:tcPr>
            <w:tcW w:w="280" w:type="pct"/>
            <w:noWrap/>
            <w:hideMark/>
          </w:tcPr>
          <w:p w:rsidR="00235A07" w:rsidRPr="00235A07" w:rsidRDefault="00235A07" w:rsidP="00235A07">
            <w:r w:rsidRPr="00C04E98">
              <w:t>…</w:t>
            </w:r>
          </w:p>
        </w:tc>
        <w:tc>
          <w:tcPr>
            <w:tcW w:w="413" w:type="pct"/>
            <w:noWrap/>
            <w:hideMark/>
          </w:tcPr>
          <w:p w:rsidR="00235A07" w:rsidRPr="00235A07" w:rsidRDefault="00235A07" w:rsidP="00235A07">
            <w:r w:rsidRPr="00C04E98">
              <w:t>0</w:t>
            </w:r>
          </w:p>
        </w:tc>
        <w:tc>
          <w:tcPr>
            <w:tcW w:w="412" w:type="pct"/>
            <w:noWrap/>
            <w:hideMark/>
          </w:tcPr>
          <w:p w:rsidR="00235A07" w:rsidRPr="00235A07" w:rsidRDefault="00235A07" w:rsidP="00235A07">
            <w:r w:rsidRPr="00C04E98">
              <w:t>0</w:t>
            </w:r>
          </w:p>
        </w:tc>
      </w:tr>
      <w:tr w:rsidR="004F1550" w:rsidRPr="00C04E98" w:rsidTr="004F1550">
        <w:trPr>
          <w:trHeight w:val="300"/>
        </w:trPr>
        <w:tc>
          <w:tcPr>
            <w:tcW w:w="1288" w:type="pct"/>
            <w:noWrap/>
            <w:hideMark/>
          </w:tcPr>
          <w:p w:rsidR="00235A07" w:rsidRPr="00235A07" w:rsidRDefault="00235A07" w:rsidP="00235A07">
            <w:r w:rsidRPr="00C04E98">
              <w:t>Net benefit</w:t>
            </w:r>
          </w:p>
        </w:tc>
        <w:tc>
          <w:tcPr>
            <w:tcW w:w="412" w:type="pct"/>
            <w:noWrap/>
            <w:hideMark/>
          </w:tcPr>
          <w:p w:rsidR="00235A07" w:rsidRPr="00235A07" w:rsidRDefault="00235A07" w:rsidP="00235A07">
            <w:r>
              <w:t>0</w:t>
            </w:r>
            <w:r w:rsidRPr="00235A07">
              <w:t xml:space="preserve">   </w:t>
            </w:r>
          </w:p>
        </w:tc>
        <w:tc>
          <w:tcPr>
            <w:tcW w:w="415" w:type="pct"/>
            <w:noWrap/>
            <w:hideMark/>
          </w:tcPr>
          <w:p w:rsidR="00235A07" w:rsidRPr="00235A07" w:rsidRDefault="00235A07" w:rsidP="00235A07">
            <w:r w:rsidRPr="00C04E98">
              <w:t>-</w:t>
            </w:r>
            <w:r w:rsidRPr="00235A07">
              <w:t xml:space="preserve">658 </w:t>
            </w:r>
          </w:p>
        </w:tc>
        <w:tc>
          <w:tcPr>
            <w:tcW w:w="475" w:type="pct"/>
            <w:noWrap/>
            <w:hideMark/>
          </w:tcPr>
          <w:p w:rsidR="00235A07" w:rsidRPr="00235A07" w:rsidRDefault="00235A07" w:rsidP="00235A07">
            <w:r>
              <w:t>-</w:t>
            </w:r>
            <w:r w:rsidRPr="00235A07">
              <w:t xml:space="preserve">17,999 </w:t>
            </w:r>
          </w:p>
        </w:tc>
        <w:tc>
          <w:tcPr>
            <w:tcW w:w="489" w:type="pct"/>
            <w:noWrap/>
            <w:hideMark/>
          </w:tcPr>
          <w:p w:rsidR="00235A07" w:rsidRPr="00235A07" w:rsidRDefault="00235A07" w:rsidP="00235A07">
            <w:r w:rsidRPr="00C04E98">
              <w:t>-</w:t>
            </w:r>
            <w:r w:rsidRPr="00235A07">
              <w:t xml:space="preserve">15,033 </w:t>
            </w:r>
          </w:p>
        </w:tc>
        <w:tc>
          <w:tcPr>
            <w:tcW w:w="408" w:type="pct"/>
            <w:noWrap/>
            <w:hideMark/>
          </w:tcPr>
          <w:p w:rsidR="00235A07" w:rsidRPr="00235A07" w:rsidRDefault="00235A07" w:rsidP="00235A07">
            <w:r w:rsidRPr="00C04E98">
              <w:t>-</w:t>
            </w:r>
            <w:r w:rsidRPr="00235A07">
              <w:t xml:space="preserve"> 688 </w:t>
            </w:r>
          </w:p>
        </w:tc>
        <w:tc>
          <w:tcPr>
            <w:tcW w:w="408" w:type="pct"/>
            <w:noWrap/>
            <w:hideMark/>
          </w:tcPr>
          <w:p w:rsidR="00235A07" w:rsidRPr="00235A07" w:rsidRDefault="00235A07" w:rsidP="00235A07">
            <w:r w:rsidRPr="00C04E98">
              <w:t xml:space="preserve"> </w:t>
            </w:r>
            <w:r w:rsidRPr="00235A07">
              <w:t xml:space="preserve">2,223 </w:t>
            </w:r>
          </w:p>
        </w:tc>
        <w:tc>
          <w:tcPr>
            <w:tcW w:w="280" w:type="pct"/>
            <w:noWrap/>
            <w:hideMark/>
          </w:tcPr>
          <w:p w:rsidR="00235A07" w:rsidRPr="00235A07" w:rsidRDefault="00235A07" w:rsidP="00235A07">
            <w:r>
              <w:t>…</w:t>
            </w:r>
          </w:p>
        </w:tc>
        <w:tc>
          <w:tcPr>
            <w:tcW w:w="413" w:type="pct"/>
            <w:noWrap/>
            <w:hideMark/>
          </w:tcPr>
          <w:p w:rsidR="00235A07" w:rsidRPr="00235A07" w:rsidRDefault="00235A07" w:rsidP="00235A07">
            <w:r w:rsidRPr="00C04E98">
              <w:t>5,1</w:t>
            </w:r>
            <w:r w:rsidRPr="00235A07">
              <w:t>80</w:t>
            </w:r>
          </w:p>
        </w:tc>
        <w:tc>
          <w:tcPr>
            <w:tcW w:w="412" w:type="pct"/>
            <w:noWrap/>
            <w:hideMark/>
          </w:tcPr>
          <w:p w:rsidR="00235A07" w:rsidRPr="00235A07" w:rsidRDefault="00235A07" w:rsidP="00235A07">
            <w:r w:rsidRPr="00C04E98">
              <w:t>30,9</w:t>
            </w:r>
            <w:r w:rsidRPr="00235A07">
              <w:t>10</w:t>
            </w:r>
          </w:p>
        </w:tc>
      </w:tr>
      <w:tr w:rsidR="004F1550" w:rsidRPr="00C04E98" w:rsidTr="00BF5DAC">
        <w:trPr>
          <w:cnfStyle w:val="000000010000" w:firstRow="0" w:lastRow="0" w:firstColumn="0" w:lastColumn="0" w:oddVBand="0" w:evenVBand="0" w:oddHBand="0" w:evenHBand="1" w:firstRowFirstColumn="0" w:firstRowLastColumn="0" w:lastRowFirstColumn="0" w:lastRowLastColumn="0"/>
          <w:trHeight w:val="708"/>
        </w:trPr>
        <w:tc>
          <w:tcPr>
            <w:tcW w:w="1288" w:type="pct"/>
            <w:noWrap/>
          </w:tcPr>
          <w:p w:rsidR="00235A07" w:rsidRPr="00C04E98" w:rsidRDefault="00235A07" w:rsidP="00235A07">
            <w:r>
              <w:t>Present value of demand</w:t>
            </w:r>
            <w:r w:rsidR="004F1550">
              <w:t xml:space="preserve"> management costs</w:t>
            </w:r>
          </w:p>
        </w:tc>
        <w:tc>
          <w:tcPr>
            <w:tcW w:w="412" w:type="pct"/>
            <w:noWrap/>
          </w:tcPr>
          <w:p w:rsidR="00235A07" w:rsidRPr="00C04E98" w:rsidRDefault="004F1550" w:rsidP="00235A07">
            <w:r>
              <w:t>3,352</w:t>
            </w:r>
          </w:p>
        </w:tc>
        <w:tc>
          <w:tcPr>
            <w:tcW w:w="415" w:type="pct"/>
            <w:noWrap/>
          </w:tcPr>
          <w:p w:rsidR="00235A07" w:rsidRPr="00C04E98" w:rsidRDefault="00235A07" w:rsidP="00235A07"/>
        </w:tc>
        <w:tc>
          <w:tcPr>
            <w:tcW w:w="475" w:type="pct"/>
            <w:noWrap/>
          </w:tcPr>
          <w:p w:rsidR="00235A07" w:rsidRPr="00C04E98" w:rsidRDefault="00235A07" w:rsidP="00235A07"/>
        </w:tc>
        <w:tc>
          <w:tcPr>
            <w:tcW w:w="489" w:type="pct"/>
            <w:noWrap/>
          </w:tcPr>
          <w:p w:rsidR="00235A07" w:rsidRPr="00C04E98" w:rsidRDefault="00235A07" w:rsidP="00235A07"/>
        </w:tc>
        <w:tc>
          <w:tcPr>
            <w:tcW w:w="408" w:type="pct"/>
            <w:noWrap/>
          </w:tcPr>
          <w:p w:rsidR="00235A07" w:rsidRPr="00C04E98" w:rsidRDefault="00235A07" w:rsidP="00235A07"/>
        </w:tc>
        <w:tc>
          <w:tcPr>
            <w:tcW w:w="408" w:type="pct"/>
            <w:noWrap/>
          </w:tcPr>
          <w:p w:rsidR="00235A07" w:rsidRPr="00C04E98" w:rsidRDefault="00235A07" w:rsidP="00235A07"/>
        </w:tc>
        <w:tc>
          <w:tcPr>
            <w:tcW w:w="280" w:type="pct"/>
            <w:noWrap/>
          </w:tcPr>
          <w:p w:rsidR="00235A07" w:rsidRPr="00C04E98" w:rsidRDefault="00235A07" w:rsidP="00235A07"/>
        </w:tc>
        <w:tc>
          <w:tcPr>
            <w:tcW w:w="413" w:type="pct"/>
            <w:noWrap/>
          </w:tcPr>
          <w:p w:rsidR="00235A07" w:rsidRPr="00C04E98" w:rsidRDefault="00235A07" w:rsidP="00235A07"/>
        </w:tc>
        <w:tc>
          <w:tcPr>
            <w:tcW w:w="412" w:type="pct"/>
            <w:noWrap/>
          </w:tcPr>
          <w:p w:rsidR="00235A07" w:rsidRPr="00C04E98" w:rsidRDefault="00235A07" w:rsidP="00235A07"/>
        </w:tc>
      </w:tr>
      <w:tr w:rsidR="004F1550" w:rsidRPr="00C04E98" w:rsidTr="004F1550">
        <w:trPr>
          <w:trHeight w:val="399"/>
        </w:trPr>
        <w:tc>
          <w:tcPr>
            <w:tcW w:w="1288" w:type="pct"/>
            <w:noWrap/>
            <w:hideMark/>
          </w:tcPr>
          <w:p w:rsidR="00235A07" w:rsidRPr="00235A07" w:rsidRDefault="00235A07" w:rsidP="00235A07">
            <w:r w:rsidRPr="00C04E98">
              <w:t>NPV</w:t>
            </w:r>
          </w:p>
        </w:tc>
        <w:tc>
          <w:tcPr>
            <w:tcW w:w="412" w:type="pct"/>
            <w:noWrap/>
            <w:hideMark/>
          </w:tcPr>
          <w:p w:rsidR="00235A07" w:rsidRPr="00235A07" w:rsidRDefault="00235A07" w:rsidP="00235A07">
            <w:r w:rsidRPr="00C04E98">
              <w:t>7,91</w:t>
            </w:r>
            <w:r w:rsidRPr="00235A07">
              <w:t>9</w:t>
            </w:r>
          </w:p>
        </w:tc>
        <w:tc>
          <w:tcPr>
            <w:tcW w:w="415" w:type="pct"/>
            <w:noWrap/>
            <w:hideMark/>
          </w:tcPr>
          <w:p w:rsidR="00235A07" w:rsidRPr="00C04E98" w:rsidRDefault="00235A07" w:rsidP="00235A07"/>
        </w:tc>
        <w:tc>
          <w:tcPr>
            <w:tcW w:w="475" w:type="pct"/>
            <w:noWrap/>
            <w:hideMark/>
          </w:tcPr>
          <w:p w:rsidR="00235A07" w:rsidRPr="00C04E98" w:rsidRDefault="00235A07" w:rsidP="00235A07"/>
        </w:tc>
        <w:tc>
          <w:tcPr>
            <w:tcW w:w="489" w:type="pct"/>
            <w:noWrap/>
            <w:hideMark/>
          </w:tcPr>
          <w:p w:rsidR="00235A07" w:rsidRPr="00C04E98" w:rsidRDefault="00235A07" w:rsidP="00235A07"/>
        </w:tc>
        <w:tc>
          <w:tcPr>
            <w:tcW w:w="408" w:type="pct"/>
            <w:noWrap/>
            <w:hideMark/>
          </w:tcPr>
          <w:p w:rsidR="00235A07" w:rsidRPr="00C04E98" w:rsidRDefault="00235A07" w:rsidP="00235A07"/>
        </w:tc>
        <w:tc>
          <w:tcPr>
            <w:tcW w:w="408" w:type="pct"/>
            <w:noWrap/>
            <w:hideMark/>
          </w:tcPr>
          <w:p w:rsidR="00235A07" w:rsidRPr="00C04E98" w:rsidRDefault="00235A07" w:rsidP="00235A07"/>
        </w:tc>
        <w:tc>
          <w:tcPr>
            <w:tcW w:w="280" w:type="pct"/>
            <w:noWrap/>
            <w:hideMark/>
          </w:tcPr>
          <w:p w:rsidR="00235A07" w:rsidRPr="00C04E98" w:rsidRDefault="00235A07" w:rsidP="00235A07"/>
        </w:tc>
        <w:tc>
          <w:tcPr>
            <w:tcW w:w="413" w:type="pct"/>
            <w:noWrap/>
            <w:hideMark/>
          </w:tcPr>
          <w:p w:rsidR="00235A07" w:rsidRPr="00C04E98" w:rsidRDefault="00235A07" w:rsidP="00235A07"/>
        </w:tc>
        <w:tc>
          <w:tcPr>
            <w:tcW w:w="412" w:type="pct"/>
            <w:noWrap/>
            <w:hideMark/>
          </w:tcPr>
          <w:p w:rsidR="00235A07" w:rsidRPr="00C04E98" w:rsidRDefault="00235A07" w:rsidP="00235A07"/>
        </w:tc>
      </w:tr>
    </w:tbl>
    <w:p w:rsidR="00235A07" w:rsidRDefault="00235A07" w:rsidP="00235A07">
      <w:pPr>
        <w:pStyle w:val="AERtablesource"/>
      </w:pPr>
      <w:r>
        <w:t>*</w:t>
      </w:r>
      <w:r>
        <w:tab/>
        <w:t>Benefits include the value of unserved energy, safety risk and major repairs.</w:t>
      </w:r>
    </w:p>
    <w:p w:rsidR="00765F16" w:rsidRDefault="00D169BB" w:rsidP="000E1136">
      <w:r>
        <w:t xml:space="preserve">As the projects have equal net benefits, it would be open to the distributor to select the </w:t>
      </w:r>
      <w:r w:rsidR="009A006F">
        <w:t xml:space="preserve">project with </w:t>
      </w:r>
      <w:r>
        <w:t>demand management</w:t>
      </w:r>
      <w:r w:rsidR="009A006F">
        <w:t xml:space="preserve"> costs</w:t>
      </w:r>
      <w:r>
        <w:t xml:space="preserve"> option as the preferred option.</w:t>
      </w:r>
      <w:r w:rsidR="00A63215">
        <w:t xml:space="preserve"> </w:t>
      </w:r>
      <w:r w:rsidR="00B95B7F">
        <w:t>If this option is chosen and demand management is contracted</w:t>
      </w:r>
      <w:r w:rsidR="004F1550">
        <w:t>,</w:t>
      </w:r>
      <w:r w:rsidR="00B95B7F">
        <w:t xml:space="preserve"> then this project is</w:t>
      </w:r>
      <w:r>
        <w:t xml:space="preserve"> eligible to </w:t>
      </w:r>
      <w:r w:rsidR="00633C9B">
        <w:t>receive</w:t>
      </w:r>
      <w:r w:rsidR="00A63215">
        <w:t xml:space="preserve"> the uplift of 50</w:t>
      </w:r>
      <w:r w:rsidR="0078383B" w:rsidRPr="0078383B">
        <w:t xml:space="preserve"> per cent</w:t>
      </w:r>
      <w:r w:rsidR="00B95B7F">
        <w:t>. This uplift is</w:t>
      </w:r>
      <w:r w:rsidR="0078383B">
        <w:t xml:space="preserve"> applied to the demand management</w:t>
      </w:r>
      <w:r w:rsidR="00A63215">
        <w:t xml:space="preserve"> costs</w:t>
      </w:r>
      <w:r w:rsidR="00B95B7F">
        <w:t xml:space="preserve"> and would result in</w:t>
      </w:r>
      <w:r w:rsidR="00A63215">
        <w:t xml:space="preserve"> an incentive of </w:t>
      </w:r>
      <w:r w:rsidR="004F1550">
        <w:t xml:space="preserve">about </w:t>
      </w:r>
      <w:r w:rsidR="00A63215">
        <w:t>$1.</w:t>
      </w:r>
      <w:r w:rsidR="00B95B7F">
        <w:t>7</w:t>
      </w:r>
      <w:r w:rsidR="00A63215">
        <w:t xml:space="preserve"> million</w:t>
      </w:r>
      <w:r w:rsidR="004F1550">
        <w:t>,</w:t>
      </w:r>
      <w:r w:rsidR="00B95B7F">
        <w:t xml:space="preserve"> leading to a total demand management cost of</w:t>
      </w:r>
      <w:r w:rsidR="004F1550">
        <w:t xml:space="preserve"> approximately</w:t>
      </w:r>
      <w:r w:rsidR="00B95B7F">
        <w:t xml:space="preserve"> $5.0 million ($3.3 +1.7 million)</w:t>
      </w:r>
      <w:r w:rsidR="00A63215">
        <w:t xml:space="preserve">. </w:t>
      </w:r>
      <w:r w:rsidR="00B95B7F">
        <w:t>Given</w:t>
      </w:r>
      <w:r w:rsidR="00A63215">
        <w:t xml:space="preserve"> the project's net benefit is $7.9 million, the net benefit constraint does not </w:t>
      </w:r>
      <w:r w:rsidR="00930FD9">
        <w:t>apply.</w:t>
      </w:r>
      <w:r w:rsidR="00930FD9">
        <w:rPr>
          <w:rStyle w:val="FootnoteReference"/>
        </w:rPr>
        <w:footnoteReference w:id="92"/>
      </w:r>
    </w:p>
    <w:p w:rsidR="00633C9B" w:rsidRPr="000E1136" w:rsidRDefault="00930FD9" w:rsidP="000E1136">
      <w:r>
        <w:t>T</w:t>
      </w:r>
      <w:r w:rsidR="00633C9B">
        <w:t xml:space="preserve">his example illustrates a project </w:t>
      </w:r>
      <w:r w:rsidR="008B5450">
        <w:t>that</w:t>
      </w:r>
      <w:r w:rsidR="00633C9B">
        <w:t xml:space="preserve"> is currently net benefit neutral, but has the capacity to delay capital expenditure. </w:t>
      </w:r>
      <w:r>
        <w:t>A</w:t>
      </w:r>
      <w:r w:rsidR="00633C9B">
        <w:t xml:space="preserve">s distributors become more familiar with demand management technology and the market's capabilities </w:t>
      </w:r>
      <w:r w:rsidR="006B5B2E">
        <w:t>increase</w:t>
      </w:r>
      <w:r w:rsidR="00633C9B">
        <w:t xml:space="preserve"> these deferrals </w:t>
      </w:r>
      <w:r>
        <w:t xml:space="preserve">could </w:t>
      </w:r>
      <w:r w:rsidR="008B5450">
        <w:t>cover</w:t>
      </w:r>
      <w:r w:rsidR="004116C9">
        <w:t xml:space="preserve"> longer </w:t>
      </w:r>
      <w:r w:rsidR="008B5450">
        <w:t>periods</w:t>
      </w:r>
      <w:r w:rsidR="0078383B">
        <w:t>.</w:t>
      </w:r>
    </w:p>
    <w:p w:rsidR="000E1136" w:rsidRDefault="0078383B" w:rsidP="000E1136">
      <w:pPr>
        <w:pStyle w:val="Heading8"/>
        <w:numPr>
          <w:ilvl w:val="1"/>
          <w:numId w:val="34"/>
        </w:numPr>
      </w:pPr>
      <w:bookmarkStart w:id="99" w:name="_Toc491447275"/>
      <w:r>
        <w:t>Kangaroo Island worked e</w:t>
      </w:r>
      <w:r w:rsidR="000E1136">
        <w:t>xample</w:t>
      </w:r>
      <w:bookmarkEnd w:id="99"/>
    </w:p>
    <w:p w:rsidR="008D517B" w:rsidRDefault="00DF2056" w:rsidP="00DF2056">
      <w:r>
        <w:t>We have based this worked example on SA Power Network's (SAPN's) RIT</w:t>
      </w:r>
      <w:r>
        <w:rPr>
          <w:rFonts w:cs="Arial"/>
        </w:rPr>
        <w:t>–</w:t>
      </w:r>
      <w:r>
        <w:t>D for the Kangaroo Island submarine cable.</w:t>
      </w:r>
      <w:r w:rsidR="00836E91">
        <w:t xml:space="preserve"> This worked example is for illustrative purposes only. </w:t>
      </w:r>
      <w:r w:rsidR="000B4330">
        <w:t xml:space="preserve"> </w:t>
      </w:r>
      <w:r w:rsidR="008D517B">
        <w:t>As noted later, the preferred option for the identified need in this RIT</w:t>
      </w:r>
      <w:r w:rsidR="008D517B" w:rsidRPr="008D517B">
        <w:t>–</w:t>
      </w:r>
      <w:r w:rsidR="008D517B">
        <w:t>D entailed installing a new 33kV submarine cable.</w:t>
      </w:r>
      <w:r w:rsidR="008D517B">
        <w:rPr>
          <w:rStyle w:val="FootnoteReference"/>
        </w:rPr>
        <w:footnoteReference w:id="93"/>
      </w:r>
      <w:r w:rsidR="008D517B">
        <w:t xml:space="preserve"> If the Scheme was in place at the time of this RIT</w:t>
      </w:r>
      <w:r w:rsidR="008D517B">
        <w:rPr>
          <w:rFonts w:cs="Arial"/>
        </w:rPr>
        <w:t>–</w:t>
      </w:r>
      <w:r w:rsidR="008D517B">
        <w:t>D assessment, the outcome would not have changed. That is, none of the non-</w:t>
      </w:r>
      <w:r w:rsidR="008D517B">
        <w:lastRenderedPageBreak/>
        <w:t>network options SAPN considered would have been preferred options, and therefore none of these options would have been elig</w:t>
      </w:r>
      <w:r w:rsidR="004F1550">
        <w:t>ible projects under the Scheme.</w:t>
      </w:r>
    </w:p>
    <w:p w:rsidR="00555D74" w:rsidRDefault="00333810" w:rsidP="00555D74">
      <w:pPr>
        <w:pStyle w:val="HeadingBoldBlue"/>
      </w:pPr>
      <w:r>
        <w:t>D</w:t>
      </w:r>
      <w:r w:rsidR="00555D74">
        <w:t>emand management costs under non-network options</w:t>
      </w:r>
    </w:p>
    <w:p w:rsidR="008120CD" w:rsidRDefault="00DF2056" w:rsidP="00DF2056">
      <w:r>
        <w:t>During this RIT</w:t>
      </w:r>
      <w:r w:rsidRPr="00DF2056">
        <w:t>–</w:t>
      </w:r>
      <w:r>
        <w:t xml:space="preserve">D process, SAPN received </w:t>
      </w:r>
      <w:r w:rsidR="008120CD">
        <w:t>three</w:t>
      </w:r>
      <w:r>
        <w:t xml:space="preserve"> technically credible non-network options to address the identified need</w:t>
      </w:r>
      <w:r w:rsidR="00333810">
        <w:t xml:space="preserve">. </w:t>
      </w:r>
      <w:r w:rsidR="00333810">
        <w:fldChar w:fldCharType="begin"/>
      </w:r>
      <w:r w:rsidR="00333810">
        <w:instrText xml:space="preserve"> REF _Ref487624162 \h </w:instrText>
      </w:r>
      <w:r w:rsidR="00333810">
        <w:fldChar w:fldCharType="separate"/>
      </w:r>
      <w:r w:rsidR="0076296B">
        <w:t xml:space="preserve">Table </w:t>
      </w:r>
      <w:r w:rsidR="0076296B">
        <w:rPr>
          <w:noProof/>
        </w:rPr>
        <w:t>11</w:t>
      </w:r>
      <w:r w:rsidR="00333810">
        <w:fldChar w:fldCharType="end"/>
      </w:r>
      <w:r w:rsidR="00333810">
        <w:t xml:space="preserve"> summarises these options, along with SAPN's ex-ante estimates of these option's associated capex and opex costs as set out in its RIT</w:t>
      </w:r>
      <w:r w:rsidR="00333810" w:rsidRPr="008D517B">
        <w:t>–</w:t>
      </w:r>
      <w:r w:rsidR="00333810">
        <w:t>D final project assessment report</w:t>
      </w:r>
      <w:r w:rsidR="008120CD">
        <w:t>.</w:t>
      </w:r>
    </w:p>
    <w:p w:rsidR="008120CD" w:rsidRDefault="008120CD" w:rsidP="008120CD">
      <w:pPr>
        <w:pStyle w:val="Caption"/>
      </w:pPr>
      <w:bookmarkStart w:id="100" w:name="_Ref487624162"/>
      <w:r>
        <w:t xml:space="preserve">Table </w:t>
      </w:r>
      <w:r w:rsidR="0076296B">
        <w:fldChar w:fldCharType="begin"/>
      </w:r>
      <w:r w:rsidR="0076296B">
        <w:instrText xml:space="preserve"> SEQ Table \* ARABIC </w:instrText>
      </w:r>
      <w:r w:rsidR="0076296B">
        <w:fldChar w:fldCharType="separate"/>
      </w:r>
      <w:r w:rsidR="0076296B">
        <w:rPr>
          <w:noProof/>
        </w:rPr>
        <w:t>11</w:t>
      </w:r>
      <w:r w:rsidR="0076296B">
        <w:rPr>
          <w:noProof/>
        </w:rPr>
        <w:fldChar w:fldCharType="end"/>
      </w:r>
      <w:bookmarkEnd w:id="100"/>
      <w:r>
        <w:t xml:space="preserve">: </w:t>
      </w:r>
      <w:r w:rsidR="009D01FD">
        <w:t>Ex</w:t>
      </w:r>
      <w:r w:rsidR="00333810">
        <w:t>-ante expenditure</w:t>
      </w:r>
      <w:r w:rsidR="009D01FD">
        <w:t xml:space="preserve"> components of</w:t>
      </w:r>
      <w:r w:rsidR="00B23660">
        <w:t xml:space="preserve"> technically</w:t>
      </w:r>
      <w:r w:rsidR="009D01FD">
        <w:t xml:space="preserve"> </w:t>
      </w:r>
      <w:r w:rsidR="00B23660">
        <w:t xml:space="preserve">credible </w:t>
      </w:r>
      <w:r w:rsidR="009D01FD">
        <w:t xml:space="preserve">non-network options for </w:t>
      </w:r>
      <w:r w:rsidR="004F1550">
        <w:t>Kangaroo Island submarine cable</w:t>
      </w:r>
    </w:p>
    <w:tbl>
      <w:tblPr>
        <w:tblStyle w:val="AERtable-text0"/>
        <w:tblW w:w="5000" w:type="pct"/>
        <w:tblLook w:val="04A0" w:firstRow="1" w:lastRow="0" w:firstColumn="1" w:lastColumn="0" w:noHBand="0" w:noVBand="1"/>
      </w:tblPr>
      <w:tblGrid>
        <w:gridCol w:w="1809"/>
        <w:gridCol w:w="2411"/>
        <w:gridCol w:w="4473"/>
      </w:tblGrid>
      <w:tr w:rsidR="005C14FA" w:rsidTr="00A87C8E">
        <w:trPr>
          <w:cnfStyle w:val="100000000000" w:firstRow="1" w:lastRow="0" w:firstColumn="0" w:lastColumn="0" w:oddVBand="0" w:evenVBand="0" w:oddHBand="0" w:evenHBand="0" w:firstRowFirstColumn="0" w:firstRowLastColumn="0" w:lastRowFirstColumn="0" w:lastRowLastColumn="0"/>
        </w:trPr>
        <w:tc>
          <w:tcPr>
            <w:tcW w:w="1040" w:type="pct"/>
          </w:tcPr>
          <w:p w:rsidR="005C14FA" w:rsidRDefault="005C14FA" w:rsidP="00DF2056">
            <w:r>
              <w:t>Proposed non-network option</w:t>
            </w:r>
          </w:p>
        </w:tc>
        <w:tc>
          <w:tcPr>
            <w:tcW w:w="1387" w:type="pct"/>
          </w:tcPr>
          <w:p w:rsidR="005C14FA" w:rsidRDefault="005C14FA" w:rsidP="00DF2056">
            <w:r>
              <w:t>Estimated capex component</w:t>
            </w:r>
          </w:p>
        </w:tc>
        <w:tc>
          <w:tcPr>
            <w:tcW w:w="2573" w:type="pct"/>
          </w:tcPr>
          <w:p w:rsidR="005C14FA" w:rsidRDefault="005C14FA" w:rsidP="00DF2056">
            <w:r>
              <w:t>Estimated opex component</w:t>
            </w:r>
          </w:p>
        </w:tc>
      </w:tr>
      <w:tr w:rsidR="005C14FA" w:rsidTr="00A87C8E">
        <w:tc>
          <w:tcPr>
            <w:tcW w:w="1040" w:type="pct"/>
          </w:tcPr>
          <w:p w:rsidR="005C14FA" w:rsidRDefault="005C14FA" w:rsidP="001454D8">
            <w:r w:rsidRPr="00DF2056">
              <w:t>1</w:t>
            </w:r>
            <w:r w:rsidRPr="005C14FA">
              <w:t xml:space="preserve">: A combination of biomass, solar and diesel generation solution. </w:t>
            </w:r>
          </w:p>
        </w:tc>
        <w:tc>
          <w:tcPr>
            <w:tcW w:w="1387" w:type="pct"/>
          </w:tcPr>
          <w:p w:rsidR="005C14FA" w:rsidRPr="005C14FA" w:rsidRDefault="005C14FA" w:rsidP="005C14FA">
            <w:r w:rsidRPr="005C14FA">
              <w:t>$6.7 million</w:t>
            </w:r>
            <w:r>
              <w:t xml:space="preserve">: </w:t>
            </w:r>
            <w:r w:rsidRPr="005C14FA">
              <w:t>Kingscote Substation upgrade for new gene</w:t>
            </w:r>
            <w:r>
              <w:t xml:space="preserve">ration connection for proponent. </w:t>
            </w:r>
            <w:r w:rsidRPr="005C14FA">
              <w:t>Line protection upgrade</w:t>
            </w:r>
            <w:r>
              <w:t>; plus</w:t>
            </w:r>
          </w:p>
          <w:p w:rsidR="005C14FA" w:rsidRDefault="005C14FA" w:rsidP="005C14FA">
            <w:r w:rsidRPr="005C14FA">
              <w:t>$1.3 million</w:t>
            </w:r>
            <w:r>
              <w:t>:</w:t>
            </w:r>
            <w:r w:rsidRPr="005C14FA">
              <w:t xml:space="preserve"> </w:t>
            </w:r>
            <w:r>
              <w:t>D</w:t>
            </w:r>
            <w:r w:rsidRPr="005C14FA">
              <w:t xml:space="preserve">edicated underground cable connection from proponent’s power plant to Kingscote Substation </w:t>
            </w:r>
          </w:p>
        </w:tc>
        <w:tc>
          <w:tcPr>
            <w:tcW w:w="2573" w:type="pct"/>
          </w:tcPr>
          <w:p w:rsidR="005C14FA" w:rsidRPr="005C14FA" w:rsidRDefault="005C14FA" w:rsidP="005C14FA">
            <w:r w:rsidRPr="005C14FA">
              <w:t>$1.95 million per annum, escalating at CPI</w:t>
            </w:r>
            <w:r>
              <w:t xml:space="preserve">: </w:t>
            </w:r>
            <w:r w:rsidRPr="005C14FA">
              <w:t xml:space="preserve"> </w:t>
            </w:r>
            <w:r>
              <w:t xml:space="preserve">A standing charge </w:t>
            </w:r>
            <w:r w:rsidRPr="005C14FA">
              <w:t xml:space="preserve">for basic network support </w:t>
            </w:r>
            <w:r>
              <w:t>during</w:t>
            </w:r>
            <w:r w:rsidRPr="005C14FA">
              <w:t xml:space="preserve"> the evaluation period</w:t>
            </w:r>
            <w:r>
              <w:t>;</w:t>
            </w:r>
          </w:p>
          <w:p w:rsidR="005C14FA" w:rsidRPr="005C14FA" w:rsidRDefault="005C14FA" w:rsidP="005C14FA">
            <w:r w:rsidRPr="005C14FA">
              <w:t>An hourly fee of $300 per MWh (escalating at CPI)</w:t>
            </w:r>
            <w:r>
              <w:t>:</w:t>
            </w:r>
            <w:r w:rsidRPr="005C14FA">
              <w:t xml:space="preserve"> paid when demand </w:t>
            </w:r>
            <w:r>
              <w:t>exceeds</w:t>
            </w:r>
            <w:r w:rsidRPr="005C14FA">
              <w:t xml:space="preserve"> 7.5MW</w:t>
            </w:r>
            <w:r>
              <w:t>,</w:t>
            </w:r>
            <w:r w:rsidRPr="005C14FA">
              <w:t xml:space="preserve"> which requires the use of diesel generator</w:t>
            </w:r>
            <w:r>
              <w:t>;</w:t>
            </w:r>
          </w:p>
          <w:p w:rsidR="005C14FA" w:rsidRDefault="005C14FA" w:rsidP="005C14FA">
            <w:r w:rsidRPr="005C14FA">
              <w:t>$0.65 million</w:t>
            </w:r>
            <w:r>
              <w:t xml:space="preserve">: </w:t>
            </w:r>
            <w:r w:rsidRPr="005C14FA">
              <w:t>Technical evaluation, connection and support agreements, commissioning, project management and engineering excluding design costs for the connection assets</w:t>
            </w:r>
            <w:r>
              <w:t>;</w:t>
            </w:r>
          </w:p>
          <w:p w:rsidR="005C14FA" w:rsidRPr="005C14FA" w:rsidRDefault="005C14FA" w:rsidP="005C14FA">
            <w:r w:rsidRPr="005C14FA">
              <w:t>$0.2 million per annum</w:t>
            </w:r>
            <w:r>
              <w:t xml:space="preserve">: </w:t>
            </w:r>
            <w:r w:rsidRPr="005C14FA">
              <w:t xml:space="preserve"> Operational management </w:t>
            </w:r>
            <w:r>
              <w:t>during the evaluation period; plus</w:t>
            </w:r>
          </w:p>
          <w:p w:rsidR="005C14FA" w:rsidRDefault="005C14FA" w:rsidP="005C14FA">
            <w:r w:rsidRPr="005C14FA">
              <w:t>Additional fuel cost when operating the Kingscote Generators when the proponent’s power plant or  connection from proponent’s power plan</w:t>
            </w:r>
            <w:r>
              <w:t>t to Kingscote Substation fails</w:t>
            </w:r>
            <w:r w:rsidRPr="005C14FA">
              <w:t>.</w:t>
            </w:r>
          </w:p>
        </w:tc>
      </w:tr>
      <w:tr w:rsidR="005C14FA" w:rsidTr="00A87C8E">
        <w:trPr>
          <w:cnfStyle w:val="000000010000" w:firstRow="0" w:lastRow="0" w:firstColumn="0" w:lastColumn="0" w:oddVBand="0" w:evenVBand="0" w:oddHBand="0" w:evenHBand="1" w:firstRowFirstColumn="0" w:firstRowLastColumn="0" w:lastRowFirstColumn="0" w:lastRowLastColumn="0"/>
        </w:trPr>
        <w:tc>
          <w:tcPr>
            <w:tcW w:w="1040" w:type="pct"/>
          </w:tcPr>
          <w:p w:rsidR="005C14FA" w:rsidRDefault="005C14FA" w:rsidP="005C14FA">
            <w:pPr>
              <w:pStyle w:val="AERbulletlistfirststyle"/>
              <w:numPr>
                <w:ilvl w:val="0"/>
                <w:numId w:val="0"/>
              </w:numPr>
            </w:pPr>
            <w:r>
              <w:t xml:space="preserve">2: A </w:t>
            </w:r>
            <w:r w:rsidRPr="00DF2056">
              <w:t>generation solution consisting of wind, solar and diesel generation combined with short-term battery storage.</w:t>
            </w:r>
          </w:p>
        </w:tc>
        <w:tc>
          <w:tcPr>
            <w:tcW w:w="1387" w:type="pct"/>
          </w:tcPr>
          <w:p w:rsidR="005C14FA" w:rsidRPr="005C14FA" w:rsidRDefault="00A677E2" w:rsidP="005C14FA">
            <w:r w:rsidRPr="005C14FA">
              <w:t>$8.3 million</w:t>
            </w:r>
            <w:r>
              <w:t xml:space="preserve">: in 2018, </w:t>
            </w:r>
            <w:r w:rsidR="005C14FA" w:rsidRPr="005C14FA">
              <w:t xml:space="preserve">Penneshaw Substation upgrade for new </w:t>
            </w:r>
            <w:r>
              <w:t>solar/wind</w:t>
            </w:r>
            <w:r w:rsidR="005C14FA" w:rsidRPr="005C14FA">
              <w:t xml:space="preserve"> generation</w:t>
            </w:r>
            <w:r w:rsidRPr="005C14FA">
              <w:t xml:space="preserve"> connection</w:t>
            </w:r>
            <w:r>
              <w:t xml:space="preserve">, </w:t>
            </w:r>
            <w:r w:rsidRPr="005C14FA">
              <w:t xml:space="preserve">Kingscote Substation upgrade for new </w:t>
            </w:r>
            <w:r>
              <w:t>diesel generation, and u</w:t>
            </w:r>
            <w:r w:rsidRPr="005C14FA">
              <w:t>pgrade line protection for lines between Kingscote, American River and MacGillivray Substations.</w:t>
            </w:r>
          </w:p>
          <w:p w:rsidR="005C14FA" w:rsidRDefault="00A677E2" w:rsidP="00A677E2">
            <w:r w:rsidRPr="005C14FA">
              <w:t>$1.7 million</w:t>
            </w:r>
            <w:r>
              <w:t xml:space="preserve">: </w:t>
            </w:r>
            <w:r w:rsidRPr="00A677E2">
              <w:t xml:space="preserve"> </w:t>
            </w:r>
            <w:r>
              <w:t>D</w:t>
            </w:r>
            <w:r w:rsidR="005C14FA" w:rsidRPr="005C14FA">
              <w:t>edicated  overhead line connection from proponent’s powe</w:t>
            </w:r>
            <w:r>
              <w:t>r plant to Penneshaw Substation;</w:t>
            </w:r>
          </w:p>
        </w:tc>
        <w:tc>
          <w:tcPr>
            <w:tcW w:w="2573" w:type="pct"/>
          </w:tcPr>
          <w:p w:rsidR="005C14FA" w:rsidRPr="005C14FA" w:rsidRDefault="00A677E2" w:rsidP="005C14FA">
            <w:r w:rsidRPr="005C14FA">
              <w:t>$4.27 million per annum, fixed</w:t>
            </w:r>
            <w:r w:rsidRPr="00A677E2">
              <w:t xml:space="preserve"> </w:t>
            </w:r>
            <w:r>
              <w:t xml:space="preserve">: </w:t>
            </w:r>
            <w:r w:rsidR="005C14FA" w:rsidRPr="005C14FA">
              <w:t xml:space="preserve"> Capacity payment charge for basic network support </w:t>
            </w:r>
            <w:r>
              <w:t>during the</w:t>
            </w:r>
            <w:r w:rsidR="005C14FA" w:rsidRPr="005C14FA">
              <w:t xml:space="preserve"> evaluation period</w:t>
            </w:r>
            <w:r>
              <w:t>;</w:t>
            </w:r>
          </w:p>
          <w:p w:rsidR="005C14FA" w:rsidRPr="005C14FA" w:rsidRDefault="00A677E2" w:rsidP="005C14FA">
            <w:r w:rsidRPr="005C14FA">
              <w:t>$0.75 million per annum, escalating at CPI</w:t>
            </w:r>
            <w:r>
              <w:t xml:space="preserve">: </w:t>
            </w:r>
            <w:r w:rsidR="005C14FA" w:rsidRPr="005C14FA">
              <w:t xml:space="preserve">Capacity payment charge </w:t>
            </w:r>
            <w:r>
              <w:t xml:space="preserve">during the evaluation period ; </w:t>
            </w:r>
          </w:p>
          <w:p w:rsidR="005C14FA" w:rsidRPr="005C14FA" w:rsidRDefault="00A677E2" w:rsidP="005C14FA">
            <w:r w:rsidRPr="005C14FA">
              <w:t>$315 per MWh (fuel and variable O&amp;M) (escalating at CPI)</w:t>
            </w:r>
            <w:r>
              <w:t>:</w:t>
            </w:r>
            <w:r w:rsidRPr="005C14FA">
              <w:t xml:space="preserve"> </w:t>
            </w:r>
            <w:r w:rsidR="005C14FA" w:rsidRPr="005C14FA">
              <w:t xml:space="preserve">Energy payment 2 for the use of diesel generator </w:t>
            </w:r>
            <w:r>
              <w:t>sets to provide base load;</w:t>
            </w:r>
          </w:p>
          <w:p w:rsidR="005C14FA" w:rsidRPr="005C14FA" w:rsidRDefault="00A677E2" w:rsidP="005C14FA">
            <w:r w:rsidRPr="005C14FA">
              <w:t>$0.65 million</w:t>
            </w:r>
            <w:r>
              <w:t xml:space="preserve">: </w:t>
            </w:r>
            <w:r w:rsidR="005C14FA" w:rsidRPr="005C14FA">
              <w:t xml:space="preserve"> Technical evaluation, connection and support agreements, commissioning, project management and engineering excluding design costs f</w:t>
            </w:r>
            <w:r>
              <w:t>or the connection assets; plus</w:t>
            </w:r>
          </w:p>
          <w:p w:rsidR="005C14FA" w:rsidRDefault="00A677E2" w:rsidP="00A677E2">
            <w:r w:rsidRPr="005C14FA">
              <w:t>$0.2 million per annum</w:t>
            </w:r>
            <w:r>
              <w:t>:</w:t>
            </w:r>
            <w:r w:rsidR="005C14FA" w:rsidRPr="005C14FA">
              <w:t xml:space="preserve"> Operational management </w:t>
            </w:r>
            <w:r>
              <w:t xml:space="preserve">during </w:t>
            </w:r>
            <w:r w:rsidR="005C14FA" w:rsidRPr="005C14FA">
              <w:t>the evaluation period.</w:t>
            </w:r>
          </w:p>
        </w:tc>
      </w:tr>
      <w:tr w:rsidR="005C14FA" w:rsidTr="00A87C8E">
        <w:tc>
          <w:tcPr>
            <w:tcW w:w="1040" w:type="pct"/>
          </w:tcPr>
          <w:p w:rsidR="005C14FA" w:rsidRDefault="005C14FA" w:rsidP="005C0A70">
            <w:pPr>
              <w:pStyle w:val="AERbulletlistfirststyle"/>
              <w:numPr>
                <w:ilvl w:val="0"/>
                <w:numId w:val="0"/>
              </w:numPr>
            </w:pPr>
            <w:r>
              <w:t xml:space="preserve">3: A </w:t>
            </w:r>
            <w:r w:rsidRPr="00DF2056">
              <w:t xml:space="preserve">generation solution consisting of solar and diesel generation combined with short-term battery storage. </w:t>
            </w:r>
            <w:r>
              <w:t>This</w:t>
            </w:r>
            <w:r w:rsidR="001454D8">
              <w:t xml:space="preserve"> option</w:t>
            </w:r>
            <w:r>
              <w:t xml:space="preserve"> also included</w:t>
            </w:r>
            <w:r w:rsidRPr="00DF2056">
              <w:t xml:space="preserve"> a turn-key solution for a permanent 10MVA </w:t>
            </w:r>
            <w:r w:rsidRPr="00DF2056">
              <w:lastRenderedPageBreak/>
              <w:t>submarine cable across Backstairs Passage in the event of a failure of the existing submarine cable.</w:t>
            </w:r>
          </w:p>
        </w:tc>
        <w:tc>
          <w:tcPr>
            <w:tcW w:w="1387" w:type="pct"/>
          </w:tcPr>
          <w:p w:rsidR="005C0A70" w:rsidRPr="005C0A70" w:rsidRDefault="005C0A70" w:rsidP="005C0A70">
            <w:r>
              <w:lastRenderedPageBreak/>
              <w:t xml:space="preserve">$7.8 million: </w:t>
            </w:r>
            <w:r w:rsidRPr="005C0A70">
              <w:t>Kingscote, MacGillivray, American River and Pennesh</w:t>
            </w:r>
            <w:r>
              <w:t>aw Substation upgrades for new diesel/solar generation;</w:t>
            </w:r>
          </w:p>
          <w:p w:rsidR="005C0A70" w:rsidRPr="005C0A70" w:rsidRDefault="005C0A70" w:rsidP="005C0A70">
            <w:r w:rsidRPr="005C0A70">
              <w:t>$0.4 million</w:t>
            </w:r>
            <w:r>
              <w:t xml:space="preserve">: </w:t>
            </w:r>
            <w:r w:rsidRPr="005C0A70">
              <w:t xml:space="preserve">Raise the design temperature of the American River to MacGillivray line to </w:t>
            </w:r>
            <w:r w:rsidRPr="005C0A70">
              <w:lastRenderedPageBreak/>
              <w:t>provide adequate line thermal capacity</w:t>
            </w:r>
            <w:r>
              <w:t>; plus</w:t>
            </w:r>
          </w:p>
          <w:p w:rsidR="005C14FA" w:rsidRDefault="005C0A70" w:rsidP="005C0A70">
            <w:r w:rsidRPr="005C0A70">
              <w:t>$1.76 million</w:t>
            </w:r>
            <w:r>
              <w:t xml:space="preserve">: </w:t>
            </w:r>
            <w:r w:rsidRPr="005C0A70">
              <w:t xml:space="preserve"> Installing a Voltage Regulator at Penneshaw Substation </w:t>
            </w:r>
            <w:r>
              <w:t>to provide voltage support</w:t>
            </w:r>
            <w:r w:rsidRPr="005C0A70">
              <w:t>.</w:t>
            </w:r>
          </w:p>
        </w:tc>
        <w:tc>
          <w:tcPr>
            <w:tcW w:w="2573" w:type="pct"/>
          </w:tcPr>
          <w:p w:rsidR="005C0A70" w:rsidRPr="005C0A70" w:rsidRDefault="005C0A70" w:rsidP="005C0A70">
            <w:r w:rsidRPr="005C0A70">
              <w:lastRenderedPageBreak/>
              <w:t xml:space="preserve">$2.7 Million per annum, escalating at CPI </w:t>
            </w:r>
            <w:r>
              <w:t xml:space="preserve">: </w:t>
            </w:r>
            <w:r w:rsidRPr="005C0A70">
              <w:t xml:space="preserve">Capacity payment charge for basic network support </w:t>
            </w:r>
            <w:r>
              <w:t>during the evaluation period;</w:t>
            </w:r>
          </w:p>
          <w:p w:rsidR="005C0A70" w:rsidRPr="005C0A70" w:rsidRDefault="005C0A70" w:rsidP="005C0A70">
            <w:r w:rsidRPr="005C0A70">
              <w:t xml:space="preserve">$0.65 million </w:t>
            </w:r>
            <w:r>
              <w:t xml:space="preserve">: </w:t>
            </w:r>
            <w:r w:rsidRPr="005C0A70">
              <w:t xml:space="preserve">Technical evaluation, connection and support agreements, commissioning, project management and engineering excluding design </w:t>
            </w:r>
            <w:r>
              <w:t>costs for the connection assets; plus</w:t>
            </w:r>
          </w:p>
          <w:p w:rsidR="005C14FA" w:rsidRDefault="005C0A70" w:rsidP="005C0A70">
            <w:r w:rsidRPr="005C0A70">
              <w:t>$0.2 million per annum</w:t>
            </w:r>
            <w:r>
              <w:t xml:space="preserve">: </w:t>
            </w:r>
            <w:r w:rsidRPr="005C0A70">
              <w:t xml:space="preserve"> Operational management </w:t>
            </w:r>
            <w:r>
              <w:t>during</w:t>
            </w:r>
            <w:r w:rsidRPr="005C0A70">
              <w:t xml:space="preserve"> </w:t>
            </w:r>
            <w:r w:rsidRPr="005C0A70">
              <w:lastRenderedPageBreak/>
              <w:t>the evaluation period.</w:t>
            </w:r>
          </w:p>
        </w:tc>
      </w:tr>
    </w:tbl>
    <w:p w:rsidR="000B4330" w:rsidRDefault="007D4EA5" w:rsidP="000B4330">
      <w:pPr>
        <w:pStyle w:val="AERtablesource"/>
      </w:pPr>
      <w:r>
        <w:lastRenderedPageBreak/>
        <w:t xml:space="preserve">Source: </w:t>
      </w:r>
      <w:r w:rsidR="000B4330">
        <w:t xml:space="preserve">SAPN, </w:t>
      </w:r>
      <w:r w:rsidR="000B4330" w:rsidRPr="000B4330">
        <w:rPr>
          <w:rStyle w:val="AERtextitalic"/>
        </w:rPr>
        <w:t>Final project assessment report: Kangaroo Island submarine cable</w:t>
      </w:r>
      <w:r w:rsidR="000B4330">
        <w:t>, 23 December 2016</w:t>
      </w:r>
      <w:r w:rsidRPr="007D4EA5">
        <w:t xml:space="preserve"> </w:t>
      </w:r>
      <w:r>
        <w:t>pp. 26</w:t>
      </w:r>
      <w:r w:rsidRPr="007D4EA5">
        <w:t>–</w:t>
      </w:r>
      <w:r>
        <w:t>30</w:t>
      </w:r>
      <w:r w:rsidR="00A10FF4">
        <w:t>.</w:t>
      </w:r>
    </w:p>
    <w:p w:rsidR="00BF5374" w:rsidRDefault="00BF5374" w:rsidP="00DF2056">
      <w:r>
        <w:t xml:space="preserve">Given the information available in SAPN's final project assessment report, we would </w:t>
      </w:r>
      <w:r w:rsidR="000B4330">
        <w:t>form the view that the</w:t>
      </w:r>
      <w:r>
        <w:t xml:space="preserve"> opex </w:t>
      </w:r>
      <w:r w:rsidR="000B4330">
        <w:t>items</w:t>
      </w:r>
      <w:r>
        <w:t xml:space="preserve"> </w:t>
      </w:r>
      <w:r w:rsidR="000B4330">
        <w:t xml:space="preserve">in </w:t>
      </w:r>
      <w:r w:rsidR="000B4330">
        <w:fldChar w:fldCharType="begin"/>
      </w:r>
      <w:r w:rsidR="000B4330">
        <w:instrText xml:space="preserve"> REF  _Ref487624162 \* Lower \h </w:instrText>
      </w:r>
      <w:r w:rsidR="000B4330">
        <w:fldChar w:fldCharType="separate"/>
      </w:r>
      <w:r w:rsidR="0076296B">
        <w:t xml:space="preserve">table </w:t>
      </w:r>
      <w:r w:rsidR="0076296B">
        <w:rPr>
          <w:noProof/>
        </w:rPr>
        <w:t>11</w:t>
      </w:r>
      <w:r w:rsidR="000B4330">
        <w:fldChar w:fldCharType="end"/>
      </w:r>
      <w:r w:rsidR="000B4330">
        <w:t xml:space="preserve"> reflect</w:t>
      </w:r>
      <w:r w:rsidR="009D01FD">
        <w:t xml:space="preserve"> expected demand management costs fo</w:t>
      </w:r>
      <w:r w:rsidR="000B4330">
        <w:t>r the purpose of</w:t>
      </w:r>
      <w:r w:rsidR="009D01FD">
        <w:t xml:space="preserve"> calculating </w:t>
      </w:r>
      <w:r w:rsidR="00B53676">
        <w:t xml:space="preserve">project </w:t>
      </w:r>
      <w:r w:rsidR="009D01FD">
        <w:t>incentive</w:t>
      </w:r>
      <w:r>
        <w:t>s</w:t>
      </w:r>
      <w:r w:rsidR="0078383B">
        <w:t xml:space="preserve"> under the Scheme.</w:t>
      </w:r>
    </w:p>
    <w:p w:rsidR="00DF2056" w:rsidRDefault="00BF5374" w:rsidP="00DF2056">
      <w:r>
        <w:t>We would not base</w:t>
      </w:r>
      <w:r w:rsidR="00B53676">
        <w:t xml:space="preserve"> project</w:t>
      </w:r>
      <w:r>
        <w:t xml:space="preserve"> incentives on</w:t>
      </w:r>
      <w:r w:rsidR="000B4330">
        <w:t xml:space="preserve"> any of</w:t>
      </w:r>
      <w:r>
        <w:t xml:space="preserve"> the </w:t>
      </w:r>
      <w:r w:rsidR="009D01FD">
        <w:t xml:space="preserve">capex </w:t>
      </w:r>
      <w:r w:rsidR="000B4330">
        <w:t>items</w:t>
      </w:r>
      <w:r>
        <w:t xml:space="preserve">. These </w:t>
      </w:r>
      <w:r w:rsidR="000B4330">
        <w:t xml:space="preserve">costs relate to </w:t>
      </w:r>
      <w:r>
        <w:t>netw</w:t>
      </w:r>
      <w:r w:rsidR="007D4EA5">
        <w:t xml:space="preserve">ork (or supply-side) solutions where the distributor provides </w:t>
      </w:r>
      <w:r w:rsidR="009F59D6">
        <w:t xml:space="preserve">assets </w:t>
      </w:r>
      <w:r w:rsidR="009F59D6" w:rsidRPr="009F59D6">
        <w:t>to convey or control the conveya</w:t>
      </w:r>
      <w:r w:rsidR="007D4EA5">
        <w:t>nc</w:t>
      </w:r>
      <w:r w:rsidR="0078383B">
        <w:t>e of electricity to a customer.</w:t>
      </w:r>
    </w:p>
    <w:p w:rsidR="00E71ACC" w:rsidRDefault="00E71ACC" w:rsidP="00E71ACC">
      <w:r>
        <w:fldChar w:fldCharType="begin"/>
      </w:r>
      <w:r>
        <w:instrText xml:space="preserve"> REF _Ref487633328 \h </w:instrText>
      </w:r>
      <w:r>
        <w:fldChar w:fldCharType="separate"/>
      </w:r>
      <w:r w:rsidR="0076296B">
        <w:t xml:space="preserve">Table </w:t>
      </w:r>
      <w:r w:rsidR="0076296B">
        <w:rPr>
          <w:noProof/>
        </w:rPr>
        <w:t>13</w:t>
      </w:r>
      <w:r>
        <w:fldChar w:fldCharType="end"/>
      </w:r>
      <w:r>
        <w:t xml:space="preserve"> applies the </w:t>
      </w:r>
      <w:r w:rsidRPr="00555D74">
        <w:t xml:space="preserve">information from SAPN's final project assessment report to </w:t>
      </w:r>
      <w:r>
        <w:t>the</w:t>
      </w:r>
      <w:r w:rsidRPr="00555D74">
        <w:t xml:space="preserve"> </w:t>
      </w:r>
      <w:r>
        <w:t xml:space="preserve">project incentive calculation in equation 1 under the draft Scheme. The figures in </w:t>
      </w:r>
      <w:r w:rsidR="008A11EA">
        <w:fldChar w:fldCharType="begin"/>
      </w:r>
      <w:r w:rsidR="008A11EA">
        <w:instrText xml:space="preserve"> REF  _Ref489531104 \* Lower \h </w:instrText>
      </w:r>
      <w:r w:rsidR="008A11EA">
        <w:fldChar w:fldCharType="separate"/>
      </w:r>
      <w:r w:rsidR="0076296B">
        <w:t xml:space="preserve">table </w:t>
      </w:r>
      <w:r w:rsidR="0076296B">
        <w:rPr>
          <w:noProof/>
        </w:rPr>
        <w:t>12</w:t>
      </w:r>
      <w:r w:rsidR="008A11EA">
        <w:fldChar w:fldCharType="end"/>
      </w:r>
      <w:r w:rsidR="008A11EA">
        <w:t xml:space="preserve"> </w:t>
      </w:r>
      <w:r>
        <w:t>are based on SAPN's assumption of 'standard growth'.</w:t>
      </w:r>
    </w:p>
    <w:p w:rsidR="00E71ACC" w:rsidRDefault="00E71ACC" w:rsidP="00E71ACC">
      <w:pPr>
        <w:pStyle w:val="Caption"/>
      </w:pPr>
      <w:bookmarkStart w:id="101" w:name="_Ref489531104"/>
      <w:r>
        <w:t xml:space="preserve">Table </w:t>
      </w:r>
      <w:r w:rsidRPr="00E71ACC">
        <w:fldChar w:fldCharType="begin"/>
      </w:r>
      <w:r>
        <w:instrText xml:space="preserve"> SEQ Table \* ARABIC </w:instrText>
      </w:r>
      <w:r w:rsidRPr="00E71ACC">
        <w:fldChar w:fldCharType="separate"/>
      </w:r>
      <w:r w:rsidR="0076296B">
        <w:rPr>
          <w:noProof/>
        </w:rPr>
        <w:t>12</w:t>
      </w:r>
      <w:r w:rsidRPr="00E71ACC">
        <w:fldChar w:fldCharType="end"/>
      </w:r>
      <w:bookmarkEnd w:id="101"/>
      <w:r>
        <w:t>: Breakdown of ex-ante costs under non-network options ($ mil)</w:t>
      </w:r>
    </w:p>
    <w:tbl>
      <w:tblPr>
        <w:tblStyle w:val="AERtable-text0"/>
        <w:tblW w:w="5000" w:type="pct"/>
        <w:tblLook w:val="04A0" w:firstRow="1" w:lastRow="0" w:firstColumn="1" w:lastColumn="0" w:noHBand="0" w:noVBand="1"/>
      </w:tblPr>
      <w:tblGrid>
        <w:gridCol w:w="1241"/>
        <w:gridCol w:w="2978"/>
        <w:gridCol w:w="1843"/>
        <w:gridCol w:w="2631"/>
      </w:tblGrid>
      <w:tr w:rsidR="00E71ACC" w:rsidTr="00E71ACC">
        <w:trPr>
          <w:cnfStyle w:val="100000000000" w:firstRow="1" w:lastRow="0" w:firstColumn="0" w:lastColumn="0" w:oddVBand="0" w:evenVBand="0" w:oddHBand="0" w:evenHBand="0" w:firstRowFirstColumn="0" w:firstRowLastColumn="0" w:lastRowFirstColumn="0" w:lastRowLastColumn="0"/>
        </w:trPr>
        <w:tc>
          <w:tcPr>
            <w:tcW w:w="714" w:type="pct"/>
          </w:tcPr>
          <w:p w:rsidR="00E71ACC" w:rsidRPr="00E71ACC" w:rsidRDefault="00E71ACC" w:rsidP="00E71ACC">
            <w:r>
              <w:t>Option</w:t>
            </w:r>
          </w:p>
        </w:tc>
        <w:tc>
          <w:tcPr>
            <w:tcW w:w="1713" w:type="pct"/>
          </w:tcPr>
          <w:p w:rsidR="00E71ACC" w:rsidRPr="00E71ACC" w:rsidRDefault="00E71ACC" w:rsidP="00E71ACC">
            <w:r>
              <w:t>Expected c</w:t>
            </w:r>
            <w:r w:rsidRPr="00E71ACC">
              <w:t>apex (network component)</w:t>
            </w:r>
          </w:p>
        </w:tc>
        <w:tc>
          <w:tcPr>
            <w:tcW w:w="1060" w:type="pct"/>
          </w:tcPr>
          <w:p w:rsidR="00E71ACC" w:rsidRPr="00E71ACC" w:rsidRDefault="00E71ACC" w:rsidP="00E71ACC">
            <w:r>
              <w:t xml:space="preserve">Total </w:t>
            </w:r>
            <w:r w:rsidRPr="00E71ACC">
              <w:t>expected cost (opex + capex)</w:t>
            </w:r>
          </w:p>
        </w:tc>
        <w:tc>
          <w:tcPr>
            <w:tcW w:w="1513" w:type="pct"/>
          </w:tcPr>
          <w:p w:rsidR="00E71ACC" w:rsidRPr="00E71ACC" w:rsidRDefault="00E71ACC" w:rsidP="00E71ACC">
            <w:r>
              <w:t>Expected demand management</w:t>
            </w:r>
            <w:r w:rsidRPr="00E71ACC">
              <w:t xml:space="preserve"> costs (opex component) </w:t>
            </w:r>
          </w:p>
        </w:tc>
      </w:tr>
      <w:tr w:rsidR="00E71ACC" w:rsidTr="00E71ACC">
        <w:tc>
          <w:tcPr>
            <w:tcW w:w="714" w:type="pct"/>
          </w:tcPr>
          <w:p w:rsidR="00E71ACC" w:rsidRPr="00E71ACC" w:rsidRDefault="00E71ACC" w:rsidP="00E71ACC">
            <w:r>
              <w:t xml:space="preserve">1: </w:t>
            </w:r>
            <w:r w:rsidRPr="00E71ACC">
              <w:t xml:space="preserve">Biomass, solar, diesel </w:t>
            </w:r>
          </w:p>
        </w:tc>
        <w:tc>
          <w:tcPr>
            <w:tcW w:w="1713" w:type="pct"/>
          </w:tcPr>
          <w:p w:rsidR="00E71ACC" w:rsidRPr="00E71ACC" w:rsidRDefault="00E71ACC" w:rsidP="00E71ACC">
            <m:oMathPara>
              <m:oMath>
                <m:r>
                  <w:rPr>
                    <w:rFonts w:ascii="Cambria Math" w:hAnsi="Cambria Math"/>
                  </w:rPr>
                  <m:t>Substation upgrades+underground cable connection=6.7+1.3=8.0</m:t>
                </m:r>
              </m:oMath>
            </m:oMathPara>
          </w:p>
        </w:tc>
        <w:tc>
          <w:tcPr>
            <w:tcW w:w="1060" w:type="pct"/>
          </w:tcPr>
          <w:p w:rsidR="00E71ACC" w:rsidRDefault="00E71ACC" w:rsidP="00E71ACC">
            <w:r>
              <w:t>33.558</w:t>
            </w:r>
          </w:p>
        </w:tc>
        <w:tc>
          <w:tcPr>
            <w:tcW w:w="1513" w:type="pct"/>
          </w:tcPr>
          <w:p w:rsidR="00E71ACC" w:rsidRPr="00E71ACC" w:rsidRDefault="00E71ACC" w:rsidP="00E71ACC">
            <m:oMathPara>
              <m:oMath>
                <m:r>
                  <w:rPr>
                    <w:rFonts w:ascii="Cambria Math" w:hAnsi="Cambria Math"/>
                  </w:rPr>
                  <m:t>33.558-8.0=25.558</m:t>
                </m:r>
              </m:oMath>
            </m:oMathPara>
          </w:p>
        </w:tc>
      </w:tr>
      <w:tr w:rsidR="00E71ACC" w:rsidTr="00E71ACC">
        <w:trPr>
          <w:cnfStyle w:val="000000010000" w:firstRow="0" w:lastRow="0" w:firstColumn="0" w:lastColumn="0" w:oddVBand="0" w:evenVBand="0" w:oddHBand="0" w:evenHBand="1" w:firstRowFirstColumn="0" w:firstRowLastColumn="0" w:lastRowFirstColumn="0" w:lastRowLastColumn="0"/>
        </w:trPr>
        <w:tc>
          <w:tcPr>
            <w:tcW w:w="714" w:type="pct"/>
          </w:tcPr>
          <w:p w:rsidR="00E71ACC" w:rsidRPr="00E71ACC" w:rsidRDefault="00E71ACC" w:rsidP="00E71ACC">
            <w:r>
              <w:t xml:space="preserve">2: </w:t>
            </w:r>
            <w:r w:rsidRPr="00E71ACC">
              <w:t xml:space="preserve">Wind, solar, diesel </w:t>
            </w:r>
          </w:p>
        </w:tc>
        <w:tc>
          <w:tcPr>
            <w:tcW w:w="1713" w:type="pct"/>
          </w:tcPr>
          <w:p w:rsidR="00E71ACC" w:rsidRPr="00E71ACC" w:rsidRDefault="00E71ACC" w:rsidP="00E71ACC">
            <m:oMathPara>
              <m:oMath>
                <m:r>
                  <w:rPr>
                    <w:rFonts w:ascii="Cambria Math" w:hAnsi="Cambria Math"/>
                  </w:rPr>
                  <m:t>Substation upgrades+overhead line connection=8.3+1.7=10.0</m:t>
                </m:r>
              </m:oMath>
            </m:oMathPara>
          </w:p>
        </w:tc>
        <w:tc>
          <w:tcPr>
            <w:tcW w:w="1060" w:type="pct"/>
          </w:tcPr>
          <w:p w:rsidR="00E71ACC" w:rsidRPr="00E71ACC" w:rsidRDefault="00E71ACC" w:rsidP="00E71ACC">
            <w:r>
              <w:t>100.612</w:t>
            </w:r>
          </w:p>
        </w:tc>
        <w:tc>
          <w:tcPr>
            <w:tcW w:w="1513" w:type="pct"/>
          </w:tcPr>
          <w:p w:rsidR="00E71ACC" w:rsidRPr="00E71ACC" w:rsidRDefault="00E71ACC" w:rsidP="00E71ACC">
            <m:oMathPara>
              <m:oMath>
                <m:r>
                  <w:rPr>
                    <w:rFonts w:ascii="Cambria Math" w:hAnsi="Cambria Math"/>
                  </w:rPr>
                  <m:t>100.612-10.0=90.612</m:t>
                </m:r>
              </m:oMath>
            </m:oMathPara>
          </w:p>
        </w:tc>
      </w:tr>
      <w:tr w:rsidR="00E71ACC" w:rsidTr="00E71ACC">
        <w:tc>
          <w:tcPr>
            <w:tcW w:w="714" w:type="pct"/>
          </w:tcPr>
          <w:p w:rsidR="00E71ACC" w:rsidRPr="00E71ACC" w:rsidRDefault="00E71ACC" w:rsidP="00E71ACC">
            <w:r>
              <w:t xml:space="preserve">3: </w:t>
            </w:r>
            <w:r w:rsidRPr="00E71ACC">
              <w:t>Diesel, solar + future cable</w:t>
            </w:r>
          </w:p>
        </w:tc>
        <w:tc>
          <w:tcPr>
            <w:tcW w:w="1713" w:type="pct"/>
          </w:tcPr>
          <w:p w:rsidR="00E71ACC" w:rsidRPr="00E71ACC" w:rsidRDefault="00E71ACC" w:rsidP="00E71ACC">
            <m:oMathPara>
              <m:oMath>
                <m:r>
                  <w:rPr>
                    <w:rFonts w:ascii="Cambria Math" w:hAnsi="Cambria Math"/>
                  </w:rPr>
                  <m:t>Substation upgrades+raising line design temperature+install voltage regulator=7.8+0.4+1.76=9.96</m:t>
                </m:r>
              </m:oMath>
            </m:oMathPara>
          </w:p>
        </w:tc>
        <w:tc>
          <w:tcPr>
            <w:tcW w:w="1060" w:type="pct"/>
          </w:tcPr>
          <w:p w:rsidR="00E71ACC" w:rsidRPr="00E71ACC" w:rsidRDefault="00E71ACC" w:rsidP="00E71ACC">
            <w:r>
              <w:t>42.531</w:t>
            </w:r>
          </w:p>
        </w:tc>
        <w:tc>
          <w:tcPr>
            <w:tcW w:w="1513" w:type="pct"/>
          </w:tcPr>
          <w:p w:rsidR="00E71ACC" w:rsidRPr="00E71ACC" w:rsidRDefault="00E71ACC" w:rsidP="00E71ACC">
            <m:oMathPara>
              <m:oMath>
                <m:r>
                  <w:rPr>
                    <w:rFonts w:ascii="Cambria Math" w:hAnsi="Cambria Math"/>
                  </w:rPr>
                  <m:t>42.531-9.96=32.571</m:t>
                </m:r>
              </m:oMath>
            </m:oMathPara>
          </w:p>
        </w:tc>
      </w:tr>
    </w:tbl>
    <w:p w:rsidR="00E71ACC" w:rsidRDefault="00E71ACC" w:rsidP="00E71ACC">
      <w:pPr>
        <w:pStyle w:val="AERtablesource"/>
      </w:pPr>
      <w:r>
        <w:t xml:space="preserve">Source: </w:t>
      </w:r>
      <w:r w:rsidR="00607F17">
        <w:t xml:space="preserve">    </w:t>
      </w:r>
      <w:r>
        <w:t xml:space="preserve">SAPN, </w:t>
      </w:r>
      <w:r w:rsidRPr="00E71ACC">
        <w:rPr>
          <w:rStyle w:val="AERtextitalic"/>
        </w:rPr>
        <w:t>Final project assessment report: Kangaroo Island submarine cable</w:t>
      </w:r>
      <w:r w:rsidRPr="00E71ACC">
        <w:t xml:space="preserve">, </w:t>
      </w:r>
      <w:r w:rsidR="00AB6417" w:rsidRPr="00E71ACC">
        <w:t>2</w:t>
      </w:r>
      <w:r w:rsidR="00AB6417">
        <w:t>3</w:t>
      </w:r>
      <w:r w:rsidR="00AB6417" w:rsidRPr="00E71ACC">
        <w:t xml:space="preserve"> </w:t>
      </w:r>
      <w:r w:rsidRPr="00E71ACC">
        <w:t>December 2016, pp. 26–</w:t>
      </w:r>
      <w:r>
        <w:t>30, AER analysis</w:t>
      </w:r>
      <w:r w:rsidRPr="00E71ACC">
        <w:t>.</w:t>
      </w:r>
    </w:p>
    <w:p w:rsidR="00555D74" w:rsidRDefault="00555D74" w:rsidP="00555D74">
      <w:pPr>
        <w:pStyle w:val="HeadingBoldBlue"/>
      </w:pPr>
      <w:r>
        <w:t xml:space="preserve">Applying the project incentive calculation </w:t>
      </w:r>
    </w:p>
    <w:p w:rsidR="00511061" w:rsidRDefault="007D4EA5" w:rsidP="00DF2056">
      <w:r>
        <w:fldChar w:fldCharType="begin"/>
      </w:r>
      <w:r>
        <w:instrText xml:space="preserve"> REF _Ref487633328 \h </w:instrText>
      </w:r>
      <w:r>
        <w:fldChar w:fldCharType="separate"/>
      </w:r>
      <w:r w:rsidR="0076296B">
        <w:t xml:space="preserve">Table </w:t>
      </w:r>
      <w:r w:rsidR="0076296B">
        <w:rPr>
          <w:noProof/>
        </w:rPr>
        <w:t>13</w:t>
      </w:r>
      <w:r>
        <w:fldChar w:fldCharType="end"/>
      </w:r>
      <w:r>
        <w:t xml:space="preserve"> </w:t>
      </w:r>
      <w:r w:rsidR="00555D74">
        <w:t xml:space="preserve">applies the </w:t>
      </w:r>
      <w:r w:rsidR="00555D74" w:rsidRPr="00555D74">
        <w:t xml:space="preserve">information from SAPN's final project assessment report to </w:t>
      </w:r>
      <w:r w:rsidR="00555D74">
        <w:t>the</w:t>
      </w:r>
      <w:r w:rsidR="00555D74" w:rsidRPr="00555D74">
        <w:t xml:space="preserve"> </w:t>
      </w:r>
      <w:r w:rsidR="00555D74">
        <w:t>project incentive calculation in equation 1 under the draft Scheme</w:t>
      </w:r>
      <w:r>
        <w:t xml:space="preserve">. </w:t>
      </w:r>
      <w:r w:rsidR="00713193">
        <w:t xml:space="preserve">The figures in </w:t>
      </w:r>
      <w:r w:rsidR="00713193">
        <w:fldChar w:fldCharType="begin"/>
      </w:r>
      <w:r w:rsidR="00713193">
        <w:instrText xml:space="preserve"> REF  _Ref487633328 \* Lower \h </w:instrText>
      </w:r>
      <w:r w:rsidR="00713193">
        <w:fldChar w:fldCharType="separate"/>
      </w:r>
      <w:r w:rsidR="0076296B">
        <w:t xml:space="preserve">table </w:t>
      </w:r>
      <w:r w:rsidR="0076296B">
        <w:rPr>
          <w:noProof/>
        </w:rPr>
        <w:t>13</w:t>
      </w:r>
      <w:r w:rsidR="00713193">
        <w:fldChar w:fldCharType="end"/>
      </w:r>
      <w:r w:rsidR="00713193">
        <w:t xml:space="preserve"> are based on SAPN's assumption of 'standard growth'.</w:t>
      </w:r>
    </w:p>
    <w:p w:rsidR="009D01FD" w:rsidRDefault="009D01FD" w:rsidP="009D01FD">
      <w:pPr>
        <w:pStyle w:val="Caption"/>
      </w:pPr>
      <w:bookmarkStart w:id="102" w:name="_Ref487633328"/>
      <w:r>
        <w:lastRenderedPageBreak/>
        <w:t xml:space="preserve">Table </w:t>
      </w:r>
      <w:r w:rsidR="0076296B">
        <w:fldChar w:fldCharType="begin"/>
      </w:r>
      <w:r w:rsidR="0076296B">
        <w:instrText xml:space="preserve"> SEQ Table \* ARABIC </w:instrText>
      </w:r>
      <w:r w:rsidR="0076296B">
        <w:fldChar w:fldCharType="separate"/>
      </w:r>
      <w:r w:rsidR="0076296B">
        <w:rPr>
          <w:noProof/>
        </w:rPr>
        <w:t>13</w:t>
      </w:r>
      <w:r w:rsidR="0076296B">
        <w:rPr>
          <w:noProof/>
        </w:rPr>
        <w:fldChar w:fldCharType="end"/>
      </w:r>
      <w:bookmarkEnd w:id="102"/>
      <w:r>
        <w:t xml:space="preserve">: </w:t>
      </w:r>
      <w:r w:rsidR="00E71ACC">
        <w:t xml:space="preserve">Illustrative project incentive calculation for </w:t>
      </w:r>
      <w:r w:rsidR="00B53676">
        <w:t xml:space="preserve">different non-network options </w:t>
      </w:r>
      <w:r w:rsidR="00F91985">
        <w:t>($</w:t>
      </w:r>
      <w:r w:rsidR="00713193">
        <w:t xml:space="preserve"> mil</w:t>
      </w:r>
      <w:r w:rsidR="00F91985">
        <w:t>)</w:t>
      </w:r>
    </w:p>
    <w:tbl>
      <w:tblPr>
        <w:tblStyle w:val="AERtable-text0"/>
        <w:tblW w:w="4611" w:type="pct"/>
        <w:tblLayout w:type="fixed"/>
        <w:tblLook w:val="04A0" w:firstRow="1" w:lastRow="0" w:firstColumn="1" w:lastColumn="0" w:noHBand="0" w:noVBand="1"/>
      </w:tblPr>
      <w:tblGrid>
        <w:gridCol w:w="1388"/>
        <w:gridCol w:w="1226"/>
        <w:gridCol w:w="1352"/>
        <w:gridCol w:w="1352"/>
        <w:gridCol w:w="1352"/>
        <w:gridCol w:w="1347"/>
      </w:tblGrid>
      <w:tr w:rsidR="00E71ACC" w:rsidTr="00E71ACC">
        <w:trPr>
          <w:cnfStyle w:val="100000000000" w:firstRow="1" w:lastRow="0" w:firstColumn="0" w:lastColumn="0" w:oddVBand="0" w:evenVBand="0" w:oddHBand="0" w:evenHBand="0" w:firstRowFirstColumn="0" w:firstRowLastColumn="0" w:lastRowFirstColumn="0" w:lastRowLastColumn="0"/>
        </w:trPr>
        <w:tc>
          <w:tcPr>
            <w:tcW w:w="866" w:type="pct"/>
          </w:tcPr>
          <w:p w:rsidR="00E71ACC" w:rsidRPr="00E71ACC" w:rsidRDefault="00E71ACC" w:rsidP="00E71ACC">
            <w:r>
              <w:t>Option</w:t>
            </w:r>
          </w:p>
        </w:tc>
        <w:tc>
          <w:tcPr>
            <w:tcW w:w="765" w:type="pct"/>
          </w:tcPr>
          <w:p w:rsidR="00E71ACC" w:rsidRPr="00E71ACC" w:rsidRDefault="00E47784" w:rsidP="00E71ACC">
            <w:r>
              <w:t>50% of e</w:t>
            </w:r>
            <w:r w:rsidR="00E71ACC">
              <w:t xml:space="preserve">xpected </w:t>
            </w:r>
            <w:r w:rsidR="00E71ACC" w:rsidRPr="00E71ACC">
              <w:t xml:space="preserve">demand management costs </w:t>
            </w:r>
          </w:p>
        </w:tc>
        <w:tc>
          <w:tcPr>
            <w:tcW w:w="843" w:type="pct"/>
          </w:tcPr>
          <w:p w:rsidR="00E71ACC" w:rsidRDefault="00E71ACC" w:rsidP="00E71ACC">
            <w:r>
              <w:t>Total expected benefit relative to base case</w:t>
            </w:r>
            <w:r w:rsidR="00AB6417">
              <w:t>*</w:t>
            </w:r>
          </w:p>
        </w:tc>
        <w:tc>
          <w:tcPr>
            <w:tcW w:w="843" w:type="pct"/>
          </w:tcPr>
          <w:p w:rsidR="00E71ACC" w:rsidRPr="00E71ACC" w:rsidRDefault="00E71ACC" w:rsidP="00E71ACC">
            <w:r>
              <w:t xml:space="preserve">Total </w:t>
            </w:r>
            <w:r w:rsidRPr="00E71ACC">
              <w:t>expected cost</w:t>
            </w:r>
            <w:r>
              <w:t xml:space="preserve"> relative to base case</w:t>
            </w:r>
            <w:r w:rsidR="00AB6417">
              <w:t>*</w:t>
            </w:r>
          </w:p>
        </w:tc>
        <w:tc>
          <w:tcPr>
            <w:tcW w:w="843" w:type="pct"/>
          </w:tcPr>
          <w:p w:rsidR="00E71ACC" w:rsidRPr="00E71ACC" w:rsidRDefault="00E71ACC" w:rsidP="00E71ACC">
            <w:r>
              <w:t>Net benefits relative to base case</w:t>
            </w:r>
            <w:r w:rsidR="00AB6417">
              <w:t>*</w:t>
            </w:r>
          </w:p>
        </w:tc>
        <w:tc>
          <w:tcPr>
            <w:tcW w:w="840" w:type="pct"/>
          </w:tcPr>
          <w:p w:rsidR="00E71ACC" w:rsidRPr="00E71ACC" w:rsidRDefault="00E71ACC" w:rsidP="00E71ACC">
            <w:r>
              <w:t>P</w:t>
            </w:r>
            <w:r w:rsidRPr="00E71ACC">
              <w:t>roject incentive (equation 1 of the draft Scheme)</w:t>
            </w:r>
          </w:p>
        </w:tc>
      </w:tr>
      <w:tr w:rsidR="00E71ACC" w:rsidTr="00E71ACC">
        <w:tc>
          <w:tcPr>
            <w:tcW w:w="866" w:type="pct"/>
          </w:tcPr>
          <w:p w:rsidR="00E71ACC" w:rsidRPr="00E71ACC" w:rsidRDefault="00E71ACC" w:rsidP="00E71ACC">
            <w:r>
              <w:t xml:space="preserve">1: </w:t>
            </w:r>
            <w:r w:rsidRPr="00E71ACC">
              <w:t xml:space="preserve">Biomass, solar, diesel </w:t>
            </w:r>
          </w:p>
        </w:tc>
        <w:tc>
          <w:tcPr>
            <w:tcW w:w="765" w:type="pct"/>
          </w:tcPr>
          <w:p w:rsidR="00E71ACC" w:rsidRPr="00E71ACC" w:rsidRDefault="00E47784" w:rsidP="00E71ACC">
            <m:oMath>
              <m:r>
                <w:rPr>
                  <w:rFonts w:ascii="Cambria Math" w:hAnsi="Cambria Math"/>
                </w:rPr>
                <m:t>25.558×50%</m:t>
              </m:r>
            </m:oMath>
            <w:r>
              <w:t xml:space="preserve"> = 12.779</w:t>
            </w:r>
          </w:p>
        </w:tc>
        <w:tc>
          <w:tcPr>
            <w:tcW w:w="843" w:type="pct"/>
          </w:tcPr>
          <w:p w:rsidR="00E71ACC" w:rsidRPr="00E71ACC" w:rsidRDefault="00E47784" w:rsidP="00E71ACC">
            <w:r>
              <w:t>5.645</w:t>
            </w:r>
          </w:p>
        </w:tc>
        <w:tc>
          <w:tcPr>
            <w:tcW w:w="843" w:type="pct"/>
          </w:tcPr>
          <w:p w:rsidR="00E71ACC" w:rsidRDefault="00E47784" w:rsidP="00E47784">
            <w:r>
              <w:t xml:space="preserve">42.319 </w:t>
            </w:r>
            <w:r>
              <w:rPr>
                <w:rFonts w:cs="Arial"/>
              </w:rPr>
              <w:t>–</w:t>
            </w:r>
            <w:r>
              <w:t xml:space="preserve"> </w:t>
            </w:r>
            <w:r w:rsidR="00E71ACC">
              <w:t>33.558</w:t>
            </w:r>
            <w:r>
              <w:t xml:space="preserve"> =  (8.761)</w:t>
            </w:r>
          </w:p>
        </w:tc>
        <w:tc>
          <w:tcPr>
            <w:tcW w:w="843" w:type="pct"/>
          </w:tcPr>
          <w:p w:rsidR="00E71ACC" w:rsidRPr="00E71ACC" w:rsidRDefault="00E47784" w:rsidP="00E71ACC">
            <w:r>
              <w:t>5</w:t>
            </w:r>
            <w:r w:rsidRPr="00E47784">
              <w:t>.645</w:t>
            </w:r>
            <w:r>
              <w:t xml:space="preserve"> + 8</w:t>
            </w:r>
            <w:r w:rsidRPr="00E47784">
              <w:t>.761</w:t>
            </w:r>
            <w:r>
              <w:t xml:space="preserve"> = </w:t>
            </w:r>
            <w:r w:rsidR="00E71ACC">
              <w:t>14.</w:t>
            </w:r>
            <w:r w:rsidR="00E71ACC" w:rsidRPr="00E71ACC">
              <w:t>407</w:t>
            </w:r>
          </w:p>
        </w:tc>
        <w:tc>
          <w:tcPr>
            <w:tcW w:w="840" w:type="pct"/>
          </w:tcPr>
          <w:p w:rsidR="00E71ACC" w:rsidRPr="00E71ACC" w:rsidRDefault="0076296B" w:rsidP="008A1A74">
            <m:oMathPara>
              <m:oMath>
                <m:func>
                  <m:funcPr>
                    <m:ctrlPr>
                      <w:rPr>
                        <w:rFonts w:ascii="Cambria Math" w:hAnsi="Cambria Math"/>
                        <w:i/>
                      </w:rPr>
                    </m:ctrlPr>
                  </m:funcPr>
                  <m:fName>
                    <m:r>
                      <m:rPr>
                        <m:sty m:val="p"/>
                      </m:rPr>
                      <w:rPr>
                        <w:rFonts w:ascii="Cambria Math" w:hAnsi="Cambria Math"/>
                      </w:rPr>
                      <m:t xml:space="preserve">min </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12.779;</m:t>
                            </m:r>
                          </m:e>
                          <m:e>
                            <m:r>
                              <w:rPr>
                                <w:rFonts w:ascii="Cambria Math" w:hAnsi="Cambria Math"/>
                              </w:rPr>
                              <m:t>14.407</m:t>
                            </m:r>
                          </m:e>
                        </m:eqArr>
                      </m:e>
                    </m:d>
                  </m:e>
                </m:func>
                <m:r>
                  <w:rPr>
                    <w:rFonts w:ascii="Cambria Math" w:hAnsi="Cambria Math"/>
                  </w:rPr>
                  <m:t>=12.779</m:t>
                </m:r>
              </m:oMath>
            </m:oMathPara>
          </w:p>
        </w:tc>
      </w:tr>
      <w:tr w:rsidR="00E71ACC" w:rsidTr="00E71ACC">
        <w:trPr>
          <w:cnfStyle w:val="000000010000" w:firstRow="0" w:lastRow="0" w:firstColumn="0" w:lastColumn="0" w:oddVBand="0" w:evenVBand="0" w:oddHBand="0" w:evenHBand="1" w:firstRowFirstColumn="0" w:firstRowLastColumn="0" w:lastRowFirstColumn="0" w:lastRowLastColumn="0"/>
        </w:trPr>
        <w:tc>
          <w:tcPr>
            <w:tcW w:w="866" w:type="pct"/>
          </w:tcPr>
          <w:p w:rsidR="00E71ACC" w:rsidRPr="00E71ACC" w:rsidRDefault="00E71ACC" w:rsidP="00E71ACC">
            <w:r>
              <w:t xml:space="preserve">2: </w:t>
            </w:r>
            <w:r w:rsidRPr="00E71ACC">
              <w:t xml:space="preserve">Wind, solar, diesel </w:t>
            </w:r>
          </w:p>
        </w:tc>
        <w:tc>
          <w:tcPr>
            <w:tcW w:w="765" w:type="pct"/>
          </w:tcPr>
          <w:p w:rsidR="00E47784" w:rsidRPr="00E71ACC" w:rsidRDefault="00E47784" w:rsidP="00E47784">
            <m:oMath>
              <m:r>
                <w:rPr>
                  <w:rFonts w:ascii="Cambria Math" w:hAnsi="Cambria Math"/>
                </w:rPr>
                <m:t>90.612×50%</m:t>
              </m:r>
            </m:oMath>
            <w:r>
              <w:t xml:space="preserve"> = 45</w:t>
            </w:r>
            <w:r w:rsidRPr="00E47784">
              <w:t>.</w:t>
            </w:r>
            <w:r>
              <w:t>306</w:t>
            </w:r>
          </w:p>
        </w:tc>
        <w:tc>
          <w:tcPr>
            <w:tcW w:w="843" w:type="pct"/>
          </w:tcPr>
          <w:p w:rsidR="00E71ACC" w:rsidRDefault="00E47784" w:rsidP="00E71ACC">
            <w:r>
              <w:t>12.522</w:t>
            </w:r>
          </w:p>
        </w:tc>
        <w:tc>
          <w:tcPr>
            <w:tcW w:w="843" w:type="pct"/>
          </w:tcPr>
          <w:p w:rsidR="00E71ACC" w:rsidRPr="00E71ACC" w:rsidRDefault="00E47784" w:rsidP="00E71ACC">
            <w:r>
              <w:t xml:space="preserve">42.319 </w:t>
            </w:r>
            <w:r w:rsidRPr="00E47784">
              <w:t>–</w:t>
            </w:r>
            <w:r>
              <w:t xml:space="preserve"> 100.</w:t>
            </w:r>
            <w:r w:rsidR="00E71ACC">
              <w:t>612</w:t>
            </w:r>
            <w:r>
              <w:t xml:space="preserve"> = 58.292</w:t>
            </w:r>
          </w:p>
        </w:tc>
        <w:tc>
          <w:tcPr>
            <w:tcW w:w="843" w:type="pct"/>
          </w:tcPr>
          <w:p w:rsidR="00E71ACC" w:rsidRPr="00E71ACC" w:rsidRDefault="00E47784" w:rsidP="00E71ACC">
            <w:r>
              <w:t>12</w:t>
            </w:r>
            <w:r w:rsidRPr="00E47784">
              <w:t>.522</w:t>
            </w:r>
            <w:r>
              <w:t xml:space="preserve"> </w:t>
            </w:r>
            <w:r>
              <w:rPr>
                <w:rFonts w:cs="Arial"/>
              </w:rPr>
              <w:t>–</w:t>
            </w:r>
            <w:r>
              <w:t xml:space="preserve"> 58</w:t>
            </w:r>
            <w:r w:rsidRPr="00E47784">
              <w:t>.292</w:t>
            </w:r>
            <w:r>
              <w:t xml:space="preserve"> = (</w:t>
            </w:r>
            <w:r w:rsidR="00E71ACC">
              <w:t>45.770</w:t>
            </w:r>
            <w:r>
              <w:t>)</w:t>
            </w:r>
          </w:p>
        </w:tc>
        <w:tc>
          <w:tcPr>
            <w:tcW w:w="840" w:type="pct"/>
          </w:tcPr>
          <w:p w:rsidR="00E71ACC" w:rsidRPr="00E71ACC" w:rsidRDefault="00E71ACC" w:rsidP="00E71ACC">
            <w:r>
              <w:t>0</w:t>
            </w:r>
          </w:p>
        </w:tc>
      </w:tr>
      <w:tr w:rsidR="00E71ACC" w:rsidTr="00E71ACC">
        <w:tc>
          <w:tcPr>
            <w:tcW w:w="866" w:type="pct"/>
          </w:tcPr>
          <w:p w:rsidR="00E71ACC" w:rsidRPr="00E71ACC" w:rsidRDefault="00E71ACC" w:rsidP="00E71ACC">
            <w:r>
              <w:t xml:space="preserve">3: </w:t>
            </w:r>
            <w:r w:rsidRPr="00E71ACC">
              <w:t>Diesel, solar + future cable</w:t>
            </w:r>
          </w:p>
        </w:tc>
        <w:tc>
          <w:tcPr>
            <w:tcW w:w="765" w:type="pct"/>
          </w:tcPr>
          <w:p w:rsidR="00E47784" w:rsidRPr="00E71ACC" w:rsidRDefault="00E47784" w:rsidP="00E47784">
            <m:oMath>
              <m:r>
                <w:rPr>
                  <w:rFonts w:ascii="Cambria Math" w:hAnsi="Cambria Math"/>
                </w:rPr>
                <m:t>32.571×50%</m:t>
              </m:r>
            </m:oMath>
            <w:r>
              <w:t xml:space="preserve"> = 16</w:t>
            </w:r>
            <w:r w:rsidRPr="00E47784">
              <w:t>.</w:t>
            </w:r>
            <w:r>
              <w:t>285</w:t>
            </w:r>
          </w:p>
        </w:tc>
        <w:tc>
          <w:tcPr>
            <w:tcW w:w="843" w:type="pct"/>
          </w:tcPr>
          <w:p w:rsidR="00E71ACC" w:rsidRPr="00E71ACC" w:rsidRDefault="00E47784" w:rsidP="00E71ACC">
            <w:r>
              <w:t>7.344</w:t>
            </w:r>
          </w:p>
        </w:tc>
        <w:tc>
          <w:tcPr>
            <w:tcW w:w="843" w:type="pct"/>
          </w:tcPr>
          <w:p w:rsidR="00E71ACC" w:rsidRPr="00E71ACC" w:rsidRDefault="00E47784" w:rsidP="00E71ACC">
            <w:r>
              <w:t xml:space="preserve">42.319 </w:t>
            </w:r>
            <w:r w:rsidRPr="00E47784">
              <w:t>–</w:t>
            </w:r>
            <w:r>
              <w:t xml:space="preserve"> 42.</w:t>
            </w:r>
            <w:r w:rsidR="00E71ACC">
              <w:t>531</w:t>
            </w:r>
            <w:r>
              <w:t xml:space="preserve"> = 0.211</w:t>
            </w:r>
          </w:p>
        </w:tc>
        <w:tc>
          <w:tcPr>
            <w:tcW w:w="843" w:type="pct"/>
          </w:tcPr>
          <w:p w:rsidR="00E71ACC" w:rsidRPr="00E71ACC" w:rsidRDefault="00E47784" w:rsidP="00E71ACC">
            <w:r>
              <w:t xml:space="preserve">7.344 </w:t>
            </w:r>
            <w:r>
              <w:rPr>
                <w:rFonts w:cs="Arial"/>
              </w:rPr>
              <w:t>–</w:t>
            </w:r>
            <w:r>
              <w:t xml:space="preserve"> </w:t>
            </w:r>
            <w:r w:rsidRPr="00E47784">
              <w:t>0.211</w:t>
            </w:r>
            <w:r>
              <w:t xml:space="preserve"> = </w:t>
            </w:r>
            <w:r w:rsidR="00E71ACC">
              <w:t>7.133</w:t>
            </w:r>
          </w:p>
        </w:tc>
        <w:tc>
          <w:tcPr>
            <w:tcW w:w="840" w:type="pct"/>
          </w:tcPr>
          <w:p w:rsidR="00E71ACC" w:rsidRPr="00E71ACC" w:rsidRDefault="0076296B" w:rsidP="00607F17">
            <m:oMathPara>
              <m:oMath>
                <m:func>
                  <m:funcPr>
                    <m:ctrlPr>
                      <w:rPr>
                        <w:rFonts w:ascii="Cambria Math" w:hAnsi="Cambria Math"/>
                      </w:rPr>
                    </m:ctrlPr>
                  </m:funcPr>
                  <m:fName>
                    <m:r>
                      <m:rPr>
                        <m:sty m:val="p"/>
                      </m:rPr>
                      <w:rPr>
                        <w:rFonts w:ascii="Cambria Math" w:hAnsi="Cambria Math"/>
                      </w:rPr>
                      <m:t xml:space="preserve">min </m:t>
                    </m:r>
                  </m:fName>
                  <m:e>
                    <m:eqArr>
                      <m:eqArrPr>
                        <m:ctrlPr>
                          <w:rPr>
                            <w:rFonts w:ascii="Cambria Math" w:hAnsi="Cambria Math"/>
                            <w:i/>
                          </w:rPr>
                        </m:ctrlPr>
                      </m:eqArrPr>
                      <m:e>
                        <m:r>
                          <w:rPr>
                            <w:rFonts w:ascii="Cambria Math" w:hAnsi="Cambria Math"/>
                          </w:rPr>
                          <m:t xml:space="preserve">{16.285;  </m:t>
                        </m:r>
                      </m:e>
                      <m:e>
                        <m:r>
                          <w:rPr>
                            <w:rFonts w:ascii="Cambria Math" w:hAnsi="Cambria Math"/>
                          </w:rPr>
                          <m:t>7.133}</m:t>
                        </m:r>
                      </m:e>
                    </m:eqArr>
                  </m:e>
                </m:func>
                <m:r>
                  <w:rPr>
                    <w:rFonts w:ascii="Cambria Math" w:hAnsi="Cambria Math"/>
                  </w:rPr>
                  <m:t>=7.133</m:t>
                </m:r>
              </m:oMath>
            </m:oMathPara>
          </w:p>
        </w:tc>
      </w:tr>
    </w:tbl>
    <w:p w:rsidR="009D01FD" w:rsidRDefault="009D01FD" w:rsidP="00F91985">
      <w:pPr>
        <w:pStyle w:val="AERtablesource"/>
        <w:ind w:left="0" w:firstLine="0"/>
      </w:pPr>
      <w:r>
        <w:t xml:space="preserve">Source: </w:t>
      </w:r>
      <w:r w:rsidR="00607F17">
        <w:tab/>
      </w:r>
      <w:r>
        <w:t xml:space="preserve">SAPN, </w:t>
      </w:r>
      <w:r w:rsidRPr="0055055D">
        <w:rPr>
          <w:rStyle w:val="AERtextitalic"/>
        </w:rPr>
        <w:t xml:space="preserve">Final project assessment report: </w:t>
      </w:r>
      <w:r>
        <w:rPr>
          <w:rStyle w:val="AERtextitalic"/>
        </w:rPr>
        <w:t>Kangaroo Island submarine cable</w:t>
      </w:r>
      <w:r>
        <w:t xml:space="preserve">, </w:t>
      </w:r>
      <w:r w:rsidR="00AB6417">
        <w:t xml:space="preserve">23 </w:t>
      </w:r>
      <w:r>
        <w:t>December 2016</w:t>
      </w:r>
      <w:r w:rsidR="00B23660">
        <w:t>, p</w:t>
      </w:r>
      <w:r w:rsidR="00E71ACC">
        <w:t xml:space="preserve">. </w:t>
      </w:r>
      <w:r w:rsidR="00B23660">
        <w:t>46</w:t>
      </w:r>
      <w:r w:rsidR="00607F17">
        <w:t xml:space="preserve">; AER </w:t>
      </w:r>
      <w:r w:rsidR="00607F17">
        <w:tab/>
        <w:t>analysis</w:t>
      </w:r>
      <w:r>
        <w:t>.</w:t>
      </w:r>
    </w:p>
    <w:p w:rsidR="00AB6417" w:rsidRPr="00AB6417" w:rsidRDefault="00AB6417" w:rsidP="001B03EA">
      <w:pPr>
        <w:pStyle w:val="AERtablesource"/>
      </w:pPr>
      <w:r>
        <w:t>*</w:t>
      </w:r>
      <w:r>
        <w:tab/>
        <w:t>The base case, in this example, entails running the existing submarine cable to failure.</w:t>
      </w:r>
    </w:p>
    <w:p w:rsidR="009D01FD" w:rsidRDefault="007D4EA5" w:rsidP="009A73BC">
      <w:r>
        <w:t xml:space="preserve">For clarity, </w:t>
      </w:r>
      <w:r w:rsidR="004E25CF">
        <w:t>no option</w:t>
      </w:r>
      <w:r>
        <w:t xml:space="preserve"> in </w:t>
      </w:r>
      <w:r>
        <w:fldChar w:fldCharType="begin"/>
      </w:r>
      <w:r>
        <w:instrText xml:space="preserve"> REF  _Ref487633328 \* Lower \h </w:instrText>
      </w:r>
      <w:r>
        <w:fldChar w:fldCharType="separate"/>
      </w:r>
      <w:r w:rsidR="0076296B">
        <w:t xml:space="preserve">table </w:t>
      </w:r>
      <w:r w:rsidR="0076296B">
        <w:rPr>
          <w:noProof/>
        </w:rPr>
        <w:t>13</w:t>
      </w:r>
      <w:r>
        <w:fldChar w:fldCharType="end"/>
      </w:r>
      <w:r>
        <w:t xml:space="preserve"> constituted a preferred option</w:t>
      </w:r>
      <w:r w:rsidR="004E25CF">
        <w:t xml:space="preserve"> in SAPN's RIT</w:t>
      </w:r>
      <w:r w:rsidR="004E25CF">
        <w:rPr>
          <w:rFonts w:cs="Arial"/>
        </w:rPr>
        <w:t>–</w:t>
      </w:r>
      <w:r w:rsidR="004E25CF">
        <w:t>D</w:t>
      </w:r>
      <w:r>
        <w:rPr>
          <w:rFonts w:cs="Arial"/>
        </w:rPr>
        <w:t>―</w:t>
      </w:r>
      <w:r>
        <w:t xml:space="preserve">the preferred option for this identified need </w:t>
      </w:r>
      <w:r w:rsidR="004E25CF">
        <w:t>had</w:t>
      </w:r>
      <w:r w:rsidR="000C34DF">
        <w:t xml:space="preserve"> an estimated net benefit of $24.035 million and </w:t>
      </w:r>
      <w:r>
        <w:t xml:space="preserve">entailed installing a new 33kV </w:t>
      </w:r>
      <w:r w:rsidR="000C34DF">
        <w:t>submarine</w:t>
      </w:r>
      <w:r>
        <w:t xml:space="preserve"> cable.</w:t>
      </w:r>
      <w:r>
        <w:rPr>
          <w:rStyle w:val="FootnoteReference"/>
        </w:rPr>
        <w:footnoteReference w:id="94"/>
      </w:r>
      <w:r w:rsidR="000C34DF">
        <w:t xml:space="preserve"> </w:t>
      </w:r>
      <w:r w:rsidR="004E25CF">
        <w:t xml:space="preserve">As such, none of these projects would have been eligible for incentives under the Scheme. </w:t>
      </w:r>
      <w:r w:rsidR="000C34DF">
        <w:t xml:space="preserve">However, if the non-network options in </w:t>
      </w:r>
      <w:r w:rsidR="008D517B">
        <w:fldChar w:fldCharType="begin"/>
      </w:r>
      <w:r w:rsidR="008D517B">
        <w:instrText xml:space="preserve"> REF  _Ref487633328 \* Lower \h </w:instrText>
      </w:r>
      <w:r w:rsidR="008D517B">
        <w:fldChar w:fldCharType="separate"/>
      </w:r>
      <w:r w:rsidR="0076296B">
        <w:t xml:space="preserve">table </w:t>
      </w:r>
      <w:r w:rsidR="0076296B">
        <w:rPr>
          <w:noProof/>
        </w:rPr>
        <w:t>13</w:t>
      </w:r>
      <w:r w:rsidR="008D517B">
        <w:fldChar w:fldCharType="end"/>
      </w:r>
      <w:r w:rsidR="008D517B">
        <w:t xml:space="preserve"> </w:t>
      </w:r>
      <w:r w:rsidR="000C34DF">
        <w:t>were the credible options</w:t>
      </w:r>
      <w:r w:rsidR="00D442E5">
        <w:t>, and before we calculated the total financial incentive capped at 1.0</w:t>
      </w:r>
      <w:r w:rsidR="0078383B" w:rsidRPr="0078383B">
        <w:t xml:space="preserve"> per cent</w:t>
      </w:r>
      <w:r w:rsidR="00D442E5">
        <w:t xml:space="preserve"> AR</w:t>
      </w:r>
      <w:r w:rsidR="000C34DF">
        <w:t>:</w:t>
      </w:r>
    </w:p>
    <w:p w:rsidR="000C34DF" w:rsidRDefault="000C34DF" w:rsidP="000C34DF">
      <w:pPr>
        <w:pStyle w:val="AERbulletlistfirststyle"/>
      </w:pPr>
      <w:r>
        <w:t>SAPN would select the first option, based on b</w:t>
      </w:r>
      <w:r w:rsidRPr="000C34DF">
        <w:t>iomass, solar and diesel generation</w:t>
      </w:r>
      <w:r>
        <w:t xml:space="preserve">. </w:t>
      </w:r>
      <w:r w:rsidR="004E25CF">
        <w:t xml:space="preserve">Out of the three </w:t>
      </w:r>
      <w:r w:rsidR="001454D8">
        <w:t xml:space="preserve">non-network </w:t>
      </w:r>
      <w:r w:rsidR="004E25CF">
        <w:t>options, t</w:t>
      </w:r>
      <w:r>
        <w:t>his</w:t>
      </w:r>
      <w:r w:rsidR="001454D8">
        <w:t xml:space="preserve"> option</w:t>
      </w:r>
      <w:r>
        <w:t xml:space="preserve"> had the highest expected net benefit relative to the base case ($14.407 million). The net benefit constraint would not bind in this case, and the project incentive would equate to the full 50</w:t>
      </w:r>
      <w:r w:rsidR="0078383B" w:rsidRPr="0078383B">
        <w:t xml:space="preserve"> per cent </w:t>
      </w:r>
      <w:r>
        <w:t>of its expected demand management costs</w:t>
      </w:r>
      <w:r w:rsidR="00653058">
        <w:t xml:space="preserve"> (that is, $12.779 million)</w:t>
      </w:r>
      <w:r>
        <w:t>.</w:t>
      </w:r>
    </w:p>
    <w:p w:rsidR="004E25CF" w:rsidRDefault="000C34DF" w:rsidP="004E25CF">
      <w:pPr>
        <w:pStyle w:val="AERbulletlistfirststyle"/>
      </w:pPr>
      <w:r>
        <w:t xml:space="preserve">If the first option did not exist, SAPN would </w:t>
      </w:r>
      <w:r w:rsidR="004E25CF">
        <w:t xml:space="preserve">then </w:t>
      </w:r>
      <w:r>
        <w:t>select the third option, which had the next highest expected net benefit relative to the base case ($7.133 million). Since</w:t>
      </w:r>
      <w:r w:rsidRPr="000C34DF">
        <w:t xml:space="preserve"> </w:t>
      </w:r>
      <w:r>
        <w:t>50</w:t>
      </w:r>
      <w:r w:rsidR="0078383B" w:rsidRPr="0078383B">
        <w:t xml:space="preserve"> per cent</w:t>
      </w:r>
      <w:r>
        <w:t xml:space="preserve"> of its expected demand management costs would have exceeded its expected net benefit, the net benefit constraint would bind. </w:t>
      </w:r>
      <w:r w:rsidR="0001019E">
        <w:t>The</w:t>
      </w:r>
      <w:r w:rsidR="001454D8">
        <w:t xml:space="preserve"> binding constraint </w:t>
      </w:r>
      <w:r>
        <w:t xml:space="preserve">would result in an effective cost uplift of </w:t>
      </w:r>
      <m:oMath>
        <m:f>
          <m:fPr>
            <m:ctrlPr>
              <w:rPr>
                <w:rFonts w:ascii="Cambria Math" w:hAnsi="Cambria Math"/>
                <w:i/>
              </w:rPr>
            </m:ctrlPr>
          </m:fPr>
          <m:num>
            <m:r>
              <w:rPr>
                <w:rFonts w:ascii="Cambria Math" w:hAnsi="Cambria Math"/>
              </w:rPr>
              <m:t>7.133</m:t>
            </m:r>
          </m:num>
          <m:den>
            <m:r>
              <w:rPr>
                <w:rFonts w:ascii="Cambria Math" w:hAnsi="Cambria Math"/>
              </w:rPr>
              <m:t>32.571</m:t>
            </m:r>
          </m:den>
        </m:f>
        <m:r>
          <w:rPr>
            <w:rFonts w:ascii="Cambria Math" w:hAnsi="Cambria Math"/>
          </w:rPr>
          <m:t>=21.9%</m:t>
        </m:r>
      </m:oMath>
      <w:r>
        <w:t xml:space="preserve"> as opposed to the full 50</w:t>
      </w:r>
      <w:r w:rsidR="0078383B" w:rsidRPr="0078383B">
        <w:t xml:space="preserve"> per cent</w:t>
      </w:r>
      <w:r>
        <w:t>.</w:t>
      </w:r>
    </w:p>
    <w:p w:rsidR="000C34DF" w:rsidRDefault="000C34DF" w:rsidP="004E25CF">
      <w:pPr>
        <w:pStyle w:val="AERbulletlistfirststyle"/>
      </w:pPr>
      <w:r>
        <w:t>If only the second option and the base</w:t>
      </w:r>
      <w:r w:rsidR="008D517B">
        <w:t xml:space="preserve"> case option</w:t>
      </w:r>
      <w:r>
        <w:t xml:space="preserve"> existed, SAPN would choose the base case option of doing nothing (that is, running the cable to failure). </w:t>
      </w:r>
      <w:r w:rsidR="008F0A36">
        <w:t>This is because t</w:t>
      </w:r>
      <w:r w:rsidR="008F0A36" w:rsidRPr="000C34DF">
        <w:t xml:space="preserve">he key driver of the identified need </w:t>
      </w:r>
      <w:r w:rsidR="004E25CF">
        <w:t>wa</w:t>
      </w:r>
      <w:r w:rsidR="008F0A36" w:rsidRPr="000C34DF">
        <w:t xml:space="preserve">s to maintain security of supply to </w:t>
      </w:r>
      <w:r w:rsidR="008F0A36" w:rsidRPr="000C34DF">
        <w:lastRenderedPageBreak/>
        <w:t>Kangaroo Island, not for reliability corrective action.</w:t>
      </w:r>
      <w:r w:rsidR="008F0A36">
        <w:rPr>
          <w:rStyle w:val="FootnoteReference"/>
        </w:rPr>
        <w:footnoteReference w:id="95"/>
      </w:r>
      <w:r w:rsidR="008F0A36" w:rsidRPr="000C34DF">
        <w:t xml:space="preserve"> </w:t>
      </w:r>
      <w:r w:rsidRPr="000C34DF">
        <w:t xml:space="preserve">As such, </w:t>
      </w:r>
      <w:r w:rsidR="008F0A36" w:rsidRPr="000C34DF">
        <w:t>any proposed solution</w:t>
      </w:r>
      <w:r w:rsidR="004E25CF">
        <w:t xml:space="preserve"> would need</w:t>
      </w:r>
      <w:r w:rsidR="008F0A36" w:rsidRPr="000C34DF">
        <w:t xml:space="preserve"> to provide a positive net market benefit </w:t>
      </w:r>
      <w:r w:rsidR="008F0A36">
        <w:t>t</w:t>
      </w:r>
      <w:r w:rsidRPr="000C34DF">
        <w:t>o satisfy the requi</w:t>
      </w:r>
      <w:r w:rsidR="008D517B">
        <w:t>rements of the RIT</w:t>
      </w:r>
      <w:r w:rsidR="008D517B">
        <w:rPr>
          <w:rFonts w:cs="Arial"/>
        </w:rPr>
        <w:t>–</w:t>
      </w:r>
      <w:r w:rsidR="004E25CF">
        <w:t>D assessment. T</w:t>
      </w:r>
      <w:r w:rsidR="008F0A36">
        <w:t xml:space="preserve">he second option </w:t>
      </w:r>
      <w:r w:rsidR="004E25CF">
        <w:t>ha</w:t>
      </w:r>
      <w:r w:rsidR="00E254D5">
        <w:t>s</w:t>
      </w:r>
      <w:r w:rsidR="004E25CF">
        <w:t xml:space="preserve"> an expected net benefit of -$45.770 relative to the base case and </w:t>
      </w:r>
      <w:r w:rsidR="008F0A36">
        <w:t>would</w:t>
      </w:r>
      <w:r w:rsidR="004E25CF">
        <w:t xml:space="preserve"> therefore</w:t>
      </w:r>
      <w:r w:rsidR="008F0A36">
        <w:t xml:space="preserve"> not meet this criterion.</w:t>
      </w:r>
    </w:p>
    <w:p w:rsidR="00555D74" w:rsidRPr="00555D74" w:rsidRDefault="00555D74" w:rsidP="00555D74">
      <w:pPr>
        <w:pStyle w:val="HeadingBoldBlue"/>
      </w:pPr>
      <w:r w:rsidRPr="00555D74">
        <w:t>Applying the</w:t>
      </w:r>
      <w:r>
        <w:t xml:space="preserve"> total financial incentive </w:t>
      </w:r>
      <w:r w:rsidRPr="00555D74">
        <w:t xml:space="preserve">calculation </w:t>
      </w:r>
    </w:p>
    <w:p w:rsidR="00555D74" w:rsidRDefault="00555D74" w:rsidP="009A73BC">
      <w:r>
        <w:t xml:space="preserve">If the first option in </w:t>
      </w:r>
      <w:r>
        <w:fldChar w:fldCharType="begin"/>
      </w:r>
      <w:r>
        <w:instrText xml:space="preserve"> REF  _Ref487633328 \* Lower \h </w:instrText>
      </w:r>
      <w:r>
        <w:fldChar w:fldCharType="separate"/>
      </w:r>
      <w:r w:rsidR="0076296B">
        <w:t xml:space="preserve">table </w:t>
      </w:r>
      <w:r w:rsidR="0076296B">
        <w:rPr>
          <w:noProof/>
        </w:rPr>
        <w:t>13</w:t>
      </w:r>
      <w:r>
        <w:fldChar w:fldCharType="end"/>
      </w:r>
      <w:r>
        <w:t xml:space="preserve"> was an eligible project and SAPN committed this project in </w:t>
      </w:r>
      <w:r w:rsidRPr="00555D74">
        <w:t>2015–16</w:t>
      </w:r>
      <w:r>
        <w:t xml:space="preserve">, it would accrue a project incentive of $12.770 million for that year. </w:t>
      </w:r>
      <w:r w:rsidR="002554CA">
        <w:t>A</w:t>
      </w:r>
      <w:r>
        <w:t>ssume th</w:t>
      </w:r>
      <w:r w:rsidR="002554CA">
        <w:t xml:space="preserve">at SAPN only committed this </w:t>
      </w:r>
      <w:r>
        <w:t xml:space="preserve">eligible project in </w:t>
      </w:r>
      <w:r w:rsidRPr="00555D74">
        <w:t>2015–16</w:t>
      </w:r>
      <w:r w:rsidR="00AB6417">
        <w:t>.</w:t>
      </w:r>
    </w:p>
    <w:p w:rsidR="002554CA" w:rsidRDefault="00555D74" w:rsidP="009A73BC">
      <w:r>
        <w:t>A</w:t>
      </w:r>
      <w:r w:rsidR="00D442E5">
        <w:t>ssume SAPN</w:t>
      </w:r>
      <w:r w:rsidR="002554CA">
        <w:t>'s</w:t>
      </w:r>
      <w:r w:rsidR="00D442E5">
        <w:t xml:space="preserve"> AR </w:t>
      </w:r>
      <w:r w:rsidRPr="00555D74">
        <w:t>in 2015–16</w:t>
      </w:r>
      <w:r>
        <w:t xml:space="preserve"> </w:t>
      </w:r>
      <w:r w:rsidR="00D442E5">
        <w:t>was $682.03 million</w:t>
      </w:r>
      <w:r w:rsidR="002554CA">
        <w:t>, and therefore 1.0</w:t>
      </w:r>
      <w:r w:rsidR="0078383B" w:rsidRPr="0078383B">
        <w:t xml:space="preserve"> per cent</w:t>
      </w:r>
      <w:r w:rsidR="002554CA">
        <w:t xml:space="preserve"> of AR would be 6.82 million</w:t>
      </w:r>
      <w:r w:rsidR="00D442E5">
        <w:t>.</w:t>
      </w:r>
      <w:r w:rsidR="00D442E5">
        <w:rPr>
          <w:rStyle w:val="FootnoteReference"/>
        </w:rPr>
        <w:footnoteReference w:id="96"/>
      </w:r>
      <w:r>
        <w:t xml:space="preserve"> </w:t>
      </w:r>
      <w:r w:rsidR="002554CA">
        <w:t xml:space="preserve">In this case, </w:t>
      </w:r>
      <w:r w:rsidR="00702FDF">
        <w:t>since project incentive would have been</w:t>
      </w:r>
      <w:r w:rsidR="00702FDF" w:rsidRPr="00702FDF">
        <w:t xml:space="preserve"> $12.770</w:t>
      </w:r>
      <w:r w:rsidR="00702FDF">
        <w:t>,</w:t>
      </w:r>
      <w:r w:rsidR="00702FDF" w:rsidRPr="00702FDF">
        <w:t xml:space="preserve"> </w:t>
      </w:r>
      <w:r w:rsidR="002554CA">
        <w:t xml:space="preserve">the constraint in equation </w:t>
      </w:r>
      <w:r w:rsidR="00702FDF">
        <w:t>2</w:t>
      </w:r>
      <w:r w:rsidR="002554CA">
        <w:t xml:space="preserve"> in the draft Scheme would bind, which specifies that:</w:t>
      </w:r>
    </w:p>
    <w:p w:rsidR="002554CA" w:rsidRDefault="0076296B" w:rsidP="009A73BC">
      <m:oMathPara>
        <m:oMath>
          <m:sSub>
            <m:sSubPr>
              <m:ctrlPr>
                <w:rPr>
                  <w:rStyle w:val="AERbody"/>
                  <w:rFonts w:ascii="Cambria Math" w:hAnsi="Cambria Math"/>
                </w:rPr>
              </m:ctrlPr>
            </m:sSubPr>
            <m:e>
              <m:r>
                <m:rPr>
                  <m:sty m:val="p"/>
                </m:rPr>
                <w:rPr>
                  <w:rStyle w:val="AERtextbolditalics"/>
                  <w:rFonts w:ascii="Cambria Math" w:hAnsi="Cambria Math"/>
                </w:rPr>
                <m:t>Total financial incentive</m:t>
              </m:r>
            </m:e>
            <m:sub>
              <m:r>
                <w:rPr>
                  <w:rStyle w:val="AERbody"/>
                  <w:rFonts w:ascii="Cambria Math" w:hAnsi="Cambria Math"/>
                </w:rPr>
                <m:t>t</m:t>
              </m:r>
            </m:sub>
          </m:sSub>
          <m: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AR</m:t>
              </m:r>
            </m:e>
            <m:sub>
              <m:r>
                <w:rPr>
                  <w:rStyle w:val="AERbody"/>
                  <w:rFonts w:ascii="Cambria Math" w:hAnsi="Cambria Math"/>
                </w:rPr>
                <m:t>t-2</m:t>
              </m:r>
            </m:sub>
          </m:sSub>
          <m:r>
            <w:rPr>
              <w:rStyle w:val="AERbody"/>
              <w:rFonts w:ascii="Cambria Math" w:hAnsi="Cambria Math"/>
            </w:rPr>
            <m:t>×1%</m:t>
          </m:r>
        </m:oMath>
      </m:oMathPara>
    </w:p>
    <w:p w:rsidR="002554CA" w:rsidRPr="002554CA" w:rsidRDefault="0076296B" w:rsidP="002554CA">
      <w:pPr>
        <w:rPr>
          <w:rStyle w:val="AERbody"/>
        </w:rPr>
      </w:pPr>
      <m:oMathPara>
        <m:oMath>
          <m:sSub>
            <m:sSubPr>
              <m:ctrlPr>
                <w:rPr>
                  <w:rStyle w:val="AERbody"/>
                  <w:rFonts w:ascii="Cambria Math" w:hAnsi="Cambria Math"/>
                </w:rPr>
              </m:ctrlPr>
            </m:sSubPr>
            <m:e>
              <m:r>
                <m:rPr>
                  <m:sty m:val="p"/>
                </m:rPr>
                <w:rPr>
                  <w:rStyle w:val="AERtextbolditalics"/>
                  <w:rFonts w:ascii="Cambria Math" w:hAnsi="Cambria Math"/>
                </w:rPr>
                <m:t>Total financial incentive</m:t>
              </m:r>
            </m:e>
            <m:sub>
              <m:r>
                <w:rPr>
                  <w:rStyle w:val="AERbody"/>
                  <w:rFonts w:ascii="Cambria Math" w:hAnsi="Cambria Math"/>
                </w:rPr>
                <m:t>2015-16</m:t>
              </m:r>
            </m:sub>
          </m:sSub>
          <m:r>
            <w:rPr>
              <w:rStyle w:val="AERbody"/>
              <w:rFonts w:ascii="Cambria Math" w:hAnsi="Cambria Math"/>
            </w:rPr>
            <m:t>≤</m:t>
          </m:r>
          <m:r>
            <m:rPr>
              <m:sty m:val="p"/>
            </m:rPr>
            <w:rPr>
              <w:rStyle w:val="AERbody"/>
              <w:rFonts w:ascii="Cambria Math" w:hAnsi="Cambria Math"/>
            </w:rPr>
            <m:t>6.82 million</m:t>
          </m:r>
        </m:oMath>
      </m:oMathPara>
    </w:p>
    <w:p w:rsidR="008756EF" w:rsidRDefault="00702FDF" w:rsidP="009A73BC">
      <w:r>
        <w:t xml:space="preserve">In this example, </w:t>
      </w:r>
      <w:r w:rsidR="002554CA">
        <w:t xml:space="preserve">SAPN would </w:t>
      </w:r>
      <w:r>
        <w:t xml:space="preserve">have </w:t>
      </w:r>
      <w:r w:rsidR="002554CA">
        <w:t>receive</w:t>
      </w:r>
      <w:r>
        <w:t>d</w:t>
      </w:r>
      <w:r w:rsidR="002554CA">
        <w:t xml:space="preserve"> a total financial incentive of $6.82 million for 2015</w:t>
      </w:r>
      <w:r w:rsidR="002554CA">
        <w:rPr>
          <w:rFonts w:cs="Arial"/>
        </w:rPr>
        <w:t>–</w:t>
      </w:r>
      <w:r w:rsidR="002554CA">
        <w:t xml:space="preserve">16. </w:t>
      </w:r>
      <w:r w:rsidRPr="00702FDF">
        <w:t>Due to the two-year lag</w:t>
      </w:r>
      <w:r>
        <w:t>,</w:t>
      </w:r>
      <w:r w:rsidRPr="00702FDF">
        <w:t xml:space="preserve"> </w:t>
      </w:r>
      <w:r>
        <w:t>SAPN would recover the total financial incentive of $6.82 million from customers in the 2017</w:t>
      </w:r>
      <w:r>
        <w:rPr>
          <w:rFonts w:cs="Arial"/>
        </w:rPr>
        <w:t>–</w:t>
      </w:r>
      <w:r w:rsidR="00AB6417">
        <w:t>18 regulatory year.</w:t>
      </w:r>
    </w:p>
    <w:sectPr w:rsidR="008756EF" w:rsidSect="00B35352">
      <w:headerReference w:type="even" r:id="rId29"/>
      <w:headerReference w:type="default" r:id="rId30"/>
      <w:footerReference w:type="even" r:id="rId31"/>
      <w:footerReference w:type="default" r:id="rId32"/>
      <w:headerReference w:type="first" r:id="rId33"/>
      <w:footerReference w:type="first" r:id="rId34"/>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84" w:rsidRPr="00290C63" w:rsidRDefault="00245484" w:rsidP="00290C63">
      <w:r>
        <w:separator/>
      </w:r>
    </w:p>
    <w:p w:rsidR="00245484" w:rsidRDefault="00245484"/>
  </w:endnote>
  <w:endnote w:type="continuationSeparator" w:id="0">
    <w:p w:rsidR="00245484" w:rsidRPr="00290C63" w:rsidRDefault="00245484" w:rsidP="00290C63">
      <w:r>
        <w:continuationSeparator/>
      </w:r>
    </w:p>
    <w:p w:rsidR="00245484" w:rsidRDefault="00245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84" w:rsidRPr="00290C63" w:rsidRDefault="0024548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45484" w:rsidRDefault="00245484"/>
  <w:p w:rsidR="00245484" w:rsidRDefault="00245484"/>
  <w:p w:rsidR="00245484" w:rsidRDefault="00245484"/>
  <w:p w:rsidR="00245484" w:rsidRDefault="00245484"/>
  <w:p w:rsidR="00245484" w:rsidRDefault="00245484"/>
  <w:p w:rsidR="00245484" w:rsidRDefault="00245484"/>
  <w:p w:rsidR="00245484" w:rsidRDefault="002454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84" w:rsidRPr="003C0094" w:rsidRDefault="0076296B" w:rsidP="003C0094">
    <w:pPr>
      <w:pStyle w:val="FootnoteText"/>
      <w:rPr>
        <w:rStyle w:val="AERtextblue"/>
      </w:rPr>
    </w:pPr>
    <w:sdt>
      <w:sdtPr>
        <w:rPr>
          <w:rStyle w:val="AERtextblue"/>
        </w:rPr>
        <w:id w:val="340901426"/>
        <w:docPartObj>
          <w:docPartGallery w:val="Page Numbers (Bottom of Page)"/>
          <w:docPartUnique/>
        </w:docPartObj>
      </w:sdtPr>
      <w:sdtEndPr>
        <w:rPr>
          <w:rStyle w:val="AERtextblue"/>
        </w:rPr>
      </w:sdtEndPr>
      <w:sdtContent>
        <w:r w:rsidR="00245484" w:rsidRPr="003C0094">
          <w:rPr>
            <w:rStyle w:val="AERtextblue"/>
          </w:rPr>
          <w:fldChar w:fldCharType="begin"/>
        </w:r>
        <w:r w:rsidR="00245484" w:rsidRPr="003C0094">
          <w:rPr>
            <w:rStyle w:val="AERtextblue"/>
          </w:rPr>
          <w:instrText xml:space="preserve"> PAGE   \* MERGEFORMAT </w:instrText>
        </w:r>
        <w:r w:rsidR="00245484" w:rsidRPr="003C0094">
          <w:rPr>
            <w:rStyle w:val="AERtextblue"/>
          </w:rPr>
          <w:fldChar w:fldCharType="separate"/>
        </w:r>
        <w:r>
          <w:rPr>
            <w:rStyle w:val="AERtextblue"/>
            <w:noProof/>
          </w:rPr>
          <w:t>69</w:t>
        </w:r>
        <w:r w:rsidR="00245484" w:rsidRPr="003C0094">
          <w:rPr>
            <w:rStyle w:val="AERtextblue"/>
          </w:rPr>
          <w:fldChar w:fldCharType="end"/>
        </w:r>
        <w:r w:rsidR="00245484">
          <w:rPr>
            <w:rStyle w:val="AERtextblue"/>
          </w:rPr>
          <w:tab/>
          <w:t xml:space="preserve">  Explanatory statement </w:t>
        </w:r>
        <w:r w:rsidR="00245484">
          <w:rPr>
            <w:rStyle w:val="AERtextblue"/>
            <w:rFonts w:cs="Arial"/>
          </w:rPr>
          <w:t>―</w:t>
        </w:r>
        <w:r w:rsidR="00245484">
          <w:rPr>
            <w:rStyle w:val="AERtextblue"/>
          </w:rPr>
          <w:t xml:space="preserve"> Draft d</w:t>
        </w:r>
        <w:r w:rsidR="00245484" w:rsidRPr="003C0094">
          <w:rPr>
            <w:rStyle w:val="AERtextblue"/>
          </w:rPr>
          <w:t>emand management incentive scheme</w:t>
        </w:r>
      </w:sdtContent>
    </w:sdt>
  </w:p>
  <w:p w:rsidR="00245484" w:rsidRDefault="002454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84" w:rsidRPr="00290C63" w:rsidRDefault="0024548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45484" w:rsidRDefault="00245484">
    <w:pPr>
      <w:pStyle w:val="Footer"/>
    </w:pPr>
  </w:p>
  <w:p w:rsidR="00245484" w:rsidRDefault="00245484"/>
  <w:p w:rsidR="00245484" w:rsidRDefault="00245484"/>
  <w:p w:rsidR="00245484" w:rsidRDefault="00245484"/>
  <w:p w:rsidR="00245484" w:rsidRDefault="00245484"/>
  <w:p w:rsidR="00245484" w:rsidRDefault="00245484"/>
  <w:p w:rsidR="00245484" w:rsidRDefault="00245484"/>
  <w:p w:rsidR="00245484" w:rsidRDefault="00245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84" w:rsidRPr="00290C63" w:rsidRDefault="00245484" w:rsidP="00290C63">
      <w:r>
        <w:separator/>
      </w:r>
    </w:p>
    <w:p w:rsidR="00245484" w:rsidRDefault="00245484"/>
  </w:footnote>
  <w:footnote w:type="continuationSeparator" w:id="0">
    <w:p w:rsidR="00245484" w:rsidRPr="00290C63" w:rsidRDefault="00245484" w:rsidP="00290C63">
      <w:r>
        <w:continuationSeparator/>
      </w:r>
    </w:p>
    <w:p w:rsidR="00245484" w:rsidRDefault="00245484"/>
  </w:footnote>
  <w:footnote w:id="1">
    <w:p w:rsidR="00245484" w:rsidRDefault="00245484">
      <w:pPr>
        <w:pStyle w:val="FootnoteText"/>
      </w:pPr>
      <w:r>
        <w:rPr>
          <w:rStyle w:val="FootnoteReference"/>
        </w:rPr>
        <w:footnoteRef/>
      </w:r>
      <w:r>
        <w:t xml:space="preserve"> </w:t>
      </w:r>
      <w:r>
        <w:tab/>
        <w:t>The Scheme will apply to Power and Water Corporation from 1 July 2019, even though it is not part of the NEM. For this reason, the draft Scheme uses the term, 'relevant market', as opposed to the NEM.</w:t>
      </w:r>
    </w:p>
  </w:footnote>
  <w:footnote w:id="2">
    <w:p w:rsidR="00245484" w:rsidRDefault="00245484" w:rsidP="009D712C">
      <w:pPr>
        <w:pStyle w:val="FootnoteText"/>
      </w:pPr>
      <w:r>
        <w:rPr>
          <w:rStyle w:val="FootnoteReference"/>
        </w:rPr>
        <w:footnoteRef/>
      </w:r>
      <w:r>
        <w:t xml:space="preserve"> </w:t>
      </w:r>
      <w:r>
        <w:tab/>
        <w:t xml:space="preserve">Unlike the price cap framework, revenue caps do not create a disincentive for businesses to reduce demand. While we currently apply an average revenue cap to ActewAGL, we will apply a revenue cap in its next regulatory control period. See AER, </w:t>
      </w:r>
      <w:r w:rsidRPr="00583EDB">
        <w:rPr>
          <w:rStyle w:val="AERtextitalic"/>
        </w:rPr>
        <w:t>Framework and approach: ActewAGL regulatory control period commencing 1 July 2019</w:t>
      </w:r>
      <w:r>
        <w:t>, July 2017, p. 11.</w:t>
      </w:r>
    </w:p>
  </w:footnote>
  <w:footnote w:id="3">
    <w:p w:rsidR="00245484" w:rsidRDefault="00245484" w:rsidP="009D712C">
      <w:pPr>
        <w:pStyle w:val="FootnoteText"/>
      </w:pPr>
      <w:r>
        <w:rPr>
          <w:rStyle w:val="FootnoteReference"/>
        </w:rPr>
        <w:footnoteRef/>
      </w:r>
      <w:r>
        <w:t xml:space="preserve"> </w:t>
      </w:r>
      <w:r>
        <w:tab/>
        <w:t xml:space="preserve">AER, </w:t>
      </w:r>
      <w:r w:rsidRPr="008C625D">
        <w:rPr>
          <w:rStyle w:val="AERtextitalic"/>
        </w:rPr>
        <w:t>Final decision: Distribution annual planning report template V1.0</w:t>
      </w:r>
      <w:r>
        <w:t>, June 2017.</w:t>
      </w:r>
    </w:p>
  </w:footnote>
  <w:footnote w:id="4">
    <w:p w:rsidR="00245484" w:rsidRDefault="00245484">
      <w:pPr>
        <w:pStyle w:val="FootnoteText"/>
      </w:pPr>
      <w:r>
        <w:rPr>
          <w:rStyle w:val="FootnoteReference"/>
        </w:rPr>
        <w:footnoteRef/>
      </w:r>
      <w:r>
        <w:t xml:space="preserve"> </w:t>
      </w:r>
      <w:r>
        <w:tab/>
      </w:r>
      <w:r w:rsidRPr="00CD0D3F">
        <w:t xml:space="preserve">AEMC, </w:t>
      </w:r>
      <w:r w:rsidRPr="00CD0D3F">
        <w:rPr>
          <w:rStyle w:val="AERtextitalic"/>
        </w:rPr>
        <w:t>Rule determination: Demand management incentive scheme</w:t>
      </w:r>
      <w:r w:rsidRPr="00CD0D3F">
        <w:t>, 20 August 2015, pp. 20–21.</w:t>
      </w:r>
    </w:p>
  </w:footnote>
  <w:footnote w:id="5">
    <w:p w:rsidR="00245484" w:rsidRDefault="00245484" w:rsidP="00021D7C">
      <w:pPr>
        <w:pStyle w:val="FootnoteText"/>
      </w:pPr>
      <w:r>
        <w:rPr>
          <w:rStyle w:val="FootnoteReference"/>
        </w:rPr>
        <w:footnoteRef/>
      </w:r>
      <w:r>
        <w:t xml:space="preserve"> </w:t>
      </w:r>
      <w:r>
        <w:tab/>
        <w:t xml:space="preserve">See ISF, </w:t>
      </w:r>
      <w:r w:rsidRPr="008C160B">
        <w:rPr>
          <w:rStyle w:val="AERtextitalic"/>
        </w:rPr>
        <w:t>Re: Demand management incentive scheme supplementary submission</w:t>
      </w:r>
      <w:r>
        <w:t xml:space="preserve">, 8 May 2017; </w:t>
      </w:r>
      <w:r w:rsidRPr="00791130">
        <w:t xml:space="preserve">Dunstan, C., Alexander, D., Morris, T., Langham, E., Jazbec, M., 2017, </w:t>
      </w:r>
      <w:r w:rsidRPr="00791130">
        <w:rPr>
          <w:rStyle w:val="AERtextitalic"/>
        </w:rPr>
        <w:t>Demand Management Incentives Review: Creating a level playing field for network DM in the National Electricity Market</w:t>
      </w:r>
      <w:r w:rsidRPr="00791130">
        <w:t xml:space="preserve"> </w:t>
      </w:r>
      <w:r>
        <w:t xml:space="preserve"> </w:t>
      </w:r>
      <w:r w:rsidRPr="00791130">
        <w:t>(</w:t>
      </w:r>
      <w:r>
        <w:t>p</w:t>
      </w:r>
      <w:r w:rsidRPr="00791130">
        <w:t xml:space="preserve">repared by the </w:t>
      </w:r>
      <w:r>
        <w:t>ISF</w:t>
      </w:r>
      <w:r w:rsidRPr="00791130">
        <w:t>, U</w:t>
      </w:r>
      <w:r>
        <w:t>niversity of Technology Sydney), June 2017.</w:t>
      </w:r>
    </w:p>
  </w:footnote>
  <w:footnote w:id="6">
    <w:p w:rsidR="00245484" w:rsidRDefault="00245484">
      <w:pPr>
        <w:pStyle w:val="FootnoteText"/>
      </w:pPr>
      <w:r>
        <w:rPr>
          <w:rStyle w:val="FootnoteReference"/>
        </w:rPr>
        <w:footnoteRef/>
      </w:r>
      <w:r>
        <w:t xml:space="preserve"> </w:t>
      </w:r>
      <w:r>
        <w:tab/>
        <w:t xml:space="preserve">See submissions under ERC0206 and ERC0218: </w:t>
      </w:r>
      <w:hyperlink r:id="rId1" w:history="1">
        <w:r w:rsidRPr="00BE3B37">
          <w:rPr>
            <w:rStyle w:val="Hyperlink"/>
            <w:sz w:val="16"/>
          </w:rPr>
          <w:t>http://www.aemc.gov.au/Rule-Changes/Contestability-of-energy-services</w:t>
        </w:r>
      </w:hyperlink>
      <w:r>
        <w:t xml:space="preserve">; </w:t>
      </w:r>
      <w:hyperlink r:id="rId2" w:history="1">
        <w:r w:rsidRPr="00BE3B37">
          <w:rPr>
            <w:rStyle w:val="Hyperlink"/>
            <w:sz w:val="16"/>
          </w:rPr>
          <w:t>http://www.aemc.gov.au/Rule-Changes/Contestability-of-energy-services-demand-response</w:t>
        </w:r>
      </w:hyperlink>
      <w:r>
        <w:t xml:space="preserve">. </w:t>
      </w:r>
    </w:p>
  </w:footnote>
  <w:footnote w:id="7">
    <w:p w:rsidR="00245484" w:rsidRDefault="00245484" w:rsidP="009839AC">
      <w:pPr>
        <w:pStyle w:val="FootnoteText"/>
      </w:pPr>
      <w:r>
        <w:rPr>
          <w:rStyle w:val="FootnoteReference"/>
        </w:rPr>
        <w:footnoteRef/>
      </w:r>
      <w:r>
        <w:t xml:space="preserve"> </w:t>
      </w:r>
      <w:r>
        <w:tab/>
        <w:t xml:space="preserve">See AEMC, </w:t>
      </w:r>
      <w:r w:rsidRPr="009839AC">
        <w:rPr>
          <w:rStyle w:val="AERtextitalic"/>
        </w:rPr>
        <w:t>Consultation paper: National Electricity Amendment (Contestability of energy services, Contestability of energy services - demand response and network support) Rule 2016</w:t>
      </w:r>
      <w:r>
        <w:t>, 15 December 2016, Question 7, p. 41.</w:t>
      </w:r>
    </w:p>
  </w:footnote>
  <w:footnote w:id="8">
    <w:p w:rsidR="00245484" w:rsidRDefault="00245484" w:rsidP="00C35C72">
      <w:pPr>
        <w:pStyle w:val="FootnoteText"/>
      </w:pPr>
      <w:r>
        <w:rPr>
          <w:rStyle w:val="FootnoteReference"/>
        </w:rPr>
        <w:footnoteRef/>
      </w:r>
      <w:r>
        <w:t xml:space="preserve"> </w:t>
      </w:r>
      <w:r>
        <w:tab/>
        <w:t xml:space="preserve">AER, </w:t>
      </w:r>
      <w:r w:rsidRPr="00031012">
        <w:rPr>
          <w:rStyle w:val="AERtextitalic"/>
        </w:rPr>
        <w:t>Better regulation: Capital expenditure incentive guideline for electricity network service providers</w:t>
      </w:r>
      <w:r>
        <w:t>, November 2013, p. 13.</w:t>
      </w:r>
    </w:p>
  </w:footnote>
  <w:footnote w:id="9">
    <w:p w:rsidR="00245484" w:rsidRDefault="00245484" w:rsidP="000E6FAF">
      <w:pPr>
        <w:pStyle w:val="FootnoteText"/>
      </w:pPr>
      <w:r>
        <w:rPr>
          <w:rStyle w:val="FootnoteReference"/>
        </w:rPr>
        <w:footnoteRef/>
      </w:r>
      <w:r>
        <w:t xml:space="preserve"> </w:t>
      </w:r>
      <w:r>
        <w:tab/>
        <w:t xml:space="preserve">AEMC, </w:t>
      </w:r>
      <w:r w:rsidRPr="000E6FAF">
        <w:rPr>
          <w:rStyle w:val="AERtextitalic"/>
        </w:rPr>
        <w:t>Rule determination: National Electricity Amendment (Replacement expenditure planning arrangements) Rule 2017</w:t>
      </w:r>
      <w:r>
        <w:t xml:space="preserve">, </w:t>
      </w:r>
      <w:r w:rsidRPr="000E6FAF">
        <w:t>18 July 2017</w:t>
      </w:r>
      <w:r>
        <w:t>.</w:t>
      </w:r>
    </w:p>
  </w:footnote>
  <w:footnote w:id="10">
    <w:p w:rsidR="00245484" w:rsidRDefault="00245484" w:rsidP="0063421B">
      <w:pPr>
        <w:pStyle w:val="FootnoteText"/>
      </w:pPr>
      <w:r>
        <w:rPr>
          <w:rStyle w:val="FootnoteReference"/>
        </w:rPr>
        <w:footnoteRef/>
      </w:r>
      <w:r>
        <w:t xml:space="preserve"> </w:t>
      </w:r>
      <w:r>
        <w:tab/>
        <w:t xml:space="preserve">ECA, </w:t>
      </w:r>
      <w:r w:rsidRPr="0063421B">
        <w:rPr>
          <w:rStyle w:val="AERtextitalic"/>
        </w:rPr>
        <w:t>Submission to the AER’s development of a Demand Management Incentive Scheme and Innovation Allowance</w:t>
      </w:r>
      <w:r>
        <w:t>, June 2017, p. 4.</w:t>
      </w:r>
    </w:p>
  </w:footnote>
  <w:footnote w:id="11">
    <w:p w:rsidR="00245484" w:rsidRDefault="00245484">
      <w:pPr>
        <w:pStyle w:val="FootnoteText"/>
      </w:pPr>
      <w:r>
        <w:rPr>
          <w:rStyle w:val="FootnoteReference"/>
        </w:rPr>
        <w:footnoteRef/>
      </w:r>
      <w:r>
        <w:t xml:space="preserve"> </w:t>
      </w:r>
      <w:r>
        <w:tab/>
      </w:r>
      <w:r w:rsidRPr="00EE2710">
        <w:rPr>
          <w:rStyle w:val="AERtextitalic"/>
        </w:rPr>
        <w:t>National Electricity (South Australia) Act 1996</w:t>
      </w:r>
      <w:r>
        <w:t>, Clause 7 of part 1.</w:t>
      </w:r>
    </w:p>
  </w:footnote>
  <w:footnote w:id="12">
    <w:p w:rsidR="00245484" w:rsidRDefault="00245484" w:rsidP="0061755F">
      <w:pPr>
        <w:pStyle w:val="FootnoteText"/>
      </w:pPr>
      <w:r>
        <w:rPr>
          <w:rStyle w:val="FootnoteReference"/>
        </w:rPr>
        <w:footnoteRef/>
      </w:r>
      <w:r>
        <w:t xml:space="preserve"> </w:t>
      </w:r>
      <w:r>
        <w:tab/>
        <w:t xml:space="preserve">AGL, </w:t>
      </w:r>
      <w:r w:rsidRPr="0068448B">
        <w:rPr>
          <w:rStyle w:val="AERtextitalic"/>
        </w:rPr>
        <w:t>Additional Submission post demand management options day</w:t>
      </w:r>
      <w:r>
        <w:t xml:space="preserve">, April 2017, p. 1; Australian Energy Council, </w:t>
      </w:r>
      <w:r w:rsidRPr="0061755F">
        <w:rPr>
          <w:rStyle w:val="AERtextitalic"/>
        </w:rPr>
        <w:t>Re: Demand management incentive scheme and innovation allowance mechanism: AEC submission following AER workshop</w:t>
      </w:r>
      <w:r>
        <w:t xml:space="preserve">, April 2017; Gill, M, </w:t>
      </w:r>
      <w:r w:rsidRPr="0061755F">
        <w:rPr>
          <w:rStyle w:val="AERtextitalic"/>
        </w:rPr>
        <w:t>Response to AER’s Options Day discussing the Demand Management Incentive Scheme</w:t>
      </w:r>
      <w:r>
        <w:t>, April 2017.</w:t>
      </w:r>
    </w:p>
  </w:footnote>
  <w:footnote w:id="13">
    <w:p w:rsidR="00245484" w:rsidRDefault="00245484">
      <w:pPr>
        <w:pStyle w:val="FootnoteText"/>
      </w:pPr>
      <w:r>
        <w:rPr>
          <w:rStyle w:val="FootnoteReference"/>
        </w:rPr>
        <w:footnoteRef/>
      </w:r>
      <w:r>
        <w:t xml:space="preserve"> </w:t>
      </w:r>
      <w:r>
        <w:tab/>
        <w:t xml:space="preserve">ISF, </w:t>
      </w:r>
      <w:r w:rsidRPr="0068448B">
        <w:rPr>
          <w:rStyle w:val="AERtextitalic"/>
        </w:rPr>
        <w:t>Additional Submission post demand management options day</w:t>
      </w:r>
      <w:r>
        <w:t>, April 2017, p. 2.</w:t>
      </w:r>
    </w:p>
  </w:footnote>
  <w:footnote w:id="14">
    <w:p w:rsidR="00245484" w:rsidRDefault="00245484">
      <w:pPr>
        <w:pStyle w:val="FootnoteText"/>
      </w:pPr>
      <w:r>
        <w:rPr>
          <w:rStyle w:val="FootnoteReference"/>
        </w:rPr>
        <w:footnoteRef/>
      </w:r>
      <w:r>
        <w:t xml:space="preserve"> </w:t>
      </w:r>
      <w:r>
        <w:tab/>
        <w:t xml:space="preserve">Total Environment Centre, </w:t>
      </w:r>
      <w:r w:rsidRPr="0068448B">
        <w:rPr>
          <w:rStyle w:val="AERtextitalic"/>
        </w:rPr>
        <w:t>Additional Submission post demand management options day</w:t>
      </w:r>
      <w:r>
        <w:t>, April 2017, p. 1.</w:t>
      </w:r>
    </w:p>
  </w:footnote>
  <w:footnote w:id="15">
    <w:p w:rsidR="00245484" w:rsidRPr="007A5271" w:rsidRDefault="00245484" w:rsidP="007A5271">
      <w:pPr>
        <w:pStyle w:val="FootnoteText"/>
        <w:rPr>
          <w:rStyle w:val="AERtextitalic"/>
        </w:rPr>
      </w:pPr>
      <w:r>
        <w:rPr>
          <w:rStyle w:val="FootnoteReference"/>
        </w:rPr>
        <w:footnoteRef/>
      </w:r>
      <w:r>
        <w:t xml:space="preserve"> </w:t>
      </w:r>
      <w:r>
        <w:tab/>
        <w:t xml:space="preserve">ECA, </w:t>
      </w:r>
      <w:r>
        <w:rPr>
          <w:rStyle w:val="AERtextitalic"/>
        </w:rPr>
        <w:t xml:space="preserve">Submission to the AER's development of a Demand Management Incentive Scheme and Innovation Allowance, </w:t>
      </w:r>
      <w:r w:rsidRPr="007A5271">
        <w:rPr>
          <w:rStyle w:val="AERtextitalic"/>
          <w:i w:val="0"/>
        </w:rPr>
        <w:t>June 2017</w:t>
      </w:r>
      <w:r>
        <w:rPr>
          <w:rStyle w:val="AERtextitalic"/>
        </w:rPr>
        <w:t>.</w:t>
      </w:r>
    </w:p>
  </w:footnote>
  <w:footnote w:id="16">
    <w:p w:rsidR="00245484" w:rsidRDefault="00245484" w:rsidP="0095185B">
      <w:pPr>
        <w:pStyle w:val="FootnoteText"/>
      </w:pPr>
      <w:r>
        <w:rPr>
          <w:rStyle w:val="FootnoteReference"/>
        </w:rPr>
        <w:footnoteRef/>
      </w:r>
      <w:r>
        <w:t xml:space="preserve"> </w:t>
      </w:r>
      <w:r>
        <w:tab/>
        <w:t xml:space="preserve">Ausgrid, </w:t>
      </w:r>
      <w:r w:rsidRPr="009817B7">
        <w:rPr>
          <w:rStyle w:val="AERtextitalic"/>
        </w:rPr>
        <w:t>Submission to demand management consultation paper</w:t>
      </w:r>
      <w:r>
        <w:t>, 23 February 2017.</w:t>
      </w:r>
    </w:p>
  </w:footnote>
  <w:footnote w:id="17">
    <w:p w:rsidR="00245484" w:rsidRDefault="00245484" w:rsidP="0095185B">
      <w:pPr>
        <w:pStyle w:val="FootnoteText"/>
      </w:pPr>
      <w:r>
        <w:rPr>
          <w:rStyle w:val="FootnoteReference"/>
        </w:rPr>
        <w:footnoteRef/>
      </w:r>
      <w:r>
        <w:t xml:space="preserve"> </w:t>
      </w:r>
      <w:r>
        <w:tab/>
        <w:t xml:space="preserve">SA Power Networks, </w:t>
      </w:r>
      <w:r w:rsidRPr="009817B7">
        <w:rPr>
          <w:rStyle w:val="AERtextitalic"/>
        </w:rPr>
        <w:t>Submission to demand management consultation paper</w:t>
      </w:r>
      <w:r>
        <w:t xml:space="preserve">, 24 February 2017; SA Power Networks, </w:t>
      </w:r>
      <w:r w:rsidRPr="009817B7">
        <w:rPr>
          <w:rStyle w:val="AERtextitalic"/>
        </w:rPr>
        <w:t>Supplementary note following demand management options day</w:t>
      </w:r>
      <w:r>
        <w:t xml:space="preserve">, 21 April 2017; Energex, </w:t>
      </w:r>
      <w:r w:rsidRPr="009817B7">
        <w:rPr>
          <w:rStyle w:val="AERtextitalic"/>
        </w:rPr>
        <w:t>Submission to demand management consultation paper</w:t>
      </w:r>
      <w:r>
        <w:t>, 24 February 2017.</w:t>
      </w:r>
    </w:p>
  </w:footnote>
  <w:footnote w:id="18">
    <w:p w:rsidR="00245484" w:rsidRDefault="00245484">
      <w:pPr>
        <w:pStyle w:val="FootnoteText"/>
      </w:pPr>
      <w:r>
        <w:rPr>
          <w:rStyle w:val="FootnoteReference"/>
        </w:rPr>
        <w:footnoteRef/>
      </w:r>
      <w:r>
        <w:t xml:space="preserve"> </w:t>
      </w:r>
      <w:r>
        <w:tab/>
        <w:t xml:space="preserve">AEMO, </w:t>
      </w:r>
      <w:r w:rsidRPr="00A2755B">
        <w:rPr>
          <w:rStyle w:val="AERtextitalic"/>
        </w:rPr>
        <w:t>Electricity forecasting insights for the NEM</w:t>
      </w:r>
      <w:r>
        <w:t>, June 2017, p. 8.</w:t>
      </w:r>
    </w:p>
  </w:footnote>
  <w:footnote w:id="19">
    <w:p w:rsidR="00245484" w:rsidRDefault="00245484" w:rsidP="0095185B">
      <w:pPr>
        <w:pStyle w:val="FootnoteText"/>
      </w:pPr>
      <w:r>
        <w:rPr>
          <w:rStyle w:val="FootnoteReference"/>
        </w:rPr>
        <w:footnoteRef/>
      </w:r>
      <w:r>
        <w:t xml:space="preserve"> </w:t>
      </w:r>
      <w:r>
        <w:tab/>
        <w:t xml:space="preserve">AEMO, </w:t>
      </w:r>
      <w:r w:rsidRPr="009817B7">
        <w:rPr>
          <w:rStyle w:val="AERtextitalic"/>
        </w:rPr>
        <w:t>Submission to demand management consultation paper</w:t>
      </w:r>
      <w:r>
        <w:t>, 28 February 2017.</w:t>
      </w:r>
    </w:p>
  </w:footnote>
  <w:footnote w:id="20">
    <w:p w:rsidR="00245484" w:rsidRDefault="00245484" w:rsidP="00936D42">
      <w:pPr>
        <w:pStyle w:val="FootnoteText"/>
      </w:pPr>
      <w:r>
        <w:rPr>
          <w:rStyle w:val="FootnoteReference"/>
        </w:rPr>
        <w:footnoteRef/>
      </w:r>
      <w:r>
        <w:t xml:space="preserve"> </w:t>
      </w:r>
      <w:r>
        <w:tab/>
        <w:t xml:space="preserve">See clauses 3.1 and 4 of AER, </w:t>
      </w:r>
      <w:r w:rsidRPr="000C50DD">
        <w:rPr>
          <w:rStyle w:val="AERtextitalic"/>
        </w:rPr>
        <w:t>Ring-fencing guideline: Electricity distribution</w:t>
      </w:r>
      <w:r>
        <w:t>, November 2016.</w:t>
      </w:r>
    </w:p>
  </w:footnote>
  <w:footnote w:id="21">
    <w:p w:rsidR="00245484" w:rsidRDefault="00245484" w:rsidP="00936D42">
      <w:pPr>
        <w:pStyle w:val="FootnoteText"/>
      </w:pPr>
      <w:r>
        <w:rPr>
          <w:rStyle w:val="FootnoteReference"/>
        </w:rPr>
        <w:footnoteRef/>
      </w:r>
      <w:r>
        <w:t xml:space="preserve"> </w:t>
      </w:r>
      <w:r>
        <w:tab/>
        <w:t>T</w:t>
      </w:r>
      <w:r w:rsidRPr="00936D42">
        <w:t>he AEMC is currently consulting on rule change requests from the Australian Energy Council and COAG Energy Council that may affect how distributors may undertake non-network options relating to demand management</w:t>
      </w:r>
      <w:r>
        <w:t xml:space="preserve">. See ERC0206: </w:t>
      </w:r>
      <w:r w:rsidRPr="00F9377B">
        <w:rPr>
          <w:rStyle w:val="AERtextitalic"/>
        </w:rPr>
        <w:t>Contestability of energy services</w:t>
      </w:r>
      <w:r>
        <w:t xml:space="preserve"> and ERC2018, </w:t>
      </w:r>
      <w:r w:rsidRPr="00F9377B">
        <w:rPr>
          <w:rStyle w:val="AERtextitalic"/>
        </w:rPr>
        <w:t>Contestability of energy services - demand response and network support</w:t>
      </w:r>
      <w:r>
        <w:t xml:space="preserve"> under </w:t>
      </w:r>
      <w:hyperlink r:id="rId3" w:history="1">
        <w:r w:rsidRPr="0068478F">
          <w:rPr>
            <w:rStyle w:val="Hyperlink"/>
            <w:sz w:val="16"/>
          </w:rPr>
          <w:t>http://www.aemc.gov.au/Rule-Changes/Contestability-of-energy-services</w:t>
        </w:r>
      </w:hyperlink>
      <w:r>
        <w:t xml:space="preserve">, </w:t>
      </w:r>
      <w:hyperlink r:id="rId4" w:history="1">
        <w:r w:rsidRPr="0068478F">
          <w:rPr>
            <w:rStyle w:val="Hyperlink"/>
            <w:sz w:val="16"/>
          </w:rPr>
          <w:t>http://www.aemc.gov.au/Rule-Changes/Contestability-of-energy-services-demand-response</w:t>
        </w:r>
      </w:hyperlink>
      <w:r>
        <w:t xml:space="preserve">. </w:t>
      </w:r>
    </w:p>
  </w:footnote>
  <w:footnote w:id="22">
    <w:p w:rsidR="00245484" w:rsidRDefault="00245484" w:rsidP="00C26AD1">
      <w:pPr>
        <w:pStyle w:val="FootnoteText"/>
      </w:pPr>
      <w:r>
        <w:rPr>
          <w:rStyle w:val="FootnoteReference"/>
        </w:rPr>
        <w:footnoteRef/>
      </w:r>
      <w:r>
        <w:t xml:space="preserve"> </w:t>
      </w:r>
      <w:r>
        <w:tab/>
        <w:t>The Scheme will apply to Power and Water Corporation from 1 July 2019, even though it is not part of the NEM. For this reason, the draft Scheme uses the term, 'relevant market', as opposed to the NEM.</w:t>
      </w:r>
    </w:p>
  </w:footnote>
  <w:footnote w:id="23">
    <w:p w:rsidR="00245484" w:rsidRDefault="00245484">
      <w:pPr>
        <w:pStyle w:val="FootnoteText"/>
      </w:pPr>
      <w:r>
        <w:rPr>
          <w:rStyle w:val="FootnoteReference"/>
        </w:rPr>
        <w:footnoteRef/>
      </w:r>
      <w:r>
        <w:t xml:space="preserve"> </w:t>
      </w:r>
      <w:r>
        <w:tab/>
      </w:r>
      <w:hyperlink r:id="rId5" w:history="1">
        <w:r w:rsidRPr="008B12DA">
          <w:rPr>
            <w:rStyle w:val="Hyperlink"/>
            <w:sz w:val="16"/>
          </w:rPr>
          <w:t>https://www.aer.gov.au/networks-pipelines/guidelines-schemes-models-reviews/demand-management-incentive-scheme-and-innovation-allowance-mechanism/initiation</w:t>
        </w:r>
      </w:hyperlink>
      <w:r>
        <w:t>.</w:t>
      </w:r>
    </w:p>
  </w:footnote>
  <w:footnote w:id="24">
    <w:p w:rsidR="00245484" w:rsidRDefault="00245484">
      <w:pPr>
        <w:pStyle w:val="FootnoteText"/>
      </w:pPr>
      <w:r>
        <w:rPr>
          <w:rStyle w:val="FootnoteReference"/>
        </w:rPr>
        <w:footnoteRef/>
      </w:r>
      <w:r>
        <w:t xml:space="preserve"> </w:t>
      </w:r>
      <w:r>
        <w:tab/>
        <w:t xml:space="preserve">ECA, </w:t>
      </w:r>
      <w:r w:rsidRPr="0063421B">
        <w:rPr>
          <w:rStyle w:val="AERtextitalic"/>
        </w:rPr>
        <w:t>Submission to the AER’s development of a Demand Management Incentive Scheme and Innovation Allowance</w:t>
      </w:r>
      <w:r>
        <w:t>, June 2017, p. 2.</w:t>
      </w:r>
    </w:p>
  </w:footnote>
  <w:footnote w:id="25">
    <w:p w:rsidR="00245484" w:rsidRDefault="00245484">
      <w:pPr>
        <w:pStyle w:val="FootnoteText"/>
      </w:pPr>
      <w:r>
        <w:rPr>
          <w:rStyle w:val="FootnoteReference"/>
        </w:rPr>
        <w:footnoteRef/>
      </w:r>
      <w:r>
        <w:t xml:space="preserve"> </w:t>
      </w:r>
      <w:r>
        <w:tab/>
        <w:t>TEC,</w:t>
      </w:r>
      <w:r w:rsidRPr="00583872">
        <w:rPr>
          <w:rStyle w:val="AERtextitalic"/>
        </w:rPr>
        <w:t>DMIS consultation paper</w:t>
      </w:r>
      <w:r>
        <w:t>, February 2017, p. 2.</w:t>
      </w:r>
    </w:p>
  </w:footnote>
  <w:footnote w:id="26">
    <w:p w:rsidR="00245484" w:rsidRDefault="00245484">
      <w:pPr>
        <w:pStyle w:val="FootnoteText"/>
      </w:pPr>
      <w:r>
        <w:rPr>
          <w:rStyle w:val="FootnoteReference"/>
        </w:rPr>
        <w:footnoteRef/>
      </w:r>
      <w:r>
        <w:t xml:space="preserve"> </w:t>
      </w:r>
      <w:r>
        <w:tab/>
        <w:t xml:space="preserve">QFF, </w:t>
      </w:r>
      <w:r w:rsidRPr="00583872">
        <w:rPr>
          <w:rStyle w:val="AERtextitalic"/>
        </w:rPr>
        <w:t>Re: Submission on the Demand Management Incentive Scheme and Innovation Allowance Mechanism, Consultation Paper</w:t>
      </w:r>
      <w:r>
        <w:t>, January 2017, p. 2.</w:t>
      </w:r>
    </w:p>
  </w:footnote>
  <w:footnote w:id="27">
    <w:p w:rsidR="00245484" w:rsidRDefault="00245484">
      <w:pPr>
        <w:pStyle w:val="FootnoteText"/>
      </w:pPr>
      <w:r>
        <w:rPr>
          <w:rStyle w:val="FootnoteReference"/>
        </w:rPr>
        <w:footnoteRef/>
      </w:r>
      <w:r>
        <w:t xml:space="preserve"> </w:t>
      </w:r>
      <w:r>
        <w:tab/>
        <w:t xml:space="preserve">PIAC, </w:t>
      </w:r>
      <w:r w:rsidRPr="00E22E53">
        <w:rPr>
          <w:rStyle w:val="AERtextitalic"/>
        </w:rPr>
        <w:t>Re: Submission on the Demand Management Incentive Scheme and Innovation Allowance Mechanism, Consultation Paper</w:t>
      </w:r>
      <w:r>
        <w:t>, January 2017, p. 3.</w:t>
      </w:r>
    </w:p>
  </w:footnote>
  <w:footnote w:id="28">
    <w:p w:rsidR="00245484" w:rsidRDefault="00245484">
      <w:pPr>
        <w:pStyle w:val="FootnoteText"/>
      </w:pPr>
      <w:r>
        <w:rPr>
          <w:rStyle w:val="FootnoteReference"/>
        </w:rPr>
        <w:footnoteRef/>
      </w:r>
      <w:r>
        <w:t xml:space="preserve"> </w:t>
      </w:r>
      <w:r>
        <w:tab/>
        <w:t xml:space="preserve">See NSWIC and Cotton Australia, </w:t>
      </w:r>
      <w:r w:rsidRPr="00E22E53">
        <w:rPr>
          <w:rStyle w:val="AERtextitalic"/>
        </w:rPr>
        <w:t>Re: Demand Management Incentive Scheme &amp; Innovation Allowance Mechanism</w:t>
      </w:r>
      <w:r>
        <w:t>, 24 February 2017, p. 4.</w:t>
      </w:r>
    </w:p>
  </w:footnote>
  <w:footnote w:id="29">
    <w:p w:rsidR="00245484" w:rsidRDefault="00245484">
      <w:pPr>
        <w:pStyle w:val="FootnoteText"/>
      </w:pPr>
      <w:r>
        <w:rPr>
          <w:rStyle w:val="FootnoteReference"/>
        </w:rPr>
        <w:footnoteRef/>
      </w:r>
      <w:r>
        <w:t xml:space="preserve"> </w:t>
      </w:r>
      <w:r>
        <w:tab/>
        <w:t xml:space="preserve">SAPN, </w:t>
      </w:r>
      <w:r w:rsidRPr="005B6218">
        <w:rPr>
          <w:rStyle w:val="AERtextitalic"/>
        </w:rPr>
        <w:t>Additional note on AER demand management workshop</w:t>
      </w:r>
      <w:r>
        <w:t xml:space="preserve">, April 2016, p. 2; United Energy, </w:t>
      </w:r>
      <w:r w:rsidRPr="00883652">
        <w:rPr>
          <w:rStyle w:val="AERtextitalic"/>
        </w:rPr>
        <w:t>Demand management incentive scheme and innovation allowance mechanism</w:t>
      </w:r>
      <w:r>
        <w:t>, April 2017, p. 2</w:t>
      </w:r>
    </w:p>
  </w:footnote>
  <w:footnote w:id="30">
    <w:p w:rsidR="00245484" w:rsidRDefault="00245484">
      <w:pPr>
        <w:pStyle w:val="FootnoteText"/>
      </w:pPr>
      <w:r>
        <w:rPr>
          <w:rStyle w:val="FootnoteReference"/>
        </w:rPr>
        <w:footnoteRef/>
      </w:r>
      <w:r>
        <w:t xml:space="preserve"> </w:t>
      </w:r>
      <w:r>
        <w:tab/>
        <w:t xml:space="preserve">ISF, </w:t>
      </w:r>
      <w:r w:rsidRPr="00883652">
        <w:rPr>
          <w:rStyle w:val="AERtextitalic"/>
        </w:rPr>
        <w:t>RE: Demand Management Incentive Scheme Supplementary Submission</w:t>
      </w:r>
      <w:r>
        <w:t>, 8 May 2017, p. 9.</w:t>
      </w:r>
    </w:p>
  </w:footnote>
  <w:footnote w:id="31">
    <w:p w:rsidR="00245484" w:rsidRDefault="00245484">
      <w:pPr>
        <w:pStyle w:val="FootnoteText"/>
      </w:pPr>
      <w:r>
        <w:rPr>
          <w:rStyle w:val="FootnoteReference"/>
        </w:rPr>
        <w:footnoteRef/>
      </w:r>
      <w:r>
        <w:t xml:space="preserve"> </w:t>
      </w:r>
      <w:r>
        <w:tab/>
        <w:t xml:space="preserve">ISF, </w:t>
      </w:r>
      <w:r w:rsidRPr="008C160B">
        <w:rPr>
          <w:rStyle w:val="AERtextitalic"/>
        </w:rPr>
        <w:t>Re: Demand management incentive scheme supplementary submission</w:t>
      </w:r>
      <w:r>
        <w:t>, 8 May 2017, p. 11.</w:t>
      </w:r>
    </w:p>
  </w:footnote>
  <w:footnote w:id="32">
    <w:p w:rsidR="00245484" w:rsidRDefault="00245484" w:rsidP="00B00AA0">
      <w:pPr>
        <w:pStyle w:val="FootnoteText"/>
      </w:pPr>
      <w:r>
        <w:rPr>
          <w:rStyle w:val="FootnoteReference"/>
        </w:rPr>
        <w:footnoteRef/>
      </w:r>
      <w:r>
        <w:t xml:space="preserve"> </w:t>
      </w:r>
      <w:r>
        <w:tab/>
      </w:r>
      <w:r w:rsidRPr="00791130">
        <w:t xml:space="preserve">Dunstan, C., Alexander, D., Morris, T., Langham, E., Jazbec, M., 2017, </w:t>
      </w:r>
      <w:r w:rsidRPr="00791130">
        <w:rPr>
          <w:rStyle w:val="AERtextitalic"/>
        </w:rPr>
        <w:t>Demand Management Incentives Review: Creating a level playing field for network DM in the National Electricity Market</w:t>
      </w:r>
      <w:r w:rsidRPr="00791130">
        <w:t xml:space="preserve"> (</w:t>
      </w:r>
      <w:r>
        <w:t>p</w:t>
      </w:r>
      <w:r w:rsidRPr="00791130">
        <w:t xml:space="preserve">repared by the </w:t>
      </w:r>
      <w:r>
        <w:t>ISF</w:t>
      </w:r>
      <w:r w:rsidRPr="00791130">
        <w:t>, U</w:t>
      </w:r>
      <w:r>
        <w:t>niversity of Technology Sydney), June 2017, iv.</w:t>
      </w:r>
    </w:p>
  </w:footnote>
  <w:footnote w:id="33">
    <w:p w:rsidR="00245484" w:rsidRDefault="00245484">
      <w:pPr>
        <w:pStyle w:val="FootnoteText"/>
      </w:pPr>
      <w:r>
        <w:rPr>
          <w:rStyle w:val="FootnoteReference"/>
        </w:rPr>
        <w:footnoteRef/>
      </w:r>
      <w:r>
        <w:t xml:space="preserve"> </w:t>
      </w:r>
      <w:r>
        <w:tab/>
        <w:t xml:space="preserve">See Oakley Greenwood, </w:t>
      </w:r>
      <w:r w:rsidRPr="00791130">
        <w:rPr>
          <w:rStyle w:val="AERtextitalic"/>
        </w:rPr>
        <w:t>Advice on the DMIS incentive prepared for AER</w:t>
      </w:r>
      <w:r>
        <w:t>, 23 June 2017, pp. 13</w:t>
      </w:r>
      <w:r>
        <w:rPr>
          <w:rFonts w:cs="Arial"/>
        </w:rPr>
        <w:t>–</w:t>
      </w:r>
      <w:r>
        <w:t>20.</w:t>
      </w:r>
    </w:p>
  </w:footnote>
  <w:footnote w:id="34">
    <w:p w:rsidR="00245484" w:rsidRDefault="00245484">
      <w:pPr>
        <w:pStyle w:val="FootnoteText"/>
      </w:pPr>
      <w:r>
        <w:rPr>
          <w:rStyle w:val="FootnoteReference"/>
        </w:rPr>
        <w:footnoteRef/>
      </w:r>
      <w:r>
        <w:t xml:space="preserve"> </w:t>
      </w:r>
      <w:r>
        <w:tab/>
        <w:t xml:space="preserve">ECA, </w:t>
      </w:r>
      <w:r>
        <w:rPr>
          <w:rStyle w:val="AERtextitalic"/>
        </w:rPr>
        <w:t xml:space="preserve">Submission to the AER's development of a Demand Management Incentive Scheme and Innovation Allowance, </w:t>
      </w:r>
      <w:r w:rsidRPr="00DD085E">
        <w:rPr>
          <w:rStyle w:val="AERtextitalic"/>
        </w:rPr>
        <w:t>June 2017</w:t>
      </w:r>
      <w:r w:rsidRPr="00A10FF4">
        <w:rPr>
          <w:rStyle w:val="AERtextsize8"/>
        </w:rPr>
        <w:t>, p.4.</w:t>
      </w:r>
    </w:p>
  </w:footnote>
  <w:footnote w:id="35">
    <w:p w:rsidR="00245484" w:rsidRDefault="00245484" w:rsidP="00791130">
      <w:pPr>
        <w:pStyle w:val="FootnoteText"/>
      </w:pPr>
      <w:r>
        <w:rPr>
          <w:rStyle w:val="FootnoteReference"/>
        </w:rPr>
        <w:footnoteRef/>
      </w:r>
      <w:r>
        <w:t xml:space="preserve"> </w:t>
      </w:r>
      <w:r>
        <w:tab/>
        <w:t xml:space="preserve">ISF, </w:t>
      </w:r>
      <w:r w:rsidRPr="008C160B">
        <w:rPr>
          <w:rStyle w:val="AERtextitalic"/>
        </w:rPr>
        <w:t>Re: Demand management incentive scheme supplementary submission</w:t>
      </w:r>
      <w:r>
        <w:t>, 8 May 2017, p. 11.</w:t>
      </w:r>
    </w:p>
  </w:footnote>
  <w:footnote w:id="36">
    <w:p w:rsidR="00245484" w:rsidRDefault="00245484" w:rsidP="00791130">
      <w:pPr>
        <w:pStyle w:val="FootnoteText"/>
      </w:pPr>
      <w:r>
        <w:rPr>
          <w:rStyle w:val="FootnoteReference"/>
        </w:rPr>
        <w:footnoteRef/>
      </w:r>
      <w:r>
        <w:t xml:space="preserve"> </w:t>
      </w:r>
      <w:r>
        <w:tab/>
      </w:r>
      <w:r w:rsidRPr="00791130">
        <w:t xml:space="preserve">Dunstan, C., Alexander, D., Morris, T., Langham, E., Jazbec, M., 2017, </w:t>
      </w:r>
      <w:r w:rsidRPr="00791130">
        <w:rPr>
          <w:rStyle w:val="AERtextitalic"/>
        </w:rPr>
        <w:t>Demand Management Incentives Review: Creating a level playing field for network DM in the National Electricity Market</w:t>
      </w:r>
      <w:r>
        <w:t xml:space="preserve"> </w:t>
      </w:r>
      <w:r w:rsidRPr="00791130">
        <w:t>(</w:t>
      </w:r>
      <w:r>
        <w:t>p</w:t>
      </w:r>
      <w:r w:rsidRPr="00791130">
        <w:t xml:space="preserve">repared by </w:t>
      </w:r>
      <w:r>
        <w:t>ISF</w:t>
      </w:r>
      <w:r w:rsidRPr="00791130">
        <w:t>, U</w:t>
      </w:r>
      <w:r>
        <w:t>niversity of Technology Sydney), June 2017, iv.</w:t>
      </w:r>
    </w:p>
  </w:footnote>
  <w:footnote w:id="37">
    <w:p w:rsidR="00245484" w:rsidRDefault="00245484" w:rsidP="00791130">
      <w:pPr>
        <w:pStyle w:val="FootnoteText"/>
      </w:pPr>
      <w:r>
        <w:rPr>
          <w:rStyle w:val="FootnoteReference"/>
        </w:rPr>
        <w:footnoteRef/>
      </w:r>
      <w:r>
        <w:t xml:space="preserve"> </w:t>
      </w:r>
      <w:r>
        <w:tab/>
        <w:t xml:space="preserve">GreenSync, </w:t>
      </w:r>
      <w:r w:rsidRPr="0099641B">
        <w:rPr>
          <w:rStyle w:val="AERtextitalic"/>
        </w:rPr>
        <w:t>Demand management incentive scheme &amp; innovation allowance mechanism consultation paper</w:t>
      </w:r>
      <w:r>
        <w:t>, 25 February 2017, p. 3.</w:t>
      </w:r>
    </w:p>
  </w:footnote>
  <w:footnote w:id="38">
    <w:p w:rsidR="00245484" w:rsidRDefault="00245484" w:rsidP="00791130">
      <w:pPr>
        <w:pStyle w:val="FootnoteText"/>
      </w:pPr>
      <w:r>
        <w:rPr>
          <w:rStyle w:val="FootnoteReference"/>
        </w:rPr>
        <w:footnoteRef/>
      </w:r>
      <w:r>
        <w:t xml:space="preserve"> </w:t>
      </w:r>
      <w:r>
        <w:tab/>
        <w:t>That is, 6.37</w:t>
      </w:r>
      <w:r w:rsidRPr="0078383B">
        <w:t xml:space="preserve"> per cent</w:t>
      </w:r>
      <w:r>
        <w:t xml:space="preserve">. See United Energy, </w:t>
      </w:r>
      <w:r w:rsidRPr="000D5838">
        <w:rPr>
          <w:rStyle w:val="AERtextitalic"/>
        </w:rPr>
        <w:t>Demand management incentive scheme and innovation allowance mechanism</w:t>
      </w:r>
      <w:r>
        <w:t>, 19 April 2017, p. 2.</w:t>
      </w:r>
    </w:p>
  </w:footnote>
  <w:footnote w:id="39">
    <w:p w:rsidR="00245484" w:rsidRDefault="00245484">
      <w:pPr>
        <w:pStyle w:val="FootnoteText"/>
      </w:pPr>
      <w:r>
        <w:rPr>
          <w:rStyle w:val="FootnoteReference"/>
        </w:rPr>
        <w:footnoteRef/>
      </w:r>
      <w:r>
        <w:t xml:space="preserve"> </w:t>
      </w:r>
      <w:r>
        <w:tab/>
        <w:t xml:space="preserve">Oakley Greenwood, </w:t>
      </w:r>
      <w:r w:rsidRPr="00791130">
        <w:rPr>
          <w:rStyle w:val="AERtextitalic"/>
        </w:rPr>
        <w:t>Advice on the DMIS incentive prepared for AER</w:t>
      </w:r>
      <w:r>
        <w:t>, 23 June 2017, pp. 15</w:t>
      </w:r>
      <w:r>
        <w:rPr>
          <w:rFonts w:cs="Arial"/>
        </w:rPr>
        <w:t>–</w:t>
      </w:r>
      <w:r>
        <w:t>17.</w:t>
      </w:r>
    </w:p>
  </w:footnote>
  <w:footnote w:id="40">
    <w:p w:rsidR="00245484" w:rsidRDefault="00245484">
      <w:pPr>
        <w:pStyle w:val="FootnoteText"/>
      </w:pPr>
      <w:r>
        <w:rPr>
          <w:rStyle w:val="FootnoteReference"/>
        </w:rPr>
        <w:footnoteRef/>
      </w:r>
      <w:r>
        <w:t xml:space="preserve"> </w:t>
      </w:r>
      <w:r>
        <w:tab/>
        <w:t>6.3</w:t>
      </w:r>
      <w:r w:rsidRPr="0078383B">
        <w:t xml:space="preserve"> per cent</w:t>
      </w:r>
      <w:r>
        <w:t xml:space="preserve"> is the average of the allowed rate of returns which we applied in our most recent distribution determinations for distributors across ACT, NSW, Queensland, SA, Tasmania and Victoria.</w:t>
      </w:r>
    </w:p>
  </w:footnote>
  <w:footnote w:id="41">
    <w:p w:rsidR="00245484" w:rsidRDefault="00245484">
      <w:pPr>
        <w:pStyle w:val="FootnoteText"/>
      </w:pPr>
      <w:r>
        <w:rPr>
          <w:rStyle w:val="FootnoteReference"/>
        </w:rPr>
        <w:footnoteRef/>
      </w:r>
      <w:r>
        <w:t xml:space="preserve"> </w:t>
      </w:r>
      <w:r>
        <w:tab/>
        <w:t xml:space="preserve">Ausgrid, AusNet Services, ENA and United Energy indicated this position when arguing against demand management targets in their submissions to our Consultation Paper. For instance, United Energy submitted that ' a demand management solution should only be adopted if it is the most economic option (in maximising the net market benefits). See United Energy, </w:t>
      </w:r>
      <w:r w:rsidRPr="001C2C22">
        <w:rPr>
          <w:rStyle w:val="AERtextitalic"/>
        </w:rPr>
        <w:t>RE: Consultation paper – Scheme and Allowance Mechanism</w:t>
      </w:r>
      <w:r>
        <w:t>, 24 February 2017, p. 6.</w:t>
      </w:r>
    </w:p>
  </w:footnote>
  <w:footnote w:id="42">
    <w:p w:rsidR="00245484" w:rsidRDefault="00245484">
      <w:pPr>
        <w:pStyle w:val="FootnoteText"/>
      </w:pPr>
      <w:r>
        <w:rPr>
          <w:rStyle w:val="FootnoteReference"/>
        </w:rPr>
        <w:footnoteRef/>
      </w:r>
      <w:r>
        <w:t xml:space="preserve"> </w:t>
      </w:r>
      <w:r>
        <w:tab/>
        <w:t xml:space="preserve">For instance, Dr Martin Gill cautions against distributors' ex-ante cost-benefit analyses of demand management projects. See Gill, M., </w:t>
      </w:r>
      <w:r w:rsidRPr="00C113B3">
        <w:rPr>
          <w:rStyle w:val="AERtextitalic"/>
        </w:rPr>
        <w:t>Submission: Demand management incentive scheme</w:t>
      </w:r>
      <w:r>
        <w:t xml:space="preserve">, 11 February 2017; Gill, M., </w:t>
      </w:r>
      <w:r w:rsidRPr="00C113B3">
        <w:rPr>
          <w:rStyle w:val="AERtextitalic"/>
        </w:rPr>
        <w:t>Response to AER's Options Day discussing the demand management incentive scheme</w:t>
      </w:r>
      <w:r>
        <w:t xml:space="preserve">, 21 April 2017. In contrast, Dunstan et al view the consideration of net market benefits as important for overcoming the underutilisation of efficient demand management. See </w:t>
      </w:r>
      <w:r w:rsidRPr="00EA4505">
        <w:t xml:space="preserve">Dunstan, C., Alexander, D., Morris, T., Langham, E., Jazbec, M., 2017, </w:t>
      </w:r>
      <w:r w:rsidRPr="00EA4505">
        <w:rPr>
          <w:rStyle w:val="AERtextitalic"/>
        </w:rPr>
        <w:t>Demand Management Incentives Review: Creating a level playing field for network DM in the NEM</w:t>
      </w:r>
      <w:r w:rsidRPr="00EA4505">
        <w:t xml:space="preserve"> (Prepared by the </w:t>
      </w:r>
      <w:r>
        <w:t>ISF, UTS</w:t>
      </w:r>
      <w:r w:rsidRPr="00EA4505">
        <w:t>)</w:t>
      </w:r>
      <w:r>
        <w:t>, June 2017</w:t>
      </w:r>
      <w:r w:rsidRPr="00EA4505">
        <w:t>.</w:t>
      </w:r>
    </w:p>
  </w:footnote>
  <w:footnote w:id="43">
    <w:p w:rsidR="00245484" w:rsidRDefault="00245484">
      <w:pPr>
        <w:pStyle w:val="FootnoteText"/>
      </w:pPr>
      <w:r>
        <w:rPr>
          <w:rStyle w:val="FootnoteReference"/>
        </w:rPr>
        <w:footnoteRef/>
      </w:r>
      <w:r>
        <w:t xml:space="preserve"> </w:t>
      </w:r>
      <w:r>
        <w:tab/>
        <w:t>At the Directions Forum, a number of stakeholders expressed this view; including representatives from AEMO, Ausgrid, the ENA, Pooled Energy, SA Power Networks and TasNetworks.</w:t>
      </w:r>
    </w:p>
  </w:footnote>
  <w:footnote w:id="44">
    <w:p w:rsidR="00245484" w:rsidRDefault="00245484">
      <w:pPr>
        <w:pStyle w:val="FootnoteText"/>
      </w:pPr>
      <w:r>
        <w:rPr>
          <w:rStyle w:val="FootnoteReference"/>
        </w:rPr>
        <w:footnoteRef/>
      </w:r>
      <w:r>
        <w:t xml:space="preserve"> </w:t>
      </w:r>
      <w:r>
        <w:tab/>
        <w:t xml:space="preserve">Ausgrid, </w:t>
      </w:r>
      <w:r w:rsidRPr="009817B7">
        <w:rPr>
          <w:rStyle w:val="AERtextitalic"/>
        </w:rPr>
        <w:t>Submission to demand management consultation paper</w:t>
      </w:r>
      <w:r>
        <w:t>, 23 February 2017.</w:t>
      </w:r>
    </w:p>
  </w:footnote>
  <w:footnote w:id="45">
    <w:p w:rsidR="00245484" w:rsidRDefault="00245484">
      <w:pPr>
        <w:pStyle w:val="FootnoteText"/>
      </w:pPr>
      <w:r>
        <w:rPr>
          <w:rStyle w:val="FootnoteReference"/>
        </w:rPr>
        <w:footnoteRef/>
      </w:r>
      <w:r>
        <w:t xml:space="preserve"> </w:t>
      </w:r>
      <w:r>
        <w:tab/>
        <w:t xml:space="preserve">SA Power Networks, </w:t>
      </w:r>
      <w:r w:rsidRPr="009817B7">
        <w:rPr>
          <w:rStyle w:val="AERtextitalic"/>
        </w:rPr>
        <w:t>Submission to demand management consultation paper</w:t>
      </w:r>
      <w:r>
        <w:t>, 24 February 2017.</w:t>
      </w:r>
    </w:p>
  </w:footnote>
  <w:footnote w:id="46">
    <w:p w:rsidR="00245484" w:rsidRDefault="00245484" w:rsidP="00A131B1">
      <w:pPr>
        <w:pStyle w:val="FootnoteText"/>
      </w:pPr>
      <w:r>
        <w:rPr>
          <w:rStyle w:val="FootnoteReference"/>
        </w:rPr>
        <w:footnoteRef/>
      </w:r>
      <w:r>
        <w:t xml:space="preserve"> </w:t>
      </w:r>
      <w:r>
        <w:tab/>
        <w:t xml:space="preserve">SA Power Networks, </w:t>
      </w:r>
      <w:r w:rsidRPr="009817B7">
        <w:rPr>
          <w:rStyle w:val="AERtextitalic"/>
        </w:rPr>
        <w:t>Supplementary note following demand management options day</w:t>
      </w:r>
      <w:r>
        <w:t>, 21 April 2017.</w:t>
      </w:r>
    </w:p>
  </w:footnote>
  <w:footnote w:id="47">
    <w:p w:rsidR="00245484" w:rsidRDefault="00245484">
      <w:pPr>
        <w:pStyle w:val="FootnoteText"/>
      </w:pPr>
      <w:r>
        <w:rPr>
          <w:rStyle w:val="FootnoteReference"/>
        </w:rPr>
        <w:footnoteRef/>
      </w:r>
      <w:r>
        <w:t xml:space="preserve"> </w:t>
      </w:r>
      <w:r>
        <w:tab/>
        <w:t xml:space="preserve">Energex, </w:t>
      </w:r>
      <w:r w:rsidRPr="009817B7">
        <w:rPr>
          <w:rStyle w:val="AERtextitalic"/>
        </w:rPr>
        <w:t>Submission to demand management consultation paper</w:t>
      </w:r>
      <w:r>
        <w:t>, 24 February 2017.</w:t>
      </w:r>
    </w:p>
  </w:footnote>
  <w:footnote w:id="48">
    <w:p w:rsidR="00245484" w:rsidRDefault="00245484" w:rsidP="009817B7">
      <w:pPr>
        <w:pStyle w:val="FootnoteText"/>
      </w:pPr>
      <w:r>
        <w:rPr>
          <w:rStyle w:val="FootnoteReference"/>
        </w:rPr>
        <w:footnoteRef/>
      </w:r>
      <w:r>
        <w:t xml:space="preserve"> </w:t>
      </w:r>
      <w:r>
        <w:tab/>
        <w:t xml:space="preserve">AEMO, </w:t>
      </w:r>
      <w:r w:rsidRPr="009817B7">
        <w:rPr>
          <w:rStyle w:val="AERtextitalic"/>
        </w:rPr>
        <w:t>Submission to demand management consultation paper</w:t>
      </w:r>
      <w:r>
        <w:t>, 28 February 2017.</w:t>
      </w:r>
    </w:p>
  </w:footnote>
  <w:footnote w:id="49">
    <w:p w:rsidR="00245484" w:rsidRDefault="00245484">
      <w:pPr>
        <w:pStyle w:val="FootnoteText"/>
      </w:pPr>
      <w:r>
        <w:rPr>
          <w:rStyle w:val="FootnoteReference"/>
        </w:rPr>
        <w:footnoteRef/>
      </w:r>
      <w:r>
        <w:t xml:space="preserve"> </w:t>
      </w:r>
      <w:r>
        <w:tab/>
        <w:t xml:space="preserve">For example, see ISF, </w:t>
      </w:r>
      <w:r w:rsidRPr="009817B7">
        <w:rPr>
          <w:rStyle w:val="AERtextitalic"/>
        </w:rPr>
        <w:t>Submission to demand management consultation paper</w:t>
      </w:r>
      <w:r>
        <w:t>, 27 February 2017;</w:t>
      </w:r>
      <w:r w:rsidRPr="009817B7">
        <w:t xml:space="preserve"> </w:t>
      </w:r>
      <w:r>
        <w:t xml:space="preserve">PIAC, </w:t>
      </w:r>
      <w:r w:rsidRPr="009817B7">
        <w:rPr>
          <w:rStyle w:val="AERtextitalic"/>
        </w:rPr>
        <w:t>Submission to demand management consultation paper</w:t>
      </w:r>
      <w:r>
        <w:t>, 24 February 2017.</w:t>
      </w:r>
    </w:p>
  </w:footnote>
  <w:footnote w:id="50">
    <w:p w:rsidR="00245484" w:rsidRDefault="00245484">
      <w:pPr>
        <w:pStyle w:val="FootnoteText"/>
      </w:pPr>
      <w:r>
        <w:rPr>
          <w:rStyle w:val="FootnoteReference"/>
        </w:rPr>
        <w:footnoteRef/>
      </w:r>
      <w:r>
        <w:t xml:space="preserve"> </w:t>
      </w:r>
      <w:r>
        <w:tab/>
        <w:t xml:space="preserve">Oakley Greenwood, </w:t>
      </w:r>
      <w:r w:rsidRPr="00395EE5">
        <w:rPr>
          <w:rStyle w:val="AERtextitalic"/>
        </w:rPr>
        <w:t>Advice on the DMIS incentive prepared for: AER</w:t>
      </w:r>
      <w:r>
        <w:t>, 23 June 2017, p. 11.</w:t>
      </w:r>
    </w:p>
  </w:footnote>
  <w:footnote w:id="51">
    <w:p w:rsidR="00245484" w:rsidRDefault="00245484" w:rsidP="00ED3538">
      <w:pPr>
        <w:pStyle w:val="FootnoteText"/>
      </w:pPr>
      <w:r>
        <w:rPr>
          <w:rStyle w:val="FootnoteReference"/>
        </w:rPr>
        <w:footnoteRef/>
      </w:r>
      <w:r>
        <w:t xml:space="preserve"> </w:t>
      </w:r>
      <w:r>
        <w:tab/>
        <w:t>NER cl. 5.10.2.</w:t>
      </w:r>
    </w:p>
  </w:footnote>
  <w:footnote w:id="52">
    <w:p w:rsidR="00245484" w:rsidRDefault="00245484">
      <w:pPr>
        <w:pStyle w:val="FootnoteText"/>
      </w:pPr>
      <w:r>
        <w:rPr>
          <w:rStyle w:val="FootnoteReference"/>
        </w:rPr>
        <w:footnoteRef/>
      </w:r>
      <w:r>
        <w:t xml:space="preserve"> </w:t>
      </w:r>
      <w:r>
        <w:tab/>
        <w:t>NER, 5.17.4.</w:t>
      </w:r>
    </w:p>
  </w:footnote>
  <w:footnote w:id="53">
    <w:p w:rsidR="00245484" w:rsidRDefault="00245484">
      <w:pPr>
        <w:pStyle w:val="FootnoteText"/>
      </w:pPr>
      <w:r>
        <w:rPr>
          <w:rStyle w:val="FootnoteReference"/>
        </w:rPr>
        <w:footnoteRef/>
      </w:r>
      <w:r>
        <w:t xml:space="preserve"> </w:t>
      </w:r>
      <w:r>
        <w:tab/>
        <w:t>NER, 5.17.4(e).</w:t>
      </w:r>
    </w:p>
  </w:footnote>
  <w:footnote w:id="54">
    <w:p w:rsidR="00245484" w:rsidRDefault="00245484">
      <w:pPr>
        <w:pStyle w:val="FootnoteText"/>
      </w:pPr>
      <w:r>
        <w:rPr>
          <w:rStyle w:val="FootnoteReference"/>
        </w:rPr>
        <w:footnoteRef/>
      </w:r>
      <w:r>
        <w:t xml:space="preserve"> </w:t>
      </w:r>
      <w:r>
        <w:tab/>
        <w:t>A non-network options report must have regard to this under NER 5.17.4(f).</w:t>
      </w:r>
    </w:p>
  </w:footnote>
  <w:footnote w:id="55">
    <w:p w:rsidR="00245484" w:rsidRDefault="00245484">
      <w:pPr>
        <w:pStyle w:val="FootnoteText"/>
      </w:pPr>
      <w:r>
        <w:rPr>
          <w:rStyle w:val="FootnoteReference"/>
        </w:rPr>
        <w:footnoteRef/>
      </w:r>
      <w:r>
        <w:tab/>
        <w:t xml:space="preserve">That is, consistently with AER, </w:t>
      </w:r>
      <w:r w:rsidRPr="008A7A62">
        <w:rPr>
          <w:rStyle w:val="AERtextitalic"/>
        </w:rPr>
        <w:t>Final: RIT–D</w:t>
      </w:r>
      <w:r>
        <w:t>, 23 August 2013 and the supporting document</w:t>
      </w:r>
      <w:r>
        <w:rPr>
          <w:rFonts w:cs="Arial"/>
        </w:rPr>
        <w:t>―</w:t>
      </w:r>
      <w:r>
        <w:t xml:space="preserve"> AER, </w:t>
      </w:r>
      <w:r w:rsidRPr="008A7A62">
        <w:rPr>
          <w:rStyle w:val="AERtextitalic"/>
        </w:rPr>
        <w:t>Better regulation: RIT–D application guidelines</w:t>
      </w:r>
      <w:r>
        <w:t>, 23 August  2013.</w:t>
      </w:r>
    </w:p>
  </w:footnote>
  <w:footnote w:id="56">
    <w:p w:rsidR="00245484" w:rsidRDefault="00245484">
      <w:pPr>
        <w:pStyle w:val="FootnoteText"/>
      </w:pPr>
      <w:r>
        <w:rPr>
          <w:rStyle w:val="FootnoteReference"/>
        </w:rPr>
        <w:footnoteRef/>
      </w:r>
      <w:r>
        <w:t xml:space="preserve"> </w:t>
      </w:r>
      <w:r>
        <w:tab/>
        <w:t>See NER cl. 6.6.3(b) for the relevant objective, and NER cl. 6.6.3(c)(2) for the relevant principle.</w:t>
      </w:r>
    </w:p>
  </w:footnote>
  <w:footnote w:id="57">
    <w:p w:rsidR="00245484" w:rsidRDefault="00245484" w:rsidP="00481286">
      <w:pPr>
        <w:pStyle w:val="FootnoteText"/>
      </w:pPr>
      <w:r>
        <w:rPr>
          <w:rStyle w:val="FootnoteReference"/>
        </w:rPr>
        <w:footnoteRef/>
      </w:r>
      <w:r>
        <w:t xml:space="preserve"> </w:t>
      </w:r>
      <w:r>
        <w:tab/>
        <w:t xml:space="preserve">This is where a credible option </w:t>
      </w:r>
      <w:r w:rsidRPr="00481286">
        <w:t>has the meaning given in c</w:t>
      </w:r>
      <w:r>
        <w:t xml:space="preserve">lause </w:t>
      </w:r>
      <w:r w:rsidRPr="00481286">
        <w:t>5.15.2(a) of the NER</w:t>
      </w:r>
      <w:r>
        <w:t>. That is, an</w:t>
      </w:r>
      <w:r w:rsidRPr="00481286">
        <w:t xml:space="preserve"> op</w:t>
      </w:r>
      <w:r>
        <w:t xml:space="preserve">tion (or group of options) that addresses the identified need, </w:t>
      </w:r>
      <w:r w:rsidRPr="00481286">
        <w:t>is (or are) commerc</w:t>
      </w:r>
      <w:r>
        <w:t xml:space="preserve">ially and technically feasible, </w:t>
      </w:r>
      <w:r w:rsidRPr="00481286">
        <w:t>and can be implemented in sufficient time to meet the identified need,</w:t>
      </w:r>
      <w:r>
        <w:t xml:space="preserve"> </w:t>
      </w:r>
      <w:r w:rsidRPr="00481286">
        <w:t xml:space="preserve">and is (or are) identified as a credible option in accordance with paragraphs </w:t>
      </w:r>
      <w:r>
        <w:t>NER 5.15.2</w:t>
      </w:r>
      <w:r w:rsidRPr="00481286">
        <w:t>(b) or (d) (as relevant).</w:t>
      </w:r>
    </w:p>
  </w:footnote>
  <w:footnote w:id="58">
    <w:p w:rsidR="00245484" w:rsidRDefault="00245484">
      <w:pPr>
        <w:pStyle w:val="FootnoteText"/>
      </w:pPr>
      <w:r>
        <w:rPr>
          <w:rStyle w:val="FootnoteReference"/>
        </w:rPr>
        <w:footnoteRef/>
      </w:r>
      <w:r>
        <w:t xml:space="preserve"> </w:t>
      </w:r>
      <w:r>
        <w:tab/>
        <w:t>Ideally, we would publish one performance report per year for both distributors operating on calendar years and financial years. Given this, we may not publish a performance report at the same time we validate the pass through of the incentive payment.</w:t>
      </w:r>
    </w:p>
  </w:footnote>
  <w:footnote w:id="59">
    <w:p w:rsidR="00245484" w:rsidRDefault="00245484" w:rsidP="00007520">
      <w:pPr>
        <w:pStyle w:val="FootnoteText"/>
      </w:pPr>
      <w:r>
        <w:rPr>
          <w:rStyle w:val="FootnoteReference"/>
        </w:rPr>
        <w:footnoteRef/>
      </w:r>
      <w:r>
        <w:t xml:space="preserve"> </w:t>
      </w:r>
      <w:r>
        <w:tab/>
        <w:t>Consistent with NER cl. 6.6.3(c)(4)(i).</w:t>
      </w:r>
    </w:p>
  </w:footnote>
  <w:footnote w:id="60">
    <w:p w:rsidR="00245484" w:rsidRDefault="00245484" w:rsidP="00557E9A">
      <w:pPr>
        <w:pStyle w:val="FootnoteText"/>
      </w:pPr>
      <w:r>
        <w:rPr>
          <w:rStyle w:val="FootnoteReference"/>
        </w:rPr>
        <w:footnoteRef/>
      </w:r>
      <w:r>
        <w:t xml:space="preserve"> </w:t>
      </w:r>
      <w:r>
        <w:tab/>
        <w:t>Subject to the net benefit constraint.</w:t>
      </w:r>
    </w:p>
  </w:footnote>
  <w:footnote w:id="61">
    <w:p w:rsidR="00245484" w:rsidRDefault="00245484">
      <w:pPr>
        <w:pStyle w:val="FootnoteText"/>
      </w:pPr>
      <w:r>
        <w:rPr>
          <w:rStyle w:val="FootnoteReference"/>
        </w:rPr>
        <w:footnoteRef/>
      </w:r>
      <w:r>
        <w:t xml:space="preserve"> </w:t>
      </w:r>
      <w:r>
        <w:tab/>
        <w:t>It is worth noting that the simpler approach is valuable given the more 'scientific' approach would</w:t>
      </w:r>
      <w:r w:rsidRPr="00594AB7">
        <w:t xml:space="preserve"> </w:t>
      </w:r>
      <w:r>
        <w:t>come at a prohibitively costly administrative burden. This is because a more scientific approach would likely require us to set specific incentives for individual projects. These incentives would reflect the project's benefits to retail customers that the distributor would not otherwise capture.</w:t>
      </w:r>
    </w:p>
  </w:footnote>
  <w:footnote w:id="62">
    <w:p w:rsidR="00245484" w:rsidRDefault="00245484" w:rsidP="0063421B">
      <w:pPr>
        <w:pStyle w:val="FootnoteText"/>
      </w:pPr>
      <w:r>
        <w:rPr>
          <w:rStyle w:val="FootnoteReference"/>
        </w:rPr>
        <w:footnoteRef/>
      </w:r>
      <w:r>
        <w:t xml:space="preserve"> </w:t>
      </w:r>
      <w:r>
        <w:tab/>
        <w:t xml:space="preserve">ECA, </w:t>
      </w:r>
      <w:r w:rsidRPr="0063421B">
        <w:rPr>
          <w:rStyle w:val="AERtextitalic"/>
        </w:rPr>
        <w:t>Submission to the AER’s development of a Demand Management Incentive Scheme and Innovation Allowance</w:t>
      </w:r>
      <w:r>
        <w:t>, June 2017, p. 3.</w:t>
      </w:r>
    </w:p>
  </w:footnote>
  <w:footnote w:id="63">
    <w:p w:rsidR="00245484" w:rsidRDefault="00245484">
      <w:pPr>
        <w:pStyle w:val="FootnoteText"/>
      </w:pPr>
      <w:r>
        <w:rPr>
          <w:rStyle w:val="FootnoteReference"/>
        </w:rPr>
        <w:footnoteRef/>
      </w:r>
      <w:r>
        <w:t xml:space="preserve"> </w:t>
      </w:r>
      <w:r>
        <w:tab/>
        <w:t xml:space="preserve">AER, STPIS version 5 (corrected), October 2015, </w:t>
      </w:r>
      <w:r w:rsidRPr="00DA0029">
        <w:t>clause 5.</w:t>
      </w:r>
      <w:r>
        <w:t>3(a).</w:t>
      </w:r>
    </w:p>
  </w:footnote>
  <w:footnote w:id="64">
    <w:p w:rsidR="00245484" w:rsidRDefault="00245484">
      <w:pPr>
        <w:pStyle w:val="FootnoteText"/>
      </w:pPr>
      <w:r>
        <w:rPr>
          <w:rStyle w:val="FootnoteReference"/>
        </w:rPr>
        <w:footnoteRef/>
      </w:r>
      <w:r>
        <w:t xml:space="preserve"> </w:t>
      </w:r>
      <w:r>
        <w:tab/>
        <w:t>Consistent with NER cl. 6.6.3(c)(4)(i).</w:t>
      </w:r>
    </w:p>
  </w:footnote>
  <w:footnote w:id="65">
    <w:p w:rsidR="00245484" w:rsidRDefault="00245484">
      <w:pPr>
        <w:pStyle w:val="FootnoteText"/>
      </w:pPr>
      <w:r>
        <w:rPr>
          <w:rStyle w:val="FootnoteReference"/>
        </w:rPr>
        <w:footnoteRef/>
      </w:r>
      <w:r>
        <w:t xml:space="preserve"> </w:t>
      </w:r>
      <w:r>
        <w:tab/>
        <w:t>Figures based on AER final decisions before appeals to the Australian Competition Tribunal.</w:t>
      </w:r>
    </w:p>
  </w:footnote>
  <w:footnote w:id="66">
    <w:p w:rsidR="00245484" w:rsidRDefault="00245484">
      <w:pPr>
        <w:pStyle w:val="FootnoteText"/>
      </w:pPr>
      <w:r>
        <w:rPr>
          <w:rStyle w:val="FootnoteReference"/>
        </w:rPr>
        <w:footnoteRef/>
      </w:r>
      <w:r>
        <w:t xml:space="preserve"> </w:t>
      </w:r>
      <w:r>
        <w:tab/>
        <w:t xml:space="preserve">Currently, we deduct (add) the final carryover amount from the previous regulatory control period from (to) allowed revenues in the second regulatory year of the subsequent regulatory control period. For example, see AER, </w:t>
      </w:r>
      <w:r w:rsidRPr="00A10FF4">
        <w:rPr>
          <w:rStyle w:val="AERtextitalic"/>
        </w:rPr>
        <w:t>Final decision–Demand management incentive scheme: Jemena, CitiPower, Powercor, SP AusNet and United Energy 2011–15</w:t>
      </w:r>
      <w:r>
        <w:t>, April 2009 p. 23.</w:t>
      </w:r>
    </w:p>
  </w:footnote>
  <w:footnote w:id="67">
    <w:p w:rsidR="00245484" w:rsidRDefault="00245484">
      <w:pPr>
        <w:pStyle w:val="FootnoteText"/>
      </w:pPr>
      <w:r>
        <w:rPr>
          <w:rStyle w:val="FootnoteReference"/>
        </w:rPr>
        <w:footnoteRef/>
      </w:r>
      <w:r>
        <w:t xml:space="preserve"> </w:t>
      </w:r>
      <w:r>
        <w:tab/>
        <w:t xml:space="preserve">AER, </w:t>
      </w:r>
      <w:r w:rsidRPr="00351E7E">
        <w:rPr>
          <w:rStyle w:val="AERtextitalic"/>
        </w:rPr>
        <w:t>Consultation paper: Demand management incentive scheme and innovation allowance mechanism</w:t>
      </w:r>
      <w:r>
        <w:t>, January 2017, p. 36.</w:t>
      </w:r>
    </w:p>
  </w:footnote>
  <w:footnote w:id="68">
    <w:p w:rsidR="00245484" w:rsidRDefault="00245484">
      <w:pPr>
        <w:pStyle w:val="FootnoteText"/>
      </w:pPr>
      <w:r>
        <w:rPr>
          <w:rStyle w:val="FootnoteReference"/>
        </w:rPr>
        <w:footnoteRef/>
      </w:r>
      <w:r>
        <w:t xml:space="preserve"> </w:t>
      </w:r>
      <w:r>
        <w:tab/>
        <w:t xml:space="preserve">For information on our current review, see AER, STPIS 2017 amendment, </w:t>
      </w:r>
      <w:hyperlink r:id="rId6" w:history="1">
        <w:r w:rsidRPr="00D1451F">
          <w:rPr>
            <w:rStyle w:val="Hyperlink"/>
            <w:sz w:val="16"/>
          </w:rPr>
          <w:t>https://www.aer.gov.au/networks-pipelines/guidelines-schemes-models-reviews/service-target-performance-incentive-scheme-2017-amendment</w:t>
        </w:r>
      </w:hyperlink>
      <w:r>
        <w:t xml:space="preserve">. </w:t>
      </w:r>
    </w:p>
  </w:footnote>
  <w:footnote w:id="69">
    <w:p w:rsidR="00245484" w:rsidRDefault="00245484">
      <w:pPr>
        <w:pStyle w:val="FootnoteText"/>
      </w:pPr>
      <w:r>
        <w:rPr>
          <w:rStyle w:val="FootnoteReference"/>
        </w:rPr>
        <w:footnoteRef/>
      </w:r>
      <w:r>
        <w:t xml:space="preserve"> </w:t>
      </w:r>
      <w:r>
        <w:tab/>
        <w:t>Some stakeholders appeared to support this option in their submissions to our Consultation Paper, including Jemena, AGL (to some extent), Endeavour Energy, Energex and the Energy Efficiency Council.</w:t>
      </w:r>
    </w:p>
  </w:footnote>
  <w:footnote w:id="70">
    <w:p w:rsidR="00245484" w:rsidRDefault="00245484" w:rsidP="00210543">
      <w:pPr>
        <w:pStyle w:val="FootnoteText"/>
      </w:pPr>
      <w:r>
        <w:rPr>
          <w:rStyle w:val="FootnoteReference"/>
        </w:rPr>
        <w:footnoteRef/>
      </w:r>
      <w:r>
        <w:t xml:space="preserve"> </w:t>
      </w:r>
      <w:r>
        <w:tab/>
        <w:t xml:space="preserve">AER, </w:t>
      </w:r>
      <w:r w:rsidRPr="00351E7E">
        <w:rPr>
          <w:rStyle w:val="AERtextitalic"/>
        </w:rPr>
        <w:t>Consultation paper: Demand management incentive scheme and innovation allowance mechanism</w:t>
      </w:r>
      <w:r>
        <w:t>, January 2017, pp. 44</w:t>
      </w:r>
      <w:r>
        <w:rPr>
          <w:rFonts w:cs="Arial"/>
        </w:rPr>
        <w:t>–</w:t>
      </w:r>
      <w:r>
        <w:t>45.</w:t>
      </w:r>
    </w:p>
  </w:footnote>
  <w:footnote w:id="71">
    <w:p w:rsidR="00245484" w:rsidRDefault="00245484">
      <w:pPr>
        <w:pStyle w:val="FootnoteText"/>
      </w:pPr>
      <w:r>
        <w:rPr>
          <w:rStyle w:val="FootnoteReference"/>
        </w:rPr>
        <w:footnoteRef/>
      </w:r>
      <w:r>
        <w:t xml:space="preserve"> </w:t>
      </w:r>
      <w:r>
        <w:tab/>
        <w:t xml:space="preserve">AER, </w:t>
      </w:r>
      <w:r w:rsidRPr="00B8527C">
        <w:rPr>
          <w:rStyle w:val="AERtextitalic"/>
        </w:rPr>
        <w:t>Final decision: DAPR template version 1.0,</w:t>
      </w:r>
      <w:r>
        <w:t xml:space="preserve"> June 2017.</w:t>
      </w:r>
    </w:p>
  </w:footnote>
  <w:footnote w:id="72">
    <w:p w:rsidR="00245484" w:rsidRDefault="00245484" w:rsidP="00187D1D">
      <w:pPr>
        <w:pStyle w:val="FootnoteText"/>
      </w:pPr>
      <w:r>
        <w:rPr>
          <w:rStyle w:val="FootnoteReference"/>
        </w:rPr>
        <w:footnoteRef/>
      </w:r>
      <w:r>
        <w:t xml:space="preserve"> </w:t>
      </w:r>
      <w:r>
        <w:tab/>
        <w:t xml:space="preserve">AER, </w:t>
      </w:r>
      <w:r w:rsidRPr="00351E7E">
        <w:rPr>
          <w:rStyle w:val="AERtextitalic"/>
        </w:rPr>
        <w:t>Consultation paper: Demand management incentive scheme and innovation allowance mechanism</w:t>
      </w:r>
      <w:r>
        <w:t>, January 2017, p. 42.</w:t>
      </w:r>
    </w:p>
  </w:footnote>
  <w:footnote w:id="73">
    <w:p w:rsidR="00245484" w:rsidRDefault="00245484" w:rsidP="00EE31F2">
      <w:pPr>
        <w:pStyle w:val="FootnoteText"/>
      </w:pPr>
      <w:r>
        <w:rPr>
          <w:rStyle w:val="FootnoteReference"/>
        </w:rPr>
        <w:footnoteRef/>
      </w:r>
      <w:r>
        <w:t xml:space="preserve"> </w:t>
      </w:r>
      <w:r>
        <w:tab/>
        <w:t xml:space="preserve">Some stakeholders supported this option in their submissions to our Consultation Paper, including </w:t>
      </w:r>
      <w:r w:rsidRPr="00121204">
        <w:t xml:space="preserve">TEC and the Energy Efficiency Council. </w:t>
      </w:r>
      <w:r>
        <w:t xml:space="preserve"> While AGL supported targets, it also supported scrutiny for underperformance, which would be challenging under the rules that do not permit penalties. While PIAC supported supplementary targets, it was unclear whether these would address network constraints, particularly in NSW where there is spare capacity. It also noted that targets would require departing internal and external demand drivers.</w:t>
      </w:r>
    </w:p>
  </w:footnote>
  <w:footnote w:id="74">
    <w:p w:rsidR="00245484" w:rsidRDefault="00245484">
      <w:pPr>
        <w:pStyle w:val="FootnoteText"/>
      </w:pPr>
      <w:r>
        <w:rPr>
          <w:rStyle w:val="FootnoteReference"/>
        </w:rPr>
        <w:footnoteRef/>
      </w:r>
      <w:r>
        <w:t xml:space="preserve"> </w:t>
      </w:r>
      <w:r>
        <w:tab/>
        <w:t>For the RIT</w:t>
      </w:r>
      <w:r w:rsidRPr="007A6E1C">
        <w:t>–</w:t>
      </w:r>
      <w:r>
        <w:t xml:space="preserve">D and its application guidelines, see: </w:t>
      </w:r>
      <w:hyperlink r:id="rId7" w:history="1">
        <w:r w:rsidRPr="00BB52CA">
          <w:rPr>
            <w:rStyle w:val="Hyperlink"/>
            <w:sz w:val="16"/>
          </w:rPr>
          <w:t>https://www.aer.gov.au/networks-pipelines/guidelines-schemes-models-reviews/regulatory-investment-test-for-distribution-rit-d-and-application-guidelines</w:t>
        </w:r>
      </w:hyperlink>
      <w:r>
        <w:t xml:space="preserve">. </w:t>
      </w:r>
    </w:p>
  </w:footnote>
  <w:footnote w:id="75">
    <w:p w:rsidR="00245484" w:rsidRDefault="00245484" w:rsidP="00416F55">
      <w:pPr>
        <w:pStyle w:val="FootnoteText"/>
      </w:pPr>
      <w:r>
        <w:rPr>
          <w:rStyle w:val="FootnoteReference"/>
        </w:rPr>
        <w:footnoteRef/>
      </w:r>
      <w:r>
        <w:t xml:space="preserve"> </w:t>
      </w:r>
      <w:r>
        <w:tab/>
        <w:t xml:space="preserve">AER, </w:t>
      </w:r>
      <w:r w:rsidRPr="00416F55">
        <w:rPr>
          <w:rStyle w:val="AERtextitalic"/>
        </w:rPr>
        <w:t>Better regulation: RIT–D application guidelines</w:t>
      </w:r>
      <w:r>
        <w:t>, 23 August 2013, pp. 55</w:t>
      </w:r>
      <w:r>
        <w:rPr>
          <w:rFonts w:cs="Arial"/>
        </w:rPr>
        <w:t>–</w:t>
      </w:r>
      <w:r>
        <w:t>64.</w:t>
      </w:r>
    </w:p>
  </w:footnote>
  <w:footnote w:id="76">
    <w:p w:rsidR="00245484" w:rsidRDefault="00245484" w:rsidP="00416F55">
      <w:pPr>
        <w:pStyle w:val="FootnoteText"/>
      </w:pPr>
      <w:r>
        <w:rPr>
          <w:rStyle w:val="FootnoteReference"/>
        </w:rPr>
        <w:footnoteRef/>
      </w:r>
      <w:r>
        <w:t xml:space="preserve"> </w:t>
      </w:r>
      <w:r>
        <w:tab/>
        <w:t xml:space="preserve">AER, </w:t>
      </w:r>
      <w:r w:rsidRPr="00416F55">
        <w:rPr>
          <w:rStyle w:val="AERtextitalic"/>
        </w:rPr>
        <w:t>Better regulation: RIT–D application guidelines</w:t>
      </w:r>
      <w:r>
        <w:t>, 23 August 2013</w:t>
      </w:r>
      <w:r w:rsidRPr="00416F55">
        <w:t xml:space="preserve"> </w:t>
      </w:r>
      <w:r>
        <w:t>pp. 60</w:t>
      </w:r>
      <w:r w:rsidRPr="00416F55">
        <w:t>–</w:t>
      </w:r>
      <w:r>
        <w:t>61.</w:t>
      </w:r>
    </w:p>
  </w:footnote>
  <w:footnote w:id="77">
    <w:p w:rsidR="00245484" w:rsidRDefault="00245484">
      <w:pPr>
        <w:pStyle w:val="FootnoteText"/>
      </w:pPr>
      <w:r>
        <w:rPr>
          <w:rStyle w:val="FootnoteReference"/>
        </w:rPr>
        <w:footnoteRef/>
      </w:r>
      <w:r>
        <w:t xml:space="preserve"> </w:t>
      </w:r>
      <w:r>
        <w:tab/>
        <w:t>For example, under NER 5.17.3(a)(2), if the estimated capital costs of the most expensive potential credible option fall under $5 million, the project is exempt from the RIT</w:t>
      </w:r>
      <w:r>
        <w:rPr>
          <w:rFonts w:cs="Arial"/>
        </w:rPr>
        <w:t>–</w:t>
      </w:r>
      <w:r>
        <w:t>D.</w:t>
      </w:r>
    </w:p>
  </w:footnote>
  <w:footnote w:id="78">
    <w:p w:rsidR="00245484" w:rsidRDefault="00245484">
      <w:pPr>
        <w:pStyle w:val="FootnoteText"/>
      </w:pPr>
      <w:r>
        <w:rPr>
          <w:rStyle w:val="FootnoteReference"/>
        </w:rPr>
        <w:footnoteRef/>
      </w:r>
      <w:r>
        <w:t xml:space="preserve"> </w:t>
      </w:r>
      <w:r>
        <w:tab/>
        <w:t xml:space="preserve">CitiPower and Powercor, </w:t>
      </w:r>
      <w:r w:rsidRPr="00C31818">
        <w:rPr>
          <w:rStyle w:val="AERtextitalic"/>
        </w:rPr>
        <w:t>R</w:t>
      </w:r>
      <w:r>
        <w:rPr>
          <w:rStyle w:val="AERtextitalic"/>
        </w:rPr>
        <w:t xml:space="preserve">e: </w:t>
      </w:r>
      <w:r w:rsidRPr="00C31818">
        <w:rPr>
          <w:rStyle w:val="AERtextitalic"/>
        </w:rPr>
        <w:t>Consultation Paper – Demand management incentive scheme and innovation allowance mechanism</w:t>
      </w:r>
      <w:r>
        <w:t xml:space="preserve">, 24 February 2017; Endeavour Energy, </w:t>
      </w:r>
      <w:r w:rsidRPr="00C31818">
        <w:rPr>
          <w:rStyle w:val="AERtextitalic"/>
        </w:rPr>
        <w:t>RE: AER Consultation Paper – Demand management incentive scheme and innovation allowance mechanism January 2017</w:t>
      </w:r>
      <w:r>
        <w:t xml:space="preserve">, 24 February 2017; Ergon Energy, </w:t>
      </w:r>
      <w:r w:rsidRPr="00C31818">
        <w:rPr>
          <w:rStyle w:val="AERtextitalic"/>
        </w:rPr>
        <w:t>Consultation Paper – Demand management incentive scheme and innovation allowance mechanism January 2017</w:t>
      </w:r>
      <w:r>
        <w:t>, 24 February 2017.</w:t>
      </w:r>
    </w:p>
  </w:footnote>
  <w:footnote w:id="79">
    <w:p w:rsidR="00245484" w:rsidRDefault="00245484">
      <w:pPr>
        <w:pStyle w:val="FootnoteText"/>
      </w:pPr>
      <w:r>
        <w:rPr>
          <w:rStyle w:val="FootnoteReference"/>
        </w:rPr>
        <w:footnoteRef/>
      </w:r>
      <w:r>
        <w:t xml:space="preserve"> </w:t>
      </w:r>
      <w:r>
        <w:tab/>
        <w:t xml:space="preserve">SA Power Networks, </w:t>
      </w:r>
      <w:r w:rsidRPr="00C31818">
        <w:rPr>
          <w:rStyle w:val="AERtextitalic"/>
        </w:rPr>
        <w:t>Demand management incentive scheme and innovation allowance</w:t>
      </w:r>
      <w:r>
        <w:t>, 24 February 2017.</w:t>
      </w:r>
    </w:p>
  </w:footnote>
  <w:footnote w:id="80">
    <w:p w:rsidR="00245484" w:rsidRDefault="00245484">
      <w:pPr>
        <w:pStyle w:val="FootnoteText"/>
      </w:pPr>
      <w:r>
        <w:rPr>
          <w:rStyle w:val="FootnoteReference"/>
        </w:rPr>
        <w:footnoteRef/>
      </w:r>
      <w:r>
        <w:t xml:space="preserve"> </w:t>
      </w:r>
      <w:r>
        <w:tab/>
        <w:t xml:space="preserve">Endeavour Energy, </w:t>
      </w:r>
      <w:r w:rsidRPr="00C31818">
        <w:rPr>
          <w:rStyle w:val="AERtextitalic"/>
        </w:rPr>
        <w:t>RE: AER Consultation Paper – Demand management incentive scheme and innovation allowance mechanism January 2017</w:t>
      </w:r>
      <w:r>
        <w:t>, 24 February 2017.</w:t>
      </w:r>
    </w:p>
  </w:footnote>
  <w:footnote w:id="81">
    <w:p w:rsidR="00245484" w:rsidRDefault="00245484">
      <w:pPr>
        <w:pStyle w:val="FootnoteText"/>
      </w:pPr>
      <w:r>
        <w:rPr>
          <w:rStyle w:val="FootnoteReference"/>
        </w:rPr>
        <w:footnoteRef/>
      </w:r>
      <w:r>
        <w:t xml:space="preserve"> </w:t>
      </w:r>
      <w:r>
        <w:tab/>
        <w:t xml:space="preserve">This approximation method is also explained and illustrated in Oakley Greenwood, </w:t>
      </w:r>
      <w:r w:rsidRPr="00791130">
        <w:rPr>
          <w:rStyle w:val="AERtextitalic"/>
        </w:rPr>
        <w:t>Advice on the DMIS incentive prepared for AER</w:t>
      </w:r>
      <w:r>
        <w:t>, 23 June 2017.</w:t>
      </w:r>
    </w:p>
  </w:footnote>
  <w:footnote w:id="82">
    <w:p w:rsidR="00245484" w:rsidRDefault="00245484" w:rsidP="00F24D9F">
      <w:pPr>
        <w:pStyle w:val="FootnoteText"/>
      </w:pPr>
      <w:r>
        <w:rPr>
          <w:rStyle w:val="FootnoteReference"/>
        </w:rPr>
        <w:footnoteRef/>
      </w:r>
      <w:r>
        <w:t xml:space="preserve"> </w:t>
      </w:r>
      <w:r>
        <w:tab/>
        <w:t xml:space="preserve">AEMO, </w:t>
      </w:r>
      <w:r w:rsidRPr="00F24D9F">
        <w:rPr>
          <w:rStyle w:val="AERtextitalic"/>
        </w:rPr>
        <w:t>Demand management incentive scheme and innovation allowance mechanism</w:t>
      </w:r>
      <w:r>
        <w:t xml:space="preserve">, 24 February 2017; AGL, </w:t>
      </w:r>
      <w:r w:rsidRPr="00F24D9F">
        <w:rPr>
          <w:rStyle w:val="AERtextitalic"/>
        </w:rPr>
        <w:t>Demand management incentive scheme and innovation allowance mechanism –</w:t>
      </w:r>
      <w:r>
        <w:rPr>
          <w:rStyle w:val="AERtextitalic"/>
        </w:rPr>
        <w:t xml:space="preserve"> </w:t>
      </w:r>
      <w:r w:rsidRPr="00F24D9F">
        <w:rPr>
          <w:rStyle w:val="AERtextitalic"/>
        </w:rPr>
        <w:t>Consultation paper</w:t>
      </w:r>
      <w:r>
        <w:t xml:space="preserve">, 27 February 2017; CitiPower and Powercor, </w:t>
      </w:r>
      <w:r w:rsidRPr="00C31818">
        <w:rPr>
          <w:rStyle w:val="AERtextitalic"/>
        </w:rPr>
        <w:t>R</w:t>
      </w:r>
      <w:r>
        <w:rPr>
          <w:rStyle w:val="AERtextitalic"/>
        </w:rPr>
        <w:t xml:space="preserve">e: </w:t>
      </w:r>
      <w:r w:rsidRPr="00C31818">
        <w:rPr>
          <w:rStyle w:val="AERtextitalic"/>
        </w:rPr>
        <w:t>Consultation Paper – Demand management incentive scheme and innovation allowance mechanism</w:t>
      </w:r>
      <w:r>
        <w:t xml:space="preserve">, 24 February 2017; Energy Efficiency Council, </w:t>
      </w:r>
      <w:r w:rsidRPr="00F24D9F">
        <w:rPr>
          <w:rStyle w:val="AERtextitalic"/>
        </w:rPr>
        <w:t>Re. Consultation Paper - Demand management incentive scheme and innovation allowance mechanism</w:t>
      </w:r>
      <w:r>
        <w:t>,</w:t>
      </w:r>
      <w:r w:rsidRPr="00F24D9F">
        <w:t xml:space="preserve"> </w:t>
      </w:r>
      <w:r>
        <w:t xml:space="preserve">20 March 2017; ISF, </w:t>
      </w:r>
      <w:r w:rsidRPr="00F24D9F">
        <w:rPr>
          <w:rStyle w:val="AERtextitalic"/>
        </w:rPr>
        <w:t>Submission to AER, Response to consultation paper: Demand management incentive scheme &amp; innovation allowance mechanism</w:t>
      </w:r>
      <w:r>
        <w:t>, 27 February 2017.</w:t>
      </w:r>
    </w:p>
  </w:footnote>
  <w:footnote w:id="83">
    <w:p w:rsidR="00245484" w:rsidRDefault="00245484">
      <w:pPr>
        <w:pStyle w:val="FootnoteText"/>
      </w:pPr>
      <w:r>
        <w:rPr>
          <w:rStyle w:val="FootnoteReference"/>
        </w:rPr>
        <w:footnoteRef/>
      </w:r>
      <w:r>
        <w:t xml:space="preserve"> </w:t>
      </w:r>
      <w:r>
        <w:tab/>
        <w:t xml:space="preserve">AEMO, </w:t>
      </w:r>
      <w:r w:rsidRPr="00F24D9F">
        <w:rPr>
          <w:rStyle w:val="AERtextitalic"/>
        </w:rPr>
        <w:t>Demand management incentive scheme and innovation allowance mechanism</w:t>
      </w:r>
      <w:r>
        <w:t>, 24 February 2017, p. 3.</w:t>
      </w:r>
    </w:p>
  </w:footnote>
  <w:footnote w:id="84">
    <w:p w:rsidR="00245484" w:rsidRDefault="00245484">
      <w:pPr>
        <w:pStyle w:val="FootnoteText"/>
      </w:pPr>
      <w:r>
        <w:rPr>
          <w:rStyle w:val="FootnoteReference"/>
        </w:rPr>
        <w:footnoteRef/>
      </w:r>
      <w:r>
        <w:t xml:space="preserve"> </w:t>
      </w:r>
      <w:r>
        <w:tab/>
      </w:r>
      <w:r w:rsidRPr="00F13EBF">
        <w:t>For more details on Oakley Greenwood's methodology</w:t>
      </w:r>
      <w:r>
        <w:t xml:space="preserve">, see </w:t>
      </w:r>
      <w:r w:rsidRPr="00F13EBF">
        <w:t xml:space="preserve">Oakley Greenwood, </w:t>
      </w:r>
      <w:r w:rsidRPr="00F13EBF">
        <w:rPr>
          <w:rStyle w:val="AERtextitalic"/>
        </w:rPr>
        <w:t>Advice on the DMIS incentive prepared for AER</w:t>
      </w:r>
      <w:r w:rsidRPr="00F13EBF">
        <w:t>, 23 June 2017</w:t>
      </w:r>
      <w:r>
        <w:t>.</w:t>
      </w:r>
    </w:p>
  </w:footnote>
  <w:footnote w:id="85">
    <w:p w:rsidR="00245484" w:rsidRDefault="00245484">
      <w:pPr>
        <w:pStyle w:val="FootnoteText"/>
      </w:pPr>
      <w:r>
        <w:rPr>
          <w:rStyle w:val="FootnoteReference"/>
        </w:rPr>
        <w:footnoteRef/>
      </w:r>
      <w:r>
        <w:t xml:space="preserve"> </w:t>
      </w:r>
      <w:r>
        <w:tab/>
        <w:t xml:space="preserve">United Energy, </w:t>
      </w:r>
      <w:r w:rsidRPr="00A10FF4">
        <w:rPr>
          <w:rStyle w:val="AERtextitalic"/>
        </w:rPr>
        <w:t>Lower Mornington Peninsula Supply Area: Project Assessment Report Lower Mornington Peninsula Supply Area Project № UE-DOA-S-17-001</w:t>
      </w:r>
      <w:r>
        <w:t>.</w:t>
      </w:r>
    </w:p>
  </w:footnote>
  <w:footnote w:id="86">
    <w:p w:rsidR="00245484" w:rsidRDefault="00245484">
      <w:pPr>
        <w:pStyle w:val="FootnoteText"/>
      </w:pPr>
      <w:r>
        <w:rPr>
          <w:rStyle w:val="FootnoteReference"/>
        </w:rPr>
        <w:footnoteRef/>
      </w:r>
      <w:r>
        <w:t xml:space="preserve"> </w:t>
      </w:r>
      <w:r>
        <w:tab/>
        <w:t xml:space="preserve">Also see Oakley Greenwood, </w:t>
      </w:r>
      <w:r w:rsidRPr="00791130">
        <w:rPr>
          <w:rStyle w:val="AERtextitalic"/>
        </w:rPr>
        <w:t>Advice on the DMIS incentive prepared for AER</w:t>
      </w:r>
      <w:r>
        <w:t>, 23 June 2017, p. 16.</w:t>
      </w:r>
    </w:p>
  </w:footnote>
  <w:footnote w:id="87">
    <w:p w:rsidR="00245484" w:rsidRDefault="00245484" w:rsidP="00EC135B">
      <w:pPr>
        <w:pStyle w:val="FootnoteText"/>
      </w:pPr>
      <w:r>
        <w:rPr>
          <w:rStyle w:val="FootnoteReference"/>
        </w:rPr>
        <w:footnoteRef/>
      </w:r>
      <w:r>
        <w:t xml:space="preserve"> </w:t>
      </w:r>
      <w:r w:rsidRPr="00755DFD">
        <w:tab/>
        <w:t>Based on Jemena, Diggers Rest RIT–D modelling.</w:t>
      </w:r>
    </w:p>
  </w:footnote>
  <w:footnote w:id="88">
    <w:p w:rsidR="00245484" w:rsidRDefault="00245484" w:rsidP="00EC135B">
      <w:pPr>
        <w:pStyle w:val="FootnoteText"/>
      </w:pPr>
      <w:r>
        <w:rPr>
          <w:rStyle w:val="FootnoteReference"/>
        </w:rPr>
        <w:footnoteRef/>
      </w:r>
      <w:r>
        <w:t xml:space="preserve"> </w:t>
      </w:r>
      <w:r>
        <w:tab/>
      </w:r>
      <w:r w:rsidRPr="00755DFD">
        <w:t>Based on Tesla Powerwall, continuous discharge of 5KW over 2 hours</w:t>
      </w:r>
      <w:r>
        <w:t>.</w:t>
      </w:r>
    </w:p>
  </w:footnote>
  <w:footnote w:id="89">
    <w:p w:rsidR="00245484" w:rsidRDefault="00245484" w:rsidP="00960BA2">
      <w:pPr>
        <w:pStyle w:val="FootnoteText"/>
      </w:pPr>
      <w:r>
        <w:rPr>
          <w:rStyle w:val="FootnoteReference"/>
        </w:rPr>
        <w:footnoteRef/>
      </w:r>
      <w:r>
        <w:t xml:space="preserve"> </w:t>
      </w:r>
      <w:r>
        <w:tab/>
        <w:t xml:space="preserve">United Energy, </w:t>
      </w:r>
      <w:r w:rsidRPr="0084295F">
        <w:rPr>
          <w:rStyle w:val="AERtextitalic"/>
        </w:rPr>
        <w:t>Lower Mornington Peninsula Supply Area: Project Assessment Report Lower Mornington Peninsula Supply Area Project № UE-DOA-S-17-001</w:t>
      </w:r>
      <w:r>
        <w:t>.</w:t>
      </w:r>
    </w:p>
  </w:footnote>
  <w:footnote w:id="90">
    <w:p w:rsidR="00245484" w:rsidRDefault="00245484">
      <w:pPr>
        <w:pStyle w:val="FootnoteText"/>
      </w:pPr>
      <w:r>
        <w:rPr>
          <w:rStyle w:val="FootnoteReference"/>
        </w:rPr>
        <w:footnoteRef/>
      </w:r>
      <w:r>
        <w:t xml:space="preserve"> </w:t>
      </w:r>
      <w:r>
        <w:tab/>
      </w:r>
      <w:r w:rsidRPr="00755DFD">
        <w:t>There is no incremental option cost in this scena</w:t>
      </w:r>
      <w:r>
        <w:t xml:space="preserve">rio, as it is assumed that the demand management </w:t>
      </w:r>
      <w:r w:rsidRPr="00755DFD">
        <w:t>project that underpinned the preferred option in the RIT</w:t>
      </w:r>
      <w:r>
        <w:t>-D creates the option value.</w:t>
      </w:r>
    </w:p>
  </w:footnote>
  <w:footnote w:id="91">
    <w:p w:rsidR="00245484" w:rsidRDefault="00245484">
      <w:pPr>
        <w:pStyle w:val="FootnoteText"/>
      </w:pPr>
      <w:r>
        <w:rPr>
          <w:rStyle w:val="FootnoteReference"/>
        </w:rPr>
        <w:footnoteRef/>
      </w:r>
      <w:r>
        <w:t xml:space="preserve"> </w:t>
      </w:r>
      <w:r>
        <w:tab/>
      </w:r>
      <w:r w:rsidRPr="00755DFD">
        <w:t>Probability weighted option</w:t>
      </w:r>
      <w:r>
        <w:t xml:space="preserve"> value divided by cost of demand management </w:t>
      </w:r>
      <w:r w:rsidRPr="00755DFD">
        <w:t>option in RIT-D</w:t>
      </w:r>
      <w:r>
        <w:t>.</w:t>
      </w:r>
    </w:p>
  </w:footnote>
  <w:footnote w:id="92">
    <w:p w:rsidR="00245484" w:rsidRDefault="00245484" w:rsidP="004F1550">
      <w:pPr>
        <w:pStyle w:val="FootnoteText"/>
      </w:pPr>
      <w:r>
        <w:rPr>
          <w:rStyle w:val="FootnoteReference"/>
        </w:rPr>
        <w:footnoteRef/>
      </w:r>
      <w:r>
        <w:t xml:space="preserve"> </w:t>
      </w:r>
      <w:r>
        <w:tab/>
      </w:r>
      <w:r w:rsidRPr="00930FD9">
        <w:t>If the distributor had a MAR of $800 million, the maximum incentive they could receive in one regulatory year would be $8 million (being 1</w:t>
      </w:r>
      <w:r>
        <w:t xml:space="preserve">.0 </w:t>
      </w:r>
      <w:r w:rsidRPr="0078383B">
        <w:t>per cent</w:t>
      </w:r>
      <w:r w:rsidRPr="00930FD9">
        <w:t xml:space="preserve"> of MAR). Therefore, if the distributor had already committed $7 million worth of projects in the regulatory year the incentive paid on this project would be $1 mi</w:t>
      </w:r>
      <w:r>
        <w:t>llion rather than $1.7 million.</w:t>
      </w:r>
    </w:p>
  </w:footnote>
  <w:footnote w:id="93">
    <w:p w:rsidR="00245484" w:rsidRDefault="00245484" w:rsidP="008D517B">
      <w:pPr>
        <w:pStyle w:val="FootnoteText"/>
      </w:pPr>
      <w:r>
        <w:rPr>
          <w:rStyle w:val="FootnoteReference"/>
        </w:rPr>
        <w:footnoteRef/>
      </w:r>
      <w:r>
        <w:t xml:space="preserve"> </w:t>
      </w:r>
      <w:r>
        <w:tab/>
        <w:t xml:space="preserve">SAPN, </w:t>
      </w:r>
      <w:r w:rsidRPr="0055055D">
        <w:rPr>
          <w:rStyle w:val="AERtextitalic"/>
        </w:rPr>
        <w:t xml:space="preserve">Final project assessment report: </w:t>
      </w:r>
      <w:r>
        <w:rPr>
          <w:rStyle w:val="AERtextitalic"/>
        </w:rPr>
        <w:t>Kangaroo Island submarine cable</w:t>
      </w:r>
      <w:r>
        <w:t>, 23 December 2016, p.46.</w:t>
      </w:r>
    </w:p>
  </w:footnote>
  <w:footnote w:id="94">
    <w:p w:rsidR="00245484" w:rsidRDefault="00245484">
      <w:pPr>
        <w:pStyle w:val="FootnoteText"/>
      </w:pPr>
      <w:r>
        <w:rPr>
          <w:rStyle w:val="FootnoteReference"/>
        </w:rPr>
        <w:footnoteRef/>
      </w:r>
      <w:r>
        <w:t xml:space="preserve"> </w:t>
      </w:r>
      <w:r>
        <w:tab/>
        <w:t xml:space="preserve">SAPN, </w:t>
      </w:r>
      <w:r w:rsidRPr="0055055D">
        <w:rPr>
          <w:rStyle w:val="AERtextitalic"/>
        </w:rPr>
        <w:t xml:space="preserve">Final project assessment report: </w:t>
      </w:r>
      <w:r>
        <w:rPr>
          <w:rStyle w:val="AERtextitalic"/>
        </w:rPr>
        <w:t>Kangaroo Island submarine cable</w:t>
      </w:r>
      <w:r>
        <w:t>, 23 December 2016, p.46.</w:t>
      </w:r>
    </w:p>
  </w:footnote>
  <w:footnote w:id="95">
    <w:p w:rsidR="00245484" w:rsidRDefault="00245484">
      <w:pPr>
        <w:pStyle w:val="FootnoteText"/>
      </w:pPr>
      <w:r>
        <w:rPr>
          <w:rStyle w:val="FootnoteReference"/>
        </w:rPr>
        <w:footnoteRef/>
      </w:r>
      <w:r>
        <w:t xml:space="preserve"> </w:t>
      </w:r>
      <w:r>
        <w:tab/>
        <w:t xml:space="preserve">SAPN, </w:t>
      </w:r>
      <w:r w:rsidRPr="0055055D">
        <w:rPr>
          <w:rStyle w:val="AERtextitalic"/>
        </w:rPr>
        <w:t xml:space="preserve">Final project assessment report: </w:t>
      </w:r>
      <w:r>
        <w:rPr>
          <w:rStyle w:val="AERtextitalic"/>
        </w:rPr>
        <w:t>Kangaroo Island submarine cable</w:t>
      </w:r>
      <w:r>
        <w:t>, 23 December 2016, p.18.</w:t>
      </w:r>
    </w:p>
  </w:footnote>
  <w:footnote w:id="96">
    <w:p w:rsidR="00245484" w:rsidRDefault="00245484">
      <w:pPr>
        <w:pStyle w:val="FootnoteText"/>
      </w:pPr>
      <w:r>
        <w:rPr>
          <w:rStyle w:val="FootnoteReference"/>
        </w:rPr>
        <w:footnoteRef/>
      </w:r>
      <w:r>
        <w:t xml:space="preserve"> </w:t>
      </w:r>
      <w:r>
        <w:tab/>
        <w:t>This equates to SAPN's annual smoothed revenue requirement (AR) for year 2015</w:t>
      </w:r>
      <w:r>
        <w:rPr>
          <w:rFonts w:cs="Arial"/>
        </w:rPr>
        <w:t>–</w:t>
      </w:r>
      <w:r>
        <w:t>16, ignoring any potential outcomes of ongoing appeal processes.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6B" w:rsidRDefault="00762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6B" w:rsidRDefault="007629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6B" w:rsidRDefault="00762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1248D6DA"/>
    <w:lvl w:ilvl="0" w:tplc="FE104C32">
      <w:start w:val="1"/>
      <w:numFmt w:val="lowerLetter"/>
      <w:pStyle w:val="AERnumberedlistsecondstyl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8463838"/>
    <w:multiLevelType w:val="hybridMultilevel"/>
    <w:tmpl w:val="AB1030B0"/>
    <w:lvl w:ilvl="0" w:tplc="5A7A78BA">
      <w:numFmt w:val="bullet"/>
      <w:lvlText w:val="•"/>
      <w:lvlJc w:val="left"/>
      <w:pPr>
        <w:ind w:left="317" w:hanging="720"/>
      </w:pPr>
      <w:rPr>
        <w:rFonts w:ascii="Times New Roman" w:eastAsia="Times New Roman" w:hAnsi="Times New Roman" w:cs="Times New Roman" w:hint="default"/>
      </w:rPr>
    </w:lvl>
    <w:lvl w:ilvl="1" w:tplc="0C090003">
      <w:start w:val="1"/>
      <w:numFmt w:val="bullet"/>
      <w:lvlText w:val="o"/>
      <w:lvlJc w:val="left"/>
      <w:pPr>
        <w:ind w:left="1037" w:hanging="360"/>
      </w:pPr>
      <w:rPr>
        <w:rFonts w:ascii="Courier New" w:hAnsi="Courier New" w:cs="Courier New" w:hint="default"/>
      </w:rPr>
    </w:lvl>
    <w:lvl w:ilvl="2" w:tplc="0C090005" w:tentative="1">
      <w:start w:val="1"/>
      <w:numFmt w:val="bullet"/>
      <w:lvlText w:val=""/>
      <w:lvlJc w:val="left"/>
      <w:pPr>
        <w:ind w:left="1757" w:hanging="360"/>
      </w:pPr>
      <w:rPr>
        <w:rFonts w:ascii="Wingdings" w:hAnsi="Wingdings" w:hint="default"/>
      </w:rPr>
    </w:lvl>
    <w:lvl w:ilvl="3" w:tplc="0C090001" w:tentative="1">
      <w:start w:val="1"/>
      <w:numFmt w:val="bullet"/>
      <w:lvlText w:val=""/>
      <w:lvlJc w:val="left"/>
      <w:pPr>
        <w:ind w:left="2477" w:hanging="360"/>
      </w:pPr>
      <w:rPr>
        <w:rFonts w:ascii="Symbol" w:hAnsi="Symbol" w:hint="default"/>
      </w:rPr>
    </w:lvl>
    <w:lvl w:ilvl="4" w:tplc="0C090003" w:tentative="1">
      <w:start w:val="1"/>
      <w:numFmt w:val="bullet"/>
      <w:lvlText w:val="o"/>
      <w:lvlJc w:val="left"/>
      <w:pPr>
        <w:ind w:left="3197" w:hanging="360"/>
      </w:pPr>
      <w:rPr>
        <w:rFonts w:ascii="Courier New" w:hAnsi="Courier New" w:cs="Courier New" w:hint="default"/>
      </w:rPr>
    </w:lvl>
    <w:lvl w:ilvl="5" w:tplc="0C090005" w:tentative="1">
      <w:start w:val="1"/>
      <w:numFmt w:val="bullet"/>
      <w:lvlText w:val=""/>
      <w:lvlJc w:val="left"/>
      <w:pPr>
        <w:ind w:left="3917" w:hanging="360"/>
      </w:pPr>
      <w:rPr>
        <w:rFonts w:ascii="Wingdings" w:hAnsi="Wingdings" w:hint="default"/>
      </w:rPr>
    </w:lvl>
    <w:lvl w:ilvl="6" w:tplc="0C090001" w:tentative="1">
      <w:start w:val="1"/>
      <w:numFmt w:val="bullet"/>
      <w:lvlText w:val=""/>
      <w:lvlJc w:val="left"/>
      <w:pPr>
        <w:ind w:left="4637" w:hanging="360"/>
      </w:pPr>
      <w:rPr>
        <w:rFonts w:ascii="Symbol" w:hAnsi="Symbol" w:hint="default"/>
      </w:rPr>
    </w:lvl>
    <w:lvl w:ilvl="7" w:tplc="0C090003" w:tentative="1">
      <w:start w:val="1"/>
      <w:numFmt w:val="bullet"/>
      <w:lvlText w:val="o"/>
      <w:lvlJc w:val="left"/>
      <w:pPr>
        <w:ind w:left="5357" w:hanging="360"/>
      </w:pPr>
      <w:rPr>
        <w:rFonts w:ascii="Courier New" w:hAnsi="Courier New" w:cs="Courier New" w:hint="default"/>
      </w:rPr>
    </w:lvl>
    <w:lvl w:ilvl="8" w:tplc="0C090005" w:tentative="1">
      <w:start w:val="1"/>
      <w:numFmt w:val="bullet"/>
      <w:lvlText w:val=""/>
      <w:lvlJc w:val="left"/>
      <w:pPr>
        <w:ind w:left="6077" w:hanging="360"/>
      </w:pPr>
      <w:rPr>
        <w:rFonts w:ascii="Wingdings" w:hAnsi="Wingdings" w:hint="default"/>
      </w:rPr>
    </w:lvl>
  </w:abstractNum>
  <w:abstractNum w:abstractNumId="24">
    <w:nsid w:val="59474DF1"/>
    <w:multiLevelType w:val="multilevel"/>
    <w:tmpl w:val="AB346424"/>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679088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62905EB"/>
    <w:multiLevelType w:val="hybridMultilevel"/>
    <w:tmpl w:val="91B0B76E"/>
    <w:lvl w:ilvl="0" w:tplc="9D043F70">
      <w:start w:val="1"/>
      <w:numFmt w:val="bullet"/>
      <w:lvlText w:val="•"/>
      <w:lvlJc w:val="left"/>
      <w:pPr>
        <w:tabs>
          <w:tab w:val="num" w:pos="720"/>
        </w:tabs>
        <w:ind w:left="720" w:hanging="360"/>
      </w:pPr>
      <w:rPr>
        <w:rFonts w:ascii="Times New Roman" w:hAnsi="Times New Roman" w:hint="default"/>
      </w:rPr>
    </w:lvl>
    <w:lvl w:ilvl="1" w:tplc="313A0624" w:tentative="1">
      <w:start w:val="1"/>
      <w:numFmt w:val="bullet"/>
      <w:lvlText w:val="•"/>
      <w:lvlJc w:val="left"/>
      <w:pPr>
        <w:tabs>
          <w:tab w:val="num" w:pos="1440"/>
        </w:tabs>
        <w:ind w:left="1440" w:hanging="360"/>
      </w:pPr>
      <w:rPr>
        <w:rFonts w:ascii="Times New Roman" w:hAnsi="Times New Roman" w:hint="default"/>
      </w:rPr>
    </w:lvl>
    <w:lvl w:ilvl="2" w:tplc="0A4685E8" w:tentative="1">
      <w:start w:val="1"/>
      <w:numFmt w:val="bullet"/>
      <w:lvlText w:val="•"/>
      <w:lvlJc w:val="left"/>
      <w:pPr>
        <w:tabs>
          <w:tab w:val="num" w:pos="2160"/>
        </w:tabs>
        <w:ind w:left="2160" w:hanging="360"/>
      </w:pPr>
      <w:rPr>
        <w:rFonts w:ascii="Times New Roman" w:hAnsi="Times New Roman" w:hint="default"/>
      </w:rPr>
    </w:lvl>
    <w:lvl w:ilvl="3" w:tplc="ADB22F12" w:tentative="1">
      <w:start w:val="1"/>
      <w:numFmt w:val="bullet"/>
      <w:lvlText w:val="•"/>
      <w:lvlJc w:val="left"/>
      <w:pPr>
        <w:tabs>
          <w:tab w:val="num" w:pos="2880"/>
        </w:tabs>
        <w:ind w:left="2880" w:hanging="360"/>
      </w:pPr>
      <w:rPr>
        <w:rFonts w:ascii="Times New Roman" w:hAnsi="Times New Roman" w:hint="default"/>
      </w:rPr>
    </w:lvl>
    <w:lvl w:ilvl="4" w:tplc="4B5C8016" w:tentative="1">
      <w:start w:val="1"/>
      <w:numFmt w:val="bullet"/>
      <w:lvlText w:val="•"/>
      <w:lvlJc w:val="left"/>
      <w:pPr>
        <w:tabs>
          <w:tab w:val="num" w:pos="3600"/>
        </w:tabs>
        <w:ind w:left="3600" w:hanging="360"/>
      </w:pPr>
      <w:rPr>
        <w:rFonts w:ascii="Times New Roman" w:hAnsi="Times New Roman" w:hint="default"/>
      </w:rPr>
    </w:lvl>
    <w:lvl w:ilvl="5" w:tplc="3850B874" w:tentative="1">
      <w:start w:val="1"/>
      <w:numFmt w:val="bullet"/>
      <w:lvlText w:val="•"/>
      <w:lvlJc w:val="left"/>
      <w:pPr>
        <w:tabs>
          <w:tab w:val="num" w:pos="4320"/>
        </w:tabs>
        <w:ind w:left="4320" w:hanging="360"/>
      </w:pPr>
      <w:rPr>
        <w:rFonts w:ascii="Times New Roman" w:hAnsi="Times New Roman" w:hint="default"/>
      </w:rPr>
    </w:lvl>
    <w:lvl w:ilvl="6" w:tplc="E806F028" w:tentative="1">
      <w:start w:val="1"/>
      <w:numFmt w:val="bullet"/>
      <w:lvlText w:val="•"/>
      <w:lvlJc w:val="left"/>
      <w:pPr>
        <w:tabs>
          <w:tab w:val="num" w:pos="5040"/>
        </w:tabs>
        <w:ind w:left="5040" w:hanging="360"/>
      </w:pPr>
      <w:rPr>
        <w:rFonts w:ascii="Times New Roman" w:hAnsi="Times New Roman" w:hint="default"/>
      </w:rPr>
    </w:lvl>
    <w:lvl w:ilvl="7" w:tplc="E1C0451E" w:tentative="1">
      <w:start w:val="1"/>
      <w:numFmt w:val="bullet"/>
      <w:lvlText w:val="•"/>
      <w:lvlJc w:val="left"/>
      <w:pPr>
        <w:tabs>
          <w:tab w:val="num" w:pos="5760"/>
        </w:tabs>
        <w:ind w:left="5760" w:hanging="360"/>
      </w:pPr>
      <w:rPr>
        <w:rFonts w:ascii="Times New Roman" w:hAnsi="Times New Roman" w:hint="default"/>
      </w:rPr>
    </w:lvl>
    <w:lvl w:ilvl="8" w:tplc="E420557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6BE4258"/>
    <w:multiLevelType w:val="hybridMultilevel"/>
    <w:tmpl w:val="C25CB4DC"/>
    <w:lvl w:ilvl="0" w:tplc="0C090001">
      <w:start w:val="1"/>
      <w:numFmt w:val="bullet"/>
      <w:lvlText w:val=""/>
      <w:lvlJc w:val="left"/>
      <w:pPr>
        <w:ind w:left="317" w:hanging="720"/>
      </w:pPr>
      <w:rPr>
        <w:rFonts w:ascii="Symbol" w:hAnsi="Symbol" w:hint="default"/>
      </w:rPr>
    </w:lvl>
    <w:lvl w:ilvl="1" w:tplc="0C090003">
      <w:start w:val="1"/>
      <w:numFmt w:val="bullet"/>
      <w:lvlText w:val="o"/>
      <w:lvlJc w:val="left"/>
      <w:pPr>
        <w:ind w:left="1037" w:hanging="360"/>
      </w:pPr>
      <w:rPr>
        <w:rFonts w:ascii="Courier New" w:hAnsi="Courier New" w:cs="Courier New" w:hint="default"/>
      </w:rPr>
    </w:lvl>
    <w:lvl w:ilvl="2" w:tplc="0C090005" w:tentative="1">
      <w:start w:val="1"/>
      <w:numFmt w:val="bullet"/>
      <w:lvlText w:val=""/>
      <w:lvlJc w:val="left"/>
      <w:pPr>
        <w:ind w:left="1757" w:hanging="360"/>
      </w:pPr>
      <w:rPr>
        <w:rFonts w:ascii="Wingdings" w:hAnsi="Wingdings" w:hint="default"/>
      </w:rPr>
    </w:lvl>
    <w:lvl w:ilvl="3" w:tplc="0C090001" w:tentative="1">
      <w:start w:val="1"/>
      <w:numFmt w:val="bullet"/>
      <w:lvlText w:val=""/>
      <w:lvlJc w:val="left"/>
      <w:pPr>
        <w:ind w:left="2477" w:hanging="360"/>
      </w:pPr>
      <w:rPr>
        <w:rFonts w:ascii="Symbol" w:hAnsi="Symbol" w:hint="default"/>
      </w:rPr>
    </w:lvl>
    <w:lvl w:ilvl="4" w:tplc="0C090003" w:tentative="1">
      <w:start w:val="1"/>
      <w:numFmt w:val="bullet"/>
      <w:lvlText w:val="o"/>
      <w:lvlJc w:val="left"/>
      <w:pPr>
        <w:ind w:left="3197" w:hanging="360"/>
      </w:pPr>
      <w:rPr>
        <w:rFonts w:ascii="Courier New" w:hAnsi="Courier New" w:cs="Courier New" w:hint="default"/>
      </w:rPr>
    </w:lvl>
    <w:lvl w:ilvl="5" w:tplc="0C090005" w:tentative="1">
      <w:start w:val="1"/>
      <w:numFmt w:val="bullet"/>
      <w:lvlText w:val=""/>
      <w:lvlJc w:val="left"/>
      <w:pPr>
        <w:ind w:left="3917" w:hanging="360"/>
      </w:pPr>
      <w:rPr>
        <w:rFonts w:ascii="Wingdings" w:hAnsi="Wingdings" w:hint="default"/>
      </w:rPr>
    </w:lvl>
    <w:lvl w:ilvl="6" w:tplc="0C090001" w:tentative="1">
      <w:start w:val="1"/>
      <w:numFmt w:val="bullet"/>
      <w:lvlText w:val=""/>
      <w:lvlJc w:val="left"/>
      <w:pPr>
        <w:ind w:left="4637" w:hanging="360"/>
      </w:pPr>
      <w:rPr>
        <w:rFonts w:ascii="Symbol" w:hAnsi="Symbol" w:hint="default"/>
      </w:rPr>
    </w:lvl>
    <w:lvl w:ilvl="7" w:tplc="0C090003" w:tentative="1">
      <w:start w:val="1"/>
      <w:numFmt w:val="bullet"/>
      <w:lvlText w:val="o"/>
      <w:lvlJc w:val="left"/>
      <w:pPr>
        <w:ind w:left="5357" w:hanging="360"/>
      </w:pPr>
      <w:rPr>
        <w:rFonts w:ascii="Courier New" w:hAnsi="Courier New" w:cs="Courier New" w:hint="default"/>
      </w:rPr>
    </w:lvl>
    <w:lvl w:ilvl="8" w:tplc="0C090005" w:tentative="1">
      <w:start w:val="1"/>
      <w:numFmt w:val="bullet"/>
      <w:lvlText w:val=""/>
      <w:lvlJc w:val="left"/>
      <w:pPr>
        <w:ind w:left="6077" w:hanging="360"/>
      </w:pPr>
      <w:rPr>
        <w:rFonts w:ascii="Wingdings" w:hAnsi="Wingdings" w:hint="default"/>
      </w:rPr>
    </w:lvl>
  </w:abstractNum>
  <w:abstractNum w:abstractNumId="28">
    <w:nsid w:val="6726588A"/>
    <w:multiLevelType w:val="hybridMultilevel"/>
    <w:tmpl w:val="1EBEE0E2"/>
    <w:lvl w:ilvl="0" w:tplc="ED488F34">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67C41BAB"/>
    <w:multiLevelType w:val="hybridMultilevel"/>
    <w:tmpl w:val="833C1F7A"/>
    <w:lvl w:ilvl="0" w:tplc="5A7A78BA">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B974416"/>
    <w:multiLevelType w:val="hybridMultilevel"/>
    <w:tmpl w:val="7396AA5A"/>
    <w:lvl w:ilvl="0" w:tplc="5A7A78BA">
      <w:numFmt w:val="bullet"/>
      <w:lvlText w:val="•"/>
      <w:lvlJc w:val="left"/>
      <w:pPr>
        <w:ind w:left="317" w:hanging="720"/>
      </w:pPr>
      <w:rPr>
        <w:rFonts w:ascii="Times New Roman" w:eastAsia="Times New Roman" w:hAnsi="Times New Roman" w:cs="Times New Roman" w:hint="default"/>
      </w:rPr>
    </w:lvl>
    <w:lvl w:ilvl="1" w:tplc="0C090001">
      <w:start w:val="1"/>
      <w:numFmt w:val="bullet"/>
      <w:lvlText w:val=""/>
      <w:lvlJc w:val="left"/>
      <w:pPr>
        <w:ind w:left="1037" w:hanging="360"/>
      </w:pPr>
      <w:rPr>
        <w:rFonts w:ascii="Symbol" w:hAnsi="Symbol" w:hint="default"/>
      </w:rPr>
    </w:lvl>
    <w:lvl w:ilvl="2" w:tplc="0C090005" w:tentative="1">
      <w:start w:val="1"/>
      <w:numFmt w:val="bullet"/>
      <w:lvlText w:val=""/>
      <w:lvlJc w:val="left"/>
      <w:pPr>
        <w:ind w:left="1757" w:hanging="360"/>
      </w:pPr>
      <w:rPr>
        <w:rFonts w:ascii="Wingdings" w:hAnsi="Wingdings" w:hint="default"/>
      </w:rPr>
    </w:lvl>
    <w:lvl w:ilvl="3" w:tplc="0C090001" w:tentative="1">
      <w:start w:val="1"/>
      <w:numFmt w:val="bullet"/>
      <w:lvlText w:val=""/>
      <w:lvlJc w:val="left"/>
      <w:pPr>
        <w:ind w:left="2477" w:hanging="360"/>
      </w:pPr>
      <w:rPr>
        <w:rFonts w:ascii="Symbol" w:hAnsi="Symbol" w:hint="default"/>
      </w:rPr>
    </w:lvl>
    <w:lvl w:ilvl="4" w:tplc="0C090003" w:tentative="1">
      <w:start w:val="1"/>
      <w:numFmt w:val="bullet"/>
      <w:lvlText w:val="o"/>
      <w:lvlJc w:val="left"/>
      <w:pPr>
        <w:ind w:left="3197" w:hanging="360"/>
      </w:pPr>
      <w:rPr>
        <w:rFonts w:ascii="Courier New" w:hAnsi="Courier New" w:cs="Courier New" w:hint="default"/>
      </w:rPr>
    </w:lvl>
    <w:lvl w:ilvl="5" w:tplc="0C090005" w:tentative="1">
      <w:start w:val="1"/>
      <w:numFmt w:val="bullet"/>
      <w:lvlText w:val=""/>
      <w:lvlJc w:val="left"/>
      <w:pPr>
        <w:ind w:left="3917" w:hanging="360"/>
      </w:pPr>
      <w:rPr>
        <w:rFonts w:ascii="Wingdings" w:hAnsi="Wingdings" w:hint="default"/>
      </w:rPr>
    </w:lvl>
    <w:lvl w:ilvl="6" w:tplc="0C090001" w:tentative="1">
      <w:start w:val="1"/>
      <w:numFmt w:val="bullet"/>
      <w:lvlText w:val=""/>
      <w:lvlJc w:val="left"/>
      <w:pPr>
        <w:ind w:left="4637" w:hanging="360"/>
      </w:pPr>
      <w:rPr>
        <w:rFonts w:ascii="Symbol" w:hAnsi="Symbol" w:hint="default"/>
      </w:rPr>
    </w:lvl>
    <w:lvl w:ilvl="7" w:tplc="0C090003" w:tentative="1">
      <w:start w:val="1"/>
      <w:numFmt w:val="bullet"/>
      <w:lvlText w:val="o"/>
      <w:lvlJc w:val="left"/>
      <w:pPr>
        <w:ind w:left="5357" w:hanging="360"/>
      </w:pPr>
      <w:rPr>
        <w:rFonts w:ascii="Courier New" w:hAnsi="Courier New" w:cs="Courier New" w:hint="default"/>
      </w:rPr>
    </w:lvl>
    <w:lvl w:ilvl="8" w:tplc="0C090005" w:tentative="1">
      <w:start w:val="1"/>
      <w:numFmt w:val="bullet"/>
      <w:lvlText w:val=""/>
      <w:lvlJc w:val="left"/>
      <w:pPr>
        <w:ind w:left="6077" w:hanging="360"/>
      </w:pPr>
      <w:rPr>
        <w:rFonts w:ascii="Wingdings" w:hAnsi="Wingdings" w:hint="default"/>
      </w:rPr>
    </w:lvl>
  </w:abstractNum>
  <w:abstractNum w:abstractNumId="31">
    <w:nsid w:val="702B6239"/>
    <w:multiLevelType w:val="hybridMultilevel"/>
    <w:tmpl w:val="015699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1052EFE"/>
    <w:multiLevelType w:val="hybridMultilevel"/>
    <w:tmpl w:val="D2127208"/>
    <w:lvl w:ilvl="0" w:tplc="0F384976">
      <w:start w:val="1"/>
      <w:numFmt w:val="lowerRoman"/>
      <w:pStyle w:val="AERnumberedlistthirdstyle"/>
      <w:lvlText w:val="%1."/>
      <w:lvlJc w:val="righ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32"/>
  </w:num>
  <w:num w:numId="21">
    <w:abstractNumId w:val="24"/>
  </w:num>
  <w:num w:numId="22">
    <w:abstractNumId w:val="21"/>
  </w:num>
  <w:num w:numId="23">
    <w:abstractNumId w:val="15"/>
  </w:num>
  <w:num w:numId="24">
    <w:abstractNumId w:val="22"/>
  </w:num>
  <w:num w:numId="25">
    <w:abstractNumId w:val="25"/>
  </w:num>
  <w:num w:numId="26">
    <w:abstractNumId w:val="16"/>
  </w:num>
  <w:num w:numId="27">
    <w:abstractNumId w:val="13"/>
  </w:num>
  <w:num w:numId="28">
    <w:abstractNumId w:val="32"/>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3"/>
  </w:num>
  <w:num w:numId="37">
    <w:abstractNumId w:val="29"/>
  </w:num>
  <w:num w:numId="38">
    <w:abstractNumId w:val="27"/>
  </w:num>
  <w:num w:numId="39">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824\D17 113681  Explanatory statement - Draft demand management incentive scheme - August 2017 - FOR PUBLICATION.DOCX"/>
  </w:docVars>
  <w:rsids>
    <w:rsidRoot w:val="00961A4A"/>
    <w:rsid w:val="00000D4A"/>
    <w:rsid w:val="0000169E"/>
    <w:rsid w:val="00003AE8"/>
    <w:rsid w:val="000051DC"/>
    <w:rsid w:val="0000658F"/>
    <w:rsid w:val="00006E4A"/>
    <w:rsid w:val="00007520"/>
    <w:rsid w:val="0001019E"/>
    <w:rsid w:val="00011248"/>
    <w:rsid w:val="000118A9"/>
    <w:rsid w:val="0001507B"/>
    <w:rsid w:val="00015F06"/>
    <w:rsid w:val="00016320"/>
    <w:rsid w:val="0001770D"/>
    <w:rsid w:val="00017AA2"/>
    <w:rsid w:val="00020016"/>
    <w:rsid w:val="00020048"/>
    <w:rsid w:val="00020840"/>
    <w:rsid w:val="00021202"/>
    <w:rsid w:val="00021C2B"/>
    <w:rsid w:val="00021D7C"/>
    <w:rsid w:val="00021D94"/>
    <w:rsid w:val="0002219B"/>
    <w:rsid w:val="000224A2"/>
    <w:rsid w:val="000224DB"/>
    <w:rsid w:val="00022549"/>
    <w:rsid w:val="0002498B"/>
    <w:rsid w:val="00024A2B"/>
    <w:rsid w:val="00025142"/>
    <w:rsid w:val="0002517F"/>
    <w:rsid w:val="0002601E"/>
    <w:rsid w:val="00026187"/>
    <w:rsid w:val="000266FC"/>
    <w:rsid w:val="000273B3"/>
    <w:rsid w:val="000274A4"/>
    <w:rsid w:val="00027E2D"/>
    <w:rsid w:val="00030FD9"/>
    <w:rsid w:val="00031012"/>
    <w:rsid w:val="00031747"/>
    <w:rsid w:val="00033C5E"/>
    <w:rsid w:val="00034568"/>
    <w:rsid w:val="000347DC"/>
    <w:rsid w:val="000351CF"/>
    <w:rsid w:val="0003578C"/>
    <w:rsid w:val="00036BCF"/>
    <w:rsid w:val="00036C2A"/>
    <w:rsid w:val="00036ED3"/>
    <w:rsid w:val="0003770C"/>
    <w:rsid w:val="00041128"/>
    <w:rsid w:val="000416AF"/>
    <w:rsid w:val="00042F31"/>
    <w:rsid w:val="00044A75"/>
    <w:rsid w:val="00044DA3"/>
    <w:rsid w:val="000462C0"/>
    <w:rsid w:val="000466E7"/>
    <w:rsid w:val="000474DF"/>
    <w:rsid w:val="00051958"/>
    <w:rsid w:val="0005250F"/>
    <w:rsid w:val="00053B8B"/>
    <w:rsid w:val="00055993"/>
    <w:rsid w:val="00055A67"/>
    <w:rsid w:val="00055DED"/>
    <w:rsid w:val="00057482"/>
    <w:rsid w:val="000608BA"/>
    <w:rsid w:val="00060BF6"/>
    <w:rsid w:val="00061B75"/>
    <w:rsid w:val="00061D96"/>
    <w:rsid w:val="0006216B"/>
    <w:rsid w:val="000624BC"/>
    <w:rsid w:val="00063247"/>
    <w:rsid w:val="0006356E"/>
    <w:rsid w:val="000636AB"/>
    <w:rsid w:val="00064375"/>
    <w:rsid w:val="00064688"/>
    <w:rsid w:val="00064C08"/>
    <w:rsid w:val="0006588A"/>
    <w:rsid w:val="0006624E"/>
    <w:rsid w:val="00066B26"/>
    <w:rsid w:val="00070F9F"/>
    <w:rsid w:val="0007137B"/>
    <w:rsid w:val="00071D7D"/>
    <w:rsid w:val="00072D19"/>
    <w:rsid w:val="0007379A"/>
    <w:rsid w:val="00073B74"/>
    <w:rsid w:val="0007436C"/>
    <w:rsid w:val="00074B8D"/>
    <w:rsid w:val="00075B81"/>
    <w:rsid w:val="00075E26"/>
    <w:rsid w:val="00076410"/>
    <w:rsid w:val="00076416"/>
    <w:rsid w:val="00076E3B"/>
    <w:rsid w:val="00077F28"/>
    <w:rsid w:val="000805A8"/>
    <w:rsid w:val="00080711"/>
    <w:rsid w:val="0008190B"/>
    <w:rsid w:val="00082852"/>
    <w:rsid w:val="0008290B"/>
    <w:rsid w:val="00083068"/>
    <w:rsid w:val="000836D9"/>
    <w:rsid w:val="00085663"/>
    <w:rsid w:val="00085EBF"/>
    <w:rsid w:val="00090FDD"/>
    <w:rsid w:val="00091B15"/>
    <w:rsid w:val="00091B2E"/>
    <w:rsid w:val="00091DDE"/>
    <w:rsid w:val="00095186"/>
    <w:rsid w:val="000A0E71"/>
    <w:rsid w:val="000A1C0C"/>
    <w:rsid w:val="000A1D95"/>
    <w:rsid w:val="000A3020"/>
    <w:rsid w:val="000A4059"/>
    <w:rsid w:val="000A4840"/>
    <w:rsid w:val="000A4993"/>
    <w:rsid w:val="000A62C1"/>
    <w:rsid w:val="000A6A79"/>
    <w:rsid w:val="000A6C7B"/>
    <w:rsid w:val="000B0A45"/>
    <w:rsid w:val="000B0A7B"/>
    <w:rsid w:val="000B0B1A"/>
    <w:rsid w:val="000B0E59"/>
    <w:rsid w:val="000B1173"/>
    <w:rsid w:val="000B1B8F"/>
    <w:rsid w:val="000B1E36"/>
    <w:rsid w:val="000B4330"/>
    <w:rsid w:val="000B4777"/>
    <w:rsid w:val="000B510D"/>
    <w:rsid w:val="000B54BD"/>
    <w:rsid w:val="000B5827"/>
    <w:rsid w:val="000B64A9"/>
    <w:rsid w:val="000B6BDA"/>
    <w:rsid w:val="000B7037"/>
    <w:rsid w:val="000C02D1"/>
    <w:rsid w:val="000C0C63"/>
    <w:rsid w:val="000C0CEB"/>
    <w:rsid w:val="000C174C"/>
    <w:rsid w:val="000C2B40"/>
    <w:rsid w:val="000C32D5"/>
    <w:rsid w:val="000C34DF"/>
    <w:rsid w:val="000C36E9"/>
    <w:rsid w:val="000C38C7"/>
    <w:rsid w:val="000C4CEB"/>
    <w:rsid w:val="000C5255"/>
    <w:rsid w:val="000C68E9"/>
    <w:rsid w:val="000C79A3"/>
    <w:rsid w:val="000D07A7"/>
    <w:rsid w:val="000D0969"/>
    <w:rsid w:val="000D122C"/>
    <w:rsid w:val="000D3CB3"/>
    <w:rsid w:val="000D41C6"/>
    <w:rsid w:val="000D4B0B"/>
    <w:rsid w:val="000D555E"/>
    <w:rsid w:val="000D5838"/>
    <w:rsid w:val="000D5900"/>
    <w:rsid w:val="000D681C"/>
    <w:rsid w:val="000D756F"/>
    <w:rsid w:val="000D75B0"/>
    <w:rsid w:val="000E112B"/>
    <w:rsid w:val="000E1136"/>
    <w:rsid w:val="000E171C"/>
    <w:rsid w:val="000E1819"/>
    <w:rsid w:val="000E4821"/>
    <w:rsid w:val="000E4AA9"/>
    <w:rsid w:val="000E4F8F"/>
    <w:rsid w:val="000E546C"/>
    <w:rsid w:val="000E58CE"/>
    <w:rsid w:val="000E6AEA"/>
    <w:rsid w:val="000E6C72"/>
    <w:rsid w:val="000E6FAF"/>
    <w:rsid w:val="000E7CE7"/>
    <w:rsid w:val="000E7F39"/>
    <w:rsid w:val="000F2400"/>
    <w:rsid w:val="000F2A01"/>
    <w:rsid w:val="000F2ADA"/>
    <w:rsid w:val="000F54AA"/>
    <w:rsid w:val="000F6C8E"/>
    <w:rsid w:val="000F7784"/>
    <w:rsid w:val="001009EA"/>
    <w:rsid w:val="00100EA2"/>
    <w:rsid w:val="00101270"/>
    <w:rsid w:val="00101AA1"/>
    <w:rsid w:val="00102338"/>
    <w:rsid w:val="00104566"/>
    <w:rsid w:val="00104FF6"/>
    <w:rsid w:val="00105034"/>
    <w:rsid w:val="00105F8C"/>
    <w:rsid w:val="00106BEA"/>
    <w:rsid w:val="00110142"/>
    <w:rsid w:val="001114AA"/>
    <w:rsid w:val="001122D6"/>
    <w:rsid w:val="00112AF7"/>
    <w:rsid w:val="00115743"/>
    <w:rsid w:val="00115858"/>
    <w:rsid w:val="00116EB2"/>
    <w:rsid w:val="00117EC4"/>
    <w:rsid w:val="001202D3"/>
    <w:rsid w:val="00121204"/>
    <w:rsid w:val="0012132C"/>
    <w:rsid w:val="00123B86"/>
    <w:rsid w:val="00123BE1"/>
    <w:rsid w:val="00123CC7"/>
    <w:rsid w:val="00124609"/>
    <w:rsid w:val="00124F4B"/>
    <w:rsid w:val="00125C8B"/>
    <w:rsid w:val="00126445"/>
    <w:rsid w:val="00126A4C"/>
    <w:rsid w:val="001270E3"/>
    <w:rsid w:val="00132D43"/>
    <w:rsid w:val="00133366"/>
    <w:rsid w:val="00133E63"/>
    <w:rsid w:val="00133F47"/>
    <w:rsid w:val="00134029"/>
    <w:rsid w:val="001353EC"/>
    <w:rsid w:val="001355E0"/>
    <w:rsid w:val="00140472"/>
    <w:rsid w:val="0014216E"/>
    <w:rsid w:val="00142C2D"/>
    <w:rsid w:val="00143E4A"/>
    <w:rsid w:val="001443C9"/>
    <w:rsid w:val="00144620"/>
    <w:rsid w:val="0014481A"/>
    <w:rsid w:val="00144AE9"/>
    <w:rsid w:val="00144C96"/>
    <w:rsid w:val="001454D8"/>
    <w:rsid w:val="0014573B"/>
    <w:rsid w:val="001463A3"/>
    <w:rsid w:val="0014797A"/>
    <w:rsid w:val="0015073A"/>
    <w:rsid w:val="00150CC3"/>
    <w:rsid w:val="00152F8C"/>
    <w:rsid w:val="0015335E"/>
    <w:rsid w:val="00153EE8"/>
    <w:rsid w:val="001545A2"/>
    <w:rsid w:val="00155D07"/>
    <w:rsid w:val="001566B2"/>
    <w:rsid w:val="00156A91"/>
    <w:rsid w:val="001572FE"/>
    <w:rsid w:val="001573E4"/>
    <w:rsid w:val="00160672"/>
    <w:rsid w:val="00160756"/>
    <w:rsid w:val="001617BE"/>
    <w:rsid w:val="00161DC8"/>
    <w:rsid w:val="00163121"/>
    <w:rsid w:val="00163384"/>
    <w:rsid w:val="00163F19"/>
    <w:rsid w:val="001647BC"/>
    <w:rsid w:val="00166760"/>
    <w:rsid w:val="00166C39"/>
    <w:rsid w:val="00170ABD"/>
    <w:rsid w:val="00171E38"/>
    <w:rsid w:val="0017232E"/>
    <w:rsid w:val="00172E44"/>
    <w:rsid w:val="00173165"/>
    <w:rsid w:val="00173476"/>
    <w:rsid w:val="00174102"/>
    <w:rsid w:val="001754EE"/>
    <w:rsid w:val="00177217"/>
    <w:rsid w:val="001800F2"/>
    <w:rsid w:val="00180157"/>
    <w:rsid w:val="001802BF"/>
    <w:rsid w:val="001809BC"/>
    <w:rsid w:val="00180E97"/>
    <w:rsid w:val="00180EFE"/>
    <w:rsid w:val="0018176A"/>
    <w:rsid w:val="001820B4"/>
    <w:rsid w:val="00184351"/>
    <w:rsid w:val="00184AC8"/>
    <w:rsid w:val="00185BA5"/>
    <w:rsid w:val="00185CB9"/>
    <w:rsid w:val="00185DBE"/>
    <w:rsid w:val="00186ADC"/>
    <w:rsid w:val="00186F77"/>
    <w:rsid w:val="001877A4"/>
    <w:rsid w:val="00187D1D"/>
    <w:rsid w:val="00190A30"/>
    <w:rsid w:val="00192646"/>
    <w:rsid w:val="001926A4"/>
    <w:rsid w:val="00192AD5"/>
    <w:rsid w:val="00192B13"/>
    <w:rsid w:val="001937F2"/>
    <w:rsid w:val="00194094"/>
    <w:rsid w:val="00194120"/>
    <w:rsid w:val="00194597"/>
    <w:rsid w:val="00194DA3"/>
    <w:rsid w:val="00194E00"/>
    <w:rsid w:val="00196BD7"/>
    <w:rsid w:val="0019745E"/>
    <w:rsid w:val="00197B16"/>
    <w:rsid w:val="00197F40"/>
    <w:rsid w:val="001A4821"/>
    <w:rsid w:val="001A530D"/>
    <w:rsid w:val="001A5F4C"/>
    <w:rsid w:val="001A5FB3"/>
    <w:rsid w:val="001A6C59"/>
    <w:rsid w:val="001A7155"/>
    <w:rsid w:val="001A7BC5"/>
    <w:rsid w:val="001A7D39"/>
    <w:rsid w:val="001B03EA"/>
    <w:rsid w:val="001B077E"/>
    <w:rsid w:val="001B126C"/>
    <w:rsid w:val="001B2AF2"/>
    <w:rsid w:val="001B3755"/>
    <w:rsid w:val="001B45A0"/>
    <w:rsid w:val="001B4DF4"/>
    <w:rsid w:val="001B5DD9"/>
    <w:rsid w:val="001B680E"/>
    <w:rsid w:val="001B746E"/>
    <w:rsid w:val="001B7F95"/>
    <w:rsid w:val="001C055B"/>
    <w:rsid w:val="001C0665"/>
    <w:rsid w:val="001C1530"/>
    <w:rsid w:val="001C2661"/>
    <w:rsid w:val="001C2C22"/>
    <w:rsid w:val="001C3FAF"/>
    <w:rsid w:val="001C5A7E"/>
    <w:rsid w:val="001D055E"/>
    <w:rsid w:val="001D1B13"/>
    <w:rsid w:val="001D29B4"/>
    <w:rsid w:val="001D5B65"/>
    <w:rsid w:val="001D5EAF"/>
    <w:rsid w:val="001E1B3F"/>
    <w:rsid w:val="001E202E"/>
    <w:rsid w:val="001E322B"/>
    <w:rsid w:val="001E3AA8"/>
    <w:rsid w:val="001E417C"/>
    <w:rsid w:val="001E52A0"/>
    <w:rsid w:val="001E57BD"/>
    <w:rsid w:val="001E6CDE"/>
    <w:rsid w:val="001E6F0B"/>
    <w:rsid w:val="001E7161"/>
    <w:rsid w:val="001F05A4"/>
    <w:rsid w:val="001F18B8"/>
    <w:rsid w:val="001F1AF0"/>
    <w:rsid w:val="001F262B"/>
    <w:rsid w:val="001F3209"/>
    <w:rsid w:val="001F3D4A"/>
    <w:rsid w:val="001F492E"/>
    <w:rsid w:val="001F5EA9"/>
    <w:rsid w:val="001F64EF"/>
    <w:rsid w:val="001F6DA3"/>
    <w:rsid w:val="002010BC"/>
    <w:rsid w:val="002016E7"/>
    <w:rsid w:val="00202E03"/>
    <w:rsid w:val="002033B9"/>
    <w:rsid w:val="00203C71"/>
    <w:rsid w:val="002041BD"/>
    <w:rsid w:val="002043D0"/>
    <w:rsid w:val="0020492C"/>
    <w:rsid w:val="00204EC9"/>
    <w:rsid w:val="00204F97"/>
    <w:rsid w:val="002050D7"/>
    <w:rsid w:val="00206505"/>
    <w:rsid w:val="00206523"/>
    <w:rsid w:val="0020743F"/>
    <w:rsid w:val="0021004A"/>
    <w:rsid w:val="002102DE"/>
    <w:rsid w:val="00210466"/>
    <w:rsid w:val="00210543"/>
    <w:rsid w:val="00210648"/>
    <w:rsid w:val="00211C01"/>
    <w:rsid w:val="0021309C"/>
    <w:rsid w:val="00214021"/>
    <w:rsid w:val="00214295"/>
    <w:rsid w:val="00215555"/>
    <w:rsid w:val="00216287"/>
    <w:rsid w:val="00216C93"/>
    <w:rsid w:val="0022031A"/>
    <w:rsid w:val="00221830"/>
    <w:rsid w:val="00221F82"/>
    <w:rsid w:val="00223051"/>
    <w:rsid w:val="002244E4"/>
    <w:rsid w:val="00224DB9"/>
    <w:rsid w:val="0022569A"/>
    <w:rsid w:val="00227CB1"/>
    <w:rsid w:val="0023005C"/>
    <w:rsid w:val="00231012"/>
    <w:rsid w:val="00233775"/>
    <w:rsid w:val="00233EFC"/>
    <w:rsid w:val="0023414B"/>
    <w:rsid w:val="00235540"/>
    <w:rsid w:val="00235A07"/>
    <w:rsid w:val="00236F3F"/>
    <w:rsid w:val="00243573"/>
    <w:rsid w:val="00243635"/>
    <w:rsid w:val="00243DE0"/>
    <w:rsid w:val="0024409C"/>
    <w:rsid w:val="002449E4"/>
    <w:rsid w:val="00245484"/>
    <w:rsid w:val="00246D32"/>
    <w:rsid w:val="00247079"/>
    <w:rsid w:val="00247F12"/>
    <w:rsid w:val="00250BBD"/>
    <w:rsid w:val="00251219"/>
    <w:rsid w:val="00251310"/>
    <w:rsid w:val="00251745"/>
    <w:rsid w:val="002519F5"/>
    <w:rsid w:val="00251A39"/>
    <w:rsid w:val="00252AFC"/>
    <w:rsid w:val="002552BA"/>
    <w:rsid w:val="002554CA"/>
    <w:rsid w:val="002557E3"/>
    <w:rsid w:val="00256E94"/>
    <w:rsid w:val="00260016"/>
    <w:rsid w:val="00260E20"/>
    <w:rsid w:val="00262017"/>
    <w:rsid w:val="00262339"/>
    <w:rsid w:val="002627B7"/>
    <w:rsid w:val="00262ACA"/>
    <w:rsid w:val="00263AC0"/>
    <w:rsid w:val="00264264"/>
    <w:rsid w:val="0026491F"/>
    <w:rsid w:val="00264E91"/>
    <w:rsid w:val="00266212"/>
    <w:rsid w:val="00266283"/>
    <w:rsid w:val="0026689B"/>
    <w:rsid w:val="0026772D"/>
    <w:rsid w:val="0027263F"/>
    <w:rsid w:val="002730B2"/>
    <w:rsid w:val="002736C5"/>
    <w:rsid w:val="002736EB"/>
    <w:rsid w:val="002737B9"/>
    <w:rsid w:val="0027487B"/>
    <w:rsid w:val="00274C7E"/>
    <w:rsid w:val="00275A6D"/>
    <w:rsid w:val="00275B20"/>
    <w:rsid w:val="00275CD0"/>
    <w:rsid w:val="002777CF"/>
    <w:rsid w:val="00277AB2"/>
    <w:rsid w:val="00277BFC"/>
    <w:rsid w:val="0028082F"/>
    <w:rsid w:val="002810F2"/>
    <w:rsid w:val="00283726"/>
    <w:rsid w:val="00283793"/>
    <w:rsid w:val="002850A5"/>
    <w:rsid w:val="00286874"/>
    <w:rsid w:val="00287F65"/>
    <w:rsid w:val="00290C63"/>
    <w:rsid w:val="00290F66"/>
    <w:rsid w:val="002911ED"/>
    <w:rsid w:val="00291278"/>
    <w:rsid w:val="002912C9"/>
    <w:rsid w:val="00291A99"/>
    <w:rsid w:val="00293B6D"/>
    <w:rsid w:val="00294B08"/>
    <w:rsid w:val="0029518C"/>
    <w:rsid w:val="00295FDE"/>
    <w:rsid w:val="002963DD"/>
    <w:rsid w:val="00296B65"/>
    <w:rsid w:val="002A5157"/>
    <w:rsid w:val="002A549E"/>
    <w:rsid w:val="002A5510"/>
    <w:rsid w:val="002A5F3C"/>
    <w:rsid w:val="002A6BC3"/>
    <w:rsid w:val="002A7DEF"/>
    <w:rsid w:val="002B0696"/>
    <w:rsid w:val="002B087D"/>
    <w:rsid w:val="002B0B5A"/>
    <w:rsid w:val="002B1507"/>
    <w:rsid w:val="002B18A8"/>
    <w:rsid w:val="002B2E9D"/>
    <w:rsid w:val="002B306B"/>
    <w:rsid w:val="002B35EC"/>
    <w:rsid w:val="002B3ECF"/>
    <w:rsid w:val="002B43DD"/>
    <w:rsid w:val="002B4A73"/>
    <w:rsid w:val="002B5546"/>
    <w:rsid w:val="002B59FE"/>
    <w:rsid w:val="002B67FB"/>
    <w:rsid w:val="002C0222"/>
    <w:rsid w:val="002C0927"/>
    <w:rsid w:val="002C0E70"/>
    <w:rsid w:val="002C1499"/>
    <w:rsid w:val="002C18F3"/>
    <w:rsid w:val="002C233C"/>
    <w:rsid w:val="002C26CB"/>
    <w:rsid w:val="002C3D7E"/>
    <w:rsid w:val="002C4443"/>
    <w:rsid w:val="002C517B"/>
    <w:rsid w:val="002C6ECA"/>
    <w:rsid w:val="002D0E9D"/>
    <w:rsid w:val="002D10B0"/>
    <w:rsid w:val="002D120A"/>
    <w:rsid w:val="002D2EB5"/>
    <w:rsid w:val="002D3509"/>
    <w:rsid w:val="002D359D"/>
    <w:rsid w:val="002D3C76"/>
    <w:rsid w:val="002D4543"/>
    <w:rsid w:val="002D47D1"/>
    <w:rsid w:val="002D487B"/>
    <w:rsid w:val="002D50B9"/>
    <w:rsid w:val="002D5457"/>
    <w:rsid w:val="002D6D1B"/>
    <w:rsid w:val="002D714D"/>
    <w:rsid w:val="002D7184"/>
    <w:rsid w:val="002D72E8"/>
    <w:rsid w:val="002D73DE"/>
    <w:rsid w:val="002D79AD"/>
    <w:rsid w:val="002D7A0B"/>
    <w:rsid w:val="002D7F9E"/>
    <w:rsid w:val="002E0F17"/>
    <w:rsid w:val="002E134A"/>
    <w:rsid w:val="002E201A"/>
    <w:rsid w:val="002E268F"/>
    <w:rsid w:val="002E2693"/>
    <w:rsid w:val="002E4171"/>
    <w:rsid w:val="002E59D6"/>
    <w:rsid w:val="002E631E"/>
    <w:rsid w:val="002E68CE"/>
    <w:rsid w:val="002E78DD"/>
    <w:rsid w:val="002E7B22"/>
    <w:rsid w:val="002E7B6B"/>
    <w:rsid w:val="002E7EA0"/>
    <w:rsid w:val="002F12B3"/>
    <w:rsid w:val="002F12EC"/>
    <w:rsid w:val="002F50D1"/>
    <w:rsid w:val="002F5184"/>
    <w:rsid w:val="002F51CC"/>
    <w:rsid w:val="002F5812"/>
    <w:rsid w:val="002F6623"/>
    <w:rsid w:val="002F6AB0"/>
    <w:rsid w:val="002F7986"/>
    <w:rsid w:val="00300CC8"/>
    <w:rsid w:val="00300DDF"/>
    <w:rsid w:val="00301B40"/>
    <w:rsid w:val="00301C82"/>
    <w:rsid w:val="00302133"/>
    <w:rsid w:val="003029EE"/>
    <w:rsid w:val="00303CF4"/>
    <w:rsid w:val="00304259"/>
    <w:rsid w:val="00304840"/>
    <w:rsid w:val="00304D38"/>
    <w:rsid w:val="00304E1D"/>
    <w:rsid w:val="00305CC8"/>
    <w:rsid w:val="00306327"/>
    <w:rsid w:val="0030713D"/>
    <w:rsid w:val="003074A1"/>
    <w:rsid w:val="00307F6D"/>
    <w:rsid w:val="00310A4E"/>
    <w:rsid w:val="00313076"/>
    <w:rsid w:val="00313D3E"/>
    <w:rsid w:val="00314794"/>
    <w:rsid w:val="00314D83"/>
    <w:rsid w:val="00315018"/>
    <w:rsid w:val="0031571F"/>
    <w:rsid w:val="0031687D"/>
    <w:rsid w:val="0031692D"/>
    <w:rsid w:val="003177A2"/>
    <w:rsid w:val="00317E02"/>
    <w:rsid w:val="0032133A"/>
    <w:rsid w:val="00322BE0"/>
    <w:rsid w:val="0032463C"/>
    <w:rsid w:val="00324722"/>
    <w:rsid w:val="003271B5"/>
    <w:rsid w:val="00327560"/>
    <w:rsid w:val="00327A1E"/>
    <w:rsid w:val="00327E28"/>
    <w:rsid w:val="003310EA"/>
    <w:rsid w:val="00331264"/>
    <w:rsid w:val="00331998"/>
    <w:rsid w:val="0033204F"/>
    <w:rsid w:val="00333810"/>
    <w:rsid w:val="00333859"/>
    <w:rsid w:val="003342FC"/>
    <w:rsid w:val="00334C8D"/>
    <w:rsid w:val="00335B91"/>
    <w:rsid w:val="00335BA8"/>
    <w:rsid w:val="00335DCD"/>
    <w:rsid w:val="003378BD"/>
    <w:rsid w:val="003379B3"/>
    <w:rsid w:val="00340AC0"/>
    <w:rsid w:val="00340CB4"/>
    <w:rsid w:val="00342427"/>
    <w:rsid w:val="003424EA"/>
    <w:rsid w:val="003426A5"/>
    <w:rsid w:val="00342C2F"/>
    <w:rsid w:val="0034337A"/>
    <w:rsid w:val="003436EB"/>
    <w:rsid w:val="00343A18"/>
    <w:rsid w:val="00345744"/>
    <w:rsid w:val="003461AC"/>
    <w:rsid w:val="00346736"/>
    <w:rsid w:val="00350091"/>
    <w:rsid w:val="003518B3"/>
    <w:rsid w:val="00351E7E"/>
    <w:rsid w:val="0035386D"/>
    <w:rsid w:val="00353E79"/>
    <w:rsid w:val="003556C9"/>
    <w:rsid w:val="00356D3A"/>
    <w:rsid w:val="00357947"/>
    <w:rsid w:val="00360099"/>
    <w:rsid w:val="003615EE"/>
    <w:rsid w:val="00363085"/>
    <w:rsid w:val="00363F01"/>
    <w:rsid w:val="00364014"/>
    <w:rsid w:val="0036416B"/>
    <w:rsid w:val="003646A8"/>
    <w:rsid w:val="00364CB1"/>
    <w:rsid w:val="00364EA0"/>
    <w:rsid w:val="00366981"/>
    <w:rsid w:val="0036724E"/>
    <w:rsid w:val="003672E7"/>
    <w:rsid w:val="00370678"/>
    <w:rsid w:val="0037070A"/>
    <w:rsid w:val="0037214E"/>
    <w:rsid w:val="0037286A"/>
    <w:rsid w:val="00372C85"/>
    <w:rsid w:val="00373845"/>
    <w:rsid w:val="003744E3"/>
    <w:rsid w:val="00375F71"/>
    <w:rsid w:val="00376219"/>
    <w:rsid w:val="0037663E"/>
    <w:rsid w:val="0037699E"/>
    <w:rsid w:val="00376BB5"/>
    <w:rsid w:val="00377A29"/>
    <w:rsid w:val="00377C69"/>
    <w:rsid w:val="00377DAC"/>
    <w:rsid w:val="00382E7C"/>
    <w:rsid w:val="0038415D"/>
    <w:rsid w:val="0038461C"/>
    <w:rsid w:val="003846F1"/>
    <w:rsid w:val="00385ED2"/>
    <w:rsid w:val="00386073"/>
    <w:rsid w:val="00390E6A"/>
    <w:rsid w:val="00391855"/>
    <w:rsid w:val="003918A6"/>
    <w:rsid w:val="00391F3E"/>
    <w:rsid w:val="00393ABE"/>
    <w:rsid w:val="00394176"/>
    <w:rsid w:val="00395DB6"/>
    <w:rsid w:val="00395EE5"/>
    <w:rsid w:val="00397398"/>
    <w:rsid w:val="003979F3"/>
    <w:rsid w:val="003A083C"/>
    <w:rsid w:val="003A13A5"/>
    <w:rsid w:val="003A21EF"/>
    <w:rsid w:val="003A371A"/>
    <w:rsid w:val="003A3B92"/>
    <w:rsid w:val="003A4E76"/>
    <w:rsid w:val="003A59CD"/>
    <w:rsid w:val="003A66B4"/>
    <w:rsid w:val="003A6B00"/>
    <w:rsid w:val="003B1139"/>
    <w:rsid w:val="003B30B2"/>
    <w:rsid w:val="003B3734"/>
    <w:rsid w:val="003B3C12"/>
    <w:rsid w:val="003B4767"/>
    <w:rsid w:val="003B484F"/>
    <w:rsid w:val="003B504B"/>
    <w:rsid w:val="003B50FB"/>
    <w:rsid w:val="003B5179"/>
    <w:rsid w:val="003B5A26"/>
    <w:rsid w:val="003B60F1"/>
    <w:rsid w:val="003B64F2"/>
    <w:rsid w:val="003B685C"/>
    <w:rsid w:val="003B7AC7"/>
    <w:rsid w:val="003B7FBA"/>
    <w:rsid w:val="003C0094"/>
    <w:rsid w:val="003C0DA4"/>
    <w:rsid w:val="003C163A"/>
    <w:rsid w:val="003C17DA"/>
    <w:rsid w:val="003C404D"/>
    <w:rsid w:val="003C5125"/>
    <w:rsid w:val="003C5A87"/>
    <w:rsid w:val="003C6537"/>
    <w:rsid w:val="003C6A13"/>
    <w:rsid w:val="003C764A"/>
    <w:rsid w:val="003C78BA"/>
    <w:rsid w:val="003D0A5D"/>
    <w:rsid w:val="003D1574"/>
    <w:rsid w:val="003D41F1"/>
    <w:rsid w:val="003D42AB"/>
    <w:rsid w:val="003D48C6"/>
    <w:rsid w:val="003D50EB"/>
    <w:rsid w:val="003D5B94"/>
    <w:rsid w:val="003D5EE7"/>
    <w:rsid w:val="003D6073"/>
    <w:rsid w:val="003D6507"/>
    <w:rsid w:val="003D6E12"/>
    <w:rsid w:val="003D76FD"/>
    <w:rsid w:val="003E0D3A"/>
    <w:rsid w:val="003E1DB5"/>
    <w:rsid w:val="003E1E0B"/>
    <w:rsid w:val="003E2242"/>
    <w:rsid w:val="003E3AAB"/>
    <w:rsid w:val="003E55FE"/>
    <w:rsid w:val="003E6AEB"/>
    <w:rsid w:val="003E7FE9"/>
    <w:rsid w:val="003F0191"/>
    <w:rsid w:val="003F02CE"/>
    <w:rsid w:val="003F07D4"/>
    <w:rsid w:val="003F0886"/>
    <w:rsid w:val="003F0AC8"/>
    <w:rsid w:val="003F174D"/>
    <w:rsid w:val="003F2329"/>
    <w:rsid w:val="003F2ACB"/>
    <w:rsid w:val="003F4C38"/>
    <w:rsid w:val="003F4CB3"/>
    <w:rsid w:val="003F502D"/>
    <w:rsid w:val="003F6A04"/>
    <w:rsid w:val="003F6F89"/>
    <w:rsid w:val="003F70E3"/>
    <w:rsid w:val="003F7469"/>
    <w:rsid w:val="0040000B"/>
    <w:rsid w:val="004001F7"/>
    <w:rsid w:val="00400426"/>
    <w:rsid w:val="00400BC1"/>
    <w:rsid w:val="00400FD2"/>
    <w:rsid w:val="00401E60"/>
    <w:rsid w:val="00403711"/>
    <w:rsid w:val="00403DAB"/>
    <w:rsid w:val="00404C52"/>
    <w:rsid w:val="00405066"/>
    <w:rsid w:val="00405D89"/>
    <w:rsid w:val="00405E46"/>
    <w:rsid w:val="00407065"/>
    <w:rsid w:val="00407BAF"/>
    <w:rsid w:val="00407EAE"/>
    <w:rsid w:val="0041014B"/>
    <w:rsid w:val="004116C9"/>
    <w:rsid w:val="00411B64"/>
    <w:rsid w:val="004125A0"/>
    <w:rsid w:val="004156D5"/>
    <w:rsid w:val="00415BA9"/>
    <w:rsid w:val="00415F31"/>
    <w:rsid w:val="0041691D"/>
    <w:rsid w:val="00416984"/>
    <w:rsid w:val="00416A07"/>
    <w:rsid w:val="00416F55"/>
    <w:rsid w:val="0042000C"/>
    <w:rsid w:val="0042090E"/>
    <w:rsid w:val="00420DA2"/>
    <w:rsid w:val="00420ED1"/>
    <w:rsid w:val="004216E7"/>
    <w:rsid w:val="00421F27"/>
    <w:rsid w:val="004238D8"/>
    <w:rsid w:val="00423A2E"/>
    <w:rsid w:val="00423A77"/>
    <w:rsid w:val="004253F5"/>
    <w:rsid w:val="00425ED7"/>
    <w:rsid w:val="004269CA"/>
    <w:rsid w:val="004301B6"/>
    <w:rsid w:val="004306C6"/>
    <w:rsid w:val="004324F4"/>
    <w:rsid w:val="00433082"/>
    <w:rsid w:val="00434544"/>
    <w:rsid w:val="00436082"/>
    <w:rsid w:val="0043616F"/>
    <w:rsid w:val="00441F4E"/>
    <w:rsid w:val="00442709"/>
    <w:rsid w:val="00443DCA"/>
    <w:rsid w:val="00444064"/>
    <w:rsid w:val="0044460C"/>
    <w:rsid w:val="00444EBC"/>
    <w:rsid w:val="0044585C"/>
    <w:rsid w:val="00445D43"/>
    <w:rsid w:val="00445F1A"/>
    <w:rsid w:val="004465F5"/>
    <w:rsid w:val="0044695C"/>
    <w:rsid w:val="00446965"/>
    <w:rsid w:val="00446CD2"/>
    <w:rsid w:val="0044713F"/>
    <w:rsid w:val="00447390"/>
    <w:rsid w:val="00447B6D"/>
    <w:rsid w:val="00450A7F"/>
    <w:rsid w:val="0045131F"/>
    <w:rsid w:val="004523B2"/>
    <w:rsid w:val="00454004"/>
    <w:rsid w:val="00454A17"/>
    <w:rsid w:val="00454E38"/>
    <w:rsid w:val="00454F79"/>
    <w:rsid w:val="00455D3D"/>
    <w:rsid w:val="0045708C"/>
    <w:rsid w:val="0045777E"/>
    <w:rsid w:val="00460D97"/>
    <w:rsid w:val="00461423"/>
    <w:rsid w:val="00462117"/>
    <w:rsid w:val="0046212C"/>
    <w:rsid w:val="00463ADC"/>
    <w:rsid w:val="004648D0"/>
    <w:rsid w:val="00465258"/>
    <w:rsid w:val="00466B50"/>
    <w:rsid w:val="004712F5"/>
    <w:rsid w:val="00471BC6"/>
    <w:rsid w:val="004723A9"/>
    <w:rsid w:val="00472802"/>
    <w:rsid w:val="00473362"/>
    <w:rsid w:val="00473D76"/>
    <w:rsid w:val="0047496A"/>
    <w:rsid w:val="00476221"/>
    <w:rsid w:val="004766F5"/>
    <w:rsid w:val="00480B4B"/>
    <w:rsid w:val="00481286"/>
    <w:rsid w:val="004838D8"/>
    <w:rsid w:val="00485A23"/>
    <w:rsid w:val="00485DC4"/>
    <w:rsid w:val="00486497"/>
    <w:rsid w:val="004869F2"/>
    <w:rsid w:val="00492319"/>
    <w:rsid w:val="004926D5"/>
    <w:rsid w:val="0049279C"/>
    <w:rsid w:val="00494D04"/>
    <w:rsid w:val="00495427"/>
    <w:rsid w:val="00496345"/>
    <w:rsid w:val="00496893"/>
    <w:rsid w:val="00496F0D"/>
    <w:rsid w:val="004A03A9"/>
    <w:rsid w:val="004A0ED0"/>
    <w:rsid w:val="004A1754"/>
    <w:rsid w:val="004A1C67"/>
    <w:rsid w:val="004A23C1"/>
    <w:rsid w:val="004A40BA"/>
    <w:rsid w:val="004A43D1"/>
    <w:rsid w:val="004A492B"/>
    <w:rsid w:val="004A76B3"/>
    <w:rsid w:val="004B1DDF"/>
    <w:rsid w:val="004B26A5"/>
    <w:rsid w:val="004B3B75"/>
    <w:rsid w:val="004B4412"/>
    <w:rsid w:val="004B4A53"/>
    <w:rsid w:val="004B4BD8"/>
    <w:rsid w:val="004B6269"/>
    <w:rsid w:val="004B6589"/>
    <w:rsid w:val="004B6F6A"/>
    <w:rsid w:val="004B6F7A"/>
    <w:rsid w:val="004B72D8"/>
    <w:rsid w:val="004B76C4"/>
    <w:rsid w:val="004C0582"/>
    <w:rsid w:val="004C0650"/>
    <w:rsid w:val="004C19C6"/>
    <w:rsid w:val="004C227C"/>
    <w:rsid w:val="004C23ED"/>
    <w:rsid w:val="004C248B"/>
    <w:rsid w:val="004C24FD"/>
    <w:rsid w:val="004C2942"/>
    <w:rsid w:val="004C33B8"/>
    <w:rsid w:val="004C348C"/>
    <w:rsid w:val="004C3C9F"/>
    <w:rsid w:val="004C438C"/>
    <w:rsid w:val="004C462E"/>
    <w:rsid w:val="004C4F52"/>
    <w:rsid w:val="004C6CA3"/>
    <w:rsid w:val="004C73EB"/>
    <w:rsid w:val="004C7F5E"/>
    <w:rsid w:val="004D1AC9"/>
    <w:rsid w:val="004D1FBC"/>
    <w:rsid w:val="004D343C"/>
    <w:rsid w:val="004D372A"/>
    <w:rsid w:val="004D436C"/>
    <w:rsid w:val="004D4D99"/>
    <w:rsid w:val="004D55BA"/>
    <w:rsid w:val="004D6464"/>
    <w:rsid w:val="004D6612"/>
    <w:rsid w:val="004D720C"/>
    <w:rsid w:val="004D7B63"/>
    <w:rsid w:val="004E0FA7"/>
    <w:rsid w:val="004E20BB"/>
    <w:rsid w:val="004E22EC"/>
    <w:rsid w:val="004E25CF"/>
    <w:rsid w:val="004F0BBA"/>
    <w:rsid w:val="004F0BFA"/>
    <w:rsid w:val="004F13DA"/>
    <w:rsid w:val="004F1550"/>
    <w:rsid w:val="004F2309"/>
    <w:rsid w:val="004F29AA"/>
    <w:rsid w:val="004F3183"/>
    <w:rsid w:val="004F31FA"/>
    <w:rsid w:val="004F4D69"/>
    <w:rsid w:val="004F5B8B"/>
    <w:rsid w:val="004F6883"/>
    <w:rsid w:val="004F6A0E"/>
    <w:rsid w:val="004F6BB3"/>
    <w:rsid w:val="005009CD"/>
    <w:rsid w:val="00502B42"/>
    <w:rsid w:val="00502EF4"/>
    <w:rsid w:val="005044AB"/>
    <w:rsid w:val="00504E5F"/>
    <w:rsid w:val="0051022C"/>
    <w:rsid w:val="00510457"/>
    <w:rsid w:val="00510A11"/>
    <w:rsid w:val="00510E17"/>
    <w:rsid w:val="00511061"/>
    <w:rsid w:val="005111A6"/>
    <w:rsid w:val="00511390"/>
    <w:rsid w:val="00511C7F"/>
    <w:rsid w:val="00511F6A"/>
    <w:rsid w:val="00512394"/>
    <w:rsid w:val="005123E8"/>
    <w:rsid w:val="0051337E"/>
    <w:rsid w:val="005134F0"/>
    <w:rsid w:val="005137EE"/>
    <w:rsid w:val="00513FA7"/>
    <w:rsid w:val="00514E8A"/>
    <w:rsid w:val="00515611"/>
    <w:rsid w:val="0051641E"/>
    <w:rsid w:val="0051768F"/>
    <w:rsid w:val="005178EC"/>
    <w:rsid w:val="00521512"/>
    <w:rsid w:val="00522DC2"/>
    <w:rsid w:val="005253B1"/>
    <w:rsid w:val="00525BF1"/>
    <w:rsid w:val="0052799E"/>
    <w:rsid w:val="00530128"/>
    <w:rsid w:val="005310D6"/>
    <w:rsid w:val="005323A8"/>
    <w:rsid w:val="00532413"/>
    <w:rsid w:val="00532467"/>
    <w:rsid w:val="00532C2A"/>
    <w:rsid w:val="005332A9"/>
    <w:rsid w:val="00533422"/>
    <w:rsid w:val="00533CF5"/>
    <w:rsid w:val="00534032"/>
    <w:rsid w:val="005340C7"/>
    <w:rsid w:val="00535E1D"/>
    <w:rsid w:val="0053603C"/>
    <w:rsid w:val="00537871"/>
    <w:rsid w:val="005402BE"/>
    <w:rsid w:val="00540C84"/>
    <w:rsid w:val="0054127C"/>
    <w:rsid w:val="005422D7"/>
    <w:rsid w:val="00542E97"/>
    <w:rsid w:val="00542F8C"/>
    <w:rsid w:val="00542FE9"/>
    <w:rsid w:val="0054330B"/>
    <w:rsid w:val="00543543"/>
    <w:rsid w:val="00544598"/>
    <w:rsid w:val="00544954"/>
    <w:rsid w:val="00544C8D"/>
    <w:rsid w:val="00544DFD"/>
    <w:rsid w:val="005466CE"/>
    <w:rsid w:val="00546A5C"/>
    <w:rsid w:val="005474A6"/>
    <w:rsid w:val="0055055D"/>
    <w:rsid w:val="00550B62"/>
    <w:rsid w:val="00551C88"/>
    <w:rsid w:val="00552880"/>
    <w:rsid w:val="005558E7"/>
    <w:rsid w:val="005559C4"/>
    <w:rsid w:val="00555D74"/>
    <w:rsid w:val="00556B1E"/>
    <w:rsid w:val="00557340"/>
    <w:rsid w:val="00557E9A"/>
    <w:rsid w:val="00560B5E"/>
    <w:rsid w:val="00561410"/>
    <w:rsid w:val="00564A4D"/>
    <w:rsid w:val="00564B67"/>
    <w:rsid w:val="005653D1"/>
    <w:rsid w:val="0056598C"/>
    <w:rsid w:val="00566E0B"/>
    <w:rsid w:val="00567ADC"/>
    <w:rsid w:val="00567BA5"/>
    <w:rsid w:val="00571B35"/>
    <w:rsid w:val="00571B43"/>
    <w:rsid w:val="00571D57"/>
    <w:rsid w:val="005731C6"/>
    <w:rsid w:val="00573A3B"/>
    <w:rsid w:val="00573F48"/>
    <w:rsid w:val="00575121"/>
    <w:rsid w:val="005767E2"/>
    <w:rsid w:val="00576C2D"/>
    <w:rsid w:val="0057720B"/>
    <w:rsid w:val="00577716"/>
    <w:rsid w:val="00577A09"/>
    <w:rsid w:val="00577D3B"/>
    <w:rsid w:val="005829C2"/>
    <w:rsid w:val="00583872"/>
    <w:rsid w:val="00583C07"/>
    <w:rsid w:val="00583D10"/>
    <w:rsid w:val="00583EDB"/>
    <w:rsid w:val="00584D8F"/>
    <w:rsid w:val="00587A18"/>
    <w:rsid w:val="00587ADE"/>
    <w:rsid w:val="00590E6E"/>
    <w:rsid w:val="00591E38"/>
    <w:rsid w:val="00592500"/>
    <w:rsid w:val="00593800"/>
    <w:rsid w:val="00593CC2"/>
    <w:rsid w:val="00594AB7"/>
    <w:rsid w:val="00595DEF"/>
    <w:rsid w:val="0059630B"/>
    <w:rsid w:val="00597155"/>
    <w:rsid w:val="00597A4E"/>
    <w:rsid w:val="005A043F"/>
    <w:rsid w:val="005A0BEC"/>
    <w:rsid w:val="005A2ABC"/>
    <w:rsid w:val="005A404D"/>
    <w:rsid w:val="005A5EE4"/>
    <w:rsid w:val="005A7990"/>
    <w:rsid w:val="005B0EED"/>
    <w:rsid w:val="005B10F9"/>
    <w:rsid w:val="005B1E3C"/>
    <w:rsid w:val="005B32E7"/>
    <w:rsid w:val="005B362E"/>
    <w:rsid w:val="005B3A4D"/>
    <w:rsid w:val="005B4E26"/>
    <w:rsid w:val="005B6218"/>
    <w:rsid w:val="005B6518"/>
    <w:rsid w:val="005B704A"/>
    <w:rsid w:val="005B72D7"/>
    <w:rsid w:val="005C045F"/>
    <w:rsid w:val="005C0A70"/>
    <w:rsid w:val="005C0CB3"/>
    <w:rsid w:val="005C14FA"/>
    <w:rsid w:val="005C16FE"/>
    <w:rsid w:val="005C1FAB"/>
    <w:rsid w:val="005C21A4"/>
    <w:rsid w:val="005C2656"/>
    <w:rsid w:val="005C26CC"/>
    <w:rsid w:val="005C2F9A"/>
    <w:rsid w:val="005C31F8"/>
    <w:rsid w:val="005C346C"/>
    <w:rsid w:val="005C348E"/>
    <w:rsid w:val="005C418D"/>
    <w:rsid w:val="005C4463"/>
    <w:rsid w:val="005C5BBE"/>
    <w:rsid w:val="005D0728"/>
    <w:rsid w:val="005D2062"/>
    <w:rsid w:val="005D3D88"/>
    <w:rsid w:val="005D3EE4"/>
    <w:rsid w:val="005D420C"/>
    <w:rsid w:val="005D4692"/>
    <w:rsid w:val="005D48C4"/>
    <w:rsid w:val="005D515C"/>
    <w:rsid w:val="005D5B9A"/>
    <w:rsid w:val="005D6208"/>
    <w:rsid w:val="005D6366"/>
    <w:rsid w:val="005D672B"/>
    <w:rsid w:val="005D7BA2"/>
    <w:rsid w:val="005E137B"/>
    <w:rsid w:val="005E2B73"/>
    <w:rsid w:val="005E36C2"/>
    <w:rsid w:val="005E4926"/>
    <w:rsid w:val="005E4A2E"/>
    <w:rsid w:val="005E4AF4"/>
    <w:rsid w:val="005F3608"/>
    <w:rsid w:val="005F387E"/>
    <w:rsid w:val="005F4576"/>
    <w:rsid w:val="005F519F"/>
    <w:rsid w:val="005F6932"/>
    <w:rsid w:val="006018C8"/>
    <w:rsid w:val="00601E0B"/>
    <w:rsid w:val="0060249C"/>
    <w:rsid w:val="0060258B"/>
    <w:rsid w:val="00606D07"/>
    <w:rsid w:val="00607F17"/>
    <w:rsid w:val="006105A7"/>
    <w:rsid w:val="00610C32"/>
    <w:rsid w:val="00610C68"/>
    <w:rsid w:val="00610EF9"/>
    <w:rsid w:val="00612998"/>
    <w:rsid w:val="00612B19"/>
    <w:rsid w:val="00612F4F"/>
    <w:rsid w:val="006142D1"/>
    <w:rsid w:val="00614EA0"/>
    <w:rsid w:val="006157F5"/>
    <w:rsid w:val="00615C6B"/>
    <w:rsid w:val="0061755F"/>
    <w:rsid w:val="00617977"/>
    <w:rsid w:val="00617D4C"/>
    <w:rsid w:val="0062004D"/>
    <w:rsid w:val="00621DCE"/>
    <w:rsid w:val="00621FC5"/>
    <w:rsid w:val="00623AD3"/>
    <w:rsid w:val="00624156"/>
    <w:rsid w:val="0062424C"/>
    <w:rsid w:val="00624F2C"/>
    <w:rsid w:val="006263EC"/>
    <w:rsid w:val="00627A0C"/>
    <w:rsid w:val="00627CED"/>
    <w:rsid w:val="00627D97"/>
    <w:rsid w:val="006307AF"/>
    <w:rsid w:val="00630BC5"/>
    <w:rsid w:val="00630DAC"/>
    <w:rsid w:val="006323C1"/>
    <w:rsid w:val="00632D6D"/>
    <w:rsid w:val="00632EBA"/>
    <w:rsid w:val="00633A55"/>
    <w:rsid w:val="00633C9B"/>
    <w:rsid w:val="00633E3C"/>
    <w:rsid w:val="0063421B"/>
    <w:rsid w:val="006342E4"/>
    <w:rsid w:val="006349D6"/>
    <w:rsid w:val="006360E4"/>
    <w:rsid w:val="00636569"/>
    <w:rsid w:val="00636EF9"/>
    <w:rsid w:val="00640F98"/>
    <w:rsid w:val="006424FD"/>
    <w:rsid w:val="0064256F"/>
    <w:rsid w:val="00642C3E"/>
    <w:rsid w:val="00643203"/>
    <w:rsid w:val="00644A01"/>
    <w:rsid w:val="00644E6E"/>
    <w:rsid w:val="0064544D"/>
    <w:rsid w:val="00645885"/>
    <w:rsid w:val="006475D5"/>
    <w:rsid w:val="00650666"/>
    <w:rsid w:val="00650E42"/>
    <w:rsid w:val="00651E2D"/>
    <w:rsid w:val="00652324"/>
    <w:rsid w:val="00653058"/>
    <w:rsid w:val="00654763"/>
    <w:rsid w:val="00655C19"/>
    <w:rsid w:val="00656A81"/>
    <w:rsid w:val="00657396"/>
    <w:rsid w:val="006577FB"/>
    <w:rsid w:val="0066104A"/>
    <w:rsid w:val="006619BD"/>
    <w:rsid w:val="006628A9"/>
    <w:rsid w:val="00663066"/>
    <w:rsid w:val="00663DAD"/>
    <w:rsid w:val="00664205"/>
    <w:rsid w:val="00664206"/>
    <w:rsid w:val="006649E7"/>
    <w:rsid w:val="00666634"/>
    <w:rsid w:val="006671FC"/>
    <w:rsid w:val="006703C3"/>
    <w:rsid w:val="006715DC"/>
    <w:rsid w:val="00671692"/>
    <w:rsid w:val="00675223"/>
    <w:rsid w:val="00675BD0"/>
    <w:rsid w:val="00675E20"/>
    <w:rsid w:val="00676679"/>
    <w:rsid w:val="00677196"/>
    <w:rsid w:val="0068099B"/>
    <w:rsid w:val="00681894"/>
    <w:rsid w:val="00682D1B"/>
    <w:rsid w:val="006839DE"/>
    <w:rsid w:val="00683C89"/>
    <w:rsid w:val="0068448B"/>
    <w:rsid w:val="00685AE0"/>
    <w:rsid w:val="0068649D"/>
    <w:rsid w:val="0068682F"/>
    <w:rsid w:val="0068744D"/>
    <w:rsid w:val="00691B53"/>
    <w:rsid w:val="006924C9"/>
    <w:rsid w:val="006924FA"/>
    <w:rsid w:val="00694092"/>
    <w:rsid w:val="0069452D"/>
    <w:rsid w:val="0069469E"/>
    <w:rsid w:val="00694714"/>
    <w:rsid w:val="00695FDE"/>
    <w:rsid w:val="00697D0B"/>
    <w:rsid w:val="006A079A"/>
    <w:rsid w:val="006A07AA"/>
    <w:rsid w:val="006A083E"/>
    <w:rsid w:val="006A0BD1"/>
    <w:rsid w:val="006A0CC4"/>
    <w:rsid w:val="006A12BA"/>
    <w:rsid w:val="006A4209"/>
    <w:rsid w:val="006A4739"/>
    <w:rsid w:val="006A4906"/>
    <w:rsid w:val="006A66A1"/>
    <w:rsid w:val="006A7650"/>
    <w:rsid w:val="006B032D"/>
    <w:rsid w:val="006B0439"/>
    <w:rsid w:val="006B19B8"/>
    <w:rsid w:val="006B211A"/>
    <w:rsid w:val="006B22C5"/>
    <w:rsid w:val="006B2395"/>
    <w:rsid w:val="006B2AFB"/>
    <w:rsid w:val="006B35B6"/>
    <w:rsid w:val="006B40AC"/>
    <w:rsid w:val="006B4BF8"/>
    <w:rsid w:val="006B4CF9"/>
    <w:rsid w:val="006B5B2E"/>
    <w:rsid w:val="006B62A4"/>
    <w:rsid w:val="006B797C"/>
    <w:rsid w:val="006B7AC8"/>
    <w:rsid w:val="006C010D"/>
    <w:rsid w:val="006C0580"/>
    <w:rsid w:val="006C1736"/>
    <w:rsid w:val="006C2D76"/>
    <w:rsid w:val="006C2F54"/>
    <w:rsid w:val="006C329B"/>
    <w:rsid w:val="006C5032"/>
    <w:rsid w:val="006C6303"/>
    <w:rsid w:val="006C7F40"/>
    <w:rsid w:val="006D1F5F"/>
    <w:rsid w:val="006D37FC"/>
    <w:rsid w:val="006D550F"/>
    <w:rsid w:val="006D5F36"/>
    <w:rsid w:val="006D6146"/>
    <w:rsid w:val="006D620F"/>
    <w:rsid w:val="006D6FE2"/>
    <w:rsid w:val="006D72D2"/>
    <w:rsid w:val="006D7F7E"/>
    <w:rsid w:val="006E014A"/>
    <w:rsid w:val="006E07DF"/>
    <w:rsid w:val="006E0CFF"/>
    <w:rsid w:val="006E19AA"/>
    <w:rsid w:val="006E1A74"/>
    <w:rsid w:val="006E30AE"/>
    <w:rsid w:val="006E3AB7"/>
    <w:rsid w:val="006E3B53"/>
    <w:rsid w:val="006E4354"/>
    <w:rsid w:val="006E72E8"/>
    <w:rsid w:val="006F0D92"/>
    <w:rsid w:val="006F267D"/>
    <w:rsid w:val="006F3E74"/>
    <w:rsid w:val="006F4033"/>
    <w:rsid w:val="006F48D7"/>
    <w:rsid w:val="006F4E75"/>
    <w:rsid w:val="006F59E4"/>
    <w:rsid w:val="006F5C59"/>
    <w:rsid w:val="006F5DD0"/>
    <w:rsid w:val="006F66F0"/>
    <w:rsid w:val="006F70DD"/>
    <w:rsid w:val="0070011E"/>
    <w:rsid w:val="00701009"/>
    <w:rsid w:val="00701CAB"/>
    <w:rsid w:val="007023BB"/>
    <w:rsid w:val="00702B30"/>
    <w:rsid w:val="00702BF5"/>
    <w:rsid w:val="00702FDF"/>
    <w:rsid w:val="00703884"/>
    <w:rsid w:val="00704B63"/>
    <w:rsid w:val="00704DD7"/>
    <w:rsid w:val="007057F3"/>
    <w:rsid w:val="00705837"/>
    <w:rsid w:val="007060B5"/>
    <w:rsid w:val="00706269"/>
    <w:rsid w:val="00706B29"/>
    <w:rsid w:val="00706D39"/>
    <w:rsid w:val="00707485"/>
    <w:rsid w:val="00707563"/>
    <w:rsid w:val="00710773"/>
    <w:rsid w:val="0071240B"/>
    <w:rsid w:val="00712B23"/>
    <w:rsid w:val="00713193"/>
    <w:rsid w:val="00713987"/>
    <w:rsid w:val="0071399F"/>
    <w:rsid w:val="0071556E"/>
    <w:rsid w:val="0071567B"/>
    <w:rsid w:val="00715783"/>
    <w:rsid w:val="00715F61"/>
    <w:rsid w:val="00716DCA"/>
    <w:rsid w:val="00721508"/>
    <w:rsid w:val="00722132"/>
    <w:rsid w:val="007228F7"/>
    <w:rsid w:val="0072348C"/>
    <w:rsid w:val="00723A2C"/>
    <w:rsid w:val="00723CDC"/>
    <w:rsid w:val="007243F5"/>
    <w:rsid w:val="00724A37"/>
    <w:rsid w:val="007259C8"/>
    <w:rsid w:val="0072705A"/>
    <w:rsid w:val="007277EC"/>
    <w:rsid w:val="007303C3"/>
    <w:rsid w:val="00731188"/>
    <w:rsid w:val="007325D7"/>
    <w:rsid w:val="00733E28"/>
    <w:rsid w:val="00734D09"/>
    <w:rsid w:val="007356CC"/>
    <w:rsid w:val="007362E6"/>
    <w:rsid w:val="007368E6"/>
    <w:rsid w:val="007375DF"/>
    <w:rsid w:val="00741AE7"/>
    <w:rsid w:val="00741CA9"/>
    <w:rsid w:val="007429BE"/>
    <w:rsid w:val="00743223"/>
    <w:rsid w:val="007432C4"/>
    <w:rsid w:val="00743349"/>
    <w:rsid w:val="0074403A"/>
    <w:rsid w:val="007452FA"/>
    <w:rsid w:val="00746E01"/>
    <w:rsid w:val="007477B7"/>
    <w:rsid w:val="0075102A"/>
    <w:rsid w:val="00751DCD"/>
    <w:rsid w:val="007523EE"/>
    <w:rsid w:val="00752491"/>
    <w:rsid w:val="007538F0"/>
    <w:rsid w:val="00753965"/>
    <w:rsid w:val="00753967"/>
    <w:rsid w:val="00755084"/>
    <w:rsid w:val="007554DB"/>
    <w:rsid w:val="00755DFB"/>
    <w:rsid w:val="00755DFD"/>
    <w:rsid w:val="00756BF5"/>
    <w:rsid w:val="00757364"/>
    <w:rsid w:val="00757A77"/>
    <w:rsid w:val="00757BDF"/>
    <w:rsid w:val="00757D1F"/>
    <w:rsid w:val="007604FE"/>
    <w:rsid w:val="007609D0"/>
    <w:rsid w:val="00760A7C"/>
    <w:rsid w:val="00761454"/>
    <w:rsid w:val="0076193D"/>
    <w:rsid w:val="0076296B"/>
    <w:rsid w:val="00762FF0"/>
    <w:rsid w:val="00763E5D"/>
    <w:rsid w:val="00765F16"/>
    <w:rsid w:val="00766B88"/>
    <w:rsid w:val="00767740"/>
    <w:rsid w:val="00767B5E"/>
    <w:rsid w:val="00770064"/>
    <w:rsid w:val="007715E8"/>
    <w:rsid w:val="00772CCB"/>
    <w:rsid w:val="007753E5"/>
    <w:rsid w:val="00775460"/>
    <w:rsid w:val="007754F4"/>
    <w:rsid w:val="0077568D"/>
    <w:rsid w:val="00777EE6"/>
    <w:rsid w:val="00780D19"/>
    <w:rsid w:val="0078288C"/>
    <w:rsid w:val="00782EEA"/>
    <w:rsid w:val="00782F84"/>
    <w:rsid w:val="0078383B"/>
    <w:rsid w:val="007842FB"/>
    <w:rsid w:val="00784BA1"/>
    <w:rsid w:val="00786CA4"/>
    <w:rsid w:val="00790305"/>
    <w:rsid w:val="00790677"/>
    <w:rsid w:val="007909B4"/>
    <w:rsid w:val="00790E86"/>
    <w:rsid w:val="00790EAC"/>
    <w:rsid w:val="00791130"/>
    <w:rsid w:val="00791A99"/>
    <w:rsid w:val="007925FB"/>
    <w:rsid w:val="0079335B"/>
    <w:rsid w:val="007938D2"/>
    <w:rsid w:val="00793CED"/>
    <w:rsid w:val="007949D7"/>
    <w:rsid w:val="00794A3D"/>
    <w:rsid w:val="00794DC4"/>
    <w:rsid w:val="00794EAF"/>
    <w:rsid w:val="0079769A"/>
    <w:rsid w:val="007A0143"/>
    <w:rsid w:val="007A0BA7"/>
    <w:rsid w:val="007A2339"/>
    <w:rsid w:val="007A2CE1"/>
    <w:rsid w:val="007A34C2"/>
    <w:rsid w:val="007A3507"/>
    <w:rsid w:val="007A3561"/>
    <w:rsid w:val="007A396C"/>
    <w:rsid w:val="007A441F"/>
    <w:rsid w:val="007A4B02"/>
    <w:rsid w:val="007A4B96"/>
    <w:rsid w:val="007A5079"/>
    <w:rsid w:val="007A5271"/>
    <w:rsid w:val="007A6E1C"/>
    <w:rsid w:val="007A7BEB"/>
    <w:rsid w:val="007A7DB1"/>
    <w:rsid w:val="007B0BE3"/>
    <w:rsid w:val="007B1816"/>
    <w:rsid w:val="007B186E"/>
    <w:rsid w:val="007B1A51"/>
    <w:rsid w:val="007B23A6"/>
    <w:rsid w:val="007B25DC"/>
    <w:rsid w:val="007B2A46"/>
    <w:rsid w:val="007B2C72"/>
    <w:rsid w:val="007B376B"/>
    <w:rsid w:val="007B3789"/>
    <w:rsid w:val="007B5AA9"/>
    <w:rsid w:val="007B651F"/>
    <w:rsid w:val="007B7924"/>
    <w:rsid w:val="007B7BB5"/>
    <w:rsid w:val="007B7EB6"/>
    <w:rsid w:val="007C0B60"/>
    <w:rsid w:val="007C1762"/>
    <w:rsid w:val="007C1C53"/>
    <w:rsid w:val="007C284C"/>
    <w:rsid w:val="007C3B9A"/>
    <w:rsid w:val="007C4033"/>
    <w:rsid w:val="007C4B82"/>
    <w:rsid w:val="007C6191"/>
    <w:rsid w:val="007C7156"/>
    <w:rsid w:val="007C74BB"/>
    <w:rsid w:val="007C774B"/>
    <w:rsid w:val="007C7F64"/>
    <w:rsid w:val="007D0A95"/>
    <w:rsid w:val="007D0D6F"/>
    <w:rsid w:val="007D0EB5"/>
    <w:rsid w:val="007D2478"/>
    <w:rsid w:val="007D2807"/>
    <w:rsid w:val="007D2BB1"/>
    <w:rsid w:val="007D2DEE"/>
    <w:rsid w:val="007D3938"/>
    <w:rsid w:val="007D456E"/>
    <w:rsid w:val="007D4EA5"/>
    <w:rsid w:val="007D504D"/>
    <w:rsid w:val="007D5837"/>
    <w:rsid w:val="007D5B8E"/>
    <w:rsid w:val="007E1C6D"/>
    <w:rsid w:val="007E24FC"/>
    <w:rsid w:val="007E36BF"/>
    <w:rsid w:val="007E3730"/>
    <w:rsid w:val="007E4904"/>
    <w:rsid w:val="007E4CB4"/>
    <w:rsid w:val="007E4CB5"/>
    <w:rsid w:val="007E4DAE"/>
    <w:rsid w:val="007E6851"/>
    <w:rsid w:val="007F066B"/>
    <w:rsid w:val="007F3196"/>
    <w:rsid w:val="007F438A"/>
    <w:rsid w:val="007F4EAB"/>
    <w:rsid w:val="007F518A"/>
    <w:rsid w:val="007F541E"/>
    <w:rsid w:val="007F58DD"/>
    <w:rsid w:val="007F5B16"/>
    <w:rsid w:val="007F64BC"/>
    <w:rsid w:val="007F7C9D"/>
    <w:rsid w:val="007F7ED0"/>
    <w:rsid w:val="008008B6"/>
    <w:rsid w:val="008024B8"/>
    <w:rsid w:val="008025BE"/>
    <w:rsid w:val="008033C4"/>
    <w:rsid w:val="00806731"/>
    <w:rsid w:val="00806A07"/>
    <w:rsid w:val="00806C88"/>
    <w:rsid w:val="0081034E"/>
    <w:rsid w:val="00810806"/>
    <w:rsid w:val="00811E6C"/>
    <w:rsid w:val="008120CD"/>
    <w:rsid w:val="00813AF9"/>
    <w:rsid w:val="00814A31"/>
    <w:rsid w:val="00815882"/>
    <w:rsid w:val="00816F0E"/>
    <w:rsid w:val="00817022"/>
    <w:rsid w:val="008176FB"/>
    <w:rsid w:val="00820454"/>
    <w:rsid w:val="00820DBE"/>
    <w:rsid w:val="008213FA"/>
    <w:rsid w:val="00822870"/>
    <w:rsid w:val="00822AC7"/>
    <w:rsid w:val="00822E86"/>
    <w:rsid w:val="008261D7"/>
    <w:rsid w:val="008309EF"/>
    <w:rsid w:val="00832D9D"/>
    <w:rsid w:val="008344F6"/>
    <w:rsid w:val="00834A1D"/>
    <w:rsid w:val="0083510F"/>
    <w:rsid w:val="00835AC8"/>
    <w:rsid w:val="00836A5B"/>
    <w:rsid w:val="00836E91"/>
    <w:rsid w:val="00837BF3"/>
    <w:rsid w:val="0084089D"/>
    <w:rsid w:val="008415DE"/>
    <w:rsid w:val="0084198E"/>
    <w:rsid w:val="008420DE"/>
    <w:rsid w:val="0084295F"/>
    <w:rsid w:val="0084540D"/>
    <w:rsid w:val="008456E4"/>
    <w:rsid w:val="00845865"/>
    <w:rsid w:val="00847709"/>
    <w:rsid w:val="00847890"/>
    <w:rsid w:val="0084799B"/>
    <w:rsid w:val="00850C90"/>
    <w:rsid w:val="00851209"/>
    <w:rsid w:val="0085171F"/>
    <w:rsid w:val="008518CD"/>
    <w:rsid w:val="00851DF7"/>
    <w:rsid w:val="00853A5A"/>
    <w:rsid w:val="0085538F"/>
    <w:rsid w:val="00856A93"/>
    <w:rsid w:val="00857203"/>
    <w:rsid w:val="008600DD"/>
    <w:rsid w:val="00860ADE"/>
    <w:rsid w:val="00861B9F"/>
    <w:rsid w:val="00862E8A"/>
    <w:rsid w:val="008658A1"/>
    <w:rsid w:val="0086716A"/>
    <w:rsid w:val="008677BB"/>
    <w:rsid w:val="00870058"/>
    <w:rsid w:val="00870613"/>
    <w:rsid w:val="008708AD"/>
    <w:rsid w:val="008712B2"/>
    <w:rsid w:val="008727CA"/>
    <w:rsid w:val="0087380F"/>
    <w:rsid w:val="008745F0"/>
    <w:rsid w:val="00875221"/>
    <w:rsid w:val="008756EF"/>
    <w:rsid w:val="00875767"/>
    <w:rsid w:val="008759B1"/>
    <w:rsid w:val="008762FA"/>
    <w:rsid w:val="0087648F"/>
    <w:rsid w:val="00876612"/>
    <w:rsid w:val="0087718C"/>
    <w:rsid w:val="008808C2"/>
    <w:rsid w:val="008808D0"/>
    <w:rsid w:val="00880C29"/>
    <w:rsid w:val="00882BB1"/>
    <w:rsid w:val="00883652"/>
    <w:rsid w:val="008837AC"/>
    <w:rsid w:val="00883ACE"/>
    <w:rsid w:val="008846CD"/>
    <w:rsid w:val="00885700"/>
    <w:rsid w:val="008863CB"/>
    <w:rsid w:val="00886A0C"/>
    <w:rsid w:val="00887CCF"/>
    <w:rsid w:val="008909DC"/>
    <w:rsid w:val="008916AE"/>
    <w:rsid w:val="00891C7C"/>
    <w:rsid w:val="00892179"/>
    <w:rsid w:val="008923F8"/>
    <w:rsid w:val="00894255"/>
    <w:rsid w:val="008945AD"/>
    <w:rsid w:val="00897F31"/>
    <w:rsid w:val="008A0645"/>
    <w:rsid w:val="008A11EA"/>
    <w:rsid w:val="008A1369"/>
    <w:rsid w:val="008A1935"/>
    <w:rsid w:val="008A1A74"/>
    <w:rsid w:val="008A1C02"/>
    <w:rsid w:val="008A1D0E"/>
    <w:rsid w:val="008A2DA1"/>
    <w:rsid w:val="008A3482"/>
    <w:rsid w:val="008A370D"/>
    <w:rsid w:val="008A3AB7"/>
    <w:rsid w:val="008A4DE4"/>
    <w:rsid w:val="008A587D"/>
    <w:rsid w:val="008A7A62"/>
    <w:rsid w:val="008B12B4"/>
    <w:rsid w:val="008B16B0"/>
    <w:rsid w:val="008B1BD5"/>
    <w:rsid w:val="008B28F1"/>
    <w:rsid w:val="008B2A0D"/>
    <w:rsid w:val="008B2D9E"/>
    <w:rsid w:val="008B35CD"/>
    <w:rsid w:val="008B4093"/>
    <w:rsid w:val="008B5450"/>
    <w:rsid w:val="008B5A94"/>
    <w:rsid w:val="008B5EAB"/>
    <w:rsid w:val="008B5FCC"/>
    <w:rsid w:val="008B62F6"/>
    <w:rsid w:val="008B685E"/>
    <w:rsid w:val="008B6D48"/>
    <w:rsid w:val="008B7CDE"/>
    <w:rsid w:val="008B7F36"/>
    <w:rsid w:val="008C05DC"/>
    <w:rsid w:val="008C0DE8"/>
    <w:rsid w:val="008C160B"/>
    <w:rsid w:val="008C1864"/>
    <w:rsid w:val="008C1866"/>
    <w:rsid w:val="008C1A70"/>
    <w:rsid w:val="008C357F"/>
    <w:rsid w:val="008C4AAC"/>
    <w:rsid w:val="008C5486"/>
    <w:rsid w:val="008C5907"/>
    <w:rsid w:val="008C5D3B"/>
    <w:rsid w:val="008C6598"/>
    <w:rsid w:val="008C772A"/>
    <w:rsid w:val="008C778E"/>
    <w:rsid w:val="008C7D6F"/>
    <w:rsid w:val="008C7F37"/>
    <w:rsid w:val="008D1661"/>
    <w:rsid w:val="008D1E30"/>
    <w:rsid w:val="008D27E0"/>
    <w:rsid w:val="008D2A72"/>
    <w:rsid w:val="008D2B19"/>
    <w:rsid w:val="008D517B"/>
    <w:rsid w:val="008D5F90"/>
    <w:rsid w:val="008D6800"/>
    <w:rsid w:val="008D72F1"/>
    <w:rsid w:val="008E01D0"/>
    <w:rsid w:val="008E08A5"/>
    <w:rsid w:val="008E097E"/>
    <w:rsid w:val="008E1691"/>
    <w:rsid w:val="008E21A8"/>
    <w:rsid w:val="008E267F"/>
    <w:rsid w:val="008E2F38"/>
    <w:rsid w:val="008E4089"/>
    <w:rsid w:val="008E5AFF"/>
    <w:rsid w:val="008E7031"/>
    <w:rsid w:val="008E77DE"/>
    <w:rsid w:val="008E7B0A"/>
    <w:rsid w:val="008F040C"/>
    <w:rsid w:val="008F07A3"/>
    <w:rsid w:val="008F0A36"/>
    <w:rsid w:val="008F3322"/>
    <w:rsid w:val="008F3519"/>
    <w:rsid w:val="008F3A0D"/>
    <w:rsid w:val="008F5A6E"/>
    <w:rsid w:val="009001B6"/>
    <w:rsid w:val="0090041B"/>
    <w:rsid w:val="00900E1B"/>
    <w:rsid w:val="0090131F"/>
    <w:rsid w:val="00904C4B"/>
    <w:rsid w:val="00907683"/>
    <w:rsid w:val="00907C11"/>
    <w:rsid w:val="009104CB"/>
    <w:rsid w:val="009132B7"/>
    <w:rsid w:val="0091415B"/>
    <w:rsid w:val="00916A2C"/>
    <w:rsid w:val="00921E66"/>
    <w:rsid w:val="009233EE"/>
    <w:rsid w:val="009259BD"/>
    <w:rsid w:val="00926678"/>
    <w:rsid w:val="00926D14"/>
    <w:rsid w:val="0092741A"/>
    <w:rsid w:val="00930B1A"/>
    <w:rsid w:val="00930FD9"/>
    <w:rsid w:val="00932612"/>
    <w:rsid w:val="009327DC"/>
    <w:rsid w:val="00933040"/>
    <w:rsid w:val="009338D9"/>
    <w:rsid w:val="009339BD"/>
    <w:rsid w:val="009356CF"/>
    <w:rsid w:val="00936D42"/>
    <w:rsid w:val="00940374"/>
    <w:rsid w:val="00940EA4"/>
    <w:rsid w:val="009410CD"/>
    <w:rsid w:val="00941B17"/>
    <w:rsid w:val="00945E53"/>
    <w:rsid w:val="009460AA"/>
    <w:rsid w:val="00946CB5"/>
    <w:rsid w:val="00946F1D"/>
    <w:rsid w:val="009503F5"/>
    <w:rsid w:val="0095185B"/>
    <w:rsid w:val="00951978"/>
    <w:rsid w:val="00951C84"/>
    <w:rsid w:val="00952C8B"/>
    <w:rsid w:val="009554DB"/>
    <w:rsid w:val="00956689"/>
    <w:rsid w:val="00956D1F"/>
    <w:rsid w:val="00956D83"/>
    <w:rsid w:val="009601BF"/>
    <w:rsid w:val="00960BA2"/>
    <w:rsid w:val="00961A4A"/>
    <w:rsid w:val="00961E95"/>
    <w:rsid w:val="00964A65"/>
    <w:rsid w:val="0096510D"/>
    <w:rsid w:val="009653F3"/>
    <w:rsid w:val="009661DE"/>
    <w:rsid w:val="009668F2"/>
    <w:rsid w:val="00966C53"/>
    <w:rsid w:val="00966CBF"/>
    <w:rsid w:val="009672E0"/>
    <w:rsid w:val="00970BF1"/>
    <w:rsid w:val="00971706"/>
    <w:rsid w:val="00972C7C"/>
    <w:rsid w:val="009765EF"/>
    <w:rsid w:val="009776F4"/>
    <w:rsid w:val="0098035D"/>
    <w:rsid w:val="009817B7"/>
    <w:rsid w:val="00981AB1"/>
    <w:rsid w:val="00982DA2"/>
    <w:rsid w:val="009839AC"/>
    <w:rsid w:val="00983C25"/>
    <w:rsid w:val="00983CD8"/>
    <w:rsid w:val="00983D06"/>
    <w:rsid w:val="0098466D"/>
    <w:rsid w:val="009856B7"/>
    <w:rsid w:val="009859D6"/>
    <w:rsid w:val="00985C86"/>
    <w:rsid w:val="00986189"/>
    <w:rsid w:val="009864A7"/>
    <w:rsid w:val="00990939"/>
    <w:rsid w:val="00990B1A"/>
    <w:rsid w:val="00992B92"/>
    <w:rsid w:val="009933B0"/>
    <w:rsid w:val="00995A4E"/>
    <w:rsid w:val="0099641B"/>
    <w:rsid w:val="009968B7"/>
    <w:rsid w:val="009A006F"/>
    <w:rsid w:val="009A2CB5"/>
    <w:rsid w:val="009A30C3"/>
    <w:rsid w:val="009A3DA8"/>
    <w:rsid w:val="009A4A25"/>
    <w:rsid w:val="009A4FB0"/>
    <w:rsid w:val="009A5FC3"/>
    <w:rsid w:val="009A656E"/>
    <w:rsid w:val="009A73BC"/>
    <w:rsid w:val="009B14F7"/>
    <w:rsid w:val="009B6F84"/>
    <w:rsid w:val="009B73DE"/>
    <w:rsid w:val="009B74B0"/>
    <w:rsid w:val="009C0152"/>
    <w:rsid w:val="009C1A74"/>
    <w:rsid w:val="009C2407"/>
    <w:rsid w:val="009C27B1"/>
    <w:rsid w:val="009C3D42"/>
    <w:rsid w:val="009C44CE"/>
    <w:rsid w:val="009C491E"/>
    <w:rsid w:val="009C511D"/>
    <w:rsid w:val="009C523F"/>
    <w:rsid w:val="009C7307"/>
    <w:rsid w:val="009D01FD"/>
    <w:rsid w:val="009D0DF1"/>
    <w:rsid w:val="009D0E55"/>
    <w:rsid w:val="009D22D6"/>
    <w:rsid w:val="009D2C84"/>
    <w:rsid w:val="009D30E0"/>
    <w:rsid w:val="009D3906"/>
    <w:rsid w:val="009D53BE"/>
    <w:rsid w:val="009D5E35"/>
    <w:rsid w:val="009D5F35"/>
    <w:rsid w:val="009D6B46"/>
    <w:rsid w:val="009D712C"/>
    <w:rsid w:val="009E35B6"/>
    <w:rsid w:val="009E44FA"/>
    <w:rsid w:val="009E5988"/>
    <w:rsid w:val="009E5ABC"/>
    <w:rsid w:val="009E6CA1"/>
    <w:rsid w:val="009F24A5"/>
    <w:rsid w:val="009F2715"/>
    <w:rsid w:val="009F3BBA"/>
    <w:rsid w:val="009F43B4"/>
    <w:rsid w:val="009F490E"/>
    <w:rsid w:val="009F4940"/>
    <w:rsid w:val="009F59D6"/>
    <w:rsid w:val="009F5BA1"/>
    <w:rsid w:val="009F631B"/>
    <w:rsid w:val="009F6C8A"/>
    <w:rsid w:val="00A003D4"/>
    <w:rsid w:val="00A0146A"/>
    <w:rsid w:val="00A01521"/>
    <w:rsid w:val="00A01B1A"/>
    <w:rsid w:val="00A026C4"/>
    <w:rsid w:val="00A02A88"/>
    <w:rsid w:val="00A03D0E"/>
    <w:rsid w:val="00A04012"/>
    <w:rsid w:val="00A04392"/>
    <w:rsid w:val="00A046FA"/>
    <w:rsid w:val="00A0562E"/>
    <w:rsid w:val="00A06508"/>
    <w:rsid w:val="00A06CCA"/>
    <w:rsid w:val="00A0726D"/>
    <w:rsid w:val="00A073AE"/>
    <w:rsid w:val="00A10FA9"/>
    <w:rsid w:val="00A10FF4"/>
    <w:rsid w:val="00A114A6"/>
    <w:rsid w:val="00A12204"/>
    <w:rsid w:val="00A12750"/>
    <w:rsid w:val="00A131B1"/>
    <w:rsid w:val="00A13CB0"/>
    <w:rsid w:val="00A14CE9"/>
    <w:rsid w:val="00A1561F"/>
    <w:rsid w:val="00A16544"/>
    <w:rsid w:val="00A16C32"/>
    <w:rsid w:val="00A20B54"/>
    <w:rsid w:val="00A20E74"/>
    <w:rsid w:val="00A21273"/>
    <w:rsid w:val="00A21A30"/>
    <w:rsid w:val="00A2356C"/>
    <w:rsid w:val="00A244EE"/>
    <w:rsid w:val="00A2567C"/>
    <w:rsid w:val="00A25CFD"/>
    <w:rsid w:val="00A27013"/>
    <w:rsid w:val="00A2755B"/>
    <w:rsid w:val="00A27D4B"/>
    <w:rsid w:val="00A30BF5"/>
    <w:rsid w:val="00A31A9C"/>
    <w:rsid w:val="00A31BE6"/>
    <w:rsid w:val="00A32FBB"/>
    <w:rsid w:val="00A33138"/>
    <w:rsid w:val="00A33A3A"/>
    <w:rsid w:val="00A35703"/>
    <w:rsid w:val="00A35982"/>
    <w:rsid w:val="00A36287"/>
    <w:rsid w:val="00A36760"/>
    <w:rsid w:val="00A368DD"/>
    <w:rsid w:val="00A375A5"/>
    <w:rsid w:val="00A37855"/>
    <w:rsid w:val="00A40068"/>
    <w:rsid w:val="00A4090F"/>
    <w:rsid w:val="00A40BE9"/>
    <w:rsid w:val="00A41D10"/>
    <w:rsid w:val="00A428EE"/>
    <w:rsid w:val="00A443C2"/>
    <w:rsid w:val="00A4478A"/>
    <w:rsid w:val="00A44852"/>
    <w:rsid w:val="00A44BBF"/>
    <w:rsid w:val="00A475D0"/>
    <w:rsid w:val="00A47919"/>
    <w:rsid w:val="00A47B16"/>
    <w:rsid w:val="00A50502"/>
    <w:rsid w:val="00A5087B"/>
    <w:rsid w:val="00A51D69"/>
    <w:rsid w:val="00A52080"/>
    <w:rsid w:val="00A53409"/>
    <w:rsid w:val="00A53796"/>
    <w:rsid w:val="00A53848"/>
    <w:rsid w:val="00A56945"/>
    <w:rsid w:val="00A56A6E"/>
    <w:rsid w:val="00A571CB"/>
    <w:rsid w:val="00A57D04"/>
    <w:rsid w:val="00A60A26"/>
    <w:rsid w:val="00A60D01"/>
    <w:rsid w:val="00A61598"/>
    <w:rsid w:val="00A61777"/>
    <w:rsid w:val="00A61E7E"/>
    <w:rsid w:val="00A62D30"/>
    <w:rsid w:val="00A630D6"/>
    <w:rsid w:val="00A63215"/>
    <w:rsid w:val="00A63646"/>
    <w:rsid w:val="00A63914"/>
    <w:rsid w:val="00A63B21"/>
    <w:rsid w:val="00A65184"/>
    <w:rsid w:val="00A662AF"/>
    <w:rsid w:val="00A677E2"/>
    <w:rsid w:val="00A67DFB"/>
    <w:rsid w:val="00A7346B"/>
    <w:rsid w:val="00A739F7"/>
    <w:rsid w:val="00A73B59"/>
    <w:rsid w:val="00A74CD3"/>
    <w:rsid w:val="00A7622D"/>
    <w:rsid w:val="00A77A23"/>
    <w:rsid w:val="00A80D27"/>
    <w:rsid w:val="00A8255A"/>
    <w:rsid w:val="00A84A99"/>
    <w:rsid w:val="00A84F46"/>
    <w:rsid w:val="00A8521C"/>
    <w:rsid w:val="00A856F6"/>
    <w:rsid w:val="00A85E87"/>
    <w:rsid w:val="00A8667D"/>
    <w:rsid w:val="00A86AEA"/>
    <w:rsid w:val="00A871F4"/>
    <w:rsid w:val="00A87C8E"/>
    <w:rsid w:val="00A902FF"/>
    <w:rsid w:val="00A90941"/>
    <w:rsid w:val="00A90F9B"/>
    <w:rsid w:val="00A91A61"/>
    <w:rsid w:val="00A94085"/>
    <w:rsid w:val="00A9431A"/>
    <w:rsid w:val="00A95988"/>
    <w:rsid w:val="00A959DF"/>
    <w:rsid w:val="00A95ED4"/>
    <w:rsid w:val="00A978DB"/>
    <w:rsid w:val="00A97A1B"/>
    <w:rsid w:val="00AA033C"/>
    <w:rsid w:val="00AA0649"/>
    <w:rsid w:val="00AA096C"/>
    <w:rsid w:val="00AA0CF7"/>
    <w:rsid w:val="00AA15BF"/>
    <w:rsid w:val="00AA2927"/>
    <w:rsid w:val="00AA3F36"/>
    <w:rsid w:val="00AA4EE9"/>
    <w:rsid w:val="00AA5AB2"/>
    <w:rsid w:val="00AA5F33"/>
    <w:rsid w:val="00AA60B9"/>
    <w:rsid w:val="00AA7240"/>
    <w:rsid w:val="00AA73B2"/>
    <w:rsid w:val="00AB0C0F"/>
    <w:rsid w:val="00AB1C04"/>
    <w:rsid w:val="00AB251A"/>
    <w:rsid w:val="00AB2CB8"/>
    <w:rsid w:val="00AB2F66"/>
    <w:rsid w:val="00AB2F81"/>
    <w:rsid w:val="00AB3AE5"/>
    <w:rsid w:val="00AB4160"/>
    <w:rsid w:val="00AB4617"/>
    <w:rsid w:val="00AB6417"/>
    <w:rsid w:val="00AC0DFE"/>
    <w:rsid w:val="00AC1B2C"/>
    <w:rsid w:val="00AC2C40"/>
    <w:rsid w:val="00AC3264"/>
    <w:rsid w:val="00AC404C"/>
    <w:rsid w:val="00AC46AD"/>
    <w:rsid w:val="00AC4D2D"/>
    <w:rsid w:val="00AC58EC"/>
    <w:rsid w:val="00AC5F6B"/>
    <w:rsid w:val="00AC692A"/>
    <w:rsid w:val="00AC7282"/>
    <w:rsid w:val="00AC7961"/>
    <w:rsid w:val="00AC7C88"/>
    <w:rsid w:val="00AC7E81"/>
    <w:rsid w:val="00AD0F84"/>
    <w:rsid w:val="00AD1A22"/>
    <w:rsid w:val="00AD1BEB"/>
    <w:rsid w:val="00AD1CE5"/>
    <w:rsid w:val="00AD222E"/>
    <w:rsid w:val="00AD314E"/>
    <w:rsid w:val="00AD3AD2"/>
    <w:rsid w:val="00AD416B"/>
    <w:rsid w:val="00AD441F"/>
    <w:rsid w:val="00AD5FCD"/>
    <w:rsid w:val="00AD6B48"/>
    <w:rsid w:val="00AD79A5"/>
    <w:rsid w:val="00AD7A3A"/>
    <w:rsid w:val="00AD7D63"/>
    <w:rsid w:val="00AD7EBF"/>
    <w:rsid w:val="00AE02B4"/>
    <w:rsid w:val="00AE1BF1"/>
    <w:rsid w:val="00AE20AD"/>
    <w:rsid w:val="00AE23AB"/>
    <w:rsid w:val="00AE361F"/>
    <w:rsid w:val="00AE48CF"/>
    <w:rsid w:val="00AE58FB"/>
    <w:rsid w:val="00AE5AF0"/>
    <w:rsid w:val="00AE5EB4"/>
    <w:rsid w:val="00AE5EBA"/>
    <w:rsid w:val="00AE663D"/>
    <w:rsid w:val="00AE73B3"/>
    <w:rsid w:val="00AE746F"/>
    <w:rsid w:val="00AF07E7"/>
    <w:rsid w:val="00AF0DD2"/>
    <w:rsid w:val="00AF2A7E"/>
    <w:rsid w:val="00AF31E1"/>
    <w:rsid w:val="00AF3BBA"/>
    <w:rsid w:val="00AF4231"/>
    <w:rsid w:val="00AF4DEA"/>
    <w:rsid w:val="00AF6DE3"/>
    <w:rsid w:val="00AF71E5"/>
    <w:rsid w:val="00B00AA0"/>
    <w:rsid w:val="00B00B0E"/>
    <w:rsid w:val="00B00B26"/>
    <w:rsid w:val="00B01589"/>
    <w:rsid w:val="00B01F77"/>
    <w:rsid w:val="00B02385"/>
    <w:rsid w:val="00B02F9D"/>
    <w:rsid w:val="00B04C8E"/>
    <w:rsid w:val="00B05766"/>
    <w:rsid w:val="00B07D82"/>
    <w:rsid w:val="00B10B3E"/>
    <w:rsid w:val="00B11734"/>
    <w:rsid w:val="00B117E9"/>
    <w:rsid w:val="00B12FA9"/>
    <w:rsid w:val="00B13048"/>
    <w:rsid w:val="00B13883"/>
    <w:rsid w:val="00B138C5"/>
    <w:rsid w:val="00B13B36"/>
    <w:rsid w:val="00B13E35"/>
    <w:rsid w:val="00B14116"/>
    <w:rsid w:val="00B144C4"/>
    <w:rsid w:val="00B1622D"/>
    <w:rsid w:val="00B1716D"/>
    <w:rsid w:val="00B17A1D"/>
    <w:rsid w:val="00B207A0"/>
    <w:rsid w:val="00B21C21"/>
    <w:rsid w:val="00B22F54"/>
    <w:rsid w:val="00B23660"/>
    <w:rsid w:val="00B24A7E"/>
    <w:rsid w:val="00B24B02"/>
    <w:rsid w:val="00B25C0C"/>
    <w:rsid w:val="00B27F61"/>
    <w:rsid w:val="00B304B5"/>
    <w:rsid w:val="00B308A9"/>
    <w:rsid w:val="00B31047"/>
    <w:rsid w:val="00B32364"/>
    <w:rsid w:val="00B328F2"/>
    <w:rsid w:val="00B33148"/>
    <w:rsid w:val="00B33BA8"/>
    <w:rsid w:val="00B35352"/>
    <w:rsid w:val="00B35CDF"/>
    <w:rsid w:val="00B35F66"/>
    <w:rsid w:val="00B36A00"/>
    <w:rsid w:val="00B36B2C"/>
    <w:rsid w:val="00B403C2"/>
    <w:rsid w:val="00B405A1"/>
    <w:rsid w:val="00B4184C"/>
    <w:rsid w:val="00B439A2"/>
    <w:rsid w:val="00B4438A"/>
    <w:rsid w:val="00B45AA2"/>
    <w:rsid w:val="00B45E00"/>
    <w:rsid w:val="00B46601"/>
    <w:rsid w:val="00B479CA"/>
    <w:rsid w:val="00B5084F"/>
    <w:rsid w:val="00B50B10"/>
    <w:rsid w:val="00B514DD"/>
    <w:rsid w:val="00B52AF0"/>
    <w:rsid w:val="00B53676"/>
    <w:rsid w:val="00B53D5F"/>
    <w:rsid w:val="00B54051"/>
    <w:rsid w:val="00B560A0"/>
    <w:rsid w:val="00B561BD"/>
    <w:rsid w:val="00B56E03"/>
    <w:rsid w:val="00B61078"/>
    <w:rsid w:val="00B6154B"/>
    <w:rsid w:val="00B62765"/>
    <w:rsid w:val="00B634C6"/>
    <w:rsid w:val="00B6544B"/>
    <w:rsid w:val="00B65772"/>
    <w:rsid w:val="00B65DF5"/>
    <w:rsid w:val="00B67CD2"/>
    <w:rsid w:val="00B70E07"/>
    <w:rsid w:val="00B73599"/>
    <w:rsid w:val="00B73798"/>
    <w:rsid w:val="00B7472C"/>
    <w:rsid w:val="00B75176"/>
    <w:rsid w:val="00B75D50"/>
    <w:rsid w:val="00B7679F"/>
    <w:rsid w:val="00B77159"/>
    <w:rsid w:val="00B80020"/>
    <w:rsid w:val="00B8080B"/>
    <w:rsid w:val="00B818AC"/>
    <w:rsid w:val="00B82223"/>
    <w:rsid w:val="00B83063"/>
    <w:rsid w:val="00B8527C"/>
    <w:rsid w:val="00B85421"/>
    <w:rsid w:val="00B861D2"/>
    <w:rsid w:val="00B87573"/>
    <w:rsid w:val="00B87BA5"/>
    <w:rsid w:val="00B87C39"/>
    <w:rsid w:val="00B90565"/>
    <w:rsid w:val="00B91239"/>
    <w:rsid w:val="00B91A85"/>
    <w:rsid w:val="00B923B0"/>
    <w:rsid w:val="00B93891"/>
    <w:rsid w:val="00B93F36"/>
    <w:rsid w:val="00B9562D"/>
    <w:rsid w:val="00B95B7F"/>
    <w:rsid w:val="00BA05DA"/>
    <w:rsid w:val="00BA0D83"/>
    <w:rsid w:val="00BA160E"/>
    <w:rsid w:val="00BA21DA"/>
    <w:rsid w:val="00BA244B"/>
    <w:rsid w:val="00BA2B60"/>
    <w:rsid w:val="00BA3C93"/>
    <w:rsid w:val="00BA40E1"/>
    <w:rsid w:val="00BA42B8"/>
    <w:rsid w:val="00BA4665"/>
    <w:rsid w:val="00BA56F9"/>
    <w:rsid w:val="00BA57B8"/>
    <w:rsid w:val="00BA6601"/>
    <w:rsid w:val="00BA7FD7"/>
    <w:rsid w:val="00BB0814"/>
    <w:rsid w:val="00BB1681"/>
    <w:rsid w:val="00BB1803"/>
    <w:rsid w:val="00BB1E71"/>
    <w:rsid w:val="00BB29B3"/>
    <w:rsid w:val="00BB2A63"/>
    <w:rsid w:val="00BB2FB2"/>
    <w:rsid w:val="00BB3304"/>
    <w:rsid w:val="00BB3667"/>
    <w:rsid w:val="00BB421B"/>
    <w:rsid w:val="00BB6551"/>
    <w:rsid w:val="00BC26C5"/>
    <w:rsid w:val="00BC4A10"/>
    <w:rsid w:val="00BC4E62"/>
    <w:rsid w:val="00BC5127"/>
    <w:rsid w:val="00BC6A3B"/>
    <w:rsid w:val="00BC6B92"/>
    <w:rsid w:val="00BC73BD"/>
    <w:rsid w:val="00BC750F"/>
    <w:rsid w:val="00BD0253"/>
    <w:rsid w:val="00BD06BD"/>
    <w:rsid w:val="00BD17F5"/>
    <w:rsid w:val="00BD27D5"/>
    <w:rsid w:val="00BD30F4"/>
    <w:rsid w:val="00BD3156"/>
    <w:rsid w:val="00BD3446"/>
    <w:rsid w:val="00BD364F"/>
    <w:rsid w:val="00BD3AC7"/>
    <w:rsid w:val="00BD59CF"/>
    <w:rsid w:val="00BD59DC"/>
    <w:rsid w:val="00BD6B51"/>
    <w:rsid w:val="00BE0AAB"/>
    <w:rsid w:val="00BE1312"/>
    <w:rsid w:val="00BE1DE3"/>
    <w:rsid w:val="00BE1F1B"/>
    <w:rsid w:val="00BE266B"/>
    <w:rsid w:val="00BE3F89"/>
    <w:rsid w:val="00BE47B5"/>
    <w:rsid w:val="00BE5FCE"/>
    <w:rsid w:val="00BF1647"/>
    <w:rsid w:val="00BF1B2E"/>
    <w:rsid w:val="00BF2098"/>
    <w:rsid w:val="00BF2417"/>
    <w:rsid w:val="00BF2A6F"/>
    <w:rsid w:val="00BF2FEB"/>
    <w:rsid w:val="00BF4F97"/>
    <w:rsid w:val="00BF5374"/>
    <w:rsid w:val="00BF5528"/>
    <w:rsid w:val="00BF5830"/>
    <w:rsid w:val="00BF5DAC"/>
    <w:rsid w:val="00BF5EBE"/>
    <w:rsid w:val="00BF719F"/>
    <w:rsid w:val="00BF79F9"/>
    <w:rsid w:val="00C0079E"/>
    <w:rsid w:val="00C0137A"/>
    <w:rsid w:val="00C01595"/>
    <w:rsid w:val="00C01B13"/>
    <w:rsid w:val="00C02F07"/>
    <w:rsid w:val="00C033C4"/>
    <w:rsid w:val="00C0363E"/>
    <w:rsid w:val="00C04E98"/>
    <w:rsid w:val="00C04F08"/>
    <w:rsid w:val="00C0572A"/>
    <w:rsid w:val="00C06CD6"/>
    <w:rsid w:val="00C07632"/>
    <w:rsid w:val="00C1039F"/>
    <w:rsid w:val="00C1092B"/>
    <w:rsid w:val="00C10B14"/>
    <w:rsid w:val="00C113B3"/>
    <w:rsid w:val="00C11BCA"/>
    <w:rsid w:val="00C12440"/>
    <w:rsid w:val="00C12B61"/>
    <w:rsid w:val="00C13759"/>
    <w:rsid w:val="00C13AFB"/>
    <w:rsid w:val="00C13EBD"/>
    <w:rsid w:val="00C157BA"/>
    <w:rsid w:val="00C1631B"/>
    <w:rsid w:val="00C163AB"/>
    <w:rsid w:val="00C16641"/>
    <w:rsid w:val="00C170F0"/>
    <w:rsid w:val="00C21BF2"/>
    <w:rsid w:val="00C22003"/>
    <w:rsid w:val="00C239EF"/>
    <w:rsid w:val="00C23B0C"/>
    <w:rsid w:val="00C24B0F"/>
    <w:rsid w:val="00C256A8"/>
    <w:rsid w:val="00C25962"/>
    <w:rsid w:val="00C25FA6"/>
    <w:rsid w:val="00C26AD1"/>
    <w:rsid w:val="00C2754A"/>
    <w:rsid w:val="00C27F2E"/>
    <w:rsid w:val="00C3099D"/>
    <w:rsid w:val="00C31818"/>
    <w:rsid w:val="00C31898"/>
    <w:rsid w:val="00C32A95"/>
    <w:rsid w:val="00C33011"/>
    <w:rsid w:val="00C3345D"/>
    <w:rsid w:val="00C33FEA"/>
    <w:rsid w:val="00C3418D"/>
    <w:rsid w:val="00C35C72"/>
    <w:rsid w:val="00C362C1"/>
    <w:rsid w:val="00C36911"/>
    <w:rsid w:val="00C36922"/>
    <w:rsid w:val="00C36F65"/>
    <w:rsid w:val="00C40F99"/>
    <w:rsid w:val="00C41950"/>
    <w:rsid w:val="00C41E21"/>
    <w:rsid w:val="00C42C3B"/>
    <w:rsid w:val="00C4623B"/>
    <w:rsid w:val="00C46C51"/>
    <w:rsid w:val="00C51672"/>
    <w:rsid w:val="00C538A9"/>
    <w:rsid w:val="00C53B5A"/>
    <w:rsid w:val="00C53CB4"/>
    <w:rsid w:val="00C53E41"/>
    <w:rsid w:val="00C54909"/>
    <w:rsid w:val="00C54AF3"/>
    <w:rsid w:val="00C54F5A"/>
    <w:rsid w:val="00C56233"/>
    <w:rsid w:val="00C569B4"/>
    <w:rsid w:val="00C57DDE"/>
    <w:rsid w:val="00C57E3E"/>
    <w:rsid w:val="00C60964"/>
    <w:rsid w:val="00C61468"/>
    <w:rsid w:val="00C61A97"/>
    <w:rsid w:val="00C61E44"/>
    <w:rsid w:val="00C6232D"/>
    <w:rsid w:val="00C62AD4"/>
    <w:rsid w:val="00C62DFE"/>
    <w:rsid w:val="00C63403"/>
    <w:rsid w:val="00C64FF3"/>
    <w:rsid w:val="00C662AD"/>
    <w:rsid w:val="00C66556"/>
    <w:rsid w:val="00C66798"/>
    <w:rsid w:val="00C66A32"/>
    <w:rsid w:val="00C66C2C"/>
    <w:rsid w:val="00C67A92"/>
    <w:rsid w:val="00C67EB1"/>
    <w:rsid w:val="00C71280"/>
    <w:rsid w:val="00C717BF"/>
    <w:rsid w:val="00C71C00"/>
    <w:rsid w:val="00C71D03"/>
    <w:rsid w:val="00C724BC"/>
    <w:rsid w:val="00C75D89"/>
    <w:rsid w:val="00C76178"/>
    <w:rsid w:val="00C777F4"/>
    <w:rsid w:val="00C81709"/>
    <w:rsid w:val="00C84560"/>
    <w:rsid w:val="00C84E24"/>
    <w:rsid w:val="00C86679"/>
    <w:rsid w:val="00C8671B"/>
    <w:rsid w:val="00C86AD7"/>
    <w:rsid w:val="00C8792F"/>
    <w:rsid w:val="00C90472"/>
    <w:rsid w:val="00C91D6E"/>
    <w:rsid w:val="00C92B78"/>
    <w:rsid w:val="00C93D29"/>
    <w:rsid w:val="00C94AB0"/>
    <w:rsid w:val="00C9732C"/>
    <w:rsid w:val="00C97769"/>
    <w:rsid w:val="00CA05BA"/>
    <w:rsid w:val="00CA0E7F"/>
    <w:rsid w:val="00CA10EF"/>
    <w:rsid w:val="00CA13B8"/>
    <w:rsid w:val="00CA489E"/>
    <w:rsid w:val="00CA5E26"/>
    <w:rsid w:val="00CA6352"/>
    <w:rsid w:val="00CA74C5"/>
    <w:rsid w:val="00CA7969"/>
    <w:rsid w:val="00CB0279"/>
    <w:rsid w:val="00CB0BBE"/>
    <w:rsid w:val="00CB1CB6"/>
    <w:rsid w:val="00CB233B"/>
    <w:rsid w:val="00CB3465"/>
    <w:rsid w:val="00CB3D7C"/>
    <w:rsid w:val="00CB666B"/>
    <w:rsid w:val="00CB710E"/>
    <w:rsid w:val="00CB734B"/>
    <w:rsid w:val="00CB74F6"/>
    <w:rsid w:val="00CC058C"/>
    <w:rsid w:val="00CC1666"/>
    <w:rsid w:val="00CC1FCE"/>
    <w:rsid w:val="00CC31C5"/>
    <w:rsid w:val="00CC41B6"/>
    <w:rsid w:val="00CC5BAC"/>
    <w:rsid w:val="00CC60CE"/>
    <w:rsid w:val="00CC7102"/>
    <w:rsid w:val="00CC7585"/>
    <w:rsid w:val="00CC7638"/>
    <w:rsid w:val="00CC765E"/>
    <w:rsid w:val="00CC7ADA"/>
    <w:rsid w:val="00CC7F1D"/>
    <w:rsid w:val="00CD0A88"/>
    <w:rsid w:val="00CD0D3F"/>
    <w:rsid w:val="00CD125D"/>
    <w:rsid w:val="00CD283C"/>
    <w:rsid w:val="00CD2E86"/>
    <w:rsid w:val="00CD3641"/>
    <w:rsid w:val="00CD50D1"/>
    <w:rsid w:val="00CD66EA"/>
    <w:rsid w:val="00CD6FAE"/>
    <w:rsid w:val="00CD7432"/>
    <w:rsid w:val="00CE09F4"/>
    <w:rsid w:val="00CE0FA5"/>
    <w:rsid w:val="00CE1B3C"/>
    <w:rsid w:val="00CE1BFC"/>
    <w:rsid w:val="00CE2A23"/>
    <w:rsid w:val="00CE2AC4"/>
    <w:rsid w:val="00CE31C8"/>
    <w:rsid w:val="00CE484B"/>
    <w:rsid w:val="00CE5CF1"/>
    <w:rsid w:val="00CE7CBA"/>
    <w:rsid w:val="00CF0DEE"/>
    <w:rsid w:val="00CF0DFE"/>
    <w:rsid w:val="00CF380B"/>
    <w:rsid w:val="00CF42AA"/>
    <w:rsid w:val="00CF5C65"/>
    <w:rsid w:val="00CF5EAA"/>
    <w:rsid w:val="00CF6468"/>
    <w:rsid w:val="00CF66A4"/>
    <w:rsid w:val="00CF6AE3"/>
    <w:rsid w:val="00CF77BB"/>
    <w:rsid w:val="00D00092"/>
    <w:rsid w:val="00D006AE"/>
    <w:rsid w:val="00D00905"/>
    <w:rsid w:val="00D00AEC"/>
    <w:rsid w:val="00D010C1"/>
    <w:rsid w:val="00D01CF0"/>
    <w:rsid w:val="00D01D61"/>
    <w:rsid w:val="00D0442A"/>
    <w:rsid w:val="00D04592"/>
    <w:rsid w:val="00D0734D"/>
    <w:rsid w:val="00D11F62"/>
    <w:rsid w:val="00D12A7B"/>
    <w:rsid w:val="00D12ADB"/>
    <w:rsid w:val="00D13069"/>
    <w:rsid w:val="00D134D8"/>
    <w:rsid w:val="00D13A5B"/>
    <w:rsid w:val="00D1525D"/>
    <w:rsid w:val="00D15E63"/>
    <w:rsid w:val="00D162A2"/>
    <w:rsid w:val="00D169BB"/>
    <w:rsid w:val="00D20550"/>
    <w:rsid w:val="00D21FDC"/>
    <w:rsid w:val="00D23D85"/>
    <w:rsid w:val="00D25A39"/>
    <w:rsid w:val="00D26106"/>
    <w:rsid w:val="00D26553"/>
    <w:rsid w:val="00D26821"/>
    <w:rsid w:val="00D27CFA"/>
    <w:rsid w:val="00D310FA"/>
    <w:rsid w:val="00D32437"/>
    <w:rsid w:val="00D325C6"/>
    <w:rsid w:val="00D32644"/>
    <w:rsid w:val="00D33124"/>
    <w:rsid w:val="00D33DDA"/>
    <w:rsid w:val="00D36638"/>
    <w:rsid w:val="00D37213"/>
    <w:rsid w:val="00D374B6"/>
    <w:rsid w:val="00D378AF"/>
    <w:rsid w:val="00D37DE1"/>
    <w:rsid w:val="00D410A7"/>
    <w:rsid w:val="00D41B02"/>
    <w:rsid w:val="00D42E74"/>
    <w:rsid w:val="00D4360D"/>
    <w:rsid w:val="00D442E5"/>
    <w:rsid w:val="00D45FC0"/>
    <w:rsid w:val="00D46374"/>
    <w:rsid w:val="00D47D4F"/>
    <w:rsid w:val="00D507BB"/>
    <w:rsid w:val="00D51210"/>
    <w:rsid w:val="00D525C3"/>
    <w:rsid w:val="00D53336"/>
    <w:rsid w:val="00D53528"/>
    <w:rsid w:val="00D53EBC"/>
    <w:rsid w:val="00D55167"/>
    <w:rsid w:val="00D5607F"/>
    <w:rsid w:val="00D56450"/>
    <w:rsid w:val="00D576DD"/>
    <w:rsid w:val="00D61388"/>
    <w:rsid w:val="00D61A54"/>
    <w:rsid w:val="00D62108"/>
    <w:rsid w:val="00D62759"/>
    <w:rsid w:val="00D63715"/>
    <w:rsid w:val="00D6426C"/>
    <w:rsid w:val="00D64AA4"/>
    <w:rsid w:val="00D64DEA"/>
    <w:rsid w:val="00D64F84"/>
    <w:rsid w:val="00D65EB9"/>
    <w:rsid w:val="00D660A2"/>
    <w:rsid w:val="00D663CD"/>
    <w:rsid w:val="00D6726A"/>
    <w:rsid w:val="00D7001B"/>
    <w:rsid w:val="00D70816"/>
    <w:rsid w:val="00D7086B"/>
    <w:rsid w:val="00D712F2"/>
    <w:rsid w:val="00D7160D"/>
    <w:rsid w:val="00D7168E"/>
    <w:rsid w:val="00D71E57"/>
    <w:rsid w:val="00D72D27"/>
    <w:rsid w:val="00D73287"/>
    <w:rsid w:val="00D73323"/>
    <w:rsid w:val="00D734B2"/>
    <w:rsid w:val="00D73787"/>
    <w:rsid w:val="00D74922"/>
    <w:rsid w:val="00D7553C"/>
    <w:rsid w:val="00D76C4B"/>
    <w:rsid w:val="00D76CCF"/>
    <w:rsid w:val="00D77219"/>
    <w:rsid w:val="00D77484"/>
    <w:rsid w:val="00D7786B"/>
    <w:rsid w:val="00D77C96"/>
    <w:rsid w:val="00D80893"/>
    <w:rsid w:val="00D814BF"/>
    <w:rsid w:val="00D81568"/>
    <w:rsid w:val="00D82519"/>
    <w:rsid w:val="00D834C7"/>
    <w:rsid w:val="00D84123"/>
    <w:rsid w:val="00D84854"/>
    <w:rsid w:val="00D852C0"/>
    <w:rsid w:val="00D858AD"/>
    <w:rsid w:val="00D87441"/>
    <w:rsid w:val="00D876A2"/>
    <w:rsid w:val="00D8790F"/>
    <w:rsid w:val="00D87D7B"/>
    <w:rsid w:val="00D90860"/>
    <w:rsid w:val="00D91BE6"/>
    <w:rsid w:val="00D924AE"/>
    <w:rsid w:val="00D925D3"/>
    <w:rsid w:val="00D92CF1"/>
    <w:rsid w:val="00D92D38"/>
    <w:rsid w:val="00D933D9"/>
    <w:rsid w:val="00D950F5"/>
    <w:rsid w:val="00D95C06"/>
    <w:rsid w:val="00D96ED2"/>
    <w:rsid w:val="00D97379"/>
    <w:rsid w:val="00DA0029"/>
    <w:rsid w:val="00DA3D57"/>
    <w:rsid w:val="00DA4502"/>
    <w:rsid w:val="00DA4752"/>
    <w:rsid w:val="00DA4C09"/>
    <w:rsid w:val="00DA61F3"/>
    <w:rsid w:val="00DA6EA4"/>
    <w:rsid w:val="00DA7305"/>
    <w:rsid w:val="00DA7CB3"/>
    <w:rsid w:val="00DB0902"/>
    <w:rsid w:val="00DB0D00"/>
    <w:rsid w:val="00DB0F93"/>
    <w:rsid w:val="00DB1A67"/>
    <w:rsid w:val="00DB3721"/>
    <w:rsid w:val="00DB3C92"/>
    <w:rsid w:val="00DB5074"/>
    <w:rsid w:val="00DB5082"/>
    <w:rsid w:val="00DC0281"/>
    <w:rsid w:val="00DC0587"/>
    <w:rsid w:val="00DC1930"/>
    <w:rsid w:val="00DC1C76"/>
    <w:rsid w:val="00DC2A91"/>
    <w:rsid w:val="00DC2E9D"/>
    <w:rsid w:val="00DC33DC"/>
    <w:rsid w:val="00DC3411"/>
    <w:rsid w:val="00DC42BF"/>
    <w:rsid w:val="00DC4863"/>
    <w:rsid w:val="00DC4DBF"/>
    <w:rsid w:val="00DC4E19"/>
    <w:rsid w:val="00DC65FE"/>
    <w:rsid w:val="00DC6BEA"/>
    <w:rsid w:val="00DC7981"/>
    <w:rsid w:val="00DD085E"/>
    <w:rsid w:val="00DD193E"/>
    <w:rsid w:val="00DD3A2F"/>
    <w:rsid w:val="00DD4C07"/>
    <w:rsid w:val="00DD4F4A"/>
    <w:rsid w:val="00DD56A5"/>
    <w:rsid w:val="00DD577D"/>
    <w:rsid w:val="00DD5ADC"/>
    <w:rsid w:val="00DD61AB"/>
    <w:rsid w:val="00DD7928"/>
    <w:rsid w:val="00DE1093"/>
    <w:rsid w:val="00DE1EA7"/>
    <w:rsid w:val="00DE3604"/>
    <w:rsid w:val="00DE4EFA"/>
    <w:rsid w:val="00DE53A8"/>
    <w:rsid w:val="00DE5449"/>
    <w:rsid w:val="00DE5520"/>
    <w:rsid w:val="00DE563D"/>
    <w:rsid w:val="00DE5F48"/>
    <w:rsid w:val="00DE7AB5"/>
    <w:rsid w:val="00DF0152"/>
    <w:rsid w:val="00DF068A"/>
    <w:rsid w:val="00DF1958"/>
    <w:rsid w:val="00DF1D6D"/>
    <w:rsid w:val="00DF2056"/>
    <w:rsid w:val="00DF3498"/>
    <w:rsid w:val="00DF3667"/>
    <w:rsid w:val="00DF51C8"/>
    <w:rsid w:val="00DF5BFB"/>
    <w:rsid w:val="00DF5EE7"/>
    <w:rsid w:val="00DF61A5"/>
    <w:rsid w:val="00E01AE4"/>
    <w:rsid w:val="00E02DA5"/>
    <w:rsid w:val="00E046E3"/>
    <w:rsid w:val="00E04818"/>
    <w:rsid w:val="00E04B61"/>
    <w:rsid w:val="00E04E6D"/>
    <w:rsid w:val="00E04EDB"/>
    <w:rsid w:val="00E05E0D"/>
    <w:rsid w:val="00E06003"/>
    <w:rsid w:val="00E06211"/>
    <w:rsid w:val="00E06442"/>
    <w:rsid w:val="00E067DE"/>
    <w:rsid w:val="00E06952"/>
    <w:rsid w:val="00E10903"/>
    <w:rsid w:val="00E10AD6"/>
    <w:rsid w:val="00E11E61"/>
    <w:rsid w:val="00E121FA"/>
    <w:rsid w:val="00E14A8C"/>
    <w:rsid w:val="00E14B35"/>
    <w:rsid w:val="00E157B2"/>
    <w:rsid w:val="00E16055"/>
    <w:rsid w:val="00E174F6"/>
    <w:rsid w:val="00E22E53"/>
    <w:rsid w:val="00E2332D"/>
    <w:rsid w:val="00E23993"/>
    <w:rsid w:val="00E24BA6"/>
    <w:rsid w:val="00E254D5"/>
    <w:rsid w:val="00E2574F"/>
    <w:rsid w:val="00E25951"/>
    <w:rsid w:val="00E25B8C"/>
    <w:rsid w:val="00E27440"/>
    <w:rsid w:val="00E2793D"/>
    <w:rsid w:val="00E27A28"/>
    <w:rsid w:val="00E27D5D"/>
    <w:rsid w:val="00E30BB4"/>
    <w:rsid w:val="00E3139F"/>
    <w:rsid w:val="00E31CF6"/>
    <w:rsid w:val="00E324F1"/>
    <w:rsid w:val="00E33592"/>
    <w:rsid w:val="00E33FB8"/>
    <w:rsid w:val="00E34A4A"/>
    <w:rsid w:val="00E35AFC"/>
    <w:rsid w:val="00E36A38"/>
    <w:rsid w:val="00E37DFD"/>
    <w:rsid w:val="00E408BC"/>
    <w:rsid w:val="00E40D9D"/>
    <w:rsid w:val="00E412E9"/>
    <w:rsid w:val="00E41D39"/>
    <w:rsid w:val="00E42AD2"/>
    <w:rsid w:val="00E438D9"/>
    <w:rsid w:val="00E441E9"/>
    <w:rsid w:val="00E442CD"/>
    <w:rsid w:val="00E44852"/>
    <w:rsid w:val="00E45B4B"/>
    <w:rsid w:val="00E46B83"/>
    <w:rsid w:val="00E47784"/>
    <w:rsid w:val="00E50A02"/>
    <w:rsid w:val="00E54106"/>
    <w:rsid w:val="00E54697"/>
    <w:rsid w:val="00E54E62"/>
    <w:rsid w:val="00E5584C"/>
    <w:rsid w:val="00E569E0"/>
    <w:rsid w:val="00E57A08"/>
    <w:rsid w:val="00E609D3"/>
    <w:rsid w:val="00E61F7C"/>
    <w:rsid w:val="00E63248"/>
    <w:rsid w:val="00E632E3"/>
    <w:rsid w:val="00E63631"/>
    <w:rsid w:val="00E63E52"/>
    <w:rsid w:val="00E64B83"/>
    <w:rsid w:val="00E64C2A"/>
    <w:rsid w:val="00E65C85"/>
    <w:rsid w:val="00E66199"/>
    <w:rsid w:val="00E70526"/>
    <w:rsid w:val="00E71651"/>
    <w:rsid w:val="00E71ACC"/>
    <w:rsid w:val="00E7273D"/>
    <w:rsid w:val="00E741CD"/>
    <w:rsid w:val="00E754B4"/>
    <w:rsid w:val="00E755EC"/>
    <w:rsid w:val="00E7624D"/>
    <w:rsid w:val="00E765AA"/>
    <w:rsid w:val="00E81724"/>
    <w:rsid w:val="00E819A4"/>
    <w:rsid w:val="00E81AD9"/>
    <w:rsid w:val="00E833FA"/>
    <w:rsid w:val="00E83725"/>
    <w:rsid w:val="00E84441"/>
    <w:rsid w:val="00E84B74"/>
    <w:rsid w:val="00E85051"/>
    <w:rsid w:val="00E85904"/>
    <w:rsid w:val="00E85963"/>
    <w:rsid w:val="00E85C92"/>
    <w:rsid w:val="00E86431"/>
    <w:rsid w:val="00E86A11"/>
    <w:rsid w:val="00E87066"/>
    <w:rsid w:val="00E90210"/>
    <w:rsid w:val="00E9055B"/>
    <w:rsid w:val="00E90969"/>
    <w:rsid w:val="00E909F1"/>
    <w:rsid w:val="00E91B4C"/>
    <w:rsid w:val="00E94399"/>
    <w:rsid w:val="00E966BF"/>
    <w:rsid w:val="00E969A2"/>
    <w:rsid w:val="00E974D4"/>
    <w:rsid w:val="00EA0C04"/>
    <w:rsid w:val="00EA1854"/>
    <w:rsid w:val="00EA2275"/>
    <w:rsid w:val="00EA310E"/>
    <w:rsid w:val="00EA3371"/>
    <w:rsid w:val="00EA3844"/>
    <w:rsid w:val="00EA3D42"/>
    <w:rsid w:val="00EA4033"/>
    <w:rsid w:val="00EA405F"/>
    <w:rsid w:val="00EA4505"/>
    <w:rsid w:val="00EA45A5"/>
    <w:rsid w:val="00EA6B1B"/>
    <w:rsid w:val="00EA7E80"/>
    <w:rsid w:val="00EB0E15"/>
    <w:rsid w:val="00EB1048"/>
    <w:rsid w:val="00EB11CF"/>
    <w:rsid w:val="00EB1264"/>
    <w:rsid w:val="00EB1999"/>
    <w:rsid w:val="00EB1CBD"/>
    <w:rsid w:val="00EB2099"/>
    <w:rsid w:val="00EB22C0"/>
    <w:rsid w:val="00EB3091"/>
    <w:rsid w:val="00EB3A34"/>
    <w:rsid w:val="00EB3C3F"/>
    <w:rsid w:val="00EB3C51"/>
    <w:rsid w:val="00EC04F1"/>
    <w:rsid w:val="00EC06CA"/>
    <w:rsid w:val="00EC135B"/>
    <w:rsid w:val="00EC237F"/>
    <w:rsid w:val="00EC29C7"/>
    <w:rsid w:val="00EC4354"/>
    <w:rsid w:val="00EC4511"/>
    <w:rsid w:val="00EC4685"/>
    <w:rsid w:val="00EC573A"/>
    <w:rsid w:val="00EC59C1"/>
    <w:rsid w:val="00EC628C"/>
    <w:rsid w:val="00ED278E"/>
    <w:rsid w:val="00ED3538"/>
    <w:rsid w:val="00ED35C8"/>
    <w:rsid w:val="00ED3968"/>
    <w:rsid w:val="00ED7323"/>
    <w:rsid w:val="00ED74F0"/>
    <w:rsid w:val="00ED7C70"/>
    <w:rsid w:val="00EE03D2"/>
    <w:rsid w:val="00EE18F1"/>
    <w:rsid w:val="00EE2710"/>
    <w:rsid w:val="00EE28BF"/>
    <w:rsid w:val="00EE28F3"/>
    <w:rsid w:val="00EE2CC4"/>
    <w:rsid w:val="00EE31F2"/>
    <w:rsid w:val="00EE424F"/>
    <w:rsid w:val="00EE4769"/>
    <w:rsid w:val="00EE5081"/>
    <w:rsid w:val="00EE50D1"/>
    <w:rsid w:val="00EE7614"/>
    <w:rsid w:val="00EE7D62"/>
    <w:rsid w:val="00EF023F"/>
    <w:rsid w:val="00EF1860"/>
    <w:rsid w:val="00EF1D53"/>
    <w:rsid w:val="00EF2B5B"/>
    <w:rsid w:val="00EF2EF9"/>
    <w:rsid w:val="00EF5110"/>
    <w:rsid w:val="00EF5890"/>
    <w:rsid w:val="00EF5ECF"/>
    <w:rsid w:val="00EF76BA"/>
    <w:rsid w:val="00F003BA"/>
    <w:rsid w:val="00F0149E"/>
    <w:rsid w:val="00F01930"/>
    <w:rsid w:val="00F0231A"/>
    <w:rsid w:val="00F02F13"/>
    <w:rsid w:val="00F03463"/>
    <w:rsid w:val="00F036B7"/>
    <w:rsid w:val="00F04B93"/>
    <w:rsid w:val="00F0683C"/>
    <w:rsid w:val="00F0700F"/>
    <w:rsid w:val="00F07F1F"/>
    <w:rsid w:val="00F10411"/>
    <w:rsid w:val="00F10A9A"/>
    <w:rsid w:val="00F11B2D"/>
    <w:rsid w:val="00F11B39"/>
    <w:rsid w:val="00F121C2"/>
    <w:rsid w:val="00F123EC"/>
    <w:rsid w:val="00F12648"/>
    <w:rsid w:val="00F13EBF"/>
    <w:rsid w:val="00F1485B"/>
    <w:rsid w:val="00F14CB4"/>
    <w:rsid w:val="00F15882"/>
    <w:rsid w:val="00F16AC8"/>
    <w:rsid w:val="00F170C7"/>
    <w:rsid w:val="00F171E0"/>
    <w:rsid w:val="00F176D0"/>
    <w:rsid w:val="00F20BD3"/>
    <w:rsid w:val="00F2259F"/>
    <w:rsid w:val="00F22D65"/>
    <w:rsid w:val="00F2373D"/>
    <w:rsid w:val="00F23806"/>
    <w:rsid w:val="00F2382D"/>
    <w:rsid w:val="00F24D9F"/>
    <w:rsid w:val="00F25CD1"/>
    <w:rsid w:val="00F26F66"/>
    <w:rsid w:val="00F2722C"/>
    <w:rsid w:val="00F275F0"/>
    <w:rsid w:val="00F301D3"/>
    <w:rsid w:val="00F30884"/>
    <w:rsid w:val="00F30FC3"/>
    <w:rsid w:val="00F316CE"/>
    <w:rsid w:val="00F318FE"/>
    <w:rsid w:val="00F320CB"/>
    <w:rsid w:val="00F322E9"/>
    <w:rsid w:val="00F3231B"/>
    <w:rsid w:val="00F324A7"/>
    <w:rsid w:val="00F33321"/>
    <w:rsid w:val="00F33808"/>
    <w:rsid w:val="00F34487"/>
    <w:rsid w:val="00F35F63"/>
    <w:rsid w:val="00F364A7"/>
    <w:rsid w:val="00F36676"/>
    <w:rsid w:val="00F373A5"/>
    <w:rsid w:val="00F37864"/>
    <w:rsid w:val="00F37952"/>
    <w:rsid w:val="00F404F9"/>
    <w:rsid w:val="00F40DA7"/>
    <w:rsid w:val="00F4276C"/>
    <w:rsid w:val="00F435A2"/>
    <w:rsid w:val="00F44B0A"/>
    <w:rsid w:val="00F44EA1"/>
    <w:rsid w:val="00F45584"/>
    <w:rsid w:val="00F45724"/>
    <w:rsid w:val="00F46B5A"/>
    <w:rsid w:val="00F47559"/>
    <w:rsid w:val="00F50B30"/>
    <w:rsid w:val="00F50C8D"/>
    <w:rsid w:val="00F51F5F"/>
    <w:rsid w:val="00F5201D"/>
    <w:rsid w:val="00F52C6D"/>
    <w:rsid w:val="00F52D75"/>
    <w:rsid w:val="00F53FD1"/>
    <w:rsid w:val="00F55582"/>
    <w:rsid w:val="00F57380"/>
    <w:rsid w:val="00F57647"/>
    <w:rsid w:val="00F57DDD"/>
    <w:rsid w:val="00F61D40"/>
    <w:rsid w:val="00F61ED5"/>
    <w:rsid w:val="00F62A14"/>
    <w:rsid w:val="00F63049"/>
    <w:rsid w:val="00F63D85"/>
    <w:rsid w:val="00F63F5A"/>
    <w:rsid w:val="00F644AB"/>
    <w:rsid w:val="00F64C7B"/>
    <w:rsid w:val="00F66B69"/>
    <w:rsid w:val="00F66E5B"/>
    <w:rsid w:val="00F670A9"/>
    <w:rsid w:val="00F673AE"/>
    <w:rsid w:val="00F676DD"/>
    <w:rsid w:val="00F67AB6"/>
    <w:rsid w:val="00F70028"/>
    <w:rsid w:val="00F703AF"/>
    <w:rsid w:val="00F703C8"/>
    <w:rsid w:val="00F70434"/>
    <w:rsid w:val="00F73394"/>
    <w:rsid w:val="00F7435C"/>
    <w:rsid w:val="00F744B7"/>
    <w:rsid w:val="00F749D6"/>
    <w:rsid w:val="00F75A26"/>
    <w:rsid w:val="00F76224"/>
    <w:rsid w:val="00F76706"/>
    <w:rsid w:val="00F77641"/>
    <w:rsid w:val="00F77B4A"/>
    <w:rsid w:val="00F77D6D"/>
    <w:rsid w:val="00F80206"/>
    <w:rsid w:val="00F805BD"/>
    <w:rsid w:val="00F80A76"/>
    <w:rsid w:val="00F8254B"/>
    <w:rsid w:val="00F83034"/>
    <w:rsid w:val="00F833DB"/>
    <w:rsid w:val="00F83FAD"/>
    <w:rsid w:val="00F844C6"/>
    <w:rsid w:val="00F84C0D"/>
    <w:rsid w:val="00F85E40"/>
    <w:rsid w:val="00F86221"/>
    <w:rsid w:val="00F867C2"/>
    <w:rsid w:val="00F8720B"/>
    <w:rsid w:val="00F90405"/>
    <w:rsid w:val="00F909CB"/>
    <w:rsid w:val="00F91985"/>
    <w:rsid w:val="00F92FA6"/>
    <w:rsid w:val="00F92FB7"/>
    <w:rsid w:val="00F9353B"/>
    <w:rsid w:val="00F9377B"/>
    <w:rsid w:val="00F937F1"/>
    <w:rsid w:val="00F946A9"/>
    <w:rsid w:val="00F948C5"/>
    <w:rsid w:val="00F952A0"/>
    <w:rsid w:val="00FA06EA"/>
    <w:rsid w:val="00FA1779"/>
    <w:rsid w:val="00FA1AC5"/>
    <w:rsid w:val="00FA234A"/>
    <w:rsid w:val="00FA28B2"/>
    <w:rsid w:val="00FA31B1"/>
    <w:rsid w:val="00FA3320"/>
    <w:rsid w:val="00FA3C7F"/>
    <w:rsid w:val="00FA6246"/>
    <w:rsid w:val="00FB24ED"/>
    <w:rsid w:val="00FB3304"/>
    <w:rsid w:val="00FB3F28"/>
    <w:rsid w:val="00FB5005"/>
    <w:rsid w:val="00FB53DA"/>
    <w:rsid w:val="00FB60FE"/>
    <w:rsid w:val="00FB74E2"/>
    <w:rsid w:val="00FB76DB"/>
    <w:rsid w:val="00FB778B"/>
    <w:rsid w:val="00FC1012"/>
    <w:rsid w:val="00FC17F0"/>
    <w:rsid w:val="00FC38C9"/>
    <w:rsid w:val="00FC3923"/>
    <w:rsid w:val="00FC3B2F"/>
    <w:rsid w:val="00FC44E5"/>
    <w:rsid w:val="00FC4F1F"/>
    <w:rsid w:val="00FC564E"/>
    <w:rsid w:val="00FD4633"/>
    <w:rsid w:val="00FD5614"/>
    <w:rsid w:val="00FD5A1E"/>
    <w:rsid w:val="00FD5E78"/>
    <w:rsid w:val="00FD6F19"/>
    <w:rsid w:val="00FD7D29"/>
    <w:rsid w:val="00FD7DB2"/>
    <w:rsid w:val="00FE0359"/>
    <w:rsid w:val="00FE0BE1"/>
    <w:rsid w:val="00FE11BB"/>
    <w:rsid w:val="00FE1DE9"/>
    <w:rsid w:val="00FE36AF"/>
    <w:rsid w:val="00FE39C2"/>
    <w:rsid w:val="00FE3C32"/>
    <w:rsid w:val="00FE55A0"/>
    <w:rsid w:val="00FE64AE"/>
    <w:rsid w:val="00FE65E5"/>
    <w:rsid w:val="00FF05E7"/>
    <w:rsid w:val="00FF0B2D"/>
    <w:rsid w:val="00FF137D"/>
    <w:rsid w:val="00FF2063"/>
    <w:rsid w:val="00FF3F8E"/>
    <w:rsid w:val="00FF4627"/>
    <w:rsid w:val="00FF5578"/>
    <w:rsid w:val="00FF5B87"/>
    <w:rsid w:val="00FF5F06"/>
    <w:rsid w:val="00FF6D71"/>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765F16"/>
    <w:pPr>
      <w:spacing w:line="276" w:lineRule="auto"/>
    </w:pPr>
    <w:rPr>
      <w:rFonts w:ascii="Arial" w:hAnsi="Arial"/>
    </w:rPr>
  </w:style>
  <w:style w:type="paragraph" w:styleId="Heading1">
    <w:name w:val="heading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197F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97F40"/>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7925FB"/>
    <w:pPr>
      <w:spacing w:before="0" w:line="240" w:lineRule="auto"/>
    </w:pPr>
  </w:style>
  <w:style w:type="character" w:customStyle="1" w:styleId="NoteHeadingChar">
    <w:name w:val="Note Heading Char"/>
    <w:basedOn w:val="DefaultParagraphFont"/>
    <w:link w:val="NoteHeading"/>
    <w:uiPriority w:val="99"/>
    <w:rsid w:val="007925F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765F16"/>
    <w:pPr>
      <w:spacing w:line="276" w:lineRule="auto"/>
    </w:pPr>
    <w:rPr>
      <w:rFonts w:ascii="Arial" w:hAnsi="Arial"/>
    </w:rPr>
  </w:style>
  <w:style w:type="paragraph" w:styleId="Heading1">
    <w:name w:val="heading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197F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97F40"/>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7925FB"/>
    <w:pPr>
      <w:spacing w:before="0" w:line="240" w:lineRule="auto"/>
    </w:pPr>
  </w:style>
  <w:style w:type="character" w:customStyle="1" w:styleId="NoteHeadingChar">
    <w:name w:val="Note Heading Char"/>
    <w:basedOn w:val="DefaultParagraphFont"/>
    <w:link w:val="NoteHeading"/>
    <w:uiPriority w:val="99"/>
    <w:rsid w:val="007925F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5515">
      <w:bodyDiv w:val="1"/>
      <w:marLeft w:val="0"/>
      <w:marRight w:val="0"/>
      <w:marTop w:val="0"/>
      <w:marBottom w:val="0"/>
      <w:divBdr>
        <w:top w:val="none" w:sz="0" w:space="0" w:color="auto"/>
        <w:left w:val="none" w:sz="0" w:space="0" w:color="auto"/>
        <w:bottom w:val="none" w:sz="0" w:space="0" w:color="auto"/>
        <w:right w:val="none" w:sz="0" w:space="0" w:color="auto"/>
      </w:divBdr>
    </w:div>
    <w:div w:id="97995497">
      <w:bodyDiv w:val="1"/>
      <w:marLeft w:val="0"/>
      <w:marRight w:val="0"/>
      <w:marTop w:val="0"/>
      <w:marBottom w:val="0"/>
      <w:divBdr>
        <w:top w:val="none" w:sz="0" w:space="0" w:color="auto"/>
        <w:left w:val="none" w:sz="0" w:space="0" w:color="auto"/>
        <w:bottom w:val="none" w:sz="0" w:space="0" w:color="auto"/>
        <w:right w:val="none" w:sz="0" w:space="0" w:color="auto"/>
      </w:divBdr>
      <w:divsChild>
        <w:div w:id="1744719854">
          <w:marLeft w:val="547"/>
          <w:marRight w:val="0"/>
          <w:marTop w:val="0"/>
          <w:marBottom w:val="0"/>
          <w:divBdr>
            <w:top w:val="none" w:sz="0" w:space="0" w:color="auto"/>
            <w:left w:val="none" w:sz="0" w:space="0" w:color="auto"/>
            <w:bottom w:val="none" w:sz="0" w:space="0" w:color="auto"/>
            <w:right w:val="none" w:sz="0" w:space="0" w:color="auto"/>
          </w:divBdr>
        </w:div>
      </w:divsChild>
    </w:div>
    <w:div w:id="159394480">
      <w:bodyDiv w:val="1"/>
      <w:marLeft w:val="0"/>
      <w:marRight w:val="0"/>
      <w:marTop w:val="0"/>
      <w:marBottom w:val="0"/>
      <w:divBdr>
        <w:top w:val="none" w:sz="0" w:space="0" w:color="auto"/>
        <w:left w:val="none" w:sz="0" w:space="0" w:color="auto"/>
        <w:bottom w:val="none" w:sz="0" w:space="0" w:color="auto"/>
        <w:right w:val="none" w:sz="0" w:space="0" w:color="auto"/>
      </w:divBdr>
      <w:divsChild>
        <w:div w:id="1842767819">
          <w:marLeft w:val="547"/>
          <w:marRight w:val="0"/>
          <w:marTop w:val="0"/>
          <w:marBottom w:val="0"/>
          <w:divBdr>
            <w:top w:val="none" w:sz="0" w:space="0" w:color="auto"/>
            <w:left w:val="none" w:sz="0" w:space="0" w:color="auto"/>
            <w:bottom w:val="none" w:sz="0" w:space="0" w:color="auto"/>
            <w:right w:val="none" w:sz="0" w:space="0" w:color="auto"/>
          </w:divBdr>
        </w:div>
      </w:divsChild>
    </w:div>
    <w:div w:id="159396514">
      <w:bodyDiv w:val="1"/>
      <w:marLeft w:val="0"/>
      <w:marRight w:val="0"/>
      <w:marTop w:val="0"/>
      <w:marBottom w:val="0"/>
      <w:divBdr>
        <w:top w:val="none" w:sz="0" w:space="0" w:color="auto"/>
        <w:left w:val="none" w:sz="0" w:space="0" w:color="auto"/>
        <w:bottom w:val="none" w:sz="0" w:space="0" w:color="auto"/>
        <w:right w:val="none" w:sz="0" w:space="0" w:color="auto"/>
      </w:divBdr>
      <w:divsChild>
        <w:div w:id="2024669241">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3708272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05683">
      <w:bodyDiv w:val="1"/>
      <w:marLeft w:val="0"/>
      <w:marRight w:val="0"/>
      <w:marTop w:val="0"/>
      <w:marBottom w:val="0"/>
      <w:divBdr>
        <w:top w:val="none" w:sz="0" w:space="0" w:color="auto"/>
        <w:left w:val="none" w:sz="0" w:space="0" w:color="auto"/>
        <w:bottom w:val="none" w:sz="0" w:space="0" w:color="auto"/>
        <w:right w:val="none" w:sz="0" w:space="0" w:color="auto"/>
      </w:divBdr>
      <w:divsChild>
        <w:div w:id="1893419979">
          <w:marLeft w:val="547"/>
          <w:marRight w:val="0"/>
          <w:marTop w:val="0"/>
          <w:marBottom w:val="0"/>
          <w:divBdr>
            <w:top w:val="none" w:sz="0" w:space="0" w:color="auto"/>
            <w:left w:val="none" w:sz="0" w:space="0" w:color="auto"/>
            <w:bottom w:val="none" w:sz="0" w:space="0" w:color="auto"/>
            <w:right w:val="none" w:sz="0" w:space="0" w:color="auto"/>
          </w:divBdr>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347975682">
      <w:bodyDiv w:val="1"/>
      <w:marLeft w:val="0"/>
      <w:marRight w:val="0"/>
      <w:marTop w:val="0"/>
      <w:marBottom w:val="0"/>
      <w:divBdr>
        <w:top w:val="none" w:sz="0" w:space="0" w:color="auto"/>
        <w:left w:val="none" w:sz="0" w:space="0" w:color="auto"/>
        <w:bottom w:val="none" w:sz="0" w:space="0" w:color="auto"/>
        <w:right w:val="none" w:sz="0" w:space="0" w:color="auto"/>
      </w:divBdr>
    </w:div>
    <w:div w:id="1431046992">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669021419">
      <w:bodyDiv w:val="1"/>
      <w:marLeft w:val="0"/>
      <w:marRight w:val="0"/>
      <w:marTop w:val="0"/>
      <w:marBottom w:val="0"/>
      <w:divBdr>
        <w:top w:val="none" w:sz="0" w:space="0" w:color="auto"/>
        <w:left w:val="none" w:sz="0" w:space="0" w:color="auto"/>
        <w:bottom w:val="none" w:sz="0" w:space="0" w:color="auto"/>
        <w:right w:val="none" w:sz="0" w:space="0" w:color="auto"/>
      </w:divBdr>
      <w:divsChild>
        <w:div w:id="852374481">
          <w:marLeft w:val="547"/>
          <w:marRight w:val="0"/>
          <w:marTop w:val="0"/>
          <w:marBottom w:val="0"/>
          <w:divBdr>
            <w:top w:val="none" w:sz="0" w:space="0" w:color="auto"/>
            <w:left w:val="none" w:sz="0" w:space="0" w:color="auto"/>
            <w:bottom w:val="none" w:sz="0" w:space="0" w:color="auto"/>
            <w:right w:val="none" w:sz="0" w:space="0" w:color="auto"/>
          </w:divBdr>
        </w:div>
      </w:divsChild>
    </w:div>
    <w:div w:id="1675379699">
      <w:bodyDiv w:val="1"/>
      <w:marLeft w:val="0"/>
      <w:marRight w:val="0"/>
      <w:marTop w:val="0"/>
      <w:marBottom w:val="0"/>
      <w:divBdr>
        <w:top w:val="none" w:sz="0" w:space="0" w:color="auto"/>
        <w:left w:val="none" w:sz="0" w:space="0" w:color="auto"/>
        <w:bottom w:val="none" w:sz="0" w:space="0" w:color="auto"/>
        <w:right w:val="none" w:sz="0" w:space="0" w:color="auto"/>
      </w:divBdr>
      <w:divsChild>
        <w:div w:id="1733235252">
          <w:marLeft w:val="547"/>
          <w:marRight w:val="0"/>
          <w:marTop w:val="0"/>
          <w:marBottom w:val="0"/>
          <w:divBdr>
            <w:top w:val="none" w:sz="0" w:space="0" w:color="auto"/>
            <w:left w:val="none" w:sz="0" w:space="0" w:color="auto"/>
            <w:bottom w:val="none" w:sz="0" w:space="0" w:color="auto"/>
            <w:right w:val="none" w:sz="0" w:space="0" w:color="auto"/>
          </w:divBdr>
        </w:div>
      </w:divsChild>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901138">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74967541">
      <w:bodyDiv w:val="1"/>
      <w:marLeft w:val="0"/>
      <w:marRight w:val="0"/>
      <w:marTop w:val="0"/>
      <w:marBottom w:val="0"/>
      <w:divBdr>
        <w:top w:val="none" w:sz="0" w:space="0" w:color="auto"/>
        <w:left w:val="none" w:sz="0" w:space="0" w:color="auto"/>
        <w:bottom w:val="none" w:sz="0" w:space="0" w:color="auto"/>
        <w:right w:val="none" w:sz="0" w:space="0" w:color="auto"/>
      </w:divBdr>
      <w:divsChild>
        <w:div w:id="1006446855">
          <w:marLeft w:val="547"/>
          <w:marRight w:val="0"/>
          <w:marTop w:val="0"/>
          <w:marBottom w:val="0"/>
          <w:divBdr>
            <w:top w:val="none" w:sz="0" w:space="0" w:color="auto"/>
            <w:left w:val="none" w:sz="0" w:space="0" w:color="auto"/>
            <w:bottom w:val="none" w:sz="0" w:space="0" w:color="auto"/>
            <w:right w:val="none" w:sz="0" w:space="0" w:color="auto"/>
          </w:divBdr>
        </w:div>
      </w:divsChild>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 w:id="21281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M@aer.gov.au" TargetMode="External"/><Relationship Id="rId18" Type="http://schemas.microsoft.com/office/2007/relationships/diagramDrawing" Target="diagrams/drawing1.xml"/><Relationship Id="rId26"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M@aer.gov.au" TargetMode="External"/><Relationship Id="rId17" Type="http://schemas.openxmlformats.org/officeDocument/2006/relationships/diagramColors" Target="diagrams/colors1.xml"/><Relationship Id="rId25" Type="http://schemas.openxmlformats.org/officeDocument/2006/relationships/diagramLayout" Target="diagrams/layout2.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aer.gov.au" TargetMode="External"/><Relationship Id="rId24" Type="http://schemas.openxmlformats.org/officeDocument/2006/relationships/diagramData" Target="diagrams/data2.xml"/><Relationship Id="rId32"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diagramLayout" Target="diagrams/layout1.xml"/><Relationship Id="rId23" Type="http://schemas.openxmlformats.org/officeDocument/2006/relationships/image" Target="media/image6.png"/><Relationship Id="rId28" Type="http://schemas.microsoft.com/office/2007/relationships/diagramDrawing" Target="diagrams/drawing2.xm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image" Target="media/image5.png"/><Relationship Id="rId27" Type="http://schemas.openxmlformats.org/officeDocument/2006/relationships/diagramColors" Target="diagrams/colors2.xm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Rule-Changes/Contestability-of-energy-services" TargetMode="External"/><Relationship Id="rId7" Type="http://schemas.openxmlformats.org/officeDocument/2006/relationships/hyperlink" Target="https://www.aer.gov.au/networks-pipelines/guidelines-schemes-models-reviews/regulatory-investment-test-for-distribution-rit-d-and-application-guidelines" TargetMode="External"/><Relationship Id="rId2" Type="http://schemas.openxmlformats.org/officeDocument/2006/relationships/hyperlink" Target="http://www.aemc.gov.au/Rule-Changes/Contestability-of-energy-services-demand-response" TargetMode="External"/><Relationship Id="rId1" Type="http://schemas.openxmlformats.org/officeDocument/2006/relationships/hyperlink" Target="http://www.aemc.gov.au/Rule-Changes/Contestability-of-energy-services" TargetMode="External"/><Relationship Id="rId6" Type="http://schemas.openxmlformats.org/officeDocument/2006/relationships/hyperlink" Target="https://www.aer.gov.au/networks-pipelines/guidelines-schemes-models-reviews/service-target-performance-incentive-scheme-2017-amendment" TargetMode="External"/><Relationship Id="rId5" Type="http://schemas.openxmlformats.org/officeDocument/2006/relationships/hyperlink" Target="https://www.aer.gov.au/networks-pipelines/guidelines-schemes-models-reviews/demand-management-incentive-scheme-and-innovation-allowance-mechanism/initiation" TargetMode="External"/><Relationship Id="rId4" Type="http://schemas.openxmlformats.org/officeDocument/2006/relationships/hyperlink" Target="http://www.aemc.gov.au/Rule-Changes/Contestability-of-energy-services-demand-response"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B2EF63-1C5E-4D32-B3B4-6DC8641EB84C}"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AU"/>
        </a:p>
      </dgm:t>
    </dgm:pt>
    <dgm:pt modelId="{52B55C6E-707E-4442-A745-E467175ACDC4}">
      <dgm:prSet phldrT="[Text]" custT="1"/>
      <dgm:spPr/>
      <dgm:t>
        <a:bodyPr/>
        <a:lstStyle/>
        <a:p>
          <a:r>
            <a:rPr lang="en-AU" sz="1100" b="1"/>
            <a:t>Compliance reporting</a:t>
          </a:r>
        </a:p>
      </dgm:t>
    </dgm:pt>
    <dgm:pt modelId="{B25FD626-6F46-4277-B753-F7F5D6D84849}" type="parTrans" cxnId="{6814C8C7-636B-4560-81F6-7F8610D7CCD1}">
      <dgm:prSet/>
      <dgm:spPr/>
      <dgm:t>
        <a:bodyPr/>
        <a:lstStyle/>
        <a:p>
          <a:endParaRPr lang="en-AU"/>
        </a:p>
      </dgm:t>
    </dgm:pt>
    <dgm:pt modelId="{E1AB9065-5FC9-41FB-8897-6AE87D6CA6AB}" type="sibTrans" cxnId="{6814C8C7-636B-4560-81F6-7F8610D7CCD1}">
      <dgm:prSet/>
      <dgm:spPr/>
      <dgm:t>
        <a:bodyPr/>
        <a:lstStyle/>
        <a:p>
          <a:endParaRPr lang="en-AU"/>
        </a:p>
      </dgm:t>
    </dgm:pt>
    <dgm:pt modelId="{9D25337D-BBA1-4E7D-84CD-2CD2FEA679D7}">
      <dgm:prSet phldrT="[Text]" custT="1"/>
      <dgm:spPr/>
      <dgm:t>
        <a:bodyPr/>
        <a:lstStyle/>
        <a:p>
          <a:r>
            <a:rPr lang="en-AU" sz="1000"/>
            <a:t>Distributor reports data on the past regulatory year, including the incentive it accrued, how it identified eligible projects, and the costs, benefits and outputs of eligible projects.</a:t>
          </a:r>
          <a:endParaRPr lang="en-AU" sz="800"/>
        </a:p>
      </dgm:t>
    </dgm:pt>
    <dgm:pt modelId="{3E9B4331-2BFF-45DE-8523-10FE4ADA484F}" type="parTrans" cxnId="{267BDE9D-B025-4DB7-A62F-7EE924BD7D4B}">
      <dgm:prSet/>
      <dgm:spPr/>
      <dgm:t>
        <a:bodyPr/>
        <a:lstStyle/>
        <a:p>
          <a:endParaRPr lang="en-AU"/>
        </a:p>
      </dgm:t>
    </dgm:pt>
    <dgm:pt modelId="{09CAD0FA-1026-4423-A93B-ABDECD88704E}" type="sibTrans" cxnId="{267BDE9D-B025-4DB7-A62F-7EE924BD7D4B}">
      <dgm:prSet/>
      <dgm:spPr/>
      <dgm:t>
        <a:bodyPr/>
        <a:lstStyle/>
        <a:p>
          <a:endParaRPr lang="en-AU"/>
        </a:p>
      </dgm:t>
    </dgm:pt>
    <dgm:pt modelId="{FEA20742-7AFE-4CF6-AB67-264B3A082C34}">
      <dgm:prSet phldrT="[Text]" custT="1"/>
      <dgm:spPr/>
      <dgm:t>
        <a:bodyPr/>
        <a:lstStyle/>
        <a:p>
          <a:r>
            <a:rPr lang="en-AU" sz="1100" b="1"/>
            <a:t>AER use of compliance report to determine financial incentive</a:t>
          </a:r>
        </a:p>
      </dgm:t>
    </dgm:pt>
    <dgm:pt modelId="{74563D5D-4D75-417D-84CE-0D5B791CE760}" type="parTrans" cxnId="{D3B473DA-B928-4619-AC2A-F46F1C52A2CE}">
      <dgm:prSet/>
      <dgm:spPr/>
      <dgm:t>
        <a:bodyPr/>
        <a:lstStyle/>
        <a:p>
          <a:endParaRPr lang="en-AU"/>
        </a:p>
      </dgm:t>
    </dgm:pt>
    <dgm:pt modelId="{373FD307-6158-4C0E-9E83-48461503614B}" type="sibTrans" cxnId="{D3B473DA-B928-4619-AC2A-F46F1C52A2CE}">
      <dgm:prSet/>
      <dgm:spPr/>
      <dgm:t>
        <a:bodyPr/>
        <a:lstStyle/>
        <a:p>
          <a:endParaRPr lang="en-AU"/>
        </a:p>
      </dgm:t>
    </dgm:pt>
    <dgm:pt modelId="{6B8F9FC1-1806-4D85-947C-16B15A0B8406}">
      <dgm:prSet phldrT="[Text]" custT="1"/>
      <dgm:spPr/>
      <dgm:t>
        <a:bodyPr/>
        <a:lstStyle/>
        <a:p>
          <a:r>
            <a:rPr lang="en-AU" sz="1000"/>
            <a:t>AER reviews the total financial incentive a distributor accrued and publishes a performance report on how distributors used the scheme.</a:t>
          </a:r>
        </a:p>
      </dgm:t>
    </dgm:pt>
    <dgm:pt modelId="{D0D2FA50-BD47-4452-BDDF-440B6AD1862C}" type="parTrans" cxnId="{DB5A78A2-DE25-4D7F-991A-AEDAA7B87657}">
      <dgm:prSet/>
      <dgm:spPr/>
      <dgm:t>
        <a:bodyPr/>
        <a:lstStyle/>
        <a:p>
          <a:endParaRPr lang="en-AU"/>
        </a:p>
      </dgm:t>
    </dgm:pt>
    <dgm:pt modelId="{8BBA8C0B-1F90-4907-95CF-D84187F608E0}" type="sibTrans" cxnId="{DB5A78A2-DE25-4D7F-991A-AEDAA7B87657}">
      <dgm:prSet/>
      <dgm:spPr/>
      <dgm:t>
        <a:bodyPr/>
        <a:lstStyle/>
        <a:p>
          <a:endParaRPr lang="en-AU"/>
        </a:p>
      </dgm:t>
    </dgm:pt>
    <dgm:pt modelId="{39F09E03-95FE-4C7B-A16F-ED61D9EAC3AA}">
      <dgm:prSet phldrT="[Text]" custT="1"/>
      <dgm:spPr/>
      <dgm:t>
        <a:bodyPr/>
        <a:lstStyle/>
        <a:p>
          <a:r>
            <a:rPr lang="en-AU" sz="1100" b="1"/>
            <a:t>Application of incenitve payment</a:t>
          </a:r>
        </a:p>
      </dgm:t>
    </dgm:pt>
    <dgm:pt modelId="{EA6DD085-92CF-451A-9A03-9AAF4B871B8C}" type="parTrans" cxnId="{A57498D7-A7E7-440B-AC9E-1F34CB2DD063}">
      <dgm:prSet/>
      <dgm:spPr/>
      <dgm:t>
        <a:bodyPr/>
        <a:lstStyle/>
        <a:p>
          <a:endParaRPr lang="en-AU"/>
        </a:p>
      </dgm:t>
    </dgm:pt>
    <dgm:pt modelId="{79F4ECC7-11A9-4C98-92E9-D9B0E3414436}" type="sibTrans" cxnId="{A57498D7-A7E7-440B-AC9E-1F34CB2DD063}">
      <dgm:prSet/>
      <dgm:spPr/>
      <dgm:t>
        <a:bodyPr/>
        <a:lstStyle/>
        <a:p>
          <a:endParaRPr lang="en-AU"/>
        </a:p>
      </dgm:t>
    </dgm:pt>
    <dgm:pt modelId="{5F05042B-8EFB-4E73-AA54-9480292B0930}">
      <dgm:prSet custT="1"/>
      <dgm:spPr/>
      <dgm:t>
        <a:bodyPr/>
        <a:lstStyle/>
        <a:p>
          <a:r>
            <a:rPr lang="en-AU" sz="1100" b="1"/>
            <a:t>Determining the incentive for eligible projects</a:t>
          </a:r>
        </a:p>
      </dgm:t>
    </dgm:pt>
    <dgm:pt modelId="{F895AF8F-8587-453D-AC4A-45DCCB3B588C}" type="parTrans" cxnId="{2E8F1020-7701-4038-A3A7-1758EA5D7366}">
      <dgm:prSet/>
      <dgm:spPr/>
      <dgm:t>
        <a:bodyPr/>
        <a:lstStyle/>
        <a:p>
          <a:endParaRPr lang="en-AU"/>
        </a:p>
      </dgm:t>
    </dgm:pt>
    <dgm:pt modelId="{CE078AD5-EEFF-415E-9466-14FB1F1EC720}" type="sibTrans" cxnId="{2E8F1020-7701-4038-A3A7-1758EA5D7366}">
      <dgm:prSet/>
      <dgm:spPr/>
      <dgm:t>
        <a:bodyPr/>
        <a:lstStyle/>
        <a:p>
          <a:endParaRPr lang="en-AU"/>
        </a:p>
      </dgm:t>
    </dgm:pt>
    <dgm:pt modelId="{535E93E3-C61F-4816-921C-1DBC230EDA3E}">
      <dgm:prSet custT="1"/>
      <dgm:spPr/>
      <dgm:t>
        <a:bodyPr/>
        <a:lstStyle/>
        <a:p>
          <a:r>
            <a:rPr lang="en-AU" sz="1100" b="1"/>
            <a:t>Application of the Scheme</a:t>
          </a:r>
        </a:p>
      </dgm:t>
    </dgm:pt>
    <dgm:pt modelId="{827CD461-2DE2-463D-8F43-2ABAFBDFE826}" type="parTrans" cxnId="{892DFF7E-AA2E-4A02-9E3E-AE429A67AAF9}">
      <dgm:prSet/>
      <dgm:spPr/>
      <dgm:t>
        <a:bodyPr/>
        <a:lstStyle/>
        <a:p>
          <a:endParaRPr lang="en-AU"/>
        </a:p>
      </dgm:t>
    </dgm:pt>
    <dgm:pt modelId="{42826054-949D-4878-BBFA-726F63ADD19C}" type="sibTrans" cxnId="{892DFF7E-AA2E-4A02-9E3E-AE429A67AAF9}">
      <dgm:prSet/>
      <dgm:spPr/>
      <dgm:t>
        <a:bodyPr/>
        <a:lstStyle/>
        <a:p>
          <a:endParaRPr lang="en-AU"/>
        </a:p>
      </dgm:t>
    </dgm:pt>
    <dgm:pt modelId="{F33B10EF-B3FF-40E4-9002-6D6F3915B1F8}">
      <dgm:prSet custT="1"/>
      <dgm:spPr/>
      <dgm:t>
        <a:bodyPr/>
        <a:lstStyle/>
        <a:p>
          <a:r>
            <a:rPr lang="en-AU" sz="1000"/>
            <a:t>Distributor </a:t>
          </a:r>
          <a:r>
            <a:rPr lang="en-AU" sz="1000">
              <a:latin typeface="Arial"/>
              <a:cs typeface="Arial"/>
            </a:rPr>
            <a:t>determines the project incentive for an eligible project that delivers a net benefit to retail customers.</a:t>
          </a:r>
          <a:endParaRPr lang="en-AU" sz="1000"/>
        </a:p>
      </dgm:t>
    </dgm:pt>
    <dgm:pt modelId="{F66A9569-639C-47A7-87CE-D9B5B61DA32F}" type="parTrans" cxnId="{E6FB6393-DEE7-42F4-BAB9-139B9737C03D}">
      <dgm:prSet/>
      <dgm:spPr/>
      <dgm:t>
        <a:bodyPr/>
        <a:lstStyle/>
        <a:p>
          <a:endParaRPr lang="en-AU"/>
        </a:p>
      </dgm:t>
    </dgm:pt>
    <dgm:pt modelId="{F0FF9D16-6123-45C6-B667-0645E5359FBD}" type="sibTrans" cxnId="{E6FB6393-DEE7-42F4-BAB9-139B9737C03D}">
      <dgm:prSet/>
      <dgm:spPr/>
      <dgm:t>
        <a:bodyPr/>
        <a:lstStyle/>
        <a:p>
          <a:endParaRPr lang="en-AU"/>
        </a:p>
      </dgm:t>
    </dgm:pt>
    <dgm:pt modelId="{9DF4CDDA-7942-4229-AB70-863B3DA5C440}">
      <dgm:prSet custT="1"/>
      <dgm:spPr/>
      <dgm:t>
        <a:bodyPr/>
        <a:lstStyle/>
        <a:p>
          <a:r>
            <a:rPr lang="en-AU" sz="1000"/>
            <a:t>AER's distribution determination specifies how the Scheme applies to a distributor for the regulatory control period.</a:t>
          </a:r>
        </a:p>
      </dgm:t>
    </dgm:pt>
    <dgm:pt modelId="{028E9700-1868-418F-BEF2-E7BC6936D5CC}" type="parTrans" cxnId="{D457FAE0-DF4A-4784-B553-D71A51FDEBBC}">
      <dgm:prSet/>
      <dgm:spPr/>
      <dgm:t>
        <a:bodyPr/>
        <a:lstStyle/>
        <a:p>
          <a:endParaRPr lang="en-AU"/>
        </a:p>
      </dgm:t>
    </dgm:pt>
    <dgm:pt modelId="{B141A5D3-ECC9-4C1D-B228-203DF06FA4DE}" type="sibTrans" cxnId="{D457FAE0-DF4A-4784-B553-D71A51FDEBBC}">
      <dgm:prSet/>
      <dgm:spPr/>
      <dgm:t>
        <a:bodyPr/>
        <a:lstStyle/>
        <a:p>
          <a:endParaRPr lang="en-AU"/>
        </a:p>
      </dgm:t>
    </dgm:pt>
    <mc:AlternateContent xmlns:mc="http://schemas.openxmlformats.org/markup-compatibility/2006" xmlns:a14="http://schemas.microsoft.com/office/drawing/2010/main">
      <mc:Choice Requires="a14">
        <dgm:pt modelId="{ED8C3539-F30A-4A7D-A3FF-87DD1B5A55B3}">
          <dgm:prSet custT="1"/>
          <dgm:spPr/>
          <dgm:t>
            <a:bodyPr/>
            <a:lstStyle/>
            <a:p>
              <a:r>
                <a:rPr lang="en-AU" sz="1000"/>
                <a:t>The total financial incentive a distributor accrued in regulatory year </a:t>
              </a:r>
              <a14:m>
                <m:oMath xmlns:m="http://schemas.openxmlformats.org/officeDocument/2006/math">
                  <m:r>
                    <a:rPr lang="en-AU" sz="1000" b="0" i="1">
                      <a:latin typeface="Cambria Math"/>
                    </a:rPr>
                    <m:t>𝑡</m:t>
                  </m:r>
                  <m:r>
                    <a:rPr lang="en-AU" sz="1000" b="0" i="1">
                      <a:latin typeface="Cambria Math"/>
                    </a:rPr>
                    <m:t>−2</m:t>
                  </m:r>
                </m:oMath>
              </a14:m>
              <a:r>
                <a:rPr lang="en-AU" sz="1000"/>
                <a:t> is included in the distirbutor's annual revenue requirement for regulatory year </a:t>
              </a:r>
              <a14:m>
                <m:oMath xmlns:m="http://schemas.openxmlformats.org/officeDocument/2006/math">
                  <m:r>
                    <a:rPr lang="en-AU" sz="1000" b="0" i="1">
                      <a:latin typeface="Cambria Math"/>
                    </a:rPr>
                    <m:t>𝑡</m:t>
                  </m:r>
                </m:oMath>
              </a14:m>
              <a:r>
                <a:rPr lang="en-AU" sz="1000"/>
                <a:t>.</a:t>
              </a:r>
            </a:p>
          </dgm:t>
        </dgm:pt>
      </mc:Choice>
      <mc:Fallback xmlns="">
        <dgm:pt modelId="{ED8C3539-F30A-4A7D-A3FF-87DD1B5A55B3}">
          <dgm:prSet custT="1"/>
          <dgm:spPr/>
          <dgm:t>
            <a:bodyPr/>
            <a:lstStyle/>
            <a:p>
              <a:r>
                <a:rPr lang="en-AU" sz="1000"/>
                <a:t>The total financial incentive a distributor accrued in regulatory year </a:t>
              </a:r>
              <a:r>
                <a:rPr lang="en-AU" sz="1000" b="0" i="0">
                  <a:latin typeface="Cambria Math"/>
                </a:rPr>
                <a:t>𝑡−2</a:t>
              </a:r>
              <a:r>
                <a:rPr lang="en-AU" sz="1000"/>
                <a:t> is included in the distirbutor's annual revenue requirement for regulatory year </a:t>
              </a:r>
              <a:r>
                <a:rPr lang="en-AU" sz="1000" b="0" i="0">
                  <a:latin typeface="Cambria Math"/>
                </a:rPr>
                <a:t>𝑡</a:t>
              </a:r>
              <a:r>
                <a:rPr lang="en-AU" sz="1000"/>
                <a:t>.</a:t>
              </a:r>
            </a:p>
          </dgm:t>
        </dgm:pt>
      </mc:Fallback>
    </mc:AlternateContent>
    <dgm:pt modelId="{8B92C7B6-5C53-4951-9D5E-023A6F5C33C7}" type="parTrans" cxnId="{9D877CD6-0603-4167-808C-BE6ADEA70B66}">
      <dgm:prSet/>
      <dgm:spPr/>
      <dgm:t>
        <a:bodyPr/>
        <a:lstStyle/>
        <a:p>
          <a:endParaRPr lang="en-AU"/>
        </a:p>
      </dgm:t>
    </dgm:pt>
    <dgm:pt modelId="{AB9230DF-798E-41B6-B24B-86944FC9D105}" type="sibTrans" cxnId="{9D877CD6-0603-4167-808C-BE6ADEA70B66}">
      <dgm:prSet/>
      <dgm:spPr/>
      <dgm:t>
        <a:bodyPr/>
        <a:lstStyle/>
        <a:p>
          <a:endParaRPr lang="en-AU"/>
        </a:p>
      </dgm:t>
    </dgm:pt>
    <dgm:pt modelId="{B6922162-6F81-40E4-88E4-E36B46BAC647}">
      <dgm:prSet custT="1"/>
      <dgm:spPr/>
      <dgm:t>
        <a:bodyPr/>
        <a:lstStyle/>
        <a:p>
          <a:r>
            <a:rPr lang="en-AU" sz="1100" b="1"/>
            <a:t>Identifying and committing eligible projects</a:t>
          </a:r>
        </a:p>
      </dgm:t>
    </dgm:pt>
    <dgm:pt modelId="{10EE6D82-AA5A-4AED-B033-BDB7F4549123}" type="parTrans" cxnId="{E2DA645B-A838-4DC8-8BFB-187031833F1F}">
      <dgm:prSet/>
      <dgm:spPr/>
      <dgm:t>
        <a:bodyPr/>
        <a:lstStyle/>
        <a:p>
          <a:endParaRPr lang="en-AU"/>
        </a:p>
      </dgm:t>
    </dgm:pt>
    <dgm:pt modelId="{6D8EB5FB-452A-4D7E-B154-D9BEC0C4A0F1}" type="sibTrans" cxnId="{E2DA645B-A838-4DC8-8BFB-187031833F1F}">
      <dgm:prSet/>
      <dgm:spPr/>
      <dgm:t>
        <a:bodyPr/>
        <a:lstStyle/>
        <a:p>
          <a:endParaRPr lang="en-AU"/>
        </a:p>
      </dgm:t>
    </dgm:pt>
    <dgm:pt modelId="{40FC7354-603A-4F7C-8059-F0726B477CB2}">
      <dgm:prSet custT="1"/>
      <dgm:spPr/>
      <dgm:t>
        <a:bodyPr/>
        <a:lstStyle/>
        <a:p>
          <a:r>
            <a:rPr lang="en-AU" sz="1000"/>
            <a:t>Distributor identifies </a:t>
          </a:r>
          <a:r>
            <a:rPr lang="en-AU" sz="1000">
              <a:latin typeface="Arial"/>
              <a:cs typeface="Arial"/>
            </a:rPr>
            <a:t>via RIT-D/minimum </a:t>
          </a:r>
          <a:r>
            <a:rPr lang="en-AU" sz="1000"/>
            <a:t>project evaluation </a:t>
          </a:r>
          <a:r>
            <a:rPr lang="en-AU" sz="1000">
              <a:latin typeface="Arial"/>
              <a:cs typeface="Arial"/>
            </a:rPr>
            <a:t>requirements preferred and non-network options relating to demand management. It commits to deliverables for each project.</a:t>
          </a:r>
          <a:endParaRPr lang="en-AU" sz="1000"/>
        </a:p>
      </dgm:t>
    </dgm:pt>
    <dgm:pt modelId="{DF990704-B102-4970-B60B-07E0C0488A14}" type="parTrans" cxnId="{8B2835AE-2532-473D-9A42-E3A3F55B61AB}">
      <dgm:prSet/>
      <dgm:spPr/>
      <dgm:t>
        <a:bodyPr/>
        <a:lstStyle/>
        <a:p>
          <a:endParaRPr lang="en-AU"/>
        </a:p>
      </dgm:t>
    </dgm:pt>
    <dgm:pt modelId="{8B59BE13-B0B3-4E5E-BA5F-07C927A1BE1D}" type="sibTrans" cxnId="{8B2835AE-2532-473D-9A42-E3A3F55B61AB}">
      <dgm:prSet/>
      <dgm:spPr/>
      <dgm:t>
        <a:bodyPr/>
        <a:lstStyle/>
        <a:p>
          <a:endParaRPr lang="en-AU"/>
        </a:p>
      </dgm:t>
    </dgm:pt>
    <dgm:pt modelId="{498E733F-13C1-48C8-83CC-7B122CD1B7F0}" type="pres">
      <dgm:prSet presAssocID="{87B2EF63-1C5E-4D32-B3B4-6DC8641EB84C}" presName="Name0" presStyleCnt="0">
        <dgm:presLayoutVars>
          <dgm:dir/>
          <dgm:animLvl val="lvl"/>
          <dgm:resizeHandles val="exact"/>
        </dgm:presLayoutVars>
      </dgm:prSet>
      <dgm:spPr/>
      <dgm:t>
        <a:bodyPr/>
        <a:lstStyle/>
        <a:p>
          <a:endParaRPr lang="en-AU"/>
        </a:p>
      </dgm:t>
    </dgm:pt>
    <dgm:pt modelId="{8B9E9B53-DB9A-4C4C-987C-C0B99E649E0F}" type="pres">
      <dgm:prSet presAssocID="{39F09E03-95FE-4C7B-A16F-ED61D9EAC3AA}" presName="boxAndChildren" presStyleCnt="0"/>
      <dgm:spPr/>
      <dgm:t>
        <a:bodyPr/>
        <a:lstStyle/>
        <a:p>
          <a:endParaRPr lang="en-AU"/>
        </a:p>
      </dgm:t>
    </dgm:pt>
    <dgm:pt modelId="{BA5DE4E3-11E3-4935-9C92-984AE31A14A7}" type="pres">
      <dgm:prSet presAssocID="{39F09E03-95FE-4C7B-A16F-ED61D9EAC3AA}" presName="parentTextBox" presStyleLbl="node1" presStyleIdx="0" presStyleCnt="6"/>
      <dgm:spPr/>
      <dgm:t>
        <a:bodyPr/>
        <a:lstStyle/>
        <a:p>
          <a:endParaRPr lang="en-AU"/>
        </a:p>
      </dgm:t>
    </dgm:pt>
    <dgm:pt modelId="{869B0C7E-6C17-41E0-8203-2CC923AA1D7C}" type="pres">
      <dgm:prSet presAssocID="{39F09E03-95FE-4C7B-A16F-ED61D9EAC3AA}" presName="entireBox" presStyleLbl="node1" presStyleIdx="0" presStyleCnt="6"/>
      <dgm:spPr/>
      <dgm:t>
        <a:bodyPr/>
        <a:lstStyle/>
        <a:p>
          <a:endParaRPr lang="en-AU"/>
        </a:p>
      </dgm:t>
    </dgm:pt>
    <dgm:pt modelId="{FBFE7035-5823-4ACC-9E48-CBAF580180CC}" type="pres">
      <dgm:prSet presAssocID="{39F09E03-95FE-4C7B-A16F-ED61D9EAC3AA}" presName="descendantBox" presStyleCnt="0"/>
      <dgm:spPr/>
      <dgm:t>
        <a:bodyPr/>
        <a:lstStyle/>
        <a:p>
          <a:endParaRPr lang="en-AU"/>
        </a:p>
      </dgm:t>
    </dgm:pt>
    <dgm:pt modelId="{589B3615-FBE1-4606-86BE-F34CB92F7FB7}" type="pres">
      <dgm:prSet presAssocID="{ED8C3539-F30A-4A7D-A3FF-87DD1B5A55B3}" presName="childTextBox" presStyleLbl="fgAccFollowNode1" presStyleIdx="0" presStyleCnt="6" custScaleY="98286" custLinFactNeighborY="8673">
        <dgm:presLayoutVars>
          <dgm:bulletEnabled val="1"/>
        </dgm:presLayoutVars>
      </dgm:prSet>
      <dgm:spPr/>
      <dgm:t>
        <a:bodyPr/>
        <a:lstStyle/>
        <a:p>
          <a:endParaRPr lang="en-AU"/>
        </a:p>
      </dgm:t>
    </dgm:pt>
    <dgm:pt modelId="{560B3BA3-88FF-4832-BDA5-551DD56E08B4}" type="pres">
      <dgm:prSet presAssocID="{373FD307-6158-4C0E-9E83-48461503614B}" presName="sp" presStyleCnt="0"/>
      <dgm:spPr/>
      <dgm:t>
        <a:bodyPr/>
        <a:lstStyle/>
        <a:p>
          <a:endParaRPr lang="en-AU"/>
        </a:p>
      </dgm:t>
    </dgm:pt>
    <dgm:pt modelId="{DBD8B8A7-C58B-4F32-A09C-58FA781D665C}" type="pres">
      <dgm:prSet presAssocID="{FEA20742-7AFE-4CF6-AB67-264B3A082C34}" presName="arrowAndChildren" presStyleCnt="0"/>
      <dgm:spPr/>
      <dgm:t>
        <a:bodyPr/>
        <a:lstStyle/>
        <a:p>
          <a:endParaRPr lang="en-AU"/>
        </a:p>
      </dgm:t>
    </dgm:pt>
    <dgm:pt modelId="{A64F10E7-D1A5-4152-8B60-D954257A83E6}" type="pres">
      <dgm:prSet presAssocID="{FEA20742-7AFE-4CF6-AB67-264B3A082C34}" presName="parentTextArrow" presStyleLbl="node1" presStyleIdx="0" presStyleCnt="6"/>
      <dgm:spPr/>
      <dgm:t>
        <a:bodyPr/>
        <a:lstStyle/>
        <a:p>
          <a:endParaRPr lang="en-AU"/>
        </a:p>
      </dgm:t>
    </dgm:pt>
    <dgm:pt modelId="{914576FE-584C-44C5-9919-C4C800703DD5}" type="pres">
      <dgm:prSet presAssocID="{FEA20742-7AFE-4CF6-AB67-264B3A082C34}" presName="arrow" presStyleLbl="node1" presStyleIdx="1" presStyleCnt="6"/>
      <dgm:spPr/>
      <dgm:t>
        <a:bodyPr/>
        <a:lstStyle/>
        <a:p>
          <a:endParaRPr lang="en-AU"/>
        </a:p>
      </dgm:t>
    </dgm:pt>
    <dgm:pt modelId="{E7314968-EA6F-4F6C-9661-C85CBCFC0D79}" type="pres">
      <dgm:prSet presAssocID="{FEA20742-7AFE-4CF6-AB67-264B3A082C34}" presName="descendantArrow" presStyleCnt="0"/>
      <dgm:spPr/>
      <dgm:t>
        <a:bodyPr/>
        <a:lstStyle/>
        <a:p>
          <a:endParaRPr lang="en-AU"/>
        </a:p>
      </dgm:t>
    </dgm:pt>
    <dgm:pt modelId="{49E6B52A-7569-4CC5-9D95-61B6EDD194A5}" type="pres">
      <dgm:prSet presAssocID="{6B8F9FC1-1806-4D85-947C-16B15A0B8406}" presName="childTextArrow" presStyleLbl="fgAccFollowNode1" presStyleIdx="1" presStyleCnt="6" custScaleY="112643" custLinFactNeighborY="-10396">
        <dgm:presLayoutVars>
          <dgm:bulletEnabled val="1"/>
        </dgm:presLayoutVars>
      </dgm:prSet>
      <dgm:spPr/>
      <dgm:t>
        <a:bodyPr/>
        <a:lstStyle/>
        <a:p>
          <a:endParaRPr lang="en-AU"/>
        </a:p>
      </dgm:t>
    </dgm:pt>
    <dgm:pt modelId="{5587EA87-501C-4670-9BC5-C479C74BFF23}" type="pres">
      <dgm:prSet presAssocID="{E1AB9065-5FC9-41FB-8897-6AE87D6CA6AB}" presName="sp" presStyleCnt="0"/>
      <dgm:spPr/>
      <dgm:t>
        <a:bodyPr/>
        <a:lstStyle/>
        <a:p>
          <a:endParaRPr lang="en-AU"/>
        </a:p>
      </dgm:t>
    </dgm:pt>
    <dgm:pt modelId="{4A889D9A-01FF-422C-BF40-1EAE826DEBC9}" type="pres">
      <dgm:prSet presAssocID="{52B55C6E-707E-4442-A745-E467175ACDC4}" presName="arrowAndChildren" presStyleCnt="0"/>
      <dgm:spPr/>
      <dgm:t>
        <a:bodyPr/>
        <a:lstStyle/>
        <a:p>
          <a:endParaRPr lang="en-AU"/>
        </a:p>
      </dgm:t>
    </dgm:pt>
    <dgm:pt modelId="{8966AF8A-5AAF-4C16-83CA-8B243F147321}" type="pres">
      <dgm:prSet presAssocID="{52B55C6E-707E-4442-A745-E467175ACDC4}" presName="parentTextArrow" presStyleLbl="node1" presStyleIdx="1" presStyleCnt="6"/>
      <dgm:spPr/>
      <dgm:t>
        <a:bodyPr/>
        <a:lstStyle/>
        <a:p>
          <a:endParaRPr lang="en-AU"/>
        </a:p>
      </dgm:t>
    </dgm:pt>
    <dgm:pt modelId="{65C9D7D2-5F7E-4FC3-926B-9573AC37E08D}" type="pres">
      <dgm:prSet presAssocID="{52B55C6E-707E-4442-A745-E467175ACDC4}" presName="arrow" presStyleLbl="node1" presStyleIdx="2" presStyleCnt="6"/>
      <dgm:spPr/>
      <dgm:t>
        <a:bodyPr/>
        <a:lstStyle/>
        <a:p>
          <a:endParaRPr lang="en-AU"/>
        </a:p>
      </dgm:t>
    </dgm:pt>
    <dgm:pt modelId="{7CC4237A-9C3F-4C66-8193-BE350C6572C7}" type="pres">
      <dgm:prSet presAssocID="{52B55C6E-707E-4442-A745-E467175ACDC4}" presName="descendantArrow" presStyleCnt="0"/>
      <dgm:spPr/>
      <dgm:t>
        <a:bodyPr/>
        <a:lstStyle/>
        <a:p>
          <a:endParaRPr lang="en-AU"/>
        </a:p>
      </dgm:t>
    </dgm:pt>
    <dgm:pt modelId="{DE146BB8-63B0-4C44-A077-C9E7805DB542}" type="pres">
      <dgm:prSet presAssocID="{9D25337D-BBA1-4E7D-84CD-2CD2FEA679D7}" presName="childTextArrow" presStyleLbl="fgAccFollowNode1" presStyleIdx="2" presStyleCnt="6" custScaleY="127737" custLinFactNeighborY="-12499">
        <dgm:presLayoutVars>
          <dgm:bulletEnabled val="1"/>
        </dgm:presLayoutVars>
      </dgm:prSet>
      <dgm:spPr/>
      <dgm:t>
        <a:bodyPr/>
        <a:lstStyle/>
        <a:p>
          <a:endParaRPr lang="en-AU"/>
        </a:p>
      </dgm:t>
    </dgm:pt>
    <dgm:pt modelId="{D482346A-3084-4202-8EE1-C3F59D4D4F40}" type="pres">
      <dgm:prSet presAssocID="{CE078AD5-EEFF-415E-9466-14FB1F1EC720}" presName="sp" presStyleCnt="0"/>
      <dgm:spPr/>
      <dgm:t>
        <a:bodyPr/>
        <a:lstStyle/>
        <a:p>
          <a:endParaRPr lang="en-AU"/>
        </a:p>
      </dgm:t>
    </dgm:pt>
    <dgm:pt modelId="{5B7C766F-99A3-4DC8-86B0-68880DA6DDD2}" type="pres">
      <dgm:prSet presAssocID="{5F05042B-8EFB-4E73-AA54-9480292B0930}" presName="arrowAndChildren" presStyleCnt="0"/>
      <dgm:spPr/>
      <dgm:t>
        <a:bodyPr/>
        <a:lstStyle/>
        <a:p>
          <a:endParaRPr lang="en-AU"/>
        </a:p>
      </dgm:t>
    </dgm:pt>
    <dgm:pt modelId="{2A015A16-CBBE-4083-AEDF-FEBBA7D06741}" type="pres">
      <dgm:prSet presAssocID="{5F05042B-8EFB-4E73-AA54-9480292B0930}" presName="parentTextArrow" presStyleLbl="node1" presStyleIdx="2" presStyleCnt="6"/>
      <dgm:spPr/>
      <dgm:t>
        <a:bodyPr/>
        <a:lstStyle/>
        <a:p>
          <a:endParaRPr lang="en-AU"/>
        </a:p>
      </dgm:t>
    </dgm:pt>
    <dgm:pt modelId="{0CDE65D9-BE06-40A2-927B-9A7859CFEE35}" type="pres">
      <dgm:prSet presAssocID="{5F05042B-8EFB-4E73-AA54-9480292B0930}" presName="arrow" presStyleLbl="node1" presStyleIdx="3" presStyleCnt="6"/>
      <dgm:spPr/>
      <dgm:t>
        <a:bodyPr/>
        <a:lstStyle/>
        <a:p>
          <a:endParaRPr lang="en-AU"/>
        </a:p>
      </dgm:t>
    </dgm:pt>
    <dgm:pt modelId="{09370820-1E6D-4F29-9F7D-74D1FB719806}" type="pres">
      <dgm:prSet presAssocID="{5F05042B-8EFB-4E73-AA54-9480292B0930}" presName="descendantArrow" presStyleCnt="0"/>
      <dgm:spPr/>
      <dgm:t>
        <a:bodyPr/>
        <a:lstStyle/>
        <a:p>
          <a:endParaRPr lang="en-AU"/>
        </a:p>
      </dgm:t>
    </dgm:pt>
    <dgm:pt modelId="{ED641B63-ACDF-4726-989D-EA89A2BD6BDF}" type="pres">
      <dgm:prSet presAssocID="{F33B10EF-B3FF-40E4-9002-6D6F3915B1F8}" presName="childTextArrow" presStyleLbl="fgAccFollowNode1" presStyleIdx="3" presStyleCnt="6" custScaleY="112310" custLinFactNeighborY="-16390">
        <dgm:presLayoutVars>
          <dgm:bulletEnabled val="1"/>
        </dgm:presLayoutVars>
      </dgm:prSet>
      <dgm:spPr/>
      <dgm:t>
        <a:bodyPr/>
        <a:lstStyle/>
        <a:p>
          <a:endParaRPr lang="en-AU"/>
        </a:p>
      </dgm:t>
    </dgm:pt>
    <dgm:pt modelId="{CCBFD3C2-9B18-4E36-8E70-1DF878F91573}" type="pres">
      <dgm:prSet presAssocID="{6D8EB5FB-452A-4D7E-B154-D9BEC0C4A0F1}" presName="sp" presStyleCnt="0"/>
      <dgm:spPr/>
    </dgm:pt>
    <dgm:pt modelId="{3509EBC9-C094-42BA-9447-4A458050726E}" type="pres">
      <dgm:prSet presAssocID="{B6922162-6F81-40E4-88E4-E36B46BAC647}" presName="arrowAndChildren" presStyleCnt="0"/>
      <dgm:spPr/>
    </dgm:pt>
    <dgm:pt modelId="{209A7BDA-760E-4D1C-81CA-900CA4CE03E1}" type="pres">
      <dgm:prSet presAssocID="{B6922162-6F81-40E4-88E4-E36B46BAC647}" presName="parentTextArrow" presStyleLbl="node1" presStyleIdx="3" presStyleCnt="6"/>
      <dgm:spPr/>
      <dgm:t>
        <a:bodyPr/>
        <a:lstStyle/>
        <a:p>
          <a:endParaRPr lang="en-AU"/>
        </a:p>
      </dgm:t>
    </dgm:pt>
    <dgm:pt modelId="{15AA34B8-34B8-4581-8EBE-E799BDE04DA4}" type="pres">
      <dgm:prSet presAssocID="{B6922162-6F81-40E4-88E4-E36B46BAC647}" presName="arrow" presStyleLbl="node1" presStyleIdx="4" presStyleCnt="6"/>
      <dgm:spPr/>
      <dgm:t>
        <a:bodyPr/>
        <a:lstStyle/>
        <a:p>
          <a:endParaRPr lang="en-AU"/>
        </a:p>
      </dgm:t>
    </dgm:pt>
    <dgm:pt modelId="{0D8F64C9-B146-4B6D-B64B-917C12B2B74F}" type="pres">
      <dgm:prSet presAssocID="{B6922162-6F81-40E4-88E4-E36B46BAC647}" presName="descendantArrow" presStyleCnt="0"/>
      <dgm:spPr/>
    </dgm:pt>
    <dgm:pt modelId="{5860FC34-9FED-46BE-B600-F7F066EE27C8}" type="pres">
      <dgm:prSet presAssocID="{40FC7354-603A-4F7C-8059-F0726B477CB2}" presName="childTextArrow" presStyleLbl="fgAccFollowNode1" presStyleIdx="4" presStyleCnt="6" custScaleY="111495" custLinFactNeighborY="-8608">
        <dgm:presLayoutVars>
          <dgm:bulletEnabled val="1"/>
        </dgm:presLayoutVars>
      </dgm:prSet>
      <dgm:spPr/>
      <dgm:t>
        <a:bodyPr/>
        <a:lstStyle/>
        <a:p>
          <a:endParaRPr lang="en-AU"/>
        </a:p>
      </dgm:t>
    </dgm:pt>
    <dgm:pt modelId="{4E6A1487-C553-4A9F-9314-8AFCA4093E0F}" type="pres">
      <dgm:prSet presAssocID="{42826054-949D-4878-BBFA-726F63ADD19C}" presName="sp" presStyleCnt="0"/>
      <dgm:spPr/>
      <dgm:t>
        <a:bodyPr/>
        <a:lstStyle/>
        <a:p>
          <a:endParaRPr lang="en-AU"/>
        </a:p>
      </dgm:t>
    </dgm:pt>
    <dgm:pt modelId="{59C3FFAF-C38B-4A1B-9539-3437B5DF7D50}" type="pres">
      <dgm:prSet presAssocID="{535E93E3-C61F-4816-921C-1DBC230EDA3E}" presName="arrowAndChildren" presStyleCnt="0"/>
      <dgm:spPr/>
      <dgm:t>
        <a:bodyPr/>
        <a:lstStyle/>
        <a:p>
          <a:endParaRPr lang="en-AU"/>
        </a:p>
      </dgm:t>
    </dgm:pt>
    <dgm:pt modelId="{F699A581-994B-4812-88DF-29DA64E1AE75}" type="pres">
      <dgm:prSet presAssocID="{535E93E3-C61F-4816-921C-1DBC230EDA3E}" presName="parentTextArrow" presStyleLbl="node1" presStyleIdx="4" presStyleCnt="6" custLinFactNeighborY="5606"/>
      <dgm:spPr/>
      <dgm:t>
        <a:bodyPr/>
        <a:lstStyle/>
        <a:p>
          <a:endParaRPr lang="en-AU"/>
        </a:p>
      </dgm:t>
    </dgm:pt>
    <dgm:pt modelId="{64A88903-925F-403B-BCBC-836AEF7C5D29}" type="pres">
      <dgm:prSet presAssocID="{535E93E3-C61F-4816-921C-1DBC230EDA3E}" presName="arrow" presStyleLbl="node1" presStyleIdx="5" presStyleCnt="6" custLinFactNeighborX="-997" custLinFactNeighborY="-265"/>
      <dgm:spPr/>
      <dgm:t>
        <a:bodyPr/>
        <a:lstStyle/>
        <a:p>
          <a:endParaRPr lang="en-AU"/>
        </a:p>
      </dgm:t>
    </dgm:pt>
    <dgm:pt modelId="{413DE2EF-8E84-4DC6-87EB-3CEBD0DCF010}" type="pres">
      <dgm:prSet presAssocID="{535E93E3-C61F-4816-921C-1DBC230EDA3E}" presName="descendantArrow" presStyleCnt="0"/>
      <dgm:spPr/>
      <dgm:t>
        <a:bodyPr/>
        <a:lstStyle/>
        <a:p>
          <a:endParaRPr lang="en-AU"/>
        </a:p>
      </dgm:t>
    </dgm:pt>
    <dgm:pt modelId="{EE624462-5438-426F-BE85-18B493F75B75}" type="pres">
      <dgm:prSet presAssocID="{9DF4CDDA-7942-4229-AB70-863B3DA5C440}" presName="childTextArrow" presStyleLbl="fgAccFollowNode1" presStyleIdx="5" presStyleCnt="6" custScaleY="113948" custLinFactNeighborY="-15624">
        <dgm:presLayoutVars>
          <dgm:bulletEnabled val="1"/>
        </dgm:presLayoutVars>
      </dgm:prSet>
      <dgm:spPr/>
      <dgm:t>
        <a:bodyPr/>
        <a:lstStyle/>
        <a:p>
          <a:endParaRPr lang="en-AU"/>
        </a:p>
      </dgm:t>
    </dgm:pt>
  </dgm:ptLst>
  <dgm:cxnLst>
    <dgm:cxn modelId="{94C70608-A44D-438D-B700-CAACDB810096}" type="presOf" srcId="{ED8C3539-F30A-4A7D-A3FF-87DD1B5A55B3}" destId="{589B3615-FBE1-4606-86BE-F34CB92F7FB7}" srcOrd="0" destOrd="0" presId="urn:microsoft.com/office/officeart/2005/8/layout/process4"/>
    <dgm:cxn modelId="{267BDE9D-B025-4DB7-A62F-7EE924BD7D4B}" srcId="{52B55C6E-707E-4442-A745-E467175ACDC4}" destId="{9D25337D-BBA1-4E7D-84CD-2CD2FEA679D7}" srcOrd="0" destOrd="0" parTransId="{3E9B4331-2BFF-45DE-8523-10FE4ADA484F}" sibTransId="{09CAD0FA-1026-4423-A93B-ABDECD88704E}"/>
    <dgm:cxn modelId="{8B2835AE-2532-473D-9A42-E3A3F55B61AB}" srcId="{B6922162-6F81-40E4-88E4-E36B46BAC647}" destId="{40FC7354-603A-4F7C-8059-F0726B477CB2}" srcOrd="0" destOrd="0" parTransId="{DF990704-B102-4970-B60B-07E0C0488A14}" sibTransId="{8B59BE13-B0B3-4E5E-BA5F-07C927A1BE1D}"/>
    <dgm:cxn modelId="{DEBCB029-56CB-4CA4-9A3B-1B754B5A471B}" type="presOf" srcId="{F33B10EF-B3FF-40E4-9002-6D6F3915B1F8}" destId="{ED641B63-ACDF-4726-989D-EA89A2BD6BDF}" srcOrd="0" destOrd="0" presId="urn:microsoft.com/office/officeart/2005/8/layout/process4"/>
    <dgm:cxn modelId="{A80566AF-FC80-412E-844F-19560F3726E6}" type="presOf" srcId="{40FC7354-603A-4F7C-8059-F0726B477CB2}" destId="{5860FC34-9FED-46BE-B600-F7F066EE27C8}" srcOrd="0" destOrd="0" presId="urn:microsoft.com/office/officeart/2005/8/layout/process4"/>
    <dgm:cxn modelId="{AAC08695-B231-40A8-B7B8-C933F5A486B7}" type="presOf" srcId="{9D25337D-BBA1-4E7D-84CD-2CD2FEA679D7}" destId="{DE146BB8-63B0-4C44-A077-C9E7805DB542}" srcOrd="0" destOrd="0" presId="urn:microsoft.com/office/officeart/2005/8/layout/process4"/>
    <dgm:cxn modelId="{76B3243E-C378-42DA-B86D-F7974D005212}" type="presOf" srcId="{535E93E3-C61F-4816-921C-1DBC230EDA3E}" destId="{64A88903-925F-403B-BCBC-836AEF7C5D29}" srcOrd="1" destOrd="0" presId="urn:microsoft.com/office/officeart/2005/8/layout/process4"/>
    <dgm:cxn modelId="{7D927567-DFFB-49EA-B18E-5BA19C2657A0}" type="presOf" srcId="{39F09E03-95FE-4C7B-A16F-ED61D9EAC3AA}" destId="{869B0C7E-6C17-41E0-8203-2CC923AA1D7C}" srcOrd="1" destOrd="0" presId="urn:microsoft.com/office/officeart/2005/8/layout/process4"/>
    <dgm:cxn modelId="{A0C379EC-DB8A-4AE2-8D9D-6CBEFDECC4A1}" type="presOf" srcId="{52B55C6E-707E-4442-A745-E467175ACDC4}" destId="{8966AF8A-5AAF-4C16-83CA-8B243F147321}" srcOrd="0" destOrd="0" presId="urn:microsoft.com/office/officeart/2005/8/layout/process4"/>
    <dgm:cxn modelId="{E692B9EB-69AA-4CDB-9D23-DEE135F26ABD}" type="presOf" srcId="{52B55C6E-707E-4442-A745-E467175ACDC4}" destId="{65C9D7D2-5F7E-4FC3-926B-9573AC37E08D}" srcOrd="1" destOrd="0" presId="urn:microsoft.com/office/officeart/2005/8/layout/process4"/>
    <dgm:cxn modelId="{DB5A78A2-DE25-4D7F-991A-AEDAA7B87657}" srcId="{FEA20742-7AFE-4CF6-AB67-264B3A082C34}" destId="{6B8F9FC1-1806-4D85-947C-16B15A0B8406}" srcOrd="0" destOrd="0" parTransId="{D0D2FA50-BD47-4452-BDDF-440B6AD1862C}" sibTransId="{8BBA8C0B-1F90-4907-95CF-D84187F608E0}"/>
    <dgm:cxn modelId="{D3B473DA-B928-4619-AC2A-F46F1C52A2CE}" srcId="{87B2EF63-1C5E-4D32-B3B4-6DC8641EB84C}" destId="{FEA20742-7AFE-4CF6-AB67-264B3A082C34}" srcOrd="4" destOrd="0" parTransId="{74563D5D-4D75-417D-84CE-0D5B791CE760}" sibTransId="{373FD307-6158-4C0E-9E83-48461503614B}"/>
    <dgm:cxn modelId="{FA7F5D2B-CBA3-4532-B1A3-FDC4125C5D60}" type="presOf" srcId="{B6922162-6F81-40E4-88E4-E36B46BAC647}" destId="{209A7BDA-760E-4D1C-81CA-900CA4CE03E1}" srcOrd="0" destOrd="0" presId="urn:microsoft.com/office/officeart/2005/8/layout/process4"/>
    <dgm:cxn modelId="{892DFF7E-AA2E-4A02-9E3E-AE429A67AAF9}" srcId="{87B2EF63-1C5E-4D32-B3B4-6DC8641EB84C}" destId="{535E93E3-C61F-4816-921C-1DBC230EDA3E}" srcOrd="0" destOrd="0" parTransId="{827CD461-2DE2-463D-8F43-2ABAFBDFE826}" sibTransId="{42826054-949D-4878-BBFA-726F63ADD19C}"/>
    <dgm:cxn modelId="{D457FAE0-DF4A-4784-B553-D71A51FDEBBC}" srcId="{535E93E3-C61F-4816-921C-1DBC230EDA3E}" destId="{9DF4CDDA-7942-4229-AB70-863B3DA5C440}" srcOrd="0" destOrd="0" parTransId="{028E9700-1868-418F-BEF2-E7BC6936D5CC}" sibTransId="{B141A5D3-ECC9-4C1D-B228-203DF06FA4DE}"/>
    <dgm:cxn modelId="{14DDC5BD-39A7-4253-BBB6-5FFEEF205C01}" type="presOf" srcId="{87B2EF63-1C5E-4D32-B3B4-6DC8641EB84C}" destId="{498E733F-13C1-48C8-83CC-7B122CD1B7F0}" srcOrd="0" destOrd="0" presId="urn:microsoft.com/office/officeart/2005/8/layout/process4"/>
    <dgm:cxn modelId="{C6726CA1-EC51-4943-AE25-7B8BD5659823}" type="presOf" srcId="{39F09E03-95FE-4C7B-A16F-ED61D9EAC3AA}" destId="{BA5DE4E3-11E3-4935-9C92-984AE31A14A7}" srcOrd="0" destOrd="0" presId="urn:microsoft.com/office/officeart/2005/8/layout/process4"/>
    <dgm:cxn modelId="{6FDD0A51-ED6F-4225-8C63-C9F174411CB0}" type="presOf" srcId="{5F05042B-8EFB-4E73-AA54-9480292B0930}" destId="{0CDE65D9-BE06-40A2-927B-9A7859CFEE35}" srcOrd="1" destOrd="0" presId="urn:microsoft.com/office/officeart/2005/8/layout/process4"/>
    <dgm:cxn modelId="{E6FB6393-DEE7-42F4-BAB9-139B9737C03D}" srcId="{5F05042B-8EFB-4E73-AA54-9480292B0930}" destId="{F33B10EF-B3FF-40E4-9002-6D6F3915B1F8}" srcOrd="0" destOrd="0" parTransId="{F66A9569-639C-47A7-87CE-D9B5B61DA32F}" sibTransId="{F0FF9D16-6123-45C6-B667-0645E5359FBD}"/>
    <dgm:cxn modelId="{C9D7AA65-31A8-4C31-956F-5A0E7C95486D}" type="presOf" srcId="{FEA20742-7AFE-4CF6-AB67-264B3A082C34}" destId="{914576FE-584C-44C5-9919-C4C800703DD5}" srcOrd="1" destOrd="0" presId="urn:microsoft.com/office/officeart/2005/8/layout/process4"/>
    <dgm:cxn modelId="{2B762085-902C-4011-9E79-E8805D4F2509}" type="presOf" srcId="{535E93E3-C61F-4816-921C-1DBC230EDA3E}" destId="{F699A581-994B-4812-88DF-29DA64E1AE75}" srcOrd="0" destOrd="0" presId="urn:microsoft.com/office/officeart/2005/8/layout/process4"/>
    <dgm:cxn modelId="{9D877CD6-0603-4167-808C-BE6ADEA70B66}" srcId="{39F09E03-95FE-4C7B-A16F-ED61D9EAC3AA}" destId="{ED8C3539-F30A-4A7D-A3FF-87DD1B5A55B3}" srcOrd="0" destOrd="0" parTransId="{8B92C7B6-5C53-4951-9D5E-023A6F5C33C7}" sibTransId="{AB9230DF-798E-41B6-B24B-86944FC9D105}"/>
    <dgm:cxn modelId="{6814C8C7-636B-4560-81F6-7F8610D7CCD1}" srcId="{87B2EF63-1C5E-4D32-B3B4-6DC8641EB84C}" destId="{52B55C6E-707E-4442-A745-E467175ACDC4}" srcOrd="3" destOrd="0" parTransId="{B25FD626-6F46-4277-B753-F7F5D6D84849}" sibTransId="{E1AB9065-5FC9-41FB-8897-6AE87D6CA6AB}"/>
    <dgm:cxn modelId="{D57988DF-9249-4CAB-8951-682840E5DD8A}" type="presOf" srcId="{9DF4CDDA-7942-4229-AB70-863B3DA5C440}" destId="{EE624462-5438-426F-BE85-18B493F75B75}" srcOrd="0" destOrd="0" presId="urn:microsoft.com/office/officeart/2005/8/layout/process4"/>
    <dgm:cxn modelId="{0F2E037F-DF47-48C8-A85A-836C6CAD8AC2}" type="presOf" srcId="{6B8F9FC1-1806-4D85-947C-16B15A0B8406}" destId="{49E6B52A-7569-4CC5-9D95-61B6EDD194A5}" srcOrd="0" destOrd="0" presId="urn:microsoft.com/office/officeart/2005/8/layout/process4"/>
    <dgm:cxn modelId="{65CC254B-7681-4F81-9243-2606E10EDF37}" type="presOf" srcId="{B6922162-6F81-40E4-88E4-E36B46BAC647}" destId="{15AA34B8-34B8-4581-8EBE-E799BDE04DA4}" srcOrd="1" destOrd="0" presId="urn:microsoft.com/office/officeart/2005/8/layout/process4"/>
    <dgm:cxn modelId="{A57498D7-A7E7-440B-AC9E-1F34CB2DD063}" srcId="{87B2EF63-1C5E-4D32-B3B4-6DC8641EB84C}" destId="{39F09E03-95FE-4C7B-A16F-ED61D9EAC3AA}" srcOrd="5" destOrd="0" parTransId="{EA6DD085-92CF-451A-9A03-9AAF4B871B8C}" sibTransId="{79F4ECC7-11A9-4C98-92E9-D9B0E3414436}"/>
    <dgm:cxn modelId="{CFE54383-249F-4B52-BA82-37CB6A5D18DF}" type="presOf" srcId="{5F05042B-8EFB-4E73-AA54-9480292B0930}" destId="{2A015A16-CBBE-4083-AEDF-FEBBA7D06741}" srcOrd="0" destOrd="0" presId="urn:microsoft.com/office/officeart/2005/8/layout/process4"/>
    <dgm:cxn modelId="{3EEA9A1F-0F0F-413E-90ED-40431E42F15E}" type="presOf" srcId="{FEA20742-7AFE-4CF6-AB67-264B3A082C34}" destId="{A64F10E7-D1A5-4152-8B60-D954257A83E6}" srcOrd="0" destOrd="0" presId="urn:microsoft.com/office/officeart/2005/8/layout/process4"/>
    <dgm:cxn modelId="{E2DA645B-A838-4DC8-8BFB-187031833F1F}" srcId="{87B2EF63-1C5E-4D32-B3B4-6DC8641EB84C}" destId="{B6922162-6F81-40E4-88E4-E36B46BAC647}" srcOrd="1" destOrd="0" parTransId="{10EE6D82-AA5A-4AED-B033-BDB7F4549123}" sibTransId="{6D8EB5FB-452A-4D7E-B154-D9BEC0C4A0F1}"/>
    <dgm:cxn modelId="{2E8F1020-7701-4038-A3A7-1758EA5D7366}" srcId="{87B2EF63-1C5E-4D32-B3B4-6DC8641EB84C}" destId="{5F05042B-8EFB-4E73-AA54-9480292B0930}" srcOrd="2" destOrd="0" parTransId="{F895AF8F-8587-453D-AC4A-45DCCB3B588C}" sibTransId="{CE078AD5-EEFF-415E-9466-14FB1F1EC720}"/>
    <dgm:cxn modelId="{6A05F807-7040-4AD1-B405-BC610DEE150D}" type="presParOf" srcId="{498E733F-13C1-48C8-83CC-7B122CD1B7F0}" destId="{8B9E9B53-DB9A-4C4C-987C-C0B99E649E0F}" srcOrd="0" destOrd="0" presId="urn:microsoft.com/office/officeart/2005/8/layout/process4"/>
    <dgm:cxn modelId="{E11695E2-FEE7-4062-89AC-02A65F3EA02A}" type="presParOf" srcId="{8B9E9B53-DB9A-4C4C-987C-C0B99E649E0F}" destId="{BA5DE4E3-11E3-4935-9C92-984AE31A14A7}" srcOrd="0" destOrd="0" presId="urn:microsoft.com/office/officeart/2005/8/layout/process4"/>
    <dgm:cxn modelId="{B1E2B0C9-FDDA-4C76-B085-BF28A1873F07}" type="presParOf" srcId="{8B9E9B53-DB9A-4C4C-987C-C0B99E649E0F}" destId="{869B0C7E-6C17-41E0-8203-2CC923AA1D7C}" srcOrd="1" destOrd="0" presId="urn:microsoft.com/office/officeart/2005/8/layout/process4"/>
    <dgm:cxn modelId="{861312D7-97DB-44AA-9977-3ED18192587D}" type="presParOf" srcId="{8B9E9B53-DB9A-4C4C-987C-C0B99E649E0F}" destId="{FBFE7035-5823-4ACC-9E48-CBAF580180CC}" srcOrd="2" destOrd="0" presId="urn:microsoft.com/office/officeart/2005/8/layout/process4"/>
    <dgm:cxn modelId="{9EE7CC7E-3818-47FA-88A0-2257FE92AF58}" type="presParOf" srcId="{FBFE7035-5823-4ACC-9E48-CBAF580180CC}" destId="{589B3615-FBE1-4606-86BE-F34CB92F7FB7}" srcOrd="0" destOrd="0" presId="urn:microsoft.com/office/officeart/2005/8/layout/process4"/>
    <dgm:cxn modelId="{E7B3045D-CEC4-49D2-B4F4-F084FD783296}" type="presParOf" srcId="{498E733F-13C1-48C8-83CC-7B122CD1B7F0}" destId="{560B3BA3-88FF-4832-BDA5-551DD56E08B4}" srcOrd="1" destOrd="0" presId="urn:microsoft.com/office/officeart/2005/8/layout/process4"/>
    <dgm:cxn modelId="{129E93E0-7922-4AD9-901E-A6EE4DF4D19A}" type="presParOf" srcId="{498E733F-13C1-48C8-83CC-7B122CD1B7F0}" destId="{DBD8B8A7-C58B-4F32-A09C-58FA781D665C}" srcOrd="2" destOrd="0" presId="urn:microsoft.com/office/officeart/2005/8/layout/process4"/>
    <dgm:cxn modelId="{289C3734-93B2-4118-9748-168E206FC108}" type="presParOf" srcId="{DBD8B8A7-C58B-4F32-A09C-58FA781D665C}" destId="{A64F10E7-D1A5-4152-8B60-D954257A83E6}" srcOrd="0" destOrd="0" presId="urn:microsoft.com/office/officeart/2005/8/layout/process4"/>
    <dgm:cxn modelId="{EC6A660D-3302-4244-9EBA-5A50662D5BC1}" type="presParOf" srcId="{DBD8B8A7-C58B-4F32-A09C-58FA781D665C}" destId="{914576FE-584C-44C5-9919-C4C800703DD5}" srcOrd="1" destOrd="0" presId="urn:microsoft.com/office/officeart/2005/8/layout/process4"/>
    <dgm:cxn modelId="{03579D9C-8C11-40F7-B0D1-227F379D994C}" type="presParOf" srcId="{DBD8B8A7-C58B-4F32-A09C-58FA781D665C}" destId="{E7314968-EA6F-4F6C-9661-C85CBCFC0D79}" srcOrd="2" destOrd="0" presId="urn:microsoft.com/office/officeart/2005/8/layout/process4"/>
    <dgm:cxn modelId="{89A42353-3FA3-49EE-A9FE-2ADF4C32CC15}" type="presParOf" srcId="{E7314968-EA6F-4F6C-9661-C85CBCFC0D79}" destId="{49E6B52A-7569-4CC5-9D95-61B6EDD194A5}" srcOrd="0" destOrd="0" presId="urn:microsoft.com/office/officeart/2005/8/layout/process4"/>
    <dgm:cxn modelId="{F0A2859C-4AF9-4877-B907-25A4003BA155}" type="presParOf" srcId="{498E733F-13C1-48C8-83CC-7B122CD1B7F0}" destId="{5587EA87-501C-4670-9BC5-C479C74BFF23}" srcOrd="3" destOrd="0" presId="urn:microsoft.com/office/officeart/2005/8/layout/process4"/>
    <dgm:cxn modelId="{DCF13E5A-97DC-47E7-A164-CE81B0753DD9}" type="presParOf" srcId="{498E733F-13C1-48C8-83CC-7B122CD1B7F0}" destId="{4A889D9A-01FF-422C-BF40-1EAE826DEBC9}" srcOrd="4" destOrd="0" presId="urn:microsoft.com/office/officeart/2005/8/layout/process4"/>
    <dgm:cxn modelId="{26680AEE-B042-4D20-A998-85E646F0E56C}" type="presParOf" srcId="{4A889D9A-01FF-422C-BF40-1EAE826DEBC9}" destId="{8966AF8A-5AAF-4C16-83CA-8B243F147321}" srcOrd="0" destOrd="0" presId="urn:microsoft.com/office/officeart/2005/8/layout/process4"/>
    <dgm:cxn modelId="{46A03477-30F8-4F5B-91A5-DAA9B9D2BD07}" type="presParOf" srcId="{4A889D9A-01FF-422C-BF40-1EAE826DEBC9}" destId="{65C9D7D2-5F7E-4FC3-926B-9573AC37E08D}" srcOrd="1" destOrd="0" presId="urn:microsoft.com/office/officeart/2005/8/layout/process4"/>
    <dgm:cxn modelId="{F110F4CC-A352-4554-8A30-7EA15B1CC004}" type="presParOf" srcId="{4A889D9A-01FF-422C-BF40-1EAE826DEBC9}" destId="{7CC4237A-9C3F-4C66-8193-BE350C6572C7}" srcOrd="2" destOrd="0" presId="urn:microsoft.com/office/officeart/2005/8/layout/process4"/>
    <dgm:cxn modelId="{13CD8DF9-82D0-4A6B-91D3-E891299890A5}" type="presParOf" srcId="{7CC4237A-9C3F-4C66-8193-BE350C6572C7}" destId="{DE146BB8-63B0-4C44-A077-C9E7805DB542}" srcOrd="0" destOrd="0" presId="urn:microsoft.com/office/officeart/2005/8/layout/process4"/>
    <dgm:cxn modelId="{AAD2E08E-8BDE-4857-95D2-5DC96616FD0F}" type="presParOf" srcId="{498E733F-13C1-48C8-83CC-7B122CD1B7F0}" destId="{D482346A-3084-4202-8EE1-C3F59D4D4F40}" srcOrd="5" destOrd="0" presId="urn:microsoft.com/office/officeart/2005/8/layout/process4"/>
    <dgm:cxn modelId="{9BDD2CD9-EF03-4360-9CBC-439AB592AA85}" type="presParOf" srcId="{498E733F-13C1-48C8-83CC-7B122CD1B7F0}" destId="{5B7C766F-99A3-4DC8-86B0-68880DA6DDD2}" srcOrd="6" destOrd="0" presId="urn:microsoft.com/office/officeart/2005/8/layout/process4"/>
    <dgm:cxn modelId="{E8CC992A-4AF0-4D44-88AF-195BB84C3D74}" type="presParOf" srcId="{5B7C766F-99A3-4DC8-86B0-68880DA6DDD2}" destId="{2A015A16-CBBE-4083-AEDF-FEBBA7D06741}" srcOrd="0" destOrd="0" presId="urn:microsoft.com/office/officeart/2005/8/layout/process4"/>
    <dgm:cxn modelId="{184D7FEA-7DA0-4C3A-86B9-142587CC7E4B}" type="presParOf" srcId="{5B7C766F-99A3-4DC8-86B0-68880DA6DDD2}" destId="{0CDE65D9-BE06-40A2-927B-9A7859CFEE35}" srcOrd="1" destOrd="0" presId="urn:microsoft.com/office/officeart/2005/8/layout/process4"/>
    <dgm:cxn modelId="{6EC41DC1-8C69-4309-A75E-2AA4DE5DFBB4}" type="presParOf" srcId="{5B7C766F-99A3-4DC8-86B0-68880DA6DDD2}" destId="{09370820-1E6D-4F29-9F7D-74D1FB719806}" srcOrd="2" destOrd="0" presId="urn:microsoft.com/office/officeart/2005/8/layout/process4"/>
    <dgm:cxn modelId="{6CFE9864-9273-4370-9C56-660C052533DD}" type="presParOf" srcId="{09370820-1E6D-4F29-9F7D-74D1FB719806}" destId="{ED641B63-ACDF-4726-989D-EA89A2BD6BDF}" srcOrd="0" destOrd="0" presId="urn:microsoft.com/office/officeart/2005/8/layout/process4"/>
    <dgm:cxn modelId="{69CA03FC-A88A-4D88-AAF9-4EFE1F850830}" type="presParOf" srcId="{498E733F-13C1-48C8-83CC-7B122CD1B7F0}" destId="{CCBFD3C2-9B18-4E36-8E70-1DF878F91573}" srcOrd="7" destOrd="0" presId="urn:microsoft.com/office/officeart/2005/8/layout/process4"/>
    <dgm:cxn modelId="{D4D39413-087D-4DE5-8152-97C8396775ED}" type="presParOf" srcId="{498E733F-13C1-48C8-83CC-7B122CD1B7F0}" destId="{3509EBC9-C094-42BA-9447-4A458050726E}" srcOrd="8" destOrd="0" presId="urn:microsoft.com/office/officeart/2005/8/layout/process4"/>
    <dgm:cxn modelId="{85F2ADFA-BC1F-456E-AC4C-4AF72536E35C}" type="presParOf" srcId="{3509EBC9-C094-42BA-9447-4A458050726E}" destId="{209A7BDA-760E-4D1C-81CA-900CA4CE03E1}" srcOrd="0" destOrd="0" presId="urn:microsoft.com/office/officeart/2005/8/layout/process4"/>
    <dgm:cxn modelId="{86D7B7C2-31B2-4D17-AFE2-D859CD0C0AF1}" type="presParOf" srcId="{3509EBC9-C094-42BA-9447-4A458050726E}" destId="{15AA34B8-34B8-4581-8EBE-E799BDE04DA4}" srcOrd="1" destOrd="0" presId="urn:microsoft.com/office/officeart/2005/8/layout/process4"/>
    <dgm:cxn modelId="{B7BB3241-EEFC-4818-821A-315B41CF7D4E}" type="presParOf" srcId="{3509EBC9-C094-42BA-9447-4A458050726E}" destId="{0D8F64C9-B146-4B6D-B64B-917C12B2B74F}" srcOrd="2" destOrd="0" presId="urn:microsoft.com/office/officeart/2005/8/layout/process4"/>
    <dgm:cxn modelId="{0ED4B5CD-3424-44CD-BEDF-73F8BBA83C91}" type="presParOf" srcId="{0D8F64C9-B146-4B6D-B64B-917C12B2B74F}" destId="{5860FC34-9FED-46BE-B600-F7F066EE27C8}" srcOrd="0" destOrd="0" presId="urn:microsoft.com/office/officeart/2005/8/layout/process4"/>
    <dgm:cxn modelId="{FBCCFFD3-FDA6-48AD-BE98-D6422E794F72}" type="presParOf" srcId="{498E733F-13C1-48C8-83CC-7B122CD1B7F0}" destId="{4E6A1487-C553-4A9F-9314-8AFCA4093E0F}" srcOrd="9" destOrd="0" presId="urn:microsoft.com/office/officeart/2005/8/layout/process4"/>
    <dgm:cxn modelId="{24AF30EE-23AD-4432-BD30-EB5A42FA6B4B}" type="presParOf" srcId="{498E733F-13C1-48C8-83CC-7B122CD1B7F0}" destId="{59C3FFAF-C38B-4A1B-9539-3437B5DF7D50}" srcOrd="10" destOrd="0" presId="urn:microsoft.com/office/officeart/2005/8/layout/process4"/>
    <dgm:cxn modelId="{E57DDB75-FF01-4E6D-935B-63E8CC7BE041}" type="presParOf" srcId="{59C3FFAF-C38B-4A1B-9539-3437B5DF7D50}" destId="{F699A581-994B-4812-88DF-29DA64E1AE75}" srcOrd="0" destOrd="0" presId="urn:microsoft.com/office/officeart/2005/8/layout/process4"/>
    <dgm:cxn modelId="{F239D883-6C7D-43C0-BD2A-7003109F5C86}" type="presParOf" srcId="{59C3FFAF-C38B-4A1B-9539-3437B5DF7D50}" destId="{64A88903-925F-403B-BCBC-836AEF7C5D29}" srcOrd="1" destOrd="0" presId="urn:microsoft.com/office/officeart/2005/8/layout/process4"/>
    <dgm:cxn modelId="{51FA0AD0-8CB5-42E4-AE4C-475BC84A4C4B}" type="presParOf" srcId="{59C3FFAF-C38B-4A1B-9539-3437B5DF7D50}" destId="{413DE2EF-8E84-4DC6-87EB-3CEBD0DCF010}" srcOrd="2" destOrd="0" presId="urn:microsoft.com/office/officeart/2005/8/layout/process4"/>
    <dgm:cxn modelId="{DE8CC7E0-E274-4564-9EB4-01A29BA93313}" type="presParOf" srcId="{413DE2EF-8E84-4DC6-87EB-3CEBD0DCF010}" destId="{EE624462-5438-426F-BE85-18B493F75B75}"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87B2EF63-1C5E-4D32-B3B4-6DC8641EB84C}"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AU"/>
        </a:p>
      </dgm:t>
    </dgm:pt>
    <mc:AlternateContent xmlns:mc="http://schemas.openxmlformats.org/markup-compatibility/2006" xmlns:a14="http://schemas.microsoft.com/office/drawing/2010/main">
      <mc:Choice Requires="a14">
        <dgm:pt modelId="{52B55C6E-707E-4442-A745-E467175ACDC4}">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𝟑</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52B55C6E-707E-4442-A745-E467175ACDC4}">
          <dgm:prSet phldrT="[Text]" custT="1"/>
          <dgm:spPr/>
          <dgm:t>
            <a:bodyPr/>
            <a:lstStyle/>
            <a:p>
              <a:pPr/>
              <a:r>
                <a:rPr lang="en-AU" sz="1100" b="1" i="0">
                  <a:latin typeface="Cambria Math"/>
                </a:rPr>
                <a:t>𝒕−𝟑 𝒎𝒐𝒏𝒕𝒉𝒔</a:t>
              </a:r>
              <a:endParaRPr lang="en-AU" sz="1100" b="1"/>
            </a:p>
          </dgm:t>
        </dgm:pt>
      </mc:Fallback>
    </mc:AlternateContent>
    <dgm:pt modelId="{B25FD626-6F46-4277-B753-F7F5D6D84849}" type="parTrans" cxnId="{6814C8C7-636B-4560-81F6-7F8610D7CCD1}">
      <dgm:prSet/>
      <dgm:spPr/>
      <dgm:t>
        <a:bodyPr/>
        <a:lstStyle/>
        <a:p>
          <a:endParaRPr lang="en-AU"/>
        </a:p>
      </dgm:t>
    </dgm:pt>
    <dgm:pt modelId="{E1AB9065-5FC9-41FB-8897-6AE87D6CA6AB}" type="sibTrans" cxnId="{6814C8C7-636B-4560-81F6-7F8610D7CCD1}">
      <dgm:prSet/>
      <dgm:spPr/>
      <dgm:t>
        <a:bodyPr/>
        <a:lstStyle/>
        <a:p>
          <a:endParaRPr lang="en-AU"/>
        </a:p>
      </dgm:t>
    </dgm:pt>
    <mc:AlternateContent xmlns:mc="http://schemas.openxmlformats.org/markup-compatibility/2006" xmlns:a14="http://schemas.microsoft.com/office/drawing/2010/main">
      <mc:Choice Requires="a14">
        <dgm:pt modelId="{9D25337D-BBA1-4E7D-84CD-2CD2FEA679D7}">
          <dgm:prSet phldrT="[Text]" custT="1"/>
          <dgm:spPr/>
          <dgm:t>
            <a:bodyPr/>
            <a:lstStyle/>
            <a:p>
              <a:r>
                <a:rPr lang="en-AU" sz="1000"/>
                <a:t>The AER determines the total financial incentive  for the year </a:t>
              </a:r>
              <a14:m>
                <m:oMath xmlns:m="http://schemas.openxmlformats.org/officeDocument/2006/math">
                  <m:r>
                    <a:rPr lang="en-AU" sz="1000" b="0" i="1">
                      <a:latin typeface="Cambria Math"/>
                    </a:rPr>
                    <m:t>𝑡</m:t>
                  </m:r>
                  <m:r>
                    <a:rPr lang="en-AU" sz="1000" b="0" i="1">
                      <a:latin typeface="Cambria Math"/>
                    </a:rPr>
                    <m:t>−2</m:t>
                  </m:r>
                </m:oMath>
              </a14:m>
              <a:endParaRPr lang="en-AU" sz="800"/>
            </a:p>
          </dgm:t>
        </dgm:pt>
      </mc:Choice>
      <mc:Fallback xmlns="">
        <dgm:pt modelId="{9D25337D-BBA1-4E7D-84CD-2CD2FEA679D7}">
          <dgm:prSet phldrT="[Text]" custT="1"/>
          <dgm:spPr/>
          <dgm:t>
            <a:bodyPr/>
            <a:lstStyle/>
            <a:p>
              <a:r>
                <a:rPr lang="en-AU" sz="1000"/>
                <a:t>The AER determines the total financial incentive  for the year </a:t>
              </a:r>
              <a:r>
                <a:rPr lang="en-AU" sz="1000" b="0" i="0">
                  <a:latin typeface="Cambria Math"/>
                </a:rPr>
                <a:t>𝑡−2</a:t>
              </a:r>
              <a:endParaRPr lang="en-AU" sz="800"/>
            </a:p>
          </dgm:t>
        </dgm:pt>
      </mc:Fallback>
    </mc:AlternateContent>
    <dgm:pt modelId="{3E9B4331-2BFF-45DE-8523-10FE4ADA484F}" type="parTrans" cxnId="{267BDE9D-B025-4DB7-A62F-7EE924BD7D4B}">
      <dgm:prSet/>
      <dgm:spPr/>
      <dgm:t>
        <a:bodyPr/>
        <a:lstStyle/>
        <a:p>
          <a:endParaRPr lang="en-AU"/>
        </a:p>
      </dgm:t>
    </dgm:pt>
    <dgm:pt modelId="{09CAD0FA-1026-4423-A93B-ABDECD88704E}" type="sibTrans" cxnId="{267BDE9D-B025-4DB7-A62F-7EE924BD7D4B}">
      <dgm:prSet/>
      <dgm:spPr/>
      <dgm:t>
        <a:bodyPr/>
        <a:lstStyle/>
        <a:p>
          <a:endParaRPr lang="en-AU"/>
        </a:p>
      </dgm:t>
    </dgm:pt>
    <mc:AlternateContent xmlns:mc="http://schemas.openxmlformats.org/markup-compatibility/2006" xmlns:a14="http://schemas.microsoft.com/office/drawing/2010/main">
      <mc:Choice Requires="a14">
        <dgm:pt modelId="{FEA20742-7AFE-4CF6-AB67-264B3A082C34}">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𝟑</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FEA20742-7AFE-4CF6-AB67-264B3A082C34}">
          <dgm:prSet phldrT="[Text]" custT="1"/>
          <dgm:spPr/>
          <dgm:t>
            <a:bodyPr/>
            <a:lstStyle/>
            <a:p>
              <a:r>
                <a:rPr lang="en-AU" sz="1100" b="1" i="0">
                  <a:latin typeface="Cambria Math"/>
                </a:rPr>
                <a:t>𝒕−𝟑 𝒎𝒐𝒏𝒕𝒉𝒔</a:t>
              </a:r>
              <a:endParaRPr lang="en-AU" sz="1100" b="1"/>
            </a:p>
          </dgm:t>
        </dgm:pt>
      </mc:Fallback>
    </mc:AlternateContent>
    <dgm:pt modelId="{74563D5D-4D75-417D-84CE-0D5B791CE760}" type="parTrans" cxnId="{D3B473DA-B928-4619-AC2A-F46F1C52A2CE}">
      <dgm:prSet/>
      <dgm:spPr/>
      <dgm:t>
        <a:bodyPr/>
        <a:lstStyle/>
        <a:p>
          <a:endParaRPr lang="en-AU"/>
        </a:p>
      </dgm:t>
    </dgm:pt>
    <dgm:pt modelId="{373FD307-6158-4C0E-9E83-48461503614B}" type="sibTrans" cxnId="{D3B473DA-B928-4619-AC2A-F46F1C52A2CE}">
      <dgm:prSet/>
      <dgm:spPr/>
      <dgm:t>
        <a:bodyPr/>
        <a:lstStyle/>
        <a:p>
          <a:endParaRPr lang="en-AU"/>
        </a:p>
      </dgm:t>
    </dgm:pt>
    <mc:AlternateContent xmlns:mc="http://schemas.openxmlformats.org/markup-compatibility/2006" xmlns:a14="http://schemas.microsoft.com/office/drawing/2010/main">
      <mc:Choice Requires="a14">
        <dgm:pt modelId="{6B8F9FC1-1806-4D85-947C-16B15A0B8406}">
          <dgm:prSet phldrT="[Text]" custT="1"/>
          <dgm:spPr/>
          <dgm:t>
            <a:bodyPr/>
            <a:lstStyle/>
            <a:p>
              <a:r>
                <a:rPr lang="en-AU" sz="1000"/>
                <a:t>Distributor submits pricing proposal for year </a:t>
              </a:r>
              <a14:m>
                <m:oMath xmlns:m="http://schemas.openxmlformats.org/officeDocument/2006/math">
                  <m:r>
                    <a:rPr lang="en-AU" sz="1000" b="0" i="1">
                      <a:latin typeface="Cambria Math"/>
                    </a:rPr>
                    <m:t>𝑡</m:t>
                  </m:r>
                </m:oMath>
              </a14:m>
              <a:r>
                <a:rPr lang="en-AU" sz="1000"/>
                <a:t> to AER, which includes, as part of its revenue requirement, the total financial incentive approved or determined by AER for year  </a:t>
              </a:r>
              <a14:m>
                <m:oMath xmlns:m="http://schemas.openxmlformats.org/officeDocument/2006/math">
                  <m:r>
                    <a:rPr lang="en-AU" sz="1000" b="0" i="1">
                      <a:latin typeface="Cambria Math"/>
                    </a:rPr>
                    <m:t>𝑡</m:t>
                  </m:r>
                  <m:r>
                    <a:rPr lang="en-AU" sz="1000" b="0" i="1">
                      <a:latin typeface="Cambria Math"/>
                    </a:rPr>
                    <m:t>−2</m:t>
                  </m:r>
                </m:oMath>
              </a14:m>
              <a:endParaRPr lang="en-AU" sz="1000"/>
            </a:p>
          </dgm:t>
        </dgm:pt>
      </mc:Choice>
      <mc:Fallback xmlns="">
        <dgm:pt modelId="{6B8F9FC1-1806-4D85-947C-16B15A0B8406}">
          <dgm:prSet phldrT="[Text]" custT="1"/>
          <dgm:spPr/>
          <dgm:t>
            <a:bodyPr/>
            <a:lstStyle/>
            <a:p>
              <a:r>
                <a:rPr lang="en-AU" sz="1000"/>
                <a:t>Distributor submits pricing proposal for year </a:t>
              </a:r>
              <a:r>
                <a:rPr lang="en-AU" sz="1000" b="0" i="0">
                  <a:latin typeface="Cambria Math"/>
                </a:rPr>
                <a:t>𝑡</a:t>
              </a:r>
              <a:r>
                <a:rPr lang="en-AU" sz="1000"/>
                <a:t> to AER, which includes, as part of its revenue requirement, the total financial incentive approved or determined by AER for year  </a:t>
              </a:r>
              <a:r>
                <a:rPr lang="en-AU" sz="1000" b="0" i="0">
                  <a:latin typeface="Cambria Math"/>
                </a:rPr>
                <a:t>𝑡−2</a:t>
              </a:r>
              <a:endParaRPr lang="en-AU" sz="1000"/>
            </a:p>
          </dgm:t>
        </dgm:pt>
      </mc:Fallback>
    </mc:AlternateContent>
    <dgm:pt modelId="{D0D2FA50-BD47-4452-BDDF-440B6AD1862C}" type="parTrans" cxnId="{DB5A78A2-DE25-4D7F-991A-AEDAA7B87657}">
      <dgm:prSet/>
      <dgm:spPr/>
      <dgm:t>
        <a:bodyPr/>
        <a:lstStyle/>
        <a:p>
          <a:endParaRPr lang="en-AU"/>
        </a:p>
      </dgm:t>
    </dgm:pt>
    <dgm:pt modelId="{8BBA8C0B-1F90-4907-95CF-D84187F608E0}" type="sibTrans" cxnId="{DB5A78A2-DE25-4D7F-991A-AEDAA7B87657}">
      <dgm:prSet/>
      <dgm:spPr/>
      <dgm:t>
        <a:bodyPr/>
        <a:lstStyle/>
        <a:p>
          <a:endParaRPr lang="en-AU"/>
        </a:p>
      </dgm:t>
    </dgm:pt>
    <mc:AlternateContent xmlns:mc="http://schemas.openxmlformats.org/markup-compatibility/2006" xmlns:a14="http://schemas.microsoft.com/office/drawing/2010/main">
      <mc:Choice Requires="a14">
        <dgm:pt modelId="{39F09E03-95FE-4C7B-A16F-ED61D9EAC3AA}">
          <dgm:prSet phldrT="[Tex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𝒚𝒆𝒂𝒓</m:t>
                    </m:r>
                    <m:r>
                      <a:rPr lang="en-AU" sz="1100" b="1" i="1">
                        <a:latin typeface="Cambria Math"/>
                      </a:rPr>
                      <m:t> </m:t>
                    </m:r>
                    <m:r>
                      <a:rPr lang="en-AU" sz="1100" b="1" i="1">
                        <a:latin typeface="Cambria Math"/>
                      </a:rPr>
                      <m:t>𝒕</m:t>
                    </m:r>
                  </m:oMath>
                </m:oMathPara>
              </a14:m>
              <a:endParaRPr lang="en-AU" sz="1100" b="1"/>
            </a:p>
          </dgm:t>
        </dgm:pt>
      </mc:Choice>
      <mc:Fallback xmlns="">
        <dgm:pt modelId="{39F09E03-95FE-4C7B-A16F-ED61D9EAC3AA}">
          <dgm:prSet phldrT="[Text]" custT="1"/>
          <dgm:spPr/>
          <dgm:t>
            <a:bodyPr/>
            <a:lstStyle/>
            <a:p>
              <a:r>
                <a:rPr lang="en-AU" sz="1100" b="1" i="0">
                  <a:latin typeface="Cambria Math"/>
                </a:rPr>
                <a:t>𝒚𝒆𝒂𝒓 𝒕</a:t>
              </a:r>
              <a:endParaRPr lang="en-AU" sz="1100" b="1"/>
            </a:p>
          </dgm:t>
        </dgm:pt>
      </mc:Fallback>
    </mc:AlternateContent>
    <dgm:pt modelId="{EA6DD085-92CF-451A-9A03-9AAF4B871B8C}" type="parTrans" cxnId="{A57498D7-A7E7-440B-AC9E-1F34CB2DD063}">
      <dgm:prSet/>
      <dgm:spPr/>
      <dgm:t>
        <a:bodyPr/>
        <a:lstStyle/>
        <a:p>
          <a:endParaRPr lang="en-AU"/>
        </a:p>
      </dgm:t>
    </dgm:pt>
    <dgm:pt modelId="{79F4ECC7-11A9-4C98-92E9-D9B0E3414436}" type="sibTrans" cxnId="{A57498D7-A7E7-440B-AC9E-1F34CB2DD063}">
      <dgm:prSet/>
      <dgm:spPr/>
      <dgm:t>
        <a:bodyPr/>
        <a:lstStyle/>
        <a:p>
          <a:endParaRPr lang="en-AU"/>
        </a:p>
      </dgm:t>
    </dgm:pt>
    <mc:AlternateContent xmlns:mc="http://schemas.openxmlformats.org/markup-compatibility/2006" xmlns:a14="http://schemas.microsoft.com/office/drawing/2010/main">
      <mc:Choice Requires="a14">
        <dgm:pt modelId="{5F05042B-8EFB-4E73-AA54-9480292B0930}">
          <dgm:prSe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𝟖</m:t>
                    </m:r>
                    <m:r>
                      <a:rPr lang="en-AU" sz="1100" b="1" i="1">
                        <a:latin typeface="Cambria Math"/>
                      </a:rPr>
                      <m:t> </m:t>
                    </m:r>
                    <m:r>
                      <a:rPr lang="en-AU" sz="1100" b="1" i="1">
                        <a:latin typeface="Cambria Math"/>
                      </a:rPr>
                      <m:t>𝒎𝒐𝒏𝒕𝒉𝒔</m:t>
                    </m:r>
                  </m:oMath>
                </m:oMathPara>
              </a14:m>
              <a:endParaRPr lang="en-AU" sz="1100" b="1"/>
            </a:p>
          </dgm:t>
        </dgm:pt>
      </mc:Choice>
      <mc:Fallback xmlns="">
        <dgm:pt modelId="{5F05042B-8EFB-4E73-AA54-9480292B0930}">
          <dgm:prSet custT="1"/>
          <dgm:spPr/>
          <dgm:t>
            <a:bodyPr/>
            <a:lstStyle/>
            <a:p>
              <a:pPr/>
              <a:r>
                <a:rPr lang="en-AU" sz="1100" b="1" i="0">
                  <a:latin typeface="Cambria Math"/>
                </a:rPr>
                <a:t>𝒕−𝟖 𝒎𝒐𝒏𝒕𝒉𝒔</a:t>
              </a:r>
              <a:endParaRPr lang="en-AU" sz="1100" b="1"/>
            </a:p>
          </dgm:t>
        </dgm:pt>
      </mc:Fallback>
    </mc:AlternateContent>
    <dgm:pt modelId="{F895AF8F-8587-453D-AC4A-45DCCB3B588C}" type="parTrans" cxnId="{2E8F1020-7701-4038-A3A7-1758EA5D7366}">
      <dgm:prSet/>
      <dgm:spPr/>
      <dgm:t>
        <a:bodyPr/>
        <a:lstStyle/>
        <a:p>
          <a:endParaRPr lang="en-AU"/>
        </a:p>
      </dgm:t>
    </dgm:pt>
    <dgm:pt modelId="{CE078AD5-EEFF-415E-9466-14FB1F1EC720}" type="sibTrans" cxnId="{2E8F1020-7701-4038-A3A7-1758EA5D7366}">
      <dgm:prSet/>
      <dgm:spPr/>
      <dgm:t>
        <a:bodyPr/>
        <a:lstStyle/>
        <a:p>
          <a:endParaRPr lang="en-AU"/>
        </a:p>
      </dgm:t>
    </dgm:pt>
    <mc:AlternateContent xmlns:mc="http://schemas.openxmlformats.org/markup-compatibility/2006" xmlns:a14="http://schemas.microsoft.com/office/drawing/2010/main">
      <mc:Choice Requires="a14">
        <dgm:pt modelId="{535E93E3-C61F-4816-921C-1DBC230EDA3E}">
          <dgm:prSet custT="1"/>
          <dgm:spPr/>
          <dgm:t>
            <a:bodyPr/>
            <a:lstStyle/>
            <a:p>
              <a:pPr/>
              <a14:m>
                <m:oMathPara xmlns:m="http://schemas.openxmlformats.org/officeDocument/2006/math">
                  <m:oMathParaPr>
                    <m:jc m:val="centerGroup"/>
                  </m:oMathParaPr>
                  <m:oMath xmlns:m="http://schemas.openxmlformats.org/officeDocument/2006/math">
                    <m:r>
                      <a:rPr lang="en-AU" sz="1100" b="1" i="1">
                        <a:latin typeface="Cambria Math"/>
                      </a:rPr>
                      <m:t>𝒕</m:t>
                    </m:r>
                    <m:r>
                      <a:rPr lang="en-AU" sz="1100" b="1" i="1">
                        <a:latin typeface="Cambria Math"/>
                      </a:rPr>
                      <m:t>−</m:t>
                    </m:r>
                    <m:r>
                      <a:rPr lang="en-AU" sz="1100" b="1" i="1">
                        <a:latin typeface="Cambria Math"/>
                      </a:rPr>
                      <m:t>𝟐</m:t>
                    </m:r>
                    <m:r>
                      <a:rPr lang="en-AU" sz="1100" b="1" i="1">
                        <a:latin typeface="Cambria Math"/>
                      </a:rPr>
                      <m:t> </m:t>
                    </m:r>
                    <m:r>
                      <a:rPr lang="en-AU" sz="1100" b="1" i="1">
                        <a:latin typeface="Cambria Math"/>
                      </a:rPr>
                      <m:t>𝒚𝒆𝒂𝒓𝒔</m:t>
                    </m:r>
                  </m:oMath>
                </m:oMathPara>
              </a14:m>
              <a:endParaRPr lang="en-AU" sz="1100" b="1"/>
            </a:p>
          </dgm:t>
        </dgm:pt>
      </mc:Choice>
      <mc:Fallback xmlns="">
        <dgm:pt modelId="{535E93E3-C61F-4816-921C-1DBC230EDA3E}">
          <dgm:prSet custT="1"/>
          <dgm:spPr/>
          <dgm:t>
            <a:bodyPr/>
            <a:lstStyle/>
            <a:p>
              <a:r>
                <a:rPr lang="en-AU" sz="1100" b="1" i="0">
                  <a:latin typeface="Cambria Math"/>
                </a:rPr>
                <a:t>𝒕−𝟐 𝒚𝒆𝒂𝒓𝒔</a:t>
              </a:r>
              <a:endParaRPr lang="en-AU" sz="1100" b="1"/>
            </a:p>
          </dgm:t>
        </dgm:pt>
      </mc:Fallback>
    </mc:AlternateContent>
    <dgm:pt modelId="{827CD461-2DE2-463D-8F43-2ABAFBDFE826}" type="parTrans" cxnId="{892DFF7E-AA2E-4A02-9E3E-AE429A67AAF9}">
      <dgm:prSet/>
      <dgm:spPr/>
      <dgm:t>
        <a:bodyPr/>
        <a:lstStyle/>
        <a:p>
          <a:endParaRPr lang="en-AU"/>
        </a:p>
      </dgm:t>
    </dgm:pt>
    <dgm:pt modelId="{42826054-949D-4878-BBFA-726F63ADD19C}" type="sibTrans" cxnId="{892DFF7E-AA2E-4A02-9E3E-AE429A67AAF9}">
      <dgm:prSet/>
      <dgm:spPr/>
      <dgm:t>
        <a:bodyPr/>
        <a:lstStyle/>
        <a:p>
          <a:endParaRPr lang="en-AU"/>
        </a:p>
      </dgm:t>
    </dgm:pt>
    <mc:AlternateContent xmlns:mc="http://schemas.openxmlformats.org/markup-compatibility/2006" xmlns:a14="http://schemas.microsoft.com/office/drawing/2010/main">
      <mc:Choice Requires="a14">
        <dgm:pt modelId="{F33B10EF-B3FF-40E4-9002-6D6F3915B1F8}">
          <dgm:prSet custT="1"/>
          <dgm:spPr/>
          <dgm:t>
            <a:bodyPr/>
            <a:lstStyle/>
            <a:p>
              <a:r>
                <a:rPr lang="en-AU" sz="1000"/>
                <a:t>Distributor submits compliance report to the AER under this scheme for year </a:t>
              </a:r>
              <a14:m>
                <m:oMath xmlns:m="http://schemas.openxmlformats.org/officeDocument/2006/math">
                  <m:r>
                    <a:rPr lang="en-AU" sz="1000" b="0" i="1">
                      <a:latin typeface="Cambria Math"/>
                    </a:rPr>
                    <m:t>𝑡</m:t>
                  </m:r>
                  <m:r>
                    <a:rPr lang="en-AU" sz="1000" b="0" i="1">
                      <a:latin typeface="Cambria Math"/>
                    </a:rPr>
                    <m:t>−2</m:t>
                  </m:r>
                </m:oMath>
              </a14:m>
              <a:endParaRPr lang="en-AU" sz="1000"/>
            </a:p>
          </dgm:t>
        </dgm:pt>
      </mc:Choice>
      <mc:Fallback xmlns="">
        <dgm:pt modelId="{F33B10EF-B3FF-40E4-9002-6D6F3915B1F8}">
          <dgm:prSet custT="1"/>
          <dgm:spPr/>
          <dgm:t>
            <a:bodyPr/>
            <a:lstStyle/>
            <a:p>
              <a:r>
                <a:rPr lang="en-AU" sz="1000"/>
                <a:t>Distributor submits compliance report to the AER under this scheme for year </a:t>
              </a:r>
              <a:r>
                <a:rPr lang="en-AU" sz="1000" b="0" i="0">
                  <a:latin typeface="Cambria Math"/>
                </a:rPr>
                <a:t>𝑡−2</a:t>
              </a:r>
              <a:endParaRPr lang="en-AU" sz="1000"/>
            </a:p>
          </dgm:t>
        </dgm:pt>
      </mc:Fallback>
    </mc:AlternateContent>
    <dgm:pt modelId="{F66A9569-639C-47A7-87CE-D9B5B61DA32F}" type="parTrans" cxnId="{E6FB6393-DEE7-42F4-BAB9-139B9737C03D}">
      <dgm:prSet/>
      <dgm:spPr/>
      <dgm:t>
        <a:bodyPr/>
        <a:lstStyle/>
        <a:p>
          <a:endParaRPr lang="en-AU"/>
        </a:p>
      </dgm:t>
    </dgm:pt>
    <dgm:pt modelId="{F0FF9D16-6123-45C6-B667-0645E5359FBD}" type="sibTrans" cxnId="{E6FB6393-DEE7-42F4-BAB9-139B9737C03D}">
      <dgm:prSet/>
      <dgm:spPr/>
      <dgm:t>
        <a:bodyPr/>
        <a:lstStyle/>
        <a:p>
          <a:endParaRPr lang="en-AU"/>
        </a:p>
      </dgm:t>
    </dgm:pt>
    <mc:AlternateContent xmlns:mc="http://schemas.openxmlformats.org/markup-compatibility/2006" xmlns:a14="http://schemas.microsoft.com/office/drawing/2010/main">
      <mc:Choice Requires="a14">
        <dgm:pt modelId="{9DF4CDDA-7942-4229-AB70-863B3DA5C440}">
          <dgm:prSet custT="1"/>
          <dgm:spPr/>
          <dgm:t>
            <a:bodyPr/>
            <a:lstStyle/>
            <a:p>
              <a:r>
                <a:rPr lang="en-AU" sz="1000"/>
                <a:t>Distributor accrues the total financial incentive for year </a:t>
              </a:r>
              <a14:m>
                <m:oMath xmlns:m="http://schemas.openxmlformats.org/officeDocument/2006/math">
                  <m:r>
                    <a:rPr lang="en-AU" sz="1000" b="0" i="1">
                      <a:latin typeface="Cambria Math"/>
                    </a:rPr>
                    <m:t>𝑡</m:t>
                  </m:r>
                  <m:r>
                    <a:rPr lang="en-AU" sz="1000" b="0" i="1">
                      <a:latin typeface="Cambria Math"/>
                    </a:rPr>
                    <m:t>−2</m:t>
                  </m:r>
                </m:oMath>
              </a14:m>
              <a:endParaRPr lang="en-AU" sz="1000"/>
            </a:p>
          </dgm:t>
        </dgm:pt>
      </mc:Choice>
      <mc:Fallback xmlns="">
        <dgm:pt modelId="{9DF4CDDA-7942-4229-AB70-863B3DA5C440}">
          <dgm:prSet custT="1"/>
          <dgm:spPr/>
          <dgm:t>
            <a:bodyPr/>
            <a:lstStyle/>
            <a:p>
              <a:r>
                <a:rPr lang="en-AU" sz="1000"/>
                <a:t>Distributor accrues the total financial incentive for year </a:t>
              </a:r>
              <a:r>
                <a:rPr lang="en-AU" sz="1000" b="0" i="0">
                  <a:latin typeface="Cambria Math"/>
                </a:rPr>
                <a:t>𝑡−2</a:t>
              </a:r>
              <a:endParaRPr lang="en-AU" sz="1000"/>
            </a:p>
          </dgm:t>
        </dgm:pt>
      </mc:Fallback>
    </mc:AlternateContent>
    <dgm:pt modelId="{028E9700-1868-418F-BEF2-E7BC6936D5CC}" type="parTrans" cxnId="{D457FAE0-DF4A-4784-B553-D71A51FDEBBC}">
      <dgm:prSet/>
      <dgm:spPr/>
      <dgm:t>
        <a:bodyPr/>
        <a:lstStyle/>
        <a:p>
          <a:endParaRPr lang="en-AU"/>
        </a:p>
      </dgm:t>
    </dgm:pt>
    <dgm:pt modelId="{B141A5D3-ECC9-4C1D-B228-203DF06FA4DE}" type="sibTrans" cxnId="{D457FAE0-DF4A-4784-B553-D71A51FDEBBC}">
      <dgm:prSet/>
      <dgm:spPr/>
      <dgm:t>
        <a:bodyPr/>
        <a:lstStyle/>
        <a:p>
          <a:endParaRPr lang="en-AU"/>
        </a:p>
      </dgm:t>
    </dgm:pt>
    <mc:AlternateContent xmlns:mc="http://schemas.openxmlformats.org/markup-compatibility/2006" xmlns:a14="http://schemas.microsoft.com/office/drawing/2010/main">
      <mc:Choice Requires="a14">
        <dgm:pt modelId="{ED8C3539-F30A-4A7D-A3FF-87DD1B5A55B3}">
          <dgm:prSet custT="1"/>
          <dgm:spPr/>
          <dgm:t>
            <a:bodyPr/>
            <a:lstStyle/>
            <a:p>
              <a:r>
                <a:rPr lang="en-AU" sz="1000"/>
                <a:t>Distributor recovers total financial incentive for year </a:t>
              </a:r>
              <a14:m>
                <m:oMath xmlns:m="http://schemas.openxmlformats.org/officeDocument/2006/math">
                  <m:r>
                    <a:rPr lang="en-AU" sz="1000" b="0" i="1">
                      <a:latin typeface="Cambria Math"/>
                    </a:rPr>
                    <m:t>𝑡</m:t>
                  </m:r>
                  <m:r>
                    <a:rPr lang="en-AU" sz="1000" b="0" i="1">
                      <a:latin typeface="Cambria Math"/>
                    </a:rPr>
                    <m:t>−2</m:t>
                  </m:r>
                </m:oMath>
              </a14:m>
              <a:r>
                <a:rPr lang="en-AU" sz="1000"/>
                <a:t> from consumers in year </a:t>
              </a:r>
              <a14:m>
                <m:oMath xmlns:m="http://schemas.openxmlformats.org/officeDocument/2006/math">
                  <m:r>
                    <a:rPr lang="en-AU" sz="1000" b="0" i="1">
                      <a:latin typeface="Cambria Math"/>
                    </a:rPr>
                    <m:t>𝑡</m:t>
                  </m:r>
                </m:oMath>
              </a14:m>
              <a:r>
                <a:rPr lang="en-AU" sz="1000"/>
                <a:t> via distribution use of system charges</a:t>
              </a:r>
            </a:p>
          </dgm:t>
        </dgm:pt>
      </mc:Choice>
      <mc:Fallback xmlns="">
        <dgm:pt modelId="{ED8C3539-F30A-4A7D-A3FF-87DD1B5A55B3}">
          <dgm:prSet custT="1"/>
          <dgm:spPr/>
          <dgm:t>
            <a:bodyPr/>
            <a:lstStyle/>
            <a:p>
              <a:r>
                <a:rPr lang="en-AU" sz="1000"/>
                <a:t>Distributor recovers total financial incentive for year </a:t>
              </a:r>
              <a:r>
                <a:rPr lang="en-AU" sz="1000" b="0" i="0">
                  <a:latin typeface="Cambria Math"/>
                </a:rPr>
                <a:t>𝑡−2</a:t>
              </a:r>
              <a:r>
                <a:rPr lang="en-AU" sz="1000"/>
                <a:t> from consumers in year </a:t>
              </a:r>
              <a:r>
                <a:rPr lang="en-AU" sz="1000" b="0" i="0">
                  <a:latin typeface="Cambria Math"/>
                </a:rPr>
                <a:t>𝑡</a:t>
              </a:r>
              <a:r>
                <a:rPr lang="en-AU" sz="1000"/>
                <a:t> via distribution use of system charges</a:t>
              </a:r>
            </a:p>
          </dgm:t>
        </dgm:pt>
      </mc:Fallback>
    </mc:AlternateContent>
    <dgm:pt modelId="{8B92C7B6-5C53-4951-9D5E-023A6F5C33C7}" type="parTrans" cxnId="{9D877CD6-0603-4167-808C-BE6ADEA70B66}">
      <dgm:prSet/>
      <dgm:spPr/>
      <dgm:t>
        <a:bodyPr/>
        <a:lstStyle/>
        <a:p>
          <a:endParaRPr lang="en-AU"/>
        </a:p>
      </dgm:t>
    </dgm:pt>
    <dgm:pt modelId="{AB9230DF-798E-41B6-B24B-86944FC9D105}" type="sibTrans" cxnId="{9D877CD6-0603-4167-808C-BE6ADEA70B66}">
      <dgm:prSet/>
      <dgm:spPr/>
      <dgm:t>
        <a:bodyPr/>
        <a:lstStyle/>
        <a:p>
          <a:endParaRPr lang="en-AU"/>
        </a:p>
      </dgm:t>
    </dgm:pt>
    <dgm:pt modelId="{498E733F-13C1-48C8-83CC-7B122CD1B7F0}" type="pres">
      <dgm:prSet presAssocID="{87B2EF63-1C5E-4D32-B3B4-6DC8641EB84C}" presName="Name0" presStyleCnt="0">
        <dgm:presLayoutVars>
          <dgm:dir/>
          <dgm:animLvl val="lvl"/>
          <dgm:resizeHandles val="exact"/>
        </dgm:presLayoutVars>
      </dgm:prSet>
      <dgm:spPr/>
      <dgm:t>
        <a:bodyPr/>
        <a:lstStyle/>
        <a:p>
          <a:endParaRPr lang="en-AU"/>
        </a:p>
      </dgm:t>
    </dgm:pt>
    <dgm:pt modelId="{8B9E9B53-DB9A-4C4C-987C-C0B99E649E0F}" type="pres">
      <dgm:prSet presAssocID="{39F09E03-95FE-4C7B-A16F-ED61D9EAC3AA}" presName="boxAndChildren" presStyleCnt="0"/>
      <dgm:spPr/>
      <dgm:t>
        <a:bodyPr/>
        <a:lstStyle/>
        <a:p>
          <a:endParaRPr lang="en-AU"/>
        </a:p>
      </dgm:t>
    </dgm:pt>
    <dgm:pt modelId="{BA5DE4E3-11E3-4935-9C92-984AE31A14A7}" type="pres">
      <dgm:prSet presAssocID="{39F09E03-95FE-4C7B-A16F-ED61D9EAC3AA}" presName="parentTextBox" presStyleLbl="node1" presStyleIdx="0" presStyleCnt="5"/>
      <dgm:spPr/>
      <dgm:t>
        <a:bodyPr/>
        <a:lstStyle/>
        <a:p>
          <a:endParaRPr lang="en-AU"/>
        </a:p>
      </dgm:t>
    </dgm:pt>
    <dgm:pt modelId="{869B0C7E-6C17-41E0-8203-2CC923AA1D7C}" type="pres">
      <dgm:prSet presAssocID="{39F09E03-95FE-4C7B-A16F-ED61D9EAC3AA}" presName="entireBox" presStyleLbl="node1" presStyleIdx="0" presStyleCnt="5"/>
      <dgm:spPr/>
      <dgm:t>
        <a:bodyPr/>
        <a:lstStyle/>
        <a:p>
          <a:endParaRPr lang="en-AU"/>
        </a:p>
      </dgm:t>
    </dgm:pt>
    <dgm:pt modelId="{FBFE7035-5823-4ACC-9E48-CBAF580180CC}" type="pres">
      <dgm:prSet presAssocID="{39F09E03-95FE-4C7B-A16F-ED61D9EAC3AA}" presName="descendantBox" presStyleCnt="0"/>
      <dgm:spPr/>
      <dgm:t>
        <a:bodyPr/>
        <a:lstStyle/>
        <a:p>
          <a:endParaRPr lang="en-AU"/>
        </a:p>
      </dgm:t>
    </dgm:pt>
    <dgm:pt modelId="{589B3615-FBE1-4606-86BE-F34CB92F7FB7}" type="pres">
      <dgm:prSet presAssocID="{ED8C3539-F30A-4A7D-A3FF-87DD1B5A55B3}" presName="childTextBox" presStyleLbl="fgAccFollowNode1" presStyleIdx="0" presStyleCnt="5" custScaleY="117408" custLinFactNeighborY="-8538">
        <dgm:presLayoutVars>
          <dgm:bulletEnabled val="1"/>
        </dgm:presLayoutVars>
      </dgm:prSet>
      <dgm:spPr/>
      <dgm:t>
        <a:bodyPr/>
        <a:lstStyle/>
        <a:p>
          <a:endParaRPr lang="en-AU"/>
        </a:p>
      </dgm:t>
    </dgm:pt>
    <dgm:pt modelId="{560B3BA3-88FF-4832-BDA5-551DD56E08B4}" type="pres">
      <dgm:prSet presAssocID="{373FD307-6158-4C0E-9E83-48461503614B}" presName="sp" presStyleCnt="0"/>
      <dgm:spPr/>
      <dgm:t>
        <a:bodyPr/>
        <a:lstStyle/>
        <a:p>
          <a:endParaRPr lang="en-AU"/>
        </a:p>
      </dgm:t>
    </dgm:pt>
    <dgm:pt modelId="{DBD8B8A7-C58B-4F32-A09C-58FA781D665C}" type="pres">
      <dgm:prSet presAssocID="{FEA20742-7AFE-4CF6-AB67-264B3A082C34}" presName="arrowAndChildren" presStyleCnt="0"/>
      <dgm:spPr/>
      <dgm:t>
        <a:bodyPr/>
        <a:lstStyle/>
        <a:p>
          <a:endParaRPr lang="en-AU"/>
        </a:p>
      </dgm:t>
    </dgm:pt>
    <dgm:pt modelId="{A64F10E7-D1A5-4152-8B60-D954257A83E6}" type="pres">
      <dgm:prSet presAssocID="{FEA20742-7AFE-4CF6-AB67-264B3A082C34}" presName="parentTextArrow" presStyleLbl="node1" presStyleIdx="0" presStyleCnt="5"/>
      <dgm:spPr/>
      <dgm:t>
        <a:bodyPr/>
        <a:lstStyle/>
        <a:p>
          <a:endParaRPr lang="en-AU"/>
        </a:p>
      </dgm:t>
    </dgm:pt>
    <dgm:pt modelId="{914576FE-584C-44C5-9919-C4C800703DD5}" type="pres">
      <dgm:prSet presAssocID="{FEA20742-7AFE-4CF6-AB67-264B3A082C34}" presName="arrow" presStyleLbl="node1" presStyleIdx="1" presStyleCnt="5" custScaleY="89431" custLinFactNeighborY="-5101"/>
      <dgm:spPr/>
      <dgm:t>
        <a:bodyPr/>
        <a:lstStyle/>
        <a:p>
          <a:endParaRPr lang="en-AU"/>
        </a:p>
      </dgm:t>
    </dgm:pt>
    <dgm:pt modelId="{E7314968-EA6F-4F6C-9661-C85CBCFC0D79}" type="pres">
      <dgm:prSet presAssocID="{FEA20742-7AFE-4CF6-AB67-264B3A082C34}" presName="descendantArrow" presStyleCnt="0"/>
      <dgm:spPr/>
      <dgm:t>
        <a:bodyPr/>
        <a:lstStyle/>
        <a:p>
          <a:endParaRPr lang="en-AU"/>
        </a:p>
      </dgm:t>
    </dgm:pt>
    <dgm:pt modelId="{49E6B52A-7569-4CC5-9D95-61B6EDD194A5}" type="pres">
      <dgm:prSet presAssocID="{6B8F9FC1-1806-4D85-947C-16B15A0B8406}" presName="childTextArrow" presStyleLbl="fgAccFollowNode1" presStyleIdx="1" presStyleCnt="5" custScaleY="116958" custLinFactNeighborY="-31328">
        <dgm:presLayoutVars>
          <dgm:bulletEnabled val="1"/>
        </dgm:presLayoutVars>
      </dgm:prSet>
      <dgm:spPr/>
      <dgm:t>
        <a:bodyPr/>
        <a:lstStyle/>
        <a:p>
          <a:endParaRPr lang="en-AU"/>
        </a:p>
      </dgm:t>
    </dgm:pt>
    <dgm:pt modelId="{5587EA87-501C-4670-9BC5-C479C74BFF23}" type="pres">
      <dgm:prSet presAssocID="{E1AB9065-5FC9-41FB-8897-6AE87D6CA6AB}" presName="sp" presStyleCnt="0"/>
      <dgm:spPr/>
      <dgm:t>
        <a:bodyPr/>
        <a:lstStyle/>
        <a:p>
          <a:endParaRPr lang="en-AU"/>
        </a:p>
      </dgm:t>
    </dgm:pt>
    <dgm:pt modelId="{4A889D9A-01FF-422C-BF40-1EAE826DEBC9}" type="pres">
      <dgm:prSet presAssocID="{52B55C6E-707E-4442-A745-E467175ACDC4}" presName="arrowAndChildren" presStyleCnt="0"/>
      <dgm:spPr/>
      <dgm:t>
        <a:bodyPr/>
        <a:lstStyle/>
        <a:p>
          <a:endParaRPr lang="en-AU"/>
        </a:p>
      </dgm:t>
    </dgm:pt>
    <dgm:pt modelId="{8966AF8A-5AAF-4C16-83CA-8B243F147321}" type="pres">
      <dgm:prSet presAssocID="{52B55C6E-707E-4442-A745-E467175ACDC4}" presName="parentTextArrow" presStyleLbl="node1" presStyleIdx="1" presStyleCnt="5"/>
      <dgm:spPr/>
      <dgm:t>
        <a:bodyPr/>
        <a:lstStyle/>
        <a:p>
          <a:endParaRPr lang="en-AU"/>
        </a:p>
      </dgm:t>
    </dgm:pt>
    <dgm:pt modelId="{65C9D7D2-5F7E-4FC3-926B-9573AC37E08D}" type="pres">
      <dgm:prSet presAssocID="{52B55C6E-707E-4442-A745-E467175ACDC4}" presName="arrow" presStyleLbl="node1" presStyleIdx="2" presStyleCnt="5" custScaleY="97503"/>
      <dgm:spPr/>
      <dgm:t>
        <a:bodyPr/>
        <a:lstStyle/>
        <a:p>
          <a:endParaRPr lang="en-AU"/>
        </a:p>
      </dgm:t>
    </dgm:pt>
    <dgm:pt modelId="{7CC4237A-9C3F-4C66-8193-BE350C6572C7}" type="pres">
      <dgm:prSet presAssocID="{52B55C6E-707E-4442-A745-E467175ACDC4}" presName="descendantArrow" presStyleCnt="0"/>
      <dgm:spPr/>
      <dgm:t>
        <a:bodyPr/>
        <a:lstStyle/>
        <a:p>
          <a:endParaRPr lang="en-AU"/>
        </a:p>
      </dgm:t>
    </dgm:pt>
    <dgm:pt modelId="{DE146BB8-63B0-4C44-A077-C9E7805DB542}" type="pres">
      <dgm:prSet presAssocID="{9D25337D-BBA1-4E7D-84CD-2CD2FEA679D7}" presName="childTextArrow" presStyleLbl="fgAccFollowNode1" presStyleIdx="2" presStyleCnt="5" custScaleY="121403" custLinFactNeighborY="-12499">
        <dgm:presLayoutVars>
          <dgm:bulletEnabled val="1"/>
        </dgm:presLayoutVars>
      </dgm:prSet>
      <dgm:spPr/>
      <dgm:t>
        <a:bodyPr/>
        <a:lstStyle/>
        <a:p>
          <a:endParaRPr lang="en-AU"/>
        </a:p>
      </dgm:t>
    </dgm:pt>
    <dgm:pt modelId="{D482346A-3084-4202-8EE1-C3F59D4D4F40}" type="pres">
      <dgm:prSet presAssocID="{CE078AD5-EEFF-415E-9466-14FB1F1EC720}" presName="sp" presStyleCnt="0"/>
      <dgm:spPr/>
      <dgm:t>
        <a:bodyPr/>
        <a:lstStyle/>
        <a:p>
          <a:endParaRPr lang="en-AU"/>
        </a:p>
      </dgm:t>
    </dgm:pt>
    <dgm:pt modelId="{5B7C766F-99A3-4DC8-86B0-68880DA6DDD2}" type="pres">
      <dgm:prSet presAssocID="{5F05042B-8EFB-4E73-AA54-9480292B0930}" presName="arrowAndChildren" presStyleCnt="0"/>
      <dgm:spPr/>
      <dgm:t>
        <a:bodyPr/>
        <a:lstStyle/>
        <a:p>
          <a:endParaRPr lang="en-AU"/>
        </a:p>
      </dgm:t>
    </dgm:pt>
    <dgm:pt modelId="{2A015A16-CBBE-4083-AEDF-FEBBA7D06741}" type="pres">
      <dgm:prSet presAssocID="{5F05042B-8EFB-4E73-AA54-9480292B0930}" presName="parentTextArrow" presStyleLbl="node1" presStyleIdx="2" presStyleCnt="5"/>
      <dgm:spPr/>
      <dgm:t>
        <a:bodyPr/>
        <a:lstStyle/>
        <a:p>
          <a:endParaRPr lang="en-AU"/>
        </a:p>
      </dgm:t>
    </dgm:pt>
    <dgm:pt modelId="{0CDE65D9-BE06-40A2-927B-9A7859CFEE35}" type="pres">
      <dgm:prSet presAssocID="{5F05042B-8EFB-4E73-AA54-9480292B0930}" presName="arrow" presStyleLbl="node1" presStyleIdx="3" presStyleCnt="5"/>
      <dgm:spPr/>
      <dgm:t>
        <a:bodyPr/>
        <a:lstStyle/>
        <a:p>
          <a:endParaRPr lang="en-AU"/>
        </a:p>
      </dgm:t>
    </dgm:pt>
    <dgm:pt modelId="{09370820-1E6D-4F29-9F7D-74D1FB719806}" type="pres">
      <dgm:prSet presAssocID="{5F05042B-8EFB-4E73-AA54-9480292B0930}" presName="descendantArrow" presStyleCnt="0"/>
      <dgm:spPr/>
      <dgm:t>
        <a:bodyPr/>
        <a:lstStyle/>
        <a:p>
          <a:endParaRPr lang="en-AU"/>
        </a:p>
      </dgm:t>
    </dgm:pt>
    <dgm:pt modelId="{ED641B63-ACDF-4726-989D-EA89A2BD6BDF}" type="pres">
      <dgm:prSet presAssocID="{F33B10EF-B3FF-40E4-9002-6D6F3915B1F8}" presName="childTextArrow" presStyleLbl="fgAccFollowNode1" presStyleIdx="3" presStyleCnt="5" custScaleY="110100" custLinFactNeighborY="-6489">
        <dgm:presLayoutVars>
          <dgm:bulletEnabled val="1"/>
        </dgm:presLayoutVars>
      </dgm:prSet>
      <dgm:spPr/>
      <dgm:t>
        <a:bodyPr/>
        <a:lstStyle/>
        <a:p>
          <a:endParaRPr lang="en-AU"/>
        </a:p>
      </dgm:t>
    </dgm:pt>
    <dgm:pt modelId="{4E6A1487-C553-4A9F-9314-8AFCA4093E0F}" type="pres">
      <dgm:prSet presAssocID="{42826054-949D-4878-BBFA-726F63ADD19C}" presName="sp" presStyleCnt="0"/>
      <dgm:spPr/>
      <dgm:t>
        <a:bodyPr/>
        <a:lstStyle/>
        <a:p>
          <a:endParaRPr lang="en-AU"/>
        </a:p>
      </dgm:t>
    </dgm:pt>
    <dgm:pt modelId="{59C3FFAF-C38B-4A1B-9539-3437B5DF7D50}" type="pres">
      <dgm:prSet presAssocID="{535E93E3-C61F-4816-921C-1DBC230EDA3E}" presName="arrowAndChildren" presStyleCnt="0"/>
      <dgm:spPr/>
      <dgm:t>
        <a:bodyPr/>
        <a:lstStyle/>
        <a:p>
          <a:endParaRPr lang="en-AU"/>
        </a:p>
      </dgm:t>
    </dgm:pt>
    <dgm:pt modelId="{F699A581-994B-4812-88DF-29DA64E1AE75}" type="pres">
      <dgm:prSet presAssocID="{535E93E3-C61F-4816-921C-1DBC230EDA3E}" presName="parentTextArrow" presStyleLbl="node1" presStyleIdx="3" presStyleCnt="5" custLinFactNeighborY="5606"/>
      <dgm:spPr/>
      <dgm:t>
        <a:bodyPr/>
        <a:lstStyle/>
        <a:p>
          <a:endParaRPr lang="en-AU"/>
        </a:p>
      </dgm:t>
    </dgm:pt>
    <dgm:pt modelId="{64A88903-925F-403B-BCBC-836AEF7C5D29}" type="pres">
      <dgm:prSet presAssocID="{535E93E3-C61F-4816-921C-1DBC230EDA3E}" presName="arrow" presStyleLbl="node1" presStyleIdx="4" presStyleCnt="5" custScaleY="98907" custLinFactNeighborY="-265"/>
      <dgm:spPr/>
      <dgm:t>
        <a:bodyPr/>
        <a:lstStyle/>
        <a:p>
          <a:endParaRPr lang="en-AU"/>
        </a:p>
      </dgm:t>
    </dgm:pt>
    <dgm:pt modelId="{413DE2EF-8E84-4DC6-87EB-3CEBD0DCF010}" type="pres">
      <dgm:prSet presAssocID="{535E93E3-C61F-4816-921C-1DBC230EDA3E}" presName="descendantArrow" presStyleCnt="0"/>
      <dgm:spPr/>
      <dgm:t>
        <a:bodyPr/>
        <a:lstStyle/>
        <a:p>
          <a:endParaRPr lang="en-AU"/>
        </a:p>
      </dgm:t>
    </dgm:pt>
    <dgm:pt modelId="{EE624462-5438-426F-BE85-18B493F75B75}" type="pres">
      <dgm:prSet presAssocID="{9DF4CDDA-7942-4229-AB70-863B3DA5C440}" presName="childTextArrow" presStyleLbl="fgAccFollowNode1" presStyleIdx="4" presStyleCnt="5" custScaleY="103766" custLinFactNeighborY="-5190">
        <dgm:presLayoutVars>
          <dgm:bulletEnabled val="1"/>
        </dgm:presLayoutVars>
      </dgm:prSet>
      <dgm:spPr/>
      <dgm:t>
        <a:bodyPr/>
        <a:lstStyle/>
        <a:p>
          <a:endParaRPr lang="en-AU"/>
        </a:p>
      </dgm:t>
    </dgm:pt>
  </dgm:ptLst>
  <dgm:cxnLst>
    <dgm:cxn modelId="{892DFF7E-AA2E-4A02-9E3E-AE429A67AAF9}" srcId="{87B2EF63-1C5E-4D32-B3B4-6DC8641EB84C}" destId="{535E93E3-C61F-4816-921C-1DBC230EDA3E}" srcOrd="0" destOrd="0" parTransId="{827CD461-2DE2-463D-8F43-2ABAFBDFE826}" sibTransId="{42826054-949D-4878-BBFA-726F63ADD19C}"/>
    <dgm:cxn modelId="{9D877CD6-0603-4167-808C-BE6ADEA70B66}" srcId="{39F09E03-95FE-4C7B-A16F-ED61D9EAC3AA}" destId="{ED8C3539-F30A-4A7D-A3FF-87DD1B5A55B3}" srcOrd="0" destOrd="0" parTransId="{8B92C7B6-5C53-4951-9D5E-023A6F5C33C7}" sibTransId="{AB9230DF-798E-41B6-B24B-86944FC9D105}"/>
    <dgm:cxn modelId="{F50DBB0A-BBEA-4DA4-B530-54A63CD930D1}" type="presOf" srcId="{ED8C3539-F30A-4A7D-A3FF-87DD1B5A55B3}" destId="{589B3615-FBE1-4606-86BE-F34CB92F7FB7}" srcOrd="0" destOrd="0" presId="urn:microsoft.com/office/officeart/2005/8/layout/process4"/>
    <dgm:cxn modelId="{52C8EAD3-0B24-43A5-9D9C-230BAF2FD704}" type="presOf" srcId="{FEA20742-7AFE-4CF6-AB67-264B3A082C34}" destId="{A64F10E7-D1A5-4152-8B60-D954257A83E6}" srcOrd="0" destOrd="0" presId="urn:microsoft.com/office/officeart/2005/8/layout/process4"/>
    <dgm:cxn modelId="{5571D77A-3664-4B72-9D01-2E9CD2FDA4C6}" type="presOf" srcId="{5F05042B-8EFB-4E73-AA54-9480292B0930}" destId="{2A015A16-CBBE-4083-AEDF-FEBBA7D06741}" srcOrd="0" destOrd="0" presId="urn:microsoft.com/office/officeart/2005/8/layout/process4"/>
    <dgm:cxn modelId="{EEEEAC6E-8998-4466-BDE7-B9C36814FD14}" type="presOf" srcId="{52B55C6E-707E-4442-A745-E467175ACDC4}" destId="{8966AF8A-5AAF-4C16-83CA-8B243F147321}" srcOrd="0" destOrd="0" presId="urn:microsoft.com/office/officeart/2005/8/layout/process4"/>
    <dgm:cxn modelId="{D457FAE0-DF4A-4784-B553-D71A51FDEBBC}" srcId="{535E93E3-C61F-4816-921C-1DBC230EDA3E}" destId="{9DF4CDDA-7942-4229-AB70-863B3DA5C440}" srcOrd="0" destOrd="0" parTransId="{028E9700-1868-418F-BEF2-E7BC6936D5CC}" sibTransId="{B141A5D3-ECC9-4C1D-B228-203DF06FA4DE}"/>
    <dgm:cxn modelId="{488061F8-48AC-4F6D-B839-EE7092DD85F5}" type="presOf" srcId="{52B55C6E-707E-4442-A745-E467175ACDC4}" destId="{65C9D7D2-5F7E-4FC3-926B-9573AC37E08D}" srcOrd="1" destOrd="0" presId="urn:microsoft.com/office/officeart/2005/8/layout/process4"/>
    <dgm:cxn modelId="{E6FB6393-DEE7-42F4-BAB9-139B9737C03D}" srcId="{5F05042B-8EFB-4E73-AA54-9480292B0930}" destId="{F33B10EF-B3FF-40E4-9002-6D6F3915B1F8}" srcOrd="0" destOrd="0" parTransId="{F66A9569-639C-47A7-87CE-D9B5B61DA32F}" sibTransId="{F0FF9D16-6123-45C6-B667-0645E5359FBD}"/>
    <dgm:cxn modelId="{3341CE19-5F26-4801-8B3B-8E2377EDE5AD}" type="presOf" srcId="{39F09E03-95FE-4C7B-A16F-ED61D9EAC3AA}" destId="{BA5DE4E3-11E3-4935-9C92-984AE31A14A7}" srcOrd="0" destOrd="0" presId="urn:microsoft.com/office/officeart/2005/8/layout/process4"/>
    <dgm:cxn modelId="{63339296-952E-4150-8559-959073096FDF}" type="presOf" srcId="{FEA20742-7AFE-4CF6-AB67-264B3A082C34}" destId="{914576FE-584C-44C5-9919-C4C800703DD5}" srcOrd="1" destOrd="0" presId="urn:microsoft.com/office/officeart/2005/8/layout/process4"/>
    <dgm:cxn modelId="{19FC0F67-F65C-4218-A1E6-27E4D0911209}" type="presOf" srcId="{9D25337D-BBA1-4E7D-84CD-2CD2FEA679D7}" destId="{DE146BB8-63B0-4C44-A077-C9E7805DB542}" srcOrd="0" destOrd="0" presId="urn:microsoft.com/office/officeart/2005/8/layout/process4"/>
    <dgm:cxn modelId="{6895572F-10AF-42A4-9E33-C1B69EC02272}" type="presOf" srcId="{9DF4CDDA-7942-4229-AB70-863B3DA5C440}" destId="{EE624462-5438-426F-BE85-18B493F75B75}" srcOrd="0" destOrd="0" presId="urn:microsoft.com/office/officeart/2005/8/layout/process4"/>
    <dgm:cxn modelId="{DB5A78A2-DE25-4D7F-991A-AEDAA7B87657}" srcId="{FEA20742-7AFE-4CF6-AB67-264B3A082C34}" destId="{6B8F9FC1-1806-4D85-947C-16B15A0B8406}" srcOrd="0" destOrd="0" parTransId="{D0D2FA50-BD47-4452-BDDF-440B6AD1862C}" sibTransId="{8BBA8C0B-1F90-4907-95CF-D84187F608E0}"/>
    <dgm:cxn modelId="{E70C2B1D-F821-410B-A1B0-63F753F68D99}" type="presOf" srcId="{39F09E03-95FE-4C7B-A16F-ED61D9EAC3AA}" destId="{869B0C7E-6C17-41E0-8203-2CC923AA1D7C}" srcOrd="1" destOrd="0" presId="urn:microsoft.com/office/officeart/2005/8/layout/process4"/>
    <dgm:cxn modelId="{D3B473DA-B928-4619-AC2A-F46F1C52A2CE}" srcId="{87B2EF63-1C5E-4D32-B3B4-6DC8641EB84C}" destId="{FEA20742-7AFE-4CF6-AB67-264B3A082C34}" srcOrd="3" destOrd="0" parTransId="{74563D5D-4D75-417D-84CE-0D5B791CE760}" sibTransId="{373FD307-6158-4C0E-9E83-48461503614B}"/>
    <dgm:cxn modelId="{D3DDA008-14DC-4DAB-9417-8D2CED93E1F3}" type="presOf" srcId="{F33B10EF-B3FF-40E4-9002-6D6F3915B1F8}" destId="{ED641B63-ACDF-4726-989D-EA89A2BD6BDF}" srcOrd="0" destOrd="0" presId="urn:microsoft.com/office/officeart/2005/8/layout/process4"/>
    <dgm:cxn modelId="{6814C8C7-636B-4560-81F6-7F8610D7CCD1}" srcId="{87B2EF63-1C5E-4D32-B3B4-6DC8641EB84C}" destId="{52B55C6E-707E-4442-A745-E467175ACDC4}" srcOrd="2" destOrd="0" parTransId="{B25FD626-6F46-4277-B753-F7F5D6D84849}" sibTransId="{E1AB9065-5FC9-41FB-8897-6AE87D6CA6AB}"/>
    <dgm:cxn modelId="{13AE9076-63F1-4CAF-A314-08DBDB10FA81}" type="presOf" srcId="{535E93E3-C61F-4816-921C-1DBC230EDA3E}" destId="{F699A581-994B-4812-88DF-29DA64E1AE75}" srcOrd="0" destOrd="0" presId="urn:microsoft.com/office/officeart/2005/8/layout/process4"/>
    <dgm:cxn modelId="{2E8F1020-7701-4038-A3A7-1758EA5D7366}" srcId="{87B2EF63-1C5E-4D32-B3B4-6DC8641EB84C}" destId="{5F05042B-8EFB-4E73-AA54-9480292B0930}" srcOrd="1" destOrd="0" parTransId="{F895AF8F-8587-453D-AC4A-45DCCB3B588C}" sibTransId="{CE078AD5-EEFF-415E-9466-14FB1F1EC720}"/>
    <dgm:cxn modelId="{A57498D7-A7E7-440B-AC9E-1F34CB2DD063}" srcId="{87B2EF63-1C5E-4D32-B3B4-6DC8641EB84C}" destId="{39F09E03-95FE-4C7B-A16F-ED61D9EAC3AA}" srcOrd="4" destOrd="0" parTransId="{EA6DD085-92CF-451A-9A03-9AAF4B871B8C}" sibTransId="{79F4ECC7-11A9-4C98-92E9-D9B0E3414436}"/>
    <dgm:cxn modelId="{F02DC689-C85F-4D09-B309-B937F2AB29ED}" type="presOf" srcId="{87B2EF63-1C5E-4D32-B3B4-6DC8641EB84C}" destId="{498E733F-13C1-48C8-83CC-7B122CD1B7F0}" srcOrd="0" destOrd="0" presId="urn:microsoft.com/office/officeart/2005/8/layout/process4"/>
    <dgm:cxn modelId="{2CE18773-9BDA-4723-BD08-39F88E585C09}" type="presOf" srcId="{535E93E3-C61F-4816-921C-1DBC230EDA3E}" destId="{64A88903-925F-403B-BCBC-836AEF7C5D29}" srcOrd="1" destOrd="0" presId="urn:microsoft.com/office/officeart/2005/8/layout/process4"/>
    <dgm:cxn modelId="{267BDE9D-B025-4DB7-A62F-7EE924BD7D4B}" srcId="{52B55C6E-707E-4442-A745-E467175ACDC4}" destId="{9D25337D-BBA1-4E7D-84CD-2CD2FEA679D7}" srcOrd="0" destOrd="0" parTransId="{3E9B4331-2BFF-45DE-8523-10FE4ADA484F}" sibTransId="{09CAD0FA-1026-4423-A93B-ABDECD88704E}"/>
    <dgm:cxn modelId="{26429895-E249-49E9-BB86-36557507828A}" type="presOf" srcId="{5F05042B-8EFB-4E73-AA54-9480292B0930}" destId="{0CDE65D9-BE06-40A2-927B-9A7859CFEE35}" srcOrd="1" destOrd="0" presId="urn:microsoft.com/office/officeart/2005/8/layout/process4"/>
    <dgm:cxn modelId="{956788B5-715D-424A-8C5F-2330E3763A6F}" type="presOf" srcId="{6B8F9FC1-1806-4D85-947C-16B15A0B8406}" destId="{49E6B52A-7569-4CC5-9D95-61B6EDD194A5}" srcOrd="0" destOrd="0" presId="urn:microsoft.com/office/officeart/2005/8/layout/process4"/>
    <dgm:cxn modelId="{D2026D36-09D0-468D-83F7-23126F25B605}" type="presParOf" srcId="{498E733F-13C1-48C8-83CC-7B122CD1B7F0}" destId="{8B9E9B53-DB9A-4C4C-987C-C0B99E649E0F}" srcOrd="0" destOrd="0" presId="urn:microsoft.com/office/officeart/2005/8/layout/process4"/>
    <dgm:cxn modelId="{D850C17A-655E-4CF2-A782-564B3C04199F}" type="presParOf" srcId="{8B9E9B53-DB9A-4C4C-987C-C0B99E649E0F}" destId="{BA5DE4E3-11E3-4935-9C92-984AE31A14A7}" srcOrd="0" destOrd="0" presId="urn:microsoft.com/office/officeart/2005/8/layout/process4"/>
    <dgm:cxn modelId="{01C9140A-C71D-46F2-B2B5-D9A6BA6A9236}" type="presParOf" srcId="{8B9E9B53-DB9A-4C4C-987C-C0B99E649E0F}" destId="{869B0C7E-6C17-41E0-8203-2CC923AA1D7C}" srcOrd="1" destOrd="0" presId="urn:microsoft.com/office/officeart/2005/8/layout/process4"/>
    <dgm:cxn modelId="{0C003A1C-4A52-43F0-B62B-93F263771B77}" type="presParOf" srcId="{8B9E9B53-DB9A-4C4C-987C-C0B99E649E0F}" destId="{FBFE7035-5823-4ACC-9E48-CBAF580180CC}" srcOrd="2" destOrd="0" presId="urn:microsoft.com/office/officeart/2005/8/layout/process4"/>
    <dgm:cxn modelId="{29D9EBBC-326A-48E7-A1A2-8CD2A6FC635E}" type="presParOf" srcId="{FBFE7035-5823-4ACC-9E48-CBAF580180CC}" destId="{589B3615-FBE1-4606-86BE-F34CB92F7FB7}" srcOrd="0" destOrd="0" presId="urn:microsoft.com/office/officeart/2005/8/layout/process4"/>
    <dgm:cxn modelId="{E3A88B05-D146-4D27-A2F4-5615508B6D4C}" type="presParOf" srcId="{498E733F-13C1-48C8-83CC-7B122CD1B7F0}" destId="{560B3BA3-88FF-4832-BDA5-551DD56E08B4}" srcOrd="1" destOrd="0" presId="urn:microsoft.com/office/officeart/2005/8/layout/process4"/>
    <dgm:cxn modelId="{5851CA8A-A05A-4996-A81C-188839D3CC00}" type="presParOf" srcId="{498E733F-13C1-48C8-83CC-7B122CD1B7F0}" destId="{DBD8B8A7-C58B-4F32-A09C-58FA781D665C}" srcOrd="2" destOrd="0" presId="urn:microsoft.com/office/officeart/2005/8/layout/process4"/>
    <dgm:cxn modelId="{C1057750-3113-4CEE-AD44-10EB893C5991}" type="presParOf" srcId="{DBD8B8A7-C58B-4F32-A09C-58FA781D665C}" destId="{A64F10E7-D1A5-4152-8B60-D954257A83E6}" srcOrd="0" destOrd="0" presId="urn:microsoft.com/office/officeart/2005/8/layout/process4"/>
    <dgm:cxn modelId="{FB87E594-24B9-469F-A8F4-4F684274988E}" type="presParOf" srcId="{DBD8B8A7-C58B-4F32-A09C-58FA781D665C}" destId="{914576FE-584C-44C5-9919-C4C800703DD5}" srcOrd="1" destOrd="0" presId="urn:microsoft.com/office/officeart/2005/8/layout/process4"/>
    <dgm:cxn modelId="{D9C1F754-3830-45A1-97E9-617959729B35}" type="presParOf" srcId="{DBD8B8A7-C58B-4F32-A09C-58FA781D665C}" destId="{E7314968-EA6F-4F6C-9661-C85CBCFC0D79}" srcOrd="2" destOrd="0" presId="urn:microsoft.com/office/officeart/2005/8/layout/process4"/>
    <dgm:cxn modelId="{8A6F3BD3-17C6-462F-94D0-9B7A3BF2E482}" type="presParOf" srcId="{E7314968-EA6F-4F6C-9661-C85CBCFC0D79}" destId="{49E6B52A-7569-4CC5-9D95-61B6EDD194A5}" srcOrd="0" destOrd="0" presId="urn:microsoft.com/office/officeart/2005/8/layout/process4"/>
    <dgm:cxn modelId="{91FCBB17-818D-46AB-AA0A-AE163DE8581A}" type="presParOf" srcId="{498E733F-13C1-48C8-83CC-7B122CD1B7F0}" destId="{5587EA87-501C-4670-9BC5-C479C74BFF23}" srcOrd="3" destOrd="0" presId="urn:microsoft.com/office/officeart/2005/8/layout/process4"/>
    <dgm:cxn modelId="{F4A8B223-2D63-4D90-980F-4259679E94EA}" type="presParOf" srcId="{498E733F-13C1-48C8-83CC-7B122CD1B7F0}" destId="{4A889D9A-01FF-422C-BF40-1EAE826DEBC9}" srcOrd="4" destOrd="0" presId="urn:microsoft.com/office/officeart/2005/8/layout/process4"/>
    <dgm:cxn modelId="{4F3EF359-DC72-4C72-B41C-23CC2C36ED00}" type="presParOf" srcId="{4A889D9A-01FF-422C-BF40-1EAE826DEBC9}" destId="{8966AF8A-5AAF-4C16-83CA-8B243F147321}" srcOrd="0" destOrd="0" presId="urn:microsoft.com/office/officeart/2005/8/layout/process4"/>
    <dgm:cxn modelId="{E657AF32-B96C-4168-9751-10AD5F20E4FC}" type="presParOf" srcId="{4A889D9A-01FF-422C-BF40-1EAE826DEBC9}" destId="{65C9D7D2-5F7E-4FC3-926B-9573AC37E08D}" srcOrd="1" destOrd="0" presId="urn:microsoft.com/office/officeart/2005/8/layout/process4"/>
    <dgm:cxn modelId="{A9097ADB-892B-4CAD-B045-0FEFD4714AEF}" type="presParOf" srcId="{4A889D9A-01FF-422C-BF40-1EAE826DEBC9}" destId="{7CC4237A-9C3F-4C66-8193-BE350C6572C7}" srcOrd="2" destOrd="0" presId="urn:microsoft.com/office/officeart/2005/8/layout/process4"/>
    <dgm:cxn modelId="{0093E78E-B366-42BE-9908-059924DE8E95}" type="presParOf" srcId="{7CC4237A-9C3F-4C66-8193-BE350C6572C7}" destId="{DE146BB8-63B0-4C44-A077-C9E7805DB542}" srcOrd="0" destOrd="0" presId="urn:microsoft.com/office/officeart/2005/8/layout/process4"/>
    <dgm:cxn modelId="{F52A14BB-C8D0-495F-BCB5-6D4425D13A3A}" type="presParOf" srcId="{498E733F-13C1-48C8-83CC-7B122CD1B7F0}" destId="{D482346A-3084-4202-8EE1-C3F59D4D4F40}" srcOrd="5" destOrd="0" presId="urn:microsoft.com/office/officeart/2005/8/layout/process4"/>
    <dgm:cxn modelId="{1F505DDB-5B90-41D4-B868-FF670322B974}" type="presParOf" srcId="{498E733F-13C1-48C8-83CC-7B122CD1B7F0}" destId="{5B7C766F-99A3-4DC8-86B0-68880DA6DDD2}" srcOrd="6" destOrd="0" presId="urn:microsoft.com/office/officeart/2005/8/layout/process4"/>
    <dgm:cxn modelId="{97DC795D-4C57-4B0E-AE53-B061E9D8D577}" type="presParOf" srcId="{5B7C766F-99A3-4DC8-86B0-68880DA6DDD2}" destId="{2A015A16-CBBE-4083-AEDF-FEBBA7D06741}" srcOrd="0" destOrd="0" presId="urn:microsoft.com/office/officeart/2005/8/layout/process4"/>
    <dgm:cxn modelId="{6A10CD61-8397-4EA1-B1E6-B8CECF9F83BD}" type="presParOf" srcId="{5B7C766F-99A3-4DC8-86B0-68880DA6DDD2}" destId="{0CDE65D9-BE06-40A2-927B-9A7859CFEE35}" srcOrd="1" destOrd="0" presId="urn:microsoft.com/office/officeart/2005/8/layout/process4"/>
    <dgm:cxn modelId="{EBB354F2-038F-4040-B08D-84FE26DFB8D4}" type="presParOf" srcId="{5B7C766F-99A3-4DC8-86B0-68880DA6DDD2}" destId="{09370820-1E6D-4F29-9F7D-74D1FB719806}" srcOrd="2" destOrd="0" presId="urn:microsoft.com/office/officeart/2005/8/layout/process4"/>
    <dgm:cxn modelId="{792B46CF-A324-4521-8E71-15EC3E9A425F}" type="presParOf" srcId="{09370820-1E6D-4F29-9F7D-74D1FB719806}" destId="{ED641B63-ACDF-4726-989D-EA89A2BD6BDF}" srcOrd="0" destOrd="0" presId="urn:microsoft.com/office/officeart/2005/8/layout/process4"/>
    <dgm:cxn modelId="{91C3E1FF-5E2E-47C4-99BD-D804A089EDFE}" type="presParOf" srcId="{498E733F-13C1-48C8-83CC-7B122CD1B7F0}" destId="{4E6A1487-C553-4A9F-9314-8AFCA4093E0F}" srcOrd="7" destOrd="0" presId="urn:microsoft.com/office/officeart/2005/8/layout/process4"/>
    <dgm:cxn modelId="{FE1C1E57-AA12-41CA-B53A-B36B197C162F}" type="presParOf" srcId="{498E733F-13C1-48C8-83CC-7B122CD1B7F0}" destId="{59C3FFAF-C38B-4A1B-9539-3437B5DF7D50}" srcOrd="8" destOrd="0" presId="urn:microsoft.com/office/officeart/2005/8/layout/process4"/>
    <dgm:cxn modelId="{876BBC01-818A-4695-9660-4F3107A5894C}" type="presParOf" srcId="{59C3FFAF-C38B-4A1B-9539-3437B5DF7D50}" destId="{F699A581-994B-4812-88DF-29DA64E1AE75}" srcOrd="0" destOrd="0" presId="urn:microsoft.com/office/officeart/2005/8/layout/process4"/>
    <dgm:cxn modelId="{A0E4F534-F7BA-4271-929F-F4D512FC58A4}" type="presParOf" srcId="{59C3FFAF-C38B-4A1B-9539-3437B5DF7D50}" destId="{64A88903-925F-403B-BCBC-836AEF7C5D29}" srcOrd="1" destOrd="0" presId="urn:microsoft.com/office/officeart/2005/8/layout/process4"/>
    <dgm:cxn modelId="{30FE9912-A55D-48B9-86F2-A71AB2E0E612}" type="presParOf" srcId="{59C3FFAF-C38B-4A1B-9539-3437B5DF7D50}" destId="{413DE2EF-8E84-4DC6-87EB-3CEBD0DCF010}" srcOrd="2" destOrd="0" presId="urn:microsoft.com/office/officeart/2005/8/layout/process4"/>
    <dgm:cxn modelId="{1F16724F-C69B-4634-B233-6C1C41ADA78C}" type="presParOf" srcId="{413DE2EF-8E84-4DC6-87EB-3CEBD0DCF010}" destId="{EE624462-5438-426F-BE85-18B493F75B75}" srcOrd="0" destOrd="0" presId="urn:microsoft.com/office/officeart/2005/8/layout/process4"/>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0C7E-6C17-41E0-8203-2CC923AA1D7C}">
      <dsp:nvSpPr>
        <dsp:cNvPr id="0" name=""/>
        <dsp:cNvSpPr/>
      </dsp:nvSpPr>
      <dsp:spPr>
        <a:xfrm>
          <a:off x="0" y="4677598"/>
          <a:ext cx="5382894" cy="61393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incenitve payment</a:t>
          </a:r>
        </a:p>
      </dsp:txBody>
      <dsp:txXfrm>
        <a:off x="0" y="4677598"/>
        <a:ext cx="5382894" cy="331523"/>
      </dsp:txXfrm>
    </dsp:sp>
    <dsp:sp modelId="{589B3615-FBE1-4606-86BE-F34CB92F7FB7}">
      <dsp:nvSpPr>
        <dsp:cNvPr id="0" name=""/>
        <dsp:cNvSpPr/>
      </dsp:nvSpPr>
      <dsp:spPr>
        <a:xfrm>
          <a:off x="0" y="5016466"/>
          <a:ext cx="5382894" cy="277568"/>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The total financial incentive a distributor accrued in regulatory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1000" kern="1200"/>
            <a:t> is included in the distirbutor's annual revenue requirement for regulatory year </a:t>
          </a:r>
          <a14:m xmlns:a14="http://schemas.microsoft.com/office/drawing/2010/main">
            <m:oMath xmlns:m="http://schemas.openxmlformats.org/officeDocument/2006/math">
              <m:r>
                <a:rPr lang="en-AU" sz="1000" b="0" i="1" kern="1200">
                  <a:latin typeface="Cambria Math"/>
                </a:rPr>
                <m:t>𝑡</m:t>
              </m:r>
            </m:oMath>
          </a14:m>
          <a:r>
            <a:rPr lang="en-AU" sz="1000" kern="1200"/>
            <a:t>.</a:t>
          </a:r>
        </a:p>
      </dsp:txBody>
      <dsp:txXfrm>
        <a:off x="0" y="5016466"/>
        <a:ext cx="5382894" cy="277568"/>
      </dsp:txXfrm>
    </dsp:sp>
    <dsp:sp modelId="{914576FE-584C-44C5-9919-C4C800703DD5}">
      <dsp:nvSpPr>
        <dsp:cNvPr id="0" name=""/>
        <dsp:cNvSpPr/>
      </dsp:nvSpPr>
      <dsp:spPr>
        <a:xfrm rot="10800000">
          <a:off x="0" y="3742579"/>
          <a:ext cx="5382894" cy="944227"/>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AER use of compliance report to determine financial incentive</a:t>
          </a:r>
        </a:p>
      </dsp:txBody>
      <dsp:txXfrm rot="-10800000">
        <a:off x="0" y="3742579"/>
        <a:ext cx="5382894" cy="331423"/>
      </dsp:txXfrm>
    </dsp:sp>
    <dsp:sp modelId="{49E6B52A-7569-4CC5-9D95-61B6EDD194A5}">
      <dsp:nvSpPr>
        <dsp:cNvPr id="0" name=""/>
        <dsp:cNvSpPr/>
      </dsp:nvSpPr>
      <dsp:spPr>
        <a:xfrm>
          <a:off x="0" y="4026806"/>
          <a:ext cx="5382894" cy="318018"/>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 reviews the total financial incentive a distributor accrued and publishes a performance report on how distributors used the scheme.</a:t>
          </a:r>
        </a:p>
      </dsp:txBody>
      <dsp:txXfrm>
        <a:off x="0" y="4026806"/>
        <a:ext cx="5382894" cy="318018"/>
      </dsp:txXfrm>
    </dsp:sp>
    <dsp:sp modelId="{65C9D7D2-5F7E-4FC3-926B-9573AC37E08D}">
      <dsp:nvSpPr>
        <dsp:cNvPr id="0" name=""/>
        <dsp:cNvSpPr/>
      </dsp:nvSpPr>
      <dsp:spPr>
        <a:xfrm rot="10800000">
          <a:off x="0" y="2807560"/>
          <a:ext cx="5382894" cy="944227"/>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Compliance reporting</a:t>
          </a:r>
        </a:p>
      </dsp:txBody>
      <dsp:txXfrm rot="-10800000">
        <a:off x="0" y="2807560"/>
        <a:ext cx="5382894" cy="331423"/>
      </dsp:txXfrm>
    </dsp:sp>
    <dsp:sp modelId="{DE146BB8-63B0-4C44-A077-C9E7805DB542}">
      <dsp:nvSpPr>
        <dsp:cNvPr id="0" name=""/>
        <dsp:cNvSpPr/>
      </dsp:nvSpPr>
      <dsp:spPr>
        <a:xfrm>
          <a:off x="0" y="3064542"/>
          <a:ext cx="5382894" cy="360632"/>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reports data on the past regulatory year, including the incentive it accrued, how it identified eligible projects, and the costs, benefits and outputs of eligible projects.</a:t>
          </a:r>
          <a:endParaRPr lang="en-AU" sz="800" kern="1200"/>
        </a:p>
      </dsp:txBody>
      <dsp:txXfrm>
        <a:off x="0" y="3064542"/>
        <a:ext cx="5382894" cy="360632"/>
      </dsp:txXfrm>
    </dsp:sp>
    <dsp:sp modelId="{0CDE65D9-BE06-40A2-927B-9A7859CFEE35}">
      <dsp:nvSpPr>
        <dsp:cNvPr id="0" name=""/>
        <dsp:cNvSpPr/>
      </dsp:nvSpPr>
      <dsp:spPr>
        <a:xfrm rot="10800000">
          <a:off x="0" y="1872541"/>
          <a:ext cx="5382894" cy="944227"/>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Determining the incentive for eligible projects</a:t>
          </a:r>
        </a:p>
      </dsp:txBody>
      <dsp:txXfrm rot="-10800000">
        <a:off x="0" y="1872541"/>
        <a:ext cx="5382894" cy="331423"/>
      </dsp:txXfrm>
    </dsp:sp>
    <dsp:sp modelId="{ED641B63-ACDF-4726-989D-EA89A2BD6BDF}">
      <dsp:nvSpPr>
        <dsp:cNvPr id="0" name=""/>
        <dsp:cNvSpPr/>
      </dsp:nvSpPr>
      <dsp:spPr>
        <a:xfrm>
          <a:off x="0" y="2140315"/>
          <a:ext cx="5382894" cy="317078"/>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a:t>
          </a:r>
          <a:r>
            <a:rPr lang="en-AU" sz="1000" kern="1200">
              <a:latin typeface="Arial"/>
              <a:cs typeface="Arial"/>
            </a:rPr>
            <a:t>determines the project incentive for an eligible project that delivers a net benefit to retail customers.</a:t>
          </a:r>
          <a:endParaRPr lang="en-AU" sz="1000" kern="1200"/>
        </a:p>
      </dsp:txBody>
      <dsp:txXfrm>
        <a:off x="0" y="2140315"/>
        <a:ext cx="5382894" cy="317078"/>
      </dsp:txXfrm>
    </dsp:sp>
    <dsp:sp modelId="{15AA34B8-34B8-4581-8EBE-E799BDE04DA4}">
      <dsp:nvSpPr>
        <dsp:cNvPr id="0" name=""/>
        <dsp:cNvSpPr/>
      </dsp:nvSpPr>
      <dsp:spPr>
        <a:xfrm rot="10800000">
          <a:off x="0" y="937523"/>
          <a:ext cx="5382894" cy="944227"/>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Identifying and committing eligible projects</a:t>
          </a:r>
        </a:p>
      </dsp:txBody>
      <dsp:txXfrm rot="-10800000">
        <a:off x="0" y="937523"/>
        <a:ext cx="5382894" cy="331423"/>
      </dsp:txXfrm>
    </dsp:sp>
    <dsp:sp modelId="{5860FC34-9FED-46BE-B600-F7F066EE27C8}">
      <dsp:nvSpPr>
        <dsp:cNvPr id="0" name=""/>
        <dsp:cNvSpPr/>
      </dsp:nvSpPr>
      <dsp:spPr>
        <a:xfrm>
          <a:off x="0" y="1228417"/>
          <a:ext cx="5382894" cy="31477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identifies </a:t>
          </a:r>
          <a:r>
            <a:rPr lang="en-AU" sz="1000" kern="1200">
              <a:latin typeface="Arial"/>
              <a:cs typeface="Arial"/>
            </a:rPr>
            <a:t>via RIT-D/minimum </a:t>
          </a:r>
          <a:r>
            <a:rPr lang="en-AU" sz="1000" kern="1200"/>
            <a:t>project evaluation </a:t>
          </a:r>
          <a:r>
            <a:rPr lang="en-AU" sz="1000" kern="1200">
              <a:latin typeface="Arial"/>
              <a:cs typeface="Arial"/>
            </a:rPr>
            <a:t>requirements preferred and non-network options relating to demand management. It commits to deliverables for each project.</a:t>
          </a:r>
          <a:endParaRPr lang="en-AU" sz="1000" kern="1200"/>
        </a:p>
      </dsp:txBody>
      <dsp:txXfrm>
        <a:off x="0" y="1228417"/>
        <a:ext cx="5382894" cy="314777"/>
      </dsp:txXfrm>
    </dsp:sp>
    <dsp:sp modelId="{64A88903-925F-403B-BCBC-836AEF7C5D29}">
      <dsp:nvSpPr>
        <dsp:cNvPr id="0" name=""/>
        <dsp:cNvSpPr/>
      </dsp:nvSpPr>
      <dsp:spPr>
        <a:xfrm rot="10800000">
          <a:off x="0" y="1"/>
          <a:ext cx="5382894" cy="944227"/>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the Scheme</a:t>
          </a:r>
        </a:p>
      </dsp:txBody>
      <dsp:txXfrm rot="-10800000">
        <a:off x="0" y="1"/>
        <a:ext cx="5382894" cy="331423"/>
      </dsp:txXfrm>
    </dsp:sp>
    <dsp:sp modelId="{EE624462-5438-426F-BE85-18B493F75B75}">
      <dsp:nvSpPr>
        <dsp:cNvPr id="0" name=""/>
        <dsp:cNvSpPr/>
      </dsp:nvSpPr>
      <dsp:spPr>
        <a:xfrm>
          <a:off x="0" y="270128"/>
          <a:ext cx="5382894" cy="321702"/>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AER's distribution determination specifies how the Scheme applies to a distributor for the regulatory control period.</a:t>
          </a:r>
        </a:p>
      </dsp:txBody>
      <dsp:txXfrm>
        <a:off x="0" y="270128"/>
        <a:ext cx="5382894" cy="3217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0C7E-6C17-41E0-8203-2CC923AA1D7C}">
      <dsp:nvSpPr>
        <dsp:cNvPr id="0" name=""/>
        <dsp:cNvSpPr/>
      </dsp:nvSpPr>
      <dsp:spPr>
        <a:xfrm>
          <a:off x="0" y="3351682"/>
          <a:ext cx="5382894" cy="57050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𝒚𝒆𝒂𝒓</m:t>
                </m:r>
                <m:r>
                  <a:rPr lang="en-AU" sz="1100" b="1" i="1" kern="1200">
                    <a:latin typeface="Cambria Math"/>
                  </a:rPr>
                  <m:t> </m:t>
                </m:r>
                <m:r>
                  <a:rPr lang="en-AU" sz="1100" b="1" i="1" kern="1200">
                    <a:latin typeface="Cambria Math"/>
                  </a:rPr>
                  <m:t>𝒕</m:t>
                </m:r>
              </m:oMath>
            </m:oMathPara>
          </a14:m>
          <a:endParaRPr lang="en-AU" sz="1100" b="1" kern="1200"/>
        </a:p>
      </dsp:txBody>
      <dsp:txXfrm>
        <a:off x="0" y="3351682"/>
        <a:ext cx="5382894" cy="308074"/>
      </dsp:txXfrm>
    </dsp:sp>
    <dsp:sp modelId="{589B3615-FBE1-4606-86BE-F34CB92F7FB7}">
      <dsp:nvSpPr>
        <dsp:cNvPr id="0" name=""/>
        <dsp:cNvSpPr/>
      </dsp:nvSpPr>
      <dsp:spPr>
        <a:xfrm>
          <a:off x="0" y="3603097"/>
          <a:ext cx="5382894" cy="308118"/>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recovers total financial incentive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r>
            <a:rPr lang="en-AU" sz="1000" kern="1200"/>
            <a:t> from consumers in year </a:t>
          </a:r>
          <a14:m xmlns:a14="http://schemas.microsoft.com/office/drawing/2010/main">
            <m:oMath xmlns:m="http://schemas.openxmlformats.org/officeDocument/2006/math">
              <m:r>
                <a:rPr lang="en-AU" sz="1000" b="0" i="1" kern="1200">
                  <a:latin typeface="Cambria Math"/>
                </a:rPr>
                <m:t>𝑡</m:t>
              </m:r>
            </m:oMath>
          </a14:m>
          <a:r>
            <a:rPr lang="en-AU" sz="1000" kern="1200"/>
            <a:t> via distribution use of system charges</a:t>
          </a:r>
        </a:p>
      </dsp:txBody>
      <dsp:txXfrm>
        <a:off x="0" y="3603097"/>
        <a:ext cx="5382894" cy="308118"/>
      </dsp:txXfrm>
    </dsp:sp>
    <dsp:sp modelId="{914576FE-584C-44C5-9919-C4C800703DD5}">
      <dsp:nvSpPr>
        <dsp:cNvPr id="0" name=""/>
        <dsp:cNvSpPr/>
      </dsp:nvSpPr>
      <dsp:spPr>
        <a:xfrm rot="10800000">
          <a:off x="0" y="2530777"/>
          <a:ext cx="5382894" cy="784704"/>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𝟑</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2530777"/>
        <a:ext cx="5382894" cy="275431"/>
      </dsp:txXfrm>
    </dsp:sp>
    <dsp:sp modelId="{49E6B52A-7569-4CC5-9D95-61B6EDD194A5}">
      <dsp:nvSpPr>
        <dsp:cNvPr id="0" name=""/>
        <dsp:cNvSpPr/>
      </dsp:nvSpPr>
      <dsp:spPr>
        <a:xfrm>
          <a:off x="0" y="2732713"/>
          <a:ext cx="5382894" cy="306845"/>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submits pricing proposal for year </a:t>
          </a:r>
          <a14:m xmlns:a14="http://schemas.microsoft.com/office/drawing/2010/main">
            <m:oMath xmlns:m="http://schemas.openxmlformats.org/officeDocument/2006/math">
              <m:r>
                <a:rPr lang="en-AU" sz="1000" b="0" i="1" kern="1200">
                  <a:latin typeface="Cambria Math"/>
                </a:rPr>
                <m:t>𝑡</m:t>
              </m:r>
            </m:oMath>
          </a14:m>
          <a:r>
            <a:rPr lang="en-AU" sz="1000" kern="1200"/>
            <a:t> to AER, which includes, as part of its revenue requirement, the total financial incentive approved or determined by AER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endParaRPr lang="en-AU" sz="1000" kern="1200"/>
        </a:p>
      </dsp:txBody>
      <dsp:txXfrm>
        <a:off x="0" y="2732713"/>
        <a:ext cx="5382894" cy="306845"/>
      </dsp:txXfrm>
    </dsp:sp>
    <dsp:sp modelId="{65C9D7D2-5F7E-4FC3-926B-9573AC37E08D}">
      <dsp:nvSpPr>
        <dsp:cNvPr id="0" name=""/>
        <dsp:cNvSpPr/>
      </dsp:nvSpPr>
      <dsp:spPr>
        <a:xfrm rot="10800000">
          <a:off x="0" y="1728561"/>
          <a:ext cx="5382894" cy="855531"/>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𝟑</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1728561"/>
        <a:ext cx="5382894" cy="300291"/>
      </dsp:txXfrm>
    </dsp:sp>
    <dsp:sp modelId="{DE146BB8-63B0-4C44-A077-C9E7805DB542}">
      <dsp:nvSpPr>
        <dsp:cNvPr id="0" name=""/>
        <dsp:cNvSpPr/>
      </dsp:nvSpPr>
      <dsp:spPr>
        <a:xfrm>
          <a:off x="0" y="1964720"/>
          <a:ext cx="5382894" cy="318506"/>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The AER determines the total financial incentive  for the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endParaRPr lang="en-AU" sz="800" kern="1200"/>
        </a:p>
      </dsp:txBody>
      <dsp:txXfrm>
        <a:off x="0" y="1964720"/>
        <a:ext cx="5382894" cy="318506"/>
      </dsp:txXfrm>
    </dsp:sp>
    <dsp:sp modelId="{0CDE65D9-BE06-40A2-927B-9A7859CFEE35}">
      <dsp:nvSpPr>
        <dsp:cNvPr id="0" name=""/>
        <dsp:cNvSpPr/>
      </dsp:nvSpPr>
      <dsp:spPr>
        <a:xfrm rot="10800000">
          <a:off x="0" y="859678"/>
          <a:ext cx="5382894" cy="877441"/>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𝟖</m:t>
                </m:r>
                <m:r>
                  <a:rPr lang="en-AU" sz="1100" b="1" i="1" kern="1200">
                    <a:latin typeface="Cambria Math"/>
                  </a:rPr>
                  <m:t> </m:t>
                </m:r>
                <m:r>
                  <a:rPr lang="en-AU" sz="1100" b="1" i="1" kern="1200">
                    <a:latin typeface="Cambria Math"/>
                  </a:rPr>
                  <m:t>𝒎𝒐𝒏𝒕𝒉𝒔</m:t>
                </m:r>
              </m:oMath>
            </m:oMathPara>
          </a14:m>
          <a:endParaRPr lang="en-AU" sz="1100" b="1" kern="1200"/>
        </a:p>
      </dsp:txBody>
      <dsp:txXfrm rot="-10800000">
        <a:off x="0" y="859678"/>
        <a:ext cx="5382894" cy="307981"/>
      </dsp:txXfrm>
    </dsp:sp>
    <dsp:sp modelId="{ED641B63-ACDF-4726-989D-EA89A2BD6BDF}">
      <dsp:nvSpPr>
        <dsp:cNvPr id="0" name=""/>
        <dsp:cNvSpPr/>
      </dsp:nvSpPr>
      <dsp:spPr>
        <a:xfrm>
          <a:off x="0" y="1137386"/>
          <a:ext cx="5382894" cy="288852"/>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submits compliance report to the AER under this scheme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endParaRPr lang="en-AU" sz="1000" kern="1200"/>
        </a:p>
      </dsp:txBody>
      <dsp:txXfrm>
        <a:off x="0" y="1137386"/>
        <a:ext cx="5382894" cy="288852"/>
      </dsp:txXfrm>
    </dsp:sp>
    <dsp:sp modelId="{64A88903-925F-403B-BCBC-836AEF7C5D29}">
      <dsp:nvSpPr>
        <dsp:cNvPr id="0" name=""/>
        <dsp:cNvSpPr/>
      </dsp:nvSpPr>
      <dsp:spPr>
        <a:xfrm rot="10800000">
          <a:off x="0" y="0"/>
          <a:ext cx="5382894" cy="867850"/>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AU" sz="1100" b="1" i="1" kern="1200">
                    <a:latin typeface="Cambria Math"/>
                  </a:rPr>
                  <m:t>𝒕</m:t>
                </m:r>
                <m:r>
                  <a:rPr lang="en-AU" sz="1100" b="1" i="1" kern="1200">
                    <a:latin typeface="Cambria Math"/>
                  </a:rPr>
                  <m:t>−</m:t>
                </m:r>
                <m:r>
                  <a:rPr lang="en-AU" sz="1100" b="1" i="1" kern="1200">
                    <a:latin typeface="Cambria Math"/>
                  </a:rPr>
                  <m:t>𝟐</m:t>
                </m:r>
                <m:r>
                  <a:rPr lang="en-AU" sz="1100" b="1" i="1" kern="1200">
                    <a:latin typeface="Cambria Math"/>
                  </a:rPr>
                  <m:t> </m:t>
                </m:r>
                <m:r>
                  <a:rPr lang="en-AU" sz="1100" b="1" i="1" kern="1200">
                    <a:latin typeface="Cambria Math"/>
                  </a:rPr>
                  <m:t>𝒚𝒆𝒂𝒓𝒔</m:t>
                </m:r>
              </m:oMath>
            </m:oMathPara>
          </a14:m>
          <a:endParaRPr lang="en-AU" sz="1100" b="1" kern="1200"/>
        </a:p>
      </dsp:txBody>
      <dsp:txXfrm rot="-10800000">
        <a:off x="0" y="0"/>
        <a:ext cx="5382894" cy="304615"/>
      </dsp:txXfrm>
    </dsp:sp>
    <dsp:sp modelId="{EE624462-5438-426F-BE85-18B493F75B75}">
      <dsp:nvSpPr>
        <dsp:cNvPr id="0" name=""/>
        <dsp:cNvSpPr/>
      </dsp:nvSpPr>
      <dsp:spPr>
        <a:xfrm>
          <a:off x="0" y="285015"/>
          <a:ext cx="5382894" cy="272235"/>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accrues the total financial incentive for year </a:t>
          </a:r>
          <a14:m xmlns:a14="http://schemas.microsoft.com/office/drawing/2010/main">
            <m:oMath xmlns:m="http://schemas.openxmlformats.org/officeDocument/2006/math">
              <m:r>
                <a:rPr lang="en-AU" sz="1000" b="0" i="1" kern="1200">
                  <a:latin typeface="Cambria Math"/>
                </a:rPr>
                <m:t>𝑡</m:t>
              </m:r>
              <m:r>
                <a:rPr lang="en-AU" sz="1000" b="0" i="1" kern="1200">
                  <a:latin typeface="Cambria Math"/>
                </a:rPr>
                <m:t>−2</m:t>
              </m:r>
            </m:oMath>
          </a14:m>
          <a:endParaRPr lang="en-AU" sz="1000" kern="1200"/>
        </a:p>
      </dsp:txBody>
      <dsp:txXfrm>
        <a:off x="0" y="285015"/>
        <a:ext cx="5382894" cy="2722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1660A6-40D9-4458-83B2-76FC556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5EC6950E</Template>
  <TotalTime>0</TotalTime>
  <Pages>69</Pages>
  <Words>20573</Words>
  <Characters>117267</Characters>
  <Application>Microsoft Office Word</Application>
  <DocSecurity>4</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2017-08-25T08:17:00Z</dcterms:created>
  <dcterms:modified xsi:type="dcterms:W3CDTF">2017-08-25T08:17:00Z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