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760A7C" w:rsidP="008A1935">
      <w:pPr>
        <w:pStyle w:val="AERbodytextleftalign"/>
        <w:rPr>
          <w:rStyle w:val="AERbody"/>
          <w:rFonts w:eastAsiaTheme="majorEastAsia"/>
        </w:rPr>
      </w:pPr>
      <w:bookmarkStart w:id="0" w:name="_GoBack"/>
      <w:bookmarkEnd w:id="0"/>
      <w:r w:rsidRPr="00760A7C">
        <w:rPr>
          <w:noProof/>
          <w:lang w:eastAsia="en-AU"/>
        </w:rPr>
        <w:drawing>
          <wp:anchor distT="0" distB="0" distL="114300" distR="114300" simplePos="0" relativeHeight="251659264" behindDoc="1" locked="0" layoutInCell="1" allowOverlap="1" wp14:anchorId="33EE3194" wp14:editId="53F0BD3A">
            <wp:simplePos x="0" y="0"/>
            <wp:positionH relativeFrom="column">
              <wp:posOffset>-1146810</wp:posOffset>
            </wp:positionH>
            <wp:positionV relativeFrom="paragraph">
              <wp:posOffset>-911336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B11734" w:rsidRDefault="00B11734" w:rsidP="00B11734">
          <w:pPr>
            <w:pStyle w:val="ReportTitle"/>
          </w:pPr>
          <w:r>
            <w:t>Explanatory statement</w:t>
          </w:r>
        </w:p>
        <w:p w:rsidR="000A6C7B" w:rsidRPr="00B11734" w:rsidRDefault="00044A75" w:rsidP="00B11734">
          <w:pPr>
            <w:pStyle w:val="ReportSubtitle"/>
          </w:pPr>
          <w:r>
            <w:t xml:space="preserve">Draft </w:t>
          </w:r>
          <w:r w:rsidR="00B11734">
            <w:t xml:space="preserve">demand management </w:t>
          </w:r>
          <w:r w:rsidR="0058776F">
            <w:t>innovation al</w:t>
          </w:r>
          <w:r w:rsidR="00DC35AA">
            <w:t>l</w:t>
          </w:r>
          <w:r w:rsidR="0058776F">
            <w:t>owance mechanism</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C12440" w:rsidP="00327A1E">
          <w:pPr>
            <w:pStyle w:val="ReportDate"/>
          </w:pPr>
          <w:r>
            <w:t>August</w:t>
          </w:r>
          <w:r w:rsidR="00386073">
            <w:t xml:space="preserve">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00760A7C" w:rsidRPr="005316BC">
          <w:rPr>
            <w:rStyle w:val="Hyperlink"/>
          </w:rPr>
          <w:t>DM@aer.gov.au</w:t>
        </w:r>
      </w:hyperlink>
      <w:r>
        <w:rPr>
          <w:rStyle w:val="Hyperlink"/>
        </w:rPr>
        <w:br/>
      </w:r>
    </w:p>
    <w:p w:rsidR="00030FD9" w:rsidRDefault="00030FD9" w:rsidP="00761454">
      <w:r>
        <w:t>AER reference: 58882</w:t>
      </w:r>
    </w:p>
    <w:p w:rsidR="00291A99" w:rsidRDefault="00B11734" w:rsidP="00B11734">
      <w:pPr>
        <w:pStyle w:val="UnnumberedHeading"/>
      </w:pPr>
      <w:bookmarkStart w:id="2" w:name="_Toc491360640"/>
      <w:r>
        <w:lastRenderedPageBreak/>
        <w:t>Request for submissions</w:t>
      </w:r>
      <w:bookmarkEnd w:id="2"/>
    </w:p>
    <w:p w:rsidR="00B11734" w:rsidRPr="00B11734" w:rsidRDefault="001E57BD" w:rsidP="00B11734">
      <w:r w:rsidRPr="00B11734">
        <w:t xml:space="preserve">The Australian Energy Regulator (AER) </w:t>
      </w:r>
      <w:r>
        <w:t>invites</w:t>
      </w:r>
      <w:r w:rsidR="00B11734">
        <w:t xml:space="preserve"> i</w:t>
      </w:r>
      <w:r w:rsidR="00B11734" w:rsidRPr="00B11734">
        <w:t xml:space="preserve">nterested parties to make written submissions regarding this paper by the close of business </w:t>
      </w:r>
      <w:r w:rsidR="00B05F86">
        <w:rPr>
          <w:rStyle w:val="Bold"/>
        </w:rPr>
        <w:t>12</w:t>
      </w:r>
      <w:r w:rsidR="00B11734" w:rsidRPr="00B11734">
        <w:rPr>
          <w:rStyle w:val="Bold"/>
        </w:rPr>
        <w:t xml:space="preserve"> </w:t>
      </w:r>
      <w:r w:rsidR="00431922">
        <w:rPr>
          <w:rStyle w:val="Bold"/>
        </w:rPr>
        <w:t>Octo</w:t>
      </w:r>
      <w:r w:rsidR="00431922" w:rsidRPr="00B11734">
        <w:rPr>
          <w:rStyle w:val="Bold"/>
        </w:rPr>
        <w:t xml:space="preserve">ber </w:t>
      </w:r>
      <w:r w:rsidR="00B11734" w:rsidRPr="00B11734">
        <w:rPr>
          <w:rStyle w:val="Bold"/>
        </w:rPr>
        <w:t>201</w:t>
      </w:r>
      <w:r w:rsidR="00B11734">
        <w:rPr>
          <w:rStyle w:val="Bold"/>
        </w:rPr>
        <w:t>7</w:t>
      </w:r>
      <w:r w:rsidR="00B11734" w:rsidRPr="00B11734">
        <w:t>.</w:t>
      </w:r>
    </w:p>
    <w:p w:rsidR="00B11734" w:rsidRPr="00B11734" w:rsidRDefault="00B11734" w:rsidP="00B11734">
      <w:r>
        <w:t>Interested parties should send s</w:t>
      </w:r>
      <w:r w:rsidRPr="00B11734">
        <w:t xml:space="preserve">ubmissions electronically to: </w:t>
      </w:r>
      <w:hyperlink r:id="rId12" w:history="1">
        <w:r w:rsidRPr="00723547">
          <w:rPr>
            <w:rStyle w:val="Hyperlink"/>
          </w:rPr>
          <w:t>DM@aer.gov.au</w:t>
        </w:r>
      </w:hyperlink>
      <w:r>
        <w:t xml:space="preserve">. </w:t>
      </w:r>
    </w:p>
    <w:p w:rsidR="00B11734" w:rsidRPr="00CC31C5" w:rsidRDefault="00B11734" w:rsidP="00CC31C5">
      <w:pPr>
        <w:rPr>
          <w:rStyle w:val="AERbody"/>
        </w:rPr>
      </w:pPr>
      <w:r w:rsidRPr="00CC31C5">
        <w:rPr>
          <w:rStyle w:val="AERbody"/>
        </w:rPr>
        <w:t xml:space="preserve">Alternatively, </w:t>
      </w:r>
      <w:r w:rsidR="007925FB" w:rsidRPr="00CC31C5">
        <w:rPr>
          <w:rStyle w:val="AERbody"/>
        </w:rPr>
        <w:t xml:space="preserve">people can mail </w:t>
      </w:r>
      <w:r w:rsidRPr="00CC31C5">
        <w:rPr>
          <w:rStyle w:val="AERbody"/>
        </w:rPr>
        <w:t>submissions to:</w:t>
      </w:r>
    </w:p>
    <w:p w:rsidR="00B11734" w:rsidRPr="007925FB" w:rsidRDefault="00B11734" w:rsidP="00CC31C5">
      <w:r w:rsidRPr="007925FB">
        <w:t xml:space="preserve">Mr </w:t>
      </w:r>
      <w:r w:rsidR="007925FB" w:rsidRPr="007925FB">
        <w:t xml:space="preserve">Warwick </w:t>
      </w:r>
      <w:r w:rsidR="007925FB" w:rsidRPr="00CC31C5">
        <w:rPr>
          <w:rStyle w:val="AERbody"/>
        </w:rPr>
        <w:t>Anderson</w:t>
      </w:r>
    </w:p>
    <w:p w:rsidR="00B11734" w:rsidRPr="007925FB" w:rsidRDefault="00B11734" w:rsidP="007925FB">
      <w:pPr>
        <w:pStyle w:val="E-mailSignature"/>
      </w:pPr>
      <w:r w:rsidRPr="007925FB">
        <w:t>General Manager, Network</w:t>
      </w:r>
      <w:r w:rsidR="007925FB" w:rsidRPr="007925FB">
        <w:t xml:space="preserve"> Finance and Reporting</w:t>
      </w:r>
    </w:p>
    <w:p w:rsidR="00B11734" w:rsidRPr="007925FB" w:rsidRDefault="00B11734" w:rsidP="007925FB">
      <w:pPr>
        <w:pStyle w:val="E-mailSignature"/>
      </w:pPr>
      <w:r w:rsidRPr="007925FB">
        <w:t>Australian Energy Regulator</w:t>
      </w:r>
    </w:p>
    <w:p w:rsidR="00B11734" w:rsidRPr="007925FB" w:rsidRDefault="007925FB" w:rsidP="007925FB">
      <w:pPr>
        <w:pStyle w:val="E-mailSignature"/>
      </w:pPr>
      <w:r w:rsidRPr="007925FB">
        <w:t>GPO Box 3131</w:t>
      </w:r>
    </w:p>
    <w:p w:rsidR="00B11734" w:rsidRPr="007925FB" w:rsidRDefault="007925FB" w:rsidP="007925FB">
      <w:pPr>
        <w:pStyle w:val="E-mailSignature"/>
      </w:pPr>
      <w:r w:rsidRPr="007925FB">
        <w:t>Canberra  ACT  26</w:t>
      </w:r>
      <w:r w:rsidR="00B11734" w:rsidRPr="007925FB">
        <w:t>01</w:t>
      </w:r>
    </w:p>
    <w:p w:rsidR="00B11734" w:rsidRPr="00B11734" w:rsidRDefault="001E57BD" w:rsidP="00B11734">
      <w:r>
        <w:t>We prefer</w:t>
      </w:r>
      <w:r w:rsidR="00B11734" w:rsidRPr="00B11734">
        <w:t xml:space="preserve"> that all submissions be publicly available to facilitate an informed and transparent consultative process. </w:t>
      </w:r>
      <w:r w:rsidR="007925FB">
        <w:t>We will treat s</w:t>
      </w:r>
      <w:r w:rsidR="00B11734" w:rsidRPr="00B11734">
        <w:t>ubmissions as public documents unless otherwise requested.</w:t>
      </w:r>
    </w:p>
    <w:p w:rsidR="00B11734" w:rsidRPr="00B11734" w:rsidRDefault="007925FB" w:rsidP="00B11734">
      <w:r>
        <w:t>We request p</w:t>
      </w:r>
      <w:r w:rsidR="00B11734" w:rsidRPr="00B11734">
        <w:t>arties wishing to submit confidential information to:</w:t>
      </w:r>
    </w:p>
    <w:p w:rsidR="00B11734" w:rsidRPr="00B11734" w:rsidRDefault="007925FB" w:rsidP="007925FB">
      <w:pPr>
        <w:pStyle w:val="AERbulletlistfirststyle"/>
      </w:pPr>
      <w:r>
        <w:t>Cl</w:t>
      </w:r>
      <w:r w:rsidR="00B11734" w:rsidRPr="00B11734">
        <w:t>early identify the information that is the subject of the confidentiality claim</w:t>
      </w:r>
      <w:r>
        <w:t>.</w:t>
      </w:r>
    </w:p>
    <w:p w:rsidR="00B11734" w:rsidRPr="00B11734" w:rsidRDefault="007925FB" w:rsidP="007925FB">
      <w:pPr>
        <w:pStyle w:val="AERbulletlistfirststyle"/>
      </w:pPr>
      <w:r>
        <w:t>P</w:t>
      </w:r>
      <w:r w:rsidR="00B11734" w:rsidRPr="00B11734">
        <w:t>rovide a non-confidential version of the submission in a form suitable for publication.</w:t>
      </w:r>
    </w:p>
    <w:p w:rsidR="00B11734" w:rsidRPr="00B11734" w:rsidRDefault="007925FB" w:rsidP="00B11734">
      <w:r>
        <w:t>We will place a</w:t>
      </w:r>
      <w:r w:rsidR="00B11734" w:rsidRPr="00B11734">
        <w:t xml:space="preserve">ll non-confidential submissions </w:t>
      </w:r>
      <w:r w:rsidR="001E57BD">
        <w:t>on our</w:t>
      </w:r>
      <w:r w:rsidR="00B11734" w:rsidRPr="00B11734">
        <w:t xml:space="preserve"> website at www.aer.gov.au. For further information regarding </w:t>
      </w:r>
      <w:r w:rsidR="001E57BD">
        <w:t>our use</w:t>
      </w:r>
      <w:r w:rsidR="00B11734" w:rsidRPr="00B11734">
        <w:t xml:space="preserve"> and disclosu</w:t>
      </w:r>
      <w:r w:rsidR="001E57BD">
        <w:t>re of information provided to us</w:t>
      </w:r>
      <w:r w:rsidR="00B11734" w:rsidRPr="00B11734">
        <w:t xml:space="preserve">, see the ACCC/AER Information Policy, June 2014 available on </w:t>
      </w:r>
      <w:r w:rsidR="001E57BD">
        <w:t>our</w:t>
      </w:r>
      <w:r w:rsidR="00B11734" w:rsidRPr="00B11734">
        <w:t xml:space="preserve"> website.</w:t>
      </w:r>
    </w:p>
    <w:p w:rsidR="00B11734" w:rsidRDefault="007925FB" w:rsidP="00B11734">
      <w:r>
        <w:t>Please direct e</w:t>
      </w:r>
      <w:r w:rsidR="00B11734" w:rsidRPr="00B11734">
        <w:t xml:space="preserve">nquiries about this paper, or about lodging submissions, to </w:t>
      </w:r>
      <w:hyperlink r:id="rId13" w:history="1">
        <w:r w:rsidR="001E57BD" w:rsidRPr="00723547">
          <w:rPr>
            <w:rStyle w:val="Hyperlink"/>
          </w:rPr>
          <w:t>DM@aer.gov.au</w:t>
        </w:r>
      </w:hyperlink>
      <w:r w:rsidR="001E57BD">
        <w:t xml:space="preserve"> or to</w:t>
      </w:r>
      <w:r w:rsidR="00150CC3">
        <w:t xml:space="preserve"> Lisa Beckmann on (02) 9230 9164</w:t>
      </w:r>
      <w:r w:rsidR="00B11734" w:rsidRPr="00B11734">
        <w:t>.</w:t>
      </w:r>
    </w:p>
    <w:p w:rsidR="00B11734" w:rsidRPr="00B11734" w:rsidRDefault="00B11734" w:rsidP="00B11734">
      <w:pPr>
        <w:rPr>
          <w:rStyle w:val="AERbody"/>
        </w:rPr>
      </w:pPr>
    </w:p>
    <w:p w:rsidR="007925FB" w:rsidRDefault="007925FB" w:rsidP="007925FB">
      <w:pPr>
        <w:pStyle w:val="UnnumberedHeading"/>
      </w:pPr>
      <w:bookmarkStart w:id="3" w:name="_Toc491360641"/>
      <w:r>
        <w:lastRenderedPageBreak/>
        <w:t>Shortened forms</w:t>
      </w:r>
      <w:r w:rsidR="00EB22C0">
        <w:t xml:space="preserve"> and glossary</w:t>
      </w:r>
      <w:bookmarkEnd w:id="3"/>
    </w:p>
    <w:tbl>
      <w:tblPr>
        <w:tblStyle w:val="AERtable-text0"/>
        <w:tblW w:w="0" w:type="auto"/>
        <w:tblLook w:val="04A0" w:firstRow="1" w:lastRow="0" w:firstColumn="1" w:lastColumn="0" w:noHBand="0" w:noVBand="1"/>
      </w:tblPr>
      <w:tblGrid>
        <w:gridCol w:w="4340"/>
        <w:gridCol w:w="4353"/>
      </w:tblGrid>
      <w:tr w:rsidR="009259BD" w:rsidRPr="0087648F" w:rsidTr="00755DFD">
        <w:trPr>
          <w:cnfStyle w:val="100000000000" w:firstRow="1" w:lastRow="0" w:firstColumn="0" w:lastColumn="0" w:oddVBand="0" w:evenVBand="0" w:oddHBand="0" w:evenHBand="0" w:firstRowFirstColumn="0" w:firstRowLastColumn="0" w:lastRowFirstColumn="0" w:lastRowLastColumn="0"/>
          <w:tblHeader/>
        </w:trPr>
        <w:tc>
          <w:tcPr>
            <w:tcW w:w="4340" w:type="dxa"/>
          </w:tcPr>
          <w:p w:rsidR="009259BD" w:rsidRPr="009259BD" w:rsidRDefault="009259BD" w:rsidP="009259BD">
            <w:r>
              <w:t>Short</w:t>
            </w:r>
            <w:r w:rsidRPr="009259BD">
              <w:t>ened form or term</w:t>
            </w:r>
          </w:p>
        </w:tc>
        <w:tc>
          <w:tcPr>
            <w:tcW w:w="4353" w:type="dxa"/>
          </w:tcPr>
          <w:p w:rsidR="009259BD" w:rsidRPr="009259BD" w:rsidRDefault="009259BD" w:rsidP="009259BD">
            <w:r>
              <w:t>Extended form</w:t>
            </w:r>
            <w:r w:rsidRPr="009259BD">
              <w:t xml:space="preserve"> or definition</w:t>
            </w:r>
          </w:p>
        </w:tc>
      </w:tr>
      <w:tr w:rsidR="009259BD" w:rsidTr="00755DFD">
        <w:tc>
          <w:tcPr>
            <w:tcW w:w="4340" w:type="dxa"/>
          </w:tcPr>
          <w:p w:rsidR="009259BD" w:rsidRPr="009259BD" w:rsidRDefault="009259BD" w:rsidP="009259BD">
            <w:pPr>
              <w:pStyle w:val="AERtabletextleft"/>
              <w:rPr>
                <w:rStyle w:val="AERtextsize8"/>
              </w:rPr>
            </w:pPr>
            <w:r w:rsidRPr="00712239">
              <w:rPr>
                <w:rStyle w:val="AERtextsize8"/>
              </w:rPr>
              <w:t>AEMC</w:t>
            </w:r>
          </w:p>
        </w:tc>
        <w:tc>
          <w:tcPr>
            <w:tcW w:w="4353" w:type="dxa"/>
          </w:tcPr>
          <w:p w:rsidR="009259BD" w:rsidRPr="009259BD" w:rsidRDefault="009259BD" w:rsidP="009259BD">
            <w:pPr>
              <w:pStyle w:val="AERtabletextleft"/>
              <w:rPr>
                <w:rStyle w:val="AERtextsize8"/>
              </w:rPr>
            </w:pPr>
            <w:r w:rsidRPr="00712239">
              <w:rPr>
                <w:rStyle w:val="AERtextsize8"/>
              </w:rPr>
              <w:t>Australian Energy Market Commission</w:t>
            </w:r>
          </w:p>
        </w:tc>
      </w:tr>
      <w:tr w:rsidR="009259BD"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9259BD" w:rsidRPr="009259BD" w:rsidRDefault="009259BD" w:rsidP="009259BD">
            <w:pPr>
              <w:pStyle w:val="AERtabletextleft"/>
              <w:rPr>
                <w:rStyle w:val="AERtextsize8"/>
              </w:rPr>
            </w:pPr>
            <w:r w:rsidRPr="00712239">
              <w:rPr>
                <w:rStyle w:val="AERtextsize8"/>
              </w:rPr>
              <w:t>AEMO</w:t>
            </w:r>
          </w:p>
        </w:tc>
        <w:tc>
          <w:tcPr>
            <w:tcW w:w="4353" w:type="dxa"/>
          </w:tcPr>
          <w:p w:rsidR="009259BD" w:rsidRPr="009259BD" w:rsidRDefault="009259BD" w:rsidP="009259BD">
            <w:pPr>
              <w:pStyle w:val="AERtabletextleft"/>
              <w:rPr>
                <w:rStyle w:val="AERtextsize8"/>
              </w:rPr>
            </w:pPr>
            <w:r w:rsidRPr="00712239">
              <w:rPr>
                <w:rStyle w:val="AERtextsize8"/>
              </w:rPr>
              <w:t>Australian Energy Market Operator</w:t>
            </w:r>
          </w:p>
        </w:tc>
      </w:tr>
      <w:tr w:rsidR="009259BD" w:rsidTr="00755DFD">
        <w:tc>
          <w:tcPr>
            <w:tcW w:w="4340" w:type="dxa"/>
          </w:tcPr>
          <w:p w:rsidR="009259BD" w:rsidRPr="009259BD" w:rsidRDefault="009259BD" w:rsidP="009259BD">
            <w:pPr>
              <w:pStyle w:val="AERtabletextleft"/>
              <w:rPr>
                <w:rStyle w:val="AERtextsize8"/>
              </w:rPr>
            </w:pPr>
            <w:r w:rsidRPr="00712239">
              <w:rPr>
                <w:rStyle w:val="AERtextsize8"/>
              </w:rPr>
              <w:t>AER</w:t>
            </w:r>
          </w:p>
        </w:tc>
        <w:tc>
          <w:tcPr>
            <w:tcW w:w="4353" w:type="dxa"/>
          </w:tcPr>
          <w:p w:rsidR="009259BD" w:rsidRPr="009259BD" w:rsidRDefault="009259BD" w:rsidP="009259BD">
            <w:pPr>
              <w:pStyle w:val="AERtabletextleft"/>
              <w:rPr>
                <w:rStyle w:val="AERtextsize8"/>
              </w:rPr>
            </w:pPr>
            <w:r w:rsidRPr="00712239">
              <w:rPr>
                <w:rStyle w:val="AERtextsize8"/>
              </w:rPr>
              <w:t xml:space="preserve">Australian Energy </w:t>
            </w:r>
            <w:r w:rsidRPr="009259BD">
              <w:rPr>
                <w:rStyle w:val="AERtextsize8"/>
              </w:rPr>
              <w:t>Regulator</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A</w:t>
            </w:r>
            <w:r w:rsidRPr="00604F63">
              <w:rPr>
                <w:rStyle w:val="AERtextsize8"/>
              </w:rPr>
              <w:t>llowance Objective</w:t>
            </w:r>
          </w:p>
        </w:tc>
        <w:tc>
          <w:tcPr>
            <w:tcW w:w="4353" w:type="dxa"/>
          </w:tcPr>
          <w:p w:rsidR="00604F63" w:rsidRPr="00604F63" w:rsidRDefault="004C0C4D" w:rsidP="00604F63">
            <w:pPr>
              <w:pStyle w:val="AERtabletextleft"/>
              <w:rPr>
                <w:rStyle w:val="AERtextsize8"/>
              </w:rPr>
            </w:pPr>
            <w:r>
              <w:rPr>
                <w:rStyle w:val="AERtextsize8"/>
              </w:rPr>
              <w:t>T</w:t>
            </w:r>
            <w:r w:rsidR="00604F63">
              <w:rPr>
                <w:rStyle w:val="AERtextsize8"/>
              </w:rPr>
              <w:t xml:space="preserve">he demand management innovation allowance </w:t>
            </w:r>
            <w:r w:rsidR="00604F63" w:rsidRPr="00604F63">
              <w:rPr>
                <w:rStyle w:val="AERtextsize8"/>
              </w:rPr>
              <w:t>objective</w:t>
            </w:r>
          </w:p>
        </w:tc>
      </w:tr>
      <w:tr w:rsidR="00604F63" w:rsidTr="00755DFD">
        <w:tc>
          <w:tcPr>
            <w:tcW w:w="4340" w:type="dxa"/>
          </w:tcPr>
          <w:p w:rsidR="00604F63" w:rsidRPr="00604F63" w:rsidRDefault="00604F63" w:rsidP="00604F63">
            <w:pPr>
              <w:pStyle w:val="AERtabletextleft"/>
              <w:rPr>
                <w:rStyle w:val="AERtextsize8"/>
              </w:rPr>
            </w:pPr>
            <w:r>
              <w:rPr>
                <w:rStyle w:val="AERtextsize8"/>
              </w:rPr>
              <w:t>ARENA</w:t>
            </w:r>
          </w:p>
        </w:tc>
        <w:tc>
          <w:tcPr>
            <w:tcW w:w="4353" w:type="dxa"/>
          </w:tcPr>
          <w:p w:rsidR="00604F63" w:rsidRPr="00604F63" w:rsidRDefault="00604F63" w:rsidP="00604F63">
            <w:pPr>
              <w:pStyle w:val="AERtabletextleft"/>
              <w:rPr>
                <w:rStyle w:val="AERtextsize8"/>
              </w:rPr>
            </w:pPr>
            <w:r>
              <w:rPr>
                <w:rStyle w:val="AERtextsize8"/>
              </w:rPr>
              <w:t>Australian Renewable Energy Agency</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AR</w:t>
            </w:r>
          </w:p>
        </w:tc>
        <w:tc>
          <w:tcPr>
            <w:tcW w:w="4353" w:type="dxa"/>
          </w:tcPr>
          <w:p w:rsidR="00604F63" w:rsidRPr="00604F63" w:rsidRDefault="00604F63" w:rsidP="00604F63">
            <w:pPr>
              <w:pStyle w:val="AERtabletextleft"/>
              <w:rPr>
                <w:rStyle w:val="AERtextsize8"/>
              </w:rPr>
            </w:pPr>
            <w:r>
              <w:rPr>
                <w:rStyle w:val="AERtextsize8"/>
              </w:rPr>
              <w:t>A</w:t>
            </w:r>
            <w:r w:rsidRPr="00604F63">
              <w:rPr>
                <w:rStyle w:val="AERtextsize8"/>
              </w:rPr>
              <w:t>nnual smoothed revenue requirement</w:t>
            </w:r>
          </w:p>
        </w:tc>
      </w:tr>
      <w:tr w:rsidR="00604F63" w:rsidTr="00755DFD">
        <w:tc>
          <w:tcPr>
            <w:tcW w:w="4340" w:type="dxa"/>
          </w:tcPr>
          <w:p w:rsidR="00604F63" w:rsidRPr="00604F63" w:rsidRDefault="00604F63" w:rsidP="00604F63">
            <w:pPr>
              <w:pStyle w:val="AERtabletextleft"/>
              <w:rPr>
                <w:rStyle w:val="AERtextsize8"/>
              </w:rPr>
            </w:pPr>
            <w:r>
              <w:rPr>
                <w:rStyle w:val="AERtextsize8"/>
              </w:rPr>
              <w:t>credible option</w:t>
            </w:r>
          </w:p>
        </w:tc>
        <w:tc>
          <w:tcPr>
            <w:tcW w:w="4353" w:type="dxa"/>
          </w:tcPr>
          <w:p w:rsidR="00604F63" w:rsidRPr="00604F63" w:rsidRDefault="00604F63" w:rsidP="00604F63">
            <w:pPr>
              <w:pStyle w:val="AERtabletextleft"/>
              <w:rPr>
                <w:rStyle w:val="AERtextsize8"/>
              </w:rPr>
            </w:pPr>
            <w:r>
              <w:rPr>
                <w:rStyle w:val="AERtextsize8"/>
              </w:rPr>
              <w:t>Has the meaning given to it in NER clause</w:t>
            </w:r>
            <w:r w:rsidRPr="00604F63">
              <w:rPr>
                <w:rStyle w:val="AERtextsize8"/>
              </w:rPr>
              <w:t xml:space="preserve"> 5.15.2(a)</w:t>
            </w:r>
          </w:p>
        </w:tc>
      </w:tr>
      <w:tr w:rsidR="00604F63" w:rsidTr="00755DFD">
        <w:trPr>
          <w:cnfStyle w:val="000000010000" w:firstRow="0" w:lastRow="0" w:firstColumn="0" w:lastColumn="0" w:oddVBand="0" w:evenVBand="0" w:oddHBand="0" w:evenHBand="1" w:firstRowFirstColumn="0" w:firstRowLastColumn="0" w:lastRowFirstColumn="0" w:lastRowLastColumn="0"/>
          <w:trHeight w:val="824"/>
        </w:trPr>
        <w:tc>
          <w:tcPr>
            <w:tcW w:w="4340" w:type="dxa"/>
          </w:tcPr>
          <w:p w:rsidR="00604F63" w:rsidRPr="00604F63" w:rsidRDefault="00604F63" w:rsidP="00604F63">
            <w:pPr>
              <w:pStyle w:val="AERtabletextleft"/>
              <w:rPr>
                <w:rStyle w:val="AERtextsize8"/>
              </w:rPr>
            </w:pPr>
            <w:r>
              <w:rPr>
                <w:rStyle w:val="AERtextsize8"/>
              </w:rPr>
              <w:t xml:space="preserve">current </w:t>
            </w:r>
            <w:r w:rsidRPr="00604F63">
              <w:rPr>
                <w:rStyle w:val="AERtextsize8"/>
              </w:rPr>
              <w:t>DMIA</w:t>
            </w:r>
          </w:p>
        </w:tc>
        <w:tc>
          <w:tcPr>
            <w:tcW w:w="4353" w:type="dxa"/>
          </w:tcPr>
          <w:p w:rsidR="00604F63" w:rsidRPr="00604F63" w:rsidRDefault="004C0C4D" w:rsidP="00604F63">
            <w:pPr>
              <w:pStyle w:val="AERtabletextleft"/>
              <w:rPr>
                <w:rStyle w:val="AERtextsize8"/>
              </w:rPr>
            </w:pPr>
            <w:r>
              <w:rPr>
                <w:rStyle w:val="AERtextsize8"/>
              </w:rPr>
              <w:t>T</w:t>
            </w:r>
            <w:r w:rsidR="00604F63">
              <w:rPr>
                <w:rStyle w:val="AERtextsize8"/>
              </w:rPr>
              <w:t xml:space="preserve">he Demand Management Innovation Allowance currently applied as part of the current Demand Management Incentive Scheme under </w:t>
            </w:r>
            <w:r w:rsidR="00604F63" w:rsidRPr="00604F63">
              <w:rPr>
                <w:rStyle w:val="AERtextsize8"/>
              </w:rPr>
              <w:t>a historical version of NER 6.6.3</w:t>
            </w:r>
          </w:p>
        </w:tc>
      </w:tr>
      <w:tr w:rsidR="00604F63" w:rsidTr="00755DFD">
        <w:trPr>
          <w:trHeight w:val="824"/>
        </w:trPr>
        <w:tc>
          <w:tcPr>
            <w:tcW w:w="4340" w:type="dxa"/>
          </w:tcPr>
          <w:p w:rsidR="00604F63" w:rsidRPr="00604F63" w:rsidRDefault="00604F63" w:rsidP="00604F63">
            <w:pPr>
              <w:pStyle w:val="AERtabletextleft"/>
              <w:rPr>
                <w:rStyle w:val="AERtextsize8"/>
              </w:rPr>
            </w:pPr>
            <w:r>
              <w:rPr>
                <w:rStyle w:val="AERtextsize8"/>
              </w:rPr>
              <w:t>demand management</w:t>
            </w:r>
          </w:p>
        </w:tc>
        <w:tc>
          <w:tcPr>
            <w:tcW w:w="4353" w:type="dxa"/>
          </w:tcPr>
          <w:p w:rsidR="00604F63" w:rsidRPr="00604F63" w:rsidRDefault="00604F63" w:rsidP="00604F63">
            <w:pPr>
              <w:pStyle w:val="AERtabletextleft"/>
              <w:rPr>
                <w:rStyle w:val="AERtextsize8"/>
              </w:rPr>
            </w:pPr>
            <w:r w:rsidRPr="003334A8">
              <w:rPr>
                <w:rStyle w:val="AERtextsize8"/>
              </w:rPr>
              <w:t>Fo</w:t>
            </w:r>
            <w:r w:rsidRPr="00604F63">
              <w:rPr>
                <w:rStyle w:val="AERtextsize8"/>
              </w:rPr>
              <w:t>r the purpose of this mechanism, this relates to network demand management. This is the act of modifying the drivers of network demand.</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DAPR</w:t>
            </w:r>
          </w:p>
        </w:tc>
        <w:tc>
          <w:tcPr>
            <w:tcW w:w="4353" w:type="dxa"/>
          </w:tcPr>
          <w:p w:rsidR="00604F63" w:rsidRPr="00604F63" w:rsidRDefault="00604F63" w:rsidP="00604F63">
            <w:pPr>
              <w:pStyle w:val="AERtabletextleft"/>
              <w:rPr>
                <w:rStyle w:val="AERtextsize8"/>
              </w:rPr>
            </w:pPr>
            <w:r>
              <w:rPr>
                <w:rStyle w:val="AERtextsize8"/>
              </w:rPr>
              <w:t>Distribution annual planning report</w:t>
            </w:r>
          </w:p>
        </w:tc>
      </w:tr>
      <w:tr w:rsidR="00604F63" w:rsidTr="00755DFD">
        <w:tc>
          <w:tcPr>
            <w:tcW w:w="4340" w:type="dxa"/>
          </w:tcPr>
          <w:p w:rsidR="00604F63" w:rsidRPr="00604F63" w:rsidRDefault="00604F63" w:rsidP="00604F63">
            <w:pPr>
              <w:pStyle w:val="AERtabletextleft"/>
              <w:rPr>
                <w:rStyle w:val="AERtextsize8"/>
              </w:rPr>
            </w:pPr>
            <w:r>
              <w:rPr>
                <w:rStyle w:val="AERtextsize8"/>
              </w:rPr>
              <w:t>distributor</w:t>
            </w:r>
          </w:p>
        </w:tc>
        <w:tc>
          <w:tcPr>
            <w:tcW w:w="4353" w:type="dxa"/>
          </w:tcPr>
          <w:p w:rsidR="00604F63" w:rsidRPr="00604F63" w:rsidRDefault="00604F63" w:rsidP="00604F63">
            <w:pPr>
              <w:pStyle w:val="AERtabletextleft"/>
              <w:rPr>
                <w:rStyle w:val="AERtextsize8"/>
              </w:rPr>
            </w:pPr>
            <w:r>
              <w:rPr>
                <w:rStyle w:val="AERtextsize8"/>
              </w:rPr>
              <w:t xml:space="preserve">Distribution </w:t>
            </w:r>
            <w:r w:rsidRPr="00604F63">
              <w:rPr>
                <w:rStyle w:val="AERtextsize8"/>
              </w:rPr>
              <w:t>network service provider</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eligible project</w:t>
            </w:r>
          </w:p>
        </w:tc>
        <w:tc>
          <w:tcPr>
            <w:tcW w:w="4353" w:type="dxa"/>
          </w:tcPr>
          <w:p w:rsidR="00604F63" w:rsidRPr="00604F63" w:rsidRDefault="00604F63" w:rsidP="00604F63">
            <w:pPr>
              <w:pStyle w:val="AERtabletextleft"/>
              <w:rPr>
                <w:rStyle w:val="AERtextsize8"/>
              </w:rPr>
            </w:pPr>
            <w:r>
              <w:rPr>
                <w:rStyle w:val="AERtextsize8"/>
              </w:rPr>
              <w:t xml:space="preserve">Defined in accordance with subclause </w:t>
            </w:r>
            <w:r w:rsidR="004C0C4D">
              <w:rPr>
                <w:rStyle w:val="AERtextsize8"/>
              </w:rPr>
              <w:t xml:space="preserve"> 2.2.1 </w:t>
            </w:r>
            <w:r w:rsidRPr="00604F63">
              <w:rPr>
                <w:rStyle w:val="AERtextsize8"/>
              </w:rPr>
              <w:t>of the draft mechanism</w:t>
            </w:r>
          </w:p>
        </w:tc>
      </w:tr>
      <w:tr w:rsidR="00604F63" w:rsidTr="00755DFD">
        <w:tc>
          <w:tcPr>
            <w:tcW w:w="4340" w:type="dxa"/>
          </w:tcPr>
          <w:p w:rsidR="00604F63" w:rsidRPr="00604F63" w:rsidRDefault="00604F63" w:rsidP="00604F63">
            <w:pPr>
              <w:pStyle w:val="AERtabletextleft"/>
              <w:rPr>
                <w:rStyle w:val="AERtextsize8"/>
              </w:rPr>
            </w:pPr>
            <w:r w:rsidRPr="00712239">
              <w:rPr>
                <w:rStyle w:val="AERtextsize8"/>
              </w:rPr>
              <w:t>EBSS</w:t>
            </w:r>
          </w:p>
        </w:tc>
        <w:tc>
          <w:tcPr>
            <w:tcW w:w="4353" w:type="dxa"/>
          </w:tcPr>
          <w:p w:rsidR="00604F63" w:rsidRPr="00604F63" w:rsidRDefault="00604F63" w:rsidP="00604F63">
            <w:pPr>
              <w:pStyle w:val="AERtabletextleft"/>
              <w:rPr>
                <w:rStyle w:val="AERtextsize8"/>
              </w:rPr>
            </w:pPr>
            <w:r>
              <w:rPr>
                <w:rStyle w:val="AERtextsize8"/>
              </w:rPr>
              <w:t>Efficiency benefit sharing s</w:t>
            </w:r>
            <w:r w:rsidRPr="00604F63">
              <w:rPr>
                <w:rStyle w:val="AERtextsize8"/>
              </w:rPr>
              <w:t>cheme</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4C0C4D" w:rsidP="00604F63">
            <w:pPr>
              <w:pStyle w:val="AERtabletextleft"/>
              <w:rPr>
                <w:rStyle w:val="AERtextsize8"/>
              </w:rPr>
            </w:pPr>
            <w:r>
              <w:rPr>
                <w:rStyle w:val="AERtextsize8"/>
              </w:rPr>
              <w:t>i</w:t>
            </w:r>
            <w:r w:rsidR="00604F63">
              <w:rPr>
                <w:rStyle w:val="AERtextsize8"/>
              </w:rPr>
              <w:t>ndicative approval</w:t>
            </w:r>
          </w:p>
        </w:tc>
        <w:tc>
          <w:tcPr>
            <w:tcW w:w="4353" w:type="dxa"/>
          </w:tcPr>
          <w:p w:rsidR="00604F63" w:rsidRPr="00604F63" w:rsidRDefault="00604F63" w:rsidP="00604F63">
            <w:pPr>
              <w:pStyle w:val="AERtabletextleft"/>
              <w:rPr>
                <w:rStyle w:val="AERtextsize8"/>
              </w:rPr>
            </w:pPr>
            <w:r>
              <w:rPr>
                <w:rStyle w:val="AERtextsize8"/>
              </w:rPr>
              <w:t>U</w:t>
            </w:r>
            <w:r w:rsidRPr="00604F63">
              <w:rPr>
                <w:rStyle w:val="AERtextsize8"/>
              </w:rPr>
              <w:t>p-front approval of planned expenditure under this mechanism that a distributor seeks under subclause 2.2.2) of the draft mechanism</w:t>
            </w:r>
          </w:p>
        </w:tc>
      </w:tr>
      <w:tr w:rsidR="00604F63" w:rsidTr="00755DFD">
        <w:tc>
          <w:tcPr>
            <w:tcW w:w="4340" w:type="dxa"/>
          </w:tcPr>
          <w:p w:rsidR="00604F63" w:rsidRPr="00604F63" w:rsidRDefault="00604F63" w:rsidP="00604F63">
            <w:pPr>
              <w:pStyle w:val="AERtabletextleft"/>
              <w:rPr>
                <w:rStyle w:val="AERtextsize8"/>
              </w:rPr>
            </w:pPr>
            <w:r>
              <w:rPr>
                <w:rStyle w:val="AERtextsize8"/>
              </w:rPr>
              <w:t>kVA</w:t>
            </w:r>
          </w:p>
        </w:tc>
        <w:tc>
          <w:tcPr>
            <w:tcW w:w="4353" w:type="dxa"/>
          </w:tcPr>
          <w:p w:rsidR="00604F63" w:rsidRPr="00604F63" w:rsidRDefault="00604F63" w:rsidP="00604F63">
            <w:pPr>
              <w:pStyle w:val="AERtabletextleft"/>
              <w:rPr>
                <w:rStyle w:val="AERtextsize8"/>
              </w:rPr>
            </w:pPr>
            <w:r>
              <w:rPr>
                <w:rStyle w:val="AERtextsize8"/>
              </w:rPr>
              <w:t>A kilovolt -ampere  or 1,000 volt-amperes</w:t>
            </w:r>
          </w:p>
        </w:tc>
      </w:tr>
      <w:tr w:rsidR="004B6E8B"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4B6E8B" w:rsidRDefault="004B6E8B" w:rsidP="00604F63">
            <w:pPr>
              <w:pStyle w:val="AERtabletextleft"/>
              <w:rPr>
                <w:rStyle w:val="AERtextsize8"/>
              </w:rPr>
            </w:pPr>
            <w:r>
              <w:rPr>
                <w:rStyle w:val="AERtextsize8"/>
              </w:rPr>
              <w:t>MAR</w:t>
            </w:r>
          </w:p>
        </w:tc>
        <w:tc>
          <w:tcPr>
            <w:tcW w:w="4353" w:type="dxa"/>
          </w:tcPr>
          <w:p w:rsidR="004B6E8B" w:rsidRDefault="004C0C4D" w:rsidP="00604F63">
            <w:pPr>
              <w:pStyle w:val="AERtabletextleft"/>
              <w:rPr>
                <w:rStyle w:val="AERtextsize8"/>
              </w:rPr>
            </w:pPr>
            <w:r>
              <w:rPr>
                <w:rStyle w:val="AERtextsize8"/>
              </w:rPr>
              <w:t>M</w:t>
            </w:r>
            <w:r w:rsidR="004B6E8B">
              <w:rPr>
                <w:rStyle w:val="AERtextsize8"/>
              </w:rPr>
              <w:t>aximum allowed revenue</w:t>
            </w:r>
          </w:p>
        </w:tc>
      </w:tr>
      <w:tr w:rsidR="00604F63" w:rsidTr="00755DFD">
        <w:tc>
          <w:tcPr>
            <w:tcW w:w="4340" w:type="dxa"/>
          </w:tcPr>
          <w:p w:rsidR="00604F63" w:rsidRPr="00604F63" w:rsidRDefault="00604F63" w:rsidP="00604F63">
            <w:pPr>
              <w:pStyle w:val="AERtabletextleft"/>
              <w:rPr>
                <w:rStyle w:val="AERtextsize8"/>
              </w:rPr>
            </w:pPr>
            <w:r>
              <w:rPr>
                <w:rStyle w:val="AERtextsize8"/>
              </w:rPr>
              <w:t>Mechanism</w:t>
            </w:r>
          </w:p>
        </w:tc>
        <w:tc>
          <w:tcPr>
            <w:tcW w:w="4353" w:type="dxa"/>
          </w:tcPr>
          <w:p w:rsidR="00604F63" w:rsidRPr="00604F63" w:rsidRDefault="00604F63" w:rsidP="00604F63">
            <w:pPr>
              <w:pStyle w:val="AERtabletextleft"/>
              <w:rPr>
                <w:rStyle w:val="AERtextsize8"/>
              </w:rPr>
            </w:pPr>
            <w:r>
              <w:rPr>
                <w:rStyle w:val="AERtextsize8"/>
              </w:rPr>
              <w:t>Demand Management Innovation Allowance Mechanism</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sidRPr="0048621D">
              <w:rPr>
                <w:rStyle w:val="AERtextsize8"/>
              </w:rPr>
              <w:t>MWh</w:t>
            </w:r>
          </w:p>
        </w:tc>
        <w:tc>
          <w:tcPr>
            <w:tcW w:w="4353" w:type="dxa"/>
          </w:tcPr>
          <w:p w:rsidR="00604F63" w:rsidRPr="00604F63" w:rsidRDefault="00604F63" w:rsidP="00604F63">
            <w:pPr>
              <w:pStyle w:val="AERtabletextleft"/>
              <w:rPr>
                <w:rStyle w:val="AERtextsize8"/>
              </w:rPr>
            </w:pPr>
            <w:r>
              <w:rPr>
                <w:rStyle w:val="AERtextsize8"/>
              </w:rPr>
              <w:t>Megawatt hour</w:t>
            </w:r>
          </w:p>
        </w:tc>
      </w:tr>
      <w:tr w:rsidR="00604F63" w:rsidTr="00755DFD">
        <w:tc>
          <w:tcPr>
            <w:tcW w:w="4340" w:type="dxa"/>
          </w:tcPr>
          <w:p w:rsidR="00604F63" w:rsidRPr="00604F63" w:rsidRDefault="00604F63" w:rsidP="00604F63">
            <w:pPr>
              <w:pStyle w:val="AERtabletextleft"/>
              <w:rPr>
                <w:rStyle w:val="AERtextsize8"/>
              </w:rPr>
            </w:pPr>
            <w:r>
              <w:rPr>
                <w:rStyle w:val="AERtextsize8"/>
              </w:rPr>
              <w:t>NEM</w:t>
            </w:r>
          </w:p>
        </w:tc>
        <w:tc>
          <w:tcPr>
            <w:tcW w:w="4353" w:type="dxa"/>
          </w:tcPr>
          <w:p w:rsidR="00604F63" w:rsidRPr="00604F63" w:rsidRDefault="00604F63" w:rsidP="00604F63">
            <w:pPr>
              <w:pStyle w:val="AERtabletextleft"/>
              <w:rPr>
                <w:rStyle w:val="AERtextsize8"/>
              </w:rPr>
            </w:pPr>
            <w:r>
              <w:rPr>
                <w:rStyle w:val="AERtextsize8"/>
              </w:rPr>
              <w:t>National Electricity Market</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NEO</w:t>
            </w:r>
          </w:p>
        </w:tc>
        <w:tc>
          <w:tcPr>
            <w:tcW w:w="4353" w:type="dxa"/>
          </w:tcPr>
          <w:p w:rsidR="00604F63" w:rsidRPr="00604F63" w:rsidRDefault="00604F63" w:rsidP="00604F63">
            <w:pPr>
              <w:pStyle w:val="AERtabletextleft"/>
              <w:rPr>
                <w:rStyle w:val="AERtextsize8"/>
              </w:rPr>
            </w:pPr>
            <w:r>
              <w:rPr>
                <w:rStyle w:val="AERtextsize8"/>
              </w:rPr>
              <w:t>National Electricity Objective</w:t>
            </w:r>
          </w:p>
        </w:tc>
      </w:tr>
      <w:tr w:rsidR="00604F63" w:rsidTr="00755DFD">
        <w:tc>
          <w:tcPr>
            <w:tcW w:w="4340" w:type="dxa"/>
          </w:tcPr>
          <w:p w:rsidR="00604F63" w:rsidRPr="00604F63" w:rsidRDefault="00604F63" w:rsidP="00604F63">
            <w:pPr>
              <w:pStyle w:val="AERtabletextleft"/>
              <w:rPr>
                <w:rStyle w:val="AERtextsize8"/>
              </w:rPr>
            </w:pPr>
            <w:r>
              <w:rPr>
                <w:rStyle w:val="AERtextsize8"/>
              </w:rPr>
              <w:t>NER</w:t>
            </w:r>
          </w:p>
        </w:tc>
        <w:tc>
          <w:tcPr>
            <w:tcW w:w="4353" w:type="dxa"/>
          </w:tcPr>
          <w:p w:rsidR="00604F63" w:rsidRPr="00604F63" w:rsidRDefault="00604F63" w:rsidP="00604F63">
            <w:pPr>
              <w:pStyle w:val="AERtabletextleft"/>
              <w:rPr>
                <w:rStyle w:val="AERtextsize8"/>
              </w:rPr>
            </w:pPr>
            <w:r>
              <w:rPr>
                <w:rStyle w:val="AERtextsize8"/>
              </w:rPr>
              <w:t>N</w:t>
            </w:r>
            <w:r w:rsidRPr="00604F63">
              <w:rPr>
                <w:rStyle w:val="AERtextsize8"/>
              </w:rPr>
              <w:t>ational Electricity Rules</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NPV</w:t>
            </w:r>
          </w:p>
        </w:tc>
        <w:tc>
          <w:tcPr>
            <w:tcW w:w="4353" w:type="dxa"/>
          </w:tcPr>
          <w:p w:rsidR="00604F63" w:rsidRPr="00604F63" w:rsidRDefault="00604F63" w:rsidP="00604F63">
            <w:pPr>
              <w:pStyle w:val="AERtabletextleft"/>
              <w:rPr>
                <w:rStyle w:val="AERtextsize8"/>
              </w:rPr>
            </w:pPr>
            <w:r>
              <w:rPr>
                <w:rStyle w:val="AERtextsize8"/>
              </w:rPr>
              <w:t>Net present value</w:t>
            </w:r>
          </w:p>
        </w:tc>
      </w:tr>
      <w:tr w:rsidR="00604F63" w:rsidTr="00755DFD">
        <w:tc>
          <w:tcPr>
            <w:tcW w:w="4340" w:type="dxa"/>
          </w:tcPr>
          <w:p w:rsidR="00604F63" w:rsidRPr="00604F63" w:rsidRDefault="00604F63" w:rsidP="00604F63">
            <w:pPr>
              <w:pStyle w:val="AERtabletextleft"/>
              <w:rPr>
                <w:rStyle w:val="AERtextsize8"/>
              </w:rPr>
            </w:pPr>
            <w:r>
              <w:rPr>
                <w:rStyle w:val="AERtextsize8"/>
              </w:rPr>
              <w:t>p</w:t>
            </w:r>
            <w:r w:rsidRPr="00604F63">
              <w:rPr>
                <w:rStyle w:val="AERtextsize8"/>
              </w:rPr>
              <w:t>referred option</w:t>
            </w:r>
          </w:p>
        </w:tc>
        <w:tc>
          <w:tcPr>
            <w:tcW w:w="4353" w:type="dxa"/>
          </w:tcPr>
          <w:p w:rsidR="00604F63" w:rsidRPr="00604F63" w:rsidRDefault="00604F63" w:rsidP="00604F63">
            <w:pPr>
              <w:pStyle w:val="AERtabletextleft"/>
              <w:rPr>
                <w:rStyle w:val="AERtextsize8"/>
              </w:rPr>
            </w:pPr>
            <w:r>
              <w:rPr>
                <w:rStyle w:val="AERtextsize8"/>
              </w:rPr>
              <w:t>H</w:t>
            </w:r>
            <w:r w:rsidRPr="00604F63">
              <w:rPr>
                <w:rStyle w:val="AERtextsize8"/>
              </w:rPr>
              <w:t>as the meaning given in NER clause 5.17.1(b)</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4C0C4D" w:rsidP="00604F63">
            <w:pPr>
              <w:pStyle w:val="AERtabletextleft"/>
              <w:rPr>
                <w:rStyle w:val="AERtextsize8"/>
              </w:rPr>
            </w:pPr>
            <w:r>
              <w:rPr>
                <w:rStyle w:val="AERtextsize8"/>
              </w:rPr>
              <w:t>p</w:t>
            </w:r>
            <w:r w:rsidR="00604F63">
              <w:rPr>
                <w:rStyle w:val="AERtextsize8"/>
              </w:rPr>
              <w:t>roject criteria</w:t>
            </w:r>
          </w:p>
        </w:tc>
        <w:tc>
          <w:tcPr>
            <w:tcW w:w="4353" w:type="dxa"/>
          </w:tcPr>
          <w:p w:rsidR="00604F63" w:rsidRPr="00604F63" w:rsidRDefault="00604F63" w:rsidP="00604F63">
            <w:pPr>
              <w:rPr>
                <w:rStyle w:val="AERtextsize8"/>
              </w:rPr>
            </w:pPr>
            <w:r>
              <w:rPr>
                <w:rStyle w:val="AERtextsize8"/>
              </w:rPr>
              <w:t xml:space="preserve">The criteria set </w:t>
            </w:r>
            <w:r w:rsidRPr="00604F63">
              <w:rPr>
                <w:rStyle w:val="AERtextsize8"/>
              </w:rPr>
              <w:t>out under subclause</w:t>
            </w:r>
            <w:r w:rsidRPr="00604F63">
              <w:t xml:space="preserve"> 2.2.1 of the draft mechanism</w:t>
            </w:r>
          </w:p>
        </w:tc>
      </w:tr>
      <w:tr w:rsidR="00604F63" w:rsidTr="00755DFD">
        <w:tc>
          <w:tcPr>
            <w:tcW w:w="4340" w:type="dxa"/>
          </w:tcPr>
          <w:p w:rsidR="00604F63" w:rsidRPr="00604F63" w:rsidRDefault="00604F63" w:rsidP="00604F63">
            <w:pPr>
              <w:pStyle w:val="AERtabletextleft"/>
              <w:rPr>
                <w:rStyle w:val="AERtextsize8"/>
              </w:rPr>
            </w:pPr>
            <w:r>
              <w:rPr>
                <w:rStyle w:val="AERtextsize8"/>
              </w:rPr>
              <w:t>R&amp;D</w:t>
            </w:r>
          </w:p>
        </w:tc>
        <w:tc>
          <w:tcPr>
            <w:tcW w:w="4353" w:type="dxa"/>
          </w:tcPr>
          <w:p w:rsidR="00604F63" w:rsidRPr="00604F63" w:rsidRDefault="00604F63" w:rsidP="00604F63">
            <w:pPr>
              <w:pStyle w:val="AERtabletextleft"/>
              <w:rPr>
                <w:rStyle w:val="AERtextsize8"/>
              </w:rPr>
            </w:pPr>
            <w:r>
              <w:rPr>
                <w:rStyle w:val="AERtextsize8"/>
              </w:rPr>
              <w:t xml:space="preserve">Research and </w:t>
            </w:r>
            <w:r w:rsidRPr="00604F63">
              <w:rPr>
                <w:rStyle w:val="AERtextsize8"/>
              </w:rPr>
              <w:t>development</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lastRenderedPageBreak/>
              <w:t>RIT-D</w:t>
            </w:r>
          </w:p>
        </w:tc>
        <w:tc>
          <w:tcPr>
            <w:tcW w:w="4353" w:type="dxa"/>
          </w:tcPr>
          <w:p w:rsidR="00604F63" w:rsidRPr="00604F63" w:rsidRDefault="00604F63" w:rsidP="00604F63">
            <w:pPr>
              <w:pStyle w:val="AERtabletextleft"/>
              <w:rPr>
                <w:rStyle w:val="AERtextsize8"/>
              </w:rPr>
            </w:pPr>
            <w:r>
              <w:rPr>
                <w:rStyle w:val="AERtextsize8"/>
              </w:rPr>
              <w:t>Regulatory Investment Test for D</w:t>
            </w:r>
            <w:r w:rsidRPr="00604F63">
              <w:rPr>
                <w:rStyle w:val="AERtextsize8"/>
              </w:rPr>
              <w:t>istribution</w:t>
            </w:r>
          </w:p>
        </w:tc>
      </w:tr>
      <w:tr w:rsidR="00604F63" w:rsidTr="00755DFD">
        <w:tc>
          <w:tcPr>
            <w:tcW w:w="4340" w:type="dxa"/>
          </w:tcPr>
          <w:p w:rsidR="00604F63" w:rsidRPr="00604F63" w:rsidRDefault="00604F63" w:rsidP="00604F63">
            <w:pPr>
              <w:pStyle w:val="AERtabletextleft"/>
              <w:rPr>
                <w:rStyle w:val="AERtextsize8"/>
              </w:rPr>
            </w:pPr>
            <w:r>
              <w:rPr>
                <w:rStyle w:val="AERtextsize8"/>
              </w:rPr>
              <w:t>Scheme</w:t>
            </w:r>
          </w:p>
        </w:tc>
        <w:tc>
          <w:tcPr>
            <w:tcW w:w="4353" w:type="dxa"/>
          </w:tcPr>
          <w:p w:rsidR="00604F63" w:rsidRPr="00604F63" w:rsidRDefault="00604F63" w:rsidP="00604F63">
            <w:pPr>
              <w:pStyle w:val="AERtabletextleft"/>
              <w:rPr>
                <w:rStyle w:val="AERtextsize8"/>
              </w:rPr>
            </w:pPr>
            <w:r>
              <w:rPr>
                <w:rStyle w:val="AERtextsize8"/>
              </w:rPr>
              <w:t>Demand Management Incentive S</w:t>
            </w:r>
            <w:r w:rsidRPr="00604F63">
              <w:rPr>
                <w:rStyle w:val="AERtextsize8"/>
              </w:rPr>
              <w:t>cheme</w:t>
            </w:r>
          </w:p>
        </w:tc>
      </w:tr>
      <w:tr w:rsidR="00604F63" w:rsidTr="00755DFD">
        <w:trPr>
          <w:cnfStyle w:val="000000010000" w:firstRow="0" w:lastRow="0" w:firstColumn="0" w:lastColumn="0" w:oddVBand="0" w:evenVBand="0" w:oddHBand="0" w:evenHBand="1" w:firstRowFirstColumn="0" w:firstRowLastColumn="0" w:lastRowFirstColumn="0" w:lastRowLastColumn="0"/>
        </w:trPr>
        <w:tc>
          <w:tcPr>
            <w:tcW w:w="4340" w:type="dxa"/>
          </w:tcPr>
          <w:p w:rsidR="00604F63" w:rsidRPr="00604F63" w:rsidRDefault="00604F63" w:rsidP="00604F63">
            <w:pPr>
              <w:pStyle w:val="AERtabletextleft"/>
              <w:rPr>
                <w:rStyle w:val="AERtextsize8"/>
              </w:rPr>
            </w:pPr>
            <w:r>
              <w:rPr>
                <w:rStyle w:val="AERtextsize8"/>
              </w:rPr>
              <w:t>TEC</w:t>
            </w:r>
          </w:p>
        </w:tc>
        <w:tc>
          <w:tcPr>
            <w:tcW w:w="4353" w:type="dxa"/>
          </w:tcPr>
          <w:p w:rsidR="00604F63" w:rsidRPr="00604F63" w:rsidRDefault="00604F63" w:rsidP="00604F63">
            <w:pPr>
              <w:pStyle w:val="AERtabletextleft"/>
              <w:rPr>
                <w:rStyle w:val="AERtextsize8"/>
              </w:rPr>
            </w:pPr>
            <w:r>
              <w:rPr>
                <w:rStyle w:val="AERtextsize8"/>
              </w:rPr>
              <w:t>Total Environment Centre</w:t>
            </w:r>
          </w:p>
        </w:tc>
      </w:tr>
    </w:tbl>
    <w:p w:rsidR="0044460C" w:rsidRPr="00A72B34" w:rsidRDefault="0044460C" w:rsidP="00584EA4">
      <w:pPr>
        <w:pStyle w:val="UnnumberedHeading"/>
      </w:pPr>
      <w:bookmarkStart w:id="4" w:name="_Toc403144133"/>
      <w:bookmarkStart w:id="5" w:name="_Toc491360642"/>
      <w:bookmarkStart w:id="6" w:name="_Toc432083534"/>
      <w:bookmarkStart w:id="7" w:name="_Toc433787709"/>
      <w:bookmarkStart w:id="8" w:name="_Toc404153950"/>
      <w:bookmarkStart w:id="9" w:name="_Toc404437593"/>
      <w:r>
        <w:lastRenderedPageBreak/>
        <w:t>Contents</w:t>
      </w:r>
      <w:bookmarkEnd w:id="4"/>
      <w:bookmarkEnd w:id="5"/>
    </w:p>
    <w:sdt>
      <w:sdtPr>
        <w:id w:val="1269200322"/>
        <w:docPartObj>
          <w:docPartGallery w:val="Table of Contents"/>
          <w:docPartUnique/>
        </w:docPartObj>
      </w:sdtPr>
      <w:sdtEndPr/>
      <w:sdtContent>
        <w:p w:rsidR="00AF244B"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91360640" w:history="1">
            <w:r w:rsidR="00AF244B" w:rsidRPr="00C80396">
              <w:rPr>
                <w:rStyle w:val="Hyperlink"/>
              </w:rPr>
              <w:t>Request for submissions</w:t>
            </w:r>
            <w:r w:rsidR="00AF244B">
              <w:rPr>
                <w:webHidden/>
              </w:rPr>
              <w:tab/>
            </w:r>
            <w:r w:rsidR="00AF244B">
              <w:rPr>
                <w:webHidden/>
              </w:rPr>
              <w:fldChar w:fldCharType="begin"/>
            </w:r>
            <w:r w:rsidR="00AF244B">
              <w:rPr>
                <w:webHidden/>
              </w:rPr>
              <w:instrText xml:space="preserve"> PAGEREF _Toc491360640 \h </w:instrText>
            </w:r>
            <w:r w:rsidR="00AF244B">
              <w:rPr>
                <w:webHidden/>
              </w:rPr>
            </w:r>
            <w:r w:rsidR="00AF244B">
              <w:rPr>
                <w:webHidden/>
              </w:rPr>
              <w:fldChar w:fldCharType="separate"/>
            </w:r>
            <w:r w:rsidR="00755D05">
              <w:rPr>
                <w:webHidden/>
              </w:rPr>
              <w:t>3</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41" w:history="1">
            <w:r w:rsidR="00AF244B" w:rsidRPr="00C80396">
              <w:rPr>
                <w:rStyle w:val="Hyperlink"/>
              </w:rPr>
              <w:t>Shortened forms and glossary</w:t>
            </w:r>
            <w:r w:rsidR="00AF244B">
              <w:rPr>
                <w:webHidden/>
              </w:rPr>
              <w:tab/>
            </w:r>
            <w:r w:rsidR="00AF244B">
              <w:rPr>
                <w:webHidden/>
              </w:rPr>
              <w:fldChar w:fldCharType="begin"/>
            </w:r>
            <w:r w:rsidR="00AF244B">
              <w:rPr>
                <w:webHidden/>
              </w:rPr>
              <w:instrText xml:space="preserve"> PAGEREF _Toc491360641 \h </w:instrText>
            </w:r>
            <w:r w:rsidR="00AF244B">
              <w:rPr>
                <w:webHidden/>
              </w:rPr>
            </w:r>
            <w:r w:rsidR="00AF244B">
              <w:rPr>
                <w:webHidden/>
              </w:rPr>
              <w:fldChar w:fldCharType="separate"/>
            </w:r>
            <w:r w:rsidR="00755D05">
              <w:rPr>
                <w:webHidden/>
              </w:rPr>
              <w:t>4</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42" w:history="1">
            <w:r w:rsidR="00AF244B" w:rsidRPr="00C80396">
              <w:rPr>
                <w:rStyle w:val="Hyperlink"/>
              </w:rPr>
              <w:t>Contents</w:t>
            </w:r>
            <w:r w:rsidR="00AF244B">
              <w:rPr>
                <w:webHidden/>
              </w:rPr>
              <w:tab/>
            </w:r>
            <w:r w:rsidR="00AF244B">
              <w:rPr>
                <w:webHidden/>
              </w:rPr>
              <w:fldChar w:fldCharType="begin"/>
            </w:r>
            <w:r w:rsidR="00AF244B">
              <w:rPr>
                <w:webHidden/>
              </w:rPr>
              <w:instrText xml:space="preserve"> PAGEREF _Toc491360642 \h </w:instrText>
            </w:r>
            <w:r w:rsidR="00AF244B">
              <w:rPr>
                <w:webHidden/>
              </w:rPr>
            </w:r>
            <w:r w:rsidR="00AF244B">
              <w:rPr>
                <w:webHidden/>
              </w:rPr>
              <w:fldChar w:fldCharType="separate"/>
            </w:r>
            <w:r w:rsidR="00755D05">
              <w:rPr>
                <w:webHidden/>
              </w:rPr>
              <w:t>6</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43" w:history="1">
            <w:r w:rsidR="00AF244B" w:rsidRPr="00C80396">
              <w:rPr>
                <w:rStyle w:val="Hyperlink"/>
              </w:rPr>
              <w:t>1</w:t>
            </w:r>
            <w:r w:rsidR="00AF244B">
              <w:rPr>
                <w:rFonts w:asciiTheme="minorHAnsi" w:eastAsiaTheme="minorEastAsia" w:hAnsiTheme="minorHAnsi"/>
                <w:b w:val="0"/>
                <w:color w:val="auto"/>
                <w:sz w:val="22"/>
                <w:lang w:val="en-AU" w:eastAsia="en-AU"/>
              </w:rPr>
              <w:tab/>
            </w:r>
            <w:r w:rsidR="00AF244B" w:rsidRPr="00C80396">
              <w:rPr>
                <w:rStyle w:val="Hyperlink"/>
              </w:rPr>
              <w:t>Summary</w:t>
            </w:r>
            <w:r w:rsidR="00AF244B">
              <w:rPr>
                <w:webHidden/>
              </w:rPr>
              <w:tab/>
            </w:r>
            <w:r w:rsidR="00AF244B">
              <w:rPr>
                <w:webHidden/>
              </w:rPr>
              <w:fldChar w:fldCharType="begin"/>
            </w:r>
            <w:r w:rsidR="00AF244B">
              <w:rPr>
                <w:webHidden/>
              </w:rPr>
              <w:instrText xml:space="preserve"> PAGEREF _Toc491360643 \h </w:instrText>
            </w:r>
            <w:r w:rsidR="00AF244B">
              <w:rPr>
                <w:webHidden/>
              </w:rPr>
            </w:r>
            <w:r w:rsidR="00AF244B">
              <w:rPr>
                <w:webHidden/>
              </w:rPr>
              <w:fldChar w:fldCharType="separate"/>
            </w:r>
            <w:r w:rsidR="00755D05">
              <w:rPr>
                <w:webHidden/>
              </w:rPr>
              <w:t>7</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44" w:history="1">
            <w:r w:rsidR="00AF244B" w:rsidRPr="00C80396">
              <w:rPr>
                <w:rStyle w:val="Hyperlink"/>
              </w:rPr>
              <w:t>2</w:t>
            </w:r>
            <w:r w:rsidR="00AF244B">
              <w:rPr>
                <w:rFonts w:asciiTheme="minorHAnsi" w:eastAsiaTheme="minorEastAsia" w:hAnsiTheme="minorHAnsi"/>
                <w:b w:val="0"/>
                <w:color w:val="auto"/>
                <w:sz w:val="22"/>
                <w:lang w:val="en-AU" w:eastAsia="en-AU"/>
              </w:rPr>
              <w:tab/>
            </w:r>
            <w:r w:rsidR="00AF244B" w:rsidRPr="00C80396">
              <w:rPr>
                <w:rStyle w:val="Hyperlink"/>
              </w:rPr>
              <w:t>About the Mechanism</w:t>
            </w:r>
            <w:r w:rsidR="00AF244B">
              <w:rPr>
                <w:webHidden/>
              </w:rPr>
              <w:tab/>
            </w:r>
            <w:r w:rsidR="00AF244B">
              <w:rPr>
                <w:webHidden/>
              </w:rPr>
              <w:fldChar w:fldCharType="begin"/>
            </w:r>
            <w:r w:rsidR="00AF244B">
              <w:rPr>
                <w:webHidden/>
              </w:rPr>
              <w:instrText xml:space="preserve"> PAGEREF _Toc491360644 \h </w:instrText>
            </w:r>
            <w:r w:rsidR="00AF244B">
              <w:rPr>
                <w:webHidden/>
              </w:rPr>
            </w:r>
            <w:r w:rsidR="00AF244B">
              <w:rPr>
                <w:webHidden/>
              </w:rPr>
              <w:fldChar w:fldCharType="separate"/>
            </w:r>
            <w:r w:rsidR="00755D05">
              <w:rPr>
                <w:webHidden/>
              </w:rPr>
              <w:t>9</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45" w:history="1">
            <w:r w:rsidR="00AF244B" w:rsidRPr="00C80396">
              <w:rPr>
                <w:rStyle w:val="Hyperlink"/>
                <w14:scene3d>
                  <w14:camera w14:prst="orthographicFront"/>
                  <w14:lightRig w14:rig="threePt" w14:dir="t">
                    <w14:rot w14:lat="0" w14:lon="0" w14:rev="0"/>
                  </w14:lightRig>
                </w14:scene3d>
              </w:rPr>
              <w:t>2.1</w:t>
            </w:r>
            <w:r w:rsidR="00AF244B">
              <w:rPr>
                <w:rFonts w:asciiTheme="minorHAnsi" w:eastAsiaTheme="minorEastAsia" w:hAnsiTheme="minorHAnsi"/>
                <w:b w:val="0"/>
                <w:color w:val="auto"/>
                <w:sz w:val="22"/>
                <w:lang w:eastAsia="en-AU"/>
              </w:rPr>
              <w:tab/>
            </w:r>
            <w:r w:rsidR="00AF244B" w:rsidRPr="00C80396">
              <w:rPr>
                <w:rStyle w:val="Hyperlink"/>
              </w:rPr>
              <w:t>Background to the Mechanism</w:t>
            </w:r>
            <w:r w:rsidR="00AF244B">
              <w:rPr>
                <w:webHidden/>
              </w:rPr>
              <w:tab/>
            </w:r>
            <w:r w:rsidR="00AF244B">
              <w:rPr>
                <w:webHidden/>
              </w:rPr>
              <w:fldChar w:fldCharType="begin"/>
            </w:r>
            <w:r w:rsidR="00AF244B">
              <w:rPr>
                <w:webHidden/>
              </w:rPr>
              <w:instrText xml:space="preserve"> PAGEREF _Toc491360645 \h </w:instrText>
            </w:r>
            <w:r w:rsidR="00AF244B">
              <w:rPr>
                <w:webHidden/>
              </w:rPr>
            </w:r>
            <w:r w:rsidR="00AF244B">
              <w:rPr>
                <w:webHidden/>
              </w:rPr>
              <w:fldChar w:fldCharType="separate"/>
            </w:r>
            <w:r w:rsidR="00755D05">
              <w:rPr>
                <w:webHidden/>
              </w:rPr>
              <w:t>9</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46" w:history="1">
            <w:r w:rsidR="00AF244B" w:rsidRPr="00C80396">
              <w:rPr>
                <w:rStyle w:val="Hyperlink"/>
                <w14:scene3d>
                  <w14:camera w14:prst="orthographicFront"/>
                  <w14:lightRig w14:rig="threePt" w14:dir="t">
                    <w14:rot w14:lat="0" w14:lon="0" w14:rev="0"/>
                  </w14:lightRig>
                </w14:scene3d>
              </w:rPr>
              <w:t>2.2</w:t>
            </w:r>
            <w:r w:rsidR="00AF244B">
              <w:rPr>
                <w:rFonts w:asciiTheme="minorHAnsi" w:eastAsiaTheme="minorEastAsia" w:hAnsiTheme="minorHAnsi"/>
                <w:b w:val="0"/>
                <w:color w:val="auto"/>
                <w:sz w:val="22"/>
                <w:lang w:eastAsia="en-AU"/>
              </w:rPr>
              <w:tab/>
            </w:r>
            <w:r w:rsidR="00AF244B" w:rsidRPr="00C80396">
              <w:rPr>
                <w:rStyle w:val="Hyperlink"/>
              </w:rPr>
              <w:t>Our rationale for the Mechanism</w:t>
            </w:r>
            <w:r w:rsidR="00AF244B">
              <w:rPr>
                <w:webHidden/>
              </w:rPr>
              <w:tab/>
            </w:r>
            <w:r w:rsidR="00AF244B">
              <w:rPr>
                <w:webHidden/>
              </w:rPr>
              <w:fldChar w:fldCharType="begin"/>
            </w:r>
            <w:r w:rsidR="00AF244B">
              <w:rPr>
                <w:webHidden/>
              </w:rPr>
              <w:instrText xml:space="preserve"> PAGEREF _Toc491360646 \h </w:instrText>
            </w:r>
            <w:r w:rsidR="00AF244B">
              <w:rPr>
                <w:webHidden/>
              </w:rPr>
            </w:r>
            <w:r w:rsidR="00AF244B">
              <w:rPr>
                <w:webHidden/>
              </w:rPr>
              <w:fldChar w:fldCharType="separate"/>
            </w:r>
            <w:r w:rsidR="00755D05">
              <w:rPr>
                <w:webHidden/>
              </w:rPr>
              <w:t>10</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47" w:history="1">
            <w:r w:rsidR="00AF244B" w:rsidRPr="00C80396">
              <w:rPr>
                <w:rStyle w:val="Hyperlink"/>
                <w14:scene3d>
                  <w14:camera w14:prst="orthographicFront"/>
                  <w14:lightRig w14:rig="threePt" w14:dir="t">
                    <w14:rot w14:lat="0" w14:lon="0" w14:rev="0"/>
                  </w14:lightRig>
                </w14:scene3d>
              </w:rPr>
              <w:t>2.3</w:t>
            </w:r>
            <w:r w:rsidR="00AF244B">
              <w:rPr>
                <w:rFonts w:asciiTheme="minorHAnsi" w:eastAsiaTheme="minorEastAsia" w:hAnsiTheme="minorHAnsi"/>
                <w:b w:val="0"/>
                <w:color w:val="auto"/>
                <w:sz w:val="22"/>
                <w:lang w:eastAsia="en-AU"/>
              </w:rPr>
              <w:tab/>
            </w:r>
            <w:r w:rsidR="00AF244B" w:rsidRPr="00C80396">
              <w:rPr>
                <w:rStyle w:val="Hyperlink"/>
              </w:rPr>
              <w:t>Giving effect to rule requirements</w:t>
            </w:r>
            <w:r w:rsidR="00AF244B">
              <w:rPr>
                <w:webHidden/>
              </w:rPr>
              <w:tab/>
            </w:r>
            <w:r w:rsidR="00AF244B">
              <w:rPr>
                <w:webHidden/>
              </w:rPr>
              <w:fldChar w:fldCharType="begin"/>
            </w:r>
            <w:r w:rsidR="00AF244B">
              <w:rPr>
                <w:webHidden/>
              </w:rPr>
              <w:instrText xml:space="preserve"> PAGEREF _Toc491360647 \h </w:instrText>
            </w:r>
            <w:r w:rsidR="00AF244B">
              <w:rPr>
                <w:webHidden/>
              </w:rPr>
            </w:r>
            <w:r w:rsidR="00AF244B">
              <w:rPr>
                <w:webHidden/>
              </w:rPr>
              <w:fldChar w:fldCharType="separate"/>
            </w:r>
            <w:r w:rsidR="00755D05">
              <w:rPr>
                <w:webHidden/>
              </w:rPr>
              <w:t>11</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48" w:history="1">
            <w:r w:rsidR="00AF244B" w:rsidRPr="00C80396">
              <w:rPr>
                <w:rStyle w:val="Hyperlink"/>
                <w14:scene3d>
                  <w14:camera w14:prst="orthographicFront"/>
                  <w14:lightRig w14:rig="threePt" w14:dir="t">
                    <w14:rot w14:lat="0" w14:lon="0" w14:rev="0"/>
                  </w14:lightRig>
                </w14:scene3d>
              </w:rPr>
              <w:t>2.4</w:t>
            </w:r>
            <w:r w:rsidR="00AF244B">
              <w:rPr>
                <w:rFonts w:asciiTheme="minorHAnsi" w:eastAsiaTheme="minorEastAsia" w:hAnsiTheme="minorHAnsi"/>
                <w:b w:val="0"/>
                <w:color w:val="auto"/>
                <w:sz w:val="22"/>
                <w:lang w:eastAsia="en-AU"/>
              </w:rPr>
              <w:tab/>
            </w:r>
            <w:r w:rsidR="00AF244B" w:rsidRPr="00C80396">
              <w:rPr>
                <w:rStyle w:val="Hyperlink"/>
              </w:rPr>
              <w:t>Demand management R&amp;D in networks</w:t>
            </w:r>
            <w:r w:rsidR="00AF244B">
              <w:rPr>
                <w:webHidden/>
              </w:rPr>
              <w:tab/>
            </w:r>
            <w:r w:rsidR="00AF244B">
              <w:rPr>
                <w:webHidden/>
              </w:rPr>
              <w:fldChar w:fldCharType="begin"/>
            </w:r>
            <w:r w:rsidR="00AF244B">
              <w:rPr>
                <w:webHidden/>
              </w:rPr>
              <w:instrText xml:space="preserve"> PAGEREF _Toc491360648 \h </w:instrText>
            </w:r>
            <w:r w:rsidR="00AF244B">
              <w:rPr>
                <w:webHidden/>
              </w:rPr>
            </w:r>
            <w:r w:rsidR="00AF244B">
              <w:rPr>
                <w:webHidden/>
              </w:rPr>
              <w:fldChar w:fldCharType="separate"/>
            </w:r>
            <w:r w:rsidR="00755D05">
              <w:rPr>
                <w:webHidden/>
              </w:rPr>
              <w:t>12</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49" w:history="1">
            <w:r w:rsidR="00AF244B" w:rsidRPr="00C80396">
              <w:rPr>
                <w:rStyle w:val="Hyperlink"/>
              </w:rPr>
              <w:t>3</w:t>
            </w:r>
            <w:r w:rsidR="00AF244B">
              <w:rPr>
                <w:rFonts w:asciiTheme="minorHAnsi" w:eastAsiaTheme="minorEastAsia" w:hAnsiTheme="minorHAnsi"/>
                <w:b w:val="0"/>
                <w:color w:val="auto"/>
                <w:sz w:val="22"/>
                <w:lang w:val="en-AU" w:eastAsia="en-AU"/>
              </w:rPr>
              <w:tab/>
            </w:r>
            <w:r w:rsidR="00AF244B" w:rsidRPr="00C80396">
              <w:rPr>
                <w:rStyle w:val="Hyperlink"/>
              </w:rPr>
              <w:t>Insights from stakeholders</w:t>
            </w:r>
            <w:r w:rsidR="00AF244B">
              <w:rPr>
                <w:webHidden/>
              </w:rPr>
              <w:tab/>
            </w:r>
            <w:r w:rsidR="00AF244B">
              <w:rPr>
                <w:webHidden/>
              </w:rPr>
              <w:fldChar w:fldCharType="begin"/>
            </w:r>
            <w:r w:rsidR="00AF244B">
              <w:rPr>
                <w:webHidden/>
              </w:rPr>
              <w:instrText xml:space="preserve"> PAGEREF _Toc491360649 \h </w:instrText>
            </w:r>
            <w:r w:rsidR="00AF244B">
              <w:rPr>
                <w:webHidden/>
              </w:rPr>
            </w:r>
            <w:r w:rsidR="00AF244B">
              <w:rPr>
                <w:webHidden/>
              </w:rPr>
              <w:fldChar w:fldCharType="separate"/>
            </w:r>
            <w:r w:rsidR="00755D05">
              <w:rPr>
                <w:webHidden/>
              </w:rPr>
              <w:t>14</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50" w:history="1">
            <w:r w:rsidR="00AF244B" w:rsidRPr="00C80396">
              <w:rPr>
                <w:rStyle w:val="Hyperlink"/>
              </w:rPr>
              <w:t>4</w:t>
            </w:r>
            <w:r w:rsidR="00AF244B">
              <w:rPr>
                <w:rFonts w:asciiTheme="minorHAnsi" w:eastAsiaTheme="minorEastAsia" w:hAnsiTheme="minorHAnsi"/>
                <w:b w:val="0"/>
                <w:color w:val="auto"/>
                <w:sz w:val="22"/>
                <w:lang w:val="en-AU" w:eastAsia="en-AU"/>
              </w:rPr>
              <w:tab/>
            </w:r>
            <w:r w:rsidR="00AF244B" w:rsidRPr="00C80396">
              <w:rPr>
                <w:rStyle w:val="Hyperlink"/>
              </w:rPr>
              <w:t>Design of the draft Mechanism</w:t>
            </w:r>
            <w:r w:rsidR="00AF244B">
              <w:rPr>
                <w:webHidden/>
              </w:rPr>
              <w:tab/>
            </w:r>
            <w:r w:rsidR="00AF244B">
              <w:rPr>
                <w:webHidden/>
              </w:rPr>
              <w:fldChar w:fldCharType="begin"/>
            </w:r>
            <w:r w:rsidR="00AF244B">
              <w:rPr>
                <w:webHidden/>
              </w:rPr>
              <w:instrText xml:space="preserve"> PAGEREF _Toc491360650 \h </w:instrText>
            </w:r>
            <w:r w:rsidR="00AF244B">
              <w:rPr>
                <w:webHidden/>
              </w:rPr>
            </w:r>
            <w:r w:rsidR="00AF244B">
              <w:rPr>
                <w:webHidden/>
              </w:rPr>
              <w:fldChar w:fldCharType="separate"/>
            </w:r>
            <w:r w:rsidR="00755D05">
              <w:rPr>
                <w:webHidden/>
              </w:rPr>
              <w:t>18</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51" w:history="1">
            <w:r w:rsidR="00AF244B" w:rsidRPr="00C80396">
              <w:rPr>
                <w:rStyle w:val="Hyperlink"/>
                <w14:scene3d>
                  <w14:camera w14:prst="orthographicFront"/>
                  <w14:lightRig w14:rig="threePt" w14:dir="t">
                    <w14:rot w14:lat="0" w14:lon="0" w14:rev="0"/>
                  </w14:lightRig>
                </w14:scene3d>
              </w:rPr>
              <w:t>4.1</w:t>
            </w:r>
            <w:r w:rsidR="00AF244B">
              <w:rPr>
                <w:rFonts w:asciiTheme="minorHAnsi" w:eastAsiaTheme="minorEastAsia" w:hAnsiTheme="minorHAnsi"/>
                <w:b w:val="0"/>
                <w:color w:val="auto"/>
                <w:sz w:val="22"/>
                <w:lang w:eastAsia="en-AU"/>
              </w:rPr>
              <w:tab/>
            </w:r>
            <w:r w:rsidR="00AF244B" w:rsidRPr="00C80396">
              <w:rPr>
                <w:rStyle w:val="Hyperlink"/>
              </w:rPr>
              <w:t>Allowance cap</w:t>
            </w:r>
            <w:r w:rsidR="00AF244B">
              <w:rPr>
                <w:webHidden/>
              </w:rPr>
              <w:tab/>
            </w:r>
            <w:r w:rsidR="00AF244B">
              <w:rPr>
                <w:webHidden/>
              </w:rPr>
              <w:fldChar w:fldCharType="begin"/>
            </w:r>
            <w:r w:rsidR="00AF244B">
              <w:rPr>
                <w:webHidden/>
              </w:rPr>
              <w:instrText xml:space="preserve"> PAGEREF _Toc491360651 \h </w:instrText>
            </w:r>
            <w:r w:rsidR="00AF244B">
              <w:rPr>
                <w:webHidden/>
              </w:rPr>
            </w:r>
            <w:r w:rsidR="00AF244B">
              <w:rPr>
                <w:webHidden/>
              </w:rPr>
              <w:fldChar w:fldCharType="separate"/>
            </w:r>
            <w:r w:rsidR="00755D05">
              <w:rPr>
                <w:webHidden/>
              </w:rPr>
              <w:t>18</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52" w:history="1">
            <w:r w:rsidR="00AF244B" w:rsidRPr="00C80396">
              <w:rPr>
                <w:rStyle w:val="Hyperlink"/>
                <w14:scene3d>
                  <w14:camera w14:prst="orthographicFront"/>
                  <w14:lightRig w14:rig="threePt" w14:dir="t">
                    <w14:rot w14:lat="0" w14:lon="0" w14:rev="0"/>
                  </w14:lightRig>
                </w14:scene3d>
              </w:rPr>
              <w:t>4.2</w:t>
            </w:r>
            <w:r w:rsidR="00AF244B">
              <w:rPr>
                <w:rFonts w:asciiTheme="minorHAnsi" w:eastAsiaTheme="minorEastAsia" w:hAnsiTheme="minorHAnsi"/>
                <w:b w:val="0"/>
                <w:color w:val="auto"/>
                <w:sz w:val="22"/>
                <w:lang w:eastAsia="en-AU"/>
              </w:rPr>
              <w:tab/>
            </w:r>
            <w:r w:rsidR="00AF244B" w:rsidRPr="00C80396">
              <w:rPr>
                <w:rStyle w:val="Hyperlink"/>
              </w:rPr>
              <w:t>Components of the allowance cap</w:t>
            </w:r>
            <w:r w:rsidR="00AF244B">
              <w:rPr>
                <w:webHidden/>
              </w:rPr>
              <w:tab/>
            </w:r>
            <w:r w:rsidR="00AF244B">
              <w:rPr>
                <w:webHidden/>
              </w:rPr>
              <w:fldChar w:fldCharType="begin"/>
            </w:r>
            <w:r w:rsidR="00AF244B">
              <w:rPr>
                <w:webHidden/>
              </w:rPr>
              <w:instrText xml:space="preserve"> PAGEREF _Toc491360652 \h </w:instrText>
            </w:r>
            <w:r w:rsidR="00AF244B">
              <w:rPr>
                <w:webHidden/>
              </w:rPr>
            </w:r>
            <w:r w:rsidR="00AF244B">
              <w:rPr>
                <w:webHidden/>
              </w:rPr>
              <w:fldChar w:fldCharType="separate"/>
            </w:r>
            <w:r w:rsidR="00755D05">
              <w:rPr>
                <w:webHidden/>
              </w:rPr>
              <w:t>21</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55" w:history="1">
            <w:r w:rsidR="00AF244B" w:rsidRPr="00C80396">
              <w:rPr>
                <w:rStyle w:val="Hyperlink"/>
              </w:rPr>
              <w:t>5</w:t>
            </w:r>
            <w:r w:rsidR="00AF244B">
              <w:rPr>
                <w:rFonts w:asciiTheme="minorHAnsi" w:eastAsiaTheme="minorEastAsia" w:hAnsiTheme="minorHAnsi"/>
                <w:b w:val="0"/>
                <w:color w:val="auto"/>
                <w:sz w:val="22"/>
                <w:lang w:val="en-AU" w:eastAsia="en-AU"/>
              </w:rPr>
              <w:tab/>
            </w:r>
            <w:r w:rsidR="00AF244B" w:rsidRPr="00C80396">
              <w:rPr>
                <w:rStyle w:val="Hyperlink"/>
              </w:rPr>
              <w:t>Identifying eligible projects</w:t>
            </w:r>
            <w:r w:rsidR="00AF244B">
              <w:rPr>
                <w:webHidden/>
              </w:rPr>
              <w:tab/>
            </w:r>
            <w:r w:rsidR="00AF244B">
              <w:rPr>
                <w:webHidden/>
              </w:rPr>
              <w:fldChar w:fldCharType="begin"/>
            </w:r>
            <w:r w:rsidR="00AF244B">
              <w:rPr>
                <w:webHidden/>
              </w:rPr>
              <w:instrText xml:space="preserve"> PAGEREF _Toc491360655 \h </w:instrText>
            </w:r>
            <w:r w:rsidR="00AF244B">
              <w:rPr>
                <w:webHidden/>
              </w:rPr>
            </w:r>
            <w:r w:rsidR="00AF244B">
              <w:rPr>
                <w:webHidden/>
              </w:rPr>
              <w:fldChar w:fldCharType="separate"/>
            </w:r>
            <w:r w:rsidR="00755D05">
              <w:rPr>
                <w:webHidden/>
              </w:rPr>
              <w:t>22</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56" w:history="1">
            <w:r w:rsidR="00AF244B" w:rsidRPr="00C80396">
              <w:rPr>
                <w:rStyle w:val="Hyperlink"/>
                <w14:scene3d>
                  <w14:camera w14:prst="orthographicFront"/>
                  <w14:lightRig w14:rig="threePt" w14:dir="t">
                    <w14:rot w14:lat="0" w14:lon="0" w14:rev="0"/>
                  </w14:lightRig>
                </w14:scene3d>
              </w:rPr>
              <w:t>5.1</w:t>
            </w:r>
            <w:r w:rsidR="00AF244B">
              <w:rPr>
                <w:rFonts w:asciiTheme="minorHAnsi" w:eastAsiaTheme="minorEastAsia" w:hAnsiTheme="minorHAnsi"/>
                <w:b w:val="0"/>
                <w:color w:val="auto"/>
                <w:sz w:val="22"/>
                <w:lang w:eastAsia="en-AU"/>
              </w:rPr>
              <w:tab/>
            </w:r>
            <w:r w:rsidR="00AF244B" w:rsidRPr="00C80396">
              <w:rPr>
                <w:rStyle w:val="Hyperlink"/>
              </w:rPr>
              <w:t>Project criteria</w:t>
            </w:r>
            <w:r w:rsidR="00AF244B">
              <w:rPr>
                <w:webHidden/>
              </w:rPr>
              <w:tab/>
            </w:r>
            <w:r w:rsidR="00AF244B">
              <w:rPr>
                <w:webHidden/>
              </w:rPr>
              <w:fldChar w:fldCharType="begin"/>
            </w:r>
            <w:r w:rsidR="00AF244B">
              <w:rPr>
                <w:webHidden/>
              </w:rPr>
              <w:instrText xml:space="preserve"> PAGEREF _Toc491360656 \h </w:instrText>
            </w:r>
            <w:r w:rsidR="00AF244B">
              <w:rPr>
                <w:webHidden/>
              </w:rPr>
            </w:r>
            <w:r w:rsidR="00AF244B">
              <w:rPr>
                <w:webHidden/>
              </w:rPr>
              <w:fldChar w:fldCharType="separate"/>
            </w:r>
            <w:r w:rsidR="00755D05">
              <w:rPr>
                <w:webHidden/>
              </w:rPr>
              <w:t>22</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57" w:history="1">
            <w:r w:rsidR="00AF244B" w:rsidRPr="00C80396">
              <w:rPr>
                <w:rStyle w:val="Hyperlink"/>
                <w14:scene3d>
                  <w14:camera w14:prst="orthographicFront"/>
                  <w14:lightRig w14:rig="threePt" w14:dir="t">
                    <w14:rot w14:lat="0" w14:lon="0" w14:rev="0"/>
                  </w14:lightRig>
                </w14:scene3d>
              </w:rPr>
              <w:t>5.2</w:t>
            </w:r>
            <w:r w:rsidR="00AF244B">
              <w:rPr>
                <w:rFonts w:asciiTheme="minorHAnsi" w:eastAsiaTheme="minorEastAsia" w:hAnsiTheme="minorHAnsi"/>
                <w:b w:val="0"/>
                <w:color w:val="auto"/>
                <w:sz w:val="22"/>
                <w:lang w:eastAsia="en-AU"/>
              </w:rPr>
              <w:tab/>
            </w:r>
            <w:r w:rsidR="00AF244B" w:rsidRPr="00C80396">
              <w:rPr>
                <w:rStyle w:val="Hyperlink"/>
              </w:rPr>
              <w:t>Option for indicative up-front approval</w:t>
            </w:r>
            <w:r w:rsidR="00AF244B">
              <w:rPr>
                <w:webHidden/>
              </w:rPr>
              <w:tab/>
            </w:r>
            <w:r w:rsidR="00AF244B">
              <w:rPr>
                <w:webHidden/>
              </w:rPr>
              <w:fldChar w:fldCharType="begin"/>
            </w:r>
            <w:r w:rsidR="00AF244B">
              <w:rPr>
                <w:webHidden/>
              </w:rPr>
              <w:instrText xml:space="preserve"> PAGEREF _Toc491360657 \h </w:instrText>
            </w:r>
            <w:r w:rsidR="00AF244B">
              <w:rPr>
                <w:webHidden/>
              </w:rPr>
            </w:r>
            <w:r w:rsidR="00AF244B">
              <w:rPr>
                <w:webHidden/>
              </w:rPr>
              <w:fldChar w:fldCharType="separate"/>
            </w:r>
            <w:r w:rsidR="00755D05">
              <w:rPr>
                <w:webHidden/>
              </w:rPr>
              <w:t>23</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58" w:history="1">
            <w:r w:rsidR="00AF244B" w:rsidRPr="00C80396">
              <w:rPr>
                <w:rStyle w:val="Hyperlink"/>
              </w:rPr>
              <w:t>6</w:t>
            </w:r>
            <w:r w:rsidR="00AF244B">
              <w:rPr>
                <w:rFonts w:asciiTheme="minorHAnsi" w:eastAsiaTheme="minorEastAsia" w:hAnsiTheme="minorHAnsi"/>
                <w:b w:val="0"/>
                <w:color w:val="auto"/>
                <w:sz w:val="22"/>
                <w:lang w:val="en-AU" w:eastAsia="en-AU"/>
              </w:rPr>
              <w:tab/>
            </w:r>
            <w:r w:rsidR="00AF244B" w:rsidRPr="00C80396">
              <w:rPr>
                <w:rStyle w:val="Hyperlink"/>
              </w:rPr>
              <w:t>Assessment and compliance reporting</w:t>
            </w:r>
            <w:r w:rsidR="00AF244B">
              <w:rPr>
                <w:webHidden/>
              </w:rPr>
              <w:tab/>
            </w:r>
            <w:r w:rsidR="00AF244B">
              <w:rPr>
                <w:webHidden/>
              </w:rPr>
              <w:fldChar w:fldCharType="begin"/>
            </w:r>
            <w:r w:rsidR="00AF244B">
              <w:rPr>
                <w:webHidden/>
              </w:rPr>
              <w:instrText xml:space="preserve"> PAGEREF _Toc491360658 \h </w:instrText>
            </w:r>
            <w:r w:rsidR="00AF244B">
              <w:rPr>
                <w:webHidden/>
              </w:rPr>
            </w:r>
            <w:r w:rsidR="00AF244B">
              <w:rPr>
                <w:webHidden/>
              </w:rPr>
              <w:fldChar w:fldCharType="separate"/>
            </w:r>
            <w:r w:rsidR="00755D05">
              <w:rPr>
                <w:webHidden/>
              </w:rPr>
              <w:t>25</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59" w:history="1">
            <w:r w:rsidR="00AF244B" w:rsidRPr="00C80396">
              <w:rPr>
                <w:rStyle w:val="Hyperlink"/>
                <w14:scene3d>
                  <w14:camera w14:prst="orthographicFront"/>
                  <w14:lightRig w14:rig="threePt" w14:dir="t">
                    <w14:rot w14:lat="0" w14:lon="0" w14:rev="0"/>
                  </w14:lightRig>
                </w14:scene3d>
              </w:rPr>
              <w:t>6.1</w:t>
            </w:r>
            <w:r w:rsidR="00AF244B">
              <w:rPr>
                <w:rFonts w:asciiTheme="minorHAnsi" w:eastAsiaTheme="minorEastAsia" w:hAnsiTheme="minorHAnsi"/>
                <w:b w:val="0"/>
                <w:color w:val="auto"/>
                <w:sz w:val="22"/>
                <w:lang w:eastAsia="en-AU"/>
              </w:rPr>
              <w:tab/>
            </w:r>
            <w:r w:rsidR="00AF244B" w:rsidRPr="00C80396">
              <w:rPr>
                <w:rStyle w:val="Hyperlink"/>
              </w:rPr>
              <w:t>The overall report</w:t>
            </w:r>
            <w:r w:rsidR="00AF244B">
              <w:rPr>
                <w:webHidden/>
              </w:rPr>
              <w:tab/>
            </w:r>
            <w:r w:rsidR="00AF244B">
              <w:rPr>
                <w:webHidden/>
              </w:rPr>
              <w:fldChar w:fldCharType="begin"/>
            </w:r>
            <w:r w:rsidR="00AF244B">
              <w:rPr>
                <w:webHidden/>
              </w:rPr>
              <w:instrText xml:space="preserve"> PAGEREF _Toc491360659 \h </w:instrText>
            </w:r>
            <w:r w:rsidR="00AF244B">
              <w:rPr>
                <w:webHidden/>
              </w:rPr>
            </w:r>
            <w:r w:rsidR="00AF244B">
              <w:rPr>
                <w:webHidden/>
              </w:rPr>
              <w:fldChar w:fldCharType="separate"/>
            </w:r>
            <w:r w:rsidR="00755D05">
              <w:rPr>
                <w:webHidden/>
              </w:rPr>
              <w:t>26</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60" w:history="1">
            <w:r w:rsidR="00AF244B" w:rsidRPr="00C80396">
              <w:rPr>
                <w:rStyle w:val="Hyperlink"/>
                <w14:scene3d>
                  <w14:camera w14:prst="orthographicFront"/>
                  <w14:lightRig w14:rig="threePt" w14:dir="t">
                    <w14:rot w14:lat="0" w14:lon="0" w14:rev="0"/>
                  </w14:lightRig>
                </w14:scene3d>
              </w:rPr>
              <w:t>6.2</w:t>
            </w:r>
            <w:r w:rsidR="00AF244B">
              <w:rPr>
                <w:rFonts w:asciiTheme="minorHAnsi" w:eastAsiaTheme="minorEastAsia" w:hAnsiTheme="minorHAnsi"/>
                <w:b w:val="0"/>
                <w:color w:val="auto"/>
                <w:sz w:val="22"/>
                <w:lang w:eastAsia="en-AU"/>
              </w:rPr>
              <w:tab/>
            </w:r>
            <w:r w:rsidR="00AF244B" w:rsidRPr="00C80396">
              <w:rPr>
                <w:rStyle w:val="Hyperlink"/>
              </w:rPr>
              <w:t>Project specific reports</w:t>
            </w:r>
            <w:r w:rsidR="00AF244B">
              <w:rPr>
                <w:webHidden/>
              </w:rPr>
              <w:tab/>
            </w:r>
            <w:r w:rsidR="00AF244B">
              <w:rPr>
                <w:webHidden/>
              </w:rPr>
              <w:fldChar w:fldCharType="begin"/>
            </w:r>
            <w:r w:rsidR="00AF244B">
              <w:rPr>
                <w:webHidden/>
              </w:rPr>
              <w:instrText xml:space="preserve"> PAGEREF _Toc491360660 \h </w:instrText>
            </w:r>
            <w:r w:rsidR="00AF244B">
              <w:rPr>
                <w:webHidden/>
              </w:rPr>
            </w:r>
            <w:r w:rsidR="00AF244B">
              <w:rPr>
                <w:webHidden/>
              </w:rPr>
              <w:fldChar w:fldCharType="separate"/>
            </w:r>
            <w:r w:rsidR="00755D05">
              <w:rPr>
                <w:webHidden/>
              </w:rPr>
              <w:t>27</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61" w:history="1">
            <w:r w:rsidR="00AF244B" w:rsidRPr="00C80396">
              <w:rPr>
                <w:rStyle w:val="Hyperlink"/>
                <w14:scene3d>
                  <w14:camera w14:prst="orthographicFront"/>
                  <w14:lightRig w14:rig="threePt" w14:dir="t">
                    <w14:rot w14:lat="0" w14:lon="0" w14:rev="0"/>
                  </w14:lightRig>
                </w14:scene3d>
              </w:rPr>
              <w:t>6.3</w:t>
            </w:r>
            <w:r w:rsidR="00AF244B">
              <w:rPr>
                <w:rFonts w:asciiTheme="minorHAnsi" w:eastAsiaTheme="minorEastAsia" w:hAnsiTheme="minorHAnsi"/>
                <w:b w:val="0"/>
                <w:color w:val="auto"/>
                <w:sz w:val="22"/>
                <w:lang w:eastAsia="en-AU"/>
              </w:rPr>
              <w:tab/>
            </w:r>
            <w:r w:rsidR="00AF244B" w:rsidRPr="00C80396">
              <w:rPr>
                <w:rStyle w:val="Hyperlink"/>
              </w:rPr>
              <w:t>Treatment of confidential information</w:t>
            </w:r>
            <w:r w:rsidR="00AF244B">
              <w:rPr>
                <w:webHidden/>
              </w:rPr>
              <w:tab/>
            </w:r>
            <w:r w:rsidR="00AF244B">
              <w:rPr>
                <w:webHidden/>
              </w:rPr>
              <w:fldChar w:fldCharType="begin"/>
            </w:r>
            <w:r w:rsidR="00AF244B">
              <w:rPr>
                <w:webHidden/>
              </w:rPr>
              <w:instrText xml:space="preserve"> PAGEREF _Toc491360661 \h </w:instrText>
            </w:r>
            <w:r w:rsidR="00AF244B">
              <w:rPr>
                <w:webHidden/>
              </w:rPr>
            </w:r>
            <w:r w:rsidR="00AF244B">
              <w:rPr>
                <w:webHidden/>
              </w:rPr>
              <w:fldChar w:fldCharType="separate"/>
            </w:r>
            <w:r w:rsidR="00755D05">
              <w:rPr>
                <w:webHidden/>
              </w:rPr>
              <w:t>28</w:t>
            </w:r>
            <w:r w:rsidR="00AF244B">
              <w:rPr>
                <w:webHidden/>
              </w:rPr>
              <w:fldChar w:fldCharType="end"/>
            </w:r>
          </w:hyperlink>
        </w:p>
        <w:p w:rsidR="00AF244B" w:rsidRDefault="006F3834">
          <w:pPr>
            <w:pStyle w:val="TOC2"/>
            <w:rPr>
              <w:rFonts w:asciiTheme="minorHAnsi" w:eastAsiaTheme="minorEastAsia" w:hAnsiTheme="minorHAnsi"/>
              <w:b w:val="0"/>
              <w:color w:val="auto"/>
              <w:sz w:val="22"/>
              <w:lang w:eastAsia="en-AU"/>
            </w:rPr>
          </w:pPr>
          <w:hyperlink w:anchor="_Toc491360662" w:history="1">
            <w:r w:rsidR="00AF244B" w:rsidRPr="00C80396">
              <w:rPr>
                <w:rStyle w:val="Hyperlink"/>
                <w14:scene3d>
                  <w14:camera w14:prst="orthographicFront"/>
                  <w14:lightRig w14:rig="threePt" w14:dir="t">
                    <w14:rot w14:lat="0" w14:lon="0" w14:rev="0"/>
                  </w14:lightRig>
                </w14:scene3d>
              </w:rPr>
              <w:t>6.4</w:t>
            </w:r>
            <w:r w:rsidR="00AF244B">
              <w:rPr>
                <w:rFonts w:asciiTheme="minorHAnsi" w:eastAsiaTheme="minorEastAsia" w:hAnsiTheme="minorHAnsi"/>
                <w:b w:val="0"/>
                <w:color w:val="auto"/>
                <w:sz w:val="22"/>
                <w:lang w:eastAsia="en-AU"/>
              </w:rPr>
              <w:tab/>
            </w:r>
            <w:r w:rsidR="00AF244B" w:rsidRPr="00C80396">
              <w:rPr>
                <w:rStyle w:val="Hyperlink"/>
              </w:rPr>
              <w:t>AER use of compliance report</w:t>
            </w:r>
            <w:r w:rsidR="00AF244B">
              <w:rPr>
                <w:webHidden/>
              </w:rPr>
              <w:tab/>
            </w:r>
            <w:r w:rsidR="00AF244B">
              <w:rPr>
                <w:webHidden/>
              </w:rPr>
              <w:fldChar w:fldCharType="begin"/>
            </w:r>
            <w:r w:rsidR="00AF244B">
              <w:rPr>
                <w:webHidden/>
              </w:rPr>
              <w:instrText xml:space="preserve"> PAGEREF _Toc491360662 \h </w:instrText>
            </w:r>
            <w:r w:rsidR="00AF244B">
              <w:rPr>
                <w:webHidden/>
              </w:rPr>
            </w:r>
            <w:r w:rsidR="00AF244B">
              <w:rPr>
                <w:webHidden/>
              </w:rPr>
              <w:fldChar w:fldCharType="separate"/>
            </w:r>
            <w:r w:rsidR="00755D05">
              <w:rPr>
                <w:webHidden/>
              </w:rPr>
              <w:t>28</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63" w:history="1">
            <w:r w:rsidR="00AF244B" w:rsidRPr="00C80396">
              <w:rPr>
                <w:rStyle w:val="Hyperlink"/>
              </w:rPr>
              <w:t>7</w:t>
            </w:r>
            <w:r w:rsidR="00AF244B">
              <w:rPr>
                <w:rFonts w:asciiTheme="minorHAnsi" w:eastAsiaTheme="minorEastAsia" w:hAnsiTheme="minorHAnsi"/>
                <w:b w:val="0"/>
                <w:color w:val="auto"/>
                <w:sz w:val="22"/>
                <w:lang w:val="en-AU" w:eastAsia="en-AU"/>
              </w:rPr>
              <w:tab/>
            </w:r>
            <w:r w:rsidR="00AF244B" w:rsidRPr="00C80396">
              <w:rPr>
                <w:rStyle w:val="Hyperlink"/>
              </w:rPr>
              <w:t>Application of carryover</w:t>
            </w:r>
            <w:r w:rsidR="00AF244B">
              <w:rPr>
                <w:webHidden/>
              </w:rPr>
              <w:tab/>
            </w:r>
            <w:r w:rsidR="00AF244B">
              <w:rPr>
                <w:webHidden/>
              </w:rPr>
              <w:fldChar w:fldCharType="begin"/>
            </w:r>
            <w:r w:rsidR="00AF244B">
              <w:rPr>
                <w:webHidden/>
              </w:rPr>
              <w:instrText xml:space="preserve"> PAGEREF _Toc491360663 \h </w:instrText>
            </w:r>
            <w:r w:rsidR="00AF244B">
              <w:rPr>
                <w:webHidden/>
              </w:rPr>
            </w:r>
            <w:r w:rsidR="00AF244B">
              <w:rPr>
                <w:webHidden/>
              </w:rPr>
              <w:fldChar w:fldCharType="separate"/>
            </w:r>
            <w:r w:rsidR="00755D05">
              <w:rPr>
                <w:webHidden/>
              </w:rPr>
              <w:t>29</w:t>
            </w:r>
            <w:r w:rsidR="00AF244B">
              <w:rPr>
                <w:webHidden/>
              </w:rPr>
              <w:fldChar w:fldCharType="end"/>
            </w:r>
          </w:hyperlink>
        </w:p>
        <w:p w:rsidR="00AF244B" w:rsidRDefault="006F3834">
          <w:pPr>
            <w:pStyle w:val="TOC1"/>
            <w:rPr>
              <w:rFonts w:asciiTheme="minorHAnsi" w:eastAsiaTheme="minorEastAsia" w:hAnsiTheme="minorHAnsi"/>
              <w:b w:val="0"/>
              <w:color w:val="auto"/>
              <w:sz w:val="22"/>
              <w:lang w:val="en-AU" w:eastAsia="en-AU"/>
            </w:rPr>
          </w:pPr>
          <w:hyperlink w:anchor="_Toc491360664" w:history="1">
            <w:r w:rsidR="00AF244B" w:rsidRPr="00C80396">
              <w:rPr>
                <w:rStyle w:val="Hyperlink"/>
              </w:rPr>
              <w:t>8</w:t>
            </w:r>
            <w:r w:rsidR="00AF244B">
              <w:rPr>
                <w:rFonts w:asciiTheme="minorHAnsi" w:eastAsiaTheme="minorEastAsia" w:hAnsiTheme="minorHAnsi"/>
                <w:b w:val="0"/>
                <w:color w:val="auto"/>
                <w:sz w:val="22"/>
                <w:lang w:val="en-AU" w:eastAsia="en-AU"/>
              </w:rPr>
              <w:tab/>
            </w:r>
            <w:r w:rsidR="00AF244B" w:rsidRPr="00C80396">
              <w:rPr>
                <w:rStyle w:val="Hyperlink"/>
              </w:rPr>
              <w:t>Bruny Island worked example</w:t>
            </w:r>
            <w:r w:rsidR="00AF244B">
              <w:rPr>
                <w:webHidden/>
              </w:rPr>
              <w:tab/>
            </w:r>
            <w:r w:rsidR="00AF244B">
              <w:rPr>
                <w:webHidden/>
              </w:rPr>
              <w:fldChar w:fldCharType="begin"/>
            </w:r>
            <w:r w:rsidR="00AF244B">
              <w:rPr>
                <w:webHidden/>
              </w:rPr>
              <w:instrText xml:space="preserve"> PAGEREF _Toc491360664 \h </w:instrText>
            </w:r>
            <w:r w:rsidR="00AF244B">
              <w:rPr>
                <w:webHidden/>
              </w:rPr>
            </w:r>
            <w:r w:rsidR="00AF244B">
              <w:rPr>
                <w:webHidden/>
              </w:rPr>
              <w:fldChar w:fldCharType="separate"/>
            </w:r>
            <w:r w:rsidR="00755D05">
              <w:rPr>
                <w:webHidden/>
              </w:rPr>
              <w:t>33</w:t>
            </w:r>
            <w:r w:rsidR="00AF244B">
              <w:rPr>
                <w:webHidden/>
              </w:rPr>
              <w:fldChar w:fldCharType="end"/>
            </w:r>
          </w:hyperlink>
        </w:p>
        <w:p w:rsidR="0044460C" w:rsidRPr="00CE2A23" w:rsidRDefault="0044460C" w:rsidP="0058776F">
          <w:pPr>
            <w:pStyle w:val="TOC1"/>
          </w:pPr>
          <w:r>
            <w:fldChar w:fldCharType="end"/>
          </w:r>
        </w:p>
      </w:sdtContent>
    </w:sdt>
    <w:p w:rsidR="0077568D" w:rsidRPr="0052799E" w:rsidRDefault="0052799E" w:rsidP="0052799E">
      <w:pPr>
        <w:pStyle w:val="Heading1"/>
        <w:rPr>
          <w:rStyle w:val="Strong"/>
          <w:b/>
          <w:bCs/>
        </w:rPr>
      </w:pPr>
      <w:bookmarkStart w:id="10" w:name="_Toc491360643"/>
      <w:bookmarkEnd w:id="6"/>
      <w:bookmarkEnd w:id="7"/>
      <w:r w:rsidRPr="0052799E">
        <w:rPr>
          <w:rStyle w:val="Strong"/>
          <w:b/>
          <w:bCs/>
        </w:rPr>
        <w:lastRenderedPageBreak/>
        <w:t>S</w:t>
      </w:r>
      <w:r w:rsidR="00150CC3" w:rsidRPr="0052799E">
        <w:rPr>
          <w:rStyle w:val="Strong"/>
          <w:b/>
          <w:bCs/>
        </w:rPr>
        <w:t>ummary</w:t>
      </w:r>
      <w:bookmarkEnd w:id="10"/>
    </w:p>
    <w:p w:rsidR="008F206C" w:rsidRDefault="002C16E2" w:rsidP="00CD0D3F">
      <w:r>
        <w:t xml:space="preserve">The Demand Management Innovation Allowance Mechanism (the </w:t>
      </w:r>
      <w:r w:rsidR="003B339A">
        <w:t>M</w:t>
      </w:r>
      <w:r>
        <w:t xml:space="preserve">echanism) provides an allowance to </w:t>
      </w:r>
      <w:r w:rsidR="008F206C">
        <w:t xml:space="preserve">distribution network service providers (distributors) </w:t>
      </w:r>
      <w:r>
        <w:t xml:space="preserve">to undertake innovative projects related to demand management. </w:t>
      </w:r>
      <w:r w:rsidR="00F6179A">
        <w:t xml:space="preserve">We are developing the Mechanism pursuant to rule 6.6.3A of the National Electricity Rules (NER). Under rule 6.6.3A, the Mechanism </w:t>
      </w:r>
      <w:r w:rsidR="008F206C">
        <w:t xml:space="preserve">must meet the objective of funding distributors for research and development (R&amp;D) in demand management projects that have the potential to reduce </w:t>
      </w:r>
      <w:r w:rsidR="00D975E2">
        <w:t>long-term</w:t>
      </w:r>
      <w:r w:rsidR="008F206C">
        <w:t xml:space="preserve"> network costs (</w:t>
      </w:r>
      <w:r w:rsidR="00604F63">
        <w:t xml:space="preserve">Allowance </w:t>
      </w:r>
      <w:r w:rsidR="008F206C">
        <w:t>Objective).</w:t>
      </w:r>
      <w:r w:rsidR="003F6B81">
        <w:t xml:space="preserve"> </w:t>
      </w:r>
      <w:r w:rsidR="00506BA3">
        <w:t>We are developing t</w:t>
      </w:r>
      <w:r w:rsidR="003F6B81">
        <w:t xml:space="preserve">his Mechanism in tandem with the </w:t>
      </w:r>
      <w:r w:rsidR="00506BA3">
        <w:t>demand management incentive scheme (Scheme).</w:t>
      </w:r>
    </w:p>
    <w:p w:rsidR="008F6936" w:rsidRDefault="008F6936" w:rsidP="008F6936">
      <w:r>
        <w:t xml:space="preserve">The Australian Energy Market Commission (AEMC) made this rule following rule change proposals put forward by the Total Environment Centre </w:t>
      </w:r>
      <w:r w:rsidR="005C5A8C">
        <w:t xml:space="preserve">(TEC) </w:t>
      </w:r>
      <w:r>
        <w:t>and the Council of Australian Governments (COAG) Energy Council.</w:t>
      </w:r>
    </w:p>
    <w:p w:rsidR="002C16E2" w:rsidRDefault="002C16E2" w:rsidP="008F206C">
      <w:r>
        <w:t xml:space="preserve">This explanatory statement accompanies the </w:t>
      </w:r>
      <w:r w:rsidR="003B339A">
        <w:t>M</w:t>
      </w:r>
      <w:r>
        <w:t>echanism</w:t>
      </w:r>
      <w:r w:rsidR="008F206C">
        <w:t>. It</w:t>
      </w:r>
      <w:r>
        <w:t xml:space="preserve"> </w:t>
      </w:r>
      <w:r w:rsidR="008F206C">
        <w:t>aims to</w:t>
      </w:r>
      <w:r>
        <w:t xml:space="preserve"> assist </w:t>
      </w:r>
      <w:r w:rsidR="003B339A">
        <w:t xml:space="preserve">distributors </w:t>
      </w:r>
      <w:r>
        <w:t xml:space="preserve">and other stakeholders in understanding the </w:t>
      </w:r>
      <w:r w:rsidR="003B339A">
        <w:t>M</w:t>
      </w:r>
      <w:r>
        <w:t xml:space="preserve">echanism. </w:t>
      </w:r>
      <w:r w:rsidR="00A31E9A">
        <w:t>It</w:t>
      </w:r>
      <w:r w:rsidR="001422D0">
        <w:t xml:space="preserve"> </w:t>
      </w:r>
      <w:r w:rsidR="00A31E9A">
        <w:t xml:space="preserve">also </w:t>
      </w:r>
      <w:r w:rsidR="001422D0">
        <w:t>explain</w:t>
      </w:r>
      <w:r w:rsidR="008F206C">
        <w:t>s</w:t>
      </w:r>
      <w:r>
        <w:t xml:space="preserve"> </w:t>
      </w:r>
      <w:r w:rsidR="001422D0">
        <w:t>our considerations</w:t>
      </w:r>
      <w:r>
        <w:t xml:space="preserve"> </w:t>
      </w:r>
      <w:r w:rsidR="001422D0">
        <w:t xml:space="preserve">in </w:t>
      </w:r>
      <w:r>
        <w:t>design</w:t>
      </w:r>
      <w:r w:rsidR="001422D0">
        <w:t>ing</w:t>
      </w:r>
      <w:r>
        <w:t xml:space="preserve"> the </w:t>
      </w:r>
      <w:r w:rsidR="003B339A">
        <w:t>M</w:t>
      </w:r>
      <w:r>
        <w:t xml:space="preserve">echanism, including our consideration of views </w:t>
      </w:r>
      <w:r w:rsidR="00A31E9A">
        <w:t xml:space="preserve">that </w:t>
      </w:r>
      <w:r>
        <w:t xml:space="preserve">stakeholders </w:t>
      </w:r>
      <w:r w:rsidR="00A31E9A">
        <w:t xml:space="preserve">expressed to us </w:t>
      </w:r>
      <w:r>
        <w:t>in submissions and other forums.</w:t>
      </w:r>
    </w:p>
    <w:p w:rsidR="008F206C" w:rsidRDefault="00315A1D" w:rsidP="00CD0D3F">
      <w:r>
        <w:t xml:space="preserve">The </w:t>
      </w:r>
      <w:r w:rsidR="00692A51">
        <w:t xml:space="preserve">draft </w:t>
      </w:r>
      <w:r w:rsidR="003B339A">
        <w:t>M</w:t>
      </w:r>
      <w:r>
        <w:t xml:space="preserve">echanism consists of </w:t>
      </w:r>
      <w:r w:rsidR="000D6488">
        <w:t>three</w:t>
      </w:r>
      <w:r>
        <w:t xml:space="preserve"> elements</w:t>
      </w:r>
      <w:r w:rsidR="008F206C">
        <w:t>:</w:t>
      </w:r>
    </w:p>
    <w:p w:rsidR="008F6936" w:rsidRPr="008F6936" w:rsidRDefault="008F206C" w:rsidP="00EB62CE">
      <w:pPr>
        <w:pStyle w:val="AERbulletlistfirststyle"/>
      </w:pPr>
      <w:r>
        <w:t>T</w:t>
      </w:r>
      <w:r w:rsidR="00315A1D">
        <w:t>he allowance itself</w:t>
      </w:r>
      <w:r w:rsidR="008F6936">
        <w:t xml:space="preserve">: This includes a </w:t>
      </w:r>
      <w:r w:rsidR="008F6936" w:rsidRPr="008F6936">
        <w:t>fixed amount, common amongst all distributors, with an additional percentage of total allowed revenue. It is calculated as $200</w:t>
      </w:r>
      <w:r w:rsidR="005C5A8C">
        <w:t>,</w:t>
      </w:r>
      <w:r w:rsidR="008F6936" w:rsidRPr="008F6936">
        <w:t>000 + 0.075% of the relevant distributor's maximum allowed revenue</w:t>
      </w:r>
      <w:r w:rsidR="00777E31">
        <w:t xml:space="preserve"> (MAR)</w:t>
      </w:r>
      <w:r w:rsidR="008F6936" w:rsidRPr="008F6936">
        <w:t xml:space="preserve">. We will </w:t>
      </w:r>
      <w:r w:rsidR="004C0C4D">
        <w:t xml:space="preserve">provide </w:t>
      </w:r>
      <w:r w:rsidR="008F6936" w:rsidRPr="008F6936">
        <w:t xml:space="preserve">the allowance </w:t>
      </w:r>
      <w:r w:rsidR="004C05C6">
        <w:t xml:space="preserve">ex ante </w:t>
      </w:r>
      <w:r w:rsidR="008F6936" w:rsidRPr="008F6936">
        <w:t xml:space="preserve">in five allotments (one for each year of the regulatory control period). </w:t>
      </w:r>
      <w:r w:rsidR="001B4272">
        <w:t>Distributors will recover t</w:t>
      </w:r>
      <w:r w:rsidR="008F6936" w:rsidRPr="008F6936">
        <w:t>his amount from customers throughout the regulatory control period. Should the allowance not be spent, we will calculate a carryover amount</w:t>
      </w:r>
      <w:r w:rsidR="001B4272">
        <w:t xml:space="preserve"> to </w:t>
      </w:r>
      <w:r w:rsidR="004C0C4D">
        <w:t xml:space="preserve">be recovered from distributors as a negative pass-through </w:t>
      </w:r>
      <w:r w:rsidR="008F6936" w:rsidRPr="008F6936">
        <w:t>the next regulatory control period. Any overspend of the allowance will be borne by the distributor.</w:t>
      </w:r>
    </w:p>
    <w:p w:rsidR="009122AB" w:rsidRDefault="008F206C" w:rsidP="00EB62CE">
      <w:pPr>
        <w:pStyle w:val="AERbulletlistfirststyle"/>
      </w:pPr>
      <w:r>
        <w:t>P</w:t>
      </w:r>
      <w:r w:rsidR="00315A1D">
        <w:t>roject eligibility requirements</w:t>
      </w:r>
      <w:r>
        <w:t>:</w:t>
      </w:r>
      <w:r w:rsidRPr="008F206C">
        <w:t xml:space="preserve"> </w:t>
      </w:r>
      <w:r w:rsidR="001B4272">
        <w:t>T</w:t>
      </w:r>
      <w:r>
        <w:t xml:space="preserve">hese encourage distributors to direct their R&amp;D funding towards projects that will help achieve the </w:t>
      </w:r>
      <w:r w:rsidR="00604F63">
        <w:t>Allowance</w:t>
      </w:r>
      <w:r>
        <w:t xml:space="preserve"> Objective. </w:t>
      </w:r>
      <w:r w:rsidR="001B4272">
        <w:t>These require</w:t>
      </w:r>
      <w:r>
        <w:t xml:space="preserve"> projects be innovative and have the potential to reduce long-term network costs</w:t>
      </w:r>
      <w:r w:rsidR="009B5A1D">
        <w:t xml:space="preserve">. </w:t>
      </w:r>
      <w:r>
        <w:t xml:space="preserve">Innovation, in this context, </w:t>
      </w:r>
      <w:r w:rsidR="00D975E2">
        <w:t>either means that</w:t>
      </w:r>
      <w:r w:rsidR="009122AB">
        <w:t>:</w:t>
      </w:r>
    </w:p>
    <w:p w:rsidR="009122AB" w:rsidRDefault="00D975E2" w:rsidP="009122AB">
      <w:pPr>
        <w:pStyle w:val="AERbulletlistsecondstyle"/>
      </w:pPr>
      <w:r>
        <w:t xml:space="preserve"> a project is</w:t>
      </w:r>
      <w:r w:rsidR="008F206C">
        <w:t xml:space="preserve"> based on new or original concepts, </w:t>
      </w:r>
    </w:p>
    <w:p w:rsidR="009122AB" w:rsidRDefault="008F206C" w:rsidP="009122AB">
      <w:pPr>
        <w:pStyle w:val="AERbulletlistsecondstyle"/>
      </w:pPr>
      <w:r>
        <w:t xml:space="preserve">involves technology or </w:t>
      </w:r>
      <w:r w:rsidR="00D975E2">
        <w:t xml:space="preserve">a technique not previously implemented in the National Electricity Market (NEM), or </w:t>
      </w:r>
    </w:p>
    <w:p w:rsidR="008F206C" w:rsidRDefault="00D975E2" w:rsidP="009122AB">
      <w:pPr>
        <w:pStyle w:val="AERbulletlistsecondstyle"/>
      </w:pPr>
      <w:r>
        <w:t>is</w:t>
      </w:r>
      <w:r w:rsidR="008F206C">
        <w:t xml:space="preserve"> focussed on customers in a market segment that has not been exposed to the technology. </w:t>
      </w:r>
    </w:p>
    <w:p w:rsidR="00CD5487" w:rsidRDefault="008F206C" w:rsidP="00EB62CE">
      <w:pPr>
        <w:pStyle w:val="AERbulletlistfirststyle"/>
      </w:pPr>
      <w:r>
        <w:t>C</w:t>
      </w:r>
      <w:r w:rsidR="000D6488">
        <w:t>ompliance reporting requirements</w:t>
      </w:r>
      <w:r w:rsidR="008F6936">
        <w:t>: These assist us in assessing compliance with the Mechanism</w:t>
      </w:r>
      <w:r w:rsidR="004C0C4D">
        <w:t xml:space="preserve"> and</w:t>
      </w:r>
      <w:r w:rsidR="008F6936">
        <w:t xml:space="preserve"> allow </w:t>
      </w:r>
      <w:r w:rsidR="004C0C4D">
        <w:t>industry and consumers</w:t>
      </w:r>
      <w:r w:rsidR="008F6936">
        <w:t xml:space="preserve"> to understand the research outcomes and knowledge gained from projects. To facilitate this, each distributor must submit an annual report to us that sets out the amount of allowance claimed, along with specifics of </w:t>
      </w:r>
      <w:r w:rsidR="00506BA3">
        <w:t>each</w:t>
      </w:r>
      <w:r w:rsidR="008F6936">
        <w:t xml:space="preserve"> project funded by the allowance. Each project must have a project specific report capable of being published separately</w:t>
      </w:r>
      <w:r w:rsidR="001B4272">
        <w:t xml:space="preserve">. These reports </w:t>
      </w:r>
      <w:r w:rsidR="001B4272">
        <w:lastRenderedPageBreak/>
        <w:t xml:space="preserve">must </w:t>
      </w:r>
      <w:r w:rsidR="008F6936">
        <w:t xml:space="preserve">outline the outcomes and methodology applied for each project. </w:t>
      </w:r>
      <w:r w:rsidR="00467DFB">
        <w:t>We intend to publish these reports on our website, increasing</w:t>
      </w:r>
      <w:r w:rsidR="008F6936">
        <w:t xml:space="preserve"> the ease of access for </w:t>
      </w:r>
      <w:r w:rsidR="00933559">
        <w:t>stakeholders, including demand management service providers, distributors and electricity customers</w:t>
      </w:r>
      <w:r w:rsidR="008F6936">
        <w:t xml:space="preserve">.    </w:t>
      </w:r>
    </w:p>
    <w:p w:rsidR="002070A7" w:rsidRPr="00CD0D3F" w:rsidRDefault="008F6936" w:rsidP="00CD0D3F">
      <w:r>
        <w:t xml:space="preserve">The quantum of the allowance we are proposing in the draft Mechanism represents </w:t>
      </w:r>
      <w:r w:rsidRPr="008F6936">
        <w:t xml:space="preserve">a modest increase on the allowance available to distributors under the current Demand Management Innovation Allowance (the current DMIA). The increase is greatest for smaller distributors, who benefit the most from the fixed base available in the new Mechanism. This </w:t>
      </w:r>
      <w:r w:rsidR="00467DFB">
        <w:t>aims to provide</w:t>
      </w:r>
      <w:r w:rsidRPr="008F6936">
        <w:t xml:space="preserve"> all distributors </w:t>
      </w:r>
      <w:r w:rsidR="00467DFB">
        <w:t>with</w:t>
      </w:r>
      <w:r w:rsidR="00467DFB" w:rsidRPr="008F6936">
        <w:t xml:space="preserve"> </w:t>
      </w:r>
      <w:r w:rsidRPr="008F6936">
        <w:t>an allowance that allows them to undertake</w:t>
      </w:r>
      <w:r w:rsidR="004C0C4D">
        <w:t xml:space="preserve"> useful projects. The scalable allowance</w:t>
      </w:r>
      <w:r w:rsidRPr="008F6936">
        <w:t xml:space="preserve"> means that larger distributors will have the opportunity to undertake innovative projects across their </w:t>
      </w:r>
      <w:r w:rsidR="00467DFB">
        <w:t xml:space="preserve">larger </w:t>
      </w:r>
      <w:r w:rsidRPr="008F6936">
        <w:t>networks.</w:t>
      </w:r>
    </w:p>
    <w:p w:rsidR="00150CC3" w:rsidRDefault="0052799E" w:rsidP="00150CC3">
      <w:pPr>
        <w:pStyle w:val="Heading1"/>
      </w:pPr>
      <w:bookmarkStart w:id="11" w:name="_Toc491360644"/>
      <w:r>
        <w:lastRenderedPageBreak/>
        <w:t xml:space="preserve">About the </w:t>
      </w:r>
      <w:r w:rsidR="0058776F">
        <w:t>Mechanism</w:t>
      </w:r>
      <w:bookmarkEnd w:id="11"/>
    </w:p>
    <w:p w:rsidR="00837C41" w:rsidRDefault="005248E7" w:rsidP="005248E7">
      <w:r>
        <w:t xml:space="preserve">The </w:t>
      </w:r>
      <w:r w:rsidR="00604F63">
        <w:t>Allowance</w:t>
      </w:r>
      <w:r>
        <w:t xml:space="preserve"> Objective is to provide an allowance to distributors to undertake innovative projects related to demand management. </w:t>
      </w:r>
    </w:p>
    <w:p w:rsidR="005248E7" w:rsidRPr="005248E7" w:rsidRDefault="005248E7" w:rsidP="005248E7">
      <w:r>
        <w:t xml:space="preserve">This section sets out the rationale for such a Mechanism in the context of contributing to the </w:t>
      </w:r>
      <w:r>
        <w:rPr>
          <w:rStyle w:val="AERbody"/>
        </w:rPr>
        <w:t>National Electricity Objective (NEO) and the rule requirements.</w:t>
      </w:r>
    </w:p>
    <w:p w:rsidR="00F51F3E" w:rsidRPr="005C5A8C" w:rsidRDefault="00F51F3E" w:rsidP="00AF244B">
      <w:pPr>
        <w:pStyle w:val="Heading2"/>
      </w:pPr>
      <w:bookmarkStart w:id="12" w:name="_Toc491360645"/>
      <w:r w:rsidRPr="005C5A8C">
        <w:t>Background to the Mechanism</w:t>
      </w:r>
      <w:bookmarkEnd w:id="12"/>
    </w:p>
    <w:p w:rsidR="008F2DF4" w:rsidRDefault="005C5A8C" w:rsidP="00F51F3E">
      <w:r>
        <w:t xml:space="preserve">The AEMC's Power of Choice report supported encouraging distributors to have an increased focus on managing </w:t>
      </w:r>
      <w:r w:rsidR="004C0C4D">
        <w:t>demand</w:t>
      </w:r>
      <w:r w:rsidR="008F2DF4">
        <w:t>.</w:t>
      </w:r>
      <w:r>
        <w:rPr>
          <w:rStyle w:val="FootnoteReference"/>
        </w:rPr>
        <w:footnoteReference w:id="1"/>
      </w:r>
      <w:r w:rsidR="008F2DF4">
        <w:t xml:space="preserve"> </w:t>
      </w:r>
      <w:r w:rsidR="00DF01AF">
        <w:t>In 2012,</w:t>
      </w:r>
      <w:r w:rsidR="001141F8">
        <w:t xml:space="preserve"> Frontier Economics</w:t>
      </w:r>
      <w:r w:rsidR="00904DFC">
        <w:t xml:space="preserve"> estimated </w:t>
      </w:r>
      <w:r w:rsidR="001141F8">
        <w:t>the</w:t>
      </w:r>
      <w:r w:rsidR="008F2DF4">
        <w:t xml:space="preserve"> savings from reductions to peak demand</w:t>
      </w:r>
      <w:r w:rsidR="00904DFC">
        <w:t xml:space="preserve"> alone</w:t>
      </w:r>
      <w:r w:rsidR="008F2DF4">
        <w:t xml:space="preserve"> between $4.4 and $11.7 billion dollars </w:t>
      </w:r>
      <w:r w:rsidR="008E65FE">
        <w:t>by 2022</w:t>
      </w:r>
      <w:r w:rsidR="008F2DF4">
        <w:t>.</w:t>
      </w:r>
      <w:r w:rsidR="008F2DF4">
        <w:rPr>
          <w:rStyle w:val="FootnoteReference"/>
        </w:rPr>
        <w:footnoteReference w:id="2"/>
      </w:r>
      <w:r w:rsidR="008F2DF4" w:rsidRPr="008F2DF4">
        <w:t xml:space="preserve"> The value of innovation by network service providers</w:t>
      </w:r>
      <w:r w:rsidR="008F2DF4">
        <w:t xml:space="preserve"> more broadly</w:t>
      </w:r>
      <w:r w:rsidR="008F2DF4" w:rsidRPr="008F2DF4">
        <w:t xml:space="preserve"> has</w:t>
      </w:r>
      <w:r w:rsidR="00DF01AF">
        <w:t xml:space="preserve"> since become</w:t>
      </w:r>
      <w:r w:rsidR="008F2DF4" w:rsidRPr="008F2DF4">
        <w:t xml:space="preserve"> </w:t>
      </w:r>
      <w:r w:rsidR="00DF01AF">
        <w:t>a greater</w:t>
      </w:r>
      <w:r w:rsidR="008F2DF4" w:rsidRPr="008F2DF4">
        <w:t xml:space="preserve"> focus of industry discussion and research</w:t>
      </w:r>
      <w:r w:rsidR="00DF01AF">
        <w:t>.</w:t>
      </w:r>
      <w:r w:rsidR="008F2DF4" w:rsidRPr="008F2DF4">
        <w:rPr>
          <w:rStyle w:val="FootnoteReference"/>
        </w:rPr>
        <w:footnoteReference w:id="3"/>
      </w:r>
      <w:r w:rsidR="00B065FA">
        <w:t xml:space="preserve"> </w:t>
      </w:r>
      <w:r w:rsidR="00DF01AF">
        <w:t xml:space="preserve">Also, </w:t>
      </w:r>
      <w:r w:rsidR="00B065FA">
        <w:t>consumer associations</w:t>
      </w:r>
      <w:r w:rsidR="001141F8">
        <w:t xml:space="preserve"> </w:t>
      </w:r>
      <w:r w:rsidR="00DF01AF">
        <w:t xml:space="preserve">have </w:t>
      </w:r>
      <w:r w:rsidR="001141F8">
        <w:t>recognise</w:t>
      </w:r>
      <w:r w:rsidR="00DF01AF">
        <w:t>d</w:t>
      </w:r>
      <w:r w:rsidR="001141F8">
        <w:t xml:space="preserve"> the</w:t>
      </w:r>
      <w:r w:rsidR="00DF01AF">
        <w:t xml:space="preserve"> link between innovation and</w:t>
      </w:r>
      <w:r w:rsidR="001141F8">
        <w:t xml:space="preserve"> </w:t>
      </w:r>
      <w:r w:rsidR="00AC4AE3">
        <w:t>dynamic efficiency</w:t>
      </w:r>
      <w:r w:rsidR="00B065FA">
        <w:t>.</w:t>
      </w:r>
      <w:r w:rsidR="00B065FA">
        <w:rPr>
          <w:rStyle w:val="FootnoteReference"/>
        </w:rPr>
        <w:footnoteReference w:id="4"/>
      </w:r>
    </w:p>
    <w:p w:rsidR="00F51F3E" w:rsidRDefault="00F51F3E" w:rsidP="00F51F3E">
      <w:r>
        <w:t>We currently operate a Demand Management Incentive Scheme</w:t>
      </w:r>
      <w:r w:rsidR="00B65A11">
        <w:t xml:space="preserve"> that </w:t>
      </w:r>
      <w:r>
        <w:t>essentially operates as an ex-ante innovation allowance</w:t>
      </w:r>
      <w:r w:rsidR="00B65A11">
        <w:t xml:space="preserve"> called the DMIA.</w:t>
      </w:r>
      <w:r w:rsidR="00837C41">
        <w:rPr>
          <w:rStyle w:val="FootnoteReference"/>
        </w:rPr>
        <w:footnoteReference w:id="5"/>
      </w:r>
      <w:r w:rsidR="00B65A11">
        <w:t xml:space="preserve"> The current DMIA </w:t>
      </w:r>
      <w:r>
        <w:t>is very similar in its operation to the draft Mechanism.</w:t>
      </w:r>
    </w:p>
    <w:p w:rsidR="00F51F3E" w:rsidRDefault="00F51F3E" w:rsidP="00F51F3E">
      <w:r>
        <w:t xml:space="preserve">Following rule change requests from the </w:t>
      </w:r>
      <w:r w:rsidR="00DF01AF">
        <w:t>TEC</w:t>
      </w:r>
      <w:r>
        <w:t xml:space="preserve"> and the COAG Energy Council, </w:t>
      </w:r>
      <w:r w:rsidR="003C01D6">
        <w:t xml:space="preserve">in 2015 </w:t>
      </w:r>
      <w:r>
        <w:t>the AEMC recognised the value in encouraging innovation in the demand management market</w:t>
      </w:r>
      <w:r w:rsidR="00DF01AF">
        <w:t xml:space="preserve">. </w:t>
      </w:r>
      <w:r w:rsidR="001D5B0F">
        <w:t>While it directed us</w:t>
      </w:r>
      <w:r w:rsidR="00DF01AF">
        <w:t xml:space="preserve"> to introduce a 'true'</w:t>
      </w:r>
      <w:r w:rsidR="003C01D6">
        <w:t xml:space="preserve"> incentive scheme</w:t>
      </w:r>
      <w:r w:rsidR="002C57D0">
        <w:t xml:space="preserve"> (the new Scheme)</w:t>
      </w:r>
      <w:r w:rsidR="003C01D6">
        <w:t xml:space="preserve"> to encourage wider usage of demand management </w:t>
      </w:r>
      <w:r w:rsidR="004E66B2">
        <w:t>in efficiently operating electricity distribution networks</w:t>
      </w:r>
      <w:r w:rsidR="001D5B0F">
        <w:t xml:space="preserve">, </w:t>
      </w:r>
      <w:r w:rsidR="00695606">
        <w:t>it also maintained</w:t>
      </w:r>
      <w:r w:rsidR="001D5B0F">
        <w:t xml:space="preserve"> a dedicated innovation allowance (the Mechanism)</w:t>
      </w:r>
      <w:r w:rsidR="003C01D6">
        <w:t>.</w:t>
      </w:r>
      <w:r w:rsidR="001D5B0F">
        <w:rPr>
          <w:rStyle w:val="FootnoteReference"/>
        </w:rPr>
        <w:footnoteReference w:id="6"/>
      </w:r>
      <w:r w:rsidR="003C01D6">
        <w:t xml:space="preserve"> </w:t>
      </w:r>
    </w:p>
    <w:p w:rsidR="002C57D0" w:rsidRDefault="002C57D0" w:rsidP="00F51F3E">
      <w:r w:rsidRPr="002C57D0">
        <w:t>To that end</w:t>
      </w:r>
      <w:r w:rsidR="003B62CB">
        <w:t>,</w:t>
      </w:r>
      <w:r w:rsidRPr="002C57D0">
        <w:t xml:space="preserve"> the AEMC amended rule 6.6.3 and inserted rule 6.6.3A, which directs us to develop and implement the Mechanism</w:t>
      </w:r>
      <w:r w:rsidR="003B62CB">
        <w:t xml:space="preserve"> in addition to the Scheme</w:t>
      </w:r>
      <w:r w:rsidRPr="002C57D0">
        <w:t xml:space="preserve">. Our development of the </w:t>
      </w:r>
      <w:r w:rsidR="003B62CB">
        <w:t>M</w:t>
      </w:r>
      <w:r w:rsidRPr="002C57D0">
        <w:t xml:space="preserve">echanism is subject to requirements, </w:t>
      </w:r>
      <w:r w:rsidR="00695606">
        <w:t xml:space="preserve">set </w:t>
      </w:r>
      <w:r w:rsidRPr="002C57D0">
        <w:t xml:space="preserve">out in section </w:t>
      </w:r>
      <w:r w:rsidR="00F20143">
        <w:fldChar w:fldCharType="begin"/>
      </w:r>
      <w:r w:rsidR="00F20143">
        <w:instrText xml:space="preserve"> REF _Ref488407799 \r \h </w:instrText>
      </w:r>
      <w:r w:rsidR="00F20143">
        <w:fldChar w:fldCharType="separate"/>
      </w:r>
      <w:r w:rsidR="00755D05">
        <w:t>2.3</w:t>
      </w:r>
      <w:r w:rsidR="00F20143">
        <w:fldChar w:fldCharType="end"/>
      </w:r>
      <w:r w:rsidRPr="002C57D0">
        <w:t xml:space="preserve"> of this </w:t>
      </w:r>
      <w:r w:rsidR="001D5B0F">
        <w:t xml:space="preserve">explanatory </w:t>
      </w:r>
      <w:r w:rsidRPr="002C57D0">
        <w:t>statement.</w:t>
      </w:r>
    </w:p>
    <w:p w:rsidR="00837C41" w:rsidRDefault="007524E0" w:rsidP="00F51F3E">
      <w:r>
        <w:t xml:space="preserve">For the purpose of this </w:t>
      </w:r>
      <w:r w:rsidR="003B62CB">
        <w:t>M</w:t>
      </w:r>
      <w:r>
        <w:t xml:space="preserve">echanism, demand management means modifying the drivers of network </w:t>
      </w:r>
      <w:r w:rsidR="003B62CB">
        <w:t>demand</w:t>
      </w:r>
      <w:r>
        <w:t xml:space="preserve">. We consider that this broad definition will best aid </w:t>
      </w:r>
      <w:r w:rsidR="00D975E2">
        <w:t>distributors to</w:t>
      </w:r>
      <w:r w:rsidR="004E66B2">
        <w:t xml:space="preserve"> explore </w:t>
      </w:r>
      <w:r>
        <w:t xml:space="preserve">a </w:t>
      </w:r>
      <w:r w:rsidR="00A47335">
        <w:t>wide</w:t>
      </w:r>
      <w:r>
        <w:t xml:space="preserve"> range </w:t>
      </w:r>
      <w:r w:rsidR="004E66B2">
        <w:t xml:space="preserve">of relevant R&amp;D </w:t>
      </w:r>
      <w:r>
        <w:t>projects.</w:t>
      </w:r>
    </w:p>
    <w:p w:rsidR="00C4623B" w:rsidRPr="00C4623B" w:rsidRDefault="00C4623B" w:rsidP="005C5A8C">
      <w:pPr>
        <w:pStyle w:val="Heading2"/>
      </w:pPr>
      <w:bookmarkStart w:id="13" w:name="_Toc491360646"/>
      <w:r>
        <w:lastRenderedPageBreak/>
        <w:t xml:space="preserve">Our rationale for the </w:t>
      </w:r>
      <w:r w:rsidR="0058776F">
        <w:t>Mechanism</w:t>
      </w:r>
      <w:bookmarkEnd w:id="13"/>
    </w:p>
    <w:p w:rsidR="009C1A06" w:rsidRDefault="00150CC3" w:rsidP="009C1A06">
      <w:r w:rsidRPr="00150CC3">
        <w:t xml:space="preserve">The </w:t>
      </w:r>
      <w:r w:rsidR="0058776F" w:rsidRPr="00150CC3">
        <w:t>Mechanism</w:t>
      </w:r>
      <w:r w:rsidR="00CD0D3F">
        <w:t xml:space="preserve"> will operate alongside </w:t>
      </w:r>
      <w:r w:rsidR="002C57D0">
        <w:t>the new Scheme. The new Scheme and Mechanism will work alongside</w:t>
      </w:r>
      <w:r w:rsidR="009C1A06">
        <w:t xml:space="preserve"> our incentive regulation framework, which</w:t>
      </w:r>
      <w:r w:rsidR="009C1A06" w:rsidRPr="009C1A06">
        <w:t xml:space="preserve"> rewards distributors for delivering value to electricity consumers by operating and building their networks</w:t>
      </w:r>
      <w:r w:rsidR="00087D09">
        <w:t xml:space="preserve"> at the least cost</w:t>
      </w:r>
      <w:r w:rsidR="009C1A06" w:rsidRPr="009C1A06">
        <w:t xml:space="preserve">. </w:t>
      </w:r>
    </w:p>
    <w:p w:rsidR="009C1A06" w:rsidRPr="009C1A06" w:rsidRDefault="009C1A06" w:rsidP="009C1A06">
      <w:r>
        <w:t>While incentive regulation is important for giving effect to the NEO</w:t>
      </w:r>
      <w:r w:rsidRPr="009C1A06">
        <w:t>, we also recognise that R&amp;D can deliver value to consumers in the long term, but produce higher costs in the short term. Bearing this in mind, it is worthwhile acknowledging that regulated monopolies, like distributors</w:t>
      </w:r>
      <w:r w:rsidR="002C57D0">
        <w:t>,</w:t>
      </w:r>
      <w:r w:rsidRPr="009C1A06">
        <w:t xml:space="preserve"> naturally have less of an incentive to conduct R&amp;D than competitive businesses. This is because, all else being equal, they:</w:t>
      </w:r>
    </w:p>
    <w:p w:rsidR="009C1A06" w:rsidRPr="009C1A06" w:rsidRDefault="009C1A06" w:rsidP="009C1A06">
      <w:pPr>
        <w:pStyle w:val="AERbulletlistfirststyle"/>
      </w:pPr>
      <w:r w:rsidRPr="009C1A06">
        <w:t>Face lower ‘up-side risk’. Competitive businesses may be more likely to profit from R&amp;D than monopolies as R&amp;D can provide them with a ‘competitive advantage’. Moreover, to the extent that R&amp;D results in future cost reductions, distributors will pass a material portion of these gains onto electricity consumers under our regulatory regime.</w:t>
      </w:r>
    </w:p>
    <w:p w:rsidR="009C1A06" w:rsidRPr="009C1A06" w:rsidRDefault="009C1A06" w:rsidP="009C1A06">
      <w:pPr>
        <w:pStyle w:val="AERbulletlistfirststyle"/>
      </w:pPr>
      <w:r w:rsidRPr="009C1A06">
        <w:t>Still face ‘down-side risk’. If R&amp;D costs occur significantly before the benefits, distributors risk being financially penalised from making these decisions under the regulatory regime.</w:t>
      </w:r>
    </w:p>
    <w:p w:rsidR="009C1A06" w:rsidRPr="009C1A06" w:rsidRDefault="009C1A06" w:rsidP="009C1A06">
      <w:r w:rsidRPr="009C1A06">
        <w:t xml:space="preserve">The Scheme and the Mechanism </w:t>
      </w:r>
      <w:r w:rsidR="00695606">
        <w:t>are designed to</w:t>
      </w:r>
      <w:r w:rsidRPr="009C1A06">
        <w:t xml:space="preserve"> work together to provide incentives for innovation. The Scheme </w:t>
      </w:r>
      <w:r w:rsidR="00695606">
        <w:t>exposes</w:t>
      </w:r>
      <w:r w:rsidRPr="009C1A06">
        <w:t xml:space="preserve"> d</w:t>
      </w:r>
      <w:r w:rsidR="00695606">
        <w:t xml:space="preserve">istributors to ‘up-side risk’ by rewarding </w:t>
      </w:r>
      <w:r w:rsidRPr="009C1A06">
        <w:t xml:space="preserve">demand management </w:t>
      </w:r>
      <w:r w:rsidR="00695606">
        <w:t>when it is</w:t>
      </w:r>
      <w:r w:rsidR="00087D09" w:rsidRPr="009C1A06">
        <w:t xml:space="preserve"> </w:t>
      </w:r>
      <w:r w:rsidRPr="009C1A06">
        <w:t>use</w:t>
      </w:r>
      <w:r w:rsidR="00087D09">
        <w:t>d</w:t>
      </w:r>
      <w:r w:rsidRPr="009C1A06">
        <w:t xml:space="preserve"> in efficient </w:t>
      </w:r>
      <w:r w:rsidR="00087D09">
        <w:t xml:space="preserve">non-network </w:t>
      </w:r>
      <w:r w:rsidRPr="009C1A06">
        <w:t xml:space="preserve">projects. </w:t>
      </w:r>
      <w:r w:rsidR="00087D09">
        <w:t>T</w:t>
      </w:r>
      <w:r w:rsidRPr="009C1A06">
        <w:t>he Mechanism provides innovation incentives by reducing distributors’ ‘down-side risk’</w:t>
      </w:r>
      <w:r w:rsidR="00C20750">
        <w:t xml:space="preserve"> via an allowance for R&amp;D costs. </w:t>
      </w:r>
      <w:r w:rsidR="008F2DF4">
        <w:t xml:space="preserve">We consider that </w:t>
      </w:r>
      <w:r w:rsidR="00C20750">
        <w:t xml:space="preserve">the Scheme and Mechanism </w:t>
      </w:r>
      <w:r w:rsidR="008F2DF4">
        <w:t>will increase distributors 'capacity to explore, trial and deploy new technologies, systems and business</w:t>
      </w:r>
      <w:r w:rsidR="00695606">
        <w:t xml:space="preserve"> processes in a timely manner'. This is something that the ENA has identified as </w:t>
      </w:r>
      <w:r w:rsidR="001141F8">
        <w:t>key to delivering</w:t>
      </w:r>
      <w:r w:rsidR="008F2DF4">
        <w:t xml:space="preserve"> customer benefits from R&amp;D.</w:t>
      </w:r>
      <w:r w:rsidR="008F2DF4">
        <w:rPr>
          <w:rStyle w:val="FootnoteReference"/>
        </w:rPr>
        <w:footnoteReference w:id="7"/>
      </w:r>
    </w:p>
    <w:p w:rsidR="00FB09FA" w:rsidRDefault="009C1A06" w:rsidP="009C1A06">
      <w:r w:rsidRPr="009C1A06">
        <w:t xml:space="preserve">Along with </w:t>
      </w:r>
      <w:r w:rsidR="004E66B2">
        <w:t xml:space="preserve">reducing the risks </w:t>
      </w:r>
      <w:r w:rsidRPr="009C1A06">
        <w:t>associated with R&amp;D, the Mechanism also incentivises distributors to share their knowledge and understanding of innovative demand management projects. This is because, in order to access funding under the Mechanism, distributors must share the outcomes of funded R&amp;D projects. This should increase the potential for R&amp;D under the Mechanism to improve consumer outcomes across the NEM as a whole.</w:t>
      </w:r>
    </w:p>
    <w:p w:rsidR="009C1A06" w:rsidRPr="00150CC3" w:rsidRDefault="00807DFD" w:rsidP="009C1A06">
      <w:r>
        <w:t>W</w:t>
      </w:r>
      <w:r w:rsidR="009C1A06" w:rsidRPr="009C1A06">
        <w:t>e do not intend for distributors to be the main driver of demand management R&amp;D. Many</w:t>
      </w:r>
      <w:r w:rsidR="00467DFB">
        <w:t xml:space="preserve"> of the</w:t>
      </w:r>
      <w:r w:rsidR="009C1A06" w:rsidRPr="009C1A06">
        <w:t xml:space="preserve"> innovative technologies and business models that enable effective demand management come from the contestable market. However, distributor-initiated R&amp;D is still important. Increases in intermittent generation, distributed energy resources, and bi-directional electricity flows are creating </w:t>
      </w:r>
      <w:r w:rsidR="00695606">
        <w:t>challenges for</w:t>
      </w:r>
      <w:r w:rsidR="009C1A06" w:rsidRPr="009C1A06">
        <w:t xml:space="preserve"> electricity networks</w:t>
      </w:r>
      <w:r w:rsidR="00695606">
        <w:t xml:space="preserve"> that demand management can help address.  D</w:t>
      </w:r>
      <w:r w:rsidR="009C1A06" w:rsidRPr="009C1A06">
        <w:t xml:space="preserve">istributors </w:t>
      </w:r>
      <w:r w:rsidR="00695606">
        <w:t xml:space="preserve">can be well-placed </w:t>
      </w:r>
      <w:r w:rsidR="00695606">
        <w:lastRenderedPageBreak/>
        <w:t>to address such challenges. They</w:t>
      </w:r>
      <w:r w:rsidR="00D975E2" w:rsidRPr="009C1A06">
        <w:t xml:space="preserve"> are in unique positions to understand the challenges facing their networks and to formulate the research objective to address these challenges, even if the R&amp;D itself </w:t>
      </w:r>
      <w:r w:rsidR="00D975E2">
        <w:t>is done</w:t>
      </w:r>
      <w:r w:rsidR="00D975E2" w:rsidRPr="009C1A06">
        <w:t xml:space="preserve"> in partnership with third parties.</w:t>
      </w:r>
    </w:p>
    <w:p w:rsidR="00C4623B" w:rsidRDefault="00C4623B" w:rsidP="00C4623B">
      <w:pPr>
        <w:pStyle w:val="Heading2"/>
      </w:pPr>
      <w:bookmarkStart w:id="14" w:name="_Ref488407799"/>
      <w:bookmarkStart w:id="15" w:name="_Toc491360647"/>
      <w:r>
        <w:t>Giving effect to rule requirements</w:t>
      </w:r>
      <w:bookmarkEnd w:id="14"/>
      <w:bookmarkEnd w:id="15"/>
    </w:p>
    <w:p w:rsidR="00C4623B" w:rsidRDefault="005248E7" w:rsidP="008F206C">
      <w:pPr>
        <w:rPr>
          <w:rStyle w:val="AERbody"/>
        </w:rPr>
      </w:pPr>
      <w:r>
        <w:t xml:space="preserve">We are developing a </w:t>
      </w:r>
      <w:r w:rsidR="0058776F">
        <w:t>Mechanism</w:t>
      </w:r>
      <w:r w:rsidR="00C4623B">
        <w:t xml:space="preserve"> </w:t>
      </w:r>
      <w:r>
        <w:t xml:space="preserve">that should </w:t>
      </w:r>
      <w:r w:rsidR="00C4623B">
        <w:t xml:space="preserve">contribute to the </w:t>
      </w:r>
      <w:r w:rsidR="00C4623B" w:rsidRPr="00514E8A">
        <w:t>achievement of</w:t>
      </w:r>
      <w:r w:rsidR="00C4623B" w:rsidRPr="00C4623B">
        <w:rPr>
          <w:rStyle w:val="AERbody"/>
        </w:rPr>
        <w:t xml:space="preserve"> the </w:t>
      </w:r>
      <w:r>
        <w:rPr>
          <w:rStyle w:val="AERbody"/>
        </w:rPr>
        <w:t>NEO</w:t>
      </w:r>
      <w:r w:rsidR="00C4623B">
        <w:rPr>
          <w:rStyle w:val="AERbody"/>
        </w:rPr>
        <w:t>, which is:</w:t>
      </w:r>
      <w:r w:rsidR="00C4623B">
        <w:rPr>
          <w:rStyle w:val="FootnoteReference"/>
        </w:rPr>
        <w:footnoteReference w:id="8"/>
      </w:r>
    </w:p>
    <w:p w:rsidR="00C4623B" w:rsidRDefault="00C4623B" w:rsidP="00C4623B">
      <w:pPr>
        <w:pStyle w:val="AERquote"/>
        <w:rPr>
          <w:rStyle w:val="AERbody"/>
        </w:rPr>
      </w:pPr>
      <w:r w:rsidRPr="00C4623B">
        <w:rPr>
          <w:rStyle w:val="AERbody"/>
          <w:color w:val="000000"/>
          <w:sz w:val="20"/>
        </w:rPr>
        <w:t xml:space="preserve">to promote efficient investment in, and efficient operation and use of, electricity services for the long-term interests of consumers of electricity with respect </w:t>
      </w:r>
      <w:r>
        <w:rPr>
          <w:rStyle w:val="AERbody"/>
          <w:rFonts w:cs="Arial"/>
          <w:color w:val="000000"/>
          <w:sz w:val="20"/>
        </w:rPr>
        <w:t>―</w:t>
      </w:r>
    </w:p>
    <w:p w:rsidR="00C4623B" w:rsidRPr="00C4623B" w:rsidRDefault="00C4623B" w:rsidP="00C4623B">
      <w:pPr>
        <w:pStyle w:val="AERquotebullet1"/>
        <w:rPr>
          <w:rStyle w:val="AERbody"/>
          <w:sz w:val="20"/>
        </w:rPr>
      </w:pPr>
      <w:r w:rsidRPr="00C4623B">
        <w:rPr>
          <w:rStyle w:val="AERbody"/>
          <w:sz w:val="20"/>
        </w:rPr>
        <w:t xml:space="preserve">to price, quality, safety, reliability, and security of supply of electricity; and </w:t>
      </w:r>
    </w:p>
    <w:p w:rsidR="00C4623B" w:rsidRPr="00C4623B" w:rsidRDefault="00C4623B" w:rsidP="00C4623B">
      <w:pPr>
        <w:pStyle w:val="AERquotebullet1"/>
        <w:rPr>
          <w:rStyle w:val="AERbody"/>
          <w:sz w:val="20"/>
        </w:rPr>
      </w:pPr>
      <w:r w:rsidRPr="00C4623B">
        <w:rPr>
          <w:rStyle w:val="AERbody"/>
          <w:sz w:val="20"/>
        </w:rPr>
        <w:t>the reliability, safety and security of the national electricity system</w:t>
      </w:r>
    </w:p>
    <w:p w:rsidR="00584EA4" w:rsidRDefault="00EE2710" w:rsidP="008F206C">
      <w:pPr>
        <w:rPr>
          <w:rStyle w:val="AERbody"/>
        </w:rPr>
      </w:pPr>
      <w:r>
        <w:rPr>
          <w:rStyle w:val="AERbody"/>
        </w:rPr>
        <w:t xml:space="preserve">The </w:t>
      </w:r>
      <w:r w:rsidR="0058776F">
        <w:rPr>
          <w:rStyle w:val="AERbody"/>
        </w:rPr>
        <w:t>Mechanism</w:t>
      </w:r>
      <w:r>
        <w:rPr>
          <w:rStyle w:val="AERbody"/>
        </w:rPr>
        <w:t xml:space="preserve"> will contribute to the achievement of the NEO by applying the </w:t>
      </w:r>
      <w:r w:rsidR="00604F63">
        <w:t>Allowance</w:t>
      </w:r>
      <w:r w:rsidR="00467DFB">
        <w:rPr>
          <w:rStyle w:val="AERbody"/>
        </w:rPr>
        <w:t xml:space="preserve"> Objective </w:t>
      </w:r>
      <w:r>
        <w:rPr>
          <w:rStyle w:val="AERbody"/>
        </w:rPr>
        <w:t xml:space="preserve">and principles </w:t>
      </w:r>
      <w:r>
        <w:t xml:space="preserve">in NER clause </w:t>
      </w:r>
      <w:r w:rsidR="00C4623B">
        <w:t>6.6.3</w:t>
      </w:r>
      <w:r w:rsidR="0058776F">
        <w:t>A</w:t>
      </w:r>
      <w:r>
        <w:t xml:space="preserve">. This </w:t>
      </w:r>
      <w:r w:rsidR="00DE343B">
        <w:t>requires</w:t>
      </w:r>
      <w:r>
        <w:t xml:space="preserve"> developing a </w:t>
      </w:r>
      <w:r w:rsidR="0058776F">
        <w:rPr>
          <w:rStyle w:val="AERbody"/>
        </w:rPr>
        <w:t>Mechanism</w:t>
      </w:r>
      <w:r w:rsidR="00C4623B" w:rsidRPr="00C4623B">
        <w:rPr>
          <w:rStyle w:val="AERbody"/>
        </w:rPr>
        <w:t xml:space="preserve"> consistent with </w:t>
      </w:r>
      <w:r>
        <w:rPr>
          <w:rStyle w:val="AERbody"/>
        </w:rPr>
        <w:t xml:space="preserve">the </w:t>
      </w:r>
      <w:r w:rsidR="00604F63">
        <w:t>Allowance</w:t>
      </w:r>
      <w:r w:rsidR="00467DFB">
        <w:rPr>
          <w:rStyle w:val="AERbody"/>
        </w:rPr>
        <w:t xml:space="preserve"> Objective </w:t>
      </w:r>
      <w:r>
        <w:rPr>
          <w:rStyle w:val="AERbody"/>
        </w:rPr>
        <w:t xml:space="preserve">to provide </w:t>
      </w:r>
      <w:r w:rsidR="00695606">
        <w:rPr>
          <w:rStyle w:val="AERbody"/>
        </w:rPr>
        <w:t>distributors with fu</w:t>
      </w:r>
      <w:r w:rsidR="00584EA4">
        <w:rPr>
          <w:rStyle w:val="AERbody"/>
        </w:rPr>
        <w:t xml:space="preserve">nding for R&amp;D in demand management projects that have the potential to reduce </w:t>
      </w:r>
      <w:r w:rsidR="00D975E2">
        <w:rPr>
          <w:rStyle w:val="AERbody"/>
        </w:rPr>
        <w:t>long-term</w:t>
      </w:r>
      <w:r w:rsidR="00584EA4">
        <w:rPr>
          <w:rStyle w:val="AERbody"/>
        </w:rPr>
        <w:t xml:space="preserve"> network costs.</w:t>
      </w:r>
    </w:p>
    <w:p w:rsidR="00C4623B" w:rsidRPr="00C4623B" w:rsidRDefault="00EE2710" w:rsidP="008F206C">
      <w:pPr>
        <w:rPr>
          <w:rStyle w:val="AERbody"/>
        </w:rPr>
      </w:pPr>
      <w:r>
        <w:rPr>
          <w:rStyle w:val="AERbody"/>
        </w:rPr>
        <w:t xml:space="preserve">In achieving </w:t>
      </w:r>
      <w:r w:rsidR="00584EA4">
        <w:rPr>
          <w:rStyle w:val="AERbody"/>
        </w:rPr>
        <w:t xml:space="preserve">the </w:t>
      </w:r>
      <w:r w:rsidR="00604F63">
        <w:t>Allowance</w:t>
      </w:r>
      <w:r w:rsidR="00584EA4">
        <w:rPr>
          <w:rStyle w:val="AERbody"/>
        </w:rPr>
        <w:t xml:space="preserve"> Objective</w:t>
      </w:r>
      <w:r>
        <w:rPr>
          <w:rStyle w:val="AERbody"/>
        </w:rPr>
        <w:t xml:space="preserve">, the NER require we develop and apply the </w:t>
      </w:r>
      <w:r w:rsidR="00584EA4">
        <w:rPr>
          <w:rStyle w:val="AERbody"/>
        </w:rPr>
        <w:t>Mechanism</w:t>
      </w:r>
      <w:r>
        <w:rPr>
          <w:rStyle w:val="AERbody"/>
        </w:rPr>
        <w:t xml:space="preserve"> to take</w:t>
      </w:r>
      <w:r w:rsidR="00C4623B" w:rsidRPr="00C4623B">
        <w:rPr>
          <w:rStyle w:val="AERbody"/>
        </w:rPr>
        <w:t xml:space="preserve"> into account the following</w:t>
      </w:r>
      <w:r>
        <w:rPr>
          <w:rStyle w:val="AERbody"/>
        </w:rPr>
        <w:t xml:space="preserve"> principles</w:t>
      </w:r>
      <w:r w:rsidR="00C4623B" w:rsidRPr="00C4623B">
        <w:rPr>
          <w:rStyle w:val="AERbody"/>
        </w:rPr>
        <w:t>:</w:t>
      </w:r>
    </w:p>
    <w:p w:rsidR="00584EA4" w:rsidRPr="00584EA4" w:rsidRDefault="00584EA4" w:rsidP="00584EA4">
      <w:pPr>
        <w:pStyle w:val="AERnumberedlistsecondstyle"/>
        <w:rPr>
          <w:rStyle w:val="AERbody"/>
        </w:rPr>
      </w:pPr>
      <w:r>
        <w:rPr>
          <w:rStyle w:val="AERbody"/>
        </w:rPr>
        <w:t>the M</w:t>
      </w:r>
      <w:r w:rsidRPr="00584EA4">
        <w:rPr>
          <w:rStyle w:val="AERbody"/>
        </w:rPr>
        <w:t>echanism should be applied in a manner that contribu</w:t>
      </w:r>
      <w:r>
        <w:rPr>
          <w:rStyle w:val="AERbody"/>
        </w:rPr>
        <w:t xml:space="preserve">tes to the achievement of the </w:t>
      </w:r>
      <w:r w:rsidR="00604F63">
        <w:t>Allowance</w:t>
      </w:r>
      <w:r>
        <w:rPr>
          <w:rStyle w:val="AERbody"/>
        </w:rPr>
        <w:t xml:space="preserve"> O</w:t>
      </w:r>
      <w:r w:rsidRPr="00584EA4">
        <w:rPr>
          <w:rStyle w:val="AERbody"/>
        </w:rPr>
        <w:t>bjective;</w:t>
      </w:r>
    </w:p>
    <w:p w:rsidR="00584EA4" w:rsidRPr="00584EA4" w:rsidRDefault="00584EA4" w:rsidP="00584EA4">
      <w:pPr>
        <w:pStyle w:val="AERnumberedlistsecondstyle"/>
        <w:rPr>
          <w:rStyle w:val="AERbody"/>
        </w:rPr>
      </w:pPr>
      <w:r w:rsidRPr="00584EA4">
        <w:rPr>
          <w:rStyle w:val="AERbody"/>
        </w:rPr>
        <w:t>demand management projects should have the potential to deliver ongoing reductions in demand or peak demand, and be innovative and not otherwise efficient and prudent non-network options that a distributor should have provided in its regulatory proposal;</w:t>
      </w:r>
    </w:p>
    <w:p w:rsidR="00584EA4" w:rsidRPr="00584EA4" w:rsidRDefault="00584EA4" w:rsidP="00584EA4">
      <w:pPr>
        <w:pStyle w:val="AERnumberedlistsecondstyle"/>
        <w:rPr>
          <w:rStyle w:val="AERbody"/>
        </w:rPr>
      </w:pPr>
      <w:r w:rsidRPr="00584EA4">
        <w:rPr>
          <w:rStyle w:val="AERbody"/>
        </w:rPr>
        <w:t>the level of allowance;</w:t>
      </w:r>
    </w:p>
    <w:p w:rsidR="00584EA4" w:rsidRPr="00584EA4" w:rsidRDefault="00584EA4" w:rsidP="00584EA4">
      <w:pPr>
        <w:pStyle w:val="AERnumberedlistthirdstyle"/>
        <w:rPr>
          <w:rStyle w:val="AERbody"/>
        </w:rPr>
      </w:pPr>
      <w:r w:rsidRPr="00584EA4">
        <w:rPr>
          <w:rStyle w:val="AERbody"/>
        </w:rPr>
        <w:t>should be reasonable, considering the long term benefits to retail customers;</w:t>
      </w:r>
    </w:p>
    <w:p w:rsidR="00584EA4" w:rsidRPr="00584EA4" w:rsidRDefault="00584EA4" w:rsidP="00584EA4">
      <w:pPr>
        <w:pStyle w:val="AERnumberedlistthirdstyle"/>
        <w:rPr>
          <w:rStyle w:val="AERbody"/>
        </w:rPr>
      </w:pPr>
      <w:r w:rsidRPr="00584EA4">
        <w:rPr>
          <w:rStyle w:val="AERbody"/>
        </w:rPr>
        <w:t>should provide funding that is not available from another source, including under a relevant distribution determination; and</w:t>
      </w:r>
    </w:p>
    <w:p w:rsidR="00584EA4" w:rsidRPr="00584EA4" w:rsidRDefault="00584EA4" w:rsidP="00584EA4">
      <w:pPr>
        <w:pStyle w:val="AERnumberedlistthirdstyle"/>
        <w:rPr>
          <w:rStyle w:val="AERbody"/>
        </w:rPr>
      </w:pPr>
      <w:r w:rsidRPr="00584EA4">
        <w:rPr>
          <w:rStyle w:val="AERbody"/>
        </w:rPr>
        <w:t>may vary by distributor and over time;</w:t>
      </w:r>
    </w:p>
    <w:p w:rsidR="00584EA4" w:rsidRDefault="00584EA4" w:rsidP="00584EA4">
      <w:pPr>
        <w:pStyle w:val="AERnumberedlistsecondstyle"/>
        <w:rPr>
          <w:rStyle w:val="AERbody"/>
        </w:rPr>
      </w:pPr>
      <w:r w:rsidRPr="00584EA4">
        <w:rPr>
          <w:rStyle w:val="AERbody"/>
        </w:rPr>
        <w:t>the allowance may fund demand management projects which occur over a period longer than a regulatory control period;</w:t>
      </w:r>
    </w:p>
    <w:p w:rsidR="00584EA4" w:rsidRPr="00584EA4" w:rsidRDefault="00584EA4" w:rsidP="00584EA4">
      <w:r w:rsidRPr="00584EA4">
        <w:t>Any Mechanism we develop and apply must require distributors to publish and report on the nature and results of demand management projects that are the subject of this allowance.</w:t>
      </w:r>
      <w:r w:rsidR="00885BC0">
        <w:t xml:space="preserve"> We cover this in</w:t>
      </w:r>
      <w:r w:rsidR="00D84D57">
        <w:t xml:space="preserve"> </w:t>
      </w:r>
      <w:r w:rsidR="00702AFB">
        <w:t>s</w:t>
      </w:r>
      <w:r w:rsidR="00D84D57">
        <w:t>ection</w:t>
      </w:r>
      <w:r w:rsidR="00885BC0">
        <w:t xml:space="preserve"> </w:t>
      </w:r>
      <w:r w:rsidR="00D84D57">
        <w:fldChar w:fldCharType="begin"/>
      </w:r>
      <w:r w:rsidR="00D84D57">
        <w:instrText xml:space="preserve"> REF _Ref488310358 \r \h </w:instrText>
      </w:r>
      <w:r w:rsidR="00D84D57">
        <w:fldChar w:fldCharType="separate"/>
      </w:r>
      <w:r w:rsidR="00755D05">
        <w:t>6</w:t>
      </w:r>
      <w:r w:rsidR="00D84D57">
        <w:fldChar w:fldCharType="end"/>
      </w:r>
      <w:r w:rsidR="00D84D57">
        <w:t xml:space="preserve"> </w:t>
      </w:r>
      <w:r w:rsidR="002C57D0">
        <w:t xml:space="preserve">of </w:t>
      </w:r>
      <w:r w:rsidR="00885BC0">
        <w:t>this</w:t>
      </w:r>
      <w:r w:rsidR="002C57D0">
        <w:t xml:space="preserve"> </w:t>
      </w:r>
      <w:r w:rsidR="001D5B0F">
        <w:t xml:space="preserve">explanatory </w:t>
      </w:r>
      <w:r w:rsidR="00885BC0">
        <w:t>statement</w:t>
      </w:r>
      <w:r w:rsidR="002C57D0">
        <w:t xml:space="preserve">. </w:t>
      </w:r>
    </w:p>
    <w:p w:rsidR="00584EA4" w:rsidRPr="00584EA4" w:rsidRDefault="00584EA4" w:rsidP="00584EA4">
      <w:r w:rsidRPr="00584EA4">
        <w:lastRenderedPageBreak/>
        <w:t>We must develop and publish the Mechanism and may, from time to time, amend or replace it in accordance with the distribution consultation procedures.</w:t>
      </w:r>
    </w:p>
    <w:p w:rsidR="0052799E" w:rsidRDefault="00C4623B" w:rsidP="00C4623B">
      <w:pPr>
        <w:pStyle w:val="Heading2"/>
      </w:pPr>
      <w:bookmarkStart w:id="16" w:name="_Toc491360648"/>
      <w:bookmarkEnd w:id="1"/>
      <w:bookmarkEnd w:id="8"/>
      <w:bookmarkEnd w:id="9"/>
      <w:r>
        <w:t xml:space="preserve">Demand management </w:t>
      </w:r>
      <w:r w:rsidR="00584EA4">
        <w:t xml:space="preserve">R&amp;D </w:t>
      </w:r>
      <w:r>
        <w:t>in networks</w:t>
      </w:r>
      <w:bookmarkEnd w:id="16"/>
    </w:p>
    <w:p w:rsidR="00AA0E4A" w:rsidRDefault="00EB22C0" w:rsidP="00EB22C0">
      <w:r>
        <w:t>The</w:t>
      </w:r>
      <w:r w:rsidR="00584EA4">
        <w:t xml:space="preserve"> </w:t>
      </w:r>
      <w:r w:rsidR="00604F63">
        <w:t>Allowance</w:t>
      </w:r>
      <w:r w:rsidR="00AA0E4A">
        <w:t xml:space="preserve"> O</w:t>
      </w:r>
      <w:r w:rsidRPr="00EB22C0">
        <w:t xml:space="preserve">bjective </w:t>
      </w:r>
      <w:r>
        <w:t>is</w:t>
      </w:r>
      <w:r w:rsidR="00CE32C1">
        <w:t xml:space="preserve"> to</w:t>
      </w:r>
      <w:r>
        <w:t xml:space="preserve"> </w:t>
      </w:r>
      <w:r w:rsidR="00584EA4">
        <w:t>fund</w:t>
      </w:r>
      <w:r w:rsidRPr="00EB22C0">
        <w:t xml:space="preserve"> distributors to </w:t>
      </w:r>
      <w:r w:rsidR="00AA0E4A">
        <w:t xml:space="preserve">undertake R&amp;D in </w:t>
      </w:r>
      <w:r w:rsidR="00AA0E4A">
        <w:rPr>
          <w:rStyle w:val="AERbody"/>
        </w:rPr>
        <w:t xml:space="preserve">demand management projects that have the potential to reduce </w:t>
      </w:r>
      <w:r w:rsidR="00D975E2">
        <w:rPr>
          <w:rStyle w:val="AERbody"/>
        </w:rPr>
        <w:t>long-term</w:t>
      </w:r>
      <w:r w:rsidR="00AA0E4A">
        <w:rPr>
          <w:rStyle w:val="AERbody"/>
        </w:rPr>
        <w:t xml:space="preserve"> network costs</w:t>
      </w:r>
      <w:r>
        <w:t>.</w:t>
      </w:r>
    </w:p>
    <w:p w:rsidR="009E501D" w:rsidRDefault="00EB22C0" w:rsidP="00EB22C0">
      <w:r>
        <w:t xml:space="preserve">Given this, we </w:t>
      </w:r>
      <w:r w:rsidR="00794DC4">
        <w:t xml:space="preserve">consider </w:t>
      </w:r>
      <w:r>
        <w:t xml:space="preserve">'demand management' </w:t>
      </w:r>
      <w:r w:rsidR="00794DC4">
        <w:t xml:space="preserve">under </w:t>
      </w:r>
      <w:r>
        <w:t xml:space="preserve">this </w:t>
      </w:r>
      <w:r w:rsidR="00AA0E4A">
        <w:t>Mechanism should</w:t>
      </w:r>
      <w:r>
        <w:t xml:space="preserve"> </w:t>
      </w:r>
      <w:r w:rsidR="00AA0E4A">
        <w:t>relate</w:t>
      </w:r>
      <w:r w:rsidR="00794DC4">
        <w:t xml:space="preserve"> t</w:t>
      </w:r>
      <w:r>
        <w:t xml:space="preserve">o </w:t>
      </w:r>
      <w:r w:rsidR="00794DC4">
        <w:t xml:space="preserve">managing demand on </w:t>
      </w:r>
      <w:r>
        <w:t>electricity networks</w:t>
      </w:r>
      <w:r w:rsidRPr="00EB22C0">
        <w:t>.</w:t>
      </w:r>
      <w:r w:rsidR="00794DC4">
        <w:t xml:space="preserve"> </w:t>
      </w:r>
      <w:r w:rsidR="00D9021C">
        <w:t>For the purposes of the Mechanism, w</w:t>
      </w:r>
      <w:r w:rsidR="00794DC4">
        <w:t xml:space="preserve">e define electricity network demand management as the </w:t>
      </w:r>
      <w:r w:rsidRPr="00EB22C0">
        <w:t xml:space="preserve">act of modifying the drivers of network </w:t>
      </w:r>
      <w:r w:rsidR="003B62CB">
        <w:t>demand</w:t>
      </w:r>
      <w:r w:rsidR="00AA0E4A">
        <w:t xml:space="preserve">. In the Scheme, we specified that this should be with the purpose of removing </w:t>
      </w:r>
      <w:r w:rsidRPr="00EB22C0">
        <w:t>a network constraint</w:t>
      </w:r>
      <w:r w:rsidR="00AA0E4A">
        <w:t xml:space="preserve"> </w:t>
      </w:r>
      <w:r w:rsidR="00D9021C">
        <w:t xml:space="preserve">as the Scheme is targeting efficient non-network options relating to </w:t>
      </w:r>
      <w:r w:rsidR="009E501D">
        <w:t>demand management</w:t>
      </w:r>
      <w:r w:rsidR="00D9021C">
        <w:t>.</w:t>
      </w:r>
    </w:p>
    <w:p w:rsidR="00042649" w:rsidRDefault="00AA0E4A" w:rsidP="00EB22C0">
      <w:r>
        <w:t xml:space="preserve">However, since this Mechanism relates to R&amp;D with </w:t>
      </w:r>
      <w:r>
        <w:rPr>
          <w:rStyle w:val="AERbody"/>
        </w:rPr>
        <w:t xml:space="preserve">the potential to reduce </w:t>
      </w:r>
      <w:r w:rsidR="00D975E2">
        <w:rPr>
          <w:rStyle w:val="AERbody"/>
        </w:rPr>
        <w:t>long-term</w:t>
      </w:r>
      <w:r>
        <w:rPr>
          <w:rStyle w:val="AERbody"/>
        </w:rPr>
        <w:t xml:space="preserve"> network costs</w:t>
      </w:r>
      <w:r>
        <w:t xml:space="preserve">, it is possible that projects under the Mechanism will </w:t>
      </w:r>
      <w:r w:rsidR="00D80CFC">
        <w:t xml:space="preserve">not </w:t>
      </w:r>
      <w:r>
        <w:t xml:space="preserve">directly remove a specific </w:t>
      </w:r>
      <w:r w:rsidR="00042649">
        <w:t>network</w:t>
      </w:r>
      <w:r>
        <w:t xml:space="preserve"> constraint. Rather, t</w:t>
      </w:r>
      <w:r w:rsidR="00042649">
        <w:t>hese may develop a distributor's</w:t>
      </w:r>
      <w:r>
        <w:t xml:space="preserve"> capabilities to remove a </w:t>
      </w:r>
      <w:r w:rsidR="00042649">
        <w:t>network</w:t>
      </w:r>
      <w:r>
        <w:t xml:space="preserve"> constraint in the future</w:t>
      </w:r>
      <w:r>
        <w:rPr>
          <w:rFonts w:cs="Arial"/>
        </w:rPr>
        <w:t>―</w:t>
      </w:r>
      <w:r>
        <w:t xml:space="preserve">thereby </w:t>
      </w:r>
      <w:r w:rsidR="00042649">
        <w:t xml:space="preserve">having the potential to reduce </w:t>
      </w:r>
      <w:r w:rsidR="00695606">
        <w:t xml:space="preserve">long </w:t>
      </w:r>
      <w:r w:rsidR="00D975E2">
        <w:t>term</w:t>
      </w:r>
      <w:r w:rsidR="00042649">
        <w:t xml:space="preserve"> network costs.</w:t>
      </w:r>
    </w:p>
    <w:p w:rsidR="006B7067" w:rsidRDefault="00794DC4" w:rsidP="00EB22C0">
      <w:r>
        <w:t xml:space="preserve">A distributor might modify the drivers of </w:t>
      </w:r>
      <w:r w:rsidR="00EB22C0">
        <w:t xml:space="preserve">network </w:t>
      </w:r>
      <w:r w:rsidR="00D80CFC">
        <w:t xml:space="preserve">demand </w:t>
      </w:r>
      <w:r>
        <w:t>by</w:t>
      </w:r>
      <w:r w:rsidR="00EB22C0" w:rsidRPr="001C2B6A">
        <w:t xml:space="preserve"> reduc</w:t>
      </w:r>
      <w:r w:rsidR="00EB22C0">
        <w:t>ing</w:t>
      </w:r>
      <w:r w:rsidR="00EB22C0" w:rsidRPr="001C2B6A">
        <w:t xml:space="preserve"> peak demand or chang</w:t>
      </w:r>
      <w:r w:rsidR="00EB22C0">
        <w:t>ing</w:t>
      </w:r>
      <w:r w:rsidR="00EB22C0" w:rsidRPr="001C2B6A">
        <w:t xml:space="preserve"> </w:t>
      </w:r>
      <w:r w:rsidR="00EB22C0">
        <w:t>the demand</w:t>
      </w:r>
      <w:r w:rsidR="00EB22C0" w:rsidRPr="001C2B6A">
        <w:t xml:space="preserve"> profile. </w:t>
      </w:r>
      <w:r w:rsidR="00EB22C0">
        <w:t>This is in contrast to a supply-side action, which entails investment to increase the network capacity to satisfy demand.</w:t>
      </w:r>
    </w:p>
    <w:p w:rsidR="00D80CFC" w:rsidRDefault="006B7067" w:rsidP="00EB22C0">
      <w:r>
        <w:t>S</w:t>
      </w:r>
      <w:r w:rsidR="00042649">
        <w:t xml:space="preserve">ome demand management R&amp;D that distributors have undertaken previously </w:t>
      </w:r>
      <w:r w:rsidR="00D975E2">
        <w:t>includes</w:t>
      </w:r>
      <w:r w:rsidR="00D80CFC">
        <w:t>:</w:t>
      </w:r>
    </w:p>
    <w:p w:rsidR="00D80CFC" w:rsidRDefault="00D80CFC" w:rsidP="008F206C">
      <w:pPr>
        <w:pStyle w:val="AERbulletlistfirststyle"/>
      </w:pPr>
      <w:r>
        <w:t>Using embedded generators and/or storage to provide network support;</w:t>
      </w:r>
    </w:p>
    <w:p w:rsidR="00D80CFC" w:rsidRDefault="00D80CFC" w:rsidP="008F206C">
      <w:pPr>
        <w:pStyle w:val="AERbulletlistfirststyle"/>
      </w:pPr>
      <w:r>
        <w:t>Trialling mini grids and virtual power plants;</w:t>
      </w:r>
    </w:p>
    <w:p w:rsidR="00D80CFC" w:rsidRDefault="00D80CFC" w:rsidP="008F206C">
      <w:pPr>
        <w:pStyle w:val="AERbulletlistfirststyle"/>
      </w:pPr>
      <w:r>
        <w:t>Trialling different ways to deploy demand response</w:t>
      </w:r>
      <w:r w:rsidR="00B90E2F">
        <w:t>/</w:t>
      </w:r>
      <w:r>
        <w:t>voluntary load curtailment;</w:t>
      </w:r>
    </w:p>
    <w:p w:rsidR="00D80CFC" w:rsidRDefault="00D80CFC" w:rsidP="008F206C">
      <w:pPr>
        <w:pStyle w:val="AERbulletlistfirststyle"/>
      </w:pPr>
      <w:r>
        <w:t>Conducting tariff trials</w:t>
      </w:r>
      <w:r w:rsidR="00760233">
        <w:t>;</w:t>
      </w:r>
    </w:p>
    <w:p w:rsidR="00D80CFC" w:rsidRDefault="00D80CFC" w:rsidP="008F206C">
      <w:pPr>
        <w:pStyle w:val="AERbulletlistfirststyle"/>
      </w:pPr>
      <w:r>
        <w:t xml:space="preserve">Applying different </w:t>
      </w:r>
      <w:r w:rsidR="00760233">
        <w:t>methods to</w:t>
      </w:r>
      <w:r>
        <w:t xml:space="preserve"> screen for demand management solutions, including through stakeholder engagement activities;</w:t>
      </w:r>
    </w:p>
    <w:p w:rsidR="00D80CFC" w:rsidRDefault="00D80CFC" w:rsidP="008F206C">
      <w:pPr>
        <w:pStyle w:val="AERbulletlistfirststyle"/>
      </w:pPr>
      <w:r>
        <w:t>Using netwo</w:t>
      </w:r>
      <w:r w:rsidR="00760233">
        <w:t>rk solutions to manage</w:t>
      </w:r>
      <w:r>
        <w:t xml:space="preserve"> demand on the n</w:t>
      </w:r>
      <w:r w:rsidR="00760233">
        <w:t>etwork, including by installing network assets like smart feeders, conductors and inverters.</w:t>
      </w:r>
    </w:p>
    <w:p w:rsidR="006B7067" w:rsidRDefault="00885BC0" w:rsidP="008F206C">
      <w:pPr>
        <w:pStyle w:val="AERbulletlistfirststyle"/>
        <w:numPr>
          <w:ilvl w:val="0"/>
          <w:numId w:val="0"/>
        </w:numPr>
      </w:pPr>
      <w:r>
        <w:t xml:space="preserve">Figure 1 below illustrates the diverse range of projects undertaken, but emphasises that </w:t>
      </w:r>
      <w:r w:rsidR="008358A3">
        <w:t>grid storage projects made up the largest portion of expenditure by a significant margin</w:t>
      </w:r>
      <w:r>
        <w:t>.</w:t>
      </w:r>
    </w:p>
    <w:p w:rsidR="005F2FA3" w:rsidRDefault="00762415" w:rsidP="005F2FA3">
      <w:pPr>
        <w:pStyle w:val="Caption"/>
      </w:pPr>
      <w:r>
        <w:lastRenderedPageBreak/>
        <w:t xml:space="preserve">Figure </w:t>
      </w:r>
      <w:r w:rsidR="006F3834">
        <w:fldChar w:fldCharType="begin"/>
      </w:r>
      <w:r w:rsidR="006F3834">
        <w:instrText xml:space="preserve"> SEQ Figure \* ARABIC </w:instrText>
      </w:r>
      <w:r w:rsidR="006F3834">
        <w:fldChar w:fldCharType="separate"/>
      </w:r>
      <w:r w:rsidR="00755D05">
        <w:rPr>
          <w:noProof/>
        </w:rPr>
        <w:t>1</w:t>
      </w:r>
      <w:r w:rsidR="006F3834">
        <w:rPr>
          <w:noProof/>
        </w:rPr>
        <w:fldChar w:fldCharType="end"/>
      </w:r>
      <w:r>
        <w:t xml:space="preserve">: </w:t>
      </w:r>
      <w:r w:rsidR="005F2FA3">
        <w:t>DMIA spent July 2010 to December 2016 ($'000</w:t>
      </w:r>
      <w:r w:rsidR="00D65C3C">
        <w:t>, real 2015-16</w:t>
      </w:r>
      <w:r w:rsidR="005F2FA3">
        <w:t>)</w:t>
      </w:r>
      <w:r w:rsidRPr="00762415">
        <w:t xml:space="preserve"> </w:t>
      </w:r>
    </w:p>
    <w:p w:rsidR="00885BC0" w:rsidRDefault="00335477" w:rsidP="00EB22C0">
      <w:r>
        <w:rPr>
          <w:noProof/>
          <w:lang w:eastAsia="en-AU"/>
        </w:rPr>
        <w:drawing>
          <wp:inline distT="0" distB="0" distL="0" distR="0" wp14:anchorId="19FE1C43" wp14:editId="448F0098">
            <wp:extent cx="5337545" cy="300901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6353" cy="3008342"/>
                    </a:xfrm>
                    <a:prstGeom prst="rect">
                      <a:avLst/>
                    </a:prstGeom>
                    <a:noFill/>
                  </pic:spPr>
                </pic:pic>
              </a:graphicData>
            </a:graphic>
          </wp:inline>
        </w:drawing>
      </w:r>
    </w:p>
    <w:p w:rsidR="0025520D" w:rsidRPr="00793775" w:rsidRDefault="0025520D" w:rsidP="008F206C">
      <w:pPr>
        <w:pStyle w:val="AERtablesource"/>
      </w:pPr>
      <w:r w:rsidRPr="0025520D">
        <w:t>Source:</w:t>
      </w:r>
      <w:r w:rsidRPr="006614F1">
        <w:t xml:space="preserve"> </w:t>
      </w:r>
      <w:r>
        <w:tab/>
      </w:r>
      <w:r w:rsidRPr="0025520D">
        <w:t xml:space="preserve">AER, </w:t>
      </w:r>
      <w:r w:rsidRPr="008F206C">
        <w:rPr>
          <w:rStyle w:val="AERtextitalic"/>
          <w:i w:val="0"/>
        </w:rPr>
        <w:t>Decisions on applications for the demand management innovation allowance</w:t>
      </w:r>
      <w:r w:rsidRPr="0025520D">
        <w:t>, published</w:t>
      </w:r>
      <w:r w:rsidRPr="006614F1">
        <w:t xml:space="preserve"> July 2017, </w:t>
      </w:r>
      <w:r w:rsidRPr="00F94118">
        <w:t>April 2016, April 2015, J</w:t>
      </w:r>
      <w:r w:rsidRPr="00B670FE">
        <w:t>uly 2013</w:t>
      </w:r>
      <w:r>
        <w:t xml:space="preserve"> and</w:t>
      </w:r>
      <w:r w:rsidRPr="0025520D">
        <w:t xml:space="preserve"> November 2012. See </w:t>
      </w:r>
      <w:r w:rsidRPr="006614F1">
        <w:t>https://www.aer.gov.au/networks-pipelines/compliance-reporting?page=1&amp;f[0]=field_accc_aer_report_type%3A1203</w:t>
      </w:r>
      <w:r w:rsidRPr="00B670FE">
        <w:t>.</w:t>
      </w:r>
    </w:p>
    <w:p w:rsidR="00C4623B" w:rsidRDefault="00C4623B" w:rsidP="00C4623B">
      <w:pPr>
        <w:pStyle w:val="Heading1"/>
      </w:pPr>
      <w:bookmarkStart w:id="17" w:name="_Toc491360649"/>
      <w:r>
        <w:lastRenderedPageBreak/>
        <w:t>Insights from stakeholders</w:t>
      </w:r>
      <w:bookmarkEnd w:id="17"/>
    </w:p>
    <w:p w:rsidR="00C4623B" w:rsidRDefault="00C36911" w:rsidP="00C4623B">
      <w:r>
        <w:t xml:space="preserve">There has been </w:t>
      </w:r>
      <w:r w:rsidR="00F86EDB">
        <w:t>substantial</w:t>
      </w:r>
      <w:r>
        <w:t xml:space="preserve"> stakeholder interest and engagement</w:t>
      </w:r>
      <w:r w:rsidR="00111125">
        <w:t xml:space="preserve"> </w:t>
      </w:r>
      <w:r>
        <w:t xml:space="preserve">this project. </w:t>
      </w:r>
      <w:r w:rsidR="00111125">
        <w:t>A</w:t>
      </w:r>
      <w:r>
        <w:t xml:space="preserve"> variety of stakeholders </w:t>
      </w:r>
      <w:r w:rsidR="00111125">
        <w:t xml:space="preserve">have </w:t>
      </w:r>
      <w:r w:rsidR="00B90E2F">
        <w:t>shar</w:t>
      </w:r>
      <w:r w:rsidR="00111125">
        <w:t xml:space="preserve">ed </w:t>
      </w:r>
      <w:r>
        <w:t xml:space="preserve">their valuable insights throughout the </w:t>
      </w:r>
      <w:r w:rsidR="00A34C25">
        <w:t>Mechanism</w:t>
      </w:r>
      <w:r>
        <w:t xml:space="preserve"> development process. For instance:</w:t>
      </w:r>
    </w:p>
    <w:p w:rsidR="002B1507" w:rsidRDefault="002B1507" w:rsidP="002B1507">
      <w:pPr>
        <w:pStyle w:val="AERbulletlistfirststyle"/>
      </w:pPr>
      <w:r>
        <w:t>Prior to the Issues Day</w:t>
      </w:r>
      <w:r w:rsidR="00630BC5">
        <w:t>, 57</w:t>
      </w:r>
      <w:r>
        <w:t xml:space="preserve"> stakeholders responded to a pre-workshop survey by submitting to us their top three issues concerning network demand management and the development of the Scheme</w:t>
      </w:r>
      <w:r w:rsidR="00A34C25">
        <w:t xml:space="preserve"> and Mechanism</w:t>
      </w:r>
      <w:r>
        <w:t>.</w:t>
      </w:r>
    </w:p>
    <w:p w:rsidR="00C36911" w:rsidRDefault="00C36911" w:rsidP="002B1507">
      <w:pPr>
        <w:pStyle w:val="AERbulletlistfirststyle"/>
      </w:pPr>
      <w:r>
        <w:t xml:space="preserve">68 stakeholders </w:t>
      </w:r>
      <w:r w:rsidR="002B1507">
        <w:t>attended</w:t>
      </w:r>
      <w:r>
        <w:t xml:space="preserve"> our demand management Issues Day</w:t>
      </w:r>
      <w:r w:rsidRPr="00C36911">
        <w:t xml:space="preserve"> </w:t>
      </w:r>
      <w:r>
        <w:t xml:space="preserve">on 20 September 2016. </w:t>
      </w:r>
      <w:r w:rsidR="002B1507">
        <w:t>Eight</w:t>
      </w:r>
      <w:r w:rsidR="002B1507" w:rsidRPr="002B1507">
        <w:t xml:space="preserve"> key stakeholders gave presentations and </w:t>
      </w:r>
      <w:r w:rsidR="002B1507">
        <w:t>all participants actively brainstormed views and solutions around key issues during</w:t>
      </w:r>
      <w:r w:rsidR="002B1507" w:rsidRPr="002B1507">
        <w:t xml:space="preserve"> </w:t>
      </w:r>
      <w:r w:rsidR="002B1507">
        <w:t>'</w:t>
      </w:r>
      <w:r w:rsidR="002B1507" w:rsidRPr="002B1507">
        <w:t>breakout sessions</w:t>
      </w:r>
      <w:r w:rsidR="002B1507">
        <w:t>'</w:t>
      </w:r>
      <w:r w:rsidR="002B1507" w:rsidRPr="002B1507">
        <w:t>.</w:t>
      </w:r>
    </w:p>
    <w:p w:rsidR="00C36911" w:rsidRDefault="00C36911" w:rsidP="00C36911">
      <w:pPr>
        <w:pStyle w:val="AERbulletlistfirststyle"/>
      </w:pPr>
      <w:r>
        <w:t xml:space="preserve">28 stakeholders lodged detailed submissions on a Consultation Paper </w:t>
      </w:r>
      <w:r w:rsidR="00B90E2F">
        <w:t xml:space="preserve">we </w:t>
      </w:r>
      <w:r>
        <w:t>published on 4 January 2017.</w:t>
      </w:r>
    </w:p>
    <w:p w:rsidR="00C36911" w:rsidRDefault="00C36911" w:rsidP="00C36911">
      <w:pPr>
        <w:pStyle w:val="AERbulletlistfirststyle"/>
      </w:pPr>
      <w:r>
        <w:t>42 stakeholders actively participated in a round table discussion at our demand management Options Day</w:t>
      </w:r>
      <w:r w:rsidRPr="00C36911">
        <w:t xml:space="preserve"> </w:t>
      </w:r>
      <w:r>
        <w:t>on 6 April 2017.</w:t>
      </w:r>
    </w:p>
    <w:p w:rsidR="00C36911" w:rsidRDefault="00C36911" w:rsidP="00C36911">
      <w:pPr>
        <w:pStyle w:val="AERbulletlistfirststyle"/>
      </w:pPr>
      <w:r>
        <w:t>1</w:t>
      </w:r>
      <w:r w:rsidR="00C12440">
        <w:t>2</w:t>
      </w:r>
      <w:r w:rsidR="00F73394">
        <w:t xml:space="preserve"> </w:t>
      </w:r>
      <w:r w:rsidR="00630BC5">
        <w:t>s</w:t>
      </w:r>
      <w:r w:rsidR="002B1507">
        <w:t>takeholders that attended the Options Day lodged supplementary submissions following the Options Day.</w:t>
      </w:r>
    </w:p>
    <w:p w:rsidR="002B1507" w:rsidRDefault="00C12440" w:rsidP="00C36911">
      <w:pPr>
        <w:pStyle w:val="AERbulletlistfirststyle"/>
      </w:pPr>
      <w:r>
        <w:t>51</w:t>
      </w:r>
      <w:r w:rsidR="002B1507">
        <w:t xml:space="preserve"> stakeholders attended a Direction</w:t>
      </w:r>
      <w:r>
        <w:t>s</w:t>
      </w:r>
      <w:r w:rsidR="002B1507">
        <w:t xml:space="preserve"> Forum videoconference on 29 June 2017.</w:t>
      </w:r>
    </w:p>
    <w:p w:rsidR="002B1507" w:rsidRDefault="002B1507" w:rsidP="002B1507">
      <w:pPr>
        <w:pStyle w:val="AERbulletlistfirststyle"/>
        <w:numPr>
          <w:ilvl w:val="0"/>
          <w:numId w:val="0"/>
        </w:numPr>
      </w:pPr>
      <w:r>
        <w:t>Where possible, we have made the material that stakeholders have provided to us publicly available on our website.</w:t>
      </w:r>
      <w:r>
        <w:rPr>
          <w:rStyle w:val="FootnoteReference"/>
        </w:rPr>
        <w:footnoteReference w:id="9"/>
      </w:r>
    </w:p>
    <w:p w:rsidR="00DE315A" w:rsidRDefault="00A56121" w:rsidP="00DE315A">
      <w:r>
        <w:t>Submissions on the Consultation Paper (summarised in</w:t>
      </w:r>
      <w:r w:rsidR="00760233">
        <w:t xml:space="preserve"> </w:t>
      </w:r>
      <w:r w:rsidR="00760233">
        <w:fldChar w:fldCharType="begin"/>
      </w:r>
      <w:r w:rsidR="00760233">
        <w:instrText xml:space="preserve"> REF  _Ref488331660 \* Lower \h </w:instrText>
      </w:r>
      <w:r w:rsidR="00760233">
        <w:fldChar w:fldCharType="separate"/>
      </w:r>
      <w:r w:rsidR="00755D05">
        <w:t xml:space="preserve">figure </w:t>
      </w:r>
      <w:r w:rsidR="00755D05">
        <w:rPr>
          <w:noProof/>
        </w:rPr>
        <w:t>2</w:t>
      </w:r>
      <w:r w:rsidR="00760233">
        <w:fldChar w:fldCharType="end"/>
      </w:r>
      <w:r>
        <w:t xml:space="preserve">) showed that </w:t>
      </w:r>
      <w:r w:rsidR="00DE315A">
        <w:t>s</w:t>
      </w:r>
      <w:r w:rsidR="00DE315A" w:rsidRPr="00DE315A">
        <w:t>takeholder</w:t>
      </w:r>
      <w:r>
        <w:t xml:space="preserve">s </w:t>
      </w:r>
      <w:r w:rsidR="00B2169F">
        <w:t>generally supported the introduction of a</w:t>
      </w:r>
      <w:r w:rsidR="00DE315A" w:rsidRPr="00DE315A">
        <w:t xml:space="preserve"> Mechanism</w:t>
      </w:r>
      <w:r w:rsidR="00DE315A">
        <w:t>.</w:t>
      </w:r>
      <w:r w:rsidR="00DE315A" w:rsidRPr="00DE315A">
        <w:t xml:space="preserve"> This sentiment was also clear from the Options Day</w:t>
      </w:r>
      <w:r w:rsidR="003F6C31">
        <w:t xml:space="preserve"> and Directions Forum</w:t>
      </w:r>
      <w:r w:rsidR="00DE315A">
        <w:t>. However, while t</w:t>
      </w:r>
      <w:r w:rsidR="00DE315A" w:rsidRPr="00473D76">
        <w:t>he majority of stakeholders support</w:t>
      </w:r>
      <w:r w:rsidR="00B90E2F">
        <w:t>ed</w:t>
      </w:r>
      <w:r w:rsidR="00DE315A" w:rsidRPr="00473D76">
        <w:t xml:space="preserve"> the Mechanism as having value, the</w:t>
      </w:r>
      <w:r w:rsidR="00DE315A">
        <w:t>y generally s</w:t>
      </w:r>
      <w:r w:rsidR="00B90E2F">
        <w:t>aw</w:t>
      </w:r>
      <w:r w:rsidR="00DE315A">
        <w:t xml:space="preserve"> the</w:t>
      </w:r>
      <w:r w:rsidR="00DE315A" w:rsidRPr="00473D76">
        <w:t xml:space="preserve"> Scheme</w:t>
      </w:r>
      <w:r w:rsidR="00DE315A">
        <w:t xml:space="preserve"> </w:t>
      </w:r>
      <w:r w:rsidR="00DE315A" w:rsidRPr="00473D76">
        <w:t>as the ‘main game’</w:t>
      </w:r>
      <w:r w:rsidR="00F86EDB">
        <w:t xml:space="preserve"> for driving efficient demand management in electricity networks</w:t>
      </w:r>
      <w:r w:rsidR="00DE315A">
        <w:t>.</w:t>
      </w:r>
    </w:p>
    <w:p w:rsidR="002B1507" w:rsidRDefault="003545B2" w:rsidP="00DE315A">
      <w:pPr>
        <w:pStyle w:val="AERbulletlistfirststyle"/>
        <w:numPr>
          <w:ilvl w:val="0"/>
          <w:numId w:val="0"/>
        </w:numPr>
      </w:pPr>
      <w:r>
        <w:t xml:space="preserve">   </w:t>
      </w:r>
      <w:r w:rsidR="007D376D">
        <w:t xml:space="preserve">  </w:t>
      </w:r>
      <w:r w:rsidR="006824C9">
        <w:t xml:space="preserve">  </w:t>
      </w:r>
    </w:p>
    <w:p w:rsidR="00DE315A" w:rsidRDefault="00762415" w:rsidP="00DE315A">
      <w:pPr>
        <w:pStyle w:val="Caption"/>
      </w:pPr>
      <w:bookmarkStart w:id="18" w:name="_Ref488331660"/>
      <w:r>
        <w:lastRenderedPageBreak/>
        <w:t xml:space="preserve">Figure </w:t>
      </w:r>
      <w:r w:rsidR="006F3834">
        <w:fldChar w:fldCharType="begin"/>
      </w:r>
      <w:r w:rsidR="006F3834">
        <w:instrText xml:space="preserve"> SEQ Figure \* ARABIC </w:instrText>
      </w:r>
      <w:r w:rsidR="006F3834">
        <w:fldChar w:fldCharType="separate"/>
      </w:r>
      <w:r w:rsidR="00755D05">
        <w:rPr>
          <w:noProof/>
        </w:rPr>
        <w:t>2</w:t>
      </w:r>
      <w:r w:rsidR="006F3834">
        <w:rPr>
          <w:noProof/>
        </w:rPr>
        <w:fldChar w:fldCharType="end"/>
      </w:r>
      <w:bookmarkEnd w:id="18"/>
      <w:r w:rsidR="00473D76">
        <w:t>: Support for</w:t>
      </w:r>
      <w:r w:rsidR="00A34C25">
        <w:t xml:space="preserve"> Mechanism</w:t>
      </w:r>
      <w:r w:rsidR="00473D76">
        <w:t xml:space="preserve"> </w:t>
      </w:r>
      <w:r w:rsidR="00DE315A">
        <w:t>in</w:t>
      </w:r>
      <w:r w:rsidR="00473D76">
        <w:t xml:space="preserve"> submissions on Consultation Paper</w:t>
      </w:r>
    </w:p>
    <w:p w:rsidR="00473D76" w:rsidRDefault="00DE315A" w:rsidP="00DE315A">
      <w:pPr>
        <w:pStyle w:val="Caption"/>
      </w:pPr>
      <w:r w:rsidRPr="00DE315A">
        <w:rPr>
          <w:noProof/>
          <w:lang w:eastAsia="en-AU"/>
        </w:rPr>
        <w:drawing>
          <wp:inline distT="0" distB="0" distL="0" distR="0" wp14:anchorId="3D16A148" wp14:editId="28362DBC">
            <wp:extent cx="4735902" cy="3028888"/>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328" t="9255" r="936" b="3250"/>
                    <a:stretch/>
                  </pic:blipFill>
                  <pic:spPr bwMode="auto">
                    <a:xfrm>
                      <a:off x="0" y="0"/>
                      <a:ext cx="4749417" cy="3037532"/>
                    </a:xfrm>
                    <a:prstGeom prst="rect">
                      <a:avLst/>
                    </a:prstGeom>
                    <a:noFill/>
                    <a:ln>
                      <a:noFill/>
                    </a:ln>
                    <a:extLst>
                      <a:ext uri="{53640926-AAD7-44D8-BBD7-CCE9431645EC}">
                        <a14:shadowObscured xmlns:a14="http://schemas.microsoft.com/office/drawing/2010/main"/>
                      </a:ext>
                    </a:extLst>
                  </pic:spPr>
                </pic:pic>
              </a:graphicData>
            </a:graphic>
          </wp:inline>
        </w:drawing>
      </w:r>
    </w:p>
    <w:p w:rsidR="00B90E2F" w:rsidRPr="00B90E2F" w:rsidRDefault="00B90E2F" w:rsidP="00FB09FA">
      <w:pPr>
        <w:pStyle w:val="AERtablesource"/>
      </w:pPr>
      <w:r>
        <w:t xml:space="preserve">Source: </w:t>
      </w:r>
      <w:r>
        <w:tab/>
        <w:t xml:space="preserve">Submissions on </w:t>
      </w:r>
      <w:r w:rsidRPr="0025520D">
        <w:t xml:space="preserve">AER, </w:t>
      </w:r>
      <w:r w:rsidRPr="00B90E2F">
        <w:rPr>
          <w:rStyle w:val="AERtextitalic"/>
        </w:rPr>
        <w:t>Consultation Paper: Demand management inventive scheme and innovation allowance mechanism</w:t>
      </w:r>
      <w:r>
        <w:t>, January 2017, AER analysis.</w:t>
      </w:r>
    </w:p>
    <w:bookmarkStart w:id="19" w:name="_Ref488332316"/>
    <w:p w:rsidR="00444AC9" w:rsidRPr="00444AC9" w:rsidRDefault="00F86EDB" w:rsidP="00444AC9">
      <w:r>
        <w:rPr>
          <w:rStyle w:val="AERbody"/>
        </w:rPr>
        <w:fldChar w:fldCharType="begin"/>
      </w:r>
      <w:r>
        <w:rPr>
          <w:rStyle w:val="AERbody"/>
        </w:rPr>
        <w:instrText xml:space="preserve"> REF _Ref491352664 \h </w:instrText>
      </w:r>
      <w:r>
        <w:rPr>
          <w:rStyle w:val="AERbody"/>
        </w:rPr>
      </w:r>
      <w:r>
        <w:rPr>
          <w:rStyle w:val="AERbody"/>
        </w:rPr>
        <w:fldChar w:fldCharType="separate"/>
      </w:r>
      <w:r w:rsidR="00755D05" w:rsidRPr="0025520D">
        <w:t xml:space="preserve">Table </w:t>
      </w:r>
      <w:r w:rsidR="00755D05">
        <w:rPr>
          <w:noProof/>
        </w:rPr>
        <w:t>1</w:t>
      </w:r>
      <w:r>
        <w:rPr>
          <w:rStyle w:val="AERbody"/>
        </w:rPr>
        <w:fldChar w:fldCharType="end"/>
      </w:r>
      <w:r>
        <w:rPr>
          <w:rStyle w:val="AERbody"/>
        </w:rPr>
        <w:t xml:space="preserve"> </w:t>
      </w:r>
      <w:r w:rsidR="00444AC9" w:rsidRPr="00444AC9">
        <w:rPr>
          <w:rStyle w:val="AERbody"/>
        </w:rPr>
        <w:t>summarises the different Mechanism design options we discussed in the Consultation Paper. It also summarises our decision on whether or how to apply these options.</w:t>
      </w:r>
    </w:p>
    <w:p w:rsidR="00444AC9" w:rsidRPr="00444AC9" w:rsidRDefault="0025520D" w:rsidP="00444AC9">
      <w:pPr>
        <w:pStyle w:val="Caption"/>
      </w:pPr>
      <w:bookmarkStart w:id="20" w:name="_Ref491352664"/>
      <w:r w:rsidRPr="0025520D">
        <w:t xml:space="preserve">Table </w:t>
      </w:r>
      <w:r w:rsidR="006F3834">
        <w:fldChar w:fldCharType="begin"/>
      </w:r>
      <w:r w:rsidR="006F3834">
        <w:instrText xml:space="preserve"> SEQ Table \* ARABIC </w:instrText>
      </w:r>
      <w:r w:rsidR="006F3834">
        <w:fldChar w:fldCharType="separate"/>
      </w:r>
      <w:r w:rsidR="00755D05">
        <w:rPr>
          <w:noProof/>
        </w:rPr>
        <w:t>1</w:t>
      </w:r>
      <w:r w:rsidR="006F3834">
        <w:rPr>
          <w:noProof/>
        </w:rPr>
        <w:fldChar w:fldCharType="end"/>
      </w:r>
      <w:bookmarkEnd w:id="19"/>
      <w:bookmarkEnd w:id="20"/>
      <w:r w:rsidRPr="0025520D">
        <w:t>: Different Mechanism designs considered</w:t>
      </w:r>
    </w:p>
    <w:tbl>
      <w:tblPr>
        <w:tblStyle w:val="AERtable-text0"/>
        <w:tblW w:w="5000" w:type="pct"/>
        <w:tblLook w:val="04A0" w:firstRow="1" w:lastRow="0" w:firstColumn="1" w:lastColumn="0" w:noHBand="0" w:noVBand="1"/>
      </w:tblPr>
      <w:tblGrid>
        <w:gridCol w:w="4346"/>
        <w:gridCol w:w="4347"/>
      </w:tblGrid>
      <w:tr w:rsidR="0025520D" w:rsidTr="00CE7DE4">
        <w:trPr>
          <w:cnfStyle w:val="100000000000" w:firstRow="1" w:lastRow="0" w:firstColumn="0" w:lastColumn="0" w:oddVBand="0" w:evenVBand="0" w:oddHBand="0" w:evenHBand="0" w:firstRowFirstColumn="0" w:firstRowLastColumn="0" w:lastRowFirstColumn="0" w:lastRowLastColumn="0"/>
        </w:trPr>
        <w:tc>
          <w:tcPr>
            <w:tcW w:w="2500" w:type="pct"/>
          </w:tcPr>
          <w:p w:rsidR="0025520D" w:rsidRPr="0025520D" w:rsidRDefault="0025520D" w:rsidP="0025520D">
            <w:r w:rsidRPr="0025520D">
              <w:t>Mechanism design consulted upon</w:t>
            </w:r>
          </w:p>
        </w:tc>
        <w:tc>
          <w:tcPr>
            <w:tcW w:w="2500" w:type="pct"/>
          </w:tcPr>
          <w:p w:rsidR="0025520D" w:rsidRPr="0025520D" w:rsidRDefault="0025520D" w:rsidP="0025520D">
            <w:r w:rsidRPr="0025520D">
              <w:t>Decision on whether or how to incorporate into the draft Mechanism</w:t>
            </w:r>
          </w:p>
        </w:tc>
      </w:tr>
      <w:tr w:rsidR="0025520D" w:rsidTr="00CE7DE4">
        <w:tc>
          <w:tcPr>
            <w:tcW w:w="2500" w:type="pct"/>
          </w:tcPr>
          <w:p w:rsidR="0025520D" w:rsidRPr="0025520D" w:rsidRDefault="0025520D" w:rsidP="0025520D">
            <w:r w:rsidRPr="0025520D">
              <w:t>Minor extension to the status quo</w:t>
            </w:r>
          </w:p>
        </w:tc>
        <w:tc>
          <w:tcPr>
            <w:tcW w:w="2500" w:type="pct"/>
          </w:tcPr>
          <w:p w:rsidR="0025520D" w:rsidRPr="0025520D" w:rsidRDefault="0025520D" w:rsidP="0025520D">
            <w:r w:rsidRPr="0025520D">
              <w:t>Incorporated into the draft Mechanism</w:t>
            </w:r>
            <w:r w:rsidR="00702AFB">
              <w:t>.</w:t>
            </w:r>
          </w:p>
        </w:tc>
      </w:tr>
      <w:tr w:rsidR="0025520D" w:rsidTr="00CE7DE4">
        <w:trPr>
          <w:cnfStyle w:val="000000010000" w:firstRow="0" w:lastRow="0" w:firstColumn="0" w:lastColumn="0" w:oddVBand="0" w:evenVBand="0" w:oddHBand="0" w:evenHBand="1" w:firstRowFirstColumn="0" w:firstRowLastColumn="0" w:lastRowFirstColumn="0" w:lastRowLastColumn="0"/>
        </w:trPr>
        <w:tc>
          <w:tcPr>
            <w:tcW w:w="2500" w:type="pct"/>
          </w:tcPr>
          <w:p w:rsidR="0025520D" w:rsidRPr="0025520D" w:rsidRDefault="0025520D" w:rsidP="0025520D">
            <w:r w:rsidRPr="0025520D">
              <w:t>High cap ex-ante allowance</w:t>
            </w:r>
          </w:p>
        </w:tc>
        <w:tc>
          <w:tcPr>
            <w:tcW w:w="2500" w:type="pct"/>
          </w:tcPr>
          <w:p w:rsidR="0025520D" w:rsidRPr="0025520D" w:rsidRDefault="00702AFB" w:rsidP="0025520D">
            <w:r>
              <w:t>Not directly i</w:t>
            </w:r>
            <w:r w:rsidR="0025520D" w:rsidRPr="0025520D">
              <w:t>ncorporated in the draft Mechanism</w:t>
            </w:r>
            <w:r>
              <w:t>. However,</w:t>
            </w:r>
            <w:r w:rsidR="0025520D" w:rsidRPr="0025520D">
              <w:t xml:space="preserve"> the indicative approval process and increase to the quantum of the allowance</w:t>
            </w:r>
            <w:r>
              <w:t xml:space="preserve"> under the draft Mechanism is consistent with elements of this option.</w:t>
            </w:r>
          </w:p>
        </w:tc>
      </w:tr>
      <w:tr w:rsidR="0025520D" w:rsidTr="00CE7DE4">
        <w:tc>
          <w:tcPr>
            <w:tcW w:w="2500" w:type="pct"/>
          </w:tcPr>
          <w:p w:rsidR="0025520D" w:rsidRPr="0025520D" w:rsidRDefault="0025520D" w:rsidP="0025520D">
            <w:r w:rsidRPr="0025520D">
              <w:t>Bidding to encourage ground-breaking R&amp;D</w:t>
            </w:r>
          </w:p>
        </w:tc>
        <w:tc>
          <w:tcPr>
            <w:tcW w:w="2500" w:type="pct"/>
          </w:tcPr>
          <w:p w:rsidR="0025520D" w:rsidRPr="0025520D" w:rsidRDefault="0025520D" w:rsidP="0025520D">
            <w:r w:rsidRPr="0025520D">
              <w:t xml:space="preserve">Not incorporated into the draft </w:t>
            </w:r>
            <w:r w:rsidR="009A4E95">
              <w:t>M</w:t>
            </w:r>
            <w:r w:rsidRPr="0025520D">
              <w:t>echanism</w:t>
            </w:r>
            <w:r w:rsidR="00702AFB">
              <w:t>.</w:t>
            </w:r>
          </w:p>
        </w:tc>
      </w:tr>
      <w:tr w:rsidR="0025520D" w:rsidTr="00CE7DE4">
        <w:trPr>
          <w:cnfStyle w:val="000000010000" w:firstRow="0" w:lastRow="0" w:firstColumn="0" w:lastColumn="0" w:oddVBand="0" w:evenVBand="0" w:oddHBand="0" w:evenHBand="1" w:firstRowFirstColumn="0" w:firstRowLastColumn="0" w:lastRowFirstColumn="0" w:lastRowLastColumn="0"/>
        </w:trPr>
        <w:tc>
          <w:tcPr>
            <w:tcW w:w="2500" w:type="pct"/>
          </w:tcPr>
          <w:p w:rsidR="0025520D" w:rsidRPr="0025520D" w:rsidRDefault="0025520D" w:rsidP="0025520D">
            <w:r w:rsidRPr="0025520D">
              <w:t>Bidding to encourage market-facilitated R&amp;D</w:t>
            </w:r>
          </w:p>
        </w:tc>
        <w:tc>
          <w:tcPr>
            <w:tcW w:w="2500" w:type="pct"/>
          </w:tcPr>
          <w:p w:rsidR="0025520D" w:rsidRPr="0025520D" w:rsidRDefault="0025520D" w:rsidP="0025520D">
            <w:r w:rsidRPr="0025520D">
              <w:t xml:space="preserve">Not incorporated into the draft </w:t>
            </w:r>
            <w:r w:rsidR="009A4E95">
              <w:t>M</w:t>
            </w:r>
            <w:r w:rsidRPr="0025520D">
              <w:t>echanism</w:t>
            </w:r>
            <w:r w:rsidR="00702AFB">
              <w:t>.</w:t>
            </w:r>
          </w:p>
        </w:tc>
      </w:tr>
    </w:tbl>
    <w:p w:rsidR="0025520D" w:rsidRPr="0025520D" w:rsidRDefault="0025520D" w:rsidP="0025520D">
      <w:pPr>
        <w:pStyle w:val="AERtablesource"/>
      </w:pPr>
      <w:r w:rsidRPr="0025520D">
        <w:t>Source:</w:t>
      </w:r>
      <w:r w:rsidRPr="0025520D">
        <w:tab/>
        <w:t xml:space="preserve">AER, </w:t>
      </w:r>
      <w:r w:rsidRPr="0025520D">
        <w:rPr>
          <w:rStyle w:val="AERtextitalic"/>
        </w:rPr>
        <w:t>Consultation Paper: Demand management inventive scheme and innovation allowance mechanism</w:t>
      </w:r>
      <w:r w:rsidRPr="0025520D">
        <w:t>, January 2017.</w:t>
      </w:r>
    </w:p>
    <w:p w:rsidR="00A56121" w:rsidRDefault="0025520D" w:rsidP="00DE315A">
      <w:r>
        <w:fldChar w:fldCharType="begin"/>
      </w:r>
      <w:r>
        <w:instrText xml:space="preserve"> REF  _Ref488331681 \* FirstCap \h </w:instrText>
      </w:r>
      <w:r>
        <w:fldChar w:fldCharType="separate"/>
      </w:r>
      <w:r w:rsidR="00755D05">
        <w:t xml:space="preserve">Figure </w:t>
      </w:r>
      <w:r w:rsidR="00755D05">
        <w:rPr>
          <w:noProof/>
        </w:rPr>
        <w:t>3</w:t>
      </w:r>
      <w:r>
        <w:fldChar w:fldCharType="end"/>
      </w:r>
      <w:r w:rsidR="00760233">
        <w:t xml:space="preserve"> </w:t>
      </w:r>
      <w:r w:rsidR="00A56121">
        <w:t>highlights</w:t>
      </w:r>
      <w:r>
        <w:t xml:space="preserve"> the level of stakeholder support we received on the options listed in</w:t>
      </w:r>
      <w:r w:rsidR="00F86EDB">
        <w:t xml:space="preserve"> </w:t>
      </w:r>
      <w:r w:rsidR="00F86EDB">
        <w:fldChar w:fldCharType="begin"/>
      </w:r>
      <w:r w:rsidR="00F86EDB">
        <w:instrText xml:space="preserve"> REF  _Ref491352664 \* Lower \h </w:instrText>
      </w:r>
      <w:r w:rsidR="00F86EDB">
        <w:fldChar w:fldCharType="separate"/>
      </w:r>
      <w:r w:rsidR="00755D05" w:rsidRPr="0025520D">
        <w:t xml:space="preserve">table </w:t>
      </w:r>
      <w:r w:rsidR="00755D05">
        <w:rPr>
          <w:noProof/>
        </w:rPr>
        <w:t>1</w:t>
      </w:r>
      <w:r w:rsidR="00F86EDB">
        <w:fldChar w:fldCharType="end"/>
      </w:r>
      <w:r>
        <w:t xml:space="preserve">. </w:t>
      </w:r>
      <w:r w:rsidR="00205BA4">
        <w:t>In their submissions, s</w:t>
      </w:r>
      <w:r w:rsidR="00A56121">
        <w:t>takeholders did not appear to have a clear, single preference towards a particular Mechanism design option we presented</w:t>
      </w:r>
      <w:r w:rsidR="00A56121" w:rsidRPr="00A56121">
        <w:t xml:space="preserve"> </w:t>
      </w:r>
      <w:r w:rsidR="00A56121">
        <w:t>in the Consultation Paper.</w:t>
      </w:r>
      <w:r w:rsidR="00B24A85">
        <w:t xml:space="preserve"> </w:t>
      </w:r>
      <w:r w:rsidR="00205BA4">
        <w:t>Rather,</w:t>
      </w:r>
      <w:r w:rsidR="00B24A85">
        <w:t xml:space="preserve"> th</w:t>
      </w:r>
      <w:r w:rsidR="007524E0">
        <w:t>ere were diverse</w:t>
      </w:r>
      <w:r w:rsidR="00B24A85">
        <w:t xml:space="preserve"> and </w:t>
      </w:r>
      <w:r w:rsidR="008600CD">
        <w:t xml:space="preserve">often </w:t>
      </w:r>
      <w:r w:rsidR="00B24A85">
        <w:t xml:space="preserve">opposing views. </w:t>
      </w:r>
    </w:p>
    <w:p w:rsidR="00A56121" w:rsidRDefault="00762415" w:rsidP="00762415">
      <w:pPr>
        <w:pStyle w:val="Caption"/>
      </w:pPr>
      <w:bookmarkStart w:id="21" w:name="_Ref488331681"/>
      <w:r>
        <w:lastRenderedPageBreak/>
        <w:t xml:space="preserve">Figure </w:t>
      </w:r>
      <w:r w:rsidR="006F3834">
        <w:fldChar w:fldCharType="begin"/>
      </w:r>
      <w:r w:rsidR="006F3834">
        <w:instrText xml:space="preserve"> SEQ Figure \* ARABIC </w:instrText>
      </w:r>
      <w:r w:rsidR="006F3834">
        <w:fldChar w:fldCharType="separate"/>
      </w:r>
      <w:r w:rsidR="00755D05">
        <w:rPr>
          <w:noProof/>
        </w:rPr>
        <w:t>3</w:t>
      </w:r>
      <w:r w:rsidR="006F3834">
        <w:rPr>
          <w:noProof/>
        </w:rPr>
        <w:fldChar w:fldCharType="end"/>
      </w:r>
      <w:bookmarkEnd w:id="21"/>
      <w:r w:rsidR="00A56121">
        <w:t>:  Level of support for Mechanism options in Consultation Paper</w:t>
      </w:r>
    </w:p>
    <w:p w:rsidR="00A56121" w:rsidRDefault="00A56121" w:rsidP="00DE315A">
      <w:r w:rsidRPr="00A56121">
        <w:rPr>
          <w:noProof/>
          <w:lang w:eastAsia="en-AU"/>
        </w:rPr>
        <w:drawing>
          <wp:inline distT="0" distB="0" distL="0" distR="0" wp14:anchorId="41855253" wp14:editId="32B40981">
            <wp:extent cx="5322498" cy="30192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55" t="6954" r="796" b="1890"/>
                    <a:stretch/>
                  </pic:blipFill>
                  <pic:spPr bwMode="auto">
                    <a:xfrm>
                      <a:off x="0" y="0"/>
                      <a:ext cx="5322259" cy="3019110"/>
                    </a:xfrm>
                    <a:prstGeom prst="rect">
                      <a:avLst/>
                    </a:prstGeom>
                    <a:noFill/>
                    <a:ln>
                      <a:noFill/>
                    </a:ln>
                    <a:extLst>
                      <a:ext uri="{53640926-AAD7-44D8-BBD7-CCE9431645EC}">
                        <a14:shadowObscured xmlns:a14="http://schemas.microsoft.com/office/drawing/2010/main"/>
                      </a:ext>
                    </a:extLst>
                  </pic:spPr>
                </pic:pic>
              </a:graphicData>
            </a:graphic>
          </wp:inline>
        </w:drawing>
      </w:r>
    </w:p>
    <w:p w:rsidR="00702AFB" w:rsidRDefault="00444AC9" w:rsidP="008F206C">
      <w:r>
        <w:fldChar w:fldCharType="begin"/>
      </w:r>
      <w:r>
        <w:instrText xml:space="preserve"> REF _Ref488331681 \h </w:instrText>
      </w:r>
      <w:r>
        <w:fldChar w:fldCharType="separate"/>
      </w:r>
      <w:r w:rsidR="00755D05">
        <w:t xml:space="preserve">Figure </w:t>
      </w:r>
      <w:r w:rsidR="00755D05">
        <w:rPr>
          <w:noProof/>
        </w:rPr>
        <w:t>3</w:t>
      </w:r>
      <w:r>
        <w:fldChar w:fldCharType="end"/>
      </w:r>
      <w:r>
        <w:t xml:space="preserve"> </w:t>
      </w:r>
      <w:r w:rsidR="00692A51">
        <w:t>demonstrates t</w:t>
      </w:r>
      <w:r w:rsidR="003F6C31" w:rsidRPr="003F6C31">
        <w:t>h</w:t>
      </w:r>
      <w:r w:rsidR="00702AFB">
        <w:t>at stakeholders had a diverse range of preferences. For instance</w:t>
      </w:r>
      <w:r w:rsidR="00705163">
        <w:t>, overall</w:t>
      </w:r>
      <w:r w:rsidR="00702AFB">
        <w:t>:</w:t>
      </w:r>
    </w:p>
    <w:p w:rsidR="00657820" w:rsidRDefault="00657820" w:rsidP="00705163">
      <w:pPr>
        <w:pStyle w:val="AERbulletlistfirststyle"/>
      </w:pPr>
      <w:r>
        <w:t>The extension to the status quo received a net-negative response.</w:t>
      </w:r>
    </w:p>
    <w:p w:rsidR="00705163" w:rsidRDefault="00705163" w:rsidP="00705163">
      <w:pPr>
        <w:pStyle w:val="AERbulletlistfirststyle"/>
      </w:pPr>
      <w:r>
        <w:t>The high-cap ex-ante allowance</w:t>
      </w:r>
      <w:r w:rsidR="00657820">
        <w:t xml:space="preserve"> received a net-positive response, with positive responses particularly coming from distributors.</w:t>
      </w:r>
    </w:p>
    <w:p w:rsidR="00657820" w:rsidRDefault="00657820" w:rsidP="00657820">
      <w:pPr>
        <w:pStyle w:val="AERbulletlistfirststyle"/>
      </w:pPr>
      <w:r>
        <w:t>Some distributors proposed</w:t>
      </w:r>
      <w:r w:rsidR="00B90E2F">
        <w:t xml:space="preserve"> </w:t>
      </w:r>
      <w:r>
        <w:t>comb</w:t>
      </w:r>
      <w:r w:rsidR="00B90E2F">
        <w:t>in</w:t>
      </w:r>
      <w:r>
        <w:t>ing an</w:t>
      </w:r>
      <w:r w:rsidRPr="00657820">
        <w:t xml:space="preserve"> </w:t>
      </w:r>
      <w:r>
        <w:t xml:space="preserve">extension to the status quo with either a high cap allowance or a bidding option. While we received limited views </w:t>
      </w:r>
      <w:r w:rsidR="00B90E2F">
        <w:t>on these</w:t>
      </w:r>
      <w:r>
        <w:t>, this</w:t>
      </w:r>
      <w:r w:rsidR="00B90E2F">
        <w:t xml:space="preserve"> </w:t>
      </w:r>
      <w:r w:rsidR="00E22CCC">
        <w:t>is most likely because</w:t>
      </w:r>
      <w:r w:rsidR="00B90E2F">
        <w:t xml:space="preserve"> </w:t>
      </w:r>
      <w:r>
        <w:t xml:space="preserve">we did not explicitly request stakeholder views on hybrid options. </w:t>
      </w:r>
    </w:p>
    <w:p w:rsidR="00705163" w:rsidRDefault="00702AFB" w:rsidP="00705163">
      <w:pPr>
        <w:pStyle w:val="AERbulletlistfirststyle"/>
      </w:pPr>
      <w:r>
        <w:t xml:space="preserve">The </w:t>
      </w:r>
      <w:r w:rsidRPr="003F6C31">
        <w:t>bidding option that centred on 'ground-breaking R&amp;D</w:t>
      </w:r>
      <w:r>
        <w:t>' received a strong, divisive response</w:t>
      </w:r>
      <w:r w:rsidR="00705163">
        <w:t>, with non-distributors typically favouring it and distributors typically providing a negative response.</w:t>
      </w:r>
    </w:p>
    <w:p w:rsidR="00705163" w:rsidRDefault="00705163" w:rsidP="00705163">
      <w:pPr>
        <w:pStyle w:val="AERbulletlistfirststyle"/>
      </w:pPr>
      <w:r>
        <w:t>The</w:t>
      </w:r>
      <w:r w:rsidR="00BE6205">
        <w:t xml:space="preserve"> competitive</w:t>
      </w:r>
      <w:r>
        <w:t xml:space="preserve"> </w:t>
      </w:r>
      <w:r w:rsidRPr="003F6C31">
        <w:t xml:space="preserve">bidding option that centred on </w:t>
      </w:r>
      <w:r>
        <w:t>'market-facilitated</w:t>
      </w:r>
      <w:r w:rsidRPr="003F6C31">
        <w:t xml:space="preserve"> R&amp;D</w:t>
      </w:r>
      <w:r>
        <w:t>' received a strong, negative response</w:t>
      </w:r>
      <w:r w:rsidR="00657820">
        <w:t>, particularly from distributors</w:t>
      </w:r>
      <w:r>
        <w:t>.</w:t>
      </w:r>
    </w:p>
    <w:p w:rsidR="00972A93" w:rsidRDefault="00255684" w:rsidP="008F206C">
      <w:pPr>
        <w:pStyle w:val="AERbulletlistfirststyle"/>
        <w:numPr>
          <w:ilvl w:val="0"/>
          <w:numId w:val="0"/>
        </w:numPr>
      </w:pPr>
      <w:r>
        <w:t>Despite</w:t>
      </w:r>
      <w:r w:rsidR="00811FF8">
        <w:t xml:space="preserve"> the diverse range of preferences, there were points of agreement amongst stakeholders.</w:t>
      </w:r>
      <w:r w:rsidR="00972A93">
        <w:t xml:space="preserve"> For instance:</w:t>
      </w:r>
    </w:p>
    <w:p w:rsidR="00972A93" w:rsidRDefault="009455E9" w:rsidP="00FB09FA">
      <w:pPr>
        <w:pStyle w:val="AERbulletlistfirststyle"/>
      </w:pPr>
      <w:r>
        <w:t xml:space="preserve">Most stakeholders considered that an increase in the funds available under the </w:t>
      </w:r>
      <w:r w:rsidR="00B90E2F">
        <w:t>M</w:t>
      </w:r>
      <w:r>
        <w:t xml:space="preserve">echanism would help achieve the </w:t>
      </w:r>
      <w:r w:rsidR="00604F63">
        <w:t>Allowance</w:t>
      </w:r>
      <w:r w:rsidR="00B90E2F">
        <w:t xml:space="preserve"> O</w:t>
      </w:r>
      <w:r>
        <w:t>bjective.</w:t>
      </w:r>
    </w:p>
    <w:p w:rsidR="00972A93" w:rsidRDefault="00972A93" w:rsidP="00FB09FA">
      <w:pPr>
        <w:pStyle w:val="AERbulletlistfirststyle"/>
      </w:pPr>
      <w:r>
        <w:t>Many s</w:t>
      </w:r>
      <w:r w:rsidR="009455E9">
        <w:t xml:space="preserve">takeholders </w:t>
      </w:r>
      <w:r w:rsidR="00BD6543">
        <w:t>consider</w:t>
      </w:r>
      <w:r>
        <w:t>ed</w:t>
      </w:r>
      <w:r w:rsidR="00BD6543">
        <w:t xml:space="preserve"> that</w:t>
      </w:r>
      <w:r w:rsidR="009455E9">
        <w:t xml:space="preserve"> the demand management market </w:t>
      </w:r>
      <w:r>
        <w:t xml:space="preserve">was </w:t>
      </w:r>
      <w:r w:rsidR="009455E9">
        <w:t>developing at a fast pace</w:t>
      </w:r>
      <w:r>
        <w:t xml:space="preserve"> and saw value in us implementing a Mechanism (as well as the Scheme)</w:t>
      </w:r>
      <w:r w:rsidR="00BD6543">
        <w:t xml:space="preserve"> </w:t>
      </w:r>
      <w:r w:rsidR="00F86EDB">
        <w:t>as soon as possible</w:t>
      </w:r>
      <w:r w:rsidR="009455E9">
        <w:t>.</w:t>
      </w:r>
    </w:p>
    <w:p w:rsidR="00ED59E6" w:rsidRDefault="009455E9" w:rsidP="00FB09FA">
      <w:pPr>
        <w:pStyle w:val="AERbulletlistfirststyle"/>
      </w:pPr>
      <w:r>
        <w:lastRenderedPageBreak/>
        <w:t>D</w:t>
      </w:r>
      <w:r w:rsidR="003F6C31" w:rsidRPr="003F6C31">
        <w:t>istributors</w:t>
      </w:r>
      <w:r w:rsidR="00811FF8">
        <w:t xml:space="preserve"> and demand management providers </w:t>
      </w:r>
      <w:r w:rsidR="00972A93">
        <w:t>particularly</w:t>
      </w:r>
      <w:r w:rsidR="00811FF8">
        <w:t xml:space="preserve"> </w:t>
      </w:r>
      <w:r w:rsidR="00F5113E">
        <w:t>value</w:t>
      </w:r>
      <w:r w:rsidR="00972A93">
        <w:t>d</w:t>
      </w:r>
      <w:r w:rsidR="00F5113E">
        <w:t xml:space="preserve"> certainty and a low administrative burden</w:t>
      </w:r>
      <w:r w:rsidR="00972A93">
        <w:t>,</w:t>
      </w:r>
      <w:r w:rsidR="003F6C31" w:rsidRPr="003F6C31">
        <w:t xml:space="preserve"> </w:t>
      </w:r>
      <w:r w:rsidR="00F5113E">
        <w:t xml:space="preserve">but </w:t>
      </w:r>
      <w:r w:rsidR="00972A93">
        <w:t xml:space="preserve">also saw </w:t>
      </w:r>
      <w:r w:rsidR="00F5113E">
        <w:t>the benefit of</w:t>
      </w:r>
      <w:r w:rsidR="00972A93">
        <w:t xml:space="preserve"> having</w:t>
      </w:r>
      <w:r w:rsidR="00F5113E">
        <w:t xml:space="preserve"> strong project reporting requirements.</w:t>
      </w:r>
      <w:r w:rsidR="00F5113E">
        <w:rPr>
          <w:rStyle w:val="FootnoteReference"/>
        </w:rPr>
        <w:footnoteReference w:id="10"/>
      </w:r>
      <w:r w:rsidR="003F6C31" w:rsidRPr="003F6C31">
        <w:t xml:space="preserve"> </w:t>
      </w:r>
    </w:p>
    <w:p w:rsidR="00E569E0" w:rsidRDefault="00F73394" w:rsidP="00A368DD">
      <w:r>
        <w:t>Where possible, we have incorporated the</w:t>
      </w:r>
      <w:r w:rsidR="00115857">
        <w:t>se</w:t>
      </w:r>
      <w:r w:rsidR="00E569E0">
        <w:t xml:space="preserve"> broad themes arising from</w:t>
      </w:r>
      <w:r w:rsidR="005C1C78">
        <w:t xml:space="preserve"> our consultation with</w:t>
      </w:r>
      <w:r w:rsidR="00E569E0">
        <w:t xml:space="preserve"> stakeholders </w:t>
      </w:r>
      <w:r>
        <w:t>into our</w:t>
      </w:r>
      <w:r w:rsidR="00A34C25">
        <w:t xml:space="preserve"> draft Mechanism </w:t>
      </w:r>
      <w:r>
        <w:t>so</w:t>
      </w:r>
      <w:r w:rsidR="00E569E0">
        <w:t xml:space="preserve"> that</w:t>
      </w:r>
      <w:r>
        <w:t xml:space="preserve"> it</w:t>
      </w:r>
      <w:r w:rsidR="00E569E0">
        <w:t xml:space="preserve"> achieves the following:</w:t>
      </w:r>
    </w:p>
    <w:p w:rsidR="00B00AA0" w:rsidRDefault="00E569E0" w:rsidP="00817022">
      <w:pPr>
        <w:pStyle w:val="AERbulletlistfirststyle"/>
      </w:pPr>
      <w:r>
        <w:t xml:space="preserve">Provides </w:t>
      </w:r>
      <w:r w:rsidR="00AE5D1A">
        <w:t>a modes</w:t>
      </w:r>
      <w:r w:rsidR="00672682">
        <w:t>t</w:t>
      </w:r>
      <w:r w:rsidR="00D24CC4">
        <w:t xml:space="preserve"> </w:t>
      </w:r>
      <w:r w:rsidR="00AE5D1A">
        <w:t>increase to the</w:t>
      </w:r>
      <w:r w:rsidR="00D24CC4">
        <w:t xml:space="preserve"> </w:t>
      </w:r>
      <w:r w:rsidR="00AE5D1A">
        <w:t>allowance, particularly</w:t>
      </w:r>
      <w:r w:rsidR="00D24CC4">
        <w:t xml:space="preserve"> for smaller distributors,</w:t>
      </w:r>
      <w:r w:rsidR="00D84D57">
        <w:t xml:space="preserve"> (</w:t>
      </w:r>
      <w:r w:rsidR="00972A93">
        <w:t>see</w:t>
      </w:r>
      <w:r w:rsidR="00D84D57">
        <w:t xml:space="preserve"> </w:t>
      </w:r>
      <w:r w:rsidR="00205BA4">
        <w:t>s</w:t>
      </w:r>
      <w:r w:rsidR="00692A51">
        <w:t>ection</w:t>
      </w:r>
      <w:r w:rsidR="00D84D57">
        <w:t xml:space="preserve"> </w:t>
      </w:r>
      <w:r w:rsidR="00D84D57">
        <w:fldChar w:fldCharType="begin"/>
      </w:r>
      <w:r w:rsidR="00D84D57">
        <w:instrText xml:space="preserve"> REF _Ref488310424 \r \h </w:instrText>
      </w:r>
      <w:r w:rsidR="00D84D57">
        <w:fldChar w:fldCharType="separate"/>
      </w:r>
      <w:r w:rsidR="00755D05">
        <w:t>4</w:t>
      </w:r>
      <w:r w:rsidR="00D84D57">
        <w:fldChar w:fldCharType="end"/>
      </w:r>
      <w:r w:rsidR="00692A51">
        <w:t>)</w:t>
      </w:r>
      <w:r w:rsidR="00972A93">
        <w:t>.</w:t>
      </w:r>
    </w:p>
    <w:p w:rsidR="00D24CC4" w:rsidRDefault="00D24CC4" w:rsidP="00817022">
      <w:pPr>
        <w:pStyle w:val="AERbulletlistfirststyle"/>
      </w:pPr>
      <w:r>
        <w:t>Has a low administrative burden</w:t>
      </w:r>
      <w:r w:rsidR="00115857">
        <w:t xml:space="preserve"> (</w:t>
      </w:r>
      <w:r w:rsidR="00972A93">
        <w:t>see</w:t>
      </w:r>
      <w:r w:rsidR="00115857">
        <w:t xml:space="preserve"> section</w:t>
      </w:r>
      <w:r w:rsidR="00972A93">
        <w:t>s</w:t>
      </w:r>
      <w:r w:rsidR="00115857">
        <w:t xml:space="preserve"> </w:t>
      </w:r>
      <w:r w:rsidR="00115857">
        <w:fldChar w:fldCharType="begin"/>
      </w:r>
      <w:r w:rsidR="00115857">
        <w:instrText xml:space="preserve"> REF _Ref488403642 \r \h </w:instrText>
      </w:r>
      <w:r w:rsidR="00115857">
        <w:fldChar w:fldCharType="separate"/>
      </w:r>
      <w:r w:rsidR="00755D05">
        <w:t>4</w:t>
      </w:r>
      <w:r w:rsidR="00115857">
        <w:fldChar w:fldCharType="end"/>
      </w:r>
      <w:r w:rsidR="006F355B">
        <w:t xml:space="preserve"> </w:t>
      </w:r>
      <w:r w:rsidR="00972A93">
        <w:t>and</w:t>
      </w:r>
      <w:r w:rsidR="006F355B">
        <w:t xml:space="preserve"> </w:t>
      </w:r>
      <w:r w:rsidR="006F355B">
        <w:fldChar w:fldCharType="begin"/>
      </w:r>
      <w:r w:rsidR="006F355B">
        <w:instrText xml:space="preserve"> REF _Ref488409293 \r \h </w:instrText>
      </w:r>
      <w:r w:rsidR="006F355B">
        <w:fldChar w:fldCharType="separate"/>
      </w:r>
      <w:r w:rsidR="00755D05">
        <w:t>5</w:t>
      </w:r>
      <w:r w:rsidR="006F355B">
        <w:fldChar w:fldCharType="end"/>
      </w:r>
      <w:r w:rsidR="00115857">
        <w:t>)</w:t>
      </w:r>
      <w:r w:rsidR="00972A93">
        <w:t>.</w:t>
      </w:r>
    </w:p>
    <w:p w:rsidR="00D24CC4" w:rsidRDefault="00D24CC4" w:rsidP="00817022">
      <w:pPr>
        <w:pStyle w:val="AERbulletlistfirststyle"/>
      </w:pPr>
      <w:r>
        <w:t>Has a high level of certainty for distributors</w:t>
      </w:r>
      <w:r w:rsidR="00D84D57">
        <w:t xml:space="preserve"> (</w:t>
      </w:r>
      <w:r w:rsidR="00972A93">
        <w:t>see</w:t>
      </w:r>
      <w:r w:rsidR="00D84D57">
        <w:t xml:space="preserve"> </w:t>
      </w:r>
      <w:r w:rsidR="00205BA4">
        <w:t>s</w:t>
      </w:r>
      <w:r w:rsidR="00D84D57">
        <w:t>ection</w:t>
      </w:r>
      <w:r w:rsidR="00972A93">
        <w:t>s</w:t>
      </w:r>
      <w:r w:rsidR="00D84D57">
        <w:t xml:space="preserve"> </w:t>
      </w:r>
      <w:r w:rsidR="00D84D57">
        <w:fldChar w:fldCharType="begin"/>
      </w:r>
      <w:r w:rsidR="00D84D57">
        <w:instrText xml:space="preserve"> REF _Ref488310475 \r \h </w:instrText>
      </w:r>
      <w:r w:rsidR="00D84D57">
        <w:fldChar w:fldCharType="separate"/>
      </w:r>
      <w:r w:rsidR="00755D05">
        <w:t>4</w:t>
      </w:r>
      <w:r w:rsidR="00D84D57">
        <w:fldChar w:fldCharType="end"/>
      </w:r>
      <w:r w:rsidR="00CB49EE">
        <w:t xml:space="preserve"> </w:t>
      </w:r>
      <w:r w:rsidR="00972A93">
        <w:t>and</w:t>
      </w:r>
      <w:r w:rsidR="00CB49EE">
        <w:t xml:space="preserve"> </w:t>
      </w:r>
      <w:r w:rsidR="00CB49EE">
        <w:fldChar w:fldCharType="begin"/>
      </w:r>
      <w:r w:rsidR="00CB49EE">
        <w:instrText xml:space="preserve"> REF _Ref488409293 \r \h </w:instrText>
      </w:r>
      <w:r w:rsidR="00CB49EE">
        <w:fldChar w:fldCharType="separate"/>
      </w:r>
      <w:r w:rsidR="00755D05">
        <w:t>5</w:t>
      </w:r>
      <w:r w:rsidR="00CB49EE">
        <w:fldChar w:fldCharType="end"/>
      </w:r>
      <w:r w:rsidR="00D84D57">
        <w:t>)</w:t>
      </w:r>
      <w:r w:rsidR="00972A93">
        <w:t>.</w:t>
      </w:r>
    </w:p>
    <w:p w:rsidR="003C478C" w:rsidRDefault="00C60821" w:rsidP="00D84D57">
      <w:pPr>
        <w:pStyle w:val="AERbulletlistfirststyle"/>
      </w:pPr>
      <w:r>
        <w:t>Is transparent</w:t>
      </w:r>
      <w:r w:rsidR="00D84D57">
        <w:t xml:space="preserve"> </w:t>
      </w:r>
      <w:r w:rsidR="00D84D57" w:rsidRPr="00D84D57">
        <w:t>(</w:t>
      </w:r>
      <w:r w:rsidR="00972A93">
        <w:t>see</w:t>
      </w:r>
      <w:r w:rsidR="00D84D57" w:rsidRPr="00D84D57">
        <w:t xml:space="preserve"> </w:t>
      </w:r>
      <w:r w:rsidR="00205BA4">
        <w:t>s</w:t>
      </w:r>
      <w:r w:rsidR="00D84D57" w:rsidRPr="00D84D57">
        <w:t>ection</w:t>
      </w:r>
      <w:r w:rsidR="00E22CCC">
        <w:t>s</w:t>
      </w:r>
      <w:r w:rsidR="00CB49EE">
        <w:t xml:space="preserve"> </w:t>
      </w:r>
      <w:r w:rsidR="00CB49EE">
        <w:fldChar w:fldCharType="begin"/>
      </w:r>
      <w:r w:rsidR="00CB49EE">
        <w:instrText xml:space="preserve"> REF _Ref488409293 \r \h </w:instrText>
      </w:r>
      <w:r w:rsidR="00CB49EE">
        <w:fldChar w:fldCharType="separate"/>
      </w:r>
      <w:r w:rsidR="00755D05">
        <w:t>5</w:t>
      </w:r>
      <w:r w:rsidR="00CB49EE">
        <w:fldChar w:fldCharType="end"/>
      </w:r>
      <w:r w:rsidR="00CB49EE">
        <w:t xml:space="preserve"> </w:t>
      </w:r>
      <w:r w:rsidR="00E22CCC">
        <w:t>and</w:t>
      </w:r>
      <w:r w:rsidR="00D84D57" w:rsidRPr="00D84D57">
        <w:t xml:space="preserve"> 6)</w:t>
      </w:r>
      <w:r w:rsidR="00972A93">
        <w:t>.</w:t>
      </w:r>
    </w:p>
    <w:p w:rsidR="00D24CC4" w:rsidRDefault="00D24CC4" w:rsidP="00817022">
      <w:pPr>
        <w:pStyle w:val="AERbulletlistfirststyle"/>
      </w:pPr>
      <w:r>
        <w:t>Reduces project duplication</w:t>
      </w:r>
      <w:r w:rsidR="00D95FAD">
        <w:t xml:space="preserve"> and increases the socialisation of knowledge</w:t>
      </w:r>
      <w:r w:rsidR="00D84D57">
        <w:t xml:space="preserve"> (</w:t>
      </w:r>
      <w:r w:rsidR="00972A93">
        <w:t>see</w:t>
      </w:r>
      <w:r w:rsidR="00D84D57">
        <w:t xml:space="preserve"> </w:t>
      </w:r>
      <w:r w:rsidR="00205BA4">
        <w:t>s</w:t>
      </w:r>
      <w:r w:rsidR="00692A51">
        <w:t xml:space="preserve">ection </w:t>
      </w:r>
      <w:r w:rsidR="00D84D57">
        <w:fldChar w:fldCharType="begin"/>
      </w:r>
      <w:r w:rsidR="00D84D57">
        <w:instrText xml:space="preserve"> REF _Ref488310437 \r \h </w:instrText>
      </w:r>
      <w:r w:rsidR="00D84D57">
        <w:fldChar w:fldCharType="separate"/>
      </w:r>
      <w:r w:rsidR="00755D05">
        <w:t>6</w:t>
      </w:r>
      <w:r w:rsidR="00D84D57">
        <w:fldChar w:fldCharType="end"/>
      </w:r>
      <w:r w:rsidR="00692A51">
        <w:t>)</w:t>
      </w:r>
      <w:r w:rsidR="00972A93">
        <w:t>.</w:t>
      </w:r>
    </w:p>
    <w:p w:rsidR="00985CE4" w:rsidRDefault="00941882" w:rsidP="00FF4E87">
      <w:pPr>
        <w:pStyle w:val="AERbulletlistfirststyle"/>
        <w:numPr>
          <w:ilvl w:val="0"/>
          <w:numId w:val="0"/>
        </w:numPr>
      </w:pPr>
      <w:r w:rsidRPr="00941882">
        <w:t xml:space="preserve">At the Options </w:t>
      </w:r>
      <w:r w:rsidR="00E22CCC">
        <w:t>D</w:t>
      </w:r>
      <w:r w:rsidRPr="00941882">
        <w:t xml:space="preserve">ay, stakeholders emphasised that the 'main game' in </w:t>
      </w:r>
      <w:r w:rsidR="009D0AB2">
        <w:t xml:space="preserve">encouraging efficient demand management outcomes </w:t>
      </w:r>
      <w:r w:rsidRPr="00941882">
        <w:t>was the Scheme. Imposing an administrative burden that is disproportionate to the role of the Mechanism</w:t>
      </w:r>
      <w:r w:rsidR="00E22CCC">
        <w:t xml:space="preserve"> or the size of its allowance</w:t>
      </w:r>
      <w:r w:rsidRPr="00941882">
        <w:t xml:space="preserve"> would harm its effectiveness. </w:t>
      </w:r>
      <w:r w:rsidR="00FF4E87">
        <w:t>The</w:t>
      </w:r>
      <w:r w:rsidR="00FF4E87" w:rsidRPr="00FF4E87">
        <w:t xml:space="preserve"> draft </w:t>
      </w:r>
      <w:r w:rsidR="00985CE4">
        <w:t>M</w:t>
      </w:r>
      <w:r w:rsidR="00FF4E87" w:rsidRPr="00FF4E87">
        <w:t xml:space="preserve">echanism is similar in design to the current </w:t>
      </w:r>
      <w:r w:rsidR="00985CE4">
        <w:t>DMIA</w:t>
      </w:r>
      <w:r w:rsidR="00FF4E87" w:rsidRPr="00FF4E87">
        <w:t xml:space="preserve">. This approach has the benefit of simplicity, in terms of both implementation and the ongoing procedure. We consider that this low administrative burden </w:t>
      </w:r>
      <w:r w:rsidR="00FF4E87">
        <w:t>meaningfully</w:t>
      </w:r>
      <w:r w:rsidR="00FF4E87" w:rsidRPr="00FF4E87">
        <w:t xml:space="preserve"> increases the certainty gained from this approach</w:t>
      </w:r>
      <w:r w:rsidR="00E22CCC">
        <w:t>, as well as the likelihood of it being effectively utilised</w:t>
      </w:r>
      <w:r w:rsidR="00FF4E87" w:rsidRPr="00FF4E87">
        <w:t>.</w:t>
      </w:r>
    </w:p>
    <w:p w:rsidR="00E22CCC" w:rsidRDefault="00985CE4" w:rsidP="00FF4E87">
      <w:pPr>
        <w:pStyle w:val="AERbulletlistfirststyle"/>
        <w:numPr>
          <w:ilvl w:val="0"/>
          <w:numId w:val="0"/>
        </w:numPr>
      </w:pPr>
      <w:r>
        <w:t>We prefer this approach to the alternative approaches we explored in the Consultation Paper (</w:t>
      </w:r>
      <w:r w:rsidR="00076666">
        <w:fldChar w:fldCharType="begin"/>
      </w:r>
      <w:r w:rsidR="00076666">
        <w:instrText xml:space="preserve"> REF  _Ref488331681 \* Lower \h </w:instrText>
      </w:r>
      <w:r w:rsidR="00076666">
        <w:fldChar w:fldCharType="separate"/>
      </w:r>
      <w:r w:rsidR="00755D05">
        <w:t xml:space="preserve">figure </w:t>
      </w:r>
      <w:r w:rsidR="00755D05">
        <w:rPr>
          <w:noProof/>
        </w:rPr>
        <w:t>3</w:t>
      </w:r>
      <w:r w:rsidR="00076666">
        <w:fldChar w:fldCharType="end"/>
      </w:r>
      <w:r>
        <w:t xml:space="preserve">). </w:t>
      </w:r>
      <w:r w:rsidR="00076666">
        <w:t>For instance</w:t>
      </w:r>
      <w:r w:rsidR="00E22CCC">
        <w:t>:</w:t>
      </w:r>
    </w:p>
    <w:p w:rsidR="00E22CCC" w:rsidRDefault="00076666" w:rsidP="004B6E8B">
      <w:pPr>
        <w:pStyle w:val="AERbulletlistfirststyle"/>
      </w:pPr>
      <w:r>
        <w:t xml:space="preserve"> </w:t>
      </w:r>
      <w:r w:rsidR="00E22CCC">
        <w:t>W</w:t>
      </w:r>
      <w:r>
        <w:t>hile there was some stakeholder support for a</w:t>
      </w:r>
      <w:r w:rsidR="00FF4E87" w:rsidRPr="00FF4E87">
        <w:t xml:space="preserve"> high cap ex-ante allowance</w:t>
      </w:r>
      <w:r>
        <w:t>, this</w:t>
      </w:r>
      <w:r w:rsidR="00FF4E87" w:rsidRPr="00FF4E87">
        <w:t xml:space="preserve"> would necessitate a potentially significant ex-ante assessment process</w:t>
      </w:r>
      <w:r>
        <w:t>. This,</w:t>
      </w:r>
      <w:r w:rsidR="00FF4E87" w:rsidRPr="00FF4E87">
        <w:t xml:space="preserve"> in itself would require significant investments of time</w:t>
      </w:r>
      <w:r>
        <w:t xml:space="preserve"> and effort</w:t>
      </w:r>
      <w:r w:rsidR="00FF4E87" w:rsidRPr="00FF4E87">
        <w:t xml:space="preserve"> from distributors and us. Additionally, it would take more time to establish a relevant guideline that delivered both procedural fairness and value for consumers. </w:t>
      </w:r>
      <w:r w:rsidR="00E22CCC">
        <w:t xml:space="preserve">Out of practical necessity, this would result in us assessing distributors' R&amp;D proposals once every reset, which would limit the timeliness and the flexibility of the Mechanism. </w:t>
      </w:r>
    </w:p>
    <w:p w:rsidR="00FF4E87" w:rsidRPr="00FF4E87" w:rsidRDefault="00E22CCC" w:rsidP="004B6E8B">
      <w:pPr>
        <w:pStyle w:val="AERbulletlistfirststyle"/>
      </w:pPr>
      <w:r>
        <w:t>While some non-network stakeholders supported bidding to promote ground</w:t>
      </w:r>
      <w:r w:rsidR="009D0AB2">
        <w:t xml:space="preserve"> </w:t>
      </w:r>
      <w:r>
        <w:t xml:space="preserve">breaking R&amp;D, this would </w:t>
      </w:r>
      <w:r w:rsidR="00FF4E87" w:rsidRPr="00FF4E87">
        <w:t>require a high degree of development and ongoing monitoring to deliver a favourable outcome. We consider that keeping administrative burden low will ultimately encourage distributors to invest</w:t>
      </w:r>
      <w:r w:rsidR="00076666">
        <w:t xml:space="preserve"> more</w:t>
      </w:r>
      <w:r w:rsidR="00FF4E87" w:rsidRPr="00FF4E87">
        <w:t xml:space="preserve"> in demand management </w:t>
      </w:r>
      <w:r w:rsidR="00076666">
        <w:t>R&amp;D</w:t>
      </w:r>
      <w:r w:rsidR="00FF4E87" w:rsidRPr="00FF4E87">
        <w:t>. We consider that our chosen approach encourages certainty, providing a stable base for innovative projects and ultimately building a stronger demand management market.</w:t>
      </w:r>
    </w:p>
    <w:p w:rsidR="00C4623B" w:rsidRDefault="00F51F3E" w:rsidP="00C4623B">
      <w:pPr>
        <w:pStyle w:val="Heading1"/>
      </w:pPr>
      <w:bookmarkStart w:id="22" w:name="_Ref488310404"/>
      <w:bookmarkStart w:id="23" w:name="_Ref488310424"/>
      <w:bookmarkStart w:id="24" w:name="_Ref488310475"/>
      <w:bookmarkStart w:id="25" w:name="_Ref488403642"/>
      <w:bookmarkStart w:id="26" w:name="_Ref488403644"/>
      <w:bookmarkStart w:id="27" w:name="_Toc491360650"/>
      <w:r>
        <w:lastRenderedPageBreak/>
        <w:t>Design of the</w:t>
      </w:r>
      <w:r w:rsidR="00EE2710">
        <w:t xml:space="preserve"> </w:t>
      </w:r>
      <w:r w:rsidR="00076666">
        <w:t xml:space="preserve">draft </w:t>
      </w:r>
      <w:r w:rsidR="00A34C25">
        <w:t>Mechanism</w:t>
      </w:r>
      <w:bookmarkEnd w:id="22"/>
      <w:bookmarkEnd w:id="23"/>
      <w:bookmarkEnd w:id="24"/>
      <w:bookmarkEnd w:id="25"/>
      <w:bookmarkEnd w:id="26"/>
      <w:bookmarkEnd w:id="27"/>
    </w:p>
    <w:p w:rsidR="003B3C38" w:rsidRDefault="00C46C51" w:rsidP="00F14AAF">
      <w:r>
        <w:t>Subc</w:t>
      </w:r>
      <w:r w:rsidR="003B3C38">
        <w:t>lause 2.1.2(a)</w:t>
      </w:r>
      <w:r w:rsidR="00260E20">
        <w:t xml:space="preserve"> of the </w:t>
      </w:r>
      <w:r w:rsidR="00EE2710">
        <w:t xml:space="preserve">draft </w:t>
      </w:r>
      <w:r w:rsidR="00A34C25">
        <w:t>Mechanism</w:t>
      </w:r>
      <w:r w:rsidR="00EE2710">
        <w:t xml:space="preserve"> specifies </w:t>
      </w:r>
      <w:r w:rsidR="003B3C38">
        <w:t>that our distribution determination will set out how the Mechanism will apply to a distributor in the relevant regulatory control period.</w:t>
      </w:r>
    </w:p>
    <w:p w:rsidR="00D9762A" w:rsidRDefault="00205BA4" w:rsidP="00F14AAF">
      <w:r>
        <w:t>We propose</w:t>
      </w:r>
      <w:r w:rsidR="003B3C38">
        <w:t xml:space="preserve"> to set the allowance cap for a distribut</w:t>
      </w:r>
      <w:r>
        <w:t>or</w:t>
      </w:r>
      <w:r w:rsidR="003B3C38">
        <w:t xml:space="preserve"> in the draft </w:t>
      </w:r>
      <w:r w:rsidR="00076666">
        <w:t>M</w:t>
      </w:r>
      <w:r w:rsidR="003B3C38">
        <w:t xml:space="preserve">echanism </w:t>
      </w:r>
      <w:r w:rsidR="00D9762A">
        <w:t>by applying</w:t>
      </w:r>
      <w:r w:rsidR="00470F20">
        <w:t xml:space="preserve"> the formula in </w:t>
      </w:r>
      <w:r w:rsidR="00470F20">
        <w:fldChar w:fldCharType="begin"/>
      </w:r>
      <w:r w:rsidR="00470F20">
        <w:instrText xml:space="preserve"> REF  _Ref488669799 \* Lower \h </w:instrText>
      </w:r>
      <w:r w:rsidR="00470F20">
        <w:fldChar w:fldCharType="separate"/>
      </w:r>
      <w:r w:rsidR="00755D05">
        <w:t xml:space="preserve">equation </w:t>
      </w:r>
      <w:r w:rsidR="00755D05">
        <w:rPr>
          <w:noProof/>
        </w:rPr>
        <w:t>1</w:t>
      </w:r>
      <w:r w:rsidR="00470F20">
        <w:fldChar w:fldCharType="end"/>
      </w:r>
      <w:r w:rsidR="00837C41">
        <w:t>, where 'MAR' is that distributor's maximum allowed revenue in the regulatory control period.</w:t>
      </w:r>
    </w:p>
    <w:p w:rsidR="00470F20" w:rsidRDefault="00470F20" w:rsidP="00FB09FA">
      <w:pPr>
        <w:pStyle w:val="Caption"/>
      </w:pPr>
      <w:bookmarkStart w:id="28" w:name="_Ref488669799"/>
      <w:r>
        <w:t xml:space="preserve">Equation </w:t>
      </w:r>
      <w:r w:rsidR="006F3834">
        <w:fldChar w:fldCharType="begin"/>
      </w:r>
      <w:r w:rsidR="006F3834">
        <w:instrText xml:space="preserve"> SEQ Equation \* ARABIC </w:instrText>
      </w:r>
      <w:r w:rsidR="006F3834">
        <w:fldChar w:fldCharType="separate"/>
      </w:r>
      <w:r w:rsidR="00755D05">
        <w:rPr>
          <w:noProof/>
        </w:rPr>
        <w:t>1</w:t>
      </w:r>
      <w:r w:rsidR="006F3834">
        <w:rPr>
          <w:noProof/>
        </w:rPr>
        <w:fldChar w:fldCharType="end"/>
      </w:r>
      <w:bookmarkEnd w:id="28"/>
      <w:r>
        <w:t>: Allowance cap for a regulatory control period</w:t>
      </w:r>
    </w:p>
    <w:p w:rsidR="00837C41" w:rsidRPr="00837C41" w:rsidRDefault="009D0AB2" w:rsidP="00837C41">
      <w:pPr>
        <w:rPr>
          <w:rFonts w:ascii="Cambria Math" w:hAnsi="Cambria Math"/>
          <w:oMath/>
        </w:rPr>
      </w:pPr>
      <m:oMathPara>
        <m:oMath>
          <m:r>
            <w:rPr>
              <w:rFonts w:ascii="Cambria Math" w:hAnsi="Cambria Math"/>
            </w:rPr>
            <m:t>Allowance cap=$200 000 + 0.075%×MAR</m:t>
          </m:r>
        </m:oMath>
      </m:oMathPara>
    </w:p>
    <w:p w:rsidR="003B3C38" w:rsidRDefault="003B3C38" w:rsidP="00F20143">
      <w:pPr>
        <w:pStyle w:val="Heading2"/>
      </w:pPr>
      <w:bookmarkStart w:id="29" w:name="_Toc491360651"/>
      <w:r>
        <w:t xml:space="preserve">Allowance </w:t>
      </w:r>
      <w:r w:rsidR="000835F7">
        <w:t>cap</w:t>
      </w:r>
      <w:bookmarkEnd w:id="29"/>
    </w:p>
    <w:p w:rsidR="003B3C38" w:rsidRDefault="003B3C38" w:rsidP="005A2FE2">
      <w:r>
        <w:t>The allowance</w:t>
      </w:r>
      <w:r w:rsidR="000835F7">
        <w:t xml:space="preserve"> cap</w:t>
      </w:r>
      <w:r>
        <w:t xml:space="preserve"> represents a modest increase to </w:t>
      </w:r>
      <w:r w:rsidR="009D0AB2">
        <w:t>that</w:t>
      </w:r>
      <w:r w:rsidR="000835F7">
        <w:t xml:space="preserve"> </w:t>
      </w:r>
      <w:r w:rsidR="00887D10">
        <w:t xml:space="preserve">set under the current </w:t>
      </w:r>
      <w:r w:rsidR="001B2CD6">
        <w:t>DMIA</w:t>
      </w:r>
      <w:r>
        <w:t>.</w:t>
      </w:r>
      <w:r w:rsidR="005B11E4">
        <w:t xml:space="preserve"> </w:t>
      </w:r>
      <w:r w:rsidR="005B11E4">
        <w:fldChar w:fldCharType="begin"/>
      </w:r>
      <w:r w:rsidR="005B11E4">
        <w:instrText xml:space="preserve"> REF _Ref488671840 \h </w:instrText>
      </w:r>
      <w:r w:rsidR="005B11E4">
        <w:fldChar w:fldCharType="separate"/>
      </w:r>
      <w:r w:rsidR="00755D05">
        <w:t xml:space="preserve">Table </w:t>
      </w:r>
      <w:r w:rsidR="00755D05">
        <w:rPr>
          <w:noProof/>
        </w:rPr>
        <w:t>2</w:t>
      </w:r>
      <w:r w:rsidR="005B11E4">
        <w:fldChar w:fldCharType="end"/>
      </w:r>
      <w:r w:rsidR="005B11E4">
        <w:t xml:space="preserve"> and </w:t>
      </w:r>
      <w:r w:rsidR="005B11E4">
        <w:fldChar w:fldCharType="begin"/>
      </w:r>
      <w:r w:rsidR="005B11E4">
        <w:instrText xml:space="preserve"> REF  _Ref488671872 \* Lower \h </w:instrText>
      </w:r>
      <w:r w:rsidR="005B11E4">
        <w:fldChar w:fldCharType="separate"/>
      </w:r>
      <w:r w:rsidR="00755D05">
        <w:t xml:space="preserve">figure </w:t>
      </w:r>
      <w:r w:rsidR="00755D05">
        <w:rPr>
          <w:noProof/>
        </w:rPr>
        <w:t>4</w:t>
      </w:r>
      <w:r w:rsidR="00755D05">
        <w:t>: previous</w:t>
      </w:r>
      <w:r w:rsidR="00755D05" w:rsidRPr="00762415">
        <w:t xml:space="preserve"> and </w:t>
      </w:r>
      <w:r w:rsidR="00755D05">
        <w:t>proposed</w:t>
      </w:r>
      <w:r w:rsidR="00755D05" w:rsidRPr="00762415">
        <w:t xml:space="preserve"> allowance</w:t>
      </w:r>
      <w:r w:rsidR="00755D05">
        <w:t xml:space="preserve"> caps</w:t>
      </w:r>
      <w:r w:rsidR="00755D05" w:rsidRPr="00762415">
        <w:t xml:space="preserve"> </w:t>
      </w:r>
      <w:r w:rsidR="00755D05">
        <w:t>($mil/year)</w:t>
      </w:r>
      <w:r w:rsidR="005B11E4">
        <w:fldChar w:fldCharType="end"/>
      </w:r>
      <w:r w:rsidR="004C5AFB">
        <w:t xml:space="preserve"> </w:t>
      </w:r>
      <w:r>
        <w:t xml:space="preserve">the allowance </w:t>
      </w:r>
      <w:r w:rsidR="000835F7">
        <w:t xml:space="preserve">caps </w:t>
      </w:r>
      <w:r w:rsidR="004C5AFB">
        <w:t xml:space="preserve">under the current DMIA </w:t>
      </w:r>
      <w:r>
        <w:t xml:space="preserve">with </w:t>
      </w:r>
      <w:r w:rsidR="009D0AB2">
        <w:t>those</w:t>
      </w:r>
      <w:r w:rsidR="004C5AFB">
        <w:t xml:space="preserve"> proposed under the draft Mechanism</w:t>
      </w:r>
      <w:r>
        <w:t xml:space="preserve">, given the same revenue levels. </w:t>
      </w:r>
    </w:p>
    <w:p w:rsidR="00692A51" w:rsidRPr="003B3C38" w:rsidRDefault="00762415" w:rsidP="00762415">
      <w:pPr>
        <w:pStyle w:val="Caption"/>
      </w:pPr>
      <w:bookmarkStart w:id="30" w:name="_Ref488671840"/>
      <w:bookmarkStart w:id="31" w:name="_Ref490062037"/>
      <w:r>
        <w:t xml:space="preserve">Table </w:t>
      </w:r>
      <w:r w:rsidR="006F3834">
        <w:fldChar w:fldCharType="begin"/>
      </w:r>
      <w:r w:rsidR="006F3834">
        <w:instrText xml:space="preserve"> SEQ Table \* ARABIC </w:instrText>
      </w:r>
      <w:r w:rsidR="006F3834">
        <w:fldChar w:fldCharType="separate"/>
      </w:r>
      <w:r w:rsidR="00755D05">
        <w:rPr>
          <w:noProof/>
        </w:rPr>
        <w:t>2</w:t>
      </w:r>
      <w:r w:rsidR="006F3834">
        <w:rPr>
          <w:noProof/>
        </w:rPr>
        <w:fldChar w:fldCharType="end"/>
      </w:r>
      <w:bookmarkEnd w:id="30"/>
      <w:r>
        <w:t xml:space="preserve">: </w:t>
      </w:r>
      <w:r w:rsidR="003B3C38">
        <w:t xml:space="preserve">Allowance </w:t>
      </w:r>
      <w:r w:rsidR="000835F7">
        <w:t xml:space="preserve">caps </w:t>
      </w:r>
      <w:r w:rsidR="003B3C38">
        <w:t>under the old and new allowance</w:t>
      </w:r>
      <w:bookmarkEnd w:id="31"/>
    </w:p>
    <w:tbl>
      <w:tblPr>
        <w:tblW w:w="0" w:type="auto"/>
        <w:tblLayout w:type="fixed"/>
        <w:tblLook w:val="04A0" w:firstRow="1" w:lastRow="0" w:firstColumn="1" w:lastColumn="0" w:noHBand="0" w:noVBand="1"/>
      </w:tblPr>
      <w:tblGrid>
        <w:gridCol w:w="8693"/>
      </w:tblGrid>
      <w:tr w:rsidR="00692A51" w:rsidRPr="00692A51" w:rsidTr="0084077D">
        <w:tc>
          <w:tcPr>
            <w:tcW w:w="8693" w:type="dxa"/>
          </w:tcPr>
          <w:tbl>
            <w:tblPr>
              <w:tblStyle w:val="AERtable-text0"/>
              <w:tblW w:w="8255" w:type="dxa"/>
              <w:tblLayout w:type="fixed"/>
              <w:tblLook w:val="04A0" w:firstRow="1" w:lastRow="0" w:firstColumn="1" w:lastColumn="0" w:noHBand="0" w:noVBand="1"/>
            </w:tblPr>
            <w:tblGrid>
              <w:gridCol w:w="1843"/>
              <w:gridCol w:w="1134"/>
              <w:gridCol w:w="1134"/>
              <w:gridCol w:w="1701"/>
              <w:gridCol w:w="1160"/>
              <w:gridCol w:w="1283"/>
            </w:tblGrid>
            <w:tr w:rsidR="0084077D" w:rsidRPr="00B61980" w:rsidTr="00FB09FA">
              <w:trPr>
                <w:cnfStyle w:val="100000000000" w:firstRow="1" w:lastRow="0" w:firstColumn="0" w:lastColumn="0" w:oddVBand="0" w:evenVBand="0" w:oddHBand="0" w:evenHBand="0" w:firstRowFirstColumn="0" w:firstRowLastColumn="0" w:lastRowFirstColumn="0" w:lastRowLastColumn="0"/>
                <w:trHeight w:val="466"/>
              </w:trPr>
              <w:tc>
                <w:tcPr>
                  <w:tcW w:w="1843" w:type="dxa"/>
                  <w:noWrap/>
                  <w:hideMark/>
                </w:tcPr>
                <w:p w:rsidR="00DC3BF8" w:rsidRPr="00B61980" w:rsidRDefault="00DC3BF8" w:rsidP="00B61980">
                  <w:r w:rsidRPr="00B61980">
                    <w:t> </w:t>
                  </w:r>
                  <w:r w:rsidR="00205BA4" w:rsidRPr="00205BA4">
                    <w:t>Distributor</w:t>
                  </w:r>
                </w:p>
              </w:tc>
              <w:tc>
                <w:tcPr>
                  <w:tcW w:w="1134" w:type="dxa"/>
                  <w:noWrap/>
                  <w:hideMark/>
                </w:tcPr>
                <w:p w:rsidR="00DC3BF8" w:rsidRPr="00B61980" w:rsidRDefault="009B5A1D" w:rsidP="00B61980">
                  <w:r>
                    <w:t>2016</w:t>
                  </w:r>
                  <w:r w:rsidR="00205BA4">
                    <w:t xml:space="preserve"> MAR</w:t>
                  </w:r>
                  <w:r w:rsidR="00205BA4" w:rsidRPr="00205BA4">
                    <w:t xml:space="preserve"> </w:t>
                  </w:r>
                  <w:r w:rsidR="00205BA4">
                    <w:t xml:space="preserve"> </w:t>
                  </w:r>
                  <w:r w:rsidR="0084077D">
                    <w:t>($</w:t>
                  </w:r>
                  <w:r w:rsidR="00205BA4" w:rsidRPr="00205BA4">
                    <w:t>mil, nom)</w:t>
                  </w:r>
                  <w:r w:rsidR="00DC3BF8" w:rsidRPr="00B61980">
                    <w:t> </w:t>
                  </w:r>
                </w:p>
              </w:tc>
              <w:tc>
                <w:tcPr>
                  <w:tcW w:w="1134" w:type="dxa"/>
                  <w:hideMark/>
                </w:tcPr>
                <w:p w:rsidR="00DC3BF8" w:rsidRPr="00B61980" w:rsidRDefault="0084077D" w:rsidP="0084077D">
                  <w:r>
                    <w:t>Average MAR/</w:t>
                  </w:r>
                  <w:r w:rsidR="00205BA4" w:rsidRPr="00205BA4">
                    <w:t xml:space="preserve"> year</w:t>
                  </w:r>
                  <w:r w:rsidR="00205BA4">
                    <w:t xml:space="preserve"> </w:t>
                  </w:r>
                  <w:r>
                    <w:t>($</w:t>
                  </w:r>
                  <w:r w:rsidR="00205BA4" w:rsidRPr="00205BA4">
                    <w:t>mil, nom)</w:t>
                  </w:r>
                </w:p>
              </w:tc>
              <w:tc>
                <w:tcPr>
                  <w:tcW w:w="1701" w:type="dxa"/>
                </w:tcPr>
                <w:p w:rsidR="00DC3BF8" w:rsidRPr="00B61980" w:rsidRDefault="0084077D" w:rsidP="00837C41">
                  <w:r>
                    <w:t>200K</w:t>
                  </w:r>
                  <w:r w:rsidR="009B5A1D">
                    <w:t xml:space="preserve"> + </w:t>
                  </w:r>
                  <w:r w:rsidR="009B5A1D" w:rsidRPr="009B5A1D">
                    <w:t xml:space="preserve">0.75% MAR </w:t>
                  </w:r>
                  <w:r>
                    <w:t xml:space="preserve"> = </w:t>
                  </w:r>
                  <w:r w:rsidR="00205BA4" w:rsidRPr="00205BA4">
                    <w:t xml:space="preserve">Proposed </w:t>
                  </w:r>
                  <w:r w:rsidR="000835F7">
                    <w:t xml:space="preserve">cap </w:t>
                  </w:r>
                  <w:r w:rsidR="00205BA4" w:rsidRPr="00205BA4">
                    <w:t>($</w:t>
                  </w:r>
                  <w:r w:rsidR="00837C41">
                    <w:t xml:space="preserve"> </w:t>
                  </w:r>
                  <w:r w:rsidR="00205BA4" w:rsidRPr="00205BA4">
                    <w:t>mil</w:t>
                  </w:r>
                  <w:r w:rsidR="00837C41">
                    <w:t xml:space="preserve"> per year</w:t>
                  </w:r>
                  <w:r w:rsidR="00205BA4" w:rsidRPr="00205BA4">
                    <w:t>)</w:t>
                  </w:r>
                </w:p>
              </w:tc>
              <w:tc>
                <w:tcPr>
                  <w:tcW w:w="1160" w:type="dxa"/>
                  <w:noWrap/>
                </w:tcPr>
                <w:p w:rsidR="00DC3BF8" w:rsidRPr="00B61980" w:rsidRDefault="00205BA4" w:rsidP="00837C41">
                  <w:r w:rsidRPr="00205BA4">
                    <w:t>Previous DMIA ($ mil per year</w:t>
                  </w:r>
                  <w:r>
                    <w:t>)</w:t>
                  </w:r>
                </w:p>
              </w:tc>
              <w:tc>
                <w:tcPr>
                  <w:tcW w:w="1283" w:type="dxa"/>
                  <w:noWrap/>
                  <w:hideMark/>
                </w:tcPr>
                <w:p w:rsidR="00DC3BF8" w:rsidRPr="00B61980" w:rsidRDefault="00205BA4" w:rsidP="0084077D">
                  <w:r w:rsidRPr="00205BA4">
                    <w:t xml:space="preserve">Increase on previous DMIA </w:t>
                  </w:r>
                  <w:r w:rsidR="0084077D">
                    <w:t>(%</w:t>
                  </w:r>
                  <w:r w:rsidRPr="00205BA4">
                    <w:t>)</w:t>
                  </w:r>
                  <w:r w:rsidR="00DC3BF8" w:rsidRPr="00B61980">
                    <w:t> </w:t>
                  </w:r>
                </w:p>
              </w:tc>
            </w:tr>
            <w:tr w:rsidR="0084077D" w:rsidRPr="00B61980" w:rsidTr="00FB09FA">
              <w:trPr>
                <w:trHeight w:val="300"/>
              </w:trPr>
              <w:tc>
                <w:tcPr>
                  <w:tcW w:w="1843" w:type="dxa"/>
                  <w:hideMark/>
                </w:tcPr>
                <w:p w:rsidR="00DC3BF8" w:rsidRPr="00B61980" w:rsidRDefault="00DC3BF8" w:rsidP="00B61980">
                  <w:r w:rsidRPr="00B61980">
                    <w:t xml:space="preserve">ActewAGL </w:t>
                  </w:r>
                </w:p>
              </w:tc>
              <w:tc>
                <w:tcPr>
                  <w:tcW w:w="1134" w:type="dxa"/>
                  <w:hideMark/>
                </w:tcPr>
                <w:p w:rsidR="00DC3BF8" w:rsidRPr="00B61980" w:rsidRDefault="00DC3BF8" w:rsidP="00B61980">
                  <w:r w:rsidRPr="00B61980">
                    <w:t>641.6</w:t>
                  </w:r>
                </w:p>
              </w:tc>
              <w:tc>
                <w:tcPr>
                  <w:tcW w:w="1134" w:type="dxa"/>
                  <w:hideMark/>
                </w:tcPr>
                <w:p w:rsidR="00DC3BF8" w:rsidRPr="00B61980" w:rsidRDefault="00DC3BF8" w:rsidP="00B61980">
                  <w:r w:rsidRPr="00B61980">
                    <w:t>128.32</w:t>
                  </w:r>
                </w:p>
              </w:tc>
              <w:tc>
                <w:tcPr>
                  <w:tcW w:w="1701" w:type="dxa"/>
                  <w:hideMark/>
                </w:tcPr>
                <w:p w:rsidR="00DC3BF8" w:rsidRPr="00B61980" w:rsidRDefault="00DC3BF8" w:rsidP="00B61980">
                  <w:r w:rsidRPr="00B61980">
                    <w:t>0.3</w:t>
                  </w:r>
                </w:p>
              </w:tc>
              <w:tc>
                <w:tcPr>
                  <w:tcW w:w="1160" w:type="dxa"/>
                  <w:hideMark/>
                </w:tcPr>
                <w:p w:rsidR="00DC3BF8" w:rsidRPr="00B61980" w:rsidRDefault="00DC3BF8" w:rsidP="00B61980">
                  <w:r w:rsidRPr="00B61980">
                    <w:t>0.1</w:t>
                  </w:r>
                </w:p>
              </w:tc>
              <w:tc>
                <w:tcPr>
                  <w:tcW w:w="1283" w:type="dxa"/>
                  <w:hideMark/>
                </w:tcPr>
                <w:p w:rsidR="00DC3BF8" w:rsidRPr="00B61980" w:rsidRDefault="0084077D" w:rsidP="00B61980">
                  <w:r>
                    <w:t>1</w:t>
                  </w:r>
                  <w:r w:rsidR="00DC3BF8" w:rsidRPr="00B61980">
                    <w:t>96</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300"/>
              </w:trPr>
              <w:tc>
                <w:tcPr>
                  <w:tcW w:w="1843" w:type="dxa"/>
                  <w:hideMark/>
                </w:tcPr>
                <w:p w:rsidR="00DC3BF8" w:rsidRPr="00B61980" w:rsidRDefault="00DC3BF8" w:rsidP="00B61980">
                  <w:r w:rsidRPr="00B61980">
                    <w:t>Ausgrid</w:t>
                  </w:r>
                </w:p>
              </w:tc>
              <w:tc>
                <w:tcPr>
                  <w:tcW w:w="1134" w:type="dxa"/>
                  <w:hideMark/>
                </w:tcPr>
                <w:p w:rsidR="00DC3BF8" w:rsidRPr="00B61980" w:rsidRDefault="00DC3BF8" w:rsidP="00B61980">
                  <w:r w:rsidRPr="00B61980">
                    <w:t>7867</w:t>
                  </w:r>
                </w:p>
              </w:tc>
              <w:tc>
                <w:tcPr>
                  <w:tcW w:w="1134" w:type="dxa"/>
                  <w:hideMark/>
                </w:tcPr>
                <w:p w:rsidR="00DC3BF8" w:rsidRPr="00B61980" w:rsidRDefault="00DC3BF8" w:rsidP="00B61980">
                  <w:r w:rsidRPr="00B61980">
                    <w:t>1573.40</w:t>
                  </w:r>
                </w:p>
              </w:tc>
              <w:tc>
                <w:tcPr>
                  <w:tcW w:w="1701" w:type="dxa"/>
                  <w:hideMark/>
                </w:tcPr>
                <w:p w:rsidR="00DC3BF8" w:rsidRPr="00B61980" w:rsidRDefault="00DC3BF8" w:rsidP="00B61980">
                  <w:r w:rsidRPr="00B61980">
                    <w:t>1.4</w:t>
                  </w:r>
                </w:p>
              </w:tc>
              <w:tc>
                <w:tcPr>
                  <w:tcW w:w="1160" w:type="dxa"/>
                  <w:hideMark/>
                </w:tcPr>
                <w:p w:rsidR="00DC3BF8" w:rsidRPr="00B61980" w:rsidRDefault="00DC3BF8" w:rsidP="00B61980">
                  <w:r w:rsidRPr="00B61980">
                    <w:t>1</w:t>
                  </w:r>
                </w:p>
              </w:tc>
              <w:tc>
                <w:tcPr>
                  <w:tcW w:w="1283" w:type="dxa"/>
                  <w:hideMark/>
                </w:tcPr>
                <w:p w:rsidR="00DC3BF8" w:rsidRPr="00B61980" w:rsidRDefault="00DC3BF8" w:rsidP="00B61980">
                  <w:r w:rsidRPr="00B61980">
                    <w:t>38</w:t>
                  </w:r>
                </w:p>
              </w:tc>
            </w:tr>
            <w:tr w:rsidR="0084077D" w:rsidRPr="00B61980" w:rsidTr="00FB09FA">
              <w:trPr>
                <w:trHeight w:val="451"/>
              </w:trPr>
              <w:tc>
                <w:tcPr>
                  <w:tcW w:w="1843" w:type="dxa"/>
                  <w:hideMark/>
                </w:tcPr>
                <w:p w:rsidR="00DC3BF8" w:rsidRPr="00B61980" w:rsidRDefault="00DC3BF8" w:rsidP="00B61980">
                  <w:r w:rsidRPr="00B61980">
                    <w:t xml:space="preserve">AusNet Services </w:t>
                  </w:r>
                </w:p>
              </w:tc>
              <w:tc>
                <w:tcPr>
                  <w:tcW w:w="1134" w:type="dxa"/>
                  <w:hideMark/>
                </w:tcPr>
                <w:p w:rsidR="00DC3BF8" w:rsidRPr="00B61980" w:rsidRDefault="00DC3BF8" w:rsidP="00B61980">
                  <w:r w:rsidRPr="00B61980">
                    <w:t>3132.4</w:t>
                  </w:r>
                </w:p>
              </w:tc>
              <w:tc>
                <w:tcPr>
                  <w:tcW w:w="1134" w:type="dxa"/>
                  <w:hideMark/>
                </w:tcPr>
                <w:p w:rsidR="00DC3BF8" w:rsidRPr="00B61980" w:rsidRDefault="00DC3BF8" w:rsidP="00B61980">
                  <w:r w:rsidRPr="00B61980">
                    <w:t>626.48</w:t>
                  </w:r>
                </w:p>
              </w:tc>
              <w:tc>
                <w:tcPr>
                  <w:tcW w:w="1701" w:type="dxa"/>
                  <w:hideMark/>
                </w:tcPr>
                <w:p w:rsidR="00DC3BF8" w:rsidRPr="00B61980" w:rsidRDefault="00DC3BF8" w:rsidP="00B61980">
                  <w:r w:rsidRPr="00B61980">
                    <w:t>0.7</w:t>
                  </w:r>
                </w:p>
              </w:tc>
              <w:tc>
                <w:tcPr>
                  <w:tcW w:w="1160" w:type="dxa"/>
                  <w:hideMark/>
                </w:tcPr>
                <w:p w:rsidR="00DC3BF8" w:rsidRPr="00B61980" w:rsidRDefault="00DC3BF8" w:rsidP="00B61980">
                  <w:r w:rsidRPr="00B61980">
                    <w:t>0.6</w:t>
                  </w:r>
                </w:p>
              </w:tc>
              <w:tc>
                <w:tcPr>
                  <w:tcW w:w="1283" w:type="dxa"/>
                  <w:hideMark/>
                </w:tcPr>
                <w:p w:rsidR="00DC3BF8" w:rsidRPr="00B61980" w:rsidRDefault="00DC3BF8" w:rsidP="00B61980">
                  <w:r w:rsidRPr="00B61980">
                    <w:t>12</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300"/>
              </w:trPr>
              <w:tc>
                <w:tcPr>
                  <w:tcW w:w="1843" w:type="dxa"/>
                  <w:hideMark/>
                </w:tcPr>
                <w:p w:rsidR="00DC3BF8" w:rsidRPr="00B61980" w:rsidRDefault="00DC3BF8" w:rsidP="00B61980">
                  <w:r w:rsidRPr="00B61980">
                    <w:t xml:space="preserve">CitiPower </w:t>
                  </w:r>
                </w:p>
              </w:tc>
              <w:tc>
                <w:tcPr>
                  <w:tcW w:w="1134" w:type="dxa"/>
                  <w:hideMark/>
                </w:tcPr>
                <w:p w:rsidR="00DC3BF8" w:rsidRPr="00B61980" w:rsidRDefault="00DC3BF8" w:rsidP="00B61980">
                  <w:r w:rsidRPr="00B61980">
                    <w:t>1503.1</w:t>
                  </w:r>
                </w:p>
              </w:tc>
              <w:tc>
                <w:tcPr>
                  <w:tcW w:w="1134" w:type="dxa"/>
                  <w:hideMark/>
                </w:tcPr>
                <w:p w:rsidR="00DC3BF8" w:rsidRPr="00B61980" w:rsidRDefault="00DC3BF8" w:rsidP="00B61980">
                  <w:r w:rsidRPr="00B61980">
                    <w:t>300.62</w:t>
                  </w:r>
                </w:p>
              </w:tc>
              <w:tc>
                <w:tcPr>
                  <w:tcW w:w="1701" w:type="dxa"/>
                  <w:hideMark/>
                </w:tcPr>
                <w:p w:rsidR="00DC3BF8" w:rsidRPr="00B61980" w:rsidRDefault="00DC3BF8" w:rsidP="00B61980">
                  <w:r w:rsidRPr="00B61980">
                    <w:t>0.4</w:t>
                  </w:r>
                </w:p>
              </w:tc>
              <w:tc>
                <w:tcPr>
                  <w:tcW w:w="1160" w:type="dxa"/>
                  <w:hideMark/>
                </w:tcPr>
                <w:p w:rsidR="00DC3BF8" w:rsidRPr="00B61980" w:rsidRDefault="00DC3BF8" w:rsidP="00B61980">
                  <w:r w:rsidRPr="00B61980">
                    <w:t>0.2</w:t>
                  </w:r>
                </w:p>
              </w:tc>
              <w:tc>
                <w:tcPr>
                  <w:tcW w:w="1283" w:type="dxa"/>
                  <w:hideMark/>
                </w:tcPr>
                <w:p w:rsidR="00DC3BF8" w:rsidRPr="00B61980" w:rsidRDefault="0084077D" w:rsidP="00B61980">
                  <w:r>
                    <w:t>1</w:t>
                  </w:r>
                  <w:r w:rsidR="00DC3BF8" w:rsidRPr="00B61980">
                    <w:t>13</w:t>
                  </w:r>
                </w:p>
              </w:tc>
            </w:tr>
            <w:tr w:rsidR="0084077D" w:rsidRPr="00B61980" w:rsidTr="00FB09FA">
              <w:trPr>
                <w:trHeight w:val="451"/>
              </w:trPr>
              <w:tc>
                <w:tcPr>
                  <w:tcW w:w="1843" w:type="dxa"/>
                  <w:hideMark/>
                </w:tcPr>
                <w:p w:rsidR="00DC3BF8" w:rsidRPr="00B61980" w:rsidRDefault="00DC3BF8" w:rsidP="00B61980">
                  <w:r w:rsidRPr="00B61980">
                    <w:t>Endeavour Energy</w:t>
                  </w:r>
                </w:p>
              </w:tc>
              <w:tc>
                <w:tcPr>
                  <w:tcW w:w="1134" w:type="dxa"/>
                  <w:hideMark/>
                </w:tcPr>
                <w:p w:rsidR="00DC3BF8" w:rsidRPr="00B61980" w:rsidRDefault="00DC3BF8" w:rsidP="00B61980">
                  <w:r w:rsidRPr="00B61980">
                    <w:t>4158.2</w:t>
                  </w:r>
                </w:p>
              </w:tc>
              <w:tc>
                <w:tcPr>
                  <w:tcW w:w="1134" w:type="dxa"/>
                  <w:hideMark/>
                </w:tcPr>
                <w:p w:rsidR="00DC3BF8" w:rsidRPr="00B61980" w:rsidRDefault="00DC3BF8" w:rsidP="00B61980">
                  <w:r w:rsidRPr="00B61980">
                    <w:t>831.64</w:t>
                  </w:r>
                </w:p>
              </w:tc>
              <w:tc>
                <w:tcPr>
                  <w:tcW w:w="1701" w:type="dxa"/>
                  <w:hideMark/>
                </w:tcPr>
                <w:p w:rsidR="00DC3BF8" w:rsidRPr="00B61980" w:rsidRDefault="00DC3BF8" w:rsidP="00B61980">
                  <w:r w:rsidRPr="00B61980">
                    <w:t>0.8</w:t>
                  </w:r>
                </w:p>
              </w:tc>
              <w:tc>
                <w:tcPr>
                  <w:tcW w:w="1160" w:type="dxa"/>
                  <w:hideMark/>
                </w:tcPr>
                <w:p w:rsidR="00DC3BF8" w:rsidRPr="00B61980" w:rsidRDefault="00DC3BF8" w:rsidP="00B61980">
                  <w:r w:rsidRPr="00B61980">
                    <w:t>0.6</w:t>
                  </w:r>
                </w:p>
              </w:tc>
              <w:tc>
                <w:tcPr>
                  <w:tcW w:w="1283" w:type="dxa"/>
                  <w:hideMark/>
                </w:tcPr>
                <w:p w:rsidR="00DC3BF8" w:rsidRPr="00B61980" w:rsidRDefault="00DC3BF8" w:rsidP="00B61980">
                  <w:r w:rsidRPr="00B61980">
                    <w:t>37</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300"/>
              </w:trPr>
              <w:tc>
                <w:tcPr>
                  <w:tcW w:w="1843" w:type="dxa"/>
                  <w:hideMark/>
                </w:tcPr>
                <w:p w:rsidR="00DC3BF8" w:rsidRPr="00B61980" w:rsidRDefault="00DC3BF8" w:rsidP="00B61980">
                  <w:r w:rsidRPr="00B61980">
                    <w:t>Energex</w:t>
                  </w:r>
                </w:p>
              </w:tc>
              <w:tc>
                <w:tcPr>
                  <w:tcW w:w="1134" w:type="dxa"/>
                  <w:hideMark/>
                </w:tcPr>
                <w:p w:rsidR="00DC3BF8" w:rsidRPr="00B61980" w:rsidRDefault="00DC3BF8" w:rsidP="00B61980">
                  <w:r w:rsidRPr="00B61980">
                    <w:t>6557</w:t>
                  </w:r>
                </w:p>
              </w:tc>
              <w:tc>
                <w:tcPr>
                  <w:tcW w:w="1134" w:type="dxa"/>
                  <w:hideMark/>
                </w:tcPr>
                <w:p w:rsidR="00DC3BF8" w:rsidRPr="00B61980" w:rsidRDefault="00DC3BF8" w:rsidP="00B61980">
                  <w:r w:rsidRPr="00B61980">
                    <w:t>1311.40</w:t>
                  </w:r>
                </w:p>
              </w:tc>
              <w:tc>
                <w:tcPr>
                  <w:tcW w:w="1701" w:type="dxa"/>
                  <w:hideMark/>
                </w:tcPr>
                <w:p w:rsidR="00DC3BF8" w:rsidRPr="00B61980" w:rsidRDefault="00DC3BF8" w:rsidP="00B61980">
                  <w:r w:rsidRPr="00B61980">
                    <w:t>1.2</w:t>
                  </w:r>
                </w:p>
              </w:tc>
              <w:tc>
                <w:tcPr>
                  <w:tcW w:w="1160" w:type="dxa"/>
                  <w:hideMark/>
                </w:tcPr>
                <w:p w:rsidR="00DC3BF8" w:rsidRPr="00B61980" w:rsidRDefault="00DC3BF8" w:rsidP="00B61980">
                  <w:r w:rsidRPr="00B61980">
                    <w:t>1</w:t>
                  </w:r>
                </w:p>
              </w:tc>
              <w:tc>
                <w:tcPr>
                  <w:tcW w:w="1283" w:type="dxa"/>
                  <w:hideMark/>
                </w:tcPr>
                <w:p w:rsidR="00DC3BF8" w:rsidRPr="00B61980" w:rsidRDefault="00DC3BF8" w:rsidP="00B61980">
                  <w:r w:rsidRPr="00B61980">
                    <w:t>18</w:t>
                  </w:r>
                </w:p>
              </w:tc>
            </w:tr>
            <w:tr w:rsidR="0084077D" w:rsidRPr="00B61980" w:rsidTr="00FB09FA">
              <w:trPr>
                <w:trHeight w:val="451"/>
              </w:trPr>
              <w:tc>
                <w:tcPr>
                  <w:tcW w:w="1843" w:type="dxa"/>
                  <w:hideMark/>
                </w:tcPr>
                <w:p w:rsidR="00DC3BF8" w:rsidRPr="00B61980" w:rsidRDefault="00DC3BF8" w:rsidP="00B61980">
                  <w:r w:rsidRPr="00B61980">
                    <w:t>Ergon Energy</w:t>
                  </w:r>
                </w:p>
              </w:tc>
              <w:tc>
                <w:tcPr>
                  <w:tcW w:w="1134" w:type="dxa"/>
                  <w:hideMark/>
                </w:tcPr>
                <w:p w:rsidR="00DC3BF8" w:rsidRPr="00B61980" w:rsidRDefault="00DC3BF8" w:rsidP="00B61980">
                  <w:r w:rsidRPr="00B61980">
                    <w:t>6266</w:t>
                  </w:r>
                </w:p>
              </w:tc>
              <w:tc>
                <w:tcPr>
                  <w:tcW w:w="1134" w:type="dxa"/>
                  <w:hideMark/>
                </w:tcPr>
                <w:p w:rsidR="00DC3BF8" w:rsidRPr="00B61980" w:rsidRDefault="00DC3BF8" w:rsidP="00B61980">
                  <w:r w:rsidRPr="00B61980">
                    <w:t>1253.20</w:t>
                  </w:r>
                </w:p>
              </w:tc>
              <w:tc>
                <w:tcPr>
                  <w:tcW w:w="1701" w:type="dxa"/>
                  <w:hideMark/>
                </w:tcPr>
                <w:p w:rsidR="00DC3BF8" w:rsidRPr="00B61980" w:rsidRDefault="00DC3BF8" w:rsidP="00B61980">
                  <w:r w:rsidRPr="00B61980">
                    <w:t>1.1</w:t>
                  </w:r>
                </w:p>
              </w:tc>
              <w:tc>
                <w:tcPr>
                  <w:tcW w:w="1160" w:type="dxa"/>
                  <w:hideMark/>
                </w:tcPr>
                <w:p w:rsidR="00DC3BF8" w:rsidRPr="00B61980" w:rsidRDefault="00DC3BF8" w:rsidP="00B61980">
                  <w:r w:rsidRPr="00B61980">
                    <w:t>1</w:t>
                  </w:r>
                </w:p>
              </w:tc>
              <w:tc>
                <w:tcPr>
                  <w:tcW w:w="1283" w:type="dxa"/>
                  <w:hideMark/>
                </w:tcPr>
                <w:p w:rsidR="00DC3BF8" w:rsidRPr="00B61980" w:rsidRDefault="00DC3BF8" w:rsidP="00B61980">
                  <w:r w:rsidRPr="00B61980">
                    <w:t>14</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451"/>
              </w:trPr>
              <w:tc>
                <w:tcPr>
                  <w:tcW w:w="1843" w:type="dxa"/>
                  <w:hideMark/>
                </w:tcPr>
                <w:p w:rsidR="00DC3BF8" w:rsidRPr="00B61980" w:rsidRDefault="00DC3BF8" w:rsidP="00B61980">
                  <w:r w:rsidRPr="00B61980">
                    <w:t>Essential Energy</w:t>
                  </w:r>
                </w:p>
              </w:tc>
              <w:tc>
                <w:tcPr>
                  <w:tcW w:w="1134" w:type="dxa"/>
                  <w:hideMark/>
                </w:tcPr>
                <w:p w:rsidR="00DC3BF8" w:rsidRPr="00B61980" w:rsidRDefault="00DC3BF8" w:rsidP="00B61980">
                  <w:r w:rsidRPr="00B61980">
                    <w:t>5176</w:t>
                  </w:r>
                </w:p>
              </w:tc>
              <w:tc>
                <w:tcPr>
                  <w:tcW w:w="1134" w:type="dxa"/>
                  <w:hideMark/>
                </w:tcPr>
                <w:p w:rsidR="00DC3BF8" w:rsidRPr="00B61980" w:rsidRDefault="00DC3BF8" w:rsidP="00B61980">
                  <w:r w:rsidRPr="00B61980">
                    <w:t>1035.20</w:t>
                  </w:r>
                </w:p>
              </w:tc>
              <w:tc>
                <w:tcPr>
                  <w:tcW w:w="1701" w:type="dxa"/>
                  <w:hideMark/>
                </w:tcPr>
                <w:p w:rsidR="00DC3BF8" w:rsidRPr="00B61980" w:rsidRDefault="00DC3BF8" w:rsidP="00B61980">
                  <w:r w:rsidRPr="00B61980">
                    <w:t>1.0</w:t>
                  </w:r>
                </w:p>
              </w:tc>
              <w:tc>
                <w:tcPr>
                  <w:tcW w:w="1160" w:type="dxa"/>
                  <w:hideMark/>
                </w:tcPr>
                <w:p w:rsidR="00DC3BF8" w:rsidRPr="00B61980" w:rsidRDefault="00DC3BF8" w:rsidP="00B61980">
                  <w:r w:rsidRPr="00B61980">
                    <w:t>0.6</w:t>
                  </w:r>
                </w:p>
              </w:tc>
              <w:tc>
                <w:tcPr>
                  <w:tcW w:w="1283" w:type="dxa"/>
                  <w:hideMark/>
                </w:tcPr>
                <w:p w:rsidR="00DC3BF8" w:rsidRPr="00B61980" w:rsidRDefault="00DC3BF8" w:rsidP="00B61980">
                  <w:r w:rsidRPr="00B61980">
                    <w:t>63</w:t>
                  </w:r>
                </w:p>
              </w:tc>
            </w:tr>
            <w:tr w:rsidR="0084077D" w:rsidRPr="00B61980" w:rsidTr="00FB09FA">
              <w:trPr>
                <w:trHeight w:val="300"/>
              </w:trPr>
              <w:tc>
                <w:tcPr>
                  <w:tcW w:w="1843" w:type="dxa"/>
                  <w:hideMark/>
                </w:tcPr>
                <w:p w:rsidR="00DC3BF8" w:rsidRPr="00B61980" w:rsidRDefault="00DC3BF8" w:rsidP="00B61980">
                  <w:r w:rsidRPr="00B61980">
                    <w:t>Jemena</w:t>
                  </w:r>
                </w:p>
              </w:tc>
              <w:tc>
                <w:tcPr>
                  <w:tcW w:w="1134" w:type="dxa"/>
                  <w:hideMark/>
                </w:tcPr>
                <w:p w:rsidR="00DC3BF8" w:rsidRPr="00B61980" w:rsidRDefault="00DC3BF8" w:rsidP="00B61980">
                  <w:r w:rsidRPr="00B61980">
                    <w:t>1302.1</w:t>
                  </w:r>
                </w:p>
              </w:tc>
              <w:tc>
                <w:tcPr>
                  <w:tcW w:w="1134" w:type="dxa"/>
                  <w:hideMark/>
                </w:tcPr>
                <w:p w:rsidR="00DC3BF8" w:rsidRPr="00B61980" w:rsidRDefault="00DC3BF8" w:rsidP="00B61980">
                  <w:r w:rsidRPr="00B61980">
                    <w:t>260.42</w:t>
                  </w:r>
                </w:p>
              </w:tc>
              <w:tc>
                <w:tcPr>
                  <w:tcW w:w="1701" w:type="dxa"/>
                  <w:hideMark/>
                </w:tcPr>
                <w:p w:rsidR="00DC3BF8" w:rsidRPr="00B61980" w:rsidRDefault="00DC3BF8" w:rsidP="00B61980">
                  <w:r w:rsidRPr="00B61980">
                    <w:t>0.4</w:t>
                  </w:r>
                </w:p>
              </w:tc>
              <w:tc>
                <w:tcPr>
                  <w:tcW w:w="1160" w:type="dxa"/>
                  <w:hideMark/>
                </w:tcPr>
                <w:p w:rsidR="00DC3BF8" w:rsidRPr="00B61980" w:rsidRDefault="00DC3BF8" w:rsidP="00B61980">
                  <w:r w:rsidRPr="00B61980">
                    <w:t>0.2</w:t>
                  </w:r>
                </w:p>
              </w:tc>
              <w:tc>
                <w:tcPr>
                  <w:tcW w:w="1283" w:type="dxa"/>
                  <w:hideMark/>
                </w:tcPr>
                <w:p w:rsidR="00DC3BF8" w:rsidRPr="00B61980" w:rsidRDefault="00DC3BF8" w:rsidP="00B61980">
                  <w:r w:rsidRPr="00B61980">
                    <w:t>98</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300"/>
              </w:trPr>
              <w:tc>
                <w:tcPr>
                  <w:tcW w:w="1843" w:type="dxa"/>
                  <w:hideMark/>
                </w:tcPr>
                <w:p w:rsidR="00DC3BF8" w:rsidRPr="00B61980" w:rsidRDefault="00DC3BF8" w:rsidP="00B61980">
                  <w:r w:rsidRPr="00B61980">
                    <w:t>Powercor</w:t>
                  </w:r>
                </w:p>
              </w:tc>
              <w:tc>
                <w:tcPr>
                  <w:tcW w:w="1134" w:type="dxa"/>
                  <w:hideMark/>
                </w:tcPr>
                <w:p w:rsidR="00DC3BF8" w:rsidRPr="00B61980" w:rsidRDefault="00DC3BF8" w:rsidP="00B61980">
                  <w:r w:rsidRPr="00B61980">
                    <w:t>3186.1</w:t>
                  </w:r>
                </w:p>
              </w:tc>
              <w:tc>
                <w:tcPr>
                  <w:tcW w:w="1134" w:type="dxa"/>
                  <w:hideMark/>
                </w:tcPr>
                <w:p w:rsidR="00DC3BF8" w:rsidRPr="00B61980" w:rsidRDefault="00DC3BF8" w:rsidP="00B61980">
                  <w:r w:rsidRPr="00B61980">
                    <w:t>637.22</w:t>
                  </w:r>
                </w:p>
              </w:tc>
              <w:tc>
                <w:tcPr>
                  <w:tcW w:w="1701" w:type="dxa"/>
                  <w:hideMark/>
                </w:tcPr>
                <w:p w:rsidR="00DC3BF8" w:rsidRPr="00B61980" w:rsidRDefault="00DC3BF8" w:rsidP="00B61980">
                  <w:r w:rsidRPr="00B61980">
                    <w:t>0.7</w:t>
                  </w:r>
                </w:p>
              </w:tc>
              <w:tc>
                <w:tcPr>
                  <w:tcW w:w="1160" w:type="dxa"/>
                  <w:hideMark/>
                </w:tcPr>
                <w:p w:rsidR="00DC3BF8" w:rsidRPr="00B61980" w:rsidRDefault="00DC3BF8" w:rsidP="00B61980">
                  <w:r w:rsidRPr="00B61980">
                    <w:t>0.6</w:t>
                  </w:r>
                </w:p>
              </w:tc>
              <w:tc>
                <w:tcPr>
                  <w:tcW w:w="1283" w:type="dxa"/>
                  <w:hideMark/>
                </w:tcPr>
                <w:p w:rsidR="00DC3BF8" w:rsidRPr="00B61980" w:rsidRDefault="00DC3BF8" w:rsidP="00B61980">
                  <w:r w:rsidRPr="00B61980">
                    <w:t>13</w:t>
                  </w:r>
                </w:p>
              </w:tc>
            </w:tr>
            <w:tr w:rsidR="0084077D" w:rsidRPr="00B61980" w:rsidTr="00FB09FA">
              <w:trPr>
                <w:trHeight w:val="451"/>
              </w:trPr>
              <w:tc>
                <w:tcPr>
                  <w:tcW w:w="1843" w:type="dxa"/>
                  <w:hideMark/>
                </w:tcPr>
                <w:p w:rsidR="00DC3BF8" w:rsidRPr="00B61980" w:rsidRDefault="00DC3BF8" w:rsidP="00B61980">
                  <w:r w:rsidRPr="00B61980">
                    <w:t>SA Power Networks</w:t>
                  </w:r>
                </w:p>
              </w:tc>
              <w:tc>
                <w:tcPr>
                  <w:tcW w:w="1134" w:type="dxa"/>
                  <w:hideMark/>
                </w:tcPr>
                <w:p w:rsidR="00DC3BF8" w:rsidRPr="00B61980" w:rsidRDefault="00DC3BF8" w:rsidP="00B61980">
                  <w:r w:rsidRPr="00B61980">
                    <w:t>3846.9</w:t>
                  </w:r>
                </w:p>
              </w:tc>
              <w:tc>
                <w:tcPr>
                  <w:tcW w:w="1134" w:type="dxa"/>
                  <w:hideMark/>
                </w:tcPr>
                <w:p w:rsidR="00DC3BF8" w:rsidRPr="00B61980" w:rsidRDefault="00DC3BF8" w:rsidP="00B61980">
                  <w:r w:rsidRPr="00B61980">
                    <w:t>769.38</w:t>
                  </w:r>
                </w:p>
              </w:tc>
              <w:tc>
                <w:tcPr>
                  <w:tcW w:w="1701" w:type="dxa"/>
                  <w:hideMark/>
                </w:tcPr>
                <w:p w:rsidR="00DC3BF8" w:rsidRPr="00B61980" w:rsidRDefault="00DC3BF8" w:rsidP="00B61980">
                  <w:r w:rsidRPr="00B61980">
                    <w:t>0.8</w:t>
                  </w:r>
                </w:p>
              </w:tc>
              <w:tc>
                <w:tcPr>
                  <w:tcW w:w="1160" w:type="dxa"/>
                  <w:hideMark/>
                </w:tcPr>
                <w:p w:rsidR="00DC3BF8" w:rsidRPr="00B61980" w:rsidRDefault="00DC3BF8" w:rsidP="00B61980">
                  <w:r w:rsidRPr="00B61980">
                    <w:t>0.6</w:t>
                  </w:r>
                </w:p>
              </w:tc>
              <w:tc>
                <w:tcPr>
                  <w:tcW w:w="1283" w:type="dxa"/>
                  <w:hideMark/>
                </w:tcPr>
                <w:p w:rsidR="00DC3BF8" w:rsidRPr="00B61980" w:rsidRDefault="00DC3BF8" w:rsidP="00B61980">
                  <w:r w:rsidRPr="00B61980">
                    <w:t>30</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451"/>
              </w:trPr>
              <w:tc>
                <w:tcPr>
                  <w:tcW w:w="1843" w:type="dxa"/>
                  <w:hideMark/>
                </w:tcPr>
                <w:p w:rsidR="00DC3BF8" w:rsidRPr="00B61980" w:rsidRDefault="00DC3BF8" w:rsidP="00B61980">
                  <w:r w:rsidRPr="00B61980">
                    <w:t>United Energy</w:t>
                  </w:r>
                </w:p>
              </w:tc>
              <w:tc>
                <w:tcPr>
                  <w:tcW w:w="1134" w:type="dxa"/>
                  <w:hideMark/>
                </w:tcPr>
                <w:p w:rsidR="00DC3BF8" w:rsidRPr="00B61980" w:rsidRDefault="00DC3BF8" w:rsidP="00B61980">
                  <w:r w:rsidRPr="00B61980">
                    <w:t>2101.3</w:t>
                  </w:r>
                </w:p>
              </w:tc>
              <w:tc>
                <w:tcPr>
                  <w:tcW w:w="1134" w:type="dxa"/>
                  <w:hideMark/>
                </w:tcPr>
                <w:p w:rsidR="00DC3BF8" w:rsidRPr="00B61980" w:rsidRDefault="00DC3BF8" w:rsidP="00B61980">
                  <w:r w:rsidRPr="00B61980">
                    <w:t>420.26</w:t>
                  </w:r>
                </w:p>
              </w:tc>
              <w:tc>
                <w:tcPr>
                  <w:tcW w:w="1701" w:type="dxa"/>
                  <w:hideMark/>
                </w:tcPr>
                <w:p w:rsidR="00DC3BF8" w:rsidRPr="00B61980" w:rsidRDefault="00DC3BF8" w:rsidP="00B61980">
                  <w:r w:rsidRPr="00B61980">
                    <w:t>0.5</w:t>
                  </w:r>
                </w:p>
              </w:tc>
              <w:tc>
                <w:tcPr>
                  <w:tcW w:w="1160" w:type="dxa"/>
                  <w:hideMark/>
                </w:tcPr>
                <w:p w:rsidR="00DC3BF8" w:rsidRPr="00B61980" w:rsidRDefault="00DC3BF8" w:rsidP="00B61980">
                  <w:r w:rsidRPr="00B61980">
                    <w:t>0.4</w:t>
                  </w:r>
                </w:p>
              </w:tc>
              <w:tc>
                <w:tcPr>
                  <w:tcW w:w="1283" w:type="dxa"/>
                  <w:hideMark/>
                </w:tcPr>
                <w:p w:rsidR="00DC3BF8" w:rsidRPr="00B61980" w:rsidRDefault="00DC3BF8" w:rsidP="00B61980">
                  <w:r w:rsidRPr="00B61980">
                    <w:t>29</w:t>
                  </w:r>
                </w:p>
              </w:tc>
            </w:tr>
            <w:tr w:rsidR="0084077D" w:rsidRPr="00B61980" w:rsidTr="00FB09FA">
              <w:trPr>
                <w:trHeight w:val="451"/>
              </w:trPr>
              <w:tc>
                <w:tcPr>
                  <w:tcW w:w="1843" w:type="dxa"/>
                  <w:hideMark/>
                </w:tcPr>
                <w:p w:rsidR="00DC3BF8" w:rsidRPr="00B61980" w:rsidRDefault="00DC3BF8" w:rsidP="00B61980">
                  <w:r w:rsidRPr="00B61980">
                    <w:t>TasNetworks</w:t>
                  </w:r>
                </w:p>
              </w:tc>
              <w:tc>
                <w:tcPr>
                  <w:tcW w:w="1134" w:type="dxa"/>
                  <w:hideMark/>
                </w:tcPr>
                <w:p w:rsidR="00DC3BF8" w:rsidRPr="00B61980" w:rsidRDefault="00DC3BF8" w:rsidP="00B61980">
                  <w:r w:rsidRPr="00B61980">
                    <w:t>1410.44</w:t>
                  </w:r>
                </w:p>
              </w:tc>
              <w:tc>
                <w:tcPr>
                  <w:tcW w:w="1134" w:type="dxa"/>
                  <w:hideMark/>
                </w:tcPr>
                <w:p w:rsidR="00DC3BF8" w:rsidRPr="00B61980" w:rsidRDefault="00DC3BF8" w:rsidP="00B61980">
                  <w:r w:rsidRPr="00B61980">
                    <w:t>282.09</w:t>
                  </w:r>
                </w:p>
              </w:tc>
              <w:tc>
                <w:tcPr>
                  <w:tcW w:w="1701" w:type="dxa"/>
                  <w:hideMark/>
                </w:tcPr>
                <w:p w:rsidR="00DC3BF8" w:rsidRPr="00B61980" w:rsidRDefault="00DC3BF8" w:rsidP="00B61980">
                  <w:r w:rsidRPr="00B61980">
                    <w:t>0.4</w:t>
                  </w:r>
                </w:p>
              </w:tc>
              <w:tc>
                <w:tcPr>
                  <w:tcW w:w="1160" w:type="dxa"/>
                  <w:hideMark/>
                </w:tcPr>
                <w:p w:rsidR="00DC3BF8" w:rsidRPr="00B61980" w:rsidRDefault="00DC3BF8" w:rsidP="00B61980">
                  <w:r w:rsidRPr="00B61980">
                    <w:t>0.4</w:t>
                  </w:r>
                </w:p>
              </w:tc>
              <w:tc>
                <w:tcPr>
                  <w:tcW w:w="1283" w:type="dxa"/>
                  <w:hideMark/>
                </w:tcPr>
                <w:p w:rsidR="00DC3BF8" w:rsidRPr="00B61980" w:rsidRDefault="00DC3BF8" w:rsidP="00B61980">
                  <w:r w:rsidRPr="00B61980">
                    <w:t>03</w:t>
                  </w:r>
                </w:p>
              </w:tc>
            </w:tr>
            <w:tr w:rsidR="0084077D" w:rsidRPr="00B61980" w:rsidTr="00FB09FA">
              <w:trPr>
                <w:cnfStyle w:val="000000010000" w:firstRow="0" w:lastRow="0" w:firstColumn="0" w:lastColumn="0" w:oddVBand="0" w:evenVBand="0" w:oddHBand="0" w:evenHBand="1" w:firstRowFirstColumn="0" w:firstRowLastColumn="0" w:lastRowFirstColumn="0" w:lastRowLastColumn="0"/>
                <w:trHeight w:val="466"/>
              </w:trPr>
              <w:tc>
                <w:tcPr>
                  <w:tcW w:w="1843" w:type="dxa"/>
                  <w:hideMark/>
                </w:tcPr>
                <w:p w:rsidR="00DC3BF8" w:rsidRPr="00B61980" w:rsidRDefault="00DC3BF8" w:rsidP="00B61980">
                  <w:r w:rsidRPr="00B61980">
                    <w:t>NT Power and Water</w:t>
                  </w:r>
                </w:p>
              </w:tc>
              <w:tc>
                <w:tcPr>
                  <w:tcW w:w="1134" w:type="dxa"/>
                  <w:hideMark/>
                </w:tcPr>
                <w:p w:rsidR="00DC3BF8" w:rsidRPr="00B61980" w:rsidRDefault="00DC3BF8" w:rsidP="00B61980">
                  <w:r w:rsidRPr="00B61980">
                    <w:t>992.2</w:t>
                  </w:r>
                </w:p>
              </w:tc>
              <w:tc>
                <w:tcPr>
                  <w:tcW w:w="1134" w:type="dxa"/>
                  <w:hideMark/>
                </w:tcPr>
                <w:p w:rsidR="00DC3BF8" w:rsidRPr="00B61980" w:rsidRDefault="00DC3BF8" w:rsidP="00B61980">
                  <w:r w:rsidRPr="00B61980">
                    <w:t>198.44</w:t>
                  </w:r>
                </w:p>
              </w:tc>
              <w:tc>
                <w:tcPr>
                  <w:tcW w:w="1701" w:type="dxa"/>
                  <w:hideMark/>
                </w:tcPr>
                <w:p w:rsidR="00DC3BF8" w:rsidRPr="00B61980" w:rsidRDefault="00DC3BF8" w:rsidP="00B61980">
                  <w:r w:rsidRPr="00B61980">
                    <w:t>0.3</w:t>
                  </w:r>
                </w:p>
              </w:tc>
              <w:tc>
                <w:tcPr>
                  <w:tcW w:w="1160" w:type="dxa"/>
                  <w:hideMark/>
                </w:tcPr>
                <w:p w:rsidR="00DC3BF8" w:rsidRPr="00B61980" w:rsidRDefault="0084077D" w:rsidP="00B61980">
                  <w:r>
                    <w:t>N/A</w:t>
                  </w:r>
                </w:p>
              </w:tc>
              <w:tc>
                <w:tcPr>
                  <w:tcW w:w="1283" w:type="dxa"/>
                  <w:hideMark/>
                </w:tcPr>
                <w:p w:rsidR="00DC3BF8" w:rsidRPr="00B61980" w:rsidRDefault="00DC3BF8" w:rsidP="00B61980">
                  <w:r w:rsidRPr="00B61980">
                    <w:t> </w:t>
                  </w:r>
                  <w:r w:rsidR="0084077D">
                    <w:t>N/A</w:t>
                  </w:r>
                </w:p>
              </w:tc>
            </w:tr>
            <w:tr w:rsidR="0084077D" w:rsidRPr="00B61980" w:rsidTr="009D0AB2">
              <w:trPr>
                <w:trHeight w:val="616"/>
              </w:trPr>
              <w:tc>
                <w:tcPr>
                  <w:tcW w:w="1843" w:type="dxa"/>
                  <w:hideMark/>
                </w:tcPr>
                <w:p w:rsidR="00DC3BF8" w:rsidRPr="00DC3BF8" w:rsidRDefault="00066427" w:rsidP="00DC3BF8">
                  <w:r>
                    <w:lastRenderedPageBreak/>
                    <w:t>A</w:t>
                  </w:r>
                  <w:r w:rsidR="00DC3BF8" w:rsidRPr="00DC3BF8">
                    <w:t>verage increase</w:t>
                  </w:r>
                </w:p>
              </w:tc>
              <w:tc>
                <w:tcPr>
                  <w:tcW w:w="1134" w:type="dxa"/>
                </w:tcPr>
                <w:p w:rsidR="00DC3BF8" w:rsidRPr="00DC3BF8" w:rsidRDefault="00DC3BF8" w:rsidP="00DC3BF8"/>
              </w:tc>
              <w:tc>
                <w:tcPr>
                  <w:tcW w:w="1134" w:type="dxa"/>
                  <w:hideMark/>
                </w:tcPr>
                <w:p w:rsidR="00DC3BF8" w:rsidRPr="00DC3BF8" w:rsidRDefault="00DC3BF8" w:rsidP="00DC3BF8">
                  <w:r w:rsidRPr="00DC3BF8">
                    <w:t> </w:t>
                  </w:r>
                </w:p>
              </w:tc>
              <w:tc>
                <w:tcPr>
                  <w:tcW w:w="1701" w:type="dxa"/>
                </w:tcPr>
                <w:p w:rsidR="00DC3BF8" w:rsidRPr="00DC3BF8" w:rsidRDefault="00DC3BF8" w:rsidP="00DC3BF8"/>
              </w:tc>
              <w:tc>
                <w:tcPr>
                  <w:tcW w:w="1160" w:type="dxa"/>
                </w:tcPr>
                <w:p w:rsidR="00DC3BF8" w:rsidRPr="00DC3BF8" w:rsidRDefault="00DC3BF8" w:rsidP="00DC3BF8"/>
              </w:tc>
              <w:tc>
                <w:tcPr>
                  <w:tcW w:w="1283" w:type="dxa"/>
                  <w:hideMark/>
                </w:tcPr>
                <w:p w:rsidR="00DC3BF8" w:rsidRPr="00DC3BF8" w:rsidRDefault="00DC3BF8" w:rsidP="00DC3BF8">
                  <w:r w:rsidRPr="00DC3BF8">
                    <w:t>32%</w:t>
                  </w:r>
                </w:p>
              </w:tc>
            </w:tr>
          </w:tbl>
          <w:p w:rsidR="00692A51" w:rsidRPr="00692A51" w:rsidRDefault="00692A51" w:rsidP="00762415">
            <w:pPr>
              <w:pStyle w:val="Caption"/>
            </w:pPr>
          </w:p>
        </w:tc>
      </w:tr>
    </w:tbl>
    <w:p w:rsidR="00762415" w:rsidRDefault="00762415">
      <w:pPr>
        <w:pStyle w:val="Caption"/>
      </w:pPr>
      <w:bookmarkStart w:id="32" w:name="_Ref488671872"/>
      <w:r>
        <w:lastRenderedPageBreak/>
        <w:t xml:space="preserve">Figure </w:t>
      </w:r>
      <w:r w:rsidR="006F3834">
        <w:fldChar w:fldCharType="begin"/>
      </w:r>
      <w:r w:rsidR="006F3834">
        <w:instrText xml:space="preserve"> SEQ Figure \* ARABIC </w:instrText>
      </w:r>
      <w:r w:rsidR="006F3834">
        <w:fldChar w:fldCharType="separate"/>
      </w:r>
      <w:r w:rsidR="00755D05">
        <w:rPr>
          <w:noProof/>
        </w:rPr>
        <w:t>4</w:t>
      </w:r>
      <w:r w:rsidR="006F3834">
        <w:rPr>
          <w:noProof/>
        </w:rPr>
        <w:fldChar w:fldCharType="end"/>
      </w:r>
      <w:r>
        <w:t>: Previous</w:t>
      </w:r>
      <w:r w:rsidRPr="00762415">
        <w:t xml:space="preserve"> and </w:t>
      </w:r>
      <w:r>
        <w:t>proposed</w:t>
      </w:r>
      <w:r w:rsidRPr="00762415">
        <w:t xml:space="preserve"> allowance</w:t>
      </w:r>
      <w:r w:rsidR="000835F7">
        <w:t xml:space="preserve"> caps</w:t>
      </w:r>
      <w:r w:rsidRPr="00762415">
        <w:t xml:space="preserve"> </w:t>
      </w:r>
      <w:r w:rsidR="0084077D">
        <w:t>($mil/year)</w:t>
      </w:r>
      <w:bookmarkEnd w:id="32"/>
    </w:p>
    <w:p w:rsidR="00DC3BF8" w:rsidRDefault="009D0AB2" w:rsidP="003B3C38">
      <w:r>
        <w:rPr>
          <w:noProof/>
          <w:lang w:eastAsia="en-AU"/>
        </w:rPr>
        <w:drawing>
          <wp:inline distT="0" distB="0" distL="0" distR="0" wp14:anchorId="3AB07CFC">
            <wp:extent cx="5040000" cy="302958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000" cy="3029585"/>
                    </a:xfrm>
                    <a:prstGeom prst="rect">
                      <a:avLst/>
                    </a:prstGeom>
                    <a:noFill/>
                  </pic:spPr>
                </pic:pic>
              </a:graphicData>
            </a:graphic>
          </wp:inline>
        </w:drawing>
      </w:r>
    </w:p>
    <w:p w:rsidR="00023247" w:rsidRDefault="004C5AFB" w:rsidP="003B3C38">
      <w:r>
        <w:t xml:space="preserve">As </w:t>
      </w:r>
      <w:r>
        <w:fldChar w:fldCharType="begin"/>
      </w:r>
      <w:r>
        <w:instrText xml:space="preserve"> REF  _Ref488671840 \* Lower \h </w:instrText>
      </w:r>
      <w:r>
        <w:fldChar w:fldCharType="separate"/>
      </w:r>
      <w:r w:rsidR="00755D05">
        <w:t xml:space="preserve">table </w:t>
      </w:r>
      <w:r w:rsidR="00755D05">
        <w:rPr>
          <w:noProof/>
        </w:rPr>
        <w:t>2</w:t>
      </w:r>
      <w:r>
        <w:fldChar w:fldCharType="end"/>
      </w:r>
      <w:r>
        <w:t xml:space="preserve"> shows,</w:t>
      </w:r>
      <w:r w:rsidR="00940A0E">
        <w:t xml:space="preserve"> the draft </w:t>
      </w:r>
      <w:r w:rsidR="00D75D96">
        <w:t>Mechanism</w:t>
      </w:r>
      <w:r w:rsidR="00940A0E">
        <w:t xml:space="preserve"> is proposing</w:t>
      </w:r>
      <w:r w:rsidR="00651C32">
        <w:t>, on average,</w:t>
      </w:r>
      <w:r>
        <w:t xml:space="preserve"> </w:t>
      </w:r>
      <w:r w:rsidR="00940A0E">
        <w:t>about a</w:t>
      </w:r>
      <w:r w:rsidR="00692A51">
        <w:t xml:space="preserve"> 30% </w:t>
      </w:r>
      <w:r w:rsidR="00940A0E">
        <w:t>higher</w:t>
      </w:r>
      <w:r w:rsidR="00A47335">
        <w:t xml:space="preserve"> allowance</w:t>
      </w:r>
      <w:r w:rsidR="00940A0E">
        <w:t xml:space="preserve"> </w:t>
      </w:r>
      <w:r w:rsidR="000835F7">
        <w:t xml:space="preserve">cap </w:t>
      </w:r>
      <w:r w:rsidR="00940A0E">
        <w:t>relative to what we have provided under the current DMIA</w:t>
      </w:r>
      <w:r w:rsidR="009D5EF5">
        <w:t xml:space="preserve">. </w:t>
      </w:r>
    </w:p>
    <w:p w:rsidR="00940A0E" w:rsidRDefault="009D5EF5" w:rsidP="003B3C38">
      <w:r>
        <w:t>This</w:t>
      </w:r>
      <w:r w:rsidR="005A2FE2">
        <w:t xml:space="preserve"> </w:t>
      </w:r>
      <w:r w:rsidR="00940A0E">
        <w:t>represents a modest increase</w:t>
      </w:r>
      <w:r>
        <w:t xml:space="preserve">, which we </w:t>
      </w:r>
      <w:r w:rsidR="005A2FE2">
        <w:t xml:space="preserve">consider </w:t>
      </w:r>
      <w:r w:rsidR="00940A0E">
        <w:t xml:space="preserve">reasonable </w:t>
      </w:r>
      <w:r>
        <w:t>given</w:t>
      </w:r>
      <w:r w:rsidR="005A2FE2">
        <w:t xml:space="preserve"> that</w:t>
      </w:r>
      <w:r w:rsidR="00940A0E">
        <w:t>:</w:t>
      </w:r>
    </w:p>
    <w:p w:rsidR="00BB39FB" w:rsidRDefault="009B2801" w:rsidP="009B2801">
      <w:pPr>
        <w:pStyle w:val="AERbulletlistfirststyle"/>
      </w:pPr>
      <w:r>
        <w:t>The new Scheme provid</w:t>
      </w:r>
      <w:r w:rsidR="002A79D0">
        <w:t>es</w:t>
      </w:r>
      <w:r>
        <w:t xml:space="preserve"> </w:t>
      </w:r>
      <w:r w:rsidR="002A79D0">
        <w:t xml:space="preserve">greater </w:t>
      </w:r>
      <w:r>
        <w:t>upside risk for demand management solution</w:t>
      </w:r>
      <w:r w:rsidR="002A79D0">
        <w:t>s</w:t>
      </w:r>
      <w:r>
        <w:t>.</w:t>
      </w:r>
      <w:r w:rsidR="002A79D0">
        <w:t xml:space="preserve"> </w:t>
      </w:r>
      <w:r w:rsidR="00D975E2">
        <w:t xml:space="preserve">This means that if a solution works efficiently, then there is a significant incentive available for deploying it. </w:t>
      </w:r>
      <w:r>
        <w:t>It is therefore prudent to design t</w:t>
      </w:r>
      <w:r w:rsidR="00BB39FB">
        <w:t>he M</w:t>
      </w:r>
      <w:r w:rsidR="00BB39FB" w:rsidRPr="00BB39FB">
        <w:t>echanism</w:t>
      </w:r>
      <w:r>
        <w:t xml:space="preserve"> specifically</w:t>
      </w:r>
      <w:r w:rsidR="00BB39FB" w:rsidRPr="00BB39FB">
        <w:t xml:space="preserve"> to mitigate the downside risk that distributors might face when trialling new solutions on their networks</w:t>
      </w:r>
      <w:r w:rsidR="00677C74">
        <w:t xml:space="preserve"> and making the incentive available proportionate to the risk faced</w:t>
      </w:r>
      <w:r w:rsidR="00BB39FB" w:rsidRPr="00BB39FB">
        <w:t>.</w:t>
      </w:r>
    </w:p>
    <w:p w:rsidR="00BB39FB" w:rsidRDefault="00BB39FB" w:rsidP="009B5A1D">
      <w:pPr>
        <w:pStyle w:val="AERbulletlistfirststyle"/>
      </w:pPr>
      <w:r w:rsidRPr="00BB39FB">
        <w:t>There is significant stakeholder support for making more money available for innovative projects</w:t>
      </w:r>
      <w:r w:rsidR="009B2801">
        <w:t>.</w:t>
      </w:r>
      <w:r w:rsidRPr="00FB09FA">
        <w:rPr>
          <w:rStyle w:val="FootnoteReference"/>
        </w:rPr>
        <w:footnoteReference w:id="11"/>
      </w:r>
      <w:r w:rsidR="009B2801">
        <w:t xml:space="preserve"> </w:t>
      </w:r>
      <w:r w:rsidRPr="00BB39FB">
        <w:t>This includes both rule change proponents (who want to see more innovation in the demand management market) and distributors (who want to undertake larger scale projects).</w:t>
      </w:r>
      <w:r w:rsidR="009B5A1D">
        <w:t xml:space="preserve"> </w:t>
      </w:r>
      <w:r w:rsidR="009B5A1D" w:rsidRPr="009B5A1D">
        <w:t>This indicates, as we have previously found, that the current allowance is not sufficiently mitigating the downside risk of investing in innovative R&amp;D projects.</w:t>
      </w:r>
    </w:p>
    <w:p w:rsidR="00C96BCB" w:rsidRDefault="00C96BCB" w:rsidP="00D81DDC">
      <w:pPr>
        <w:pStyle w:val="AERbulletlistfirststyle"/>
      </w:pPr>
      <w:r>
        <w:lastRenderedPageBreak/>
        <w:t xml:space="preserve">Consumers have expressed a willingness to pay </w:t>
      </w:r>
      <w:r w:rsidR="00E753D5">
        <w:t>f</w:t>
      </w:r>
      <w:r w:rsidR="00066427">
        <w:t>or</w:t>
      </w:r>
      <w:r w:rsidR="00E753D5">
        <w:t xml:space="preserve"> both increased demand management activity and innovation more broadly.</w:t>
      </w:r>
      <w:r w:rsidR="00E753D5">
        <w:rPr>
          <w:rStyle w:val="FootnoteReference"/>
        </w:rPr>
        <w:footnoteReference w:id="12"/>
      </w:r>
      <w:r w:rsidR="00A1260C">
        <w:t xml:space="preserve"> The Public </w:t>
      </w:r>
      <w:r w:rsidR="00677C74">
        <w:t>I</w:t>
      </w:r>
      <w:r w:rsidR="00A1260C">
        <w:t xml:space="preserve">nterest </w:t>
      </w:r>
      <w:r w:rsidR="00677C74">
        <w:t>A</w:t>
      </w:r>
      <w:r w:rsidR="00A1260C">
        <w:t xml:space="preserve">dvocacy </w:t>
      </w:r>
      <w:r w:rsidR="00677C74">
        <w:t>C</w:t>
      </w:r>
      <w:r w:rsidR="00A1260C">
        <w:t xml:space="preserve">entre submitted that the </w:t>
      </w:r>
      <w:r w:rsidR="00BB1A83">
        <w:t>current</w:t>
      </w:r>
      <w:r w:rsidR="00A1260C">
        <w:t xml:space="preserve"> </w:t>
      </w:r>
      <w:r w:rsidR="009D0AB2">
        <w:t>DMIA</w:t>
      </w:r>
      <w:r w:rsidR="00A1260C">
        <w:t xml:space="preserve"> </w:t>
      </w:r>
      <w:r w:rsidR="00BB1A83">
        <w:t>has been</w:t>
      </w:r>
      <w:r w:rsidR="00A1260C">
        <w:t xml:space="preserve"> too modest to promote investment in innovative demand management</w:t>
      </w:r>
      <w:r w:rsidR="0065506C">
        <w:t xml:space="preserve"> and indicated that a greater investment may be required to get value for consumers</w:t>
      </w:r>
      <w:r w:rsidR="00A1260C">
        <w:t>.</w:t>
      </w:r>
      <w:r w:rsidR="00A1260C">
        <w:rPr>
          <w:rStyle w:val="FootnoteReference"/>
        </w:rPr>
        <w:footnoteReference w:id="13"/>
      </w:r>
      <w:r w:rsidR="00A1260C">
        <w:t xml:space="preserve"> </w:t>
      </w:r>
      <w:r w:rsidR="002774E4">
        <w:t xml:space="preserve">Energy </w:t>
      </w:r>
      <w:r w:rsidR="00651C32">
        <w:t>C</w:t>
      </w:r>
      <w:r w:rsidR="002774E4">
        <w:t>onsumers Australia submitted that there was need for more 'dramatic innovation' by networks to achieve price decreases.</w:t>
      </w:r>
      <w:r w:rsidR="002774E4">
        <w:rPr>
          <w:rStyle w:val="FootnoteReference"/>
        </w:rPr>
        <w:footnoteReference w:id="14"/>
      </w:r>
    </w:p>
    <w:p w:rsidR="009B2801" w:rsidRDefault="009B2801" w:rsidP="00D81DDC">
      <w:pPr>
        <w:pStyle w:val="AERbulletlistfirststyle"/>
      </w:pPr>
      <w:r w:rsidRPr="009B2801">
        <w:t>There is also</w:t>
      </w:r>
      <w:r w:rsidR="00BB1A83">
        <w:t xml:space="preserve"> some</w:t>
      </w:r>
      <w:r w:rsidRPr="009B2801">
        <w:t xml:space="preserve"> </w:t>
      </w:r>
      <w:r w:rsidR="00F262BC">
        <w:t>stakeholder</w:t>
      </w:r>
      <w:r w:rsidR="00F262BC" w:rsidRPr="009B2801">
        <w:t xml:space="preserve"> </w:t>
      </w:r>
      <w:r w:rsidRPr="009B2801">
        <w:t>support for a modest increase in the available allowance (such as via indexation to the Consumer Price Index).</w:t>
      </w:r>
      <w:r w:rsidRPr="009B2801">
        <w:rPr>
          <w:rStyle w:val="FootnoteReference"/>
        </w:rPr>
        <w:footnoteReference w:id="15"/>
      </w:r>
      <w:r w:rsidRPr="009B2801">
        <w:t xml:space="preserve"> This indicates that </w:t>
      </w:r>
      <w:r w:rsidR="00BB1A83">
        <w:t xml:space="preserve">some </w:t>
      </w:r>
      <w:r w:rsidRPr="009B2801">
        <w:t>market participants see more limited benefit</w:t>
      </w:r>
      <w:r w:rsidR="00637884">
        <w:t>s stemming from</w:t>
      </w:r>
      <w:r w:rsidRPr="009B2801">
        <w:t xml:space="preserve"> this allowance.</w:t>
      </w:r>
    </w:p>
    <w:p w:rsidR="00D81DDC" w:rsidRDefault="00B454CE" w:rsidP="009B5A1D">
      <w:pPr>
        <w:pStyle w:val="AERbulletlistfirststyle"/>
      </w:pPr>
      <w:r>
        <w:t>We expect there will often be cases where R&amp;D into network-based demand management will be funded outside of the Mechanism</w:t>
      </w:r>
      <w:r w:rsidR="00D81DDC" w:rsidRPr="00D81DDC">
        <w:t xml:space="preserve">. Due to a number of factors, such as the ring fencing guideline, many </w:t>
      </w:r>
      <w:r>
        <w:t xml:space="preserve">demand management </w:t>
      </w:r>
      <w:r w:rsidR="00D81DDC" w:rsidRPr="00D81DDC">
        <w:t>projects involve distributors partnering with a third party (</w:t>
      </w:r>
      <w:r w:rsidR="00F950E9">
        <w:t>for instance,</w:t>
      </w:r>
      <w:r w:rsidR="00D81DDC" w:rsidRPr="00D81DDC">
        <w:t xml:space="preserve"> a start-up</w:t>
      </w:r>
      <w:r w:rsidR="00F950E9">
        <w:t xml:space="preserve"> or</w:t>
      </w:r>
      <w:r w:rsidR="00A1260C">
        <w:t xml:space="preserve"> academic institution</w:t>
      </w:r>
      <w:r w:rsidR="00D81DDC" w:rsidRPr="00D81DDC">
        <w:t>) to test the feasibility of a solution developed by the third party.</w:t>
      </w:r>
      <w:r w:rsidR="00A1260C">
        <w:rPr>
          <w:rStyle w:val="FootnoteReference"/>
        </w:rPr>
        <w:footnoteReference w:id="16"/>
      </w:r>
      <w:r w:rsidR="00D81DDC" w:rsidRPr="00D81DDC">
        <w:t xml:space="preserve"> This favours a smaller allowance, because the</w:t>
      </w:r>
      <w:r w:rsidR="00807DFD">
        <w:t xml:space="preserve"> </w:t>
      </w:r>
      <w:r w:rsidR="00A1260C">
        <w:t xml:space="preserve">downside risk </w:t>
      </w:r>
      <w:r w:rsidR="004B6E8B">
        <w:t xml:space="preserve">or required funding </w:t>
      </w:r>
      <w:r w:rsidR="00A1260C">
        <w:t xml:space="preserve">faced by the distributor is mitigated </w:t>
      </w:r>
      <w:r w:rsidR="004B6E8B">
        <w:t xml:space="preserve">by or shared due to </w:t>
      </w:r>
      <w:r w:rsidR="00A1260C">
        <w:t>the involvement of other parties.</w:t>
      </w:r>
      <w:r w:rsidR="00677C74">
        <w:t xml:space="preserve"> Therefore</w:t>
      </w:r>
      <w:r w:rsidR="00807DFD">
        <w:t xml:space="preserve">, while our increase is modest, it can be used in conjunction with other funding options to widen the </w:t>
      </w:r>
      <w:r w:rsidR="00677C74">
        <w:t xml:space="preserve">scope </w:t>
      </w:r>
      <w:r w:rsidR="00807DFD">
        <w:t>of the R&amp;D</w:t>
      </w:r>
      <w:r w:rsidR="000F6752">
        <w:t xml:space="preserve"> and promote distributor involvement</w:t>
      </w:r>
      <w:r w:rsidR="00F262BC">
        <w:t xml:space="preserve"> to achieve the </w:t>
      </w:r>
      <w:r w:rsidR="00604F63">
        <w:t>Allowance</w:t>
      </w:r>
      <w:r w:rsidR="00F262BC">
        <w:t xml:space="preserve"> </w:t>
      </w:r>
      <w:r>
        <w:t>O</w:t>
      </w:r>
      <w:r w:rsidR="00F262BC">
        <w:t>bjective</w:t>
      </w:r>
      <w:r w:rsidR="00807DFD">
        <w:t>.</w:t>
      </w:r>
    </w:p>
    <w:p w:rsidR="00D94707" w:rsidRPr="00BB39FB" w:rsidRDefault="00D94707" w:rsidP="00D81DDC">
      <w:pPr>
        <w:pStyle w:val="AERbulletlistfirststyle"/>
      </w:pPr>
      <w:r w:rsidRPr="00D94707">
        <w:t>There have been increases to other sources of funding available for demand management R&amp;D</w:t>
      </w:r>
      <w:r w:rsidR="00F262BC">
        <w:t xml:space="preserve"> which is being accessed by distributors</w:t>
      </w:r>
      <w:r w:rsidRPr="00D94707">
        <w:t xml:space="preserve">. </w:t>
      </w:r>
      <w:r w:rsidR="00F950E9">
        <w:t>The Australian Renewable Energy Agency (</w:t>
      </w:r>
      <w:r w:rsidRPr="00D94707">
        <w:t>ARENA</w:t>
      </w:r>
      <w:r w:rsidR="00BB1A83">
        <w:t xml:space="preserve">) </w:t>
      </w:r>
      <w:r w:rsidR="00F262BC">
        <w:t xml:space="preserve">is </w:t>
      </w:r>
      <w:r w:rsidR="000F6752">
        <w:t>active in R&amp;D</w:t>
      </w:r>
      <w:r w:rsidR="00F262BC">
        <w:t xml:space="preserve"> and distributors have participated in projects with ARENA</w:t>
      </w:r>
      <w:r w:rsidR="000F6752">
        <w:t>. Recently</w:t>
      </w:r>
      <w:r w:rsidR="00F950E9">
        <w:t>, the Australian Energy Market Operator</w:t>
      </w:r>
      <w:r w:rsidR="000F6752">
        <w:t xml:space="preserve"> </w:t>
      </w:r>
      <w:r w:rsidR="00F950E9">
        <w:t>(</w:t>
      </w:r>
      <w:r w:rsidRPr="00D94707">
        <w:t>AEMO</w:t>
      </w:r>
      <w:r w:rsidR="00F950E9">
        <w:t>)</w:t>
      </w:r>
      <w:r w:rsidR="00F262BC">
        <w:t xml:space="preserve"> has</w:t>
      </w:r>
      <w:r w:rsidR="00F950E9">
        <w:t xml:space="preserve"> partnered with</w:t>
      </w:r>
      <w:r w:rsidR="00F262BC">
        <w:t xml:space="preserve"> ARENA to</w:t>
      </w:r>
      <w:r w:rsidRPr="00D94707">
        <w:t xml:space="preserve"> expand</w:t>
      </w:r>
      <w:r w:rsidR="000F6752">
        <w:t xml:space="preserve"> R&amp;D in the demand response space.</w:t>
      </w:r>
      <w:r w:rsidRPr="00D94707">
        <w:t xml:space="preserve"> </w:t>
      </w:r>
      <w:r w:rsidRPr="00D94707">
        <w:rPr>
          <w:rStyle w:val="FootnoteReference"/>
        </w:rPr>
        <w:footnoteReference w:id="17"/>
      </w:r>
      <w:r w:rsidRPr="00D94707">
        <w:t xml:space="preserve"> </w:t>
      </w:r>
    </w:p>
    <w:p w:rsidR="004447F1" w:rsidRDefault="00B8183E" w:rsidP="00FB09FA">
      <w:pPr>
        <w:pStyle w:val="AERbulletlistfirststyle"/>
        <w:numPr>
          <w:ilvl w:val="0"/>
          <w:numId w:val="0"/>
        </w:numPr>
      </w:pPr>
      <w:r>
        <w:t xml:space="preserve">Having evaluated these </w:t>
      </w:r>
      <w:r w:rsidR="00C10362">
        <w:t>factors and views</w:t>
      </w:r>
      <w:r>
        <w:t xml:space="preserve">, along with the impact on customers and the </w:t>
      </w:r>
      <w:r w:rsidR="00ED31A0">
        <w:t xml:space="preserve">influence </w:t>
      </w:r>
      <w:r>
        <w:t>of the new Scheme</w:t>
      </w:r>
      <w:r w:rsidR="00F950E9">
        <w:t>,</w:t>
      </w:r>
      <w:r>
        <w:t xml:space="preserve"> we consider that a mo</w:t>
      </w:r>
      <w:r w:rsidR="00BB1A83">
        <w:t>dest increase to the allowance</w:t>
      </w:r>
      <w:r>
        <w:t xml:space="preserve"> will </w:t>
      </w:r>
      <w:r w:rsidR="00ED31A0">
        <w:t xml:space="preserve">best achieve the </w:t>
      </w:r>
      <w:r w:rsidR="00604F63">
        <w:t>A</w:t>
      </w:r>
      <w:r w:rsidR="00604F63" w:rsidRPr="00604F63">
        <w:t>llowance</w:t>
      </w:r>
      <w:r w:rsidR="00B454CE">
        <w:t xml:space="preserve"> O</w:t>
      </w:r>
      <w:r w:rsidR="00ED31A0">
        <w:t>bjective</w:t>
      </w:r>
      <w:r>
        <w:t>.</w:t>
      </w:r>
      <w:r w:rsidR="004447F1">
        <w:t xml:space="preserve"> We consider that this solution:</w:t>
      </w:r>
    </w:p>
    <w:p w:rsidR="009B2801" w:rsidRDefault="009B2801" w:rsidP="00FB09FA">
      <w:pPr>
        <w:pStyle w:val="AERbulletlistfirststyle"/>
      </w:pPr>
      <w:r w:rsidRPr="009B2801">
        <w:t xml:space="preserve">Provides an incentive that is proportionate to the </w:t>
      </w:r>
      <w:r w:rsidR="00604F63">
        <w:t>Allowance</w:t>
      </w:r>
      <w:r w:rsidRPr="009B2801">
        <w:t xml:space="preserve"> Objectiv</w:t>
      </w:r>
      <w:r>
        <w:t>e</w:t>
      </w:r>
      <w:r w:rsidR="00F950E9">
        <w:t>;</w:t>
      </w:r>
    </w:p>
    <w:p w:rsidR="004447F1" w:rsidRDefault="004447F1" w:rsidP="00FB09FA">
      <w:pPr>
        <w:pStyle w:val="AERbulletlistfirststyle"/>
      </w:pPr>
      <w:r>
        <w:t>Takes account of stakeholder views that the allowance needs to be larger</w:t>
      </w:r>
      <w:r w:rsidR="00F950E9">
        <w:t>; and</w:t>
      </w:r>
    </w:p>
    <w:p w:rsidR="00940A0E" w:rsidRDefault="004447F1" w:rsidP="00FB09FA">
      <w:pPr>
        <w:pStyle w:val="AERbulletlistfirststyle"/>
      </w:pPr>
      <w:r>
        <w:t xml:space="preserve">Mitigates concerns regarding </w:t>
      </w:r>
      <w:r w:rsidR="00637884">
        <w:t>interaction with the new Scheme.</w:t>
      </w:r>
    </w:p>
    <w:p w:rsidR="00BD10C8" w:rsidRDefault="00BD10C8" w:rsidP="00FB09FA">
      <w:r>
        <w:lastRenderedPageBreak/>
        <w:t xml:space="preserve">This involves a change to the </w:t>
      </w:r>
      <w:r w:rsidR="007F7D8C">
        <w:t>methodology</w:t>
      </w:r>
      <w:r>
        <w:t xml:space="preserve"> of calculating the allowance cap, which has the effect of </w:t>
      </w:r>
      <w:r w:rsidR="00D975E2">
        <w:t>modestly increasing</w:t>
      </w:r>
      <w:r w:rsidR="00985475">
        <w:t xml:space="preserve"> the quantum</w:t>
      </w:r>
      <w:r w:rsidR="00B1444C">
        <w:t xml:space="preserve"> of the allowance</w:t>
      </w:r>
      <w:r>
        <w:t>. We consider that this</w:t>
      </w:r>
      <w:r w:rsidR="00B1444C">
        <w:t xml:space="preserve"> </w:t>
      </w:r>
      <w:r w:rsidR="00985475">
        <w:t>is appropriate</w:t>
      </w:r>
      <w:r w:rsidR="0052133A">
        <w:t xml:space="preserve"> and reasonable having had regard to the considerations laid out under </w:t>
      </w:r>
      <w:r w:rsidR="00887D10">
        <w:t xml:space="preserve">subsection </w:t>
      </w:r>
      <w:r w:rsidR="0052133A">
        <w:t>s6.6.3A(c)</w:t>
      </w:r>
      <w:r w:rsidR="00887D10">
        <w:t xml:space="preserve"> of the NER</w:t>
      </w:r>
      <w:r w:rsidR="00985475">
        <w:t xml:space="preserve">. </w:t>
      </w:r>
    </w:p>
    <w:p w:rsidR="00F20143" w:rsidRDefault="00F20143" w:rsidP="00F20143">
      <w:pPr>
        <w:pStyle w:val="Heading2"/>
      </w:pPr>
      <w:bookmarkStart w:id="33" w:name="_Toc491360652"/>
      <w:r>
        <w:t xml:space="preserve">Components of </w:t>
      </w:r>
      <w:r w:rsidR="000835F7">
        <w:t>the</w:t>
      </w:r>
      <w:r w:rsidR="00DC6909">
        <w:t xml:space="preserve"> allowance cap</w:t>
      </w:r>
      <w:bookmarkEnd w:id="33"/>
    </w:p>
    <w:p w:rsidR="000835F7" w:rsidRDefault="00F20143" w:rsidP="00F20143">
      <w:r>
        <w:t xml:space="preserve">There are two parts of the </w:t>
      </w:r>
      <w:r w:rsidR="00DC6909">
        <w:t>allowance cap under the draft Mechanism</w:t>
      </w:r>
      <w:r w:rsidR="000835F7">
        <w:t>:</w:t>
      </w:r>
    </w:p>
    <w:p w:rsidR="000835F7" w:rsidRDefault="000835F7" w:rsidP="00FB09FA">
      <w:pPr>
        <w:pStyle w:val="AERbulletlistfirststyle"/>
      </w:pPr>
      <w:r>
        <w:t>A</w:t>
      </w:r>
      <w:r w:rsidR="00F20143">
        <w:t xml:space="preserve"> $200</w:t>
      </w:r>
      <w:r w:rsidR="00DC6909">
        <w:t>,</w:t>
      </w:r>
      <w:r w:rsidR="00F20143">
        <w:t xml:space="preserve">000 base </w:t>
      </w:r>
      <w:r w:rsidR="00DC6909">
        <w:t>allowa</w:t>
      </w:r>
      <w:r w:rsidR="00F6620A">
        <w:t>nce level; and</w:t>
      </w:r>
    </w:p>
    <w:p w:rsidR="000835F7" w:rsidRDefault="000835F7" w:rsidP="00FB09FA">
      <w:pPr>
        <w:pStyle w:val="AERbulletlistfirststyle"/>
      </w:pPr>
      <w:r>
        <w:t xml:space="preserve">A </w:t>
      </w:r>
      <w:r w:rsidR="00F20143">
        <w:t>scaling</w:t>
      </w:r>
      <w:r>
        <w:t xml:space="preserve"> factor of</w:t>
      </w:r>
      <w:r w:rsidR="00F20143">
        <w:t xml:space="preserve"> 0.075% of the distributor's </w:t>
      </w:r>
      <w:r w:rsidR="00777E31">
        <w:t>MAR</w:t>
      </w:r>
      <w:r w:rsidR="00F20143">
        <w:t>.</w:t>
      </w:r>
      <w:r w:rsidR="00F20143" w:rsidRPr="00810946">
        <w:t xml:space="preserve"> </w:t>
      </w:r>
    </w:p>
    <w:p w:rsidR="00DC6909" w:rsidRDefault="00DC6909" w:rsidP="00FB09FA">
      <w:pPr>
        <w:pStyle w:val="Heading3"/>
      </w:pPr>
      <w:bookmarkStart w:id="34" w:name="_Toc491360653"/>
      <w:r>
        <w:t>The base allowance level</w:t>
      </w:r>
      <w:bookmarkEnd w:id="34"/>
    </w:p>
    <w:p w:rsidR="00F20143" w:rsidRDefault="00F20143" w:rsidP="00F20143">
      <w:r>
        <w:t xml:space="preserve">The base amount serves as a floor on the allowance. This responds to comments, particularly from smaller distributors that their relatively small allowances prevented them from undertaking </w:t>
      </w:r>
      <w:r w:rsidR="00E309BA">
        <w:t>some</w:t>
      </w:r>
      <w:r>
        <w:t xml:space="preserve"> projects.</w:t>
      </w:r>
      <w:r>
        <w:rPr>
          <w:rStyle w:val="FootnoteReference"/>
        </w:rPr>
        <w:footnoteReference w:id="18"/>
      </w:r>
      <w:r>
        <w:t xml:space="preserve"> </w:t>
      </w:r>
      <w:r w:rsidR="001A1EBE">
        <w:t xml:space="preserve">While all distributors </w:t>
      </w:r>
      <w:r w:rsidR="00DC6909">
        <w:t>requested</w:t>
      </w:r>
      <w:r w:rsidR="001A1EBE">
        <w:t xml:space="preserve"> a higher allowance, this was particularly a problem for small distributors. For instance, Jemena Electricity Networks submitted that fixed costs (such as employee salaries)</w:t>
      </w:r>
      <w:r>
        <w:t xml:space="preserve"> would consume a large portion of their total allowance, leaving little room for other project costs.</w:t>
      </w:r>
      <w:r>
        <w:rPr>
          <w:rStyle w:val="FootnoteReference"/>
        </w:rPr>
        <w:footnoteReference w:id="19"/>
      </w:r>
      <w:r>
        <w:t xml:space="preserve"> We consider that this had the effect of limiting the potential for innovation in the areas serviced by these smaller distributors. Therefore</w:t>
      </w:r>
      <w:r w:rsidR="001A1EBE">
        <w:t>,</w:t>
      </w:r>
      <w:r>
        <w:t xml:space="preserve"> </w:t>
      </w:r>
      <w:r w:rsidR="001A1EBE">
        <w:t>we consider that</w:t>
      </w:r>
      <w:r w:rsidR="00DC6909">
        <w:t xml:space="preserve"> having a reasonabl</w:t>
      </w:r>
      <w:r w:rsidR="00637884">
        <w:t xml:space="preserve">e </w:t>
      </w:r>
      <w:r w:rsidR="00D932BF">
        <w:t>base</w:t>
      </w:r>
      <w:r>
        <w:t xml:space="preserve"> </w:t>
      </w:r>
      <w:r w:rsidR="00DC6909">
        <w:t>for</w:t>
      </w:r>
      <w:r>
        <w:t xml:space="preserve"> the allowance </w:t>
      </w:r>
      <w:r w:rsidR="00DC6909">
        <w:t xml:space="preserve">cap </w:t>
      </w:r>
      <w:r>
        <w:t xml:space="preserve">serves to achieve the </w:t>
      </w:r>
      <w:r w:rsidR="00604F63">
        <w:t xml:space="preserve">Allowance </w:t>
      </w:r>
      <w:r w:rsidR="00DC6909">
        <w:t>O</w:t>
      </w:r>
      <w:r>
        <w:t>bjective</w:t>
      </w:r>
      <w:r w:rsidR="00637884">
        <w:t xml:space="preserve"> and give</w:t>
      </w:r>
      <w:r w:rsidR="00446B12">
        <w:t>s</w:t>
      </w:r>
      <w:r w:rsidR="00637884">
        <w:t xml:space="preserve"> smaller distributors certainty that they can proceed with innovative projects</w:t>
      </w:r>
      <w:r>
        <w:t>.</w:t>
      </w:r>
    </w:p>
    <w:p w:rsidR="00DC6909" w:rsidRDefault="00DC6909" w:rsidP="00FB09FA">
      <w:pPr>
        <w:pStyle w:val="Heading3"/>
      </w:pPr>
      <w:bookmarkStart w:id="35" w:name="_Toc491360654"/>
      <w:r>
        <w:t>The scaling factor</w:t>
      </w:r>
      <w:bookmarkEnd w:id="35"/>
    </w:p>
    <w:p w:rsidR="00F20143" w:rsidRDefault="00F20143" w:rsidP="00F20143">
      <w:r>
        <w:t xml:space="preserve">The scaling </w:t>
      </w:r>
      <w:r w:rsidR="00DC6909">
        <w:t>f</w:t>
      </w:r>
      <w:r w:rsidR="00913ED8">
        <w:t>actor</w:t>
      </w:r>
      <w:r w:rsidR="00DC6909">
        <w:t xml:space="preserve"> </w:t>
      </w:r>
      <w:r>
        <w:t xml:space="preserve">reflects that larger distributors may have more opportunities to </w:t>
      </w:r>
      <w:r w:rsidR="009B5A1D">
        <w:t>trial technology</w:t>
      </w:r>
      <w:r>
        <w:t>, given the size of their networks.</w:t>
      </w:r>
      <w:r w:rsidR="00B8183E">
        <w:t xml:space="preserve"> Given that customers have demonstrated a willingness to pay for valuable innovation on the network,</w:t>
      </w:r>
      <w:r w:rsidR="009B2801">
        <w:rPr>
          <w:rStyle w:val="FootnoteReference"/>
        </w:rPr>
        <w:footnoteReference w:id="20"/>
      </w:r>
      <w:r w:rsidR="00B8183E">
        <w:t xml:space="preserve"> we see value in providing a sizable allowance.</w:t>
      </w:r>
      <w:r w:rsidR="009B466F">
        <w:t xml:space="preserve"> W</w:t>
      </w:r>
      <w:r w:rsidR="00637884">
        <w:t xml:space="preserve">e consider that distributing the impact fairly across consumers best serves this aim. </w:t>
      </w:r>
      <w:r w:rsidR="00D975E2">
        <w:t>Making the allowance proportional to MAR should keep the Mechanism's cost impact reasonably distributed across customers.</w:t>
      </w:r>
      <w:r w:rsidR="00D975E2">
        <w:rPr>
          <w:rStyle w:val="FootnoteReference"/>
        </w:rPr>
        <w:footnoteReference w:id="21"/>
      </w:r>
      <w:r w:rsidR="00D975E2">
        <w:t xml:space="preserve"> </w:t>
      </w:r>
    </w:p>
    <w:p w:rsidR="00260E20" w:rsidRDefault="00260E20" w:rsidP="00260E20">
      <w:pPr>
        <w:pStyle w:val="Heading1"/>
      </w:pPr>
      <w:bookmarkStart w:id="36" w:name="_Ref488409293"/>
      <w:bookmarkStart w:id="37" w:name="_Toc491360655"/>
      <w:r>
        <w:lastRenderedPageBreak/>
        <w:t>Identifying eligible projects</w:t>
      </w:r>
      <w:bookmarkEnd w:id="36"/>
      <w:bookmarkEnd w:id="37"/>
    </w:p>
    <w:p w:rsidR="001A6C00" w:rsidRDefault="00260E20" w:rsidP="006B3EFB">
      <w:r>
        <w:t xml:space="preserve">Clause 2.2 of the draft </w:t>
      </w:r>
      <w:r w:rsidR="00A34C25">
        <w:t>Mechanism</w:t>
      </w:r>
      <w:r>
        <w:t xml:space="preserve"> defines the type of projects that the </w:t>
      </w:r>
      <w:r w:rsidR="00A34C25">
        <w:t>Mechanism</w:t>
      </w:r>
      <w:r>
        <w:t xml:space="preserve"> will </w:t>
      </w:r>
      <w:r w:rsidR="001A6C00">
        <w:t>apply to ('eligible projects') by setting out project criteria. It allows distributors to seek indicative up-front approval of projects against these project criteria.</w:t>
      </w:r>
    </w:p>
    <w:p w:rsidR="001A6C00" w:rsidRDefault="001A6C00" w:rsidP="001A6C00">
      <w:pPr>
        <w:pStyle w:val="Heading2"/>
      </w:pPr>
      <w:bookmarkStart w:id="38" w:name="_Toc491360656"/>
      <w:r>
        <w:t>Project criteria</w:t>
      </w:r>
      <w:bookmarkEnd w:id="38"/>
    </w:p>
    <w:p w:rsidR="0052799E" w:rsidRDefault="007D0D6F" w:rsidP="006B3EFB">
      <w:r>
        <w:fldChar w:fldCharType="begin"/>
      </w:r>
      <w:r>
        <w:instrText xml:space="preserve"> REF _Ref485200718 \h </w:instrText>
      </w:r>
      <w:r w:rsidR="006B3EFB">
        <w:instrText xml:space="preserve"> \* MERGEFORMAT </w:instrText>
      </w:r>
      <w:r>
        <w:fldChar w:fldCharType="separate"/>
      </w:r>
      <w:r w:rsidR="00755D05">
        <w:t xml:space="preserve">Table </w:t>
      </w:r>
      <w:r w:rsidR="00755D05">
        <w:rPr>
          <w:noProof/>
        </w:rPr>
        <w:t>3</w:t>
      </w:r>
      <w:r>
        <w:fldChar w:fldCharType="end"/>
      </w:r>
      <w:r>
        <w:t xml:space="preserve"> summarises </w:t>
      </w:r>
      <w:r w:rsidR="00A34C25">
        <w:t>the project criteria that a project must meet to be</w:t>
      </w:r>
      <w:r>
        <w:t xml:space="preserve"> eligible. It also explains how each element will give effect to the </w:t>
      </w:r>
      <w:r w:rsidR="00446B12">
        <w:t>NER</w:t>
      </w:r>
      <w:r>
        <w:t>, and</w:t>
      </w:r>
      <w:r w:rsidR="00A34C25">
        <w:t>/or</w:t>
      </w:r>
      <w:r>
        <w:t xml:space="preserve"> how it i</w:t>
      </w:r>
      <w:r w:rsidR="00A34C25">
        <w:t>ncorporates stakeholder views</w:t>
      </w:r>
      <w:r w:rsidR="004C0582">
        <w:t>.</w:t>
      </w:r>
      <w:r w:rsidR="0052133A">
        <w:t xml:space="preserve"> These requirements aim to fulfil our obligations </w:t>
      </w:r>
      <w:r w:rsidR="00431922">
        <w:t xml:space="preserve">under </w:t>
      </w:r>
      <w:r w:rsidR="0052133A">
        <w:t>s6.6.3A of the NER and reflect our consideration of the factors contained within those provisions.</w:t>
      </w:r>
    </w:p>
    <w:p w:rsidR="007D0D6F" w:rsidRDefault="007D0D6F" w:rsidP="007D0D6F">
      <w:pPr>
        <w:pStyle w:val="Caption"/>
      </w:pPr>
      <w:bookmarkStart w:id="39" w:name="_Ref485200718"/>
      <w:r>
        <w:t xml:space="preserve">Table </w:t>
      </w:r>
      <w:r w:rsidR="006F3834">
        <w:fldChar w:fldCharType="begin"/>
      </w:r>
      <w:r w:rsidR="006F3834">
        <w:instrText xml:space="preserve"> SEQ Table \* ARABIC </w:instrText>
      </w:r>
      <w:r w:rsidR="006F3834">
        <w:fldChar w:fldCharType="separate"/>
      </w:r>
      <w:r w:rsidR="00755D05">
        <w:rPr>
          <w:noProof/>
        </w:rPr>
        <w:t>3</w:t>
      </w:r>
      <w:r w:rsidR="006F3834">
        <w:rPr>
          <w:noProof/>
        </w:rPr>
        <w:fldChar w:fldCharType="end"/>
      </w:r>
      <w:bookmarkEnd w:id="39"/>
      <w:r>
        <w:t xml:space="preserve">: </w:t>
      </w:r>
      <w:r w:rsidR="00A34C25">
        <w:t xml:space="preserve">Project criteria for </w:t>
      </w:r>
      <w:r>
        <w:t xml:space="preserve">eligibility </w:t>
      </w:r>
      <w:r w:rsidR="00A34C25">
        <w:t>under the Mechanism</w:t>
      </w:r>
    </w:p>
    <w:tbl>
      <w:tblPr>
        <w:tblStyle w:val="AERtable-text0"/>
        <w:tblW w:w="0" w:type="auto"/>
        <w:tblLook w:val="04A0" w:firstRow="1" w:lastRow="0" w:firstColumn="1" w:lastColumn="0" w:noHBand="0" w:noVBand="1"/>
      </w:tblPr>
      <w:tblGrid>
        <w:gridCol w:w="2897"/>
        <w:gridCol w:w="2898"/>
        <w:gridCol w:w="2898"/>
      </w:tblGrid>
      <w:tr w:rsidR="002D7184" w:rsidTr="002D7184">
        <w:trPr>
          <w:cnfStyle w:val="100000000000" w:firstRow="1" w:lastRow="0" w:firstColumn="0" w:lastColumn="0" w:oddVBand="0" w:evenVBand="0" w:oddHBand="0" w:evenHBand="0" w:firstRowFirstColumn="0" w:firstRowLastColumn="0" w:lastRowFirstColumn="0" w:lastRowLastColumn="0"/>
        </w:trPr>
        <w:tc>
          <w:tcPr>
            <w:tcW w:w="2897" w:type="dxa"/>
          </w:tcPr>
          <w:p w:rsidR="002D7184" w:rsidRDefault="00A34C25" w:rsidP="00260E20">
            <w:pPr>
              <w:pStyle w:val="AERbulletlistsecondstyle"/>
              <w:numPr>
                <w:ilvl w:val="0"/>
                <w:numId w:val="0"/>
              </w:numPr>
            </w:pPr>
            <w:r>
              <w:t>Project criterion</w:t>
            </w:r>
          </w:p>
        </w:tc>
        <w:tc>
          <w:tcPr>
            <w:tcW w:w="2898" w:type="dxa"/>
          </w:tcPr>
          <w:p w:rsidR="002D7184" w:rsidRDefault="002D7184" w:rsidP="00A34C25">
            <w:pPr>
              <w:pStyle w:val="AERbulletlistsecondstyle"/>
              <w:numPr>
                <w:ilvl w:val="0"/>
                <w:numId w:val="0"/>
              </w:numPr>
            </w:pPr>
            <w:r>
              <w:t xml:space="preserve">Rationale for </w:t>
            </w:r>
            <w:r w:rsidR="00A34C25">
              <w:t>criterion</w:t>
            </w:r>
          </w:p>
        </w:tc>
        <w:tc>
          <w:tcPr>
            <w:tcW w:w="2898" w:type="dxa"/>
          </w:tcPr>
          <w:p w:rsidR="002D7184" w:rsidRDefault="002D7184" w:rsidP="00260E20">
            <w:pPr>
              <w:pStyle w:val="AERbulletlistsecondstyle"/>
              <w:numPr>
                <w:ilvl w:val="0"/>
                <w:numId w:val="0"/>
              </w:numPr>
            </w:pPr>
            <w:r>
              <w:t>Consideration to stakeholder views</w:t>
            </w:r>
          </w:p>
        </w:tc>
      </w:tr>
      <w:tr w:rsidR="002D7184" w:rsidTr="002D7184">
        <w:tc>
          <w:tcPr>
            <w:tcW w:w="2897" w:type="dxa"/>
          </w:tcPr>
          <w:p w:rsidR="002D7184" w:rsidRDefault="001A6C00" w:rsidP="001A6C00">
            <w:pPr>
              <w:pStyle w:val="AERbulletlistsecondstyle"/>
              <w:numPr>
                <w:ilvl w:val="0"/>
                <w:numId w:val="0"/>
              </w:numPr>
            </w:pPr>
            <w:r>
              <w:t>Be a demand management</w:t>
            </w:r>
            <w:r w:rsidR="00A34C25" w:rsidRPr="00A34C25">
              <w:t xml:space="preserve"> project or program</w:t>
            </w:r>
          </w:p>
        </w:tc>
        <w:tc>
          <w:tcPr>
            <w:tcW w:w="2898" w:type="dxa"/>
          </w:tcPr>
          <w:p w:rsidR="002D7184" w:rsidRDefault="005248E7" w:rsidP="00260E20">
            <w:pPr>
              <w:pStyle w:val="AERbulletlistsecondstyle"/>
              <w:numPr>
                <w:ilvl w:val="0"/>
                <w:numId w:val="0"/>
              </w:numPr>
            </w:pPr>
            <w:r>
              <w:t xml:space="preserve">The </w:t>
            </w:r>
            <w:r w:rsidR="00604F63">
              <w:t>A</w:t>
            </w:r>
            <w:r w:rsidR="00604F63" w:rsidRPr="00604F63">
              <w:t>llowance</w:t>
            </w:r>
            <w:r>
              <w:t xml:space="preserve"> O</w:t>
            </w:r>
            <w:r w:rsidR="00EF70B0">
              <w:t xml:space="preserve">bjective requires that projects funded under the </w:t>
            </w:r>
            <w:r w:rsidR="00C959A2">
              <w:t xml:space="preserve">Mechanism </w:t>
            </w:r>
            <w:r w:rsidR="00EF70B0">
              <w:t>relate to demand management.</w:t>
            </w:r>
          </w:p>
          <w:p w:rsidR="00EF70B0" w:rsidRDefault="00EF70B0" w:rsidP="00EF70B0">
            <w:pPr>
              <w:pStyle w:val="AERbulletlistsecondstyle"/>
              <w:numPr>
                <w:ilvl w:val="0"/>
                <w:numId w:val="0"/>
              </w:numPr>
            </w:pPr>
            <w:r>
              <w:t>We have chosen to define demand management as modifying the drivers of network usage.</w:t>
            </w:r>
          </w:p>
        </w:tc>
        <w:tc>
          <w:tcPr>
            <w:tcW w:w="2898" w:type="dxa"/>
          </w:tcPr>
          <w:p w:rsidR="00EF70B0" w:rsidRDefault="00EF70B0" w:rsidP="00431922">
            <w:pPr>
              <w:pStyle w:val="AERbulletlistsecondstyle"/>
              <w:numPr>
                <w:ilvl w:val="0"/>
                <w:numId w:val="0"/>
              </w:numPr>
            </w:pPr>
            <w:r>
              <w:t>Through the consultation process</w:t>
            </w:r>
            <w:r w:rsidR="00C959A2">
              <w:t>,</w:t>
            </w:r>
            <w:r>
              <w:t xml:space="preserve"> stakeholders </w:t>
            </w:r>
            <w:r w:rsidR="00C959A2">
              <w:t>advised</w:t>
            </w:r>
            <w:r>
              <w:t xml:space="preserve"> that </w:t>
            </w:r>
            <w:r w:rsidR="006F3486">
              <w:t xml:space="preserve">the definition </w:t>
            </w:r>
            <w:r w:rsidR="00C959A2">
              <w:t xml:space="preserve">of demand management </w:t>
            </w:r>
            <w:r w:rsidR="006F3486">
              <w:t xml:space="preserve">should </w:t>
            </w:r>
            <w:r w:rsidR="00C959A2">
              <w:t xml:space="preserve">be sufficiently broad to </w:t>
            </w:r>
            <w:r w:rsidR="006F3486">
              <w:t>encompass a range of applications</w:t>
            </w:r>
            <w:r w:rsidR="00C959A2">
              <w:t xml:space="preserve"> </w:t>
            </w:r>
            <w:r w:rsidR="006F3486">
              <w:t xml:space="preserve">to incorporate cutting edge technology in a fast moving space. </w:t>
            </w:r>
            <w:r w:rsidR="00D975E2">
              <w:t xml:space="preserve">We consider this definition sufficiently broad so that it does not limit innovation under the Mechanism. </w:t>
            </w:r>
          </w:p>
        </w:tc>
      </w:tr>
      <w:tr w:rsidR="002D7184" w:rsidTr="002D7184">
        <w:trPr>
          <w:cnfStyle w:val="000000010000" w:firstRow="0" w:lastRow="0" w:firstColumn="0" w:lastColumn="0" w:oddVBand="0" w:evenVBand="0" w:oddHBand="0" w:evenHBand="1" w:firstRowFirstColumn="0" w:firstRowLastColumn="0" w:lastRowFirstColumn="0" w:lastRowLastColumn="0"/>
        </w:trPr>
        <w:tc>
          <w:tcPr>
            <w:tcW w:w="2897" w:type="dxa"/>
          </w:tcPr>
          <w:p w:rsidR="00A34C25" w:rsidRPr="00A34C25" w:rsidRDefault="00431922" w:rsidP="00A34C25">
            <w:pPr>
              <w:pStyle w:val="LegalNumbering"/>
              <w:numPr>
                <w:ilvl w:val="0"/>
                <w:numId w:val="0"/>
              </w:numPr>
            </w:pPr>
            <w:r>
              <w:t>B</w:t>
            </w:r>
            <w:r w:rsidR="00A34C25" w:rsidRPr="00A34C25">
              <w:t>e innovative, in that the project or program is</w:t>
            </w:r>
            <w:r>
              <w:t>:</w:t>
            </w:r>
          </w:p>
          <w:p w:rsidR="00A34C25" w:rsidRPr="00A34C25" w:rsidRDefault="00A34C25" w:rsidP="00A34C25">
            <w:pPr>
              <w:pStyle w:val="AERbulletlistfirststyle"/>
            </w:pPr>
            <w:r w:rsidRPr="006E64C0">
              <w:t>based on new or original concepts,</w:t>
            </w:r>
          </w:p>
          <w:p w:rsidR="00A34C25" w:rsidRPr="00A34C25" w:rsidRDefault="00A34C25" w:rsidP="00A34C25">
            <w:pPr>
              <w:pStyle w:val="AERbulletlistfirststyle"/>
            </w:pPr>
            <w:r w:rsidRPr="006E64C0">
              <w:t xml:space="preserve">involving technology or techniques that differ from those previously </w:t>
            </w:r>
            <w:r w:rsidRPr="00A34C25">
              <w:t>implemented or used in the</w:t>
            </w:r>
            <w:r w:rsidR="001A6C00">
              <w:t xml:space="preserve"> NEM</w:t>
            </w:r>
            <w:r w:rsidRPr="00A34C25">
              <w:t>, or</w:t>
            </w:r>
          </w:p>
          <w:p w:rsidR="002D7184" w:rsidRPr="00A34C25" w:rsidRDefault="00A34C25" w:rsidP="00A34C25">
            <w:pPr>
              <w:pStyle w:val="AERbulletlistfirststyle"/>
            </w:pPr>
            <w:r w:rsidRPr="006E64C0">
              <w:t>focused on customers in a market se</w:t>
            </w:r>
            <w:r w:rsidRPr="00A34C25">
              <w:t xml:space="preserve">gment that significantly differs, from those previously targeted by implementations of the relevant technology, in relevant geographic or demographic characteristics that are likely to affect demand. </w:t>
            </w:r>
          </w:p>
        </w:tc>
        <w:tc>
          <w:tcPr>
            <w:tcW w:w="2898" w:type="dxa"/>
          </w:tcPr>
          <w:p w:rsidR="002D7184" w:rsidRDefault="005248E7" w:rsidP="00260E20">
            <w:pPr>
              <w:pStyle w:val="AERbulletlistsecondstyle"/>
              <w:numPr>
                <w:ilvl w:val="0"/>
                <w:numId w:val="0"/>
              </w:numPr>
            </w:pPr>
            <w:r>
              <w:t xml:space="preserve">The </w:t>
            </w:r>
            <w:r w:rsidR="00604F63">
              <w:t>A</w:t>
            </w:r>
            <w:r w:rsidR="00604F63" w:rsidRPr="00604F63">
              <w:t>llowance</w:t>
            </w:r>
            <w:r>
              <w:t xml:space="preserve"> O</w:t>
            </w:r>
            <w:r w:rsidR="006F3486">
              <w:t xml:space="preserve">bjective requires that projects which receive funding under the </w:t>
            </w:r>
            <w:r w:rsidR="00431922">
              <w:t>M</w:t>
            </w:r>
            <w:r w:rsidR="006F3486">
              <w:t>echanism should be innovative.</w:t>
            </w:r>
          </w:p>
          <w:p w:rsidR="004C1EAF" w:rsidRDefault="006A7E12" w:rsidP="004C1EAF">
            <w:pPr>
              <w:pStyle w:val="AERbulletlistsecondstyle"/>
              <w:numPr>
                <w:ilvl w:val="0"/>
                <w:numId w:val="0"/>
              </w:numPr>
            </w:pPr>
            <w:r>
              <w:t>The goal of this</w:t>
            </w:r>
            <w:r w:rsidR="004C1EAF" w:rsidRPr="004C1EAF">
              <w:t xml:space="preserve"> definition </w:t>
            </w:r>
            <w:r>
              <w:t>is</w:t>
            </w:r>
            <w:r w:rsidR="004C1EAF" w:rsidRPr="004C1EAF">
              <w:t xml:space="preserve"> </w:t>
            </w:r>
            <w:r>
              <w:t>to have</w:t>
            </w:r>
            <w:r w:rsidR="004C1EAF" w:rsidRPr="004C1EAF">
              <w:t xml:space="preserve"> </w:t>
            </w:r>
            <w:r w:rsidRPr="004C1EAF">
              <w:t>projects</w:t>
            </w:r>
            <w:r w:rsidR="00431922">
              <w:t xml:space="preserve"> that receive funding</w:t>
            </w:r>
            <w:r w:rsidR="004C1EAF" w:rsidRPr="004C1EAF">
              <w:t xml:space="preserve"> </w:t>
            </w:r>
            <w:r w:rsidR="006E7A82">
              <w:t xml:space="preserve">materially </w:t>
            </w:r>
            <w:r w:rsidR="00431922">
              <w:t xml:space="preserve">add </w:t>
            </w:r>
            <w:r w:rsidR="004C1EAF" w:rsidRPr="004C1EAF">
              <w:t>to our understanding of demand management</w:t>
            </w:r>
            <w:r w:rsidR="00431922">
              <w:t xml:space="preserve"> and its</w:t>
            </w:r>
            <w:r w:rsidR="00F956AD">
              <w:t xml:space="preserve"> potential for technical and/or</w:t>
            </w:r>
            <w:r w:rsidR="00431922">
              <w:t xml:space="preserve"> commercial viability</w:t>
            </w:r>
            <w:r w:rsidR="00F956AD">
              <w:t xml:space="preserve"> in supporting the distribution network</w:t>
            </w:r>
            <w:r w:rsidR="004C1EAF" w:rsidRPr="004C1EAF">
              <w:t>.</w:t>
            </w:r>
          </w:p>
          <w:p w:rsidR="006F3486" w:rsidRDefault="00D321C7" w:rsidP="00F956AD">
            <w:pPr>
              <w:pStyle w:val="AERbulletlistsecondstyle"/>
              <w:numPr>
                <w:ilvl w:val="0"/>
                <w:numId w:val="0"/>
              </w:numPr>
            </w:pPr>
            <w:r>
              <w:t xml:space="preserve">We chose to </w:t>
            </w:r>
            <w:r w:rsidR="006A7E12">
              <w:t>define innovation because</w:t>
            </w:r>
            <w:r>
              <w:t xml:space="preserve"> </w:t>
            </w:r>
            <w:r w:rsidR="00CE7DE4">
              <w:t>under the current DMIA</w:t>
            </w:r>
            <w:r w:rsidR="006F3486">
              <w:t xml:space="preserve">, some funds </w:t>
            </w:r>
            <w:r w:rsidR="00F956AD">
              <w:t xml:space="preserve">went </w:t>
            </w:r>
            <w:r w:rsidR="00D975E2">
              <w:t>to projects</w:t>
            </w:r>
            <w:r w:rsidR="006F3486">
              <w:t xml:space="preserve"> that were not materially different from previous projects funded under the </w:t>
            </w:r>
            <w:r w:rsidR="00F956AD">
              <w:t>DMIA</w:t>
            </w:r>
            <w:r w:rsidR="006F3486">
              <w:t xml:space="preserve">. This duplication </w:t>
            </w:r>
            <w:r w:rsidR="004C1EAF">
              <w:t xml:space="preserve">meant that </w:t>
            </w:r>
            <w:r w:rsidR="00124F6E">
              <w:t xml:space="preserve">potentially </w:t>
            </w:r>
            <w:r w:rsidR="004C1EAF">
              <w:t xml:space="preserve">redundant projects were receiving funding, </w:t>
            </w:r>
            <w:r w:rsidR="00F956AD">
              <w:t xml:space="preserve">limiting the </w:t>
            </w:r>
            <w:r w:rsidR="00F956AD">
              <w:lastRenderedPageBreak/>
              <w:t>effectiveness of the R&amp;D under the DMIA</w:t>
            </w:r>
            <w:r w:rsidR="004C1EAF">
              <w:t xml:space="preserve">. </w:t>
            </w:r>
          </w:p>
        </w:tc>
        <w:tc>
          <w:tcPr>
            <w:tcW w:w="2898" w:type="dxa"/>
          </w:tcPr>
          <w:p w:rsidR="00D321C7" w:rsidRDefault="00B34846" w:rsidP="00260E20">
            <w:pPr>
              <w:pStyle w:val="AERbulletlistsecondstyle"/>
              <w:numPr>
                <w:ilvl w:val="0"/>
                <w:numId w:val="0"/>
              </w:numPr>
            </w:pPr>
            <w:r>
              <w:lastRenderedPageBreak/>
              <w:t>S</w:t>
            </w:r>
            <w:r w:rsidR="00124F6E">
              <w:t>ome s</w:t>
            </w:r>
            <w:r w:rsidR="006F3486">
              <w:t>takeholders</w:t>
            </w:r>
            <w:r w:rsidR="00F956AD">
              <w:t xml:space="preserve"> noted</w:t>
            </w:r>
            <w:r w:rsidR="006F3486">
              <w:t xml:space="preserve"> that a prescriptive definition </w:t>
            </w:r>
            <w:r w:rsidR="00F956AD">
              <w:t xml:space="preserve">of innovation </w:t>
            </w:r>
            <w:r w:rsidR="006F3486">
              <w:t xml:space="preserve">would hamper the ability of distributors to be </w:t>
            </w:r>
            <w:r w:rsidR="00F956AD">
              <w:t xml:space="preserve">genuinely </w:t>
            </w:r>
            <w:r w:rsidR="006F3486">
              <w:t>experimental.</w:t>
            </w:r>
            <w:r w:rsidR="0058277B">
              <w:rPr>
                <w:rStyle w:val="FootnoteReference"/>
              </w:rPr>
              <w:footnoteReference w:id="22"/>
            </w:r>
            <w:r w:rsidR="006F3486">
              <w:t xml:space="preserve"> </w:t>
            </w:r>
          </w:p>
          <w:p w:rsidR="006F3486" w:rsidRDefault="004C1EAF" w:rsidP="00260E20">
            <w:pPr>
              <w:pStyle w:val="AERbulletlistsecondstyle"/>
              <w:numPr>
                <w:ilvl w:val="0"/>
                <w:numId w:val="0"/>
              </w:numPr>
            </w:pPr>
            <w:r>
              <w:t xml:space="preserve">Additionally, </w:t>
            </w:r>
            <w:r w:rsidR="005760C3">
              <w:t xml:space="preserve">other stakeholders, including AEMO, </w:t>
            </w:r>
            <w:r w:rsidR="00F956AD">
              <w:t>raised</w:t>
            </w:r>
            <w:r w:rsidR="005760C3">
              <w:t xml:space="preserve"> that </w:t>
            </w:r>
            <w:r>
              <w:t xml:space="preserve">a definition that is too </w:t>
            </w:r>
            <w:r w:rsidR="00D321C7">
              <w:t>narrow</w:t>
            </w:r>
            <w:r>
              <w:t xml:space="preserve"> might prevent distributors </w:t>
            </w:r>
            <w:r w:rsidR="00D321C7">
              <w:t>from testing previously verified technology in different geographic areas, to understand how a diverse range of consumers respond to that implementation.</w:t>
            </w:r>
            <w:r w:rsidR="00971471">
              <w:rPr>
                <w:rStyle w:val="FootnoteReference"/>
              </w:rPr>
              <w:footnoteReference w:id="23"/>
            </w:r>
          </w:p>
          <w:p w:rsidR="004C1EAF" w:rsidRDefault="004C1EAF" w:rsidP="00F956AD">
            <w:pPr>
              <w:pStyle w:val="AERbulletlistsecondstyle"/>
              <w:numPr>
                <w:ilvl w:val="0"/>
                <w:numId w:val="0"/>
              </w:numPr>
            </w:pPr>
            <w:r>
              <w:t xml:space="preserve">We </w:t>
            </w:r>
            <w:r w:rsidR="00F956AD">
              <w:t>consider the</w:t>
            </w:r>
            <w:r>
              <w:t xml:space="preserve"> definition</w:t>
            </w:r>
            <w:r w:rsidR="00F956AD">
              <w:t xml:space="preserve"> in the draft Mechanism</w:t>
            </w:r>
            <w:r>
              <w:t xml:space="preserve"> strikes the right balance</w:t>
            </w:r>
            <w:r w:rsidR="00F956AD">
              <w:t>. This is</w:t>
            </w:r>
            <w:r w:rsidR="00D321C7">
              <w:t xml:space="preserve"> not overly prescriptive, but directs distributors to use the allowance in ways that will build </w:t>
            </w:r>
            <w:r w:rsidR="00D321C7">
              <w:lastRenderedPageBreak/>
              <w:t>market</w:t>
            </w:r>
            <w:r w:rsidR="00F956AD">
              <w:t xml:space="preserve">/industry </w:t>
            </w:r>
            <w:r w:rsidR="00D321C7">
              <w:t>understanding of demand management.</w:t>
            </w:r>
          </w:p>
        </w:tc>
      </w:tr>
      <w:tr w:rsidR="002D7184" w:rsidTr="002D7184">
        <w:tc>
          <w:tcPr>
            <w:tcW w:w="2897" w:type="dxa"/>
          </w:tcPr>
          <w:p w:rsidR="002D7184" w:rsidRDefault="00F956AD" w:rsidP="007D0D6F">
            <w:pPr>
              <w:pStyle w:val="AERbulletlistsecondstyle"/>
              <w:numPr>
                <w:ilvl w:val="0"/>
                <w:numId w:val="0"/>
              </w:numPr>
            </w:pPr>
            <w:r>
              <w:lastRenderedPageBreak/>
              <w:t>H</w:t>
            </w:r>
            <w:r w:rsidR="00A34C25" w:rsidRPr="00A34C25">
              <w:t>ave the potential, if proved viable, to reduce long term network costs</w:t>
            </w:r>
            <w:r w:rsidR="00A34C25">
              <w:t xml:space="preserve"> in that it be designed to:</w:t>
            </w:r>
          </w:p>
          <w:p w:rsidR="00A34C25" w:rsidRPr="00A34C25" w:rsidRDefault="00A34C25" w:rsidP="00A34C25">
            <w:pPr>
              <w:pStyle w:val="AERbulletlistfirststyle"/>
            </w:pPr>
            <w:r w:rsidRPr="00A34C25">
              <w:t xml:space="preserve">build </w:t>
            </w:r>
            <w:r w:rsidRPr="00A34C25">
              <w:rPr>
                <w:rStyle w:val="Strong"/>
                <w:b w:val="0"/>
                <w:bCs w:val="0"/>
              </w:rPr>
              <w:t>demand management</w:t>
            </w:r>
            <w:r w:rsidRPr="00A34C25">
              <w:t xml:space="preserve"> capability and capacity</w:t>
            </w:r>
          </w:p>
          <w:p w:rsidR="00A34C25" w:rsidRDefault="00A34C25" w:rsidP="00A34C25">
            <w:pPr>
              <w:pStyle w:val="AERbulletlistfirststyle"/>
            </w:pPr>
            <w:r w:rsidRPr="00A34C25">
              <w:t xml:space="preserve">explore potentially efficient </w:t>
            </w:r>
            <w:r w:rsidRPr="00A34C25">
              <w:rPr>
                <w:rStyle w:val="Strong"/>
                <w:b w:val="0"/>
                <w:bCs w:val="0"/>
              </w:rPr>
              <w:t>demand management</w:t>
            </w:r>
            <w:r w:rsidRPr="00A34C25">
              <w:t xml:space="preserve"> options</w:t>
            </w:r>
          </w:p>
        </w:tc>
        <w:tc>
          <w:tcPr>
            <w:tcW w:w="2898" w:type="dxa"/>
          </w:tcPr>
          <w:p w:rsidR="002D7184" w:rsidRDefault="005248E7" w:rsidP="00D321C7">
            <w:pPr>
              <w:pStyle w:val="AERbulletlistsecondstyle"/>
              <w:numPr>
                <w:ilvl w:val="0"/>
                <w:numId w:val="0"/>
              </w:numPr>
            </w:pPr>
            <w:r>
              <w:t xml:space="preserve">The </w:t>
            </w:r>
            <w:r w:rsidR="00604F63">
              <w:t>A</w:t>
            </w:r>
            <w:r w:rsidR="00604F63" w:rsidRPr="00604F63">
              <w:t>llowance</w:t>
            </w:r>
            <w:r>
              <w:t xml:space="preserve"> O</w:t>
            </w:r>
            <w:r w:rsidR="00D321C7">
              <w:t xml:space="preserve">bjective requires that projects funded under the </w:t>
            </w:r>
            <w:r w:rsidR="00F956AD">
              <w:t>M</w:t>
            </w:r>
            <w:r w:rsidR="00D321C7">
              <w:t xml:space="preserve">echanism have the potential to reduce </w:t>
            </w:r>
            <w:r w:rsidR="00D975E2">
              <w:t>long-term</w:t>
            </w:r>
            <w:r w:rsidR="00D321C7">
              <w:t xml:space="preserve"> network costs for consumers. </w:t>
            </w:r>
          </w:p>
          <w:p w:rsidR="00D321C7" w:rsidRDefault="00D321C7" w:rsidP="00D321C7">
            <w:pPr>
              <w:pStyle w:val="AERbulletlistsecondstyle"/>
              <w:numPr>
                <w:ilvl w:val="0"/>
                <w:numId w:val="0"/>
              </w:numPr>
            </w:pPr>
            <w:r>
              <w:t xml:space="preserve">In the context of innovation, we felt it best to define reducing costs in the context of that project's overall ability to contribute to developing </w:t>
            </w:r>
            <w:r w:rsidR="00B262A7">
              <w:t>the</w:t>
            </w:r>
            <w:r>
              <w:t xml:space="preserve"> demand management</w:t>
            </w:r>
            <w:r w:rsidR="00B262A7">
              <w:t xml:space="preserve"> and industry knowledge</w:t>
            </w:r>
            <w:r>
              <w:t xml:space="preserve">, rather than a strict adherence to project benefits. </w:t>
            </w:r>
          </w:p>
          <w:p w:rsidR="00D321C7" w:rsidRDefault="00D321C7" w:rsidP="00C24282">
            <w:pPr>
              <w:pStyle w:val="AERbulletlistsecondstyle"/>
              <w:numPr>
                <w:ilvl w:val="0"/>
                <w:numId w:val="0"/>
              </w:numPr>
            </w:pPr>
            <w:r>
              <w:t>This allows dis</w:t>
            </w:r>
            <w:r w:rsidR="005760C3">
              <w:t>tributors to spend the allowance experimentally, while still directing them to implement potentially efficient solutions. Exploring this potential is vital to building market</w:t>
            </w:r>
            <w:r w:rsidR="00F956AD">
              <w:t>/industry</w:t>
            </w:r>
            <w:r w:rsidR="005760C3">
              <w:t xml:space="preserve"> understanding and </w:t>
            </w:r>
            <w:r w:rsidR="00C24282">
              <w:t xml:space="preserve">commercialising </w:t>
            </w:r>
            <w:r w:rsidR="005760C3">
              <w:t xml:space="preserve">solutions. </w:t>
            </w:r>
            <w:r>
              <w:t xml:space="preserve"> </w:t>
            </w:r>
          </w:p>
        </w:tc>
        <w:tc>
          <w:tcPr>
            <w:tcW w:w="2898" w:type="dxa"/>
          </w:tcPr>
          <w:p w:rsidR="002D7184" w:rsidRDefault="00D975E2" w:rsidP="00425762">
            <w:pPr>
              <w:pStyle w:val="AERbulletlistsecondstyle"/>
              <w:numPr>
                <w:ilvl w:val="0"/>
                <w:numId w:val="0"/>
              </w:numPr>
            </w:pPr>
            <w:r>
              <w:t xml:space="preserve">Some stakeholders suggested that projects be required to demonstrate customer benefits. </w:t>
            </w:r>
            <w:r w:rsidR="00425762">
              <w:t xml:space="preserve">However, distributors and other stakeholders </w:t>
            </w:r>
            <w:r w:rsidR="00535F6A">
              <w:t>considered</w:t>
            </w:r>
            <w:r w:rsidR="00425762">
              <w:t xml:space="preserve"> that doing so would dramatically narrow the range of projects they would be able to undertake, undermining the goal to promote innovation in the demand management sector. </w:t>
            </w:r>
            <w:r w:rsidR="0010164B">
              <w:t>It is our view that while projects under the Scheme, must directly deliver net benefits, this is not a reasonable expectation for R&amp;D,</w:t>
            </w:r>
            <w:r w:rsidR="00446B12">
              <w:t xml:space="preserve"> which</w:t>
            </w:r>
            <w:r w:rsidR="0010164B">
              <w:t xml:space="preserve"> has uncertain results by nature.</w:t>
            </w:r>
          </w:p>
          <w:p w:rsidR="00B86881" w:rsidRDefault="00B86881" w:rsidP="00425762">
            <w:pPr>
              <w:pStyle w:val="AERbulletlistsecondstyle"/>
              <w:numPr>
                <w:ilvl w:val="0"/>
                <w:numId w:val="0"/>
              </w:numPr>
            </w:pPr>
          </w:p>
        </w:tc>
      </w:tr>
      <w:tr w:rsidR="00A34C25" w:rsidTr="002D7184">
        <w:trPr>
          <w:cnfStyle w:val="000000010000" w:firstRow="0" w:lastRow="0" w:firstColumn="0" w:lastColumn="0" w:oddVBand="0" w:evenVBand="0" w:oddHBand="0" w:evenHBand="1" w:firstRowFirstColumn="0" w:firstRowLastColumn="0" w:lastRowFirstColumn="0" w:lastRowLastColumn="0"/>
        </w:trPr>
        <w:tc>
          <w:tcPr>
            <w:tcW w:w="2897" w:type="dxa"/>
          </w:tcPr>
          <w:p w:rsidR="003F2493" w:rsidRPr="00A34C25" w:rsidRDefault="00B262A7" w:rsidP="003F2493">
            <w:pPr>
              <w:pStyle w:val="LegalNumbering"/>
              <w:numPr>
                <w:ilvl w:val="0"/>
                <w:numId w:val="0"/>
              </w:numPr>
            </w:pPr>
            <w:r>
              <w:t>N</w:t>
            </w:r>
            <w:r w:rsidR="003F2493">
              <w:t xml:space="preserve">ot </w:t>
            </w:r>
            <w:r w:rsidR="003F2493" w:rsidRPr="00A34C25">
              <w:t>contain costs that are:</w:t>
            </w:r>
          </w:p>
          <w:p w:rsidR="003F2493" w:rsidRPr="00A34C25" w:rsidRDefault="003F2493" w:rsidP="003F2493">
            <w:pPr>
              <w:pStyle w:val="AERbulletlistfirststyle"/>
            </w:pPr>
            <w:r w:rsidRPr="006E64C0">
              <w:t>recoverable under any other jurisdictional incentive scheme</w:t>
            </w:r>
            <w:r w:rsidRPr="00A34C25">
              <w:t>,</w:t>
            </w:r>
          </w:p>
          <w:p w:rsidR="003F2493" w:rsidRPr="00A34C25" w:rsidRDefault="003F2493" w:rsidP="003F2493">
            <w:pPr>
              <w:pStyle w:val="AERbulletlistfirststyle"/>
            </w:pPr>
            <w:r w:rsidRPr="006E64C0">
              <w:t>recoverable under any state or Australian Government scheme</w:t>
            </w:r>
            <w:r w:rsidRPr="00A34C25">
              <w:t>, or</w:t>
            </w:r>
          </w:p>
          <w:p w:rsidR="00A34C25" w:rsidRPr="003F2493" w:rsidRDefault="003F2493" w:rsidP="003F2493">
            <w:pPr>
              <w:pStyle w:val="AERbulletlistfirststyle"/>
            </w:pPr>
            <w:r w:rsidRPr="006E64C0">
              <w:t>included in forecast capital expenditure or operating expenditure approved in the distribution determination.</w:t>
            </w:r>
          </w:p>
        </w:tc>
        <w:tc>
          <w:tcPr>
            <w:tcW w:w="2898" w:type="dxa"/>
          </w:tcPr>
          <w:p w:rsidR="00A34C25" w:rsidRDefault="000544B8" w:rsidP="00446B12">
            <w:pPr>
              <w:pStyle w:val="AERbulletlistsecondstyle"/>
              <w:numPr>
                <w:ilvl w:val="0"/>
                <w:numId w:val="0"/>
              </w:numPr>
            </w:pPr>
            <w:r>
              <w:t xml:space="preserve">The </w:t>
            </w:r>
            <w:r w:rsidR="00B262A7">
              <w:t>M</w:t>
            </w:r>
            <w:r>
              <w:t xml:space="preserve">echanism is intended to provide funding for innovative solutions that would not otherwise be available. This </w:t>
            </w:r>
            <w:r w:rsidR="00B262A7">
              <w:t xml:space="preserve">aims to </w:t>
            </w:r>
            <w:r w:rsidR="00446B12">
              <w:t>fund</w:t>
            </w:r>
            <w:r>
              <w:t xml:space="preserve"> innovation, rather than allowing </w:t>
            </w:r>
            <w:r w:rsidR="00B262A7">
              <w:t xml:space="preserve">distributors to </w:t>
            </w:r>
            <w:r w:rsidR="00D975E2">
              <w:t>recover extra</w:t>
            </w:r>
            <w:r>
              <w:t xml:space="preserve"> for simply undertaking action</w:t>
            </w:r>
            <w:r w:rsidR="00446B12">
              <w:t>s</w:t>
            </w:r>
            <w:r>
              <w:t xml:space="preserve"> that </w:t>
            </w:r>
            <w:r w:rsidR="00446B12">
              <w:t>are</w:t>
            </w:r>
            <w:r>
              <w:t xml:space="preserve"> otherwise prudent</w:t>
            </w:r>
            <w:r w:rsidR="00284EFF">
              <w:t xml:space="preserve"> and should </w:t>
            </w:r>
            <w:r w:rsidR="00B262A7">
              <w:t>be included in the</w:t>
            </w:r>
            <w:r w:rsidR="00284EFF">
              <w:t>ir revenue allowance</w:t>
            </w:r>
            <w:r w:rsidR="00B262A7">
              <w:t>s</w:t>
            </w:r>
            <w:r>
              <w:t>.</w:t>
            </w:r>
            <w:r w:rsidR="00284EFF">
              <w:t xml:space="preserve"> This clause aims to prevent 'double-dipping' of R&amp;D revenue, thereby</w:t>
            </w:r>
            <w:r>
              <w:t xml:space="preserve"> increas</w:t>
            </w:r>
            <w:r w:rsidR="00284EFF">
              <w:t>ing</w:t>
            </w:r>
            <w:r>
              <w:t xml:space="preserve"> the </w:t>
            </w:r>
            <w:r w:rsidR="00284EFF">
              <w:t>M</w:t>
            </w:r>
            <w:r>
              <w:t>echanism</w:t>
            </w:r>
            <w:r w:rsidR="00284EFF">
              <w:t>'</w:t>
            </w:r>
            <w:r>
              <w:t xml:space="preserve">s value to </w:t>
            </w:r>
            <w:r w:rsidR="00284EFF">
              <w:t xml:space="preserve">electricity </w:t>
            </w:r>
            <w:r>
              <w:t>consumers.</w:t>
            </w:r>
          </w:p>
        </w:tc>
        <w:tc>
          <w:tcPr>
            <w:tcW w:w="2898" w:type="dxa"/>
          </w:tcPr>
          <w:p w:rsidR="00A34C25" w:rsidRDefault="000544B8" w:rsidP="00260E20">
            <w:pPr>
              <w:pStyle w:val="AERbulletlistsecondstyle"/>
              <w:numPr>
                <w:ilvl w:val="0"/>
                <w:numId w:val="0"/>
              </w:numPr>
            </w:pPr>
            <w:r>
              <w:t xml:space="preserve">As this is a requirement of the </w:t>
            </w:r>
            <w:r w:rsidR="00446B12">
              <w:t>NER</w:t>
            </w:r>
            <w:r>
              <w:t>, we did not consult on this issue.</w:t>
            </w:r>
          </w:p>
        </w:tc>
      </w:tr>
    </w:tbl>
    <w:p w:rsidR="00A34C25" w:rsidRDefault="00A34C25" w:rsidP="007D0D6F">
      <w:pPr>
        <w:pStyle w:val="AERbulletlistsecondstyle"/>
        <w:numPr>
          <w:ilvl w:val="0"/>
          <w:numId w:val="0"/>
        </w:numPr>
      </w:pPr>
    </w:p>
    <w:p w:rsidR="00260E20" w:rsidRDefault="001A6C00" w:rsidP="008762FA">
      <w:pPr>
        <w:pStyle w:val="Heading2"/>
      </w:pPr>
      <w:bookmarkStart w:id="40" w:name="_Toc491360657"/>
      <w:r>
        <w:t>Option for indicative up-front approval</w:t>
      </w:r>
      <w:bookmarkEnd w:id="40"/>
    </w:p>
    <w:p w:rsidR="001A6C00" w:rsidRDefault="00334314" w:rsidP="006B3EFB">
      <w:r>
        <w:t>C</w:t>
      </w:r>
      <w:r w:rsidR="001A6C00">
        <w:t>lause 2.2.2</w:t>
      </w:r>
      <w:r w:rsidR="00115858">
        <w:t xml:space="preserve"> of the draft </w:t>
      </w:r>
      <w:r w:rsidR="001A6C00">
        <w:t>Mechanism</w:t>
      </w:r>
      <w:r w:rsidR="00115858">
        <w:t xml:space="preserve"> sets out</w:t>
      </w:r>
      <w:r w:rsidR="001A6C00">
        <w:t xml:space="preserve"> that a distributor </w:t>
      </w:r>
      <w:r w:rsidR="001A6C00" w:rsidRPr="001A6C00">
        <w:t xml:space="preserve">may seek indicative up-front approval of planned expenditure under </w:t>
      </w:r>
      <w:r w:rsidR="001A6C00">
        <w:t xml:space="preserve">the Mechanism </w:t>
      </w:r>
      <w:r w:rsidR="001A6C00">
        <w:rPr>
          <w:rFonts w:cs="Arial"/>
        </w:rPr>
        <w:t>―</w:t>
      </w:r>
      <w:r w:rsidR="001A6C00">
        <w:t>referred to as 'indicative approval'.</w:t>
      </w:r>
    </w:p>
    <w:p w:rsidR="00704E79" w:rsidRDefault="00D45E89" w:rsidP="006B3EFB">
      <w:r w:rsidRPr="00E95274">
        <w:t xml:space="preserve">During our consultation process, some distributors saw value in implementing a simple </w:t>
      </w:r>
      <w:r w:rsidR="00284EFF">
        <w:t>Mechanism</w:t>
      </w:r>
      <w:r w:rsidRPr="00E95274">
        <w:t xml:space="preserve"> that would enable them to have certainty when committing projects.</w:t>
      </w:r>
      <w:r w:rsidRPr="00E95274">
        <w:rPr>
          <w:rStyle w:val="FootnoteReference"/>
        </w:rPr>
        <w:footnoteReference w:id="24"/>
      </w:r>
      <w:r w:rsidR="00E95274" w:rsidRPr="00E95274">
        <w:t xml:space="preserve"> </w:t>
      </w:r>
      <w:r w:rsidR="00E95274">
        <w:t xml:space="preserve">We consider that extending our usage of the up-front approval process will assist distributors in adapting to the new compliance procedure. </w:t>
      </w:r>
      <w:r w:rsidR="00637884">
        <w:t>This will build on the understanding we have built</w:t>
      </w:r>
      <w:r w:rsidR="00E95274">
        <w:t xml:space="preserve"> with distributors over the life of the </w:t>
      </w:r>
      <w:r w:rsidR="002D5032">
        <w:t>current DMIA</w:t>
      </w:r>
      <w:r w:rsidR="00E95274">
        <w:t>.</w:t>
      </w:r>
      <w:r w:rsidR="00E95274">
        <w:rPr>
          <w:rStyle w:val="FootnoteReference"/>
        </w:rPr>
        <w:footnoteReference w:id="25"/>
      </w:r>
    </w:p>
    <w:p w:rsidR="00902CBF" w:rsidRPr="001A6C00" w:rsidRDefault="00D975E2" w:rsidP="006B3EFB">
      <w:r>
        <w:lastRenderedPageBreak/>
        <w:t>Indicative approval is available under the current DMIA.</w:t>
      </w:r>
      <w:r w:rsidR="005C30EF">
        <w:rPr>
          <w:rStyle w:val="FootnoteReference"/>
        </w:rPr>
        <w:footnoteReference w:id="26"/>
      </w:r>
      <w:r>
        <w:t xml:space="preserve"> It was not </w:t>
      </w:r>
      <w:r w:rsidRPr="00704E79">
        <w:t>sought for any projects</w:t>
      </w:r>
      <w:r>
        <w:t>.</w:t>
      </w:r>
      <w:r w:rsidRPr="00704E79">
        <w:t xml:space="preserve"> </w:t>
      </w:r>
      <w:r w:rsidR="008433FD">
        <w:t>W</w:t>
      </w:r>
      <w:r w:rsidR="00704E79" w:rsidRPr="00704E79">
        <w:t xml:space="preserve">e also did not deny any projects under the current DMIA. Given the strengthening of the eligibility criteria and the reporting requirements, we consider that </w:t>
      </w:r>
      <w:r w:rsidR="00446B12">
        <w:t>distributors</w:t>
      </w:r>
      <w:r w:rsidR="00446B12" w:rsidRPr="00704E79">
        <w:t xml:space="preserve"> </w:t>
      </w:r>
      <w:r w:rsidR="00704E79" w:rsidRPr="00704E79">
        <w:t>may seek indicative approval under the new Mechanism.</w:t>
      </w:r>
    </w:p>
    <w:p w:rsidR="001A6C00" w:rsidRDefault="001A6C00" w:rsidP="006B3EFB">
      <w:r>
        <w:t xml:space="preserve">To receive indicative approval, a distributor </w:t>
      </w:r>
      <w:r w:rsidRPr="001A6C00">
        <w:t xml:space="preserve">must provide </w:t>
      </w:r>
      <w:r>
        <w:t xml:space="preserve">us </w:t>
      </w:r>
      <w:r w:rsidRPr="001A6C00">
        <w:t>det</w:t>
      </w:r>
      <w:r w:rsidR="00067FDB">
        <w:t>ails of the proposed projects before the end of the first month</w:t>
      </w:r>
      <w:r w:rsidRPr="001A6C00">
        <w:t xml:space="preserve"> in the relevan</w:t>
      </w:r>
      <w:r>
        <w:t>t regulatory year. We will then</w:t>
      </w:r>
      <w:r w:rsidR="006A5EDB">
        <w:t xml:space="preserve"> assess</w:t>
      </w:r>
      <w:r>
        <w:t xml:space="preserve"> </w:t>
      </w:r>
      <w:r w:rsidRPr="00193DB3">
        <w:t>the project</w:t>
      </w:r>
      <w:r w:rsidRPr="001A6C00">
        <w:t>s and provide an in-principle indication of whether this proposed expenditure is likely to satisfy the project criteri</w:t>
      </w:r>
      <w:r>
        <w:t>a</w:t>
      </w:r>
      <w:r w:rsidRPr="00193DB3">
        <w:t>.</w:t>
      </w:r>
    </w:p>
    <w:p w:rsidR="00946C77" w:rsidRDefault="00946C77" w:rsidP="006B3EFB">
      <w:r w:rsidRPr="00946C77">
        <w:t xml:space="preserve">This involves an in-principle examination of whether proposed expenditure under the </w:t>
      </w:r>
      <w:r w:rsidR="006614F1">
        <w:t>M</w:t>
      </w:r>
      <w:r w:rsidRPr="00946C77">
        <w:t xml:space="preserve">echanism is likely to satisfy the </w:t>
      </w:r>
      <w:r w:rsidR="006614F1">
        <w:t>M</w:t>
      </w:r>
      <w:r w:rsidRPr="00946C77">
        <w:t xml:space="preserve">echanism's criteria when </w:t>
      </w:r>
      <w:r w:rsidR="006614F1">
        <w:t>we</w:t>
      </w:r>
      <w:r w:rsidRPr="00946C77">
        <w:t xml:space="preserve"> undertake </w:t>
      </w:r>
      <w:r w:rsidR="006614F1">
        <w:t xml:space="preserve">our </w:t>
      </w:r>
      <w:r w:rsidRPr="00946C77">
        <w:t xml:space="preserve">ex-post assessment of the </w:t>
      </w:r>
      <w:r w:rsidR="002D5032">
        <w:t>allowance</w:t>
      </w:r>
      <w:r w:rsidR="002D5032" w:rsidRPr="00946C77">
        <w:t xml:space="preserve"> </w:t>
      </w:r>
      <w:r w:rsidRPr="00946C77">
        <w:t>spent. This provides greater certainty of what costs distributors are likely to recover under th</w:t>
      </w:r>
      <w:r w:rsidR="006614F1">
        <w:t>e M</w:t>
      </w:r>
      <w:r w:rsidRPr="00946C77">
        <w:t>echanism.</w:t>
      </w:r>
    </w:p>
    <w:p w:rsidR="00834142" w:rsidRDefault="006A5EDB" w:rsidP="006B3EFB">
      <w:r>
        <w:t xml:space="preserve">This is not an ex-ante assessment process. The </w:t>
      </w:r>
      <w:r w:rsidR="00F94118">
        <w:t>M</w:t>
      </w:r>
      <w:r>
        <w:t>echanism</w:t>
      </w:r>
      <w:r w:rsidR="00B2169F">
        <w:t>'</w:t>
      </w:r>
      <w:r>
        <w:t>s official approval process remains an ex-post assessment of the projects</w:t>
      </w:r>
      <w:r w:rsidR="002D5032">
        <w:t>'</w:t>
      </w:r>
      <w:r>
        <w:t xml:space="preserve"> adherence to the project and compliance procedures</w:t>
      </w:r>
      <w:r w:rsidR="00441299">
        <w:t>.</w:t>
      </w:r>
      <w:r w:rsidR="00946C77">
        <w:t xml:space="preserve"> </w:t>
      </w:r>
      <w:r w:rsidR="00946C77" w:rsidRPr="00946C77">
        <w:t>This is neither an alternative no</w:t>
      </w:r>
      <w:r w:rsidR="00067FDB">
        <w:t xml:space="preserve">r a substitute to the actual ex </w:t>
      </w:r>
      <w:r w:rsidR="00946C77" w:rsidRPr="00946C77">
        <w:t xml:space="preserve">post assessment that </w:t>
      </w:r>
      <w:r w:rsidR="00F94118">
        <w:t>we</w:t>
      </w:r>
      <w:r w:rsidR="00946C77" w:rsidRPr="00946C77">
        <w:t xml:space="preserve"> will subsequently conduct for th</w:t>
      </w:r>
      <w:r w:rsidR="00946C77">
        <w:t xml:space="preserve">at particular regulatory year. </w:t>
      </w:r>
      <w:r w:rsidR="00946C77" w:rsidRPr="00946C77">
        <w:t xml:space="preserve">However, </w:t>
      </w:r>
      <w:r w:rsidR="00887D10">
        <w:t>if</w:t>
      </w:r>
      <w:r w:rsidR="00946C77" w:rsidRPr="00946C77">
        <w:t xml:space="preserve"> the </w:t>
      </w:r>
      <w:r w:rsidR="00F94118">
        <w:t>distributor's</w:t>
      </w:r>
      <w:r w:rsidR="00F94118" w:rsidRPr="00946C77">
        <w:t xml:space="preserve"> </w:t>
      </w:r>
      <w:r w:rsidR="00946C77" w:rsidRPr="00946C77">
        <w:t xml:space="preserve">proposed expenditure is approved in </w:t>
      </w:r>
      <w:r w:rsidR="00361A78" w:rsidRPr="00946C77">
        <w:t>principle</w:t>
      </w:r>
      <w:r w:rsidR="00446B12">
        <w:t>,</w:t>
      </w:r>
      <w:r w:rsidR="00946C77" w:rsidRPr="00946C77">
        <w:t xml:space="preserve"> and </w:t>
      </w:r>
      <w:r w:rsidR="00F94118">
        <w:t>it</w:t>
      </w:r>
      <w:r w:rsidR="00D97332">
        <w:t>s actual</w:t>
      </w:r>
      <w:r w:rsidR="00946C77" w:rsidRPr="00946C77">
        <w:t xml:space="preserve"> expenditure</w:t>
      </w:r>
      <w:r w:rsidR="00D97332">
        <w:t xml:space="preserve"> </w:t>
      </w:r>
      <w:r w:rsidR="00946C77" w:rsidRPr="00946C77">
        <w:t xml:space="preserve">does not differ in substance and/or form from that envisaged at the beginning of the regulatory year, </w:t>
      </w:r>
      <w:r w:rsidR="00F94118">
        <w:t>we would</w:t>
      </w:r>
      <w:r w:rsidR="00946C77" w:rsidRPr="00946C77">
        <w:t xml:space="preserve"> expect </w:t>
      </w:r>
      <w:r w:rsidR="00F94118">
        <w:t>to approve that</w:t>
      </w:r>
      <w:r w:rsidR="00946C77" w:rsidRPr="00946C77">
        <w:t xml:space="preserve"> expenditure as part of </w:t>
      </w:r>
      <w:r w:rsidR="00F94118">
        <w:t xml:space="preserve">our </w:t>
      </w:r>
      <w:r w:rsidR="00946C77" w:rsidRPr="00946C77">
        <w:t>ex-post assessment.</w:t>
      </w:r>
    </w:p>
    <w:p w:rsidR="002D7184" w:rsidRDefault="009B3B54" w:rsidP="001A6C00">
      <w:pPr>
        <w:pStyle w:val="Heading1"/>
      </w:pPr>
      <w:bookmarkStart w:id="41" w:name="_Ref488310358"/>
      <w:bookmarkStart w:id="42" w:name="_Ref488310362"/>
      <w:bookmarkStart w:id="43" w:name="_Ref488310370"/>
      <w:bookmarkStart w:id="44" w:name="_Ref488310371"/>
      <w:bookmarkStart w:id="45" w:name="_Ref488310437"/>
      <w:bookmarkStart w:id="46" w:name="_Ref488408418"/>
      <w:bookmarkStart w:id="47" w:name="_Toc491360658"/>
      <w:r>
        <w:lastRenderedPageBreak/>
        <w:t>Assessment</w:t>
      </w:r>
      <w:r w:rsidR="00F51F3E">
        <w:t xml:space="preserve"> and c</w:t>
      </w:r>
      <w:r>
        <w:t>ompliance</w:t>
      </w:r>
      <w:r w:rsidR="00F51F3E">
        <w:t xml:space="preserve"> r</w:t>
      </w:r>
      <w:r>
        <w:t>eporting</w:t>
      </w:r>
      <w:bookmarkEnd w:id="41"/>
      <w:bookmarkEnd w:id="42"/>
      <w:bookmarkEnd w:id="43"/>
      <w:bookmarkEnd w:id="44"/>
      <w:bookmarkEnd w:id="45"/>
      <w:bookmarkEnd w:id="46"/>
      <w:bookmarkEnd w:id="47"/>
    </w:p>
    <w:p w:rsidR="00F8242D" w:rsidRDefault="009B3B54" w:rsidP="001A6C00">
      <w:r>
        <w:t>Clause 2.4</w:t>
      </w:r>
      <w:r w:rsidR="002D7184">
        <w:t xml:space="preserve"> of the draft </w:t>
      </w:r>
      <w:r w:rsidR="001A6C00">
        <w:t>Mechanism s</w:t>
      </w:r>
      <w:r w:rsidR="002D7184">
        <w:t>pecifies that e</w:t>
      </w:r>
      <w:r w:rsidR="002D7184" w:rsidRPr="002D7184">
        <w:t xml:space="preserve">ach regulatory year, a distributor will submit a </w:t>
      </w:r>
      <w:r w:rsidR="00B2169F">
        <w:t>compl</w:t>
      </w:r>
      <w:r>
        <w:t>iance report to us. This report serves two purposes;</w:t>
      </w:r>
      <w:r w:rsidR="00B2169F">
        <w:t xml:space="preserve"> to allow us to asse</w:t>
      </w:r>
      <w:r>
        <w:t>s</w:t>
      </w:r>
      <w:r w:rsidR="00B2169F">
        <w:t xml:space="preserve">s compliance with the </w:t>
      </w:r>
      <w:r w:rsidR="00D97332">
        <w:t xml:space="preserve">Mechanism's </w:t>
      </w:r>
      <w:r w:rsidR="00B2169F">
        <w:t xml:space="preserve">requirements, as well as form the basis for the socialisation of knowledge gained from the research projects funded </w:t>
      </w:r>
      <w:r w:rsidR="00D97332">
        <w:t>under the Mechanism</w:t>
      </w:r>
      <w:r w:rsidR="00B2169F">
        <w:t xml:space="preserve">. By using the report in this way, we consider that the burden on distributors will be </w:t>
      </w:r>
      <w:r w:rsidR="009779B8">
        <w:t>reasonable.</w:t>
      </w:r>
    </w:p>
    <w:p w:rsidR="006D39FD" w:rsidRDefault="00F8242D" w:rsidP="001A6C00">
      <w:r>
        <w:t>The compliance report is composed of two</w:t>
      </w:r>
      <w:r w:rsidR="00066427">
        <w:t xml:space="preserve"> carefully designed</w:t>
      </w:r>
      <w:r>
        <w:t xml:space="preserve"> elements, the </w:t>
      </w:r>
      <w:r w:rsidR="006D39FD">
        <w:t xml:space="preserve">overall report and the project specific reports. </w:t>
      </w:r>
      <w:r w:rsidR="00ED40C7">
        <w:t>The reports</w:t>
      </w:r>
      <w:r w:rsidR="006D39FD">
        <w:t xml:space="preserve"> </w:t>
      </w:r>
      <w:r w:rsidR="009E4BA6">
        <w:t>will be</w:t>
      </w:r>
      <w:r w:rsidR="006D39FD">
        <w:t xml:space="preserve"> submitted</w:t>
      </w:r>
      <w:r w:rsidR="00ED40C7">
        <w:t xml:space="preserve"> </w:t>
      </w:r>
      <w:r w:rsidR="00ED40C7" w:rsidRPr="00ED40C7">
        <w:t>together</w:t>
      </w:r>
      <w:r w:rsidR="006D39FD">
        <w:t xml:space="preserve"> but</w:t>
      </w:r>
      <w:r w:rsidR="0063383A">
        <w:t xml:space="preserve"> </w:t>
      </w:r>
      <w:r w:rsidR="006D39FD">
        <w:t>must be capable of being published separately.</w:t>
      </w:r>
      <w:r w:rsidR="00E95274">
        <w:t xml:space="preserve"> We have chosen to publish</w:t>
      </w:r>
      <w:r w:rsidR="0063383A">
        <w:t xml:space="preserve"> the reports</w:t>
      </w:r>
      <w:r w:rsidR="00E95274">
        <w:t xml:space="preserve"> separately to increase the usefulness and accessibility of each project report. We consider that if each report </w:t>
      </w:r>
      <w:r w:rsidR="0063383A">
        <w:t xml:space="preserve">is </w:t>
      </w:r>
      <w:r w:rsidR="00E95274">
        <w:t xml:space="preserve">published </w:t>
      </w:r>
      <w:r w:rsidR="005C30EF">
        <w:t>separately</w:t>
      </w:r>
      <w:r w:rsidR="00E95274">
        <w:t>,</w:t>
      </w:r>
      <w:r w:rsidR="005C30EF">
        <w:t xml:space="preserve"> then </w:t>
      </w:r>
      <w:r w:rsidR="00E95274">
        <w:t>third parties</w:t>
      </w:r>
      <w:r w:rsidR="00F07A23">
        <w:t xml:space="preserve"> can </w:t>
      </w:r>
      <w:r w:rsidR="00E95274">
        <w:t>more easily compare and contrast options</w:t>
      </w:r>
      <w:r w:rsidR="0063383A">
        <w:t xml:space="preserve">, while having a complete overall report will enable us to </w:t>
      </w:r>
      <w:r w:rsidR="000C5294">
        <w:t>assess the usage of the allowance on a broader scale</w:t>
      </w:r>
      <w:r w:rsidR="00E95274">
        <w:t xml:space="preserve">. </w:t>
      </w:r>
      <w:r w:rsidR="006D39FD">
        <w:t xml:space="preserve"> </w:t>
      </w:r>
    </w:p>
    <w:p w:rsidR="007C3CAD" w:rsidRDefault="007C3CAD" w:rsidP="001A6C00">
      <w:r w:rsidRPr="007C3CAD">
        <w:t xml:space="preserve">We consider that the burden imposed by these requirements is proportionate and necessary to achieve the </w:t>
      </w:r>
      <w:r w:rsidR="00604F63">
        <w:t>Allowance</w:t>
      </w:r>
      <w:r w:rsidR="00B454CE">
        <w:t xml:space="preserve"> O</w:t>
      </w:r>
      <w:r w:rsidRPr="007C3CAD">
        <w:t>bjective. The requirements for information have increased under the Mechanism</w:t>
      </w:r>
      <w:r w:rsidR="00F07A23">
        <w:t>, relative to the requirements under the current DMIA</w:t>
      </w:r>
      <w:r w:rsidRPr="007C3CAD">
        <w:t>. While some may see the new reporting requirements as misaligned wit</w:t>
      </w:r>
      <w:r w:rsidR="005C30EF">
        <w:t>h</w:t>
      </w:r>
      <w:r w:rsidRPr="007C3CAD">
        <w:t xml:space="preserve"> the level of </w:t>
      </w:r>
      <w:r w:rsidR="005C30EF">
        <w:t>allowance</w:t>
      </w:r>
      <w:r w:rsidRPr="007C3CAD">
        <w:t xml:space="preserve"> available, we consider that the aim</w:t>
      </w:r>
      <w:r w:rsidR="005C30EF">
        <w:t xml:space="preserve"> is</w:t>
      </w:r>
      <w:r w:rsidRPr="007C3CAD">
        <w:t xml:space="preserve"> to provide value beyond the initial monetary investment by a given distributor. Innovation has the potential to provide </w:t>
      </w:r>
      <w:r w:rsidR="00067FDB">
        <w:t>significant</w:t>
      </w:r>
      <w:r w:rsidRPr="007C3CAD">
        <w:t xml:space="preserve"> value across the market, as discussed throughout this </w:t>
      </w:r>
      <w:r w:rsidR="00F07A23">
        <w:t>explanatory statement</w:t>
      </w:r>
      <w:r w:rsidRPr="007C3CAD">
        <w:t>.</w:t>
      </w:r>
      <w:r w:rsidR="00F07A23">
        <w:t xml:space="preserve"> For</w:t>
      </w:r>
      <w:r w:rsidRPr="007C3CAD">
        <w:t xml:space="preserve"> innovation </w:t>
      </w:r>
      <w:r w:rsidR="00F07A23">
        <w:t>to</w:t>
      </w:r>
      <w:r w:rsidR="00F07A23" w:rsidRPr="007C3CAD">
        <w:t xml:space="preserve"> </w:t>
      </w:r>
      <w:r w:rsidRPr="007C3CAD">
        <w:t>have an optimal impact in the electricity market</w:t>
      </w:r>
      <w:r w:rsidR="00067FDB">
        <w:t xml:space="preserve">, </w:t>
      </w:r>
      <w:r w:rsidR="00F07A23">
        <w:t>it</w:t>
      </w:r>
      <w:r w:rsidR="00067FDB">
        <w:t>s leanings and benefits</w:t>
      </w:r>
      <w:r w:rsidR="00F07A23">
        <w:t xml:space="preserve"> should</w:t>
      </w:r>
      <w:r w:rsidRPr="007C3CAD">
        <w:t xml:space="preserve"> </w:t>
      </w:r>
      <w:r w:rsidR="00067FDB">
        <w:t>be shared with</w:t>
      </w:r>
      <w:r w:rsidRPr="007C3CAD">
        <w:t xml:space="preserve"> all participants. </w:t>
      </w:r>
      <w:r w:rsidR="00F07A23">
        <w:t xml:space="preserve">By providing </w:t>
      </w:r>
      <w:r w:rsidRPr="007C3CAD">
        <w:t>a clear means by which this knowledge can be socialised</w:t>
      </w:r>
      <w:r w:rsidR="00F07A23">
        <w:t>, the Mechanism can help deliver</w:t>
      </w:r>
      <w:r w:rsidRPr="007C3CAD">
        <w:t xml:space="preserve"> this </w:t>
      </w:r>
      <w:r w:rsidR="00F07A23">
        <w:t>outcome</w:t>
      </w:r>
      <w:r w:rsidRPr="007C3CAD">
        <w:t xml:space="preserve">.  </w:t>
      </w:r>
    </w:p>
    <w:p w:rsidR="009E4BA6" w:rsidRDefault="00943EB7" w:rsidP="001A6C00">
      <w:r>
        <w:t>W</w:t>
      </w:r>
      <w:r w:rsidR="000407A9">
        <w:t xml:space="preserve">e </w:t>
      </w:r>
      <w:r>
        <w:t>observed</w:t>
      </w:r>
      <w:r w:rsidR="000407A9">
        <w:t xml:space="preserve"> </w:t>
      </w:r>
      <w:r w:rsidR="00ED40C7">
        <w:t>that</w:t>
      </w:r>
      <w:r w:rsidR="001B2CD6">
        <w:t xml:space="preserve"> reporting </w:t>
      </w:r>
      <w:r w:rsidR="000407A9">
        <w:t xml:space="preserve">by distributors </w:t>
      </w:r>
      <w:r w:rsidR="001B2CD6">
        <w:t>under</w:t>
      </w:r>
      <w:r w:rsidR="00ED40C7">
        <w:t xml:space="preserve"> </w:t>
      </w:r>
      <w:r w:rsidR="00672682">
        <w:t xml:space="preserve">the current </w:t>
      </w:r>
      <w:r w:rsidR="001B2CD6">
        <w:t>DMIA</w:t>
      </w:r>
      <w:r w:rsidR="00672682">
        <w:t xml:space="preserve"> </w:t>
      </w:r>
      <w:r>
        <w:t>had wide variations in quality.</w:t>
      </w:r>
      <w:r>
        <w:rPr>
          <w:rStyle w:val="FootnoteReference"/>
        </w:rPr>
        <w:footnoteReference w:id="27"/>
      </w:r>
      <w:r w:rsidR="000407A9">
        <w:t xml:space="preserve"> </w:t>
      </w:r>
      <w:r w:rsidR="00F07A23">
        <w:t>T</w:t>
      </w:r>
      <w:r>
        <w:t xml:space="preserve">his reporting </w:t>
      </w:r>
      <w:r w:rsidR="00F07A23">
        <w:t>was in</w:t>
      </w:r>
      <w:r w:rsidR="000407A9">
        <w:t>sufficiently standardised to disperse the</w:t>
      </w:r>
      <w:r w:rsidR="00672682">
        <w:t xml:space="preserve"> knowledge gained from projects</w:t>
      </w:r>
      <w:r w:rsidR="00BD6543">
        <w:t xml:space="preserve"> and thereby socialise the</w:t>
      </w:r>
      <w:r w:rsidR="000D3764">
        <w:t xml:space="preserve"> knowledge gained from many</w:t>
      </w:r>
      <w:r w:rsidR="00BD6543">
        <w:t xml:space="preserve"> project</w:t>
      </w:r>
      <w:r w:rsidR="000D3764">
        <w:t>s</w:t>
      </w:r>
      <w:r>
        <w:t xml:space="preserve">. </w:t>
      </w:r>
      <w:r w:rsidR="00066427" w:rsidRPr="00066427">
        <w:t xml:space="preserve">Stakeholders also emphasised that </w:t>
      </w:r>
      <w:r w:rsidR="00066427">
        <w:t>clear, transparent, and consistent measurement of the performance of projects funded under the allowance was crucial.</w:t>
      </w:r>
      <w:r w:rsidR="00066427">
        <w:rPr>
          <w:rStyle w:val="FootnoteReference"/>
        </w:rPr>
        <w:footnoteReference w:id="28"/>
      </w:r>
      <w:r w:rsidR="00066427">
        <w:t xml:space="preserve"> </w:t>
      </w:r>
      <w:r>
        <w:t xml:space="preserve">The new </w:t>
      </w:r>
      <w:r w:rsidR="004B6E8B">
        <w:t>reporting requirements</w:t>
      </w:r>
      <w:r>
        <w:t xml:space="preserve"> aim</w:t>
      </w:r>
      <w:r w:rsidR="000407A9">
        <w:t xml:space="preserve"> </w:t>
      </w:r>
      <w:r w:rsidR="00ED40C7">
        <w:t xml:space="preserve">to improve the </w:t>
      </w:r>
      <w:r w:rsidR="000407A9">
        <w:t>ability of</w:t>
      </w:r>
      <w:r w:rsidR="00ED40C7">
        <w:t xml:space="preserve"> project report</w:t>
      </w:r>
      <w:r w:rsidR="000407A9">
        <w:t>s to deliver information to the broader market</w:t>
      </w:r>
      <w:r>
        <w:t xml:space="preserve"> in line with the </w:t>
      </w:r>
      <w:r w:rsidR="00604F63">
        <w:t>Allowance</w:t>
      </w:r>
      <w:r>
        <w:t xml:space="preserve"> Objective</w:t>
      </w:r>
      <w:r w:rsidR="00ED40C7">
        <w:t>.</w:t>
      </w:r>
      <w:r w:rsidR="00066427">
        <w:t xml:space="preserve"> </w:t>
      </w:r>
    </w:p>
    <w:p w:rsidR="00700635" w:rsidRDefault="002A79D0" w:rsidP="001A6C00">
      <w:r>
        <w:t>We have also considered distributors</w:t>
      </w:r>
      <w:r w:rsidR="00E9545B">
        <w:t>'</w:t>
      </w:r>
      <w:r>
        <w:t xml:space="preserve"> </w:t>
      </w:r>
      <w:r w:rsidR="00A979CE">
        <w:t>submi</w:t>
      </w:r>
      <w:r w:rsidR="00E9545B">
        <w:t>ssions</w:t>
      </w:r>
      <w:r w:rsidR="00A979CE">
        <w:t xml:space="preserve"> that </w:t>
      </w:r>
      <w:r w:rsidR="00E9545B">
        <w:t xml:space="preserve">our </w:t>
      </w:r>
      <w:r w:rsidR="00A979CE">
        <w:t xml:space="preserve">requirements </w:t>
      </w:r>
      <w:r w:rsidR="00E9545B">
        <w:t xml:space="preserve">should not </w:t>
      </w:r>
      <w:r w:rsidR="00A979CE">
        <w:t xml:space="preserve">require duplication </w:t>
      </w:r>
      <w:r w:rsidR="00B87BF8">
        <w:t>of their efforts</w:t>
      </w:r>
      <w:r w:rsidR="000D3764">
        <w:t>,</w:t>
      </w:r>
      <w:r w:rsidR="00B87BF8">
        <w:t xml:space="preserve"> </w:t>
      </w:r>
      <w:r w:rsidR="00E9545B">
        <w:t>which</w:t>
      </w:r>
      <w:r w:rsidR="000D3764">
        <w:t xml:space="preserve"> would otherwise</w:t>
      </w:r>
      <w:r w:rsidR="00E9545B">
        <w:t xml:space="preserve"> </w:t>
      </w:r>
      <w:r w:rsidR="00E030C8">
        <w:t>make non-network solutions less cost competitive.</w:t>
      </w:r>
      <w:r w:rsidR="00E030C8">
        <w:rPr>
          <w:rStyle w:val="FootnoteReference"/>
        </w:rPr>
        <w:footnoteReference w:id="29"/>
      </w:r>
      <w:r>
        <w:t xml:space="preserve"> </w:t>
      </w:r>
      <w:r w:rsidR="005E21C4">
        <w:t>Considering this, we have designed the reporting</w:t>
      </w:r>
      <w:r w:rsidR="00A979CE">
        <w:t xml:space="preserve"> requirements to </w:t>
      </w:r>
      <w:r w:rsidR="00B87BF8">
        <w:t xml:space="preserve">target the areas that will provide most benefit </w:t>
      </w:r>
      <w:r w:rsidR="00D934CB">
        <w:t xml:space="preserve">to those hoping to understand the </w:t>
      </w:r>
      <w:r w:rsidR="00D934CB">
        <w:lastRenderedPageBreak/>
        <w:t>knowledge gained from projects funded by the Mechanism.</w:t>
      </w:r>
      <w:r w:rsidR="005E21C4">
        <w:t xml:space="preserve"> </w:t>
      </w:r>
      <w:r w:rsidR="007C3CAD">
        <w:t>Any</w:t>
      </w:r>
      <w:r w:rsidR="000F5654">
        <w:t xml:space="preserve"> repetition of data</w:t>
      </w:r>
      <w:r w:rsidR="00D94707">
        <w:t xml:space="preserve"> is </w:t>
      </w:r>
      <w:r w:rsidR="000F5654">
        <w:t>necessary</w:t>
      </w:r>
      <w:r w:rsidR="00D94707">
        <w:t xml:space="preserve"> </w:t>
      </w:r>
      <w:r w:rsidR="007C3CAD">
        <w:t>to properly socialise the gains of projects, and provide reports in a style that is accessible to interested parties</w:t>
      </w:r>
      <w:r w:rsidR="00D94707">
        <w:t xml:space="preserve">. </w:t>
      </w:r>
      <w:r w:rsidR="005E21C4">
        <w:t xml:space="preserve">We consider that the reporting requirements laid out in the </w:t>
      </w:r>
      <w:r w:rsidR="000D3764">
        <w:t>M</w:t>
      </w:r>
      <w:r w:rsidR="005E21C4">
        <w:t xml:space="preserve">echanism will not impose an unreasonable administrative burden, given that the </w:t>
      </w:r>
      <w:r w:rsidR="000D3764">
        <w:t>M</w:t>
      </w:r>
      <w:r w:rsidR="005E21C4">
        <w:t xml:space="preserve">echanism is designed to provide information to the broader market and industry.  </w:t>
      </w:r>
    </w:p>
    <w:p w:rsidR="006D39FD" w:rsidRDefault="00F51F3E" w:rsidP="006D39FD">
      <w:pPr>
        <w:pStyle w:val="Heading2"/>
      </w:pPr>
      <w:bookmarkStart w:id="48" w:name="_Toc491360659"/>
      <w:r>
        <w:t>The overall r</w:t>
      </w:r>
      <w:r w:rsidR="006D39FD">
        <w:t>eport</w:t>
      </w:r>
      <w:bookmarkEnd w:id="48"/>
    </w:p>
    <w:p w:rsidR="00067FDB" w:rsidRDefault="00067FDB" w:rsidP="000A1C7A">
      <w:r>
        <w:t>Clause 2.3</w:t>
      </w:r>
      <w:r w:rsidR="009B3B54">
        <w:t>(3)</w:t>
      </w:r>
      <w:r w:rsidR="00F51F3E">
        <w:t xml:space="preserve"> of the draft Mechanism</w:t>
      </w:r>
      <w:r>
        <w:t xml:space="preserve"> sets</w:t>
      </w:r>
      <w:r w:rsidR="009B3B54">
        <w:t xml:space="preserve"> out the requirements for </w:t>
      </w:r>
      <w:r>
        <w:t>complia</w:t>
      </w:r>
      <w:r w:rsidR="000A1C7A">
        <w:t>nce reporting. These include p</w:t>
      </w:r>
      <w:r w:rsidR="000A1C7A" w:rsidRPr="002B02A9">
        <w:t>roject or program specific reports, each capable of being published separately, for each project claimed under the</w:t>
      </w:r>
      <w:r w:rsidR="000A1C7A">
        <w:t xml:space="preserve"> Mechanism</w:t>
      </w:r>
      <w:r w:rsidR="000A1C7A" w:rsidRPr="002B02A9">
        <w:t>, that detail the projects or programs</w:t>
      </w:r>
      <w:r w:rsidR="000A1C7A">
        <w:t>. Compliance reporting requirements also require the distributor submit an</w:t>
      </w:r>
      <w:r>
        <w:t xml:space="preserve"> overall report containing:</w:t>
      </w:r>
      <w:r w:rsidR="009B3B54">
        <w:t xml:space="preserve"> </w:t>
      </w:r>
    </w:p>
    <w:p w:rsidR="002B02A9" w:rsidRPr="002B02A9" w:rsidRDefault="002B02A9" w:rsidP="000A1C7A">
      <w:pPr>
        <w:pStyle w:val="AERbulletlistfirststyle"/>
      </w:pPr>
      <w:r w:rsidRPr="002B02A9">
        <w:t>The total amount of the allowance spent</w:t>
      </w:r>
      <w:r w:rsidR="00067FDB">
        <w:t>;</w:t>
      </w:r>
    </w:p>
    <w:p w:rsidR="002B02A9" w:rsidRPr="002B02A9" w:rsidRDefault="00067FDB" w:rsidP="000A1C7A">
      <w:pPr>
        <w:pStyle w:val="AERbulletlistfirststyle"/>
      </w:pPr>
      <w:r>
        <w:t>A list and description of each eligible project on which the allowance was spent</w:t>
      </w:r>
      <w:r w:rsidR="000D3764">
        <w:t>;</w:t>
      </w:r>
      <w:r>
        <w:t xml:space="preserve"> </w:t>
      </w:r>
    </w:p>
    <w:p w:rsidR="002B02A9" w:rsidRPr="002B02A9" w:rsidRDefault="002B02A9" w:rsidP="000A1C7A">
      <w:pPr>
        <w:pStyle w:val="AERbulletlistfirststyle"/>
      </w:pPr>
      <w:r w:rsidRPr="002B02A9">
        <w:t xml:space="preserve">A summarised explanation of each </w:t>
      </w:r>
      <w:r w:rsidRPr="002B02A9">
        <w:rPr>
          <w:rStyle w:val="Strong"/>
          <w:b w:val="0"/>
          <w:bCs w:val="0"/>
        </w:rPr>
        <w:t>demand management</w:t>
      </w:r>
      <w:r w:rsidRPr="002B02A9">
        <w:t xml:space="preserve"> project which the </w:t>
      </w:r>
      <w:r w:rsidRPr="002B02A9">
        <w:rPr>
          <w:rStyle w:val="Strong"/>
          <w:b w:val="0"/>
          <w:bCs w:val="0"/>
        </w:rPr>
        <w:t>distributor</w:t>
      </w:r>
      <w:r w:rsidRPr="002B02A9">
        <w:t xml:space="preserve"> funded under </w:t>
      </w:r>
      <w:r w:rsidRPr="004B6E8B">
        <w:rPr>
          <w:rStyle w:val="AERbody"/>
        </w:rPr>
        <w:t>th</w:t>
      </w:r>
      <w:r w:rsidR="000D3764" w:rsidRPr="004B6E8B">
        <w:rPr>
          <w:rStyle w:val="AERbody"/>
        </w:rPr>
        <w:t>e M</w:t>
      </w:r>
      <w:r w:rsidRPr="002B02A9">
        <w:rPr>
          <w:rStyle w:val="Strong"/>
          <w:b w:val="0"/>
          <w:bCs w:val="0"/>
        </w:rPr>
        <w:t>echanism</w:t>
      </w:r>
      <w:r w:rsidRPr="002B02A9">
        <w:t>, demonstrating and justifying the project's compliance against the project criteria</w:t>
      </w:r>
      <w:r w:rsidR="00067FDB">
        <w:t>.</w:t>
      </w:r>
    </w:p>
    <w:p w:rsidR="002B02A9" w:rsidRPr="002B02A9" w:rsidRDefault="002B02A9" w:rsidP="000A1C7A">
      <w:pPr>
        <w:pStyle w:val="AERbulletlistfirststyle"/>
      </w:pPr>
      <w:r w:rsidRPr="002B02A9">
        <w:t xml:space="preserve">Where </w:t>
      </w:r>
      <w:r w:rsidRPr="002B02A9">
        <w:rPr>
          <w:rStyle w:val="Strong"/>
          <w:b w:val="0"/>
          <w:bCs w:val="0"/>
        </w:rPr>
        <w:t>demand management</w:t>
      </w:r>
      <w:r w:rsidRPr="002B02A9">
        <w:t xml:space="preserve"> project</w:t>
      </w:r>
      <w:r w:rsidR="000D3764">
        <w:t>s</w:t>
      </w:r>
      <w:r w:rsidRPr="002B02A9">
        <w:t xml:space="preserve"> or programs extend across more than one </w:t>
      </w:r>
      <w:r w:rsidRPr="002B02A9">
        <w:rPr>
          <w:rStyle w:val="Strong"/>
          <w:b w:val="0"/>
          <w:bCs w:val="0"/>
        </w:rPr>
        <w:t>regulatory year</w:t>
      </w:r>
      <w:r w:rsidRPr="002B02A9">
        <w:t xml:space="preserve"> of the </w:t>
      </w:r>
      <w:r w:rsidRPr="002B02A9">
        <w:rPr>
          <w:rStyle w:val="Strong"/>
          <w:b w:val="0"/>
          <w:bCs w:val="0"/>
        </w:rPr>
        <w:t>regulatory control period</w:t>
      </w:r>
      <w:r w:rsidRPr="002B02A9">
        <w:t xml:space="preserve">, information on the actual expenditure on each such project or program in each </w:t>
      </w:r>
      <w:r w:rsidRPr="002B02A9">
        <w:rPr>
          <w:rStyle w:val="Strong"/>
          <w:b w:val="0"/>
          <w:bCs w:val="0"/>
        </w:rPr>
        <w:t>regulatory year</w:t>
      </w:r>
      <w:r w:rsidRPr="002B02A9">
        <w:t xml:space="preserve"> of the </w:t>
      </w:r>
      <w:r w:rsidRPr="002B02A9">
        <w:rPr>
          <w:rStyle w:val="Strong"/>
          <w:b w:val="0"/>
          <w:bCs w:val="0"/>
        </w:rPr>
        <w:t>regulatory control period</w:t>
      </w:r>
      <w:r w:rsidR="000D3764">
        <w:t>; and</w:t>
      </w:r>
    </w:p>
    <w:p w:rsidR="002B02A9" w:rsidRPr="002B02A9" w:rsidRDefault="002B02A9" w:rsidP="000A1C7A">
      <w:pPr>
        <w:pStyle w:val="AERbulletlistfirststyle"/>
      </w:pPr>
      <w:r w:rsidRPr="002B02A9">
        <w:t xml:space="preserve">A statement signed by a director of the </w:t>
      </w:r>
      <w:r w:rsidRPr="002B02A9">
        <w:rPr>
          <w:rStyle w:val="Strong"/>
          <w:b w:val="0"/>
          <w:bCs w:val="0"/>
        </w:rPr>
        <w:t xml:space="preserve">distributor </w:t>
      </w:r>
      <w:r w:rsidRPr="002B02A9">
        <w:t xml:space="preserve">certifying that the costs of each </w:t>
      </w:r>
      <w:r w:rsidRPr="002B02A9">
        <w:rPr>
          <w:rStyle w:val="Strong"/>
          <w:b w:val="0"/>
          <w:bCs w:val="0"/>
        </w:rPr>
        <w:t>demand management</w:t>
      </w:r>
      <w:r w:rsidRPr="002B02A9">
        <w:t xml:space="preserve"> project:</w:t>
      </w:r>
    </w:p>
    <w:p w:rsidR="002B02A9" w:rsidRPr="002B02A9" w:rsidRDefault="002B02A9" w:rsidP="000A1C7A">
      <w:pPr>
        <w:pStyle w:val="AERbulletlistsecondstyle"/>
      </w:pPr>
      <w:r w:rsidRPr="002B02A9">
        <w:t>are not recoverable under any other jurisdictional incentive scheme</w:t>
      </w:r>
      <w:r w:rsidR="000D3764">
        <w:t>;</w:t>
      </w:r>
    </w:p>
    <w:p w:rsidR="002B02A9" w:rsidRPr="002B02A9" w:rsidRDefault="002B02A9" w:rsidP="000A1C7A">
      <w:pPr>
        <w:pStyle w:val="AERbulletlistsecondstyle"/>
      </w:pPr>
      <w:r w:rsidRPr="002B02A9">
        <w:t>are not be recoverable under any state or Australian Government scheme</w:t>
      </w:r>
      <w:r w:rsidR="000D3764">
        <w:t>;</w:t>
      </w:r>
      <w:r w:rsidRPr="002B02A9">
        <w:t xml:space="preserve"> and</w:t>
      </w:r>
    </w:p>
    <w:p w:rsidR="00B62274" w:rsidRPr="002B02A9" w:rsidRDefault="002B02A9" w:rsidP="000A1C7A">
      <w:pPr>
        <w:pStyle w:val="AERbulletlistsecondstyle"/>
      </w:pPr>
      <w:r w:rsidRPr="002B02A9">
        <w:t xml:space="preserve">are not included in forecast capital expenditure or operating expenditure approved in </w:t>
      </w:r>
      <w:r w:rsidR="000D3764">
        <w:t>our</w:t>
      </w:r>
      <w:r w:rsidRPr="002B02A9">
        <w:rPr>
          <w:rStyle w:val="Strong"/>
          <w:b w:val="0"/>
          <w:bCs w:val="0"/>
        </w:rPr>
        <w:t xml:space="preserve"> </w:t>
      </w:r>
      <w:r w:rsidRPr="002B02A9">
        <w:t xml:space="preserve">distribution determination for the </w:t>
      </w:r>
      <w:r w:rsidRPr="002B02A9">
        <w:rPr>
          <w:rStyle w:val="Strong"/>
          <w:b w:val="0"/>
          <w:bCs w:val="0"/>
        </w:rPr>
        <w:t>regulatory control period</w:t>
      </w:r>
      <w:r w:rsidRPr="002B02A9">
        <w:t xml:space="preserve"> under which the </w:t>
      </w:r>
      <w:r w:rsidR="000D3764" w:rsidRPr="004B6E8B">
        <w:rPr>
          <w:rStyle w:val="AERbody"/>
        </w:rPr>
        <w:t>M</w:t>
      </w:r>
      <w:r w:rsidRPr="002B02A9">
        <w:rPr>
          <w:rStyle w:val="Strong"/>
          <w:b w:val="0"/>
          <w:bCs w:val="0"/>
        </w:rPr>
        <w:t>echanism</w:t>
      </w:r>
      <w:r w:rsidRPr="002B02A9">
        <w:t xml:space="preserve"> applies, or under any other incentive scheme in that distribution determination.</w:t>
      </w:r>
    </w:p>
    <w:p w:rsidR="009B3B54" w:rsidRDefault="00CE32C1" w:rsidP="009B3B54">
      <w:r>
        <w:t xml:space="preserve">These requirements allow us to assess individual project eligibility, as well as the overall </w:t>
      </w:r>
      <w:r w:rsidR="000D3764">
        <w:t xml:space="preserve">spending </w:t>
      </w:r>
      <w:r>
        <w:t xml:space="preserve">pattern of  the allowance. </w:t>
      </w:r>
      <w:r w:rsidR="009B3B54">
        <w:t xml:space="preserve">This information will assist us in determining how much of the allowance has been spent, what projects it has been spent on, and how distributors justify that expense with regard to the </w:t>
      </w:r>
      <w:r w:rsidR="00604F63">
        <w:t>Allowance</w:t>
      </w:r>
      <w:r w:rsidR="00B454CE">
        <w:t xml:space="preserve"> O</w:t>
      </w:r>
      <w:r w:rsidR="009B3B54">
        <w:t>bjective.</w:t>
      </w:r>
      <w:r w:rsidR="002B02A9">
        <w:t xml:space="preserve"> The expenditure information is </w:t>
      </w:r>
      <w:r w:rsidR="00A979CE">
        <w:t>required to be provided on a number of levels.</w:t>
      </w:r>
      <w:r w:rsidR="00CB45C7">
        <w:t xml:space="preserve"> The expenditure information must be given for</w:t>
      </w:r>
      <w:r w:rsidR="006A7E12">
        <w:t xml:space="preserve"> each project on an annual basis. </w:t>
      </w:r>
      <w:r w:rsidR="00946C77">
        <w:t>A breakdown of the</w:t>
      </w:r>
      <w:r w:rsidR="006A7E12">
        <w:t xml:space="preserve"> cumulative expenditure on the project</w:t>
      </w:r>
      <w:r w:rsidR="00946C77">
        <w:t xml:space="preserve"> should also form part of the report</w:t>
      </w:r>
      <w:r w:rsidR="00CB45C7">
        <w:t>.</w:t>
      </w:r>
      <w:r w:rsidR="009B3B54">
        <w:t xml:space="preserve"> This information, considered together</w:t>
      </w:r>
      <w:r w:rsidR="00CB45C7">
        <w:t xml:space="preserve">, will allow </w:t>
      </w:r>
      <w:r w:rsidR="00F94118">
        <w:t>us</w:t>
      </w:r>
      <w:r w:rsidR="00CB45C7">
        <w:t xml:space="preserve"> to track the amount of the allowance </w:t>
      </w:r>
      <w:r w:rsidR="000D3764">
        <w:t>distributors are spending. We can then q</w:t>
      </w:r>
      <w:r w:rsidR="00CB45C7">
        <w:t>uickly gain a broad outline of the projects a given distributor is undertaking, and what the</w:t>
      </w:r>
      <w:r w:rsidR="000D3764">
        <w:t xml:space="preserve"> distributor's </w:t>
      </w:r>
      <w:r w:rsidR="00CB45C7">
        <w:t>plan</w:t>
      </w:r>
      <w:r w:rsidR="00943EB7">
        <w:t>s</w:t>
      </w:r>
      <w:r w:rsidR="00CB45C7">
        <w:t xml:space="preserve"> </w:t>
      </w:r>
      <w:r w:rsidR="00943EB7">
        <w:t>are</w:t>
      </w:r>
      <w:r w:rsidR="00CB45C7">
        <w:t xml:space="preserve"> for that project</w:t>
      </w:r>
      <w:r w:rsidR="000A1C7A">
        <w:t>.</w:t>
      </w:r>
    </w:p>
    <w:p w:rsidR="00CE32C1" w:rsidRDefault="00CB45C7" w:rsidP="00A74803">
      <w:r>
        <w:lastRenderedPageBreak/>
        <w:t xml:space="preserve">The report will also require a statement signed by a director of the distributor certifying that costs </w:t>
      </w:r>
      <w:r w:rsidR="009E4BA6">
        <w:t xml:space="preserve">recovered under the </w:t>
      </w:r>
      <w:r w:rsidR="006E7A82">
        <w:t>allowance</w:t>
      </w:r>
      <w:r w:rsidR="009E4BA6">
        <w:t xml:space="preserve"> are not </w:t>
      </w:r>
      <w:r w:rsidR="007E6FD2">
        <w:t>recoverable</w:t>
      </w:r>
      <w:r w:rsidR="009E4BA6">
        <w:t xml:space="preserve"> under any other incentive scheme. </w:t>
      </w:r>
      <w:r w:rsidR="00D975E2">
        <w:t>The NER mandate this, to prevent distributors from '</w:t>
      </w:r>
      <w:r w:rsidR="000D3764">
        <w:t>d</w:t>
      </w:r>
      <w:r w:rsidR="00D975E2">
        <w:t xml:space="preserve">ouble </w:t>
      </w:r>
      <w:r w:rsidR="000D3764">
        <w:t>d</w:t>
      </w:r>
      <w:r w:rsidR="00D975E2">
        <w:t>ipping' and receiving payme</w:t>
      </w:r>
      <w:r w:rsidR="009B5A1D">
        <w:t xml:space="preserve">nt for the project costs twice. </w:t>
      </w:r>
      <w:r w:rsidR="007E6FD2">
        <w:t xml:space="preserve">These requirements also aim to reserve the allowance for projects that are innovative, and not simply otherwise efficient projects for which the distributor should have made provision in their forecasts. </w:t>
      </w:r>
      <w:r w:rsidR="00CE32C1">
        <w:t xml:space="preserve">This will help encourage truly innovative projects, rather than otherwise </w:t>
      </w:r>
      <w:r w:rsidR="00E9545B">
        <w:t xml:space="preserve">efficient and </w:t>
      </w:r>
      <w:r w:rsidR="00CE32C1">
        <w:t xml:space="preserve">prudent </w:t>
      </w:r>
      <w:r w:rsidR="00D975E2">
        <w:t>projects that</w:t>
      </w:r>
      <w:r w:rsidR="00CE32C1">
        <w:t xml:space="preserve"> a distributor </w:t>
      </w:r>
      <w:r w:rsidR="00E9545B">
        <w:t>should have provided for in its regulatory proposal.</w:t>
      </w:r>
      <w:r w:rsidR="00E9545B">
        <w:rPr>
          <w:rStyle w:val="FootnoteReference"/>
        </w:rPr>
        <w:footnoteReference w:id="30"/>
      </w:r>
    </w:p>
    <w:p w:rsidR="00CB45C7" w:rsidRDefault="00AF244B" w:rsidP="006D39FD">
      <w:pPr>
        <w:pStyle w:val="Heading2"/>
      </w:pPr>
      <w:bookmarkStart w:id="49" w:name="_Toc491360660"/>
      <w:r>
        <w:t>Project specific r</w:t>
      </w:r>
      <w:r w:rsidR="009B3B54">
        <w:t>eport</w:t>
      </w:r>
      <w:r w:rsidR="00CB45C7">
        <w:t>s</w:t>
      </w:r>
      <w:bookmarkEnd w:id="49"/>
    </w:p>
    <w:p w:rsidR="007E6FD2" w:rsidRDefault="00CB45C7" w:rsidP="00CB45C7">
      <w:r>
        <w:t>Included in the overall report</w:t>
      </w:r>
      <w:r w:rsidR="009E4BA6">
        <w:t xml:space="preserve"> must be project specific reports. The subordinate clauses to subclause 2.4(3)(d)</w:t>
      </w:r>
      <w:r w:rsidR="007E6FD2">
        <w:t xml:space="preserve"> of the </w:t>
      </w:r>
      <w:r w:rsidR="000D3764">
        <w:t>d</w:t>
      </w:r>
      <w:r w:rsidR="007E6FD2">
        <w:t>raft Mechanism</w:t>
      </w:r>
      <w:r w:rsidR="000A1C7A">
        <w:t xml:space="preserve"> set</w:t>
      </w:r>
      <w:r w:rsidR="009E4BA6">
        <w:t xml:space="preserve"> out </w:t>
      </w:r>
      <w:r w:rsidR="007E6FD2">
        <w:t>the requirements for these project specific reports.</w:t>
      </w:r>
    </w:p>
    <w:p w:rsidR="009E54EE" w:rsidRDefault="006E7A82" w:rsidP="00CB45C7">
      <w:r>
        <w:t xml:space="preserve">Distributors will provide </w:t>
      </w:r>
      <w:r w:rsidR="00F94118">
        <w:t>us</w:t>
      </w:r>
      <w:r>
        <w:t xml:space="preserve"> with an overview of the project, setting out</w:t>
      </w:r>
      <w:r w:rsidR="000D3764">
        <w:t>:</w:t>
      </w:r>
      <w:r>
        <w:t xml:space="preserve"> </w:t>
      </w:r>
    </w:p>
    <w:p w:rsidR="009E54EE" w:rsidRDefault="00B62274" w:rsidP="009E54EE">
      <w:pPr>
        <w:pStyle w:val="AERbulletlistfirststyle"/>
      </w:pPr>
      <w:r>
        <w:t xml:space="preserve">the project's </w:t>
      </w:r>
      <w:r w:rsidR="006E7A82">
        <w:t>nature and scope</w:t>
      </w:r>
      <w:r w:rsidR="000D3764">
        <w:t>;</w:t>
      </w:r>
    </w:p>
    <w:p w:rsidR="009E54EE" w:rsidRDefault="006E7A82" w:rsidP="009E54EE">
      <w:pPr>
        <w:pStyle w:val="AERbulletlistfirststyle"/>
      </w:pPr>
      <w:r>
        <w:t>aims and expectations</w:t>
      </w:r>
      <w:r w:rsidR="00B62274">
        <w:t xml:space="preserve"> of the project</w:t>
      </w:r>
      <w:r w:rsidR="000D3764">
        <w:t>;</w:t>
      </w:r>
    </w:p>
    <w:p w:rsidR="009E54EE" w:rsidRDefault="006E7A82" w:rsidP="009E54EE">
      <w:pPr>
        <w:pStyle w:val="AERbulletlistfirststyle"/>
      </w:pPr>
      <w:r>
        <w:t>implementation approach and costs</w:t>
      </w:r>
      <w:r w:rsidR="000D3764">
        <w:t>;</w:t>
      </w:r>
    </w:p>
    <w:p w:rsidR="009E54EE" w:rsidRDefault="00B62274" w:rsidP="009E54EE">
      <w:pPr>
        <w:pStyle w:val="AERbulletlistfirststyle"/>
      </w:pPr>
      <w:r>
        <w:t xml:space="preserve">project </w:t>
      </w:r>
      <w:r w:rsidR="006E7A82">
        <w:t>results</w:t>
      </w:r>
      <w:r>
        <w:t xml:space="preserve"> to date</w:t>
      </w:r>
      <w:r w:rsidR="000D3764">
        <w:t>;</w:t>
      </w:r>
    </w:p>
    <w:p w:rsidR="009E54EE" w:rsidRDefault="006E7A82" w:rsidP="009E54EE">
      <w:pPr>
        <w:pStyle w:val="AERbulletlistfirststyle"/>
      </w:pPr>
      <w:r>
        <w:t>how the project meets the project criter</w:t>
      </w:r>
      <w:r w:rsidR="009E54EE">
        <w:t>ia in section 2.2.1</w:t>
      </w:r>
      <w:r w:rsidR="000D3764">
        <w:t>; and</w:t>
      </w:r>
    </w:p>
    <w:p w:rsidR="00041A0E" w:rsidRDefault="006E7A82" w:rsidP="00CB45C7">
      <w:pPr>
        <w:pStyle w:val="AERbulletlistfirststyle"/>
      </w:pPr>
      <w:r>
        <w:t>any other information that would require an informed observer to understand, evaluate and potentially reproduce the approach used.</w:t>
      </w:r>
    </w:p>
    <w:p w:rsidR="005E21C4" w:rsidRDefault="00041A0E" w:rsidP="00CB45C7">
      <w:r w:rsidRPr="00041A0E">
        <w:t xml:space="preserve">These requirements </w:t>
      </w:r>
      <w:r w:rsidR="00D81DDC">
        <w:t>aim</w:t>
      </w:r>
      <w:r w:rsidRPr="00041A0E">
        <w:t xml:space="preserve"> to provide specific benefits to industry and </w:t>
      </w:r>
      <w:r w:rsidR="000D3764">
        <w:t>market participants</w:t>
      </w:r>
      <w:r w:rsidRPr="00041A0E">
        <w:t>.</w:t>
      </w:r>
      <w:r w:rsidR="005E21C4">
        <w:t xml:space="preserve"> </w:t>
      </w:r>
      <w:r w:rsidR="00E95274">
        <w:t>We have chosen to require individual reports for each project to help standardise the quality and presentation of these reports. The report requirements</w:t>
      </w:r>
      <w:r w:rsidRPr="00041A0E">
        <w:t xml:space="preserve"> formalise </w:t>
      </w:r>
      <w:r>
        <w:t>report</w:t>
      </w:r>
      <w:r w:rsidR="00E95274">
        <w:t xml:space="preserve">ing </w:t>
      </w:r>
      <w:r w:rsidR="007D72CB">
        <w:t xml:space="preserve">project </w:t>
      </w:r>
      <w:r>
        <w:t xml:space="preserve">results, which we identified as a key factor in the high quality project reports delivered under the previous </w:t>
      </w:r>
      <w:r w:rsidR="007D72CB">
        <w:t>DMIA</w:t>
      </w:r>
      <w:r>
        <w:t xml:space="preserve">. This is also true for the implementation approach and costs, which are required to robustly analyse and understand a given project. </w:t>
      </w:r>
      <w:r w:rsidR="007D72CB">
        <w:t>T</w:t>
      </w:r>
      <w:r w:rsidR="005E21C4">
        <w:t xml:space="preserve">hese requirements </w:t>
      </w:r>
      <w:r w:rsidR="007D72CB">
        <w:t>should</w:t>
      </w:r>
      <w:r w:rsidR="005E21C4">
        <w:t xml:space="preserve"> shift the focus of reporting towards the sociali</w:t>
      </w:r>
      <w:r w:rsidR="00B454CE">
        <w:t>s</w:t>
      </w:r>
      <w:r w:rsidR="005E21C4">
        <w:t xml:space="preserve">ation of knowledge gained from projects </w:t>
      </w:r>
      <w:r w:rsidR="007D72CB">
        <w:t>to</w:t>
      </w:r>
      <w:r w:rsidR="005E21C4">
        <w:t xml:space="preserve"> better serve the </w:t>
      </w:r>
      <w:r w:rsidR="00604F63">
        <w:t>Allowance</w:t>
      </w:r>
      <w:r w:rsidR="00B454CE">
        <w:t xml:space="preserve"> O</w:t>
      </w:r>
      <w:r w:rsidR="005E21C4">
        <w:t xml:space="preserve">bjective. </w:t>
      </w:r>
    </w:p>
    <w:p w:rsidR="00B2169F" w:rsidRDefault="005E21C4" w:rsidP="00CB45C7">
      <w:r>
        <w:t xml:space="preserve">To cement this focus on third party consideration, we have added the </w:t>
      </w:r>
      <w:r w:rsidR="00D975E2">
        <w:t>catchall</w:t>
      </w:r>
      <w:r>
        <w:t xml:space="preserve"> requirement to include other information that would help an informed observer </w:t>
      </w:r>
      <w:r w:rsidRPr="005E21C4">
        <w:t>understand and potenti</w:t>
      </w:r>
      <w:r>
        <w:t xml:space="preserve">ally reproduce the approach used. </w:t>
      </w:r>
    </w:p>
    <w:p w:rsidR="006E7A82" w:rsidRDefault="00946C77" w:rsidP="00CB45C7">
      <w:r>
        <w:t xml:space="preserve">We consider that these requirements will help </w:t>
      </w:r>
      <w:r w:rsidR="00F94118">
        <w:t>us</w:t>
      </w:r>
      <w:r>
        <w:t xml:space="preserve"> in assessing individual project compliance and </w:t>
      </w:r>
      <w:r w:rsidR="000A1C7A">
        <w:t>in building</w:t>
      </w:r>
      <w:r>
        <w:t xml:space="preserve"> market understanding of the potential applications for demand management.</w:t>
      </w:r>
    </w:p>
    <w:p w:rsidR="00946C77" w:rsidRDefault="00946C77" w:rsidP="00946C77">
      <w:pPr>
        <w:pStyle w:val="Heading2"/>
      </w:pPr>
      <w:bookmarkStart w:id="50" w:name="_Toc491360661"/>
      <w:r>
        <w:lastRenderedPageBreak/>
        <w:t>Treatment of confidential information</w:t>
      </w:r>
      <w:bookmarkEnd w:id="50"/>
    </w:p>
    <w:p w:rsidR="00946C77" w:rsidRDefault="00946C77" w:rsidP="00946C77">
      <w:r>
        <w:t xml:space="preserve">The compliance reporting requirements may </w:t>
      </w:r>
      <w:r w:rsidR="000A1C7A">
        <w:t xml:space="preserve">include </w:t>
      </w:r>
      <w:r>
        <w:t xml:space="preserve">confidential </w:t>
      </w:r>
      <w:r w:rsidR="000A1C7A">
        <w:t xml:space="preserve">third party </w:t>
      </w:r>
      <w:r>
        <w:t xml:space="preserve">information. </w:t>
      </w:r>
    </w:p>
    <w:p w:rsidR="00946C77" w:rsidRDefault="0058277B" w:rsidP="00946C77">
      <w:r>
        <w:t>If</w:t>
      </w:r>
      <w:r w:rsidR="00946C77">
        <w:t xml:space="preserve"> a distributor wishes to redact </w:t>
      </w:r>
      <w:r>
        <w:t>such</w:t>
      </w:r>
      <w:r w:rsidR="00946C77">
        <w:t xml:space="preserve"> information from their report</w:t>
      </w:r>
      <w:r w:rsidR="00127B21">
        <w:t>,</w:t>
      </w:r>
      <w:r w:rsidR="00946C77">
        <w:t xml:space="preserve"> they must provide</w:t>
      </w:r>
      <w:r w:rsidR="00357209">
        <w:t xml:space="preserve"> two copies of the report to us, one un-redacted and one suitable for publication. The un-redacted version is required for us to assess compliance and the merits of the confidentiality claim. A statement setting out the reasoning for the confidentiality claim must accompany </w:t>
      </w:r>
      <w:r w:rsidR="00AC2D31">
        <w:t>the report</w:t>
      </w:r>
      <w:r w:rsidR="00357209">
        <w:t xml:space="preserve">. </w:t>
      </w:r>
      <w:r w:rsidR="00C60821">
        <w:t>Distributors must provide versions of the overall report and the project specific reports that are suitable for both compliance assessment and publication.</w:t>
      </w:r>
    </w:p>
    <w:p w:rsidR="00AC2D31" w:rsidRDefault="00357209" w:rsidP="00357209">
      <w:r>
        <w:t>The</w:t>
      </w:r>
      <w:r w:rsidRPr="00504D09">
        <w:t xml:space="preserve"> distributor</w:t>
      </w:r>
      <w:r>
        <w:t xml:space="preserve"> cannot fully redact the</w:t>
      </w:r>
      <w:r w:rsidRPr="00504D09">
        <w:t xml:space="preserve"> project’s aim, methods, implementation, results, analysis and implications</w:t>
      </w:r>
      <w:r w:rsidR="009E54EE">
        <w:t>. These must be</w:t>
      </w:r>
      <w:r w:rsidRPr="00504D09">
        <w:t xml:space="preserve"> </w:t>
      </w:r>
      <w:r w:rsidR="009E54EE">
        <w:t xml:space="preserve">available via the report in </w:t>
      </w:r>
      <w:r w:rsidR="005C30EF">
        <w:t xml:space="preserve">a </w:t>
      </w:r>
      <w:r w:rsidR="009E54EE">
        <w:t>form</w:t>
      </w:r>
      <w:r w:rsidR="005C30EF">
        <w:t xml:space="preserve"> that provides a reasonable level of information to the industry to further develop and innovate</w:t>
      </w:r>
      <w:r w:rsidR="009E54EE">
        <w:t>.</w:t>
      </w:r>
    </w:p>
    <w:p w:rsidR="00357209" w:rsidRPr="00946C77" w:rsidRDefault="00AC2D31" w:rsidP="00946C77">
      <w:r>
        <w:t xml:space="preserve">These procedures will </w:t>
      </w:r>
      <w:r w:rsidR="00127B21">
        <w:t>encourage</w:t>
      </w:r>
      <w:r>
        <w:t xml:space="preserve"> distributors </w:t>
      </w:r>
      <w:r w:rsidR="00127B21">
        <w:t>to be</w:t>
      </w:r>
      <w:r>
        <w:t xml:space="preserve"> candid where they can be in reports, while protecting information of third parties</w:t>
      </w:r>
      <w:r w:rsidR="000A1C7A">
        <w:t xml:space="preserve"> where appropriate</w:t>
      </w:r>
      <w:r>
        <w:t>,</w:t>
      </w:r>
      <w:r w:rsidR="00127B21">
        <w:t xml:space="preserve"> so that</w:t>
      </w:r>
      <w:r w:rsidR="000A1C7A">
        <w:t xml:space="preserve"> stakeholders</w:t>
      </w:r>
      <w:r w:rsidR="00127B21">
        <w:t xml:space="preserve"> can easily</w:t>
      </w:r>
      <w:r>
        <w:t xml:space="preserve"> </w:t>
      </w:r>
      <w:r w:rsidR="000A1C7A">
        <w:t>access information regarding</w:t>
      </w:r>
      <w:r>
        <w:t xml:space="preserve"> projects funded under the Mechanism. </w:t>
      </w:r>
      <w:r w:rsidR="00357209" w:rsidRPr="00504D09">
        <w:t xml:space="preserve"> </w:t>
      </w:r>
      <w:r w:rsidR="00127B21">
        <w:t xml:space="preserve"> </w:t>
      </w:r>
    </w:p>
    <w:p w:rsidR="001A6C00" w:rsidRDefault="001A6C00" w:rsidP="001A6C00">
      <w:pPr>
        <w:pStyle w:val="Heading2"/>
      </w:pPr>
      <w:bookmarkStart w:id="51" w:name="_Ref483926985"/>
      <w:bookmarkStart w:id="52" w:name="_Toc491360662"/>
      <w:r w:rsidRPr="000B2CBF">
        <w:t>AER use of compliance report</w:t>
      </w:r>
      <w:bookmarkEnd w:id="51"/>
      <w:bookmarkEnd w:id="52"/>
      <w:r w:rsidRPr="000B2CBF">
        <w:t xml:space="preserve"> </w:t>
      </w:r>
    </w:p>
    <w:p w:rsidR="00AC2D31" w:rsidRDefault="00AC2D31" w:rsidP="00AC2D31">
      <w:r>
        <w:t>In the first instance, t</w:t>
      </w:r>
      <w:r w:rsidRPr="00946C77">
        <w:t xml:space="preserve">he information provided in a distributor's annual </w:t>
      </w:r>
      <w:r w:rsidR="00127B21">
        <w:t xml:space="preserve">overall </w:t>
      </w:r>
      <w:r w:rsidRPr="00946C77">
        <w:t xml:space="preserve">report will form the basis, together with associated individual project or program reports, for </w:t>
      </w:r>
      <w:r>
        <w:t>our</w:t>
      </w:r>
      <w:r w:rsidRPr="00946C77">
        <w:t xml:space="preserve"> assessment of the distributor's compliance with the project criteria, and its entitlement to recover expenditure under the </w:t>
      </w:r>
      <w:r w:rsidR="00127B21">
        <w:t>M</w:t>
      </w:r>
      <w:r w:rsidRPr="00946C77">
        <w:t>echanism.</w:t>
      </w:r>
      <w:r w:rsidR="002774E4">
        <w:t xml:space="preserve"> Under both the </w:t>
      </w:r>
      <w:r w:rsidR="00127B21">
        <w:t>current DMIA</w:t>
      </w:r>
      <w:r w:rsidR="002774E4">
        <w:t xml:space="preserve"> and the new Mechanism</w:t>
      </w:r>
      <w:r w:rsidR="00127B21">
        <w:t>,</w:t>
      </w:r>
      <w:r w:rsidR="002774E4">
        <w:t xml:space="preserve"> we conduct ex-post reviews of projects to determine their compliance with the project criteria.</w:t>
      </w:r>
      <w:r w:rsidRPr="00946C77">
        <w:t xml:space="preserve"> </w:t>
      </w:r>
      <w:r>
        <w:t>These compliance</w:t>
      </w:r>
      <w:r w:rsidR="00127B21">
        <w:t>-</w:t>
      </w:r>
      <w:r>
        <w:t xml:space="preserve">based uses for the report are vital to the ongoing integrity of the </w:t>
      </w:r>
      <w:r w:rsidR="00127B21">
        <w:t>M</w:t>
      </w:r>
      <w:r>
        <w:t>echanism.</w:t>
      </w:r>
      <w:r w:rsidR="002774E4">
        <w:t xml:space="preserve"> </w:t>
      </w:r>
    </w:p>
    <w:p w:rsidR="00AC2D31" w:rsidRDefault="00AC2D31" w:rsidP="00AC2D31">
      <w:r>
        <w:t>Beyond these compliance uses, t</w:t>
      </w:r>
      <w:r w:rsidRPr="00946C77">
        <w:t xml:space="preserve">his information will assist </w:t>
      </w:r>
      <w:r w:rsidR="00F94118">
        <w:t>us</w:t>
      </w:r>
      <w:r w:rsidRPr="00946C77">
        <w:t xml:space="preserve"> in </w:t>
      </w:r>
      <w:r w:rsidR="00127B21">
        <w:t>making informed improvements in</w:t>
      </w:r>
      <w:r w:rsidRPr="00946C77">
        <w:t xml:space="preserve"> potential revision/s of this </w:t>
      </w:r>
      <w:r w:rsidR="00127B21">
        <w:t>M</w:t>
      </w:r>
      <w:r w:rsidRPr="00946C77">
        <w:t>echanism</w:t>
      </w:r>
    </w:p>
    <w:p w:rsidR="001D5EF5" w:rsidRDefault="001D5EF5" w:rsidP="006B3EFB">
      <w:r>
        <w:t xml:space="preserve">Further, we will compile a report, comparing the performance of </w:t>
      </w:r>
      <w:r w:rsidR="000A1C7A">
        <w:t xml:space="preserve">all </w:t>
      </w:r>
      <w:r>
        <w:t xml:space="preserve">distributors, both in terms of compliance and efficacy. We consider that </w:t>
      </w:r>
      <w:r w:rsidR="00140FC2">
        <w:t>this</w:t>
      </w:r>
      <w:r>
        <w:t xml:space="preserve"> report will serve as a helpful resource for the market to understand the development of</w:t>
      </w:r>
      <w:r w:rsidR="0077483F">
        <w:t xml:space="preserve"> innovative</w:t>
      </w:r>
      <w:r>
        <w:t xml:space="preserve"> demand management</w:t>
      </w:r>
      <w:r w:rsidR="0077483F">
        <w:t xml:space="preserve"> practices</w:t>
      </w:r>
      <w:r>
        <w:t xml:space="preserve">. It will also allow the market to understand which </w:t>
      </w:r>
      <w:r w:rsidR="0077483F">
        <w:t xml:space="preserve">distributors </w:t>
      </w:r>
      <w:r>
        <w:t xml:space="preserve">are performing well and are active in this space. Over the long </w:t>
      </w:r>
      <w:r w:rsidR="00361A78">
        <w:t>term,</w:t>
      </w:r>
      <w:r>
        <w:t xml:space="preserve"> we hope that this will help to encourage a culture of innovation in the market. We will also use this report to gain an understanding of the overall direction of</w:t>
      </w:r>
      <w:r w:rsidR="0077483F">
        <w:t xml:space="preserve"> </w:t>
      </w:r>
      <w:r>
        <w:t xml:space="preserve">demand management </w:t>
      </w:r>
      <w:r w:rsidR="0077483F">
        <w:t>in electricity networks.</w:t>
      </w:r>
      <w:r>
        <w:t xml:space="preserve"> </w:t>
      </w:r>
    </w:p>
    <w:p w:rsidR="001A6C00" w:rsidRDefault="001D5EF5" w:rsidP="001A6C00">
      <w:r>
        <w:t xml:space="preserve">Finally, we will publish project specific reports separately </w:t>
      </w:r>
      <w:r w:rsidR="0077483F">
        <w:t xml:space="preserve">on </w:t>
      </w:r>
      <w:r>
        <w:t>our website or an online portal. Th</w:t>
      </w:r>
      <w:r w:rsidR="0077483F">
        <w:t xml:space="preserve">ese publications </w:t>
      </w:r>
      <w:r>
        <w:t xml:space="preserve">will allow detailed technical information to be easily accessed by businesses </w:t>
      </w:r>
      <w:r w:rsidR="0077483F">
        <w:t>and other</w:t>
      </w:r>
      <w:r>
        <w:t xml:space="preserve"> interested parties so they can fully understand the</w:t>
      </w:r>
      <w:r w:rsidR="00361A78">
        <w:t xml:space="preserve"> testing procedure for a given project</w:t>
      </w:r>
      <w:r w:rsidR="00F6620A">
        <w:t>.</w:t>
      </w:r>
    </w:p>
    <w:p w:rsidR="001A6C00" w:rsidRDefault="001A6C00" w:rsidP="001A6C00">
      <w:pPr>
        <w:pStyle w:val="Heading1"/>
      </w:pPr>
      <w:bookmarkStart w:id="53" w:name="_Toc491360663"/>
      <w:r>
        <w:lastRenderedPageBreak/>
        <w:t>Application of carryover</w:t>
      </w:r>
      <w:bookmarkEnd w:id="53"/>
    </w:p>
    <w:p w:rsidR="004B4EBA" w:rsidRDefault="001A6C00" w:rsidP="00A862E2">
      <w:r>
        <w:t>Clause 2.5</w:t>
      </w:r>
      <w:r w:rsidR="00E5584C">
        <w:t xml:space="preserve"> of the draft </w:t>
      </w:r>
      <w:r>
        <w:t>Mechanism</w:t>
      </w:r>
      <w:r w:rsidR="00E5584C">
        <w:t xml:space="preserve"> describes </w:t>
      </w:r>
      <w:r w:rsidR="00AD7A4C">
        <w:t xml:space="preserve">the process for passing </w:t>
      </w:r>
      <w:r w:rsidR="004B4EBA">
        <w:t>any underspend of the allowance.</w:t>
      </w:r>
      <w:r w:rsidR="0077483F">
        <w:t xml:space="preserve"> Under the Mechanism, distributors will bear any overspends of the allowance.</w:t>
      </w:r>
    </w:p>
    <w:p w:rsidR="004D46D8" w:rsidRDefault="004B4EBA" w:rsidP="00A862E2">
      <w:r>
        <w:t>Th</w:t>
      </w:r>
      <w:r w:rsidR="0077483F">
        <w:t>e carryover</w:t>
      </w:r>
      <w:r>
        <w:t xml:space="preserve"> process aims to make </w:t>
      </w:r>
      <w:r w:rsidR="0077483F">
        <w:t xml:space="preserve">distributors neutral towards </w:t>
      </w:r>
      <w:r>
        <w:t>the expenditure profile</w:t>
      </w:r>
      <w:r w:rsidR="0077483F">
        <w:t xml:space="preserve"> they take under</w:t>
      </w:r>
      <w:r>
        <w:t xml:space="preserve"> the </w:t>
      </w:r>
      <w:r w:rsidR="0077483F">
        <w:t>M</w:t>
      </w:r>
      <w:r>
        <w:t>echanism</w:t>
      </w:r>
      <w:r w:rsidR="0077483F" w:rsidRPr="0077483F">
        <w:t xml:space="preserve"> </w:t>
      </w:r>
      <w:r w:rsidR="0077483F" w:rsidRPr="00A862E2">
        <w:t>over the regulatory control period</w:t>
      </w:r>
      <w:r>
        <w:t xml:space="preserve">. </w:t>
      </w:r>
      <w:r w:rsidR="0077483F">
        <w:t xml:space="preserve">It entails a revenue </w:t>
      </w:r>
      <w:r w:rsidR="00A862E2" w:rsidRPr="00A862E2">
        <w:t>adjustment</w:t>
      </w:r>
      <w:r w:rsidR="0077483F">
        <w:t>, which is</w:t>
      </w:r>
      <w:r w:rsidR="00A862E2" w:rsidRPr="00A862E2">
        <w:t xml:space="preserve"> calculated </w:t>
      </w:r>
      <w:r w:rsidR="00F94118">
        <w:t>so that</w:t>
      </w:r>
      <w:r w:rsidR="00A862E2" w:rsidRPr="00A862E2">
        <w:t xml:space="preserve"> the </w:t>
      </w:r>
      <w:r w:rsidR="00F94118">
        <w:t>distributor</w:t>
      </w:r>
      <w:r w:rsidR="00F94118" w:rsidRPr="00A862E2">
        <w:t xml:space="preserve"> </w:t>
      </w:r>
      <w:r w:rsidR="00A862E2" w:rsidRPr="00A862E2">
        <w:t xml:space="preserve">is indifferent in </w:t>
      </w:r>
      <w:r w:rsidR="0077483F">
        <w:t>net present value (</w:t>
      </w:r>
      <w:r w:rsidR="00A862E2" w:rsidRPr="00A862E2">
        <w:t>NPV</w:t>
      </w:r>
      <w:r w:rsidR="0077483F">
        <w:t>)</w:t>
      </w:r>
      <w:r w:rsidR="00A862E2" w:rsidRPr="00A862E2">
        <w:t xml:space="preserve"> terms to the expenditure profile </w:t>
      </w:r>
      <w:r w:rsidR="00F94118">
        <w:t xml:space="preserve">it selects </w:t>
      </w:r>
      <w:r w:rsidR="00A862E2" w:rsidRPr="00A862E2">
        <w:t xml:space="preserve">over the regulatory control period. This removes any incentive for the </w:t>
      </w:r>
      <w:r w:rsidR="00F94118">
        <w:t>distributor</w:t>
      </w:r>
      <w:r w:rsidR="00F94118" w:rsidRPr="00A862E2">
        <w:t xml:space="preserve"> </w:t>
      </w:r>
      <w:r w:rsidR="00A862E2" w:rsidRPr="00A862E2">
        <w:t>to defer or advance expenditure.</w:t>
      </w:r>
    </w:p>
    <w:p w:rsidR="00485B07" w:rsidRDefault="0052133A" w:rsidP="00A862E2">
      <w:r>
        <w:t xml:space="preserve">Currently, distribution control mechanisms include a </w:t>
      </w:r>
      <w:r w:rsidR="0077483F">
        <w:t>'</w:t>
      </w:r>
      <w:r>
        <w:t>k</w:t>
      </w:r>
      <w:r w:rsidR="0077483F">
        <w:t>'</w:t>
      </w:r>
      <w:r>
        <w:t xml:space="preserve"> factor which performs this function</w:t>
      </w:r>
      <w:r w:rsidR="00485B07">
        <w:t xml:space="preserve">. </w:t>
      </w:r>
      <w:r w:rsidR="009E54EE">
        <w:t>This factor is still appropriate for this purpose, and we do not propose to change it</w:t>
      </w:r>
      <w:r>
        <w:t xml:space="preserve">. </w:t>
      </w:r>
      <w:r w:rsidR="004D46D8">
        <w:t xml:space="preserve">We are however proposing </w:t>
      </w:r>
      <w:r w:rsidR="0077483F">
        <w:t>a more concise version of</w:t>
      </w:r>
      <w:r w:rsidR="004D46D8">
        <w:t xml:space="preserve"> the formula for calculating the carryover </w:t>
      </w:r>
      <w:r w:rsidR="00140FC2">
        <w:t xml:space="preserve">to what </w:t>
      </w:r>
      <w:r w:rsidR="0077483F">
        <w:t>we include in the current DMIA</w:t>
      </w:r>
      <w:r w:rsidR="00140FC2">
        <w:t>.</w:t>
      </w:r>
      <w:r w:rsidR="00891270">
        <w:t xml:space="preserve"> We have also updated this formula to account for the annual updating of the allowed rate of return. However, the purpose and function of the</w:t>
      </w:r>
      <w:r w:rsidR="00140FC2">
        <w:t xml:space="preserve"> formula has not changed. </w:t>
      </w:r>
    </w:p>
    <w:p w:rsidR="00887D10" w:rsidRDefault="00887D10" w:rsidP="00A862E2">
      <w:r>
        <w:t>Essentially this involves calculating the total allowance spent</w:t>
      </w:r>
      <w:r w:rsidR="00A862E2">
        <w:t xml:space="preserve"> in a regulatory control period</w:t>
      </w:r>
      <w:r>
        <w:t xml:space="preserve"> in the last year of </w:t>
      </w:r>
      <w:r w:rsidR="0077483F">
        <w:t>that</w:t>
      </w:r>
      <w:r>
        <w:t xml:space="preserve"> period, and returning</w:t>
      </w:r>
      <w:r w:rsidR="00A862E2">
        <w:t xml:space="preserve"> </w:t>
      </w:r>
      <w:r w:rsidR="00140FC2">
        <w:t>any underspend of the allowance</w:t>
      </w:r>
      <w:r w:rsidR="00A862E2">
        <w:t xml:space="preserve"> </w:t>
      </w:r>
      <w:r>
        <w:t xml:space="preserve">to consumers via a negative pass through in the second year of the next regulatory control period. </w:t>
      </w:r>
      <w:r w:rsidR="00140FC2">
        <w:t>Th</w:t>
      </w:r>
      <w:r w:rsidR="00917237">
        <w:t xml:space="preserve">is </w:t>
      </w:r>
      <w:r w:rsidR="00140FC2">
        <w:t>formula</w:t>
      </w:r>
      <w:r w:rsidR="00917237">
        <w:t xml:space="preserve">, as presented in </w:t>
      </w:r>
      <w:r w:rsidR="00917237">
        <w:fldChar w:fldCharType="begin"/>
      </w:r>
      <w:r w:rsidR="00917237">
        <w:instrText xml:space="preserve"> REF  _Ref486927291 \* Lower \h </w:instrText>
      </w:r>
      <w:r w:rsidR="00917237">
        <w:fldChar w:fldCharType="separate"/>
      </w:r>
      <w:r w:rsidR="00755D05">
        <w:t xml:space="preserve">equation </w:t>
      </w:r>
      <w:r w:rsidR="00755D05">
        <w:rPr>
          <w:noProof/>
        </w:rPr>
        <w:t>2</w:t>
      </w:r>
      <w:r w:rsidR="00917237">
        <w:fldChar w:fldCharType="end"/>
      </w:r>
      <w:r w:rsidR="00917237">
        <w:t>,</w:t>
      </w:r>
      <w:r w:rsidR="00140FC2">
        <w:t xml:space="preserve"> aims to capture the time value of money in this calculation.</w:t>
      </w:r>
    </w:p>
    <w:p w:rsidR="001A6C00" w:rsidRDefault="001A6C00" w:rsidP="001A6C00">
      <w:pPr>
        <w:pStyle w:val="Caption"/>
      </w:pPr>
      <w:bookmarkStart w:id="54" w:name="_Ref486927291"/>
      <w:r>
        <w:t xml:space="preserve">Equation </w:t>
      </w:r>
      <w:r w:rsidR="006F3834">
        <w:fldChar w:fldCharType="begin"/>
      </w:r>
      <w:r w:rsidR="006F3834">
        <w:instrText xml:space="preserve"> SEQ Equation \* ARABIC </w:instrText>
      </w:r>
      <w:r w:rsidR="006F3834">
        <w:fldChar w:fldCharType="separate"/>
      </w:r>
      <w:r w:rsidR="00755D05">
        <w:rPr>
          <w:noProof/>
        </w:rPr>
        <w:t>2</w:t>
      </w:r>
      <w:r w:rsidR="006F3834">
        <w:rPr>
          <w:noProof/>
        </w:rPr>
        <w:fldChar w:fldCharType="end"/>
      </w:r>
      <w:bookmarkEnd w:id="54"/>
      <w:r>
        <w:t>: Carryover amount, C for subsequent regulatory control period</w:t>
      </w:r>
    </w:p>
    <w:p w:rsidR="00891270" w:rsidRPr="00891270" w:rsidRDefault="001A6C00" w:rsidP="0077483F">
      <w:pPr>
        <w:pStyle w:val="LegalNumbering"/>
        <w:numPr>
          <w:ilvl w:val="0"/>
          <w:numId w:val="0"/>
        </w:numPr>
        <w:ind w:left="624"/>
        <w:rPr>
          <w:rFonts w:eastAsiaTheme="minorEastAsia"/>
        </w:rPr>
      </w:pPr>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e>
          </m:nary>
        </m:oMath>
      </m:oMathPara>
    </w:p>
    <w:p w:rsidR="001A6C00" w:rsidRPr="00891270" w:rsidRDefault="001A6C00" w:rsidP="0077483F">
      <w:pPr>
        <w:pStyle w:val="LegalNumbering"/>
        <w:numPr>
          <w:ilvl w:val="0"/>
          <w:numId w:val="0"/>
        </w:numPr>
        <w:ind w:left="624"/>
        <w:rPr>
          <w:rStyle w:val="AERbody"/>
          <w:rFonts w:eastAsiaTheme="minorEastAsia"/>
        </w:rPr>
      </w:pPr>
      <w:r w:rsidRPr="00BD3E46">
        <w:rPr>
          <w:rStyle w:val="AERbody"/>
        </w:rPr>
        <w:t>Where:</w:t>
      </w:r>
    </w:p>
    <w:p w:rsidR="00887D10" w:rsidRPr="00887D10" w:rsidRDefault="00887D10" w:rsidP="00887D10">
      <w:pPr>
        <w:pStyle w:val="AERbulletlistsecondstyle"/>
        <w:rPr>
          <w:rStyle w:val="AERbody"/>
        </w:rPr>
      </w:pPr>
      <w:r w:rsidRPr="00887D10">
        <w:rPr>
          <w:rStyle w:val="AERtextitalic"/>
        </w:rPr>
        <w:t>C</w:t>
      </w:r>
      <w:r>
        <w:rPr>
          <w:rStyle w:val="AERtextitalic"/>
        </w:rPr>
        <w:t xml:space="preserve"> </w:t>
      </w:r>
      <w:r w:rsidRPr="00887D10">
        <w:rPr>
          <w:rStyle w:val="AERbody"/>
        </w:rPr>
        <w:t>is the total carry over amount</w:t>
      </w:r>
      <w:r>
        <w:rPr>
          <w:rStyle w:val="AERbody"/>
        </w:rPr>
        <w:t>.</w:t>
      </w:r>
    </w:p>
    <w:p w:rsidR="001A6C00" w:rsidRDefault="001A6C00" w:rsidP="001A6C00">
      <w:pPr>
        <w:pStyle w:val="AERbulletlistsecondstyle"/>
        <w:rPr>
          <w:rStyle w:val="AERbody"/>
        </w:rPr>
      </w:pPr>
      <w:r w:rsidRPr="00BD3E46">
        <w:rPr>
          <w:rStyle w:val="AERtextitalic"/>
        </w:rPr>
        <w:t>t</w:t>
      </w:r>
      <w:r>
        <w:rPr>
          <w:rStyle w:val="AERbody"/>
        </w:rPr>
        <w:t xml:space="preserve"> is a </w:t>
      </w:r>
      <w:r w:rsidRPr="004B6E8B">
        <w:rPr>
          <w:rStyle w:val="AERbody"/>
        </w:rPr>
        <w:t>regulatory year</w:t>
      </w:r>
      <w:r w:rsidRPr="0077483F">
        <w:rPr>
          <w:rStyle w:val="AERbody"/>
        </w:rPr>
        <w:t>, which</w:t>
      </w:r>
      <w:r>
        <w:rPr>
          <w:rStyle w:val="AERbody"/>
        </w:rPr>
        <w:t xml:space="preserve"> can take the v</w:t>
      </w:r>
      <w:r w:rsidR="00891270">
        <w:rPr>
          <w:rStyle w:val="AERbody"/>
        </w:rPr>
        <w:t>alue of integers between 1 and N+2</w:t>
      </w:r>
      <w:r w:rsidR="00A862E2">
        <w:rPr>
          <w:rStyle w:val="AERbody"/>
        </w:rPr>
        <w:t xml:space="preserve">, </w:t>
      </w:r>
      <w:r w:rsidR="00891270">
        <w:rPr>
          <w:rStyle w:val="AERbody"/>
        </w:rPr>
        <w:t>where N is the number of regulatory years in the distributor's regulatory control period for which the carryover is being calculated.</w:t>
      </w:r>
    </w:p>
    <w:p w:rsidR="001A6C00" w:rsidRPr="00BD3E46" w:rsidRDefault="006F3834" w:rsidP="001A6C00">
      <w:pPr>
        <w:pStyle w:val="AERbulletlistsecond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A6C00">
        <w:t xml:space="preserve"> is the </w:t>
      </w:r>
      <w:r w:rsidR="001A6C00" w:rsidRPr="00522FBA">
        <w:t xml:space="preserve">ex-ante revenue allowance </w:t>
      </w:r>
      <w:r w:rsidR="001A6C00" w:rsidRPr="004B6E8B">
        <w:rPr>
          <w:rStyle w:val="AERbody"/>
        </w:rPr>
        <w:t>under th</w:t>
      </w:r>
      <w:r w:rsidR="0077483F">
        <w:rPr>
          <w:rStyle w:val="AERbody"/>
        </w:rPr>
        <w:t>e M</w:t>
      </w:r>
      <w:r w:rsidR="001A6C00" w:rsidRPr="004B6E8B">
        <w:rPr>
          <w:rStyle w:val="AERbody"/>
        </w:rPr>
        <w:t>echanism for regulatory year</w:t>
      </w:r>
      <w:r w:rsidR="001A6C00">
        <w:t xml:space="preserve">, </w:t>
      </w:r>
      <w:r w:rsidR="001A6C00" w:rsidRPr="00BD3E46">
        <w:rPr>
          <w:rStyle w:val="AERtextitalic"/>
        </w:rPr>
        <w:t>t</w:t>
      </w:r>
      <w:r w:rsidR="001A6C00">
        <w:t>.</w:t>
      </w:r>
    </w:p>
    <w:p w:rsidR="001A6C00" w:rsidRDefault="006F3834" w:rsidP="001A6C00">
      <w:pPr>
        <w:pStyle w:val="AERbulletlistsecondstyle"/>
        <w:rPr>
          <w:rStyle w:val="AERbody"/>
        </w:rPr>
      </w:pPr>
      <m:oMath>
        <m:sSub>
          <m:sSubPr>
            <m:ctrlPr>
              <w:rPr>
                <w:rFonts w:ascii="Cambria Math" w:hAnsi="Cambria Math"/>
              </w:rPr>
            </m:ctrlPr>
          </m:sSubPr>
          <m:e>
            <m:r>
              <w:rPr>
                <w:rFonts w:ascii="Cambria Math" w:hAnsi="Cambria Math"/>
              </w:rPr>
              <m:t>A</m:t>
            </m:r>
          </m:e>
          <m:sub>
            <m:r>
              <w:rPr>
                <w:rFonts w:ascii="Cambria Math" w:hAnsi="Cambria Math"/>
              </w:rPr>
              <m:t>t</m:t>
            </m:r>
          </m:sub>
        </m:sSub>
      </m:oMath>
      <w:r w:rsidR="001A6C00" w:rsidRPr="00147D3B">
        <w:t xml:space="preserve"> </w:t>
      </w:r>
      <w:r w:rsidR="001A6C00">
        <w:t xml:space="preserve">is </w:t>
      </w:r>
      <w:r w:rsidR="001A6C00" w:rsidRPr="004B6E8B">
        <w:rPr>
          <w:rStyle w:val="AERbody"/>
        </w:rPr>
        <w:t>the expenditure approved ex-post under th</w:t>
      </w:r>
      <w:r w:rsidR="00917237">
        <w:rPr>
          <w:rStyle w:val="AERbody"/>
        </w:rPr>
        <w:t>e M</w:t>
      </w:r>
      <w:r w:rsidR="001A6C00" w:rsidRPr="004B6E8B">
        <w:rPr>
          <w:rStyle w:val="AERbody"/>
        </w:rPr>
        <w:t>echanism for regulatory year</w:t>
      </w:r>
      <w:r w:rsidR="001A6C00" w:rsidRPr="00147D3B">
        <w:t xml:space="preserve">, </w:t>
      </w:r>
      <w:r w:rsidR="001A6C00" w:rsidRPr="00147D3B">
        <w:rPr>
          <w:rStyle w:val="AERtextitalic"/>
        </w:rPr>
        <w:t>t</w:t>
      </w:r>
      <w:r w:rsidR="001A6C00" w:rsidRPr="00147D3B">
        <w:t>.</w:t>
      </w:r>
    </w:p>
    <w:p w:rsidR="001A6C00" w:rsidRPr="00BD3E46" w:rsidRDefault="006F3834" w:rsidP="00891270">
      <w:pPr>
        <w:pStyle w:val="AERbulletlistsecondstyle"/>
        <w:rPr>
          <w:rStyle w:val="AERbody"/>
        </w:rPr>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A6C00">
        <w:rPr>
          <w:rStyle w:val="AERbody"/>
        </w:rPr>
        <w:t xml:space="preserve"> is</w:t>
      </w:r>
      <w:r w:rsidR="00891270" w:rsidRPr="00891270">
        <w:rPr>
          <w:rStyle w:val="AERbody"/>
        </w:rPr>
        <w:t xml:space="preserve"> the allowed rate of return in  regulatory year, t. In equation 1, t can take the value of 1 to N+2, with 1 referring to the first regulatory year of the regulatory control period in which the expenditure was incurred, and N+2 referring to the second regulatory year of the subse</w:t>
      </w:r>
      <w:r w:rsidR="00891270">
        <w:rPr>
          <w:rStyle w:val="AERbody"/>
        </w:rPr>
        <w:t>quent regulatory control period</w:t>
      </w:r>
      <w:r w:rsidR="00A862E2">
        <w:rPr>
          <w:rStyle w:val="AERbody"/>
        </w:rPr>
        <w:t>.</w:t>
      </w:r>
    </w:p>
    <w:p w:rsidR="008619B3" w:rsidRDefault="008619B3" w:rsidP="00887D10">
      <w:r>
        <w:rPr>
          <w:rStyle w:val="AERbody"/>
        </w:rPr>
        <w:lastRenderedPageBreak/>
        <w:t xml:space="preserve">In </w:t>
      </w:r>
      <w:r>
        <w:rPr>
          <w:rStyle w:val="AERbody"/>
        </w:rPr>
        <w:fldChar w:fldCharType="begin"/>
      </w:r>
      <w:r>
        <w:rPr>
          <w:rStyle w:val="AERbody"/>
        </w:rPr>
        <w:instrText xml:space="preserve"> REF  _Ref486927291 \* Lower \h </w:instrText>
      </w:r>
      <w:r>
        <w:rPr>
          <w:rStyle w:val="AERbody"/>
        </w:rPr>
      </w:r>
      <w:r>
        <w:rPr>
          <w:rStyle w:val="AERbody"/>
        </w:rPr>
        <w:fldChar w:fldCharType="separate"/>
      </w:r>
      <w:r w:rsidR="00755D05">
        <w:t xml:space="preserve">equation </w:t>
      </w:r>
      <w:r w:rsidR="00755D05">
        <w:rPr>
          <w:noProof/>
        </w:rPr>
        <w:t>2</w:t>
      </w:r>
      <w:r>
        <w:rPr>
          <w:rStyle w:val="AERbody"/>
        </w:rPr>
        <w:fldChar w:fldCharType="end"/>
      </w:r>
      <w:r>
        <w:rPr>
          <w:rStyle w:val="AERbody"/>
        </w:rPr>
        <w:t xml:space="preserve">, </w:t>
      </w:r>
      <m:oMath>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oMath>
      <w:r>
        <w:t xml:space="preserve"> represents the difference between the allowance approved and the allowance spent</w:t>
      </w:r>
      <w:r w:rsidR="00891270">
        <w:t xml:space="preserve"> (the underspend)</w:t>
      </w:r>
      <w:r>
        <w:t xml:space="preserve"> in</w:t>
      </w:r>
      <w:r w:rsidR="00891270">
        <w:t xml:space="preserve"> regulatory year </w:t>
      </w:r>
      <w:r w:rsidR="00891270" w:rsidRPr="00891270">
        <w:rPr>
          <w:rStyle w:val="AERtextitalic"/>
        </w:rPr>
        <w:t>t</w:t>
      </w:r>
      <w:r>
        <w:t xml:space="preserve">. Dividing this by </w:t>
      </w:r>
      <m:oMath>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oMath>
      <w:r>
        <w:t xml:space="preserve"> adjusts this underspend for the time value of money, using the distributor's allowed rate of return</w:t>
      </w:r>
      <w:r w:rsidR="00891270">
        <w:t xml:space="preserve"> for regulatory year </w:t>
      </w:r>
      <w:r w:rsidR="00891270" w:rsidRPr="00891270">
        <w:rPr>
          <w:rStyle w:val="AERtextitalic"/>
        </w:rPr>
        <w:t>t</w:t>
      </w:r>
      <w:r>
        <w:t xml:space="preserve">. </w:t>
      </w:r>
      <w:r w:rsidR="00A862E2">
        <w:t>The sigma notation prompts us to do this for each of the five years of a regulatory control period</w:t>
      </w:r>
      <w:r>
        <w:t>, and to sum these amounts</w:t>
      </w:r>
      <w:r w:rsidR="00F6620A">
        <w:t>.</w:t>
      </w:r>
    </w:p>
    <w:p w:rsidR="008619B3" w:rsidRDefault="008619B3" w:rsidP="00887D10">
      <w:r>
        <w:t xml:space="preserve">This sum total, shown </w:t>
      </w:r>
      <w:r>
        <w:fldChar w:fldCharType="begin"/>
      </w:r>
      <w:r>
        <w:instrText xml:space="preserve"> REF  _Ref490738114 \* Lower \h </w:instrText>
      </w:r>
      <w:r>
        <w:fldChar w:fldCharType="separate"/>
      </w:r>
      <w:r w:rsidR="00755D05">
        <w:t xml:space="preserve">equation </w:t>
      </w:r>
      <w:r w:rsidR="00755D05">
        <w:rPr>
          <w:noProof/>
        </w:rPr>
        <w:t>3</w:t>
      </w:r>
      <w:r>
        <w:fldChar w:fldCharType="end"/>
      </w:r>
      <w:r>
        <w:t xml:space="preserve">, </w:t>
      </w:r>
      <w:r w:rsidR="00E00822">
        <w:t>is then presented as a negative amount to be carried over. Since we provide a distributor with its allowance ex-ante, we must subtract its allowance underspends from its total revenue as a negative pass through.</w:t>
      </w:r>
    </w:p>
    <w:p w:rsidR="008619B3" w:rsidRPr="00C92B78" w:rsidRDefault="008619B3" w:rsidP="008619B3">
      <w:pPr>
        <w:pStyle w:val="Caption"/>
      </w:pPr>
      <w:bookmarkStart w:id="55" w:name="_Ref490738114"/>
      <w:r>
        <w:t xml:space="preserve">Equation </w:t>
      </w:r>
      <w:r w:rsidR="006F3834">
        <w:fldChar w:fldCharType="begin"/>
      </w:r>
      <w:r w:rsidR="006F3834">
        <w:instrText xml:space="preserve"> SEQ Equation \* ARABIC </w:instrText>
      </w:r>
      <w:r w:rsidR="006F3834">
        <w:fldChar w:fldCharType="separate"/>
      </w:r>
      <w:r w:rsidR="00755D05">
        <w:rPr>
          <w:noProof/>
        </w:rPr>
        <w:t>3</w:t>
      </w:r>
      <w:r w:rsidR="006F3834">
        <w:rPr>
          <w:noProof/>
        </w:rPr>
        <w:fldChar w:fldCharType="end"/>
      </w:r>
      <w:bookmarkEnd w:id="55"/>
      <w:r>
        <w:t>: Part 1 of the carryover amount</w:t>
      </w:r>
      <w:r w:rsidR="00E00822">
        <w:t xml:space="preserve"> calculation</w:t>
      </w:r>
    </w:p>
    <w:p w:rsidR="008619B3" w:rsidRPr="008619B3" w:rsidRDefault="008619B3" w:rsidP="004B6E8B">
      <w:pPr>
        <w:pStyle w:val="AERbulletlistfirststyle"/>
        <w:numPr>
          <w:ilvl w:val="0"/>
          <w:numId w:val="0"/>
        </w:numPr>
        <w:ind w:left="357"/>
      </w:pPr>
      <m:oMathPara>
        <m:oMath>
          <m: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oMath>
      </m:oMathPara>
    </w:p>
    <w:p w:rsidR="000C4F01" w:rsidRDefault="00FF182E" w:rsidP="000C4F01">
      <w:r>
        <w:t xml:space="preserve">The ultimate outcome of this step is an expression of the differential between the </w:t>
      </w:r>
      <w:r w:rsidR="00E00822">
        <w:t xml:space="preserve">amount spent and the </w:t>
      </w:r>
      <w:r>
        <w:t>approved allowance</w:t>
      </w:r>
      <w:r w:rsidR="00793775">
        <w:t xml:space="preserve">. </w:t>
      </w:r>
      <w:r w:rsidR="00793775" w:rsidRPr="00793775">
        <w:t xml:space="preserve">This is presented as a present value at </w:t>
      </w:r>
      <m:oMath>
        <m:r>
          <w:rPr>
            <w:rFonts w:ascii="Cambria Math" w:hAnsi="Cambria Math"/>
          </w:rPr>
          <m:t>t=0</m:t>
        </m:r>
      </m:oMath>
      <w:r w:rsidR="00793775">
        <w:t xml:space="preserve">, using </w:t>
      </w:r>
      <w:r w:rsidR="00E00822">
        <w:t>the distributor's</w:t>
      </w:r>
      <w:r w:rsidR="00793775" w:rsidRPr="00793775">
        <w:t xml:space="preserve"> allowed rate of return as t</w:t>
      </w:r>
      <w:r w:rsidR="00793775">
        <w:t>he discount facto</w:t>
      </w:r>
      <w:r w:rsidR="00793775" w:rsidRPr="00793775">
        <w:t>r</w:t>
      </w:r>
      <w:r w:rsidR="00E6480E">
        <w:t>.</w:t>
      </w:r>
    </w:p>
    <w:p w:rsidR="00E00822" w:rsidRDefault="00E00822" w:rsidP="000C4F01">
      <w:r>
        <w:fldChar w:fldCharType="begin"/>
      </w:r>
      <w:r>
        <w:instrText xml:space="preserve"> REF _Ref490738448 \h </w:instrText>
      </w:r>
      <w:r>
        <w:fldChar w:fldCharType="separate"/>
      </w:r>
      <w:r w:rsidR="00755D05">
        <w:t xml:space="preserve">Table </w:t>
      </w:r>
      <w:r w:rsidR="00755D05">
        <w:rPr>
          <w:noProof/>
        </w:rPr>
        <w:t>4</w:t>
      </w:r>
      <w:r>
        <w:fldChar w:fldCharType="end"/>
      </w:r>
      <w:r>
        <w:t xml:space="preserve"> </w:t>
      </w:r>
      <w:r w:rsidR="002B21CD">
        <w:t xml:space="preserve">and </w:t>
      </w:r>
      <w:r w:rsidR="002B21CD">
        <w:fldChar w:fldCharType="begin"/>
      </w:r>
      <w:r w:rsidR="002B21CD">
        <w:instrText xml:space="preserve"> REF  _Ref490738793 \* Lower \h </w:instrText>
      </w:r>
      <w:r w:rsidR="002B21CD">
        <w:fldChar w:fldCharType="separate"/>
      </w:r>
      <w:r w:rsidR="00755D05">
        <w:t xml:space="preserve">table </w:t>
      </w:r>
      <w:r w:rsidR="00755D05">
        <w:rPr>
          <w:noProof/>
        </w:rPr>
        <w:t>5</w:t>
      </w:r>
      <w:r w:rsidR="002B21CD">
        <w:fldChar w:fldCharType="end"/>
      </w:r>
      <w:r w:rsidR="002B21CD">
        <w:t xml:space="preserve"> provide two</w:t>
      </w:r>
      <w:r>
        <w:t xml:space="preserve"> worked example</w:t>
      </w:r>
      <w:r w:rsidR="002B21CD">
        <w:t>s</w:t>
      </w:r>
      <w:r>
        <w:t xml:space="preserve"> </w:t>
      </w:r>
      <w:r w:rsidR="002B21CD">
        <w:t>of</w:t>
      </w:r>
      <w:r>
        <w:t xml:space="preserve"> how we would apply part 1 of the carryover amount calculation, shown in </w:t>
      </w:r>
      <w:r>
        <w:fldChar w:fldCharType="begin"/>
      </w:r>
      <w:r>
        <w:instrText xml:space="preserve"> REF  _Ref490738114 \* Lower \h </w:instrText>
      </w:r>
      <w:r>
        <w:fldChar w:fldCharType="separate"/>
      </w:r>
      <w:r w:rsidR="00755D05">
        <w:t xml:space="preserve">equation </w:t>
      </w:r>
      <w:r w:rsidR="00755D05">
        <w:rPr>
          <w:noProof/>
        </w:rPr>
        <w:t>3</w:t>
      </w:r>
      <w:r>
        <w:fldChar w:fldCharType="end"/>
      </w:r>
      <w:r>
        <w:t>.</w:t>
      </w:r>
      <w:r w:rsidR="002B21CD">
        <w:t xml:space="preserve"> In these</w:t>
      </w:r>
      <w:r>
        <w:t xml:space="preserve"> example</w:t>
      </w:r>
      <w:r w:rsidR="002B21CD">
        <w:t>s</w:t>
      </w:r>
      <w:r>
        <w:t>, we have:</w:t>
      </w:r>
    </w:p>
    <w:p w:rsidR="00E00822" w:rsidRDefault="00E00822" w:rsidP="004B6E8B">
      <w:pPr>
        <w:pStyle w:val="AERbulletlistfirststyle"/>
      </w:pPr>
      <w:r>
        <w:t>assumed an allowed rate of return of 6.5%</w:t>
      </w:r>
      <w:r w:rsidR="00891270">
        <w:t xml:space="preserve"> for each year of the regulatory control period</w:t>
      </w:r>
      <w:r>
        <w:t xml:space="preserve">; </w:t>
      </w:r>
    </w:p>
    <w:p w:rsidR="00E00822" w:rsidRDefault="00E00822" w:rsidP="004B6E8B">
      <w:pPr>
        <w:pStyle w:val="AERbulletlistfirststyle"/>
      </w:pPr>
      <w:r>
        <w:t>assumed a constant approved allowance of $1.4 million, which we consider reflects a realistic approximation of an allowance for a large distributor under our new methodology;</w:t>
      </w:r>
    </w:p>
    <w:p w:rsidR="002B21CD" w:rsidRDefault="00E00822" w:rsidP="004B6E8B">
      <w:pPr>
        <w:pStyle w:val="AERbulletlistfirststyle"/>
      </w:pPr>
      <w:r>
        <w:t>rounded figures to increase the readability of the table</w:t>
      </w:r>
    </w:p>
    <w:p w:rsidR="00E00822" w:rsidRDefault="002B21CD" w:rsidP="002B21CD">
      <w:r w:rsidRPr="002B21CD">
        <w:fldChar w:fldCharType="begin"/>
      </w:r>
      <w:r w:rsidRPr="002B21CD">
        <w:instrText xml:space="preserve"> REF _Ref490738448 \h </w:instrText>
      </w:r>
      <w:r w:rsidRPr="002B21CD">
        <w:fldChar w:fldCharType="separate"/>
      </w:r>
      <w:r w:rsidR="00755D05">
        <w:t xml:space="preserve">Table </w:t>
      </w:r>
      <w:r w:rsidR="00755D05">
        <w:rPr>
          <w:noProof/>
        </w:rPr>
        <w:t>4</w:t>
      </w:r>
      <w:r w:rsidRPr="002B21CD">
        <w:fldChar w:fldCharType="end"/>
      </w:r>
      <w:r>
        <w:t xml:space="preserve"> shows the first worked example. In year one of this worked example, the distributor un</w:t>
      </w:r>
      <w:r w:rsidR="00CC6A64">
        <w:t>derspends the allowance by $400,</w:t>
      </w:r>
      <w:r>
        <w:t xml:space="preserve">000. The present value of these costs in year one is $376,000. As there is no further under or overspending of the allowance, the total spend differential is </w:t>
      </w:r>
      <w:r w:rsidRPr="00850A1C">
        <w:t>$376,000</w:t>
      </w:r>
      <w:r w:rsidR="00F6620A">
        <w:t>.</w:t>
      </w:r>
    </w:p>
    <w:p w:rsidR="009332C4" w:rsidRDefault="00685B7B" w:rsidP="00685B7B">
      <w:pPr>
        <w:pStyle w:val="Caption"/>
      </w:pPr>
      <w:bookmarkStart w:id="56" w:name="_Ref490738448"/>
      <w:r>
        <w:t xml:space="preserve">Table </w:t>
      </w:r>
      <w:r w:rsidR="006F3834">
        <w:fldChar w:fldCharType="begin"/>
      </w:r>
      <w:r w:rsidR="006F3834">
        <w:instrText xml:space="preserve"> SEQ Table \* ARABIC </w:instrText>
      </w:r>
      <w:r w:rsidR="006F3834">
        <w:fldChar w:fldCharType="separate"/>
      </w:r>
      <w:r w:rsidR="00755D05">
        <w:rPr>
          <w:noProof/>
        </w:rPr>
        <w:t>4</w:t>
      </w:r>
      <w:r w:rsidR="006F3834">
        <w:rPr>
          <w:noProof/>
        </w:rPr>
        <w:fldChar w:fldCharType="end"/>
      </w:r>
      <w:bookmarkEnd w:id="56"/>
      <w:r>
        <w:t xml:space="preserve">: </w:t>
      </w:r>
      <w:r w:rsidR="009332C4">
        <w:t xml:space="preserve">Example </w:t>
      </w:r>
      <w:r w:rsidR="00E00822">
        <w:t xml:space="preserve">1 </w:t>
      </w:r>
      <w:r w:rsidR="00E00822">
        <w:rPr>
          <w:rFonts w:cs="Arial"/>
        </w:rPr>
        <w:t>―</w:t>
      </w:r>
      <w:r w:rsidR="00E00822">
        <w:t>First y</w:t>
      </w:r>
      <w:r>
        <w:t>ear</w:t>
      </w:r>
      <w:r w:rsidRPr="00685B7B">
        <w:t xml:space="preserve"> </w:t>
      </w:r>
      <w:r>
        <w:t>u</w:t>
      </w:r>
      <w:r w:rsidR="00E6480E">
        <w:t>nderspend</w:t>
      </w:r>
      <w:r>
        <w:t xml:space="preserve"> (present value at </w:t>
      </w:r>
      <m:oMath>
        <m:r>
          <m:rPr>
            <m:sty m:val="bi"/>
          </m:rPr>
          <w:rPr>
            <w:rFonts w:ascii="Cambria Math" w:hAnsi="Cambria Math"/>
          </w:rPr>
          <m:t>t=0</m:t>
        </m:r>
      </m:oMath>
      <w:r>
        <w:t xml:space="preserve">, </w:t>
      </w:r>
      <w:r w:rsidR="00793775">
        <w:t>$</w:t>
      </w:r>
      <w:r>
        <w:t>’000)</w:t>
      </w:r>
    </w:p>
    <w:tbl>
      <w:tblPr>
        <w:tblStyle w:val="AERtable-numbers"/>
        <w:tblW w:w="5000" w:type="pct"/>
        <w:tblLook w:val="04A0" w:firstRow="1" w:lastRow="0" w:firstColumn="1" w:lastColumn="0" w:noHBand="0" w:noVBand="1"/>
      </w:tblPr>
      <w:tblGrid>
        <w:gridCol w:w="1627"/>
        <w:gridCol w:w="1376"/>
        <w:gridCol w:w="1066"/>
        <w:gridCol w:w="921"/>
        <w:gridCol w:w="970"/>
        <w:gridCol w:w="1357"/>
        <w:gridCol w:w="1376"/>
      </w:tblGrid>
      <w:tr w:rsidR="00850A1C" w:rsidRPr="002B228A" w:rsidTr="00850A1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18" w:type="pct"/>
            <w:hideMark/>
          </w:tcPr>
          <w:p w:rsidR="002B228A" w:rsidRPr="002B228A" w:rsidRDefault="002B228A" w:rsidP="002B228A">
            <w:r w:rsidRPr="002B228A">
              <w:t>p=1 (t=)</w:t>
            </w:r>
          </w:p>
        </w:tc>
        <w:tc>
          <w:tcPr>
            <w:tcW w:w="515" w:type="pct"/>
            <w:noWrap/>
            <w:hideMark/>
          </w:tcPr>
          <w:p w:rsidR="002B228A" w:rsidRPr="002B228A" w:rsidRDefault="002B228A" w:rsidP="002B228A">
            <w:pPr>
              <w:cnfStyle w:val="100000000000" w:firstRow="1" w:lastRow="0" w:firstColumn="0" w:lastColumn="0" w:oddVBand="0" w:evenVBand="0" w:oddHBand="0" w:evenHBand="0" w:firstRowFirstColumn="0" w:firstRowLastColumn="0" w:lastRowFirstColumn="0" w:lastRowLastColumn="0"/>
            </w:pPr>
            <w:r w:rsidRPr="002B228A">
              <w:t>1</w:t>
            </w:r>
          </w:p>
        </w:tc>
        <w:tc>
          <w:tcPr>
            <w:tcW w:w="515" w:type="pct"/>
            <w:noWrap/>
            <w:hideMark/>
          </w:tcPr>
          <w:p w:rsidR="002B228A" w:rsidRPr="002B228A" w:rsidRDefault="002B228A" w:rsidP="002B228A">
            <w:pPr>
              <w:cnfStyle w:val="100000000000" w:firstRow="1" w:lastRow="0" w:firstColumn="0" w:lastColumn="0" w:oddVBand="0" w:evenVBand="0" w:oddHBand="0" w:evenHBand="0" w:firstRowFirstColumn="0" w:firstRowLastColumn="0" w:lastRowFirstColumn="0" w:lastRowLastColumn="0"/>
            </w:pPr>
            <w:r w:rsidRPr="002B228A">
              <w:t>2</w:t>
            </w:r>
          </w:p>
        </w:tc>
        <w:tc>
          <w:tcPr>
            <w:tcW w:w="515" w:type="pct"/>
            <w:noWrap/>
            <w:hideMark/>
          </w:tcPr>
          <w:p w:rsidR="002B228A" w:rsidRPr="002B228A" w:rsidRDefault="002B228A" w:rsidP="002B228A">
            <w:pPr>
              <w:cnfStyle w:val="100000000000" w:firstRow="1" w:lastRow="0" w:firstColumn="0" w:lastColumn="0" w:oddVBand="0" w:evenVBand="0" w:oddHBand="0" w:evenHBand="0" w:firstRowFirstColumn="0" w:firstRowLastColumn="0" w:lastRowFirstColumn="0" w:lastRowLastColumn="0"/>
            </w:pPr>
            <w:r w:rsidRPr="002B228A">
              <w:t>3</w:t>
            </w:r>
          </w:p>
        </w:tc>
        <w:tc>
          <w:tcPr>
            <w:tcW w:w="515" w:type="pct"/>
            <w:noWrap/>
            <w:hideMark/>
          </w:tcPr>
          <w:p w:rsidR="002B228A" w:rsidRPr="002B228A" w:rsidRDefault="002B228A" w:rsidP="002B228A">
            <w:pPr>
              <w:cnfStyle w:val="100000000000" w:firstRow="1" w:lastRow="0" w:firstColumn="0" w:lastColumn="0" w:oddVBand="0" w:evenVBand="0" w:oddHBand="0" w:evenHBand="0" w:firstRowFirstColumn="0" w:firstRowLastColumn="0" w:lastRowFirstColumn="0" w:lastRowLastColumn="0"/>
            </w:pPr>
            <w:r w:rsidRPr="002B228A">
              <w:t>4</w:t>
            </w:r>
          </w:p>
        </w:tc>
        <w:tc>
          <w:tcPr>
            <w:tcW w:w="516" w:type="pct"/>
            <w:noWrap/>
            <w:hideMark/>
          </w:tcPr>
          <w:p w:rsidR="002B228A" w:rsidRPr="002B228A" w:rsidRDefault="002B228A" w:rsidP="002B228A">
            <w:pPr>
              <w:cnfStyle w:val="100000000000" w:firstRow="1" w:lastRow="0" w:firstColumn="0" w:lastColumn="0" w:oddVBand="0" w:evenVBand="0" w:oddHBand="0" w:evenHBand="0" w:firstRowFirstColumn="0" w:firstRowLastColumn="0" w:lastRowFirstColumn="0" w:lastRowLastColumn="0"/>
            </w:pPr>
            <w:r w:rsidRPr="002B228A">
              <w:t>5</w:t>
            </w:r>
          </w:p>
        </w:tc>
        <w:tc>
          <w:tcPr>
            <w:tcW w:w="805" w:type="pct"/>
            <w:noWrap/>
            <w:hideMark/>
          </w:tcPr>
          <w:p w:rsidR="002B228A" w:rsidRPr="002B228A" w:rsidRDefault="002B228A" w:rsidP="002B228A">
            <w:pPr>
              <w:cnfStyle w:val="100000000000" w:firstRow="1" w:lastRow="0" w:firstColumn="0" w:lastColumn="0" w:oddVBand="0" w:evenVBand="0" w:oddHBand="0" w:evenHBand="0" w:firstRowFirstColumn="0" w:firstRowLastColumn="0" w:lastRowFirstColumn="0" w:lastRowLastColumn="0"/>
            </w:pPr>
            <w:r w:rsidRPr="002B228A">
              <w:t>Totals at Year 5</w:t>
            </w:r>
          </w:p>
        </w:tc>
      </w:tr>
      <w:tr w:rsidR="002B228A" w:rsidRPr="002B228A" w:rsidTr="00850A1C">
        <w:trPr>
          <w:trHeight w:val="366"/>
        </w:trPr>
        <w:tc>
          <w:tcPr>
            <w:cnfStyle w:val="001000000000" w:firstRow="0" w:lastRow="0" w:firstColumn="1" w:lastColumn="0" w:oddVBand="0" w:evenVBand="0" w:oddHBand="0" w:evenHBand="0" w:firstRowFirstColumn="0" w:firstRowLastColumn="0" w:lastRowFirstColumn="0" w:lastRowLastColumn="0"/>
            <w:tcW w:w="1618" w:type="pct"/>
            <w:noWrap/>
            <w:hideMark/>
          </w:tcPr>
          <w:p w:rsidR="002B228A" w:rsidRPr="002B228A" w:rsidRDefault="002B228A" w:rsidP="00685B7B">
            <w:r w:rsidRPr="002B228A">
              <w:t xml:space="preserve">Allowance Approved (Rt) </w:t>
            </w:r>
          </w:p>
        </w:tc>
        <w:tc>
          <w:tcPr>
            <w:tcW w:w="515" w:type="pct"/>
            <w:noWrap/>
            <w:hideMark/>
          </w:tcPr>
          <w:p w:rsidR="002B228A" w:rsidRPr="002B228A" w:rsidRDefault="00685B7B" w:rsidP="002B228A">
            <w:pPr>
              <w:cnfStyle w:val="000000000000" w:firstRow="0" w:lastRow="0" w:firstColumn="0" w:lastColumn="0" w:oddVBand="0" w:evenVBand="0" w:oddHBand="0" w:evenHBand="0" w:firstRowFirstColumn="0" w:firstRowLastColumn="0" w:lastRowFirstColumn="0" w:lastRowLastColumn="0"/>
            </w:pPr>
            <w:r>
              <w:t>1,400</w:t>
            </w:r>
          </w:p>
        </w:tc>
        <w:tc>
          <w:tcPr>
            <w:tcW w:w="515" w:type="pct"/>
            <w:noWrap/>
          </w:tcPr>
          <w:p w:rsidR="002B228A" w:rsidRPr="002B228A" w:rsidRDefault="00685B7B" w:rsidP="002B228A">
            <w:pPr>
              <w:cnfStyle w:val="000000000000" w:firstRow="0" w:lastRow="0" w:firstColumn="0" w:lastColumn="0" w:oddVBand="0" w:evenVBand="0" w:oddHBand="0" w:evenHBand="0" w:firstRowFirstColumn="0" w:firstRowLastColumn="0" w:lastRowFirstColumn="0" w:lastRowLastColumn="0"/>
            </w:pPr>
            <w:r w:rsidRPr="00685B7B">
              <w:t>1,400</w:t>
            </w:r>
          </w:p>
        </w:tc>
        <w:tc>
          <w:tcPr>
            <w:tcW w:w="515" w:type="pct"/>
            <w:noWrap/>
          </w:tcPr>
          <w:p w:rsidR="002B228A" w:rsidRPr="002B228A" w:rsidRDefault="00685B7B" w:rsidP="002B228A">
            <w:pPr>
              <w:cnfStyle w:val="000000000000" w:firstRow="0" w:lastRow="0" w:firstColumn="0" w:lastColumn="0" w:oddVBand="0" w:evenVBand="0" w:oddHBand="0" w:evenHBand="0" w:firstRowFirstColumn="0" w:firstRowLastColumn="0" w:lastRowFirstColumn="0" w:lastRowLastColumn="0"/>
            </w:pPr>
            <w:r w:rsidRPr="00685B7B">
              <w:t>1,400</w:t>
            </w:r>
          </w:p>
        </w:tc>
        <w:tc>
          <w:tcPr>
            <w:tcW w:w="515" w:type="pct"/>
            <w:noWrap/>
          </w:tcPr>
          <w:p w:rsidR="002B228A" w:rsidRPr="002B228A" w:rsidRDefault="00685B7B" w:rsidP="002B228A">
            <w:pPr>
              <w:cnfStyle w:val="000000000000" w:firstRow="0" w:lastRow="0" w:firstColumn="0" w:lastColumn="0" w:oddVBand="0" w:evenVBand="0" w:oddHBand="0" w:evenHBand="0" w:firstRowFirstColumn="0" w:firstRowLastColumn="0" w:lastRowFirstColumn="0" w:lastRowLastColumn="0"/>
            </w:pPr>
            <w:r w:rsidRPr="00685B7B">
              <w:t>1,400</w:t>
            </w:r>
          </w:p>
        </w:tc>
        <w:tc>
          <w:tcPr>
            <w:tcW w:w="516" w:type="pct"/>
            <w:noWrap/>
          </w:tcPr>
          <w:p w:rsidR="002B228A" w:rsidRPr="002B228A" w:rsidRDefault="00685B7B" w:rsidP="002B228A">
            <w:pPr>
              <w:cnfStyle w:val="000000000000" w:firstRow="0" w:lastRow="0" w:firstColumn="0" w:lastColumn="0" w:oddVBand="0" w:evenVBand="0" w:oddHBand="0" w:evenHBand="0" w:firstRowFirstColumn="0" w:firstRowLastColumn="0" w:lastRowFirstColumn="0" w:lastRowLastColumn="0"/>
            </w:pPr>
            <w:r w:rsidRPr="00685B7B">
              <w:t>1,400</w:t>
            </w:r>
          </w:p>
        </w:tc>
        <w:tc>
          <w:tcPr>
            <w:tcW w:w="805" w:type="pct"/>
            <w:noWrap/>
            <w:hideMark/>
          </w:tcPr>
          <w:p w:rsidR="002B228A" w:rsidRPr="002B228A" w:rsidRDefault="00685B7B" w:rsidP="002B228A">
            <w:pPr>
              <w:cnfStyle w:val="000000000000" w:firstRow="0" w:lastRow="0" w:firstColumn="0" w:lastColumn="0" w:oddVBand="0" w:evenVBand="0" w:oddHBand="0" w:evenHBand="0" w:firstRowFirstColumn="0" w:firstRowLastColumn="0" w:lastRowFirstColumn="0" w:lastRowLastColumn="0"/>
            </w:pPr>
            <w:r>
              <w:t>7,000</w:t>
            </w:r>
          </w:p>
        </w:tc>
      </w:tr>
      <w:tr w:rsidR="00850A1C" w:rsidRPr="002B228A" w:rsidTr="00850A1C">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18" w:type="pct"/>
            <w:noWrap/>
          </w:tcPr>
          <w:p w:rsidR="00685B7B" w:rsidRPr="00685B7B" w:rsidRDefault="00685B7B" w:rsidP="00685B7B">
            <w:r w:rsidRPr="00685B7B">
              <w:t xml:space="preserve">Allowance Spent (At) </w:t>
            </w:r>
          </w:p>
        </w:tc>
        <w:tc>
          <w:tcPr>
            <w:tcW w:w="515" w:type="pct"/>
            <w:noWrap/>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1,000</w:t>
            </w:r>
          </w:p>
        </w:tc>
        <w:tc>
          <w:tcPr>
            <w:tcW w:w="515" w:type="pct"/>
            <w:noWrap/>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1,400</w:t>
            </w:r>
          </w:p>
        </w:tc>
        <w:tc>
          <w:tcPr>
            <w:tcW w:w="515" w:type="pct"/>
            <w:noWrap/>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1,400</w:t>
            </w:r>
          </w:p>
        </w:tc>
        <w:tc>
          <w:tcPr>
            <w:tcW w:w="515" w:type="pct"/>
            <w:noWrap/>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1,400</w:t>
            </w:r>
          </w:p>
        </w:tc>
        <w:tc>
          <w:tcPr>
            <w:tcW w:w="516" w:type="pct"/>
            <w:noWrap/>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1,400</w:t>
            </w:r>
          </w:p>
        </w:tc>
        <w:tc>
          <w:tcPr>
            <w:tcW w:w="805" w:type="pct"/>
            <w:noWrap/>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t>6,000</w:t>
            </w:r>
          </w:p>
        </w:tc>
      </w:tr>
      <w:tr w:rsidR="00850A1C" w:rsidRPr="002B228A" w:rsidTr="00850A1C">
        <w:trPr>
          <w:trHeight w:val="366"/>
        </w:trPr>
        <w:tc>
          <w:tcPr>
            <w:cnfStyle w:val="001000000000" w:firstRow="0" w:lastRow="0" w:firstColumn="1" w:lastColumn="0" w:oddVBand="0" w:evenVBand="0" w:oddHBand="0" w:evenHBand="0" w:firstRowFirstColumn="0" w:firstRowLastColumn="0" w:lastRowFirstColumn="0" w:lastRowLastColumn="0"/>
            <w:tcW w:w="1618" w:type="pct"/>
            <w:noWrap/>
          </w:tcPr>
          <w:p w:rsidR="00850A1C" w:rsidRPr="00850A1C" w:rsidRDefault="00850A1C" w:rsidP="00850A1C">
            <w:r w:rsidRPr="00850A1C">
              <w:t>Nominal Differential</w:t>
            </w:r>
          </w:p>
        </w:tc>
        <w:tc>
          <w:tcPr>
            <w:tcW w:w="515"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400</w:t>
            </w:r>
          </w:p>
        </w:tc>
        <w:tc>
          <w:tcPr>
            <w:tcW w:w="515"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$0</w:t>
            </w:r>
          </w:p>
        </w:tc>
        <w:tc>
          <w:tcPr>
            <w:tcW w:w="515"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$0</w:t>
            </w:r>
          </w:p>
        </w:tc>
        <w:tc>
          <w:tcPr>
            <w:tcW w:w="515"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$0</w:t>
            </w:r>
          </w:p>
        </w:tc>
        <w:tc>
          <w:tcPr>
            <w:tcW w:w="516"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$0</w:t>
            </w:r>
          </w:p>
        </w:tc>
        <w:tc>
          <w:tcPr>
            <w:tcW w:w="805"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400</w:t>
            </w:r>
          </w:p>
        </w:tc>
      </w:tr>
      <w:tr w:rsidR="00850A1C" w:rsidRPr="002B228A" w:rsidTr="00850A1C">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18" w:type="pct"/>
            <w:noWrap/>
          </w:tcPr>
          <w:p w:rsidR="00850A1C" w:rsidRPr="00850A1C" w:rsidRDefault="00850A1C" w:rsidP="00850A1C">
            <w:r w:rsidRPr="00850A1C">
              <w:t>PV of Over/Underspend</w:t>
            </w:r>
          </w:p>
        </w:tc>
        <w:tc>
          <w:tcPr>
            <w:tcW w:w="515"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w:t>
            </w:r>
            <w:r>
              <w:t xml:space="preserve">                      376</w:t>
            </w:r>
            <w:r w:rsidRPr="00850A1C">
              <w:t xml:space="preserve"> </w:t>
            </w:r>
          </w:p>
        </w:tc>
        <w:tc>
          <w:tcPr>
            <w:tcW w:w="515"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515"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515"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516"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805"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376</w:t>
            </w:r>
          </w:p>
        </w:tc>
      </w:tr>
      <w:tr w:rsidR="00850A1C" w:rsidRPr="002B228A" w:rsidTr="00850A1C">
        <w:trPr>
          <w:trHeight w:val="366"/>
        </w:trPr>
        <w:tc>
          <w:tcPr>
            <w:cnfStyle w:val="001000000000" w:firstRow="0" w:lastRow="0" w:firstColumn="1" w:lastColumn="0" w:oddVBand="0" w:evenVBand="0" w:oddHBand="0" w:evenHBand="0" w:firstRowFirstColumn="0" w:firstRowLastColumn="0" w:lastRowFirstColumn="0" w:lastRowLastColumn="0"/>
            <w:tcW w:w="1618" w:type="pct"/>
            <w:noWrap/>
          </w:tcPr>
          <w:p w:rsidR="00850A1C" w:rsidRPr="00850A1C" w:rsidRDefault="00850A1C" w:rsidP="00850A1C">
            <w:r w:rsidRPr="00850A1C">
              <w:t>Cumulative NPV of over/underspend</w:t>
            </w:r>
          </w:p>
        </w:tc>
        <w:tc>
          <w:tcPr>
            <w:tcW w:w="515"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 xml:space="preserve">                    </w:t>
            </w:r>
            <w:r>
              <w:t xml:space="preserve">                      376</w:t>
            </w:r>
            <w:r w:rsidRPr="00850A1C">
              <w:t xml:space="preserve"> </w:t>
            </w:r>
          </w:p>
        </w:tc>
        <w:tc>
          <w:tcPr>
            <w:tcW w:w="515"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376</w:t>
            </w:r>
          </w:p>
        </w:tc>
        <w:tc>
          <w:tcPr>
            <w:tcW w:w="515"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376</w:t>
            </w:r>
          </w:p>
        </w:tc>
        <w:tc>
          <w:tcPr>
            <w:tcW w:w="515"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376</w:t>
            </w:r>
          </w:p>
        </w:tc>
        <w:tc>
          <w:tcPr>
            <w:tcW w:w="516"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376</w:t>
            </w:r>
          </w:p>
        </w:tc>
        <w:tc>
          <w:tcPr>
            <w:tcW w:w="805"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 xml:space="preserve">                                          376</w:t>
            </w:r>
          </w:p>
        </w:tc>
      </w:tr>
    </w:tbl>
    <w:p w:rsidR="00584C5C" w:rsidRPr="00584C5C" w:rsidRDefault="002B21CD" w:rsidP="00584C5C">
      <w:r>
        <w:lastRenderedPageBreak/>
        <w:fldChar w:fldCharType="begin"/>
      </w:r>
      <w:r>
        <w:instrText xml:space="preserve"> REF _Ref490738793 \h </w:instrText>
      </w:r>
      <w:r>
        <w:fldChar w:fldCharType="separate"/>
      </w:r>
      <w:r w:rsidR="00755D05">
        <w:t xml:space="preserve">Table </w:t>
      </w:r>
      <w:r w:rsidR="00755D05">
        <w:rPr>
          <w:noProof/>
        </w:rPr>
        <w:t>5</w:t>
      </w:r>
      <w:r>
        <w:fldChar w:fldCharType="end"/>
      </w:r>
      <w:r>
        <w:t xml:space="preserve"> shows a second worked example. In this example, the distributor again underspends the allowance in year one, but also overspends in year 3. Both times the distributor devi</w:t>
      </w:r>
      <w:r w:rsidR="00CC6A64">
        <w:t>ates from the allowance by $400,</w:t>
      </w:r>
      <w:r>
        <w:t>000. However, as we adjust for the time value of money, the earlier underspend had a higher present value. Given this, the distributor would have still underspend overall. We would therefore subtract an underspend from the distributor's total reve</w:t>
      </w:r>
      <w:r w:rsidR="00F6620A">
        <w:t>nue as a negative pass through.</w:t>
      </w:r>
    </w:p>
    <w:p w:rsidR="00E6480E" w:rsidRDefault="00685B7B" w:rsidP="00685B7B">
      <w:pPr>
        <w:pStyle w:val="Caption"/>
      </w:pPr>
      <w:bookmarkStart w:id="57" w:name="_Ref490738793"/>
      <w:r>
        <w:t xml:space="preserve">Table </w:t>
      </w:r>
      <w:r w:rsidR="006F3834">
        <w:fldChar w:fldCharType="begin"/>
      </w:r>
      <w:r w:rsidR="006F3834">
        <w:instrText xml:space="preserve"> SEQ Table \* ARABIC </w:instrText>
      </w:r>
      <w:r w:rsidR="006F3834">
        <w:fldChar w:fldCharType="separate"/>
      </w:r>
      <w:r w:rsidR="00755D05">
        <w:rPr>
          <w:noProof/>
        </w:rPr>
        <w:t>5</w:t>
      </w:r>
      <w:r w:rsidR="006F3834">
        <w:rPr>
          <w:noProof/>
        </w:rPr>
        <w:fldChar w:fldCharType="end"/>
      </w:r>
      <w:bookmarkEnd w:id="57"/>
      <w:r>
        <w:t xml:space="preserve">: </w:t>
      </w:r>
      <w:r w:rsidR="00E6480E">
        <w:t xml:space="preserve">Example 2 </w:t>
      </w:r>
      <w:r w:rsidR="00283DCE">
        <w:rPr>
          <w:rFonts w:cs="Arial"/>
        </w:rPr>
        <w:t>―</w:t>
      </w:r>
      <w:r w:rsidR="00283DCE">
        <w:t xml:space="preserve"> First year </w:t>
      </w:r>
      <w:r>
        <w:t xml:space="preserve">underspend, </w:t>
      </w:r>
      <w:r w:rsidR="00283DCE">
        <w:t xml:space="preserve">third </w:t>
      </w:r>
      <w:r>
        <w:t>year</w:t>
      </w:r>
      <w:r w:rsidR="00283DCE">
        <w:t xml:space="preserve"> </w:t>
      </w:r>
      <w:r>
        <w:t xml:space="preserve">overspend </w:t>
      </w:r>
      <w:r w:rsidRPr="00685B7B">
        <w:t xml:space="preserve">(present value at </w:t>
      </w:r>
      <m:oMath>
        <m:r>
          <m:rPr>
            <m:sty m:val="bi"/>
          </m:rPr>
          <w:rPr>
            <w:rFonts w:ascii="Cambria Math" w:hAnsi="Cambria Math"/>
          </w:rPr>
          <m:t>t=0</m:t>
        </m:r>
      </m:oMath>
      <w:r w:rsidRPr="00685B7B">
        <w:t>, $’000)</w:t>
      </w:r>
    </w:p>
    <w:tbl>
      <w:tblPr>
        <w:tblStyle w:val="AERtable-numbers"/>
        <w:tblW w:w="5000" w:type="pct"/>
        <w:tblLayout w:type="fixed"/>
        <w:tblLook w:val="04A0" w:firstRow="1" w:lastRow="0" w:firstColumn="1" w:lastColumn="0" w:noHBand="0" w:noVBand="1"/>
      </w:tblPr>
      <w:tblGrid>
        <w:gridCol w:w="1809"/>
        <w:gridCol w:w="994"/>
        <w:gridCol w:w="991"/>
        <w:gridCol w:w="1459"/>
        <w:gridCol w:w="1147"/>
        <w:gridCol w:w="1147"/>
        <w:gridCol w:w="1146"/>
      </w:tblGrid>
      <w:tr w:rsidR="00F16476" w:rsidRPr="00E6480E" w:rsidTr="00F1647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pct"/>
            <w:hideMark/>
          </w:tcPr>
          <w:p w:rsidR="00E6480E" w:rsidRPr="00E6480E" w:rsidRDefault="00505CCF" w:rsidP="00E6480E">
            <w:r>
              <w:t>Regulatory Period 1</w:t>
            </w:r>
          </w:p>
        </w:tc>
        <w:tc>
          <w:tcPr>
            <w:tcW w:w="572" w:type="pct"/>
            <w:noWrap/>
            <w:hideMark/>
          </w:tcPr>
          <w:p w:rsidR="00E6480E" w:rsidRPr="00E6480E" w:rsidRDefault="00505CCF" w:rsidP="00E6480E">
            <w:pPr>
              <w:cnfStyle w:val="100000000000" w:firstRow="1" w:lastRow="0" w:firstColumn="0" w:lastColumn="0" w:oddVBand="0" w:evenVBand="0" w:oddHBand="0" w:evenHBand="0" w:firstRowFirstColumn="0" w:firstRowLastColumn="0" w:lastRowFirstColumn="0" w:lastRowLastColumn="0"/>
            </w:pPr>
            <w:r>
              <w:t xml:space="preserve">Year </w:t>
            </w:r>
            <w:r w:rsidR="00E6480E" w:rsidRPr="00E6480E">
              <w:t>1</w:t>
            </w:r>
          </w:p>
        </w:tc>
        <w:tc>
          <w:tcPr>
            <w:tcW w:w="570" w:type="pct"/>
            <w:noWrap/>
            <w:hideMark/>
          </w:tcPr>
          <w:p w:rsidR="00E6480E" w:rsidRPr="00E6480E" w:rsidRDefault="00505CCF" w:rsidP="00E6480E">
            <w:pPr>
              <w:cnfStyle w:val="100000000000" w:firstRow="1" w:lastRow="0" w:firstColumn="0" w:lastColumn="0" w:oddVBand="0" w:evenVBand="0" w:oddHBand="0" w:evenHBand="0" w:firstRowFirstColumn="0" w:firstRowLastColumn="0" w:lastRowFirstColumn="0" w:lastRowLastColumn="0"/>
            </w:pPr>
            <w:r>
              <w:t xml:space="preserve">Year </w:t>
            </w:r>
            <w:r w:rsidR="00E6480E" w:rsidRPr="00E6480E">
              <w:t>2</w:t>
            </w:r>
          </w:p>
        </w:tc>
        <w:tc>
          <w:tcPr>
            <w:tcW w:w="839" w:type="pct"/>
            <w:noWrap/>
            <w:hideMark/>
          </w:tcPr>
          <w:p w:rsidR="00E6480E" w:rsidRPr="00E6480E" w:rsidRDefault="00505CCF" w:rsidP="00E6480E">
            <w:pPr>
              <w:cnfStyle w:val="100000000000" w:firstRow="1" w:lastRow="0" w:firstColumn="0" w:lastColumn="0" w:oddVBand="0" w:evenVBand="0" w:oddHBand="0" w:evenHBand="0" w:firstRowFirstColumn="0" w:firstRowLastColumn="0" w:lastRowFirstColumn="0" w:lastRowLastColumn="0"/>
            </w:pPr>
            <w:r>
              <w:t xml:space="preserve">Year </w:t>
            </w:r>
            <w:r w:rsidR="00E6480E" w:rsidRPr="00E6480E">
              <w:t>3</w:t>
            </w:r>
          </w:p>
        </w:tc>
        <w:tc>
          <w:tcPr>
            <w:tcW w:w="660" w:type="pct"/>
            <w:noWrap/>
            <w:hideMark/>
          </w:tcPr>
          <w:p w:rsidR="00E6480E" w:rsidRPr="00E6480E" w:rsidRDefault="00505CCF" w:rsidP="00E6480E">
            <w:pPr>
              <w:cnfStyle w:val="100000000000" w:firstRow="1" w:lastRow="0" w:firstColumn="0" w:lastColumn="0" w:oddVBand="0" w:evenVBand="0" w:oddHBand="0" w:evenHBand="0" w:firstRowFirstColumn="0" w:firstRowLastColumn="0" w:lastRowFirstColumn="0" w:lastRowLastColumn="0"/>
            </w:pPr>
            <w:r>
              <w:t xml:space="preserve">Year </w:t>
            </w:r>
            <w:r w:rsidR="00E6480E" w:rsidRPr="00E6480E">
              <w:t>4</w:t>
            </w:r>
          </w:p>
        </w:tc>
        <w:tc>
          <w:tcPr>
            <w:tcW w:w="660" w:type="pct"/>
            <w:noWrap/>
            <w:hideMark/>
          </w:tcPr>
          <w:p w:rsidR="00E6480E" w:rsidRPr="00E6480E" w:rsidRDefault="00505CCF" w:rsidP="00E6480E">
            <w:pPr>
              <w:cnfStyle w:val="100000000000" w:firstRow="1" w:lastRow="0" w:firstColumn="0" w:lastColumn="0" w:oddVBand="0" w:evenVBand="0" w:oddHBand="0" w:evenHBand="0" w:firstRowFirstColumn="0" w:firstRowLastColumn="0" w:lastRowFirstColumn="0" w:lastRowLastColumn="0"/>
            </w:pPr>
            <w:r>
              <w:t xml:space="preserve">Year </w:t>
            </w:r>
            <w:r w:rsidR="00E6480E" w:rsidRPr="00E6480E">
              <w:t>5</w:t>
            </w:r>
          </w:p>
        </w:tc>
        <w:tc>
          <w:tcPr>
            <w:tcW w:w="659" w:type="pct"/>
            <w:noWrap/>
            <w:hideMark/>
          </w:tcPr>
          <w:p w:rsidR="00E6480E" w:rsidRPr="00E6480E" w:rsidRDefault="00E6480E" w:rsidP="00E6480E">
            <w:pPr>
              <w:cnfStyle w:val="100000000000" w:firstRow="1" w:lastRow="0" w:firstColumn="0" w:lastColumn="0" w:oddVBand="0" w:evenVBand="0" w:oddHBand="0" w:evenHBand="0" w:firstRowFirstColumn="0" w:firstRowLastColumn="0" w:lastRowFirstColumn="0" w:lastRowLastColumn="0"/>
            </w:pPr>
            <w:r w:rsidRPr="00E6480E">
              <w:t>Totals at Year 5</w:t>
            </w:r>
          </w:p>
        </w:tc>
      </w:tr>
      <w:tr w:rsidR="00685B7B" w:rsidRPr="00E6480E" w:rsidTr="00F16476">
        <w:trPr>
          <w:trHeight w:val="315"/>
        </w:trPr>
        <w:tc>
          <w:tcPr>
            <w:cnfStyle w:val="001000000000" w:firstRow="0" w:lastRow="0" w:firstColumn="1" w:lastColumn="0" w:oddVBand="0" w:evenVBand="0" w:oddHBand="0" w:evenHBand="0" w:firstRowFirstColumn="0" w:firstRowLastColumn="0" w:lastRowFirstColumn="0" w:lastRowLastColumn="0"/>
            <w:tcW w:w="1040" w:type="pct"/>
            <w:noWrap/>
            <w:hideMark/>
          </w:tcPr>
          <w:p w:rsidR="00685B7B" w:rsidRPr="00685B7B" w:rsidRDefault="00685B7B" w:rsidP="00F16476">
            <w:r w:rsidRPr="00685B7B">
              <w:t xml:space="preserve">Allowance Approved (Rt) </w:t>
            </w:r>
          </w:p>
        </w:tc>
        <w:tc>
          <w:tcPr>
            <w:tcW w:w="572"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rsidRPr="00685B7B">
              <w:t>1,400</w:t>
            </w:r>
          </w:p>
        </w:tc>
        <w:tc>
          <w:tcPr>
            <w:tcW w:w="570"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rsidRPr="00685B7B">
              <w:t>1,400</w:t>
            </w:r>
          </w:p>
        </w:tc>
        <w:tc>
          <w:tcPr>
            <w:tcW w:w="839"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rsidRPr="00685B7B">
              <w:t>1,400</w:t>
            </w:r>
          </w:p>
        </w:tc>
        <w:tc>
          <w:tcPr>
            <w:tcW w:w="660"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rsidRPr="00685B7B">
              <w:t>1,400</w:t>
            </w:r>
          </w:p>
        </w:tc>
        <w:tc>
          <w:tcPr>
            <w:tcW w:w="660"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rsidRPr="00685B7B">
              <w:t>1,400</w:t>
            </w:r>
          </w:p>
        </w:tc>
        <w:tc>
          <w:tcPr>
            <w:tcW w:w="659"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rsidRPr="00685B7B">
              <w:t>7,000</w:t>
            </w:r>
          </w:p>
        </w:tc>
      </w:tr>
      <w:tr w:rsidR="00F16476" w:rsidRPr="00E6480E" w:rsidTr="00F16476">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pct"/>
            <w:noWrap/>
            <w:hideMark/>
          </w:tcPr>
          <w:p w:rsidR="00685B7B" w:rsidRPr="00685B7B" w:rsidRDefault="00685B7B" w:rsidP="00F16476">
            <w:r w:rsidRPr="00685B7B">
              <w:t xml:space="preserve">Allowance Spent (At) </w:t>
            </w:r>
          </w:p>
        </w:tc>
        <w:tc>
          <w:tcPr>
            <w:tcW w:w="572" w:type="pct"/>
            <w:noWrap/>
            <w:hideMark/>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t>1,000</w:t>
            </w:r>
          </w:p>
        </w:tc>
        <w:tc>
          <w:tcPr>
            <w:tcW w:w="570" w:type="pct"/>
            <w:noWrap/>
            <w:hideMark/>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t>1,400</w:t>
            </w:r>
          </w:p>
        </w:tc>
        <w:tc>
          <w:tcPr>
            <w:tcW w:w="839" w:type="pct"/>
            <w:noWrap/>
            <w:hideMark/>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t>1,800</w:t>
            </w:r>
          </w:p>
        </w:tc>
        <w:tc>
          <w:tcPr>
            <w:tcW w:w="660" w:type="pct"/>
            <w:noWrap/>
            <w:hideMark/>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1,400</w:t>
            </w:r>
          </w:p>
        </w:tc>
        <w:tc>
          <w:tcPr>
            <w:tcW w:w="660" w:type="pct"/>
            <w:noWrap/>
            <w:hideMark/>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1,400</w:t>
            </w:r>
          </w:p>
        </w:tc>
        <w:tc>
          <w:tcPr>
            <w:tcW w:w="659" w:type="pct"/>
            <w:noWrap/>
            <w:hideMark/>
          </w:tcPr>
          <w:p w:rsidR="00685B7B" w:rsidRPr="00685B7B" w:rsidRDefault="00685B7B" w:rsidP="00685B7B">
            <w:pPr>
              <w:cnfStyle w:val="000000010000" w:firstRow="0" w:lastRow="0" w:firstColumn="0" w:lastColumn="0" w:oddVBand="0" w:evenVBand="0" w:oddHBand="0" w:evenHBand="1" w:firstRowFirstColumn="0" w:firstRowLastColumn="0" w:lastRowFirstColumn="0" w:lastRowLastColumn="0"/>
            </w:pPr>
            <w:r w:rsidRPr="00685B7B">
              <w:t>7,000</w:t>
            </w:r>
          </w:p>
        </w:tc>
      </w:tr>
      <w:tr w:rsidR="00F16476" w:rsidRPr="00E6480E" w:rsidTr="00F16476">
        <w:trPr>
          <w:trHeight w:val="315"/>
        </w:trPr>
        <w:tc>
          <w:tcPr>
            <w:cnfStyle w:val="001000000000" w:firstRow="0" w:lastRow="0" w:firstColumn="1" w:lastColumn="0" w:oddVBand="0" w:evenVBand="0" w:oddHBand="0" w:evenHBand="0" w:firstRowFirstColumn="0" w:firstRowLastColumn="0" w:lastRowFirstColumn="0" w:lastRowLastColumn="0"/>
            <w:tcW w:w="1040" w:type="pct"/>
            <w:noWrap/>
            <w:hideMark/>
          </w:tcPr>
          <w:p w:rsidR="00685B7B" w:rsidRPr="00685B7B" w:rsidRDefault="00685B7B" w:rsidP="00685B7B">
            <w:r w:rsidRPr="00685B7B">
              <w:t>Nominal Differential</w:t>
            </w:r>
          </w:p>
        </w:tc>
        <w:tc>
          <w:tcPr>
            <w:tcW w:w="572"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t>400</w:t>
            </w:r>
          </w:p>
        </w:tc>
        <w:tc>
          <w:tcPr>
            <w:tcW w:w="570"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t>0</w:t>
            </w:r>
          </w:p>
        </w:tc>
        <w:tc>
          <w:tcPr>
            <w:tcW w:w="839" w:type="pct"/>
            <w:noWrap/>
            <w:hideMark/>
          </w:tcPr>
          <w:p w:rsidR="00685B7B" w:rsidRPr="00F16476" w:rsidRDefault="00F16476" w:rsidP="00F16476">
            <w:pPr>
              <w:cnfStyle w:val="000000000000" w:firstRow="0" w:lastRow="0" w:firstColumn="0" w:lastColumn="0" w:oddVBand="0" w:evenVBand="0" w:oddHBand="0" w:evenHBand="0" w:firstRowFirstColumn="0" w:firstRowLastColumn="0" w:lastRowFirstColumn="0" w:lastRowLastColumn="0"/>
            </w:pPr>
            <w:r w:rsidRPr="00F16476">
              <w:t>-</w:t>
            </w:r>
            <w:r>
              <w:t xml:space="preserve"> </w:t>
            </w:r>
            <w:r w:rsidR="00685B7B" w:rsidRPr="00F16476">
              <w:t>400</w:t>
            </w:r>
          </w:p>
        </w:tc>
        <w:tc>
          <w:tcPr>
            <w:tcW w:w="660" w:type="pct"/>
            <w:noWrap/>
            <w:hideMark/>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t>0</w:t>
            </w:r>
          </w:p>
        </w:tc>
        <w:tc>
          <w:tcPr>
            <w:tcW w:w="660" w:type="pct"/>
            <w:noWrap/>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t>0</w:t>
            </w:r>
          </w:p>
        </w:tc>
        <w:tc>
          <w:tcPr>
            <w:tcW w:w="659" w:type="pct"/>
            <w:noWrap/>
          </w:tcPr>
          <w:p w:rsidR="00685B7B" w:rsidRPr="00685B7B" w:rsidRDefault="00685B7B" w:rsidP="00685B7B">
            <w:pPr>
              <w:cnfStyle w:val="000000000000" w:firstRow="0" w:lastRow="0" w:firstColumn="0" w:lastColumn="0" w:oddVBand="0" w:evenVBand="0" w:oddHBand="0" w:evenHBand="0" w:firstRowFirstColumn="0" w:firstRowLastColumn="0" w:lastRowFirstColumn="0" w:lastRowLastColumn="0"/>
            </w:pPr>
            <w:r>
              <w:t>0</w:t>
            </w:r>
          </w:p>
        </w:tc>
      </w:tr>
      <w:tr w:rsidR="00850A1C" w:rsidRPr="00E6480E" w:rsidTr="00850A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pct"/>
            <w:noWrap/>
            <w:hideMark/>
          </w:tcPr>
          <w:p w:rsidR="00850A1C" w:rsidRPr="00850A1C" w:rsidRDefault="00850A1C" w:rsidP="00850A1C">
            <w:r w:rsidRPr="00850A1C">
              <w:t>PV of Over/Underspend</w:t>
            </w:r>
          </w:p>
        </w:tc>
        <w:tc>
          <w:tcPr>
            <w:tcW w:w="572" w:type="pct"/>
            <w:noWrap/>
            <w:vAlign w:val="bottom"/>
            <w:hideMark/>
          </w:tcPr>
          <w:p w:rsidR="00850A1C" w:rsidRPr="00850A1C" w:rsidRDefault="00850A1C" w:rsidP="00850A1C">
            <w:pPr>
              <w:cnfStyle w:val="000000010000" w:firstRow="0" w:lastRow="0" w:firstColumn="0" w:lastColumn="0" w:oddVBand="0" w:evenVBand="0" w:oddHBand="0" w:evenHBand="1" w:firstRowFirstColumn="0" w:firstRowLastColumn="0" w:lastRowFirstColumn="0" w:lastRowLastColumn="0"/>
            </w:pPr>
            <w:r w:rsidRPr="00850A1C">
              <w:t xml:space="preserve">              </w:t>
            </w:r>
            <w:r>
              <w:t xml:space="preserve">                            376</w:t>
            </w:r>
            <w:r w:rsidRPr="00850A1C">
              <w:t xml:space="preserve"> </w:t>
            </w:r>
          </w:p>
        </w:tc>
        <w:tc>
          <w:tcPr>
            <w:tcW w:w="570" w:type="pct"/>
            <w:noWrap/>
            <w:vAlign w:val="bottom"/>
            <w:hideMark/>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839" w:type="pct"/>
            <w:noWrap/>
            <w:vAlign w:val="bottom"/>
            <w:hideMark/>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t>-         331</w:t>
            </w:r>
            <w:r w:rsidRPr="00850A1C">
              <w:t xml:space="preserve"> </w:t>
            </w:r>
          </w:p>
        </w:tc>
        <w:tc>
          <w:tcPr>
            <w:tcW w:w="660"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660" w:type="pct"/>
            <w:noWrap/>
            <w:vAlign w:val="bottom"/>
          </w:tcPr>
          <w:p w:rsidR="00850A1C" w:rsidRPr="00850A1C" w:rsidRDefault="00850A1C">
            <w:pPr>
              <w:cnfStyle w:val="000000010000" w:firstRow="0" w:lastRow="0" w:firstColumn="0" w:lastColumn="0" w:oddVBand="0" w:evenVBand="0" w:oddHBand="0" w:evenHBand="1" w:firstRowFirstColumn="0" w:firstRowLastColumn="0" w:lastRowFirstColumn="0" w:lastRowLastColumn="0"/>
            </w:pPr>
            <w:r w:rsidRPr="00850A1C">
              <w:t xml:space="preserve">                                              -   </w:t>
            </w:r>
          </w:p>
        </w:tc>
        <w:tc>
          <w:tcPr>
            <w:tcW w:w="659" w:type="pct"/>
            <w:noWrap/>
            <w:vAlign w:val="bottom"/>
            <w:hideMark/>
          </w:tcPr>
          <w:p w:rsidR="00850A1C" w:rsidRPr="00850A1C" w:rsidRDefault="00850A1C" w:rsidP="00850A1C">
            <w:pPr>
              <w:cnfStyle w:val="000000010000" w:firstRow="0" w:lastRow="0" w:firstColumn="0" w:lastColumn="0" w:oddVBand="0" w:evenVBand="0" w:oddHBand="0" w:evenHBand="1" w:firstRowFirstColumn="0" w:firstRowLastColumn="0" w:lastRowFirstColumn="0" w:lastRowLastColumn="0"/>
            </w:pPr>
            <w:r w:rsidRPr="00850A1C">
              <w:t xml:space="preserve">                                          </w:t>
            </w:r>
            <w:r>
              <w:t>45</w:t>
            </w:r>
            <w:r w:rsidRPr="00850A1C">
              <w:t xml:space="preserve"> </w:t>
            </w:r>
          </w:p>
        </w:tc>
      </w:tr>
      <w:tr w:rsidR="00850A1C" w:rsidRPr="00E6480E" w:rsidTr="00850A1C">
        <w:trPr>
          <w:trHeight w:val="315"/>
        </w:trPr>
        <w:tc>
          <w:tcPr>
            <w:cnfStyle w:val="001000000000" w:firstRow="0" w:lastRow="0" w:firstColumn="1" w:lastColumn="0" w:oddVBand="0" w:evenVBand="0" w:oddHBand="0" w:evenHBand="0" w:firstRowFirstColumn="0" w:firstRowLastColumn="0" w:lastRowFirstColumn="0" w:lastRowLastColumn="0"/>
            <w:tcW w:w="1040" w:type="pct"/>
            <w:noWrap/>
            <w:hideMark/>
          </w:tcPr>
          <w:p w:rsidR="00850A1C" w:rsidRPr="00850A1C" w:rsidRDefault="00850A1C" w:rsidP="00850A1C">
            <w:r w:rsidRPr="00850A1C">
              <w:t>Cumulative NPV of over/underspend</w:t>
            </w:r>
          </w:p>
        </w:tc>
        <w:tc>
          <w:tcPr>
            <w:tcW w:w="572" w:type="pct"/>
            <w:noWrap/>
            <w:vAlign w:val="bottom"/>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rsidRPr="00850A1C">
              <w:t xml:space="preserve">                                          37</w:t>
            </w:r>
            <w:r>
              <w:t>6</w:t>
            </w:r>
          </w:p>
        </w:tc>
        <w:tc>
          <w:tcPr>
            <w:tcW w:w="570"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 xml:space="preserve">                376</w:t>
            </w:r>
          </w:p>
        </w:tc>
        <w:tc>
          <w:tcPr>
            <w:tcW w:w="839" w:type="pct"/>
            <w:noWrap/>
            <w:vAlign w:val="bottom"/>
            <w:hideMark/>
          </w:tcPr>
          <w:p w:rsidR="00850A1C" w:rsidRPr="00850A1C" w:rsidRDefault="00850A1C" w:rsidP="00850A1C">
            <w:pPr>
              <w:cnfStyle w:val="000000000000" w:firstRow="0" w:lastRow="0" w:firstColumn="0" w:lastColumn="0" w:oddVBand="0" w:evenVBand="0" w:oddHBand="0" w:evenHBand="0" w:firstRowFirstColumn="0" w:firstRowLastColumn="0" w:lastRowFirstColumn="0" w:lastRowLastColumn="0"/>
            </w:pPr>
            <w:r>
              <w:t xml:space="preserve">             45</w:t>
            </w:r>
            <w:r w:rsidRPr="00850A1C">
              <w:t xml:space="preserve"> </w:t>
            </w:r>
          </w:p>
        </w:tc>
        <w:tc>
          <w:tcPr>
            <w:tcW w:w="660"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 xml:space="preserve">             4</w:t>
            </w:r>
            <w:r>
              <w:t>5</w:t>
            </w:r>
          </w:p>
        </w:tc>
        <w:tc>
          <w:tcPr>
            <w:tcW w:w="660"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 xml:space="preserve">             4</w:t>
            </w:r>
            <w:r>
              <w:t>5</w:t>
            </w:r>
          </w:p>
        </w:tc>
        <w:tc>
          <w:tcPr>
            <w:tcW w:w="659" w:type="pct"/>
            <w:noWrap/>
            <w:vAlign w:val="bottom"/>
          </w:tcPr>
          <w:p w:rsidR="00850A1C" w:rsidRPr="00850A1C" w:rsidRDefault="00850A1C">
            <w:pPr>
              <w:cnfStyle w:val="000000000000" w:firstRow="0" w:lastRow="0" w:firstColumn="0" w:lastColumn="0" w:oddVBand="0" w:evenVBand="0" w:oddHBand="0" w:evenHBand="0" w:firstRowFirstColumn="0" w:firstRowLastColumn="0" w:lastRowFirstColumn="0" w:lastRowLastColumn="0"/>
            </w:pPr>
            <w:r w:rsidRPr="00850A1C">
              <w:t xml:space="preserve">             4</w:t>
            </w:r>
            <w:r>
              <w:t>5</w:t>
            </w:r>
          </w:p>
        </w:tc>
      </w:tr>
    </w:tbl>
    <w:p w:rsidR="00C6460C" w:rsidRDefault="00E6480E" w:rsidP="00E6480E">
      <w:r>
        <w:t>In this worked example the distributor again underspends the allowance in year one, but this time overspends it in year 3. Both times the distributor devi</w:t>
      </w:r>
      <w:r w:rsidR="00CC6A64">
        <w:t>ates from the allowance by $400,</w:t>
      </w:r>
      <w:r>
        <w:t>000. However, as we adjust for the time cost of money, the earlier underspend (which was retained by the distributer) has a higher present value. This would lead to a larger pass through, as is demonstrated below.</w:t>
      </w:r>
    </w:p>
    <w:p w:rsidR="00E6480E" w:rsidRPr="00E6480E" w:rsidRDefault="00C6460C" w:rsidP="00E6480E">
      <w:r>
        <w:t xml:space="preserve">The total cumulative underspends in </w:t>
      </w:r>
      <w:r>
        <w:fldChar w:fldCharType="begin"/>
      </w:r>
      <w:r>
        <w:instrText xml:space="preserve"> REF  _Ref490738448 \* Lower \h </w:instrText>
      </w:r>
      <w:r>
        <w:fldChar w:fldCharType="separate"/>
      </w:r>
      <w:r w:rsidR="00755D05">
        <w:t xml:space="preserve">table </w:t>
      </w:r>
      <w:r w:rsidR="00755D05">
        <w:rPr>
          <w:noProof/>
        </w:rPr>
        <w:t>4</w:t>
      </w:r>
      <w:r>
        <w:fldChar w:fldCharType="end"/>
      </w:r>
      <w:r>
        <w:t xml:space="preserve"> and </w:t>
      </w:r>
      <w:r>
        <w:fldChar w:fldCharType="begin"/>
      </w:r>
      <w:r>
        <w:instrText xml:space="preserve"> REF  _Ref490738793 \* Lower \h </w:instrText>
      </w:r>
      <w:r>
        <w:fldChar w:fldCharType="separate"/>
      </w:r>
      <w:r w:rsidR="00755D05">
        <w:t xml:space="preserve">table </w:t>
      </w:r>
      <w:r w:rsidR="00755D05">
        <w:rPr>
          <w:noProof/>
        </w:rPr>
        <w:t>5</w:t>
      </w:r>
      <w:r>
        <w:fldChar w:fldCharType="end"/>
      </w:r>
      <w:r w:rsidR="009D79E2">
        <w:t xml:space="preserve"> represent the value inside the bracket of </w:t>
      </w:r>
      <w:r w:rsidR="009D79E2">
        <w:fldChar w:fldCharType="begin"/>
      </w:r>
      <w:r w:rsidR="009D79E2">
        <w:instrText xml:space="preserve"> REF  _Ref490738114 \* Lower \h </w:instrText>
      </w:r>
      <w:r w:rsidR="009D79E2">
        <w:fldChar w:fldCharType="separate"/>
      </w:r>
      <w:r w:rsidR="00755D05">
        <w:t xml:space="preserve">equation </w:t>
      </w:r>
      <w:r w:rsidR="00755D05">
        <w:rPr>
          <w:noProof/>
        </w:rPr>
        <w:t>3</w:t>
      </w:r>
      <w:r w:rsidR="009D79E2">
        <w:fldChar w:fldCharType="end"/>
      </w:r>
      <w:r w:rsidR="009D79E2">
        <w:t xml:space="preserve">. To calculate the total carryover amount, we would also need to apply the second part of </w:t>
      </w:r>
      <w:r w:rsidR="009D79E2">
        <w:fldChar w:fldCharType="begin"/>
      </w:r>
      <w:r w:rsidR="009D79E2">
        <w:instrText xml:space="preserve"> REF  _Ref486927291 \* Lower \h </w:instrText>
      </w:r>
      <w:r w:rsidR="009D79E2">
        <w:fldChar w:fldCharType="separate"/>
      </w:r>
      <w:r w:rsidR="00755D05">
        <w:t xml:space="preserve">equation </w:t>
      </w:r>
      <w:r w:rsidR="00755D05">
        <w:rPr>
          <w:noProof/>
        </w:rPr>
        <w:t>2</w:t>
      </w:r>
      <w:r w:rsidR="009D79E2">
        <w:fldChar w:fldCharType="end"/>
      </w:r>
      <w:r w:rsidR="009D79E2">
        <w:t xml:space="preserve">, as replicated in </w:t>
      </w:r>
      <w:r w:rsidR="009D79E2">
        <w:fldChar w:fldCharType="begin"/>
      </w:r>
      <w:r w:rsidR="009D79E2">
        <w:instrText xml:space="preserve"> REF  _Ref490739519 \* Lower \h </w:instrText>
      </w:r>
      <w:r w:rsidR="009D79E2">
        <w:fldChar w:fldCharType="separate"/>
      </w:r>
      <w:r w:rsidR="00755D05">
        <w:t xml:space="preserve">equation </w:t>
      </w:r>
      <w:r w:rsidR="00755D05">
        <w:rPr>
          <w:noProof/>
        </w:rPr>
        <w:t>4</w:t>
      </w:r>
      <w:r w:rsidR="009D79E2">
        <w:fldChar w:fldCharType="end"/>
      </w:r>
      <w:r w:rsidR="00F6620A">
        <w:t xml:space="preserve"> below.</w:t>
      </w:r>
    </w:p>
    <w:p w:rsidR="00A862E2" w:rsidRDefault="00C6460C" w:rsidP="00C6460C">
      <w:pPr>
        <w:pStyle w:val="Caption"/>
      </w:pPr>
      <w:bookmarkStart w:id="58" w:name="_Ref490739519"/>
      <w:r>
        <w:t xml:space="preserve">Equation </w:t>
      </w:r>
      <w:r w:rsidR="006F3834">
        <w:fldChar w:fldCharType="begin"/>
      </w:r>
      <w:r w:rsidR="006F3834">
        <w:instrText xml:space="preserve"> SEQ Equation \* ARABIC </w:instrText>
      </w:r>
      <w:r w:rsidR="006F3834">
        <w:fldChar w:fldCharType="separate"/>
      </w:r>
      <w:r w:rsidR="00755D05">
        <w:rPr>
          <w:noProof/>
        </w:rPr>
        <w:t>4</w:t>
      </w:r>
      <w:r w:rsidR="006F3834">
        <w:rPr>
          <w:noProof/>
        </w:rPr>
        <w:fldChar w:fldCharType="end"/>
      </w:r>
      <w:bookmarkEnd w:id="58"/>
      <w:r w:rsidR="00A862E2">
        <w:t xml:space="preserve">: </w:t>
      </w:r>
      <w:r>
        <w:t xml:space="preserve">Part </w:t>
      </w:r>
      <w:r w:rsidR="00A862E2">
        <w:t>2</w:t>
      </w:r>
      <w:r w:rsidRPr="00C6460C">
        <w:t xml:space="preserve"> </w:t>
      </w:r>
      <w:r>
        <w:t>of the carryover amount calculation</w:t>
      </w:r>
    </w:p>
    <w:p w:rsidR="00891270" w:rsidRPr="00891270" w:rsidRDefault="00891270" w:rsidP="00887D10">
      <w:pPr>
        <w:rPr>
          <w:rFonts w:eastAsiaTheme="minorEastAsia"/>
        </w:rPr>
      </w:pPr>
      <m:oMathPara>
        <m:oMath>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e>
          </m:nary>
        </m:oMath>
      </m:oMathPara>
    </w:p>
    <w:p w:rsidR="00E6480E" w:rsidRPr="00891270" w:rsidRDefault="00B55558" w:rsidP="00887D10">
      <w:pPr>
        <w:rPr>
          <w:rFonts w:eastAsiaTheme="minorEastAsia"/>
        </w:rPr>
      </w:pPr>
      <w:r>
        <w:t>Th</w:t>
      </w:r>
      <w:r w:rsidR="009D79E2">
        <w:t>e</w:t>
      </w:r>
      <w:r>
        <w:t xml:space="preserve"> step</w:t>
      </w:r>
      <w:r w:rsidR="009D79E2">
        <w:t xml:space="preserve"> in </w:t>
      </w:r>
      <w:r w:rsidR="009D79E2">
        <w:fldChar w:fldCharType="begin"/>
      </w:r>
      <w:r w:rsidR="009D79E2">
        <w:instrText xml:space="preserve"> REF  _Ref490739519 \* Lower \h </w:instrText>
      </w:r>
      <w:r w:rsidR="009D79E2">
        <w:fldChar w:fldCharType="separate"/>
      </w:r>
      <w:r w:rsidR="00755D05">
        <w:t xml:space="preserve">equation </w:t>
      </w:r>
      <w:r w:rsidR="00755D05">
        <w:rPr>
          <w:noProof/>
        </w:rPr>
        <w:t>4</w:t>
      </w:r>
      <w:r w:rsidR="009D79E2">
        <w:fldChar w:fldCharType="end"/>
      </w:r>
      <w:r w:rsidR="009D79E2">
        <w:t xml:space="preserve"> entails taking</w:t>
      </w:r>
      <w:r>
        <w:t xml:space="preserve"> the overall </w:t>
      </w:r>
      <w:r w:rsidR="00FF182E">
        <w:t xml:space="preserve">adjusted </w:t>
      </w:r>
      <w:r w:rsidR="009D79E2">
        <w:t>under</w:t>
      </w:r>
      <w:r>
        <w:t xml:space="preserve">spend </w:t>
      </w:r>
      <w:r w:rsidR="009D79E2">
        <w:t xml:space="preserve">(which is a  present value at </w:t>
      </w:r>
      <m:oMath>
        <m:r>
          <w:rPr>
            <w:rFonts w:ascii="Cambria Math" w:hAnsi="Cambria Math"/>
          </w:rPr>
          <m:t>t=0</m:t>
        </m:r>
      </m:oMath>
      <w:r w:rsidR="009D79E2">
        <w:t xml:space="preserve">), and converting it to present value as </w:t>
      </w:r>
      <m:oMath>
        <m:r>
          <w:rPr>
            <w:rFonts w:ascii="Cambria Math" w:hAnsi="Cambria Math"/>
          </w:rPr>
          <m:t>t=N+2</m:t>
        </m:r>
      </m:oMath>
      <w:r w:rsidR="009D79E2">
        <w:t>. This reflects</w:t>
      </w:r>
      <w:r w:rsidR="00D75392">
        <w:t xml:space="preserve"> the year </w:t>
      </w:r>
      <w:r w:rsidR="009D79E2">
        <w:t xml:space="preserve">the </w:t>
      </w:r>
      <w:r w:rsidR="00D75392">
        <w:t>underspend</w:t>
      </w:r>
      <w:r w:rsidR="009D79E2">
        <w:t xml:space="preserve"> is passed</w:t>
      </w:r>
      <w:r w:rsidR="00D75392">
        <w:t xml:space="preserve"> through</w:t>
      </w:r>
      <w:r w:rsidR="009D79E2">
        <w:t xml:space="preserve"> </w:t>
      </w:r>
      <w:r w:rsidR="009D79E2">
        <w:rPr>
          <w:rFonts w:cs="Arial"/>
        </w:rPr>
        <w:t>―</w:t>
      </w:r>
      <w:r w:rsidR="009D79E2">
        <w:t xml:space="preserve"> which is the second year of the subsequent regulatory control period. </w:t>
      </w:r>
      <w:r w:rsidR="00E6480E">
        <w:t xml:space="preserve">This means </w:t>
      </w:r>
      <w:r w:rsidR="009D79E2">
        <w:t>the carryover</w:t>
      </w:r>
      <w:r w:rsidR="00E6480E">
        <w:t xml:space="preserve"> reflect</w:t>
      </w:r>
      <w:r w:rsidR="009D79E2">
        <w:t>s</w:t>
      </w:r>
      <w:r w:rsidR="00E6480E">
        <w:t xml:space="preserve"> the true value of the underspen</w:t>
      </w:r>
      <w:r w:rsidR="009D79E2">
        <w:t>t</w:t>
      </w:r>
      <w:r w:rsidR="00E6480E">
        <w:t xml:space="preserve"> money to the </w:t>
      </w:r>
      <w:r w:rsidR="009D79E2">
        <w:t>distributor</w:t>
      </w:r>
      <w:r w:rsidR="00E6480E">
        <w:t>, as we have no</w:t>
      </w:r>
      <w:r w:rsidR="00F8425D">
        <w:t>w</w:t>
      </w:r>
      <w:r w:rsidR="00E6480E">
        <w:t xml:space="preserve"> accounted for the entire time that the underspend has been</w:t>
      </w:r>
      <w:r w:rsidR="00F6620A">
        <w:t xml:space="preserve"> retained.</w:t>
      </w:r>
    </w:p>
    <w:p w:rsidR="00415A05" w:rsidRDefault="00D975E2" w:rsidP="00887D10">
      <w:r>
        <w:t xml:space="preserve">The aim of this step is to pass through an amount that reflects the benefits of underspending the allowance in the previous </w:t>
      </w:r>
      <w:r w:rsidR="009D79E2">
        <w:t xml:space="preserve">regulatory </w:t>
      </w:r>
      <w:r>
        <w:t xml:space="preserve">control period. </w:t>
      </w:r>
      <w:r w:rsidR="000C4F01" w:rsidRPr="000C4F01">
        <w:t>We consider this is an equitable means of reflecting the value gained from underspending the allowance in each year of the regulatory control period.</w:t>
      </w:r>
    </w:p>
    <w:p w:rsidR="00283DCE" w:rsidRDefault="00595624" w:rsidP="00887D10">
      <w:r>
        <w:lastRenderedPageBreak/>
        <w:t xml:space="preserve">The calculation below </w:t>
      </w:r>
      <w:r w:rsidR="00283DCE">
        <w:t xml:space="preserve">shows the </w:t>
      </w:r>
      <w:r>
        <w:t xml:space="preserve">complete </w:t>
      </w:r>
      <w:r w:rsidR="00283DCE">
        <w:t xml:space="preserve">application of </w:t>
      </w:r>
      <w:r>
        <w:fldChar w:fldCharType="begin"/>
      </w:r>
      <w:r>
        <w:instrText xml:space="preserve"> REF  _Ref486927291 \* Lower \h </w:instrText>
      </w:r>
      <w:r>
        <w:fldChar w:fldCharType="separate"/>
      </w:r>
      <w:r w:rsidR="00755D05">
        <w:t xml:space="preserve">equation </w:t>
      </w:r>
      <w:r w:rsidR="00755D05">
        <w:rPr>
          <w:noProof/>
        </w:rPr>
        <w:t>2</w:t>
      </w:r>
      <w:r>
        <w:fldChar w:fldCharType="end"/>
      </w:r>
      <w:r>
        <w:t xml:space="preserve"> to </w:t>
      </w:r>
      <w:r w:rsidR="00283DCE">
        <w:t>the previous example 1.</w:t>
      </w:r>
      <w:r w:rsidR="00283DCE" w:rsidRPr="00283DCE">
        <w:t xml:space="preserve"> </w:t>
      </w:r>
      <w:r>
        <w:t>We have used the same assumptions as previously, but have also added the assumption that the</w:t>
      </w:r>
      <w:r w:rsidR="00283DCE">
        <w:t xml:space="preserve"> allowed rate of return for the second regulatory control period </w:t>
      </w:r>
      <w:r>
        <w:t>is</w:t>
      </w:r>
      <w:r w:rsidR="00283DCE">
        <w:t xml:space="preserve"> 7.0%</w:t>
      </w:r>
      <w:r>
        <w:t>.</w:t>
      </w:r>
      <w:r w:rsidR="00860A0B">
        <w:t xml:space="preserve"> We have taken </w:t>
      </w:r>
      <w:r w:rsidR="00860A0B" w:rsidRPr="00860A0B">
        <w:t xml:space="preserve">the figure, -376,000 from the calculation in </w:t>
      </w:r>
      <w:r w:rsidR="00860A0B" w:rsidRPr="00860A0B">
        <w:fldChar w:fldCharType="begin"/>
      </w:r>
      <w:r w:rsidR="00860A0B" w:rsidRPr="00860A0B">
        <w:instrText xml:space="preserve"> REF  _Ref490738448 \* Lower \h </w:instrText>
      </w:r>
      <w:r w:rsidR="00860A0B" w:rsidRPr="00860A0B">
        <w:fldChar w:fldCharType="separate"/>
      </w:r>
      <w:r w:rsidR="00755D05">
        <w:t xml:space="preserve">table </w:t>
      </w:r>
      <w:r w:rsidR="00755D05">
        <w:rPr>
          <w:noProof/>
        </w:rPr>
        <w:t>4</w:t>
      </w:r>
      <w:r w:rsidR="00860A0B" w:rsidRPr="00860A0B">
        <w:fldChar w:fldCharType="end"/>
      </w:r>
      <w:r w:rsidR="00F6620A">
        <w:t>.</w:t>
      </w:r>
    </w:p>
    <w:p w:rsidR="00CC6A64" w:rsidRPr="00CC6A64" w:rsidRDefault="00B54981" w:rsidP="00CC6A64">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e>
          </m:nary>
        </m:oMath>
      </m:oMathPara>
    </w:p>
    <w:p w:rsidR="00B54981" w:rsidRPr="00B54981" w:rsidRDefault="00CC6A64" w:rsidP="004B6E8B">
      <w:pPr>
        <w:pStyle w:val="LegalNumbering"/>
        <w:numPr>
          <w:ilvl w:val="0"/>
          <w:numId w:val="0"/>
        </w:numPr>
        <w:ind w:left="624"/>
      </w:pPr>
      <m:oMathPara>
        <m:oMath>
          <m:r>
            <w:rPr>
              <w:rFonts w:ascii="Cambria Math" w:hAnsi="Cambria Math"/>
            </w:rPr>
            <m:t>C=-</m:t>
          </m:r>
          <m:r>
            <m:rPr>
              <m:sty m:val="p"/>
            </m:rPr>
            <w:rPr>
              <w:rFonts w:ascii="Cambria Math" w:hAnsi="Cambria Math"/>
            </w:rPr>
            <m:t>376,000</m:t>
          </m:r>
          <m:r>
            <w:rPr>
              <w:rFonts w:ascii="Cambria Math" w:hAnsi="Cambria Math"/>
            </w:rPr>
            <m:t>×</m:t>
          </m:r>
          <m:d>
            <m:dPr>
              <m:begChr m:val="["/>
              <m:endChr m:val="]"/>
              <m:ctrlPr>
                <w:rPr>
                  <w:rFonts w:ascii="Cambria Math" w:hAnsi="Cambria Math"/>
                </w:rPr>
              </m:ctrlPr>
            </m:dPr>
            <m:e>
              <m:r>
                <w:rPr>
                  <w:rFonts w:ascii="Cambria Math" w:hAnsi="Cambria Math"/>
                </w:rPr>
                <m:t>1.065×1.065×1.065×1.065×1.065×1.07×1.07</m:t>
              </m:r>
            </m:e>
          </m:d>
        </m:oMath>
      </m:oMathPara>
    </w:p>
    <w:p w:rsidR="00B54981" w:rsidRPr="004B6E8B" w:rsidRDefault="00B54981" w:rsidP="004B6E8B">
      <w:pPr>
        <w:pStyle w:val="LegalNumbering"/>
        <w:numPr>
          <w:ilvl w:val="0"/>
          <w:numId w:val="0"/>
        </w:numPr>
        <w:ind w:left="624"/>
        <w:rPr>
          <w:rFonts w:eastAsiaTheme="minorEastAsia"/>
        </w:rPr>
      </w:pPr>
      <m:oMathPara>
        <m:oMath>
          <m:r>
            <w:rPr>
              <w:rFonts w:ascii="Cambria Math" w:hAnsi="Cambria Math"/>
            </w:rPr>
            <m:t>C=-</m:t>
          </m:r>
          <m:r>
            <m:rPr>
              <m:sty m:val="p"/>
            </m:rPr>
            <w:rPr>
              <w:rFonts w:ascii="Cambria Math" w:hAnsi="Cambria Math"/>
            </w:rPr>
            <m:t>376,000</m:t>
          </m:r>
          <m:r>
            <w:rPr>
              <w:rFonts w:ascii="Cambria Math" w:hAnsi="Cambria Math"/>
            </w:rPr>
            <m:t>×</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1.065</m:t>
                      </m:r>
                    </m:e>
                  </m:d>
                </m:e>
                <m:sup>
                  <m:r>
                    <w:rPr>
                      <w:rFonts w:ascii="Cambria Math" w:hAnsi="Cambria Math"/>
                    </w:rPr>
                    <m:t>5</m:t>
                  </m:r>
                </m:sup>
              </m:sSup>
              <m:sSup>
                <m:sSupPr>
                  <m:ctrlPr>
                    <w:rPr>
                      <w:rFonts w:ascii="Cambria Math" w:hAnsi="Cambria Math"/>
                    </w:rPr>
                  </m:ctrlPr>
                </m:sSupPr>
                <m:e>
                  <m:d>
                    <m:dPr>
                      <m:ctrlPr>
                        <w:rPr>
                          <w:rFonts w:ascii="Cambria Math" w:hAnsi="Cambria Math"/>
                        </w:rPr>
                      </m:ctrlPr>
                    </m:dPr>
                    <m:e>
                      <m:r>
                        <w:rPr>
                          <w:rFonts w:ascii="Cambria Math" w:hAnsi="Cambria Math"/>
                        </w:rPr>
                        <m:t>1.07</m:t>
                      </m:r>
                    </m:e>
                  </m:d>
                </m:e>
                <m:sup>
                  <m:r>
                    <w:rPr>
                      <w:rFonts w:ascii="Cambria Math" w:hAnsi="Cambria Math"/>
                    </w:rPr>
                    <m:t>2</m:t>
                  </m:r>
                </m:sup>
              </m:sSup>
            </m:e>
          </m:d>
        </m:oMath>
      </m:oMathPara>
    </w:p>
    <w:p w:rsidR="00B54981" w:rsidRPr="004B6E8B" w:rsidRDefault="00B54981" w:rsidP="004B6E8B">
      <w:pPr>
        <w:pStyle w:val="LegalNumbering"/>
        <w:numPr>
          <w:ilvl w:val="0"/>
          <w:numId w:val="0"/>
        </w:numPr>
        <w:ind w:left="624"/>
        <w:rPr>
          <w:rFonts w:eastAsiaTheme="minorEastAsia"/>
        </w:rPr>
      </w:pPr>
      <m:oMathPara>
        <m:oMath>
          <m:r>
            <w:rPr>
              <w:rFonts w:ascii="Cambria Math" w:hAnsi="Cambria Math"/>
            </w:rPr>
            <m:t>C=-589,798</m:t>
          </m:r>
        </m:oMath>
      </m:oMathPara>
    </w:p>
    <w:p w:rsidR="00595624" w:rsidRPr="00B54981" w:rsidRDefault="00860A0B" w:rsidP="004B6E8B">
      <w:pPr>
        <w:pStyle w:val="LegalNumbering"/>
        <w:numPr>
          <w:ilvl w:val="0"/>
          <w:numId w:val="0"/>
        </w:numPr>
      </w:pPr>
      <w:r>
        <w:t xml:space="preserve">Using the same assumptions, we apply </w:t>
      </w:r>
      <w:r>
        <w:fldChar w:fldCharType="begin"/>
      </w:r>
      <w:r>
        <w:instrText xml:space="preserve"> REF  _Ref486927291 \* Lower \h </w:instrText>
      </w:r>
      <w:r>
        <w:fldChar w:fldCharType="separate"/>
      </w:r>
      <w:r w:rsidR="00755D05">
        <w:t xml:space="preserve">equation </w:t>
      </w:r>
      <w:r w:rsidR="00755D05">
        <w:rPr>
          <w:noProof/>
        </w:rPr>
        <w:t>2</w:t>
      </w:r>
      <w:r>
        <w:fldChar w:fldCharType="end"/>
      </w:r>
      <w:r>
        <w:t xml:space="preserve"> to the previous example 2.</w:t>
      </w:r>
      <w:r w:rsidRPr="00860A0B">
        <w:t xml:space="preserve"> </w:t>
      </w:r>
      <w:r>
        <w:t xml:space="preserve">In this application, we have taken the </w:t>
      </w:r>
      <w:r w:rsidRPr="00860A0B">
        <w:t>figure</w:t>
      </w:r>
      <w:r>
        <w:t>,</w:t>
      </w:r>
      <w:r w:rsidRPr="00860A0B">
        <w:t xml:space="preserve"> -45,000 from the calculation in </w:t>
      </w:r>
      <w:r w:rsidRPr="00860A0B">
        <w:fldChar w:fldCharType="begin"/>
      </w:r>
      <w:r w:rsidRPr="00860A0B">
        <w:instrText xml:space="preserve"> REF  _Ref490738793 \* Lower \h </w:instrText>
      </w:r>
      <w:r w:rsidRPr="00860A0B">
        <w:fldChar w:fldCharType="separate"/>
      </w:r>
      <w:r w:rsidR="00755D05">
        <w:t xml:space="preserve">table </w:t>
      </w:r>
      <w:r w:rsidR="00755D05">
        <w:rPr>
          <w:noProof/>
        </w:rPr>
        <w:t>5</w:t>
      </w:r>
      <w:r w:rsidRPr="00860A0B">
        <w:fldChar w:fldCharType="end"/>
      </w:r>
      <w:r>
        <w:t>.</w:t>
      </w:r>
    </w:p>
    <w:p w:rsidR="00CC6A64" w:rsidRPr="00CC6A64" w:rsidRDefault="00CC6A64" w:rsidP="00AF244B">
      <w:pPr>
        <w:pStyle w:val="LegalNumbering"/>
        <w:numPr>
          <w:ilvl w:val="0"/>
          <w:numId w:val="0"/>
        </w:numPr>
        <w:ind w:left="624"/>
      </w:pPr>
      <m:oMathPara>
        <m:oMath>
          <m:r>
            <w:rPr>
              <w:rFonts w:ascii="Cambria Math" w:hAnsi="Cambria Math"/>
            </w:rPr>
            <m:t>C=-</m:t>
          </m:r>
          <m:r>
            <m:rPr>
              <m:sty m:val="p"/>
            </m:rPr>
            <w:rPr>
              <w:rFonts w:ascii="Cambria Math" w:hAnsi="Cambria Math"/>
            </w:rPr>
            <m:t>45,000</m:t>
          </m:r>
          <m:r>
            <w:rPr>
              <w:rFonts w:ascii="Cambria Math" w:hAnsi="Cambria Math"/>
            </w:rPr>
            <m:t>×</m:t>
          </m:r>
          <m:d>
            <m:dPr>
              <m:begChr m:val="["/>
              <m:endChr m:val="]"/>
              <m:ctrlPr>
                <w:rPr>
                  <w:rFonts w:ascii="Cambria Math" w:hAnsi="Cambria Math"/>
                </w:rPr>
              </m:ctrlPr>
            </m:dPr>
            <m:e>
              <m:r>
                <w:rPr>
                  <w:rFonts w:ascii="Cambria Math" w:hAnsi="Cambria Math"/>
                </w:rPr>
                <m:t>1.065×1.065×1.065×1.065×1.065×1.07×1.07</m:t>
              </m:r>
            </m:e>
          </m:d>
        </m:oMath>
      </m:oMathPara>
    </w:p>
    <w:p w:rsidR="00595624" w:rsidRPr="00595624" w:rsidRDefault="00595624" w:rsidP="004B6E8B">
      <w:pPr>
        <w:pStyle w:val="LegalNumbering"/>
        <w:numPr>
          <w:ilvl w:val="0"/>
          <w:numId w:val="0"/>
        </w:numPr>
        <w:ind w:left="624"/>
      </w:pPr>
      <m:oMathPara>
        <m:oMath>
          <m:r>
            <w:rPr>
              <w:rFonts w:ascii="Cambria Math" w:hAnsi="Cambria Math"/>
            </w:rPr>
            <m:t>C=-</m:t>
          </m:r>
          <m:r>
            <m:rPr>
              <m:sty m:val="p"/>
            </m:rPr>
            <w:rPr>
              <w:rFonts w:ascii="Cambria Math" w:hAnsi="Cambria Math"/>
            </w:rPr>
            <m:t>45,000</m:t>
          </m:r>
          <m:r>
            <w:rPr>
              <w:rFonts w:ascii="Cambria Math" w:hAnsi="Cambria Math"/>
            </w:rPr>
            <m:t>×</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1.065</m:t>
                      </m:r>
                    </m:e>
                  </m:d>
                </m:e>
                <m:sup>
                  <m:r>
                    <w:rPr>
                      <w:rFonts w:ascii="Cambria Math" w:hAnsi="Cambria Math"/>
                    </w:rPr>
                    <m:t>5</m:t>
                  </m:r>
                </m:sup>
              </m:sSup>
              <m:sSup>
                <m:sSupPr>
                  <m:ctrlPr>
                    <w:rPr>
                      <w:rFonts w:ascii="Cambria Math" w:hAnsi="Cambria Math"/>
                    </w:rPr>
                  </m:ctrlPr>
                </m:sSupPr>
                <m:e>
                  <m:d>
                    <m:dPr>
                      <m:ctrlPr>
                        <w:rPr>
                          <w:rFonts w:ascii="Cambria Math" w:hAnsi="Cambria Math"/>
                        </w:rPr>
                      </m:ctrlPr>
                    </m:dPr>
                    <m:e>
                      <m:r>
                        <w:rPr>
                          <w:rFonts w:ascii="Cambria Math" w:hAnsi="Cambria Math"/>
                        </w:rPr>
                        <m:t>1.07</m:t>
                      </m:r>
                    </m:e>
                  </m:d>
                </m:e>
                <m:sup>
                  <m:r>
                    <w:rPr>
                      <w:rFonts w:ascii="Cambria Math" w:hAnsi="Cambria Math"/>
                    </w:rPr>
                    <m:t>2</m:t>
                  </m:r>
                </m:sup>
              </m:sSup>
            </m:e>
          </m:d>
        </m:oMath>
      </m:oMathPara>
    </w:p>
    <w:p w:rsidR="00595624" w:rsidRPr="00595624" w:rsidRDefault="00595624" w:rsidP="004B6E8B">
      <w:pPr>
        <w:pStyle w:val="LegalNumbering"/>
        <w:numPr>
          <w:ilvl w:val="0"/>
          <w:numId w:val="0"/>
        </w:numPr>
        <w:ind w:left="284"/>
      </w:pPr>
      <m:oMathPara>
        <m:oMath>
          <m:r>
            <w:rPr>
              <w:rFonts w:ascii="Cambria Math" w:hAnsi="Cambria Math"/>
            </w:rPr>
            <m:t>C=-70,588</m:t>
          </m:r>
        </m:oMath>
      </m:oMathPara>
    </w:p>
    <w:p w:rsidR="00860A0B" w:rsidRDefault="00860A0B" w:rsidP="00887D10">
      <w:r>
        <w:t xml:space="preserve">Under each of these applications of </w:t>
      </w:r>
      <w:r>
        <w:fldChar w:fldCharType="begin"/>
      </w:r>
      <w:r>
        <w:instrText xml:space="preserve"> REF  _Ref486927291 \* Lower \h </w:instrText>
      </w:r>
      <w:r>
        <w:fldChar w:fldCharType="separate"/>
      </w:r>
      <w:r w:rsidR="00755D05">
        <w:t xml:space="preserve">equation </w:t>
      </w:r>
      <w:r w:rsidR="00755D05">
        <w:rPr>
          <w:noProof/>
        </w:rPr>
        <w:t>2</w:t>
      </w:r>
      <w:r>
        <w:fldChar w:fldCharType="end"/>
      </w:r>
      <w:r>
        <w:t xml:space="preserve">, the distributor returns the full value of its underspend to consumers and the NPV of the total underspend becomes zero. This is because we have specifically designed </w:t>
      </w:r>
      <w:r>
        <w:fldChar w:fldCharType="begin"/>
      </w:r>
      <w:r>
        <w:instrText xml:space="preserve"> REF  _Ref486927291 \* Lower \h </w:instrText>
      </w:r>
      <w:r>
        <w:fldChar w:fldCharType="separate"/>
      </w:r>
      <w:r w:rsidR="00755D05">
        <w:t xml:space="preserve">equation </w:t>
      </w:r>
      <w:r w:rsidR="00755D05">
        <w:rPr>
          <w:noProof/>
        </w:rPr>
        <w:t>2</w:t>
      </w:r>
      <w:r>
        <w:fldChar w:fldCharType="end"/>
      </w:r>
      <w:r>
        <w:t xml:space="preserve"> to be r</w:t>
      </w:r>
      <w:r w:rsidR="00F6620A">
        <w:t>evenue-neutral.</w:t>
      </w:r>
    </w:p>
    <w:p w:rsidR="00A57AFC" w:rsidRPr="00A57AFC" w:rsidRDefault="00C634F2" w:rsidP="00A57AFC">
      <w:r>
        <w:fldChar w:fldCharType="begin"/>
      </w:r>
      <w:r>
        <w:instrText xml:space="preserve"> REF _Ref490742072 \h </w:instrText>
      </w:r>
      <w:r>
        <w:fldChar w:fldCharType="separate"/>
      </w:r>
      <w:r w:rsidR="00755D05">
        <w:t xml:space="preserve">Table </w:t>
      </w:r>
      <w:r w:rsidR="00755D05">
        <w:rPr>
          <w:noProof/>
        </w:rPr>
        <w:t>6</w:t>
      </w:r>
      <w:r>
        <w:fldChar w:fldCharType="end"/>
      </w:r>
      <w:r>
        <w:t xml:space="preserve"> shows a third worked example.</w:t>
      </w:r>
      <w:r w:rsidR="00860A0B">
        <w:t xml:space="preserve"> </w:t>
      </w:r>
      <w:r>
        <w:t xml:space="preserve">In this example, </w:t>
      </w:r>
      <w:r w:rsidR="00860A0B" w:rsidRPr="00860A0B">
        <w:t xml:space="preserve">the distributor has underspent </w:t>
      </w:r>
      <w:r>
        <w:t>its first year</w:t>
      </w:r>
      <w:r w:rsidRPr="00860A0B">
        <w:t xml:space="preserve"> </w:t>
      </w:r>
      <w:r>
        <w:t>a</w:t>
      </w:r>
      <w:r w:rsidR="00860A0B" w:rsidRPr="00860A0B">
        <w:t>llowance, before overspending</w:t>
      </w:r>
      <w:r>
        <w:t xml:space="preserve"> its third year allowance</w:t>
      </w:r>
      <w:r w:rsidR="00CC6A64">
        <w:t xml:space="preserve"> by $700,</w:t>
      </w:r>
      <w:r w:rsidR="00860A0B" w:rsidRPr="00860A0B">
        <w:t xml:space="preserve">000. This results in an overspend of the total allowance allotted in the regulatory </w:t>
      </w:r>
      <w:r>
        <w:t xml:space="preserve">control </w:t>
      </w:r>
      <w:r w:rsidR="00860A0B" w:rsidRPr="00860A0B">
        <w:t>period by $300</w:t>
      </w:r>
      <w:r>
        <w:t>,</w:t>
      </w:r>
      <w:r w:rsidR="00CC6A64">
        <w:t>000 in nominal terms and $196</w:t>
      </w:r>
      <w:r>
        <w:t>,</w:t>
      </w:r>
      <w:r w:rsidR="00860A0B" w:rsidRPr="00860A0B">
        <w:t xml:space="preserve">000 </w:t>
      </w:r>
      <w:r>
        <w:t xml:space="preserve">when </w:t>
      </w:r>
      <w:r w:rsidR="00860A0B" w:rsidRPr="00860A0B">
        <w:t>adjusted</w:t>
      </w:r>
      <w:r>
        <w:t xml:space="preserve"> for the time value of money</w:t>
      </w:r>
      <w:r w:rsidR="00F6620A">
        <w:t>.</w:t>
      </w:r>
    </w:p>
    <w:p w:rsidR="00F8425D" w:rsidRPr="00124B89" w:rsidRDefault="00A57AFC" w:rsidP="00A57AFC">
      <w:pPr>
        <w:pStyle w:val="Caption"/>
      </w:pPr>
      <w:bookmarkStart w:id="59" w:name="_Ref490742072"/>
      <w:r>
        <w:t xml:space="preserve">Table </w:t>
      </w:r>
      <w:r w:rsidR="006F3834">
        <w:fldChar w:fldCharType="begin"/>
      </w:r>
      <w:r w:rsidR="006F3834">
        <w:instrText xml:space="preserve"> SEQ Table \* ARABIC </w:instrText>
      </w:r>
      <w:r w:rsidR="006F3834">
        <w:fldChar w:fldCharType="separate"/>
      </w:r>
      <w:r w:rsidR="00755D05">
        <w:rPr>
          <w:noProof/>
        </w:rPr>
        <w:t>6</w:t>
      </w:r>
      <w:r w:rsidR="006F3834">
        <w:rPr>
          <w:noProof/>
        </w:rPr>
        <w:fldChar w:fldCharType="end"/>
      </w:r>
      <w:bookmarkEnd w:id="59"/>
      <w:r>
        <w:t xml:space="preserve">: </w:t>
      </w:r>
      <w:r w:rsidR="00C634F2">
        <w:t xml:space="preserve">Example 3 </w:t>
      </w:r>
      <w:r w:rsidR="00C634F2">
        <w:rPr>
          <w:rFonts w:cs="Arial"/>
        </w:rPr>
        <w:t>―</w:t>
      </w:r>
      <w:r w:rsidR="00C634F2">
        <w:t xml:space="preserve"> Allowance overspend (present value at t=0, $’000</w:t>
      </w:r>
      <w:r w:rsidRPr="00A57AFC">
        <w:t>)</w:t>
      </w:r>
    </w:p>
    <w:tbl>
      <w:tblPr>
        <w:tblStyle w:val="AERtable-numbers"/>
        <w:tblpPr w:leftFromText="180" w:rightFromText="180" w:vertAnchor="text" w:horzAnchor="margin" w:tblpXSpec="right" w:tblpY="44"/>
        <w:tblW w:w="0" w:type="auto"/>
        <w:tblLayout w:type="fixed"/>
        <w:tblLook w:val="04A0" w:firstRow="1" w:lastRow="0" w:firstColumn="1" w:lastColumn="0" w:noHBand="0" w:noVBand="1"/>
      </w:tblPr>
      <w:tblGrid>
        <w:gridCol w:w="1676"/>
        <w:gridCol w:w="1126"/>
        <w:gridCol w:w="1134"/>
        <w:gridCol w:w="992"/>
        <w:gridCol w:w="992"/>
        <w:gridCol w:w="992"/>
        <w:gridCol w:w="1781"/>
      </w:tblGrid>
      <w:tr w:rsidR="00F8425D" w:rsidRPr="00124B89" w:rsidTr="00A63754">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76" w:type="dxa"/>
            <w:hideMark/>
          </w:tcPr>
          <w:p w:rsidR="00F8425D" w:rsidRPr="00F8425D" w:rsidRDefault="00F8425D" w:rsidP="00F8425D">
            <w:r>
              <w:t>Regulatory Period 1</w:t>
            </w:r>
          </w:p>
        </w:tc>
        <w:tc>
          <w:tcPr>
            <w:tcW w:w="1126" w:type="dxa"/>
            <w:noWrap/>
            <w:hideMark/>
          </w:tcPr>
          <w:p w:rsidR="00F8425D" w:rsidRPr="00F8425D" w:rsidRDefault="00F8425D" w:rsidP="00F8425D">
            <w:pPr>
              <w:cnfStyle w:val="100000000000" w:firstRow="1" w:lastRow="0" w:firstColumn="0" w:lastColumn="0" w:oddVBand="0" w:evenVBand="0" w:oddHBand="0" w:evenHBand="0" w:firstRowFirstColumn="0" w:firstRowLastColumn="0" w:lastRowFirstColumn="0" w:lastRowLastColumn="0"/>
            </w:pPr>
            <w:r>
              <w:t xml:space="preserve">Year </w:t>
            </w:r>
            <w:r w:rsidRPr="00F8425D">
              <w:t>1</w:t>
            </w:r>
          </w:p>
        </w:tc>
        <w:tc>
          <w:tcPr>
            <w:tcW w:w="1134" w:type="dxa"/>
            <w:noWrap/>
            <w:hideMark/>
          </w:tcPr>
          <w:p w:rsidR="00F8425D" w:rsidRPr="00F8425D" w:rsidRDefault="00F8425D" w:rsidP="00F8425D">
            <w:pPr>
              <w:cnfStyle w:val="100000000000" w:firstRow="1" w:lastRow="0" w:firstColumn="0" w:lastColumn="0" w:oddVBand="0" w:evenVBand="0" w:oddHBand="0" w:evenHBand="0" w:firstRowFirstColumn="0" w:firstRowLastColumn="0" w:lastRowFirstColumn="0" w:lastRowLastColumn="0"/>
            </w:pPr>
            <w:r>
              <w:t xml:space="preserve">Year </w:t>
            </w:r>
            <w:r w:rsidRPr="00F8425D">
              <w:t>2</w:t>
            </w:r>
          </w:p>
        </w:tc>
        <w:tc>
          <w:tcPr>
            <w:tcW w:w="992" w:type="dxa"/>
            <w:noWrap/>
            <w:hideMark/>
          </w:tcPr>
          <w:p w:rsidR="00F8425D" w:rsidRPr="00F8425D" w:rsidRDefault="00F8425D" w:rsidP="00F8425D">
            <w:pPr>
              <w:cnfStyle w:val="100000000000" w:firstRow="1" w:lastRow="0" w:firstColumn="0" w:lastColumn="0" w:oddVBand="0" w:evenVBand="0" w:oddHBand="0" w:evenHBand="0" w:firstRowFirstColumn="0" w:firstRowLastColumn="0" w:lastRowFirstColumn="0" w:lastRowLastColumn="0"/>
            </w:pPr>
            <w:r>
              <w:t xml:space="preserve">Year </w:t>
            </w:r>
            <w:r w:rsidRPr="00F8425D">
              <w:t>3</w:t>
            </w:r>
          </w:p>
        </w:tc>
        <w:tc>
          <w:tcPr>
            <w:tcW w:w="992" w:type="dxa"/>
            <w:noWrap/>
            <w:hideMark/>
          </w:tcPr>
          <w:p w:rsidR="00F8425D" w:rsidRPr="00F8425D" w:rsidRDefault="00F8425D" w:rsidP="00F8425D">
            <w:pPr>
              <w:cnfStyle w:val="100000000000" w:firstRow="1" w:lastRow="0" w:firstColumn="0" w:lastColumn="0" w:oddVBand="0" w:evenVBand="0" w:oddHBand="0" w:evenHBand="0" w:firstRowFirstColumn="0" w:firstRowLastColumn="0" w:lastRowFirstColumn="0" w:lastRowLastColumn="0"/>
            </w:pPr>
            <w:r>
              <w:t xml:space="preserve">Year </w:t>
            </w:r>
            <w:r w:rsidRPr="00F8425D">
              <w:t>4</w:t>
            </w:r>
          </w:p>
        </w:tc>
        <w:tc>
          <w:tcPr>
            <w:tcW w:w="992" w:type="dxa"/>
            <w:noWrap/>
            <w:hideMark/>
          </w:tcPr>
          <w:p w:rsidR="00F8425D" w:rsidRPr="00F8425D" w:rsidRDefault="00F8425D" w:rsidP="00F8425D">
            <w:pPr>
              <w:cnfStyle w:val="100000000000" w:firstRow="1" w:lastRow="0" w:firstColumn="0" w:lastColumn="0" w:oddVBand="0" w:evenVBand="0" w:oddHBand="0" w:evenHBand="0" w:firstRowFirstColumn="0" w:firstRowLastColumn="0" w:lastRowFirstColumn="0" w:lastRowLastColumn="0"/>
            </w:pPr>
            <w:r>
              <w:t xml:space="preserve">Year </w:t>
            </w:r>
            <w:r w:rsidRPr="00F8425D">
              <w:t>5</w:t>
            </w:r>
          </w:p>
        </w:tc>
        <w:tc>
          <w:tcPr>
            <w:tcW w:w="1781" w:type="dxa"/>
            <w:noWrap/>
            <w:hideMark/>
          </w:tcPr>
          <w:p w:rsidR="00F8425D" w:rsidRPr="00124B89" w:rsidRDefault="00F8425D" w:rsidP="00F8425D">
            <w:pPr>
              <w:cnfStyle w:val="100000000000" w:firstRow="1" w:lastRow="0" w:firstColumn="0" w:lastColumn="0" w:oddVBand="0" w:evenVBand="0" w:oddHBand="0" w:evenHBand="0" w:firstRowFirstColumn="0" w:firstRowLastColumn="0" w:lastRowFirstColumn="0" w:lastRowLastColumn="0"/>
            </w:pPr>
            <w:r w:rsidRPr="00124B89">
              <w:t>Totals at Year 5</w:t>
            </w:r>
          </w:p>
        </w:tc>
      </w:tr>
      <w:tr w:rsidR="00F8425D" w:rsidRPr="00124B89" w:rsidTr="00A63754">
        <w:trPr>
          <w:trHeight w:val="415"/>
        </w:trPr>
        <w:tc>
          <w:tcPr>
            <w:cnfStyle w:val="001000000000" w:firstRow="0" w:lastRow="0" w:firstColumn="1" w:lastColumn="0" w:oddVBand="0" w:evenVBand="0" w:oddHBand="0" w:evenHBand="0" w:firstRowFirstColumn="0" w:firstRowLastColumn="0" w:lastRowFirstColumn="0" w:lastRowLastColumn="0"/>
            <w:tcW w:w="1676" w:type="dxa"/>
            <w:noWrap/>
            <w:hideMark/>
          </w:tcPr>
          <w:p w:rsidR="00F8425D" w:rsidRPr="00F8425D" w:rsidRDefault="00F8425D" w:rsidP="00F8425D">
            <w:r w:rsidRPr="00124B89">
              <w:t xml:space="preserve">Allowance Approved (Rt) </w:t>
            </w:r>
          </w:p>
        </w:tc>
        <w:tc>
          <w:tcPr>
            <w:tcW w:w="1126"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1,400</w:t>
            </w:r>
          </w:p>
        </w:tc>
        <w:tc>
          <w:tcPr>
            <w:tcW w:w="1134"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1,400</w:t>
            </w:r>
          </w:p>
        </w:tc>
        <w:tc>
          <w:tcPr>
            <w:tcW w:w="992"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1,400</w:t>
            </w:r>
          </w:p>
        </w:tc>
        <w:tc>
          <w:tcPr>
            <w:tcW w:w="992"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1,400</w:t>
            </w:r>
          </w:p>
        </w:tc>
        <w:tc>
          <w:tcPr>
            <w:tcW w:w="992"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1,400</w:t>
            </w:r>
          </w:p>
        </w:tc>
        <w:tc>
          <w:tcPr>
            <w:tcW w:w="1781"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7,000</w:t>
            </w:r>
          </w:p>
        </w:tc>
      </w:tr>
      <w:tr w:rsidR="00F8425D" w:rsidRPr="00124B89" w:rsidTr="00A6375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76" w:type="dxa"/>
            <w:noWrap/>
            <w:hideMark/>
          </w:tcPr>
          <w:p w:rsidR="00F8425D" w:rsidRPr="00F8425D" w:rsidRDefault="00F8425D" w:rsidP="00F8425D">
            <w:r w:rsidRPr="00124B89">
              <w:t xml:space="preserve">Allowance Spent (At) </w:t>
            </w:r>
          </w:p>
        </w:tc>
        <w:tc>
          <w:tcPr>
            <w:tcW w:w="1126" w:type="dxa"/>
            <w:noWrap/>
            <w:hideMark/>
          </w:tcPr>
          <w:p w:rsidR="00F8425D" w:rsidRPr="00F8425D" w:rsidRDefault="00F8425D" w:rsidP="00F8425D">
            <w:pPr>
              <w:cnfStyle w:val="000000010000" w:firstRow="0" w:lastRow="0" w:firstColumn="0" w:lastColumn="0" w:oddVBand="0" w:evenVBand="0" w:oddHBand="0" w:evenHBand="1" w:firstRowFirstColumn="0" w:firstRowLastColumn="0" w:lastRowFirstColumn="0" w:lastRowLastColumn="0"/>
            </w:pPr>
            <w:r>
              <w:t>1,000</w:t>
            </w:r>
          </w:p>
        </w:tc>
        <w:tc>
          <w:tcPr>
            <w:tcW w:w="1134" w:type="dxa"/>
            <w:noWrap/>
            <w:hideMark/>
          </w:tcPr>
          <w:p w:rsidR="00F8425D" w:rsidRPr="00F8425D" w:rsidRDefault="00F8425D" w:rsidP="00F8425D">
            <w:pPr>
              <w:cnfStyle w:val="000000010000" w:firstRow="0" w:lastRow="0" w:firstColumn="0" w:lastColumn="0" w:oddVBand="0" w:evenVBand="0" w:oddHBand="0" w:evenHBand="1" w:firstRowFirstColumn="0" w:firstRowLastColumn="0" w:lastRowFirstColumn="0" w:lastRowLastColumn="0"/>
            </w:pPr>
            <w:r>
              <w:t>1,400</w:t>
            </w:r>
          </w:p>
        </w:tc>
        <w:tc>
          <w:tcPr>
            <w:tcW w:w="992" w:type="dxa"/>
            <w:noWrap/>
            <w:hideMark/>
          </w:tcPr>
          <w:p w:rsidR="00F8425D" w:rsidRPr="00F8425D" w:rsidRDefault="00F8425D" w:rsidP="00F8425D">
            <w:pPr>
              <w:cnfStyle w:val="000000010000" w:firstRow="0" w:lastRow="0" w:firstColumn="0" w:lastColumn="0" w:oddVBand="0" w:evenVBand="0" w:oddHBand="0" w:evenHBand="1" w:firstRowFirstColumn="0" w:firstRowLastColumn="0" w:lastRowFirstColumn="0" w:lastRowLastColumn="0"/>
            </w:pPr>
            <w:r w:rsidRPr="00124B89">
              <w:t>2,100</w:t>
            </w:r>
          </w:p>
        </w:tc>
        <w:tc>
          <w:tcPr>
            <w:tcW w:w="992" w:type="dxa"/>
            <w:noWrap/>
            <w:hideMark/>
          </w:tcPr>
          <w:p w:rsidR="00F8425D" w:rsidRPr="00F8425D" w:rsidRDefault="00F8425D" w:rsidP="00F8425D">
            <w:pPr>
              <w:cnfStyle w:val="000000010000" w:firstRow="0" w:lastRow="0" w:firstColumn="0" w:lastColumn="0" w:oddVBand="0" w:evenVBand="0" w:oddHBand="0" w:evenHBand="1" w:firstRowFirstColumn="0" w:firstRowLastColumn="0" w:lastRowFirstColumn="0" w:lastRowLastColumn="0"/>
            </w:pPr>
            <w:r>
              <w:t>1,400</w:t>
            </w:r>
          </w:p>
        </w:tc>
        <w:tc>
          <w:tcPr>
            <w:tcW w:w="992" w:type="dxa"/>
            <w:noWrap/>
            <w:hideMark/>
          </w:tcPr>
          <w:p w:rsidR="00F8425D" w:rsidRPr="00F8425D" w:rsidRDefault="00F8425D" w:rsidP="00F8425D">
            <w:pPr>
              <w:cnfStyle w:val="000000010000" w:firstRow="0" w:lastRow="0" w:firstColumn="0" w:lastColumn="0" w:oddVBand="0" w:evenVBand="0" w:oddHBand="0" w:evenHBand="1" w:firstRowFirstColumn="0" w:firstRowLastColumn="0" w:lastRowFirstColumn="0" w:lastRowLastColumn="0"/>
            </w:pPr>
            <w:r>
              <w:t>1,400</w:t>
            </w:r>
          </w:p>
        </w:tc>
        <w:tc>
          <w:tcPr>
            <w:tcW w:w="1781" w:type="dxa"/>
            <w:noWrap/>
            <w:hideMark/>
          </w:tcPr>
          <w:p w:rsidR="00F8425D" w:rsidRPr="00124B89" w:rsidRDefault="00F8425D" w:rsidP="00F8425D">
            <w:pPr>
              <w:cnfStyle w:val="000000010000" w:firstRow="0" w:lastRow="0" w:firstColumn="0" w:lastColumn="0" w:oddVBand="0" w:evenVBand="0" w:oddHBand="0" w:evenHBand="1" w:firstRowFirstColumn="0" w:firstRowLastColumn="0" w:lastRowFirstColumn="0" w:lastRowLastColumn="0"/>
            </w:pPr>
            <w:r>
              <w:t>7,300</w:t>
            </w:r>
          </w:p>
        </w:tc>
      </w:tr>
      <w:tr w:rsidR="00F8425D" w:rsidRPr="00124B89" w:rsidTr="00A63754">
        <w:trPr>
          <w:trHeight w:val="415"/>
        </w:trPr>
        <w:tc>
          <w:tcPr>
            <w:cnfStyle w:val="001000000000" w:firstRow="0" w:lastRow="0" w:firstColumn="1" w:lastColumn="0" w:oddVBand="0" w:evenVBand="0" w:oddHBand="0" w:evenHBand="0" w:firstRowFirstColumn="0" w:firstRowLastColumn="0" w:lastRowFirstColumn="0" w:lastRowLastColumn="0"/>
            <w:tcW w:w="1676" w:type="dxa"/>
            <w:noWrap/>
            <w:hideMark/>
          </w:tcPr>
          <w:p w:rsidR="00F8425D" w:rsidRPr="00124B89" w:rsidRDefault="00F8425D" w:rsidP="00F8425D">
            <w:r w:rsidRPr="00124B89">
              <w:t>Nominal Differential</w:t>
            </w:r>
          </w:p>
        </w:tc>
        <w:tc>
          <w:tcPr>
            <w:tcW w:w="1126" w:type="dxa"/>
            <w:noWrap/>
            <w:hideMark/>
          </w:tcPr>
          <w:p w:rsidR="00F8425D" w:rsidRPr="00F8425D" w:rsidRDefault="00F8425D" w:rsidP="00F8425D">
            <w:pPr>
              <w:cnfStyle w:val="000000000000" w:firstRow="0" w:lastRow="0" w:firstColumn="0" w:lastColumn="0" w:oddVBand="0" w:evenVBand="0" w:oddHBand="0" w:evenHBand="0" w:firstRowFirstColumn="0" w:firstRowLastColumn="0" w:lastRowFirstColumn="0" w:lastRowLastColumn="0"/>
            </w:pPr>
            <w:r>
              <w:t>400</w:t>
            </w:r>
          </w:p>
        </w:tc>
        <w:tc>
          <w:tcPr>
            <w:tcW w:w="1134" w:type="dxa"/>
            <w:noWrap/>
            <w:hideMark/>
          </w:tcPr>
          <w:p w:rsidR="00F8425D" w:rsidRPr="00124B89" w:rsidRDefault="00F8425D" w:rsidP="00F8425D">
            <w:pPr>
              <w:cnfStyle w:val="000000000000" w:firstRow="0" w:lastRow="0" w:firstColumn="0" w:lastColumn="0" w:oddVBand="0" w:evenVBand="0" w:oddHBand="0" w:evenHBand="0" w:firstRowFirstColumn="0" w:firstRowLastColumn="0" w:lastRowFirstColumn="0" w:lastRowLastColumn="0"/>
            </w:pPr>
            <w:r w:rsidRPr="00124B89">
              <w:t>0</w:t>
            </w:r>
          </w:p>
        </w:tc>
        <w:tc>
          <w:tcPr>
            <w:tcW w:w="992" w:type="dxa"/>
            <w:noWrap/>
            <w:hideMark/>
          </w:tcPr>
          <w:p w:rsidR="00F8425D" w:rsidRPr="00124B89" w:rsidRDefault="00F8425D" w:rsidP="00F8425D">
            <w:pPr>
              <w:cnfStyle w:val="000000000000" w:firstRow="0" w:lastRow="0" w:firstColumn="0" w:lastColumn="0" w:oddVBand="0" w:evenVBand="0" w:oddHBand="0" w:evenHBand="0" w:firstRowFirstColumn="0" w:firstRowLastColumn="0" w:lastRowFirstColumn="0" w:lastRowLastColumn="0"/>
            </w:pPr>
            <w:r>
              <w:t>-700</w:t>
            </w:r>
          </w:p>
        </w:tc>
        <w:tc>
          <w:tcPr>
            <w:tcW w:w="992" w:type="dxa"/>
            <w:noWrap/>
            <w:hideMark/>
          </w:tcPr>
          <w:p w:rsidR="00F8425D" w:rsidRPr="00124B89" w:rsidRDefault="00F8425D" w:rsidP="00F8425D">
            <w:pPr>
              <w:cnfStyle w:val="000000000000" w:firstRow="0" w:lastRow="0" w:firstColumn="0" w:lastColumn="0" w:oddVBand="0" w:evenVBand="0" w:oddHBand="0" w:evenHBand="0" w:firstRowFirstColumn="0" w:firstRowLastColumn="0" w:lastRowFirstColumn="0" w:lastRowLastColumn="0"/>
            </w:pPr>
            <w:r w:rsidRPr="00124B89">
              <w:t>0</w:t>
            </w:r>
          </w:p>
        </w:tc>
        <w:tc>
          <w:tcPr>
            <w:tcW w:w="992" w:type="dxa"/>
            <w:noWrap/>
            <w:hideMark/>
          </w:tcPr>
          <w:p w:rsidR="00F8425D" w:rsidRPr="00124B89" w:rsidRDefault="00F8425D" w:rsidP="00F8425D">
            <w:pPr>
              <w:cnfStyle w:val="000000000000" w:firstRow="0" w:lastRow="0" w:firstColumn="0" w:lastColumn="0" w:oddVBand="0" w:evenVBand="0" w:oddHBand="0" w:evenHBand="0" w:firstRowFirstColumn="0" w:firstRowLastColumn="0" w:lastRowFirstColumn="0" w:lastRowLastColumn="0"/>
            </w:pPr>
            <w:r w:rsidRPr="00124B89">
              <w:t>0</w:t>
            </w:r>
          </w:p>
        </w:tc>
        <w:tc>
          <w:tcPr>
            <w:tcW w:w="1781" w:type="dxa"/>
            <w:noWrap/>
            <w:hideMark/>
          </w:tcPr>
          <w:p w:rsidR="00F8425D" w:rsidRPr="00124B89" w:rsidRDefault="00F8425D" w:rsidP="00F8425D">
            <w:pPr>
              <w:cnfStyle w:val="000000000000" w:firstRow="0" w:lastRow="0" w:firstColumn="0" w:lastColumn="0" w:oddVBand="0" w:evenVBand="0" w:oddHBand="0" w:evenHBand="0" w:firstRowFirstColumn="0" w:firstRowLastColumn="0" w:lastRowFirstColumn="0" w:lastRowLastColumn="0"/>
            </w:pPr>
            <w:r>
              <w:t>-300</w:t>
            </w:r>
          </w:p>
        </w:tc>
      </w:tr>
      <w:tr w:rsidR="00106750" w:rsidRPr="00124B89" w:rsidTr="005C5A8C">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76" w:type="dxa"/>
            <w:noWrap/>
            <w:hideMark/>
          </w:tcPr>
          <w:p w:rsidR="00106750" w:rsidRPr="00106750" w:rsidRDefault="00106750" w:rsidP="00106750">
            <w:r w:rsidRPr="00106750">
              <w:t>PV of Over/Underspend</w:t>
            </w:r>
          </w:p>
        </w:tc>
        <w:tc>
          <w:tcPr>
            <w:tcW w:w="1126" w:type="dxa"/>
            <w:noWrap/>
            <w:vAlign w:val="bottom"/>
            <w:hideMark/>
          </w:tcPr>
          <w:p w:rsidR="00106750" w:rsidRPr="00106750" w:rsidRDefault="00106750" w:rsidP="00106750">
            <w:pPr>
              <w:cnfStyle w:val="000000010000" w:firstRow="0" w:lastRow="0" w:firstColumn="0" w:lastColumn="0" w:oddVBand="0" w:evenVBand="0" w:oddHBand="0" w:evenHBand="1" w:firstRowFirstColumn="0" w:firstRowLastColumn="0" w:lastRowFirstColumn="0" w:lastRowLastColumn="0"/>
            </w:pPr>
            <w:r>
              <w:t xml:space="preserve">                     376</w:t>
            </w:r>
            <w:r w:rsidRPr="00106750">
              <w:t xml:space="preserve"> </w:t>
            </w:r>
          </w:p>
        </w:tc>
        <w:tc>
          <w:tcPr>
            <w:tcW w:w="1134" w:type="dxa"/>
            <w:noWrap/>
            <w:vAlign w:val="bottom"/>
            <w:hideMark/>
          </w:tcPr>
          <w:p w:rsidR="00106750" w:rsidRPr="00106750" w:rsidRDefault="00106750">
            <w:pPr>
              <w:cnfStyle w:val="000000010000" w:firstRow="0" w:lastRow="0" w:firstColumn="0" w:lastColumn="0" w:oddVBand="0" w:evenVBand="0" w:oddHBand="0" w:evenHBand="1" w:firstRowFirstColumn="0" w:firstRowLastColumn="0" w:lastRowFirstColumn="0" w:lastRowLastColumn="0"/>
            </w:pPr>
            <w:r w:rsidRPr="00106750">
              <w:t xml:space="preserve">                                                  -   </w:t>
            </w:r>
          </w:p>
        </w:tc>
        <w:tc>
          <w:tcPr>
            <w:tcW w:w="992" w:type="dxa"/>
            <w:noWrap/>
            <w:vAlign w:val="bottom"/>
            <w:hideMark/>
          </w:tcPr>
          <w:p w:rsidR="00106750" w:rsidRPr="00106750" w:rsidRDefault="00106750" w:rsidP="00106750">
            <w:pPr>
              <w:cnfStyle w:val="000000010000" w:firstRow="0" w:lastRow="0" w:firstColumn="0" w:lastColumn="0" w:oddVBand="0" w:evenVBand="0" w:oddHBand="0" w:evenHBand="1" w:firstRowFirstColumn="0" w:firstRowLastColumn="0" w:lastRowFirstColumn="0" w:lastRowLastColumn="0"/>
            </w:pPr>
            <w:r w:rsidRPr="00106750">
              <w:t>-            57</w:t>
            </w:r>
            <w:r>
              <w:t>1</w:t>
            </w:r>
            <w:r w:rsidRPr="00106750">
              <w:t xml:space="preserve"> </w:t>
            </w:r>
          </w:p>
        </w:tc>
        <w:tc>
          <w:tcPr>
            <w:tcW w:w="992" w:type="dxa"/>
            <w:noWrap/>
            <w:vAlign w:val="bottom"/>
            <w:hideMark/>
          </w:tcPr>
          <w:p w:rsidR="00106750" w:rsidRPr="00106750" w:rsidRDefault="00106750">
            <w:pPr>
              <w:cnfStyle w:val="000000010000" w:firstRow="0" w:lastRow="0" w:firstColumn="0" w:lastColumn="0" w:oddVBand="0" w:evenVBand="0" w:oddHBand="0" w:evenHBand="1" w:firstRowFirstColumn="0" w:firstRowLastColumn="0" w:lastRowFirstColumn="0" w:lastRowLastColumn="0"/>
            </w:pPr>
            <w:r w:rsidRPr="00106750">
              <w:t xml:space="preserve">                              -   </w:t>
            </w:r>
          </w:p>
        </w:tc>
        <w:tc>
          <w:tcPr>
            <w:tcW w:w="992" w:type="dxa"/>
            <w:noWrap/>
            <w:vAlign w:val="bottom"/>
            <w:hideMark/>
          </w:tcPr>
          <w:p w:rsidR="00106750" w:rsidRPr="00106750" w:rsidRDefault="00106750">
            <w:pPr>
              <w:cnfStyle w:val="000000010000" w:firstRow="0" w:lastRow="0" w:firstColumn="0" w:lastColumn="0" w:oddVBand="0" w:evenVBand="0" w:oddHBand="0" w:evenHBand="1" w:firstRowFirstColumn="0" w:firstRowLastColumn="0" w:lastRowFirstColumn="0" w:lastRowLastColumn="0"/>
            </w:pPr>
            <w:r w:rsidRPr="00106750">
              <w:t xml:space="preserve">                                                -   </w:t>
            </w:r>
          </w:p>
        </w:tc>
        <w:tc>
          <w:tcPr>
            <w:tcW w:w="1781" w:type="dxa"/>
            <w:noWrap/>
            <w:vAlign w:val="bottom"/>
            <w:hideMark/>
          </w:tcPr>
          <w:p w:rsidR="00106750" w:rsidRPr="00106750" w:rsidRDefault="00106750">
            <w:pPr>
              <w:cnfStyle w:val="000000010000" w:firstRow="0" w:lastRow="0" w:firstColumn="0" w:lastColumn="0" w:oddVBand="0" w:evenVBand="0" w:oddHBand="0" w:evenHBand="1" w:firstRowFirstColumn="0" w:firstRowLastColumn="0" w:lastRowFirstColumn="0" w:lastRowLastColumn="0"/>
            </w:pPr>
            <w:r w:rsidRPr="00106750">
              <w:t>-            196</w:t>
            </w:r>
          </w:p>
        </w:tc>
      </w:tr>
      <w:tr w:rsidR="00106750" w:rsidRPr="00124B89" w:rsidTr="005C5A8C">
        <w:trPr>
          <w:trHeight w:val="415"/>
        </w:trPr>
        <w:tc>
          <w:tcPr>
            <w:cnfStyle w:val="001000000000" w:firstRow="0" w:lastRow="0" w:firstColumn="1" w:lastColumn="0" w:oddVBand="0" w:evenVBand="0" w:oddHBand="0" w:evenHBand="0" w:firstRowFirstColumn="0" w:firstRowLastColumn="0" w:lastRowFirstColumn="0" w:lastRowLastColumn="0"/>
            <w:tcW w:w="1676" w:type="dxa"/>
            <w:noWrap/>
            <w:hideMark/>
          </w:tcPr>
          <w:p w:rsidR="00106750" w:rsidRPr="00106750" w:rsidRDefault="00106750" w:rsidP="00106750">
            <w:r w:rsidRPr="00106750">
              <w:t>Cumulative NPV of over/underspend</w:t>
            </w:r>
          </w:p>
        </w:tc>
        <w:tc>
          <w:tcPr>
            <w:tcW w:w="1126" w:type="dxa"/>
            <w:noWrap/>
            <w:vAlign w:val="bottom"/>
            <w:hideMark/>
          </w:tcPr>
          <w:p w:rsidR="00106750" w:rsidRPr="00106750" w:rsidRDefault="00106750">
            <w:pPr>
              <w:cnfStyle w:val="000000000000" w:firstRow="0" w:lastRow="0" w:firstColumn="0" w:lastColumn="0" w:oddVBand="0" w:evenVBand="0" w:oddHBand="0" w:evenHBand="0" w:firstRowFirstColumn="0" w:firstRowLastColumn="0" w:lastRowFirstColumn="0" w:lastRowLastColumn="0"/>
            </w:pPr>
            <w:r w:rsidRPr="00106750">
              <w:t>376</w:t>
            </w:r>
          </w:p>
        </w:tc>
        <w:tc>
          <w:tcPr>
            <w:tcW w:w="1134" w:type="dxa"/>
            <w:noWrap/>
            <w:vAlign w:val="bottom"/>
            <w:hideMark/>
          </w:tcPr>
          <w:p w:rsidR="00106750" w:rsidRPr="00106750" w:rsidRDefault="00106750">
            <w:pPr>
              <w:cnfStyle w:val="000000000000" w:firstRow="0" w:lastRow="0" w:firstColumn="0" w:lastColumn="0" w:oddVBand="0" w:evenVBand="0" w:oddHBand="0" w:evenHBand="0" w:firstRowFirstColumn="0" w:firstRowLastColumn="0" w:lastRowFirstColumn="0" w:lastRowLastColumn="0"/>
            </w:pPr>
            <w:r w:rsidRPr="00106750">
              <w:t>376</w:t>
            </w:r>
          </w:p>
        </w:tc>
        <w:tc>
          <w:tcPr>
            <w:tcW w:w="992" w:type="dxa"/>
            <w:noWrap/>
            <w:vAlign w:val="bottom"/>
            <w:hideMark/>
          </w:tcPr>
          <w:p w:rsidR="00106750" w:rsidRPr="00106750" w:rsidRDefault="00106750" w:rsidP="00106750">
            <w:pPr>
              <w:cnfStyle w:val="000000000000" w:firstRow="0" w:lastRow="0" w:firstColumn="0" w:lastColumn="0" w:oddVBand="0" w:evenVBand="0" w:oddHBand="0" w:evenHBand="0" w:firstRowFirstColumn="0" w:firstRowLastColumn="0" w:lastRowFirstColumn="0" w:lastRowLastColumn="0"/>
            </w:pPr>
            <w:r w:rsidRPr="00106750">
              <w:t xml:space="preserve">-        </w:t>
            </w:r>
            <w:r>
              <w:t xml:space="preserve">    196</w:t>
            </w:r>
            <w:r w:rsidRPr="00106750">
              <w:t xml:space="preserve"> </w:t>
            </w:r>
          </w:p>
        </w:tc>
        <w:tc>
          <w:tcPr>
            <w:tcW w:w="992" w:type="dxa"/>
            <w:noWrap/>
            <w:vAlign w:val="bottom"/>
            <w:hideMark/>
          </w:tcPr>
          <w:p w:rsidR="00106750" w:rsidRPr="00106750" w:rsidRDefault="00106750">
            <w:pPr>
              <w:cnfStyle w:val="000000000000" w:firstRow="0" w:lastRow="0" w:firstColumn="0" w:lastColumn="0" w:oddVBand="0" w:evenVBand="0" w:oddHBand="0" w:evenHBand="0" w:firstRowFirstColumn="0" w:firstRowLastColumn="0" w:lastRowFirstColumn="0" w:lastRowLastColumn="0"/>
            </w:pPr>
            <w:r w:rsidRPr="00106750">
              <w:t>-            196</w:t>
            </w:r>
          </w:p>
        </w:tc>
        <w:tc>
          <w:tcPr>
            <w:tcW w:w="992" w:type="dxa"/>
            <w:noWrap/>
            <w:vAlign w:val="bottom"/>
            <w:hideMark/>
          </w:tcPr>
          <w:p w:rsidR="00106750" w:rsidRPr="00106750" w:rsidRDefault="00106750">
            <w:pPr>
              <w:cnfStyle w:val="000000000000" w:firstRow="0" w:lastRow="0" w:firstColumn="0" w:lastColumn="0" w:oddVBand="0" w:evenVBand="0" w:oddHBand="0" w:evenHBand="0" w:firstRowFirstColumn="0" w:firstRowLastColumn="0" w:lastRowFirstColumn="0" w:lastRowLastColumn="0"/>
            </w:pPr>
            <w:r w:rsidRPr="00106750">
              <w:t>-            196</w:t>
            </w:r>
          </w:p>
        </w:tc>
        <w:tc>
          <w:tcPr>
            <w:tcW w:w="1781" w:type="dxa"/>
            <w:noWrap/>
            <w:vAlign w:val="bottom"/>
            <w:hideMark/>
          </w:tcPr>
          <w:p w:rsidR="00106750" w:rsidRPr="00106750" w:rsidRDefault="00106750">
            <w:pPr>
              <w:cnfStyle w:val="000000000000" w:firstRow="0" w:lastRow="0" w:firstColumn="0" w:lastColumn="0" w:oddVBand="0" w:evenVBand="0" w:oddHBand="0" w:evenHBand="0" w:firstRowFirstColumn="0" w:firstRowLastColumn="0" w:lastRowFirstColumn="0" w:lastRowLastColumn="0"/>
            </w:pPr>
            <w:r w:rsidRPr="00106750">
              <w:t>-            196</w:t>
            </w:r>
          </w:p>
        </w:tc>
      </w:tr>
    </w:tbl>
    <w:p w:rsidR="00F8425D" w:rsidRPr="00F8425D" w:rsidRDefault="00C634F2" w:rsidP="00F8425D">
      <w:r>
        <w:t xml:space="preserve">However, unlike in the first two examples, </w:t>
      </w:r>
      <w:r w:rsidRPr="00860A0B">
        <w:t xml:space="preserve">this overspend will not result in a pass through to customers. </w:t>
      </w:r>
      <w:r>
        <w:t>This is because, under the Mechanism, distributors have to return allowance underspends to consumers, but have to bear the cost of overspends.</w:t>
      </w:r>
    </w:p>
    <w:p w:rsidR="00505CCF" w:rsidRDefault="00AF244B" w:rsidP="00BE4B8E">
      <w:pPr>
        <w:pStyle w:val="Heading1"/>
      </w:pPr>
      <w:bookmarkStart w:id="60" w:name="_Ref490051866"/>
      <w:bookmarkStart w:id="61" w:name="_Toc491360664"/>
      <w:r>
        <w:lastRenderedPageBreak/>
        <w:t>Bruny Island worked e</w:t>
      </w:r>
      <w:r w:rsidR="002505E9">
        <w:t>xample</w:t>
      </w:r>
      <w:bookmarkEnd w:id="60"/>
      <w:bookmarkEnd w:id="61"/>
    </w:p>
    <w:p w:rsidR="002505E9" w:rsidRDefault="002505E9" w:rsidP="00BE4B8E">
      <w:r>
        <w:t xml:space="preserve">This worked example is based on information provided to us by TasNetworks. This information </w:t>
      </w:r>
      <w:r w:rsidR="006C2836">
        <w:t>comes from</w:t>
      </w:r>
      <w:r>
        <w:t xml:space="preserve"> a project they are undertaking on Bruny Island, in partnership with ARENA and other organisations. The trial involves the installation of up to 40 battery systems on Bruny </w:t>
      </w:r>
      <w:r w:rsidR="00BF1008">
        <w:t>Island, which</w:t>
      </w:r>
      <w:r>
        <w:t xml:space="preserve"> will service rooftop solar installations on certain homes. These batteries will be equipped with software </w:t>
      </w:r>
      <w:r w:rsidR="00402EC4">
        <w:t xml:space="preserve">that allows them to be coordinated to alleviate congestion, stabilise network voltage, and otherwise allow for optimal use of the installed solar panels. </w:t>
      </w:r>
      <w:r w:rsidR="00A1260C">
        <w:t xml:space="preserve">More information about the trial can be found at </w:t>
      </w:r>
      <w:r w:rsidR="00A1260C" w:rsidRPr="00A1260C">
        <w:t>http://brunybatterytrial.org/</w:t>
      </w:r>
      <w:r w:rsidR="00A1260C">
        <w:t>.</w:t>
      </w:r>
    </w:p>
    <w:p w:rsidR="006C2836" w:rsidRDefault="006C2836" w:rsidP="00BE4B8E">
      <w:r>
        <w:t>Overall project expenditure is estimate</w:t>
      </w:r>
      <w:r w:rsidR="001A0682">
        <w:t>d</w:t>
      </w:r>
      <w:r>
        <w:t xml:space="preserve"> at $8 million. TasNetworks contribution to this cost </w:t>
      </w:r>
      <w:r w:rsidR="001A0682">
        <w:t>is $400</w:t>
      </w:r>
      <w:r w:rsidR="0002202C">
        <w:t>,</w:t>
      </w:r>
      <w:r w:rsidR="001A0682">
        <w:t>000</w:t>
      </w:r>
      <w:r w:rsidR="00BF1008">
        <w:t xml:space="preserve">. The trial runs from </w:t>
      </w:r>
      <w:r w:rsidR="00A63754">
        <w:t>March 2017 until mid-</w:t>
      </w:r>
      <w:r w:rsidR="00BF1008">
        <w:t xml:space="preserve">2019. We have assumed </w:t>
      </w:r>
      <w:r w:rsidR="00BE4B8E">
        <w:t>the annual expenditures</w:t>
      </w:r>
      <w:r w:rsidR="00BF1008">
        <w:t>, and based TasNetworks</w:t>
      </w:r>
      <w:r w:rsidR="0002202C">
        <w:t>'</w:t>
      </w:r>
      <w:r w:rsidR="00BF1008">
        <w:t xml:space="preserve"> allowance on their 2016 MAR</w:t>
      </w:r>
      <w:r w:rsidR="00A74945">
        <w:t xml:space="preserve"> as expressed in </w:t>
      </w:r>
      <w:r w:rsidR="0002202C">
        <w:fldChar w:fldCharType="begin"/>
      </w:r>
      <w:r w:rsidR="0002202C">
        <w:instrText xml:space="preserve"> REF  _Ref488671840 \* Lower \h </w:instrText>
      </w:r>
      <w:r w:rsidR="0002202C">
        <w:fldChar w:fldCharType="separate"/>
      </w:r>
      <w:r w:rsidR="00755D05">
        <w:t xml:space="preserve">table </w:t>
      </w:r>
      <w:r w:rsidR="00755D05">
        <w:rPr>
          <w:noProof/>
        </w:rPr>
        <w:t>2</w:t>
      </w:r>
      <w:r w:rsidR="0002202C">
        <w:fldChar w:fldCharType="end"/>
      </w:r>
      <w:r w:rsidR="00BF1008">
        <w:t xml:space="preserve">. </w:t>
      </w:r>
      <w:r w:rsidR="00106750">
        <w:t xml:space="preserve">We have also assumed a </w:t>
      </w:r>
      <w:r w:rsidR="0002202C">
        <w:t>6.0</w:t>
      </w:r>
      <w:r w:rsidR="00BE4B8E">
        <w:t xml:space="preserve">% </w:t>
      </w:r>
      <w:r w:rsidR="0002202C">
        <w:t>and a 6.5% allowed rate of return for the first and second regulatory control periods respectively</w:t>
      </w:r>
      <w:r w:rsidR="00A63754">
        <w:t>.</w:t>
      </w:r>
      <w:r w:rsidR="00BE4B8E">
        <w:t xml:space="preserve"> </w:t>
      </w:r>
      <w:r w:rsidR="0002202C">
        <w:t>In this example, t</w:t>
      </w:r>
      <w:r w:rsidR="00BE4B8E">
        <w:t xml:space="preserve">he Bruny Island trial is the only expenditure funded by the Mechanism </w:t>
      </w:r>
      <w:r w:rsidR="0002202C">
        <w:t xml:space="preserve">for TasNetworks </w:t>
      </w:r>
      <w:r w:rsidR="00BE4B8E">
        <w:t>in this regulatory control period</w:t>
      </w:r>
      <w:r w:rsidR="0065506C">
        <w:t>.</w:t>
      </w:r>
    </w:p>
    <w:p w:rsidR="00BE4B8E" w:rsidRDefault="00BE4B8E" w:rsidP="0065506C">
      <w:pPr>
        <w:pStyle w:val="Caption"/>
      </w:pPr>
      <w:bookmarkStart w:id="62" w:name="_Ref491360446"/>
      <w:r>
        <w:t xml:space="preserve">Table </w:t>
      </w:r>
      <w:r w:rsidR="006F3834">
        <w:fldChar w:fldCharType="begin"/>
      </w:r>
      <w:r w:rsidR="006F3834">
        <w:instrText xml:space="preserve"> SEQ Table \* ARABIC </w:instrText>
      </w:r>
      <w:r w:rsidR="006F3834">
        <w:fldChar w:fldCharType="separate"/>
      </w:r>
      <w:r w:rsidR="00755D05">
        <w:rPr>
          <w:noProof/>
        </w:rPr>
        <w:t>7</w:t>
      </w:r>
      <w:r w:rsidR="006F3834">
        <w:rPr>
          <w:noProof/>
        </w:rPr>
        <w:fldChar w:fldCharType="end"/>
      </w:r>
      <w:bookmarkEnd w:id="62"/>
      <w:r>
        <w:t>: Bruny Island expenditure breakdowns (2017</w:t>
      </w:r>
      <w:r w:rsidR="0002202C">
        <w:t xml:space="preserve"> </w:t>
      </w:r>
      <w:r>
        <w:t>$'000)</w:t>
      </w:r>
    </w:p>
    <w:tbl>
      <w:tblPr>
        <w:tblStyle w:val="AERtable-numbers"/>
        <w:tblpPr w:leftFromText="180" w:rightFromText="180" w:vertAnchor="text" w:horzAnchor="margin" w:tblpXSpec="right" w:tblpY="44"/>
        <w:tblW w:w="0" w:type="auto"/>
        <w:tblLayout w:type="fixed"/>
        <w:tblLook w:val="04A0" w:firstRow="1" w:lastRow="0" w:firstColumn="1" w:lastColumn="0" w:noHBand="0" w:noVBand="1"/>
      </w:tblPr>
      <w:tblGrid>
        <w:gridCol w:w="2242"/>
        <w:gridCol w:w="1327"/>
        <w:gridCol w:w="1292"/>
        <w:gridCol w:w="1916"/>
        <w:gridCol w:w="1916"/>
      </w:tblGrid>
      <w:tr w:rsidR="00BE4B8E" w:rsidRPr="00124B89" w:rsidTr="00A63754">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242" w:type="dxa"/>
            <w:hideMark/>
          </w:tcPr>
          <w:p w:rsidR="00BE4B8E" w:rsidRPr="00BE4B8E" w:rsidRDefault="00BE4B8E" w:rsidP="00BE4B8E">
            <w:r w:rsidRPr="00BE4B8E">
              <w:t>Regulatory Period 1</w:t>
            </w:r>
          </w:p>
        </w:tc>
        <w:tc>
          <w:tcPr>
            <w:tcW w:w="1327" w:type="dxa"/>
            <w:noWrap/>
            <w:vAlign w:val="bottom"/>
            <w:hideMark/>
          </w:tcPr>
          <w:p w:rsidR="00BE4B8E" w:rsidRPr="00BE4B8E" w:rsidRDefault="00BE4B8E" w:rsidP="00BE4B8E">
            <w:pPr>
              <w:cnfStyle w:val="100000000000" w:firstRow="1" w:lastRow="0" w:firstColumn="0" w:lastColumn="0" w:oddVBand="0" w:evenVBand="0" w:oddHBand="0" w:evenHBand="0" w:firstRowFirstColumn="0" w:firstRowLastColumn="0" w:lastRowFirstColumn="0" w:lastRowLastColumn="0"/>
            </w:pPr>
            <w:r w:rsidRPr="00BE4B8E">
              <w:t>2017</w:t>
            </w:r>
          </w:p>
        </w:tc>
        <w:tc>
          <w:tcPr>
            <w:tcW w:w="1292" w:type="dxa"/>
            <w:noWrap/>
            <w:vAlign w:val="bottom"/>
            <w:hideMark/>
          </w:tcPr>
          <w:p w:rsidR="00BE4B8E" w:rsidRPr="00BE4B8E" w:rsidRDefault="00BE4B8E" w:rsidP="00BE4B8E">
            <w:pPr>
              <w:cnfStyle w:val="100000000000" w:firstRow="1" w:lastRow="0" w:firstColumn="0" w:lastColumn="0" w:oddVBand="0" w:evenVBand="0" w:oddHBand="0" w:evenHBand="0" w:firstRowFirstColumn="0" w:firstRowLastColumn="0" w:lastRowFirstColumn="0" w:lastRowLastColumn="0"/>
            </w:pPr>
            <w:r w:rsidRPr="00BE4B8E">
              <w:t>2018</w:t>
            </w:r>
          </w:p>
        </w:tc>
        <w:tc>
          <w:tcPr>
            <w:tcW w:w="1916" w:type="dxa"/>
            <w:noWrap/>
            <w:vAlign w:val="bottom"/>
            <w:hideMark/>
          </w:tcPr>
          <w:p w:rsidR="00BE4B8E" w:rsidRPr="00BE4B8E" w:rsidRDefault="00BE4B8E" w:rsidP="00BE4B8E">
            <w:pPr>
              <w:cnfStyle w:val="100000000000" w:firstRow="1" w:lastRow="0" w:firstColumn="0" w:lastColumn="0" w:oddVBand="0" w:evenVBand="0" w:oddHBand="0" w:evenHBand="0" w:firstRowFirstColumn="0" w:firstRowLastColumn="0" w:lastRowFirstColumn="0" w:lastRowLastColumn="0"/>
            </w:pPr>
            <w:r w:rsidRPr="00BE4B8E">
              <w:t>2019</w:t>
            </w:r>
          </w:p>
        </w:tc>
        <w:tc>
          <w:tcPr>
            <w:tcW w:w="1916" w:type="dxa"/>
            <w:noWrap/>
            <w:vAlign w:val="bottom"/>
            <w:hideMark/>
          </w:tcPr>
          <w:p w:rsidR="00BE4B8E" w:rsidRPr="00BE4B8E" w:rsidRDefault="00BE4B8E" w:rsidP="00BE4B8E">
            <w:pPr>
              <w:cnfStyle w:val="100000000000" w:firstRow="1" w:lastRow="0" w:firstColumn="0" w:lastColumn="0" w:oddVBand="0" w:evenVBand="0" w:oddHBand="0" w:evenHBand="0" w:firstRowFirstColumn="0" w:firstRowLastColumn="0" w:lastRowFirstColumn="0" w:lastRowLastColumn="0"/>
            </w:pPr>
            <w:r w:rsidRPr="00BE4B8E">
              <w:t>Totals at Year 3</w:t>
            </w:r>
          </w:p>
        </w:tc>
      </w:tr>
      <w:tr w:rsidR="00BE4B8E" w:rsidRPr="00124B89" w:rsidTr="00A63754">
        <w:trPr>
          <w:trHeight w:val="415"/>
        </w:trPr>
        <w:tc>
          <w:tcPr>
            <w:cnfStyle w:val="001000000000" w:firstRow="0" w:lastRow="0" w:firstColumn="1" w:lastColumn="0" w:oddVBand="0" w:evenVBand="0" w:oddHBand="0" w:evenHBand="0" w:firstRowFirstColumn="0" w:firstRowLastColumn="0" w:lastRowFirstColumn="0" w:lastRowLastColumn="0"/>
            <w:tcW w:w="2242" w:type="dxa"/>
            <w:noWrap/>
            <w:hideMark/>
          </w:tcPr>
          <w:p w:rsidR="00BE4B8E" w:rsidRPr="00BE4B8E" w:rsidRDefault="00BE4B8E" w:rsidP="00BE4B8E">
            <w:r w:rsidRPr="00BE4B8E">
              <w:t xml:space="preserve">Allowance Approved (Rt) </w:t>
            </w:r>
          </w:p>
        </w:tc>
        <w:tc>
          <w:tcPr>
            <w:tcW w:w="1327" w:type="dxa"/>
            <w:noWrap/>
            <w:vAlign w:val="bottom"/>
            <w:hideMark/>
          </w:tcPr>
          <w:p w:rsidR="00BE4B8E" w:rsidRPr="00BE4B8E" w:rsidRDefault="00BE4B8E" w:rsidP="00BE4B8E">
            <w:pPr>
              <w:cnfStyle w:val="000000000000" w:firstRow="0" w:lastRow="0" w:firstColumn="0" w:lastColumn="0" w:oddVBand="0" w:evenVBand="0" w:oddHBand="0" w:evenHBand="0" w:firstRowFirstColumn="0" w:firstRowLastColumn="0" w:lastRowFirstColumn="0" w:lastRowLastColumn="0"/>
            </w:pPr>
            <w:r w:rsidRPr="00BE4B8E">
              <w:t>400</w:t>
            </w:r>
          </w:p>
        </w:tc>
        <w:tc>
          <w:tcPr>
            <w:tcW w:w="1292" w:type="dxa"/>
            <w:noWrap/>
            <w:vAlign w:val="bottom"/>
            <w:hideMark/>
          </w:tcPr>
          <w:p w:rsidR="00BE4B8E" w:rsidRPr="00BE4B8E" w:rsidRDefault="00BE4B8E" w:rsidP="00BE4B8E">
            <w:pPr>
              <w:cnfStyle w:val="000000000000" w:firstRow="0" w:lastRow="0" w:firstColumn="0" w:lastColumn="0" w:oddVBand="0" w:evenVBand="0" w:oddHBand="0" w:evenHBand="0" w:firstRowFirstColumn="0" w:firstRowLastColumn="0" w:lastRowFirstColumn="0" w:lastRowLastColumn="0"/>
            </w:pPr>
            <w:r w:rsidRPr="00BE4B8E">
              <w:t>400</w:t>
            </w:r>
          </w:p>
        </w:tc>
        <w:tc>
          <w:tcPr>
            <w:tcW w:w="1916" w:type="dxa"/>
            <w:noWrap/>
            <w:vAlign w:val="bottom"/>
            <w:hideMark/>
          </w:tcPr>
          <w:p w:rsidR="00BE4B8E" w:rsidRPr="00BE4B8E" w:rsidRDefault="00BE4B8E" w:rsidP="00BE4B8E">
            <w:pPr>
              <w:cnfStyle w:val="000000000000" w:firstRow="0" w:lastRow="0" w:firstColumn="0" w:lastColumn="0" w:oddVBand="0" w:evenVBand="0" w:oddHBand="0" w:evenHBand="0" w:firstRowFirstColumn="0" w:firstRowLastColumn="0" w:lastRowFirstColumn="0" w:lastRowLastColumn="0"/>
            </w:pPr>
            <w:r>
              <w:t>400</w:t>
            </w:r>
          </w:p>
        </w:tc>
        <w:tc>
          <w:tcPr>
            <w:tcW w:w="1916" w:type="dxa"/>
            <w:noWrap/>
            <w:vAlign w:val="bottom"/>
            <w:hideMark/>
          </w:tcPr>
          <w:p w:rsidR="00BE4B8E" w:rsidRPr="00BE4B8E" w:rsidRDefault="00BE4B8E" w:rsidP="00BE4B8E">
            <w:pPr>
              <w:cnfStyle w:val="000000000000" w:firstRow="0" w:lastRow="0" w:firstColumn="0" w:lastColumn="0" w:oddVBand="0" w:evenVBand="0" w:oddHBand="0" w:evenHBand="0" w:firstRowFirstColumn="0" w:firstRowLastColumn="0" w:lastRowFirstColumn="0" w:lastRowLastColumn="0"/>
            </w:pPr>
            <w:r w:rsidRPr="00BE4B8E">
              <w:t>1,200</w:t>
            </w:r>
          </w:p>
        </w:tc>
      </w:tr>
      <w:tr w:rsidR="00BE4B8E" w:rsidRPr="00124B89" w:rsidTr="00A6375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242" w:type="dxa"/>
            <w:noWrap/>
            <w:hideMark/>
          </w:tcPr>
          <w:p w:rsidR="00BE4B8E" w:rsidRPr="00BE4B8E" w:rsidRDefault="00BE4B8E" w:rsidP="00BE4B8E">
            <w:r w:rsidRPr="00BE4B8E">
              <w:t xml:space="preserve">Allowance Spent (At) </w:t>
            </w:r>
          </w:p>
        </w:tc>
        <w:tc>
          <w:tcPr>
            <w:tcW w:w="1327" w:type="dxa"/>
            <w:noWrap/>
            <w:vAlign w:val="bottom"/>
            <w:hideMark/>
          </w:tcPr>
          <w:p w:rsidR="00BE4B8E" w:rsidRPr="00BE4B8E" w:rsidRDefault="00BE4B8E" w:rsidP="00BE4B8E">
            <w:pPr>
              <w:cnfStyle w:val="000000010000" w:firstRow="0" w:lastRow="0" w:firstColumn="0" w:lastColumn="0" w:oddVBand="0" w:evenVBand="0" w:oddHBand="0" w:evenHBand="1" w:firstRowFirstColumn="0" w:firstRowLastColumn="0" w:lastRowFirstColumn="0" w:lastRowLastColumn="0"/>
            </w:pPr>
            <w:r w:rsidRPr="00BE4B8E">
              <w:t>125</w:t>
            </w:r>
          </w:p>
        </w:tc>
        <w:tc>
          <w:tcPr>
            <w:tcW w:w="1292" w:type="dxa"/>
            <w:noWrap/>
            <w:vAlign w:val="bottom"/>
            <w:hideMark/>
          </w:tcPr>
          <w:p w:rsidR="00BE4B8E" w:rsidRPr="00BE4B8E" w:rsidRDefault="00BE4B8E" w:rsidP="00BE4B8E">
            <w:pPr>
              <w:cnfStyle w:val="000000010000" w:firstRow="0" w:lastRow="0" w:firstColumn="0" w:lastColumn="0" w:oddVBand="0" w:evenVBand="0" w:oddHBand="0" w:evenHBand="1" w:firstRowFirstColumn="0" w:firstRowLastColumn="0" w:lastRowFirstColumn="0" w:lastRowLastColumn="0"/>
            </w:pPr>
            <w:r w:rsidRPr="00BE4B8E">
              <w:t>125</w:t>
            </w:r>
          </w:p>
        </w:tc>
        <w:tc>
          <w:tcPr>
            <w:tcW w:w="1916" w:type="dxa"/>
            <w:noWrap/>
            <w:vAlign w:val="bottom"/>
            <w:hideMark/>
          </w:tcPr>
          <w:p w:rsidR="00BE4B8E" w:rsidRPr="00BE4B8E" w:rsidRDefault="00BE4B8E" w:rsidP="00BE4B8E">
            <w:pPr>
              <w:cnfStyle w:val="000000010000" w:firstRow="0" w:lastRow="0" w:firstColumn="0" w:lastColumn="0" w:oddVBand="0" w:evenVBand="0" w:oddHBand="0" w:evenHBand="1" w:firstRowFirstColumn="0" w:firstRowLastColumn="0" w:lastRowFirstColumn="0" w:lastRowLastColumn="0"/>
            </w:pPr>
            <w:r w:rsidRPr="00BE4B8E">
              <w:t>150</w:t>
            </w:r>
          </w:p>
        </w:tc>
        <w:tc>
          <w:tcPr>
            <w:tcW w:w="1916" w:type="dxa"/>
            <w:noWrap/>
            <w:vAlign w:val="bottom"/>
            <w:hideMark/>
          </w:tcPr>
          <w:p w:rsidR="00BE4B8E" w:rsidRPr="00BE4B8E" w:rsidRDefault="00BE4B8E" w:rsidP="00BE4B8E">
            <w:pPr>
              <w:cnfStyle w:val="000000010000" w:firstRow="0" w:lastRow="0" w:firstColumn="0" w:lastColumn="0" w:oddVBand="0" w:evenVBand="0" w:oddHBand="0" w:evenHBand="1" w:firstRowFirstColumn="0" w:firstRowLastColumn="0" w:lastRowFirstColumn="0" w:lastRowLastColumn="0"/>
            </w:pPr>
            <w:r w:rsidRPr="00BE4B8E">
              <w:t>400</w:t>
            </w:r>
          </w:p>
        </w:tc>
      </w:tr>
      <w:tr w:rsidR="00106750" w:rsidRPr="00124B89" w:rsidTr="00A63754">
        <w:trPr>
          <w:trHeight w:val="415"/>
        </w:trPr>
        <w:tc>
          <w:tcPr>
            <w:cnfStyle w:val="001000000000" w:firstRow="0" w:lastRow="0" w:firstColumn="1" w:lastColumn="0" w:oddVBand="0" w:evenVBand="0" w:oddHBand="0" w:evenHBand="0" w:firstRowFirstColumn="0" w:firstRowLastColumn="0" w:lastRowFirstColumn="0" w:lastRowLastColumn="0"/>
            <w:tcW w:w="2242" w:type="dxa"/>
            <w:noWrap/>
            <w:hideMark/>
          </w:tcPr>
          <w:p w:rsidR="00106750" w:rsidRPr="00106750" w:rsidRDefault="00106750" w:rsidP="00106750">
            <w:r w:rsidRPr="00106750">
              <w:t>PV of Over/Underspend</w:t>
            </w:r>
          </w:p>
        </w:tc>
        <w:tc>
          <w:tcPr>
            <w:tcW w:w="1327" w:type="dxa"/>
            <w:noWrap/>
            <w:vAlign w:val="bottom"/>
            <w:hideMark/>
          </w:tcPr>
          <w:p w:rsidR="00106750" w:rsidRPr="00106750" w:rsidRDefault="00106750" w:rsidP="00106750">
            <w:pPr>
              <w:cnfStyle w:val="000000000000" w:firstRow="0" w:lastRow="0" w:firstColumn="0" w:lastColumn="0" w:oddVBand="0" w:evenVBand="0" w:oddHBand="0" w:evenHBand="0" w:firstRowFirstColumn="0" w:firstRowLastColumn="0" w:lastRowFirstColumn="0" w:lastRowLastColumn="0"/>
            </w:pPr>
            <w:r w:rsidRPr="00106750">
              <w:t xml:space="preserve">              257 </w:t>
            </w:r>
          </w:p>
        </w:tc>
        <w:tc>
          <w:tcPr>
            <w:tcW w:w="1292" w:type="dxa"/>
            <w:noWrap/>
            <w:vAlign w:val="bottom"/>
            <w:hideMark/>
          </w:tcPr>
          <w:p w:rsidR="00106750" w:rsidRPr="00106750" w:rsidRDefault="00106750" w:rsidP="00106750">
            <w:pPr>
              <w:cnfStyle w:val="000000000000" w:firstRow="0" w:lastRow="0" w:firstColumn="0" w:lastColumn="0" w:oddVBand="0" w:evenVBand="0" w:oddHBand="0" w:evenHBand="0" w:firstRowFirstColumn="0" w:firstRowLastColumn="0" w:lastRowFirstColumn="0" w:lastRowLastColumn="0"/>
            </w:pPr>
            <w:r w:rsidRPr="00106750">
              <w:t xml:space="preserve">             240 </w:t>
            </w:r>
          </w:p>
        </w:tc>
        <w:tc>
          <w:tcPr>
            <w:tcW w:w="1916" w:type="dxa"/>
            <w:noWrap/>
            <w:vAlign w:val="bottom"/>
            <w:hideMark/>
          </w:tcPr>
          <w:p w:rsidR="00106750" w:rsidRPr="00106750" w:rsidRDefault="00106750" w:rsidP="00106750">
            <w:pPr>
              <w:cnfStyle w:val="000000000000" w:firstRow="0" w:lastRow="0" w:firstColumn="0" w:lastColumn="0" w:oddVBand="0" w:evenVBand="0" w:oddHBand="0" w:evenHBand="0" w:firstRowFirstColumn="0" w:firstRowLastColumn="0" w:lastRowFirstColumn="0" w:lastRowLastColumn="0"/>
            </w:pPr>
            <w:r w:rsidRPr="00106750">
              <w:t xml:space="preserve">                               204 </w:t>
            </w:r>
          </w:p>
        </w:tc>
        <w:tc>
          <w:tcPr>
            <w:tcW w:w="1916" w:type="dxa"/>
            <w:noWrap/>
            <w:vAlign w:val="bottom"/>
            <w:hideMark/>
          </w:tcPr>
          <w:p w:rsidR="00106750" w:rsidRPr="00106750" w:rsidRDefault="00106750" w:rsidP="00106750">
            <w:pPr>
              <w:cnfStyle w:val="000000000000" w:firstRow="0" w:lastRow="0" w:firstColumn="0" w:lastColumn="0" w:oddVBand="0" w:evenVBand="0" w:oddHBand="0" w:evenHBand="0" w:firstRowFirstColumn="0" w:firstRowLastColumn="0" w:lastRowFirstColumn="0" w:lastRowLastColumn="0"/>
            </w:pPr>
            <w:r w:rsidRPr="00106750">
              <w:t xml:space="preserve">                               701 </w:t>
            </w:r>
          </w:p>
        </w:tc>
      </w:tr>
      <w:tr w:rsidR="00106750" w:rsidRPr="00124B89" w:rsidTr="00A63754">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242" w:type="dxa"/>
            <w:noWrap/>
            <w:hideMark/>
          </w:tcPr>
          <w:p w:rsidR="00106750" w:rsidRPr="00106750" w:rsidRDefault="00106750" w:rsidP="00106750">
            <w:r w:rsidRPr="00106750">
              <w:t>Cumulative NPV of over/underspend</w:t>
            </w:r>
          </w:p>
        </w:tc>
        <w:tc>
          <w:tcPr>
            <w:tcW w:w="1327" w:type="dxa"/>
            <w:noWrap/>
            <w:vAlign w:val="bottom"/>
            <w:hideMark/>
          </w:tcPr>
          <w:p w:rsidR="00106750" w:rsidRPr="00106750" w:rsidRDefault="00106750">
            <w:pPr>
              <w:cnfStyle w:val="000000010000" w:firstRow="0" w:lastRow="0" w:firstColumn="0" w:lastColumn="0" w:oddVBand="0" w:evenVBand="0" w:oddHBand="0" w:evenHBand="1" w:firstRowFirstColumn="0" w:firstRowLastColumn="0" w:lastRowFirstColumn="0" w:lastRowLastColumn="0"/>
            </w:pPr>
            <w:r w:rsidRPr="00106750">
              <w:t xml:space="preserve">              257</w:t>
            </w:r>
          </w:p>
        </w:tc>
        <w:tc>
          <w:tcPr>
            <w:tcW w:w="1292" w:type="dxa"/>
            <w:noWrap/>
            <w:vAlign w:val="bottom"/>
            <w:hideMark/>
          </w:tcPr>
          <w:p w:rsidR="00106750" w:rsidRPr="00106750" w:rsidRDefault="00106750" w:rsidP="00106750">
            <w:pPr>
              <w:cnfStyle w:val="000000010000" w:firstRow="0" w:lastRow="0" w:firstColumn="0" w:lastColumn="0" w:oddVBand="0" w:evenVBand="0" w:oddHBand="0" w:evenHBand="1" w:firstRowFirstColumn="0" w:firstRowLastColumn="0" w:lastRowFirstColumn="0" w:lastRowLastColumn="0"/>
            </w:pPr>
            <w:r w:rsidRPr="00106750">
              <w:t xml:space="preserve">             497 </w:t>
            </w:r>
          </w:p>
        </w:tc>
        <w:tc>
          <w:tcPr>
            <w:tcW w:w="1916" w:type="dxa"/>
            <w:noWrap/>
            <w:vAlign w:val="bottom"/>
            <w:hideMark/>
          </w:tcPr>
          <w:p w:rsidR="00106750" w:rsidRPr="00106750" w:rsidRDefault="00106750" w:rsidP="00106750">
            <w:pPr>
              <w:cnfStyle w:val="000000010000" w:firstRow="0" w:lastRow="0" w:firstColumn="0" w:lastColumn="0" w:oddVBand="0" w:evenVBand="0" w:oddHBand="0" w:evenHBand="1" w:firstRowFirstColumn="0" w:firstRowLastColumn="0" w:lastRowFirstColumn="0" w:lastRowLastColumn="0"/>
            </w:pPr>
            <w:r w:rsidRPr="00106750">
              <w:t xml:space="preserve">                               701 </w:t>
            </w:r>
          </w:p>
        </w:tc>
        <w:tc>
          <w:tcPr>
            <w:tcW w:w="1916" w:type="dxa"/>
            <w:noWrap/>
            <w:vAlign w:val="bottom"/>
            <w:hideMark/>
          </w:tcPr>
          <w:p w:rsidR="00106750" w:rsidRPr="00106750" w:rsidRDefault="00106750" w:rsidP="00106750">
            <w:pPr>
              <w:cnfStyle w:val="000000010000" w:firstRow="0" w:lastRow="0" w:firstColumn="0" w:lastColumn="0" w:oddVBand="0" w:evenVBand="0" w:oddHBand="0" w:evenHBand="1" w:firstRowFirstColumn="0" w:firstRowLastColumn="0" w:lastRowFirstColumn="0" w:lastRowLastColumn="0"/>
            </w:pPr>
            <w:r w:rsidRPr="00106750">
              <w:t xml:space="preserve">                               701 </w:t>
            </w:r>
          </w:p>
        </w:tc>
      </w:tr>
    </w:tbl>
    <w:p w:rsidR="00CC6A64" w:rsidRDefault="0002202C" w:rsidP="004B6E8B">
      <w:r>
        <w:rPr>
          <w:rStyle w:val="AERbody"/>
        </w:rPr>
        <w:t xml:space="preserve">Our </w:t>
      </w:r>
      <w:r w:rsidRPr="004B6E8B">
        <w:rPr>
          <w:rStyle w:val="AERbody"/>
        </w:rPr>
        <w:t>application</w:t>
      </w:r>
      <w:r>
        <w:rPr>
          <w:rStyle w:val="AERbody"/>
        </w:rPr>
        <w:t xml:space="preserve"> of </w:t>
      </w:r>
      <w:r>
        <w:rPr>
          <w:rStyle w:val="AERbody"/>
        </w:rPr>
        <w:fldChar w:fldCharType="begin"/>
      </w:r>
      <w:r>
        <w:rPr>
          <w:rStyle w:val="AERbody"/>
        </w:rPr>
        <w:instrText xml:space="preserve"> REF  _Ref486927291 \* Lower \h </w:instrText>
      </w:r>
      <w:r>
        <w:rPr>
          <w:rStyle w:val="AERbody"/>
        </w:rPr>
      </w:r>
      <w:r>
        <w:rPr>
          <w:rStyle w:val="AERbody"/>
        </w:rPr>
        <w:fldChar w:fldCharType="separate"/>
      </w:r>
      <w:r w:rsidR="00755D05">
        <w:t xml:space="preserve">equation </w:t>
      </w:r>
      <w:r w:rsidR="00755D05">
        <w:rPr>
          <w:noProof/>
        </w:rPr>
        <w:t>2</w:t>
      </w:r>
      <w:r>
        <w:rPr>
          <w:rStyle w:val="AERbody"/>
        </w:rPr>
        <w:fldChar w:fldCharType="end"/>
      </w:r>
      <w:r>
        <w:rPr>
          <w:rStyle w:val="AERbody"/>
        </w:rPr>
        <w:t xml:space="preserve"> below shows </w:t>
      </w:r>
      <w:r w:rsidR="00CC6A64">
        <w:rPr>
          <w:rStyle w:val="AERbody"/>
        </w:rPr>
        <w:t>a carryover</w:t>
      </w:r>
      <w:r>
        <w:rPr>
          <w:rStyle w:val="AERbody"/>
        </w:rPr>
        <w:t xml:space="preserve"> amount of $1.06 million (nominal) in 2021, which is year two of TasNetworks' subsequent regulatory control period.</w:t>
      </w:r>
    </w:p>
    <w:p w:rsidR="00AF244B" w:rsidRPr="00AF244B" w:rsidRDefault="00CC6A64" w:rsidP="00AF244B">
      <m:oMathPara>
        <m:oMath>
          <m:r>
            <w:rPr>
              <w:rFonts w:ascii="Cambria Math" w:hAnsi="Cambria Math"/>
            </w:rPr>
            <m:t>C=-</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den>
                  </m:f>
                </m:e>
              </m:nary>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e>
          </m:nary>
        </m:oMath>
      </m:oMathPara>
    </w:p>
    <w:p w:rsidR="00AF244B" w:rsidRPr="00AF244B" w:rsidRDefault="00AF244B" w:rsidP="00AF244B">
      <w:pPr>
        <w:rPr>
          <w:rFonts w:eastAsiaTheme="minorEastAsia"/>
        </w:rPr>
      </w:pPr>
      <w:r>
        <w:t xml:space="preserve">Taking the cumulative NPV of the underspend from </w:t>
      </w:r>
      <w:r w:rsidR="00F6620A">
        <w:rPr>
          <w:rFonts w:eastAsiaTheme="minorEastAsia"/>
        </w:rPr>
        <w:fldChar w:fldCharType="begin"/>
      </w:r>
      <w:r w:rsidR="00F6620A">
        <w:rPr>
          <w:rFonts w:eastAsiaTheme="minorEastAsia"/>
        </w:rPr>
        <w:instrText xml:space="preserve"> REF  _Ref491360446 \* Lower \h </w:instrText>
      </w:r>
      <w:r w:rsidR="00F6620A">
        <w:rPr>
          <w:rFonts w:eastAsiaTheme="minorEastAsia"/>
        </w:rPr>
      </w:r>
      <w:r w:rsidR="00F6620A">
        <w:rPr>
          <w:rFonts w:eastAsiaTheme="minorEastAsia"/>
        </w:rPr>
        <w:fldChar w:fldCharType="separate"/>
      </w:r>
      <w:r w:rsidR="00755D05">
        <w:t xml:space="preserve">table </w:t>
      </w:r>
      <w:r w:rsidR="00755D05">
        <w:rPr>
          <w:noProof/>
        </w:rPr>
        <w:t>7</w:t>
      </w:r>
      <w:r w:rsidR="00F6620A">
        <w:rPr>
          <w:rFonts w:eastAsiaTheme="minorEastAsia"/>
        </w:rPr>
        <w:fldChar w:fldCharType="end"/>
      </w:r>
      <w:r>
        <w:t>,</w:t>
      </w:r>
    </w:p>
    <w:p w:rsidR="00CC6A64" w:rsidRPr="00AF244B" w:rsidRDefault="00AF244B" w:rsidP="00CC6A64">
      <m:oMathPara>
        <m:oMath>
          <m:r>
            <w:rPr>
              <w:rFonts w:ascii="Cambria Math" w:hAnsi="Cambria Math"/>
            </w:rPr>
            <m:t>C=-</m:t>
          </m:r>
          <m:d>
            <m:dPr>
              <m:begChr m:val="["/>
              <m:endChr m:val="]"/>
              <m:ctrlPr>
                <w:rPr>
                  <w:rFonts w:ascii="Cambria Math" w:hAnsi="Cambria Math"/>
                </w:rPr>
              </m:ctrlPr>
            </m:dPr>
            <m:e>
              <m:r>
                <m:rPr>
                  <m:sty m:val="p"/>
                </m:rPr>
                <w:rPr>
                  <w:rFonts w:ascii="Cambria Math" w:hAnsi="Cambria Math"/>
                </w:rPr>
                <m:t>701,000</m:t>
              </m:r>
            </m:e>
          </m:d>
          <m:r>
            <w:rPr>
              <w:rFonts w:ascii="Cambria Math" w:hAnsi="Cambria Math"/>
            </w:rPr>
            <m:t>×</m:t>
          </m:r>
          <m:nary>
            <m:naryPr>
              <m:chr m:val="∏"/>
              <m:limLoc m:val="undOvr"/>
              <m:ctrlPr>
                <w:rPr>
                  <w:rFonts w:ascii="Cambria Math" w:hAnsi="Cambria Math"/>
                </w:rPr>
              </m:ctrlPr>
            </m:naryPr>
            <m:sub>
              <m:r>
                <w:rPr>
                  <w:rFonts w:ascii="Cambria Math" w:hAnsi="Cambria Math"/>
                </w:rPr>
                <m:t>t=1</m:t>
              </m:r>
            </m:sub>
            <m:sup>
              <m:r>
                <w:rPr>
                  <w:rFonts w:ascii="Cambria Math" w:hAnsi="Cambria Math"/>
                </w:rPr>
                <m:t>N+2</m:t>
              </m:r>
            </m:sup>
            <m:e>
              <m:sSup>
                <m:sSupPr>
                  <m:ctrlPr>
                    <w:rPr>
                      <w:rFonts w:ascii="Cambria Math" w:hAnsi="Cambria Math"/>
                    </w:rPr>
                  </m:ctrlPr>
                </m:sSupPr>
                <m:e>
                  <m:d>
                    <m:dPr>
                      <m:ctrlPr>
                        <w:rPr>
                          <w:rFonts w:ascii="Cambria Math" w:hAnsi="Cambria Math"/>
                          <w:i/>
                        </w:rPr>
                      </m:ctrlPr>
                    </m:dPr>
                    <m:e>
                      <m:r>
                        <w:rPr>
                          <w:rFonts w:ascii="Cambria Math" w:hAnsi="Cambria Math"/>
                        </w:rPr>
                        <m:t>1+</m:t>
                      </m:r>
                      <m:sSub>
                        <m:sSubPr>
                          <m:ctrlPr>
                            <w:rPr>
                              <w:rFonts w:ascii="Cambria Math" w:hAnsi="Cambria Math"/>
                            </w:rPr>
                          </m:ctrlPr>
                        </m:sSubPr>
                        <m:e>
                          <m:r>
                            <w:rPr>
                              <w:rFonts w:ascii="Cambria Math" w:hAnsi="Cambria Math"/>
                            </w:rPr>
                            <m:t>r</m:t>
                          </m:r>
                        </m:e>
                        <m:sub>
                          <m:r>
                            <w:rPr>
                              <w:rFonts w:ascii="Cambria Math" w:hAnsi="Cambria Math"/>
                            </w:rPr>
                            <m:t>t</m:t>
                          </m:r>
                        </m:sub>
                      </m:sSub>
                    </m:e>
                  </m:d>
                </m:e>
                <m:sup>
                  <m:r>
                    <w:rPr>
                      <w:rFonts w:ascii="Cambria Math" w:hAnsi="Cambria Math"/>
                    </w:rPr>
                    <m:t>t</m:t>
                  </m:r>
                </m:sup>
              </m:sSup>
            </m:e>
          </m:nary>
        </m:oMath>
      </m:oMathPara>
    </w:p>
    <w:p w:rsidR="00AF244B" w:rsidRPr="00CC6A64" w:rsidRDefault="00AF244B" w:rsidP="00CC6A64">
      <w:r>
        <w:t>And, taking the allowed rate of return assumptions of 6.0% and a 6.5% for the first and second regulatory control periods respectively,</w:t>
      </w:r>
    </w:p>
    <w:p w:rsidR="00CC6A64" w:rsidRPr="00CC6A64" w:rsidRDefault="00CC6A64" w:rsidP="00CC6A64">
      <w:pPr>
        <w:pStyle w:val="LegalNumbering"/>
        <w:numPr>
          <w:ilvl w:val="0"/>
          <w:numId w:val="0"/>
        </w:numPr>
        <w:ind w:left="624"/>
      </w:pPr>
      <m:oMathPara>
        <m:oMath>
          <m:r>
            <w:rPr>
              <w:rFonts w:ascii="Cambria Math" w:hAnsi="Cambria Math"/>
            </w:rPr>
            <m:t>C=-</m:t>
          </m:r>
          <m:r>
            <m:rPr>
              <m:sty m:val="p"/>
            </m:rPr>
            <w:rPr>
              <w:rFonts w:ascii="Cambria Math" w:hAnsi="Cambria Math"/>
            </w:rPr>
            <m:t>701,000</m:t>
          </m:r>
          <m:r>
            <w:rPr>
              <w:rFonts w:ascii="Cambria Math" w:hAnsi="Cambria Math"/>
            </w:rPr>
            <m:t>×</m:t>
          </m:r>
          <m:d>
            <m:dPr>
              <m:begChr m:val="["/>
              <m:endChr m:val="]"/>
              <m:ctrlPr>
                <w:rPr>
                  <w:rFonts w:ascii="Cambria Math" w:hAnsi="Cambria Math"/>
                </w:rPr>
              </m:ctrlPr>
            </m:dPr>
            <m:e>
              <m:r>
                <w:rPr>
                  <w:rFonts w:ascii="Cambria Math" w:hAnsi="Cambria Math"/>
                </w:rPr>
                <m:t>1.06×1.06×1.06×1.06×1.06×1.065×1.065</m:t>
              </m:r>
            </m:e>
          </m:d>
        </m:oMath>
      </m:oMathPara>
    </w:p>
    <w:p w:rsidR="0002202C" w:rsidRPr="0002202C" w:rsidRDefault="0002202C" w:rsidP="004B6E8B">
      <w:pPr>
        <w:pStyle w:val="LegalNumbering"/>
        <w:numPr>
          <w:ilvl w:val="0"/>
          <w:numId w:val="0"/>
        </w:numPr>
        <w:ind w:left="624"/>
      </w:pPr>
      <m:oMathPara>
        <m:oMath>
          <m:r>
            <w:rPr>
              <w:rFonts w:ascii="Cambria Math" w:hAnsi="Cambria Math"/>
            </w:rPr>
            <m:t>C=-</m:t>
          </m:r>
          <m:r>
            <m:rPr>
              <m:sty m:val="p"/>
            </m:rPr>
            <w:rPr>
              <w:rFonts w:ascii="Cambria Math" w:hAnsi="Cambria Math"/>
            </w:rPr>
            <m:t>701,000</m:t>
          </m:r>
          <m:r>
            <w:rPr>
              <w:rFonts w:ascii="Cambria Math" w:hAnsi="Cambria Math"/>
            </w:rPr>
            <m:t>×</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1.06</m:t>
                      </m:r>
                    </m:e>
                  </m:d>
                </m:e>
                <m:sup>
                  <m:r>
                    <w:rPr>
                      <w:rFonts w:ascii="Cambria Math" w:hAnsi="Cambria Math"/>
                    </w:rPr>
                    <m:t>5</m:t>
                  </m:r>
                </m:sup>
              </m:sSup>
              <m:sSup>
                <m:sSupPr>
                  <m:ctrlPr>
                    <w:rPr>
                      <w:rFonts w:ascii="Cambria Math" w:hAnsi="Cambria Math"/>
                    </w:rPr>
                  </m:ctrlPr>
                </m:sSupPr>
                <m:e>
                  <m:d>
                    <m:dPr>
                      <m:ctrlPr>
                        <w:rPr>
                          <w:rFonts w:ascii="Cambria Math" w:hAnsi="Cambria Math"/>
                        </w:rPr>
                      </m:ctrlPr>
                    </m:dPr>
                    <m:e>
                      <m:r>
                        <w:rPr>
                          <w:rFonts w:ascii="Cambria Math" w:hAnsi="Cambria Math"/>
                        </w:rPr>
                        <m:t>1.065</m:t>
                      </m:r>
                    </m:e>
                  </m:d>
                </m:e>
                <m:sup>
                  <m:r>
                    <w:rPr>
                      <w:rFonts w:ascii="Cambria Math" w:hAnsi="Cambria Math"/>
                    </w:rPr>
                    <m:t>2</m:t>
                  </m:r>
                </m:sup>
              </m:sSup>
            </m:e>
          </m:d>
        </m:oMath>
      </m:oMathPara>
    </w:p>
    <w:p w:rsidR="0002202C" w:rsidRPr="0002202C" w:rsidRDefault="0002202C" w:rsidP="004B6E8B">
      <w:pPr>
        <w:pStyle w:val="LegalNumbering"/>
        <w:numPr>
          <w:ilvl w:val="0"/>
          <w:numId w:val="0"/>
        </w:numPr>
        <w:ind w:left="624"/>
      </w:pPr>
      <m:oMathPara>
        <m:oMath>
          <m:r>
            <w:rPr>
              <w:rFonts w:ascii="Cambria Math" w:hAnsi="Cambria Math"/>
            </w:rPr>
            <w:lastRenderedPageBreak/>
            <m:t>C=-1,064,012</m:t>
          </m:r>
        </m:oMath>
      </m:oMathPara>
    </w:p>
    <w:p w:rsidR="00BF1008" w:rsidRPr="002505E9" w:rsidRDefault="00A63754" w:rsidP="00BE4B8E">
      <w:r>
        <w:t xml:space="preserve">If after the conclusion of the trial, TasNetworks wished to continue the project under the </w:t>
      </w:r>
      <w:r w:rsidR="00AF244B">
        <w:t>Mechanism</w:t>
      </w:r>
      <w:r>
        <w:t xml:space="preserve">, then it would need to meet the requirements </w:t>
      </w:r>
      <w:r w:rsidR="009F46BB">
        <w:t>of being an eligible project under</w:t>
      </w:r>
      <w:r>
        <w:t xml:space="preserve"> the </w:t>
      </w:r>
      <w:r w:rsidR="00AF244B">
        <w:t>Mechanism</w:t>
      </w:r>
      <w:r w:rsidR="009F46BB">
        <w:t>. This would</w:t>
      </w:r>
      <w:r>
        <w:t xml:space="preserve"> require it to pass an efficiency assessment among</w:t>
      </w:r>
      <w:r w:rsidR="00F6620A">
        <w:t xml:space="preserve"> other criteria.</w:t>
      </w:r>
    </w:p>
    <w:sectPr w:rsidR="00BF1008" w:rsidRPr="002505E9" w:rsidSect="00B35352">
      <w:headerReference w:type="even" r:id="rId18"/>
      <w:headerReference w:type="default" r:id="rId19"/>
      <w:footerReference w:type="even" r:id="rId20"/>
      <w:footerReference w:type="default" r:id="rId21"/>
      <w:headerReference w:type="first" r:id="rId22"/>
      <w:footerReference w:type="first" r:id="rId23"/>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64" w:rsidRPr="00290C63" w:rsidRDefault="00CC6A64" w:rsidP="00290C63">
      <w:r>
        <w:separator/>
      </w:r>
    </w:p>
    <w:p w:rsidR="00CC6A64" w:rsidRDefault="00CC6A64"/>
  </w:endnote>
  <w:endnote w:type="continuationSeparator" w:id="0">
    <w:p w:rsidR="00CC6A64" w:rsidRPr="00290C63" w:rsidRDefault="00CC6A64" w:rsidP="00290C63">
      <w:r>
        <w:continuationSeparator/>
      </w:r>
    </w:p>
    <w:p w:rsidR="00CC6A64" w:rsidRDefault="00CC6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4" w:rsidRPr="00290C63" w:rsidRDefault="00CC6A6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C6A64" w:rsidRDefault="00CC6A64"/>
  <w:p w:rsidR="00CC6A64" w:rsidRDefault="00CC6A64"/>
  <w:p w:rsidR="00CC6A64" w:rsidRDefault="00CC6A64"/>
  <w:p w:rsidR="00CC6A64" w:rsidRDefault="00CC6A64"/>
  <w:p w:rsidR="00CC6A64" w:rsidRDefault="00CC6A64"/>
  <w:p w:rsidR="00CC6A64" w:rsidRDefault="00CC6A64"/>
  <w:p w:rsidR="00CC6A64" w:rsidRDefault="00CC6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014908"/>
      <w:docPartObj>
        <w:docPartGallery w:val="Page Numbers (Bottom of Page)"/>
        <w:docPartUnique/>
      </w:docPartObj>
    </w:sdtPr>
    <w:sdtEndPr/>
    <w:sdtContent>
      <w:p w:rsidR="00CC6A64" w:rsidRPr="00B05F86" w:rsidRDefault="00CC6A64">
        <w:pPr>
          <w:pStyle w:val="Footer"/>
        </w:pPr>
        <w:r w:rsidRPr="00B05F86">
          <w:fldChar w:fldCharType="begin"/>
        </w:r>
        <w:r w:rsidRPr="00B05F86">
          <w:instrText xml:space="preserve"> PAGE   \* MERGEFORMAT </w:instrText>
        </w:r>
        <w:r w:rsidRPr="00B05F86">
          <w:fldChar w:fldCharType="separate"/>
        </w:r>
        <w:r w:rsidR="006F3834">
          <w:rPr>
            <w:noProof/>
          </w:rPr>
          <w:t>33</w:t>
        </w:r>
        <w:r w:rsidRPr="00B05F86">
          <w:fldChar w:fldCharType="end"/>
        </w:r>
        <w:r>
          <w:t xml:space="preserve">           Explanatory statement </w:t>
        </w:r>
        <w:r>
          <w:rPr>
            <w:rFonts w:cs="Arial"/>
          </w:rPr>
          <w:t>―</w:t>
        </w:r>
        <w:r>
          <w:t xml:space="preserve"> Draft demand management innovation allowance mechanism</w:t>
        </w:r>
      </w:p>
    </w:sdtContent>
  </w:sdt>
  <w:p w:rsidR="00CC6A64" w:rsidRDefault="00CC6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4" w:rsidRPr="00290C63" w:rsidRDefault="00CC6A6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C6A64" w:rsidRDefault="00CC6A64">
    <w:pPr>
      <w:pStyle w:val="Footer"/>
    </w:pPr>
  </w:p>
  <w:p w:rsidR="00CC6A64" w:rsidRDefault="00CC6A64"/>
  <w:p w:rsidR="00CC6A64" w:rsidRDefault="00CC6A64"/>
  <w:p w:rsidR="00CC6A64" w:rsidRDefault="00CC6A64"/>
  <w:p w:rsidR="00CC6A64" w:rsidRDefault="00CC6A64"/>
  <w:p w:rsidR="00CC6A64" w:rsidRDefault="00CC6A64"/>
  <w:p w:rsidR="00CC6A64" w:rsidRDefault="00CC6A64"/>
  <w:p w:rsidR="00CC6A64" w:rsidRDefault="00CC6A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64" w:rsidRPr="00290C63" w:rsidRDefault="00CC6A64" w:rsidP="00290C63">
      <w:r>
        <w:separator/>
      </w:r>
    </w:p>
    <w:p w:rsidR="00CC6A64" w:rsidRDefault="00CC6A64"/>
  </w:footnote>
  <w:footnote w:type="continuationSeparator" w:id="0">
    <w:p w:rsidR="00CC6A64" w:rsidRPr="00290C63" w:rsidRDefault="00CC6A64" w:rsidP="00290C63">
      <w:r>
        <w:continuationSeparator/>
      </w:r>
    </w:p>
    <w:p w:rsidR="00CC6A64" w:rsidRDefault="00CC6A64"/>
  </w:footnote>
  <w:footnote w:id="1">
    <w:p w:rsidR="00CC6A64" w:rsidRDefault="00CC6A64">
      <w:pPr>
        <w:pStyle w:val="FootnoteText"/>
      </w:pPr>
      <w:r>
        <w:rPr>
          <w:rStyle w:val="FootnoteReference"/>
        </w:rPr>
        <w:footnoteRef/>
      </w:r>
      <w:r>
        <w:t xml:space="preserve"> </w:t>
      </w:r>
      <w:r>
        <w:tab/>
        <w:t xml:space="preserve">AEMC, </w:t>
      </w:r>
      <w:r w:rsidRPr="004B6E8B">
        <w:rPr>
          <w:rStyle w:val="AERtextitalic"/>
        </w:rPr>
        <w:t>Final report: Power of choice review</w:t>
      </w:r>
      <w:r>
        <w:t>, 30 November 2012, p. 198.</w:t>
      </w:r>
    </w:p>
  </w:footnote>
  <w:footnote w:id="2">
    <w:p w:rsidR="00CC6A64" w:rsidRDefault="00CC6A64" w:rsidP="001D5B0F">
      <w:pPr>
        <w:pStyle w:val="FootnoteText"/>
      </w:pPr>
      <w:r>
        <w:rPr>
          <w:rStyle w:val="FootnoteReference"/>
        </w:rPr>
        <w:footnoteRef/>
      </w:r>
      <w:r>
        <w:t xml:space="preserve"> </w:t>
      </w:r>
      <w:r>
        <w:tab/>
      </w:r>
      <w:r w:rsidRPr="008F2DF4">
        <w:t>AEM</w:t>
      </w:r>
      <w:r>
        <w:t>C</w:t>
      </w:r>
      <w:r w:rsidRPr="008F2DF4">
        <w:t xml:space="preserve">, </w:t>
      </w:r>
      <w:r w:rsidRPr="004B6E8B">
        <w:rPr>
          <w:rStyle w:val="AERtextitalic"/>
        </w:rPr>
        <w:t>Power of Choice – Stage 3 demand side participation review</w:t>
      </w:r>
      <w:r w:rsidRPr="008F2DF4">
        <w:t>, 2012,</w:t>
      </w:r>
      <w:r>
        <w:t xml:space="preserve"> p.</w:t>
      </w:r>
      <w:r w:rsidRPr="008F2DF4">
        <w:t xml:space="preserve"> vi.</w:t>
      </w:r>
    </w:p>
  </w:footnote>
  <w:footnote w:id="3">
    <w:p w:rsidR="00CC6A64" w:rsidRDefault="00CC6A64" w:rsidP="008F2DF4">
      <w:pPr>
        <w:pStyle w:val="FootnoteText"/>
      </w:pPr>
      <w:r>
        <w:rPr>
          <w:rStyle w:val="FootnoteReference"/>
        </w:rPr>
        <w:footnoteRef/>
      </w:r>
      <w:r>
        <w:t xml:space="preserve"> </w:t>
      </w:r>
      <w:r>
        <w:tab/>
        <w:t>Energy Network</w:t>
      </w:r>
      <w:r w:rsidRPr="005414F6">
        <w:t>s Australia</w:t>
      </w:r>
      <w:r>
        <w:t xml:space="preserve"> (ENA)</w:t>
      </w:r>
      <w:r w:rsidRPr="005414F6">
        <w:t xml:space="preserve">, </w:t>
      </w:r>
      <w:r w:rsidRPr="005414F6">
        <w:rPr>
          <w:rStyle w:val="AERtextitalic"/>
        </w:rPr>
        <w:t>Network Innovations Discussion Paper</w:t>
      </w:r>
      <w:r w:rsidRPr="005414F6">
        <w:t>, July 2017,</w:t>
      </w:r>
      <w:r>
        <w:t xml:space="preserve"> p.</w:t>
      </w:r>
      <w:r w:rsidRPr="005414F6">
        <w:t xml:space="preserve"> 1</w:t>
      </w:r>
      <w:r>
        <w:t xml:space="preserve">; ENA and CSIRO, </w:t>
      </w:r>
      <w:r w:rsidRPr="00DF01AF">
        <w:rPr>
          <w:rStyle w:val="AERtextitalic"/>
        </w:rPr>
        <w:t>Electricity</w:t>
      </w:r>
      <w:r w:rsidRPr="004B6E8B">
        <w:rPr>
          <w:rStyle w:val="AERtextitalic"/>
        </w:rPr>
        <w:t xml:space="preserve"> network transformation roadmap: Final report</w:t>
      </w:r>
      <w:r>
        <w:t>, April 2017.</w:t>
      </w:r>
    </w:p>
  </w:footnote>
  <w:footnote w:id="4">
    <w:p w:rsidR="00CC6A64" w:rsidRDefault="00CC6A64">
      <w:pPr>
        <w:pStyle w:val="FootnoteText"/>
      </w:pPr>
      <w:r>
        <w:rPr>
          <w:rStyle w:val="FootnoteReference"/>
        </w:rPr>
        <w:footnoteRef/>
      </w:r>
      <w:r>
        <w:t xml:space="preserve"> </w:t>
      </w:r>
      <w:r>
        <w:tab/>
        <w:t xml:space="preserve">Energy Consumers Australia, </w:t>
      </w:r>
      <w:r w:rsidRPr="0065506C">
        <w:rPr>
          <w:rStyle w:val="AERtextitalic"/>
        </w:rPr>
        <w:t>Short Submission following Demand Management Options Day</w:t>
      </w:r>
      <w:r>
        <w:t>, June 2017, p. 3.</w:t>
      </w:r>
    </w:p>
  </w:footnote>
  <w:footnote w:id="5">
    <w:p w:rsidR="00837C41" w:rsidRDefault="00837C41">
      <w:pPr>
        <w:pStyle w:val="FootnoteText"/>
      </w:pPr>
      <w:r>
        <w:rPr>
          <w:rStyle w:val="FootnoteReference"/>
        </w:rPr>
        <w:footnoteRef/>
      </w:r>
      <w:r>
        <w:t xml:space="preserve"> </w:t>
      </w:r>
      <w:r>
        <w:tab/>
        <w:t xml:space="preserve">For example, see AER, </w:t>
      </w:r>
      <w:r w:rsidRPr="00837C41">
        <w:rPr>
          <w:rStyle w:val="AERtextitalic"/>
        </w:rPr>
        <w:t>Demand management incentive scheme: Jemena, CitiPower, Powercor, SP AusNet and United Energy, 2011–2015</w:t>
      </w:r>
      <w:r>
        <w:t>, April 2009.</w:t>
      </w:r>
    </w:p>
  </w:footnote>
  <w:footnote w:id="6">
    <w:p w:rsidR="00CC6A64" w:rsidRDefault="00CC6A64" w:rsidP="001D5B0F">
      <w:pPr>
        <w:pStyle w:val="FootnoteText"/>
      </w:pPr>
      <w:r>
        <w:rPr>
          <w:rStyle w:val="FootnoteReference"/>
        </w:rPr>
        <w:footnoteRef/>
      </w:r>
      <w:r>
        <w:t xml:space="preserve"> </w:t>
      </w:r>
      <w:r>
        <w:tab/>
        <w:t xml:space="preserve">AEMC, </w:t>
      </w:r>
      <w:r w:rsidRPr="004B6E8B">
        <w:rPr>
          <w:rStyle w:val="AERtextitalic"/>
        </w:rPr>
        <w:t>Rule determination: National Electricity Amendment (Demand Management Incentive Scheme) Rule 2015</w:t>
      </w:r>
      <w:r>
        <w:t xml:space="preserve">, </w:t>
      </w:r>
      <w:r w:rsidRPr="001D5B0F">
        <w:t>August 2015</w:t>
      </w:r>
      <w:r>
        <w:t xml:space="preserve">,  pp. ii, 4, </w:t>
      </w:r>
    </w:p>
  </w:footnote>
  <w:footnote w:id="7">
    <w:p w:rsidR="00CC6A64" w:rsidRDefault="00CC6A64">
      <w:pPr>
        <w:pStyle w:val="FootnoteText"/>
      </w:pPr>
      <w:r>
        <w:rPr>
          <w:rStyle w:val="FootnoteReference"/>
        </w:rPr>
        <w:footnoteRef/>
      </w:r>
      <w:r>
        <w:t xml:space="preserve"> </w:t>
      </w:r>
      <w:r>
        <w:tab/>
        <w:t xml:space="preserve">ENA, </w:t>
      </w:r>
      <w:r w:rsidRPr="00FB09FA">
        <w:rPr>
          <w:rStyle w:val="AERtextitalic"/>
        </w:rPr>
        <w:t>Network Innovation Discussion Paper</w:t>
      </w:r>
      <w:r>
        <w:t xml:space="preserve">, July 2017, p. 2. </w:t>
      </w:r>
    </w:p>
  </w:footnote>
  <w:footnote w:id="8">
    <w:p w:rsidR="00CC6A64" w:rsidRDefault="00CC6A64">
      <w:pPr>
        <w:pStyle w:val="FootnoteText"/>
      </w:pPr>
      <w:r>
        <w:rPr>
          <w:rStyle w:val="FootnoteReference"/>
        </w:rPr>
        <w:footnoteRef/>
      </w:r>
      <w:r>
        <w:t xml:space="preserve"> </w:t>
      </w:r>
      <w:r>
        <w:tab/>
      </w:r>
      <w:r w:rsidRPr="00EE2710">
        <w:rPr>
          <w:rStyle w:val="AERtextitalic"/>
        </w:rPr>
        <w:t>National Electricity (South Australia) Act 1996</w:t>
      </w:r>
      <w:r>
        <w:t>, Clause 7 of part 1.</w:t>
      </w:r>
    </w:p>
  </w:footnote>
  <w:footnote w:id="9">
    <w:p w:rsidR="00CC6A64" w:rsidRDefault="00CC6A64">
      <w:pPr>
        <w:pStyle w:val="FootnoteText"/>
      </w:pPr>
      <w:r>
        <w:rPr>
          <w:rStyle w:val="FootnoteReference"/>
        </w:rPr>
        <w:footnoteRef/>
      </w:r>
      <w:r>
        <w:t xml:space="preserve"> </w:t>
      </w:r>
      <w:r>
        <w:tab/>
        <w:t>More information is available at :&lt;</w:t>
      </w:r>
      <w:hyperlink r:id="rId1" w:history="1">
        <w:r w:rsidRPr="008B12DA">
          <w:rPr>
            <w:rStyle w:val="Hyperlink"/>
            <w:sz w:val="16"/>
          </w:rPr>
          <w:t>https://www.aer.gov.au/networks-pipelines/guidelines-schemes-models-reviews/demand-management-incentive-scheme-and-innovation-allowance-mechanism/initiation</w:t>
        </w:r>
      </w:hyperlink>
      <w:r>
        <w:rPr>
          <w:rStyle w:val="Hyperlink"/>
        </w:rPr>
        <w:t>&gt;</w:t>
      </w:r>
      <w:r>
        <w:t>.</w:t>
      </w:r>
    </w:p>
  </w:footnote>
  <w:footnote w:id="10">
    <w:p w:rsidR="00CC6A64" w:rsidRDefault="00CC6A64">
      <w:pPr>
        <w:pStyle w:val="FootnoteText"/>
      </w:pPr>
      <w:r>
        <w:rPr>
          <w:rStyle w:val="FootnoteReference"/>
        </w:rPr>
        <w:footnoteRef/>
      </w:r>
      <w:r>
        <w:t xml:space="preserve"> </w:t>
      </w:r>
      <w:r>
        <w:tab/>
        <w:t xml:space="preserve">ENA, </w:t>
      </w:r>
      <w:r w:rsidRPr="00FB09FA">
        <w:rPr>
          <w:rStyle w:val="AERtextitalic"/>
        </w:rPr>
        <w:t>Submission to the AER's Demand Management Consultation Paper</w:t>
      </w:r>
      <w:r>
        <w:t>, 27 February 2017, p. 11.</w:t>
      </w:r>
    </w:p>
  </w:footnote>
  <w:footnote w:id="11">
    <w:p w:rsidR="00CC6A64" w:rsidRDefault="00CC6A64" w:rsidP="00BB39FB">
      <w:pPr>
        <w:pStyle w:val="FootnoteText"/>
      </w:pPr>
      <w:r>
        <w:rPr>
          <w:rStyle w:val="FootnoteReference"/>
        </w:rPr>
        <w:footnoteRef/>
      </w:r>
      <w:r>
        <w:t xml:space="preserve"> </w:t>
      </w:r>
      <w:r>
        <w:tab/>
      </w:r>
      <w:r w:rsidRPr="00D97998">
        <w:t xml:space="preserve">AER, </w:t>
      </w:r>
      <w:r w:rsidRPr="0006281D">
        <w:rPr>
          <w:rStyle w:val="AERtextitalic"/>
        </w:rPr>
        <w:t>Directions Forum</w:t>
      </w:r>
      <w:r w:rsidRPr="00D97998">
        <w:t>, June 2017, summary available at:  &lt; https://www.aer.gov.au/networks-pipelines/guidelines-schemes-models-reviews/demand-management-incentive-scheme-and-innovation-allowance-mechanism/initiation&gt;.</w:t>
      </w:r>
    </w:p>
  </w:footnote>
  <w:footnote w:id="12">
    <w:p w:rsidR="00CC6A64" w:rsidRDefault="00CC6A64">
      <w:pPr>
        <w:pStyle w:val="FootnoteText"/>
      </w:pPr>
      <w:r>
        <w:rPr>
          <w:rStyle w:val="FootnoteReference"/>
        </w:rPr>
        <w:footnoteRef/>
      </w:r>
      <w:r>
        <w:t xml:space="preserve"> </w:t>
      </w:r>
      <w:r>
        <w:tab/>
      </w:r>
      <w:r w:rsidRPr="00E753D5">
        <w:t xml:space="preserve">Energy Consumers Australia, </w:t>
      </w:r>
      <w:r w:rsidRPr="004B6E8B">
        <w:rPr>
          <w:rStyle w:val="AERtextitalic"/>
        </w:rPr>
        <w:t>Short Submission following Demand Management Options Day</w:t>
      </w:r>
      <w:r>
        <w:t>, June 2017, p. 1</w:t>
      </w:r>
      <w:r w:rsidRPr="00E753D5">
        <w:t>.</w:t>
      </w:r>
    </w:p>
  </w:footnote>
  <w:footnote w:id="13">
    <w:p w:rsidR="00CC6A64" w:rsidRDefault="00CC6A64">
      <w:pPr>
        <w:pStyle w:val="FootnoteText"/>
      </w:pPr>
      <w:r>
        <w:rPr>
          <w:rStyle w:val="FootnoteReference"/>
        </w:rPr>
        <w:footnoteRef/>
      </w:r>
      <w:r>
        <w:t xml:space="preserve"> </w:t>
      </w:r>
      <w:r>
        <w:tab/>
        <w:t xml:space="preserve">Public interest advocacy Centre, </w:t>
      </w:r>
      <w:r w:rsidRPr="004B6E8B">
        <w:rPr>
          <w:rStyle w:val="AERtextitalic"/>
        </w:rPr>
        <w:t>Submission in response to AER Demand Management Incentive Scheme design</w:t>
      </w:r>
      <w:r>
        <w:t>, 24 February 2017, p. 3.</w:t>
      </w:r>
    </w:p>
  </w:footnote>
  <w:footnote w:id="14">
    <w:p w:rsidR="00CC6A64" w:rsidRDefault="00CC6A64">
      <w:pPr>
        <w:pStyle w:val="FootnoteText"/>
      </w:pPr>
      <w:r>
        <w:rPr>
          <w:rStyle w:val="FootnoteReference"/>
        </w:rPr>
        <w:footnoteRef/>
      </w:r>
      <w:r>
        <w:t xml:space="preserve"> </w:t>
      </w:r>
      <w:r>
        <w:tab/>
      </w:r>
      <w:r w:rsidRPr="002774E4">
        <w:t xml:space="preserve">Energy Consumers Australia, </w:t>
      </w:r>
      <w:r w:rsidRPr="00E37BC1">
        <w:rPr>
          <w:rStyle w:val="AERtextitalic"/>
        </w:rPr>
        <w:t>Short Submission following Demand Management Options Day</w:t>
      </w:r>
      <w:r w:rsidRPr="002774E4">
        <w:t>, June 2017,</w:t>
      </w:r>
      <w:r>
        <w:t xml:space="preserve"> 3.</w:t>
      </w:r>
    </w:p>
  </w:footnote>
  <w:footnote w:id="15">
    <w:p w:rsidR="00CC6A64" w:rsidRDefault="00CC6A64" w:rsidP="009B2801">
      <w:pPr>
        <w:pStyle w:val="FootnoteText"/>
      </w:pPr>
      <w:r>
        <w:rPr>
          <w:rStyle w:val="FootnoteReference"/>
        </w:rPr>
        <w:footnoteRef/>
      </w:r>
      <w:r>
        <w:t xml:space="preserve">      Red Lumo, </w:t>
      </w:r>
      <w:r w:rsidRPr="00FC6575">
        <w:rPr>
          <w:rStyle w:val="AERtextitalic"/>
        </w:rPr>
        <w:t>Submission to the AER's Demand Management</w:t>
      </w:r>
      <w:r>
        <w:t xml:space="preserve"> Consultation Paper, p. </w:t>
      </w:r>
      <w:r w:rsidR="00F6620A">
        <w:t>1.</w:t>
      </w:r>
    </w:p>
  </w:footnote>
  <w:footnote w:id="16">
    <w:p w:rsidR="00CC6A64" w:rsidRDefault="00CC6A64">
      <w:pPr>
        <w:pStyle w:val="FootnoteText"/>
      </w:pPr>
      <w:r>
        <w:rPr>
          <w:rStyle w:val="FootnoteReference"/>
        </w:rPr>
        <w:footnoteRef/>
      </w:r>
      <w:r>
        <w:t xml:space="preserve"> </w:t>
      </w:r>
      <w:r>
        <w:tab/>
        <w:t xml:space="preserve">For example, please see the Bruny Island Battery Trial involving TasNetworks, </w:t>
      </w:r>
      <w:hyperlink r:id="rId2" w:history="1">
        <w:r w:rsidRPr="009611F2">
          <w:rPr>
            <w:rStyle w:val="Hyperlink"/>
            <w:sz w:val="16"/>
          </w:rPr>
          <w:t>http://brunybatterytrial.org/</w:t>
        </w:r>
      </w:hyperlink>
      <w:r>
        <w:t xml:space="preserve">. This trial is discussed in more detail in Section </w:t>
      </w:r>
      <w:r>
        <w:fldChar w:fldCharType="begin"/>
      </w:r>
      <w:r>
        <w:instrText xml:space="preserve"> REF _Ref490051866 \r \h </w:instrText>
      </w:r>
      <w:r>
        <w:fldChar w:fldCharType="separate"/>
      </w:r>
      <w:r w:rsidR="00755D05">
        <w:t>8</w:t>
      </w:r>
      <w:r>
        <w:fldChar w:fldCharType="end"/>
      </w:r>
      <w:r>
        <w:t xml:space="preserve"> of this explanatory statement.</w:t>
      </w:r>
    </w:p>
  </w:footnote>
  <w:footnote w:id="17">
    <w:p w:rsidR="00CC6A64" w:rsidRDefault="00CC6A64" w:rsidP="00D94707">
      <w:pPr>
        <w:pStyle w:val="FootnoteText"/>
      </w:pPr>
      <w:r>
        <w:rPr>
          <w:rStyle w:val="FootnoteReference"/>
        </w:rPr>
        <w:footnoteRef/>
      </w:r>
      <w:r>
        <w:t xml:space="preserve">    ARENA, </w:t>
      </w:r>
      <w:r w:rsidRPr="004B6E8B">
        <w:rPr>
          <w:rStyle w:val="AERtextitalic"/>
        </w:rPr>
        <w:t>Demand Response Competitive Round</w:t>
      </w:r>
      <w:r>
        <w:t>, July 2017, More information available at: &lt;</w:t>
      </w:r>
      <w:r w:rsidRPr="00493F84">
        <w:t xml:space="preserve"> https://arena.gov.au/funding/programs/advancing-renewables-program/demandresponse/</w:t>
      </w:r>
      <w:r>
        <w:t>&gt;</w:t>
      </w:r>
      <w:r w:rsidR="00F6620A">
        <w:t>.</w:t>
      </w:r>
    </w:p>
  </w:footnote>
  <w:footnote w:id="18">
    <w:p w:rsidR="00CC6A64" w:rsidRDefault="00CC6A64" w:rsidP="00F20143">
      <w:pPr>
        <w:pStyle w:val="FootnoteText"/>
      </w:pPr>
      <w:r>
        <w:rPr>
          <w:rStyle w:val="FootnoteReference"/>
        </w:rPr>
        <w:footnoteRef/>
      </w:r>
      <w:r>
        <w:t xml:space="preserve"> </w:t>
      </w:r>
      <w:r>
        <w:tab/>
        <w:t xml:space="preserve">AER, </w:t>
      </w:r>
      <w:r w:rsidRPr="00FB09FA">
        <w:rPr>
          <w:rStyle w:val="AERtextitalic"/>
        </w:rPr>
        <w:t>Directions Forum</w:t>
      </w:r>
      <w:r>
        <w:t>, June 2017, summary available at:  &lt;</w:t>
      </w:r>
      <w:r w:rsidRPr="00C50142">
        <w:t xml:space="preserve"> https://www.aer.gov.au/networks-pipelines/guidelines-schemes-models-reviews/demand-management-incentive-scheme-and-innovation-allowance-mechanism/initiation</w:t>
      </w:r>
      <w:r>
        <w:t>&gt;.</w:t>
      </w:r>
    </w:p>
  </w:footnote>
  <w:footnote w:id="19">
    <w:p w:rsidR="00CC6A64" w:rsidRDefault="00CC6A64" w:rsidP="00F20143">
      <w:pPr>
        <w:pStyle w:val="FootnoteText"/>
      </w:pPr>
      <w:r>
        <w:rPr>
          <w:rStyle w:val="FootnoteReference"/>
        </w:rPr>
        <w:footnoteRef/>
      </w:r>
      <w:r>
        <w:t xml:space="preserve">    Jemena Electricity Networks, </w:t>
      </w:r>
      <w:r w:rsidRPr="00FB09FA">
        <w:rPr>
          <w:rStyle w:val="AERtextitalic"/>
        </w:rPr>
        <w:t>Submission on AER Demand Management Consultation Paper</w:t>
      </w:r>
      <w:r w:rsidR="00F6620A">
        <w:t>, February 2017, p. 6</w:t>
      </w:r>
    </w:p>
  </w:footnote>
  <w:footnote w:id="20">
    <w:p w:rsidR="00CC6A64" w:rsidRDefault="00CC6A64">
      <w:pPr>
        <w:pStyle w:val="FootnoteText"/>
      </w:pPr>
      <w:r>
        <w:rPr>
          <w:rStyle w:val="FootnoteReference"/>
        </w:rPr>
        <w:footnoteRef/>
      </w:r>
      <w:r>
        <w:t xml:space="preserve">    </w:t>
      </w:r>
      <w:r w:rsidRPr="00C96BCB">
        <w:t xml:space="preserve">Energy Consumers Australia, </w:t>
      </w:r>
      <w:r w:rsidRPr="0065506C">
        <w:rPr>
          <w:rStyle w:val="AERtextitalic"/>
        </w:rPr>
        <w:t>Short Submission following Demand Management Options Day</w:t>
      </w:r>
      <w:r w:rsidRPr="00C96BCB">
        <w:t xml:space="preserve">, June 2017, </w:t>
      </w:r>
      <w:r>
        <w:t xml:space="preserve">p. </w:t>
      </w:r>
      <w:r w:rsidRPr="00C96BCB">
        <w:t>3.</w:t>
      </w:r>
    </w:p>
  </w:footnote>
  <w:footnote w:id="21">
    <w:p w:rsidR="00CC6A64" w:rsidRDefault="00CC6A64" w:rsidP="001A1EBE">
      <w:pPr>
        <w:pStyle w:val="FootnoteText"/>
      </w:pPr>
      <w:r>
        <w:rPr>
          <w:rStyle w:val="FootnoteReference"/>
        </w:rPr>
        <w:footnoteRef/>
      </w:r>
      <w:r>
        <w:t xml:space="preserve">    SAPN, </w:t>
      </w:r>
      <w:r w:rsidRPr="00E437FE">
        <w:rPr>
          <w:rStyle w:val="AERtextitalic"/>
        </w:rPr>
        <w:t>Submission to AER's Demand Management Consultation Paper</w:t>
      </w:r>
      <w:r w:rsidR="00F6620A">
        <w:t>, February 2017, p. 4.</w:t>
      </w:r>
    </w:p>
  </w:footnote>
  <w:footnote w:id="22">
    <w:p w:rsidR="00CC6A64" w:rsidRDefault="00CC6A64">
      <w:pPr>
        <w:pStyle w:val="FootnoteText"/>
      </w:pPr>
      <w:r>
        <w:rPr>
          <w:rStyle w:val="FootnoteReference"/>
        </w:rPr>
        <w:footnoteRef/>
      </w:r>
      <w:r>
        <w:t xml:space="preserve"> </w:t>
      </w:r>
      <w:r>
        <w:tab/>
        <w:t xml:space="preserve">For example, Endeavour Energy, </w:t>
      </w:r>
      <w:r w:rsidRPr="00152E95">
        <w:rPr>
          <w:rStyle w:val="AERtextitalic"/>
        </w:rPr>
        <w:t>Submission on Demand Management Consultation Paper</w:t>
      </w:r>
      <w:r w:rsidR="00F6620A">
        <w:t>, February 2017, p. 12.</w:t>
      </w:r>
    </w:p>
  </w:footnote>
  <w:footnote w:id="23">
    <w:p w:rsidR="00CC6A64" w:rsidRDefault="00CC6A64">
      <w:pPr>
        <w:pStyle w:val="FootnoteText"/>
      </w:pPr>
      <w:r>
        <w:rPr>
          <w:rStyle w:val="FootnoteReference"/>
        </w:rPr>
        <w:footnoteRef/>
      </w:r>
      <w:r>
        <w:t xml:space="preserve"> </w:t>
      </w:r>
      <w:r>
        <w:tab/>
      </w:r>
      <w:r w:rsidRPr="00D97998">
        <w:t xml:space="preserve">AER, </w:t>
      </w:r>
      <w:r w:rsidRPr="008367E3">
        <w:rPr>
          <w:rStyle w:val="AERtextitalic"/>
        </w:rPr>
        <w:t>Directions Forum</w:t>
      </w:r>
      <w:r w:rsidRPr="00D97998">
        <w:t>, June 2017, summary available at:  &lt; https://www.aer.gov.au/networks-pipelines/guidelines-schemes-models-reviews/demand-management-incentive-scheme-and-innovation-allowance-mechanism/initiation&gt;.</w:t>
      </w:r>
    </w:p>
  </w:footnote>
  <w:footnote w:id="24">
    <w:p w:rsidR="00CC6A64" w:rsidRDefault="00CC6A64" w:rsidP="00E95274">
      <w:pPr>
        <w:pStyle w:val="FootnoteText"/>
      </w:pPr>
      <w:r>
        <w:rPr>
          <w:rStyle w:val="FootnoteReference"/>
        </w:rPr>
        <w:footnoteRef/>
      </w:r>
      <w:r>
        <w:t xml:space="preserve"> </w:t>
      </w:r>
      <w:r>
        <w:tab/>
      </w:r>
      <w:r w:rsidRPr="00D45E89">
        <w:t xml:space="preserve">SAPN, </w:t>
      </w:r>
      <w:r w:rsidRPr="004B6E8B">
        <w:rPr>
          <w:rStyle w:val="AERtextitalic"/>
        </w:rPr>
        <w:t>Submission following AER's Options Day</w:t>
      </w:r>
      <w:r w:rsidRPr="00D45E89">
        <w:t>, April 2017, p. 5.</w:t>
      </w:r>
    </w:p>
  </w:footnote>
  <w:footnote w:id="25">
    <w:p w:rsidR="00CC6A64" w:rsidRDefault="00CC6A64">
      <w:pPr>
        <w:pStyle w:val="FootnoteText"/>
      </w:pPr>
      <w:r>
        <w:rPr>
          <w:rStyle w:val="FootnoteReference"/>
        </w:rPr>
        <w:footnoteRef/>
      </w:r>
      <w:r>
        <w:t xml:space="preserve"> </w:t>
      </w:r>
      <w:r>
        <w:tab/>
      </w:r>
      <w:r w:rsidRPr="00D97998">
        <w:t xml:space="preserve">AER, </w:t>
      </w:r>
      <w:r w:rsidRPr="008367E3">
        <w:rPr>
          <w:rStyle w:val="AERtextitalic"/>
        </w:rPr>
        <w:t>Directions Forum</w:t>
      </w:r>
      <w:r w:rsidRPr="00D97998">
        <w:t>, June 2017, summary available at:  &lt; https://www.aer.gov.au/networks-pipelines/guidelines-schemes-models-reviews/demand-management-incentive-scheme-and-innovation-allowance-mechanism/initiation&gt;.</w:t>
      </w:r>
    </w:p>
  </w:footnote>
  <w:footnote w:id="26">
    <w:p w:rsidR="00CC6A64" w:rsidRDefault="00CC6A64">
      <w:pPr>
        <w:pStyle w:val="FootnoteText"/>
      </w:pPr>
      <w:r>
        <w:rPr>
          <w:rStyle w:val="FootnoteReference"/>
        </w:rPr>
        <w:footnoteRef/>
      </w:r>
      <w:r>
        <w:t xml:space="preserve">     AER, </w:t>
      </w:r>
      <w:r w:rsidRPr="00E37BC1">
        <w:rPr>
          <w:rStyle w:val="AERtextitalic"/>
        </w:rPr>
        <w:t>Final Decision: Demand Management Incentive Scheme</w:t>
      </w:r>
      <w:r>
        <w:t xml:space="preserve">, </w:t>
      </w:r>
      <w:r w:rsidRPr="00E37BC1">
        <w:t>Clause 5.7.2</w:t>
      </w:r>
      <w:r>
        <w:t>.</w:t>
      </w:r>
    </w:p>
  </w:footnote>
  <w:footnote w:id="27">
    <w:p w:rsidR="00CC6A64" w:rsidRDefault="00CC6A64">
      <w:pPr>
        <w:pStyle w:val="FootnoteText"/>
      </w:pPr>
      <w:r>
        <w:rPr>
          <w:rStyle w:val="FootnoteReference"/>
        </w:rPr>
        <w:footnoteRef/>
      </w:r>
      <w:r>
        <w:t xml:space="preserve"> </w:t>
      </w:r>
      <w:r>
        <w:tab/>
        <w:t xml:space="preserve">AER, </w:t>
      </w:r>
      <w:r w:rsidRPr="00066427">
        <w:rPr>
          <w:rStyle w:val="AERtextitalic"/>
        </w:rPr>
        <w:t>Demand Management Incentive Scheme and Innovation Allowance Mechanism Consultation Paper</w:t>
      </w:r>
      <w:r>
        <w:t>, January 2017, p. 63.</w:t>
      </w:r>
    </w:p>
  </w:footnote>
  <w:footnote w:id="28">
    <w:p w:rsidR="00CC6A64" w:rsidRDefault="00CC6A64">
      <w:pPr>
        <w:pStyle w:val="FootnoteText"/>
      </w:pPr>
      <w:r>
        <w:rPr>
          <w:rStyle w:val="FootnoteReference"/>
        </w:rPr>
        <w:footnoteRef/>
      </w:r>
      <w:r>
        <w:t xml:space="preserve"> </w:t>
      </w:r>
      <w:r>
        <w:tab/>
        <w:t xml:space="preserve">Institute for Sustainable Futures, </w:t>
      </w:r>
      <w:r w:rsidRPr="00066427">
        <w:rPr>
          <w:rStyle w:val="AERtextitalic"/>
        </w:rPr>
        <w:t>Submission to AER's DM Consultation Paper</w:t>
      </w:r>
      <w:r>
        <w:t>, February 2017, p. 28.</w:t>
      </w:r>
    </w:p>
  </w:footnote>
  <w:footnote w:id="29">
    <w:p w:rsidR="00CC6A64" w:rsidRDefault="00CC6A64">
      <w:pPr>
        <w:pStyle w:val="FootnoteText"/>
      </w:pPr>
      <w:r>
        <w:rPr>
          <w:rStyle w:val="FootnoteReference"/>
        </w:rPr>
        <w:footnoteRef/>
      </w:r>
      <w:r>
        <w:t xml:space="preserve"> </w:t>
      </w:r>
      <w:r>
        <w:tab/>
        <w:t xml:space="preserve">Endeavour Energy, </w:t>
      </w:r>
      <w:r w:rsidRPr="00E95274">
        <w:rPr>
          <w:rStyle w:val="AERtextitalic"/>
        </w:rPr>
        <w:t>Submission on Demand Management Consultation Paper</w:t>
      </w:r>
      <w:r w:rsidRPr="00E95274">
        <w:t>, February 2017</w:t>
      </w:r>
      <w:r>
        <w:t>, p. 2.</w:t>
      </w:r>
    </w:p>
  </w:footnote>
  <w:footnote w:id="30">
    <w:p w:rsidR="00CC6A64" w:rsidRDefault="00CC6A64">
      <w:pPr>
        <w:pStyle w:val="FootnoteText"/>
      </w:pPr>
      <w:r>
        <w:rPr>
          <w:rStyle w:val="FootnoteReference"/>
        </w:rPr>
        <w:footnoteRef/>
      </w:r>
      <w:r>
        <w:t xml:space="preserve"> </w:t>
      </w:r>
      <w:r>
        <w:tab/>
        <w:t>NER, cl. 6.6.3A (c)(2)(ii).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A4" w:rsidRDefault="007C0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A4" w:rsidRDefault="007C0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A4" w:rsidRDefault="007C0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FFFFFFFB"/>
    <w:multiLevelType w:val="multilevel"/>
    <w:tmpl w:val="9F866A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20" w:hanging="708"/>
      </w:pPr>
    </w:lvl>
    <w:lvl w:ilvl="2">
      <w:start w:val="1"/>
      <w:numFmt w:val="decimal"/>
      <w:lvlText w:val="%1.%2.%3."/>
      <w:legacy w:legacy="1" w:legacySpace="0" w:legacyIndent="708"/>
      <w:lvlJc w:val="left"/>
      <w:pPr>
        <w:ind w:left="720" w:hanging="708"/>
      </w:pPr>
    </w:lvl>
    <w:lvl w:ilvl="3">
      <w:start w:val="1"/>
      <w:numFmt w:val="none"/>
      <w:suff w:val="nothing"/>
      <w:lvlText w:val=""/>
      <w:lvlJc w:val="left"/>
      <w:pPr>
        <w:ind w:left="1440" w:hanging="708"/>
      </w:pPr>
    </w:lvl>
    <w:lvl w:ilvl="4">
      <w:start w:val="1"/>
      <w:numFmt w:val="decimal"/>
      <w:lvlText w:val="%5."/>
      <w:legacy w:legacy="1" w:legacySpace="0" w:legacyIndent="708"/>
      <w:lvlJc w:val="left"/>
      <w:pPr>
        <w:ind w:left="3540" w:hanging="708"/>
      </w:pPr>
    </w:lvl>
    <w:lvl w:ilvl="5">
      <w:start w:val="1"/>
      <w:numFmt w:val="decimal"/>
      <w:lvlText w:val="%5.%6."/>
      <w:legacy w:legacy="1" w:legacySpace="0" w:legacyIndent="708"/>
      <w:lvlJc w:val="left"/>
      <w:pPr>
        <w:ind w:left="4248" w:hanging="708"/>
      </w:pPr>
    </w:lvl>
    <w:lvl w:ilvl="6">
      <w:start w:val="1"/>
      <w:numFmt w:val="decimal"/>
      <w:lvlText w:val="%5.%6.%7."/>
      <w:legacy w:legacy="1" w:legacySpace="0" w:legacyIndent="708"/>
      <w:lvlJc w:val="left"/>
      <w:pPr>
        <w:ind w:left="4956" w:hanging="708"/>
      </w:pPr>
    </w:lvl>
    <w:lvl w:ilvl="7">
      <w:start w:val="1"/>
      <w:numFmt w:val="decimal"/>
      <w:lvlText w:val="%5.%6.%7.%8."/>
      <w:legacy w:legacy="1" w:legacySpace="0" w:legacyIndent="708"/>
      <w:lvlJc w:val="left"/>
      <w:pPr>
        <w:ind w:left="5664" w:hanging="708"/>
      </w:pPr>
    </w:lvl>
    <w:lvl w:ilvl="8">
      <w:start w:val="1"/>
      <w:numFmt w:val="decimal"/>
      <w:lvlText w:val="%5.%6.%7.%8.%9."/>
      <w:legacy w:legacy="1" w:legacySpace="0" w:legacyIndent="708"/>
      <w:lvlJc w:val="left"/>
      <w:pPr>
        <w:ind w:left="6372" w:hanging="708"/>
      </w:pPr>
    </w:lvl>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BD10DAC"/>
    <w:multiLevelType w:val="hybridMultilevel"/>
    <w:tmpl w:val="7124F446"/>
    <w:lvl w:ilvl="0" w:tplc="9A10BE84">
      <w:start w:val="6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8479D"/>
    <w:multiLevelType w:val="hybridMultilevel"/>
    <w:tmpl w:val="1422C278"/>
    <w:lvl w:ilvl="0" w:tplc="0C090011">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1248D6DA"/>
    <w:lvl w:ilvl="0" w:tplc="FE104C32">
      <w:start w:val="1"/>
      <w:numFmt w:val="lowerLetter"/>
      <w:pStyle w:val="AERnumberedlistsecondstyl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AB346424"/>
    <w:lvl w:ilvl="0">
      <w:start w:val="1"/>
      <w:numFmt w:val="decimal"/>
      <w:pStyle w:val="LegalNumbering"/>
      <w:isLgl/>
      <w:lvlText w:val="%1)"/>
      <w:lvlJc w:val="left"/>
      <w:pPr>
        <w:ind w:left="624"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0504DE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7390B8A8"/>
    <w:lvl w:ilvl="0" w:tplc="9886E960">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02B6239"/>
    <w:multiLevelType w:val="hybridMultilevel"/>
    <w:tmpl w:val="015699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1052EFE"/>
    <w:multiLevelType w:val="hybridMultilevel"/>
    <w:tmpl w:val="D2127208"/>
    <w:lvl w:ilvl="0" w:tplc="0F384976">
      <w:start w:val="1"/>
      <w:numFmt w:val="lowerRoman"/>
      <w:pStyle w:val="AERnumberedlistthirdstyle"/>
      <w:lvlText w:val="%1."/>
      <w:lvlJc w:val="righ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2"/>
  </w:num>
  <w:num w:numId="14">
    <w:abstractNumId w:val="13"/>
  </w:num>
  <w:num w:numId="15">
    <w:abstractNumId w:val="16"/>
  </w:num>
  <w:num w:numId="16">
    <w:abstractNumId w:val="23"/>
  </w:num>
  <w:num w:numId="17">
    <w:abstractNumId w:val="12"/>
  </w:num>
  <w:num w:numId="18">
    <w:abstractNumId w:val="19"/>
  </w:num>
  <w:num w:numId="19">
    <w:abstractNumId w:val="24"/>
  </w:num>
  <w:num w:numId="20">
    <w:abstractNumId w:val="31"/>
  </w:num>
  <w:num w:numId="21">
    <w:abstractNumId w:val="27"/>
  </w:num>
  <w:num w:numId="22">
    <w:abstractNumId w:val="25"/>
  </w:num>
  <w:num w:numId="23">
    <w:abstractNumId w:val="20"/>
  </w:num>
  <w:num w:numId="24">
    <w:abstractNumId w:val="26"/>
  </w:num>
  <w:num w:numId="25">
    <w:abstractNumId w:val="28"/>
  </w:num>
  <w:num w:numId="26">
    <w:abstractNumId w:val="21"/>
  </w:num>
  <w:num w:numId="27">
    <w:abstractNumId w:val="18"/>
  </w:num>
  <w:num w:numId="28">
    <w:abstractNumId w:val="31"/>
    <w:lvlOverride w:ilvl="0">
      <w:startOverride w:val="1"/>
    </w:lvlOverride>
  </w:num>
  <w:num w:numId="29">
    <w:abstractNumId w:val="31"/>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31"/>
    <w:lvlOverride w:ilvl="0">
      <w:startOverride w:val="1"/>
    </w:lvlOverride>
  </w:num>
  <w:num w:numId="34">
    <w:abstractNumId w:val="19"/>
    <w:lvlOverride w:ilvl="0">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num>
  <w:num w:numId="48">
    <w:abstractNumId w:val="19"/>
    <w:lvlOverride w:ilvl="0">
      <w:startOverride w:val="1"/>
    </w:lvlOverride>
  </w:num>
  <w:num w:numId="49">
    <w:abstractNumId w:val="19"/>
    <w:lvlOverride w:ilvl="0">
      <w:startOverride w:val="1"/>
    </w:lvlOverride>
  </w:num>
  <w:num w:numId="50">
    <w:abstractNumId w:val="19"/>
    <w:lvlOverride w:ilvl="0">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num>
  <w:num w:numId="55">
    <w:abstractNumId w:val="19"/>
    <w:lvlOverride w:ilvl="0">
      <w:startOverride w:val="1"/>
    </w:lvlOverride>
  </w:num>
  <w:num w:numId="56">
    <w:abstractNumId w:val="19"/>
    <w:lvlOverride w:ilvl="0">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num>
  <w:num w:numId="61">
    <w:abstractNumId w:val="31"/>
    <w:lvlOverride w:ilvl="0">
      <w:startOverride w:val="1"/>
    </w:lvlOverride>
  </w:num>
  <w:num w:numId="62">
    <w:abstractNumId w:val="31"/>
    <w:lvlOverride w:ilvl="0">
      <w:startOverride w:val="1"/>
    </w:lvlOverride>
  </w:num>
  <w:num w:numId="63">
    <w:abstractNumId w:val="7"/>
    <w:lvlOverride w:ilvl="0">
      <w:startOverride w:val="1"/>
    </w:lvlOverride>
  </w:num>
  <w:num w:numId="64">
    <w:abstractNumId w:val="17"/>
  </w:num>
  <w:num w:numId="65">
    <w:abstractNumId w:val="30"/>
  </w:num>
  <w:num w:numId="66">
    <w:abstractNumId w:val="9"/>
  </w:num>
  <w:num w:numId="67">
    <w:abstractNumId w:val="10"/>
  </w:num>
  <w:num w:numId="68">
    <w:abstractNumId w:val="15"/>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2."/>
        <w:lvlJc w:val="left"/>
        <w:pPr>
          <w:tabs>
            <w:tab w:val="num" w:pos="357"/>
          </w:tabs>
          <w:ind w:left="357" w:hanging="357"/>
        </w:pPr>
        <w:rPr>
          <w:rFonts w:hint="default"/>
        </w:rPr>
      </w:lvl>
    </w:lvlOverride>
    <w:lvlOverride w:ilvl="2">
      <w:lvl w:ilvl="2">
        <w:start w:val="1"/>
        <w:numFmt w:val="lowerLetter"/>
        <w:lvlText w:val="%3."/>
        <w:lvlJc w:val="left"/>
        <w:pPr>
          <w:tabs>
            <w:tab w:val="num" w:pos="720"/>
          </w:tabs>
          <w:ind w:left="720" w:hanging="363"/>
        </w:pPr>
        <w:rPr>
          <w:rFonts w:hint="default"/>
        </w:rPr>
      </w:lvl>
    </w:lvlOverride>
    <w:lvlOverride w:ilvl="3">
      <w:lvl w:ilvl="3">
        <w:start w:val="1"/>
        <w:numFmt w:val="lowerRoman"/>
        <w:lvlText w:val="%4."/>
        <w:lvlJc w:val="left"/>
        <w:pPr>
          <w:tabs>
            <w:tab w:val="num" w:pos="1077"/>
          </w:tabs>
          <w:ind w:left="1077" w:hanging="357"/>
        </w:pPr>
        <w:rPr>
          <w:rFonts w:hint="default"/>
        </w:rPr>
      </w:lvl>
    </w:lvlOverride>
    <w:lvlOverride w:ilvl="4">
      <w:lvl w:ilvl="4">
        <w:start w:val="1"/>
        <w:numFmt w:val="decimal"/>
        <w:lvlRestart w:val="1"/>
        <w:lvlText w:val="(%5)"/>
        <w:lvlJc w:val="left"/>
        <w:pPr>
          <w:tabs>
            <w:tab w:val="num" w:pos="357"/>
          </w:tabs>
          <w:ind w:left="357" w:hanging="357"/>
        </w:pPr>
        <w:rPr>
          <w:rFonts w:hint="default"/>
        </w:rPr>
      </w:lvl>
    </w:lvlOverride>
    <w:lvlOverride w:ilvl="5">
      <w:lvl w:ilvl="5">
        <w:start w:val="1"/>
        <w:numFmt w:val="lowerLetter"/>
        <w:lvlRestart w:val="2"/>
        <w:lvlText w:val="(%6)"/>
        <w:lvlJc w:val="left"/>
        <w:pPr>
          <w:tabs>
            <w:tab w:val="num" w:pos="720"/>
          </w:tabs>
          <w:ind w:left="720" w:hanging="363"/>
        </w:pPr>
        <w:rPr>
          <w:rFonts w:hint="default"/>
        </w:rPr>
      </w:lvl>
    </w:lvlOverride>
    <w:lvlOverride w:ilvl="6">
      <w:lvl w:ilvl="6">
        <w:start w:val="1"/>
        <w:numFmt w:val="lowerRoman"/>
        <w:lvlRestart w:val="3"/>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warr\Desktop\Publications - draft scheme\AER - Explanatory statement - Draft demand management innovation allowance mechanism -  28 August 2017.docx"/>
  </w:docVars>
  <w:rsids>
    <w:rsidRoot w:val="00961A4A"/>
    <w:rsid w:val="00000AE3"/>
    <w:rsid w:val="00000D4A"/>
    <w:rsid w:val="0000169E"/>
    <w:rsid w:val="00003AE8"/>
    <w:rsid w:val="000051DC"/>
    <w:rsid w:val="0000658F"/>
    <w:rsid w:val="00011248"/>
    <w:rsid w:val="000118A9"/>
    <w:rsid w:val="0001507B"/>
    <w:rsid w:val="00016320"/>
    <w:rsid w:val="0001770D"/>
    <w:rsid w:val="00017AA2"/>
    <w:rsid w:val="00020016"/>
    <w:rsid w:val="00020048"/>
    <w:rsid w:val="00020840"/>
    <w:rsid w:val="00021202"/>
    <w:rsid w:val="00021C2B"/>
    <w:rsid w:val="00021D94"/>
    <w:rsid w:val="0002202C"/>
    <w:rsid w:val="0002219B"/>
    <w:rsid w:val="000224A2"/>
    <w:rsid w:val="000224DB"/>
    <w:rsid w:val="00022549"/>
    <w:rsid w:val="00023247"/>
    <w:rsid w:val="0002498B"/>
    <w:rsid w:val="00025142"/>
    <w:rsid w:val="0002517F"/>
    <w:rsid w:val="0002601E"/>
    <w:rsid w:val="00026187"/>
    <w:rsid w:val="000266FC"/>
    <w:rsid w:val="000273B3"/>
    <w:rsid w:val="000274A4"/>
    <w:rsid w:val="00027E2D"/>
    <w:rsid w:val="00030FD9"/>
    <w:rsid w:val="00031747"/>
    <w:rsid w:val="00033C5E"/>
    <w:rsid w:val="000351CF"/>
    <w:rsid w:val="0003578C"/>
    <w:rsid w:val="00036C2A"/>
    <w:rsid w:val="0003770C"/>
    <w:rsid w:val="000407A9"/>
    <w:rsid w:val="000416AF"/>
    <w:rsid w:val="00041A0E"/>
    <w:rsid w:val="00042649"/>
    <w:rsid w:val="00042F31"/>
    <w:rsid w:val="00044A75"/>
    <w:rsid w:val="00044DA3"/>
    <w:rsid w:val="000462C0"/>
    <w:rsid w:val="000466E7"/>
    <w:rsid w:val="000474DF"/>
    <w:rsid w:val="00051958"/>
    <w:rsid w:val="00053B8B"/>
    <w:rsid w:val="000544B8"/>
    <w:rsid w:val="00055993"/>
    <w:rsid w:val="00055A67"/>
    <w:rsid w:val="00057482"/>
    <w:rsid w:val="000608BA"/>
    <w:rsid w:val="00061B75"/>
    <w:rsid w:val="00061D96"/>
    <w:rsid w:val="000624BC"/>
    <w:rsid w:val="00063247"/>
    <w:rsid w:val="00064688"/>
    <w:rsid w:val="00064C08"/>
    <w:rsid w:val="0006624E"/>
    <w:rsid w:val="00066427"/>
    <w:rsid w:val="00067FDB"/>
    <w:rsid w:val="00070F9F"/>
    <w:rsid w:val="0007137B"/>
    <w:rsid w:val="00071D7D"/>
    <w:rsid w:val="00072D19"/>
    <w:rsid w:val="0007379A"/>
    <w:rsid w:val="00073B74"/>
    <w:rsid w:val="0007436C"/>
    <w:rsid w:val="00074B8D"/>
    <w:rsid w:val="00075B81"/>
    <w:rsid w:val="00075E26"/>
    <w:rsid w:val="00076410"/>
    <w:rsid w:val="00076416"/>
    <w:rsid w:val="00076666"/>
    <w:rsid w:val="000805A8"/>
    <w:rsid w:val="00080711"/>
    <w:rsid w:val="0008190B"/>
    <w:rsid w:val="0008290B"/>
    <w:rsid w:val="000835F7"/>
    <w:rsid w:val="000836D9"/>
    <w:rsid w:val="00085663"/>
    <w:rsid w:val="00085EBF"/>
    <w:rsid w:val="00087D09"/>
    <w:rsid w:val="00091B15"/>
    <w:rsid w:val="00091B2E"/>
    <w:rsid w:val="00091DDE"/>
    <w:rsid w:val="00095186"/>
    <w:rsid w:val="000A0E71"/>
    <w:rsid w:val="000A1C0C"/>
    <w:rsid w:val="000A1C7A"/>
    <w:rsid w:val="000A1D95"/>
    <w:rsid w:val="000A3020"/>
    <w:rsid w:val="000A4059"/>
    <w:rsid w:val="000A4840"/>
    <w:rsid w:val="000A4993"/>
    <w:rsid w:val="000A62C1"/>
    <w:rsid w:val="000A6A79"/>
    <w:rsid w:val="000A6C7B"/>
    <w:rsid w:val="000B0A45"/>
    <w:rsid w:val="000B0A7B"/>
    <w:rsid w:val="000B0B1A"/>
    <w:rsid w:val="000B0E59"/>
    <w:rsid w:val="000B1173"/>
    <w:rsid w:val="000B510D"/>
    <w:rsid w:val="000B54BD"/>
    <w:rsid w:val="000B5827"/>
    <w:rsid w:val="000B64A9"/>
    <w:rsid w:val="000B6BDA"/>
    <w:rsid w:val="000B7037"/>
    <w:rsid w:val="000C02D1"/>
    <w:rsid w:val="000C0C63"/>
    <w:rsid w:val="000C0CEB"/>
    <w:rsid w:val="000C174C"/>
    <w:rsid w:val="000C2B40"/>
    <w:rsid w:val="000C32D5"/>
    <w:rsid w:val="000C38C7"/>
    <w:rsid w:val="000C4CEB"/>
    <w:rsid w:val="000C4F01"/>
    <w:rsid w:val="000C5255"/>
    <w:rsid w:val="000C5294"/>
    <w:rsid w:val="000C68E9"/>
    <w:rsid w:val="000D07A7"/>
    <w:rsid w:val="000D0969"/>
    <w:rsid w:val="000D122C"/>
    <w:rsid w:val="000D1835"/>
    <w:rsid w:val="000D3764"/>
    <w:rsid w:val="000D41C6"/>
    <w:rsid w:val="000D555E"/>
    <w:rsid w:val="000D5838"/>
    <w:rsid w:val="000D5900"/>
    <w:rsid w:val="000D6488"/>
    <w:rsid w:val="000D75B0"/>
    <w:rsid w:val="000E1819"/>
    <w:rsid w:val="000E4821"/>
    <w:rsid w:val="000E4AA9"/>
    <w:rsid w:val="000E53F5"/>
    <w:rsid w:val="000E546C"/>
    <w:rsid w:val="000E58CE"/>
    <w:rsid w:val="000E6AEA"/>
    <w:rsid w:val="000E6C72"/>
    <w:rsid w:val="000E7CE7"/>
    <w:rsid w:val="000E7F39"/>
    <w:rsid w:val="000F2400"/>
    <w:rsid w:val="000F2A01"/>
    <w:rsid w:val="000F2ADA"/>
    <w:rsid w:val="000F4B39"/>
    <w:rsid w:val="000F54AA"/>
    <w:rsid w:val="000F5654"/>
    <w:rsid w:val="000F6752"/>
    <w:rsid w:val="00100024"/>
    <w:rsid w:val="001009EA"/>
    <w:rsid w:val="00100EA2"/>
    <w:rsid w:val="00101270"/>
    <w:rsid w:val="0010164B"/>
    <w:rsid w:val="00101AA1"/>
    <w:rsid w:val="00102338"/>
    <w:rsid w:val="00104566"/>
    <w:rsid w:val="00104D78"/>
    <w:rsid w:val="00104FF6"/>
    <w:rsid w:val="00105034"/>
    <w:rsid w:val="001063E1"/>
    <w:rsid w:val="00106750"/>
    <w:rsid w:val="00106BEA"/>
    <w:rsid w:val="00110142"/>
    <w:rsid w:val="00111125"/>
    <w:rsid w:val="001114AA"/>
    <w:rsid w:val="001122D6"/>
    <w:rsid w:val="00112AF7"/>
    <w:rsid w:val="001141F8"/>
    <w:rsid w:val="00115743"/>
    <w:rsid w:val="00115857"/>
    <w:rsid w:val="00115858"/>
    <w:rsid w:val="00116978"/>
    <w:rsid w:val="00116EB2"/>
    <w:rsid w:val="00117EC4"/>
    <w:rsid w:val="001202D3"/>
    <w:rsid w:val="00121204"/>
    <w:rsid w:val="0012132C"/>
    <w:rsid w:val="00123CC7"/>
    <w:rsid w:val="00124609"/>
    <w:rsid w:val="00124B89"/>
    <w:rsid w:val="00124F4B"/>
    <w:rsid w:val="00124F6E"/>
    <w:rsid w:val="00125C8B"/>
    <w:rsid w:val="00126A4C"/>
    <w:rsid w:val="001270E3"/>
    <w:rsid w:val="00127B21"/>
    <w:rsid w:val="00132D43"/>
    <w:rsid w:val="00133366"/>
    <w:rsid w:val="00133E63"/>
    <w:rsid w:val="00133F47"/>
    <w:rsid w:val="00134029"/>
    <w:rsid w:val="001355E0"/>
    <w:rsid w:val="00140472"/>
    <w:rsid w:val="00140F5A"/>
    <w:rsid w:val="00140FC2"/>
    <w:rsid w:val="001422D0"/>
    <w:rsid w:val="00142C2D"/>
    <w:rsid w:val="00143E4A"/>
    <w:rsid w:val="00144620"/>
    <w:rsid w:val="00144AE9"/>
    <w:rsid w:val="00144C96"/>
    <w:rsid w:val="0014573B"/>
    <w:rsid w:val="001463A3"/>
    <w:rsid w:val="0015073A"/>
    <w:rsid w:val="00150CC3"/>
    <w:rsid w:val="00152E95"/>
    <w:rsid w:val="00152F8C"/>
    <w:rsid w:val="0015335E"/>
    <w:rsid w:val="00153EE8"/>
    <w:rsid w:val="001545A2"/>
    <w:rsid w:val="001566B2"/>
    <w:rsid w:val="00156E75"/>
    <w:rsid w:val="001573E4"/>
    <w:rsid w:val="00160672"/>
    <w:rsid w:val="00160756"/>
    <w:rsid w:val="001617BE"/>
    <w:rsid w:val="00161DC8"/>
    <w:rsid w:val="00163121"/>
    <w:rsid w:val="00163384"/>
    <w:rsid w:val="00163F19"/>
    <w:rsid w:val="001647BC"/>
    <w:rsid w:val="00166760"/>
    <w:rsid w:val="00166C39"/>
    <w:rsid w:val="001711B7"/>
    <w:rsid w:val="0017232E"/>
    <w:rsid w:val="00172E44"/>
    <w:rsid w:val="00173165"/>
    <w:rsid w:val="00173476"/>
    <w:rsid w:val="00174102"/>
    <w:rsid w:val="001754EE"/>
    <w:rsid w:val="00177217"/>
    <w:rsid w:val="001800F2"/>
    <w:rsid w:val="00180157"/>
    <w:rsid w:val="001802BF"/>
    <w:rsid w:val="001809BC"/>
    <w:rsid w:val="00180E97"/>
    <w:rsid w:val="00180EFE"/>
    <w:rsid w:val="001820B4"/>
    <w:rsid w:val="00184351"/>
    <w:rsid w:val="00184AC8"/>
    <w:rsid w:val="00185BA5"/>
    <w:rsid w:val="00185CB9"/>
    <w:rsid w:val="00185DBE"/>
    <w:rsid w:val="00186ADC"/>
    <w:rsid w:val="00186F77"/>
    <w:rsid w:val="001877A4"/>
    <w:rsid w:val="00187D1D"/>
    <w:rsid w:val="0019008B"/>
    <w:rsid w:val="00190A30"/>
    <w:rsid w:val="001926A4"/>
    <w:rsid w:val="00192AD5"/>
    <w:rsid w:val="00192B13"/>
    <w:rsid w:val="001937F2"/>
    <w:rsid w:val="00194094"/>
    <w:rsid w:val="00194120"/>
    <w:rsid w:val="00194597"/>
    <w:rsid w:val="00194E00"/>
    <w:rsid w:val="00196BD7"/>
    <w:rsid w:val="0019745E"/>
    <w:rsid w:val="00197B16"/>
    <w:rsid w:val="00197F40"/>
    <w:rsid w:val="001A0682"/>
    <w:rsid w:val="001A1EBE"/>
    <w:rsid w:val="001A4821"/>
    <w:rsid w:val="001A530D"/>
    <w:rsid w:val="001A5FB3"/>
    <w:rsid w:val="001A6C00"/>
    <w:rsid w:val="001A6C59"/>
    <w:rsid w:val="001A7155"/>
    <w:rsid w:val="001A7BC5"/>
    <w:rsid w:val="001B0E74"/>
    <w:rsid w:val="001B126C"/>
    <w:rsid w:val="001B2AF2"/>
    <w:rsid w:val="001B2CD6"/>
    <w:rsid w:val="001B3755"/>
    <w:rsid w:val="001B4272"/>
    <w:rsid w:val="001B45A0"/>
    <w:rsid w:val="001B4DF4"/>
    <w:rsid w:val="001B5DD9"/>
    <w:rsid w:val="001B680E"/>
    <w:rsid w:val="001C055B"/>
    <w:rsid w:val="001C0665"/>
    <w:rsid w:val="001C2661"/>
    <w:rsid w:val="001C3FAF"/>
    <w:rsid w:val="001C5A7E"/>
    <w:rsid w:val="001D055E"/>
    <w:rsid w:val="001D5B0F"/>
    <w:rsid w:val="001D5B65"/>
    <w:rsid w:val="001D5EF5"/>
    <w:rsid w:val="001E1B3F"/>
    <w:rsid w:val="001E202E"/>
    <w:rsid w:val="001E3AA8"/>
    <w:rsid w:val="001E417C"/>
    <w:rsid w:val="001E57BD"/>
    <w:rsid w:val="001E6CDE"/>
    <w:rsid w:val="001E6F0B"/>
    <w:rsid w:val="001E7161"/>
    <w:rsid w:val="001F05A4"/>
    <w:rsid w:val="001F18B8"/>
    <w:rsid w:val="001F262B"/>
    <w:rsid w:val="001F3209"/>
    <w:rsid w:val="001F3D4A"/>
    <w:rsid w:val="001F492E"/>
    <w:rsid w:val="001F5EA9"/>
    <w:rsid w:val="001F64EF"/>
    <w:rsid w:val="001F6DA3"/>
    <w:rsid w:val="002010BC"/>
    <w:rsid w:val="002016E7"/>
    <w:rsid w:val="00202E03"/>
    <w:rsid w:val="002033B9"/>
    <w:rsid w:val="00203C71"/>
    <w:rsid w:val="002041BD"/>
    <w:rsid w:val="002043D0"/>
    <w:rsid w:val="0020492C"/>
    <w:rsid w:val="00204EC9"/>
    <w:rsid w:val="00204F97"/>
    <w:rsid w:val="002050D7"/>
    <w:rsid w:val="00205BA4"/>
    <w:rsid w:val="00206505"/>
    <w:rsid w:val="00206523"/>
    <w:rsid w:val="002070A7"/>
    <w:rsid w:val="0020743F"/>
    <w:rsid w:val="0021004A"/>
    <w:rsid w:val="002102DE"/>
    <w:rsid w:val="00210466"/>
    <w:rsid w:val="00210543"/>
    <w:rsid w:val="00210648"/>
    <w:rsid w:val="00211C01"/>
    <w:rsid w:val="0021309C"/>
    <w:rsid w:val="00214295"/>
    <w:rsid w:val="002151C0"/>
    <w:rsid w:val="00215555"/>
    <w:rsid w:val="00216287"/>
    <w:rsid w:val="00216C93"/>
    <w:rsid w:val="00221F82"/>
    <w:rsid w:val="00223051"/>
    <w:rsid w:val="002244E4"/>
    <w:rsid w:val="00224DB9"/>
    <w:rsid w:val="0022569A"/>
    <w:rsid w:val="00227CB1"/>
    <w:rsid w:val="0023005C"/>
    <w:rsid w:val="00231012"/>
    <w:rsid w:val="00233775"/>
    <w:rsid w:val="0023414B"/>
    <w:rsid w:val="00235540"/>
    <w:rsid w:val="00236F3F"/>
    <w:rsid w:val="00243573"/>
    <w:rsid w:val="00243635"/>
    <w:rsid w:val="00243DE0"/>
    <w:rsid w:val="0024409C"/>
    <w:rsid w:val="002449E4"/>
    <w:rsid w:val="00246D32"/>
    <w:rsid w:val="00247079"/>
    <w:rsid w:val="00247F12"/>
    <w:rsid w:val="002505E9"/>
    <w:rsid w:val="00250BBD"/>
    <w:rsid w:val="00251310"/>
    <w:rsid w:val="00251745"/>
    <w:rsid w:val="002519F5"/>
    <w:rsid w:val="00251A39"/>
    <w:rsid w:val="00252AFC"/>
    <w:rsid w:val="0025520D"/>
    <w:rsid w:val="002552BA"/>
    <w:rsid w:val="00255684"/>
    <w:rsid w:val="002557E3"/>
    <w:rsid w:val="00255D9C"/>
    <w:rsid w:val="00256846"/>
    <w:rsid w:val="00260016"/>
    <w:rsid w:val="00260E20"/>
    <w:rsid w:val="00262339"/>
    <w:rsid w:val="00262ACA"/>
    <w:rsid w:val="00263AC0"/>
    <w:rsid w:val="00264264"/>
    <w:rsid w:val="00264E91"/>
    <w:rsid w:val="00266212"/>
    <w:rsid w:val="0026689B"/>
    <w:rsid w:val="0026772D"/>
    <w:rsid w:val="0027263F"/>
    <w:rsid w:val="002730B2"/>
    <w:rsid w:val="002736EB"/>
    <w:rsid w:val="002737B9"/>
    <w:rsid w:val="0027487B"/>
    <w:rsid w:val="00274C7E"/>
    <w:rsid w:val="00275A6D"/>
    <w:rsid w:val="002774E4"/>
    <w:rsid w:val="002777CF"/>
    <w:rsid w:val="00277BFC"/>
    <w:rsid w:val="0028082F"/>
    <w:rsid w:val="002810F2"/>
    <w:rsid w:val="00283726"/>
    <w:rsid w:val="00283DCE"/>
    <w:rsid w:val="00284EFF"/>
    <w:rsid w:val="002850A5"/>
    <w:rsid w:val="00286874"/>
    <w:rsid w:val="00287F65"/>
    <w:rsid w:val="00290C63"/>
    <w:rsid w:val="00290F66"/>
    <w:rsid w:val="002911ED"/>
    <w:rsid w:val="002912C9"/>
    <w:rsid w:val="00291A99"/>
    <w:rsid w:val="00293B6D"/>
    <w:rsid w:val="00294B08"/>
    <w:rsid w:val="0029518C"/>
    <w:rsid w:val="00295FDE"/>
    <w:rsid w:val="002963DD"/>
    <w:rsid w:val="00296B65"/>
    <w:rsid w:val="002A5157"/>
    <w:rsid w:val="002A549E"/>
    <w:rsid w:val="002A6B51"/>
    <w:rsid w:val="002A6BC3"/>
    <w:rsid w:val="002A79D0"/>
    <w:rsid w:val="002A7DEF"/>
    <w:rsid w:val="002B02A9"/>
    <w:rsid w:val="002B0696"/>
    <w:rsid w:val="002B087D"/>
    <w:rsid w:val="002B1507"/>
    <w:rsid w:val="002B18A8"/>
    <w:rsid w:val="002B21CD"/>
    <w:rsid w:val="002B228A"/>
    <w:rsid w:val="002B35EC"/>
    <w:rsid w:val="002B4A73"/>
    <w:rsid w:val="002B5546"/>
    <w:rsid w:val="002B59FE"/>
    <w:rsid w:val="002B61FD"/>
    <w:rsid w:val="002B67FB"/>
    <w:rsid w:val="002C0222"/>
    <w:rsid w:val="002C0927"/>
    <w:rsid w:val="002C0E70"/>
    <w:rsid w:val="002C1499"/>
    <w:rsid w:val="002C16E2"/>
    <w:rsid w:val="002C18F3"/>
    <w:rsid w:val="002C233C"/>
    <w:rsid w:val="002C26CB"/>
    <w:rsid w:val="002C3D7E"/>
    <w:rsid w:val="002C517B"/>
    <w:rsid w:val="002C57D0"/>
    <w:rsid w:val="002C6ECA"/>
    <w:rsid w:val="002D10B0"/>
    <w:rsid w:val="002D120A"/>
    <w:rsid w:val="002D2EB5"/>
    <w:rsid w:val="002D3509"/>
    <w:rsid w:val="002D359D"/>
    <w:rsid w:val="002D3C76"/>
    <w:rsid w:val="002D47D1"/>
    <w:rsid w:val="002D487B"/>
    <w:rsid w:val="002D5032"/>
    <w:rsid w:val="002D50B9"/>
    <w:rsid w:val="002D5457"/>
    <w:rsid w:val="002D631D"/>
    <w:rsid w:val="002D6D1B"/>
    <w:rsid w:val="002D714D"/>
    <w:rsid w:val="002D7184"/>
    <w:rsid w:val="002D72E8"/>
    <w:rsid w:val="002D73DE"/>
    <w:rsid w:val="002D79AD"/>
    <w:rsid w:val="002D7A0B"/>
    <w:rsid w:val="002D7F9E"/>
    <w:rsid w:val="002E0F17"/>
    <w:rsid w:val="002E134A"/>
    <w:rsid w:val="002E201A"/>
    <w:rsid w:val="002E268F"/>
    <w:rsid w:val="002E2693"/>
    <w:rsid w:val="002E4171"/>
    <w:rsid w:val="002E59D6"/>
    <w:rsid w:val="002E631E"/>
    <w:rsid w:val="002E68CE"/>
    <w:rsid w:val="002E78DD"/>
    <w:rsid w:val="002E7B22"/>
    <w:rsid w:val="002E7EA0"/>
    <w:rsid w:val="002F0958"/>
    <w:rsid w:val="002F12EC"/>
    <w:rsid w:val="002F1353"/>
    <w:rsid w:val="002F50D1"/>
    <w:rsid w:val="002F5184"/>
    <w:rsid w:val="002F51CC"/>
    <w:rsid w:val="002F5812"/>
    <w:rsid w:val="002F6AB0"/>
    <w:rsid w:val="002F7986"/>
    <w:rsid w:val="00300CC8"/>
    <w:rsid w:val="00300DDF"/>
    <w:rsid w:val="00301B40"/>
    <w:rsid w:val="00301C82"/>
    <w:rsid w:val="00302133"/>
    <w:rsid w:val="00302316"/>
    <w:rsid w:val="003029EE"/>
    <w:rsid w:val="00303CF4"/>
    <w:rsid w:val="00304840"/>
    <w:rsid w:val="00304D38"/>
    <w:rsid w:val="00304E1D"/>
    <w:rsid w:val="00305CC8"/>
    <w:rsid w:val="00306327"/>
    <w:rsid w:val="0030713D"/>
    <w:rsid w:val="003074A1"/>
    <w:rsid w:val="00307F6D"/>
    <w:rsid w:val="003105A6"/>
    <w:rsid w:val="00313076"/>
    <w:rsid w:val="00313D3E"/>
    <w:rsid w:val="00314794"/>
    <w:rsid w:val="00314D83"/>
    <w:rsid w:val="00315018"/>
    <w:rsid w:val="0031571F"/>
    <w:rsid w:val="00315A1D"/>
    <w:rsid w:val="0031692D"/>
    <w:rsid w:val="003177A2"/>
    <w:rsid w:val="00317E02"/>
    <w:rsid w:val="00322BE0"/>
    <w:rsid w:val="0032463C"/>
    <w:rsid w:val="003271B5"/>
    <w:rsid w:val="00327560"/>
    <w:rsid w:val="00327A1E"/>
    <w:rsid w:val="00327E28"/>
    <w:rsid w:val="003310EA"/>
    <w:rsid w:val="00331264"/>
    <w:rsid w:val="00333859"/>
    <w:rsid w:val="003342FC"/>
    <w:rsid w:val="00334314"/>
    <w:rsid w:val="00334C8D"/>
    <w:rsid w:val="00335477"/>
    <w:rsid w:val="00335B91"/>
    <w:rsid w:val="00335DCD"/>
    <w:rsid w:val="003378BD"/>
    <w:rsid w:val="003379B3"/>
    <w:rsid w:val="00340AC0"/>
    <w:rsid w:val="00340DF2"/>
    <w:rsid w:val="003424EA"/>
    <w:rsid w:val="003426A5"/>
    <w:rsid w:val="00342C2F"/>
    <w:rsid w:val="003436EB"/>
    <w:rsid w:val="00343A18"/>
    <w:rsid w:val="00345744"/>
    <w:rsid w:val="00346736"/>
    <w:rsid w:val="00350091"/>
    <w:rsid w:val="003518B3"/>
    <w:rsid w:val="00351E7E"/>
    <w:rsid w:val="0035386D"/>
    <w:rsid w:val="00353E79"/>
    <w:rsid w:val="003545B2"/>
    <w:rsid w:val="003548CF"/>
    <w:rsid w:val="003556C9"/>
    <w:rsid w:val="00356D3A"/>
    <w:rsid w:val="00357209"/>
    <w:rsid w:val="00357947"/>
    <w:rsid w:val="00360099"/>
    <w:rsid w:val="003615EE"/>
    <w:rsid w:val="00361A78"/>
    <w:rsid w:val="00363085"/>
    <w:rsid w:val="00363F01"/>
    <w:rsid w:val="00364EA0"/>
    <w:rsid w:val="00366981"/>
    <w:rsid w:val="0036724E"/>
    <w:rsid w:val="003672E7"/>
    <w:rsid w:val="00370678"/>
    <w:rsid w:val="0037070A"/>
    <w:rsid w:val="00370CA7"/>
    <w:rsid w:val="0037214E"/>
    <w:rsid w:val="00372C85"/>
    <w:rsid w:val="00373845"/>
    <w:rsid w:val="003744E3"/>
    <w:rsid w:val="00374813"/>
    <w:rsid w:val="00375F71"/>
    <w:rsid w:val="00376219"/>
    <w:rsid w:val="0037663E"/>
    <w:rsid w:val="0037699E"/>
    <w:rsid w:val="00377A29"/>
    <w:rsid w:val="00377C69"/>
    <w:rsid w:val="00377DAC"/>
    <w:rsid w:val="00382E7C"/>
    <w:rsid w:val="0038415D"/>
    <w:rsid w:val="0038461C"/>
    <w:rsid w:val="003846F1"/>
    <w:rsid w:val="00385ED2"/>
    <w:rsid w:val="00386073"/>
    <w:rsid w:val="00390E6A"/>
    <w:rsid w:val="00391855"/>
    <w:rsid w:val="003918A6"/>
    <w:rsid w:val="00391F3E"/>
    <w:rsid w:val="00393ABE"/>
    <w:rsid w:val="00395DB6"/>
    <w:rsid w:val="00397398"/>
    <w:rsid w:val="003979F3"/>
    <w:rsid w:val="003A083C"/>
    <w:rsid w:val="003A21EF"/>
    <w:rsid w:val="003A371A"/>
    <w:rsid w:val="003A3B92"/>
    <w:rsid w:val="003A4E76"/>
    <w:rsid w:val="003A59CD"/>
    <w:rsid w:val="003A66B4"/>
    <w:rsid w:val="003A6B00"/>
    <w:rsid w:val="003B0F0D"/>
    <w:rsid w:val="003B1139"/>
    <w:rsid w:val="003B30B2"/>
    <w:rsid w:val="003B339A"/>
    <w:rsid w:val="003B3734"/>
    <w:rsid w:val="003B3C12"/>
    <w:rsid w:val="003B3C38"/>
    <w:rsid w:val="003B4767"/>
    <w:rsid w:val="003B484F"/>
    <w:rsid w:val="003B504B"/>
    <w:rsid w:val="003B50FB"/>
    <w:rsid w:val="003B5179"/>
    <w:rsid w:val="003B5A26"/>
    <w:rsid w:val="003B60F1"/>
    <w:rsid w:val="003B62CB"/>
    <w:rsid w:val="003B64F2"/>
    <w:rsid w:val="003B685C"/>
    <w:rsid w:val="003B7D47"/>
    <w:rsid w:val="003B7FBA"/>
    <w:rsid w:val="003C01D6"/>
    <w:rsid w:val="003C163A"/>
    <w:rsid w:val="003C17DA"/>
    <w:rsid w:val="003C404D"/>
    <w:rsid w:val="003C478C"/>
    <w:rsid w:val="003C5A87"/>
    <w:rsid w:val="003C6537"/>
    <w:rsid w:val="003C6A13"/>
    <w:rsid w:val="003C764A"/>
    <w:rsid w:val="003C78BA"/>
    <w:rsid w:val="003D1574"/>
    <w:rsid w:val="003D41F1"/>
    <w:rsid w:val="003D42AB"/>
    <w:rsid w:val="003D5B94"/>
    <w:rsid w:val="003D6E12"/>
    <w:rsid w:val="003E0D3A"/>
    <w:rsid w:val="003E1E0B"/>
    <w:rsid w:val="003E2242"/>
    <w:rsid w:val="003E3AAB"/>
    <w:rsid w:val="003E55FE"/>
    <w:rsid w:val="003E6AEB"/>
    <w:rsid w:val="003E7FE9"/>
    <w:rsid w:val="003F0191"/>
    <w:rsid w:val="003F02CE"/>
    <w:rsid w:val="003F07D4"/>
    <w:rsid w:val="003F0886"/>
    <w:rsid w:val="003F174D"/>
    <w:rsid w:val="003F176C"/>
    <w:rsid w:val="003F2329"/>
    <w:rsid w:val="003F2493"/>
    <w:rsid w:val="003F2ACB"/>
    <w:rsid w:val="003F4C38"/>
    <w:rsid w:val="003F4CB3"/>
    <w:rsid w:val="003F502D"/>
    <w:rsid w:val="003F56BF"/>
    <w:rsid w:val="003F6A04"/>
    <w:rsid w:val="003F6B81"/>
    <w:rsid w:val="003F6C31"/>
    <w:rsid w:val="003F70E3"/>
    <w:rsid w:val="003F7469"/>
    <w:rsid w:val="004001F7"/>
    <w:rsid w:val="0040035D"/>
    <w:rsid w:val="00400426"/>
    <w:rsid w:val="00400BC1"/>
    <w:rsid w:val="00400FD2"/>
    <w:rsid w:val="00401E60"/>
    <w:rsid w:val="00402EC4"/>
    <w:rsid w:val="00403711"/>
    <w:rsid w:val="00403DAB"/>
    <w:rsid w:val="00404C52"/>
    <w:rsid w:val="00405E46"/>
    <w:rsid w:val="00407065"/>
    <w:rsid w:val="00407BAF"/>
    <w:rsid w:val="00407EAE"/>
    <w:rsid w:val="0041014B"/>
    <w:rsid w:val="004114C1"/>
    <w:rsid w:val="00411B64"/>
    <w:rsid w:val="004125A0"/>
    <w:rsid w:val="004156D5"/>
    <w:rsid w:val="00415A05"/>
    <w:rsid w:val="00415BA9"/>
    <w:rsid w:val="00415F31"/>
    <w:rsid w:val="0041691D"/>
    <w:rsid w:val="00417095"/>
    <w:rsid w:val="0042000C"/>
    <w:rsid w:val="0042090E"/>
    <w:rsid w:val="00420DA2"/>
    <w:rsid w:val="00420ED1"/>
    <w:rsid w:val="00421F27"/>
    <w:rsid w:val="004238D8"/>
    <w:rsid w:val="00423A77"/>
    <w:rsid w:val="004253F5"/>
    <w:rsid w:val="00425762"/>
    <w:rsid w:val="00425ED7"/>
    <w:rsid w:val="004269CA"/>
    <w:rsid w:val="004301B6"/>
    <w:rsid w:val="004306C6"/>
    <w:rsid w:val="00431922"/>
    <w:rsid w:val="004324F4"/>
    <w:rsid w:val="00433082"/>
    <w:rsid w:val="00434544"/>
    <w:rsid w:val="00436082"/>
    <w:rsid w:val="0043616F"/>
    <w:rsid w:val="00441299"/>
    <w:rsid w:val="00441F4E"/>
    <w:rsid w:val="00444064"/>
    <w:rsid w:val="0044460C"/>
    <w:rsid w:val="004447F1"/>
    <w:rsid w:val="00444AC9"/>
    <w:rsid w:val="00444EBC"/>
    <w:rsid w:val="004453CE"/>
    <w:rsid w:val="0044585C"/>
    <w:rsid w:val="00445D43"/>
    <w:rsid w:val="00445F1A"/>
    <w:rsid w:val="0044695C"/>
    <w:rsid w:val="00446965"/>
    <w:rsid w:val="00446B12"/>
    <w:rsid w:val="00446CD2"/>
    <w:rsid w:val="0044713F"/>
    <w:rsid w:val="00447390"/>
    <w:rsid w:val="00450706"/>
    <w:rsid w:val="00450A7F"/>
    <w:rsid w:val="0045131F"/>
    <w:rsid w:val="004523B2"/>
    <w:rsid w:val="004525C0"/>
    <w:rsid w:val="00454A17"/>
    <w:rsid w:val="00454F79"/>
    <w:rsid w:val="00455D3D"/>
    <w:rsid w:val="00455DC5"/>
    <w:rsid w:val="0045708C"/>
    <w:rsid w:val="0045777E"/>
    <w:rsid w:val="00460D97"/>
    <w:rsid w:val="00461423"/>
    <w:rsid w:val="00462117"/>
    <w:rsid w:val="0046212C"/>
    <w:rsid w:val="00465258"/>
    <w:rsid w:val="00465523"/>
    <w:rsid w:val="00466B50"/>
    <w:rsid w:val="00467DFB"/>
    <w:rsid w:val="00470F20"/>
    <w:rsid w:val="004712F5"/>
    <w:rsid w:val="00471BC6"/>
    <w:rsid w:val="00472802"/>
    <w:rsid w:val="00473362"/>
    <w:rsid w:val="00473D76"/>
    <w:rsid w:val="0047496A"/>
    <w:rsid w:val="00476221"/>
    <w:rsid w:val="004766F5"/>
    <w:rsid w:val="00480B4B"/>
    <w:rsid w:val="004838D8"/>
    <w:rsid w:val="00485A23"/>
    <w:rsid w:val="00485B07"/>
    <w:rsid w:val="00485DC4"/>
    <w:rsid w:val="004869F2"/>
    <w:rsid w:val="00492319"/>
    <w:rsid w:val="004926D5"/>
    <w:rsid w:val="0049279C"/>
    <w:rsid w:val="00493F84"/>
    <w:rsid w:val="00494D04"/>
    <w:rsid w:val="00495427"/>
    <w:rsid w:val="00496587"/>
    <w:rsid w:val="00496893"/>
    <w:rsid w:val="004A0169"/>
    <w:rsid w:val="004A03A9"/>
    <w:rsid w:val="004A0ED0"/>
    <w:rsid w:val="004A1754"/>
    <w:rsid w:val="004A1C67"/>
    <w:rsid w:val="004A23C1"/>
    <w:rsid w:val="004A40BA"/>
    <w:rsid w:val="004A43D1"/>
    <w:rsid w:val="004A492B"/>
    <w:rsid w:val="004A76B3"/>
    <w:rsid w:val="004B26A5"/>
    <w:rsid w:val="004B4412"/>
    <w:rsid w:val="004B48AB"/>
    <w:rsid w:val="004B4A53"/>
    <w:rsid w:val="004B4BD8"/>
    <w:rsid w:val="004B4EBA"/>
    <w:rsid w:val="004B6269"/>
    <w:rsid w:val="004B6589"/>
    <w:rsid w:val="004B6E8B"/>
    <w:rsid w:val="004B6F6A"/>
    <w:rsid w:val="004B6F7A"/>
    <w:rsid w:val="004B72D8"/>
    <w:rsid w:val="004B76C4"/>
    <w:rsid w:val="004C0582"/>
    <w:rsid w:val="004C05C6"/>
    <w:rsid w:val="004C0650"/>
    <w:rsid w:val="004C0C4D"/>
    <w:rsid w:val="004C19C6"/>
    <w:rsid w:val="004C1EAF"/>
    <w:rsid w:val="004C227C"/>
    <w:rsid w:val="004C23ED"/>
    <w:rsid w:val="004C248B"/>
    <w:rsid w:val="004C24FD"/>
    <w:rsid w:val="004C2942"/>
    <w:rsid w:val="004C33B8"/>
    <w:rsid w:val="004C348C"/>
    <w:rsid w:val="004C438C"/>
    <w:rsid w:val="004C462E"/>
    <w:rsid w:val="004C4F52"/>
    <w:rsid w:val="004C5AFB"/>
    <w:rsid w:val="004C6CA3"/>
    <w:rsid w:val="004C73EB"/>
    <w:rsid w:val="004C7F5E"/>
    <w:rsid w:val="004D1AC9"/>
    <w:rsid w:val="004D343C"/>
    <w:rsid w:val="004D372A"/>
    <w:rsid w:val="004D46D8"/>
    <w:rsid w:val="004D55BA"/>
    <w:rsid w:val="004D6464"/>
    <w:rsid w:val="004D6612"/>
    <w:rsid w:val="004D720C"/>
    <w:rsid w:val="004D7B63"/>
    <w:rsid w:val="004E0FA7"/>
    <w:rsid w:val="004E0FB6"/>
    <w:rsid w:val="004E22EC"/>
    <w:rsid w:val="004E41CB"/>
    <w:rsid w:val="004E66B2"/>
    <w:rsid w:val="004F0BBA"/>
    <w:rsid w:val="004F0BFA"/>
    <w:rsid w:val="004F13DA"/>
    <w:rsid w:val="004F2309"/>
    <w:rsid w:val="004F29AA"/>
    <w:rsid w:val="004F31FA"/>
    <w:rsid w:val="004F41B1"/>
    <w:rsid w:val="004F4D69"/>
    <w:rsid w:val="004F5B8B"/>
    <w:rsid w:val="004F6883"/>
    <w:rsid w:val="004F6A0E"/>
    <w:rsid w:val="004F6BB3"/>
    <w:rsid w:val="005009CD"/>
    <w:rsid w:val="00502B42"/>
    <w:rsid w:val="00502EF4"/>
    <w:rsid w:val="00503CA8"/>
    <w:rsid w:val="005044AB"/>
    <w:rsid w:val="00504E5F"/>
    <w:rsid w:val="00505CCF"/>
    <w:rsid w:val="00506BA3"/>
    <w:rsid w:val="0051022C"/>
    <w:rsid w:val="00510A11"/>
    <w:rsid w:val="00510E17"/>
    <w:rsid w:val="005111A6"/>
    <w:rsid w:val="00511390"/>
    <w:rsid w:val="00511C7F"/>
    <w:rsid w:val="00512394"/>
    <w:rsid w:val="005123E8"/>
    <w:rsid w:val="0051337E"/>
    <w:rsid w:val="005134F0"/>
    <w:rsid w:val="00513FA7"/>
    <w:rsid w:val="00514E8A"/>
    <w:rsid w:val="0051768F"/>
    <w:rsid w:val="005178EC"/>
    <w:rsid w:val="0052133A"/>
    <w:rsid w:val="00521512"/>
    <w:rsid w:val="00522DC2"/>
    <w:rsid w:val="005248E7"/>
    <w:rsid w:val="00525120"/>
    <w:rsid w:val="005253B1"/>
    <w:rsid w:val="00525BF1"/>
    <w:rsid w:val="0052799E"/>
    <w:rsid w:val="00530128"/>
    <w:rsid w:val="005323A8"/>
    <w:rsid w:val="00532413"/>
    <w:rsid w:val="00532467"/>
    <w:rsid w:val="00532C2A"/>
    <w:rsid w:val="005332A9"/>
    <w:rsid w:val="00533422"/>
    <w:rsid w:val="00535CB4"/>
    <w:rsid w:val="00535E1D"/>
    <w:rsid w:val="00535F6A"/>
    <w:rsid w:val="0053603C"/>
    <w:rsid w:val="00537871"/>
    <w:rsid w:val="005402BE"/>
    <w:rsid w:val="00540C84"/>
    <w:rsid w:val="0054127C"/>
    <w:rsid w:val="005414F6"/>
    <w:rsid w:val="005422D7"/>
    <w:rsid w:val="00542E97"/>
    <w:rsid w:val="00542F8C"/>
    <w:rsid w:val="00542FE9"/>
    <w:rsid w:val="0054330B"/>
    <w:rsid w:val="00544598"/>
    <w:rsid w:val="00544954"/>
    <w:rsid w:val="00544C8D"/>
    <w:rsid w:val="00544DFD"/>
    <w:rsid w:val="005466CE"/>
    <w:rsid w:val="005474A6"/>
    <w:rsid w:val="0055055D"/>
    <w:rsid w:val="00551C88"/>
    <w:rsid w:val="00552880"/>
    <w:rsid w:val="005559C4"/>
    <w:rsid w:val="00556B1E"/>
    <w:rsid w:val="00561410"/>
    <w:rsid w:val="00564A4D"/>
    <w:rsid w:val="00564B67"/>
    <w:rsid w:val="005653D1"/>
    <w:rsid w:val="0056598C"/>
    <w:rsid w:val="00566E0B"/>
    <w:rsid w:val="00567ADC"/>
    <w:rsid w:val="00567BA5"/>
    <w:rsid w:val="00571B35"/>
    <w:rsid w:val="00571B43"/>
    <w:rsid w:val="00571D57"/>
    <w:rsid w:val="005731C6"/>
    <w:rsid w:val="00573A3B"/>
    <w:rsid w:val="00573F48"/>
    <w:rsid w:val="005760C3"/>
    <w:rsid w:val="005767E2"/>
    <w:rsid w:val="00576C2D"/>
    <w:rsid w:val="0057720B"/>
    <w:rsid w:val="00577716"/>
    <w:rsid w:val="00577A09"/>
    <w:rsid w:val="00577D3B"/>
    <w:rsid w:val="0058277B"/>
    <w:rsid w:val="005829C2"/>
    <w:rsid w:val="00583D10"/>
    <w:rsid w:val="00584C5C"/>
    <w:rsid w:val="00584D8F"/>
    <w:rsid w:val="00584EA4"/>
    <w:rsid w:val="00585DC6"/>
    <w:rsid w:val="0058776F"/>
    <w:rsid w:val="00587A18"/>
    <w:rsid w:val="00587ADE"/>
    <w:rsid w:val="00590E6E"/>
    <w:rsid w:val="00590E86"/>
    <w:rsid w:val="00591E38"/>
    <w:rsid w:val="00593800"/>
    <w:rsid w:val="00593CC2"/>
    <w:rsid w:val="00595624"/>
    <w:rsid w:val="0059630B"/>
    <w:rsid w:val="00597305"/>
    <w:rsid w:val="005A043F"/>
    <w:rsid w:val="005A0BEC"/>
    <w:rsid w:val="005A2FE2"/>
    <w:rsid w:val="005A404D"/>
    <w:rsid w:val="005A5EE4"/>
    <w:rsid w:val="005A7990"/>
    <w:rsid w:val="005B10F9"/>
    <w:rsid w:val="005B11E4"/>
    <w:rsid w:val="005B1E3C"/>
    <w:rsid w:val="005B4E26"/>
    <w:rsid w:val="005B6518"/>
    <w:rsid w:val="005B704A"/>
    <w:rsid w:val="005B72D7"/>
    <w:rsid w:val="005C045F"/>
    <w:rsid w:val="005C0CB3"/>
    <w:rsid w:val="005C16FE"/>
    <w:rsid w:val="005C1C78"/>
    <w:rsid w:val="005C1FAB"/>
    <w:rsid w:val="005C21A4"/>
    <w:rsid w:val="005C26CC"/>
    <w:rsid w:val="005C2F9A"/>
    <w:rsid w:val="005C30EF"/>
    <w:rsid w:val="005C31F8"/>
    <w:rsid w:val="005C3A0D"/>
    <w:rsid w:val="005C418D"/>
    <w:rsid w:val="005C4463"/>
    <w:rsid w:val="005C5A8C"/>
    <w:rsid w:val="005C5BBE"/>
    <w:rsid w:val="005D2062"/>
    <w:rsid w:val="005D3D88"/>
    <w:rsid w:val="005D3EE4"/>
    <w:rsid w:val="005D420C"/>
    <w:rsid w:val="005D4692"/>
    <w:rsid w:val="005D48C4"/>
    <w:rsid w:val="005D515C"/>
    <w:rsid w:val="005D5B9A"/>
    <w:rsid w:val="005D6208"/>
    <w:rsid w:val="005D6366"/>
    <w:rsid w:val="005D672B"/>
    <w:rsid w:val="005D7BA2"/>
    <w:rsid w:val="005E137B"/>
    <w:rsid w:val="005E21C4"/>
    <w:rsid w:val="005E2B73"/>
    <w:rsid w:val="005E36C2"/>
    <w:rsid w:val="005E4926"/>
    <w:rsid w:val="005E4AF4"/>
    <w:rsid w:val="005F2FA3"/>
    <w:rsid w:val="005F3608"/>
    <w:rsid w:val="005F387E"/>
    <w:rsid w:val="005F4576"/>
    <w:rsid w:val="005F519F"/>
    <w:rsid w:val="006018C8"/>
    <w:rsid w:val="00601E0B"/>
    <w:rsid w:val="0060249C"/>
    <w:rsid w:val="0060258B"/>
    <w:rsid w:val="00604F63"/>
    <w:rsid w:val="00610C32"/>
    <w:rsid w:val="00610EF9"/>
    <w:rsid w:val="00612998"/>
    <w:rsid w:val="00612B19"/>
    <w:rsid w:val="00612F4F"/>
    <w:rsid w:val="00613E47"/>
    <w:rsid w:val="006142D1"/>
    <w:rsid w:val="00614EA0"/>
    <w:rsid w:val="006157F5"/>
    <w:rsid w:val="00615C6B"/>
    <w:rsid w:val="00617977"/>
    <w:rsid w:val="00617D4C"/>
    <w:rsid w:val="00621DCE"/>
    <w:rsid w:val="00621FC5"/>
    <w:rsid w:val="00623AD3"/>
    <w:rsid w:val="00624156"/>
    <w:rsid w:val="0062424C"/>
    <w:rsid w:val="00624F2C"/>
    <w:rsid w:val="006263EC"/>
    <w:rsid w:val="00627A0C"/>
    <w:rsid w:val="00627CED"/>
    <w:rsid w:val="00627D97"/>
    <w:rsid w:val="00630BC5"/>
    <w:rsid w:val="00630DAC"/>
    <w:rsid w:val="006323C1"/>
    <w:rsid w:val="00632D6D"/>
    <w:rsid w:val="00632EBA"/>
    <w:rsid w:val="0063383A"/>
    <w:rsid w:val="00633A55"/>
    <w:rsid w:val="006342E4"/>
    <w:rsid w:val="006349D6"/>
    <w:rsid w:val="00636569"/>
    <w:rsid w:val="00636EF9"/>
    <w:rsid w:val="00637884"/>
    <w:rsid w:val="00640286"/>
    <w:rsid w:val="00640F98"/>
    <w:rsid w:val="006424FD"/>
    <w:rsid w:val="0064256F"/>
    <w:rsid w:val="00642C3E"/>
    <w:rsid w:val="00643203"/>
    <w:rsid w:val="00644A01"/>
    <w:rsid w:val="00644E6E"/>
    <w:rsid w:val="0064544D"/>
    <w:rsid w:val="0065019C"/>
    <w:rsid w:val="00650666"/>
    <w:rsid w:val="00650E42"/>
    <w:rsid w:val="00651C32"/>
    <w:rsid w:val="00651E2D"/>
    <w:rsid w:val="00652324"/>
    <w:rsid w:val="00654763"/>
    <w:rsid w:val="0065506C"/>
    <w:rsid w:val="00655C19"/>
    <w:rsid w:val="00656A81"/>
    <w:rsid w:val="006577FB"/>
    <w:rsid w:val="00657820"/>
    <w:rsid w:val="0066104A"/>
    <w:rsid w:val="006614F1"/>
    <w:rsid w:val="006619BD"/>
    <w:rsid w:val="006628A9"/>
    <w:rsid w:val="00663066"/>
    <w:rsid w:val="00663DAD"/>
    <w:rsid w:val="00664206"/>
    <w:rsid w:val="006649E7"/>
    <w:rsid w:val="00666634"/>
    <w:rsid w:val="00671692"/>
    <w:rsid w:val="00672682"/>
    <w:rsid w:val="00675223"/>
    <w:rsid w:val="00675E20"/>
    <w:rsid w:val="00676679"/>
    <w:rsid w:val="00677196"/>
    <w:rsid w:val="00677C74"/>
    <w:rsid w:val="0068099B"/>
    <w:rsid w:val="00681894"/>
    <w:rsid w:val="006824C9"/>
    <w:rsid w:val="00682D1B"/>
    <w:rsid w:val="006839DE"/>
    <w:rsid w:val="00683C89"/>
    <w:rsid w:val="00685AE0"/>
    <w:rsid w:val="00685B7B"/>
    <w:rsid w:val="0068649D"/>
    <w:rsid w:val="00691B53"/>
    <w:rsid w:val="006924C9"/>
    <w:rsid w:val="006924FA"/>
    <w:rsid w:val="00692A51"/>
    <w:rsid w:val="00694092"/>
    <w:rsid w:val="0069469E"/>
    <w:rsid w:val="00695606"/>
    <w:rsid w:val="00695FDE"/>
    <w:rsid w:val="00697D0B"/>
    <w:rsid w:val="006A07AA"/>
    <w:rsid w:val="006A083E"/>
    <w:rsid w:val="006A0BD1"/>
    <w:rsid w:val="006A0CC4"/>
    <w:rsid w:val="006A12BA"/>
    <w:rsid w:val="006A4209"/>
    <w:rsid w:val="006A4739"/>
    <w:rsid w:val="006A4906"/>
    <w:rsid w:val="006A5EDB"/>
    <w:rsid w:val="006A66A1"/>
    <w:rsid w:val="006A7815"/>
    <w:rsid w:val="006A7E12"/>
    <w:rsid w:val="006B032D"/>
    <w:rsid w:val="006B0439"/>
    <w:rsid w:val="006B19B8"/>
    <w:rsid w:val="006B2395"/>
    <w:rsid w:val="006B2AFB"/>
    <w:rsid w:val="006B3EFB"/>
    <w:rsid w:val="006B40AC"/>
    <w:rsid w:val="006B4CF9"/>
    <w:rsid w:val="006B62A4"/>
    <w:rsid w:val="006B7067"/>
    <w:rsid w:val="006B797C"/>
    <w:rsid w:val="006B7AC8"/>
    <w:rsid w:val="006B7E83"/>
    <w:rsid w:val="006C010D"/>
    <w:rsid w:val="006C0580"/>
    <w:rsid w:val="006C12CB"/>
    <w:rsid w:val="006C1736"/>
    <w:rsid w:val="006C2836"/>
    <w:rsid w:val="006C2D76"/>
    <w:rsid w:val="006C2F54"/>
    <w:rsid w:val="006C329B"/>
    <w:rsid w:val="006C4EC5"/>
    <w:rsid w:val="006C5032"/>
    <w:rsid w:val="006C6303"/>
    <w:rsid w:val="006C7F40"/>
    <w:rsid w:val="006D1F5F"/>
    <w:rsid w:val="006D37FC"/>
    <w:rsid w:val="006D39FD"/>
    <w:rsid w:val="006D550F"/>
    <w:rsid w:val="006D5F36"/>
    <w:rsid w:val="006D6146"/>
    <w:rsid w:val="006D6FE2"/>
    <w:rsid w:val="006D72D2"/>
    <w:rsid w:val="006D7F7E"/>
    <w:rsid w:val="006E0CFF"/>
    <w:rsid w:val="006E19AA"/>
    <w:rsid w:val="006E1A74"/>
    <w:rsid w:val="006E3AB7"/>
    <w:rsid w:val="006E4354"/>
    <w:rsid w:val="006E7A82"/>
    <w:rsid w:val="006F0C30"/>
    <w:rsid w:val="006F0D92"/>
    <w:rsid w:val="006F267D"/>
    <w:rsid w:val="006F3486"/>
    <w:rsid w:val="006F355B"/>
    <w:rsid w:val="006F3834"/>
    <w:rsid w:val="006F3E74"/>
    <w:rsid w:val="006F48D7"/>
    <w:rsid w:val="006F59E4"/>
    <w:rsid w:val="006F5C59"/>
    <w:rsid w:val="006F5DD0"/>
    <w:rsid w:val="006F66F0"/>
    <w:rsid w:val="0070011E"/>
    <w:rsid w:val="00700635"/>
    <w:rsid w:val="00701009"/>
    <w:rsid w:val="00701CAB"/>
    <w:rsid w:val="007023BB"/>
    <w:rsid w:val="00702AFB"/>
    <w:rsid w:val="00702B30"/>
    <w:rsid w:val="00702BF5"/>
    <w:rsid w:val="00704B63"/>
    <w:rsid w:val="00704DD7"/>
    <w:rsid w:val="00704E79"/>
    <w:rsid w:val="00705163"/>
    <w:rsid w:val="007057F3"/>
    <w:rsid w:val="00705837"/>
    <w:rsid w:val="00706B29"/>
    <w:rsid w:val="00706D39"/>
    <w:rsid w:val="00707485"/>
    <w:rsid w:val="00707563"/>
    <w:rsid w:val="00707CBD"/>
    <w:rsid w:val="0071240B"/>
    <w:rsid w:val="00712B23"/>
    <w:rsid w:val="00713987"/>
    <w:rsid w:val="0071399F"/>
    <w:rsid w:val="00714145"/>
    <w:rsid w:val="0071556E"/>
    <w:rsid w:val="00715783"/>
    <w:rsid w:val="00715F61"/>
    <w:rsid w:val="00716DCA"/>
    <w:rsid w:val="00720834"/>
    <w:rsid w:val="00721508"/>
    <w:rsid w:val="00722132"/>
    <w:rsid w:val="007228F7"/>
    <w:rsid w:val="0072348C"/>
    <w:rsid w:val="00723A2C"/>
    <w:rsid w:val="00723CDC"/>
    <w:rsid w:val="00724A37"/>
    <w:rsid w:val="00726A43"/>
    <w:rsid w:val="0072705A"/>
    <w:rsid w:val="007277EC"/>
    <w:rsid w:val="007303C3"/>
    <w:rsid w:val="00731188"/>
    <w:rsid w:val="007325D7"/>
    <w:rsid w:val="00733E28"/>
    <w:rsid w:val="007356CC"/>
    <w:rsid w:val="007362E6"/>
    <w:rsid w:val="007368E6"/>
    <w:rsid w:val="007375DF"/>
    <w:rsid w:val="00741AE7"/>
    <w:rsid w:val="00741CA9"/>
    <w:rsid w:val="007429BE"/>
    <w:rsid w:val="00743223"/>
    <w:rsid w:val="00743349"/>
    <w:rsid w:val="0074403A"/>
    <w:rsid w:val="007452FA"/>
    <w:rsid w:val="00746E01"/>
    <w:rsid w:val="007477B7"/>
    <w:rsid w:val="0075102A"/>
    <w:rsid w:val="00751DCD"/>
    <w:rsid w:val="00752491"/>
    <w:rsid w:val="007524E0"/>
    <w:rsid w:val="007538F0"/>
    <w:rsid w:val="00753965"/>
    <w:rsid w:val="0075406F"/>
    <w:rsid w:val="00755084"/>
    <w:rsid w:val="007554DB"/>
    <w:rsid w:val="00755D05"/>
    <w:rsid w:val="00755DFD"/>
    <w:rsid w:val="00756BF5"/>
    <w:rsid w:val="00757364"/>
    <w:rsid w:val="00757A77"/>
    <w:rsid w:val="00757BDF"/>
    <w:rsid w:val="00757D1F"/>
    <w:rsid w:val="00760233"/>
    <w:rsid w:val="007609D0"/>
    <w:rsid w:val="00760A7C"/>
    <w:rsid w:val="00761454"/>
    <w:rsid w:val="0076193D"/>
    <w:rsid w:val="00762415"/>
    <w:rsid w:val="00762FF0"/>
    <w:rsid w:val="00763E5D"/>
    <w:rsid w:val="00766B88"/>
    <w:rsid w:val="00767740"/>
    <w:rsid w:val="00767B5E"/>
    <w:rsid w:val="00770064"/>
    <w:rsid w:val="007715E8"/>
    <w:rsid w:val="00772CCB"/>
    <w:rsid w:val="0077483F"/>
    <w:rsid w:val="00775460"/>
    <w:rsid w:val="007754F4"/>
    <w:rsid w:val="0077568D"/>
    <w:rsid w:val="00777E31"/>
    <w:rsid w:val="00777EE6"/>
    <w:rsid w:val="00780D19"/>
    <w:rsid w:val="00782EEA"/>
    <w:rsid w:val="00784BA1"/>
    <w:rsid w:val="00786CA4"/>
    <w:rsid w:val="00790305"/>
    <w:rsid w:val="007909B4"/>
    <w:rsid w:val="00790E86"/>
    <w:rsid w:val="00790EAC"/>
    <w:rsid w:val="00791130"/>
    <w:rsid w:val="00791A99"/>
    <w:rsid w:val="007925FB"/>
    <w:rsid w:val="0079335B"/>
    <w:rsid w:val="00793775"/>
    <w:rsid w:val="00793CED"/>
    <w:rsid w:val="007949D7"/>
    <w:rsid w:val="00794DC4"/>
    <w:rsid w:val="00794EAF"/>
    <w:rsid w:val="0079769A"/>
    <w:rsid w:val="007A0143"/>
    <w:rsid w:val="007A2CE1"/>
    <w:rsid w:val="007A34C2"/>
    <w:rsid w:val="007A3507"/>
    <w:rsid w:val="007A3561"/>
    <w:rsid w:val="007A396C"/>
    <w:rsid w:val="007A441F"/>
    <w:rsid w:val="007A4B02"/>
    <w:rsid w:val="007A4B96"/>
    <w:rsid w:val="007A6E1C"/>
    <w:rsid w:val="007A7BEB"/>
    <w:rsid w:val="007A7DB1"/>
    <w:rsid w:val="007B0BE3"/>
    <w:rsid w:val="007B1816"/>
    <w:rsid w:val="007B186E"/>
    <w:rsid w:val="007B1A51"/>
    <w:rsid w:val="007B23A6"/>
    <w:rsid w:val="007B25DC"/>
    <w:rsid w:val="007B2A46"/>
    <w:rsid w:val="007B2C72"/>
    <w:rsid w:val="007B376B"/>
    <w:rsid w:val="007B3789"/>
    <w:rsid w:val="007B5AA9"/>
    <w:rsid w:val="007B651F"/>
    <w:rsid w:val="007B7924"/>
    <w:rsid w:val="007B7BB5"/>
    <w:rsid w:val="007C0EA4"/>
    <w:rsid w:val="007C1C53"/>
    <w:rsid w:val="007C284C"/>
    <w:rsid w:val="007C3CAD"/>
    <w:rsid w:val="007C4033"/>
    <w:rsid w:val="007C4B82"/>
    <w:rsid w:val="007C7156"/>
    <w:rsid w:val="007C74BB"/>
    <w:rsid w:val="007C774B"/>
    <w:rsid w:val="007C7F64"/>
    <w:rsid w:val="007D0A95"/>
    <w:rsid w:val="007D0D6F"/>
    <w:rsid w:val="007D0EB5"/>
    <w:rsid w:val="007D2478"/>
    <w:rsid w:val="007D2807"/>
    <w:rsid w:val="007D2BB1"/>
    <w:rsid w:val="007D2DEE"/>
    <w:rsid w:val="007D376D"/>
    <w:rsid w:val="007D3938"/>
    <w:rsid w:val="007D456E"/>
    <w:rsid w:val="007D504D"/>
    <w:rsid w:val="007D5837"/>
    <w:rsid w:val="007D5B8E"/>
    <w:rsid w:val="007D72CB"/>
    <w:rsid w:val="007D7A83"/>
    <w:rsid w:val="007E1C6D"/>
    <w:rsid w:val="007E24FC"/>
    <w:rsid w:val="007E3427"/>
    <w:rsid w:val="007E36BF"/>
    <w:rsid w:val="007E3730"/>
    <w:rsid w:val="007E4904"/>
    <w:rsid w:val="007E4CB5"/>
    <w:rsid w:val="007E4DAE"/>
    <w:rsid w:val="007E62B2"/>
    <w:rsid w:val="007E6851"/>
    <w:rsid w:val="007E6FD2"/>
    <w:rsid w:val="007F066B"/>
    <w:rsid w:val="007F3196"/>
    <w:rsid w:val="007F438A"/>
    <w:rsid w:val="007F4EAB"/>
    <w:rsid w:val="007F541E"/>
    <w:rsid w:val="007F5B16"/>
    <w:rsid w:val="007F7C9D"/>
    <w:rsid w:val="007F7D8C"/>
    <w:rsid w:val="008008B6"/>
    <w:rsid w:val="008024B8"/>
    <w:rsid w:val="008033C4"/>
    <w:rsid w:val="00806731"/>
    <w:rsid w:val="00806C88"/>
    <w:rsid w:val="00807DFD"/>
    <w:rsid w:val="0081034E"/>
    <w:rsid w:val="00810806"/>
    <w:rsid w:val="00810946"/>
    <w:rsid w:val="00811E6C"/>
    <w:rsid w:val="00811FF8"/>
    <w:rsid w:val="00814A31"/>
    <w:rsid w:val="00815882"/>
    <w:rsid w:val="00817022"/>
    <w:rsid w:val="008176FB"/>
    <w:rsid w:val="00820454"/>
    <w:rsid w:val="00820DBE"/>
    <w:rsid w:val="0082103D"/>
    <w:rsid w:val="008213FA"/>
    <w:rsid w:val="00822AC7"/>
    <w:rsid w:val="00822E86"/>
    <w:rsid w:val="008261D7"/>
    <w:rsid w:val="00827DDC"/>
    <w:rsid w:val="00834142"/>
    <w:rsid w:val="00834307"/>
    <w:rsid w:val="008344F6"/>
    <w:rsid w:val="00834A1D"/>
    <w:rsid w:val="0083510F"/>
    <w:rsid w:val="008358A3"/>
    <w:rsid w:val="0083646B"/>
    <w:rsid w:val="00836517"/>
    <w:rsid w:val="00837BF3"/>
    <w:rsid w:val="00837C41"/>
    <w:rsid w:val="0084077D"/>
    <w:rsid w:val="0084089D"/>
    <w:rsid w:val="008415DE"/>
    <w:rsid w:val="00841F36"/>
    <w:rsid w:val="008420DE"/>
    <w:rsid w:val="00842DBB"/>
    <w:rsid w:val="008433FD"/>
    <w:rsid w:val="0084540D"/>
    <w:rsid w:val="008456E4"/>
    <w:rsid w:val="00845865"/>
    <w:rsid w:val="00847709"/>
    <w:rsid w:val="0084799B"/>
    <w:rsid w:val="00850A1C"/>
    <w:rsid w:val="00850C90"/>
    <w:rsid w:val="00851209"/>
    <w:rsid w:val="0085171F"/>
    <w:rsid w:val="008518CD"/>
    <w:rsid w:val="00851DF7"/>
    <w:rsid w:val="00853A5A"/>
    <w:rsid w:val="0085538F"/>
    <w:rsid w:val="00856A93"/>
    <w:rsid w:val="00857203"/>
    <w:rsid w:val="008600CD"/>
    <w:rsid w:val="008600DD"/>
    <w:rsid w:val="00860A0B"/>
    <w:rsid w:val="00860ADE"/>
    <w:rsid w:val="008619B3"/>
    <w:rsid w:val="00862E8A"/>
    <w:rsid w:val="008658A1"/>
    <w:rsid w:val="0086716A"/>
    <w:rsid w:val="008677BB"/>
    <w:rsid w:val="00870058"/>
    <w:rsid w:val="00870613"/>
    <w:rsid w:val="0087380F"/>
    <w:rsid w:val="008745F0"/>
    <w:rsid w:val="00875221"/>
    <w:rsid w:val="00875767"/>
    <w:rsid w:val="008759B1"/>
    <w:rsid w:val="008762FA"/>
    <w:rsid w:val="0087648F"/>
    <w:rsid w:val="00876612"/>
    <w:rsid w:val="0087718C"/>
    <w:rsid w:val="008808D0"/>
    <w:rsid w:val="00880C29"/>
    <w:rsid w:val="00882BB1"/>
    <w:rsid w:val="008837AC"/>
    <w:rsid w:val="00883ACE"/>
    <w:rsid w:val="008846CD"/>
    <w:rsid w:val="00885700"/>
    <w:rsid w:val="00885BC0"/>
    <w:rsid w:val="008863CB"/>
    <w:rsid w:val="00886A0C"/>
    <w:rsid w:val="00887CCF"/>
    <w:rsid w:val="00887D10"/>
    <w:rsid w:val="008909DC"/>
    <w:rsid w:val="00891270"/>
    <w:rsid w:val="008916AE"/>
    <w:rsid w:val="00892179"/>
    <w:rsid w:val="008923F8"/>
    <w:rsid w:val="00894255"/>
    <w:rsid w:val="008945AD"/>
    <w:rsid w:val="008A0645"/>
    <w:rsid w:val="008A1935"/>
    <w:rsid w:val="008A1C02"/>
    <w:rsid w:val="008A1D0E"/>
    <w:rsid w:val="008A2DA1"/>
    <w:rsid w:val="008A3482"/>
    <w:rsid w:val="008A370D"/>
    <w:rsid w:val="008A3AB7"/>
    <w:rsid w:val="008A4DE4"/>
    <w:rsid w:val="008A587D"/>
    <w:rsid w:val="008B12B4"/>
    <w:rsid w:val="008B16B0"/>
    <w:rsid w:val="008B1BD5"/>
    <w:rsid w:val="008B28F1"/>
    <w:rsid w:val="008B2A0D"/>
    <w:rsid w:val="008B2D9E"/>
    <w:rsid w:val="008B35CD"/>
    <w:rsid w:val="008B4093"/>
    <w:rsid w:val="008B5A94"/>
    <w:rsid w:val="008B5EAB"/>
    <w:rsid w:val="008B5FCC"/>
    <w:rsid w:val="008B62F6"/>
    <w:rsid w:val="008B685E"/>
    <w:rsid w:val="008B6D48"/>
    <w:rsid w:val="008B7CDE"/>
    <w:rsid w:val="008B7F36"/>
    <w:rsid w:val="008C05DC"/>
    <w:rsid w:val="008C0DE8"/>
    <w:rsid w:val="008C160B"/>
    <w:rsid w:val="008C1864"/>
    <w:rsid w:val="008C1866"/>
    <w:rsid w:val="008C1A70"/>
    <w:rsid w:val="008C2566"/>
    <w:rsid w:val="008C2DCC"/>
    <w:rsid w:val="008C357F"/>
    <w:rsid w:val="008C4AAC"/>
    <w:rsid w:val="008C5486"/>
    <w:rsid w:val="008C5D3B"/>
    <w:rsid w:val="008C772A"/>
    <w:rsid w:val="008C778E"/>
    <w:rsid w:val="008C7D6F"/>
    <w:rsid w:val="008C7F37"/>
    <w:rsid w:val="008D12D4"/>
    <w:rsid w:val="008D1661"/>
    <w:rsid w:val="008D1E30"/>
    <w:rsid w:val="008D27E0"/>
    <w:rsid w:val="008D2A72"/>
    <w:rsid w:val="008D5F90"/>
    <w:rsid w:val="008D6800"/>
    <w:rsid w:val="008D72F1"/>
    <w:rsid w:val="008E097E"/>
    <w:rsid w:val="008E1691"/>
    <w:rsid w:val="008E21A8"/>
    <w:rsid w:val="008E267F"/>
    <w:rsid w:val="008E2F38"/>
    <w:rsid w:val="008E4089"/>
    <w:rsid w:val="008E5AFF"/>
    <w:rsid w:val="008E65FE"/>
    <w:rsid w:val="008E7031"/>
    <w:rsid w:val="008E77DE"/>
    <w:rsid w:val="008E7B0A"/>
    <w:rsid w:val="008F040C"/>
    <w:rsid w:val="008F07A3"/>
    <w:rsid w:val="008F206C"/>
    <w:rsid w:val="008F2DF4"/>
    <w:rsid w:val="008F3322"/>
    <w:rsid w:val="008F3519"/>
    <w:rsid w:val="008F3A0D"/>
    <w:rsid w:val="008F5A6E"/>
    <w:rsid w:val="008F6936"/>
    <w:rsid w:val="009001B6"/>
    <w:rsid w:val="00900E1B"/>
    <w:rsid w:val="0090131F"/>
    <w:rsid w:val="00902CBF"/>
    <w:rsid w:val="0090396D"/>
    <w:rsid w:val="00904C4B"/>
    <w:rsid w:val="00904DFC"/>
    <w:rsid w:val="00907683"/>
    <w:rsid w:val="00907C11"/>
    <w:rsid w:val="009104CB"/>
    <w:rsid w:val="009122AB"/>
    <w:rsid w:val="009132B7"/>
    <w:rsid w:val="00913ED8"/>
    <w:rsid w:val="0091415B"/>
    <w:rsid w:val="00916A2C"/>
    <w:rsid w:val="00917237"/>
    <w:rsid w:val="00917570"/>
    <w:rsid w:val="00921E66"/>
    <w:rsid w:val="009233EE"/>
    <w:rsid w:val="009259BD"/>
    <w:rsid w:val="00926D14"/>
    <w:rsid w:val="00930B1A"/>
    <w:rsid w:val="00932612"/>
    <w:rsid w:val="009327DC"/>
    <w:rsid w:val="00933040"/>
    <w:rsid w:val="009332C4"/>
    <w:rsid w:val="00933559"/>
    <w:rsid w:val="009338D9"/>
    <w:rsid w:val="009339BD"/>
    <w:rsid w:val="009356CF"/>
    <w:rsid w:val="00940374"/>
    <w:rsid w:val="00940A0E"/>
    <w:rsid w:val="00940EA4"/>
    <w:rsid w:val="009410CD"/>
    <w:rsid w:val="00941882"/>
    <w:rsid w:val="00943652"/>
    <w:rsid w:val="00943EB7"/>
    <w:rsid w:val="009455E9"/>
    <w:rsid w:val="00945E53"/>
    <w:rsid w:val="009460AA"/>
    <w:rsid w:val="00946C77"/>
    <w:rsid w:val="00946CB5"/>
    <w:rsid w:val="00946F1D"/>
    <w:rsid w:val="009503F5"/>
    <w:rsid w:val="00951978"/>
    <w:rsid w:val="00951C84"/>
    <w:rsid w:val="009523BD"/>
    <w:rsid w:val="00952C8B"/>
    <w:rsid w:val="009554DB"/>
    <w:rsid w:val="00956689"/>
    <w:rsid w:val="00956D1F"/>
    <w:rsid w:val="00956D83"/>
    <w:rsid w:val="009601BF"/>
    <w:rsid w:val="00960BA2"/>
    <w:rsid w:val="00961A4A"/>
    <w:rsid w:val="00961E95"/>
    <w:rsid w:val="00964A65"/>
    <w:rsid w:val="0096510D"/>
    <w:rsid w:val="009653F3"/>
    <w:rsid w:val="009661DE"/>
    <w:rsid w:val="009668F2"/>
    <w:rsid w:val="0096698C"/>
    <w:rsid w:val="00966C53"/>
    <w:rsid w:val="00971471"/>
    <w:rsid w:val="00971706"/>
    <w:rsid w:val="00972A93"/>
    <w:rsid w:val="00972C7C"/>
    <w:rsid w:val="009765EF"/>
    <w:rsid w:val="0097752C"/>
    <w:rsid w:val="009776F4"/>
    <w:rsid w:val="009779B8"/>
    <w:rsid w:val="00981AB1"/>
    <w:rsid w:val="00982DA2"/>
    <w:rsid w:val="00983C25"/>
    <w:rsid w:val="00983CD8"/>
    <w:rsid w:val="00983D06"/>
    <w:rsid w:val="00983E7C"/>
    <w:rsid w:val="0098466D"/>
    <w:rsid w:val="00985475"/>
    <w:rsid w:val="009856B7"/>
    <w:rsid w:val="009859D6"/>
    <w:rsid w:val="00985C86"/>
    <w:rsid w:val="00985CE4"/>
    <w:rsid w:val="0098606B"/>
    <w:rsid w:val="00986189"/>
    <w:rsid w:val="0098631B"/>
    <w:rsid w:val="009864A7"/>
    <w:rsid w:val="00990939"/>
    <w:rsid w:val="00995A4E"/>
    <w:rsid w:val="0099641B"/>
    <w:rsid w:val="009968B7"/>
    <w:rsid w:val="009A2CB5"/>
    <w:rsid w:val="009A30C3"/>
    <w:rsid w:val="009A3DA8"/>
    <w:rsid w:val="009A4A25"/>
    <w:rsid w:val="009A4E95"/>
    <w:rsid w:val="009A5FC3"/>
    <w:rsid w:val="009A656E"/>
    <w:rsid w:val="009B2801"/>
    <w:rsid w:val="009B3B54"/>
    <w:rsid w:val="009B466F"/>
    <w:rsid w:val="009B5A1D"/>
    <w:rsid w:val="009B6F84"/>
    <w:rsid w:val="009B73DE"/>
    <w:rsid w:val="009B74B0"/>
    <w:rsid w:val="009C002E"/>
    <w:rsid w:val="009C0152"/>
    <w:rsid w:val="009C1A06"/>
    <w:rsid w:val="009C1A74"/>
    <w:rsid w:val="009C2407"/>
    <w:rsid w:val="009C27B1"/>
    <w:rsid w:val="009C3577"/>
    <w:rsid w:val="009C3D42"/>
    <w:rsid w:val="009C44CE"/>
    <w:rsid w:val="009C491E"/>
    <w:rsid w:val="009C511D"/>
    <w:rsid w:val="009C523F"/>
    <w:rsid w:val="009C7307"/>
    <w:rsid w:val="009D0AB2"/>
    <w:rsid w:val="009D0DF1"/>
    <w:rsid w:val="009D22D6"/>
    <w:rsid w:val="009D2C84"/>
    <w:rsid w:val="009D30E0"/>
    <w:rsid w:val="009D3906"/>
    <w:rsid w:val="009D53BE"/>
    <w:rsid w:val="009D5E35"/>
    <w:rsid w:val="009D5EF5"/>
    <w:rsid w:val="009D6B46"/>
    <w:rsid w:val="009D79E2"/>
    <w:rsid w:val="009E35B6"/>
    <w:rsid w:val="009E4BA6"/>
    <w:rsid w:val="009E501D"/>
    <w:rsid w:val="009E54EE"/>
    <w:rsid w:val="009E5988"/>
    <w:rsid w:val="009E5ABC"/>
    <w:rsid w:val="009E6CA1"/>
    <w:rsid w:val="009F2715"/>
    <w:rsid w:val="009F3BBA"/>
    <w:rsid w:val="009F43B4"/>
    <w:rsid w:val="009F46BB"/>
    <w:rsid w:val="009F490E"/>
    <w:rsid w:val="009F4940"/>
    <w:rsid w:val="009F5BA1"/>
    <w:rsid w:val="009F631B"/>
    <w:rsid w:val="009F6C8A"/>
    <w:rsid w:val="00A003D4"/>
    <w:rsid w:val="00A0146A"/>
    <w:rsid w:val="00A01B1A"/>
    <w:rsid w:val="00A026C4"/>
    <w:rsid w:val="00A02A88"/>
    <w:rsid w:val="00A04012"/>
    <w:rsid w:val="00A046FA"/>
    <w:rsid w:val="00A0562E"/>
    <w:rsid w:val="00A06508"/>
    <w:rsid w:val="00A06CCA"/>
    <w:rsid w:val="00A0726D"/>
    <w:rsid w:val="00A073AE"/>
    <w:rsid w:val="00A105AE"/>
    <w:rsid w:val="00A12204"/>
    <w:rsid w:val="00A1260C"/>
    <w:rsid w:val="00A12750"/>
    <w:rsid w:val="00A13CB0"/>
    <w:rsid w:val="00A14CE9"/>
    <w:rsid w:val="00A1561F"/>
    <w:rsid w:val="00A16544"/>
    <w:rsid w:val="00A16C32"/>
    <w:rsid w:val="00A20B54"/>
    <w:rsid w:val="00A20E74"/>
    <w:rsid w:val="00A21A30"/>
    <w:rsid w:val="00A2356C"/>
    <w:rsid w:val="00A244EE"/>
    <w:rsid w:val="00A25CFD"/>
    <w:rsid w:val="00A30BF5"/>
    <w:rsid w:val="00A31A9C"/>
    <w:rsid w:val="00A31BE6"/>
    <w:rsid w:val="00A31E9A"/>
    <w:rsid w:val="00A32FBB"/>
    <w:rsid w:val="00A33138"/>
    <w:rsid w:val="00A33A3A"/>
    <w:rsid w:val="00A34C25"/>
    <w:rsid w:val="00A35982"/>
    <w:rsid w:val="00A368DD"/>
    <w:rsid w:val="00A375A5"/>
    <w:rsid w:val="00A37855"/>
    <w:rsid w:val="00A40068"/>
    <w:rsid w:val="00A4090F"/>
    <w:rsid w:val="00A40BE9"/>
    <w:rsid w:val="00A41D10"/>
    <w:rsid w:val="00A428EE"/>
    <w:rsid w:val="00A443C2"/>
    <w:rsid w:val="00A4478A"/>
    <w:rsid w:val="00A44852"/>
    <w:rsid w:val="00A44BBF"/>
    <w:rsid w:val="00A47335"/>
    <w:rsid w:val="00A47919"/>
    <w:rsid w:val="00A47B16"/>
    <w:rsid w:val="00A50502"/>
    <w:rsid w:val="00A5087B"/>
    <w:rsid w:val="00A52080"/>
    <w:rsid w:val="00A53409"/>
    <w:rsid w:val="00A53796"/>
    <w:rsid w:val="00A53848"/>
    <w:rsid w:val="00A56121"/>
    <w:rsid w:val="00A56945"/>
    <w:rsid w:val="00A56A6E"/>
    <w:rsid w:val="00A571CB"/>
    <w:rsid w:val="00A57AFC"/>
    <w:rsid w:val="00A57D04"/>
    <w:rsid w:val="00A60A26"/>
    <w:rsid w:val="00A60D01"/>
    <w:rsid w:val="00A61598"/>
    <w:rsid w:val="00A61777"/>
    <w:rsid w:val="00A61E7E"/>
    <w:rsid w:val="00A62D30"/>
    <w:rsid w:val="00A630D6"/>
    <w:rsid w:val="00A63646"/>
    <w:rsid w:val="00A63754"/>
    <w:rsid w:val="00A63914"/>
    <w:rsid w:val="00A63B21"/>
    <w:rsid w:val="00A65184"/>
    <w:rsid w:val="00A662AF"/>
    <w:rsid w:val="00A7346B"/>
    <w:rsid w:val="00A739F7"/>
    <w:rsid w:val="00A73B59"/>
    <w:rsid w:val="00A74803"/>
    <w:rsid w:val="00A74945"/>
    <w:rsid w:val="00A7622D"/>
    <w:rsid w:val="00A77A23"/>
    <w:rsid w:val="00A8099D"/>
    <w:rsid w:val="00A8255A"/>
    <w:rsid w:val="00A83E2B"/>
    <w:rsid w:val="00A84A99"/>
    <w:rsid w:val="00A84F46"/>
    <w:rsid w:val="00A8521C"/>
    <w:rsid w:val="00A85E87"/>
    <w:rsid w:val="00A862E2"/>
    <w:rsid w:val="00A86AEA"/>
    <w:rsid w:val="00A871F4"/>
    <w:rsid w:val="00A90941"/>
    <w:rsid w:val="00A94085"/>
    <w:rsid w:val="00A9431A"/>
    <w:rsid w:val="00A95988"/>
    <w:rsid w:val="00A959DF"/>
    <w:rsid w:val="00A979CE"/>
    <w:rsid w:val="00A97A1B"/>
    <w:rsid w:val="00AA096C"/>
    <w:rsid w:val="00AA0CF7"/>
    <w:rsid w:val="00AA0E4A"/>
    <w:rsid w:val="00AA15BF"/>
    <w:rsid w:val="00AA2927"/>
    <w:rsid w:val="00AA3F36"/>
    <w:rsid w:val="00AA4EE9"/>
    <w:rsid w:val="00AA5AB2"/>
    <w:rsid w:val="00AA5F33"/>
    <w:rsid w:val="00AA60B9"/>
    <w:rsid w:val="00AA7240"/>
    <w:rsid w:val="00AA73B2"/>
    <w:rsid w:val="00AB0C0F"/>
    <w:rsid w:val="00AB1C04"/>
    <w:rsid w:val="00AB251A"/>
    <w:rsid w:val="00AB2CB8"/>
    <w:rsid w:val="00AB2F66"/>
    <w:rsid w:val="00AB2F81"/>
    <w:rsid w:val="00AB38D1"/>
    <w:rsid w:val="00AB3AE5"/>
    <w:rsid w:val="00AB4160"/>
    <w:rsid w:val="00AB4617"/>
    <w:rsid w:val="00AC0DFE"/>
    <w:rsid w:val="00AC1B2C"/>
    <w:rsid w:val="00AC2D31"/>
    <w:rsid w:val="00AC3264"/>
    <w:rsid w:val="00AC404C"/>
    <w:rsid w:val="00AC46AD"/>
    <w:rsid w:val="00AC4AE3"/>
    <w:rsid w:val="00AC4D2D"/>
    <w:rsid w:val="00AC5164"/>
    <w:rsid w:val="00AC58EC"/>
    <w:rsid w:val="00AC5F6B"/>
    <w:rsid w:val="00AC692A"/>
    <w:rsid w:val="00AC7282"/>
    <w:rsid w:val="00AC7961"/>
    <w:rsid w:val="00AC7E81"/>
    <w:rsid w:val="00AD0F84"/>
    <w:rsid w:val="00AD1BEB"/>
    <w:rsid w:val="00AD1CE5"/>
    <w:rsid w:val="00AD222E"/>
    <w:rsid w:val="00AD314E"/>
    <w:rsid w:val="00AD416B"/>
    <w:rsid w:val="00AD441F"/>
    <w:rsid w:val="00AD5FCD"/>
    <w:rsid w:val="00AD6B48"/>
    <w:rsid w:val="00AD79A5"/>
    <w:rsid w:val="00AD7A3A"/>
    <w:rsid w:val="00AD7A4C"/>
    <w:rsid w:val="00AD7D63"/>
    <w:rsid w:val="00AE02B4"/>
    <w:rsid w:val="00AE1BF1"/>
    <w:rsid w:val="00AE20AD"/>
    <w:rsid w:val="00AE23AB"/>
    <w:rsid w:val="00AE48CF"/>
    <w:rsid w:val="00AE58FB"/>
    <w:rsid w:val="00AE5AF0"/>
    <w:rsid w:val="00AE5D1A"/>
    <w:rsid w:val="00AE5EB4"/>
    <w:rsid w:val="00AE663D"/>
    <w:rsid w:val="00AE73B3"/>
    <w:rsid w:val="00AF07E7"/>
    <w:rsid w:val="00AF0DD2"/>
    <w:rsid w:val="00AF244B"/>
    <w:rsid w:val="00AF2A7E"/>
    <w:rsid w:val="00AF31E1"/>
    <w:rsid w:val="00AF3BBA"/>
    <w:rsid w:val="00AF4231"/>
    <w:rsid w:val="00AF4DEA"/>
    <w:rsid w:val="00AF71E5"/>
    <w:rsid w:val="00B00AA0"/>
    <w:rsid w:val="00B00B0E"/>
    <w:rsid w:val="00B00B26"/>
    <w:rsid w:val="00B01589"/>
    <w:rsid w:val="00B01F77"/>
    <w:rsid w:val="00B02385"/>
    <w:rsid w:val="00B02F9D"/>
    <w:rsid w:val="00B04C8E"/>
    <w:rsid w:val="00B05766"/>
    <w:rsid w:val="00B05F86"/>
    <w:rsid w:val="00B065FA"/>
    <w:rsid w:val="00B11734"/>
    <w:rsid w:val="00B12FA9"/>
    <w:rsid w:val="00B13048"/>
    <w:rsid w:val="00B13883"/>
    <w:rsid w:val="00B138C5"/>
    <w:rsid w:val="00B13E35"/>
    <w:rsid w:val="00B14116"/>
    <w:rsid w:val="00B1444C"/>
    <w:rsid w:val="00B144C4"/>
    <w:rsid w:val="00B1716D"/>
    <w:rsid w:val="00B17A1D"/>
    <w:rsid w:val="00B207A0"/>
    <w:rsid w:val="00B2169F"/>
    <w:rsid w:val="00B21C21"/>
    <w:rsid w:val="00B22F54"/>
    <w:rsid w:val="00B23FC1"/>
    <w:rsid w:val="00B24A7E"/>
    <w:rsid w:val="00B24A85"/>
    <w:rsid w:val="00B24B02"/>
    <w:rsid w:val="00B25C0C"/>
    <w:rsid w:val="00B262A7"/>
    <w:rsid w:val="00B27F61"/>
    <w:rsid w:val="00B304B5"/>
    <w:rsid w:val="00B308A9"/>
    <w:rsid w:val="00B31047"/>
    <w:rsid w:val="00B328F2"/>
    <w:rsid w:val="00B33148"/>
    <w:rsid w:val="00B33BA8"/>
    <w:rsid w:val="00B34846"/>
    <w:rsid w:val="00B35352"/>
    <w:rsid w:val="00B35CDF"/>
    <w:rsid w:val="00B35F66"/>
    <w:rsid w:val="00B36A00"/>
    <w:rsid w:val="00B36B2C"/>
    <w:rsid w:val="00B403C2"/>
    <w:rsid w:val="00B405A1"/>
    <w:rsid w:val="00B4184C"/>
    <w:rsid w:val="00B439A2"/>
    <w:rsid w:val="00B4438A"/>
    <w:rsid w:val="00B454CE"/>
    <w:rsid w:val="00B45AA2"/>
    <w:rsid w:val="00B45E00"/>
    <w:rsid w:val="00B46601"/>
    <w:rsid w:val="00B479CA"/>
    <w:rsid w:val="00B5084F"/>
    <w:rsid w:val="00B50B10"/>
    <w:rsid w:val="00B514DD"/>
    <w:rsid w:val="00B52AF0"/>
    <w:rsid w:val="00B53D5F"/>
    <w:rsid w:val="00B54051"/>
    <w:rsid w:val="00B54981"/>
    <w:rsid w:val="00B55558"/>
    <w:rsid w:val="00B560A0"/>
    <w:rsid w:val="00B561BD"/>
    <w:rsid w:val="00B56E03"/>
    <w:rsid w:val="00B56F6C"/>
    <w:rsid w:val="00B6154B"/>
    <w:rsid w:val="00B61980"/>
    <w:rsid w:val="00B62274"/>
    <w:rsid w:val="00B62765"/>
    <w:rsid w:val="00B634C6"/>
    <w:rsid w:val="00B6544B"/>
    <w:rsid w:val="00B65772"/>
    <w:rsid w:val="00B65A11"/>
    <w:rsid w:val="00B65DF5"/>
    <w:rsid w:val="00B670FE"/>
    <w:rsid w:val="00B67CD2"/>
    <w:rsid w:val="00B70839"/>
    <w:rsid w:val="00B7472C"/>
    <w:rsid w:val="00B75176"/>
    <w:rsid w:val="00B7679F"/>
    <w:rsid w:val="00B77159"/>
    <w:rsid w:val="00B80020"/>
    <w:rsid w:val="00B8080B"/>
    <w:rsid w:val="00B8183E"/>
    <w:rsid w:val="00B818AC"/>
    <w:rsid w:val="00B82223"/>
    <w:rsid w:val="00B83063"/>
    <w:rsid w:val="00B85421"/>
    <w:rsid w:val="00B861D2"/>
    <w:rsid w:val="00B86881"/>
    <w:rsid w:val="00B87573"/>
    <w:rsid w:val="00B87BA5"/>
    <w:rsid w:val="00B87BF8"/>
    <w:rsid w:val="00B87C39"/>
    <w:rsid w:val="00B90565"/>
    <w:rsid w:val="00B90E2F"/>
    <w:rsid w:val="00B91239"/>
    <w:rsid w:val="00B91A85"/>
    <w:rsid w:val="00B923B0"/>
    <w:rsid w:val="00B92B4E"/>
    <w:rsid w:val="00B93891"/>
    <w:rsid w:val="00B93F36"/>
    <w:rsid w:val="00B9562D"/>
    <w:rsid w:val="00BA0D83"/>
    <w:rsid w:val="00BA160E"/>
    <w:rsid w:val="00BA21DA"/>
    <w:rsid w:val="00BA2B60"/>
    <w:rsid w:val="00BA3C93"/>
    <w:rsid w:val="00BA40E1"/>
    <w:rsid w:val="00BA42B8"/>
    <w:rsid w:val="00BA4665"/>
    <w:rsid w:val="00BA56F9"/>
    <w:rsid w:val="00BA57B8"/>
    <w:rsid w:val="00BA6601"/>
    <w:rsid w:val="00BA7FD7"/>
    <w:rsid w:val="00BB0814"/>
    <w:rsid w:val="00BB1681"/>
    <w:rsid w:val="00BB1803"/>
    <w:rsid w:val="00BB1A83"/>
    <w:rsid w:val="00BB2A63"/>
    <w:rsid w:val="00BB2FB2"/>
    <w:rsid w:val="00BB3304"/>
    <w:rsid w:val="00BB3667"/>
    <w:rsid w:val="00BB39FB"/>
    <w:rsid w:val="00BB421B"/>
    <w:rsid w:val="00BB6551"/>
    <w:rsid w:val="00BC26C5"/>
    <w:rsid w:val="00BC4A10"/>
    <w:rsid w:val="00BC5127"/>
    <w:rsid w:val="00BC6A3B"/>
    <w:rsid w:val="00BC6B92"/>
    <w:rsid w:val="00BD06BD"/>
    <w:rsid w:val="00BD10C8"/>
    <w:rsid w:val="00BD17F5"/>
    <w:rsid w:val="00BD27D5"/>
    <w:rsid w:val="00BD30F4"/>
    <w:rsid w:val="00BD3156"/>
    <w:rsid w:val="00BD3446"/>
    <w:rsid w:val="00BD364F"/>
    <w:rsid w:val="00BD3AC7"/>
    <w:rsid w:val="00BD59CF"/>
    <w:rsid w:val="00BD59DC"/>
    <w:rsid w:val="00BD6543"/>
    <w:rsid w:val="00BD7D0B"/>
    <w:rsid w:val="00BE1312"/>
    <w:rsid w:val="00BE1F1B"/>
    <w:rsid w:val="00BE266B"/>
    <w:rsid w:val="00BE3F89"/>
    <w:rsid w:val="00BE47B5"/>
    <w:rsid w:val="00BE4B8E"/>
    <w:rsid w:val="00BE5FCE"/>
    <w:rsid w:val="00BE6205"/>
    <w:rsid w:val="00BF1008"/>
    <w:rsid w:val="00BF1B2E"/>
    <w:rsid w:val="00BF2098"/>
    <w:rsid w:val="00BF2417"/>
    <w:rsid w:val="00BF2A6F"/>
    <w:rsid w:val="00BF2FEB"/>
    <w:rsid w:val="00BF5528"/>
    <w:rsid w:val="00BF5830"/>
    <w:rsid w:val="00BF79F9"/>
    <w:rsid w:val="00C0079E"/>
    <w:rsid w:val="00C01595"/>
    <w:rsid w:val="00C01B13"/>
    <w:rsid w:val="00C033C4"/>
    <w:rsid w:val="00C0363E"/>
    <w:rsid w:val="00C04F08"/>
    <w:rsid w:val="00C0572A"/>
    <w:rsid w:val="00C05E02"/>
    <w:rsid w:val="00C06CD6"/>
    <w:rsid w:val="00C10362"/>
    <w:rsid w:val="00C1039F"/>
    <w:rsid w:val="00C1092B"/>
    <w:rsid w:val="00C10B14"/>
    <w:rsid w:val="00C11BCA"/>
    <w:rsid w:val="00C12440"/>
    <w:rsid w:val="00C13EBD"/>
    <w:rsid w:val="00C157BA"/>
    <w:rsid w:val="00C1631B"/>
    <w:rsid w:val="00C163AB"/>
    <w:rsid w:val="00C16641"/>
    <w:rsid w:val="00C170F0"/>
    <w:rsid w:val="00C20750"/>
    <w:rsid w:val="00C22003"/>
    <w:rsid w:val="00C239EF"/>
    <w:rsid w:val="00C23B0C"/>
    <w:rsid w:val="00C24282"/>
    <w:rsid w:val="00C256A8"/>
    <w:rsid w:val="00C25962"/>
    <w:rsid w:val="00C25FA6"/>
    <w:rsid w:val="00C2668E"/>
    <w:rsid w:val="00C2754A"/>
    <w:rsid w:val="00C27F2E"/>
    <w:rsid w:val="00C3099D"/>
    <w:rsid w:val="00C31898"/>
    <w:rsid w:val="00C32A95"/>
    <w:rsid w:val="00C33011"/>
    <w:rsid w:val="00C3345D"/>
    <w:rsid w:val="00C33F48"/>
    <w:rsid w:val="00C33FEA"/>
    <w:rsid w:val="00C362C1"/>
    <w:rsid w:val="00C36911"/>
    <w:rsid w:val="00C36922"/>
    <w:rsid w:val="00C36F65"/>
    <w:rsid w:val="00C40F99"/>
    <w:rsid w:val="00C41950"/>
    <w:rsid w:val="00C41E21"/>
    <w:rsid w:val="00C42C3B"/>
    <w:rsid w:val="00C4623B"/>
    <w:rsid w:val="00C46C51"/>
    <w:rsid w:val="00C50142"/>
    <w:rsid w:val="00C51672"/>
    <w:rsid w:val="00C538A9"/>
    <w:rsid w:val="00C53B5A"/>
    <w:rsid w:val="00C53CB4"/>
    <w:rsid w:val="00C53E41"/>
    <w:rsid w:val="00C54909"/>
    <w:rsid w:val="00C54AF3"/>
    <w:rsid w:val="00C54F5A"/>
    <w:rsid w:val="00C569B4"/>
    <w:rsid w:val="00C57DDE"/>
    <w:rsid w:val="00C57E3E"/>
    <w:rsid w:val="00C60821"/>
    <w:rsid w:val="00C6107F"/>
    <w:rsid w:val="00C61468"/>
    <w:rsid w:val="00C61A97"/>
    <w:rsid w:val="00C61E44"/>
    <w:rsid w:val="00C62AD4"/>
    <w:rsid w:val="00C63403"/>
    <w:rsid w:val="00C634F2"/>
    <w:rsid w:val="00C6460C"/>
    <w:rsid w:val="00C64FF3"/>
    <w:rsid w:val="00C662AD"/>
    <w:rsid w:val="00C66798"/>
    <w:rsid w:val="00C66A32"/>
    <w:rsid w:val="00C66C2C"/>
    <w:rsid w:val="00C67A92"/>
    <w:rsid w:val="00C67EB1"/>
    <w:rsid w:val="00C71280"/>
    <w:rsid w:val="00C717BF"/>
    <w:rsid w:val="00C71C00"/>
    <w:rsid w:val="00C71D03"/>
    <w:rsid w:val="00C75D89"/>
    <w:rsid w:val="00C76178"/>
    <w:rsid w:val="00C84560"/>
    <w:rsid w:val="00C84E24"/>
    <w:rsid w:val="00C86679"/>
    <w:rsid w:val="00C8671B"/>
    <w:rsid w:val="00C86AD7"/>
    <w:rsid w:val="00C8792F"/>
    <w:rsid w:val="00C90472"/>
    <w:rsid w:val="00C90580"/>
    <w:rsid w:val="00C91D6E"/>
    <w:rsid w:val="00C92B78"/>
    <w:rsid w:val="00C93D29"/>
    <w:rsid w:val="00C93F41"/>
    <w:rsid w:val="00C94AB0"/>
    <w:rsid w:val="00C959A2"/>
    <w:rsid w:val="00C96BCB"/>
    <w:rsid w:val="00C9732C"/>
    <w:rsid w:val="00C97769"/>
    <w:rsid w:val="00CA05BA"/>
    <w:rsid w:val="00CA0E7F"/>
    <w:rsid w:val="00CA10EF"/>
    <w:rsid w:val="00CA13B8"/>
    <w:rsid w:val="00CA3F74"/>
    <w:rsid w:val="00CA489E"/>
    <w:rsid w:val="00CA5E26"/>
    <w:rsid w:val="00CA6352"/>
    <w:rsid w:val="00CA74C5"/>
    <w:rsid w:val="00CA7969"/>
    <w:rsid w:val="00CB0279"/>
    <w:rsid w:val="00CB0BBE"/>
    <w:rsid w:val="00CB1CB6"/>
    <w:rsid w:val="00CB233B"/>
    <w:rsid w:val="00CB45C7"/>
    <w:rsid w:val="00CB49EE"/>
    <w:rsid w:val="00CB666B"/>
    <w:rsid w:val="00CB710E"/>
    <w:rsid w:val="00CB734B"/>
    <w:rsid w:val="00CB74F6"/>
    <w:rsid w:val="00CC058C"/>
    <w:rsid w:val="00CC1FCE"/>
    <w:rsid w:val="00CC31C5"/>
    <w:rsid w:val="00CC41B6"/>
    <w:rsid w:val="00CC5BAC"/>
    <w:rsid w:val="00CC6A64"/>
    <w:rsid w:val="00CC7102"/>
    <w:rsid w:val="00CC7585"/>
    <w:rsid w:val="00CC7638"/>
    <w:rsid w:val="00CC7ADA"/>
    <w:rsid w:val="00CC7F1D"/>
    <w:rsid w:val="00CD0A88"/>
    <w:rsid w:val="00CD0D3F"/>
    <w:rsid w:val="00CD125D"/>
    <w:rsid w:val="00CD283C"/>
    <w:rsid w:val="00CD2E86"/>
    <w:rsid w:val="00CD3641"/>
    <w:rsid w:val="00CD50D1"/>
    <w:rsid w:val="00CD5487"/>
    <w:rsid w:val="00CD66EA"/>
    <w:rsid w:val="00CD6FAE"/>
    <w:rsid w:val="00CD7432"/>
    <w:rsid w:val="00CE09F4"/>
    <w:rsid w:val="00CE0FA5"/>
    <w:rsid w:val="00CE2A23"/>
    <w:rsid w:val="00CE2AC4"/>
    <w:rsid w:val="00CE31C8"/>
    <w:rsid w:val="00CE32C1"/>
    <w:rsid w:val="00CE484B"/>
    <w:rsid w:val="00CE51D4"/>
    <w:rsid w:val="00CE7CBA"/>
    <w:rsid w:val="00CE7DE4"/>
    <w:rsid w:val="00CF0DEE"/>
    <w:rsid w:val="00CF0DFE"/>
    <w:rsid w:val="00CF380B"/>
    <w:rsid w:val="00CF42AA"/>
    <w:rsid w:val="00CF5EAA"/>
    <w:rsid w:val="00CF6468"/>
    <w:rsid w:val="00CF66A4"/>
    <w:rsid w:val="00CF6AE3"/>
    <w:rsid w:val="00CF7563"/>
    <w:rsid w:val="00CF77BB"/>
    <w:rsid w:val="00D006AE"/>
    <w:rsid w:val="00D00905"/>
    <w:rsid w:val="00D010C1"/>
    <w:rsid w:val="00D01CF0"/>
    <w:rsid w:val="00D01D61"/>
    <w:rsid w:val="00D0442A"/>
    <w:rsid w:val="00D04592"/>
    <w:rsid w:val="00D0734D"/>
    <w:rsid w:val="00D11F62"/>
    <w:rsid w:val="00D12A7B"/>
    <w:rsid w:val="00D12ADB"/>
    <w:rsid w:val="00D13069"/>
    <w:rsid w:val="00D134D8"/>
    <w:rsid w:val="00D13A5B"/>
    <w:rsid w:val="00D15E63"/>
    <w:rsid w:val="00D162A2"/>
    <w:rsid w:val="00D17DB2"/>
    <w:rsid w:val="00D20550"/>
    <w:rsid w:val="00D21FDC"/>
    <w:rsid w:val="00D23D85"/>
    <w:rsid w:val="00D24CC4"/>
    <w:rsid w:val="00D25A39"/>
    <w:rsid w:val="00D26106"/>
    <w:rsid w:val="00D26553"/>
    <w:rsid w:val="00D26821"/>
    <w:rsid w:val="00D27CFA"/>
    <w:rsid w:val="00D310FA"/>
    <w:rsid w:val="00D321C7"/>
    <w:rsid w:val="00D325C6"/>
    <w:rsid w:val="00D32644"/>
    <w:rsid w:val="00D33124"/>
    <w:rsid w:val="00D33DDA"/>
    <w:rsid w:val="00D34231"/>
    <w:rsid w:val="00D36638"/>
    <w:rsid w:val="00D37213"/>
    <w:rsid w:val="00D374B6"/>
    <w:rsid w:val="00D378AF"/>
    <w:rsid w:val="00D37DE1"/>
    <w:rsid w:val="00D410A7"/>
    <w:rsid w:val="00D41B02"/>
    <w:rsid w:val="00D42E74"/>
    <w:rsid w:val="00D4360D"/>
    <w:rsid w:val="00D45E89"/>
    <w:rsid w:val="00D45FC0"/>
    <w:rsid w:val="00D46374"/>
    <w:rsid w:val="00D525C3"/>
    <w:rsid w:val="00D53336"/>
    <w:rsid w:val="00D53528"/>
    <w:rsid w:val="00D53DC6"/>
    <w:rsid w:val="00D53EBC"/>
    <w:rsid w:val="00D5607F"/>
    <w:rsid w:val="00D56450"/>
    <w:rsid w:val="00D576DD"/>
    <w:rsid w:val="00D61388"/>
    <w:rsid w:val="00D61A54"/>
    <w:rsid w:val="00D62108"/>
    <w:rsid w:val="00D62759"/>
    <w:rsid w:val="00D63715"/>
    <w:rsid w:val="00D6426C"/>
    <w:rsid w:val="00D64AA4"/>
    <w:rsid w:val="00D64DEA"/>
    <w:rsid w:val="00D64F84"/>
    <w:rsid w:val="00D65C3C"/>
    <w:rsid w:val="00D65EB9"/>
    <w:rsid w:val="00D660A2"/>
    <w:rsid w:val="00D663CD"/>
    <w:rsid w:val="00D6726A"/>
    <w:rsid w:val="00D7001B"/>
    <w:rsid w:val="00D7086B"/>
    <w:rsid w:val="00D7160D"/>
    <w:rsid w:val="00D7168E"/>
    <w:rsid w:val="00D71E57"/>
    <w:rsid w:val="00D72D27"/>
    <w:rsid w:val="00D73287"/>
    <w:rsid w:val="00D73323"/>
    <w:rsid w:val="00D734B2"/>
    <w:rsid w:val="00D73787"/>
    <w:rsid w:val="00D74922"/>
    <w:rsid w:val="00D75392"/>
    <w:rsid w:val="00D7553C"/>
    <w:rsid w:val="00D75D96"/>
    <w:rsid w:val="00D76C4B"/>
    <w:rsid w:val="00D76CCF"/>
    <w:rsid w:val="00D77219"/>
    <w:rsid w:val="00D77484"/>
    <w:rsid w:val="00D7786B"/>
    <w:rsid w:val="00D77C96"/>
    <w:rsid w:val="00D80893"/>
    <w:rsid w:val="00D80CFC"/>
    <w:rsid w:val="00D814BF"/>
    <w:rsid w:val="00D81568"/>
    <w:rsid w:val="00D81DDC"/>
    <w:rsid w:val="00D82519"/>
    <w:rsid w:val="00D834C7"/>
    <w:rsid w:val="00D84123"/>
    <w:rsid w:val="00D84854"/>
    <w:rsid w:val="00D84D57"/>
    <w:rsid w:val="00D852C0"/>
    <w:rsid w:val="00D858AD"/>
    <w:rsid w:val="00D876A2"/>
    <w:rsid w:val="00D9021C"/>
    <w:rsid w:val="00D90860"/>
    <w:rsid w:val="00D91BE6"/>
    <w:rsid w:val="00D924AE"/>
    <w:rsid w:val="00D925D3"/>
    <w:rsid w:val="00D92CF1"/>
    <w:rsid w:val="00D92D38"/>
    <w:rsid w:val="00D932BF"/>
    <w:rsid w:val="00D933D9"/>
    <w:rsid w:val="00D934CB"/>
    <w:rsid w:val="00D93748"/>
    <w:rsid w:val="00D94707"/>
    <w:rsid w:val="00D950F5"/>
    <w:rsid w:val="00D95C06"/>
    <w:rsid w:val="00D95FAD"/>
    <w:rsid w:val="00D97332"/>
    <w:rsid w:val="00D97379"/>
    <w:rsid w:val="00D975E2"/>
    <w:rsid w:val="00D9762A"/>
    <w:rsid w:val="00D97998"/>
    <w:rsid w:val="00DA0029"/>
    <w:rsid w:val="00DA0A16"/>
    <w:rsid w:val="00DA3DC0"/>
    <w:rsid w:val="00DA4502"/>
    <w:rsid w:val="00DA4752"/>
    <w:rsid w:val="00DA4C09"/>
    <w:rsid w:val="00DA61F3"/>
    <w:rsid w:val="00DA6EA4"/>
    <w:rsid w:val="00DA7305"/>
    <w:rsid w:val="00DA7CB3"/>
    <w:rsid w:val="00DB0902"/>
    <w:rsid w:val="00DB0D00"/>
    <w:rsid w:val="00DB0F93"/>
    <w:rsid w:val="00DB1A67"/>
    <w:rsid w:val="00DB3721"/>
    <w:rsid w:val="00DB3C92"/>
    <w:rsid w:val="00DB5074"/>
    <w:rsid w:val="00DB5082"/>
    <w:rsid w:val="00DC0281"/>
    <w:rsid w:val="00DC0587"/>
    <w:rsid w:val="00DC1930"/>
    <w:rsid w:val="00DC1C76"/>
    <w:rsid w:val="00DC2A91"/>
    <w:rsid w:val="00DC2E9D"/>
    <w:rsid w:val="00DC33DC"/>
    <w:rsid w:val="00DC3411"/>
    <w:rsid w:val="00DC35AA"/>
    <w:rsid w:val="00DC3BF8"/>
    <w:rsid w:val="00DC42BF"/>
    <w:rsid w:val="00DC4863"/>
    <w:rsid w:val="00DC4DBF"/>
    <w:rsid w:val="00DC4E19"/>
    <w:rsid w:val="00DC65FE"/>
    <w:rsid w:val="00DC6909"/>
    <w:rsid w:val="00DC7981"/>
    <w:rsid w:val="00DD3498"/>
    <w:rsid w:val="00DD3A2F"/>
    <w:rsid w:val="00DD4C07"/>
    <w:rsid w:val="00DD4F4A"/>
    <w:rsid w:val="00DD56A5"/>
    <w:rsid w:val="00DD577D"/>
    <w:rsid w:val="00DD5ADC"/>
    <w:rsid w:val="00DD61AB"/>
    <w:rsid w:val="00DD7543"/>
    <w:rsid w:val="00DD7928"/>
    <w:rsid w:val="00DE1093"/>
    <w:rsid w:val="00DE315A"/>
    <w:rsid w:val="00DE343B"/>
    <w:rsid w:val="00DE3604"/>
    <w:rsid w:val="00DE4EFA"/>
    <w:rsid w:val="00DE53A8"/>
    <w:rsid w:val="00DE5449"/>
    <w:rsid w:val="00DE5520"/>
    <w:rsid w:val="00DE563D"/>
    <w:rsid w:val="00DE5F48"/>
    <w:rsid w:val="00DE7AB5"/>
    <w:rsid w:val="00DF0152"/>
    <w:rsid w:val="00DF01AF"/>
    <w:rsid w:val="00DF1958"/>
    <w:rsid w:val="00DF1D6D"/>
    <w:rsid w:val="00DF3498"/>
    <w:rsid w:val="00DF3667"/>
    <w:rsid w:val="00DF51C8"/>
    <w:rsid w:val="00DF5EE7"/>
    <w:rsid w:val="00E00822"/>
    <w:rsid w:val="00E030C8"/>
    <w:rsid w:val="00E046E3"/>
    <w:rsid w:val="00E04818"/>
    <w:rsid w:val="00E04B61"/>
    <w:rsid w:val="00E04E6D"/>
    <w:rsid w:val="00E04EDB"/>
    <w:rsid w:val="00E05E0D"/>
    <w:rsid w:val="00E06003"/>
    <w:rsid w:val="00E06211"/>
    <w:rsid w:val="00E06442"/>
    <w:rsid w:val="00E06952"/>
    <w:rsid w:val="00E10AD6"/>
    <w:rsid w:val="00E11E61"/>
    <w:rsid w:val="00E14A8C"/>
    <w:rsid w:val="00E14B35"/>
    <w:rsid w:val="00E154E4"/>
    <w:rsid w:val="00E157B2"/>
    <w:rsid w:val="00E16055"/>
    <w:rsid w:val="00E22CCC"/>
    <w:rsid w:val="00E2332D"/>
    <w:rsid w:val="00E23993"/>
    <w:rsid w:val="00E2574F"/>
    <w:rsid w:val="00E25951"/>
    <w:rsid w:val="00E25B8C"/>
    <w:rsid w:val="00E27440"/>
    <w:rsid w:val="00E2793D"/>
    <w:rsid w:val="00E27A28"/>
    <w:rsid w:val="00E309BA"/>
    <w:rsid w:val="00E30BB4"/>
    <w:rsid w:val="00E3139F"/>
    <w:rsid w:val="00E31CF6"/>
    <w:rsid w:val="00E324F1"/>
    <w:rsid w:val="00E34A4A"/>
    <w:rsid w:val="00E35AFC"/>
    <w:rsid w:val="00E36A38"/>
    <w:rsid w:val="00E37BC1"/>
    <w:rsid w:val="00E37DFD"/>
    <w:rsid w:val="00E408BC"/>
    <w:rsid w:val="00E412E9"/>
    <w:rsid w:val="00E41D39"/>
    <w:rsid w:val="00E42AD2"/>
    <w:rsid w:val="00E430A9"/>
    <w:rsid w:val="00E4366D"/>
    <w:rsid w:val="00E438D9"/>
    <w:rsid w:val="00E441E9"/>
    <w:rsid w:val="00E442CD"/>
    <w:rsid w:val="00E44852"/>
    <w:rsid w:val="00E45B4B"/>
    <w:rsid w:val="00E46B83"/>
    <w:rsid w:val="00E4794C"/>
    <w:rsid w:val="00E50A02"/>
    <w:rsid w:val="00E54106"/>
    <w:rsid w:val="00E54697"/>
    <w:rsid w:val="00E54782"/>
    <w:rsid w:val="00E5584C"/>
    <w:rsid w:val="00E569E0"/>
    <w:rsid w:val="00E57A08"/>
    <w:rsid w:val="00E60DB1"/>
    <w:rsid w:val="00E61F7C"/>
    <w:rsid w:val="00E63248"/>
    <w:rsid w:val="00E632E3"/>
    <w:rsid w:val="00E63631"/>
    <w:rsid w:val="00E6480E"/>
    <w:rsid w:val="00E64B83"/>
    <w:rsid w:val="00E64C2A"/>
    <w:rsid w:val="00E65C85"/>
    <w:rsid w:val="00E66199"/>
    <w:rsid w:val="00E70526"/>
    <w:rsid w:val="00E741CD"/>
    <w:rsid w:val="00E753D5"/>
    <w:rsid w:val="00E754B4"/>
    <w:rsid w:val="00E755EC"/>
    <w:rsid w:val="00E7624D"/>
    <w:rsid w:val="00E765AA"/>
    <w:rsid w:val="00E81724"/>
    <w:rsid w:val="00E819A4"/>
    <w:rsid w:val="00E81AD9"/>
    <w:rsid w:val="00E833FA"/>
    <w:rsid w:val="00E83725"/>
    <w:rsid w:val="00E84B74"/>
    <w:rsid w:val="00E85904"/>
    <w:rsid w:val="00E85963"/>
    <w:rsid w:val="00E85C92"/>
    <w:rsid w:val="00E86A11"/>
    <w:rsid w:val="00E87066"/>
    <w:rsid w:val="00E90210"/>
    <w:rsid w:val="00E90969"/>
    <w:rsid w:val="00E95274"/>
    <w:rsid w:val="00E9545B"/>
    <w:rsid w:val="00E966BF"/>
    <w:rsid w:val="00E96933"/>
    <w:rsid w:val="00E969A2"/>
    <w:rsid w:val="00EA0C04"/>
    <w:rsid w:val="00EA2275"/>
    <w:rsid w:val="00EA3371"/>
    <w:rsid w:val="00EA3D42"/>
    <w:rsid w:val="00EA4033"/>
    <w:rsid w:val="00EA405F"/>
    <w:rsid w:val="00EA45A5"/>
    <w:rsid w:val="00EA6B1B"/>
    <w:rsid w:val="00EA7E80"/>
    <w:rsid w:val="00EB1048"/>
    <w:rsid w:val="00EB1264"/>
    <w:rsid w:val="00EB1999"/>
    <w:rsid w:val="00EB1CBD"/>
    <w:rsid w:val="00EB2099"/>
    <w:rsid w:val="00EB22C0"/>
    <w:rsid w:val="00EB3A34"/>
    <w:rsid w:val="00EB3C3F"/>
    <w:rsid w:val="00EB3C51"/>
    <w:rsid w:val="00EB62CE"/>
    <w:rsid w:val="00EC04F1"/>
    <w:rsid w:val="00EC06CA"/>
    <w:rsid w:val="00EC135B"/>
    <w:rsid w:val="00EC237F"/>
    <w:rsid w:val="00EC29C7"/>
    <w:rsid w:val="00EC4511"/>
    <w:rsid w:val="00EC573A"/>
    <w:rsid w:val="00EC59C1"/>
    <w:rsid w:val="00ED31A0"/>
    <w:rsid w:val="00ED35C8"/>
    <w:rsid w:val="00ED3968"/>
    <w:rsid w:val="00ED40C7"/>
    <w:rsid w:val="00ED59E6"/>
    <w:rsid w:val="00ED6C0D"/>
    <w:rsid w:val="00ED7323"/>
    <w:rsid w:val="00ED7C70"/>
    <w:rsid w:val="00EE03D2"/>
    <w:rsid w:val="00EE18F1"/>
    <w:rsid w:val="00EE2710"/>
    <w:rsid w:val="00EE28BF"/>
    <w:rsid w:val="00EE28F3"/>
    <w:rsid w:val="00EE31F2"/>
    <w:rsid w:val="00EE424F"/>
    <w:rsid w:val="00EE4769"/>
    <w:rsid w:val="00EE50D1"/>
    <w:rsid w:val="00EE7614"/>
    <w:rsid w:val="00EF023F"/>
    <w:rsid w:val="00EF1860"/>
    <w:rsid w:val="00EF1D53"/>
    <w:rsid w:val="00EF2B5B"/>
    <w:rsid w:val="00EF2EF9"/>
    <w:rsid w:val="00EF5110"/>
    <w:rsid w:val="00EF5890"/>
    <w:rsid w:val="00EF5ECF"/>
    <w:rsid w:val="00EF70B0"/>
    <w:rsid w:val="00EF76BA"/>
    <w:rsid w:val="00F003BA"/>
    <w:rsid w:val="00F0149E"/>
    <w:rsid w:val="00F01930"/>
    <w:rsid w:val="00F0231A"/>
    <w:rsid w:val="00F02F13"/>
    <w:rsid w:val="00F03463"/>
    <w:rsid w:val="00F036B7"/>
    <w:rsid w:val="00F0683C"/>
    <w:rsid w:val="00F0700F"/>
    <w:rsid w:val="00F07A23"/>
    <w:rsid w:val="00F07F1F"/>
    <w:rsid w:val="00F10411"/>
    <w:rsid w:val="00F10A9A"/>
    <w:rsid w:val="00F11B2D"/>
    <w:rsid w:val="00F11B39"/>
    <w:rsid w:val="00F121C2"/>
    <w:rsid w:val="00F1485B"/>
    <w:rsid w:val="00F14AAF"/>
    <w:rsid w:val="00F15882"/>
    <w:rsid w:val="00F16476"/>
    <w:rsid w:val="00F16AC8"/>
    <w:rsid w:val="00F170C7"/>
    <w:rsid w:val="00F171E0"/>
    <w:rsid w:val="00F20143"/>
    <w:rsid w:val="00F20BD3"/>
    <w:rsid w:val="00F2259F"/>
    <w:rsid w:val="00F22D65"/>
    <w:rsid w:val="00F2382D"/>
    <w:rsid w:val="00F262BC"/>
    <w:rsid w:val="00F26F66"/>
    <w:rsid w:val="00F2722C"/>
    <w:rsid w:val="00F275F0"/>
    <w:rsid w:val="00F301D3"/>
    <w:rsid w:val="00F30884"/>
    <w:rsid w:val="00F316CE"/>
    <w:rsid w:val="00F318FE"/>
    <w:rsid w:val="00F320CB"/>
    <w:rsid w:val="00F322E9"/>
    <w:rsid w:val="00F3231B"/>
    <w:rsid w:val="00F33321"/>
    <w:rsid w:val="00F33808"/>
    <w:rsid w:val="00F35F63"/>
    <w:rsid w:val="00F364A7"/>
    <w:rsid w:val="00F36676"/>
    <w:rsid w:val="00F373A5"/>
    <w:rsid w:val="00F37864"/>
    <w:rsid w:val="00F404F9"/>
    <w:rsid w:val="00F435A2"/>
    <w:rsid w:val="00F44B0A"/>
    <w:rsid w:val="00F44EA1"/>
    <w:rsid w:val="00F45584"/>
    <w:rsid w:val="00F45724"/>
    <w:rsid w:val="00F46B5A"/>
    <w:rsid w:val="00F47559"/>
    <w:rsid w:val="00F50B30"/>
    <w:rsid w:val="00F5113E"/>
    <w:rsid w:val="00F51F3E"/>
    <w:rsid w:val="00F51F5F"/>
    <w:rsid w:val="00F5201D"/>
    <w:rsid w:val="00F52C6D"/>
    <w:rsid w:val="00F52D75"/>
    <w:rsid w:val="00F55582"/>
    <w:rsid w:val="00F56849"/>
    <w:rsid w:val="00F57647"/>
    <w:rsid w:val="00F6179A"/>
    <w:rsid w:val="00F61D40"/>
    <w:rsid w:val="00F61ED5"/>
    <w:rsid w:val="00F62A14"/>
    <w:rsid w:val="00F63049"/>
    <w:rsid w:val="00F63D85"/>
    <w:rsid w:val="00F63F5A"/>
    <w:rsid w:val="00F644AB"/>
    <w:rsid w:val="00F64C7B"/>
    <w:rsid w:val="00F6620A"/>
    <w:rsid w:val="00F66B69"/>
    <w:rsid w:val="00F670A9"/>
    <w:rsid w:val="00F673AE"/>
    <w:rsid w:val="00F676DD"/>
    <w:rsid w:val="00F67AB6"/>
    <w:rsid w:val="00F70028"/>
    <w:rsid w:val="00F703AF"/>
    <w:rsid w:val="00F70434"/>
    <w:rsid w:val="00F7142A"/>
    <w:rsid w:val="00F73394"/>
    <w:rsid w:val="00F7435C"/>
    <w:rsid w:val="00F749D6"/>
    <w:rsid w:val="00F75A26"/>
    <w:rsid w:val="00F76224"/>
    <w:rsid w:val="00F76706"/>
    <w:rsid w:val="00F76AA7"/>
    <w:rsid w:val="00F77641"/>
    <w:rsid w:val="00F77B4A"/>
    <w:rsid w:val="00F77D6D"/>
    <w:rsid w:val="00F80206"/>
    <w:rsid w:val="00F8242D"/>
    <w:rsid w:val="00F8254B"/>
    <w:rsid w:val="00F8262E"/>
    <w:rsid w:val="00F83034"/>
    <w:rsid w:val="00F83452"/>
    <w:rsid w:val="00F83FAD"/>
    <w:rsid w:val="00F8425D"/>
    <w:rsid w:val="00F844C6"/>
    <w:rsid w:val="00F84C0D"/>
    <w:rsid w:val="00F85E40"/>
    <w:rsid w:val="00F86221"/>
    <w:rsid w:val="00F867C2"/>
    <w:rsid w:val="00F86EDB"/>
    <w:rsid w:val="00F8720B"/>
    <w:rsid w:val="00F90405"/>
    <w:rsid w:val="00F909CB"/>
    <w:rsid w:val="00F92FA6"/>
    <w:rsid w:val="00F92FB7"/>
    <w:rsid w:val="00F9353B"/>
    <w:rsid w:val="00F937F1"/>
    <w:rsid w:val="00F94118"/>
    <w:rsid w:val="00F946A9"/>
    <w:rsid w:val="00F948C5"/>
    <w:rsid w:val="00F950E9"/>
    <w:rsid w:val="00F952A0"/>
    <w:rsid w:val="00F956AD"/>
    <w:rsid w:val="00FA06EA"/>
    <w:rsid w:val="00FA1779"/>
    <w:rsid w:val="00FA1AC5"/>
    <w:rsid w:val="00FA28B2"/>
    <w:rsid w:val="00FA31B1"/>
    <w:rsid w:val="00FA3320"/>
    <w:rsid w:val="00FA3C7F"/>
    <w:rsid w:val="00FA6246"/>
    <w:rsid w:val="00FB09FA"/>
    <w:rsid w:val="00FB24ED"/>
    <w:rsid w:val="00FB3304"/>
    <w:rsid w:val="00FB5005"/>
    <w:rsid w:val="00FB53DA"/>
    <w:rsid w:val="00FB60FE"/>
    <w:rsid w:val="00FB7339"/>
    <w:rsid w:val="00FB74E2"/>
    <w:rsid w:val="00FB76DB"/>
    <w:rsid w:val="00FB778B"/>
    <w:rsid w:val="00FC1012"/>
    <w:rsid w:val="00FC3923"/>
    <w:rsid w:val="00FC3B2F"/>
    <w:rsid w:val="00FC4EB5"/>
    <w:rsid w:val="00FC4F1F"/>
    <w:rsid w:val="00FC564E"/>
    <w:rsid w:val="00FC572B"/>
    <w:rsid w:val="00FD4633"/>
    <w:rsid w:val="00FD5614"/>
    <w:rsid w:val="00FD5A1E"/>
    <w:rsid w:val="00FD5E78"/>
    <w:rsid w:val="00FD6DCC"/>
    <w:rsid w:val="00FD6F19"/>
    <w:rsid w:val="00FD7D29"/>
    <w:rsid w:val="00FD7DB2"/>
    <w:rsid w:val="00FE0359"/>
    <w:rsid w:val="00FE0BE1"/>
    <w:rsid w:val="00FE11BB"/>
    <w:rsid w:val="00FE1DE9"/>
    <w:rsid w:val="00FE36AF"/>
    <w:rsid w:val="00FE39C2"/>
    <w:rsid w:val="00FE3C32"/>
    <w:rsid w:val="00FE55A0"/>
    <w:rsid w:val="00FE64AE"/>
    <w:rsid w:val="00FF05E7"/>
    <w:rsid w:val="00FF0B2D"/>
    <w:rsid w:val="00FF137D"/>
    <w:rsid w:val="00FF182E"/>
    <w:rsid w:val="00FF2063"/>
    <w:rsid w:val="00FF3EAC"/>
    <w:rsid w:val="00FF3F8E"/>
    <w:rsid w:val="00FF4627"/>
    <w:rsid w:val="00FF4E87"/>
    <w:rsid w:val="00FF5B87"/>
    <w:rsid w:val="00FF5F06"/>
    <w:rsid w:val="00FF6D71"/>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0"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BE4B8E"/>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7925FB"/>
    <w:pPr>
      <w:spacing w:before="0" w:line="240" w:lineRule="auto"/>
    </w:pPr>
  </w:style>
  <w:style w:type="character" w:customStyle="1" w:styleId="NoteHeadingChar">
    <w:name w:val="Note Heading Char"/>
    <w:basedOn w:val="DefaultParagraphFont"/>
    <w:link w:val="NoteHeading"/>
    <w:uiPriority w:val="99"/>
    <w:rsid w:val="007925F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0"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BE4B8E"/>
    <w:pPr>
      <w:spacing w:line="276" w:lineRule="auto"/>
    </w:pPr>
    <w:rPr>
      <w:rFonts w:ascii="Arial" w:hAnsi="Arial"/>
    </w:rPr>
  </w:style>
  <w:style w:type="paragraph" w:styleId="Heading1">
    <w:name w:val="heading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197F40"/>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97F40"/>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7925FB"/>
    <w:pPr>
      <w:spacing w:before="0" w:line="240" w:lineRule="auto"/>
    </w:pPr>
  </w:style>
  <w:style w:type="character" w:customStyle="1" w:styleId="NoteHeadingChar">
    <w:name w:val="Note Heading Char"/>
    <w:basedOn w:val="DefaultParagraphFont"/>
    <w:link w:val="NoteHeading"/>
    <w:uiPriority w:val="99"/>
    <w:rsid w:val="007925F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921">
      <w:bodyDiv w:val="1"/>
      <w:marLeft w:val="0"/>
      <w:marRight w:val="0"/>
      <w:marTop w:val="0"/>
      <w:marBottom w:val="0"/>
      <w:divBdr>
        <w:top w:val="none" w:sz="0" w:space="0" w:color="auto"/>
        <w:left w:val="none" w:sz="0" w:space="0" w:color="auto"/>
        <w:bottom w:val="none" w:sz="0" w:space="0" w:color="auto"/>
        <w:right w:val="none" w:sz="0" w:space="0" w:color="auto"/>
      </w:divBdr>
    </w:div>
    <w:div w:id="97995497">
      <w:bodyDiv w:val="1"/>
      <w:marLeft w:val="0"/>
      <w:marRight w:val="0"/>
      <w:marTop w:val="0"/>
      <w:marBottom w:val="0"/>
      <w:divBdr>
        <w:top w:val="none" w:sz="0" w:space="0" w:color="auto"/>
        <w:left w:val="none" w:sz="0" w:space="0" w:color="auto"/>
        <w:bottom w:val="none" w:sz="0" w:space="0" w:color="auto"/>
        <w:right w:val="none" w:sz="0" w:space="0" w:color="auto"/>
      </w:divBdr>
      <w:divsChild>
        <w:div w:id="1744719854">
          <w:marLeft w:val="547"/>
          <w:marRight w:val="0"/>
          <w:marTop w:val="0"/>
          <w:marBottom w:val="0"/>
          <w:divBdr>
            <w:top w:val="none" w:sz="0" w:space="0" w:color="auto"/>
            <w:left w:val="none" w:sz="0" w:space="0" w:color="auto"/>
            <w:bottom w:val="none" w:sz="0" w:space="0" w:color="auto"/>
            <w:right w:val="none" w:sz="0" w:space="0" w:color="auto"/>
          </w:divBdr>
        </w:div>
      </w:divsChild>
    </w:div>
    <w:div w:id="159394480">
      <w:bodyDiv w:val="1"/>
      <w:marLeft w:val="0"/>
      <w:marRight w:val="0"/>
      <w:marTop w:val="0"/>
      <w:marBottom w:val="0"/>
      <w:divBdr>
        <w:top w:val="none" w:sz="0" w:space="0" w:color="auto"/>
        <w:left w:val="none" w:sz="0" w:space="0" w:color="auto"/>
        <w:bottom w:val="none" w:sz="0" w:space="0" w:color="auto"/>
        <w:right w:val="none" w:sz="0" w:space="0" w:color="auto"/>
      </w:divBdr>
      <w:divsChild>
        <w:div w:id="1842767819">
          <w:marLeft w:val="547"/>
          <w:marRight w:val="0"/>
          <w:marTop w:val="0"/>
          <w:marBottom w:val="0"/>
          <w:divBdr>
            <w:top w:val="none" w:sz="0" w:space="0" w:color="auto"/>
            <w:left w:val="none" w:sz="0" w:space="0" w:color="auto"/>
            <w:bottom w:val="none" w:sz="0" w:space="0" w:color="auto"/>
            <w:right w:val="none" w:sz="0" w:space="0" w:color="auto"/>
          </w:divBdr>
        </w:div>
      </w:divsChild>
    </w:div>
    <w:div w:id="159396514">
      <w:bodyDiv w:val="1"/>
      <w:marLeft w:val="0"/>
      <w:marRight w:val="0"/>
      <w:marTop w:val="0"/>
      <w:marBottom w:val="0"/>
      <w:divBdr>
        <w:top w:val="none" w:sz="0" w:space="0" w:color="auto"/>
        <w:left w:val="none" w:sz="0" w:space="0" w:color="auto"/>
        <w:bottom w:val="none" w:sz="0" w:space="0" w:color="auto"/>
        <w:right w:val="none" w:sz="0" w:space="0" w:color="auto"/>
      </w:divBdr>
      <w:divsChild>
        <w:div w:id="2024669241">
          <w:marLeft w:val="547"/>
          <w:marRight w:val="0"/>
          <w:marTop w:val="0"/>
          <w:marBottom w:val="0"/>
          <w:divBdr>
            <w:top w:val="none" w:sz="0" w:space="0" w:color="auto"/>
            <w:left w:val="none" w:sz="0" w:space="0" w:color="auto"/>
            <w:bottom w:val="none" w:sz="0" w:space="0" w:color="auto"/>
            <w:right w:val="none" w:sz="0" w:space="0" w:color="auto"/>
          </w:divBdr>
        </w:div>
      </w:divsChild>
    </w:div>
    <w:div w:id="172837718">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18128327">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226647271">
      <w:bodyDiv w:val="1"/>
      <w:marLeft w:val="0"/>
      <w:marRight w:val="0"/>
      <w:marTop w:val="0"/>
      <w:marBottom w:val="0"/>
      <w:divBdr>
        <w:top w:val="none" w:sz="0" w:space="0" w:color="auto"/>
        <w:left w:val="none" w:sz="0" w:space="0" w:color="auto"/>
        <w:bottom w:val="none" w:sz="0" w:space="0" w:color="auto"/>
        <w:right w:val="none" w:sz="0" w:space="0" w:color="auto"/>
      </w:divBdr>
    </w:div>
    <w:div w:id="281771513">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91970">
      <w:bodyDiv w:val="1"/>
      <w:marLeft w:val="0"/>
      <w:marRight w:val="0"/>
      <w:marTop w:val="0"/>
      <w:marBottom w:val="0"/>
      <w:divBdr>
        <w:top w:val="none" w:sz="0" w:space="0" w:color="auto"/>
        <w:left w:val="none" w:sz="0" w:space="0" w:color="auto"/>
        <w:bottom w:val="none" w:sz="0" w:space="0" w:color="auto"/>
        <w:right w:val="none" w:sz="0" w:space="0" w:color="auto"/>
      </w:divBdr>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592327">
      <w:bodyDiv w:val="1"/>
      <w:marLeft w:val="0"/>
      <w:marRight w:val="0"/>
      <w:marTop w:val="0"/>
      <w:marBottom w:val="0"/>
      <w:divBdr>
        <w:top w:val="none" w:sz="0" w:space="0" w:color="auto"/>
        <w:left w:val="none" w:sz="0" w:space="0" w:color="auto"/>
        <w:bottom w:val="none" w:sz="0" w:space="0" w:color="auto"/>
        <w:right w:val="none" w:sz="0" w:space="0" w:color="auto"/>
      </w:divBdr>
    </w:div>
    <w:div w:id="1100489510">
      <w:bodyDiv w:val="1"/>
      <w:marLeft w:val="0"/>
      <w:marRight w:val="0"/>
      <w:marTop w:val="0"/>
      <w:marBottom w:val="0"/>
      <w:divBdr>
        <w:top w:val="none" w:sz="0" w:space="0" w:color="auto"/>
        <w:left w:val="none" w:sz="0" w:space="0" w:color="auto"/>
        <w:bottom w:val="none" w:sz="0" w:space="0" w:color="auto"/>
        <w:right w:val="none" w:sz="0" w:space="0" w:color="auto"/>
      </w:divBdr>
    </w:div>
    <w:div w:id="1190412228">
      <w:bodyDiv w:val="1"/>
      <w:marLeft w:val="0"/>
      <w:marRight w:val="0"/>
      <w:marTop w:val="0"/>
      <w:marBottom w:val="0"/>
      <w:divBdr>
        <w:top w:val="none" w:sz="0" w:space="0" w:color="auto"/>
        <w:left w:val="none" w:sz="0" w:space="0" w:color="auto"/>
        <w:bottom w:val="none" w:sz="0" w:space="0" w:color="auto"/>
        <w:right w:val="none" w:sz="0" w:space="0" w:color="auto"/>
      </w:divBdr>
    </w:div>
    <w:div w:id="1243489537">
      <w:bodyDiv w:val="1"/>
      <w:marLeft w:val="0"/>
      <w:marRight w:val="0"/>
      <w:marTop w:val="0"/>
      <w:marBottom w:val="0"/>
      <w:divBdr>
        <w:top w:val="none" w:sz="0" w:space="0" w:color="auto"/>
        <w:left w:val="none" w:sz="0" w:space="0" w:color="auto"/>
        <w:bottom w:val="none" w:sz="0" w:space="0" w:color="auto"/>
        <w:right w:val="none" w:sz="0" w:space="0" w:color="auto"/>
      </w:divBdr>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312713058">
      <w:bodyDiv w:val="1"/>
      <w:marLeft w:val="0"/>
      <w:marRight w:val="0"/>
      <w:marTop w:val="0"/>
      <w:marBottom w:val="0"/>
      <w:divBdr>
        <w:top w:val="none" w:sz="0" w:space="0" w:color="auto"/>
        <w:left w:val="none" w:sz="0" w:space="0" w:color="auto"/>
        <w:bottom w:val="none" w:sz="0" w:space="0" w:color="auto"/>
        <w:right w:val="none" w:sz="0" w:space="0" w:color="auto"/>
      </w:divBdr>
    </w:div>
    <w:div w:id="1387073706">
      <w:bodyDiv w:val="1"/>
      <w:marLeft w:val="0"/>
      <w:marRight w:val="0"/>
      <w:marTop w:val="0"/>
      <w:marBottom w:val="0"/>
      <w:divBdr>
        <w:top w:val="none" w:sz="0" w:space="0" w:color="auto"/>
        <w:left w:val="none" w:sz="0" w:space="0" w:color="auto"/>
        <w:bottom w:val="none" w:sz="0" w:space="0" w:color="auto"/>
        <w:right w:val="none" w:sz="0" w:space="0" w:color="auto"/>
      </w:divBdr>
    </w:div>
    <w:div w:id="1420444916">
      <w:bodyDiv w:val="1"/>
      <w:marLeft w:val="0"/>
      <w:marRight w:val="0"/>
      <w:marTop w:val="0"/>
      <w:marBottom w:val="0"/>
      <w:divBdr>
        <w:top w:val="none" w:sz="0" w:space="0" w:color="auto"/>
        <w:left w:val="none" w:sz="0" w:space="0" w:color="auto"/>
        <w:bottom w:val="none" w:sz="0" w:space="0" w:color="auto"/>
        <w:right w:val="none" w:sz="0" w:space="0" w:color="auto"/>
      </w:divBdr>
    </w:div>
    <w:div w:id="1495100164">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569220410">
      <w:bodyDiv w:val="1"/>
      <w:marLeft w:val="0"/>
      <w:marRight w:val="0"/>
      <w:marTop w:val="0"/>
      <w:marBottom w:val="0"/>
      <w:divBdr>
        <w:top w:val="none" w:sz="0" w:space="0" w:color="auto"/>
        <w:left w:val="none" w:sz="0" w:space="0" w:color="auto"/>
        <w:bottom w:val="none" w:sz="0" w:space="0" w:color="auto"/>
        <w:right w:val="none" w:sz="0" w:space="0" w:color="auto"/>
      </w:divBdr>
    </w:div>
    <w:div w:id="1576207852">
      <w:bodyDiv w:val="1"/>
      <w:marLeft w:val="0"/>
      <w:marRight w:val="0"/>
      <w:marTop w:val="0"/>
      <w:marBottom w:val="0"/>
      <w:divBdr>
        <w:top w:val="none" w:sz="0" w:space="0" w:color="auto"/>
        <w:left w:val="none" w:sz="0" w:space="0" w:color="auto"/>
        <w:bottom w:val="none" w:sz="0" w:space="0" w:color="auto"/>
        <w:right w:val="none" w:sz="0" w:space="0" w:color="auto"/>
      </w:divBdr>
    </w:div>
    <w:div w:id="1675379699">
      <w:bodyDiv w:val="1"/>
      <w:marLeft w:val="0"/>
      <w:marRight w:val="0"/>
      <w:marTop w:val="0"/>
      <w:marBottom w:val="0"/>
      <w:divBdr>
        <w:top w:val="none" w:sz="0" w:space="0" w:color="auto"/>
        <w:left w:val="none" w:sz="0" w:space="0" w:color="auto"/>
        <w:bottom w:val="none" w:sz="0" w:space="0" w:color="auto"/>
        <w:right w:val="none" w:sz="0" w:space="0" w:color="auto"/>
      </w:divBdr>
      <w:divsChild>
        <w:div w:id="1733235252">
          <w:marLeft w:val="547"/>
          <w:marRight w:val="0"/>
          <w:marTop w:val="0"/>
          <w:marBottom w:val="0"/>
          <w:divBdr>
            <w:top w:val="none" w:sz="0" w:space="0" w:color="auto"/>
            <w:left w:val="none" w:sz="0" w:space="0" w:color="auto"/>
            <w:bottom w:val="none" w:sz="0" w:space="0" w:color="auto"/>
            <w:right w:val="none" w:sz="0" w:space="0" w:color="auto"/>
          </w:divBdr>
        </w:div>
      </w:divsChild>
    </w:div>
    <w:div w:id="1754353886">
      <w:bodyDiv w:val="1"/>
      <w:marLeft w:val="0"/>
      <w:marRight w:val="0"/>
      <w:marTop w:val="0"/>
      <w:marBottom w:val="0"/>
      <w:divBdr>
        <w:top w:val="none" w:sz="0" w:space="0" w:color="auto"/>
        <w:left w:val="none" w:sz="0" w:space="0" w:color="auto"/>
        <w:bottom w:val="none" w:sz="0" w:space="0" w:color="auto"/>
        <w:right w:val="none" w:sz="0" w:space="0" w:color="auto"/>
      </w:divBdr>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083724">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74967541">
      <w:bodyDiv w:val="1"/>
      <w:marLeft w:val="0"/>
      <w:marRight w:val="0"/>
      <w:marTop w:val="0"/>
      <w:marBottom w:val="0"/>
      <w:divBdr>
        <w:top w:val="none" w:sz="0" w:space="0" w:color="auto"/>
        <w:left w:val="none" w:sz="0" w:space="0" w:color="auto"/>
        <w:bottom w:val="none" w:sz="0" w:space="0" w:color="auto"/>
        <w:right w:val="none" w:sz="0" w:space="0" w:color="auto"/>
      </w:divBdr>
      <w:divsChild>
        <w:div w:id="1006446855">
          <w:marLeft w:val="547"/>
          <w:marRight w:val="0"/>
          <w:marTop w:val="0"/>
          <w:marBottom w:val="0"/>
          <w:divBdr>
            <w:top w:val="none" w:sz="0" w:space="0" w:color="auto"/>
            <w:left w:val="none" w:sz="0" w:space="0" w:color="auto"/>
            <w:bottom w:val="none" w:sz="0" w:space="0" w:color="auto"/>
            <w:right w:val="none" w:sz="0" w:space="0" w:color="auto"/>
          </w:divBdr>
        </w:div>
      </w:divsChild>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 w:id="21281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M@aer.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DM@aer.gov.au"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brunybatterytrial.org/" TargetMode="External"/><Relationship Id="rId1" Type="http://schemas.openxmlformats.org/officeDocument/2006/relationships/hyperlink" Target="https://www.aer.gov.au/networks-pipelines/guidelines-schemes-models-reviews/demand-management-incentive-scheme-and-innovation-allowance-mechanism/initi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2C8EEF-0DF2-494C-A49D-247DA340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BC816275</Template>
  <TotalTime>0</TotalTime>
  <Pages>34</Pages>
  <Words>9842</Words>
  <Characters>56100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2017-08-25T03:01:00Z</dcterms:created>
  <dcterms:modified xsi:type="dcterms:W3CDTF">2017-08-25T03:09:00Z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