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9FBF57" w14:textId="5B8EAFBD" w:rsidR="00400E65" w:rsidRDefault="00400E65" w:rsidP="00400E65">
      <w:pPr>
        <w:pStyle w:val="AERFactsheetHeading1"/>
      </w:pPr>
      <w:bookmarkStart w:id="0" w:name="_GoBack"/>
      <w:bookmarkEnd w:id="0"/>
      <w:r>
        <w:t xml:space="preserve">What </w:t>
      </w:r>
      <w:r w:rsidR="00CE7914">
        <w:t xml:space="preserve">cost </w:t>
      </w:r>
      <w:r w:rsidR="006E2EB1">
        <w:t>benefit analysis</w:t>
      </w:r>
      <w:r w:rsidR="000F5A2D">
        <w:t xml:space="preserve"> underpins network investment</w:t>
      </w:r>
      <w:r>
        <w:t>?</w:t>
      </w:r>
    </w:p>
    <w:p w14:paraId="3CB94D12" w14:textId="7AE2446F" w:rsidR="0002771E" w:rsidRDefault="006E2EB1" w:rsidP="006E2EB1">
      <w:pPr>
        <w:pStyle w:val="AERfactsheetbodytext"/>
      </w:pPr>
      <w:r>
        <w:t xml:space="preserve">In the National Electricity Market (Market), </w:t>
      </w:r>
      <w:r w:rsidR="00E87302">
        <w:t xml:space="preserve">when a </w:t>
      </w:r>
      <w:r w:rsidR="00682F6C">
        <w:t>network business</w:t>
      </w:r>
      <w:r w:rsidR="00E87302">
        <w:t xml:space="preserve"> is considering making a large investment, it must</w:t>
      </w:r>
      <w:r w:rsidR="00682F6C">
        <w:t xml:space="preserve"> apply</w:t>
      </w:r>
      <w:r w:rsidR="00CE7914">
        <w:t xml:space="preserve"> a cost </w:t>
      </w:r>
      <w:r>
        <w:t>benefit analysis</w:t>
      </w:r>
      <w:r w:rsidR="00682F6C">
        <w:t xml:space="preserve"> to select the best way to meet </w:t>
      </w:r>
      <w:r w:rsidR="00E87302">
        <w:t>th</w:t>
      </w:r>
      <w:r w:rsidR="009A1996">
        <w:t>e need for that</w:t>
      </w:r>
      <w:r w:rsidR="00E87302">
        <w:t xml:space="preserve"> investment</w:t>
      </w:r>
      <w:r w:rsidR="00682F6C">
        <w:t xml:space="preserve">. </w:t>
      </w:r>
    </w:p>
    <w:p w14:paraId="2BA03387" w14:textId="4801E35C" w:rsidR="000F5A2D" w:rsidRDefault="00682F6C" w:rsidP="000F5A2D">
      <w:pPr>
        <w:pStyle w:val="AERfactsheetbodytext"/>
      </w:pPr>
      <w:r>
        <w:t xml:space="preserve">This ‘best way’ must have the highest net </w:t>
      </w:r>
      <w:r w:rsidR="009A1996">
        <w:t xml:space="preserve">economic </w:t>
      </w:r>
      <w:r>
        <w:t>benefit across the Market, whilst meeting the required service standards.</w:t>
      </w:r>
      <w:r w:rsidR="006E2EB1">
        <w:t xml:space="preserve"> We call this </w:t>
      </w:r>
      <w:r w:rsidR="00CE7914">
        <w:t xml:space="preserve">cost </w:t>
      </w:r>
      <w:r w:rsidR="006E2EB1">
        <w:t>benefit analysis</w:t>
      </w:r>
      <w:r w:rsidR="000F5A2D">
        <w:t xml:space="preserve"> </w:t>
      </w:r>
      <w:r w:rsidR="006E2EB1">
        <w:t>the regulatory investment test, or ‘RIT’. There are two types of RIT, one for the transmission network (the RIT–T) and one for the distribution network (</w:t>
      </w:r>
      <w:r w:rsidR="00B53C19">
        <w:t xml:space="preserve">the </w:t>
      </w:r>
      <w:r w:rsidR="006E2EB1">
        <w:t xml:space="preserve">RIT–D). </w:t>
      </w:r>
    </w:p>
    <w:p w14:paraId="67C43465" w14:textId="10663617" w:rsidR="00B53C19" w:rsidRDefault="00B53C19" w:rsidP="00FE200E">
      <w:pPr>
        <w:pStyle w:val="AERFactsheetHeading1"/>
      </w:pPr>
      <w:r>
        <w:t>Promoting the interests of electricity consumers</w:t>
      </w:r>
      <w:r w:rsidR="00521FBA">
        <w:t xml:space="preserve"> </w:t>
      </w:r>
    </w:p>
    <w:p w14:paraId="76361B8E" w14:textId="5B4BBBDD" w:rsidR="00B53C19" w:rsidRDefault="00521FBA" w:rsidP="00400E65">
      <w:pPr>
        <w:pStyle w:val="AERfactsheetbodytext"/>
      </w:pPr>
      <w:r>
        <w:t xml:space="preserve">When applying our </w:t>
      </w:r>
      <w:r w:rsidR="00CE7914">
        <w:t xml:space="preserve">cost </w:t>
      </w:r>
      <w:r>
        <w:t>benefit analysis</w:t>
      </w:r>
      <w:r w:rsidR="00B53C19">
        <w:t>,</w:t>
      </w:r>
      <w:r>
        <w:t xml:space="preserve"> network </w:t>
      </w:r>
      <w:r w:rsidR="00B53C19">
        <w:t xml:space="preserve">businesses </w:t>
      </w:r>
      <w:r>
        <w:t xml:space="preserve">will </w:t>
      </w:r>
      <w:r w:rsidR="009A1996">
        <w:t>evaluate</w:t>
      </w:r>
      <w:r w:rsidR="002C4452">
        <w:t xml:space="preserve"> all credible options </w:t>
      </w:r>
      <w:r w:rsidR="009A1996">
        <w:t xml:space="preserve">for meeting </w:t>
      </w:r>
      <w:r>
        <w:t>the</w:t>
      </w:r>
      <w:r w:rsidR="002C4452">
        <w:t xml:space="preserve"> </w:t>
      </w:r>
      <w:r w:rsidR="00B53C19">
        <w:t>needs of their networks</w:t>
      </w:r>
      <w:r w:rsidR="002C4452">
        <w:t xml:space="preserve">. </w:t>
      </w:r>
      <w:r w:rsidR="009A1996">
        <w:t>Network businesses will then</w:t>
      </w:r>
      <w:r w:rsidR="00B53C19">
        <w:t xml:space="preserve"> select the option </w:t>
      </w:r>
      <w:r w:rsidR="009A1996">
        <w:t>with the highest net economic benefit, thereby delivering efficient investment outcomes</w:t>
      </w:r>
      <w:r w:rsidR="00B53C19">
        <w:t xml:space="preserve">. </w:t>
      </w:r>
    </w:p>
    <w:p w14:paraId="1CDF5629" w14:textId="0482E0B7" w:rsidR="00B53C19" w:rsidRDefault="00B53C19" w:rsidP="00B53C19">
      <w:pPr>
        <w:pStyle w:val="AERfactsheetbodytext"/>
      </w:pPr>
      <w:r>
        <w:t>We see this as contributing to the National Electricity Objective</w:t>
      </w:r>
      <w:r w:rsidR="00C67CDA">
        <w:t xml:space="preserve"> (NEO)</w:t>
      </w:r>
      <w:r>
        <w:t xml:space="preserve"> to promote efficient investment in, and efficient operation and use of, electricity services for the long-term interests of consumers of electricity.  </w:t>
      </w:r>
    </w:p>
    <w:p w14:paraId="5F15D4E6" w14:textId="6CCF640E" w:rsidR="002B7D0B" w:rsidRDefault="002B7D0B" w:rsidP="002B7D0B">
      <w:pPr>
        <w:pStyle w:val="AERfactsheetbodytext"/>
      </w:pPr>
      <w:r>
        <w:t xml:space="preserve">Our </w:t>
      </w:r>
      <w:r w:rsidR="00CE7914">
        <w:t xml:space="preserve">cost </w:t>
      </w:r>
      <w:r>
        <w:t xml:space="preserve">benefit analysis also encourages efficient outcomes in </w:t>
      </w:r>
      <w:r w:rsidR="007B41D3">
        <w:t xml:space="preserve">the longer </w:t>
      </w:r>
      <w:r>
        <w:t>term by supporting efficient market development and performance</w:t>
      </w:r>
      <w:r w:rsidR="007B41D3">
        <w:t xml:space="preserve">. The RITs promote these longer </w:t>
      </w:r>
      <w:r>
        <w:t xml:space="preserve">term outcomes by promoting a predictable network development framework around which competitive investments in the </w:t>
      </w:r>
      <w:r w:rsidR="007B41D3">
        <w:t>Market</w:t>
      </w:r>
      <w:r>
        <w:t xml:space="preserve"> can be made without bearing unnecessary risks arising from inefficient investment.</w:t>
      </w:r>
    </w:p>
    <w:p w14:paraId="6B83EB80" w14:textId="643C9EEA" w:rsidR="00B53C19" w:rsidRDefault="00B53C19" w:rsidP="00B53C19">
      <w:pPr>
        <w:pStyle w:val="AERfactsheetbodytext"/>
      </w:pPr>
      <w:r>
        <w:t xml:space="preserve">Our </w:t>
      </w:r>
      <w:r w:rsidR="00CE7914">
        <w:t xml:space="preserve">cost </w:t>
      </w:r>
      <w:r>
        <w:t xml:space="preserve">benefit analysis further promotes investment efficiency by imposing transparency and accountability on major investment decisions. This contributes to the </w:t>
      </w:r>
      <w:r w:rsidR="00C67CDA">
        <w:t>NEO</w:t>
      </w:r>
      <w:r>
        <w:t xml:space="preserve"> to the extent that other efficiency incentives under regulatory regime are imperfect</w:t>
      </w:r>
      <w:r w:rsidR="007B41D3">
        <w:t>,</w:t>
      </w:r>
      <w:r>
        <w:t xml:space="preserve"> or </w:t>
      </w:r>
      <w:r w:rsidR="007B41D3">
        <w:t xml:space="preserve">relatedly, </w:t>
      </w:r>
      <w:r>
        <w:t>the economic interests of network businesses differ from what maximises the net economic benefit across the Market.</w:t>
      </w:r>
    </w:p>
    <w:p w14:paraId="36CCAF86" w14:textId="65CF1766" w:rsidR="006562D2" w:rsidRPr="00B3655F" w:rsidRDefault="00FB3398" w:rsidP="00B52DF8">
      <w:pPr>
        <w:pStyle w:val="AERFactsheetHeading1"/>
      </w:pPr>
      <w:r>
        <w:t xml:space="preserve">What </w:t>
      </w:r>
      <w:r w:rsidR="00A076C9">
        <w:t>is our guideline review about</w:t>
      </w:r>
      <w:r>
        <w:t>?</w:t>
      </w:r>
    </w:p>
    <w:p w14:paraId="472C8B2C" w14:textId="77777777" w:rsidR="007B41D3" w:rsidRDefault="00166815" w:rsidP="00B3655F">
      <w:pPr>
        <w:pStyle w:val="AERfactsheetbodytext"/>
      </w:pPr>
      <w:r>
        <w:t>W</w:t>
      </w:r>
      <w:r w:rsidR="00FE200E">
        <w:t>e have</w:t>
      </w:r>
      <w:r>
        <w:t xml:space="preserve"> separate guidelines for the RIT</w:t>
      </w:r>
      <w:r>
        <w:rPr>
          <w:rFonts w:ascii="Calibri" w:hAnsi="Calibri" w:cs="Calibri"/>
        </w:rPr>
        <w:t>‒</w:t>
      </w:r>
      <w:r>
        <w:t>T and RIT–D (guidelines)</w:t>
      </w:r>
      <w:r w:rsidR="00FE200E">
        <w:t xml:space="preserve"> where we </w:t>
      </w:r>
      <w:r w:rsidR="00FB3398">
        <w:t xml:space="preserve">provide </w:t>
      </w:r>
      <w:r w:rsidR="00A076C9">
        <w:t>practical guidance to help</w:t>
      </w:r>
      <w:r w:rsidR="00FB3398">
        <w:t xml:space="preserve"> network </w:t>
      </w:r>
      <w:r>
        <w:t>businesses</w:t>
      </w:r>
      <w:r w:rsidR="00FE200E">
        <w:t xml:space="preserve"> apply </w:t>
      </w:r>
      <w:r w:rsidR="007B41D3">
        <w:t>a consistent, efficient</w:t>
      </w:r>
      <w:r w:rsidR="00AB0043">
        <w:t xml:space="preserve"> </w:t>
      </w:r>
      <w:r w:rsidR="007B41D3">
        <w:t>and effective cost benefit analysis</w:t>
      </w:r>
      <w:r w:rsidR="007B41D3" w:rsidRPr="007B41D3">
        <w:t xml:space="preserve"> under the current regulatory framework</w:t>
      </w:r>
      <w:r>
        <w:t>.</w:t>
      </w:r>
      <w:r w:rsidR="007B41D3" w:rsidRPr="007B41D3">
        <w:t xml:space="preserve"> </w:t>
      </w:r>
    </w:p>
    <w:p w14:paraId="5275901E" w14:textId="158CB580" w:rsidR="00FE200E" w:rsidRDefault="007B41D3" w:rsidP="00B52DF8">
      <w:pPr>
        <w:pStyle w:val="AERfactsheetbodytext"/>
      </w:pPr>
      <w:r w:rsidRPr="007B41D3">
        <w:t>It is worth noting that</w:t>
      </w:r>
      <w:r>
        <w:t xml:space="preserve"> the Energy Security Board’s work to </w:t>
      </w:r>
      <w:r w:rsidRPr="007B41D3">
        <w:t xml:space="preserve">convert </w:t>
      </w:r>
      <w:r>
        <w:t xml:space="preserve">the Australian Energy Market Operator’s (AEMO’s) integrated system plan </w:t>
      </w:r>
      <w:r w:rsidRPr="007B41D3">
        <w:t>into action may lead to</w:t>
      </w:r>
      <w:r w:rsidR="00A30E85">
        <w:t xml:space="preserve"> regulatory</w:t>
      </w:r>
      <w:r w:rsidRPr="007B41D3">
        <w:t xml:space="preserve"> </w:t>
      </w:r>
      <w:r w:rsidRPr="007B41D3">
        <w:t xml:space="preserve">changes that </w:t>
      </w:r>
      <w:r w:rsidR="00A30E85">
        <w:t>will lead to</w:t>
      </w:r>
      <w:r w:rsidRPr="007B41D3">
        <w:t xml:space="preserve"> further review of the guidelines, as well as the RITs themselves.</w:t>
      </w:r>
      <w:r>
        <w:t xml:space="preserve"> That said, it is still valuable to </w:t>
      </w:r>
      <w:r w:rsidR="00A30E85">
        <w:t>update</w:t>
      </w:r>
      <w:r>
        <w:t xml:space="preserve"> </w:t>
      </w:r>
      <w:r w:rsidR="00FE200E">
        <w:t>our guidelines</w:t>
      </w:r>
      <w:r>
        <w:t xml:space="preserve"> following</w:t>
      </w:r>
      <w:r w:rsidR="001F500A">
        <w:t xml:space="preserve"> recommendation</w:t>
      </w:r>
      <w:r w:rsidR="00261C8B">
        <w:t>s</w:t>
      </w:r>
      <w:r w:rsidR="001F500A">
        <w:t xml:space="preserve"> that the Council of Australian Governments Energy Council made </w:t>
      </w:r>
      <w:r w:rsidR="002B7D0B">
        <w:t>when reviewing</w:t>
      </w:r>
      <w:r w:rsidR="00FE200E">
        <w:t xml:space="preserve"> the RIT–T in February 2017</w:t>
      </w:r>
      <w:r w:rsidR="002B7D0B">
        <w:t xml:space="preserve">. </w:t>
      </w:r>
      <w:r>
        <w:t xml:space="preserve">Our </w:t>
      </w:r>
      <w:r w:rsidR="002B7D0B">
        <w:t>updates also follow</w:t>
      </w:r>
      <w:r w:rsidR="001F500A">
        <w:t xml:space="preserve"> a rule the </w:t>
      </w:r>
      <w:r w:rsidR="00B52DF8">
        <w:t xml:space="preserve">Australian Energy Market Commission </w:t>
      </w:r>
      <w:r w:rsidR="001F500A">
        <w:t xml:space="preserve">made in July 2017 to extend our </w:t>
      </w:r>
      <w:r w:rsidR="00CE7914">
        <w:t xml:space="preserve">cost </w:t>
      </w:r>
      <w:r w:rsidR="001F500A">
        <w:t xml:space="preserve">benefit analysis framework to </w:t>
      </w:r>
      <w:r w:rsidR="00B52DF8">
        <w:t xml:space="preserve">replacement expenditure projects. </w:t>
      </w:r>
    </w:p>
    <w:p w14:paraId="1A028CF0" w14:textId="7CC29354" w:rsidR="008209DB" w:rsidRDefault="001F500A" w:rsidP="001F500A">
      <w:pPr>
        <w:pStyle w:val="AERfactsheetbodytext"/>
      </w:pPr>
      <w:r>
        <w:t>The guidelines reflect, where possible, the perspectives our stakeholders have offered throughout this review. W</w:t>
      </w:r>
      <w:r w:rsidR="008209DB">
        <w:t xml:space="preserve">e received </w:t>
      </w:r>
      <w:r>
        <w:t xml:space="preserve">a number </w:t>
      </w:r>
      <w:r w:rsidR="008209DB">
        <w:t>written</w:t>
      </w:r>
      <w:r w:rsidR="002B7D0B">
        <w:t xml:space="preserve"> submissions on </w:t>
      </w:r>
      <w:hyperlink r:id="rId8" w:history="1">
        <w:r w:rsidR="00926A8A" w:rsidRPr="00926A8A">
          <w:rPr>
            <w:rStyle w:val="Hyperlink"/>
          </w:rPr>
          <w:t>Draft Guidelines</w:t>
        </w:r>
      </w:hyperlink>
      <w:r w:rsidR="00926A8A">
        <w:t xml:space="preserve"> we published in July 2018 and </w:t>
      </w:r>
      <w:r w:rsidR="002B7D0B">
        <w:t>an</w:t>
      </w:r>
      <w:r w:rsidR="008209DB">
        <w:t xml:space="preserve"> </w:t>
      </w:r>
      <w:r w:rsidR="002B7D0B">
        <w:rPr>
          <w:rStyle w:val="Hyperlink"/>
        </w:rPr>
        <w:t>Issues Paper</w:t>
      </w:r>
      <w:r w:rsidR="008209DB">
        <w:t xml:space="preserve"> we published in February 2018.</w:t>
      </w:r>
      <w:r>
        <w:t xml:space="preserve"> Also, a number of stakeho</w:t>
      </w:r>
      <w:r w:rsidR="00926A8A">
        <w:t xml:space="preserve">lders provided their views in </w:t>
      </w:r>
      <w:r>
        <w:t>public forum</w:t>
      </w:r>
      <w:r w:rsidR="00926A8A">
        <w:t>s</w:t>
      </w:r>
      <w:r>
        <w:t xml:space="preserve"> we held in March </w:t>
      </w:r>
      <w:r w:rsidR="00926A8A">
        <w:t xml:space="preserve">and August </w:t>
      </w:r>
      <w:r>
        <w:t xml:space="preserve">2018. </w:t>
      </w:r>
      <w:r w:rsidR="008209DB">
        <w:t xml:space="preserve">A summary note of the input we received is available on the project page for this review on the </w:t>
      </w:r>
      <w:hyperlink r:id="rId9" w:history="1">
        <w:r w:rsidR="008209DB" w:rsidRPr="00926A8A">
          <w:rPr>
            <w:rStyle w:val="Hyperlink"/>
          </w:rPr>
          <w:t>AER website</w:t>
        </w:r>
      </w:hyperlink>
      <w:r>
        <w:t xml:space="preserve">. </w:t>
      </w:r>
    </w:p>
    <w:p w14:paraId="55877E48" w14:textId="08560587" w:rsidR="00A927CA" w:rsidRPr="00A927CA" w:rsidRDefault="00F46AA4" w:rsidP="004E6C3A">
      <w:pPr>
        <w:pStyle w:val="AERFactsheetHeading1"/>
      </w:pPr>
      <w:r>
        <w:t>P</w:t>
      </w:r>
      <w:r w:rsidR="00F85EBC">
        <w:t>romoting better engagement</w:t>
      </w:r>
    </w:p>
    <w:p w14:paraId="09775CF2" w14:textId="3EE3C160" w:rsidR="00634AC9" w:rsidRDefault="00A076C9" w:rsidP="00B52DF8">
      <w:pPr>
        <w:pStyle w:val="AERfactsheetbodytext"/>
      </w:pPr>
      <w:r>
        <w:t xml:space="preserve">Our </w:t>
      </w:r>
      <w:r w:rsidR="00926A8A">
        <w:t>improved guidelines</w:t>
      </w:r>
      <w:r>
        <w:t xml:space="preserve"> respond to </w:t>
      </w:r>
      <w:r w:rsidR="00351764">
        <w:t>feedback on</w:t>
      </w:r>
      <w:r>
        <w:t xml:space="preserve"> the quality of consumer and non-network engagement during the RITs.</w:t>
      </w:r>
      <w:r w:rsidRPr="00A076C9">
        <w:t xml:space="preserve"> </w:t>
      </w:r>
      <w:r w:rsidR="00634AC9">
        <w:t xml:space="preserve">We now </w:t>
      </w:r>
      <w:r>
        <w:t xml:space="preserve">place a greater emphasis on the </w:t>
      </w:r>
      <w:r w:rsidR="00634AC9">
        <w:t xml:space="preserve">value of </w:t>
      </w:r>
      <w:r>
        <w:t>early, continuous engagement</w:t>
      </w:r>
      <w:r w:rsidR="00634AC9">
        <w:t>, recognising that the RITs occur in a broader network planning context</w:t>
      </w:r>
      <w:r>
        <w:t>.</w:t>
      </w:r>
      <w:r w:rsidR="00634AC9">
        <w:t xml:space="preserve"> This includes recog</w:t>
      </w:r>
      <w:r w:rsidR="00926A8A">
        <w:t>nising the value of transpare</w:t>
      </w:r>
      <w:r w:rsidR="00C65681">
        <w:t>ncy</w:t>
      </w:r>
      <w:r w:rsidR="00634AC9">
        <w:t xml:space="preserve"> including when providing user-friendly information in annual planning reports.</w:t>
      </w:r>
    </w:p>
    <w:p w14:paraId="2B4B6939" w14:textId="08ADB372" w:rsidR="00A076C9" w:rsidRDefault="00634AC9" w:rsidP="00B52DF8">
      <w:pPr>
        <w:pStyle w:val="AERfactsheetbodytext"/>
      </w:pPr>
      <w:r>
        <w:t>We have also introduced guidance on consumer engagement during the RITs.</w:t>
      </w:r>
      <w:r w:rsidR="00C4221C">
        <w:t xml:space="preserve"> We now guide network businesses to frame their investment proposals as a proposed objective to deliver </w:t>
      </w:r>
      <w:r w:rsidR="00C65681">
        <w:t xml:space="preserve">better outcomes for </w:t>
      </w:r>
      <w:r w:rsidR="00C4221C">
        <w:t>consumers. We also provide</w:t>
      </w:r>
      <w:r w:rsidR="00713B4B">
        <w:t xml:space="preserve"> high-level principles and draw</w:t>
      </w:r>
      <w:r>
        <w:t xml:space="preserve"> on our current ‘consumer engagement guidelines for network service providers’. </w:t>
      </w:r>
    </w:p>
    <w:p w14:paraId="5CBAB9B3" w14:textId="77777777" w:rsidR="00F85EBC" w:rsidRDefault="00F46AA4" w:rsidP="00F85EBC">
      <w:pPr>
        <w:pStyle w:val="AERFactsheetHeading1"/>
      </w:pPr>
      <w:r>
        <w:t>H</w:t>
      </w:r>
      <w:r w:rsidR="00F85EBC">
        <w:t xml:space="preserve">elping navigate </w:t>
      </w:r>
      <w:r>
        <w:t xml:space="preserve">policy and market </w:t>
      </w:r>
      <w:r w:rsidR="00F85EBC">
        <w:t>changes</w:t>
      </w:r>
    </w:p>
    <w:p w14:paraId="7BF1F2E5" w14:textId="0536084B" w:rsidR="00D24B5F" w:rsidRDefault="00926A8A" w:rsidP="00D47F08">
      <w:pPr>
        <w:pStyle w:val="AERfactsheetbodytext"/>
      </w:pPr>
      <w:r>
        <w:t xml:space="preserve">The new guidelines will </w:t>
      </w:r>
      <w:r w:rsidR="00D24B5F">
        <w:t xml:space="preserve">assist network businesses </w:t>
      </w:r>
      <w:r>
        <w:t xml:space="preserve">to </w:t>
      </w:r>
      <w:r w:rsidR="00D24B5F">
        <w:t xml:space="preserve">apply the RITs in the </w:t>
      </w:r>
      <w:r w:rsidR="00990A66">
        <w:t xml:space="preserve">changing regulatory and market environment. </w:t>
      </w:r>
      <w:r w:rsidR="00D24B5F">
        <w:t>This includes improved guidance on how to account for:</w:t>
      </w:r>
    </w:p>
    <w:p w14:paraId="45FD820D" w14:textId="77777777" w:rsidR="005014FA" w:rsidRDefault="00D24B5F" w:rsidP="00D24B5F">
      <w:pPr>
        <w:pStyle w:val="AERfactsheetbulletlist"/>
      </w:pPr>
      <w:r>
        <w:t xml:space="preserve">Market-wide impacts: </w:t>
      </w:r>
    </w:p>
    <w:p w14:paraId="105D6B7E" w14:textId="5216BB9B" w:rsidR="00D24B5F" w:rsidRDefault="00D24B5F" w:rsidP="00FE200E">
      <w:pPr>
        <w:pStyle w:val="AERfactsheetbodytext"/>
      </w:pPr>
      <w:r>
        <w:t>While the RITs have always required network businesses to value how their proposed investments affect other parties and other regions</w:t>
      </w:r>
      <w:r w:rsidR="00261C8B">
        <w:t xml:space="preserve"> in the Market</w:t>
      </w:r>
      <w:r>
        <w:t>, the need for</w:t>
      </w:r>
      <w:r w:rsidR="00926A8A">
        <w:t xml:space="preserve"> this task is ever growing. </w:t>
      </w:r>
      <w:r w:rsidR="00136A89">
        <w:t>We have introduced</w:t>
      </w:r>
      <w:r w:rsidR="00926A8A">
        <w:t xml:space="preserve"> </w:t>
      </w:r>
      <w:r w:rsidR="003D1921">
        <w:t xml:space="preserve">guidance </w:t>
      </w:r>
      <w:r w:rsidR="00926A8A">
        <w:t>to assist</w:t>
      </w:r>
      <w:r w:rsidR="003D1921">
        <w:t xml:space="preserve"> network businesses </w:t>
      </w:r>
      <w:r w:rsidR="00926A8A">
        <w:t xml:space="preserve">in applying </w:t>
      </w:r>
      <w:r w:rsidR="00A30E85">
        <w:t>AEMO’s</w:t>
      </w:r>
      <w:r w:rsidR="00D70917">
        <w:t xml:space="preserve"> </w:t>
      </w:r>
      <w:r w:rsidR="00926A8A">
        <w:t xml:space="preserve">integrated system plan </w:t>
      </w:r>
      <w:r w:rsidR="003D1921">
        <w:t xml:space="preserve">to inform their </w:t>
      </w:r>
      <w:r w:rsidR="00CE7914">
        <w:t xml:space="preserve">cost </w:t>
      </w:r>
      <w:r w:rsidR="001A5F14">
        <w:t>benefit</w:t>
      </w:r>
      <w:r w:rsidR="003D1921">
        <w:t xml:space="preserve"> analysis</w:t>
      </w:r>
      <w:r w:rsidR="00926A8A">
        <w:t>. This new guidance will not only assist network businesses in selecting input assumptions, but will also help them</w:t>
      </w:r>
      <w:r w:rsidR="003D1921">
        <w:t xml:space="preserve"> more effectively account for </w:t>
      </w:r>
      <w:r w:rsidR="00926A8A">
        <w:t xml:space="preserve">the </w:t>
      </w:r>
      <w:r w:rsidR="003D1921">
        <w:t>market-wide impacts</w:t>
      </w:r>
      <w:r w:rsidR="00926A8A">
        <w:t xml:space="preserve"> of their investments</w:t>
      </w:r>
      <w:r w:rsidR="003D1921">
        <w:t>.</w:t>
      </w:r>
    </w:p>
    <w:p w14:paraId="6EB43A26" w14:textId="77777777" w:rsidR="005014FA" w:rsidRDefault="00D24B5F" w:rsidP="00D24B5F">
      <w:pPr>
        <w:pStyle w:val="AERfactsheetbulletlist"/>
      </w:pPr>
      <w:r>
        <w:t>Policy changes</w:t>
      </w:r>
      <w:r w:rsidR="003D1921">
        <w:t xml:space="preserve">: </w:t>
      </w:r>
    </w:p>
    <w:p w14:paraId="12DEFBF3" w14:textId="0003398F" w:rsidR="00D24B5F" w:rsidRDefault="003D1921" w:rsidP="00FE200E">
      <w:pPr>
        <w:pStyle w:val="AERfactsheetbodytext"/>
      </w:pPr>
      <w:r>
        <w:lastRenderedPageBreak/>
        <w:t xml:space="preserve">We </w:t>
      </w:r>
      <w:r w:rsidR="00136A89">
        <w:t>have updated</w:t>
      </w:r>
      <w:r>
        <w:t xml:space="preserve"> our guidance on how to take government policy into account when apply</w:t>
      </w:r>
      <w:r w:rsidR="00136A89">
        <w:t xml:space="preserve">ing </w:t>
      </w:r>
      <w:r>
        <w:t>RIT</w:t>
      </w:r>
      <w:r w:rsidR="00136A89">
        <w:t>s</w:t>
      </w:r>
      <w:r>
        <w:t xml:space="preserve">. This includes guidance on treating compliance costs, calculating cost savings in meeting mandated targets, and considering </w:t>
      </w:r>
      <w:r w:rsidR="00634AC9">
        <w:t xml:space="preserve">potential policy developments when exploring different </w:t>
      </w:r>
      <w:r>
        <w:t>reasonable scenarios</w:t>
      </w:r>
      <w:r w:rsidR="00634AC9">
        <w:t>.</w:t>
      </w:r>
    </w:p>
    <w:p w14:paraId="3C64B7B3" w14:textId="77777777" w:rsidR="005014FA" w:rsidRDefault="00D24B5F" w:rsidP="00D24B5F">
      <w:pPr>
        <w:pStyle w:val="AERfactsheetbulletlist"/>
      </w:pPr>
      <w:r>
        <w:t>System security</w:t>
      </w:r>
      <w:r w:rsidR="003D1921">
        <w:t xml:space="preserve">: </w:t>
      </w:r>
    </w:p>
    <w:p w14:paraId="02337A9D" w14:textId="70BF88B4" w:rsidR="00D24B5F" w:rsidRDefault="003D1921" w:rsidP="00FE200E">
      <w:pPr>
        <w:pStyle w:val="AERfactsheetbodytext"/>
      </w:pPr>
      <w:r>
        <w:t xml:space="preserve">While the RITs can </w:t>
      </w:r>
      <w:r w:rsidR="00136A89">
        <w:t xml:space="preserve">already </w:t>
      </w:r>
      <w:r>
        <w:t>captur</w:t>
      </w:r>
      <w:r w:rsidR="00136A89">
        <w:t>e the value of system security, there has</w:t>
      </w:r>
      <w:r>
        <w:t xml:space="preserve"> been a demand for more guidance in this area. We have heard this demand, and have provided clear guidance on how network businesses can account for the impact of high impact, low probability events within their RIT cost–benefit analysis. </w:t>
      </w:r>
    </w:p>
    <w:p w14:paraId="5FE36BCC" w14:textId="77777777" w:rsidR="00F85EBC" w:rsidRDefault="00F46AA4" w:rsidP="00F46AA4">
      <w:pPr>
        <w:pStyle w:val="AERFactsheetHeading1"/>
      </w:pPr>
      <w:r>
        <w:t>Guiding the assessment of efficient replacement projects</w:t>
      </w:r>
    </w:p>
    <w:p w14:paraId="59533B2B" w14:textId="65D06B58" w:rsidR="00061DCF" w:rsidRDefault="00061DCF" w:rsidP="00061DCF">
      <w:pPr>
        <w:pStyle w:val="AERfactsheetbodytext"/>
      </w:pPr>
      <w:r w:rsidRPr="00061DCF">
        <w:t>Following a rule change we requested, the RITs now apply to large replacement projects, rather than just augme</w:t>
      </w:r>
      <w:r>
        <w:t>ntation projects.</w:t>
      </w:r>
      <w:r w:rsidRPr="00061DCF">
        <w:t xml:space="preserve"> </w:t>
      </w:r>
      <w:r>
        <w:t>Repla</w:t>
      </w:r>
      <w:r w:rsidR="00136A89">
        <w:t>cement projects are those where</w:t>
      </w:r>
      <w:r>
        <w:t xml:space="preserve"> </w:t>
      </w:r>
      <w:r w:rsidR="00136A89">
        <w:t>network</w:t>
      </w:r>
      <w:r>
        <w:t xml:space="preserve"> infrastructure is in poor condition and needs to be retired.</w:t>
      </w:r>
    </w:p>
    <w:p w14:paraId="12E4F85A" w14:textId="54F5BD53" w:rsidR="00061DCF" w:rsidRDefault="00061DCF" w:rsidP="00990A66">
      <w:pPr>
        <w:pStyle w:val="AERfactsheetbodytext"/>
      </w:pPr>
      <w:r>
        <w:t xml:space="preserve">To get the most out of this rule change, we have extended our current guidance and worked examples to </w:t>
      </w:r>
      <w:r w:rsidRPr="00061DCF">
        <w:t>assist network businesses in applying the RITs in this</w:t>
      </w:r>
      <w:r>
        <w:t xml:space="preserve"> new</w:t>
      </w:r>
      <w:r w:rsidRPr="00061DCF">
        <w:t xml:space="preserve"> area</w:t>
      </w:r>
      <w:r>
        <w:t>.</w:t>
      </w:r>
    </w:p>
    <w:p w14:paraId="72ED84D6" w14:textId="646ADA98" w:rsidR="00533071" w:rsidRDefault="00061DCF" w:rsidP="00990A66">
      <w:pPr>
        <w:pStyle w:val="AERfactsheetbodytext"/>
      </w:pPr>
      <w:r>
        <w:t xml:space="preserve">Following stakeholder submissions, we have clarified that network businesses should value proposed </w:t>
      </w:r>
      <w:r w:rsidR="00533071">
        <w:t>replacement projects</w:t>
      </w:r>
      <w:r>
        <w:t xml:space="preserve"> against </w:t>
      </w:r>
      <w:r w:rsidR="00636708">
        <w:t>a ‘business as usual’ base case</w:t>
      </w:r>
      <w:r>
        <w:t>. This is where the</w:t>
      </w:r>
      <w:r w:rsidR="00AE5211">
        <w:t xml:space="preserve"> network </w:t>
      </w:r>
      <w:r>
        <w:t>businesses</w:t>
      </w:r>
      <w:r w:rsidR="00AE5211">
        <w:t xml:space="preserve"> </w:t>
      </w:r>
      <w:r w:rsidR="00136A89">
        <w:t>conducts</w:t>
      </w:r>
      <w:r w:rsidR="00136A89" w:rsidRPr="00136A89">
        <w:t xml:space="preserve"> ongoing, economically prudent activities </w:t>
      </w:r>
      <w:r w:rsidR="00136A89">
        <w:t xml:space="preserve">to operate with its existing infrastructure </w:t>
      </w:r>
      <w:r w:rsidR="00136A89" w:rsidRPr="00136A89">
        <w:t>in</w:t>
      </w:r>
      <w:r w:rsidR="00136A89">
        <w:t xml:space="preserve">stead of applying a credible option, such as replacing the </w:t>
      </w:r>
      <w:r w:rsidR="00CE7914">
        <w:t>poor condition</w:t>
      </w:r>
      <w:r w:rsidR="00136A89">
        <w:t xml:space="preserve"> asset</w:t>
      </w:r>
      <w:r w:rsidR="00136A89" w:rsidRPr="00136A89">
        <w:t>.</w:t>
      </w:r>
    </w:p>
    <w:p w14:paraId="1D0DFCE1" w14:textId="0A9CFE6B" w:rsidR="00F46AA4" w:rsidRDefault="00327FC9" w:rsidP="00F46AA4">
      <w:pPr>
        <w:pStyle w:val="AERFactsheetHeading1"/>
      </w:pPr>
      <w:r>
        <w:t xml:space="preserve">Can the analysis capture social policy objectives? </w:t>
      </w:r>
    </w:p>
    <w:p w14:paraId="7FA7CE84" w14:textId="53273CA4" w:rsidR="000F09C2" w:rsidRDefault="000F09C2" w:rsidP="00FE200E">
      <w:pPr>
        <w:pStyle w:val="AERfactsheetbodytext"/>
      </w:pPr>
      <w:r>
        <w:t>Since electricity consumers in the Market ultimately fun</w:t>
      </w:r>
      <w:r w:rsidR="00CE7914">
        <w:t xml:space="preserve">d network investments, our cost </w:t>
      </w:r>
      <w:r>
        <w:t>benefit analysis aims to improve Mar</w:t>
      </w:r>
      <w:r w:rsidR="00CE7914">
        <w:t xml:space="preserve">ket outcomes. That is, our cost </w:t>
      </w:r>
      <w:r>
        <w:t xml:space="preserve">benefit analysis captures Market benefits, rather than broader policy goals (for example, regional employment benefits). </w:t>
      </w:r>
    </w:p>
    <w:p w14:paraId="34B52FE0" w14:textId="41ABCBFC" w:rsidR="000F09C2" w:rsidRDefault="00E87302" w:rsidP="00FE200E">
      <w:pPr>
        <w:pStyle w:val="AERfactsheetbodytext"/>
      </w:pPr>
      <w:r>
        <w:t>However, o</w:t>
      </w:r>
      <w:r w:rsidR="00CE7914">
        <w:t xml:space="preserve">ur cost </w:t>
      </w:r>
      <w:r w:rsidR="000F09C2">
        <w:t xml:space="preserve">benefit analysis is sufficiently flexible to work </w:t>
      </w:r>
      <w:r w:rsidR="00CE7914">
        <w:t>within</w:t>
      </w:r>
      <w:r w:rsidR="000F09C2">
        <w:t xml:space="preserve"> the broader policy context</w:t>
      </w:r>
      <w:r>
        <w:t>. It</w:t>
      </w:r>
      <w:r w:rsidR="000F09C2">
        <w:t xml:space="preserve"> recognises that it is fit-for-purpose for </w:t>
      </w:r>
      <w:r>
        <w:t>the relevant beneficiaries, rather than electricity consumers, to fund broad</w:t>
      </w:r>
      <w:r w:rsidR="000F09C2">
        <w:t xml:space="preserve"> social benefits. </w:t>
      </w:r>
    </w:p>
    <w:p w14:paraId="0248C283" w14:textId="20B32B4E" w:rsidR="00E87302" w:rsidRDefault="00CE7914" w:rsidP="00FE200E">
      <w:pPr>
        <w:pStyle w:val="AERfactsheetbodytext"/>
      </w:pPr>
      <w:r>
        <w:t xml:space="preserve">Our cost </w:t>
      </w:r>
      <w:r w:rsidR="00E87302">
        <w:t>benefit analysis achieves this by recognising that</w:t>
      </w:r>
      <w:r w:rsidR="00E87302" w:rsidRPr="00E87302">
        <w:t xml:space="preserve"> </w:t>
      </w:r>
      <w:r w:rsidR="00E87302">
        <w:t>when a party from outside the Market (say, a government or government body) puts funding towards an investment, this will be treated as an external capital contribution that increases that investment’s net economic benefit under the cost benefit analysis.</w:t>
      </w:r>
    </w:p>
    <w:p w14:paraId="18125BC5" w14:textId="280EDEF4" w:rsidR="00432FB8" w:rsidRDefault="00432FB8" w:rsidP="00432FB8">
      <w:pPr>
        <w:pStyle w:val="AERFactsheetHeading1"/>
      </w:pPr>
      <w:r>
        <w:t>How else are we supporting better network investment decisions?</w:t>
      </w:r>
    </w:p>
    <w:p w14:paraId="179E9239" w14:textId="7B85061D" w:rsidR="00432FB8" w:rsidRDefault="00C72FC7" w:rsidP="00432FB8">
      <w:pPr>
        <w:pStyle w:val="AERfactsheetbodytext"/>
      </w:pPr>
      <w:r>
        <w:t>Improved guidance only go</w:t>
      </w:r>
      <w:r w:rsidR="0008333E">
        <w:t>es</w:t>
      </w:r>
      <w:r>
        <w:t xml:space="preserve"> so far to encourage better outcomes for electricity consumers. As such, we are taking a </w:t>
      </w:r>
      <w:r w:rsidR="0008333E">
        <w:t xml:space="preserve">holistic </w:t>
      </w:r>
      <w:r>
        <w:t>approa</w:t>
      </w:r>
      <w:r w:rsidR="0008333E">
        <w:t>ch to encourage efficient</w:t>
      </w:r>
      <w:r>
        <w:t xml:space="preserve"> </w:t>
      </w:r>
      <w:r w:rsidR="0008333E">
        <w:t>network investment.</w:t>
      </w:r>
    </w:p>
    <w:p w14:paraId="03419319" w14:textId="7CA9F28C" w:rsidR="00C72FC7" w:rsidRDefault="00C72FC7" w:rsidP="00432FB8">
      <w:pPr>
        <w:pStyle w:val="AERfactsheetbulletlist"/>
      </w:pPr>
      <w:r>
        <w:t>Improving information</w:t>
      </w:r>
      <w:r w:rsidR="00C4221C">
        <w:t>:</w:t>
      </w:r>
    </w:p>
    <w:p w14:paraId="395C4124" w14:textId="7936CA43" w:rsidR="00432FB8" w:rsidRDefault="00C72FC7" w:rsidP="00FE200E">
      <w:pPr>
        <w:pStyle w:val="AERfactsheetbodytext"/>
      </w:pPr>
      <w:r>
        <w:t xml:space="preserve">Network businesses have </w:t>
      </w:r>
      <w:r w:rsidR="002B5D3E">
        <w:t xml:space="preserve">good information on the strengths and limitations of their networks. By sharing this information, </w:t>
      </w:r>
      <w:r>
        <w:t>non-network businesses</w:t>
      </w:r>
      <w:r w:rsidR="002B5D3E">
        <w:t xml:space="preserve"> are able to</w:t>
      </w:r>
      <w:r>
        <w:t xml:space="preserve"> </w:t>
      </w:r>
      <w:r w:rsidR="002B5D3E">
        <w:t>develop ways</w:t>
      </w:r>
      <w:r>
        <w:t xml:space="preserve"> to </w:t>
      </w:r>
      <w:r w:rsidR="002B5D3E">
        <w:t>assist network businesses in meeting the needs of their customers</w:t>
      </w:r>
      <w:r>
        <w:t xml:space="preserve">. </w:t>
      </w:r>
      <w:r w:rsidR="00432FB8">
        <w:t>Following the repex rule change, network</w:t>
      </w:r>
      <w:r>
        <w:t xml:space="preserve"> businesses must provide</w:t>
      </w:r>
      <w:r w:rsidR="00432FB8">
        <w:t xml:space="preserve"> asset retirement and de-rating information</w:t>
      </w:r>
      <w:r>
        <w:t xml:space="preserve"> in their ‘annual planning reports’.</w:t>
      </w:r>
    </w:p>
    <w:p w14:paraId="2D2056D7" w14:textId="77B45E3D" w:rsidR="00C72FC7" w:rsidRDefault="002B5D3E" w:rsidP="00FE200E">
      <w:pPr>
        <w:pStyle w:val="AERfactsheetbodytext"/>
      </w:pPr>
      <w:r>
        <w:t>We have also been i</w:t>
      </w:r>
      <w:r w:rsidR="00C72FC7">
        <w:t>mproving the</w:t>
      </w:r>
      <w:r>
        <w:t xml:space="preserve"> consistency and</w:t>
      </w:r>
      <w:r w:rsidR="00C72FC7">
        <w:t xml:space="preserve"> useability of </w:t>
      </w:r>
      <w:r>
        <w:t xml:space="preserve">the </w:t>
      </w:r>
      <w:r w:rsidR="0008333E">
        <w:t xml:space="preserve">planning </w:t>
      </w:r>
      <w:r w:rsidR="00C72FC7">
        <w:t>information</w:t>
      </w:r>
      <w:r w:rsidR="00D70917">
        <w:t xml:space="preserve"> that</w:t>
      </w:r>
      <w:r w:rsidR="00C72FC7">
        <w:t xml:space="preserve"> network businesses provide</w:t>
      </w:r>
      <w:r>
        <w:t xml:space="preserve">. Last year, we published an information </w:t>
      </w:r>
      <w:r w:rsidR="00C72FC7">
        <w:t>template</w:t>
      </w:r>
      <w:r>
        <w:t xml:space="preserve"> to </w:t>
      </w:r>
      <w:r w:rsidR="0008333E">
        <w:t>help</w:t>
      </w:r>
      <w:r>
        <w:t xml:space="preserve"> distribution businesses provide </w:t>
      </w:r>
      <w:r w:rsidR="0008333E">
        <w:t xml:space="preserve">this </w:t>
      </w:r>
      <w:r>
        <w:t xml:space="preserve">information in a fit-for-purpose format. </w:t>
      </w:r>
      <w:r w:rsidR="00D70917">
        <w:t>This year, we will publish</w:t>
      </w:r>
      <w:r>
        <w:t xml:space="preserve"> a</w:t>
      </w:r>
      <w:r w:rsidR="00C72FC7">
        <w:t xml:space="preserve"> similar template for transmission </w:t>
      </w:r>
      <w:r>
        <w:t>businesses.</w:t>
      </w:r>
    </w:p>
    <w:p w14:paraId="0680FD2D" w14:textId="72D2F560" w:rsidR="00C72FC7" w:rsidRDefault="002B5D3E" w:rsidP="00C72FC7">
      <w:pPr>
        <w:pStyle w:val="AERfactsheetbulletlist"/>
      </w:pPr>
      <w:r>
        <w:t>Improving incentives</w:t>
      </w:r>
      <w:r w:rsidR="00C4221C">
        <w:t>:</w:t>
      </w:r>
    </w:p>
    <w:p w14:paraId="233BD0E8" w14:textId="77B1C87A" w:rsidR="00432FB8" w:rsidRDefault="00D70917" w:rsidP="00FE200E">
      <w:pPr>
        <w:pStyle w:val="AERfactsheetbodytext"/>
      </w:pPr>
      <w:r>
        <w:t>In 2017, we</w:t>
      </w:r>
      <w:r w:rsidR="00432FB8">
        <w:t xml:space="preserve"> introduced a demand management incentive scheme. This encourage</w:t>
      </w:r>
      <w:r>
        <w:t>s</w:t>
      </w:r>
      <w:r w:rsidR="00432FB8">
        <w:t xml:space="preserve"> distribution businesses to undertake a transparent market testing process and to manage demand as part of its preferred option when doing so is efficient</w:t>
      </w:r>
      <w:r w:rsidR="002B5D3E">
        <w:t>.</w:t>
      </w:r>
    </w:p>
    <w:p w14:paraId="6D125E2A" w14:textId="50C889BC" w:rsidR="002B5D3E" w:rsidRDefault="002B5D3E" w:rsidP="00FE200E">
      <w:pPr>
        <w:pStyle w:val="AERfactsheetbulletlist"/>
      </w:pPr>
      <w:r>
        <w:t xml:space="preserve">Encouraging </w:t>
      </w:r>
      <w:r w:rsidRPr="00975917">
        <w:t>compliance</w:t>
      </w:r>
      <w:r w:rsidR="00C4221C">
        <w:t>:</w:t>
      </w:r>
    </w:p>
    <w:p w14:paraId="3459518D" w14:textId="174EF3F8" w:rsidR="00426F89" w:rsidRDefault="00426F89" w:rsidP="00FE200E">
      <w:pPr>
        <w:pStyle w:val="AERfactsheetbulletlist"/>
        <w:numPr>
          <w:ilvl w:val="0"/>
          <w:numId w:val="0"/>
        </w:numPr>
      </w:pPr>
      <w:r>
        <w:t>Network businesses, or AEMO in the case of Victorian transmission planning, are respon</w:t>
      </w:r>
      <w:r w:rsidR="00CE7914">
        <w:t xml:space="preserve">sible for applying the RIT cost </w:t>
      </w:r>
      <w:r>
        <w:t>benefit analysis. In contrast, w</w:t>
      </w:r>
      <w:r w:rsidR="00C00D50">
        <w:t xml:space="preserve">e </w:t>
      </w:r>
      <w:r>
        <w:t>actively</w:t>
      </w:r>
      <w:r w:rsidR="00C00D50">
        <w:t xml:space="preserve"> monitor, assess and provide guidance on how network businesses apply the </w:t>
      </w:r>
      <w:r w:rsidR="0008333E">
        <w:t>RITs</w:t>
      </w:r>
      <w:r w:rsidR="00C00D50">
        <w:t xml:space="preserve">. </w:t>
      </w:r>
      <w:r>
        <w:t>We also have a dispute resolution role where network businesses have misapplied</w:t>
      </w:r>
      <w:r w:rsidR="0002771E">
        <w:t xml:space="preserve"> a RIT under</w:t>
      </w:r>
      <w:r>
        <w:t xml:space="preserve"> the </w:t>
      </w:r>
      <w:r w:rsidR="0002771E">
        <w:t>National Electricity Rules or have</w:t>
      </w:r>
      <w:r>
        <w:t xml:space="preserve"> made a manifest calculation error</w:t>
      </w:r>
      <w:r w:rsidR="0002771E">
        <w:t>.</w:t>
      </w:r>
    </w:p>
    <w:p w14:paraId="7C75C5EA" w14:textId="04E8D761" w:rsidR="00432FB8" w:rsidRDefault="0002771E" w:rsidP="00FE200E">
      <w:pPr>
        <w:pStyle w:val="AERfactsheetbodytext"/>
      </w:pPr>
      <w:r>
        <w:t>We plan to take a more active role on reporting</w:t>
      </w:r>
      <w:r w:rsidR="0008333E">
        <w:t xml:space="preserve"> RIT</w:t>
      </w:r>
      <w:r>
        <w:t xml:space="preserve"> compliance</w:t>
      </w:r>
      <w:r w:rsidR="0008333E">
        <w:t>.</w:t>
      </w:r>
      <w:r>
        <w:t xml:space="preserve"> Doing this will provide transparency and identify any systemic concerns that arise. </w:t>
      </w:r>
      <w:r w:rsidR="0008333E">
        <w:t>This i</w:t>
      </w:r>
      <w:r>
        <w:t>s particularly important because, a</w:t>
      </w:r>
      <w:r w:rsidR="00426F89" w:rsidRPr="00426F89">
        <w:t>fter</w:t>
      </w:r>
      <w:r>
        <w:t xml:space="preserve"> the repex rule change, RITs have become</w:t>
      </w:r>
      <w:r w:rsidR="00426F89" w:rsidRPr="00426F89">
        <w:t xml:space="preserve"> more common and many network businesses are applying them for the first time. </w:t>
      </w:r>
    </w:p>
    <w:p w14:paraId="555F3967" w14:textId="0150800B" w:rsidR="00990A66" w:rsidRPr="00F43173" w:rsidRDefault="0026370F" w:rsidP="00FE200E">
      <w:pPr>
        <w:pStyle w:val="AERfactsheetbulletlist"/>
        <w:numPr>
          <w:ilvl w:val="0"/>
          <w:numId w:val="0"/>
        </w:numPr>
      </w:pPr>
      <w:r>
        <w:t>We can also encourage network busine</w:t>
      </w:r>
      <w:r w:rsidR="00CE7914">
        <w:t xml:space="preserve">sses to apply an effective cost </w:t>
      </w:r>
      <w:r>
        <w:t xml:space="preserve">benefit analysis by considering this information when </w:t>
      </w:r>
      <w:r w:rsidR="0008333E">
        <w:t>setting their revenue allowance</w:t>
      </w:r>
      <w:r>
        <w:t>. Each regulatory period, we consider a range of</w:t>
      </w:r>
      <w:r w:rsidR="00521FBA">
        <w:t xml:space="preserve"> information when forecasting what level of capital expenditure would be efficient. RITs are typically useful for informing these decisions, and we plan to have greater regard to this information in future decisions. </w:t>
      </w:r>
    </w:p>
    <w:sectPr w:rsidR="00990A66" w:rsidRPr="00F43173" w:rsidSect="00AB0AF9">
      <w:headerReference w:type="default" r:id="rId10"/>
      <w:footerReference w:type="default" r:id="rId11"/>
      <w:type w:val="continuous"/>
      <w:pgSz w:w="11906" w:h="16838"/>
      <w:pgMar w:top="1135" w:right="720" w:bottom="851" w:left="720" w:header="3061" w:footer="709" w:gutter="0"/>
      <w:cols w:num="2" w:space="3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F1CD74" w14:textId="77777777" w:rsidR="00980FD4" w:rsidRDefault="00980FD4" w:rsidP="00A24D2E">
      <w:r>
        <w:separator/>
      </w:r>
    </w:p>
  </w:endnote>
  <w:endnote w:type="continuationSeparator" w:id="0">
    <w:p w14:paraId="64C95FD8" w14:textId="77777777" w:rsidR="00980FD4" w:rsidRDefault="00980FD4" w:rsidP="00A24D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autami">
    <w:altName w:val="Cambria Math"/>
    <w:panose1 w:val="02000500000000000000"/>
    <w:charset w:val="00"/>
    <w:family w:val="swiss"/>
    <w:pitch w:val="variable"/>
    <w:sig w:usb0="00000003" w:usb1="00000000" w:usb2="00000000" w:usb3="00000000" w:csb0="00000001" w:csb1="00000000"/>
  </w:font>
  <w:font w:name="DINOT-Regular">
    <w:altName w:val="DINOT-Regular"/>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unga">
    <w:altName w:val="Courier New"/>
    <w:panose1 w:val="000004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Reference Sans Serif">
    <w:panose1 w:val="020B0604030504040204"/>
    <w:charset w:val="00"/>
    <w:family w:val="swiss"/>
    <w:pitch w:val="variable"/>
    <w:sig w:usb0="20000287" w:usb1="00000000" w:usb2="00000000" w:usb3="00000000" w:csb0="0000019F" w:csb1="00000000"/>
  </w:font>
  <w:font w:name="Shruti">
    <w:altName w:val="Cambria Math"/>
    <w:panose1 w:val="020005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5552129"/>
      <w:docPartObj>
        <w:docPartGallery w:val="Page Numbers (Bottom of Page)"/>
        <w:docPartUnique/>
      </w:docPartObj>
    </w:sdtPr>
    <w:sdtEndPr>
      <w:rPr>
        <w:noProof/>
      </w:rPr>
    </w:sdtEndPr>
    <w:sdtContent>
      <w:p w14:paraId="50A3E87F" w14:textId="1D3E7C13" w:rsidR="000E423F" w:rsidRDefault="000E423F">
        <w:pPr>
          <w:pStyle w:val="Footer"/>
          <w:jc w:val="right"/>
        </w:pPr>
        <w:r>
          <w:fldChar w:fldCharType="begin"/>
        </w:r>
        <w:r>
          <w:instrText xml:space="preserve"> PAGE   \* MERGEFORMAT </w:instrText>
        </w:r>
        <w:r>
          <w:fldChar w:fldCharType="separate"/>
        </w:r>
        <w:r w:rsidR="00871FB5">
          <w:rPr>
            <w:noProof/>
          </w:rPr>
          <w:t>2</w:t>
        </w:r>
        <w:r>
          <w:rPr>
            <w:noProof/>
          </w:rPr>
          <w:fldChar w:fldCharType="end"/>
        </w:r>
      </w:p>
    </w:sdtContent>
  </w:sdt>
  <w:p w14:paraId="3B1B2747" w14:textId="77777777" w:rsidR="004B632F" w:rsidRDefault="004B63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2B7A96" w14:textId="77777777" w:rsidR="00980FD4" w:rsidRDefault="00980FD4" w:rsidP="00A24D2E">
      <w:r>
        <w:separator/>
      </w:r>
    </w:p>
  </w:footnote>
  <w:footnote w:type="continuationSeparator" w:id="0">
    <w:p w14:paraId="34D4D76F" w14:textId="77777777" w:rsidR="00980FD4" w:rsidRDefault="00980FD4" w:rsidP="00A24D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8216A6" w14:textId="77777777" w:rsidR="00400E65" w:rsidRDefault="00400E65">
    <w:pPr>
      <w:pStyle w:val="Header"/>
    </w:pPr>
    <w:r>
      <w:rPr>
        <w:noProof/>
        <w:lang w:eastAsia="en-AU"/>
      </w:rPr>
      <mc:AlternateContent>
        <mc:Choice Requires="wps">
          <w:drawing>
            <wp:anchor distT="0" distB="0" distL="114300" distR="114300" simplePos="0" relativeHeight="251660288" behindDoc="0" locked="0" layoutInCell="1" allowOverlap="1" wp14:anchorId="2A641264" wp14:editId="6F2E65EA">
              <wp:simplePos x="0" y="0"/>
              <wp:positionH relativeFrom="column">
                <wp:posOffset>-457200</wp:posOffset>
              </wp:positionH>
              <wp:positionV relativeFrom="paragraph">
                <wp:posOffset>-744855</wp:posOffset>
              </wp:positionV>
              <wp:extent cx="7562850" cy="739775"/>
              <wp:effectExtent l="0" t="0" r="0" b="3175"/>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2850" cy="739775"/>
                      </a:xfrm>
                      <a:prstGeom prst="rect">
                        <a:avLst/>
                      </a:prstGeom>
                      <a:solidFill>
                        <a:srgbClr val="006A9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A382A2" w14:textId="73BB5844" w:rsidR="00400E65" w:rsidRPr="00E83166" w:rsidRDefault="000F5A2D" w:rsidP="00400E65">
                          <w:pPr>
                            <w:spacing w:before="120"/>
                            <w:ind w:left="567"/>
                            <w:rPr>
                              <w:rFonts w:ascii="MS Reference Sans Serif" w:hAnsi="MS Reference Sans Serif" w:cs="Tunga"/>
                              <w:color w:val="FFFFFF"/>
                            </w:rPr>
                          </w:pPr>
                          <w:r>
                            <w:rPr>
                              <w:rFonts w:ascii="MS Reference Sans Serif" w:hAnsi="MS Reference Sans Serif" w:cs="Tunga"/>
                              <w:color w:val="FFFFFF"/>
                              <w:spacing w:val="10"/>
                              <w:w w:val="99"/>
                              <w:kern w:val="44"/>
                              <w:sz w:val="40"/>
                              <w:szCs w:val="40"/>
                            </w:rPr>
                            <w:t>Improving guidance</w:t>
                          </w:r>
                          <w:r w:rsidR="00327FC9">
                            <w:rPr>
                              <w:rFonts w:ascii="MS Reference Sans Serif" w:hAnsi="MS Reference Sans Serif" w:cs="Tunga"/>
                              <w:color w:val="FFFFFF"/>
                              <w:spacing w:val="10"/>
                              <w:w w:val="99"/>
                              <w:kern w:val="44"/>
                              <w:sz w:val="40"/>
                              <w:szCs w:val="40"/>
                            </w:rPr>
                            <w:t xml:space="preserve"> to support </w:t>
                          </w:r>
                          <w:r w:rsidR="00CE7914">
                            <w:rPr>
                              <w:rFonts w:ascii="MS Reference Sans Serif" w:hAnsi="MS Reference Sans Serif" w:cs="Tunga"/>
                              <w:color w:val="FFFFFF"/>
                              <w:spacing w:val="10"/>
                              <w:w w:val="99"/>
                              <w:kern w:val="44"/>
                              <w:sz w:val="40"/>
                              <w:szCs w:val="40"/>
                            </w:rPr>
                            <w:t xml:space="preserve">cost </w:t>
                          </w:r>
                          <w:r w:rsidR="00327FC9">
                            <w:rPr>
                              <w:rFonts w:ascii="MS Reference Sans Serif" w:hAnsi="MS Reference Sans Serif" w:cs="Tunga"/>
                              <w:color w:val="FFFFFF"/>
                              <w:spacing w:val="10"/>
                              <w:w w:val="99"/>
                              <w:kern w:val="44"/>
                              <w:sz w:val="40"/>
                              <w:szCs w:val="40"/>
                            </w:rPr>
                            <w:t>benefit analysis</w:t>
                          </w:r>
                          <w:r w:rsidR="006E2EB1">
                            <w:rPr>
                              <w:rFonts w:ascii="MS Reference Sans Serif" w:hAnsi="MS Reference Sans Serif" w:cs="Tunga"/>
                              <w:color w:val="FFFFFF"/>
                              <w:spacing w:val="10"/>
                              <w:w w:val="99"/>
                              <w:kern w:val="44"/>
                              <w:sz w:val="40"/>
                              <w:szCs w:val="40"/>
                            </w:rPr>
                            <w:t xml:space="preserve"> in network investment</w:t>
                          </w:r>
                          <w:r w:rsidR="00400E65">
                            <w:rPr>
                              <w:rFonts w:ascii="MS Reference Sans Serif" w:hAnsi="MS Reference Sans Serif" w:cs="Tunga"/>
                              <w:color w:val="FFFFFF"/>
                              <w:spacing w:val="10"/>
                              <w:w w:val="99"/>
                              <w:kern w:val="44"/>
                              <w:sz w:val="40"/>
                              <w:szCs w:val="40"/>
                            </w:rPr>
                            <w:tab/>
                          </w:r>
                        </w:p>
                        <w:p w14:paraId="02D74C4F" w14:textId="77777777" w:rsidR="00400E65" w:rsidRPr="00390BEB" w:rsidRDefault="00400E65" w:rsidP="00400E65">
                          <w:pPr>
                            <w:ind w:left="567" w:right="941"/>
                            <w:jc w:val="right"/>
                            <w:rPr>
                              <w:rFonts w:cs="Calibri"/>
                              <w:b/>
                              <w:color w:val="FFFFFF"/>
                            </w:rPr>
                          </w:pPr>
                        </w:p>
                      </w:txbxContent>
                    </wps:txbx>
                    <wps:bodyPr rot="0" vert="horz" wrap="square" lIns="91440" tIns="45720" rIns="91440" bIns="45720" anchor="b" anchorCtr="0" upright="1">
                      <a:noAutofit/>
                    </wps:bodyPr>
                  </wps:wsp>
                </a:graphicData>
              </a:graphic>
              <wp14:sizeRelV relativeFrom="margin">
                <wp14:pctHeight>0</wp14:pctHeight>
              </wp14:sizeRelV>
            </wp:anchor>
          </w:drawing>
        </mc:Choice>
        <mc:Fallback>
          <w:pict>
            <v:shapetype w14:anchorId="2A641264" id="_x0000_t202" coordsize="21600,21600" o:spt="202" path="m,l,21600r21600,l21600,xe">
              <v:stroke joinstyle="miter"/>
              <v:path gradientshapeok="t" o:connecttype="rect"/>
            </v:shapetype>
            <v:shape id="Text Box 2" o:spid="_x0000_s1026" type="#_x0000_t202" style="position:absolute;margin-left:-36pt;margin-top:-58.65pt;width:595.5pt;height:58.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" fillcolor="#006a99" stroked="f">
              <v:textbox>
                <w:txbxContent>
                  <w:p w14:paraId="13A382A2" w14:textId="73BB5844" w:rsidR="00400E65" w:rsidRPr="00E83166" w:rsidRDefault="000F5A2D" w:rsidP="00400E65">
                    <w:pPr>
                      <w:spacing w:before="120"/>
                      <w:ind w:left="567"/>
                      <w:rPr>
                        <w:rFonts w:ascii="MS Reference Sans Serif" w:hAnsi="MS Reference Sans Serif" w:cs="Tunga"/>
                        <w:color w:val="FFFFFF"/>
                      </w:rPr>
                    </w:pPr>
                    <w:r>
                      <w:rPr>
                        <w:rFonts w:ascii="MS Reference Sans Serif" w:hAnsi="MS Reference Sans Serif" w:cs="Tunga"/>
                        <w:color w:val="FFFFFF"/>
                        <w:spacing w:val="10"/>
                        <w:w w:val="99"/>
                        <w:kern w:val="44"/>
                        <w:sz w:val="40"/>
                        <w:szCs w:val="40"/>
                      </w:rPr>
                      <w:t>Improving guidance</w:t>
                    </w:r>
                    <w:r w:rsidR="00327FC9">
                      <w:rPr>
                        <w:rFonts w:ascii="MS Reference Sans Serif" w:hAnsi="MS Reference Sans Serif" w:cs="Tunga"/>
                        <w:color w:val="FFFFFF"/>
                        <w:spacing w:val="10"/>
                        <w:w w:val="99"/>
                        <w:kern w:val="44"/>
                        <w:sz w:val="40"/>
                        <w:szCs w:val="40"/>
                      </w:rPr>
                      <w:t xml:space="preserve"> to support </w:t>
                    </w:r>
                    <w:r w:rsidR="00CE7914">
                      <w:rPr>
                        <w:rFonts w:ascii="MS Reference Sans Serif" w:hAnsi="MS Reference Sans Serif" w:cs="Tunga"/>
                        <w:color w:val="FFFFFF"/>
                        <w:spacing w:val="10"/>
                        <w:w w:val="99"/>
                        <w:kern w:val="44"/>
                        <w:sz w:val="40"/>
                        <w:szCs w:val="40"/>
                      </w:rPr>
                      <w:t xml:space="preserve">cost </w:t>
                    </w:r>
                    <w:r w:rsidR="00327FC9">
                      <w:rPr>
                        <w:rFonts w:ascii="MS Reference Sans Serif" w:hAnsi="MS Reference Sans Serif" w:cs="Tunga"/>
                        <w:color w:val="FFFFFF"/>
                        <w:spacing w:val="10"/>
                        <w:w w:val="99"/>
                        <w:kern w:val="44"/>
                        <w:sz w:val="40"/>
                        <w:szCs w:val="40"/>
                      </w:rPr>
                      <w:t>benefit analysis</w:t>
                    </w:r>
                    <w:r w:rsidR="006E2EB1">
                      <w:rPr>
                        <w:rFonts w:ascii="MS Reference Sans Serif" w:hAnsi="MS Reference Sans Serif" w:cs="Tunga"/>
                        <w:color w:val="FFFFFF"/>
                        <w:spacing w:val="10"/>
                        <w:w w:val="99"/>
                        <w:kern w:val="44"/>
                        <w:sz w:val="40"/>
                        <w:szCs w:val="40"/>
                      </w:rPr>
                      <w:t xml:space="preserve"> in network investment</w:t>
                    </w:r>
                    <w:r w:rsidR="00400E65">
                      <w:rPr>
                        <w:rFonts w:ascii="MS Reference Sans Serif" w:hAnsi="MS Reference Sans Serif" w:cs="Tunga"/>
                        <w:color w:val="FFFFFF"/>
                        <w:spacing w:val="10"/>
                        <w:w w:val="99"/>
                        <w:kern w:val="44"/>
                        <w:sz w:val="40"/>
                        <w:szCs w:val="40"/>
                      </w:rPr>
                      <w:tab/>
                    </w:r>
                  </w:p>
                  <w:p w14:paraId="02D74C4F" w14:textId="77777777" w:rsidR="00400E65" w:rsidRPr="00390BEB" w:rsidRDefault="00400E65" w:rsidP="00400E65">
                    <w:pPr>
                      <w:ind w:left="567" w:right="941"/>
                      <w:jc w:val="right"/>
                      <w:rPr>
                        <w:rFonts w:cs="Calibri"/>
                        <w:b/>
                        <w:color w:val="FFFFFF"/>
                      </w:rPr>
                    </w:pPr>
                  </w:p>
                </w:txbxContent>
              </v:textbox>
              <w10:wrap type="topAndBottom"/>
            </v:shape>
          </w:pict>
        </mc:Fallback>
      </mc:AlternateContent>
    </w:r>
    <w:r>
      <w:rPr>
        <w:noProof/>
        <w:lang w:eastAsia="en-AU"/>
      </w:rPr>
      <w:drawing>
        <wp:anchor distT="0" distB="0" distL="114300" distR="114300" simplePos="0" relativeHeight="251657216" behindDoc="0" locked="0" layoutInCell="1" allowOverlap="1" wp14:anchorId="28AE7E66" wp14:editId="01F2F5F2">
          <wp:simplePos x="0" y="0"/>
          <wp:positionH relativeFrom="column">
            <wp:posOffset>0</wp:posOffset>
          </wp:positionH>
          <wp:positionV relativeFrom="paragraph">
            <wp:posOffset>-1543685</wp:posOffset>
          </wp:positionV>
          <wp:extent cx="2362200" cy="745490"/>
          <wp:effectExtent l="0" t="0" r="0" b="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745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9E2DD4"/>
    <w:multiLevelType w:val="hybridMultilevel"/>
    <w:tmpl w:val="9C6EB9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173D32CE"/>
    <w:multiLevelType w:val="hybridMultilevel"/>
    <w:tmpl w:val="64CEB9F0"/>
    <w:lvl w:ilvl="0" w:tplc="C9C406E8">
      <w:start w:val="1"/>
      <w:numFmt w:val="bullet"/>
      <w:pStyle w:val="AERfactsheetbulletlist"/>
      <w:lvlText w:val=""/>
      <w:lvlJc w:val="left"/>
      <w:pPr>
        <w:ind w:left="578" w:hanging="360"/>
      </w:pPr>
      <w:rPr>
        <w:rFonts w:ascii="Wingdings" w:hAnsi="Wingdings" w:hint="default"/>
        <w:b w:val="0"/>
        <w:i w:val="0"/>
        <w:sz w:val="22"/>
      </w:rPr>
    </w:lvl>
    <w:lvl w:ilvl="1" w:tplc="0C090003">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2" w15:restartNumberingAfterBreak="0">
    <w:nsid w:val="17803EE5"/>
    <w:multiLevelType w:val="multilevel"/>
    <w:tmpl w:val="42AAC724"/>
    <w:lvl w:ilvl="0">
      <w:start w:val="1"/>
      <w:numFmt w:val="bullet"/>
      <w:lvlText w:val=""/>
      <w:lvlJc w:val="left"/>
      <w:pPr>
        <w:tabs>
          <w:tab w:val="num" w:pos="340"/>
        </w:tabs>
        <w:ind w:left="340" w:firstLine="0"/>
      </w:pPr>
      <w:rPr>
        <w:rFonts w:ascii="Symbol" w:hAnsi="Symbol" w:hint="default"/>
      </w:rPr>
    </w:lvl>
    <w:lvl w:ilvl="1">
      <w:start w:val="1"/>
      <w:numFmt w:val="decimal"/>
      <w:lvlText w:val="%2."/>
      <w:lvlJc w:val="left"/>
      <w:pPr>
        <w:tabs>
          <w:tab w:val="num" w:pos="697"/>
        </w:tabs>
        <w:ind w:left="697" w:hanging="357"/>
      </w:pPr>
    </w:lvl>
    <w:lvl w:ilvl="2">
      <w:start w:val="1"/>
      <w:numFmt w:val="lowerLetter"/>
      <w:lvlText w:val="%3."/>
      <w:lvlJc w:val="left"/>
      <w:pPr>
        <w:tabs>
          <w:tab w:val="num" w:pos="1060"/>
        </w:tabs>
        <w:ind w:left="1060" w:hanging="363"/>
      </w:pPr>
    </w:lvl>
    <w:lvl w:ilvl="3">
      <w:start w:val="1"/>
      <w:numFmt w:val="lowerRoman"/>
      <w:lvlText w:val="%4."/>
      <w:lvlJc w:val="left"/>
      <w:pPr>
        <w:tabs>
          <w:tab w:val="num" w:pos="1417"/>
        </w:tabs>
        <w:ind w:left="1417" w:hanging="357"/>
      </w:pPr>
    </w:lvl>
    <w:lvl w:ilvl="4">
      <w:start w:val="1"/>
      <w:numFmt w:val="decimal"/>
      <w:lvlRestart w:val="1"/>
      <w:lvlText w:val="(%5)"/>
      <w:lvlJc w:val="left"/>
      <w:pPr>
        <w:tabs>
          <w:tab w:val="num" w:pos="794"/>
        </w:tabs>
        <w:ind w:left="794" w:hanging="454"/>
      </w:pPr>
    </w:lvl>
    <w:lvl w:ilvl="5">
      <w:start w:val="1"/>
      <w:numFmt w:val="lowerLetter"/>
      <w:lvlText w:val="(%6)"/>
      <w:lvlJc w:val="left"/>
      <w:pPr>
        <w:tabs>
          <w:tab w:val="num" w:pos="1151"/>
        </w:tabs>
        <w:ind w:left="1151" w:hanging="357"/>
      </w:pPr>
    </w:lvl>
    <w:lvl w:ilvl="6">
      <w:start w:val="1"/>
      <w:numFmt w:val="lowerRoman"/>
      <w:lvlText w:val="(%7)"/>
      <w:lvlJc w:val="left"/>
      <w:pPr>
        <w:tabs>
          <w:tab w:val="num" w:pos="1786"/>
        </w:tabs>
        <w:ind w:left="1786" w:hanging="635"/>
      </w:pPr>
    </w:lvl>
    <w:lvl w:ilvl="7">
      <w:start w:val="1"/>
      <w:numFmt w:val="lowerLetter"/>
      <w:lvlText w:val="%8."/>
      <w:lvlJc w:val="left"/>
      <w:pPr>
        <w:ind w:left="3220" w:hanging="360"/>
      </w:pPr>
    </w:lvl>
    <w:lvl w:ilvl="8">
      <w:start w:val="1"/>
      <w:numFmt w:val="lowerRoman"/>
      <w:lvlText w:val="%9."/>
      <w:lvlJc w:val="left"/>
      <w:pPr>
        <w:ind w:left="3580" w:hanging="360"/>
      </w:pPr>
    </w:lvl>
  </w:abstractNum>
  <w:abstractNum w:abstractNumId="3" w15:restartNumberingAfterBreak="0">
    <w:nsid w:val="26390BB4"/>
    <w:multiLevelType w:val="hybridMultilevel"/>
    <w:tmpl w:val="51B06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76F0F4A"/>
    <w:multiLevelType w:val="hybridMultilevel"/>
    <w:tmpl w:val="8662CE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5745FB0"/>
    <w:multiLevelType w:val="hybridMultilevel"/>
    <w:tmpl w:val="4E6C19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B5B40A8"/>
    <w:multiLevelType w:val="hybridMultilevel"/>
    <w:tmpl w:val="7BFCF0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39575BF"/>
    <w:multiLevelType w:val="hybridMultilevel"/>
    <w:tmpl w:val="520AAE6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44E1809"/>
    <w:multiLevelType w:val="hybridMultilevel"/>
    <w:tmpl w:val="8B549D7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7EA27AF"/>
    <w:multiLevelType w:val="hybridMultilevel"/>
    <w:tmpl w:val="18C0BB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51487971"/>
    <w:multiLevelType w:val="multilevel"/>
    <w:tmpl w:val="B1FCC85A"/>
    <w:lvl w:ilvl="0">
      <w:start w:val="1"/>
      <w:numFmt w:val="none"/>
      <w:pStyle w:val="AERbodytext"/>
      <w:lvlText w:val="%1"/>
      <w:lvlJc w:val="left"/>
      <w:pPr>
        <w:tabs>
          <w:tab w:val="num" w:pos="0"/>
        </w:tabs>
      </w:pPr>
      <w:rPr>
        <w:rFonts w:cs="Times New Roman" w:hint="default"/>
      </w:rPr>
    </w:lvl>
    <w:lvl w:ilvl="1">
      <w:start w:val="1"/>
      <w:numFmt w:val="decimal"/>
      <w:pStyle w:val="AERnumberedlistfirststyle"/>
      <w:lvlText w:val="%2."/>
      <w:lvlJc w:val="left"/>
      <w:pPr>
        <w:tabs>
          <w:tab w:val="num" w:pos="357"/>
        </w:tabs>
        <w:ind w:left="357" w:hanging="357"/>
      </w:pPr>
      <w:rPr>
        <w:rFonts w:cs="Times New Roman" w:hint="default"/>
      </w:rPr>
    </w:lvl>
    <w:lvl w:ilvl="2">
      <w:start w:val="1"/>
      <w:numFmt w:val="lowerLetter"/>
      <w:pStyle w:val="AERnumberedlistsecondstyle"/>
      <w:lvlText w:val="%3."/>
      <w:lvlJc w:val="left"/>
      <w:pPr>
        <w:tabs>
          <w:tab w:val="num" w:pos="720"/>
        </w:tabs>
        <w:ind w:left="720" w:hanging="363"/>
      </w:pPr>
      <w:rPr>
        <w:rFonts w:cs="Times New Roman" w:hint="default"/>
      </w:rPr>
    </w:lvl>
    <w:lvl w:ilvl="3">
      <w:start w:val="1"/>
      <w:numFmt w:val="lowerRoman"/>
      <w:pStyle w:val="AERnumberedlistthirdstyle"/>
      <w:lvlText w:val="%4."/>
      <w:lvlJc w:val="left"/>
      <w:pPr>
        <w:tabs>
          <w:tab w:val="num" w:pos="1077"/>
        </w:tabs>
        <w:ind w:left="1077" w:hanging="357"/>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15:restartNumberingAfterBreak="0">
    <w:nsid w:val="5C04619A"/>
    <w:multiLevelType w:val="hybridMultilevel"/>
    <w:tmpl w:val="56C093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E2819EC"/>
    <w:multiLevelType w:val="multilevel"/>
    <w:tmpl w:val="1250F31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10"/>
  </w:num>
  <w:num w:numId="3">
    <w:abstractNumId w:val="1"/>
  </w:num>
  <w:num w:numId="4">
    <w:abstractNumId w:val="1"/>
  </w:num>
  <w:num w:numId="5">
    <w:abstractNumId w:val="11"/>
  </w:num>
  <w:num w:numId="6">
    <w:abstractNumId w:val="7"/>
  </w:num>
  <w:num w:numId="7">
    <w:abstractNumId w:val="6"/>
  </w:num>
  <w:num w:numId="8">
    <w:abstractNumId w:val="8"/>
  </w:num>
  <w:num w:numId="9">
    <w:abstractNumId w:val="0"/>
  </w:num>
  <w:num w:numId="10">
    <w:abstractNumId w:val="1"/>
  </w:num>
  <w:num w:numId="11">
    <w:abstractNumId w:val="1"/>
  </w:num>
  <w:num w:numId="1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4"/>
  </w:num>
  <w:num w:numId="17">
    <w:abstractNumId w:val="5"/>
  </w:num>
  <w:num w:numId="18">
    <w:abstractNumId w:val="3"/>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urrentname" w:val="H:\trimdata\TRIM\TEMP\HPTRIM.6512\D17 106311  Item 3.1 - Staff Paper - Attachment G - Fact Sheet.DOCX"/>
  </w:docVars>
  <w:rsids>
    <w:rsidRoot w:val="00021F03"/>
    <w:rsid w:val="00006230"/>
    <w:rsid w:val="00012AC9"/>
    <w:rsid w:val="000173D5"/>
    <w:rsid w:val="000175A4"/>
    <w:rsid w:val="000204CF"/>
    <w:rsid w:val="00020D49"/>
    <w:rsid w:val="00021303"/>
    <w:rsid w:val="00021F03"/>
    <w:rsid w:val="00022077"/>
    <w:rsid w:val="00025FFF"/>
    <w:rsid w:val="00027076"/>
    <w:rsid w:val="0002771E"/>
    <w:rsid w:val="00032BA0"/>
    <w:rsid w:val="00035993"/>
    <w:rsid w:val="000437AC"/>
    <w:rsid w:val="000454A0"/>
    <w:rsid w:val="00055816"/>
    <w:rsid w:val="0006170B"/>
    <w:rsid w:val="00061938"/>
    <w:rsid w:val="00061DCF"/>
    <w:rsid w:val="000628D4"/>
    <w:rsid w:val="00062C55"/>
    <w:rsid w:val="00067C1C"/>
    <w:rsid w:val="000742B2"/>
    <w:rsid w:val="0007657B"/>
    <w:rsid w:val="0008333E"/>
    <w:rsid w:val="00084C36"/>
    <w:rsid w:val="000864DB"/>
    <w:rsid w:val="00093F0F"/>
    <w:rsid w:val="00096CFF"/>
    <w:rsid w:val="0009762C"/>
    <w:rsid w:val="00097937"/>
    <w:rsid w:val="000B05F7"/>
    <w:rsid w:val="000B3EAD"/>
    <w:rsid w:val="000C025A"/>
    <w:rsid w:val="000C07AD"/>
    <w:rsid w:val="000C0D6A"/>
    <w:rsid w:val="000C2A89"/>
    <w:rsid w:val="000C2CB2"/>
    <w:rsid w:val="000C4A17"/>
    <w:rsid w:val="000C6A02"/>
    <w:rsid w:val="000C712D"/>
    <w:rsid w:val="000C7959"/>
    <w:rsid w:val="000D00E4"/>
    <w:rsid w:val="000D4877"/>
    <w:rsid w:val="000E2D55"/>
    <w:rsid w:val="000E30AE"/>
    <w:rsid w:val="000E423F"/>
    <w:rsid w:val="000E6CBB"/>
    <w:rsid w:val="000F09C2"/>
    <w:rsid w:val="000F31B9"/>
    <w:rsid w:val="000F5A2D"/>
    <w:rsid w:val="000F6902"/>
    <w:rsid w:val="0010059A"/>
    <w:rsid w:val="00113361"/>
    <w:rsid w:val="001152E2"/>
    <w:rsid w:val="001161C9"/>
    <w:rsid w:val="00116AAE"/>
    <w:rsid w:val="00117167"/>
    <w:rsid w:val="00117472"/>
    <w:rsid w:val="00124CB2"/>
    <w:rsid w:val="001272EB"/>
    <w:rsid w:val="00131C78"/>
    <w:rsid w:val="00134644"/>
    <w:rsid w:val="001364E9"/>
    <w:rsid w:val="00136A89"/>
    <w:rsid w:val="00140E1A"/>
    <w:rsid w:val="00145690"/>
    <w:rsid w:val="00150133"/>
    <w:rsid w:val="00150203"/>
    <w:rsid w:val="00152151"/>
    <w:rsid w:val="0016071A"/>
    <w:rsid w:val="001609BC"/>
    <w:rsid w:val="00161050"/>
    <w:rsid w:val="00161423"/>
    <w:rsid w:val="00163E50"/>
    <w:rsid w:val="00166815"/>
    <w:rsid w:val="00177DA6"/>
    <w:rsid w:val="0018337A"/>
    <w:rsid w:val="001851E8"/>
    <w:rsid w:val="00193867"/>
    <w:rsid w:val="00194A45"/>
    <w:rsid w:val="001A231A"/>
    <w:rsid w:val="001A23C5"/>
    <w:rsid w:val="001A3711"/>
    <w:rsid w:val="001A3931"/>
    <w:rsid w:val="001A472C"/>
    <w:rsid w:val="001A536B"/>
    <w:rsid w:val="001A5BC1"/>
    <w:rsid w:val="001A5F14"/>
    <w:rsid w:val="001B10C7"/>
    <w:rsid w:val="001C1328"/>
    <w:rsid w:val="001D3D87"/>
    <w:rsid w:val="001D4048"/>
    <w:rsid w:val="001D49FD"/>
    <w:rsid w:val="001E42DA"/>
    <w:rsid w:val="001E66EE"/>
    <w:rsid w:val="001F13FC"/>
    <w:rsid w:val="001F15F8"/>
    <w:rsid w:val="001F2550"/>
    <w:rsid w:val="001F38D3"/>
    <w:rsid w:val="001F500A"/>
    <w:rsid w:val="00201944"/>
    <w:rsid w:val="002022C0"/>
    <w:rsid w:val="00203AEB"/>
    <w:rsid w:val="00205D80"/>
    <w:rsid w:val="002106B5"/>
    <w:rsid w:val="00211FD6"/>
    <w:rsid w:val="00216967"/>
    <w:rsid w:val="00223084"/>
    <w:rsid w:val="00225391"/>
    <w:rsid w:val="00225620"/>
    <w:rsid w:val="0022594B"/>
    <w:rsid w:val="00235775"/>
    <w:rsid w:val="00235852"/>
    <w:rsid w:val="00236E3C"/>
    <w:rsid w:val="002425E7"/>
    <w:rsid w:val="00244D7A"/>
    <w:rsid w:val="00247033"/>
    <w:rsid w:val="002521D8"/>
    <w:rsid w:val="0025268F"/>
    <w:rsid w:val="00257B6D"/>
    <w:rsid w:val="00260011"/>
    <w:rsid w:val="00260768"/>
    <w:rsid w:val="00261C8B"/>
    <w:rsid w:val="00262E9E"/>
    <w:rsid w:val="0026370F"/>
    <w:rsid w:val="00263811"/>
    <w:rsid w:val="00265898"/>
    <w:rsid w:val="00266275"/>
    <w:rsid w:val="00266A25"/>
    <w:rsid w:val="00275F07"/>
    <w:rsid w:val="002856A4"/>
    <w:rsid w:val="00285C21"/>
    <w:rsid w:val="00290C21"/>
    <w:rsid w:val="002952EB"/>
    <w:rsid w:val="002A4196"/>
    <w:rsid w:val="002A473F"/>
    <w:rsid w:val="002A58B5"/>
    <w:rsid w:val="002A5F52"/>
    <w:rsid w:val="002B118C"/>
    <w:rsid w:val="002B5D3E"/>
    <w:rsid w:val="002B7BBC"/>
    <w:rsid w:val="002B7D0B"/>
    <w:rsid w:val="002C4452"/>
    <w:rsid w:val="002D49CD"/>
    <w:rsid w:val="002D56B2"/>
    <w:rsid w:val="002E3F5B"/>
    <w:rsid w:val="002E57B4"/>
    <w:rsid w:val="002E7F4D"/>
    <w:rsid w:val="002F5CD2"/>
    <w:rsid w:val="002F5FD8"/>
    <w:rsid w:val="003048DC"/>
    <w:rsid w:val="00305687"/>
    <w:rsid w:val="003077EA"/>
    <w:rsid w:val="003118DF"/>
    <w:rsid w:val="0031269F"/>
    <w:rsid w:val="00321193"/>
    <w:rsid w:val="003224AC"/>
    <w:rsid w:val="00324393"/>
    <w:rsid w:val="00326C0E"/>
    <w:rsid w:val="00327E8A"/>
    <w:rsid w:val="00327FC9"/>
    <w:rsid w:val="00331567"/>
    <w:rsid w:val="0033250F"/>
    <w:rsid w:val="00342DB1"/>
    <w:rsid w:val="00346F63"/>
    <w:rsid w:val="00351764"/>
    <w:rsid w:val="00354231"/>
    <w:rsid w:val="00354991"/>
    <w:rsid w:val="00355A06"/>
    <w:rsid w:val="00355E35"/>
    <w:rsid w:val="00356833"/>
    <w:rsid w:val="00356F16"/>
    <w:rsid w:val="0036097F"/>
    <w:rsid w:val="00360C93"/>
    <w:rsid w:val="00363D63"/>
    <w:rsid w:val="003653F9"/>
    <w:rsid w:val="00374A57"/>
    <w:rsid w:val="00380CF6"/>
    <w:rsid w:val="00383B52"/>
    <w:rsid w:val="003851C0"/>
    <w:rsid w:val="00385BB9"/>
    <w:rsid w:val="003870D8"/>
    <w:rsid w:val="003876E1"/>
    <w:rsid w:val="003877D5"/>
    <w:rsid w:val="003906E2"/>
    <w:rsid w:val="00391B7D"/>
    <w:rsid w:val="00392D55"/>
    <w:rsid w:val="00392E27"/>
    <w:rsid w:val="003A4BA4"/>
    <w:rsid w:val="003A5242"/>
    <w:rsid w:val="003A6163"/>
    <w:rsid w:val="003A683A"/>
    <w:rsid w:val="003B2E51"/>
    <w:rsid w:val="003B46EA"/>
    <w:rsid w:val="003B6A3E"/>
    <w:rsid w:val="003C2089"/>
    <w:rsid w:val="003C2F1F"/>
    <w:rsid w:val="003C5583"/>
    <w:rsid w:val="003C7728"/>
    <w:rsid w:val="003D0601"/>
    <w:rsid w:val="003D0B86"/>
    <w:rsid w:val="003D1921"/>
    <w:rsid w:val="003D2A5B"/>
    <w:rsid w:val="003D4AB3"/>
    <w:rsid w:val="003F0C1A"/>
    <w:rsid w:val="003F527A"/>
    <w:rsid w:val="003F6819"/>
    <w:rsid w:val="00400E65"/>
    <w:rsid w:val="00401AF7"/>
    <w:rsid w:val="00404570"/>
    <w:rsid w:val="0040796A"/>
    <w:rsid w:val="00422429"/>
    <w:rsid w:val="0042329B"/>
    <w:rsid w:val="00426387"/>
    <w:rsid w:val="00426F89"/>
    <w:rsid w:val="004310E5"/>
    <w:rsid w:val="00432FB8"/>
    <w:rsid w:val="004331D4"/>
    <w:rsid w:val="004337A6"/>
    <w:rsid w:val="004404F3"/>
    <w:rsid w:val="004418EC"/>
    <w:rsid w:val="00446186"/>
    <w:rsid w:val="0045172C"/>
    <w:rsid w:val="00452BFE"/>
    <w:rsid w:val="004548EF"/>
    <w:rsid w:val="004558CB"/>
    <w:rsid w:val="004579EB"/>
    <w:rsid w:val="00457E3A"/>
    <w:rsid w:val="00471740"/>
    <w:rsid w:val="004723CF"/>
    <w:rsid w:val="00474754"/>
    <w:rsid w:val="004842F6"/>
    <w:rsid w:val="00490347"/>
    <w:rsid w:val="004913F3"/>
    <w:rsid w:val="00496333"/>
    <w:rsid w:val="004971B8"/>
    <w:rsid w:val="004B0368"/>
    <w:rsid w:val="004B40E2"/>
    <w:rsid w:val="004B632F"/>
    <w:rsid w:val="004C0580"/>
    <w:rsid w:val="004C1027"/>
    <w:rsid w:val="004C19B8"/>
    <w:rsid w:val="004C5F9A"/>
    <w:rsid w:val="004D0923"/>
    <w:rsid w:val="004D1DC0"/>
    <w:rsid w:val="004D52BB"/>
    <w:rsid w:val="004E0FF6"/>
    <w:rsid w:val="004E1208"/>
    <w:rsid w:val="004E233B"/>
    <w:rsid w:val="004E3507"/>
    <w:rsid w:val="004E4F29"/>
    <w:rsid w:val="004E6C3A"/>
    <w:rsid w:val="004F1C76"/>
    <w:rsid w:val="004F4392"/>
    <w:rsid w:val="005014FA"/>
    <w:rsid w:val="0050430D"/>
    <w:rsid w:val="005064D7"/>
    <w:rsid w:val="005102F4"/>
    <w:rsid w:val="00511B82"/>
    <w:rsid w:val="00513FFD"/>
    <w:rsid w:val="00514793"/>
    <w:rsid w:val="00516914"/>
    <w:rsid w:val="00521FBA"/>
    <w:rsid w:val="00525E8F"/>
    <w:rsid w:val="00526C37"/>
    <w:rsid w:val="005309FB"/>
    <w:rsid w:val="0053230C"/>
    <w:rsid w:val="005324C6"/>
    <w:rsid w:val="005326E7"/>
    <w:rsid w:val="00533071"/>
    <w:rsid w:val="00536EC0"/>
    <w:rsid w:val="005402E5"/>
    <w:rsid w:val="005432E0"/>
    <w:rsid w:val="00543B7F"/>
    <w:rsid w:val="00544345"/>
    <w:rsid w:val="00546358"/>
    <w:rsid w:val="005468DA"/>
    <w:rsid w:val="00547E18"/>
    <w:rsid w:val="005524C5"/>
    <w:rsid w:val="00554E14"/>
    <w:rsid w:val="0055584F"/>
    <w:rsid w:val="00556C53"/>
    <w:rsid w:val="00560C48"/>
    <w:rsid w:val="005610D6"/>
    <w:rsid w:val="00564A2D"/>
    <w:rsid w:val="00566A50"/>
    <w:rsid w:val="00572436"/>
    <w:rsid w:val="00573F84"/>
    <w:rsid w:val="00573FCC"/>
    <w:rsid w:val="005746F0"/>
    <w:rsid w:val="00575036"/>
    <w:rsid w:val="00580EE8"/>
    <w:rsid w:val="00592DF0"/>
    <w:rsid w:val="005960A4"/>
    <w:rsid w:val="00597D94"/>
    <w:rsid w:val="005A1CBA"/>
    <w:rsid w:val="005A468C"/>
    <w:rsid w:val="005B4ADC"/>
    <w:rsid w:val="005B5BDE"/>
    <w:rsid w:val="005C144C"/>
    <w:rsid w:val="005C17E0"/>
    <w:rsid w:val="005C459F"/>
    <w:rsid w:val="005C7B7F"/>
    <w:rsid w:val="005D2EBB"/>
    <w:rsid w:val="005D385D"/>
    <w:rsid w:val="005D5217"/>
    <w:rsid w:val="005D629A"/>
    <w:rsid w:val="005E0762"/>
    <w:rsid w:val="005E1E92"/>
    <w:rsid w:val="005E382D"/>
    <w:rsid w:val="005E4018"/>
    <w:rsid w:val="005E63F8"/>
    <w:rsid w:val="005F115A"/>
    <w:rsid w:val="005F2D40"/>
    <w:rsid w:val="005F2DC5"/>
    <w:rsid w:val="005F449E"/>
    <w:rsid w:val="005F4DFA"/>
    <w:rsid w:val="006030C0"/>
    <w:rsid w:val="00603298"/>
    <w:rsid w:val="0061155D"/>
    <w:rsid w:val="00616F0E"/>
    <w:rsid w:val="006207BE"/>
    <w:rsid w:val="00621752"/>
    <w:rsid w:val="00621A3A"/>
    <w:rsid w:val="006246A9"/>
    <w:rsid w:val="00625661"/>
    <w:rsid w:val="00627C1F"/>
    <w:rsid w:val="00630A80"/>
    <w:rsid w:val="0063265A"/>
    <w:rsid w:val="006341A5"/>
    <w:rsid w:val="00634AC9"/>
    <w:rsid w:val="00636708"/>
    <w:rsid w:val="00640BD7"/>
    <w:rsid w:val="00642BD7"/>
    <w:rsid w:val="00644690"/>
    <w:rsid w:val="0064571A"/>
    <w:rsid w:val="00645E40"/>
    <w:rsid w:val="00647EF3"/>
    <w:rsid w:val="00652BED"/>
    <w:rsid w:val="006562D2"/>
    <w:rsid w:val="00661A9B"/>
    <w:rsid w:val="00662BB4"/>
    <w:rsid w:val="00664010"/>
    <w:rsid w:val="0066415A"/>
    <w:rsid w:val="006658A5"/>
    <w:rsid w:val="00670354"/>
    <w:rsid w:val="006721DC"/>
    <w:rsid w:val="006724CD"/>
    <w:rsid w:val="0067299A"/>
    <w:rsid w:val="006733EE"/>
    <w:rsid w:val="00682F6C"/>
    <w:rsid w:val="0069720C"/>
    <w:rsid w:val="00697FF1"/>
    <w:rsid w:val="006A07F6"/>
    <w:rsid w:val="006A5A15"/>
    <w:rsid w:val="006B1A2B"/>
    <w:rsid w:val="006B2790"/>
    <w:rsid w:val="006B2D8D"/>
    <w:rsid w:val="006B322A"/>
    <w:rsid w:val="006B32E5"/>
    <w:rsid w:val="006B39DB"/>
    <w:rsid w:val="006B56F2"/>
    <w:rsid w:val="006B6050"/>
    <w:rsid w:val="006B6A11"/>
    <w:rsid w:val="006B73DD"/>
    <w:rsid w:val="006C02A5"/>
    <w:rsid w:val="006C4CC5"/>
    <w:rsid w:val="006C4F5B"/>
    <w:rsid w:val="006D0E7F"/>
    <w:rsid w:val="006D137A"/>
    <w:rsid w:val="006D5C4C"/>
    <w:rsid w:val="006D6D31"/>
    <w:rsid w:val="006E2EB1"/>
    <w:rsid w:val="006E71FA"/>
    <w:rsid w:val="006F2E4F"/>
    <w:rsid w:val="006F45DD"/>
    <w:rsid w:val="006F47BA"/>
    <w:rsid w:val="006F4929"/>
    <w:rsid w:val="006F72CC"/>
    <w:rsid w:val="006F7EC3"/>
    <w:rsid w:val="00701628"/>
    <w:rsid w:val="00702500"/>
    <w:rsid w:val="00702D5A"/>
    <w:rsid w:val="00704EDA"/>
    <w:rsid w:val="00705141"/>
    <w:rsid w:val="0070747F"/>
    <w:rsid w:val="007101C1"/>
    <w:rsid w:val="00711D05"/>
    <w:rsid w:val="00713B4B"/>
    <w:rsid w:val="0071495F"/>
    <w:rsid w:val="00724C76"/>
    <w:rsid w:val="00725DBA"/>
    <w:rsid w:val="00726CCA"/>
    <w:rsid w:val="00732564"/>
    <w:rsid w:val="007325CC"/>
    <w:rsid w:val="00742DF1"/>
    <w:rsid w:val="00747DBE"/>
    <w:rsid w:val="0075020D"/>
    <w:rsid w:val="00753DF7"/>
    <w:rsid w:val="00754FD0"/>
    <w:rsid w:val="00755D16"/>
    <w:rsid w:val="0075714F"/>
    <w:rsid w:val="00763E93"/>
    <w:rsid w:val="00772BF0"/>
    <w:rsid w:val="007745B8"/>
    <w:rsid w:val="007750E4"/>
    <w:rsid w:val="00776ACC"/>
    <w:rsid w:val="007853FF"/>
    <w:rsid w:val="007858DB"/>
    <w:rsid w:val="00785986"/>
    <w:rsid w:val="00787B39"/>
    <w:rsid w:val="00792075"/>
    <w:rsid w:val="007952B3"/>
    <w:rsid w:val="007A0EEB"/>
    <w:rsid w:val="007A1A40"/>
    <w:rsid w:val="007A2ACF"/>
    <w:rsid w:val="007B41D3"/>
    <w:rsid w:val="007B477B"/>
    <w:rsid w:val="007B5465"/>
    <w:rsid w:val="007B591B"/>
    <w:rsid w:val="007B61C5"/>
    <w:rsid w:val="007B6947"/>
    <w:rsid w:val="007C2122"/>
    <w:rsid w:val="007C2B2C"/>
    <w:rsid w:val="007C3C57"/>
    <w:rsid w:val="007C5329"/>
    <w:rsid w:val="007C54FB"/>
    <w:rsid w:val="007C7CA7"/>
    <w:rsid w:val="007D3FA2"/>
    <w:rsid w:val="007E2DDC"/>
    <w:rsid w:val="007E5FA6"/>
    <w:rsid w:val="007E692E"/>
    <w:rsid w:val="007F437A"/>
    <w:rsid w:val="007F6E60"/>
    <w:rsid w:val="00800EE0"/>
    <w:rsid w:val="00807259"/>
    <w:rsid w:val="00812B0D"/>
    <w:rsid w:val="00814799"/>
    <w:rsid w:val="008209DB"/>
    <w:rsid w:val="00833CB6"/>
    <w:rsid w:val="00837529"/>
    <w:rsid w:val="0084284A"/>
    <w:rsid w:val="008472A8"/>
    <w:rsid w:val="00850627"/>
    <w:rsid w:val="008535C7"/>
    <w:rsid w:val="00853D73"/>
    <w:rsid w:val="00855A4E"/>
    <w:rsid w:val="00856D44"/>
    <w:rsid w:val="00860B4E"/>
    <w:rsid w:val="008665CD"/>
    <w:rsid w:val="00871903"/>
    <w:rsid w:val="00871FB5"/>
    <w:rsid w:val="00877259"/>
    <w:rsid w:val="00877A69"/>
    <w:rsid w:val="0088254F"/>
    <w:rsid w:val="00882587"/>
    <w:rsid w:val="00890964"/>
    <w:rsid w:val="00893B2B"/>
    <w:rsid w:val="00896B75"/>
    <w:rsid w:val="00897845"/>
    <w:rsid w:val="008A1608"/>
    <w:rsid w:val="008A7103"/>
    <w:rsid w:val="008A7F44"/>
    <w:rsid w:val="008B28DF"/>
    <w:rsid w:val="008B297F"/>
    <w:rsid w:val="008B33C3"/>
    <w:rsid w:val="008B4DBF"/>
    <w:rsid w:val="008B58DA"/>
    <w:rsid w:val="008C1BBB"/>
    <w:rsid w:val="008C1F3B"/>
    <w:rsid w:val="008C32AF"/>
    <w:rsid w:val="008C5689"/>
    <w:rsid w:val="008D2A86"/>
    <w:rsid w:val="008D62A9"/>
    <w:rsid w:val="008D722A"/>
    <w:rsid w:val="008E3256"/>
    <w:rsid w:val="008E7D81"/>
    <w:rsid w:val="008F3ACF"/>
    <w:rsid w:val="008F6C14"/>
    <w:rsid w:val="00901228"/>
    <w:rsid w:val="009032EB"/>
    <w:rsid w:val="00903654"/>
    <w:rsid w:val="00904983"/>
    <w:rsid w:val="00916002"/>
    <w:rsid w:val="009166FF"/>
    <w:rsid w:val="0092057B"/>
    <w:rsid w:val="009206D8"/>
    <w:rsid w:val="00923BB2"/>
    <w:rsid w:val="009244D0"/>
    <w:rsid w:val="00926A8A"/>
    <w:rsid w:val="00930D72"/>
    <w:rsid w:val="009345C0"/>
    <w:rsid w:val="00935936"/>
    <w:rsid w:val="00935CAA"/>
    <w:rsid w:val="009462FA"/>
    <w:rsid w:val="00947D6F"/>
    <w:rsid w:val="009503CE"/>
    <w:rsid w:val="00960E54"/>
    <w:rsid w:val="009612A1"/>
    <w:rsid w:val="00963F5A"/>
    <w:rsid w:val="009658E3"/>
    <w:rsid w:val="00974FE1"/>
    <w:rsid w:val="009768FC"/>
    <w:rsid w:val="00980FD4"/>
    <w:rsid w:val="0098408F"/>
    <w:rsid w:val="00990089"/>
    <w:rsid w:val="00990A66"/>
    <w:rsid w:val="00990BAD"/>
    <w:rsid w:val="00993D60"/>
    <w:rsid w:val="009A1996"/>
    <w:rsid w:val="009A2BB4"/>
    <w:rsid w:val="009A702D"/>
    <w:rsid w:val="009B0AC4"/>
    <w:rsid w:val="009B176A"/>
    <w:rsid w:val="009B2454"/>
    <w:rsid w:val="009B4D12"/>
    <w:rsid w:val="009B4E9F"/>
    <w:rsid w:val="009B60B7"/>
    <w:rsid w:val="009C0036"/>
    <w:rsid w:val="009C6DC3"/>
    <w:rsid w:val="009D0255"/>
    <w:rsid w:val="009D246A"/>
    <w:rsid w:val="009D3F78"/>
    <w:rsid w:val="009E0E68"/>
    <w:rsid w:val="009E4276"/>
    <w:rsid w:val="009E7CD2"/>
    <w:rsid w:val="009F664C"/>
    <w:rsid w:val="009F6F78"/>
    <w:rsid w:val="009F7619"/>
    <w:rsid w:val="00A02437"/>
    <w:rsid w:val="00A0352C"/>
    <w:rsid w:val="00A0490B"/>
    <w:rsid w:val="00A06DEA"/>
    <w:rsid w:val="00A076C9"/>
    <w:rsid w:val="00A1351A"/>
    <w:rsid w:val="00A14E17"/>
    <w:rsid w:val="00A16ABC"/>
    <w:rsid w:val="00A16EDF"/>
    <w:rsid w:val="00A16F47"/>
    <w:rsid w:val="00A20B7E"/>
    <w:rsid w:val="00A21083"/>
    <w:rsid w:val="00A23962"/>
    <w:rsid w:val="00A24D2E"/>
    <w:rsid w:val="00A24D5C"/>
    <w:rsid w:val="00A2725A"/>
    <w:rsid w:val="00A278A4"/>
    <w:rsid w:val="00A301F2"/>
    <w:rsid w:val="00A30414"/>
    <w:rsid w:val="00A30E85"/>
    <w:rsid w:val="00A3251E"/>
    <w:rsid w:val="00A32825"/>
    <w:rsid w:val="00A42578"/>
    <w:rsid w:val="00A427A5"/>
    <w:rsid w:val="00A43B3F"/>
    <w:rsid w:val="00A43FE2"/>
    <w:rsid w:val="00A45346"/>
    <w:rsid w:val="00A5063D"/>
    <w:rsid w:val="00A50ACB"/>
    <w:rsid w:val="00A65F6E"/>
    <w:rsid w:val="00A70454"/>
    <w:rsid w:val="00A90C00"/>
    <w:rsid w:val="00A927CA"/>
    <w:rsid w:val="00A95A1E"/>
    <w:rsid w:val="00A95AD6"/>
    <w:rsid w:val="00A964D1"/>
    <w:rsid w:val="00A96FD2"/>
    <w:rsid w:val="00A97EF7"/>
    <w:rsid w:val="00AA408F"/>
    <w:rsid w:val="00AA44D4"/>
    <w:rsid w:val="00AA4694"/>
    <w:rsid w:val="00AA7208"/>
    <w:rsid w:val="00AB0042"/>
    <w:rsid w:val="00AB0043"/>
    <w:rsid w:val="00AB068D"/>
    <w:rsid w:val="00AB0AF9"/>
    <w:rsid w:val="00AB2954"/>
    <w:rsid w:val="00AB7302"/>
    <w:rsid w:val="00AB7321"/>
    <w:rsid w:val="00AC0236"/>
    <w:rsid w:val="00AC0C04"/>
    <w:rsid w:val="00AC5FBF"/>
    <w:rsid w:val="00AD1C57"/>
    <w:rsid w:val="00AD2E4C"/>
    <w:rsid w:val="00AD2EBC"/>
    <w:rsid w:val="00AD53EF"/>
    <w:rsid w:val="00AE0B38"/>
    <w:rsid w:val="00AE5211"/>
    <w:rsid w:val="00AF26C6"/>
    <w:rsid w:val="00B017D4"/>
    <w:rsid w:val="00B0183D"/>
    <w:rsid w:val="00B03547"/>
    <w:rsid w:val="00B040A5"/>
    <w:rsid w:val="00B10F10"/>
    <w:rsid w:val="00B2084F"/>
    <w:rsid w:val="00B221EC"/>
    <w:rsid w:val="00B24817"/>
    <w:rsid w:val="00B271B9"/>
    <w:rsid w:val="00B325BB"/>
    <w:rsid w:val="00B3655F"/>
    <w:rsid w:val="00B3667B"/>
    <w:rsid w:val="00B374CD"/>
    <w:rsid w:val="00B4272E"/>
    <w:rsid w:val="00B50121"/>
    <w:rsid w:val="00B52DF8"/>
    <w:rsid w:val="00B53C19"/>
    <w:rsid w:val="00B54743"/>
    <w:rsid w:val="00B54816"/>
    <w:rsid w:val="00B55180"/>
    <w:rsid w:val="00B600D2"/>
    <w:rsid w:val="00B608C6"/>
    <w:rsid w:val="00B64AAB"/>
    <w:rsid w:val="00B6502D"/>
    <w:rsid w:val="00B679C9"/>
    <w:rsid w:val="00B73353"/>
    <w:rsid w:val="00B74064"/>
    <w:rsid w:val="00B74543"/>
    <w:rsid w:val="00B74C3C"/>
    <w:rsid w:val="00B76F1F"/>
    <w:rsid w:val="00B80182"/>
    <w:rsid w:val="00B87130"/>
    <w:rsid w:val="00B87356"/>
    <w:rsid w:val="00B901C7"/>
    <w:rsid w:val="00BA42E7"/>
    <w:rsid w:val="00BA4FD9"/>
    <w:rsid w:val="00BB1A82"/>
    <w:rsid w:val="00BB44A2"/>
    <w:rsid w:val="00BB5733"/>
    <w:rsid w:val="00BB5A5D"/>
    <w:rsid w:val="00BB6ACB"/>
    <w:rsid w:val="00BB7E86"/>
    <w:rsid w:val="00BB7E90"/>
    <w:rsid w:val="00BC5637"/>
    <w:rsid w:val="00BE0579"/>
    <w:rsid w:val="00BE1587"/>
    <w:rsid w:val="00BE4A12"/>
    <w:rsid w:val="00BE562A"/>
    <w:rsid w:val="00BE5A7F"/>
    <w:rsid w:val="00BF2241"/>
    <w:rsid w:val="00BF24CD"/>
    <w:rsid w:val="00BF2CFF"/>
    <w:rsid w:val="00BF5D39"/>
    <w:rsid w:val="00C00D50"/>
    <w:rsid w:val="00C034EE"/>
    <w:rsid w:val="00C039EB"/>
    <w:rsid w:val="00C03D6F"/>
    <w:rsid w:val="00C068DE"/>
    <w:rsid w:val="00C0779B"/>
    <w:rsid w:val="00C10B94"/>
    <w:rsid w:val="00C11E06"/>
    <w:rsid w:val="00C12C1F"/>
    <w:rsid w:val="00C13A11"/>
    <w:rsid w:val="00C15796"/>
    <w:rsid w:val="00C15EEA"/>
    <w:rsid w:val="00C162C3"/>
    <w:rsid w:val="00C24D40"/>
    <w:rsid w:val="00C25531"/>
    <w:rsid w:val="00C258B0"/>
    <w:rsid w:val="00C344A2"/>
    <w:rsid w:val="00C410E6"/>
    <w:rsid w:val="00C4221C"/>
    <w:rsid w:val="00C42601"/>
    <w:rsid w:val="00C47B15"/>
    <w:rsid w:val="00C5335F"/>
    <w:rsid w:val="00C54EA7"/>
    <w:rsid w:val="00C65681"/>
    <w:rsid w:val="00C662F0"/>
    <w:rsid w:val="00C66EF5"/>
    <w:rsid w:val="00C67CDA"/>
    <w:rsid w:val="00C70125"/>
    <w:rsid w:val="00C71947"/>
    <w:rsid w:val="00C72FC7"/>
    <w:rsid w:val="00C73523"/>
    <w:rsid w:val="00C73D51"/>
    <w:rsid w:val="00C76528"/>
    <w:rsid w:val="00C82377"/>
    <w:rsid w:val="00C82B0D"/>
    <w:rsid w:val="00C85AF0"/>
    <w:rsid w:val="00C866CD"/>
    <w:rsid w:val="00C87AC3"/>
    <w:rsid w:val="00C90A07"/>
    <w:rsid w:val="00C919E6"/>
    <w:rsid w:val="00C92E99"/>
    <w:rsid w:val="00C93D3E"/>
    <w:rsid w:val="00C949E3"/>
    <w:rsid w:val="00C94C52"/>
    <w:rsid w:val="00C95BF3"/>
    <w:rsid w:val="00C97E4C"/>
    <w:rsid w:val="00CA0863"/>
    <w:rsid w:val="00CA171E"/>
    <w:rsid w:val="00CA4673"/>
    <w:rsid w:val="00CA4CD2"/>
    <w:rsid w:val="00CA53B1"/>
    <w:rsid w:val="00CA63C8"/>
    <w:rsid w:val="00CB083F"/>
    <w:rsid w:val="00CB3718"/>
    <w:rsid w:val="00CD4560"/>
    <w:rsid w:val="00CD63B8"/>
    <w:rsid w:val="00CE16B5"/>
    <w:rsid w:val="00CE7914"/>
    <w:rsid w:val="00CF228C"/>
    <w:rsid w:val="00CF35B3"/>
    <w:rsid w:val="00D00A93"/>
    <w:rsid w:val="00D015A2"/>
    <w:rsid w:val="00D058F9"/>
    <w:rsid w:val="00D0705E"/>
    <w:rsid w:val="00D113E9"/>
    <w:rsid w:val="00D15470"/>
    <w:rsid w:val="00D202AC"/>
    <w:rsid w:val="00D20F2D"/>
    <w:rsid w:val="00D214E5"/>
    <w:rsid w:val="00D23092"/>
    <w:rsid w:val="00D23BBC"/>
    <w:rsid w:val="00D24B5F"/>
    <w:rsid w:val="00D30B52"/>
    <w:rsid w:val="00D37EDD"/>
    <w:rsid w:val="00D403E1"/>
    <w:rsid w:val="00D44C30"/>
    <w:rsid w:val="00D47F08"/>
    <w:rsid w:val="00D52855"/>
    <w:rsid w:val="00D52A5E"/>
    <w:rsid w:val="00D53ED7"/>
    <w:rsid w:val="00D5558F"/>
    <w:rsid w:val="00D61CE8"/>
    <w:rsid w:val="00D6217D"/>
    <w:rsid w:val="00D63A73"/>
    <w:rsid w:val="00D67257"/>
    <w:rsid w:val="00D70917"/>
    <w:rsid w:val="00D74296"/>
    <w:rsid w:val="00D84266"/>
    <w:rsid w:val="00D9277B"/>
    <w:rsid w:val="00D94B4D"/>
    <w:rsid w:val="00D96C75"/>
    <w:rsid w:val="00DA03CB"/>
    <w:rsid w:val="00DA4F7E"/>
    <w:rsid w:val="00DA5294"/>
    <w:rsid w:val="00DA7C02"/>
    <w:rsid w:val="00DB14DA"/>
    <w:rsid w:val="00DB4F80"/>
    <w:rsid w:val="00DC20AA"/>
    <w:rsid w:val="00DC2805"/>
    <w:rsid w:val="00DD0601"/>
    <w:rsid w:val="00DD0EE1"/>
    <w:rsid w:val="00DD18BD"/>
    <w:rsid w:val="00DD362C"/>
    <w:rsid w:val="00DD5448"/>
    <w:rsid w:val="00DE5EEE"/>
    <w:rsid w:val="00DF28BC"/>
    <w:rsid w:val="00DF7134"/>
    <w:rsid w:val="00DF74B3"/>
    <w:rsid w:val="00E0500A"/>
    <w:rsid w:val="00E074FD"/>
    <w:rsid w:val="00E1191B"/>
    <w:rsid w:val="00E1275F"/>
    <w:rsid w:val="00E1315B"/>
    <w:rsid w:val="00E13AE3"/>
    <w:rsid w:val="00E20222"/>
    <w:rsid w:val="00E214D6"/>
    <w:rsid w:val="00E27B20"/>
    <w:rsid w:val="00E3093F"/>
    <w:rsid w:val="00E32544"/>
    <w:rsid w:val="00E342E9"/>
    <w:rsid w:val="00E35489"/>
    <w:rsid w:val="00E36170"/>
    <w:rsid w:val="00E40E2A"/>
    <w:rsid w:val="00E41885"/>
    <w:rsid w:val="00E43302"/>
    <w:rsid w:val="00E44367"/>
    <w:rsid w:val="00E44B7E"/>
    <w:rsid w:val="00E54B7A"/>
    <w:rsid w:val="00E55E88"/>
    <w:rsid w:val="00E56580"/>
    <w:rsid w:val="00E60B7F"/>
    <w:rsid w:val="00E61AE2"/>
    <w:rsid w:val="00E63570"/>
    <w:rsid w:val="00E67143"/>
    <w:rsid w:val="00E674FC"/>
    <w:rsid w:val="00E8257A"/>
    <w:rsid w:val="00E83F84"/>
    <w:rsid w:val="00E864BD"/>
    <w:rsid w:val="00E86ED3"/>
    <w:rsid w:val="00E87302"/>
    <w:rsid w:val="00E8783E"/>
    <w:rsid w:val="00E906E2"/>
    <w:rsid w:val="00E90E01"/>
    <w:rsid w:val="00E91EBB"/>
    <w:rsid w:val="00E92113"/>
    <w:rsid w:val="00E951DF"/>
    <w:rsid w:val="00E96F53"/>
    <w:rsid w:val="00EA2A50"/>
    <w:rsid w:val="00EA61F6"/>
    <w:rsid w:val="00EA6EF1"/>
    <w:rsid w:val="00EB4F5E"/>
    <w:rsid w:val="00ED0443"/>
    <w:rsid w:val="00ED6886"/>
    <w:rsid w:val="00EE02FE"/>
    <w:rsid w:val="00EE70D1"/>
    <w:rsid w:val="00EF1802"/>
    <w:rsid w:val="00EF2D77"/>
    <w:rsid w:val="00EF4030"/>
    <w:rsid w:val="00EF414C"/>
    <w:rsid w:val="00EF7A56"/>
    <w:rsid w:val="00EF7EFA"/>
    <w:rsid w:val="00F02DAD"/>
    <w:rsid w:val="00F06A11"/>
    <w:rsid w:val="00F0776A"/>
    <w:rsid w:val="00F07C7E"/>
    <w:rsid w:val="00F11DAD"/>
    <w:rsid w:val="00F12886"/>
    <w:rsid w:val="00F12DB4"/>
    <w:rsid w:val="00F13827"/>
    <w:rsid w:val="00F209E0"/>
    <w:rsid w:val="00F2534B"/>
    <w:rsid w:val="00F261E4"/>
    <w:rsid w:val="00F27ABE"/>
    <w:rsid w:val="00F308A5"/>
    <w:rsid w:val="00F335AB"/>
    <w:rsid w:val="00F415A3"/>
    <w:rsid w:val="00F43173"/>
    <w:rsid w:val="00F44A65"/>
    <w:rsid w:val="00F4505F"/>
    <w:rsid w:val="00F462D9"/>
    <w:rsid w:val="00F46737"/>
    <w:rsid w:val="00F46AA4"/>
    <w:rsid w:val="00F52FF0"/>
    <w:rsid w:val="00F56BC0"/>
    <w:rsid w:val="00F62290"/>
    <w:rsid w:val="00F635E4"/>
    <w:rsid w:val="00F661E5"/>
    <w:rsid w:val="00F67377"/>
    <w:rsid w:val="00F675D7"/>
    <w:rsid w:val="00F7252E"/>
    <w:rsid w:val="00F74B37"/>
    <w:rsid w:val="00F82997"/>
    <w:rsid w:val="00F85337"/>
    <w:rsid w:val="00F85EBC"/>
    <w:rsid w:val="00F91200"/>
    <w:rsid w:val="00F957C5"/>
    <w:rsid w:val="00F96A16"/>
    <w:rsid w:val="00FA406F"/>
    <w:rsid w:val="00FA71F1"/>
    <w:rsid w:val="00FB1910"/>
    <w:rsid w:val="00FB24BB"/>
    <w:rsid w:val="00FB3398"/>
    <w:rsid w:val="00FB7D9A"/>
    <w:rsid w:val="00FC3D9F"/>
    <w:rsid w:val="00FC4A9B"/>
    <w:rsid w:val="00FC5AB0"/>
    <w:rsid w:val="00FD34FF"/>
    <w:rsid w:val="00FE03E9"/>
    <w:rsid w:val="00FE200E"/>
    <w:rsid w:val="00FE2DC0"/>
    <w:rsid w:val="00FF09FF"/>
    <w:rsid w:val="00FF79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FB18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AU"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258B0"/>
  </w:style>
  <w:style w:type="paragraph" w:styleId="Heading4">
    <w:name w:val="heading 4"/>
    <w:basedOn w:val="Normal"/>
    <w:next w:val="Normal"/>
    <w:link w:val="Heading4Char"/>
    <w:uiPriority w:val="9"/>
    <w:qFormat/>
    <w:rsid w:val="00697FF1"/>
    <w:pPr>
      <w:keepNext/>
      <w:spacing w:after="240" w:line="288" w:lineRule="auto"/>
      <w:jc w:val="both"/>
      <w:outlineLvl w:val="3"/>
    </w:pPr>
    <w:rPr>
      <w:rFonts w:ascii="Gautami" w:eastAsia="Times New Roman" w:hAnsi="Gautami"/>
      <w:b/>
      <w:iCs/>
      <w:color w:val="365F9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ERtextitalic">
    <w:name w:val="AER text italic"/>
    <w:rsid w:val="00AC0236"/>
    <w:rPr>
      <w:i/>
    </w:rPr>
  </w:style>
  <w:style w:type="character" w:customStyle="1" w:styleId="Heading4Char">
    <w:name w:val="Heading 4 Char"/>
    <w:link w:val="Heading4"/>
    <w:uiPriority w:val="9"/>
    <w:rsid w:val="00697FF1"/>
    <w:rPr>
      <w:rFonts w:ascii="Gautami" w:eastAsia="Times New Roman" w:hAnsi="Gautami"/>
      <w:b/>
      <w:iCs/>
      <w:color w:val="365F91"/>
      <w:sz w:val="24"/>
      <w:szCs w:val="24"/>
    </w:rPr>
  </w:style>
  <w:style w:type="character" w:customStyle="1" w:styleId="AERtextbold">
    <w:name w:val="AER text bold"/>
    <w:rsid w:val="00AC0236"/>
    <w:rPr>
      <w:b/>
    </w:rPr>
  </w:style>
  <w:style w:type="paragraph" w:customStyle="1" w:styleId="AERbodytextnospace">
    <w:name w:val="AER body text no space"/>
    <w:basedOn w:val="Normal"/>
    <w:rsid w:val="00AC0236"/>
    <w:pPr>
      <w:spacing w:line="288" w:lineRule="auto"/>
      <w:jc w:val="both"/>
    </w:pPr>
    <w:rPr>
      <w:rFonts w:ascii="Gautami" w:eastAsia="Times New Roman" w:hAnsi="Gautami"/>
      <w:szCs w:val="24"/>
    </w:rPr>
  </w:style>
  <w:style w:type="paragraph" w:customStyle="1" w:styleId="AERbodytext">
    <w:name w:val="AER body text"/>
    <w:rsid w:val="00AC0236"/>
    <w:pPr>
      <w:numPr>
        <w:numId w:val="2"/>
      </w:numPr>
      <w:spacing w:after="240" w:line="288" w:lineRule="auto"/>
      <w:jc w:val="both"/>
    </w:pPr>
    <w:rPr>
      <w:rFonts w:ascii="Gautami" w:eastAsia="Times New Roman" w:hAnsi="Gautami"/>
      <w:szCs w:val="24"/>
    </w:rPr>
  </w:style>
  <w:style w:type="paragraph" w:customStyle="1" w:styleId="AERnumberedlistfirststyle">
    <w:name w:val="AER numbered list (first style)"/>
    <w:basedOn w:val="AERbodytext"/>
    <w:rsid w:val="00AC0236"/>
    <w:pPr>
      <w:numPr>
        <w:ilvl w:val="1"/>
      </w:numPr>
      <w:spacing w:after="200"/>
    </w:pPr>
  </w:style>
  <w:style w:type="paragraph" w:customStyle="1" w:styleId="AERnumberedlistsecondstyle">
    <w:name w:val="AER numbered list (second style)"/>
    <w:basedOn w:val="AERnumberedlistfirststyle"/>
    <w:rsid w:val="00AC0236"/>
    <w:pPr>
      <w:numPr>
        <w:ilvl w:val="2"/>
      </w:numPr>
    </w:pPr>
  </w:style>
  <w:style w:type="paragraph" w:customStyle="1" w:styleId="AERnumberedlistthirdstyle">
    <w:name w:val="AER numbered list (third style)"/>
    <w:basedOn w:val="AERnumberedlistsecondstyle"/>
    <w:rsid w:val="00AC0236"/>
    <w:pPr>
      <w:numPr>
        <w:ilvl w:val="3"/>
      </w:numPr>
    </w:pPr>
  </w:style>
  <w:style w:type="paragraph" w:customStyle="1" w:styleId="Default">
    <w:name w:val="Default"/>
    <w:rsid w:val="00AC0236"/>
    <w:pPr>
      <w:autoSpaceDE w:val="0"/>
      <w:autoSpaceDN w:val="0"/>
      <w:adjustRightInd w:val="0"/>
    </w:pPr>
    <w:rPr>
      <w:rFonts w:ascii="DINOT-Regular" w:eastAsia="Times New Roman" w:hAnsi="DINOT-Regular" w:cs="DINOT-Regular"/>
      <w:color w:val="000000"/>
      <w:sz w:val="24"/>
      <w:szCs w:val="24"/>
    </w:rPr>
  </w:style>
  <w:style w:type="paragraph" w:styleId="NormalWeb">
    <w:name w:val="Normal (Web)"/>
    <w:basedOn w:val="Normal"/>
    <w:uiPriority w:val="99"/>
    <w:unhideWhenUsed/>
    <w:rsid w:val="005324C6"/>
    <w:pPr>
      <w:spacing w:before="100" w:beforeAutospacing="1" w:after="100" w:afterAutospacing="1"/>
    </w:pPr>
    <w:rPr>
      <w:rFonts w:ascii="Times New Roman" w:eastAsia="Times New Roman" w:hAnsi="Times New Roman"/>
      <w:sz w:val="24"/>
      <w:szCs w:val="24"/>
      <w:lang w:eastAsia="en-AU"/>
    </w:rPr>
  </w:style>
  <w:style w:type="character" w:styleId="Hyperlink">
    <w:name w:val="Hyperlink"/>
    <w:uiPriority w:val="99"/>
    <w:unhideWhenUsed/>
    <w:rsid w:val="005324C6"/>
    <w:rPr>
      <w:color w:val="0000FF"/>
      <w:u w:val="single"/>
    </w:rPr>
  </w:style>
  <w:style w:type="paragraph" w:styleId="BalloonText">
    <w:name w:val="Balloon Text"/>
    <w:basedOn w:val="Normal"/>
    <w:link w:val="BalloonTextChar"/>
    <w:uiPriority w:val="99"/>
    <w:semiHidden/>
    <w:unhideWhenUsed/>
    <w:rsid w:val="001D49FD"/>
    <w:rPr>
      <w:rFonts w:ascii="Tahoma" w:hAnsi="Tahoma" w:cs="Tahoma"/>
      <w:sz w:val="16"/>
      <w:szCs w:val="16"/>
    </w:rPr>
  </w:style>
  <w:style w:type="character" w:customStyle="1" w:styleId="BalloonTextChar">
    <w:name w:val="Balloon Text Char"/>
    <w:basedOn w:val="DefaultParagraphFont"/>
    <w:link w:val="BalloonText"/>
    <w:uiPriority w:val="99"/>
    <w:semiHidden/>
    <w:rsid w:val="001D49FD"/>
    <w:rPr>
      <w:rFonts w:ascii="Tahoma" w:hAnsi="Tahoma" w:cs="Tahoma"/>
      <w:sz w:val="16"/>
      <w:szCs w:val="16"/>
    </w:rPr>
  </w:style>
  <w:style w:type="character" w:styleId="CommentReference">
    <w:name w:val="annotation reference"/>
    <w:basedOn w:val="DefaultParagraphFont"/>
    <w:uiPriority w:val="99"/>
    <w:semiHidden/>
    <w:unhideWhenUsed/>
    <w:rsid w:val="008472A8"/>
    <w:rPr>
      <w:sz w:val="16"/>
      <w:szCs w:val="16"/>
    </w:rPr>
  </w:style>
  <w:style w:type="paragraph" w:styleId="CommentText">
    <w:name w:val="annotation text"/>
    <w:basedOn w:val="Normal"/>
    <w:link w:val="CommentTextChar"/>
    <w:uiPriority w:val="99"/>
    <w:semiHidden/>
    <w:unhideWhenUsed/>
    <w:rsid w:val="008472A8"/>
  </w:style>
  <w:style w:type="character" w:customStyle="1" w:styleId="CommentTextChar">
    <w:name w:val="Comment Text Char"/>
    <w:basedOn w:val="DefaultParagraphFont"/>
    <w:link w:val="CommentText"/>
    <w:uiPriority w:val="99"/>
    <w:semiHidden/>
    <w:rsid w:val="008472A8"/>
    <w:rPr>
      <w:sz w:val="20"/>
      <w:szCs w:val="20"/>
    </w:rPr>
  </w:style>
  <w:style w:type="paragraph" w:styleId="CommentSubject">
    <w:name w:val="annotation subject"/>
    <w:basedOn w:val="CommentText"/>
    <w:next w:val="CommentText"/>
    <w:link w:val="CommentSubjectChar"/>
    <w:uiPriority w:val="99"/>
    <w:semiHidden/>
    <w:unhideWhenUsed/>
    <w:rsid w:val="008472A8"/>
    <w:rPr>
      <w:b/>
      <w:bCs/>
    </w:rPr>
  </w:style>
  <w:style w:type="character" w:customStyle="1" w:styleId="CommentSubjectChar">
    <w:name w:val="Comment Subject Char"/>
    <w:basedOn w:val="CommentTextChar"/>
    <w:link w:val="CommentSubject"/>
    <w:uiPriority w:val="99"/>
    <w:semiHidden/>
    <w:rsid w:val="008472A8"/>
    <w:rPr>
      <w:b/>
      <w:bCs/>
      <w:sz w:val="20"/>
      <w:szCs w:val="20"/>
    </w:rPr>
  </w:style>
  <w:style w:type="paragraph" w:customStyle="1" w:styleId="AERfactsheetsubtitle">
    <w:name w:val="AER factsheet subtitle"/>
    <w:basedOn w:val="Subtitle"/>
    <w:next w:val="Normal"/>
    <w:qFormat/>
    <w:rsid w:val="00697FF1"/>
    <w:pPr>
      <w:spacing w:after="0"/>
    </w:pPr>
    <w:rPr>
      <w:rFonts w:ascii="Tunga" w:eastAsia="Times New Roman" w:hAnsi="Tunga" w:cs="Tunga"/>
      <w:i w:val="0"/>
      <w:color w:val="000000"/>
      <w:spacing w:val="16"/>
      <w:kern w:val="20"/>
      <w:szCs w:val="28"/>
    </w:rPr>
  </w:style>
  <w:style w:type="paragraph" w:styleId="Subtitle">
    <w:name w:val="Subtitle"/>
    <w:basedOn w:val="Normal"/>
    <w:next w:val="Normal"/>
    <w:link w:val="SubtitleChar"/>
    <w:uiPriority w:val="11"/>
    <w:qFormat/>
    <w:rsid w:val="00697FF1"/>
    <w:pPr>
      <w:numPr>
        <w:ilvl w:val="1"/>
      </w:numPr>
      <w:spacing w:after="200" w:line="276" w:lineRule="auto"/>
    </w:pPr>
    <w:rPr>
      <w:rFonts w:ascii="Cambria" w:eastAsiaTheme="majorEastAsia" w:hAnsi="Cambria" w:cstheme="majorBidi"/>
      <w:i/>
      <w:iCs/>
      <w:color w:val="4F81BD"/>
      <w:spacing w:val="15"/>
      <w:sz w:val="24"/>
      <w:szCs w:val="24"/>
    </w:rPr>
  </w:style>
  <w:style w:type="character" w:customStyle="1" w:styleId="SubtitleChar">
    <w:name w:val="Subtitle Char"/>
    <w:link w:val="Subtitle"/>
    <w:uiPriority w:val="11"/>
    <w:rsid w:val="00697FF1"/>
    <w:rPr>
      <w:rFonts w:ascii="Cambria" w:eastAsiaTheme="majorEastAsia" w:hAnsi="Cambria" w:cstheme="majorBidi"/>
      <w:i/>
      <w:iCs/>
      <w:color w:val="4F81BD"/>
      <w:spacing w:val="15"/>
      <w:sz w:val="24"/>
      <w:szCs w:val="24"/>
    </w:rPr>
  </w:style>
  <w:style w:type="paragraph" w:customStyle="1" w:styleId="AERFactsheetHeading1">
    <w:name w:val="AER Factsheet Heading 1"/>
    <w:basedOn w:val="Heading4"/>
    <w:qFormat/>
    <w:rsid w:val="00697FF1"/>
    <w:pPr>
      <w:spacing w:before="240" w:after="120" w:line="240" w:lineRule="auto"/>
      <w:jc w:val="left"/>
    </w:pPr>
    <w:rPr>
      <w:rFonts w:ascii="Tunga" w:hAnsi="Tunga" w:cs="Tunga"/>
      <w:color w:val="006A99"/>
      <w:kern w:val="24"/>
    </w:rPr>
  </w:style>
  <w:style w:type="paragraph" w:customStyle="1" w:styleId="AERfactsheetbodytext">
    <w:name w:val="AER factsheet body text"/>
    <w:basedOn w:val="Normal"/>
    <w:uiPriority w:val="99"/>
    <w:qFormat/>
    <w:rsid w:val="00697FF1"/>
    <w:pPr>
      <w:spacing w:after="120" w:line="252" w:lineRule="auto"/>
    </w:pPr>
    <w:rPr>
      <w:rFonts w:ascii="MS Reference Sans Serif" w:hAnsi="MS Reference Sans Serif" w:cs="Shruti"/>
      <w:spacing w:val="-10"/>
      <w:sz w:val="18"/>
      <w:szCs w:val="22"/>
    </w:rPr>
  </w:style>
  <w:style w:type="paragraph" w:customStyle="1" w:styleId="AERfactsheetbulletlist">
    <w:name w:val="AER factsheet bullet list"/>
    <w:basedOn w:val="AERbodytextnospace"/>
    <w:qFormat/>
    <w:rsid w:val="00697FF1"/>
    <w:pPr>
      <w:numPr>
        <w:numId w:val="1"/>
      </w:numPr>
      <w:spacing w:after="120" w:line="252" w:lineRule="auto"/>
      <w:jc w:val="left"/>
    </w:pPr>
    <w:rPr>
      <w:rFonts w:ascii="MS Reference Sans Serif" w:hAnsi="MS Reference Sans Serif" w:cs="Shruti"/>
      <w:spacing w:val="-10"/>
      <w:sz w:val="18"/>
    </w:rPr>
  </w:style>
  <w:style w:type="paragraph" w:styleId="ListParagraph">
    <w:name w:val="List Paragraph"/>
    <w:basedOn w:val="Normal"/>
    <w:uiPriority w:val="34"/>
    <w:qFormat/>
    <w:rsid w:val="00697FF1"/>
    <w:pPr>
      <w:spacing w:after="200" w:line="276" w:lineRule="auto"/>
      <w:ind w:left="720"/>
      <w:contextualSpacing/>
    </w:pPr>
    <w:rPr>
      <w:sz w:val="22"/>
      <w:szCs w:val="22"/>
    </w:rPr>
  </w:style>
  <w:style w:type="paragraph" w:styleId="Caption">
    <w:name w:val="caption"/>
    <w:basedOn w:val="Normal"/>
    <w:next w:val="Normal"/>
    <w:uiPriority w:val="35"/>
    <w:qFormat/>
    <w:rsid w:val="004D1DC0"/>
    <w:pPr>
      <w:keepNext/>
      <w:tabs>
        <w:tab w:val="left" w:pos="1440"/>
      </w:tabs>
      <w:spacing w:before="120" w:after="120" w:line="288" w:lineRule="auto"/>
      <w:ind w:left="1440" w:hanging="1440"/>
      <w:jc w:val="both"/>
    </w:pPr>
    <w:rPr>
      <w:rFonts w:ascii="Gautami" w:eastAsia="Times New Roman" w:hAnsi="Gautami"/>
      <w:b/>
      <w:bCs/>
      <w:szCs w:val="18"/>
    </w:rPr>
  </w:style>
  <w:style w:type="character" w:styleId="FollowedHyperlink">
    <w:name w:val="FollowedHyperlink"/>
    <w:basedOn w:val="DefaultParagraphFont"/>
    <w:uiPriority w:val="99"/>
    <w:semiHidden/>
    <w:unhideWhenUsed/>
    <w:rsid w:val="008D2A86"/>
    <w:rPr>
      <w:color w:val="800080" w:themeColor="followedHyperlink"/>
      <w:u w:val="single"/>
    </w:rPr>
  </w:style>
  <w:style w:type="paragraph" w:styleId="Revision">
    <w:name w:val="Revision"/>
    <w:hidden/>
    <w:uiPriority w:val="99"/>
    <w:semiHidden/>
    <w:rsid w:val="00163E50"/>
  </w:style>
  <w:style w:type="paragraph" w:customStyle="1" w:styleId="AERbulletlistfirststyle">
    <w:name w:val="AER bullet list (first style)"/>
    <w:basedOn w:val="ListBullet"/>
    <w:uiPriority w:val="99"/>
    <w:qFormat/>
    <w:rsid w:val="00025FFF"/>
    <w:pPr>
      <w:tabs>
        <w:tab w:val="left" w:pos="340"/>
      </w:tabs>
      <w:spacing w:before="120" w:line="276" w:lineRule="auto"/>
      <w:ind w:left="357" w:hanging="357"/>
      <w:contextualSpacing w:val="0"/>
    </w:pPr>
    <w:rPr>
      <w:rFonts w:ascii="Arial" w:eastAsiaTheme="minorHAnsi" w:hAnsi="Arial"/>
      <w:sz w:val="22"/>
      <w:szCs w:val="22"/>
    </w:rPr>
  </w:style>
  <w:style w:type="numbering" w:customStyle="1" w:styleId="AERnumberedlist">
    <w:name w:val="AER numbered list"/>
    <w:uiPriority w:val="99"/>
    <w:rsid w:val="00025FFF"/>
  </w:style>
  <w:style w:type="paragraph" w:styleId="ListBullet">
    <w:name w:val="List Bullet"/>
    <w:basedOn w:val="Normal"/>
    <w:uiPriority w:val="99"/>
    <w:semiHidden/>
    <w:unhideWhenUsed/>
    <w:rsid w:val="00025FFF"/>
    <w:pPr>
      <w:ind w:left="360" w:hanging="360"/>
      <w:contextualSpacing/>
    </w:pPr>
  </w:style>
  <w:style w:type="paragraph" w:styleId="Header">
    <w:name w:val="header"/>
    <w:basedOn w:val="Normal"/>
    <w:link w:val="HeaderChar"/>
    <w:uiPriority w:val="99"/>
    <w:unhideWhenUsed/>
    <w:rsid w:val="00BB44A2"/>
    <w:pPr>
      <w:tabs>
        <w:tab w:val="center" w:pos="4513"/>
        <w:tab w:val="right" w:pos="9026"/>
      </w:tabs>
    </w:pPr>
  </w:style>
  <w:style w:type="character" w:customStyle="1" w:styleId="HeaderChar">
    <w:name w:val="Header Char"/>
    <w:basedOn w:val="DefaultParagraphFont"/>
    <w:link w:val="Header"/>
    <w:uiPriority w:val="99"/>
    <w:rsid w:val="00BB44A2"/>
  </w:style>
  <w:style w:type="paragraph" w:styleId="Footer">
    <w:name w:val="footer"/>
    <w:basedOn w:val="Normal"/>
    <w:link w:val="FooterChar"/>
    <w:uiPriority w:val="99"/>
    <w:unhideWhenUsed/>
    <w:rsid w:val="00BB44A2"/>
    <w:pPr>
      <w:tabs>
        <w:tab w:val="center" w:pos="4513"/>
        <w:tab w:val="right" w:pos="9026"/>
      </w:tabs>
    </w:pPr>
  </w:style>
  <w:style w:type="character" w:customStyle="1" w:styleId="FooterChar">
    <w:name w:val="Footer Char"/>
    <w:basedOn w:val="DefaultParagraphFont"/>
    <w:link w:val="Footer"/>
    <w:uiPriority w:val="99"/>
    <w:rsid w:val="00BB44A2"/>
  </w:style>
  <w:style w:type="character" w:styleId="IntenseEmphasis">
    <w:name w:val="Intense Emphasis"/>
    <w:basedOn w:val="DefaultParagraphFont"/>
    <w:uiPriority w:val="21"/>
    <w:qFormat/>
    <w:rsid w:val="005C459F"/>
    <w:rPr>
      <w:b/>
      <w:bCs/>
      <w:i/>
      <w:iCs/>
      <w:color w:val="4F81BD" w:themeColor="accent1"/>
    </w:rPr>
  </w:style>
  <w:style w:type="character" w:styleId="Strong">
    <w:name w:val="Strong"/>
    <w:basedOn w:val="DefaultParagraphFont"/>
    <w:uiPriority w:val="22"/>
    <w:qFormat/>
    <w:rsid w:val="005C459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021846">
      <w:bodyDiv w:val="1"/>
      <w:marLeft w:val="0"/>
      <w:marRight w:val="0"/>
      <w:marTop w:val="0"/>
      <w:marBottom w:val="0"/>
      <w:divBdr>
        <w:top w:val="none" w:sz="0" w:space="0" w:color="auto"/>
        <w:left w:val="none" w:sz="0" w:space="0" w:color="auto"/>
        <w:bottom w:val="none" w:sz="0" w:space="0" w:color="auto"/>
        <w:right w:val="none" w:sz="0" w:space="0" w:color="auto"/>
      </w:divBdr>
    </w:div>
    <w:div w:id="469907805">
      <w:bodyDiv w:val="1"/>
      <w:marLeft w:val="0"/>
      <w:marRight w:val="0"/>
      <w:marTop w:val="0"/>
      <w:marBottom w:val="0"/>
      <w:divBdr>
        <w:top w:val="none" w:sz="0" w:space="0" w:color="auto"/>
        <w:left w:val="none" w:sz="0" w:space="0" w:color="auto"/>
        <w:bottom w:val="none" w:sz="0" w:space="0" w:color="auto"/>
        <w:right w:val="none" w:sz="0" w:space="0" w:color="auto"/>
      </w:divBdr>
    </w:div>
    <w:div w:id="722948943">
      <w:bodyDiv w:val="1"/>
      <w:marLeft w:val="0"/>
      <w:marRight w:val="0"/>
      <w:marTop w:val="0"/>
      <w:marBottom w:val="0"/>
      <w:divBdr>
        <w:top w:val="none" w:sz="0" w:space="0" w:color="auto"/>
        <w:left w:val="none" w:sz="0" w:space="0" w:color="auto"/>
        <w:bottom w:val="none" w:sz="0" w:space="0" w:color="auto"/>
        <w:right w:val="none" w:sz="0" w:space="0" w:color="auto"/>
      </w:divBdr>
    </w:div>
    <w:div w:id="813718009">
      <w:bodyDiv w:val="1"/>
      <w:marLeft w:val="0"/>
      <w:marRight w:val="0"/>
      <w:marTop w:val="0"/>
      <w:marBottom w:val="0"/>
      <w:divBdr>
        <w:top w:val="none" w:sz="0" w:space="0" w:color="auto"/>
        <w:left w:val="none" w:sz="0" w:space="0" w:color="auto"/>
        <w:bottom w:val="none" w:sz="0" w:space="0" w:color="auto"/>
        <w:right w:val="none" w:sz="0" w:space="0" w:color="auto"/>
      </w:divBdr>
    </w:div>
    <w:div w:id="1084447817">
      <w:bodyDiv w:val="1"/>
      <w:marLeft w:val="0"/>
      <w:marRight w:val="0"/>
      <w:marTop w:val="0"/>
      <w:marBottom w:val="0"/>
      <w:divBdr>
        <w:top w:val="none" w:sz="0" w:space="0" w:color="auto"/>
        <w:left w:val="none" w:sz="0" w:space="0" w:color="auto"/>
        <w:bottom w:val="none" w:sz="0" w:space="0" w:color="auto"/>
        <w:right w:val="none" w:sz="0" w:space="0" w:color="auto"/>
      </w:divBdr>
    </w:div>
    <w:div w:id="1452896452">
      <w:bodyDiv w:val="1"/>
      <w:marLeft w:val="0"/>
      <w:marRight w:val="0"/>
      <w:marTop w:val="0"/>
      <w:marBottom w:val="0"/>
      <w:divBdr>
        <w:top w:val="none" w:sz="0" w:space="0" w:color="auto"/>
        <w:left w:val="none" w:sz="0" w:space="0" w:color="auto"/>
        <w:bottom w:val="none" w:sz="0" w:space="0" w:color="auto"/>
        <w:right w:val="none" w:sz="0" w:space="0" w:color="auto"/>
      </w:divBdr>
      <w:divsChild>
        <w:div w:id="303631867">
          <w:marLeft w:val="0"/>
          <w:marRight w:val="0"/>
          <w:marTop w:val="0"/>
          <w:marBottom w:val="0"/>
          <w:divBdr>
            <w:top w:val="none" w:sz="0" w:space="0" w:color="auto"/>
            <w:left w:val="none" w:sz="0" w:space="0" w:color="auto"/>
            <w:bottom w:val="none" w:sz="0" w:space="0" w:color="auto"/>
            <w:right w:val="none" w:sz="0" w:space="0" w:color="auto"/>
          </w:divBdr>
          <w:divsChild>
            <w:div w:id="1918712513">
              <w:marLeft w:val="0"/>
              <w:marRight w:val="0"/>
              <w:marTop w:val="0"/>
              <w:marBottom w:val="0"/>
              <w:divBdr>
                <w:top w:val="none" w:sz="0" w:space="0" w:color="auto"/>
                <w:left w:val="none" w:sz="0" w:space="0" w:color="auto"/>
                <w:bottom w:val="none" w:sz="0" w:space="0" w:color="auto"/>
                <w:right w:val="none" w:sz="0" w:space="0" w:color="auto"/>
              </w:divBdr>
              <w:divsChild>
                <w:div w:id="236206000">
                  <w:marLeft w:val="0"/>
                  <w:marRight w:val="0"/>
                  <w:marTop w:val="0"/>
                  <w:marBottom w:val="0"/>
                  <w:divBdr>
                    <w:top w:val="none" w:sz="0" w:space="0" w:color="auto"/>
                    <w:left w:val="none" w:sz="0" w:space="0" w:color="auto"/>
                    <w:bottom w:val="none" w:sz="0" w:space="0" w:color="auto"/>
                    <w:right w:val="none" w:sz="0" w:space="0" w:color="auto"/>
                  </w:divBdr>
                  <w:divsChild>
                    <w:div w:id="2068411500">
                      <w:marLeft w:val="0"/>
                      <w:marRight w:val="0"/>
                      <w:marTop w:val="0"/>
                      <w:marBottom w:val="0"/>
                      <w:divBdr>
                        <w:top w:val="none" w:sz="0" w:space="0" w:color="auto"/>
                        <w:left w:val="none" w:sz="0" w:space="0" w:color="auto"/>
                        <w:bottom w:val="none" w:sz="0" w:space="0" w:color="auto"/>
                        <w:right w:val="none" w:sz="0" w:space="0" w:color="auto"/>
                      </w:divBdr>
                      <w:divsChild>
                        <w:div w:id="62066969">
                          <w:marLeft w:val="0"/>
                          <w:marRight w:val="0"/>
                          <w:marTop w:val="0"/>
                          <w:marBottom w:val="0"/>
                          <w:divBdr>
                            <w:top w:val="none" w:sz="0" w:space="0" w:color="auto"/>
                            <w:left w:val="none" w:sz="0" w:space="0" w:color="auto"/>
                            <w:bottom w:val="none" w:sz="0" w:space="0" w:color="auto"/>
                            <w:right w:val="none" w:sz="0" w:space="0" w:color="auto"/>
                          </w:divBdr>
                          <w:divsChild>
                            <w:div w:id="767042789">
                              <w:marLeft w:val="0"/>
                              <w:marRight w:val="0"/>
                              <w:marTop w:val="0"/>
                              <w:marBottom w:val="0"/>
                              <w:divBdr>
                                <w:top w:val="none" w:sz="0" w:space="0" w:color="auto"/>
                                <w:left w:val="none" w:sz="0" w:space="0" w:color="auto"/>
                                <w:bottom w:val="none" w:sz="0" w:space="0" w:color="auto"/>
                                <w:right w:val="none" w:sz="0" w:space="0" w:color="auto"/>
                              </w:divBdr>
                              <w:divsChild>
                                <w:div w:id="965504626">
                                  <w:marLeft w:val="0"/>
                                  <w:marRight w:val="0"/>
                                  <w:marTop w:val="0"/>
                                  <w:marBottom w:val="0"/>
                                  <w:divBdr>
                                    <w:top w:val="none" w:sz="0" w:space="0" w:color="auto"/>
                                    <w:left w:val="none" w:sz="0" w:space="0" w:color="auto"/>
                                    <w:bottom w:val="none" w:sz="0" w:space="0" w:color="auto"/>
                                    <w:right w:val="none" w:sz="0" w:space="0" w:color="auto"/>
                                  </w:divBdr>
                                  <w:divsChild>
                                    <w:div w:id="567690350">
                                      <w:marLeft w:val="240"/>
                                      <w:marRight w:val="240"/>
                                      <w:marTop w:val="240"/>
                                      <w:marBottom w:val="0"/>
                                      <w:divBdr>
                                        <w:top w:val="none" w:sz="0" w:space="0" w:color="auto"/>
                                        <w:left w:val="none" w:sz="0" w:space="0" w:color="auto"/>
                                        <w:bottom w:val="none" w:sz="0" w:space="0" w:color="auto"/>
                                        <w:right w:val="none" w:sz="0" w:space="0" w:color="auto"/>
                                      </w:divBdr>
                                      <w:divsChild>
                                        <w:div w:id="302776801">
                                          <w:marLeft w:val="0"/>
                                          <w:marRight w:val="0"/>
                                          <w:marTop w:val="0"/>
                                          <w:marBottom w:val="0"/>
                                          <w:divBdr>
                                            <w:top w:val="none" w:sz="0" w:space="0" w:color="auto"/>
                                            <w:left w:val="none" w:sz="0" w:space="0" w:color="auto"/>
                                            <w:bottom w:val="none" w:sz="0" w:space="0" w:color="auto"/>
                                            <w:right w:val="none" w:sz="0" w:space="0" w:color="auto"/>
                                          </w:divBdr>
                                          <w:divsChild>
                                            <w:div w:id="1606382120">
                                              <w:marLeft w:val="0"/>
                                              <w:marRight w:val="0"/>
                                              <w:marTop w:val="0"/>
                                              <w:marBottom w:val="0"/>
                                              <w:divBdr>
                                                <w:top w:val="none" w:sz="0" w:space="0" w:color="auto"/>
                                                <w:left w:val="none" w:sz="0" w:space="0" w:color="auto"/>
                                                <w:bottom w:val="none" w:sz="0" w:space="0" w:color="auto"/>
                                                <w:right w:val="none" w:sz="0" w:space="0" w:color="auto"/>
                                              </w:divBdr>
                                              <w:divsChild>
                                                <w:div w:id="1830975449">
                                                  <w:marLeft w:val="0"/>
                                                  <w:marRight w:val="0"/>
                                                  <w:marTop w:val="0"/>
                                                  <w:marBottom w:val="0"/>
                                                  <w:divBdr>
                                                    <w:top w:val="none" w:sz="0" w:space="0" w:color="auto"/>
                                                    <w:left w:val="none" w:sz="0" w:space="0" w:color="auto"/>
                                                    <w:bottom w:val="none" w:sz="0" w:space="0" w:color="auto"/>
                                                    <w:right w:val="none" w:sz="0" w:space="0" w:color="auto"/>
                                                  </w:divBdr>
                                                  <w:divsChild>
                                                    <w:div w:id="275675851">
                                                      <w:marLeft w:val="0"/>
                                                      <w:marRight w:val="0"/>
                                                      <w:marTop w:val="0"/>
                                                      <w:marBottom w:val="120"/>
                                                      <w:divBdr>
                                                        <w:top w:val="none" w:sz="0" w:space="0" w:color="auto"/>
                                                        <w:left w:val="none" w:sz="0" w:space="0" w:color="auto"/>
                                                        <w:bottom w:val="none" w:sz="0" w:space="0" w:color="auto"/>
                                                        <w:right w:val="none" w:sz="0" w:space="0" w:color="auto"/>
                                                      </w:divBdr>
                                                      <w:divsChild>
                                                        <w:div w:id="1022050746">
                                                          <w:marLeft w:val="0"/>
                                                          <w:marRight w:val="0"/>
                                                          <w:marTop w:val="0"/>
                                                          <w:marBottom w:val="0"/>
                                                          <w:divBdr>
                                                            <w:top w:val="none" w:sz="0" w:space="0" w:color="auto"/>
                                                            <w:left w:val="none" w:sz="0" w:space="0" w:color="auto"/>
                                                            <w:bottom w:val="none" w:sz="0" w:space="0" w:color="auto"/>
                                                            <w:right w:val="none" w:sz="0" w:space="0" w:color="auto"/>
                                                          </w:divBdr>
                                                          <w:divsChild>
                                                            <w:div w:id="52101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6787808">
      <w:bodyDiv w:val="1"/>
      <w:marLeft w:val="0"/>
      <w:marRight w:val="0"/>
      <w:marTop w:val="0"/>
      <w:marBottom w:val="0"/>
      <w:divBdr>
        <w:top w:val="none" w:sz="0" w:space="0" w:color="auto"/>
        <w:left w:val="none" w:sz="0" w:space="0" w:color="auto"/>
        <w:bottom w:val="none" w:sz="0" w:space="0" w:color="auto"/>
        <w:right w:val="none" w:sz="0" w:space="0" w:color="auto"/>
      </w:divBdr>
      <w:divsChild>
        <w:div w:id="1820069765">
          <w:marLeft w:val="0"/>
          <w:marRight w:val="0"/>
          <w:marTop w:val="0"/>
          <w:marBottom w:val="0"/>
          <w:divBdr>
            <w:top w:val="none" w:sz="0" w:space="0" w:color="auto"/>
            <w:left w:val="none" w:sz="0" w:space="0" w:color="auto"/>
            <w:bottom w:val="none" w:sz="0" w:space="0" w:color="auto"/>
            <w:right w:val="none" w:sz="0" w:space="0" w:color="auto"/>
          </w:divBdr>
          <w:divsChild>
            <w:div w:id="556089852">
              <w:marLeft w:val="-225"/>
              <w:marRight w:val="-225"/>
              <w:marTop w:val="0"/>
              <w:marBottom w:val="0"/>
              <w:divBdr>
                <w:top w:val="none" w:sz="0" w:space="0" w:color="auto"/>
                <w:left w:val="none" w:sz="0" w:space="0" w:color="auto"/>
                <w:bottom w:val="none" w:sz="0" w:space="0" w:color="auto"/>
                <w:right w:val="none" w:sz="0" w:space="0" w:color="auto"/>
              </w:divBdr>
              <w:divsChild>
                <w:div w:id="1506821522">
                  <w:marLeft w:val="0"/>
                  <w:marRight w:val="0"/>
                  <w:marTop w:val="0"/>
                  <w:marBottom w:val="0"/>
                  <w:divBdr>
                    <w:top w:val="none" w:sz="0" w:space="0" w:color="auto"/>
                    <w:left w:val="none" w:sz="0" w:space="0" w:color="auto"/>
                    <w:bottom w:val="none" w:sz="0" w:space="0" w:color="auto"/>
                    <w:right w:val="none" w:sz="0" w:space="0" w:color="auto"/>
                  </w:divBdr>
                  <w:divsChild>
                    <w:div w:id="971859751">
                      <w:marLeft w:val="0"/>
                      <w:marRight w:val="0"/>
                      <w:marTop w:val="0"/>
                      <w:marBottom w:val="0"/>
                      <w:divBdr>
                        <w:top w:val="none" w:sz="0" w:space="0" w:color="auto"/>
                        <w:left w:val="none" w:sz="0" w:space="0" w:color="auto"/>
                        <w:bottom w:val="none" w:sz="0" w:space="0" w:color="auto"/>
                        <w:right w:val="none" w:sz="0" w:space="0" w:color="auto"/>
                      </w:divBdr>
                      <w:divsChild>
                        <w:div w:id="1040663271">
                          <w:marLeft w:val="0"/>
                          <w:marRight w:val="0"/>
                          <w:marTop w:val="0"/>
                          <w:marBottom w:val="0"/>
                          <w:divBdr>
                            <w:top w:val="none" w:sz="0" w:space="0" w:color="auto"/>
                            <w:left w:val="none" w:sz="0" w:space="0" w:color="auto"/>
                            <w:bottom w:val="none" w:sz="0" w:space="0" w:color="auto"/>
                            <w:right w:val="none" w:sz="0" w:space="0" w:color="auto"/>
                          </w:divBdr>
                          <w:divsChild>
                            <w:div w:id="1482425950">
                              <w:marLeft w:val="0"/>
                              <w:marRight w:val="0"/>
                              <w:marTop w:val="0"/>
                              <w:marBottom w:val="0"/>
                              <w:divBdr>
                                <w:top w:val="none" w:sz="0" w:space="0" w:color="auto"/>
                                <w:left w:val="none" w:sz="0" w:space="0" w:color="auto"/>
                                <w:bottom w:val="none" w:sz="0" w:space="0" w:color="auto"/>
                                <w:right w:val="none" w:sz="0" w:space="0" w:color="auto"/>
                              </w:divBdr>
                              <w:divsChild>
                                <w:div w:id="208957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1683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er.gov.au/networks-pipelines/guidelines-schemes-models-reviews/review-of-the-application-guidelines-for-the-regulatory-investment-tests-for-transmission-and-distribution/draft-decisio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er.gov.au/networks-pipelines/guidelines-schemes-models-reviews/review-of-the-application-guidelines-for-the-regulatory-investment-tests-for-transmission-and-distribution/draft-decisio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2980BB-C1C2-4E69-B84E-0727A9933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1486</Words>
  <Characters>8475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2018-12-05T03:21:00Z</dcterms:created>
  <dcterms:modified xsi:type="dcterms:W3CDTF">2018-12-12T05:35:00Z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