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6A" w:rsidRDefault="005610D6" w:rsidP="00814799">
      <w:pPr>
        <w:pStyle w:val="AERfactsheetsubtitle"/>
        <w:widowControl w:val="0"/>
        <w:spacing w:before="120"/>
      </w:pPr>
      <w:bookmarkStart w:id="0" w:name="_GoBack"/>
      <w:bookmarkEnd w:id="0"/>
      <w:r>
        <w:rPr>
          <w:noProof/>
          <w:lang w:eastAsia="en-AU"/>
        </w:rPr>
        <w:drawing>
          <wp:anchor distT="0" distB="0" distL="114300" distR="114300" simplePos="0" relativeHeight="251657216" behindDoc="0" locked="0" layoutInCell="1" allowOverlap="1" wp14:anchorId="50729E34" wp14:editId="582C1020">
            <wp:simplePos x="0" y="0"/>
            <wp:positionH relativeFrom="column">
              <wp:posOffset>57150</wp:posOffset>
            </wp:positionH>
            <wp:positionV relativeFrom="paragraph">
              <wp:posOffset>17780</wp:posOffset>
            </wp:positionV>
            <wp:extent cx="2362200" cy="74549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D0B86">
        <w:rPr>
          <w:noProof/>
          <w:lang w:eastAsia="en-AU"/>
        </w:rPr>
        <mc:AlternateContent>
          <mc:Choice Requires="wps">
            <w:drawing>
              <wp:anchor distT="0" distB="0" distL="114300" distR="114300" simplePos="0" relativeHeight="251656192" behindDoc="0" locked="0" layoutInCell="1" allowOverlap="1" wp14:anchorId="2D73704C" wp14:editId="40A7D0D3">
                <wp:simplePos x="0" y="0"/>
                <wp:positionH relativeFrom="column">
                  <wp:posOffset>-457200</wp:posOffset>
                </wp:positionH>
                <wp:positionV relativeFrom="paragraph">
                  <wp:posOffset>798830</wp:posOffset>
                </wp:positionV>
                <wp:extent cx="7562850" cy="1149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1493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32F" w:rsidRPr="00E83166" w:rsidRDefault="004B632F" w:rsidP="005C459F">
                            <w:pPr>
                              <w:spacing w:before="120"/>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Draft decision</w:t>
                            </w:r>
                            <w:r w:rsidRPr="00C52D60">
                              <w:rPr>
                                <w:rFonts w:ascii="MS Reference Sans Serif" w:hAnsi="MS Reference Sans Serif" w:cs="Tunga"/>
                                <w:color w:val="FFFFFF"/>
                                <w:spacing w:val="10"/>
                                <w:w w:val="99"/>
                                <w:kern w:val="44"/>
                                <w:sz w:val="40"/>
                                <w:szCs w:val="40"/>
                              </w:rPr>
                              <w:t>:</w:t>
                            </w:r>
                            <w:r>
                              <w:rPr>
                                <w:rFonts w:ascii="MS Reference Sans Serif" w:hAnsi="MS Reference Sans Serif" w:cs="Tunga"/>
                                <w:color w:val="FFFFFF"/>
                                <w:spacing w:val="10"/>
                                <w:w w:val="99"/>
                                <w:kern w:val="44"/>
                                <w:sz w:val="40"/>
                                <w:szCs w:val="40"/>
                              </w:rPr>
                              <w:t xml:space="preserve"> Demand </w:t>
                            </w:r>
                            <w:r w:rsidR="00C800BD">
                              <w:rPr>
                                <w:rFonts w:ascii="MS Reference Sans Serif" w:hAnsi="MS Reference Sans Serif" w:cs="Tunga"/>
                                <w:color w:val="FFFFFF"/>
                                <w:spacing w:val="10"/>
                                <w:w w:val="99"/>
                                <w:kern w:val="44"/>
                                <w:sz w:val="40"/>
                                <w:szCs w:val="40"/>
                              </w:rPr>
                              <w:t>m</w:t>
                            </w:r>
                            <w:r>
                              <w:rPr>
                                <w:rFonts w:ascii="MS Reference Sans Serif" w:hAnsi="MS Reference Sans Serif" w:cs="Tunga"/>
                                <w:color w:val="FFFFFF"/>
                                <w:spacing w:val="10"/>
                                <w:w w:val="99"/>
                                <w:kern w:val="44"/>
                                <w:sz w:val="40"/>
                                <w:szCs w:val="40"/>
                              </w:rPr>
                              <w:t xml:space="preserve">anagement </w:t>
                            </w:r>
                            <w:r w:rsidR="00C800BD">
                              <w:rPr>
                                <w:rFonts w:ascii="MS Reference Sans Serif" w:hAnsi="MS Reference Sans Serif" w:cs="Tunga"/>
                                <w:color w:val="FFFFFF"/>
                                <w:spacing w:val="10"/>
                                <w:w w:val="99"/>
                                <w:kern w:val="44"/>
                                <w:sz w:val="40"/>
                                <w:szCs w:val="40"/>
                              </w:rPr>
                              <w:t>i</w:t>
                            </w:r>
                            <w:r>
                              <w:rPr>
                                <w:rFonts w:ascii="MS Reference Sans Serif" w:hAnsi="MS Reference Sans Serif" w:cs="Tunga"/>
                                <w:color w:val="FFFFFF"/>
                                <w:spacing w:val="10"/>
                                <w:w w:val="99"/>
                                <w:kern w:val="44"/>
                                <w:sz w:val="40"/>
                                <w:szCs w:val="40"/>
                              </w:rPr>
                              <w:t xml:space="preserve">ncentive </w:t>
                            </w:r>
                            <w:r w:rsidR="00C800BD">
                              <w:rPr>
                                <w:rFonts w:ascii="MS Reference Sans Serif" w:hAnsi="MS Reference Sans Serif" w:cs="Tunga"/>
                                <w:color w:val="FFFFFF"/>
                                <w:spacing w:val="10"/>
                                <w:w w:val="99"/>
                                <w:kern w:val="44"/>
                                <w:sz w:val="40"/>
                                <w:szCs w:val="40"/>
                              </w:rPr>
                              <w:t>s</w:t>
                            </w:r>
                            <w:r>
                              <w:rPr>
                                <w:rFonts w:ascii="MS Reference Sans Serif" w:hAnsi="MS Reference Sans Serif" w:cs="Tunga"/>
                                <w:color w:val="FFFFFF"/>
                                <w:spacing w:val="10"/>
                                <w:w w:val="99"/>
                                <w:kern w:val="44"/>
                                <w:sz w:val="40"/>
                                <w:szCs w:val="40"/>
                              </w:rPr>
                              <w:t>cheme</w:t>
                            </w:r>
                            <w:r w:rsidR="00FF09FF">
                              <w:rPr>
                                <w:rFonts w:ascii="MS Reference Sans Serif" w:hAnsi="MS Reference Sans Serif" w:cs="Tunga"/>
                                <w:color w:val="FFFFFF"/>
                                <w:spacing w:val="10"/>
                                <w:w w:val="99"/>
                                <w:kern w:val="44"/>
                                <w:sz w:val="40"/>
                                <w:szCs w:val="40"/>
                              </w:rPr>
                              <w:t xml:space="preserve"> </w:t>
                            </w:r>
                            <w:r w:rsidR="00C800BD">
                              <w:rPr>
                                <w:rFonts w:ascii="MS Reference Sans Serif" w:hAnsi="MS Reference Sans Serif" w:cs="Tunga"/>
                                <w:color w:val="FFFFFF"/>
                                <w:spacing w:val="10"/>
                                <w:w w:val="99"/>
                                <w:kern w:val="44"/>
                                <w:sz w:val="40"/>
                                <w:szCs w:val="40"/>
                              </w:rPr>
                              <w:t>and innovation allowance</w:t>
                            </w:r>
                          </w:p>
                          <w:p w:rsidR="004B632F" w:rsidRPr="00390BEB" w:rsidRDefault="004B632F" w:rsidP="001D49FD">
                            <w:pPr>
                              <w:ind w:left="567" w:right="941"/>
                              <w:jc w:val="right"/>
                              <w:rPr>
                                <w:rFonts w:cs="Calibri"/>
                                <w:b/>
                                <w:color w:val="FFFFFF"/>
                              </w:rPr>
                            </w:pPr>
                          </w:p>
                        </w:txbxContent>
                      </wps:txbx>
                      <wps:bodyPr rot="0" vert="horz" wrap="square" lIns="91440" tIns="45720" rIns="91440" bIns="45720" anchor="b"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62.9pt;width:595.5pt;height:9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" fillcolor="#006a99" stroked="f">
                <v:textbox>
                  <w:txbxContent>
                    <w:p w:rsidR="004B632F" w:rsidRPr="00E83166" w:rsidRDefault="004B632F" w:rsidP="005C459F">
                      <w:pPr>
                        <w:spacing w:before="120"/>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Draft decision</w:t>
                      </w:r>
                      <w:r w:rsidRPr="00C52D60">
                        <w:rPr>
                          <w:rFonts w:ascii="MS Reference Sans Serif" w:hAnsi="MS Reference Sans Serif" w:cs="Tunga"/>
                          <w:color w:val="FFFFFF"/>
                          <w:spacing w:val="10"/>
                          <w:w w:val="99"/>
                          <w:kern w:val="44"/>
                          <w:sz w:val="40"/>
                          <w:szCs w:val="40"/>
                        </w:rPr>
                        <w:t>:</w:t>
                      </w:r>
                      <w:r>
                        <w:rPr>
                          <w:rFonts w:ascii="MS Reference Sans Serif" w:hAnsi="MS Reference Sans Serif" w:cs="Tunga"/>
                          <w:color w:val="FFFFFF"/>
                          <w:spacing w:val="10"/>
                          <w:w w:val="99"/>
                          <w:kern w:val="44"/>
                          <w:sz w:val="40"/>
                          <w:szCs w:val="40"/>
                        </w:rPr>
                        <w:t xml:space="preserve"> Demand </w:t>
                      </w:r>
                      <w:r w:rsidR="00C800BD">
                        <w:rPr>
                          <w:rFonts w:ascii="MS Reference Sans Serif" w:hAnsi="MS Reference Sans Serif" w:cs="Tunga"/>
                          <w:color w:val="FFFFFF"/>
                          <w:spacing w:val="10"/>
                          <w:w w:val="99"/>
                          <w:kern w:val="44"/>
                          <w:sz w:val="40"/>
                          <w:szCs w:val="40"/>
                        </w:rPr>
                        <w:t>m</w:t>
                      </w:r>
                      <w:r>
                        <w:rPr>
                          <w:rFonts w:ascii="MS Reference Sans Serif" w:hAnsi="MS Reference Sans Serif" w:cs="Tunga"/>
                          <w:color w:val="FFFFFF"/>
                          <w:spacing w:val="10"/>
                          <w:w w:val="99"/>
                          <w:kern w:val="44"/>
                          <w:sz w:val="40"/>
                          <w:szCs w:val="40"/>
                        </w:rPr>
                        <w:t xml:space="preserve">anagement </w:t>
                      </w:r>
                      <w:r w:rsidR="00C800BD">
                        <w:rPr>
                          <w:rFonts w:ascii="MS Reference Sans Serif" w:hAnsi="MS Reference Sans Serif" w:cs="Tunga"/>
                          <w:color w:val="FFFFFF"/>
                          <w:spacing w:val="10"/>
                          <w:w w:val="99"/>
                          <w:kern w:val="44"/>
                          <w:sz w:val="40"/>
                          <w:szCs w:val="40"/>
                        </w:rPr>
                        <w:t>i</w:t>
                      </w:r>
                      <w:r>
                        <w:rPr>
                          <w:rFonts w:ascii="MS Reference Sans Serif" w:hAnsi="MS Reference Sans Serif" w:cs="Tunga"/>
                          <w:color w:val="FFFFFF"/>
                          <w:spacing w:val="10"/>
                          <w:w w:val="99"/>
                          <w:kern w:val="44"/>
                          <w:sz w:val="40"/>
                          <w:szCs w:val="40"/>
                        </w:rPr>
                        <w:t xml:space="preserve">ncentive </w:t>
                      </w:r>
                      <w:r w:rsidR="00C800BD">
                        <w:rPr>
                          <w:rFonts w:ascii="MS Reference Sans Serif" w:hAnsi="MS Reference Sans Serif" w:cs="Tunga"/>
                          <w:color w:val="FFFFFF"/>
                          <w:spacing w:val="10"/>
                          <w:w w:val="99"/>
                          <w:kern w:val="44"/>
                          <w:sz w:val="40"/>
                          <w:szCs w:val="40"/>
                        </w:rPr>
                        <w:t>s</w:t>
                      </w:r>
                      <w:r>
                        <w:rPr>
                          <w:rFonts w:ascii="MS Reference Sans Serif" w:hAnsi="MS Reference Sans Serif" w:cs="Tunga"/>
                          <w:color w:val="FFFFFF"/>
                          <w:spacing w:val="10"/>
                          <w:w w:val="99"/>
                          <w:kern w:val="44"/>
                          <w:sz w:val="40"/>
                          <w:szCs w:val="40"/>
                        </w:rPr>
                        <w:t>cheme</w:t>
                      </w:r>
                      <w:r w:rsidR="00FF09FF">
                        <w:rPr>
                          <w:rFonts w:ascii="MS Reference Sans Serif" w:hAnsi="MS Reference Sans Serif" w:cs="Tunga"/>
                          <w:color w:val="FFFFFF"/>
                          <w:spacing w:val="10"/>
                          <w:w w:val="99"/>
                          <w:kern w:val="44"/>
                          <w:sz w:val="40"/>
                          <w:szCs w:val="40"/>
                        </w:rPr>
                        <w:t xml:space="preserve"> </w:t>
                      </w:r>
                      <w:r w:rsidR="00C800BD">
                        <w:rPr>
                          <w:rFonts w:ascii="MS Reference Sans Serif" w:hAnsi="MS Reference Sans Serif" w:cs="Tunga"/>
                          <w:color w:val="FFFFFF"/>
                          <w:spacing w:val="10"/>
                          <w:w w:val="99"/>
                          <w:kern w:val="44"/>
                          <w:sz w:val="40"/>
                          <w:szCs w:val="40"/>
                        </w:rPr>
                        <w:t>and innovation allowance</w:t>
                      </w:r>
                    </w:p>
                    <w:p w:rsidR="004B632F" w:rsidRPr="00390BEB" w:rsidRDefault="004B632F" w:rsidP="001D49FD">
                      <w:pPr>
                        <w:ind w:left="567" w:right="941"/>
                        <w:jc w:val="right"/>
                        <w:rPr>
                          <w:rFonts w:cs="Calibri"/>
                          <w:b/>
                          <w:color w:val="FFFFFF"/>
                        </w:rPr>
                      </w:pPr>
                    </w:p>
                  </w:txbxContent>
                </v:textbox>
                <w10:wrap type="topAndBottom"/>
              </v:shape>
            </w:pict>
          </mc:Fallback>
        </mc:AlternateContent>
      </w:r>
    </w:p>
    <w:p w:rsidR="00754FD0" w:rsidRPr="004D1DC0" w:rsidRDefault="00754FD0" w:rsidP="00EF1802">
      <w:pPr>
        <w:pStyle w:val="AERfactsheetsubtitle"/>
        <w:widowControl w:val="0"/>
        <w:sectPr w:rsidR="00754FD0" w:rsidRPr="004D1DC0" w:rsidSect="00BE5A7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284"/>
          <w:docGrid w:linePitch="360"/>
        </w:sectPr>
      </w:pPr>
    </w:p>
    <w:p w:rsidR="00537191" w:rsidRDefault="00537191" w:rsidP="00537191">
      <w:pPr>
        <w:pStyle w:val="AERFactsheetHeading1"/>
        <w:spacing w:before="0"/>
      </w:pPr>
      <w:r>
        <w:lastRenderedPageBreak/>
        <w:t>What are we proposing to change?</w:t>
      </w:r>
    </w:p>
    <w:p w:rsidR="00537191" w:rsidRDefault="00537191" w:rsidP="00537191">
      <w:pPr>
        <w:pStyle w:val="AERFactsheetHeading1"/>
        <w:spacing w:before="0"/>
        <w:rPr>
          <w:rFonts w:ascii="MS Reference Sans Serif" w:eastAsia="Calibri" w:hAnsi="MS Reference Sans Serif" w:cs="Shruti"/>
          <w:b w:val="0"/>
          <w:iCs w:val="0"/>
          <w:color w:val="auto"/>
          <w:spacing w:val="-10"/>
          <w:kern w:val="0"/>
          <w:sz w:val="18"/>
          <w:szCs w:val="22"/>
        </w:rPr>
      </w:pPr>
      <w:r>
        <w:rPr>
          <w:rFonts w:ascii="MS Reference Sans Serif" w:eastAsia="Calibri" w:hAnsi="MS Reference Sans Serif" w:cs="Shruti"/>
          <w:b w:val="0"/>
          <w:iCs w:val="0"/>
          <w:color w:val="auto"/>
          <w:spacing w:val="-10"/>
          <w:kern w:val="0"/>
          <w:sz w:val="18"/>
          <w:szCs w:val="22"/>
        </w:rPr>
        <w:t xml:space="preserve">Our draft demand management incentive scheme is a proposed way to better encourage electricity distribution businesses to more actively manage demand on their networks. </w:t>
      </w:r>
    </w:p>
    <w:p w:rsidR="00C841B2" w:rsidRDefault="00C841B2" w:rsidP="00537191">
      <w:pPr>
        <w:pStyle w:val="AERFactsheetHeading1"/>
        <w:spacing w:before="0"/>
        <w:rPr>
          <w:rFonts w:ascii="MS Reference Sans Serif" w:eastAsia="Calibri" w:hAnsi="MS Reference Sans Serif" w:cs="Shruti"/>
          <w:b w:val="0"/>
          <w:iCs w:val="0"/>
          <w:color w:val="auto"/>
          <w:spacing w:val="-10"/>
          <w:kern w:val="0"/>
          <w:sz w:val="18"/>
          <w:szCs w:val="22"/>
        </w:rPr>
      </w:pPr>
      <w:r>
        <w:rPr>
          <w:rFonts w:ascii="MS Reference Sans Serif" w:eastAsia="Calibri" w:hAnsi="MS Reference Sans Serif" w:cs="Shruti"/>
          <w:b w:val="0"/>
          <w:iCs w:val="0"/>
          <w:color w:val="auto"/>
          <w:spacing w:val="-10"/>
          <w:kern w:val="0"/>
          <w:sz w:val="18"/>
          <w:szCs w:val="22"/>
        </w:rPr>
        <w:t xml:space="preserve">In tandem, we are proposing to improve our complementary </w:t>
      </w:r>
      <w:r w:rsidR="00AD7393">
        <w:rPr>
          <w:rFonts w:ascii="MS Reference Sans Serif" w:eastAsia="Calibri" w:hAnsi="MS Reference Sans Serif" w:cs="Shruti"/>
          <w:b w:val="0"/>
          <w:iCs w:val="0"/>
          <w:color w:val="auto"/>
          <w:spacing w:val="-10"/>
          <w:kern w:val="0"/>
          <w:sz w:val="18"/>
          <w:szCs w:val="22"/>
        </w:rPr>
        <w:t xml:space="preserve">demand management </w:t>
      </w:r>
      <w:r>
        <w:rPr>
          <w:rFonts w:ascii="MS Reference Sans Serif" w:eastAsia="Calibri" w:hAnsi="MS Reference Sans Serif" w:cs="Shruti"/>
          <w:b w:val="0"/>
          <w:iCs w:val="0"/>
          <w:color w:val="auto"/>
          <w:spacing w:val="-10"/>
          <w:kern w:val="0"/>
          <w:sz w:val="18"/>
          <w:szCs w:val="22"/>
        </w:rPr>
        <w:t xml:space="preserve">innovation allowance. This allowance supports distribution businesses </w:t>
      </w:r>
      <w:r w:rsidR="00AD7393">
        <w:rPr>
          <w:rFonts w:ascii="MS Reference Sans Serif" w:eastAsia="Calibri" w:hAnsi="MS Reference Sans Serif" w:cs="Shruti"/>
          <w:b w:val="0"/>
          <w:iCs w:val="0"/>
          <w:color w:val="auto"/>
          <w:spacing w:val="-10"/>
          <w:kern w:val="0"/>
          <w:sz w:val="18"/>
          <w:szCs w:val="22"/>
        </w:rPr>
        <w:t>in innovatively exploring how</w:t>
      </w:r>
      <w:r>
        <w:rPr>
          <w:rFonts w:ascii="MS Reference Sans Serif" w:eastAsia="Calibri" w:hAnsi="MS Reference Sans Serif" w:cs="Shruti"/>
          <w:b w:val="0"/>
          <w:iCs w:val="0"/>
          <w:color w:val="auto"/>
          <w:spacing w:val="-10"/>
          <w:kern w:val="0"/>
          <w:sz w:val="18"/>
          <w:szCs w:val="22"/>
        </w:rPr>
        <w:t xml:space="preserve"> demand management </w:t>
      </w:r>
      <w:r w:rsidR="00AD7393">
        <w:rPr>
          <w:rFonts w:ascii="MS Reference Sans Serif" w:eastAsia="Calibri" w:hAnsi="MS Reference Sans Serif" w:cs="Shruti"/>
          <w:b w:val="0"/>
          <w:iCs w:val="0"/>
          <w:color w:val="auto"/>
          <w:spacing w:val="-10"/>
          <w:kern w:val="0"/>
          <w:sz w:val="18"/>
          <w:szCs w:val="22"/>
        </w:rPr>
        <w:t>can reduce the longer-term costs of operating their networks.</w:t>
      </w:r>
    </w:p>
    <w:p w:rsidR="00064925" w:rsidRDefault="00064925" w:rsidP="00064925">
      <w:pPr>
        <w:pStyle w:val="AERFactsheetHeading1"/>
        <w:spacing w:before="0"/>
      </w:pPr>
      <w:r>
        <w:t xml:space="preserve">What is demand management in electricity networks? </w:t>
      </w:r>
    </w:p>
    <w:p w:rsidR="00064925" w:rsidRDefault="00064925" w:rsidP="00064925">
      <w:pPr>
        <w:pStyle w:val="AERfactsheetbodytext"/>
      </w:pPr>
      <w:r>
        <w:t>For electricity network businesses, demand management involves modifying demand on their networks to remove a constraint or a ‘identified need’. Causes of constraints can be:</w:t>
      </w:r>
    </w:p>
    <w:p w:rsidR="00064925" w:rsidRDefault="00064925" w:rsidP="00064925">
      <w:pPr>
        <w:pStyle w:val="AERfactsheetbulletlist"/>
      </w:pPr>
      <w:r>
        <w:t>peaks in demand</w:t>
      </w:r>
    </w:p>
    <w:p w:rsidR="00064925" w:rsidRDefault="00064925" w:rsidP="00064925">
      <w:pPr>
        <w:pStyle w:val="AERfactsheetbulletlist"/>
      </w:pPr>
      <w:r>
        <w:t>aging assets and associated risks</w:t>
      </w:r>
    </w:p>
    <w:p w:rsidR="00064925" w:rsidRDefault="00064925" w:rsidP="00064925">
      <w:pPr>
        <w:pStyle w:val="AERfactsheetbulletlist"/>
      </w:pPr>
      <w:r>
        <w:t>minimum demand and associated power quality issues</w:t>
      </w:r>
    </w:p>
    <w:p w:rsidR="00064925" w:rsidRDefault="00064925" w:rsidP="00537191">
      <w:pPr>
        <w:pStyle w:val="AERfactsheetbulletlist"/>
      </w:pPr>
      <w:r>
        <w:t>diverse power flows and security issues</w:t>
      </w:r>
    </w:p>
    <w:p w:rsidR="00064925" w:rsidRPr="00064925" w:rsidRDefault="00064925" w:rsidP="00064925">
      <w:pPr>
        <w:pStyle w:val="AERfactsheetbulletlist"/>
        <w:numPr>
          <w:ilvl w:val="0"/>
          <w:numId w:val="0"/>
        </w:numPr>
        <w:rPr>
          <w:rFonts w:eastAsia="Calibri"/>
          <w:szCs w:val="22"/>
        </w:rPr>
      </w:pPr>
      <w:r w:rsidRPr="00064925">
        <w:rPr>
          <w:rFonts w:ascii="Tunga" w:hAnsi="Tunga" w:cs="Tunga"/>
          <w:b/>
          <w:iCs/>
          <w:color w:val="006A99"/>
          <w:spacing w:val="0"/>
          <w:kern w:val="24"/>
          <w:sz w:val="24"/>
        </w:rPr>
        <w:t>Why encourage more demand management</w:t>
      </w:r>
      <w:r w:rsidR="00537191" w:rsidRPr="00064925">
        <w:rPr>
          <w:rFonts w:ascii="Tunga" w:hAnsi="Tunga" w:cs="Tunga"/>
          <w:b/>
          <w:iCs/>
          <w:color w:val="006A99"/>
          <w:spacing w:val="0"/>
          <w:kern w:val="24"/>
          <w:sz w:val="24"/>
        </w:rPr>
        <w:t xml:space="preserve">? </w:t>
      </w:r>
      <w:r w:rsidR="00537191" w:rsidRPr="00064925">
        <w:rPr>
          <w:rFonts w:eastAsia="Calibri"/>
          <w:szCs w:val="22"/>
        </w:rPr>
        <w:t>Distribution businesses have generally focussed on supply to meet the demands on their network</w:t>
      </w:r>
      <w:r w:rsidR="00AD7393" w:rsidRPr="00064925">
        <w:rPr>
          <w:rFonts w:eastAsia="Calibri"/>
          <w:szCs w:val="22"/>
        </w:rPr>
        <w:t>s</w:t>
      </w:r>
      <w:r w:rsidR="00537191" w:rsidRPr="00064925">
        <w:rPr>
          <w:rFonts w:eastAsia="Calibri"/>
          <w:szCs w:val="22"/>
        </w:rPr>
        <w:t>. This involves</w:t>
      </w:r>
      <w:r w:rsidRPr="00064925">
        <w:rPr>
          <w:rFonts w:eastAsia="Calibri"/>
          <w:szCs w:val="22"/>
        </w:rPr>
        <w:t xml:space="preserve"> </w:t>
      </w:r>
      <w:r w:rsidR="00537191" w:rsidRPr="00064925">
        <w:rPr>
          <w:rFonts w:eastAsia="Calibri"/>
          <w:szCs w:val="22"/>
        </w:rPr>
        <w:t>meeting network demand b</w:t>
      </w:r>
      <w:r w:rsidR="00AD7393" w:rsidRPr="00064925">
        <w:rPr>
          <w:rFonts w:eastAsia="Calibri"/>
          <w:szCs w:val="22"/>
        </w:rPr>
        <w:t>y investing in expensive assets―</w:t>
      </w:r>
      <w:r w:rsidR="00537191" w:rsidRPr="00064925">
        <w:rPr>
          <w:rFonts w:eastAsia="Calibri"/>
          <w:szCs w:val="22"/>
        </w:rPr>
        <w:t xml:space="preserve"> the costs of which </w:t>
      </w:r>
      <w:proofErr w:type="gramStart"/>
      <w:r w:rsidR="00537191" w:rsidRPr="00064925">
        <w:rPr>
          <w:rFonts w:eastAsia="Calibri"/>
          <w:szCs w:val="22"/>
        </w:rPr>
        <w:t>are passed</w:t>
      </w:r>
      <w:proofErr w:type="gramEnd"/>
      <w:r w:rsidR="00537191" w:rsidRPr="00064925">
        <w:rPr>
          <w:rFonts w:eastAsia="Calibri"/>
          <w:szCs w:val="22"/>
        </w:rPr>
        <w:t xml:space="preserve"> onto consumers.</w:t>
      </w:r>
    </w:p>
    <w:p w:rsidR="00064925" w:rsidRDefault="00537191" w:rsidP="00064925">
      <w:pPr>
        <w:pStyle w:val="AERfactsheetbulletlist"/>
        <w:numPr>
          <w:ilvl w:val="0"/>
          <w:numId w:val="0"/>
        </w:numPr>
        <w:rPr>
          <w:rFonts w:eastAsia="Calibri"/>
          <w:szCs w:val="22"/>
        </w:rPr>
      </w:pPr>
      <w:r w:rsidRPr="00064925">
        <w:rPr>
          <w:rFonts w:eastAsia="Calibri"/>
          <w:szCs w:val="22"/>
        </w:rPr>
        <w:t xml:space="preserve">Effective demand management can defer or limit the need to invest in these assets. This can deliver substantial savings to consumers, who might otherwise pay for unused network capacity. </w:t>
      </w:r>
    </w:p>
    <w:p w:rsidR="00824D91" w:rsidRDefault="00064925" w:rsidP="00064925">
      <w:pPr>
        <w:pStyle w:val="AERfactsheetbulletlist"/>
        <w:numPr>
          <w:ilvl w:val="0"/>
          <w:numId w:val="0"/>
        </w:numPr>
      </w:pPr>
      <w:r>
        <w:t>Demand management may also help</w:t>
      </w:r>
      <w:r w:rsidR="00AE445A">
        <w:t xml:space="preserve"> consumers</w:t>
      </w:r>
      <w:r w:rsidR="00824D91">
        <w:t xml:space="preserve"> get the</w:t>
      </w:r>
      <w:r>
        <w:t xml:space="preserve"> most out of new technologies, such as consumer battery storage and internet of things devices. </w:t>
      </w:r>
      <w:r w:rsidR="00AE445A">
        <w:t>T</w:t>
      </w:r>
      <w:r>
        <w:t xml:space="preserve">hese </w:t>
      </w:r>
      <w:r w:rsidR="00AE445A">
        <w:t>new, consumer-controlled technologies create</w:t>
      </w:r>
      <w:r>
        <w:t xml:space="preserve"> both challenges and opportunities for electricity networks. These </w:t>
      </w:r>
      <w:r w:rsidR="00AE445A">
        <w:t>change</w:t>
      </w:r>
      <w:r>
        <w:t xml:space="preserve"> how the grid works, sometimes in ways that </w:t>
      </w:r>
      <w:r w:rsidR="00AE445A">
        <w:t>are</w:t>
      </w:r>
      <w:r>
        <w:t xml:space="preserve"> difficult to predict. However, demand management can help coordinate and manage these technologies so they can deliver greater value to electricity consumers.</w:t>
      </w:r>
    </w:p>
    <w:p w:rsidR="00824D91" w:rsidRDefault="00824D91" w:rsidP="00064925">
      <w:pPr>
        <w:pStyle w:val="AERfactsheetbulletlist"/>
        <w:numPr>
          <w:ilvl w:val="0"/>
          <w:numId w:val="0"/>
        </w:numPr>
      </w:pPr>
    </w:p>
    <w:p w:rsidR="00824D91" w:rsidRDefault="00824D91" w:rsidP="00064925">
      <w:pPr>
        <w:pStyle w:val="AERfactsheetbulletlist"/>
        <w:numPr>
          <w:ilvl w:val="0"/>
          <w:numId w:val="0"/>
        </w:numPr>
      </w:pPr>
    </w:p>
    <w:p w:rsidR="00AE445A" w:rsidRPr="00824D91" w:rsidRDefault="00AE445A" w:rsidP="00064925">
      <w:pPr>
        <w:pStyle w:val="AERfactsheetbulletlist"/>
        <w:numPr>
          <w:ilvl w:val="0"/>
          <w:numId w:val="0"/>
        </w:numPr>
      </w:pPr>
      <w:r w:rsidRPr="00064925">
        <w:rPr>
          <w:rFonts w:ascii="Tunga" w:hAnsi="Tunga" w:cs="Tunga"/>
          <w:b/>
          <w:iCs/>
          <w:color w:val="006A99"/>
          <w:spacing w:val="0"/>
          <w:kern w:val="24"/>
          <w:sz w:val="24"/>
        </w:rPr>
        <w:lastRenderedPageBreak/>
        <w:t xml:space="preserve">Why </w:t>
      </w:r>
      <w:r>
        <w:rPr>
          <w:rFonts w:ascii="Tunga" w:hAnsi="Tunga" w:cs="Tunga"/>
          <w:b/>
          <w:iCs/>
          <w:color w:val="006A99"/>
          <w:spacing w:val="0"/>
          <w:kern w:val="24"/>
          <w:sz w:val="24"/>
        </w:rPr>
        <w:t>a demand management ‘incentive scheme’</w:t>
      </w:r>
      <w:r w:rsidRPr="00064925">
        <w:rPr>
          <w:rFonts w:ascii="Tunga" w:hAnsi="Tunga" w:cs="Tunga"/>
          <w:b/>
          <w:iCs/>
          <w:color w:val="006A99"/>
          <w:spacing w:val="0"/>
          <w:kern w:val="24"/>
          <w:sz w:val="24"/>
        </w:rPr>
        <w:t xml:space="preserve">? </w:t>
      </w:r>
    </w:p>
    <w:p w:rsidR="00AD7833" w:rsidRDefault="00AE445A" w:rsidP="00AE445A">
      <w:pPr>
        <w:pStyle w:val="AERfactsheetbulletlist"/>
        <w:numPr>
          <w:ilvl w:val="0"/>
          <w:numId w:val="0"/>
        </w:numPr>
        <w:rPr>
          <w:rFonts w:eastAsia="Calibri"/>
          <w:szCs w:val="22"/>
        </w:rPr>
      </w:pPr>
      <w:r>
        <w:rPr>
          <w:rFonts w:eastAsia="Calibri"/>
          <w:szCs w:val="22"/>
        </w:rPr>
        <w:t>There a many reasons why distribution businesses have historically focu</w:t>
      </w:r>
      <w:r w:rsidR="00824D91">
        <w:rPr>
          <w:rFonts w:eastAsia="Calibri"/>
          <w:szCs w:val="22"/>
        </w:rPr>
        <w:t>ssed on supply-side solutions. In some cases</w:t>
      </w:r>
      <w:r>
        <w:rPr>
          <w:rFonts w:eastAsia="Calibri"/>
          <w:szCs w:val="22"/>
        </w:rPr>
        <w:t xml:space="preserve">, this </w:t>
      </w:r>
      <w:r w:rsidR="00824D91">
        <w:rPr>
          <w:rFonts w:eastAsia="Calibri"/>
          <w:szCs w:val="22"/>
        </w:rPr>
        <w:t>has been</w:t>
      </w:r>
      <w:r>
        <w:rPr>
          <w:rFonts w:eastAsia="Calibri"/>
          <w:szCs w:val="22"/>
        </w:rPr>
        <w:t xml:space="preserve"> because demand-side solutions have historically been </w:t>
      </w:r>
      <w:r w:rsidR="00824D91">
        <w:rPr>
          <w:rFonts w:eastAsia="Calibri"/>
          <w:szCs w:val="22"/>
        </w:rPr>
        <w:t xml:space="preserve">costlier and riskier </w:t>
      </w:r>
      <w:r>
        <w:rPr>
          <w:rFonts w:eastAsia="Calibri"/>
          <w:szCs w:val="22"/>
        </w:rPr>
        <w:t xml:space="preserve">than supply-side solutions. </w:t>
      </w:r>
      <w:r w:rsidR="00824D91">
        <w:rPr>
          <w:rFonts w:eastAsia="Calibri"/>
          <w:szCs w:val="22"/>
        </w:rPr>
        <w:t>In other cases,</w:t>
      </w:r>
      <w:r>
        <w:rPr>
          <w:rFonts w:eastAsia="Calibri"/>
          <w:szCs w:val="22"/>
        </w:rPr>
        <w:t xml:space="preserve"> this </w:t>
      </w:r>
      <w:r w:rsidR="00824D91">
        <w:rPr>
          <w:rFonts w:eastAsia="Calibri"/>
          <w:szCs w:val="22"/>
        </w:rPr>
        <w:t>has been</w:t>
      </w:r>
      <w:r>
        <w:rPr>
          <w:rFonts w:eastAsia="Calibri"/>
          <w:szCs w:val="22"/>
        </w:rPr>
        <w:t xml:space="preserve"> because distribution businesses </w:t>
      </w:r>
      <w:r w:rsidR="00824D91">
        <w:rPr>
          <w:rFonts w:eastAsia="Calibri"/>
          <w:szCs w:val="22"/>
        </w:rPr>
        <w:t>have been</w:t>
      </w:r>
      <w:r>
        <w:rPr>
          <w:rFonts w:eastAsia="Calibri"/>
          <w:szCs w:val="22"/>
        </w:rPr>
        <w:t xml:space="preserve"> more skilled or accustomed to dealing with supply-side solutions. Sometimes</w:t>
      </w:r>
      <w:r w:rsidR="00824D91">
        <w:rPr>
          <w:rFonts w:eastAsia="Calibri"/>
          <w:szCs w:val="22"/>
        </w:rPr>
        <w:t>, this has been because</w:t>
      </w:r>
      <w:r>
        <w:rPr>
          <w:rFonts w:eastAsia="Calibri"/>
          <w:szCs w:val="22"/>
        </w:rPr>
        <w:t xml:space="preserve"> regulatory incentives </w:t>
      </w:r>
      <w:r w:rsidR="00824D91">
        <w:rPr>
          <w:rFonts w:eastAsia="Calibri"/>
          <w:szCs w:val="22"/>
        </w:rPr>
        <w:t>have led</w:t>
      </w:r>
      <w:r>
        <w:rPr>
          <w:rFonts w:eastAsia="Calibri"/>
          <w:szCs w:val="22"/>
        </w:rPr>
        <w:t xml:space="preserve"> distribution businesses </w:t>
      </w:r>
      <w:r w:rsidRPr="00AE445A">
        <w:rPr>
          <w:rFonts w:eastAsia="Calibri"/>
          <w:szCs w:val="22"/>
        </w:rPr>
        <w:t xml:space="preserve">to prefer </w:t>
      </w:r>
      <w:r w:rsidR="00AD7833">
        <w:rPr>
          <w:rFonts w:eastAsia="Calibri"/>
          <w:szCs w:val="22"/>
        </w:rPr>
        <w:t>supply-side solutions, even when demand-side solutions might deliver more value to consumers.</w:t>
      </w:r>
      <w:r w:rsidR="00824D91">
        <w:rPr>
          <w:rFonts w:eastAsia="Calibri"/>
          <w:szCs w:val="22"/>
        </w:rPr>
        <w:t xml:space="preserve"> Often, a combination of these factors has been at play.</w:t>
      </w:r>
      <w:r w:rsidR="00AD7833">
        <w:rPr>
          <w:rFonts w:eastAsia="Calibri"/>
          <w:szCs w:val="22"/>
        </w:rPr>
        <w:t xml:space="preserve">  </w:t>
      </w:r>
      <w:r w:rsidRPr="00AE445A">
        <w:rPr>
          <w:rFonts w:eastAsia="Calibri"/>
          <w:szCs w:val="22"/>
        </w:rPr>
        <w:t xml:space="preserve"> </w:t>
      </w:r>
    </w:p>
    <w:p w:rsidR="00C841B2" w:rsidRPr="00064925" w:rsidRDefault="00AD7833" w:rsidP="00AE445A">
      <w:pPr>
        <w:pStyle w:val="AERfactsheetbulletlist"/>
        <w:numPr>
          <w:ilvl w:val="0"/>
          <w:numId w:val="0"/>
        </w:numPr>
        <w:rPr>
          <w:rFonts w:eastAsia="Calibri"/>
          <w:szCs w:val="22"/>
        </w:rPr>
      </w:pPr>
      <w:r>
        <w:rPr>
          <w:rFonts w:eastAsia="Calibri"/>
          <w:szCs w:val="22"/>
        </w:rPr>
        <w:t>It is our view that our proposed</w:t>
      </w:r>
      <w:r w:rsidR="00AE445A">
        <w:rPr>
          <w:rFonts w:eastAsia="Calibri"/>
          <w:szCs w:val="22"/>
        </w:rPr>
        <w:t xml:space="preserve"> demand management incentive scheme </w:t>
      </w:r>
      <w:r w:rsidR="00AD7393" w:rsidRPr="00064925">
        <w:rPr>
          <w:rFonts w:eastAsia="Calibri"/>
          <w:szCs w:val="22"/>
        </w:rPr>
        <w:t>should</w:t>
      </w:r>
      <w:r w:rsidR="00C841B2" w:rsidRPr="00064925">
        <w:rPr>
          <w:rFonts w:eastAsia="Calibri"/>
          <w:szCs w:val="22"/>
        </w:rPr>
        <w:t xml:space="preserve"> assist the industry in ta</w:t>
      </w:r>
      <w:r w:rsidR="00AD7393" w:rsidRPr="00064925">
        <w:rPr>
          <w:rFonts w:eastAsia="Calibri"/>
          <w:szCs w:val="22"/>
        </w:rPr>
        <w:t>king a more balanced approach in</w:t>
      </w:r>
      <w:r w:rsidR="00C841B2" w:rsidRPr="00064925">
        <w:rPr>
          <w:rFonts w:eastAsia="Calibri"/>
          <w:szCs w:val="22"/>
        </w:rPr>
        <w:t xml:space="preserve"> consider</w:t>
      </w:r>
      <w:r w:rsidR="00AD7393" w:rsidRPr="00064925">
        <w:rPr>
          <w:rFonts w:eastAsia="Calibri"/>
          <w:szCs w:val="22"/>
        </w:rPr>
        <w:t>ing</w:t>
      </w:r>
      <w:r w:rsidR="00C841B2" w:rsidRPr="00064925">
        <w:rPr>
          <w:rFonts w:eastAsia="Calibri"/>
          <w:szCs w:val="22"/>
        </w:rPr>
        <w:t xml:space="preserve"> </w:t>
      </w:r>
      <w:r w:rsidR="00AD7393" w:rsidRPr="00064925">
        <w:rPr>
          <w:rFonts w:eastAsia="Calibri"/>
          <w:szCs w:val="22"/>
        </w:rPr>
        <w:t xml:space="preserve">solutions from </w:t>
      </w:r>
      <w:r w:rsidR="00C841B2" w:rsidRPr="00064925">
        <w:rPr>
          <w:rFonts w:eastAsia="Calibri"/>
          <w:szCs w:val="22"/>
        </w:rPr>
        <w:t xml:space="preserve">both </w:t>
      </w:r>
      <w:r w:rsidR="00AD7393" w:rsidRPr="00064925">
        <w:rPr>
          <w:rFonts w:eastAsia="Calibri"/>
          <w:szCs w:val="22"/>
        </w:rPr>
        <w:t xml:space="preserve">the </w:t>
      </w:r>
      <w:r w:rsidR="00C841B2" w:rsidRPr="00064925">
        <w:rPr>
          <w:rFonts w:eastAsia="Calibri"/>
          <w:szCs w:val="22"/>
        </w:rPr>
        <w:t xml:space="preserve">demand-side and supply-side. </w:t>
      </w:r>
      <w:r w:rsidR="00824D91">
        <w:rPr>
          <w:rFonts w:eastAsia="Calibri"/>
          <w:szCs w:val="22"/>
        </w:rPr>
        <w:t>Taking</w:t>
      </w:r>
      <w:r w:rsidR="00C841B2" w:rsidRPr="00064925">
        <w:rPr>
          <w:rFonts w:eastAsia="Calibri"/>
          <w:szCs w:val="22"/>
        </w:rPr>
        <w:t xml:space="preserve"> a broader, more holistic view</w:t>
      </w:r>
      <w:r w:rsidR="00824D91">
        <w:rPr>
          <w:rFonts w:eastAsia="Calibri"/>
          <w:szCs w:val="22"/>
        </w:rPr>
        <w:t xml:space="preserve"> should support</w:t>
      </w:r>
      <w:r w:rsidR="00C841B2" w:rsidRPr="00064925">
        <w:rPr>
          <w:rFonts w:eastAsia="Calibri"/>
          <w:szCs w:val="22"/>
        </w:rPr>
        <w:t xml:space="preserve"> </w:t>
      </w:r>
      <w:r w:rsidR="00824D91">
        <w:rPr>
          <w:rFonts w:eastAsia="Calibri"/>
          <w:szCs w:val="22"/>
        </w:rPr>
        <w:t>distribution businesses in making i</w:t>
      </w:r>
      <w:r w:rsidR="00AD7393" w:rsidRPr="00064925">
        <w:rPr>
          <w:rFonts w:eastAsia="Calibri"/>
          <w:szCs w:val="22"/>
        </w:rPr>
        <w:t xml:space="preserve">nvestment choices </w:t>
      </w:r>
      <w:r w:rsidR="00824D91">
        <w:rPr>
          <w:rFonts w:eastAsia="Calibri"/>
          <w:szCs w:val="22"/>
        </w:rPr>
        <w:t xml:space="preserve">that </w:t>
      </w:r>
      <w:r w:rsidR="00C619BB">
        <w:rPr>
          <w:rFonts w:eastAsia="Calibri"/>
          <w:szCs w:val="22"/>
        </w:rPr>
        <w:t>deliver the most value to</w:t>
      </w:r>
      <w:r w:rsidR="00C841B2" w:rsidRPr="00064925">
        <w:rPr>
          <w:rFonts w:eastAsia="Calibri"/>
          <w:szCs w:val="22"/>
        </w:rPr>
        <w:t xml:space="preserve"> electricity consumers. </w:t>
      </w:r>
    </w:p>
    <w:p w:rsidR="00AD7833" w:rsidRDefault="00824D91" w:rsidP="00537191">
      <w:pPr>
        <w:pStyle w:val="AERFactsheetHeading1"/>
        <w:spacing w:before="0"/>
        <w:rPr>
          <w:rFonts w:ascii="MS Reference Sans Serif" w:eastAsia="Calibri" w:hAnsi="MS Reference Sans Serif" w:cs="Shruti"/>
          <w:b w:val="0"/>
          <w:iCs w:val="0"/>
          <w:color w:val="auto"/>
          <w:spacing w:val="-10"/>
          <w:kern w:val="0"/>
          <w:sz w:val="18"/>
          <w:szCs w:val="22"/>
        </w:rPr>
      </w:pPr>
      <w:r>
        <w:rPr>
          <w:rFonts w:ascii="MS Reference Sans Serif" w:eastAsia="Calibri" w:hAnsi="MS Reference Sans Serif" w:cs="Shruti"/>
          <w:b w:val="0"/>
          <w:iCs w:val="0"/>
          <w:color w:val="auto"/>
          <w:spacing w:val="-10"/>
          <w:kern w:val="0"/>
          <w:sz w:val="18"/>
          <w:szCs w:val="22"/>
        </w:rPr>
        <w:t>It</w:t>
      </w:r>
      <w:r w:rsidR="00AD7833">
        <w:rPr>
          <w:rFonts w:ascii="MS Reference Sans Serif" w:eastAsia="Calibri" w:hAnsi="MS Reference Sans Serif" w:cs="Shruti"/>
          <w:b w:val="0"/>
          <w:iCs w:val="0"/>
          <w:color w:val="auto"/>
          <w:spacing w:val="-10"/>
          <w:kern w:val="0"/>
          <w:sz w:val="18"/>
          <w:szCs w:val="22"/>
        </w:rPr>
        <w:t xml:space="preserve"> is important for us</w:t>
      </w:r>
      <w:r>
        <w:rPr>
          <w:rFonts w:ascii="MS Reference Sans Serif" w:eastAsia="Calibri" w:hAnsi="MS Reference Sans Serif" w:cs="Shruti"/>
          <w:b w:val="0"/>
          <w:iCs w:val="0"/>
          <w:color w:val="auto"/>
          <w:spacing w:val="-10"/>
          <w:kern w:val="0"/>
          <w:sz w:val="18"/>
          <w:szCs w:val="22"/>
        </w:rPr>
        <w:t>, the AER,</w:t>
      </w:r>
      <w:r w:rsidR="00AD7833">
        <w:rPr>
          <w:rFonts w:ascii="MS Reference Sans Serif" w:eastAsia="Calibri" w:hAnsi="MS Reference Sans Serif" w:cs="Shruti"/>
          <w:b w:val="0"/>
          <w:iCs w:val="0"/>
          <w:color w:val="auto"/>
          <w:spacing w:val="-10"/>
          <w:kern w:val="0"/>
          <w:sz w:val="18"/>
          <w:szCs w:val="22"/>
        </w:rPr>
        <w:t xml:space="preserve"> to also take a </w:t>
      </w:r>
      <w:r w:rsidR="00C841B2">
        <w:rPr>
          <w:rFonts w:ascii="MS Reference Sans Serif" w:eastAsia="Calibri" w:hAnsi="MS Reference Sans Serif" w:cs="Shruti"/>
          <w:b w:val="0"/>
          <w:iCs w:val="0"/>
          <w:color w:val="auto"/>
          <w:spacing w:val="-10"/>
          <w:kern w:val="0"/>
          <w:sz w:val="18"/>
          <w:szCs w:val="22"/>
        </w:rPr>
        <w:t>holistic view</w:t>
      </w:r>
      <w:r w:rsidR="00C619BB">
        <w:rPr>
          <w:rFonts w:ascii="MS Reference Sans Serif" w:eastAsia="Calibri" w:hAnsi="MS Reference Sans Serif" w:cs="Shruti"/>
          <w:b w:val="0"/>
          <w:iCs w:val="0"/>
          <w:color w:val="auto"/>
          <w:spacing w:val="-10"/>
          <w:kern w:val="0"/>
          <w:sz w:val="18"/>
          <w:szCs w:val="22"/>
        </w:rPr>
        <w:t>. This</w:t>
      </w:r>
      <w:r w:rsidR="00AD7833">
        <w:rPr>
          <w:rFonts w:ascii="MS Reference Sans Serif" w:eastAsia="Calibri" w:hAnsi="MS Reference Sans Serif" w:cs="Shruti"/>
          <w:b w:val="0"/>
          <w:iCs w:val="0"/>
          <w:color w:val="auto"/>
          <w:spacing w:val="-10"/>
          <w:kern w:val="0"/>
          <w:sz w:val="18"/>
          <w:szCs w:val="22"/>
        </w:rPr>
        <w:t xml:space="preserve"> means exploring other ways to improve the way we regulate so that distribution businesses use demand management whenever doing so is in the long term interest of consumers</w:t>
      </w:r>
      <w:r w:rsidR="00C841B2">
        <w:rPr>
          <w:rFonts w:ascii="MS Reference Sans Serif" w:eastAsia="Calibri" w:hAnsi="MS Reference Sans Serif" w:cs="Shruti"/>
          <w:b w:val="0"/>
          <w:iCs w:val="0"/>
          <w:color w:val="auto"/>
          <w:spacing w:val="-10"/>
          <w:kern w:val="0"/>
          <w:sz w:val="18"/>
          <w:szCs w:val="22"/>
        </w:rPr>
        <w:t xml:space="preserve">. </w:t>
      </w:r>
    </w:p>
    <w:p w:rsidR="00C841B2" w:rsidRDefault="00AD7393" w:rsidP="00537191">
      <w:pPr>
        <w:pStyle w:val="AERFactsheetHeading1"/>
        <w:spacing w:before="0"/>
        <w:rPr>
          <w:rFonts w:ascii="MS Reference Sans Serif" w:eastAsia="Calibri" w:hAnsi="MS Reference Sans Serif" w:cs="Shruti"/>
          <w:b w:val="0"/>
          <w:iCs w:val="0"/>
          <w:color w:val="auto"/>
          <w:spacing w:val="-10"/>
          <w:kern w:val="0"/>
          <w:sz w:val="18"/>
          <w:szCs w:val="22"/>
        </w:rPr>
      </w:pPr>
      <w:r>
        <w:rPr>
          <w:rFonts w:ascii="MS Reference Sans Serif" w:eastAsia="Calibri" w:hAnsi="MS Reference Sans Serif" w:cs="Shruti"/>
          <w:b w:val="0"/>
          <w:iCs w:val="0"/>
          <w:color w:val="auto"/>
          <w:spacing w:val="-10"/>
          <w:kern w:val="0"/>
          <w:sz w:val="18"/>
          <w:szCs w:val="22"/>
        </w:rPr>
        <w:t xml:space="preserve">For instance, we have been encouraging </w:t>
      </w:r>
      <w:r w:rsidR="00C841B2" w:rsidRPr="00C841B2">
        <w:rPr>
          <w:rFonts w:ascii="MS Reference Sans Serif" w:eastAsia="Calibri" w:hAnsi="MS Reference Sans Serif" w:cs="Shruti"/>
          <w:b w:val="0"/>
          <w:iCs w:val="0"/>
          <w:color w:val="auto"/>
          <w:spacing w:val="-10"/>
          <w:kern w:val="0"/>
          <w:sz w:val="18"/>
          <w:szCs w:val="22"/>
        </w:rPr>
        <w:t xml:space="preserve">price signals that better reflect the drivers of network costs. </w:t>
      </w:r>
      <w:r w:rsidR="00C841B2">
        <w:rPr>
          <w:rFonts w:ascii="MS Reference Sans Serif" w:eastAsia="Calibri" w:hAnsi="MS Reference Sans Serif" w:cs="Shruti"/>
          <w:b w:val="0"/>
          <w:iCs w:val="0"/>
          <w:color w:val="auto"/>
          <w:spacing w:val="-10"/>
          <w:kern w:val="0"/>
          <w:sz w:val="18"/>
          <w:szCs w:val="22"/>
        </w:rPr>
        <w:t>We initiated</w:t>
      </w:r>
      <w:r w:rsidR="00C841B2" w:rsidRPr="00C841B2">
        <w:rPr>
          <w:rFonts w:ascii="MS Reference Sans Serif" w:eastAsia="Calibri" w:hAnsi="MS Reference Sans Serif" w:cs="Shruti"/>
          <w:b w:val="0"/>
          <w:iCs w:val="0"/>
          <w:color w:val="auto"/>
          <w:spacing w:val="-10"/>
          <w:kern w:val="0"/>
          <w:sz w:val="18"/>
          <w:szCs w:val="22"/>
        </w:rPr>
        <w:t xml:space="preserve"> </w:t>
      </w:r>
      <w:r w:rsidR="00C619BB">
        <w:rPr>
          <w:rFonts w:ascii="MS Reference Sans Serif" w:eastAsia="Calibri" w:hAnsi="MS Reference Sans Serif" w:cs="Shruti"/>
          <w:b w:val="0"/>
          <w:iCs w:val="0"/>
          <w:color w:val="auto"/>
          <w:spacing w:val="-10"/>
          <w:kern w:val="0"/>
          <w:sz w:val="18"/>
          <w:szCs w:val="22"/>
        </w:rPr>
        <w:t>a replacement expenditure</w:t>
      </w:r>
      <w:r w:rsidR="00C841B2" w:rsidRPr="00C841B2">
        <w:rPr>
          <w:rFonts w:ascii="MS Reference Sans Serif" w:eastAsia="Calibri" w:hAnsi="MS Reference Sans Serif" w:cs="Shruti"/>
          <w:b w:val="0"/>
          <w:iCs w:val="0"/>
          <w:color w:val="auto"/>
          <w:spacing w:val="-10"/>
          <w:kern w:val="0"/>
          <w:sz w:val="18"/>
          <w:szCs w:val="22"/>
        </w:rPr>
        <w:t xml:space="preserve"> rule that will increase the transparency of network businesses’ plans to retire and replace assets. </w:t>
      </w:r>
      <w:r w:rsidR="00C841B2">
        <w:rPr>
          <w:rFonts w:ascii="MS Reference Sans Serif" w:eastAsia="Calibri" w:hAnsi="MS Reference Sans Serif" w:cs="Shruti"/>
          <w:b w:val="0"/>
          <w:iCs w:val="0"/>
          <w:color w:val="auto"/>
          <w:spacing w:val="-10"/>
          <w:kern w:val="0"/>
          <w:sz w:val="18"/>
          <w:szCs w:val="22"/>
        </w:rPr>
        <w:t>W</w:t>
      </w:r>
      <w:r>
        <w:rPr>
          <w:rFonts w:ascii="MS Reference Sans Serif" w:eastAsia="Calibri" w:hAnsi="MS Reference Sans Serif" w:cs="Shruti"/>
          <w:b w:val="0"/>
          <w:iCs w:val="0"/>
          <w:color w:val="auto"/>
          <w:spacing w:val="-10"/>
          <w:kern w:val="0"/>
          <w:sz w:val="18"/>
          <w:szCs w:val="22"/>
        </w:rPr>
        <w:t xml:space="preserve">e </w:t>
      </w:r>
      <w:r w:rsidR="00C841B2">
        <w:rPr>
          <w:rFonts w:ascii="MS Reference Sans Serif" w:eastAsia="Calibri" w:hAnsi="MS Reference Sans Serif" w:cs="Shruti"/>
          <w:b w:val="0"/>
          <w:iCs w:val="0"/>
          <w:color w:val="auto"/>
          <w:spacing w:val="-10"/>
          <w:kern w:val="0"/>
          <w:sz w:val="18"/>
          <w:szCs w:val="22"/>
        </w:rPr>
        <w:t>also recently</w:t>
      </w:r>
      <w:r w:rsidR="00C841B2" w:rsidRPr="00C841B2">
        <w:rPr>
          <w:rFonts w:ascii="MS Reference Sans Serif" w:eastAsia="Calibri" w:hAnsi="MS Reference Sans Serif" w:cs="Shruti"/>
          <w:b w:val="0"/>
          <w:iCs w:val="0"/>
          <w:color w:val="auto"/>
          <w:spacing w:val="-10"/>
          <w:kern w:val="0"/>
          <w:sz w:val="18"/>
          <w:szCs w:val="22"/>
        </w:rPr>
        <w:t xml:space="preserve"> released </w:t>
      </w:r>
      <w:r w:rsidR="00C841B2">
        <w:rPr>
          <w:rFonts w:ascii="MS Reference Sans Serif" w:eastAsia="Calibri" w:hAnsi="MS Reference Sans Serif" w:cs="Shruti"/>
          <w:b w:val="0"/>
          <w:iCs w:val="0"/>
          <w:color w:val="auto"/>
          <w:spacing w:val="-10"/>
          <w:kern w:val="0"/>
          <w:sz w:val="18"/>
          <w:szCs w:val="22"/>
        </w:rPr>
        <w:t>our</w:t>
      </w:r>
      <w:r w:rsidR="00C841B2" w:rsidRPr="00C841B2">
        <w:rPr>
          <w:rFonts w:ascii="MS Reference Sans Serif" w:eastAsia="Calibri" w:hAnsi="MS Reference Sans Serif" w:cs="Shruti"/>
          <w:b w:val="0"/>
          <w:iCs w:val="0"/>
          <w:color w:val="auto"/>
          <w:spacing w:val="-10"/>
          <w:kern w:val="0"/>
          <w:sz w:val="18"/>
          <w:szCs w:val="22"/>
        </w:rPr>
        <w:t xml:space="preserve"> first user-friendly Distribution Annual Planning Report template to better assist non-network business in developing demand-side solutions to address network constraints.</w:t>
      </w:r>
    </w:p>
    <w:p w:rsidR="001B4D97" w:rsidRDefault="00AD7833" w:rsidP="001B4D97">
      <w:pPr>
        <w:pStyle w:val="AERfactsheetbodytext"/>
      </w:pPr>
      <w:r>
        <w:t xml:space="preserve">In addition to these improvements, an incentive scheme that rewards demand management where efficient should encourage distribution businesses to act in the long term interest of electricity consumers. </w:t>
      </w:r>
    </w:p>
    <w:p w:rsidR="00731435" w:rsidRDefault="00731435" w:rsidP="00731435">
      <w:pPr>
        <w:pStyle w:val="AERfactsheetbodytext"/>
      </w:pPr>
      <w:r>
        <w:rPr>
          <w:rFonts w:ascii="Tunga" w:eastAsia="Times New Roman" w:hAnsi="Tunga" w:cs="Tunga"/>
          <w:b/>
          <w:iCs/>
          <w:color w:val="006A99"/>
          <w:spacing w:val="0"/>
          <w:kern w:val="24"/>
          <w:sz w:val="24"/>
          <w:szCs w:val="24"/>
        </w:rPr>
        <w:t xml:space="preserve">How </w:t>
      </w:r>
      <w:r w:rsidR="00AD7393">
        <w:rPr>
          <w:rFonts w:ascii="Tunga" w:eastAsia="Times New Roman" w:hAnsi="Tunga" w:cs="Tunga"/>
          <w:b/>
          <w:iCs/>
          <w:color w:val="006A99"/>
          <w:spacing w:val="0"/>
          <w:kern w:val="24"/>
          <w:sz w:val="24"/>
          <w:szCs w:val="24"/>
        </w:rPr>
        <w:t xml:space="preserve">will </w:t>
      </w:r>
      <w:r w:rsidR="00AD7833">
        <w:rPr>
          <w:rFonts w:ascii="Tunga" w:eastAsia="Times New Roman" w:hAnsi="Tunga" w:cs="Tunga"/>
          <w:b/>
          <w:iCs/>
          <w:color w:val="006A99"/>
          <w:spacing w:val="0"/>
          <w:kern w:val="24"/>
          <w:sz w:val="24"/>
          <w:szCs w:val="24"/>
        </w:rPr>
        <w:t>our incentive scheme</w:t>
      </w:r>
      <w:r w:rsidR="00AD7393">
        <w:rPr>
          <w:rFonts w:ascii="Tunga" w:eastAsia="Times New Roman" w:hAnsi="Tunga" w:cs="Tunga"/>
          <w:b/>
          <w:iCs/>
          <w:color w:val="006A99"/>
          <w:spacing w:val="0"/>
          <w:kern w:val="24"/>
          <w:sz w:val="24"/>
          <w:szCs w:val="24"/>
        </w:rPr>
        <w:t xml:space="preserve"> support </w:t>
      </w:r>
      <w:r w:rsidR="00AD7833">
        <w:rPr>
          <w:rFonts w:ascii="Tunga" w:eastAsia="Times New Roman" w:hAnsi="Tunga" w:cs="Tunga"/>
          <w:b/>
          <w:iCs/>
          <w:color w:val="006A99"/>
          <w:spacing w:val="0"/>
          <w:kern w:val="24"/>
          <w:sz w:val="24"/>
          <w:szCs w:val="24"/>
        </w:rPr>
        <w:t>good outcomes</w:t>
      </w:r>
      <w:r w:rsidR="00AD7393">
        <w:rPr>
          <w:rFonts w:ascii="Tunga" w:eastAsia="Times New Roman" w:hAnsi="Tunga" w:cs="Tunga"/>
          <w:b/>
          <w:iCs/>
          <w:color w:val="006A99"/>
          <w:spacing w:val="0"/>
          <w:kern w:val="24"/>
          <w:sz w:val="24"/>
          <w:szCs w:val="24"/>
        </w:rPr>
        <w:t>?</w:t>
      </w:r>
    </w:p>
    <w:p w:rsidR="00731435" w:rsidRDefault="009555B6" w:rsidP="00731435">
      <w:pPr>
        <w:pStyle w:val="AERfactsheetbodytext"/>
      </w:pPr>
      <w:r>
        <w:t xml:space="preserve">Our proposed incentive scheme </w:t>
      </w:r>
      <w:r w:rsidR="00731435" w:rsidRPr="003C7728">
        <w:t>will</w:t>
      </w:r>
      <w:r w:rsidR="00731435">
        <w:t xml:space="preserve"> incentivise demand management that </w:t>
      </w:r>
      <w:r>
        <w:t>is</w:t>
      </w:r>
      <w:r w:rsidR="00731435">
        <w:t xml:space="preserve"> (or form</w:t>
      </w:r>
      <w:r>
        <w:t>s</w:t>
      </w:r>
      <w:r w:rsidR="00731435">
        <w:t xml:space="preserve"> part of)</w:t>
      </w:r>
      <w:r>
        <w:t xml:space="preserve"> an</w:t>
      </w:r>
      <w:r w:rsidR="00731435">
        <w:t xml:space="preserve"> efficient </w:t>
      </w:r>
      <w:r>
        <w:t xml:space="preserve">projects </w:t>
      </w:r>
      <w:r w:rsidR="00731435">
        <w:t xml:space="preserve">to address network constraints. </w:t>
      </w:r>
      <w:r w:rsidR="001B4BC2">
        <w:t xml:space="preserve">In identifying whether a project is efficient, distribution businesses will need to test whether businesses in the demand management market can </w:t>
      </w:r>
      <w:r>
        <w:t>solve</w:t>
      </w:r>
      <w:r w:rsidR="001B4BC2">
        <w:t xml:space="preserve"> the network </w:t>
      </w:r>
      <w:r>
        <w:t>constraint in a more efficient way</w:t>
      </w:r>
      <w:r w:rsidR="001B4BC2">
        <w:t xml:space="preserve">. </w:t>
      </w:r>
    </w:p>
    <w:p w:rsidR="00731435" w:rsidRDefault="001B4BC2" w:rsidP="00731435">
      <w:pPr>
        <w:pStyle w:val="AERfactsheetbodytext"/>
      </w:pPr>
      <w:r>
        <w:lastRenderedPageBreak/>
        <w:t>By having these requirements, our proposed incentive scheme should promote both efficiency and competition. In practice, we see d</w:t>
      </w:r>
      <w:r w:rsidR="00731435">
        <w:t>istribution businesses:</w:t>
      </w:r>
    </w:p>
    <w:p w:rsidR="001B4BC2" w:rsidRDefault="001B4BC2" w:rsidP="00731435">
      <w:pPr>
        <w:pStyle w:val="AERfactsheetbulletlist"/>
      </w:pPr>
      <w:r>
        <w:t xml:space="preserve">Selecting efficient projects that deliver </w:t>
      </w:r>
      <w:r w:rsidR="009555B6">
        <w:t xml:space="preserve">the most value to consumers </w:t>
      </w:r>
      <w:r>
        <w:t xml:space="preserve">when </w:t>
      </w:r>
      <w:r w:rsidR="009555B6">
        <w:t>solving</w:t>
      </w:r>
      <w:r>
        <w:t xml:space="preserve"> network constraint</w:t>
      </w:r>
      <w:r w:rsidR="009555B6">
        <w:t>s</w:t>
      </w:r>
      <w:r>
        <w:t>, regardless of whether these</w:t>
      </w:r>
      <w:r w:rsidR="009555B6">
        <w:t xml:space="preserve"> projects</w:t>
      </w:r>
      <w:r>
        <w:t xml:space="preserve"> constitute a demand-side or supply-side option.</w:t>
      </w:r>
    </w:p>
    <w:p w:rsidR="00731435" w:rsidRDefault="009555B6" w:rsidP="00731435">
      <w:pPr>
        <w:pStyle w:val="AERfactsheetbulletlist"/>
      </w:pPr>
      <w:r>
        <w:t xml:space="preserve">Asking third parties to propose </w:t>
      </w:r>
      <w:r w:rsidR="00731435">
        <w:t>demand management solutions</w:t>
      </w:r>
      <w:r>
        <w:t>, and forming contracts with parties that propose solutions that deliver the most value to consumers</w:t>
      </w:r>
      <w:r w:rsidR="001B4BC2">
        <w:t>.</w:t>
      </w:r>
      <w:r w:rsidR="00731435">
        <w:t xml:space="preserve"> </w:t>
      </w:r>
    </w:p>
    <w:p w:rsidR="00E0500A" w:rsidRDefault="00731435" w:rsidP="001B4D97">
      <w:pPr>
        <w:pStyle w:val="AERFactsheetHeading1"/>
      </w:pPr>
      <w:r>
        <w:t xml:space="preserve">How </w:t>
      </w:r>
      <w:r w:rsidR="00AD7393">
        <w:t xml:space="preserve">will our proposed incentive scheme work? </w:t>
      </w:r>
    </w:p>
    <w:p w:rsidR="003869D0" w:rsidRDefault="003869D0" w:rsidP="003869D0">
      <w:pPr>
        <w:pStyle w:val="AERfactsheetbodytext"/>
      </w:pPr>
      <w:r>
        <w:t>Under o</w:t>
      </w:r>
      <w:r w:rsidR="00C622F6">
        <w:t>ur proposed incentive s</w:t>
      </w:r>
      <w:r w:rsidR="00FF09FF">
        <w:t>cheme</w:t>
      </w:r>
      <w:r>
        <w:t>, we</w:t>
      </w:r>
      <w:r w:rsidR="003C7728" w:rsidRPr="003C7728">
        <w:t xml:space="preserve"> will </w:t>
      </w:r>
      <w:r w:rsidR="00FF09FF">
        <w:t>give</w:t>
      </w:r>
      <w:r w:rsidR="003C7728" w:rsidRPr="003C7728">
        <w:t xml:space="preserve"> </w:t>
      </w:r>
      <w:r w:rsidR="00266A25">
        <w:t xml:space="preserve">distribution </w:t>
      </w:r>
      <w:r w:rsidR="00C622F6">
        <w:t>businesses</w:t>
      </w:r>
      <w:r w:rsidR="003F0C1A">
        <w:t xml:space="preserve"> a payment</w:t>
      </w:r>
      <w:r w:rsidR="003C7728" w:rsidRPr="003C7728">
        <w:t xml:space="preserve"> </w:t>
      </w:r>
      <w:r>
        <w:t xml:space="preserve">worth up to 50% of the expected demand management costs </w:t>
      </w:r>
      <w:r w:rsidR="00853D73">
        <w:t>if they</w:t>
      </w:r>
      <w:r w:rsidR="00FF09FF">
        <w:t xml:space="preserve"> </w:t>
      </w:r>
      <w:r w:rsidR="002D49CD">
        <w:t>invest in</w:t>
      </w:r>
      <w:r w:rsidR="00FF09FF">
        <w:t xml:space="preserve"> </w:t>
      </w:r>
      <w:r w:rsidR="003C7728" w:rsidRPr="003C7728">
        <w:t xml:space="preserve">efficient demand management projects. </w:t>
      </w:r>
      <w:r>
        <w:t xml:space="preserve">This payment helps distribution businesses to benefit from their effort to identify and contract demand management projects. </w:t>
      </w:r>
    </w:p>
    <w:p w:rsidR="003869D0" w:rsidRDefault="00825AB2" w:rsidP="003869D0">
      <w:pPr>
        <w:pStyle w:val="AERfactsheetbodytext"/>
      </w:pPr>
      <w:r>
        <w:rPr>
          <w:noProof/>
          <w:lang w:eastAsia="en-AU"/>
        </w:rPr>
        <mc:AlternateContent>
          <mc:Choice Requires="wps">
            <w:drawing>
              <wp:anchor distT="0" distB="0" distL="114300" distR="114300" simplePos="0" relativeHeight="251659264" behindDoc="0" locked="0" layoutInCell="1" allowOverlap="1" wp14:anchorId="22D7D73E" wp14:editId="4D6925A9">
                <wp:simplePos x="0" y="0"/>
                <wp:positionH relativeFrom="column">
                  <wp:posOffset>0</wp:posOffset>
                </wp:positionH>
                <wp:positionV relativeFrom="paragraph">
                  <wp:posOffset>-1988</wp:posOffset>
                </wp:positionV>
                <wp:extent cx="3116580" cy="516835"/>
                <wp:effectExtent l="0" t="0" r="26670" b="17145"/>
                <wp:wrapNone/>
                <wp:docPr id="5" name="Text Box 5"/>
                <wp:cNvGraphicFramePr/>
                <a:graphic xmlns:a="http://schemas.openxmlformats.org/drawingml/2006/main">
                  <a:graphicData uri="http://schemas.microsoft.com/office/word/2010/wordprocessingShape">
                    <wps:wsp>
                      <wps:cNvSpPr txBox="1"/>
                      <wps:spPr>
                        <a:xfrm>
                          <a:off x="0" y="0"/>
                          <a:ext cx="3116580" cy="51683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32F" w:rsidRPr="005C459F" w:rsidRDefault="00825AB2" w:rsidP="003869D0">
                            <w:pPr>
                              <w:pStyle w:val="AERfactsheetbodytext"/>
                              <w:spacing w:before="120"/>
                              <w:jc w:val="center"/>
                              <w:rPr>
                                <w:rStyle w:val="Strong"/>
                                <w:b w:val="0"/>
                              </w:rPr>
                            </w:pPr>
                            <w:r>
                              <w:rPr>
                                <w:rStyle w:val="Strong"/>
                                <w:b w:val="0"/>
                              </w:rPr>
                              <w:t>Incentive</w:t>
                            </w:r>
                            <w:r w:rsidR="004B632F" w:rsidRPr="005C459F">
                              <w:rPr>
                                <w:rStyle w:val="Strong"/>
                                <w:b w:val="0"/>
                              </w:rPr>
                              <w:t xml:space="preserve"> </w:t>
                            </w:r>
                            <w:r w:rsidR="003F0C1A">
                              <w:rPr>
                                <w:rStyle w:val="Strong"/>
                                <w:b w:val="0"/>
                              </w:rPr>
                              <w:t>payment</w:t>
                            </w:r>
                            <w:r>
                              <w:rPr>
                                <w:rStyle w:val="Strong"/>
                                <w:b w:val="0"/>
                              </w:rPr>
                              <w:t>s</w:t>
                            </w:r>
                            <w:r w:rsidR="003F0C1A">
                              <w:rPr>
                                <w:rStyle w:val="Strong"/>
                                <w:b w:val="0"/>
                              </w:rPr>
                              <w:t xml:space="preserve"> will be</w:t>
                            </w:r>
                            <w:r w:rsidR="004B632F">
                              <w:rPr>
                                <w:rStyle w:val="Strong"/>
                                <w:b w:val="0"/>
                              </w:rPr>
                              <w:t xml:space="preserve"> </w:t>
                            </w:r>
                            <w:r w:rsidR="003869D0">
                              <w:rPr>
                                <w:rStyle w:val="Strong"/>
                                <w:b w:val="0"/>
                              </w:rPr>
                              <w:t xml:space="preserve">up to </w:t>
                            </w:r>
                            <w:r w:rsidR="004B632F">
                              <w:rPr>
                                <w:rStyle w:val="Strong"/>
                                <w:b w:val="0"/>
                              </w:rPr>
                              <w:t xml:space="preserve">50% of </w:t>
                            </w:r>
                            <w:r w:rsidR="003F0C1A">
                              <w:rPr>
                                <w:rStyle w:val="Strong"/>
                                <w:b w:val="0"/>
                              </w:rPr>
                              <w:t xml:space="preserve">the costs of </w:t>
                            </w:r>
                            <w:r w:rsidR="004B632F">
                              <w:rPr>
                                <w:rStyle w:val="Strong"/>
                                <w:b w:val="0"/>
                              </w:rPr>
                              <w:t xml:space="preserve">demand management </w:t>
                            </w:r>
                            <w:r w:rsidR="003869D0">
                              <w:rPr>
                                <w:rStyle w:val="Strong"/>
                                <w:b w:val="0"/>
                              </w:rPr>
                              <w:t>projects assessed as efficient</w:t>
                            </w:r>
                            <w:r w:rsidR="004B632F">
                              <w:rPr>
                                <w:rStyle w:val="Strong"/>
                                <w:b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0;margin-top:-.15pt;width:245.4pt;height:4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" fillcolor="#c6d9f1 [671]" strokeweight=".5pt">
                <v:textbox>
                  <w:txbxContent>
                    <w:p w:rsidR="004B632F" w:rsidRPr="005C459F" w:rsidRDefault="00825AB2" w:rsidP="003869D0">
                      <w:pPr>
                        <w:pStyle w:val="AERfactsheetbodytext"/>
                        <w:spacing w:before="120"/>
                        <w:jc w:val="center"/>
                        <w:rPr>
                          <w:rStyle w:val="Strong"/>
                          <w:b w:val="0"/>
                        </w:rPr>
                      </w:pPr>
                      <w:r>
                        <w:rPr>
                          <w:rStyle w:val="Strong"/>
                          <w:b w:val="0"/>
                        </w:rPr>
                        <w:t>Incentive</w:t>
                      </w:r>
                      <w:r w:rsidR="004B632F" w:rsidRPr="005C459F">
                        <w:rPr>
                          <w:rStyle w:val="Strong"/>
                          <w:b w:val="0"/>
                        </w:rPr>
                        <w:t xml:space="preserve"> </w:t>
                      </w:r>
                      <w:r w:rsidR="003F0C1A">
                        <w:rPr>
                          <w:rStyle w:val="Strong"/>
                          <w:b w:val="0"/>
                        </w:rPr>
                        <w:t>payment</w:t>
                      </w:r>
                      <w:r>
                        <w:rPr>
                          <w:rStyle w:val="Strong"/>
                          <w:b w:val="0"/>
                        </w:rPr>
                        <w:t>s</w:t>
                      </w:r>
                      <w:r w:rsidR="003F0C1A">
                        <w:rPr>
                          <w:rStyle w:val="Strong"/>
                          <w:b w:val="0"/>
                        </w:rPr>
                        <w:t xml:space="preserve"> will be</w:t>
                      </w:r>
                      <w:r w:rsidR="004B632F">
                        <w:rPr>
                          <w:rStyle w:val="Strong"/>
                          <w:b w:val="0"/>
                        </w:rPr>
                        <w:t xml:space="preserve"> </w:t>
                      </w:r>
                      <w:r w:rsidR="003869D0">
                        <w:rPr>
                          <w:rStyle w:val="Strong"/>
                          <w:b w:val="0"/>
                        </w:rPr>
                        <w:t xml:space="preserve">up to </w:t>
                      </w:r>
                      <w:r w:rsidR="004B632F">
                        <w:rPr>
                          <w:rStyle w:val="Strong"/>
                          <w:b w:val="0"/>
                        </w:rPr>
                        <w:t xml:space="preserve">50% of </w:t>
                      </w:r>
                      <w:r w:rsidR="003F0C1A">
                        <w:rPr>
                          <w:rStyle w:val="Strong"/>
                          <w:b w:val="0"/>
                        </w:rPr>
                        <w:t xml:space="preserve">the costs of </w:t>
                      </w:r>
                      <w:r w:rsidR="004B632F">
                        <w:rPr>
                          <w:rStyle w:val="Strong"/>
                          <w:b w:val="0"/>
                        </w:rPr>
                        <w:t xml:space="preserve">demand management </w:t>
                      </w:r>
                      <w:r w:rsidR="003869D0">
                        <w:rPr>
                          <w:rStyle w:val="Strong"/>
                          <w:b w:val="0"/>
                        </w:rPr>
                        <w:t>projects assessed as efficient</w:t>
                      </w:r>
                      <w:r w:rsidR="004B632F">
                        <w:rPr>
                          <w:rStyle w:val="Strong"/>
                          <w:b w:val="0"/>
                        </w:rPr>
                        <w:t>.</w:t>
                      </w:r>
                    </w:p>
                  </w:txbxContent>
                </v:textbox>
              </v:shape>
            </w:pict>
          </mc:Fallback>
        </mc:AlternateContent>
      </w:r>
    </w:p>
    <w:p w:rsidR="003869D0" w:rsidRDefault="003869D0" w:rsidP="003869D0">
      <w:pPr>
        <w:pStyle w:val="AERfactsheetbodytext"/>
      </w:pPr>
    </w:p>
    <w:p w:rsidR="003869D0" w:rsidRDefault="003869D0" w:rsidP="003869D0">
      <w:pPr>
        <w:pStyle w:val="AERfactsheetbodytext"/>
      </w:pPr>
    </w:p>
    <w:p w:rsidR="003869D0" w:rsidRDefault="003869D0" w:rsidP="003869D0">
      <w:pPr>
        <w:pStyle w:val="AERfactsheetbodytext"/>
      </w:pPr>
      <w:r>
        <w:t>To help the incentive scheme deliver long-term savings to consumers, this incentive payment can be no more than the net benefit the project delivers to the electricity market.</w:t>
      </w:r>
    </w:p>
    <w:p w:rsidR="003869D0" w:rsidRDefault="003869D0" w:rsidP="003869D0">
      <w:pPr>
        <w:pStyle w:val="AERfactsheetbodytext"/>
      </w:pPr>
      <w:r>
        <w:t xml:space="preserve">Distribution businesses will estimate this net benefit using </w:t>
      </w:r>
      <w:r w:rsidR="008A0DE9">
        <w:t xml:space="preserve">a cost–benefit analysis akin to that set out under </w:t>
      </w:r>
      <w:r w:rsidR="009555B6">
        <w:t>our</w:t>
      </w:r>
      <w:r w:rsidR="008A0DE9">
        <w:t xml:space="preserve"> regulatory investment test</w:t>
      </w:r>
      <w:r>
        <w:t>.</w:t>
      </w:r>
    </w:p>
    <w:p w:rsidR="003869D0" w:rsidRDefault="003869D0" w:rsidP="003869D0">
      <w:pPr>
        <w:pStyle w:val="AERfactsheetbodytext"/>
      </w:pPr>
      <w:r>
        <w:rPr>
          <w:noProof/>
          <w:lang w:eastAsia="en-AU"/>
        </w:rPr>
        <mc:AlternateContent>
          <mc:Choice Requires="wps">
            <w:drawing>
              <wp:anchor distT="0" distB="0" distL="114300" distR="114300" simplePos="0" relativeHeight="251665408" behindDoc="0" locked="0" layoutInCell="1" allowOverlap="1" wp14:anchorId="55D6B0D1" wp14:editId="284A1566">
                <wp:simplePos x="0" y="0"/>
                <wp:positionH relativeFrom="column">
                  <wp:posOffset>83</wp:posOffset>
                </wp:positionH>
                <wp:positionV relativeFrom="paragraph">
                  <wp:posOffset>-3396</wp:posOffset>
                </wp:positionV>
                <wp:extent cx="3116580" cy="492981"/>
                <wp:effectExtent l="0" t="0" r="26670" b="21590"/>
                <wp:wrapNone/>
                <wp:docPr id="11" name="Text Box 11"/>
                <wp:cNvGraphicFramePr/>
                <a:graphic xmlns:a="http://schemas.openxmlformats.org/drawingml/2006/main">
                  <a:graphicData uri="http://schemas.microsoft.com/office/word/2010/wordprocessingShape">
                    <wps:wsp>
                      <wps:cNvSpPr txBox="1"/>
                      <wps:spPr>
                        <a:xfrm>
                          <a:off x="0" y="0"/>
                          <a:ext cx="3116580" cy="492981"/>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69D0" w:rsidRPr="005C459F" w:rsidRDefault="00825AB2" w:rsidP="003869D0">
                            <w:pPr>
                              <w:pStyle w:val="AERfactsheetbodytext"/>
                              <w:spacing w:before="120"/>
                              <w:jc w:val="center"/>
                              <w:rPr>
                                <w:rStyle w:val="Strong"/>
                                <w:b w:val="0"/>
                              </w:rPr>
                            </w:pPr>
                            <w:r>
                              <w:rPr>
                                <w:rStyle w:val="Strong"/>
                                <w:b w:val="0"/>
                              </w:rPr>
                              <w:t>The</w:t>
                            </w:r>
                            <w:r w:rsidR="003869D0">
                              <w:rPr>
                                <w:rStyle w:val="Strong"/>
                                <w:b w:val="0"/>
                              </w:rPr>
                              <w:t xml:space="preserve"> </w:t>
                            </w:r>
                            <w:r>
                              <w:rPr>
                                <w:rStyle w:val="Strong"/>
                                <w:b w:val="0"/>
                              </w:rPr>
                              <w:t>incentive payment for any project can be no higher than that project’s expected net benefit</w:t>
                            </w:r>
                            <w:r w:rsidR="003869D0">
                              <w:rPr>
                                <w:rStyle w:val="Strong"/>
                                <w:b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8" type="#_x0000_t202" style="position:absolute;margin-left:0;margin-top:-.25pt;width:245.4pt;height:3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" fillcolor="#c6d9f1 [671]" strokeweight=".5pt">
                <v:textbox>
                  <w:txbxContent>
                    <w:p w:rsidR="003869D0" w:rsidRPr="005C459F" w:rsidRDefault="00825AB2" w:rsidP="003869D0">
                      <w:pPr>
                        <w:pStyle w:val="AERfactsheetbodytext"/>
                        <w:spacing w:before="120"/>
                        <w:jc w:val="center"/>
                        <w:rPr>
                          <w:rStyle w:val="Strong"/>
                          <w:b w:val="0"/>
                        </w:rPr>
                      </w:pPr>
                      <w:r>
                        <w:rPr>
                          <w:rStyle w:val="Strong"/>
                          <w:b w:val="0"/>
                        </w:rPr>
                        <w:t>The</w:t>
                      </w:r>
                      <w:r w:rsidR="003869D0">
                        <w:rPr>
                          <w:rStyle w:val="Strong"/>
                          <w:b w:val="0"/>
                        </w:rPr>
                        <w:t xml:space="preserve"> </w:t>
                      </w:r>
                      <w:r>
                        <w:rPr>
                          <w:rStyle w:val="Strong"/>
                          <w:b w:val="0"/>
                        </w:rPr>
                        <w:t>incentive payment for any project can be no higher than that project’s expected net benefit</w:t>
                      </w:r>
                      <w:r w:rsidR="003869D0">
                        <w:rPr>
                          <w:rStyle w:val="Strong"/>
                          <w:b w:val="0"/>
                        </w:rPr>
                        <w:t>.</w:t>
                      </w:r>
                    </w:p>
                  </w:txbxContent>
                </v:textbox>
              </v:shape>
            </w:pict>
          </mc:Fallback>
        </mc:AlternateContent>
      </w:r>
    </w:p>
    <w:p w:rsidR="003869D0" w:rsidRDefault="003869D0" w:rsidP="003869D0">
      <w:pPr>
        <w:pStyle w:val="AERfactsheetbodytext"/>
      </w:pPr>
    </w:p>
    <w:p w:rsidR="008A0DE9" w:rsidRPr="008A0DE9" w:rsidRDefault="008A0DE9" w:rsidP="00731435">
      <w:pPr>
        <w:pStyle w:val="AERfactsheetbodytext"/>
        <w:rPr>
          <w:sz w:val="16"/>
          <w:szCs w:val="16"/>
        </w:rPr>
      </w:pPr>
    </w:p>
    <w:p w:rsidR="00731435" w:rsidRDefault="00731435" w:rsidP="00731435">
      <w:pPr>
        <w:pStyle w:val="AERfactsheetbodytext"/>
      </w:pPr>
      <w:r>
        <w:t xml:space="preserve">In addition to these elements, our proposed incentive scheme also includes an </w:t>
      </w:r>
      <w:r w:rsidR="006C02A5">
        <w:t xml:space="preserve">overall incentive </w:t>
      </w:r>
      <w:r w:rsidR="00556C53">
        <w:t>constraint</w:t>
      </w:r>
      <w:r>
        <w:t>. This</w:t>
      </w:r>
      <w:r w:rsidR="006C02A5">
        <w:t xml:space="preserve"> </w:t>
      </w:r>
      <w:r w:rsidR="00D32B3E">
        <w:t xml:space="preserve">limits </w:t>
      </w:r>
      <w:r w:rsidR="006C02A5">
        <w:t xml:space="preserve">the overall </w:t>
      </w:r>
      <w:r w:rsidR="00B901C7">
        <w:t xml:space="preserve">price </w:t>
      </w:r>
      <w:r w:rsidR="006C02A5">
        <w:t xml:space="preserve">impact </w:t>
      </w:r>
      <w:r w:rsidR="00651BE4">
        <w:t xml:space="preserve">of the incentive </w:t>
      </w:r>
      <w:r w:rsidR="00B901C7">
        <w:t xml:space="preserve">by capping the </w:t>
      </w:r>
      <w:r w:rsidR="00651BE4">
        <w:t xml:space="preserve">maximum incentive </w:t>
      </w:r>
      <w:r w:rsidR="00B901C7">
        <w:t>a distribut</w:t>
      </w:r>
      <w:r w:rsidR="00651BE4">
        <w:t>ion business</w:t>
      </w:r>
      <w:r w:rsidR="00B901C7">
        <w:t xml:space="preserve"> can receive in any one year. </w:t>
      </w:r>
    </w:p>
    <w:p w:rsidR="008A0DE9" w:rsidRDefault="00731435" w:rsidP="00731435">
      <w:pPr>
        <w:pStyle w:val="AERfactsheetbodytext"/>
      </w:pPr>
      <w:r>
        <w:t>This reduces the potential for the incentive scheme to cost customers more than anticipated, while still providing a healthy incentive for distribution businesses to undertake efficient demand management projects.</w:t>
      </w:r>
    </w:p>
    <w:p w:rsidR="00657DA1" w:rsidRDefault="008A0DE9" w:rsidP="00731435">
      <w:pPr>
        <w:pStyle w:val="AERfactsheetbodytext"/>
      </w:pPr>
      <w:r>
        <w:rPr>
          <w:noProof/>
          <w:lang w:eastAsia="en-AU"/>
        </w:rPr>
        <mc:AlternateContent>
          <mc:Choice Requires="wps">
            <w:drawing>
              <wp:anchor distT="0" distB="0" distL="114300" distR="114300" simplePos="0" relativeHeight="251663360" behindDoc="0" locked="0" layoutInCell="1" allowOverlap="1" wp14:anchorId="58FA599A" wp14:editId="174C567E">
                <wp:simplePos x="0" y="0"/>
                <wp:positionH relativeFrom="column">
                  <wp:posOffset>-83489</wp:posOffset>
                </wp:positionH>
                <wp:positionV relativeFrom="paragraph">
                  <wp:posOffset>26698</wp:posOffset>
                </wp:positionV>
                <wp:extent cx="3116580" cy="619125"/>
                <wp:effectExtent l="0" t="0" r="26670" b="28575"/>
                <wp:wrapNone/>
                <wp:docPr id="12" name="Text Box 12"/>
                <wp:cNvGraphicFramePr/>
                <a:graphic xmlns:a="http://schemas.openxmlformats.org/drawingml/2006/main">
                  <a:graphicData uri="http://schemas.microsoft.com/office/word/2010/wordprocessingShape">
                    <wps:wsp>
                      <wps:cNvSpPr txBox="1"/>
                      <wps:spPr>
                        <a:xfrm>
                          <a:off x="0" y="0"/>
                          <a:ext cx="3116580" cy="6191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32F" w:rsidRPr="005C459F" w:rsidRDefault="004B632F" w:rsidP="00825AB2">
                            <w:pPr>
                              <w:pStyle w:val="AERfactsheetbodytext"/>
                              <w:spacing w:before="120"/>
                              <w:jc w:val="center"/>
                              <w:rPr>
                                <w:rStyle w:val="Strong"/>
                                <w:b w:val="0"/>
                              </w:rPr>
                            </w:pPr>
                            <w:r>
                              <w:rPr>
                                <w:rStyle w:val="Strong"/>
                                <w:b w:val="0"/>
                              </w:rPr>
                              <w:t xml:space="preserve">The total incentive </w:t>
                            </w:r>
                            <w:r w:rsidR="00731435">
                              <w:rPr>
                                <w:rStyle w:val="Strong"/>
                                <w:b w:val="0"/>
                              </w:rPr>
                              <w:t>in any</w:t>
                            </w:r>
                            <w:r>
                              <w:rPr>
                                <w:rStyle w:val="Strong"/>
                                <w:b w:val="0"/>
                              </w:rPr>
                              <w:t xml:space="preserve"> year cannot exceed 1% of the </w:t>
                            </w:r>
                            <w:r w:rsidR="00651BE4">
                              <w:rPr>
                                <w:rStyle w:val="Strong"/>
                                <w:b w:val="0"/>
                              </w:rPr>
                              <w:t xml:space="preserve">distribution business’ </w:t>
                            </w:r>
                            <w:r>
                              <w:rPr>
                                <w:rStyle w:val="Strong"/>
                                <w:b w:val="0"/>
                              </w:rPr>
                              <w:t>maximum allowed revenue that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9" type="#_x0000_t202" style="position:absolute;margin-left:-6.55pt;margin-top:2.1pt;width:245.4pt;height: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" fillcolor="#c6d9f1 [671]" strokeweight=".5pt">
                <v:textbox>
                  <w:txbxContent>
                    <w:p w:rsidR="004B632F" w:rsidRPr="005C459F" w:rsidRDefault="004B632F" w:rsidP="00825AB2">
                      <w:pPr>
                        <w:pStyle w:val="AERfactsheetbodytext"/>
                        <w:spacing w:before="120"/>
                        <w:jc w:val="center"/>
                        <w:rPr>
                          <w:rStyle w:val="Strong"/>
                          <w:b w:val="0"/>
                        </w:rPr>
                      </w:pPr>
                      <w:r>
                        <w:rPr>
                          <w:rStyle w:val="Strong"/>
                          <w:b w:val="0"/>
                        </w:rPr>
                        <w:t xml:space="preserve">The total incentive </w:t>
                      </w:r>
                      <w:r w:rsidR="00731435">
                        <w:rPr>
                          <w:rStyle w:val="Strong"/>
                          <w:b w:val="0"/>
                        </w:rPr>
                        <w:t>in any</w:t>
                      </w:r>
                      <w:r>
                        <w:rPr>
                          <w:rStyle w:val="Strong"/>
                          <w:b w:val="0"/>
                        </w:rPr>
                        <w:t xml:space="preserve"> year cannot exceed 1% of the </w:t>
                      </w:r>
                      <w:r w:rsidR="00651BE4">
                        <w:rPr>
                          <w:rStyle w:val="Strong"/>
                          <w:b w:val="0"/>
                        </w:rPr>
                        <w:t xml:space="preserve">distribution business’ </w:t>
                      </w:r>
                      <w:r>
                        <w:rPr>
                          <w:rStyle w:val="Strong"/>
                          <w:b w:val="0"/>
                        </w:rPr>
                        <w:t>maximum allowed revenue that year.</w:t>
                      </w:r>
                    </w:p>
                  </w:txbxContent>
                </v:textbox>
              </v:shape>
            </w:pict>
          </mc:Fallback>
        </mc:AlternateContent>
      </w:r>
    </w:p>
    <w:p w:rsidR="007C7CA7" w:rsidRDefault="007C7CA7" w:rsidP="006C02A5">
      <w:pPr>
        <w:pStyle w:val="AERfactsheetbodytext"/>
      </w:pPr>
    </w:p>
    <w:p w:rsidR="007B61C5" w:rsidRDefault="007B61C5" w:rsidP="006C02A5">
      <w:pPr>
        <w:pStyle w:val="AERfactsheetbodytext"/>
      </w:pPr>
    </w:p>
    <w:p w:rsidR="00556C53" w:rsidRDefault="006B3882" w:rsidP="00556C53">
      <w:pPr>
        <w:pStyle w:val="AERFactsheetHeading1"/>
      </w:pPr>
      <w:r>
        <w:t>How will we see the results of</w:t>
      </w:r>
      <w:r w:rsidR="00306849">
        <w:t xml:space="preserve"> the incentive </w:t>
      </w:r>
      <w:r>
        <w:t>scheme</w:t>
      </w:r>
      <w:r w:rsidR="00306849">
        <w:t xml:space="preserve">? </w:t>
      </w:r>
    </w:p>
    <w:p w:rsidR="00306849" w:rsidRDefault="001E1054" w:rsidP="00556C53">
      <w:pPr>
        <w:pStyle w:val="AERfactsheetbodytext"/>
      </w:pPr>
      <w:r>
        <w:t>As part of our proposed incentive scheme, distribution</w:t>
      </w:r>
      <w:r w:rsidR="00306849">
        <w:t xml:space="preserve"> businesses will provide </w:t>
      </w:r>
      <w:r w:rsidR="00306849" w:rsidRPr="00306849">
        <w:t xml:space="preserve">information </w:t>
      </w:r>
      <w:r w:rsidR="00306849">
        <w:t xml:space="preserve">to help us understand how they are using demand management to deliver value to consumers. </w:t>
      </w:r>
      <w:r>
        <w:t>They will tell us what</w:t>
      </w:r>
      <w:r w:rsidR="00306849">
        <w:t xml:space="preserve"> demand management projects they are undertaking or </w:t>
      </w:r>
      <w:r>
        <w:t>have contracts for</w:t>
      </w:r>
      <w:r w:rsidR="00306849">
        <w:t>, along with what outcomes these are achieving</w:t>
      </w:r>
      <w:r w:rsidR="00306849" w:rsidRPr="00306849">
        <w:t>.</w:t>
      </w:r>
    </w:p>
    <w:p w:rsidR="001E1054" w:rsidRDefault="001E1054" w:rsidP="00556C53">
      <w:pPr>
        <w:pStyle w:val="AERfactsheetbodytext"/>
      </w:pPr>
      <w:r>
        <w:lastRenderedPageBreak/>
        <w:t xml:space="preserve">We will report this information, which will provide transparency on the effectiveness of the incentive scheme. This will help us understand how we might </w:t>
      </w:r>
      <w:r w:rsidR="00A76480">
        <w:t>improve our incentive</w:t>
      </w:r>
      <w:r>
        <w:t xml:space="preserve"> scheme over time. </w:t>
      </w:r>
    </w:p>
    <w:p w:rsidR="00556C53" w:rsidRDefault="001E1054" w:rsidP="00556C53">
      <w:pPr>
        <w:pStyle w:val="AERfactsheetbodytext"/>
      </w:pPr>
      <w:r>
        <w:t xml:space="preserve">We have balanced the </w:t>
      </w:r>
      <w:r w:rsidR="00A76480">
        <w:t>need for</w:t>
      </w:r>
      <w:r>
        <w:t xml:space="preserve"> reporting against the </w:t>
      </w:r>
      <w:r w:rsidR="00A76480">
        <w:t xml:space="preserve">importance of </w:t>
      </w:r>
      <w:r>
        <w:t xml:space="preserve">keeping </w:t>
      </w:r>
      <w:r w:rsidR="00A76480">
        <w:t>administration</w:t>
      </w:r>
      <w:r>
        <w:t xml:space="preserve"> costs low, where</w:t>
      </w:r>
      <w:r w:rsidR="00A76480">
        <w:t>ver</w:t>
      </w:r>
      <w:r>
        <w:t xml:space="preserve"> possible. </w:t>
      </w:r>
      <w:r w:rsidR="00A76480">
        <w:t>In avoiding</w:t>
      </w:r>
      <w:r w:rsidR="00651BE4">
        <w:t xml:space="preserve"> unnecessary</w:t>
      </w:r>
      <w:r w:rsidR="00556C53">
        <w:t xml:space="preserve"> </w:t>
      </w:r>
      <w:r w:rsidR="00A76480">
        <w:t xml:space="preserve">administration </w:t>
      </w:r>
      <w:r w:rsidR="00556C53">
        <w:t>costs</w:t>
      </w:r>
      <w:r w:rsidR="00A76480">
        <w:t>, we avoid discouraging</w:t>
      </w:r>
      <w:r w:rsidR="00651BE4">
        <w:t xml:space="preserve"> </w:t>
      </w:r>
      <w:r w:rsidR="00266A25">
        <w:t>distribut</w:t>
      </w:r>
      <w:r w:rsidR="00651BE4">
        <w:t>ion businesses</w:t>
      </w:r>
      <w:r w:rsidR="00266A25">
        <w:t xml:space="preserve"> </w:t>
      </w:r>
      <w:r w:rsidR="00556C53">
        <w:t xml:space="preserve">from </w:t>
      </w:r>
      <w:r w:rsidR="00651BE4">
        <w:t>responding to the incentive scheme</w:t>
      </w:r>
      <w:r w:rsidR="00556C53">
        <w:t xml:space="preserve">. </w:t>
      </w:r>
    </w:p>
    <w:p w:rsidR="00800EE0" w:rsidRDefault="009555B6" w:rsidP="00DA7C02">
      <w:pPr>
        <w:pStyle w:val="AERFactsheetHeading1"/>
      </w:pPr>
      <w:r>
        <w:t xml:space="preserve">How are we improving our </w:t>
      </w:r>
      <w:r w:rsidR="00C800BD">
        <w:t>innovation allowance</w:t>
      </w:r>
      <w:r>
        <w:t>?</w:t>
      </w:r>
    </w:p>
    <w:p w:rsidR="00E44B7E" w:rsidRDefault="009555B6" w:rsidP="00DA7C02">
      <w:pPr>
        <w:pStyle w:val="AERfactsheetbodytext"/>
      </w:pPr>
      <w:r>
        <w:t xml:space="preserve">Our </w:t>
      </w:r>
      <w:r w:rsidR="00C800BD">
        <w:t>incentive s</w:t>
      </w:r>
      <w:r w:rsidR="00DA7C02" w:rsidRPr="00DA7C02">
        <w:t xml:space="preserve">cheme will operate alongside a </w:t>
      </w:r>
      <w:r w:rsidR="00C800BD">
        <w:t>d</w:t>
      </w:r>
      <w:r w:rsidR="006724CD">
        <w:t xml:space="preserve">emand </w:t>
      </w:r>
      <w:r w:rsidR="00C800BD">
        <w:t>m</w:t>
      </w:r>
      <w:r w:rsidR="006724CD">
        <w:t xml:space="preserve">anagement </w:t>
      </w:r>
      <w:r w:rsidR="00C800BD">
        <w:t>i</w:t>
      </w:r>
      <w:r w:rsidR="006724CD">
        <w:t xml:space="preserve">nnovation </w:t>
      </w:r>
      <w:r w:rsidR="00657DA1">
        <w:t>allowance</w:t>
      </w:r>
      <w:r w:rsidR="00C800BD">
        <w:t xml:space="preserve"> </w:t>
      </w:r>
      <w:r w:rsidR="00657DA1">
        <w:t xml:space="preserve">mechanism </w:t>
      </w:r>
      <w:r w:rsidR="00C800BD">
        <w:t xml:space="preserve">that we are developing </w:t>
      </w:r>
      <w:r w:rsidR="00DA7C02" w:rsidRPr="00DA7C02">
        <w:t xml:space="preserve">in tandem. </w:t>
      </w:r>
      <w:r w:rsidR="00F82997">
        <w:t>Th</w:t>
      </w:r>
      <w:r w:rsidR="00C800BD">
        <w:t xml:space="preserve">is </w:t>
      </w:r>
      <w:r w:rsidR="00657DA1">
        <w:t>will be</w:t>
      </w:r>
      <w:r w:rsidR="00F82997">
        <w:t xml:space="preserve"> an update to </w:t>
      </w:r>
      <w:r w:rsidR="00C800BD">
        <w:t xml:space="preserve">our </w:t>
      </w:r>
      <w:r w:rsidR="00F82997">
        <w:t>current Demand Management Innovation Allowance</w:t>
      </w:r>
      <w:r w:rsidR="00C800BD">
        <w:t xml:space="preserve"> (‘the DMIA’</w:t>
      </w:r>
      <w:r w:rsidR="00657DA1">
        <w:t>)</w:t>
      </w:r>
      <w:r w:rsidR="00F82997">
        <w:t xml:space="preserve">. </w:t>
      </w:r>
    </w:p>
    <w:p w:rsidR="00657DA1" w:rsidRDefault="00657DA1" w:rsidP="00DA7C02">
      <w:pPr>
        <w:pStyle w:val="AERfactsheetbodytext"/>
      </w:pPr>
      <w:r>
        <w:t>Under our revised innovation allowance, we</w:t>
      </w:r>
      <w:r w:rsidRPr="00657DA1">
        <w:t xml:space="preserve"> </w:t>
      </w:r>
      <w:r>
        <w:t>propose to:</w:t>
      </w:r>
    </w:p>
    <w:p w:rsidR="00657DA1" w:rsidRDefault="00657DA1" w:rsidP="00657DA1">
      <w:pPr>
        <w:pStyle w:val="AERfactsheetbulletlist"/>
      </w:pPr>
      <w:r>
        <w:t>Make some more funding available.</w:t>
      </w:r>
    </w:p>
    <w:p w:rsidR="00657DA1" w:rsidRDefault="00657DA1" w:rsidP="00657DA1">
      <w:pPr>
        <w:pStyle w:val="AERfactsheetbulletlist"/>
      </w:pPr>
      <w:r>
        <w:t>Tighten the criteria for project eligibility to encourage more innovative projects, whilst maintaining an option for indicative project pre-approval to maintain certainty.</w:t>
      </w:r>
    </w:p>
    <w:p w:rsidR="00657DA1" w:rsidRDefault="00657DA1" w:rsidP="00657DA1">
      <w:pPr>
        <w:pStyle w:val="AERfactsheetbulletlist"/>
      </w:pPr>
      <w:r>
        <w:t>Clarify project reporting requirements to place a greater emphasis on sharing</w:t>
      </w:r>
      <w:r w:rsidRPr="00657DA1">
        <w:t xml:space="preserve"> project leanings across the industry and with consumers.</w:t>
      </w:r>
    </w:p>
    <w:p w:rsidR="000E423F" w:rsidRDefault="009555B6" w:rsidP="0098408F">
      <w:pPr>
        <w:pStyle w:val="AERFactsheetHeading1"/>
      </w:pPr>
      <w:r>
        <w:t>W</w:t>
      </w:r>
      <w:r w:rsidR="00D307E0">
        <w:t>hat can you do to help?</w:t>
      </w:r>
    </w:p>
    <w:p w:rsidR="00D307E0" w:rsidRPr="00F74B37" w:rsidRDefault="00D307E0" w:rsidP="00D307E0">
      <w:pPr>
        <w:rPr>
          <w:rFonts w:ascii="MS Reference Sans Serif" w:hAnsi="MS Reference Sans Serif" w:cs="Shruti"/>
          <w:spacing w:val="-10"/>
          <w:sz w:val="18"/>
          <w:szCs w:val="22"/>
        </w:rPr>
      </w:pPr>
      <w:r>
        <w:rPr>
          <w:rFonts w:ascii="MS Reference Sans Serif" w:hAnsi="MS Reference Sans Serif" w:cs="Shruti"/>
          <w:spacing w:val="-10"/>
          <w:sz w:val="18"/>
          <w:szCs w:val="22"/>
        </w:rPr>
        <w:t xml:space="preserve">We welcome stakeholder input on </w:t>
      </w:r>
      <w:r w:rsidR="009555B6">
        <w:rPr>
          <w:rFonts w:ascii="MS Reference Sans Serif" w:hAnsi="MS Reference Sans Serif" w:cs="Shruti"/>
          <w:spacing w:val="-10"/>
          <w:sz w:val="18"/>
          <w:szCs w:val="22"/>
        </w:rPr>
        <w:t xml:space="preserve">our draft incentive scheme </w:t>
      </w:r>
      <w:r>
        <w:rPr>
          <w:rFonts w:ascii="MS Reference Sans Serif" w:hAnsi="MS Reference Sans Serif" w:cs="Shruti"/>
          <w:spacing w:val="-10"/>
          <w:sz w:val="18"/>
          <w:szCs w:val="22"/>
        </w:rPr>
        <w:t xml:space="preserve">and innovation allowance. Concurrently, we are seeking input on our </w:t>
      </w:r>
      <w:r w:rsidRPr="00F74B37">
        <w:rPr>
          <w:rFonts w:ascii="MS Reference Sans Serif" w:hAnsi="MS Reference Sans Serif" w:cs="Shruti"/>
          <w:spacing w:val="-10"/>
          <w:sz w:val="18"/>
          <w:szCs w:val="22"/>
        </w:rPr>
        <w:t>proposed rule change to the Aust</w:t>
      </w:r>
      <w:r>
        <w:rPr>
          <w:rFonts w:ascii="MS Reference Sans Serif" w:hAnsi="MS Reference Sans Serif" w:cs="Shruti"/>
          <w:spacing w:val="-10"/>
          <w:sz w:val="18"/>
          <w:szCs w:val="22"/>
        </w:rPr>
        <w:t>ralian Energy Market Commission. The rule change we would like to propose will allow us to apply our incentive scheme to all distribution businesses earlier. This would allow our incentive scheme to have a positive impact on consumers sooner.</w:t>
      </w:r>
    </w:p>
    <w:p w:rsidR="00D307E0" w:rsidRDefault="00D307E0" w:rsidP="00177DA6">
      <w:pPr>
        <w:rPr>
          <w:rFonts w:ascii="MS Reference Sans Serif" w:hAnsi="MS Reference Sans Serif" w:cs="Shruti"/>
          <w:spacing w:val="-10"/>
          <w:sz w:val="18"/>
          <w:szCs w:val="22"/>
        </w:rPr>
      </w:pPr>
    </w:p>
    <w:p w:rsidR="00177DA6" w:rsidRPr="00F74B37" w:rsidRDefault="00D307E0" w:rsidP="00177DA6">
      <w:pPr>
        <w:rPr>
          <w:rFonts w:ascii="MS Reference Sans Serif" w:hAnsi="MS Reference Sans Serif" w:cs="Shruti"/>
          <w:spacing w:val="-10"/>
          <w:sz w:val="18"/>
          <w:szCs w:val="22"/>
        </w:rPr>
      </w:pPr>
      <w:r>
        <w:rPr>
          <w:rFonts w:ascii="MS Reference Sans Serif" w:hAnsi="MS Reference Sans Serif" w:cs="Shruti"/>
          <w:spacing w:val="-10"/>
          <w:sz w:val="18"/>
          <w:szCs w:val="22"/>
        </w:rPr>
        <w:t xml:space="preserve">We are accepting written submissions </w:t>
      </w:r>
      <w:r w:rsidR="00177DA6" w:rsidRPr="00F74B37">
        <w:rPr>
          <w:rFonts w:ascii="MS Reference Sans Serif" w:hAnsi="MS Reference Sans Serif" w:cs="Shruti"/>
          <w:spacing w:val="-10"/>
          <w:sz w:val="18"/>
          <w:szCs w:val="22"/>
        </w:rPr>
        <w:t xml:space="preserve">by the close of business </w:t>
      </w:r>
      <w:r w:rsidR="00862B39" w:rsidRPr="00D307E0">
        <w:rPr>
          <w:rFonts w:ascii="MS Reference Sans Serif" w:hAnsi="MS Reference Sans Serif" w:cs="Shruti"/>
          <w:b/>
          <w:spacing w:val="-10"/>
          <w:sz w:val="18"/>
          <w:szCs w:val="22"/>
        </w:rPr>
        <w:t>12 October 2017</w:t>
      </w:r>
      <w:r w:rsidR="00862B39">
        <w:rPr>
          <w:rFonts w:ascii="MS Reference Sans Serif" w:hAnsi="MS Reference Sans Serif" w:cs="Shruti"/>
          <w:spacing w:val="-10"/>
          <w:sz w:val="18"/>
          <w:szCs w:val="22"/>
        </w:rPr>
        <w:t>.</w:t>
      </w:r>
      <w:r w:rsidR="00177DA6" w:rsidRPr="00F74B37">
        <w:rPr>
          <w:rFonts w:ascii="MS Reference Sans Serif" w:hAnsi="MS Reference Sans Serif" w:cs="Shruti"/>
          <w:spacing w:val="-10"/>
          <w:sz w:val="18"/>
          <w:szCs w:val="22"/>
        </w:rPr>
        <w:t xml:space="preserve"> </w:t>
      </w:r>
      <w:r>
        <w:rPr>
          <w:rFonts w:ascii="MS Reference Sans Serif" w:hAnsi="MS Reference Sans Serif" w:cs="Shruti"/>
          <w:spacing w:val="-10"/>
          <w:sz w:val="18"/>
          <w:szCs w:val="22"/>
        </w:rPr>
        <w:t>To promote transparent dialogue, we will publish the submissions we receive on our website, unless they are marked as confidential.</w:t>
      </w:r>
    </w:p>
    <w:p w:rsidR="00177DA6" w:rsidRPr="00F74B37" w:rsidRDefault="00177DA6" w:rsidP="00177DA6">
      <w:pPr>
        <w:rPr>
          <w:rFonts w:ascii="MS Reference Sans Serif" w:hAnsi="MS Reference Sans Serif" w:cs="Shruti"/>
          <w:spacing w:val="-10"/>
          <w:sz w:val="18"/>
          <w:szCs w:val="22"/>
        </w:rPr>
      </w:pPr>
    </w:p>
    <w:p w:rsidR="00177DA6" w:rsidRPr="00F74B37" w:rsidRDefault="00177DA6" w:rsidP="00177DA6">
      <w:pPr>
        <w:rPr>
          <w:rFonts w:ascii="MS Reference Sans Serif" w:hAnsi="MS Reference Sans Serif" w:cs="Shruti"/>
          <w:spacing w:val="-10"/>
          <w:sz w:val="18"/>
          <w:szCs w:val="22"/>
        </w:rPr>
      </w:pPr>
      <w:r w:rsidRPr="00F74B37">
        <w:rPr>
          <w:rFonts w:ascii="MS Reference Sans Serif" w:hAnsi="MS Reference Sans Serif" w:cs="Shruti"/>
          <w:spacing w:val="-10"/>
          <w:sz w:val="18"/>
          <w:szCs w:val="22"/>
        </w:rPr>
        <w:t xml:space="preserve">You can </w:t>
      </w:r>
      <w:r w:rsidR="00862B39">
        <w:rPr>
          <w:rFonts w:ascii="MS Reference Sans Serif" w:hAnsi="MS Reference Sans Serif" w:cs="Shruti"/>
          <w:spacing w:val="-10"/>
          <w:sz w:val="18"/>
          <w:szCs w:val="22"/>
        </w:rPr>
        <w:t xml:space="preserve">make a submission on the draft incentive scheme and innovation allowance mechanism </w:t>
      </w:r>
      <w:r w:rsidRPr="00F74B37">
        <w:rPr>
          <w:rFonts w:ascii="MS Reference Sans Serif" w:hAnsi="MS Reference Sans Serif" w:cs="Shruti"/>
          <w:spacing w:val="-10"/>
          <w:sz w:val="18"/>
          <w:szCs w:val="22"/>
        </w:rPr>
        <w:t xml:space="preserve">by </w:t>
      </w:r>
      <w:r w:rsidR="00B040A5" w:rsidRPr="00F74B37">
        <w:rPr>
          <w:rFonts w:ascii="MS Reference Sans Serif" w:hAnsi="MS Reference Sans Serif" w:cs="Shruti"/>
          <w:spacing w:val="-10"/>
          <w:sz w:val="18"/>
          <w:szCs w:val="22"/>
        </w:rPr>
        <w:t>email</w:t>
      </w:r>
      <w:r w:rsidRPr="00F74B37">
        <w:rPr>
          <w:rFonts w:ascii="MS Reference Sans Serif" w:hAnsi="MS Reference Sans Serif" w:cs="Shruti"/>
          <w:spacing w:val="-10"/>
          <w:sz w:val="18"/>
          <w:szCs w:val="22"/>
        </w:rPr>
        <w:t xml:space="preserve"> </w:t>
      </w:r>
      <w:hyperlink r:id="rId16" w:history="1">
        <w:r w:rsidRPr="00E4386E">
          <w:rPr>
            <w:rStyle w:val="Hyperlink"/>
            <w:rFonts w:ascii="MS Reference Sans Serif" w:hAnsi="MS Reference Sans Serif"/>
            <w:sz w:val="18"/>
          </w:rPr>
          <w:t>dm@aer.gov.au</w:t>
        </w:r>
      </w:hyperlink>
      <w:r w:rsidRPr="00E4386E">
        <w:rPr>
          <w:sz w:val="18"/>
        </w:rPr>
        <w:t xml:space="preserve"> </w:t>
      </w:r>
      <w:r w:rsidR="00B040A5" w:rsidRPr="00F74B37">
        <w:rPr>
          <w:rFonts w:ascii="MS Reference Sans Serif" w:hAnsi="MS Reference Sans Serif" w:cs="Shruti"/>
          <w:spacing w:val="-10"/>
          <w:sz w:val="18"/>
          <w:szCs w:val="22"/>
        </w:rPr>
        <w:t>or mail</w:t>
      </w:r>
      <w:r w:rsidRPr="00F74B37">
        <w:rPr>
          <w:rFonts w:ascii="MS Reference Sans Serif" w:hAnsi="MS Reference Sans Serif" w:cs="Shruti"/>
          <w:spacing w:val="-10"/>
          <w:sz w:val="18"/>
          <w:szCs w:val="22"/>
        </w:rPr>
        <w:t xml:space="preserve"> to: </w:t>
      </w:r>
    </w:p>
    <w:p w:rsidR="00177DA6" w:rsidRPr="00F74B37" w:rsidRDefault="00177DA6" w:rsidP="00862B39">
      <w:pPr>
        <w:spacing w:before="240"/>
        <w:rPr>
          <w:rFonts w:ascii="MS Reference Sans Serif" w:hAnsi="MS Reference Sans Serif" w:cs="Shruti"/>
          <w:spacing w:val="-10"/>
          <w:sz w:val="18"/>
          <w:szCs w:val="22"/>
        </w:rPr>
      </w:pPr>
      <w:r w:rsidRPr="00F74B37">
        <w:rPr>
          <w:rFonts w:ascii="MS Reference Sans Serif" w:hAnsi="MS Reference Sans Serif" w:cs="Shruti"/>
          <w:spacing w:val="-10"/>
          <w:sz w:val="18"/>
          <w:szCs w:val="22"/>
        </w:rPr>
        <w:t>Mr Warwick Anderson</w:t>
      </w:r>
    </w:p>
    <w:p w:rsidR="00177DA6" w:rsidRPr="00F74B37" w:rsidRDefault="00177DA6" w:rsidP="00177DA6">
      <w:pPr>
        <w:rPr>
          <w:rFonts w:ascii="MS Reference Sans Serif" w:hAnsi="MS Reference Sans Serif" w:cs="Shruti"/>
          <w:spacing w:val="-10"/>
          <w:sz w:val="18"/>
          <w:szCs w:val="22"/>
        </w:rPr>
      </w:pPr>
      <w:r w:rsidRPr="00F74B37">
        <w:rPr>
          <w:rFonts w:ascii="MS Reference Sans Serif" w:hAnsi="MS Reference Sans Serif" w:cs="Shruti"/>
          <w:spacing w:val="-10"/>
          <w:sz w:val="18"/>
          <w:szCs w:val="22"/>
        </w:rPr>
        <w:t>General Manager, Network Finance and Reporting</w:t>
      </w:r>
    </w:p>
    <w:p w:rsidR="00177DA6" w:rsidRPr="00F74B37" w:rsidRDefault="00177DA6" w:rsidP="00177DA6">
      <w:pPr>
        <w:rPr>
          <w:rFonts w:ascii="MS Reference Sans Serif" w:hAnsi="MS Reference Sans Serif" w:cs="Shruti"/>
          <w:spacing w:val="-10"/>
          <w:sz w:val="18"/>
          <w:szCs w:val="22"/>
        </w:rPr>
      </w:pPr>
      <w:r w:rsidRPr="00F74B37">
        <w:rPr>
          <w:rFonts w:ascii="MS Reference Sans Serif" w:hAnsi="MS Reference Sans Serif" w:cs="Shruti"/>
          <w:spacing w:val="-10"/>
          <w:sz w:val="18"/>
          <w:szCs w:val="22"/>
        </w:rPr>
        <w:t>Australian Energy Regulator</w:t>
      </w:r>
    </w:p>
    <w:p w:rsidR="00177DA6" w:rsidRPr="00F74B37" w:rsidRDefault="00177DA6" w:rsidP="00177DA6">
      <w:pPr>
        <w:rPr>
          <w:rFonts w:ascii="MS Reference Sans Serif" w:hAnsi="MS Reference Sans Serif" w:cs="Shruti"/>
          <w:spacing w:val="-10"/>
          <w:sz w:val="18"/>
          <w:szCs w:val="22"/>
        </w:rPr>
      </w:pPr>
      <w:r w:rsidRPr="00F74B37">
        <w:rPr>
          <w:rFonts w:ascii="MS Reference Sans Serif" w:hAnsi="MS Reference Sans Serif" w:cs="Shruti"/>
          <w:spacing w:val="-10"/>
          <w:sz w:val="18"/>
          <w:szCs w:val="22"/>
        </w:rPr>
        <w:t>GPO Box 3131</w:t>
      </w:r>
    </w:p>
    <w:p w:rsidR="00177DA6" w:rsidRDefault="00177DA6" w:rsidP="00177DA6">
      <w:pPr>
        <w:rPr>
          <w:rFonts w:ascii="MS Reference Sans Serif" w:hAnsi="MS Reference Sans Serif" w:cs="Shruti"/>
          <w:spacing w:val="-10"/>
          <w:sz w:val="18"/>
          <w:szCs w:val="22"/>
        </w:rPr>
      </w:pPr>
      <w:proofErr w:type="gramStart"/>
      <w:r w:rsidRPr="00F74B37">
        <w:rPr>
          <w:rFonts w:ascii="MS Reference Sans Serif" w:hAnsi="MS Reference Sans Serif" w:cs="Shruti"/>
          <w:spacing w:val="-10"/>
          <w:sz w:val="18"/>
          <w:szCs w:val="22"/>
        </w:rPr>
        <w:t>Canberra  ACT</w:t>
      </w:r>
      <w:proofErr w:type="gramEnd"/>
      <w:r w:rsidRPr="00F74B37">
        <w:rPr>
          <w:rFonts w:ascii="MS Reference Sans Serif" w:hAnsi="MS Reference Sans Serif" w:cs="Shruti"/>
          <w:spacing w:val="-10"/>
          <w:sz w:val="18"/>
          <w:szCs w:val="22"/>
        </w:rPr>
        <w:t xml:space="preserve">  2601</w:t>
      </w:r>
    </w:p>
    <w:p w:rsidR="001B4D97" w:rsidRPr="00F74B37" w:rsidRDefault="001B4D97" w:rsidP="00177DA6">
      <w:pPr>
        <w:rPr>
          <w:rFonts w:ascii="MS Reference Sans Serif" w:hAnsi="MS Reference Sans Serif" w:cs="Shruti"/>
          <w:spacing w:val="-10"/>
          <w:sz w:val="18"/>
          <w:szCs w:val="22"/>
        </w:rPr>
      </w:pPr>
    </w:p>
    <w:p w:rsidR="00D307E0" w:rsidRPr="00F74B37" w:rsidRDefault="00177DA6">
      <w:pPr>
        <w:rPr>
          <w:rFonts w:ascii="MS Reference Sans Serif" w:hAnsi="MS Reference Sans Serif" w:cs="Shruti"/>
          <w:spacing w:val="-10"/>
          <w:sz w:val="18"/>
          <w:szCs w:val="22"/>
        </w:rPr>
      </w:pPr>
      <w:r w:rsidRPr="00F74B37">
        <w:rPr>
          <w:rFonts w:ascii="MS Reference Sans Serif" w:hAnsi="MS Reference Sans Serif" w:cs="Shruti"/>
          <w:spacing w:val="-10"/>
          <w:sz w:val="18"/>
          <w:szCs w:val="22"/>
        </w:rPr>
        <w:t xml:space="preserve">After we have reviewed submissions we </w:t>
      </w:r>
      <w:r w:rsidR="00E41885" w:rsidRPr="00F74B37">
        <w:rPr>
          <w:rFonts w:ascii="MS Reference Sans Serif" w:hAnsi="MS Reference Sans Serif" w:cs="Shruti"/>
          <w:spacing w:val="-10"/>
          <w:sz w:val="18"/>
          <w:szCs w:val="22"/>
        </w:rPr>
        <w:t xml:space="preserve">will </w:t>
      </w:r>
      <w:r w:rsidRPr="00F74B37">
        <w:rPr>
          <w:rFonts w:ascii="MS Reference Sans Serif" w:hAnsi="MS Reference Sans Serif" w:cs="Shruti"/>
          <w:spacing w:val="-10"/>
          <w:sz w:val="18"/>
          <w:szCs w:val="22"/>
        </w:rPr>
        <w:t xml:space="preserve">hold a stakeholder forum </w:t>
      </w:r>
      <w:r w:rsidR="00D307E0">
        <w:rPr>
          <w:rFonts w:ascii="MS Reference Sans Serif" w:hAnsi="MS Reference Sans Serif" w:cs="Shruti"/>
          <w:spacing w:val="-10"/>
          <w:sz w:val="18"/>
          <w:szCs w:val="22"/>
        </w:rPr>
        <w:t>in November to discuss them. We plan to publish the final</w:t>
      </w:r>
      <w:r w:rsidR="00862B39">
        <w:rPr>
          <w:rFonts w:ascii="MS Reference Sans Serif" w:hAnsi="MS Reference Sans Serif" w:cs="Shruti"/>
          <w:spacing w:val="-10"/>
          <w:sz w:val="18"/>
          <w:szCs w:val="22"/>
        </w:rPr>
        <w:t xml:space="preserve"> incentive scheme and innovation allowance </w:t>
      </w:r>
      <w:r w:rsidRPr="00F74B37">
        <w:rPr>
          <w:rFonts w:ascii="MS Reference Sans Serif" w:hAnsi="MS Reference Sans Serif" w:cs="Shruti"/>
          <w:spacing w:val="-10"/>
          <w:sz w:val="18"/>
          <w:szCs w:val="22"/>
        </w:rPr>
        <w:t>in December 2017.</w:t>
      </w:r>
    </w:p>
    <w:sectPr w:rsidR="00D307E0" w:rsidRPr="00F74B37"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2F" w:rsidRDefault="004B632F" w:rsidP="00A24D2E">
      <w:r>
        <w:separator/>
      </w:r>
    </w:p>
  </w:endnote>
  <w:endnote w:type="continuationSeparator" w:id="0">
    <w:p w:rsidR="004B632F" w:rsidRDefault="004B632F"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74" w:rsidRDefault="00686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379875"/>
      <w:docPartObj>
        <w:docPartGallery w:val="Page Numbers (Bottom of Page)"/>
        <w:docPartUnique/>
      </w:docPartObj>
    </w:sdtPr>
    <w:sdtEndPr>
      <w:rPr>
        <w:noProof/>
      </w:rPr>
    </w:sdtEndPr>
    <w:sdtContent>
      <w:p w:rsidR="000E423F" w:rsidRDefault="000E423F">
        <w:pPr>
          <w:pStyle w:val="Footer"/>
          <w:jc w:val="right"/>
        </w:pPr>
        <w:r>
          <w:fldChar w:fldCharType="begin"/>
        </w:r>
        <w:r>
          <w:instrText xml:space="preserve"> PAGE   \* MERGEFORMAT </w:instrText>
        </w:r>
        <w:r>
          <w:fldChar w:fldCharType="separate"/>
        </w:r>
        <w:r w:rsidR="007D1B41">
          <w:rPr>
            <w:noProof/>
          </w:rPr>
          <w:t>1</w:t>
        </w:r>
        <w:r>
          <w:rPr>
            <w:noProof/>
          </w:rPr>
          <w:fldChar w:fldCharType="end"/>
        </w:r>
      </w:p>
    </w:sdtContent>
  </w:sdt>
  <w:p w:rsidR="004B632F" w:rsidRDefault="004B63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74" w:rsidRDefault="00686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2F" w:rsidRDefault="004B632F" w:rsidP="00A24D2E">
      <w:r>
        <w:separator/>
      </w:r>
    </w:p>
  </w:footnote>
  <w:footnote w:type="continuationSeparator" w:id="0">
    <w:p w:rsidR="004B632F" w:rsidRDefault="004B632F"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74" w:rsidRDefault="00686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74" w:rsidRDefault="00686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74" w:rsidRDefault="00686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276F0F4A"/>
    <w:multiLevelType w:val="hybridMultilevel"/>
    <w:tmpl w:val="8662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1"/>
  </w:num>
  <w:num w:numId="4">
    <w:abstractNumId w:val="1"/>
  </w:num>
  <w:num w:numId="5">
    <w:abstractNumId w:val="9"/>
  </w:num>
  <w:num w:numId="6">
    <w:abstractNumId w:val="5"/>
  </w:num>
  <w:num w:numId="7">
    <w:abstractNumId w:val="4"/>
  </w:num>
  <w:num w:numId="8">
    <w:abstractNumId w:val="6"/>
  </w:num>
  <w:num w:numId="9">
    <w:abstractNumId w:val="0"/>
  </w:num>
  <w:num w:numId="10">
    <w:abstractNumId w:val="1"/>
  </w:num>
  <w:num w:numId="11">
    <w:abstractNumId w:val="1"/>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lwarr\Desktop\Publications - draft scheme\AER - Fact sheet - Draft demand management incentive scheme and innovation allowance mechanism - 28 August 2017.docx"/>
  </w:docVars>
  <w:rsids>
    <w:rsidRoot w:val="00021F03"/>
    <w:rsid w:val="00006230"/>
    <w:rsid w:val="00012AC9"/>
    <w:rsid w:val="000173D5"/>
    <w:rsid w:val="000175A4"/>
    <w:rsid w:val="000204CF"/>
    <w:rsid w:val="00021303"/>
    <w:rsid w:val="00021F03"/>
    <w:rsid w:val="00022077"/>
    <w:rsid w:val="00025FFF"/>
    <w:rsid w:val="00027076"/>
    <w:rsid w:val="00032BA0"/>
    <w:rsid w:val="00035993"/>
    <w:rsid w:val="000437AC"/>
    <w:rsid w:val="000454A0"/>
    <w:rsid w:val="00055816"/>
    <w:rsid w:val="00062C55"/>
    <w:rsid w:val="00064925"/>
    <w:rsid w:val="000742B2"/>
    <w:rsid w:val="0007657B"/>
    <w:rsid w:val="00084C36"/>
    <w:rsid w:val="000864DB"/>
    <w:rsid w:val="00096CFF"/>
    <w:rsid w:val="00097937"/>
    <w:rsid w:val="000B05F7"/>
    <w:rsid w:val="000B3EAD"/>
    <w:rsid w:val="000C025A"/>
    <w:rsid w:val="000C07AD"/>
    <w:rsid w:val="000C2CB2"/>
    <w:rsid w:val="000C712D"/>
    <w:rsid w:val="000C7959"/>
    <w:rsid w:val="000D4877"/>
    <w:rsid w:val="000E2D55"/>
    <w:rsid w:val="000E30AE"/>
    <w:rsid w:val="000E423F"/>
    <w:rsid w:val="000F31B9"/>
    <w:rsid w:val="000F6902"/>
    <w:rsid w:val="0010059A"/>
    <w:rsid w:val="00113361"/>
    <w:rsid w:val="001152E2"/>
    <w:rsid w:val="00117167"/>
    <w:rsid w:val="00117472"/>
    <w:rsid w:val="00122D47"/>
    <w:rsid w:val="00124CB2"/>
    <w:rsid w:val="001272EB"/>
    <w:rsid w:val="00131C78"/>
    <w:rsid w:val="00134644"/>
    <w:rsid w:val="001364E9"/>
    <w:rsid w:val="00140E1A"/>
    <w:rsid w:val="00145690"/>
    <w:rsid w:val="00150133"/>
    <w:rsid w:val="00150203"/>
    <w:rsid w:val="00152151"/>
    <w:rsid w:val="0016071A"/>
    <w:rsid w:val="001609BC"/>
    <w:rsid w:val="00161050"/>
    <w:rsid w:val="00161423"/>
    <w:rsid w:val="00163E50"/>
    <w:rsid w:val="00167C57"/>
    <w:rsid w:val="00177DA6"/>
    <w:rsid w:val="001851E8"/>
    <w:rsid w:val="00193867"/>
    <w:rsid w:val="00194A45"/>
    <w:rsid w:val="001A231A"/>
    <w:rsid w:val="001A23C5"/>
    <w:rsid w:val="001A3711"/>
    <w:rsid w:val="001A3931"/>
    <w:rsid w:val="001A5BC1"/>
    <w:rsid w:val="001B10C7"/>
    <w:rsid w:val="001B4BC2"/>
    <w:rsid w:val="001B4D97"/>
    <w:rsid w:val="001C1328"/>
    <w:rsid w:val="001C46A1"/>
    <w:rsid w:val="001D3D87"/>
    <w:rsid w:val="001D4048"/>
    <w:rsid w:val="001D49FD"/>
    <w:rsid w:val="001E1054"/>
    <w:rsid w:val="001E42DA"/>
    <w:rsid w:val="001E66EE"/>
    <w:rsid w:val="001F13FC"/>
    <w:rsid w:val="001F15F8"/>
    <w:rsid w:val="001F2550"/>
    <w:rsid w:val="002012F6"/>
    <w:rsid w:val="00201944"/>
    <w:rsid w:val="0020491D"/>
    <w:rsid w:val="00205D80"/>
    <w:rsid w:val="002106B5"/>
    <w:rsid w:val="00211FD6"/>
    <w:rsid w:val="00216967"/>
    <w:rsid w:val="00223084"/>
    <w:rsid w:val="00225391"/>
    <w:rsid w:val="00225620"/>
    <w:rsid w:val="0022594B"/>
    <w:rsid w:val="00235775"/>
    <w:rsid w:val="00235852"/>
    <w:rsid w:val="00236E3C"/>
    <w:rsid w:val="002425E7"/>
    <w:rsid w:val="00244D7A"/>
    <w:rsid w:val="002521D8"/>
    <w:rsid w:val="00257B6D"/>
    <w:rsid w:val="00260011"/>
    <w:rsid w:val="00260768"/>
    <w:rsid w:val="00263811"/>
    <w:rsid w:val="00265898"/>
    <w:rsid w:val="00266275"/>
    <w:rsid w:val="00266A25"/>
    <w:rsid w:val="00275F07"/>
    <w:rsid w:val="002856A4"/>
    <w:rsid w:val="00285C21"/>
    <w:rsid w:val="00290C21"/>
    <w:rsid w:val="002952EB"/>
    <w:rsid w:val="002A4196"/>
    <w:rsid w:val="002A473F"/>
    <w:rsid w:val="002A58B5"/>
    <w:rsid w:val="002A5F52"/>
    <w:rsid w:val="002B7BBC"/>
    <w:rsid w:val="002D49CD"/>
    <w:rsid w:val="002D56B2"/>
    <w:rsid w:val="002E3F5B"/>
    <w:rsid w:val="002E57B4"/>
    <w:rsid w:val="002E7F4D"/>
    <w:rsid w:val="002F5CD2"/>
    <w:rsid w:val="00305687"/>
    <w:rsid w:val="00306849"/>
    <w:rsid w:val="003077EA"/>
    <w:rsid w:val="003118DF"/>
    <w:rsid w:val="0031269F"/>
    <w:rsid w:val="00321193"/>
    <w:rsid w:val="003224AC"/>
    <w:rsid w:val="00327E8A"/>
    <w:rsid w:val="0033250F"/>
    <w:rsid w:val="00342DB1"/>
    <w:rsid w:val="00346F63"/>
    <w:rsid w:val="00354231"/>
    <w:rsid w:val="00354991"/>
    <w:rsid w:val="00355A06"/>
    <w:rsid w:val="00355E35"/>
    <w:rsid w:val="00356833"/>
    <w:rsid w:val="00360C93"/>
    <w:rsid w:val="00363D63"/>
    <w:rsid w:val="003653F9"/>
    <w:rsid w:val="00374A57"/>
    <w:rsid w:val="00383B52"/>
    <w:rsid w:val="003851C0"/>
    <w:rsid w:val="00385BB9"/>
    <w:rsid w:val="003869D0"/>
    <w:rsid w:val="003870D8"/>
    <w:rsid w:val="003876E1"/>
    <w:rsid w:val="003906E2"/>
    <w:rsid w:val="00391B7D"/>
    <w:rsid w:val="00392D55"/>
    <w:rsid w:val="003A4BA4"/>
    <w:rsid w:val="003A683A"/>
    <w:rsid w:val="003B2E51"/>
    <w:rsid w:val="003B46EA"/>
    <w:rsid w:val="003B6A3E"/>
    <w:rsid w:val="003C2089"/>
    <w:rsid w:val="003C5583"/>
    <w:rsid w:val="003C7728"/>
    <w:rsid w:val="003D0601"/>
    <w:rsid w:val="003D0B86"/>
    <w:rsid w:val="003F0C1A"/>
    <w:rsid w:val="003F527A"/>
    <w:rsid w:val="003F6819"/>
    <w:rsid w:val="00404570"/>
    <w:rsid w:val="0040796A"/>
    <w:rsid w:val="00422053"/>
    <w:rsid w:val="00422429"/>
    <w:rsid w:val="0042329B"/>
    <w:rsid w:val="004310E5"/>
    <w:rsid w:val="004331D4"/>
    <w:rsid w:val="004404F3"/>
    <w:rsid w:val="00446186"/>
    <w:rsid w:val="0045172C"/>
    <w:rsid w:val="00452BFE"/>
    <w:rsid w:val="004533CA"/>
    <w:rsid w:val="004548EF"/>
    <w:rsid w:val="004579EB"/>
    <w:rsid w:val="00457E3A"/>
    <w:rsid w:val="004723CF"/>
    <w:rsid w:val="00474754"/>
    <w:rsid w:val="004842F6"/>
    <w:rsid w:val="00496333"/>
    <w:rsid w:val="004971B8"/>
    <w:rsid w:val="004B0368"/>
    <w:rsid w:val="004B40E2"/>
    <w:rsid w:val="004B632F"/>
    <w:rsid w:val="004C1027"/>
    <w:rsid w:val="004C19B8"/>
    <w:rsid w:val="004C5F9A"/>
    <w:rsid w:val="004D0923"/>
    <w:rsid w:val="004D1DC0"/>
    <w:rsid w:val="004D52BB"/>
    <w:rsid w:val="004E0FF6"/>
    <w:rsid w:val="004E1208"/>
    <w:rsid w:val="004E233B"/>
    <w:rsid w:val="004E3507"/>
    <w:rsid w:val="004E4F29"/>
    <w:rsid w:val="004F1C76"/>
    <w:rsid w:val="004F4392"/>
    <w:rsid w:val="0050430D"/>
    <w:rsid w:val="005064D7"/>
    <w:rsid w:val="00511B82"/>
    <w:rsid w:val="00513FFD"/>
    <w:rsid w:val="00525E8F"/>
    <w:rsid w:val="00526C37"/>
    <w:rsid w:val="0053230C"/>
    <w:rsid w:val="005324C6"/>
    <w:rsid w:val="00537191"/>
    <w:rsid w:val="005402E5"/>
    <w:rsid w:val="005432E0"/>
    <w:rsid w:val="00543B7F"/>
    <w:rsid w:val="00544345"/>
    <w:rsid w:val="00546358"/>
    <w:rsid w:val="00547E18"/>
    <w:rsid w:val="005524C5"/>
    <w:rsid w:val="00554E14"/>
    <w:rsid w:val="0055584F"/>
    <w:rsid w:val="00556C53"/>
    <w:rsid w:val="00560C48"/>
    <w:rsid w:val="005610D6"/>
    <w:rsid w:val="00564A2D"/>
    <w:rsid w:val="00566A50"/>
    <w:rsid w:val="00573FCC"/>
    <w:rsid w:val="005746F0"/>
    <w:rsid w:val="00575036"/>
    <w:rsid w:val="00592DF0"/>
    <w:rsid w:val="005A1CBA"/>
    <w:rsid w:val="005A468C"/>
    <w:rsid w:val="005B4ADC"/>
    <w:rsid w:val="005B5BDE"/>
    <w:rsid w:val="005C144C"/>
    <w:rsid w:val="005C459F"/>
    <w:rsid w:val="005D2EBB"/>
    <w:rsid w:val="005D385D"/>
    <w:rsid w:val="005D62CD"/>
    <w:rsid w:val="005E0762"/>
    <w:rsid w:val="005E1E92"/>
    <w:rsid w:val="005E4018"/>
    <w:rsid w:val="005E63F8"/>
    <w:rsid w:val="005F115A"/>
    <w:rsid w:val="005F2D40"/>
    <w:rsid w:val="005F2DC5"/>
    <w:rsid w:val="005F449E"/>
    <w:rsid w:val="005F4DFA"/>
    <w:rsid w:val="006030C0"/>
    <w:rsid w:val="00603298"/>
    <w:rsid w:val="0061155D"/>
    <w:rsid w:val="00616F0E"/>
    <w:rsid w:val="00621752"/>
    <w:rsid w:val="006246A9"/>
    <w:rsid w:val="00627C1F"/>
    <w:rsid w:val="00630A80"/>
    <w:rsid w:val="00640BD7"/>
    <w:rsid w:val="00644690"/>
    <w:rsid w:val="0064571A"/>
    <w:rsid w:val="00647EF3"/>
    <w:rsid w:val="00651BE4"/>
    <w:rsid w:val="00652BED"/>
    <w:rsid w:val="00657DA1"/>
    <w:rsid w:val="00661A9B"/>
    <w:rsid w:val="00662BB4"/>
    <w:rsid w:val="00664010"/>
    <w:rsid w:val="0066415A"/>
    <w:rsid w:val="006658A5"/>
    <w:rsid w:val="006721DC"/>
    <w:rsid w:val="006724CD"/>
    <w:rsid w:val="00672943"/>
    <w:rsid w:val="0067299A"/>
    <w:rsid w:val="006733EE"/>
    <w:rsid w:val="00681E94"/>
    <w:rsid w:val="00686B74"/>
    <w:rsid w:val="00697FF1"/>
    <w:rsid w:val="006A07F6"/>
    <w:rsid w:val="006A5A15"/>
    <w:rsid w:val="006B1A2B"/>
    <w:rsid w:val="006B2790"/>
    <w:rsid w:val="006B322A"/>
    <w:rsid w:val="006B3882"/>
    <w:rsid w:val="006B39DB"/>
    <w:rsid w:val="006B56F2"/>
    <w:rsid w:val="006B6050"/>
    <w:rsid w:val="006B73DD"/>
    <w:rsid w:val="006C02A5"/>
    <w:rsid w:val="006C4CC5"/>
    <w:rsid w:val="006C4F5B"/>
    <w:rsid w:val="006D0E7F"/>
    <w:rsid w:val="006D137A"/>
    <w:rsid w:val="006D5C4C"/>
    <w:rsid w:val="006E71FA"/>
    <w:rsid w:val="006F2E4F"/>
    <w:rsid w:val="006F45DD"/>
    <w:rsid w:val="006F47BA"/>
    <w:rsid w:val="006F4929"/>
    <w:rsid w:val="006F7EC3"/>
    <w:rsid w:val="00701628"/>
    <w:rsid w:val="00702500"/>
    <w:rsid w:val="00704EDA"/>
    <w:rsid w:val="007101C1"/>
    <w:rsid w:val="00726CCA"/>
    <w:rsid w:val="00731435"/>
    <w:rsid w:val="00732564"/>
    <w:rsid w:val="007325CC"/>
    <w:rsid w:val="00742DF1"/>
    <w:rsid w:val="00747DBE"/>
    <w:rsid w:val="00753DF7"/>
    <w:rsid w:val="00754FD0"/>
    <w:rsid w:val="00755D16"/>
    <w:rsid w:val="0075714F"/>
    <w:rsid w:val="00763E93"/>
    <w:rsid w:val="00772BF0"/>
    <w:rsid w:val="00776ACC"/>
    <w:rsid w:val="007853FF"/>
    <w:rsid w:val="00785986"/>
    <w:rsid w:val="00787B39"/>
    <w:rsid w:val="00792075"/>
    <w:rsid w:val="007952B3"/>
    <w:rsid w:val="007A0EEB"/>
    <w:rsid w:val="007A1A40"/>
    <w:rsid w:val="007B477B"/>
    <w:rsid w:val="007B591B"/>
    <w:rsid w:val="007B61C5"/>
    <w:rsid w:val="007B6947"/>
    <w:rsid w:val="007C2122"/>
    <w:rsid w:val="007C2B2C"/>
    <w:rsid w:val="007C3C57"/>
    <w:rsid w:val="007C5329"/>
    <w:rsid w:val="007C54FB"/>
    <w:rsid w:val="007C7CA7"/>
    <w:rsid w:val="007D1B41"/>
    <w:rsid w:val="007D3FA2"/>
    <w:rsid w:val="007E692E"/>
    <w:rsid w:val="007F437A"/>
    <w:rsid w:val="008004BD"/>
    <w:rsid w:val="00800EE0"/>
    <w:rsid w:val="00807259"/>
    <w:rsid w:val="00814799"/>
    <w:rsid w:val="00824D91"/>
    <w:rsid w:val="00825AB2"/>
    <w:rsid w:val="00833CB6"/>
    <w:rsid w:val="0084284A"/>
    <w:rsid w:val="008472A8"/>
    <w:rsid w:val="00850627"/>
    <w:rsid w:val="008535C7"/>
    <w:rsid w:val="00853D73"/>
    <w:rsid w:val="00855A4E"/>
    <w:rsid w:val="00856D44"/>
    <w:rsid w:val="00860B4E"/>
    <w:rsid w:val="00862B39"/>
    <w:rsid w:val="008665CD"/>
    <w:rsid w:val="00871903"/>
    <w:rsid w:val="00877259"/>
    <w:rsid w:val="00877A69"/>
    <w:rsid w:val="0088254F"/>
    <w:rsid w:val="00882587"/>
    <w:rsid w:val="00890964"/>
    <w:rsid w:val="00893B2B"/>
    <w:rsid w:val="008A0DE9"/>
    <w:rsid w:val="008A1608"/>
    <w:rsid w:val="008A7103"/>
    <w:rsid w:val="008A7F44"/>
    <w:rsid w:val="008B1725"/>
    <w:rsid w:val="008B28DF"/>
    <w:rsid w:val="008B297F"/>
    <w:rsid w:val="008B33C3"/>
    <w:rsid w:val="008B4DBF"/>
    <w:rsid w:val="008B58DA"/>
    <w:rsid w:val="008C1F3B"/>
    <w:rsid w:val="008C32AF"/>
    <w:rsid w:val="008C5689"/>
    <w:rsid w:val="008D2A86"/>
    <w:rsid w:val="008D722A"/>
    <w:rsid w:val="008E3256"/>
    <w:rsid w:val="008E6965"/>
    <w:rsid w:val="008F6C14"/>
    <w:rsid w:val="00901228"/>
    <w:rsid w:val="009032EB"/>
    <w:rsid w:val="00903654"/>
    <w:rsid w:val="00916002"/>
    <w:rsid w:val="0092057B"/>
    <w:rsid w:val="009206D8"/>
    <w:rsid w:val="00930D72"/>
    <w:rsid w:val="00935936"/>
    <w:rsid w:val="00935CAA"/>
    <w:rsid w:val="009462FA"/>
    <w:rsid w:val="00947D6F"/>
    <w:rsid w:val="009555B6"/>
    <w:rsid w:val="00960E54"/>
    <w:rsid w:val="009612A1"/>
    <w:rsid w:val="00963F5A"/>
    <w:rsid w:val="00974FE1"/>
    <w:rsid w:val="009814B5"/>
    <w:rsid w:val="0098408F"/>
    <w:rsid w:val="00990089"/>
    <w:rsid w:val="00990BAD"/>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278A4"/>
    <w:rsid w:val="00A30414"/>
    <w:rsid w:val="00A3251E"/>
    <w:rsid w:val="00A32825"/>
    <w:rsid w:val="00A427A5"/>
    <w:rsid w:val="00A43B3F"/>
    <w:rsid w:val="00A43FE2"/>
    <w:rsid w:val="00A45346"/>
    <w:rsid w:val="00A5063D"/>
    <w:rsid w:val="00A50ACB"/>
    <w:rsid w:val="00A70454"/>
    <w:rsid w:val="00A76480"/>
    <w:rsid w:val="00A95A1E"/>
    <w:rsid w:val="00A95AD6"/>
    <w:rsid w:val="00A964D1"/>
    <w:rsid w:val="00A97EF7"/>
    <w:rsid w:val="00AA408F"/>
    <w:rsid w:val="00AA44D4"/>
    <w:rsid w:val="00AA4694"/>
    <w:rsid w:val="00AA7208"/>
    <w:rsid w:val="00AB0042"/>
    <w:rsid w:val="00AB2954"/>
    <w:rsid w:val="00AB7321"/>
    <w:rsid w:val="00AC0236"/>
    <w:rsid w:val="00AC5FBF"/>
    <w:rsid w:val="00AD1C57"/>
    <w:rsid w:val="00AD2E4C"/>
    <w:rsid w:val="00AD2EBC"/>
    <w:rsid w:val="00AD53EF"/>
    <w:rsid w:val="00AD7393"/>
    <w:rsid w:val="00AD7833"/>
    <w:rsid w:val="00AE445A"/>
    <w:rsid w:val="00AF26C6"/>
    <w:rsid w:val="00B017D4"/>
    <w:rsid w:val="00B0183D"/>
    <w:rsid w:val="00B040A5"/>
    <w:rsid w:val="00B10F10"/>
    <w:rsid w:val="00B2084F"/>
    <w:rsid w:val="00B221EC"/>
    <w:rsid w:val="00B271B9"/>
    <w:rsid w:val="00B325BB"/>
    <w:rsid w:val="00B3667B"/>
    <w:rsid w:val="00B4272E"/>
    <w:rsid w:val="00B54743"/>
    <w:rsid w:val="00B54816"/>
    <w:rsid w:val="00B55180"/>
    <w:rsid w:val="00B600D2"/>
    <w:rsid w:val="00B608C6"/>
    <w:rsid w:val="00B64AAB"/>
    <w:rsid w:val="00B73353"/>
    <w:rsid w:val="00B74064"/>
    <w:rsid w:val="00B74543"/>
    <w:rsid w:val="00B74C3C"/>
    <w:rsid w:val="00B76F1F"/>
    <w:rsid w:val="00B80182"/>
    <w:rsid w:val="00B87130"/>
    <w:rsid w:val="00B87356"/>
    <w:rsid w:val="00B901C7"/>
    <w:rsid w:val="00B97430"/>
    <w:rsid w:val="00BA42E7"/>
    <w:rsid w:val="00BA4FD9"/>
    <w:rsid w:val="00BB44A2"/>
    <w:rsid w:val="00BB5A5D"/>
    <w:rsid w:val="00BB6ACB"/>
    <w:rsid w:val="00BB7E86"/>
    <w:rsid w:val="00BB7E90"/>
    <w:rsid w:val="00BC5637"/>
    <w:rsid w:val="00BE0579"/>
    <w:rsid w:val="00BE5A7F"/>
    <w:rsid w:val="00BF2241"/>
    <w:rsid w:val="00BF24CD"/>
    <w:rsid w:val="00BF2CFF"/>
    <w:rsid w:val="00BF5D39"/>
    <w:rsid w:val="00C034EE"/>
    <w:rsid w:val="00C039EB"/>
    <w:rsid w:val="00C03D6F"/>
    <w:rsid w:val="00C10B94"/>
    <w:rsid w:val="00C11E06"/>
    <w:rsid w:val="00C12C1F"/>
    <w:rsid w:val="00C13A11"/>
    <w:rsid w:val="00C15796"/>
    <w:rsid w:val="00C162C3"/>
    <w:rsid w:val="00C258B0"/>
    <w:rsid w:val="00C410E6"/>
    <w:rsid w:val="00C42601"/>
    <w:rsid w:val="00C47B15"/>
    <w:rsid w:val="00C5335F"/>
    <w:rsid w:val="00C619BB"/>
    <w:rsid w:val="00C622F6"/>
    <w:rsid w:val="00C66EF5"/>
    <w:rsid w:val="00C70125"/>
    <w:rsid w:val="00C71947"/>
    <w:rsid w:val="00C73523"/>
    <w:rsid w:val="00C73D51"/>
    <w:rsid w:val="00C76528"/>
    <w:rsid w:val="00C800BD"/>
    <w:rsid w:val="00C82377"/>
    <w:rsid w:val="00C82B0D"/>
    <w:rsid w:val="00C841B2"/>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A63C8"/>
    <w:rsid w:val="00CB083F"/>
    <w:rsid w:val="00CB1C38"/>
    <w:rsid w:val="00CB3718"/>
    <w:rsid w:val="00CD4560"/>
    <w:rsid w:val="00CD63B8"/>
    <w:rsid w:val="00CE16B5"/>
    <w:rsid w:val="00CF228C"/>
    <w:rsid w:val="00CF35B3"/>
    <w:rsid w:val="00D015A2"/>
    <w:rsid w:val="00D058F9"/>
    <w:rsid w:val="00D0705E"/>
    <w:rsid w:val="00D113E9"/>
    <w:rsid w:val="00D202AC"/>
    <w:rsid w:val="00D23092"/>
    <w:rsid w:val="00D307E0"/>
    <w:rsid w:val="00D30B52"/>
    <w:rsid w:val="00D32B3E"/>
    <w:rsid w:val="00D403E1"/>
    <w:rsid w:val="00D52855"/>
    <w:rsid w:val="00D52A5E"/>
    <w:rsid w:val="00D53ED7"/>
    <w:rsid w:val="00D5558F"/>
    <w:rsid w:val="00D61CE8"/>
    <w:rsid w:val="00D6217D"/>
    <w:rsid w:val="00D63A73"/>
    <w:rsid w:val="00D67257"/>
    <w:rsid w:val="00D74296"/>
    <w:rsid w:val="00D84266"/>
    <w:rsid w:val="00D9277B"/>
    <w:rsid w:val="00D94B4D"/>
    <w:rsid w:val="00D96C75"/>
    <w:rsid w:val="00DA03CB"/>
    <w:rsid w:val="00DA4F7E"/>
    <w:rsid w:val="00DA7C02"/>
    <w:rsid w:val="00DB14DA"/>
    <w:rsid w:val="00DB4F80"/>
    <w:rsid w:val="00DC20AA"/>
    <w:rsid w:val="00DC2805"/>
    <w:rsid w:val="00DD18BD"/>
    <w:rsid w:val="00DD5448"/>
    <w:rsid w:val="00DE5EEE"/>
    <w:rsid w:val="00DF28BC"/>
    <w:rsid w:val="00DF7134"/>
    <w:rsid w:val="00E0500A"/>
    <w:rsid w:val="00E1275F"/>
    <w:rsid w:val="00E1315B"/>
    <w:rsid w:val="00E20222"/>
    <w:rsid w:val="00E32544"/>
    <w:rsid w:val="00E342E9"/>
    <w:rsid w:val="00E36170"/>
    <w:rsid w:val="00E40E2A"/>
    <w:rsid w:val="00E41885"/>
    <w:rsid w:val="00E43302"/>
    <w:rsid w:val="00E4386E"/>
    <w:rsid w:val="00E44367"/>
    <w:rsid w:val="00E44B7E"/>
    <w:rsid w:val="00E54B7A"/>
    <w:rsid w:val="00E55E88"/>
    <w:rsid w:val="00E56580"/>
    <w:rsid w:val="00E60B7F"/>
    <w:rsid w:val="00E61868"/>
    <w:rsid w:val="00E61AE2"/>
    <w:rsid w:val="00E67143"/>
    <w:rsid w:val="00E674FC"/>
    <w:rsid w:val="00E86ED3"/>
    <w:rsid w:val="00E8783E"/>
    <w:rsid w:val="00E90E01"/>
    <w:rsid w:val="00E91EBB"/>
    <w:rsid w:val="00E951DF"/>
    <w:rsid w:val="00E96F53"/>
    <w:rsid w:val="00EA61F6"/>
    <w:rsid w:val="00EB4F5E"/>
    <w:rsid w:val="00ED0443"/>
    <w:rsid w:val="00ED6886"/>
    <w:rsid w:val="00EE70D1"/>
    <w:rsid w:val="00EF1802"/>
    <w:rsid w:val="00EF2D77"/>
    <w:rsid w:val="00EF414C"/>
    <w:rsid w:val="00EF7A56"/>
    <w:rsid w:val="00F02DAD"/>
    <w:rsid w:val="00F06A11"/>
    <w:rsid w:val="00F0776A"/>
    <w:rsid w:val="00F07C7E"/>
    <w:rsid w:val="00F12886"/>
    <w:rsid w:val="00F12DB4"/>
    <w:rsid w:val="00F13827"/>
    <w:rsid w:val="00F209E0"/>
    <w:rsid w:val="00F21AEA"/>
    <w:rsid w:val="00F2534B"/>
    <w:rsid w:val="00F27ABE"/>
    <w:rsid w:val="00F308A5"/>
    <w:rsid w:val="00F335AB"/>
    <w:rsid w:val="00F415A3"/>
    <w:rsid w:val="00F44A65"/>
    <w:rsid w:val="00F4505F"/>
    <w:rsid w:val="00F462D9"/>
    <w:rsid w:val="00F46737"/>
    <w:rsid w:val="00F5106C"/>
    <w:rsid w:val="00F52FF0"/>
    <w:rsid w:val="00F56BC0"/>
    <w:rsid w:val="00F62290"/>
    <w:rsid w:val="00F661E5"/>
    <w:rsid w:val="00F67377"/>
    <w:rsid w:val="00F675D7"/>
    <w:rsid w:val="00F7252E"/>
    <w:rsid w:val="00F74B37"/>
    <w:rsid w:val="00F82997"/>
    <w:rsid w:val="00F85337"/>
    <w:rsid w:val="00F91200"/>
    <w:rsid w:val="00F96A16"/>
    <w:rsid w:val="00FA406F"/>
    <w:rsid w:val="00FA71F1"/>
    <w:rsid w:val="00FB1910"/>
    <w:rsid w:val="00FB24BB"/>
    <w:rsid w:val="00FB7D9A"/>
    <w:rsid w:val="00FC4A9B"/>
    <w:rsid w:val="00FC5AB0"/>
    <w:rsid w:val="00FD34FF"/>
    <w:rsid w:val="00FE03E9"/>
    <w:rsid w:val="00FF0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 w:type="character" w:styleId="IntenseEmphasis">
    <w:name w:val="Intense Emphasis"/>
    <w:basedOn w:val="DefaultParagraphFont"/>
    <w:uiPriority w:val="21"/>
    <w:qFormat/>
    <w:rsid w:val="005C459F"/>
    <w:rPr>
      <w:b/>
      <w:bCs/>
      <w:i/>
      <w:iCs/>
      <w:color w:val="4F81BD" w:themeColor="accent1"/>
    </w:rPr>
  </w:style>
  <w:style w:type="character" w:styleId="Strong">
    <w:name w:val="Strong"/>
    <w:basedOn w:val="DefaultParagraphFont"/>
    <w:uiPriority w:val="22"/>
    <w:qFormat/>
    <w:rsid w:val="005C45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 w:type="character" w:styleId="IntenseEmphasis">
    <w:name w:val="Intense Emphasis"/>
    <w:basedOn w:val="DefaultParagraphFont"/>
    <w:uiPriority w:val="21"/>
    <w:qFormat/>
    <w:rsid w:val="005C459F"/>
    <w:rPr>
      <w:b/>
      <w:bCs/>
      <w:i/>
      <w:iCs/>
      <w:color w:val="4F81BD" w:themeColor="accent1"/>
    </w:rPr>
  </w:style>
  <w:style w:type="character" w:styleId="Strong">
    <w:name w:val="Strong"/>
    <w:basedOn w:val="DefaultParagraphFont"/>
    <w:uiPriority w:val="22"/>
    <w:qFormat/>
    <w:rsid w:val="005C4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m@ae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A4D40-967F-4F64-84FB-C935C3AB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3BF21095</Template>
  <TotalTime>0</TotalTime>
  <Pages>2</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2017-08-25T03:03:00Z</dcterms:created>
  <dcterms:modified xsi:type="dcterms:W3CDTF">2017-08-25T03:07:00Z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