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6240147" wp14:editId="5E51F8FA">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1754EE" w:rsidP="001754EE">
          <w:pPr>
            <w:pStyle w:val="ReportSubtitle"/>
            <w:tabs>
              <w:tab w:val="left" w:pos="1122"/>
              <w:tab w:val="center" w:pos="4238"/>
            </w:tabs>
            <w:jc w:val="left"/>
          </w:pPr>
          <w:r>
            <w:tab/>
          </w:r>
          <w:r>
            <w:tab/>
          </w:r>
          <w:r w:rsidR="00415F31">
            <w:t>FINAL</w:t>
          </w:r>
          <w:r w:rsidR="00DA4752">
            <w:t xml:space="preserve"> DECISION</w:t>
          </w:r>
        </w:p>
        <w:p w:rsidR="00415F31" w:rsidRDefault="00415F31" w:rsidP="008F07A3">
          <w:pPr>
            <w:pStyle w:val="ReportSubtitle"/>
          </w:pPr>
          <w:r>
            <w:t xml:space="preserve">TransGrid transmission </w:t>
          </w:r>
          <w:r w:rsidR="00DA4752">
            <w:t>determination</w:t>
          </w:r>
        </w:p>
        <w:p w:rsidR="000A6C7B" w:rsidRDefault="00DA4752" w:rsidP="008F07A3">
          <w:pPr>
            <w:pStyle w:val="ReportSubtitle"/>
          </w:pPr>
          <w:r>
            <w:t xml:space="preserve"> 2015</w:t>
          </w:r>
          <w:r>
            <w:rPr>
              <w:rFonts w:cs="Arial"/>
            </w:rPr>
            <w:t>−</w:t>
          </w:r>
          <w:r>
            <w:t>16 to 201</w:t>
          </w:r>
          <w:r w:rsidR="00415F31">
            <w:t>7</w:t>
          </w:r>
          <w:r>
            <w:rPr>
              <w:rFonts w:cs="Arial"/>
            </w:rPr>
            <w:t>−</w:t>
          </w:r>
          <w:r w:rsidR="00415F31">
            <w:t>18</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BE50EB">
            <w:t>5</w:t>
          </w:r>
          <w:r>
            <w:t xml:space="preserve"> </w:t>
          </w:r>
          <w:r w:rsidR="00415F31">
            <w:rPr>
              <w:rFonts w:cs="Arial"/>
            </w:rPr>
            <w:t>–</w:t>
          </w:r>
          <w:r>
            <w:t xml:space="preserve"> </w:t>
          </w:r>
          <w:r w:rsidR="00CE1BDD">
            <w:t>R</w:t>
          </w:r>
          <w:r w:rsidR="008D57DF">
            <w:t xml:space="preserve">egulatory </w:t>
          </w:r>
          <w:r w:rsidR="00BE50EB">
            <w:t>depreciation</w:t>
          </w:r>
        </w:p>
        <w:p w:rsidR="00C55BCC" w:rsidRDefault="00C55BCC" w:rsidP="00327A1E">
          <w:pPr>
            <w:pStyle w:val="ReportDate"/>
          </w:pPr>
          <w:r>
            <w:t>(Substituted)</w:t>
          </w:r>
        </w:p>
        <w:p w:rsidR="000A6C7B" w:rsidRPr="00327A1E" w:rsidRDefault="00C55BCC" w:rsidP="00327A1E">
          <w:pPr>
            <w:pStyle w:val="ReportDate"/>
          </w:pPr>
          <w:r>
            <w:t>July</w:t>
          </w:r>
          <w:r w:rsidR="00DA4752">
            <w:t xml:space="preserve">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9D3906" w:rsidRDefault="000A6C7B" w:rsidP="000A6C7B">
      <w:pPr>
        <w:pStyle w:val="Copyright"/>
      </w:pPr>
      <w:r>
        <w:t>Requests and inquiries concerning reproduction and rights should be addressed to the</w:t>
      </w:r>
      <w:r w:rsidR="009D3906">
        <w:t>:</w:t>
      </w:r>
    </w:p>
    <w:p w:rsidR="009D3906" w:rsidRDefault="000A6C7B" w:rsidP="000A6C7B">
      <w:pPr>
        <w:pStyle w:val="Copyright"/>
      </w:pPr>
      <w:r>
        <w:t>Dir</w:t>
      </w:r>
      <w:r w:rsidR="009D3906">
        <w:t>ector, Corporate Communications</w:t>
      </w:r>
      <w:r w:rsidR="00983C25">
        <w:br/>
      </w:r>
      <w:r>
        <w:t>Australian Comp</w:t>
      </w:r>
      <w:r w:rsidR="009D3906">
        <w:t>etition and Consumer Commission</w:t>
      </w:r>
      <w:r>
        <w:t xml:space="preserve"> </w:t>
      </w:r>
      <w:r w:rsidR="00983C25">
        <w:br/>
      </w:r>
      <w:r>
        <w:t>GPO Box 4141, Canberra ACT 2601</w:t>
      </w:r>
    </w:p>
    <w:p w:rsidR="000A6C7B" w:rsidRDefault="000A6C7B" w:rsidP="000A6C7B">
      <w:pPr>
        <w:pStyle w:val="Copyright"/>
      </w:pPr>
      <w:proofErr w:type="gramStart"/>
      <w:r>
        <w:t>or</w:t>
      </w:r>
      <w:proofErr w:type="gramEnd"/>
      <w:r>
        <w:t xml:space="preserve">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proofErr w:type="gramStart"/>
      <w:r>
        <w:t>Melbourne  Vic</w:t>
      </w:r>
      <w:proofErr w:type="gramEnd"/>
      <w:r>
        <w:t xml:space="preserve">  3001</w:t>
      </w:r>
    </w:p>
    <w:p w:rsidR="000A6C7B" w:rsidRDefault="000A6C7B" w:rsidP="00961A4A">
      <w:pPr>
        <w:pStyle w:val="Copyright"/>
      </w:pPr>
      <w:r>
        <w:t>Tel: (03) 9290 1444</w:t>
      </w:r>
      <w:r w:rsidR="00951978">
        <w:br/>
      </w:r>
      <w:r>
        <w:t>Fax: (03) 9290 1457</w:t>
      </w:r>
    </w:p>
    <w:p w:rsidR="00B9562D" w:rsidRDefault="000A6C7B" w:rsidP="00B9562D">
      <w:pPr>
        <w:pStyle w:val="Copyright"/>
      </w:pPr>
      <w:r>
        <w:t xml:space="preserve">Email: </w:t>
      </w:r>
      <w:hyperlink r:id="rId10" w:history="1">
        <w:r w:rsidRPr="00D64888">
          <w:rPr>
            <w:rStyle w:val="Hyperlink"/>
          </w:rPr>
          <w:t>AERInquiry@aer.gov.au</w:t>
        </w:r>
      </w:hyperlink>
      <w:r w:rsidR="00951978">
        <w:rPr>
          <w:rStyle w:val="Hyperlink"/>
        </w:rPr>
        <w:br/>
      </w:r>
    </w:p>
    <w:p w:rsidR="008F07A3" w:rsidRDefault="00415F31" w:rsidP="00B9562D">
      <w:pPr>
        <w:pStyle w:val="Copyright"/>
      </w:pPr>
      <w:r w:rsidRPr="009D3906">
        <w:t>AER reference:</w:t>
      </w:r>
      <w:r w:rsidRPr="009D3906">
        <w:tab/>
        <w:t>53444</w:t>
      </w:r>
    </w:p>
    <w:p w:rsidR="00C55BCC" w:rsidRDefault="00C55BCC" w:rsidP="009F72C7"/>
    <w:p w:rsidR="00C55BCC" w:rsidRDefault="00C55BCC" w:rsidP="00C55BCC">
      <w:pPr>
        <w:pStyle w:val="IndexHeading"/>
      </w:pPr>
      <w:r>
        <w:t>Amendment record</w:t>
      </w:r>
    </w:p>
    <w:tbl>
      <w:tblPr>
        <w:tblStyle w:val="AERtable-text0"/>
        <w:tblW w:w="0" w:type="auto"/>
        <w:tblLook w:val="04A0" w:firstRow="1" w:lastRow="0" w:firstColumn="1" w:lastColumn="0" w:noHBand="0" w:noVBand="1"/>
      </w:tblPr>
      <w:tblGrid>
        <w:gridCol w:w="4340"/>
        <w:gridCol w:w="4353"/>
      </w:tblGrid>
      <w:tr w:rsidR="00C55BCC" w:rsidRPr="0087648F" w:rsidTr="00BF424F">
        <w:trPr>
          <w:cnfStyle w:val="100000000000" w:firstRow="1" w:lastRow="0" w:firstColumn="0" w:lastColumn="0" w:oddVBand="0" w:evenVBand="0" w:oddHBand="0" w:evenHBand="0" w:firstRowFirstColumn="0" w:firstRowLastColumn="0" w:lastRowFirstColumn="0" w:lastRowLastColumn="0"/>
        </w:trPr>
        <w:tc>
          <w:tcPr>
            <w:tcW w:w="4340" w:type="dxa"/>
          </w:tcPr>
          <w:p w:rsidR="00C55BCC" w:rsidRPr="00C55BCC" w:rsidRDefault="00C55BCC" w:rsidP="00C55BCC">
            <w:r>
              <w:t>Version</w:t>
            </w:r>
          </w:p>
        </w:tc>
        <w:tc>
          <w:tcPr>
            <w:tcW w:w="4353" w:type="dxa"/>
          </w:tcPr>
          <w:p w:rsidR="00C55BCC" w:rsidRPr="00C55BCC" w:rsidRDefault="00C55BCC" w:rsidP="00C55BCC">
            <w:r>
              <w:t>Date</w:t>
            </w:r>
          </w:p>
        </w:tc>
      </w:tr>
      <w:tr w:rsidR="00C55BCC" w:rsidTr="00BF424F">
        <w:tc>
          <w:tcPr>
            <w:tcW w:w="4340" w:type="dxa"/>
          </w:tcPr>
          <w:p w:rsidR="00C55BCC" w:rsidRDefault="00C55BCC" w:rsidP="00C55BCC">
            <w:pPr>
              <w:numPr>
                <w:ilvl w:val="0"/>
                <w:numId w:val="25"/>
              </w:numPr>
            </w:pPr>
            <w:r>
              <w:t>01</w:t>
            </w:r>
          </w:p>
        </w:tc>
        <w:tc>
          <w:tcPr>
            <w:tcW w:w="4353" w:type="dxa"/>
          </w:tcPr>
          <w:p w:rsidR="00C55BCC" w:rsidRDefault="00C55BCC" w:rsidP="00C55BCC">
            <w:pPr>
              <w:numPr>
                <w:ilvl w:val="0"/>
                <w:numId w:val="25"/>
              </w:numPr>
            </w:pPr>
            <w:r>
              <w:t>30 April 2015</w:t>
            </w:r>
          </w:p>
        </w:tc>
      </w:tr>
      <w:tr w:rsidR="00C55BCC" w:rsidTr="00BF424F">
        <w:trPr>
          <w:cnfStyle w:val="000000010000" w:firstRow="0" w:lastRow="0" w:firstColumn="0" w:lastColumn="0" w:oddVBand="0" w:evenVBand="0" w:oddHBand="0" w:evenHBand="1" w:firstRowFirstColumn="0" w:firstRowLastColumn="0" w:lastRowFirstColumn="0" w:lastRowLastColumn="0"/>
        </w:trPr>
        <w:tc>
          <w:tcPr>
            <w:tcW w:w="4340" w:type="dxa"/>
          </w:tcPr>
          <w:p w:rsidR="00C55BCC" w:rsidRDefault="00C55BCC" w:rsidP="00C55BCC">
            <w:pPr>
              <w:numPr>
                <w:ilvl w:val="0"/>
                <w:numId w:val="25"/>
              </w:numPr>
            </w:pPr>
            <w:r>
              <w:t>02</w:t>
            </w:r>
          </w:p>
        </w:tc>
        <w:tc>
          <w:tcPr>
            <w:tcW w:w="4353" w:type="dxa"/>
          </w:tcPr>
          <w:p w:rsidR="00C55BCC" w:rsidRDefault="00C55BCC" w:rsidP="00C55BCC">
            <w:pPr>
              <w:numPr>
                <w:ilvl w:val="0"/>
                <w:numId w:val="25"/>
              </w:numPr>
            </w:pPr>
            <w:r>
              <w:t>3 July 2015</w:t>
            </w:r>
          </w:p>
        </w:tc>
      </w:tr>
    </w:tbl>
    <w:p w:rsidR="00C55BCC" w:rsidRPr="00C55BCC" w:rsidRDefault="00C55BCC" w:rsidP="009F72C7"/>
    <w:p w:rsidR="009001B6" w:rsidRDefault="009001B6">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23606703"/>
      <w:r>
        <w:lastRenderedPageBreak/>
        <w:t>N</w:t>
      </w:r>
      <w:r w:rsidR="008F07A3">
        <w:t>ote</w:t>
      </w:r>
      <w:bookmarkEnd w:id="0"/>
      <w:bookmarkEnd w:id="1"/>
      <w:bookmarkEnd w:id="2"/>
      <w:bookmarkEnd w:id="3"/>
      <w:bookmarkEnd w:id="4"/>
    </w:p>
    <w:p w:rsidR="00415F31" w:rsidRDefault="00415F31" w:rsidP="00415F31">
      <w:pPr>
        <w:numPr>
          <w:ilvl w:val="0"/>
          <w:numId w:val="25"/>
        </w:numPr>
        <w:spacing w:before="0" w:after="240" w:line="288" w:lineRule="auto"/>
        <w:jc w:val="both"/>
      </w:pPr>
    </w:p>
    <w:p w:rsidR="00415F31" w:rsidRDefault="008F07A3" w:rsidP="00415F31">
      <w:pPr>
        <w:numPr>
          <w:ilvl w:val="0"/>
          <w:numId w:val="25"/>
        </w:numPr>
        <w:spacing w:before="0" w:after="240" w:line="288" w:lineRule="auto"/>
        <w:jc w:val="both"/>
      </w:pPr>
      <w:r>
        <w:t xml:space="preserve">This </w:t>
      </w:r>
      <w:r w:rsidR="00415F31">
        <w:t xml:space="preserve">attachment forms part of the AER's final decision on </w:t>
      </w:r>
      <w:proofErr w:type="spellStart"/>
      <w:r w:rsidR="00415F31">
        <w:t>TransGrid’s</w:t>
      </w:r>
      <w:proofErr w:type="spellEnd"/>
      <w:r w:rsidR="00415F31">
        <w:t xml:space="preserve"> revenue proposal </w:t>
      </w:r>
      <w:r w:rsidR="00234D75">
        <w:t xml:space="preserve">for </w:t>
      </w:r>
      <w:r w:rsidR="00415F31">
        <w:t>2015</w:t>
      </w:r>
      <w:r w:rsidR="00415F31" w:rsidRPr="00D904FA">
        <w:t>–</w:t>
      </w:r>
      <w:r w:rsidR="00415F31">
        <w:t>18. It should be read with other parts of the final decision.</w:t>
      </w:r>
    </w:p>
    <w:p w:rsidR="00415F31" w:rsidRDefault="00415F31" w:rsidP="00415F31">
      <w:pPr>
        <w:numPr>
          <w:ilvl w:val="0"/>
          <w:numId w:val="25"/>
        </w:numPr>
        <w:spacing w:before="0" w:after="240" w:line="288" w:lineRule="auto"/>
        <w:jc w:val="both"/>
      </w:pPr>
      <w:r>
        <w:t>The final decision includes the following documents:</w:t>
      </w:r>
    </w:p>
    <w:p w:rsidR="00415F31" w:rsidRDefault="00415F31" w:rsidP="00415F31">
      <w:pPr>
        <w:numPr>
          <w:ilvl w:val="0"/>
          <w:numId w:val="25"/>
        </w:numPr>
        <w:spacing w:before="0" w:after="240" w:line="288" w:lineRule="auto"/>
        <w:jc w:val="both"/>
      </w:pPr>
      <w:r>
        <w:t>Overview</w:t>
      </w:r>
    </w:p>
    <w:p w:rsidR="00415F31" w:rsidRDefault="00415F31" w:rsidP="00415F31">
      <w:pPr>
        <w:numPr>
          <w:ilvl w:val="0"/>
          <w:numId w:val="25"/>
        </w:numPr>
        <w:spacing w:before="0" w:after="240" w:line="288" w:lineRule="auto"/>
        <w:jc w:val="both"/>
      </w:pPr>
      <w:r>
        <w:t>Attachment 1 – maximum allowed revenue</w:t>
      </w:r>
    </w:p>
    <w:p w:rsidR="00415F31" w:rsidRDefault="00415F31" w:rsidP="00415F31">
      <w:pPr>
        <w:numPr>
          <w:ilvl w:val="0"/>
          <w:numId w:val="25"/>
        </w:numPr>
        <w:spacing w:before="0" w:after="240" w:line="288" w:lineRule="auto"/>
        <w:jc w:val="both"/>
      </w:pPr>
      <w:r>
        <w:t>Attachment 2 – regulatory asset base</w:t>
      </w:r>
    </w:p>
    <w:p w:rsidR="00415F31" w:rsidRDefault="00415F31" w:rsidP="00415F31">
      <w:pPr>
        <w:numPr>
          <w:ilvl w:val="0"/>
          <w:numId w:val="25"/>
        </w:numPr>
        <w:spacing w:before="0" w:after="240" w:line="288" w:lineRule="auto"/>
        <w:jc w:val="both"/>
      </w:pPr>
      <w:r>
        <w:t>Attachment 3 – rate of return</w:t>
      </w:r>
    </w:p>
    <w:p w:rsidR="00415F31" w:rsidRDefault="00415F31" w:rsidP="00415F31">
      <w:pPr>
        <w:numPr>
          <w:ilvl w:val="0"/>
          <w:numId w:val="25"/>
        </w:numPr>
        <w:spacing w:before="0" w:after="240" w:line="288" w:lineRule="auto"/>
        <w:jc w:val="both"/>
      </w:pPr>
      <w:r>
        <w:t>Attachment 4 – value of imputation credits</w:t>
      </w:r>
    </w:p>
    <w:p w:rsidR="00415F31" w:rsidRDefault="00415F31" w:rsidP="00415F31">
      <w:pPr>
        <w:numPr>
          <w:ilvl w:val="0"/>
          <w:numId w:val="25"/>
        </w:numPr>
        <w:spacing w:before="0" w:after="240" w:line="288" w:lineRule="auto"/>
        <w:jc w:val="both"/>
      </w:pPr>
      <w:r>
        <w:t>Attachment 5 – regulatory depreciation</w:t>
      </w:r>
    </w:p>
    <w:p w:rsidR="00415F31" w:rsidRDefault="00415F31" w:rsidP="00415F31">
      <w:pPr>
        <w:numPr>
          <w:ilvl w:val="0"/>
          <w:numId w:val="25"/>
        </w:numPr>
        <w:spacing w:before="0" w:after="240" w:line="288" w:lineRule="auto"/>
        <w:jc w:val="both"/>
      </w:pPr>
      <w:r>
        <w:t xml:space="preserve">Attachment 6 – capital expenditure </w:t>
      </w:r>
    </w:p>
    <w:p w:rsidR="00415F31" w:rsidRDefault="00415F31" w:rsidP="00415F31">
      <w:pPr>
        <w:numPr>
          <w:ilvl w:val="0"/>
          <w:numId w:val="25"/>
        </w:numPr>
        <w:spacing w:before="0" w:after="240" w:line="288" w:lineRule="auto"/>
        <w:jc w:val="both"/>
      </w:pPr>
      <w:r>
        <w:t>Attachment 7 – operating expenditure</w:t>
      </w:r>
    </w:p>
    <w:p w:rsidR="00415F31" w:rsidRDefault="00415F31" w:rsidP="00415F31">
      <w:pPr>
        <w:numPr>
          <w:ilvl w:val="0"/>
          <w:numId w:val="25"/>
        </w:numPr>
        <w:spacing w:before="0" w:after="240" w:line="288" w:lineRule="auto"/>
        <w:jc w:val="both"/>
      </w:pPr>
      <w:r>
        <w:t>Attachment 8 – corporate income tax</w:t>
      </w:r>
    </w:p>
    <w:p w:rsidR="00415F31" w:rsidRDefault="00415F31" w:rsidP="00415F31">
      <w:pPr>
        <w:numPr>
          <w:ilvl w:val="0"/>
          <w:numId w:val="25"/>
        </w:numPr>
        <w:spacing w:before="0" w:after="240" w:line="288" w:lineRule="auto"/>
        <w:jc w:val="both"/>
      </w:pPr>
      <w:r>
        <w:t>Attachment 9 – efficiency benefit sharing scheme</w:t>
      </w:r>
    </w:p>
    <w:p w:rsidR="00415F31" w:rsidRDefault="00415F31" w:rsidP="00415F31">
      <w:pPr>
        <w:numPr>
          <w:ilvl w:val="0"/>
          <w:numId w:val="25"/>
        </w:numPr>
        <w:spacing w:before="0" w:after="240" w:line="288" w:lineRule="auto"/>
        <w:jc w:val="both"/>
      </w:pPr>
      <w:r>
        <w:t>Attachment 10 – capital expenditure sharing scheme</w:t>
      </w:r>
    </w:p>
    <w:p w:rsidR="00415F31" w:rsidRDefault="00415F31" w:rsidP="00415F31">
      <w:pPr>
        <w:numPr>
          <w:ilvl w:val="0"/>
          <w:numId w:val="25"/>
        </w:numPr>
        <w:spacing w:before="0" w:after="240" w:line="288" w:lineRule="auto"/>
        <w:jc w:val="both"/>
      </w:pPr>
      <w:r>
        <w:t>Attachment 11 – service target performance incentive scheme</w:t>
      </w:r>
    </w:p>
    <w:p w:rsidR="00415F31" w:rsidRPr="00D904FA" w:rsidRDefault="00415F31" w:rsidP="00415F31">
      <w:pPr>
        <w:numPr>
          <w:ilvl w:val="0"/>
          <w:numId w:val="25"/>
        </w:numPr>
        <w:spacing w:before="0" w:after="240" w:line="288" w:lineRule="auto"/>
        <w:jc w:val="both"/>
      </w:pPr>
      <w:r>
        <w:t xml:space="preserve">Attachment 12 – </w:t>
      </w:r>
      <w:r w:rsidRPr="00D904FA">
        <w:t>pricing methodology</w:t>
      </w:r>
    </w:p>
    <w:p w:rsidR="00415F31" w:rsidRPr="00D904FA" w:rsidRDefault="00415F31" w:rsidP="00415F31">
      <w:pPr>
        <w:numPr>
          <w:ilvl w:val="0"/>
          <w:numId w:val="25"/>
        </w:numPr>
        <w:spacing w:before="0" w:after="240" w:line="288" w:lineRule="auto"/>
        <w:jc w:val="both"/>
      </w:pPr>
      <w:r>
        <w:t xml:space="preserve">Attachment 13 </w:t>
      </w:r>
      <w:r w:rsidRPr="00D904FA">
        <w:t>– pass through events</w:t>
      </w:r>
    </w:p>
    <w:p w:rsidR="00415F31" w:rsidRDefault="00415F31" w:rsidP="00415F31">
      <w:r w:rsidRPr="00D904FA">
        <w:t>Attachment 14 – negotiated services</w:t>
      </w:r>
    </w:p>
    <w:p w:rsidR="008F07A3" w:rsidRPr="008F07A3" w:rsidRDefault="008F07A3" w:rsidP="00415F31">
      <w:pPr>
        <w:numPr>
          <w:ilvl w:val="0"/>
          <w:numId w:val="25"/>
        </w:numPr>
        <w:sectPr w:rsidR="008F07A3" w:rsidRPr="008F07A3" w:rsidSect="001754EE">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5" w:name="_Toc403144133"/>
      <w:bookmarkStart w:id="6" w:name="_Toc423606704"/>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bookmarkStart w:id="7" w:name="_GoBack" w:displacedByCustomXml="prev"/>
        <w:bookmarkEnd w:id="7" w:displacedByCustomXml="prev"/>
        <w:p w:rsidR="009F72C7" w:rsidRDefault="005706D2">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"1-2" \h \z \t "Heading 3,3" </w:instrText>
          </w:r>
          <w:r>
            <w:rPr>
              <w:color w:val="auto"/>
              <w:sz w:val="22"/>
            </w:rPr>
            <w:fldChar w:fldCharType="separate"/>
          </w:r>
          <w:hyperlink w:anchor="_Toc423606703" w:history="1">
            <w:r w:rsidR="009F72C7" w:rsidRPr="00174AAD">
              <w:rPr>
                <w:rStyle w:val="Hyperlink"/>
              </w:rPr>
              <w:t>Note</w:t>
            </w:r>
            <w:r w:rsidR="009F72C7">
              <w:rPr>
                <w:webHidden/>
              </w:rPr>
              <w:tab/>
            </w:r>
            <w:r w:rsidR="009F72C7">
              <w:rPr>
                <w:webHidden/>
              </w:rPr>
              <w:fldChar w:fldCharType="begin"/>
            </w:r>
            <w:r w:rsidR="009F72C7">
              <w:rPr>
                <w:webHidden/>
              </w:rPr>
              <w:instrText xml:space="preserve"> PAGEREF _Toc423606703 \h </w:instrText>
            </w:r>
            <w:r w:rsidR="009F72C7">
              <w:rPr>
                <w:webHidden/>
              </w:rPr>
            </w:r>
            <w:r w:rsidR="009F72C7">
              <w:rPr>
                <w:webHidden/>
              </w:rPr>
              <w:fldChar w:fldCharType="separate"/>
            </w:r>
            <w:r w:rsidR="009F72C7">
              <w:rPr>
                <w:webHidden/>
              </w:rPr>
              <w:t>5-2</w:t>
            </w:r>
            <w:r w:rsidR="009F72C7">
              <w:rPr>
                <w:webHidden/>
              </w:rPr>
              <w:fldChar w:fldCharType="end"/>
            </w:r>
          </w:hyperlink>
        </w:p>
        <w:p w:rsidR="009F72C7" w:rsidRDefault="009F72C7">
          <w:pPr>
            <w:pStyle w:val="TOC1"/>
            <w:rPr>
              <w:rFonts w:asciiTheme="minorHAnsi" w:eastAsiaTheme="minorEastAsia" w:hAnsiTheme="minorHAnsi"/>
              <w:b w:val="0"/>
              <w:color w:val="auto"/>
              <w:sz w:val="22"/>
              <w:lang w:val="en-AU" w:eastAsia="en-AU"/>
            </w:rPr>
          </w:pPr>
          <w:hyperlink w:anchor="_Toc423606704" w:history="1">
            <w:r w:rsidRPr="00174AAD">
              <w:rPr>
                <w:rStyle w:val="Hyperlink"/>
              </w:rPr>
              <w:t>Contents</w:t>
            </w:r>
            <w:r>
              <w:rPr>
                <w:webHidden/>
              </w:rPr>
              <w:tab/>
            </w:r>
            <w:r>
              <w:rPr>
                <w:webHidden/>
              </w:rPr>
              <w:fldChar w:fldCharType="begin"/>
            </w:r>
            <w:r>
              <w:rPr>
                <w:webHidden/>
              </w:rPr>
              <w:instrText xml:space="preserve"> PAGEREF _Toc423606704 \h </w:instrText>
            </w:r>
            <w:r>
              <w:rPr>
                <w:webHidden/>
              </w:rPr>
            </w:r>
            <w:r>
              <w:rPr>
                <w:webHidden/>
              </w:rPr>
              <w:fldChar w:fldCharType="separate"/>
            </w:r>
            <w:r>
              <w:rPr>
                <w:webHidden/>
              </w:rPr>
              <w:t>5-3</w:t>
            </w:r>
            <w:r>
              <w:rPr>
                <w:webHidden/>
              </w:rPr>
              <w:fldChar w:fldCharType="end"/>
            </w:r>
          </w:hyperlink>
        </w:p>
        <w:p w:rsidR="009F72C7" w:rsidRDefault="009F72C7">
          <w:pPr>
            <w:pStyle w:val="TOC1"/>
            <w:rPr>
              <w:rFonts w:asciiTheme="minorHAnsi" w:eastAsiaTheme="minorEastAsia" w:hAnsiTheme="minorHAnsi"/>
              <w:b w:val="0"/>
              <w:color w:val="auto"/>
              <w:sz w:val="22"/>
              <w:lang w:val="en-AU" w:eastAsia="en-AU"/>
            </w:rPr>
          </w:pPr>
          <w:hyperlink w:anchor="_Toc423606705" w:history="1">
            <w:r w:rsidRPr="00174AAD">
              <w:rPr>
                <w:rStyle w:val="Hyperlink"/>
              </w:rPr>
              <w:t>Shortened forms</w:t>
            </w:r>
            <w:r>
              <w:rPr>
                <w:webHidden/>
              </w:rPr>
              <w:tab/>
            </w:r>
            <w:r>
              <w:rPr>
                <w:webHidden/>
              </w:rPr>
              <w:fldChar w:fldCharType="begin"/>
            </w:r>
            <w:r>
              <w:rPr>
                <w:webHidden/>
              </w:rPr>
              <w:instrText xml:space="preserve"> PAGEREF _Toc423606705 \h </w:instrText>
            </w:r>
            <w:r>
              <w:rPr>
                <w:webHidden/>
              </w:rPr>
            </w:r>
            <w:r>
              <w:rPr>
                <w:webHidden/>
              </w:rPr>
              <w:fldChar w:fldCharType="separate"/>
            </w:r>
            <w:r>
              <w:rPr>
                <w:webHidden/>
              </w:rPr>
              <w:t>5-4</w:t>
            </w:r>
            <w:r>
              <w:rPr>
                <w:webHidden/>
              </w:rPr>
              <w:fldChar w:fldCharType="end"/>
            </w:r>
          </w:hyperlink>
        </w:p>
        <w:p w:rsidR="009F72C7" w:rsidRDefault="009F72C7">
          <w:pPr>
            <w:pStyle w:val="TOC1"/>
            <w:rPr>
              <w:rFonts w:asciiTheme="minorHAnsi" w:eastAsiaTheme="minorEastAsia" w:hAnsiTheme="minorHAnsi"/>
              <w:b w:val="0"/>
              <w:color w:val="auto"/>
              <w:sz w:val="22"/>
              <w:lang w:val="en-AU" w:eastAsia="en-AU"/>
            </w:rPr>
          </w:pPr>
          <w:hyperlink w:anchor="_Toc423606706" w:history="1">
            <w:r w:rsidRPr="00174AAD">
              <w:rPr>
                <w:rStyle w:val="Hyperlink"/>
              </w:rPr>
              <w:t>5</w:t>
            </w:r>
            <w:r>
              <w:rPr>
                <w:rFonts w:asciiTheme="minorHAnsi" w:eastAsiaTheme="minorEastAsia" w:hAnsiTheme="minorHAnsi"/>
                <w:b w:val="0"/>
                <w:color w:val="auto"/>
                <w:sz w:val="22"/>
                <w:lang w:val="en-AU" w:eastAsia="en-AU"/>
              </w:rPr>
              <w:tab/>
            </w:r>
            <w:r w:rsidRPr="00174AAD">
              <w:rPr>
                <w:rStyle w:val="Hyperlink"/>
              </w:rPr>
              <w:t>Regulatory depreciation</w:t>
            </w:r>
            <w:r>
              <w:rPr>
                <w:webHidden/>
              </w:rPr>
              <w:tab/>
            </w:r>
            <w:r>
              <w:rPr>
                <w:webHidden/>
              </w:rPr>
              <w:fldChar w:fldCharType="begin"/>
            </w:r>
            <w:r>
              <w:rPr>
                <w:webHidden/>
              </w:rPr>
              <w:instrText xml:space="preserve"> PAGEREF _Toc423606706 \h </w:instrText>
            </w:r>
            <w:r>
              <w:rPr>
                <w:webHidden/>
              </w:rPr>
            </w:r>
            <w:r>
              <w:rPr>
                <w:webHidden/>
              </w:rPr>
              <w:fldChar w:fldCharType="separate"/>
            </w:r>
            <w:r>
              <w:rPr>
                <w:webHidden/>
              </w:rPr>
              <w:t>5-6</w:t>
            </w:r>
            <w:r>
              <w:rPr>
                <w:webHidden/>
              </w:rPr>
              <w:fldChar w:fldCharType="end"/>
            </w:r>
          </w:hyperlink>
        </w:p>
        <w:p w:rsidR="009F72C7" w:rsidRDefault="009F72C7">
          <w:pPr>
            <w:pStyle w:val="TOC2"/>
            <w:rPr>
              <w:rFonts w:asciiTheme="minorHAnsi" w:eastAsiaTheme="minorEastAsia" w:hAnsiTheme="minorHAnsi"/>
              <w:b w:val="0"/>
              <w:color w:val="auto"/>
              <w:sz w:val="22"/>
              <w:lang w:eastAsia="en-AU"/>
            </w:rPr>
          </w:pPr>
          <w:hyperlink w:anchor="_Toc423606707" w:history="1">
            <w:r w:rsidRPr="00174AAD">
              <w:rPr>
                <w:rStyle w:val="Hyperlink"/>
              </w:rPr>
              <w:t>5.1</w:t>
            </w:r>
            <w:r>
              <w:rPr>
                <w:rFonts w:asciiTheme="minorHAnsi" w:eastAsiaTheme="minorEastAsia" w:hAnsiTheme="minorHAnsi"/>
                <w:b w:val="0"/>
                <w:color w:val="auto"/>
                <w:sz w:val="22"/>
                <w:lang w:eastAsia="en-AU"/>
              </w:rPr>
              <w:tab/>
            </w:r>
            <w:r w:rsidRPr="00174AAD">
              <w:rPr>
                <w:rStyle w:val="Hyperlink"/>
              </w:rPr>
              <w:t>Final decision</w:t>
            </w:r>
            <w:r>
              <w:rPr>
                <w:webHidden/>
              </w:rPr>
              <w:tab/>
            </w:r>
            <w:r>
              <w:rPr>
                <w:webHidden/>
              </w:rPr>
              <w:fldChar w:fldCharType="begin"/>
            </w:r>
            <w:r>
              <w:rPr>
                <w:webHidden/>
              </w:rPr>
              <w:instrText xml:space="preserve"> PAGEREF _Toc423606707 \h </w:instrText>
            </w:r>
            <w:r>
              <w:rPr>
                <w:webHidden/>
              </w:rPr>
            </w:r>
            <w:r>
              <w:rPr>
                <w:webHidden/>
              </w:rPr>
              <w:fldChar w:fldCharType="separate"/>
            </w:r>
            <w:r>
              <w:rPr>
                <w:webHidden/>
              </w:rPr>
              <w:t>5-6</w:t>
            </w:r>
            <w:r>
              <w:rPr>
                <w:webHidden/>
              </w:rPr>
              <w:fldChar w:fldCharType="end"/>
            </w:r>
          </w:hyperlink>
        </w:p>
        <w:p w:rsidR="009F72C7" w:rsidRDefault="009F72C7">
          <w:pPr>
            <w:pStyle w:val="TOC2"/>
            <w:rPr>
              <w:rFonts w:asciiTheme="minorHAnsi" w:eastAsiaTheme="minorEastAsia" w:hAnsiTheme="minorHAnsi"/>
              <w:b w:val="0"/>
              <w:color w:val="auto"/>
              <w:sz w:val="22"/>
              <w:lang w:eastAsia="en-AU"/>
            </w:rPr>
          </w:pPr>
          <w:hyperlink w:anchor="_Toc423606708" w:history="1">
            <w:r w:rsidRPr="00174AAD">
              <w:rPr>
                <w:rStyle w:val="Hyperlink"/>
              </w:rPr>
              <w:t>5.2</w:t>
            </w:r>
            <w:r>
              <w:rPr>
                <w:rFonts w:asciiTheme="minorHAnsi" w:eastAsiaTheme="minorEastAsia" w:hAnsiTheme="minorHAnsi"/>
                <w:b w:val="0"/>
                <w:color w:val="auto"/>
                <w:sz w:val="22"/>
                <w:lang w:eastAsia="en-AU"/>
              </w:rPr>
              <w:tab/>
            </w:r>
            <w:r w:rsidRPr="00174AAD">
              <w:rPr>
                <w:rStyle w:val="Hyperlink"/>
              </w:rPr>
              <w:t>TransGrid’s revised proposal</w:t>
            </w:r>
            <w:r>
              <w:rPr>
                <w:webHidden/>
              </w:rPr>
              <w:tab/>
            </w:r>
            <w:r>
              <w:rPr>
                <w:webHidden/>
              </w:rPr>
              <w:fldChar w:fldCharType="begin"/>
            </w:r>
            <w:r>
              <w:rPr>
                <w:webHidden/>
              </w:rPr>
              <w:instrText xml:space="preserve"> PAGEREF _Toc423606708 \h </w:instrText>
            </w:r>
            <w:r>
              <w:rPr>
                <w:webHidden/>
              </w:rPr>
            </w:r>
            <w:r>
              <w:rPr>
                <w:webHidden/>
              </w:rPr>
              <w:fldChar w:fldCharType="separate"/>
            </w:r>
            <w:r>
              <w:rPr>
                <w:webHidden/>
              </w:rPr>
              <w:t>5-7</w:t>
            </w:r>
            <w:r>
              <w:rPr>
                <w:webHidden/>
              </w:rPr>
              <w:fldChar w:fldCharType="end"/>
            </w:r>
          </w:hyperlink>
        </w:p>
        <w:p w:rsidR="009F72C7" w:rsidRDefault="009F72C7">
          <w:pPr>
            <w:pStyle w:val="TOC2"/>
            <w:rPr>
              <w:rFonts w:asciiTheme="minorHAnsi" w:eastAsiaTheme="minorEastAsia" w:hAnsiTheme="minorHAnsi"/>
              <w:b w:val="0"/>
              <w:color w:val="auto"/>
              <w:sz w:val="22"/>
              <w:lang w:eastAsia="en-AU"/>
            </w:rPr>
          </w:pPr>
          <w:hyperlink w:anchor="_Toc423606709" w:history="1">
            <w:r w:rsidRPr="00174AAD">
              <w:rPr>
                <w:rStyle w:val="Hyperlink"/>
              </w:rPr>
              <w:t>5.3</w:t>
            </w:r>
            <w:r>
              <w:rPr>
                <w:rFonts w:asciiTheme="minorHAnsi" w:eastAsiaTheme="minorEastAsia" w:hAnsiTheme="minorHAnsi"/>
                <w:b w:val="0"/>
                <w:color w:val="auto"/>
                <w:sz w:val="22"/>
                <w:lang w:eastAsia="en-AU"/>
              </w:rPr>
              <w:tab/>
            </w:r>
            <w:r w:rsidRPr="00174AAD">
              <w:rPr>
                <w:rStyle w:val="Hyperlink"/>
              </w:rPr>
              <w:t>AER’s assessment approach</w:t>
            </w:r>
            <w:r>
              <w:rPr>
                <w:webHidden/>
              </w:rPr>
              <w:tab/>
            </w:r>
            <w:r>
              <w:rPr>
                <w:webHidden/>
              </w:rPr>
              <w:fldChar w:fldCharType="begin"/>
            </w:r>
            <w:r>
              <w:rPr>
                <w:webHidden/>
              </w:rPr>
              <w:instrText xml:space="preserve"> PAGEREF _Toc423606709 \h </w:instrText>
            </w:r>
            <w:r>
              <w:rPr>
                <w:webHidden/>
              </w:rPr>
            </w:r>
            <w:r>
              <w:rPr>
                <w:webHidden/>
              </w:rPr>
              <w:fldChar w:fldCharType="separate"/>
            </w:r>
            <w:r>
              <w:rPr>
                <w:webHidden/>
              </w:rPr>
              <w:t>5-8</w:t>
            </w:r>
            <w:r>
              <w:rPr>
                <w:webHidden/>
              </w:rPr>
              <w:fldChar w:fldCharType="end"/>
            </w:r>
          </w:hyperlink>
        </w:p>
        <w:p w:rsidR="009F72C7" w:rsidRDefault="009F72C7">
          <w:pPr>
            <w:pStyle w:val="TOC2"/>
            <w:rPr>
              <w:rFonts w:asciiTheme="minorHAnsi" w:eastAsiaTheme="minorEastAsia" w:hAnsiTheme="minorHAnsi"/>
              <w:b w:val="0"/>
              <w:color w:val="auto"/>
              <w:sz w:val="22"/>
              <w:lang w:eastAsia="en-AU"/>
            </w:rPr>
          </w:pPr>
          <w:hyperlink w:anchor="_Toc423606710" w:history="1">
            <w:r w:rsidRPr="00174AAD">
              <w:rPr>
                <w:rStyle w:val="Hyperlink"/>
              </w:rPr>
              <w:t>5.4</w:t>
            </w:r>
            <w:r>
              <w:rPr>
                <w:rFonts w:asciiTheme="minorHAnsi" w:eastAsiaTheme="minorEastAsia" w:hAnsiTheme="minorHAnsi"/>
                <w:b w:val="0"/>
                <w:color w:val="auto"/>
                <w:sz w:val="22"/>
                <w:lang w:eastAsia="en-AU"/>
              </w:rPr>
              <w:tab/>
            </w:r>
            <w:r w:rsidRPr="00174AAD">
              <w:rPr>
                <w:rStyle w:val="Hyperlink"/>
              </w:rPr>
              <w:t>Reasons for final decision</w:t>
            </w:r>
            <w:r>
              <w:rPr>
                <w:webHidden/>
              </w:rPr>
              <w:tab/>
            </w:r>
            <w:r>
              <w:rPr>
                <w:webHidden/>
              </w:rPr>
              <w:fldChar w:fldCharType="begin"/>
            </w:r>
            <w:r>
              <w:rPr>
                <w:webHidden/>
              </w:rPr>
              <w:instrText xml:space="preserve"> PAGEREF _Toc423606710 \h </w:instrText>
            </w:r>
            <w:r>
              <w:rPr>
                <w:webHidden/>
              </w:rPr>
            </w:r>
            <w:r>
              <w:rPr>
                <w:webHidden/>
              </w:rPr>
              <w:fldChar w:fldCharType="separate"/>
            </w:r>
            <w:r>
              <w:rPr>
                <w:webHidden/>
              </w:rPr>
              <w:t>5-8</w:t>
            </w:r>
            <w:r>
              <w:rPr>
                <w:webHidden/>
              </w:rPr>
              <w:fldChar w:fldCharType="end"/>
            </w:r>
          </w:hyperlink>
        </w:p>
        <w:p w:rsidR="009F72C7" w:rsidRDefault="009F72C7">
          <w:pPr>
            <w:pStyle w:val="TOC3"/>
            <w:rPr>
              <w:rFonts w:asciiTheme="minorHAnsi" w:eastAsiaTheme="minorEastAsia" w:hAnsiTheme="minorHAnsi"/>
              <w:lang w:eastAsia="en-AU"/>
            </w:rPr>
          </w:pPr>
          <w:hyperlink w:anchor="_Toc423606711" w:history="1">
            <w:r w:rsidRPr="00174AAD">
              <w:rPr>
                <w:rStyle w:val="Hyperlink"/>
              </w:rPr>
              <w:t>5.4.1</w:t>
            </w:r>
            <w:r>
              <w:rPr>
                <w:rFonts w:asciiTheme="minorHAnsi" w:eastAsiaTheme="minorEastAsia" w:hAnsiTheme="minorHAnsi"/>
                <w:lang w:eastAsia="en-AU"/>
              </w:rPr>
              <w:tab/>
            </w:r>
            <w:r w:rsidRPr="00174AAD">
              <w:rPr>
                <w:rStyle w:val="Hyperlink"/>
              </w:rPr>
              <w:t>Standard asset lives</w:t>
            </w:r>
            <w:r>
              <w:rPr>
                <w:webHidden/>
              </w:rPr>
              <w:tab/>
            </w:r>
            <w:r>
              <w:rPr>
                <w:webHidden/>
              </w:rPr>
              <w:fldChar w:fldCharType="begin"/>
            </w:r>
            <w:r>
              <w:rPr>
                <w:webHidden/>
              </w:rPr>
              <w:instrText xml:space="preserve"> PAGEREF _Toc423606711 \h </w:instrText>
            </w:r>
            <w:r>
              <w:rPr>
                <w:webHidden/>
              </w:rPr>
            </w:r>
            <w:r>
              <w:rPr>
                <w:webHidden/>
              </w:rPr>
              <w:fldChar w:fldCharType="separate"/>
            </w:r>
            <w:r>
              <w:rPr>
                <w:webHidden/>
              </w:rPr>
              <w:t>5-8</w:t>
            </w:r>
            <w:r>
              <w:rPr>
                <w:webHidden/>
              </w:rPr>
              <w:fldChar w:fldCharType="end"/>
            </w:r>
          </w:hyperlink>
        </w:p>
        <w:p w:rsidR="009F72C7" w:rsidRDefault="009F72C7">
          <w:pPr>
            <w:pStyle w:val="TOC3"/>
            <w:rPr>
              <w:rFonts w:asciiTheme="minorHAnsi" w:eastAsiaTheme="minorEastAsia" w:hAnsiTheme="minorHAnsi"/>
              <w:lang w:eastAsia="en-AU"/>
            </w:rPr>
          </w:pPr>
          <w:hyperlink w:anchor="_Toc423606712" w:history="1">
            <w:r w:rsidRPr="00174AAD">
              <w:rPr>
                <w:rStyle w:val="Hyperlink"/>
              </w:rPr>
              <w:t>5.4.2</w:t>
            </w:r>
            <w:r>
              <w:rPr>
                <w:rFonts w:asciiTheme="minorHAnsi" w:eastAsiaTheme="minorEastAsia" w:hAnsiTheme="minorHAnsi"/>
                <w:lang w:eastAsia="en-AU"/>
              </w:rPr>
              <w:tab/>
            </w:r>
            <w:r w:rsidRPr="00174AAD">
              <w:rPr>
                <w:rStyle w:val="Hyperlink"/>
              </w:rPr>
              <w:t>Remaining asset lives</w:t>
            </w:r>
            <w:r>
              <w:rPr>
                <w:webHidden/>
              </w:rPr>
              <w:tab/>
            </w:r>
            <w:r>
              <w:rPr>
                <w:webHidden/>
              </w:rPr>
              <w:fldChar w:fldCharType="begin"/>
            </w:r>
            <w:r>
              <w:rPr>
                <w:webHidden/>
              </w:rPr>
              <w:instrText xml:space="preserve"> PAGEREF _Toc423606712 \h </w:instrText>
            </w:r>
            <w:r>
              <w:rPr>
                <w:webHidden/>
              </w:rPr>
            </w:r>
            <w:r>
              <w:rPr>
                <w:webHidden/>
              </w:rPr>
              <w:fldChar w:fldCharType="separate"/>
            </w:r>
            <w:r>
              <w:rPr>
                <w:webHidden/>
              </w:rPr>
              <w:t>5-9</w:t>
            </w:r>
            <w:r>
              <w:rPr>
                <w:webHidden/>
              </w:rPr>
              <w:fldChar w:fldCharType="end"/>
            </w:r>
          </w:hyperlink>
        </w:p>
        <w:p w:rsidR="00DE563D" w:rsidRDefault="005706D2" w:rsidP="005706D2">
          <w:pPr>
            <w:pStyle w:val="TOC1"/>
          </w:pPr>
          <w:r>
            <w:rPr>
              <w:color w:val="auto"/>
              <w:sz w:val="22"/>
            </w:rPr>
            <w:fldChar w:fldCharType="end"/>
          </w:r>
        </w:p>
      </w:sdtContent>
    </w:sdt>
    <w:p w:rsidR="00DE563D" w:rsidRDefault="00C84560">
      <w:pPr>
        <w:spacing w:line="240" w:lineRule="auto"/>
      </w:pPr>
      <w:r>
        <w:t xml:space="preserve"> </w:t>
      </w:r>
    </w:p>
    <w:p w:rsidR="00DE563D" w:rsidRDefault="00DE563D" w:rsidP="00DE563D">
      <w:pPr>
        <w:pStyle w:val="UnnumberedHeading"/>
        <w:numPr>
          <w:ilvl w:val="0"/>
          <w:numId w:val="24"/>
        </w:numPr>
      </w:pPr>
      <w:bookmarkStart w:id="8" w:name="_Toc404700925"/>
      <w:bookmarkStart w:id="9" w:name="_Toc423606705"/>
      <w:r>
        <w:lastRenderedPageBreak/>
        <w:t>Shortened forms</w:t>
      </w:r>
      <w:bookmarkEnd w:id="8"/>
      <w:bookmarkEnd w:id="9"/>
    </w:p>
    <w:p w:rsidR="00DE563D" w:rsidRDefault="00DE563D" w:rsidP="00415F31"/>
    <w:tbl>
      <w:tblPr>
        <w:tblStyle w:val="AERtable-numbers"/>
        <w:tblW w:w="0" w:type="auto"/>
        <w:tblLook w:val="04A0" w:firstRow="1" w:lastRow="0" w:firstColumn="1" w:lastColumn="0" w:noHBand="0" w:noVBand="1"/>
      </w:tblPr>
      <w:tblGrid>
        <w:gridCol w:w="4340"/>
        <w:gridCol w:w="4353"/>
      </w:tblGrid>
      <w:tr w:rsidR="00415F31" w:rsidTr="003C679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Shortened form</w:t>
            </w:r>
          </w:p>
        </w:tc>
        <w:tc>
          <w:tcPr>
            <w:tcW w:w="4621" w:type="dxa"/>
          </w:tcPr>
          <w:p w:rsidR="00415F31" w:rsidRDefault="00415F31" w:rsidP="00415F31">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t>Extended form</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AARR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aggregate annual revenue requirement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AEMC</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Market Commission</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AEMO</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Australian Energy Market Operator</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AER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Australian Energy Regulator</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ASRR</w:t>
            </w:r>
          </w:p>
        </w:tc>
        <w:tc>
          <w:tcPr>
            <w:tcW w:w="4621" w:type="dxa"/>
          </w:tcPr>
          <w:p w:rsidR="00415F31" w:rsidRDefault="009D3906"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415F31">
              <w:t xml:space="preserve"> service revenue requirement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augex</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augmentation expenditure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capex</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CCP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Challenge Panel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CESS</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capital expenditure sharing scheme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CPI</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consumer price index</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DRP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debt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EBSS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efficiency benefit sharing scheme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ERP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equity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MAR</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maximum allowed revenue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MRP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market risk premium</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NEL</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law</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market</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NEO</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national electricity objective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NER</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national electricity rules</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NSP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network service provider</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lastRenderedPageBreak/>
              <w:t>NTSC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negotiated transmission service criteria</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opex</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operating expenditure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PPI</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partial performance indicators</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PTRM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post-tax revenue model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RAB</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asset base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RBA</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Reserve Bank of Australia</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repex</w:t>
            </w:r>
            <w:proofErr w:type="spellEnd"/>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replacement expenditure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RFM</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roll forward model</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RIN</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regulatory information notice</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RPP</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 xml:space="preserve">revenue </w:t>
            </w:r>
            <w:r w:rsidR="002D72E8">
              <w:t xml:space="preserve">and </w:t>
            </w:r>
            <w:r>
              <w:t>pricing principles</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SLCAPM</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Sharpe-</w:t>
            </w:r>
            <w:proofErr w:type="spellStart"/>
            <w:r>
              <w:t>Lintner</w:t>
            </w:r>
            <w:proofErr w:type="spellEnd"/>
            <w:r>
              <w:t xml:space="preserve"> capital asset pricing model</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STPIS</w:t>
            </w:r>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TNSP</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transmission network service provider</w:t>
            </w:r>
          </w:p>
        </w:tc>
      </w:tr>
      <w:tr w:rsidR="00415F31" w:rsidTr="003C67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proofErr w:type="spellStart"/>
            <w:r>
              <w:t>TUoS</w:t>
            </w:r>
            <w:proofErr w:type="spellEnd"/>
          </w:p>
        </w:tc>
        <w:tc>
          <w:tcPr>
            <w:tcW w:w="4621" w:type="dxa"/>
          </w:tcPr>
          <w:p w:rsidR="00415F31" w:rsidRDefault="00415F31" w:rsidP="00415F31">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t>transmission use of system</w:t>
            </w:r>
          </w:p>
        </w:tc>
      </w:tr>
      <w:tr w:rsidR="00415F31" w:rsidTr="003C679C">
        <w:tc>
          <w:tcPr>
            <w:cnfStyle w:val="001000000000" w:firstRow="0" w:lastRow="0" w:firstColumn="1" w:lastColumn="0" w:oddVBand="0" w:evenVBand="0" w:oddHBand="0" w:evenHBand="0" w:firstRowFirstColumn="0" w:firstRowLastColumn="0" w:lastRowFirstColumn="0" w:lastRowLastColumn="0"/>
            <w:tcW w:w="4621" w:type="dxa"/>
          </w:tcPr>
          <w:p w:rsidR="00415F31" w:rsidRDefault="00415F31" w:rsidP="00415F31">
            <w:pPr>
              <w:numPr>
                <w:ilvl w:val="0"/>
                <w:numId w:val="25"/>
              </w:numPr>
              <w:spacing w:after="240" w:line="288" w:lineRule="auto"/>
              <w:jc w:val="both"/>
            </w:pPr>
            <w:r>
              <w:t>WACC</w:t>
            </w:r>
          </w:p>
        </w:tc>
        <w:tc>
          <w:tcPr>
            <w:tcW w:w="4621" w:type="dxa"/>
          </w:tcPr>
          <w:p w:rsidR="00415F31" w:rsidRDefault="00415F31" w:rsidP="00415F31">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415F31" w:rsidRPr="00271F7C" w:rsidRDefault="00415F31" w:rsidP="00415F31"/>
    <w:p w:rsidR="00DE563D" w:rsidRPr="00436A39" w:rsidRDefault="00DE563D" w:rsidP="00DE563D">
      <w:pPr>
        <w:numPr>
          <w:ilvl w:val="0"/>
          <w:numId w:val="25"/>
        </w:numPr>
      </w:pPr>
    </w:p>
    <w:p w:rsidR="00DE563D" w:rsidRDefault="00DE563D" w:rsidP="00DE563D"/>
    <w:p w:rsidR="00DE563D" w:rsidRDefault="008D57DF" w:rsidP="00BE50EB">
      <w:pPr>
        <w:pStyle w:val="Heading1"/>
      </w:pPr>
      <w:bookmarkStart w:id="10" w:name="_Toc423606706"/>
      <w:r>
        <w:lastRenderedPageBreak/>
        <w:t xml:space="preserve">Regulatory </w:t>
      </w:r>
      <w:r w:rsidR="00BE50EB">
        <w:t>depreciation</w:t>
      </w:r>
      <w:bookmarkEnd w:id="10"/>
    </w:p>
    <w:p w:rsidR="003C679C" w:rsidRPr="00B30299" w:rsidRDefault="003C679C" w:rsidP="003C679C">
      <w:bookmarkStart w:id="11" w:name="_Toc403144136"/>
      <w:r w:rsidRPr="00B30299">
        <w:t>The AER is required to decide on the indexation of the regulatory as</w:t>
      </w:r>
      <w:r>
        <w:t xml:space="preserve">set base (RAB) and depreciation </w:t>
      </w:r>
      <w:r w:rsidRPr="00B30299">
        <w:t xml:space="preserve">building blocks for </w:t>
      </w:r>
      <w:proofErr w:type="spellStart"/>
      <w:r w:rsidRPr="00B30299">
        <w:t>TransGrid's</w:t>
      </w:r>
      <w:proofErr w:type="spellEnd"/>
      <w:r w:rsidRPr="00B30299">
        <w:t xml:space="preserve"> 2014–18 period.</w:t>
      </w:r>
      <w:r>
        <w:rPr>
          <w:rStyle w:val="FootnoteReference"/>
        </w:rPr>
        <w:footnoteReference w:id="1"/>
      </w:r>
      <w:r w:rsidRPr="00B30299">
        <w:t xml:space="preserve"> We use regulatory depreciation to model the nominal asset values over the regulatory control period, and set the depreciation allowance in the annual building block revenue requirement. The regulatory depreciation allowance (or return of capital) is the net total of the straight-line depreciation (negative) and the indexation of the RAB (positive). </w:t>
      </w:r>
    </w:p>
    <w:p w:rsidR="003C679C" w:rsidRPr="00B30299" w:rsidRDefault="003C679C" w:rsidP="003C679C">
      <w:r w:rsidRPr="00B30299">
        <w:t xml:space="preserve">This attachment sets out our </w:t>
      </w:r>
      <w:r w:rsidR="009F3D13">
        <w:t>final</w:t>
      </w:r>
      <w:r w:rsidRPr="00B30299">
        <w:t xml:space="preserve"> decision on </w:t>
      </w:r>
      <w:proofErr w:type="spellStart"/>
      <w:r w:rsidRPr="00B30299">
        <w:t>TransGrid's</w:t>
      </w:r>
      <w:proofErr w:type="spellEnd"/>
      <w:r w:rsidRPr="00B30299">
        <w:t xml:space="preserve"> regulatory depreciation allowance. It also</w:t>
      </w:r>
      <w:r>
        <w:t xml:space="preserve"> </w:t>
      </w:r>
      <w:r w:rsidRPr="00B30299">
        <w:t xml:space="preserve">presents our </w:t>
      </w:r>
      <w:r w:rsidR="004517AE">
        <w:t>final</w:t>
      </w:r>
      <w:r w:rsidRPr="00B30299">
        <w:t xml:space="preserve"> decision on the </w:t>
      </w:r>
      <w:r w:rsidR="004517AE">
        <w:t xml:space="preserve">revised </w:t>
      </w:r>
      <w:r w:rsidRPr="00B30299">
        <w:t>proposed depreciation schedules, including the</w:t>
      </w:r>
      <w:r>
        <w:t xml:space="preserve"> </w:t>
      </w:r>
      <w:r w:rsidR="004517AE">
        <w:t xml:space="preserve">revised </w:t>
      </w:r>
      <w:r w:rsidRPr="00B30299">
        <w:t>proposed standard and remaining asset lives to be used for forecasting depreciation allowances.</w:t>
      </w:r>
    </w:p>
    <w:p w:rsidR="00DE563D" w:rsidRPr="001754EE" w:rsidRDefault="00415F31" w:rsidP="001754EE">
      <w:pPr>
        <w:pStyle w:val="Heading2"/>
      </w:pPr>
      <w:bookmarkStart w:id="12" w:name="_Toc423606707"/>
      <w:r w:rsidRPr="001754EE">
        <w:t>Final</w:t>
      </w:r>
      <w:r w:rsidR="00DE563D" w:rsidRPr="001754EE">
        <w:t xml:space="preserve"> decision</w:t>
      </w:r>
      <w:bookmarkEnd w:id="11"/>
      <w:bookmarkEnd w:id="12"/>
    </w:p>
    <w:p w:rsidR="003C679C" w:rsidRDefault="001067EA" w:rsidP="003C679C">
      <w:bookmarkStart w:id="13" w:name="_Toc403144137"/>
      <w:r>
        <w:t>We determine</w:t>
      </w:r>
      <w:r w:rsidR="003C679C" w:rsidRPr="00CA77A4">
        <w:t xml:space="preserve"> </w:t>
      </w:r>
      <w:proofErr w:type="spellStart"/>
      <w:r w:rsidR="003C679C">
        <w:t>TransGrid's</w:t>
      </w:r>
      <w:proofErr w:type="spellEnd"/>
      <w:r w:rsidR="003C679C" w:rsidRPr="00CA77A4">
        <w:t xml:space="preserve"> regulatory depreciation allowance is $</w:t>
      </w:r>
      <w:r w:rsidR="003C679C" w:rsidRPr="00885F4F">
        <w:t xml:space="preserve"> </w:t>
      </w:r>
      <w:r w:rsidR="000A16AA">
        <w:t>45</w:t>
      </w:r>
      <w:r w:rsidR="00746223">
        <w:t>3.3</w:t>
      </w:r>
      <w:r w:rsidR="003C679C">
        <w:t xml:space="preserve"> </w:t>
      </w:r>
      <w:r w:rsidR="003C679C" w:rsidRPr="00CA77A4">
        <w:t>million (</w:t>
      </w:r>
      <w:r w:rsidR="003C679C">
        <w:t>$</w:t>
      </w:r>
      <w:r w:rsidR="003E00B8">
        <w:t> </w:t>
      </w:r>
      <w:r w:rsidR="003C679C">
        <w:t>nominal)</w:t>
      </w:r>
      <w:r>
        <w:t xml:space="preserve"> for the 2014–18 period, which is a</w:t>
      </w:r>
      <w:r w:rsidR="00105CC4">
        <w:t>n increase</w:t>
      </w:r>
      <w:r>
        <w:t xml:space="preserve"> of $</w:t>
      </w:r>
      <w:r w:rsidR="000A16AA">
        <w:t>2</w:t>
      </w:r>
      <w:r w:rsidR="00746223">
        <w:t>9.5</w:t>
      </w:r>
      <w:r>
        <w:t xml:space="preserve"> million (or </w:t>
      </w:r>
      <w:r w:rsidR="00746223">
        <w:t>7</w:t>
      </w:r>
      <w:r>
        <w:t xml:space="preserve"> per cent) from its revised proposal</w:t>
      </w:r>
      <w:r w:rsidR="003C679C">
        <w:t xml:space="preserve">. </w:t>
      </w:r>
    </w:p>
    <w:p w:rsidR="004D2996" w:rsidRDefault="003C679C" w:rsidP="003C679C">
      <w:r w:rsidRPr="00B30299">
        <w:t xml:space="preserve">We accept </w:t>
      </w:r>
      <w:proofErr w:type="spellStart"/>
      <w:r>
        <w:t>TransGrid's</w:t>
      </w:r>
      <w:proofErr w:type="spellEnd"/>
      <w:r w:rsidRPr="00B30299">
        <w:t xml:space="preserve"> proposed depreciation </w:t>
      </w:r>
      <w:r>
        <w:t>method</w:t>
      </w:r>
      <w:r w:rsidRPr="00B30299">
        <w:t xml:space="preserve"> set out in its revised proposal. However, our final decision on </w:t>
      </w:r>
      <w:proofErr w:type="spellStart"/>
      <w:r>
        <w:t>TransGrid's</w:t>
      </w:r>
      <w:proofErr w:type="spellEnd"/>
      <w:r w:rsidRPr="00B30299">
        <w:t xml:space="preserve"> regulatory depreciation allowance for the 2014–</w:t>
      </w:r>
      <w:r>
        <w:t>18</w:t>
      </w:r>
      <w:r w:rsidRPr="00B30299">
        <w:t xml:space="preserve"> </w:t>
      </w:r>
      <w:proofErr w:type="gramStart"/>
      <w:r w:rsidRPr="00B30299">
        <w:t>period</w:t>
      </w:r>
      <w:proofErr w:type="gramEnd"/>
      <w:r w:rsidRPr="00B30299">
        <w:t xml:space="preserve"> differs from </w:t>
      </w:r>
      <w:r w:rsidR="002017A2">
        <w:t xml:space="preserve">its </w:t>
      </w:r>
      <w:r w:rsidRPr="00B30299">
        <w:t>revised proposal</w:t>
      </w:r>
      <w:r w:rsidR="001C58D4">
        <w:t xml:space="preserve">. This is because </w:t>
      </w:r>
      <w:r w:rsidR="004D2996">
        <w:t xml:space="preserve">of </w:t>
      </w:r>
      <w:r w:rsidRPr="00B30299">
        <w:t>our</w:t>
      </w:r>
      <w:r w:rsidR="004D2996">
        <w:t>:</w:t>
      </w:r>
    </w:p>
    <w:p w:rsidR="004D2996" w:rsidRDefault="004D2996" w:rsidP="004D2996">
      <w:pPr>
        <w:pStyle w:val="AERbulletlistfirststyle"/>
      </w:pPr>
      <w:r>
        <w:t xml:space="preserve">updates to </w:t>
      </w:r>
      <w:proofErr w:type="spellStart"/>
      <w:r>
        <w:t>TransGrid's</w:t>
      </w:r>
      <w:proofErr w:type="spellEnd"/>
      <w:r>
        <w:t xml:space="preserve"> remaining asset lives as at 1 July 2014 to reflect actual capex in 2013–14 (section</w:t>
      </w:r>
      <w:r w:rsidR="00F40DA7">
        <w:t xml:space="preserve"> </w:t>
      </w:r>
      <w:r w:rsidR="00F40DA7">
        <w:fldChar w:fldCharType="begin"/>
      </w:r>
      <w:r w:rsidR="00F40DA7">
        <w:instrText xml:space="preserve"> REF _Ref413755261 \r \h </w:instrText>
      </w:r>
      <w:r w:rsidR="00F40DA7">
        <w:fldChar w:fldCharType="separate"/>
      </w:r>
      <w:r w:rsidR="003B4BE6">
        <w:t>5.4.2</w:t>
      </w:r>
      <w:r w:rsidR="00F40DA7">
        <w:fldChar w:fldCharType="end"/>
      </w:r>
      <w:r>
        <w:t xml:space="preserve">) </w:t>
      </w:r>
    </w:p>
    <w:p w:rsidR="003C679C" w:rsidRDefault="003C679C" w:rsidP="004D2996">
      <w:pPr>
        <w:pStyle w:val="AERbulletlistfirststyle"/>
      </w:pPr>
      <w:r w:rsidRPr="00B30299">
        <w:t>determination</w:t>
      </w:r>
      <w:r w:rsidR="001C58D4">
        <w:t xml:space="preserve">s on other components of </w:t>
      </w:r>
      <w:proofErr w:type="spellStart"/>
      <w:r w:rsidR="001C58D4">
        <w:t>TransGrid's</w:t>
      </w:r>
      <w:proofErr w:type="spellEnd"/>
      <w:r w:rsidR="001C58D4">
        <w:t xml:space="preserve"> revised proposal </w:t>
      </w:r>
      <w:r w:rsidR="004D2996">
        <w:t xml:space="preserve">which </w:t>
      </w:r>
      <w:r w:rsidR="001C58D4">
        <w:t xml:space="preserve">affect the forecast regulatory depreciation allowance—for example, the </w:t>
      </w:r>
      <w:r w:rsidR="00C26E36">
        <w:t xml:space="preserve">opening RAB value (attachment 2), </w:t>
      </w:r>
      <w:r w:rsidR="001C58D4">
        <w:t>forecast inflation (attachment 3)</w:t>
      </w:r>
      <w:r w:rsidR="004D2996">
        <w:t xml:space="preserve"> and</w:t>
      </w:r>
      <w:r w:rsidR="001C58D4">
        <w:t xml:space="preserve"> </w:t>
      </w:r>
      <w:r>
        <w:t>forecast capex (attachment 6</w:t>
      </w:r>
      <w:r w:rsidR="00472D4B">
        <w:t>)</w:t>
      </w:r>
      <w:r w:rsidR="004D2996">
        <w:t>.</w:t>
      </w:r>
      <w:r w:rsidR="00500D5B">
        <w:t xml:space="preserve"> </w:t>
      </w:r>
      <w:r w:rsidR="00C6788B" w:rsidRPr="00F83034">
        <w:t xml:space="preserve">In particular, the lower forecast inflation rate used in this </w:t>
      </w:r>
      <w:r w:rsidR="00C6788B">
        <w:t>final</w:t>
      </w:r>
      <w:r w:rsidR="00C6788B" w:rsidRPr="00F83034">
        <w:t xml:space="preserve"> decision means the resulting regulatory depreciation allowance (which nets out the inflation indexation on the opening RAB) is higher than proposed.</w:t>
      </w:r>
    </w:p>
    <w:p w:rsidR="00193DF3" w:rsidRDefault="00193DF3" w:rsidP="00193DF3">
      <w:pPr>
        <w:numPr>
          <w:ilvl w:val="0"/>
          <w:numId w:val="25"/>
        </w:numPr>
      </w:pPr>
      <w:r>
        <w:fldChar w:fldCharType="begin"/>
      </w:r>
      <w:r>
        <w:instrText xml:space="preserve"> REF _Ref402185644 \h </w:instrText>
      </w:r>
      <w:r>
        <w:fldChar w:fldCharType="separate"/>
      </w:r>
      <w:r w:rsidR="003B4BE6" w:rsidRPr="002B5AE6">
        <w:t xml:space="preserve">Table </w:t>
      </w:r>
      <w:r w:rsidR="003B4BE6">
        <w:t>5</w:t>
      </w:r>
      <w:r w:rsidR="003B4BE6">
        <w:noBreakHyphen/>
      </w:r>
      <w:r w:rsidR="003B4BE6">
        <w:rPr>
          <w:noProof/>
        </w:rPr>
        <w:t>1</w:t>
      </w:r>
      <w:r>
        <w:fldChar w:fldCharType="end"/>
      </w:r>
      <w:r>
        <w:t xml:space="preserve"> </w:t>
      </w:r>
      <w:r w:rsidRPr="00B63AFD">
        <w:t>set</w:t>
      </w:r>
      <w:r>
        <w:t>s</w:t>
      </w:r>
      <w:r w:rsidRPr="00B63AFD">
        <w:t xml:space="preserve"> out our </w:t>
      </w:r>
      <w:r w:rsidR="003C679C">
        <w:t xml:space="preserve">final </w:t>
      </w:r>
      <w:r w:rsidRPr="00B63AFD">
        <w:t xml:space="preserve">decision on </w:t>
      </w:r>
      <w:r>
        <w:t xml:space="preserve">the </w:t>
      </w:r>
      <w:r w:rsidRPr="00B63AFD">
        <w:t>annual regulatory depreciation allowance</w:t>
      </w:r>
      <w:r w:rsidRPr="00806736">
        <w:t xml:space="preserve"> </w:t>
      </w:r>
      <w:r>
        <w:t xml:space="preserve">for </w:t>
      </w:r>
      <w:proofErr w:type="spellStart"/>
      <w:r w:rsidRPr="00806736">
        <w:t>TransGrid</w:t>
      </w:r>
      <w:r>
        <w:t>'s</w:t>
      </w:r>
      <w:proofErr w:type="spellEnd"/>
      <w:r>
        <w:t xml:space="preserve"> </w:t>
      </w:r>
      <w:r w:rsidRPr="00160CF0">
        <w:rPr>
          <w:rStyle w:val="AERbody"/>
        </w:rPr>
        <w:t>2014–18</w:t>
      </w:r>
      <w:r>
        <w:t xml:space="preserve"> period.</w:t>
      </w:r>
    </w:p>
    <w:p w:rsidR="003E00B8" w:rsidRDefault="003E00B8" w:rsidP="003E00B8"/>
    <w:p w:rsidR="003E00B8" w:rsidRPr="00B63AFD" w:rsidRDefault="003E00B8" w:rsidP="003E00B8"/>
    <w:p w:rsidR="00193DF3" w:rsidRPr="002B5AE6" w:rsidRDefault="00193DF3" w:rsidP="00193DF3">
      <w:pPr>
        <w:pStyle w:val="Caption"/>
      </w:pPr>
      <w:bookmarkStart w:id="14" w:name="_Ref402185644"/>
      <w:r w:rsidRPr="002B5AE6">
        <w:lastRenderedPageBreak/>
        <w:t xml:space="preserve">Table </w:t>
      </w:r>
      <w:r>
        <w:t>5</w:t>
      </w:r>
      <w:r>
        <w:noBreakHyphen/>
      </w:r>
      <w:r w:rsidRPr="009C7837">
        <w:fldChar w:fldCharType="begin"/>
      </w:r>
      <w:r>
        <w:instrText xml:space="preserve"> SEQ Table \* ARABIC \s 1 </w:instrText>
      </w:r>
      <w:r w:rsidRPr="009C7837">
        <w:fldChar w:fldCharType="separate"/>
      </w:r>
      <w:r w:rsidR="003B4BE6">
        <w:rPr>
          <w:noProof/>
        </w:rPr>
        <w:t>1</w:t>
      </w:r>
      <w:r w:rsidRPr="009C7837">
        <w:fldChar w:fldCharType="end"/>
      </w:r>
      <w:bookmarkEnd w:id="14"/>
      <w:r w:rsidRPr="002B5AE6">
        <w:tab/>
        <w:t xml:space="preserve">AER's </w:t>
      </w:r>
      <w:r w:rsidR="003C679C">
        <w:t xml:space="preserve">final </w:t>
      </w:r>
      <w:r w:rsidRPr="002B5AE6">
        <w:t xml:space="preserve">decision on </w:t>
      </w:r>
      <w:proofErr w:type="spellStart"/>
      <w:r w:rsidRPr="002B5AE6">
        <w:t>TransGrid's</w:t>
      </w:r>
      <w:proofErr w:type="spellEnd"/>
      <w:r w:rsidRPr="002B5AE6">
        <w:t xml:space="preserve"> depreciation allowance</w:t>
      </w:r>
      <w:r>
        <w:t xml:space="preserve"> for the</w:t>
      </w:r>
      <w:r w:rsidRPr="002B5AE6">
        <w:t xml:space="preserve"> 2014–18 period ($ million, nominal)</w:t>
      </w:r>
    </w:p>
    <w:tbl>
      <w:tblPr>
        <w:tblStyle w:val="AERtable-numbers"/>
        <w:tblW w:w="8652" w:type="dxa"/>
        <w:tblLayout w:type="fixed"/>
        <w:tblLook w:val="01E0" w:firstRow="1" w:lastRow="1" w:firstColumn="1" w:lastColumn="1" w:noHBand="0" w:noVBand="0"/>
      </w:tblPr>
      <w:tblGrid>
        <w:gridCol w:w="3227"/>
        <w:gridCol w:w="1085"/>
        <w:gridCol w:w="1085"/>
        <w:gridCol w:w="1085"/>
        <w:gridCol w:w="1085"/>
        <w:gridCol w:w="1085"/>
      </w:tblGrid>
      <w:tr w:rsidR="00193DF3" w:rsidRPr="009F3D13" w:rsidTr="000149D9">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2014–15</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2015–16</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2016–17</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2017–18</w:t>
            </w:r>
          </w:p>
        </w:tc>
        <w:tc>
          <w:tcPr>
            <w:tcW w:w="1085" w:type="dxa"/>
          </w:tcPr>
          <w:p w:rsidR="00193DF3" w:rsidRPr="009F3D13" w:rsidRDefault="00193DF3" w:rsidP="009F3D13">
            <w:pPr>
              <w:cnfStyle w:val="100000000000" w:firstRow="1" w:lastRow="0" w:firstColumn="0" w:lastColumn="0" w:oddVBand="0" w:evenVBand="0" w:oddHBand="0" w:evenHBand="0" w:firstRowFirstColumn="0" w:firstRowLastColumn="0" w:lastRowFirstColumn="0" w:lastRowLastColumn="0"/>
            </w:pPr>
            <w:r w:rsidRPr="009F3D13">
              <w:t>Total</w:t>
            </w:r>
          </w:p>
        </w:tc>
      </w:tr>
      <w:tr w:rsidR="00193DF3" w:rsidRPr="009F3D13" w:rsidTr="001C58D4">
        <w:trPr>
          <w:trHeight w:val="374"/>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r w:rsidRPr="009F3D13">
              <w:t>Straight-line depreciation</w:t>
            </w:r>
          </w:p>
        </w:tc>
        <w:tc>
          <w:tcPr>
            <w:tcW w:w="1085" w:type="dxa"/>
          </w:tcPr>
          <w:p w:rsidR="00193DF3" w:rsidRPr="009F3D13" w:rsidRDefault="006B4F91" w:rsidP="006B4F91">
            <w:pPr>
              <w:cnfStyle w:val="000000000000" w:firstRow="0" w:lastRow="0" w:firstColumn="0" w:lastColumn="0" w:oddVBand="0" w:evenVBand="0" w:oddHBand="0" w:evenHBand="0" w:firstRowFirstColumn="0" w:firstRowLastColumn="0" w:lastRowFirstColumn="0" w:lastRowLastColumn="0"/>
            </w:pPr>
            <w:r>
              <w:t>242.9</w:t>
            </w:r>
          </w:p>
        </w:tc>
        <w:tc>
          <w:tcPr>
            <w:tcW w:w="1085" w:type="dxa"/>
          </w:tcPr>
          <w:p w:rsidR="00193DF3" w:rsidRPr="009F3D13" w:rsidRDefault="006B4F91" w:rsidP="00746223">
            <w:pPr>
              <w:cnfStyle w:val="000000000000" w:firstRow="0" w:lastRow="0" w:firstColumn="0" w:lastColumn="0" w:oddVBand="0" w:evenVBand="0" w:oddHBand="0" w:evenHBand="0" w:firstRowFirstColumn="0" w:firstRowLastColumn="0" w:lastRowFirstColumn="0" w:lastRowLastColumn="0"/>
            </w:pPr>
            <w:r>
              <w:t>26</w:t>
            </w:r>
            <w:r w:rsidR="00746223">
              <w:t>2.2</w:t>
            </w:r>
          </w:p>
        </w:tc>
        <w:tc>
          <w:tcPr>
            <w:tcW w:w="1085" w:type="dxa"/>
          </w:tcPr>
          <w:p w:rsidR="00193DF3" w:rsidRPr="009F3D13" w:rsidRDefault="006B4F91" w:rsidP="00746223">
            <w:pPr>
              <w:cnfStyle w:val="000000000000" w:firstRow="0" w:lastRow="0" w:firstColumn="0" w:lastColumn="0" w:oddVBand="0" w:evenVBand="0" w:oddHBand="0" w:evenHBand="0" w:firstRowFirstColumn="0" w:firstRowLastColumn="0" w:lastRowFirstColumn="0" w:lastRowLastColumn="0"/>
            </w:pPr>
            <w:r>
              <w:t>281</w:t>
            </w:r>
            <w:r w:rsidR="003B5053">
              <w:t>.</w:t>
            </w:r>
            <w:r w:rsidR="00746223">
              <w:t>9</w:t>
            </w:r>
          </w:p>
        </w:tc>
        <w:tc>
          <w:tcPr>
            <w:tcW w:w="1085" w:type="dxa"/>
          </w:tcPr>
          <w:p w:rsidR="00193DF3" w:rsidRPr="009F3D13" w:rsidRDefault="006B4F91" w:rsidP="00746223">
            <w:pPr>
              <w:cnfStyle w:val="000000000000" w:firstRow="0" w:lastRow="0" w:firstColumn="0" w:lastColumn="0" w:oddVBand="0" w:evenVBand="0" w:oddHBand="0" w:evenHBand="0" w:firstRowFirstColumn="0" w:firstRowLastColumn="0" w:lastRowFirstColumn="0" w:lastRowLastColumn="0"/>
            </w:pPr>
            <w:r>
              <w:t>26</w:t>
            </w:r>
            <w:r w:rsidR="00746223">
              <w:t>9.5</w:t>
            </w:r>
          </w:p>
        </w:tc>
        <w:tc>
          <w:tcPr>
            <w:tcW w:w="1085" w:type="dxa"/>
          </w:tcPr>
          <w:p w:rsidR="00193DF3" w:rsidRPr="009F3D13" w:rsidRDefault="003B5053" w:rsidP="00746223">
            <w:pPr>
              <w:cnfStyle w:val="000000000000" w:firstRow="0" w:lastRow="0" w:firstColumn="0" w:lastColumn="0" w:oddVBand="0" w:evenVBand="0" w:oddHBand="0" w:evenHBand="0" w:firstRowFirstColumn="0" w:firstRowLastColumn="0" w:lastRowFirstColumn="0" w:lastRowLastColumn="0"/>
            </w:pPr>
            <w:r>
              <w:t>105</w:t>
            </w:r>
            <w:r w:rsidR="00746223">
              <w:t>6.5</w:t>
            </w:r>
          </w:p>
        </w:tc>
      </w:tr>
      <w:tr w:rsidR="00193DF3" w:rsidRPr="009F3D13" w:rsidTr="001C58D4">
        <w:trPr>
          <w:cnfStyle w:val="000000010000" w:firstRow="0" w:lastRow="0" w:firstColumn="0" w:lastColumn="0" w:oddVBand="0" w:evenVBand="0" w:oddHBand="0" w:evenHBand="1"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3227" w:type="dxa"/>
          </w:tcPr>
          <w:p w:rsidR="00193DF3" w:rsidRPr="009F3D13" w:rsidRDefault="00193DF3" w:rsidP="009F3D13">
            <w:r w:rsidRPr="00500D5B">
              <w:rPr>
                <w:rStyle w:val="AERtextitalic"/>
              </w:rPr>
              <w:t>Less:</w:t>
            </w:r>
            <w:r w:rsidRPr="009F3D13">
              <w:t xml:space="preserve"> </w:t>
            </w:r>
            <w:r w:rsidR="001C58D4">
              <w:t>inflation</w:t>
            </w:r>
            <w:r w:rsidR="005B53CC" w:rsidRPr="00F5632A">
              <w:t xml:space="preserve"> indexation on opening RAB</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144.6</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148.</w:t>
            </w:r>
            <w:r w:rsidR="003B5053">
              <w:t>5</w:t>
            </w:r>
          </w:p>
        </w:tc>
        <w:tc>
          <w:tcPr>
            <w:tcW w:w="1085" w:type="dxa"/>
          </w:tcPr>
          <w:p w:rsidR="00193DF3" w:rsidRPr="009F3D13" w:rsidRDefault="006B4F91" w:rsidP="006B4F91">
            <w:pPr>
              <w:cnfStyle w:val="000000010000" w:firstRow="0" w:lastRow="0" w:firstColumn="0" w:lastColumn="0" w:oddVBand="0" w:evenVBand="0" w:oddHBand="0" w:evenHBand="1" w:firstRowFirstColumn="0" w:firstRowLastColumn="0" w:lastRowFirstColumn="0" w:lastRowLastColumn="0"/>
            </w:pPr>
            <w:r>
              <w:t>153.</w:t>
            </w:r>
            <w:r w:rsidR="003B5053">
              <w:t>5</w:t>
            </w:r>
          </w:p>
        </w:tc>
        <w:tc>
          <w:tcPr>
            <w:tcW w:w="1085" w:type="dxa"/>
          </w:tcPr>
          <w:p w:rsidR="00193DF3" w:rsidRPr="009F3D13" w:rsidRDefault="006B4F91" w:rsidP="00746223">
            <w:pPr>
              <w:cnfStyle w:val="000000010000" w:firstRow="0" w:lastRow="0" w:firstColumn="0" w:lastColumn="0" w:oddVBand="0" w:evenVBand="0" w:oddHBand="0" w:evenHBand="1" w:firstRowFirstColumn="0" w:firstRowLastColumn="0" w:lastRowFirstColumn="0" w:lastRowLastColumn="0"/>
            </w:pPr>
            <w:r>
              <w:t>15</w:t>
            </w:r>
            <w:r w:rsidR="003B5053">
              <w:t>6.</w:t>
            </w:r>
            <w:r w:rsidR="00746223">
              <w:t>5</w:t>
            </w:r>
          </w:p>
        </w:tc>
        <w:tc>
          <w:tcPr>
            <w:tcW w:w="1085" w:type="dxa"/>
          </w:tcPr>
          <w:p w:rsidR="00193DF3" w:rsidRPr="009F3D13" w:rsidRDefault="003B5053" w:rsidP="00746223">
            <w:pPr>
              <w:cnfStyle w:val="000000010000" w:firstRow="0" w:lastRow="0" w:firstColumn="0" w:lastColumn="0" w:oddVBand="0" w:evenVBand="0" w:oddHBand="0" w:evenHBand="1" w:firstRowFirstColumn="0" w:firstRowLastColumn="0" w:lastRowFirstColumn="0" w:lastRowLastColumn="0"/>
            </w:pPr>
            <w:r>
              <w:t>603.</w:t>
            </w:r>
            <w:r w:rsidR="00746223">
              <w:t>2</w:t>
            </w:r>
          </w:p>
        </w:tc>
      </w:tr>
      <w:tr w:rsidR="00193DF3" w:rsidRPr="009F3D13" w:rsidTr="001C58D4">
        <w:trPr>
          <w:trHeight w:val="444"/>
        </w:trPr>
        <w:tc>
          <w:tcPr>
            <w:cnfStyle w:val="001000000000" w:firstRow="0" w:lastRow="0" w:firstColumn="1" w:lastColumn="0" w:oddVBand="0" w:evenVBand="0" w:oddHBand="0" w:evenHBand="0" w:firstRowFirstColumn="0" w:firstRowLastColumn="0" w:lastRowFirstColumn="0" w:lastRowLastColumn="0"/>
            <w:tcW w:w="3227" w:type="dxa"/>
          </w:tcPr>
          <w:p w:rsidR="00193DF3" w:rsidRPr="005B53CC" w:rsidRDefault="00193DF3" w:rsidP="009F3D13">
            <w:pPr>
              <w:rPr>
                <w:rStyle w:val="Strong"/>
              </w:rPr>
            </w:pPr>
            <w:r w:rsidRPr="005B53CC">
              <w:rPr>
                <w:rStyle w:val="Strong"/>
              </w:rPr>
              <w:t>Regulatory depreciation</w:t>
            </w:r>
          </w:p>
        </w:tc>
        <w:tc>
          <w:tcPr>
            <w:tcW w:w="1085" w:type="dxa"/>
          </w:tcPr>
          <w:p w:rsidR="00193DF3" w:rsidRPr="005B53CC" w:rsidRDefault="006B4F91" w:rsidP="006B4F9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98.3</w:t>
            </w:r>
          </w:p>
        </w:tc>
        <w:tc>
          <w:tcPr>
            <w:tcW w:w="1085" w:type="dxa"/>
          </w:tcPr>
          <w:p w:rsidR="00193DF3" w:rsidRPr="005B53CC" w:rsidRDefault="006B4F91" w:rsidP="0074622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113.</w:t>
            </w:r>
            <w:r w:rsidR="00746223">
              <w:rPr>
                <w:rStyle w:val="Strong"/>
              </w:rPr>
              <w:t>6</w:t>
            </w:r>
          </w:p>
        </w:tc>
        <w:tc>
          <w:tcPr>
            <w:tcW w:w="1085" w:type="dxa"/>
          </w:tcPr>
          <w:p w:rsidR="00193DF3" w:rsidRPr="005B53CC" w:rsidRDefault="006B4F91" w:rsidP="0074622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12</w:t>
            </w:r>
            <w:r w:rsidR="00746223">
              <w:rPr>
                <w:rStyle w:val="Strong"/>
              </w:rPr>
              <w:t>8.4</w:t>
            </w:r>
          </w:p>
        </w:tc>
        <w:tc>
          <w:tcPr>
            <w:tcW w:w="1085" w:type="dxa"/>
          </w:tcPr>
          <w:p w:rsidR="00193DF3" w:rsidRPr="005B53CC" w:rsidRDefault="006B4F91" w:rsidP="0074622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11</w:t>
            </w:r>
            <w:r w:rsidR="00746223">
              <w:rPr>
                <w:rStyle w:val="Strong"/>
              </w:rPr>
              <w:t>3.0</w:t>
            </w:r>
          </w:p>
        </w:tc>
        <w:tc>
          <w:tcPr>
            <w:tcW w:w="1085" w:type="dxa"/>
          </w:tcPr>
          <w:p w:rsidR="00193DF3" w:rsidRPr="005B53CC" w:rsidRDefault="006B4F91" w:rsidP="00746223">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45</w:t>
            </w:r>
            <w:r w:rsidR="00746223">
              <w:rPr>
                <w:rStyle w:val="Strong"/>
              </w:rPr>
              <w:t>3.3</w:t>
            </w:r>
          </w:p>
        </w:tc>
      </w:tr>
    </w:tbl>
    <w:p w:rsidR="00193DF3" w:rsidRPr="009F3D13" w:rsidRDefault="00193DF3" w:rsidP="009F3D13">
      <w:pPr>
        <w:pStyle w:val="AERtablesource"/>
      </w:pPr>
      <w:r w:rsidRPr="009F3D13">
        <w:t>Source:</w:t>
      </w:r>
      <w:r w:rsidRPr="009F3D13">
        <w:tab/>
        <w:t>AER analysis.</w:t>
      </w:r>
    </w:p>
    <w:p w:rsidR="00DE563D" w:rsidRPr="001754EE" w:rsidRDefault="00415F31" w:rsidP="001754EE">
      <w:pPr>
        <w:pStyle w:val="Heading2"/>
      </w:pPr>
      <w:bookmarkStart w:id="15" w:name="_Toc423606708"/>
      <w:proofErr w:type="spellStart"/>
      <w:r w:rsidRPr="001754EE">
        <w:t>TransGrid’s</w:t>
      </w:r>
      <w:proofErr w:type="spellEnd"/>
      <w:r w:rsidRPr="001754EE">
        <w:t xml:space="preserve"> revised</w:t>
      </w:r>
      <w:r w:rsidR="00DE563D" w:rsidRPr="001754EE">
        <w:t xml:space="preserve"> proposal</w:t>
      </w:r>
      <w:bookmarkEnd w:id="13"/>
      <w:bookmarkEnd w:id="15"/>
    </w:p>
    <w:p w:rsidR="001827B0" w:rsidRPr="00DD41E4" w:rsidRDefault="001827B0" w:rsidP="001827B0">
      <w:pPr>
        <w:numPr>
          <w:ilvl w:val="0"/>
          <w:numId w:val="25"/>
        </w:numPr>
      </w:pPr>
      <w:proofErr w:type="spellStart"/>
      <w:r>
        <w:t>TransGrid's</w:t>
      </w:r>
      <w:proofErr w:type="spellEnd"/>
      <w:r>
        <w:t xml:space="preserve"> revised</w:t>
      </w:r>
      <w:r w:rsidRPr="00DD41E4">
        <w:t xml:space="preserve"> propos</w:t>
      </w:r>
      <w:r w:rsidR="00BA49A6">
        <w:t>al</w:t>
      </w:r>
      <w:r w:rsidR="00BE306A">
        <w:t xml:space="preserve"> submitted a</w:t>
      </w:r>
      <w:r w:rsidRPr="00DD41E4">
        <w:t xml:space="preserve"> forecast regulatory depreciation allowance over the </w:t>
      </w:r>
      <w:r w:rsidRPr="00160CF0">
        <w:rPr>
          <w:rStyle w:val="AERbody"/>
        </w:rPr>
        <w:t>2014–18</w:t>
      </w:r>
      <w:r w:rsidRPr="00DD41E4">
        <w:t xml:space="preserve"> period </w:t>
      </w:r>
      <w:r w:rsidR="00BE306A">
        <w:t>of</w:t>
      </w:r>
      <w:r w:rsidR="00BE306A" w:rsidRPr="00DD41E4">
        <w:t xml:space="preserve"> </w:t>
      </w:r>
      <w:r w:rsidRPr="00DD41E4">
        <w:t>$</w:t>
      </w:r>
      <w:r>
        <w:t>423.8</w:t>
      </w:r>
      <w:r w:rsidRPr="00DD41E4">
        <w:t> million ($ nominal)</w:t>
      </w:r>
      <w:r>
        <w:t xml:space="preserve">. </w:t>
      </w:r>
      <w:proofErr w:type="spellStart"/>
      <w:r w:rsidR="004517AE">
        <w:t>TransGrid's</w:t>
      </w:r>
      <w:proofErr w:type="spellEnd"/>
      <w:r w:rsidR="004517AE">
        <w:t xml:space="preserve"> methodology for determining its</w:t>
      </w:r>
      <w:r w:rsidR="004517AE" w:rsidRPr="00DC58F1">
        <w:t xml:space="preserve"> </w:t>
      </w:r>
      <w:r w:rsidR="004517AE">
        <w:t>regulatory depreciation allowance</w:t>
      </w:r>
      <w:r w:rsidR="004517AE" w:rsidRPr="00DC58F1">
        <w:t xml:space="preserve"> </w:t>
      </w:r>
      <w:r w:rsidR="004517AE">
        <w:t>is unchanged from its initial proposal</w:t>
      </w:r>
      <w:r w:rsidR="007C109F">
        <w:t xml:space="preserve">. We accepted the approach in our draft decision. </w:t>
      </w:r>
      <w:r w:rsidRPr="00DD41E4">
        <w:t xml:space="preserve">To calculate the depreciation allowance, </w:t>
      </w:r>
      <w:proofErr w:type="spellStart"/>
      <w:r w:rsidRPr="00DD41E4">
        <w:t>Trans</w:t>
      </w:r>
      <w:r>
        <w:t>Grid's</w:t>
      </w:r>
      <w:proofErr w:type="spellEnd"/>
      <w:r>
        <w:t xml:space="preserve"> revised proposal use</w:t>
      </w:r>
      <w:r w:rsidR="00380772">
        <w:t>d</w:t>
      </w:r>
      <w:r w:rsidRPr="00DD41E4">
        <w:t>:</w:t>
      </w:r>
      <w:r w:rsidRPr="003200DF">
        <w:rPr>
          <w:rStyle w:val="FootnoteReference"/>
        </w:rPr>
        <w:footnoteReference w:id="2"/>
      </w:r>
    </w:p>
    <w:p w:rsidR="001827B0" w:rsidRPr="001827B0" w:rsidRDefault="00472D4B" w:rsidP="001827B0">
      <w:pPr>
        <w:pStyle w:val="AERbulletlistfirststyle"/>
      </w:pPr>
      <w:r>
        <w:t>T</w:t>
      </w:r>
      <w:r w:rsidR="001827B0" w:rsidRPr="00DD41E4">
        <w:t xml:space="preserve">he </w:t>
      </w:r>
      <w:r w:rsidR="001827B0" w:rsidRPr="001827B0">
        <w:t>straight-line depreciation method employed in the AER's post-tax revenue model (PTRM)</w:t>
      </w:r>
      <w:r>
        <w:t>.</w:t>
      </w:r>
    </w:p>
    <w:p w:rsidR="001827B0" w:rsidRPr="001827B0" w:rsidRDefault="00472D4B" w:rsidP="001827B0">
      <w:pPr>
        <w:pStyle w:val="AERbulletlistfirststyle"/>
      </w:pPr>
      <w:r>
        <w:t>T</w:t>
      </w:r>
      <w:r w:rsidR="001827B0" w:rsidRPr="001827B0">
        <w:t xml:space="preserve">he </w:t>
      </w:r>
      <w:r w:rsidR="001827B0">
        <w:t xml:space="preserve">revised </w:t>
      </w:r>
      <w:r w:rsidR="001827B0" w:rsidRPr="001827B0">
        <w:t>closing RAB value as at 30 Ju</w:t>
      </w:r>
      <w:r w:rsidR="001827B0">
        <w:t>ne 2014 derived from the AER's roll forward model (R</w:t>
      </w:r>
      <w:r w:rsidR="001827B0" w:rsidRPr="001827B0">
        <w:t>FM</w:t>
      </w:r>
      <w:r w:rsidR="001827B0">
        <w:t>)</w:t>
      </w:r>
      <w:r>
        <w:t>.</w:t>
      </w:r>
    </w:p>
    <w:p w:rsidR="001827B0" w:rsidRPr="001827B0" w:rsidRDefault="00472D4B" w:rsidP="001827B0">
      <w:pPr>
        <w:pStyle w:val="AERbulletlistfirststyle"/>
      </w:pPr>
      <w:r>
        <w:t>T</w:t>
      </w:r>
      <w:r w:rsidR="00D60775">
        <w:t xml:space="preserve">he </w:t>
      </w:r>
      <w:r w:rsidR="001827B0">
        <w:t xml:space="preserve">revised </w:t>
      </w:r>
      <w:r w:rsidR="001827B0" w:rsidRPr="001827B0">
        <w:t>weighted average remaining asset lives of assets in existence as at 30</w:t>
      </w:r>
      <w:r w:rsidR="003E00B8">
        <w:t> </w:t>
      </w:r>
      <w:r w:rsidR="001827B0" w:rsidRPr="001827B0">
        <w:t>June 2014 derived from the RFM</w:t>
      </w:r>
      <w:r>
        <w:t>.</w:t>
      </w:r>
    </w:p>
    <w:p w:rsidR="001827B0" w:rsidRDefault="00472D4B" w:rsidP="001827B0">
      <w:pPr>
        <w:pStyle w:val="AERbulletlistfirststyle"/>
      </w:pPr>
      <w:r>
        <w:t>T</w:t>
      </w:r>
      <w:r w:rsidR="001827B0" w:rsidRPr="001827B0">
        <w:t>he</w:t>
      </w:r>
      <w:r w:rsidR="001827B0">
        <w:t xml:space="preserve"> revised</w:t>
      </w:r>
      <w:r w:rsidR="001827B0" w:rsidRPr="001827B0">
        <w:t xml:space="preserve"> proposed forecast capex for the 2014–18 </w:t>
      </w:r>
      <w:proofErr w:type="gramStart"/>
      <w:r w:rsidR="001827B0" w:rsidRPr="001827B0">
        <w:t>period</w:t>
      </w:r>
      <w:proofErr w:type="gramEnd"/>
      <w:r>
        <w:t>.</w:t>
      </w:r>
    </w:p>
    <w:p w:rsidR="001827B0" w:rsidRPr="001827B0" w:rsidRDefault="00472D4B" w:rsidP="001827B0">
      <w:pPr>
        <w:pStyle w:val="AERbulletlistfirststyle"/>
      </w:pPr>
      <w:r>
        <w:t>T</w:t>
      </w:r>
      <w:r w:rsidR="00D60775">
        <w:t xml:space="preserve">he </w:t>
      </w:r>
      <w:r w:rsidR="001827B0">
        <w:t>standard asset lives accepted in the draft decision</w:t>
      </w:r>
      <w:r w:rsidR="001827B0" w:rsidRPr="001827B0">
        <w:t xml:space="preserve"> </w:t>
      </w:r>
      <w:r w:rsidR="001827B0" w:rsidRPr="001F0B76">
        <w:t xml:space="preserve">for depreciating new assets associated with forecast capex for the </w:t>
      </w:r>
      <w:r w:rsidR="001827B0" w:rsidRPr="00160CF0">
        <w:rPr>
          <w:rStyle w:val="AERbody"/>
        </w:rPr>
        <w:t>2014–18</w:t>
      </w:r>
      <w:r w:rsidR="001827B0" w:rsidRPr="009C7837">
        <w:t xml:space="preserve"> </w:t>
      </w:r>
      <w:proofErr w:type="gramStart"/>
      <w:r w:rsidR="001827B0" w:rsidRPr="009C7837">
        <w:t>period</w:t>
      </w:r>
      <w:proofErr w:type="gramEnd"/>
      <w:r w:rsidR="001827B0">
        <w:t>.</w:t>
      </w:r>
    </w:p>
    <w:p w:rsidR="00D60775" w:rsidRDefault="00D60775" w:rsidP="003C679C">
      <w:proofErr w:type="spellStart"/>
      <w:r>
        <w:t>TransGrid's</w:t>
      </w:r>
      <w:proofErr w:type="spellEnd"/>
      <w:r>
        <w:t xml:space="preserve"> revised proposal adopted our draft decision inflation forecast </w:t>
      </w:r>
      <w:r w:rsidR="0065381D">
        <w:t xml:space="preserve">method </w:t>
      </w:r>
      <w:r>
        <w:t xml:space="preserve">used to index the RAB over the 2014–18 </w:t>
      </w:r>
      <w:proofErr w:type="gramStart"/>
      <w:r>
        <w:t>period</w:t>
      </w:r>
      <w:proofErr w:type="gramEnd"/>
      <w:r>
        <w:t>.</w:t>
      </w:r>
      <w:r w:rsidR="00380772">
        <w:rPr>
          <w:rStyle w:val="FootnoteReference"/>
        </w:rPr>
        <w:footnoteReference w:id="3"/>
      </w:r>
    </w:p>
    <w:p w:rsidR="00193DF3" w:rsidRDefault="00193DF3" w:rsidP="005B53CC">
      <w:pPr>
        <w:pStyle w:val="AERbulletlistfirststyle"/>
        <w:numPr>
          <w:ilvl w:val="0"/>
          <w:numId w:val="0"/>
        </w:numPr>
      </w:pPr>
      <w:r>
        <w:fldChar w:fldCharType="begin"/>
      </w:r>
      <w:r>
        <w:instrText xml:space="preserve"> REF _Ref402185674 \h </w:instrText>
      </w:r>
      <w:r>
        <w:fldChar w:fldCharType="separate"/>
      </w:r>
      <w:r w:rsidR="003B4BE6" w:rsidRPr="00DD41E4">
        <w:t xml:space="preserve">Table </w:t>
      </w:r>
      <w:r w:rsidR="003B4BE6">
        <w:t>5</w:t>
      </w:r>
      <w:r w:rsidR="003B4BE6">
        <w:noBreakHyphen/>
      </w:r>
      <w:r w:rsidR="003B4BE6">
        <w:rPr>
          <w:noProof/>
        </w:rPr>
        <w:t>2</w:t>
      </w:r>
      <w:r>
        <w:fldChar w:fldCharType="end"/>
      </w:r>
      <w:r>
        <w:t xml:space="preserve"> </w:t>
      </w:r>
      <w:r w:rsidRPr="00D500E8">
        <w:t xml:space="preserve">sets out </w:t>
      </w:r>
      <w:proofErr w:type="spellStart"/>
      <w:r>
        <w:t>TransGrid</w:t>
      </w:r>
      <w:r w:rsidRPr="00D500E8">
        <w:t>'s</w:t>
      </w:r>
      <w:proofErr w:type="spellEnd"/>
      <w:r w:rsidR="001827B0">
        <w:t xml:space="preserve"> revised</w:t>
      </w:r>
      <w:r w:rsidRPr="00D500E8">
        <w:t xml:space="preserve"> proposed depreciation allowance for </w:t>
      </w:r>
      <w:r w:rsidRPr="001F0B76">
        <w:t xml:space="preserve">the </w:t>
      </w:r>
      <w:r w:rsidR="001827B0">
        <w:br/>
      </w:r>
      <w:r w:rsidRPr="00160CF0">
        <w:rPr>
          <w:rStyle w:val="AERbody"/>
        </w:rPr>
        <w:t>2014–18</w:t>
      </w:r>
      <w:r>
        <w:t xml:space="preserve"> </w:t>
      </w:r>
      <w:r w:rsidRPr="00D500E8">
        <w:t>period.</w:t>
      </w:r>
    </w:p>
    <w:p w:rsidR="003E00B8" w:rsidRDefault="003E00B8" w:rsidP="005B53CC">
      <w:pPr>
        <w:pStyle w:val="AERbulletlistfirststyle"/>
        <w:numPr>
          <w:ilvl w:val="0"/>
          <w:numId w:val="0"/>
        </w:numPr>
      </w:pPr>
    </w:p>
    <w:p w:rsidR="003E00B8" w:rsidRPr="00D500E8" w:rsidRDefault="003E00B8" w:rsidP="005B53CC">
      <w:pPr>
        <w:pStyle w:val="AERbulletlistfirststyle"/>
        <w:numPr>
          <w:ilvl w:val="0"/>
          <w:numId w:val="0"/>
        </w:numPr>
      </w:pPr>
    </w:p>
    <w:p w:rsidR="00193DF3" w:rsidRPr="00DD41E4" w:rsidRDefault="00193DF3" w:rsidP="00193DF3">
      <w:pPr>
        <w:pStyle w:val="Caption"/>
      </w:pPr>
      <w:bookmarkStart w:id="16" w:name="_Ref402185674"/>
      <w:r w:rsidRPr="00DD41E4">
        <w:lastRenderedPageBreak/>
        <w:t xml:space="preserve">Table </w:t>
      </w:r>
      <w:r>
        <w:t>5</w:t>
      </w:r>
      <w:r>
        <w:noBreakHyphen/>
      </w:r>
      <w:r w:rsidRPr="009C7837">
        <w:fldChar w:fldCharType="begin"/>
      </w:r>
      <w:r>
        <w:instrText xml:space="preserve"> SEQ Table \* ARABIC \s 1 </w:instrText>
      </w:r>
      <w:r w:rsidRPr="009C7837">
        <w:fldChar w:fldCharType="separate"/>
      </w:r>
      <w:r w:rsidR="003B4BE6">
        <w:rPr>
          <w:noProof/>
        </w:rPr>
        <w:t>2</w:t>
      </w:r>
      <w:r w:rsidRPr="009C7837">
        <w:fldChar w:fldCharType="end"/>
      </w:r>
      <w:bookmarkEnd w:id="16"/>
      <w:r w:rsidRPr="00DD41E4">
        <w:tab/>
      </w:r>
      <w:proofErr w:type="spellStart"/>
      <w:r w:rsidRPr="00DD41E4">
        <w:t>Trans</w:t>
      </w:r>
      <w:r>
        <w:t>Grid</w:t>
      </w:r>
      <w:r w:rsidRPr="00DD41E4">
        <w:t>'s</w:t>
      </w:r>
      <w:proofErr w:type="spellEnd"/>
      <w:r w:rsidRPr="00DD41E4">
        <w:t xml:space="preserve"> </w:t>
      </w:r>
      <w:r w:rsidR="003C679C">
        <w:t xml:space="preserve">revised </w:t>
      </w:r>
      <w:r w:rsidRPr="00DD41E4">
        <w:t>proposed depreciation allowance</w:t>
      </w:r>
      <w:r>
        <w:t xml:space="preserve"> for the </w:t>
      </w:r>
      <w:r w:rsidRPr="00DD41E4">
        <w:t>2014–1</w:t>
      </w:r>
      <w:r>
        <w:t>8</w:t>
      </w:r>
      <w:r w:rsidRPr="00DD41E4">
        <w:t xml:space="preserve"> period ($ million, nominal)</w:t>
      </w:r>
    </w:p>
    <w:tbl>
      <w:tblPr>
        <w:tblStyle w:val="AERtable-numbers"/>
        <w:tblW w:w="8758" w:type="dxa"/>
        <w:tblLook w:val="04A0" w:firstRow="1" w:lastRow="0" w:firstColumn="1" w:lastColumn="0" w:noHBand="0" w:noVBand="1"/>
      </w:tblPr>
      <w:tblGrid>
        <w:gridCol w:w="3227"/>
        <w:gridCol w:w="1106"/>
        <w:gridCol w:w="1106"/>
        <w:gridCol w:w="1106"/>
        <w:gridCol w:w="1106"/>
        <w:gridCol w:w="1107"/>
      </w:tblGrid>
      <w:tr w:rsidR="00193DF3" w:rsidRPr="003C679C" w:rsidTr="001C58D4">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2014–15</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2015–16</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2016–17</w:t>
            </w:r>
          </w:p>
        </w:tc>
        <w:tc>
          <w:tcPr>
            <w:tcW w:w="1106"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2017–18</w:t>
            </w:r>
          </w:p>
        </w:tc>
        <w:tc>
          <w:tcPr>
            <w:tcW w:w="1107" w:type="dxa"/>
          </w:tcPr>
          <w:p w:rsidR="00193DF3" w:rsidRPr="003C679C" w:rsidRDefault="00193DF3" w:rsidP="003C679C">
            <w:pPr>
              <w:cnfStyle w:val="100000000000" w:firstRow="1" w:lastRow="0" w:firstColumn="0" w:lastColumn="0" w:oddVBand="0" w:evenVBand="0" w:oddHBand="0" w:evenHBand="0" w:firstRowFirstColumn="0" w:firstRowLastColumn="0" w:lastRowFirstColumn="0" w:lastRowLastColumn="0"/>
            </w:pPr>
            <w:r w:rsidRPr="003C679C">
              <w:t>Total</w:t>
            </w:r>
          </w:p>
        </w:tc>
      </w:tr>
      <w:tr w:rsidR="00193DF3" w:rsidRPr="003C679C" w:rsidTr="001C58D4">
        <w:trPr>
          <w:trHeight w:val="297"/>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r w:rsidRPr="003C679C">
              <w:t>Straight-line depreciation</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243.2</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264.3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287.3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277.7</w:t>
            </w:r>
          </w:p>
        </w:tc>
        <w:tc>
          <w:tcPr>
            <w:tcW w:w="1107"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pPr>
            <w:r w:rsidRPr="003C679C">
              <w:t>1072.5</w:t>
            </w:r>
          </w:p>
        </w:tc>
      </w:tr>
      <w:tr w:rsidR="00193DF3" w:rsidRPr="003C679C" w:rsidTr="001C58D4">
        <w:trPr>
          <w:cnfStyle w:val="000000010000" w:firstRow="0" w:lastRow="0" w:firstColumn="0" w:lastColumn="0" w:oddVBand="0" w:evenVBand="0" w:oddHBand="0" w:evenHBand="1" w:firstRowFirstColumn="0" w:firstRowLastColumn="0" w:lastRowFirstColumn="0" w:lastRowLastColumn="0"/>
          <w:trHeight w:val="183"/>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1C58D4">
            <w:r w:rsidRPr="00500D5B">
              <w:rPr>
                <w:rStyle w:val="AERtextitalic"/>
              </w:rPr>
              <w:t>Less:</w:t>
            </w:r>
            <w:r w:rsidRPr="003C679C">
              <w:t xml:space="preserve"> </w:t>
            </w:r>
            <w:r w:rsidR="001C58D4">
              <w:t>inflation</w:t>
            </w:r>
            <w:r w:rsidR="005B53CC" w:rsidRPr="00F5632A">
              <w:t xml:space="preserve"> indexation on opening RAB</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151.9</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158.6</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166.4</w:t>
            </w:r>
          </w:p>
        </w:tc>
        <w:tc>
          <w:tcPr>
            <w:tcW w:w="1106" w:type="dxa"/>
          </w:tcPr>
          <w:p w:rsidR="00193DF3" w:rsidRPr="003C679C" w:rsidRDefault="003C679C" w:rsidP="003C679C">
            <w:pPr>
              <w:cnfStyle w:val="000000010000" w:firstRow="0" w:lastRow="0" w:firstColumn="0" w:lastColumn="0" w:oddVBand="0" w:evenVBand="0" w:oddHBand="0" w:evenHBand="1" w:firstRowFirstColumn="0" w:firstRowLastColumn="0" w:lastRowFirstColumn="0" w:lastRowLastColumn="0"/>
            </w:pPr>
            <w:r>
              <w:t>171.2</w:t>
            </w:r>
          </w:p>
        </w:tc>
        <w:tc>
          <w:tcPr>
            <w:tcW w:w="1107" w:type="dxa"/>
          </w:tcPr>
          <w:p w:rsidR="00193DF3" w:rsidRPr="003C679C" w:rsidRDefault="003B5053" w:rsidP="003C679C">
            <w:pPr>
              <w:cnfStyle w:val="000000010000" w:firstRow="0" w:lastRow="0" w:firstColumn="0" w:lastColumn="0" w:oddVBand="0" w:evenVBand="0" w:oddHBand="0" w:evenHBand="1" w:firstRowFirstColumn="0" w:firstRowLastColumn="0" w:lastRowFirstColumn="0" w:lastRowLastColumn="0"/>
            </w:pPr>
            <w:r>
              <w:t>648.1</w:t>
            </w:r>
          </w:p>
        </w:tc>
      </w:tr>
      <w:tr w:rsidR="00193DF3" w:rsidRPr="003C679C" w:rsidTr="001C58D4">
        <w:trPr>
          <w:trHeight w:val="183"/>
        </w:trPr>
        <w:tc>
          <w:tcPr>
            <w:cnfStyle w:val="001000000000" w:firstRow="0" w:lastRow="0" w:firstColumn="1" w:lastColumn="0" w:oddVBand="0" w:evenVBand="0" w:oddHBand="0" w:evenHBand="0" w:firstRowFirstColumn="0" w:firstRowLastColumn="0" w:lastRowFirstColumn="0" w:lastRowLastColumn="0"/>
            <w:tcW w:w="3227" w:type="dxa"/>
          </w:tcPr>
          <w:p w:rsidR="00193DF3" w:rsidRPr="003C679C" w:rsidRDefault="00193DF3" w:rsidP="003C679C">
            <w:pPr>
              <w:rPr>
                <w:rStyle w:val="Strong"/>
              </w:rPr>
            </w:pPr>
            <w:r w:rsidRPr="003C679C">
              <w:rPr>
                <w:rStyle w:val="Strong"/>
              </w:rPr>
              <w:t>Regulatory depreciation</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91.3</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105.8</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120.9</w:t>
            </w:r>
          </w:p>
        </w:tc>
        <w:tc>
          <w:tcPr>
            <w:tcW w:w="1106" w:type="dxa"/>
          </w:tcPr>
          <w:p w:rsidR="00193DF3" w:rsidRPr="003C679C" w:rsidRDefault="003C679C" w:rsidP="003C679C">
            <w:pPr>
              <w:cnfStyle w:val="000000000000" w:firstRow="0" w:lastRow="0" w:firstColumn="0" w:lastColumn="0" w:oddVBand="0" w:evenVBand="0" w:oddHBand="0" w:evenHBand="0" w:firstRowFirstColumn="0" w:firstRowLastColumn="0" w:lastRowFirstColumn="0" w:lastRowLastColumn="0"/>
              <w:rPr>
                <w:rStyle w:val="Strong"/>
              </w:rPr>
            </w:pPr>
            <w:r w:rsidRPr="003C679C">
              <w:rPr>
                <w:rStyle w:val="Strong"/>
              </w:rPr>
              <w:t>105.8</w:t>
            </w:r>
          </w:p>
        </w:tc>
        <w:tc>
          <w:tcPr>
            <w:tcW w:w="1107" w:type="dxa"/>
          </w:tcPr>
          <w:p w:rsidR="00193DF3" w:rsidRPr="003C679C" w:rsidRDefault="003B5053" w:rsidP="003C679C">
            <w:pPr>
              <w:cnfStyle w:val="000000000000" w:firstRow="0" w:lastRow="0" w:firstColumn="0" w:lastColumn="0" w:oddVBand="0" w:evenVBand="0" w:oddHBand="0" w:evenHBand="0" w:firstRowFirstColumn="0" w:firstRowLastColumn="0" w:lastRowFirstColumn="0" w:lastRowLastColumn="0"/>
              <w:rPr>
                <w:rStyle w:val="Strong"/>
              </w:rPr>
            </w:pPr>
            <w:r>
              <w:rPr>
                <w:rStyle w:val="Strong"/>
              </w:rPr>
              <w:t>423.8</w:t>
            </w:r>
          </w:p>
        </w:tc>
      </w:tr>
    </w:tbl>
    <w:p w:rsidR="00193DF3" w:rsidRPr="003C679C" w:rsidRDefault="00193DF3" w:rsidP="003C679C">
      <w:pPr>
        <w:pStyle w:val="AERtablesource"/>
      </w:pPr>
      <w:r w:rsidRPr="003C679C">
        <w:t>Source:</w:t>
      </w:r>
      <w:r w:rsidRPr="003C679C">
        <w:tab/>
      </w:r>
      <w:proofErr w:type="spellStart"/>
      <w:r w:rsidRPr="003C679C">
        <w:t>TransGrid</w:t>
      </w:r>
      <w:proofErr w:type="spellEnd"/>
      <w:r w:rsidRPr="003C679C">
        <w:t>,</w:t>
      </w:r>
      <w:r w:rsidR="003C679C" w:rsidRPr="003C679C">
        <w:t xml:space="preserve"> </w:t>
      </w:r>
      <w:r w:rsidR="003C679C" w:rsidRPr="00252729">
        <w:rPr>
          <w:rStyle w:val="AERtextitalic"/>
        </w:rPr>
        <w:t xml:space="preserve">Revised revenue </w:t>
      </w:r>
      <w:r w:rsidRPr="00252729">
        <w:rPr>
          <w:rStyle w:val="AERtextitalic"/>
        </w:rPr>
        <w:t>proposal</w:t>
      </w:r>
      <w:r w:rsidRPr="003C679C">
        <w:t>,</w:t>
      </w:r>
      <w:r w:rsidR="00252729">
        <w:t xml:space="preserve"> January 2015,</w:t>
      </w:r>
      <w:r w:rsidRPr="003C679C">
        <w:t xml:space="preserve"> p. </w:t>
      </w:r>
      <w:r w:rsidR="003C679C" w:rsidRPr="003C679C">
        <w:t>127</w:t>
      </w:r>
      <w:r w:rsidRPr="003C679C">
        <w:t>.</w:t>
      </w:r>
    </w:p>
    <w:p w:rsidR="00DE563D" w:rsidRDefault="00DE563D" w:rsidP="001754EE">
      <w:pPr>
        <w:pStyle w:val="Heading2"/>
      </w:pPr>
      <w:bookmarkStart w:id="17" w:name="_Toc403144138"/>
      <w:bookmarkStart w:id="18" w:name="_Toc423606709"/>
      <w:r w:rsidRPr="001754EE">
        <w:t>AER’s</w:t>
      </w:r>
      <w:r>
        <w:t xml:space="preserve"> assessment approach</w:t>
      </w:r>
      <w:bookmarkEnd w:id="17"/>
      <w:bookmarkEnd w:id="18"/>
    </w:p>
    <w:p w:rsidR="00472D4B" w:rsidRDefault="00252729" w:rsidP="004D2996">
      <w:bookmarkStart w:id="19" w:name="_Toc403144140"/>
      <w:r w:rsidRPr="00BD5D87">
        <w:t xml:space="preserve">We did not change our assessment approach for </w:t>
      </w:r>
      <w:r w:rsidR="0012211A">
        <w:t xml:space="preserve">the regulatory depreciation allowance </w:t>
      </w:r>
      <w:r w:rsidRPr="00BD5D87">
        <w:t>fr</w:t>
      </w:r>
      <w:r>
        <w:t>om our draft decision. Section 5</w:t>
      </w:r>
      <w:r w:rsidRPr="00BD5D87">
        <w:t>.3 of our draft decision details that approach.</w:t>
      </w:r>
    </w:p>
    <w:p w:rsidR="003C679C" w:rsidRDefault="00DE563D" w:rsidP="00252729">
      <w:pPr>
        <w:pStyle w:val="Heading2"/>
      </w:pPr>
      <w:bookmarkStart w:id="20" w:name="_Toc423606710"/>
      <w:r w:rsidRPr="001754EE">
        <w:t>Reasons</w:t>
      </w:r>
      <w:r>
        <w:t xml:space="preserve"> for </w:t>
      </w:r>
      <w:r w:rsidR="002016E7">
        <w:t>final</w:t>
      </w:r>
      <w:r>
        <w:t xml:space="preserve"> decision</w:t>
      </w:r>
      <w:bookmarkEnd w:id="19"/>
      <w:bookmarkEnd w:id="20"/>
      <w:r>
        <w:t xml:space="preserve"> </w:t>
      </w:r>
    </w:p>
    <w:p w:rsidR="004D2996" w:rsidRDefault="003C679C" w:rsidP="004517AE">
      <w:r w:rsidRPr="003C679C">
        <w:t xml:space="preserve">We accept </w:t>
      </w:r>
      <w:proofErr w:type="spellStart"/>
      <w:r w:rsidRPr="003C679C">
        <w:t>TransGrid's</w:t>
      </w:r>
      <w:proofErr w:type="spellEnd"/>
      <w:r w:rsidRPr="003C679C">
        <w:t xml:space="preserve"> proposed depreciation </w:t>
      </w:r>
      <w:r>
        <w:t>method</w:t>
      </w:r>
      <w:r w:rsidRPr="003C679C">
        <w:t xml:space="preserve"> set out in its revised proposal. </w:t>
      </w:r>
      <w:r w:rsidR="005C1C34">
        <w:t>However, we</w:t>
      </w:r>
      <w:r w:rsidR="00E26F35">
        <w:t xml:space="preserve"> </w:t>
      </w:r>
      <w:r w:rsidR="003B5053">
        <w:t>increased</w:t>
      </w:r>
      <w:r w:rsidR="00E26F35">
        <w:t xml:space="preserve"> </w:t>
      </w:r>
      <w:proofErr w:type="spellStart"/>
      <w:r w:rsidR="00E26F35">
        <w:t>TransGrid's</w:t>
      </w:r>
      <w:proofErr w:type="spellEnd"/>
      <w:r w:rsidR="00E26F35">
        <w:t xml:space="preserve"> </w:t>
      </w:r>
      <w:r w:rsidR="005C1C34">
        <w:t xml:space="preserve">revised proposed forecast </w:t>
      </w:r>
      <w:r w:rsidR="00E26F35">
        <w:t xml:space="preserve">regulatory depreciation allowance </w:t>
      </w:r>
      <w:r w:rsidR="005C1C34">
        <w:t>by</w:t>
      </w:r>
      <w:r w:rsidR="00E26F35">
        <w:t xml:space="preserve"> $</w:t>
      </w:r>
      <w:r w:rsidR="000A16AA">
        <w:t>2</w:t>
      </w:r>
      <w:r w:rsidR="00746223">
        <w:t>9.5</w:t>
      </w:r>
      <w:r w:rsidR="00E26F35">
        <w:t xml:space="preserve"> million (</w:t>
      </w:r>
      <w:r w:rsidR="000019A3">
        <w:t xml:space="preserve">or </w:t>
      </w:r>
      <w:r w:rsidR="00746223">
        <w:t>7</w:t>
      </w:r>
      <w:r w:rsidR="00E26F35">
        <w:t xml:space="preserve"> per cent)</w:t>
      </w:r>
      <w:r w:rsidR="005C1C34">
        <w:t xml:space="preserve"> to $</w:t>
      </w:r>
      <w:r w:rsidR="000A16AA">
        <w:t>45</w:t>
      </w:r>
      <w:r w:rsidR="00746223">
        <w:t>3.3</w:t>
      </w:r>
      <w:r w:rsidR="005C1C34">
        <w:t xml:space="preserve"> million ($ nominal)</w:t>
      </w:r>
      <w:r w:rsidR="000019A3">
        <w:t xml:space="preserve">. </w:t>
      </w:r>
      <w:r w:rsidR="004D2996">
        <w:t>O</w:t>
      </w:r>
      <w:r w:rsidR="005C1C34">
        <w:t>ur amendment is driven by o</w:t>
      </w:r>
      <w:r w:rsidR="005C1C34" w:rsidRPr="00772791">
        <w:t>ur</w:t>
      </w:r>
      <w:r w:rsidR="004D2996">
        <w:t>:</w:t>
      </w:r>
    </w:p>
    <w:p w:rsidR="004D2996" w:rsidRDefault="004D2996" w:rsidP="004D2996">
      <w:pPr>
        <w:pStyle w:val="AERbulletlistfirststyle"/>
      </w:pPr>
      <w:r>
        <w:t>updates to the remaining asset lives (section</w:t>
      </w:r>
      <w:r w:rsidR="00F40DA7">
        <w:t xml:space="preserve"> </w:t>
      </w:r>
      <w:r w:rsidR="00F40DA7">
        <w:fldChar w:fldCharType="begin"/>
      </w:r>
      <w:r w:rsidR="00F40DA7">
        <w:instrText xml:space="preserve"> REF _Ref413755284 \r \h </w:instrText>
      </w:r>
      <w:r w:rsidR="00F40DA7">
        <w:fldChar w:fldCharType="separate"/>
      </w:r>
      <w:r w:rsidR="003B4BE6">
        <w:t>5.4.2</w:t>
      </w:r>
      <w:r w:rsidR="00F40DA7">
        <w:fldChar w:fldCharType="end"/>
      </w:r>
      <w:r>
        <w:t>)</w:t>
      </w:r>
    </w:p>
    <w:p w:rsidR="00DE3722" w:rsidRDefault="005C1C34" w:rsidP="00C6788B">
      <w:pPr>
        <w:pStyle w:val="AERbulletlistfirststyle"/>
      </w:pPr>
      <w:proofErr w:type="gramStart"/>
      <w:r w:rsidRPr="00772791">
        <w:t>determination</w:t>
      </w:r>
      <w:r w:rsidR="004D2996">
        <w:t>s</w:t>
      </w:r>
      <w:proofErr w:type="gramEnd"/>
      <w:r w:rsidRPr="00772791">
        <w:t xml:space="preserve"> on other components of </w:t>
      </w:r>
      <w:proofErr w:type="spellStart"/>
      <w:r>
        <w:t>TransGrid's</w:t>
      </w:r>
      <w:proofErr w:type="spellEnd"/>
      <w:r w:rsidRPr="00772791">
        <w:t xml:space="preserve"> re</w:t>
      </w:r>
      <w:r>
        <w:t xml:space="preserve">vised </w:t>
      </w:r>
      <w:r w:rsidRPr="00772791">
        <w:t>proposal</w:t>
      </w:r>
      <w:r>
        <w:t>, such as</w:t>
      </w:r>
      <w:r w:rsidR="003C679C" w:rsidRPr="003C679C">
        <w:t xml:space="preserve"> </w:t>
      </w:r>
      <w:r w:rsidR="00C26E36">
        <w:t>the</w:t>
      </w:r>
      <w:r>
        <w:t xml:space="preserve"> opening RAB value (attachment 2),</w:t>
      </w:r>
      <w:r w:rsidR="00C26E36">
        <w:t xml:space="preserve"> forecast inflation (attachment </w:t>
      </w:r>
      <w:r>
        <w:t>3</w:t>
      </w:r>
      <w:r w:rsidR="00C26E36">
        <w:t xml:space="preserve">), </w:t>
      </w:r>
      <w:r w:rsidR="004D2996">
        <w:t xml:space="preserve">and </w:t>
      </w:r>
      <w:r w:rsidR="003C679C" w:rsidRPr="003C679C">
        <w:t>forecast capex (attachment 6)</w:t>
      </w:r>
      <w:r w:rsidR="00472D4B">
        <w:t xml:space="preserve">, </w:t>
      </w:r>
      <w:r w:rsidR="005E20C7">
        <w:t>which affect the forecast regulatory depreciation allowance</w:t>
      </w:r>
      <w:r w:rsidR="004517AE" w:rsidRPr="00CA77A4">
        <w:t>.</w:t>
      </w:r>
      <w:r w:rsidR="00C6788B">
        <w:t> </w:t>
      </w:r>
      <w:r w:rsidR="003E00B8">
        <w:t xml:space="preserve">In particular, the </w:t>
      </w:r>
      <w:r w:rsidR="003B5053">
        <w:t>use of a</w:t>
      </w:r>
      <w:r w:rsidR="00DE3722" w:rsidRPr="00F83034">
        <w:t xml:space="preserve"> lower forecast inflation rate means </w:t>
      </w:r>
      <w:r w:rsidR="003E00B8">
        <w:t xml:space="preserve">that </w:t>
      </w:r>
      <w:r w:rsidR="00DE3722" w:rsidRPr="00F83034">
        <w:t>the resulting regulatory depreciation allowance (which nets out the inflation indexation on the opening RAB) is higher than proposed.</w:t>
      </w:r>
    </w:p>
    <w:p w:rsidR="00193DF3" w:rsidRDefault="00193DF3" w:rsidP="001754EE">
      <w:pPr>
        <w:pStyle w:val="Heading3"/>
      </w:pPr>
      <w:bookmarkStart w:id="21" w:name="_Ref412801524"/>
      <w:bookmarkStart w:id="22" w:name="_Toc423606711"/>
      <w:r>
        <w:t>Standard asset lives</w:t>
      </w:r>
      <w:bookmarkEnd w:id="21"/>
      <w:bookmarkEnd w:id="22"/>
    </w:p>
    <w:p w:rsidR="004517AE" w:rsidRDefault="004517AE" w:rsidP="004517AE">
      <w:r>
        <w:t xml:space="preserve">Consistent with our draft decision, we accept </w:t>
      </w:r>
      <w:proofErr w:type="spellStart"/>
      <w:r>
        <w:t>TransGrid's</w:t>
      </w:r>
      <w:proofErr w:type="spellEnd"/>
      <w:r>
        <w:t xml:space="preserve"> proposed standard asset lives, which include the following changes to the standard asset lives for: </w:t>
      </w:r>
    </w:p>
    <w:p w:rsidR="004517AE" w:rsidRPr="000E130B" w:rsidRDefault="004517AE" w:rsidP="000E130B">
      <w:pPr>
        <w:pStyle w:val="AERbulletlistfirststyle"/>
      </w:pPr>
      <w:r w:rsidRPr="000E130B">
        <w:t>'Underground cables 2014–18'</w:t>
      </w:r>
      <w:r w:rsidR="00B50922">
        <w:t xml:space="preserve"> asset class</w:t>
      </w:r>
      <w:r w:rsidRPr="000E130B">
        <w:t xml:space="preserve"> (to 45 years from 50 years). </w:t>
      </w:r>
    </w:p>
    <w:p w:rsidR="004517AE" w:rsidRPr="000E130B" w:rsidRDefault="004517AE" w:rsidP="000E130B">
      <w:pPr>
        <w:pStyle w:val="AERbulletlistfirststyle"/>
      </w:pPr>
      <w:r w:rsidRPr="000E130B">
        <w:t xml:space="preserve">'Secondary systems 2014–18' </w:t>
      </w:r>
      <w:r w:rsidR="00B50922">
        <w:t xml:space="preserve">asset class </w:t>
      </w:r>
      <w:r w:rsidRPr="000E130B">
        <w:t>(to 15 years from 35 years).</w:t>
      </w:r>
    </w:p>
    <w:p w:rsidR="004517AE" w:rsidRPr="000E130B" w:rsidRDefault="004517AE" w:rsidP="000E130B">
      <w:pPr>
        <w:pStyle w:val="AERbulletlistfirststyle"/>
      </w:pPr>
      <w:r w:rsidRPr="000E130B">
        <w:t xml:space="preserve">'Communications 2014–18' </w:t>
      </w:r>
      <w:r w:rsidR="00B50922">
        <w:t xml:space="preserve">asset class </w:t>
      </w:r>
      <w:r w:rsidRPr="000E130B">
        <w:t>(to 10 years from 35 years).</w:t>
      </w:r>
    </w:p>
    <w:p w:rsidR="004517AE" w:rsidRPr="000E130B" w:rsidRDefault="004517AE" w:rsidP="000E130B">
      <w:pPr>
        <w:pStyle w:val="AERbulletlistfirststyle"/>
      </w:pPr>
      <w:r w:rsidRPr="000E130B">
        <w:t>The new asset class 'Transmission line life extension' of 25 years.</w:t>
      </w:r>
    </w:p>
    <w:p w:rsidR="000029F0" w:rsidRDefault="000A69B9" w:rsidP="00984628">
      <w:pPr>
        <w:numPr>
          <w:ilvl w:val="0"/>
          <w:numId w:val="25"/>
        </w:numPr>
      </w:pPr>
      <w:r>
        <w:t>We are satisfied these proposed standard asset lives reflect the nature of the assets</w:t>
      </w:r>
      <w:r w:rsidRPr="00196D33">
        <w:t xml:space="preserve"> </w:t>
      </w:r>
      <w:r>
        <w:t xml:space="preserve">over the </w:t>
      </w:r>
      <w:r w:rsidRPr="00196D33">
        <w:t>economic lives of the asset</w:t>
      </w:r>
      <w:r>
        <w:t xml:space="preserve"> classes.</w:t>
      </w:r>
      <w:r>
        <w:rPr>
          <w:rStyle w:val="FootnoteReference"/>
        </w:rPr>
        <w:footnoteReference w:id="4"/>
      </w:r>
    </w:p>
    <w:p w:rsidR="00C7552E" w:rsidRDefault="005E20C7" w:rsidP="00984628">
      <w:pPr>
        <w:numPr>
          <w:ilvl w:val="0"/>
          <w:numId w:val="25"/>
        </w:numPr>
      </w:pPr>
      <w:r>
        <w:lastRenderedPageBreak/>
        <w:t>We note</w:t>
      </w:r>
      <w:r w:rsidR="00472D4B">
        <w:t xml:space="preserve"> that the Energy Markets Reform Forum</w:t>
      </w:r>
      <w:r w:rsidR="00C7552E">
        <w:t>'s</w:t>
      </w:r>
      <w:r w:rsidR="00472D4B">
        <w:t xml:space="preserve"> (EMRF) </w:t>
      </w:r>
      <w:r w:rsidR="00C7552E">
        <w:t>submission</w:t>
      </w:r>
      <w:r w:rsidR="00472D4B">
        <w:t xml:space="preserve"> </w:t>
      </w:r>
      <w:r w:rsidR="00984628">
        <w:t>raised concerns with the scale of some of the standard asset class changes, in particular with the 'Secondary systems' asset classes.</w:t>
      </w:r>
      <w:r w:rsidR="00234D75">
        <w:rPr>
          <w:rStyle w:val="FootnoteReference"/>
        </w:rPr>
        <w:footnoteReference w:id="5"/>
      </w:r>
      <w:r w:rsidR="00984628">
        <w:t xml:space="preserve"> Consistent with our draft decision, we are satisfied that </w:t>
      </w:r>
      <w:proofErr w:type="spellStart"/>
      <w:r w:rsidR="00984628">
        <w:t>TransGrid's</w:t>
      </w:r>
      <w:proofErr w:type="spellEnd"/>
      <w:r w:rsidR="00984628">
        <w:t xml:space="preserve"> proposed standard asset lives are </w:t>
      </w:r>
      <w:r w:rsidR="00984628" w:rsidRPr="000549C7">
        <w:t>comparable with th</w:t>
      </w:r>
      <w:r w:rsidR="00984628">
        <w:t>ose</w:t>
      </w:r>
      <w:r w:rsidR="00984628" w:rsidRPr="000549C7">
        <w:t xml:space="preserve"> approved in our recent transmission determinations for other TNSPs</w:t>
      </w:r>
      <w:r w:rsidR="00984628">
        <w:t xml:space="preserve">. In the case of the 'Secondary systems' asset class, we consider our decision is appropriate because the new assets allocated to this class comprise of </w:t>
      </w:r>
      <w:r w:rsidR="00984628" w:rsidRPr="00984628">
        <w:t>modern digital electronic protection and control devices</w:t>
      </w:r>
      <w:r w:rsidR="00984628">
        <w:t xml:space="preserve"> which</w:t>
      </w:r>
      <w:r w:rsidR="00984628" w:rsidRPr="00984628">
        <w:t xml:space="preserve"> have</w:t>
      </w:r>
      <w:r w:rsidR="00984628">
        <w:t xml:space="preserve"> a</w:t>
      </w:r>
      <w:r w:rsidR="00984628" w:rsidRPr="00984628">
        <w:t xml:space="preserve"> shorter economic life than their electromechanical predecessors.</w:t>
      </w:r>
    </w:p>
    <w:p w:rsidR="007C109F" w:rsidRDefault="006447CE" w:rsidP="00984628">
      <w:pPr>
        <w:numPr>
          <w:ilvl w:val="0"/>
          <w:numId w:val="25"/>
        </w:numPr>
      </w:pPr>
      <w:r>
        <w:t>The</w:t>
      </w:r>
      <w:r w:rsidR="007C109F">
        <w:t xml:space="preserve"> EMRF</w:t>
      </w:r>
      <w:r w:rsidR="00A74DAF">
        <w:t xml:space="preserve"> </w:t>
      </w:r>
      <w:r>
        <w:t>raised a second concern relating</w:t>
      </w:r>
      <w:r w:rsidR="007C109F">
        <w:t xml:space="preserve"> to the introduction of the 'Transmission line life extension' asset class. </w:t>
      </w:r>
      <w:r w:rsidR="00BA49A6">
        <w:t>It</w:t>
      </w:r>
      <w:r w:rsidR="007C109F">
        <w:t xml:space="preserve"> </w:t>
      </w:r>
      <w:r w:rsidR="00BA49A6">
        <w:t>submitted</w:t>
      </w:r>
      <w:r w:rsidR="007C109F">
        <w:t xml:space="preserve"> that the residual (undepreciated) amount of the underlying transmission line assets</w:t>
      </w:r>
      <w:r>
        <w:t>, subject to life extension works,</w:t>
      </w:r>
      <w:r w:rsidR="007C109F">
        <w:t xml:space="preserve"> should be depreciated at the extended life.</w:t>
      </w:r>
    </w:p>
    <w:p w:rsidR="00984628" w:rsidRDefault="000A69B9" w:rsidP="00984628">
      <w:pPr>
        <w:numPr>
          <w:ilvl w:val="0"/>
          <w:numId w:val="25"/>
        </w:numPr>
      </w:pPr>
      <w:r>
        <w:t xml:space="preserve">We consider this </w:t>
      </w:r>
      <w:r w:rsidR="00C749B4">
        <w:t xml:space="preserve">a valid </w:t>
      </w:r>
      <w:r>
        <w:t xml:space="preserve">point. In reviewing </w:t>
      </w:r>
      <w:proofErr w:type="spellStart"/>
      <w:r>
        <w:t>TransGrid's</w:t>
      </w:r>
      <w:proofErr w:type="spellEnd"/>
      <w:r>
        <w:t xml:space="preserve"> proposed transmission line</w:t>
      </w:r>
      <w:r w:rsidR="007C5617">
        <w:t xml:space="preserve"> asset</w:t>
      </w:r>
      <w:r>
        <w:t>s targeted for life extension, we note that the majority (11 out of 13)</w:t>
      </w:r>
      <w:r w:rsidR="007104C5">
        <w:t xml:space="preserve"> of the underlying transmission line</w:t>
      </w:r>
      <w:r w:rsidR="007C5617">
        <w:t>s</w:t>
      </w:r>
      <w:r w:rsidR="007104C5">
        <w:t xml:space="preserve"> are fully depreciated.</w:t>
      </w:r>
      <w:r w:rsidR="007C5617">
        <w:rPr>
          <w:rStyle w:val="FootnoteReference"/>
        </w:rPr>
        <w:footnoteReference w:id="6"/>
      </w:r>
      <w:r w:rsidR="007104C5">
        <w:t xml:space="preserve"> The other two underlying transmission line</w:t>
      </w:r>
      <w:r w:rsidR="007C5617">
        <w:t xml:space="preserve">s </w:t>
      </w:r>
      <w:r w:rsidR="007104C5">
        <w:t xml:space="preserve">are close to being depreciated. Therefore, revising the remaining asset lives for these two lines </w:t>
      </w:r>
      <w:r w:rsidR="00790318">
        <w:t xml:space="preserve">in the manner suggested by EMRF </w:t>
      </w:r>
      <w:r w:rsidR="007104C5">
        <w:t>would not have a material impact on the depreciation calculations in this case.</w:t>
      </w:r>
      <w:r w:rsidR="00790318">
        <w:rPr>
          <w:rStyle w:val="FootnoteReference"/>
        </w:rPr>
        <w:footnoteReference w:id="7"/>
      </w:r>
      <w:r w:rsidR="007104C5">
        <w:t xml:space="preserve"> </w:t>
      </w:r>
      <w:r w:rsidR="007C5617">
        <w:t>Given this, we have decided not to adjust the remaining asset lives for the undepreciated amounts associated with the two underlying transmission line assets.</w:t>
      </w:r>
    </w:p>
    <w:p w:rsidR="00C7552E" w:rsidRDefault="00C7552E" w:rsidP="004517AE">
      <w:pPr>
        <w:numPr>
          <w:ilvl w:val="0"/>
          <w:numId w:val="25"/>
        </w:numPr>
      </w:pPr>
      <w:r>
        <w:fldChar w:fldCharType="begin"/>
      </w:r>
      <w:r>
        <w:instrText xml:space="preserve"> REF _Ref402185769 \h </w:instrText>
      </w:r>
      <w:r>
        <w:fldChar w:fldCharType="separate"/>
      </w:r>
      <w:r w:rsidR="003B4BE6" w:rsidRPr="00725E0C">
        <w:t xml:space="preserve">Table </w:t>
      </w:r>
      <w:r w:rsidR="003B4BE6">
        <w:t>5</w:t>
      </w:r>
      <w:r w:rsidR="003B4BE6">
        <w:noBreakHyphen/>
      </w:r>
      <w:r w:rsidR="003B4BE6">
        <w:rPr>
          <w:noProof/>
        </w:rPr>
        <w:t>3</w:t>
      </w:r>
      <w:r>
        <w:fldChar w:fldCharType="end"/>
      </w:r>
      <w:r w:rsidRPr="00896831">
        <w:t xml:space="preserve"> </w:t>
      </w:r>
      <w:r>
        <w:t>s</w:t>
      </w:r>
      <w:r w:rsidRPr="00896831">
        <w:t xml:space="preserve">ets out our </w:t>
      </w:r>
      <w:r>
        <w:t>final</w:t>
      </w:r>
      <w:r w:rsidRPr="00896831">
        <w:t xml:space="preserve"> decision on </w:t>
      </w:r>
      <w:proofErr w:type="spellStart"/>
      <w:r>
        <w:t>TransGrid's</w:t>
      </w:r>
      <w:proofErr w:type="spellEnd"/>
      <w:r>
        <w:t xml:space="preserve"> standard </w:t>
      </w:r>
      <w:r w:rsidRPr="00896831">
        <w:t>asset lives</w:t>
      </w:r>
      <w:r>
        <w:t xml:space="preserve"> as at 1 July 2014.</w:t>
      </w:r>
    </w:p>
    <w:p w:rsidR="00C7552E" w:rsidRDefault="00C7552E" w:rsidP="00C7552E">
      <w:pPr>
        <w:pStyle w:val="Heading3"/>
      </w:pPr>
      <w:bookmarkStart w:id="23" w:name="_Ref413755261"/>
      <w:bookmarkStart w:id="24" w:name="_Ref413755284"/>
      <w:bookmarkStart w:id="25" w:name="_Toc423606712"/>
      <w:r>
        <w:t>Remaining asset lives</w:t>
      </w:r>
      <w:bookmarkEnd w:id="23"/>
      <w:bookmarkEnd w:id="24"/>
      <w:bookmarkEnd w:id="25"/>
    </w:p>
    <w:p w:rsidR="00C7552E" w:rsidRDefault="00C7552E" w:rsidP="004517AE">
      <w:pPr>
        <w:numPr>
          <w:ilvl w:val="0"/>
          <w:numId w:val="25"/>
        </w:numPr>
      </w:pPr>
      <w:r>
        <w:t xml:space="preserve">For this final decision, we have updated </w:t>
      </w:r>
      <w:proofErr w:type="spellStart"/>
      <w:r>
        <w:t>TransGrid's</w:t>
      </w:r>
      <w:proofErr w:type="spellEnd"/>
      <w:r>
        <w:t xml:space="preserve"> revised proposed remaining asset lives as at 1 July 2014.</w:t>
      </w:r>
    </w:p>
    <w:p w:rsidR="004517AE" w:rsidRDefault="001B7C15" w:rsidP="004517AE">
      <w:pPr>
        <w:numPr>
          <w:ilvl w:val="0"/>
          <w:numId w:val="25"/>
        </w:numPr>
      </w:pPr>
      <w:r>
        <w:t>In the</w:t>
      </w:r>
      <w:r w:rsidR="004517AE">
        <w:t xml:space="preserve"> draft decision, w</w:t>
      </w:r>
      <w:r w:rsidR="004517AE" w:rsidRPr="006D7077">
        <w:t>e accept</w:t>
      </w:r>
      <w:r w:rsidR="004517AE">
        <w:t>ed</w:t>
      </w:r>
      <w:r w:rsidR="004517AE" w:rsidRPr="006D7077">
        <w:t xml:space="preserve"> </w:t>
      </w:r>
      <w:proofErr w:type="spellStart"/>
      <w:r w:rsidR="004517AE">
        <w:t>TransGrid's</w:t>
      </w:r>
      <w:proofErr w:type="spellEnd"/>
      <w:r w:rsidR="004517AE">
        <w:t xml:space="preserve"> </w:t>
      </w:r>
      <w:r w:rsidR="004517AE" w:rsidRPr="006D7077">
        <w:t xml:space="preserve">proposed weighted average method to calculate the remaining asset lives as at 1 </w:t>
      </w:r>
      <w:r w:rsidR="004517AE">
        <w:t xml:space="preserve">July 2014. </w:t>
      </w:r>
      <w:r w:rsidR="00F40DA7">
        <w:t xml:space="preserve">The proposed method is consistent with our preferred approach. </w:t>
      </w:r>
      <w:r w:rsidR="004517AE">
        <w:t xml:space="preserve">We noted that the remaining asset lives would be updated for the final decision because </w:t>
      </w:r>
      <w:proofErr w:type="spellStart"/>
      <w:r w:rsidR="004517AE">
        <w:t>TransGrid's</w:t>
      </w:r>
      <w:proofErr w:type="spellEnd"/>
      <w:r w:rsidR="004517AE">
        <w:t xml:space="preserve"> revised proposal would include revisions for 2013–14 actual capex. This is because the 2013–14 capex values are used to calculate the</w:t>
      </w:r>
      <w:r w:rsidR="004517AE" w:rsidRPr="00C52F9A">
        <w:t xml:space="preserve"> </w:t>
      </w:r>
      <w:r w:rsidR="004517AE" w:rsidRPr="006D7077">
        <w:t>weighted average remaining asset lives</w:t>
      </w:r>
      <w:r w:rsidR="004517AE">
        <w:t xml:space="preserve"> in the RFM. Based on the further change to the 2013–14 capex as discussed in </w:t>
      </w:r>
      <w:r w:rsidR="005E20C7">
        <w:t>attachment 2</w:t>
      </w:r>
      <w:r w:rsidR="004517AE">
        <w:t xml:space="preserve"> we</w:t>
      </w:r>
      <w:r w:rsidR="004517AE" w:rsidRPr="006D7077">
        <w:t xml:space="preserve"> </w:t>
      </w:r>
      <w:r w:rsidR="004517AE">
        <w:t xml:space="preserve">have updated the remaining asset lives as at 1 July 2014 for this final decision. </w:t>
      </w:r>
    </w:p>
    <w:p w:rsidR="00193DF3" w:rsidRPr="00193DF3" w:rsidRDefault="00193DF3" w:rsidP="00E26F35">
      <w:pPr>
        <w:numPr>
          <w:ilvl w:val="0"/>
          <w:numId w:val="25"/>
        </w:numPr>
      </w:pPr>
      <w:r>
        <w:lastRenderedPageBreak/>
        <w:fldChar w:fldCharType="begin"/>
      </w:r>
      <w:r>
        <w:instrText xml:space="preserve"> REF _Ref402185769 \h </w:instrText>
      </w:r>
      <w:r>
        <w:fldChar w:fldCharType="separate"/>
      </w:r>
      <w:r w:rsidR="003B4BE6" w:rsidRPr="00725E0C">
        <w:t xml:space="preserve">Table </w:t>
      </w:r>
      <w:r w:rsidR="003B4BE6">
        <w:t>5</w:t>
      </w:r>
      <w:r w:rsidR="003B4BE6">
        <w:noBreakHyphen/>
      </w:r>
      <w:r w:rsidR="003B4BE6">
        <w:rPr>
          <w:noProof/>
        </w:rPr>
        <w:t>3</w:t>
      </w:r>
      <w:r>
        <w:fldChar w:fldCharType="end"/>
      </w:r>
      <w:r w:rsidRPr="00896831">
        <w:t xml:space="preserve"> </w:t>
      </w:r>
      <w:r>
        <w:t>s</w:t>
      </w:r>
      <w:r w:rsidRPr="00896831">
        <w:t xml:space="preserve">ets out our </w:t>
      </w:r>
      <w:r w:rsidR="005E20C7">
        <w:t>final</w:t>
      </w:r>
      <w:r w:rsidR="005E20C7" w:rsidRPr="00896831">
        <w:t xml:space="preserve"> </w:t>
      </w:r>
      <w:r w:rsidRPr="00896831">
        <w:t xml:space="preserve">decision on </w:t>
      </w:r>
      <w:proofErr w:type="spellStart"/>
      <w:r>
        <w:t>TransGrid's</w:t>
      </w:r>
      <w:proofErr w:type="spellEnd"/>
      <w:r>
        <w:t xml:space="preserve"> </w:t>
      </w:r>
      <w:r w:rsidR="009B5338">
        <w:t>remaining</w:t>
      </w:r>
      <w:r w:rsidRPr="00896831">
        <w:t xml:space="preserve"> asset lives</w:t>
      </w:r>
      <w:r>
        <w:t xml:space="preserve"> </w:t>
      </w:r>
      <w:r w:rsidR="005E20C7">
        <w:t>as at 1 July 2014</w:t>
      </w:r>
      <w:r>
        <w:t>.</w:t>
      </w:r>
    </w:p>
    <w:p w:rsidR="00193DF3" w:rsidRPr="00725E0C" w:rsidRDefault="00193DF3" w:rsidP="00193DF3">
      <w:pPr>
        <w:pStyle w:val="Caption"/>
      </w:pPr>
      <w:bookmarkStart w:id="26" w:name="_Ref402185769"/>
      <w:r w:rsidRPr="00725E0C">
        <w:t xml:space="preserve">Table </w:t>
      </w:r>
      <w:r>
        <w:t>5</w:t>
      </w:r>
      <w:r>
        <w:noBreakHyphen/>
      </w:r>
      <w:r w:rsidRPr="009C7837">
        <w:fldChar w:fldCharType="begin"/>
      </w:r>
      <w:r>
        <w:instrText xml:space="preserve"> SEQ Table \* ARABIC \s 1 </w:instrText>
      </w:r>
      <w:r w:rsidRPr="009C7837">
        <w:fldChar w:fldCharType="separate"/>
      </w:r>
      <w:r w:rsidR="003B4BE6">
        <w:rPr>
          <w:noProof/>
        </w:rPr>
        <w:t>3</w:t>
      </w:r>
      <w:r w:rsidRPr="009C7837">
        <w:fldChar w:fldCharType="end"/>
      </w:r>
      <w:bookmarkEnd w:id="26"/>
      <w:r w:rsidRPr="00725E0C">
        <w:tab/>
        <w:t xml:space="preserve">AER's </w:t>
      </w:r>
      <w:r w:rsidR="009B5338">
        <w:t xml:space="preserve">final </w:t>
      </w:r>
      <w:r w:rsidRPr="00725E0C">
        <w:t xml:space="preserve">decision on </w:t>
      </w:r>
      <w:proofErr w:type="spellStart"/>
      <w:r w:rsidRPr="00725E0C">
        <w:t>TransGrid's</w:t>
      </w:r>
      <w:proofErr w:type="spellEnd"/>
      <w:r w:rsidRPr="00725E0C">
        <w:t xml:space="preserve"> standard and remaining asset li</w:t>
      </w:r>
      <w:r>
        <w:t>ves</w:t>
      </w:r>
      <w:r w:rsidRPr="00725E0C">
        <w:t xml:space="preserve"> as at 1 July 2014 (years)</w:t>
      </w:r>
    </w:p>
    <w:tbl>
      <w:tblPr>
        <w:tblStyle w:val="AERtable-numbers"/>
        <w:tblW w:w="8750" w:type="dxa"/>
        <w:tblLook w:val="01E0" w:firstRow="1" w:lastRow="1" w:firstColumn="1" w:lastColumn="1" w:noHBand="0" w:noVBand="0"/>
      </w:tblPr>
      <w:tblGrid>
        <w:gridCol w:w="3936"/>
        <w:gridCol w:w="1701"/>
        <w:gridCol w:w="3113"/>
      </w:tblGrid>
      <w:tr w:rsidR="000E130B" w:rsidRPr="00634485" w:rsidTr="000149D9">
        <w:trPr>
          <w:cnfStyle w:val="100000000000" w:firstRow="1" w:lastRow="0" w:firstColumn="0" w:lastColumn="0" w:oddVBand="0" w:evenVBand="0" w:oddHBand="0" w:evenHBand="0" w:firstRowFirstColumn="0" w:firstRowLastColumn="0" w:lastRowFirstColumn="0" w:lastRowLastColumn="0"/>
          <w:trHeight w:hRule="exact" w:val="419"/>
          <w:tblHeader/>
        </w:trPr>
        <w:tc>
          <w:tcPr>
            <w:cnfStyle w:val="001000000000" w:firstRow="0" w:lastRow="0" w:firstColumn="1" w:lastColumn="0" w:oddVBand="0" w:evenVBand="0" w:oddHBand="0" w:evenHBand="0" w:firstRowFirstColumn="0" w:firstRowLastColumn="0" w:lastRowFirstColumn="0" w:lastRowLastColumn="0"/>
            <w:tcW w:w="3936" w:type="dxa"/>
          </w:tcPr>
          <w:p w:rsidR="000E130B" w:rsidRPr="000E130B" w:rsidRDefault="000E130B" w:rsidP="000E130B">
            <w:pPr>
              <w:pStyle w:val="ListParagraph"/>
              <w:numPr>
                <w:ilvl w:val="0"/>
                <w:numId w:val="25"/>
              </w:numPr>
            </w:pPr>
            <w:r w:rsidRPr="000E130B">
              <w:t>Asset class</w:t>
            </w:r>
          </w:p>
        </w:tc>
        <w:tc>
          <w:tcPr>
            <w:tcW w:w="1701" w:type="dxa"/>
          </w:tcPr>
          <w:p w:rsidR="000E130B" w:rsidRPr="00634485" w:rsidRDefault="000E130B" w:rsidP="000E130B">
            <w:pPr>
              <w:cnfStyle w:val="100000000000" w:firstRow="1" w:lastRow="0" w:firstColumn="0" w:lastColumn="0" w:oddVBand="0" w:evenVBand="0" w:oddHBand="0" w:evenHBand="0" w:firstRowFirstColumn="0" w:firstRowLastColumn="0" w:lastRowFirstColumn="0" w:lastRowLastColumn="0"/>
            </w:pPr>
            <w:r w:rsidRPr="00634485">
              <w:t xml:space="preserve">Standard asset life </w:t>
            </w:r>
          </w:p>
        </w:tc>
        <w:tc>
          <w:tcPr>
            <w:tcW w:w="3113" w:type="dxa"/>
          </w:tcPr>
          <w:p w:rsidR="000E130B" w:rsidRPr="00634485" w:rsidRDefault="000E130B" w:rsidP="00D60775">
            <w:pPr>
              <w:cnfStyle w:val="100000000000" w:firstRow="1" w:lastRow="0" w:firstColumn="0" w:lastColumn="0" w:oddVBand="0" w:evenVBand="0" w:oddHBand="0" w:evenHBand="0" w:firstRowFirstColumn="0" w:firstRowLastColumn="0" w:lastRowFirstColumn="0" w:lastRowLastColumn="0"/>
            </w:pPr>
            <w:r w:rsidRPr="00634485">
              <w:t xml:space="preserve">Remaining asset life as at 1 July 2014 </w:t>
            </w:r>
          </w:p>
        </w:tc>
      </w:tr>
      <w:tr w:rsidR="000E130B" w:rsidRPr="00634485" w:rsidTr="000149D9">
        <w:trPr>
          <w:trHeight w:hRule="exact" w:val="424"/>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(pre 2004-05)</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9E5904" w:rsidP="000E130B">
            <w:pPr>
              <w:cnfStyle w:val="000000000000" w:firstRow="0" w:lastRow="0" w:firstColumn="0" w:lastColumn="0" w:oddVBand="0" w:evenVBand="0" w:oddHBand="0" w:evenHBand="0" w:firstRowFirstColumn="0" w:firstRowLastColumn="0" w:lastRowFirstColumn="0" w:lastRowLastColumn="0"/>
            </w:pPr>
            <w:r>
              <w:t>18.1</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9E5904" w:rsidP="000E130B">
            <w:pPr>
              <w:cnfStyle w:val="000000010000" w:firstRow="0" w:lastRow="0" w:firstColumn="0" w:lastColumn="0" w:oddVBand="0" w:evenVBand="0" w:oddHBand="0" w:evenHBand="1" w:firstRowFirstColumn="0" w:firstRowLastColumn="0" w:lastRowFirstColumn="0" w:lastRowLastColumn="0"/>
            </w:pPr>
            <w:r>
              <w:t>30.3</w:t>
            </w:r>
          </w:p>
        </w:tc>
      </w:tr>
      <w:tr w:rsidR="000E130B" w:rsidRPr="00634485" w:rsidTr="009E5904">
        <w:trPr>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including buildings (pre 2004-05)</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9E5904" w:rsidP="000E130B">
            <w:pPr>
              <w:cnfStyle w:val="000000000000" w:firstRow="0" w:lastRow="0" w:firstColumn="0" w:lastColumn="0" w:oddVBand="0" w:evenVBand="0" w:oddHBand="0" w:evenHBand="0" w:firstRowFirstColumn="0" w:firstRowLastColumn="0" w:lastRowFirstColumn="0" w:lastRowLastColumn="0"/>
            </w:pPr>
            <w:r>
              <w:t>16.5</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7"/>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SCADA and communications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9E5904" w:rsidP="000E130B">
            <w:pPr>
              <w:cnfStyle w:val="000000010000" w:firstRow="0" w:lastRow="0" w:firstColumn="0" w:lastColumn="0" w:oddVBand="0" w:evenVBand="0" w:oddHBand="0" w:evenHBand="1" w:firstRowFirstColumn="0" w:firstRowLastColumn="0" w:lastRowFirstColumn="0" w:lastRowLastColumn="0"/>
            </w:pPr>
            <w:r>
              <w:t>1.8</w:t>
            </w:r>
          </w:p>
        </w:tc>
      </w:tr>
      <w:tr w:rsidR="000E130B" w:rsidRPr="00634485" w:rsidTr="009E5904">
        <w:trPr>
          <w:trHeight w:hRule="exact" w:val="41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Non-network assets (pre 2004-05)</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634485" w:rsidRDefault="009E5904" w:rsidP="000E130B">
            <w:pPr>
              <w:cnfStyle w:val="000000000000" w:firstRow="0" w:lastRow="0" w:firstColumn="0" w:lastColumn="0" w:oddVBand="0" w:evenVBand="0" w:oddHBand="0" w:evenHBand="0" w:firstRowFirstColumn="0" w:firstRowLastColumn="0" w:lastRowFirstColumn="0" w:lastRowLastColumn="0"/>
            </w:pPr>
            <w:r>
              <w:t>1.0</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SMHEA assets (pre 2004-05)</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634485" w:rsidRDefault="009E5904" w:rsidP="000E130B">
            <w:pPr>
              <w:cnfStyle w:val="000000010000" w:firstRow="0" w:lastRow="0" w:firstColumn="0" w:lastColumn="0" w:oddVBand="0" w:evenVBand="0" w:oddHBand="0" w:evenHBand="1" w:firstRowFirstColumn="0" w:firstRowLastColumn="0" w:lastRowFirstColumn="0" w:lastRowLastColumn="0"/>
            </w:pPr>
            <w:r>
              <w:t>3.0</w:t>
            </w:r>
          </w:p>
        </w:tc>
      </w:tr>
      <w:tr w:rsidR="000E130B" w:rsidRPr="00634485" w:rsidTr="009E5904">
        <w:trPr>
          <w:trHeight w:hRule="exact" w:val="43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44.1</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(2004-09)</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36.4</w:t>
            </w:r>
          </w:p>
        </w:tc>
      </w:tr>
      <w:tr w:rsidR="000E130B" w:rsidRPr="00634485" w:rsidTr="009E5904">
        <w:trPr>
          <w:trHeight w:hRule="exact" w:val="42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including buildings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33.8</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SCADA and communications (2004-09)</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8.8</w:t>
            </w:r>
          </w:p>
        </w:tc>
      </w:tr>
      <w:tr w:rsidR="000E130B" w:rsidRPr="00634485" w:rsidTr="009E5904">
        <w:trPr>
          <w:trHeight w:hRule="exact" w:val="42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Non-network assets (2004-09)</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w:t>
            </w:r>
            <w:r w:rsidR="009E5904">
              <w:t>4</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&amp; cables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48.</w:t>
            </w:r>
            <w:r w:rsidR="009E5904">
              <w:t>6</w:t>
            </w:r>
          </w:p>
        </w:tc>
      </w:tr>
      <w:tr w:rsidR="000E130B" w:rsidRPr="00634485" w:rsidTr="009E5904">
        <w:trPr>
          <w:trHeight w:hRule="exact" w:val="42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(2009-14)</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500D5B">
            <w:pPr>
              <w:cnfStyle w:val="000000000000" w:firstRow="0" w:lastRow="0" w:firstColumn="0" w:lastColumn="0" w:oddVBand="0" w:evenVBand="0" w:oddHBand="0" w:evenHBand="0" w:firstRowFirstColumn="0" w:firstRowLastColumn="0" w:lastRowFirstColumn="0" w:lastRowLastColumn="0"/>
            </w:pPr>
            <w:r>
              <w:t>38.</w:t>
            </w:r>
            <w:r w:rsidR="00F52856">
              <w:t>2</w:t>
            </w:r>
          </w:p>
        </w:tc>
      </w:tr>
      <w:tr w:rsidR="000E130B" w:rsidRPr="00634485" w:rsidTr="000149D9">
        <w:trPr>
          <w:cnfStyle w:val="000000010000" w:firstRow="0" w:lastRow="0" w:firstColumn="0" w:lastColumn="0" w:oddVBand="0" w:evenVBand="0" w:oddHBand="0" w:evenHBand="1"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Secondary systems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33.5</w:t>
            </w:r>
          </w:p>
        </w:tc>
      </w:tr>
      <w:tr w:rsidR="000E130B" w:rsidRPr="00634485" w:rsidTr="000149D9">
        <w:trPr>
          <w:trHeight w:hRule="exact" w:val="34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Communications (2009-14)</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33.4</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Business IT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6D0DB3">
            <w:pPr>
              <w:cnfStyle w:val="000000010000" w:firstRow="0" w:lastRow="0" w:firstColumn="0" w:lastColumn="0" w:oddVBand="0" w:evenVBand="0" w:oddHBand="0" w:evenHBand="1" w:firstRowFirstColumn="0" w:firstRowLastColumn="0" w:lastRowFirstColumn="0" w:lastRowLastColumn="0"/>
            </w:pPr>
            <w:r>
              <w:t>3.</w:t>
            </w:r>
            <w:r w:rsidR="006D0DB3">
              <w:t>0</w:t>
            </w:r>
          </w:p>
        </w:tc>
      </w:tr>
      <w:tr w:rsidR="000E130B" w:rsidRPr="00634485" w:rsidTr="009E5904">
        <w:trPr>
          <w:trHeight w:hRule="exact" w:val="421"/>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Minor plant, motor vehicles &amp; mobile plant (2009-14)</w:t>
            </w:r>
          </w:p>
        </w:tc>
        <w:tc>
          <w:tcPr>
            <w:tcW w:w="1701"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t>6.2</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4"/>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Equity raising costs (2009-14)</w:t>
            </w:r>
          </w:p>
        </w:tc>
        <w:tc>
          <w:tcPr>
            <w:tcW w:w="1701"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tcPr>
          <w:p w:rsidR="000E130B" w:rsidRPr="000E130B" w:rsidRDefault="000E130B" w:rsidP="000E130B">
            <w:pPr>
              <w:cnfStyle w:val="000000010000" w:firstRow="0" w:lastRow="0" w:firstColumn="0" w:lastColumn="0" w:oddVBand="0" w:evenVBand="0" w:oddHBand="0" w:evenHBand="1" w:firstRowFirstColumn="0" w:firstRowLastColumn="0" w:lastRowFirstColumn="0" w:lastRowLastColumn="0"/>
            </w:pPr>
            <w:r>
              <w:t>36.6</w:t>
            </w:r>
          </w:p>
        </w:tc>
      </w:tr>
      <w:tr w:rsidR="000E130B" w:rsidRPr="00634485" w:rsidTr="009E5904">
        <w:trPr>
          <w:trHeight w:hRule="exact" w:val="43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lines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50.0</w:t>
            </w:r>
          </w:p>
        </w:tc>
        <w:tc>
          <w:tcPr>
            <w:tcW w:w="3113" w:type="dxa"/>
            <w:vAlign w:val="top"/>
          </w:tcPr>
          <w:p w:rsidR="000E130B" w:rsidRPr="000E130B" w:rsidRDefault="000E130B" w:rsidP="000E130B">
            <w:pPr>
              <w:cnfStyle w:val="000000000000" w:firstRow="0" w:lastRow="0" w:firstColumn="0" w:lastColumn="0" w:oddVBand="0" w:evenVBand="0" w:oddHBand="0" w:evenHBand="0" w:firstRowFirstColumn="0" w:firstRowLastColumn="0" w:lastRowFirstColumn="0" w:lastRowLastColumn="0"/>
            </w:pPr>
            <w:r w:rsidRPr="00634485">
              <w:t>n/</w:t>
            </w:r>
            <w:r w:rsidRPr="000E130B">
              <w:t>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Underground cables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45.0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9"/>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Substations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40.0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Secondary systems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15.0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0E130B" w:rsidRDefault="000E130B" w:rsidP="000E130B">
            <w:r w:rsidRPr="00634485">
              <w:t>Communications (short life) (2014-18)</w:t>
            </w:r>
            <w:r w:rsidRPr="000E130B">
              <w:rPr>
                <w:rStyle w:val="AERsuperscript"/>
              </w:rPr>
              <w:t>a</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10.0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0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Business IT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4.0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Minor plant, motor vehicles &amp; mobile plant (2014-18)</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8.0</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9E5904">
        <w:trPr>
          <w:cnfStyle w:val="000000010000" w:firstRow="0" w:lastRow="0" w:firstColumn="0" w:lastColumn="0" w:oddVBand="0" w:evenVBand="0" w:oddHBand="0" w:evenHBand="1" w:firstRowFirstColumn="0" w:firstRowLastColumn="0" w:lastRowFirstColumn="0" w:lastRowLastColumn="0"/>
          <w:trHeight w:hRule="exact" w:val="416"/>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Transmission line life extension (2014-18)</w:t>
            </w:r>
          </w:p>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25.0</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r w:rsidR="000E130B" w:rsidRPr="00634485" w:rsidTr="009E5904">
        <w:trPr>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0E130B" w:rsidRDefault="000E130B" w:rsidP="000E130B">
            <w:r w:rsidRPr="00634485">
              <w:t>Equity raising costs (2014-18)</w:t>
            </w:r>
            <w:r w:rsidRPr="000E130B">
              <w:rPr>
                <w:rStyle w:val="AERsuperscript"/>
              </w:rPr>
              <w:t>b</w:t>
            </w:r>
          </w:p>
        </w:tc>
        <w:tc>
          <w:tcPr>
            <w:tcW w:w="1701" w:type="dxa"/>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vAlign w:val="top"/>
          </w:tcPr>
          <w:p w:rsidR="000E130B" w:rsidRPr="00634485" w:rsidRDefault="000E130B" w:rsidP="000E130B">
            <w:pPr>
              <w:cnfStyle w:val="000000000000" w:firstRow="0" w:lastRow="0" w:firstColumn="0" w:lastColumn="0" w:oddVBand="0" w:evenVBand="0" w:oddHBand="0" w:evenHBand="0" w:firstRowFirstColumn="0" w:firstRowLastColumn="0" w:lastRowFirstColumn="0" w:lastRowLastColumn="0"/>
            </w:pPr>
            <w:r w:rsidRPr="00634485">
              <w:t>n/a</w:t>
            </w:r>
          </w:p>
        </w:tc>
      </w:tr>
      <w:tr w:rsidR="000E130B" w:rsidRPr="00634485" w:rsidTr="000149D9">
        <w:trPr>
          <w:cnfStyle w:val="000000010000" w:firstRow="0" w:lastRow="0" w:firstColumn="0" w:lastColumn="0" w:oddVBand="0" w:evenVBand="0" w:oddHBand="0" w:evenHBand="1" w:firstRowFirstColumn="0" w:firstRowLastColumn="0" w:lastRowFirstColumn="0" w:lastRowLastColumn="0"/>
          <w:trHeight w:hRule="exact" w:val="375"/>
        </w:trPr>
        <w:tc>
          <w:tcPr>
            <w:cnfStyle w:val="001000000000" w:firstRow="0" w:lastRow="0" w:firstColumn="1" w:lastColumn="0" w:oddVBand="0" w:evenVBand="0" w:oddHBand="0" w:evenHBand="0" w:firstRowFirstColumn="0" w:firstRowLastColumn="0" w:lastRowFirstColumn="0" w:lastRowLastColumn="0"/>
            <w:tcW w:w="3936" w:type="dxa"/>
            <w:vAlign w:val="bottom"/>
          </w:tcPr>
          <w:p w:rsidR="000E130B" w:rsidRPr="00634485" w:rsidRDefault="000E130B" w:rsidP="000E130B">
            <w:r w:rsidRPr="00634485">
              <w:t xml:space="preserve">Land and easements </w:t>
            </w:r>
          </w:p>
          <w:p w:rsidR="000E130B" w:rsidRPr="00634485" w:rsidRDefault="000E130B" w:rsidP="000E130B"/>
        </w:tc>
        <w:tc>
          <w:tcPr>
            <w:tcW w:w="1701" w:type="dxa"/>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c>
          <w:tcPr>
            <w:tcW w:w="3113" w:type="dxa"/>
            <w:vAlign w:val="top"/>
          </w:tcPr>
          <w:p w:rsidR="000E130B" w:rsidRPr="00634485" w:rsidRDefault="000E130B" w:rsidP="000E130B">
            <w:pPr>
              <w:cnfStyle w:val="000000010000" w:firstRow="0" w:lastRow="0" w:firstColumn="0" w:lastColumn="0" w:oddVBand="0" w:evenVBand="0" w:oddHBand="0" w:evenHBand="1" w:firstRowFirstColumn="0" w:firstRowLastColumn="0" w:lastRowFirstColumn="0" w:lastRowLastColumn="0"/>
            </w:pPr>
            <w:r w:rsidRPr="00634485">
              <w:t>n/a</w:t>
            </w:r>
          </w:p>
        </w:tc>
      </w:tr>
    </w:tbl>
    <w:p w:rsidR="000E130B" w:rsidRPr="00634485" w:rsidRDefault="000E130B" w:rsidP="000E130B">
      <w:pPr>
        <w:pStyle w:val="AERtablesource"/>
      </w:pPr>
      <w:r w:rsidRPr="00634485">
        <w:lastRenderedPageBreak/>
        <w:t>Source:</w:t>
      </w:r>
      <w:r w:rsidRPr="00634485">
        <w:tab/>
        <w:t xml:space="preserve">AER analysis. </w:t>
      </w:r>
    </w:p>
    <w:p w:rsidR="000E130B" w:rsidRPr="00634485" w:rsidRDefault="000E130B" w:rsidP="000E130B">
      <w:pPr>
        <w:pStyle w:val="AERtablesource"/>
      </w:pPr>
      <w:r w:rsidRPr="00634485">
        <w:t xml:space="preserve">n/a: </w:t>
      </w:r>
      <w:r w:rsidRPr="00634485">
        <w:tab/>
      </w:r>
      <w:r>
        <w:t>N</w:t>
      </w:r>
      <w:r w:rsidRPr="00634485">
        <w:t>ot applicable. The asset classes ending with '(pre 2004-05)'; '(2004-09)'; and '(2009-14)' do not have assigned standard asset lives because forecast capex is no longer allocated to them.</w:t>
      </w:r>
    </w:p>
    <w:p w:rsidR="000E130B" w:rsidRPr="00634485" w:rsidRDefault="000E130B" w:rsidP="000E130B">
      <w:pPr>
        <w:pStyle w:val="AERtablesource"/>
      </w:pPr>
      <w:r w:rsidRPr="00634485">
        <w:t>(a)</w:t>
      </w:r>
      <w:r w:rsidRPr="00634485">
        <w:tab/>
        <w:t xml:space="preserve">As discussed in </w:t>
      </w:r>
      <w:r>
        <w:t xml:space="preserve">our draft decision </w:t>
      </w:r>
      <w:r w:rsidRPr="00634485">
        <w:t>attachment 5, we have changed the name of this</w:t>
      </w:r>
      <w:r>
        <w:t xml:space="preserve"> asset class to 'Communications (short life) </w:t>
      </w:r>
      <w:r w:rsidRPr="00634485">
        <w:t>2014–18' to better reflect the nature of the assets allocated to this asset class.</w:t>
      </w:r>
    </w:p>
    <w:p w:rsidR="000E130B" w:rsidRPr="00290C63" w:rsidRDefault="000E130B" w:rsidP="000E130B">
      <w:pPr>
        <w:pStyle w:val="AERtablesource"/>
      </w:pPr>
      <w:r>
        <w:t>(b)</w:t>
      </w:r>
      <w:r>
        <w:tab/>
        <w:t>For this final</w:t>
      </w:r>
      <w:r w:rsidRPr="00634485">
        <w:t xml:space="preserve"> decision, </w:t>
      </w:r>
      <w:proofErr w:type="spellStart"/>
      <w:r w:rsidRPr="00634485">
        <w:t>TransGrid</w:t>
      </w:r>
      <w:proofErr w:type="spellEnd"/>
      <w:r w:rsidRPr="00634485">
        <w:t xml:space="preserve"> does not satisfy the requirements to incur benchmark equity raising costs associated with its forecast capex for the 2014–18 </w:t>
      </w:r>
      <w:proofErr w:type="gramStart"/>
      <w:r w:rsidRPr="00634485">
        <w:t>period</w:t>
      </w:r>
      <w:proofErr w:type="gramEnd"/>
      <w:r w:rsidRPr="00634485">
        <w:t>. Therefore, a standard asset life for equity raising costs (2014–18) is not required.</w:t>
      </w:r>
    </w:p>
    <w:sectPr w:rsidR="000E130B" w:rsidRPr="00290C63" w:rsidSect="00EE50D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628" w:rsidRPr="00290C63" w:rsidRDefault="00984628" w:rsidP="00290C63">
      <w:r>
        <w:separator/>
      </w:r>
    </w:p>
    <w:p w:rsidR="00984628" w:rsidRDefault="00984628"/>
  </w:endnote>
  <w:endnote w:type="continuationSeparator" w:id="0">
    <w:p w:rsidR="00984628" w:rsidRPr="00290C63" w:rsidRDefault="00984628" w:rsidP="00290C63">
      <w:r>
        <w:continuationSeparator/>
      </w:r>
    </w:p>
    <w:p w:rsidR="00984628" w:rsidRDefault="009846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28" w:rsidRPr="00290C63" w:rsidRDefault="00984628"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84628" w:rsidRDefault="00984628"/>
  <w:p w:rsidR="00984628" w:rsidRDefault="00984628"/>
  <w:p w:rsidR="00984628" w:rsidRDefault="00984628"/>
  <w:p w:rsidR="00984628" w:rsidRDefault="00984628"/>
  <w:p w:rsidR="00984628" w:rsidRDefault="00984628"/>
  <w:p w:rsidR="00984628" w:rsidRDefault="00984628"/>
  <w:p w:rsidR="00984628" w:rsidRDefault="009846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sz w:val="16"/>
        <w:szCs w:val="16"/>
      </w:rPr>
    </w:sdtEndPr>
    <w:sdtContent>
      <w:p w:rsidR="00984628" w:rsidRDefault="00984628">
        <w:pPr>
          <w:pStyle w:val="Footer"/>
        </w:pPr>
        <w:r>
          <w:fldChar w:fldCharType="begin"/>
        </w:r>
        <w:r>
          <w:instrText xml:space="preserve"> PAGE   \* MERGEFORMAT </w:instrText>
        </w:r>
        <w:r>
          <w:fldChar w:fldCharType="separate"/>
        </w:r>
        <w:r w:rsidR="009F72C7">
          <w:rPr>
            <w:noProof/>
          </w:rPr>
          <w:t>5-3</w:t>
        </w:r>
        <w:r>
          <w:rPr>
            <w:noProof/>
          </w:rPr>
          <w:fldChar w:fldCharType="end"/>
        </w:r>
        <w:r>
          <w:rPr>
            <w:noProof/>
          </w:rPr>
          <w:t xml:space="preserve">          </w:t>
        </w:r>
        <w:r>
          <w:t xml:space="preserve">      </w:t>
        </w:r>
        <w:r w:rsidRPr="00FD5E78">
          <w:rPr>
            <w:noProof/>
            <w:sz w:val="16"/>
            <w:szCs w:val="16"/>
          </w:rPr>
          <w:t xml:space="preserve">Attachment </w:t>
        </w:r>
        <w:r>
          <w:rPr>
            <w:noProof/>
            <w:sz w:val="16"/>
            <w:szCs w:val="16"/>
          </w:rPr>
          <w:t>5</w:t>
        </w:r>
        <w:r w:rsidRPr="00FD5E78">
          <w:rPr>
            <w:noProof/>
            <w:sz w:val="16"/>
            <w:szCs w:val="16"/>
          </w:rPr>
          <w:t xml:space="preserve"> </w:t>
        </w:r>
        <w:r w:rsidRPr="00FD5E78">
          <w:rPr>
            <w:rFonts w:cs="Gautami"/>
            <w:noProof/>
            <w:sz w:val="16"/>
            <w:szCs w:val="16"/>
          </w:rPr>
          <w:t xml:space="preserve">– </w:t>
        </w:r>
        <w:r>
          <w:rPr>
            <w:sz w:val="16"/>
            <w:szCs w:val="16"/>
          </w:rPr>
          <w:t>Regulatory depreciation</w:t>
        </w:r>
        <w:r w:rsidRPr="00FD5E78">
          <w:rPr>
            <w:rFonts w:cs="Gautami"/>
            <w:noProof/>
            <w:sz w:val="16"/>
            <w:szCs w:val="16"/>
          </w:rPr>
          <w:t xml:space="preserve"> | Final decision </w:t>
        </w:r>
        <w:r w:rsidR="00C55BCC">
          <w:t xml:space="preserve">(Substituted) </w:t>
        </w:r>
        <w:proofErr w:type="spellStart"/>
        <w:r w:rsidRPr="00FD5E78">
          <w:rPr>
            <w:sz w:val="16"/>
            <w:szCs w:val="16"/>
          </w:rPr>
          <w:t>TransGrid</w:t>
        </w:r>
        <w:proofErr w:type="spellEnd"/>
        <w:r w:rsidRPr="00FD5E78">
          <w:rPr>
            <w:sz w:val="16"/>
            <w:szCs w:val="16"/>
          </w:rPr>
          <w:t xml:space="preserve"> transmission</w:t>
        </w:r>
        <w:r w:rsidRPr="00FD5E78">
          <w:rPr>
            <w:rFonts w:cs="Gautami"/>
            <w:noProof/>
            <w:sz w:val="16"/>
            <w:szCs w:val="16"/>
          </w:rPr>
          <w:t xml:space="preserve"> determination 2015–18</w:t>
        </w:r>
      </w:p>
    </w:sdtContent>
  </w:sdt>
  <w:p w:rsidR="00984628" w:rsidRDefault="009846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628" w:rsidRPr="00290C63" w:rsidRDefault="00984628"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84628" w:rsidRDefault="00984628">
    <w:pPr>
      <w:pStyle w:val="Footer"/>
    </w:pPr>
  </w:p>
  <w:p w:rsidR="00984628" w:rsidRDefault="00984628"/>
  <w:p w:rsidR="00984628" w:rsidRDefault="00984628"/>
  <w:p w:rsidR="00984628" w:rsidRDefault="00984628"/>
  <w:p w:rsidR="00984628" w:rsidRDefault="00984628"/>
  <w:p w:rsidR="00984628" w:rsidRDefault="00984628"/>
  <w:p w:rsidR="00984628" w:rsidRDefault="00984628"/>
  <w:p w:rsidR="00984628" w:rsidRDefault="009846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628" w:rsidRPr="00290C63" w:rsidRDefault="00984628" w:rsidP="00290C63">
      <w:r>
        <w:separator/>
      </w:r>
    </w:p>
    <w:p w:rsidR="00984628" w:rsidRDefault="00984628"/>
  </w:footnote>
  <w:footnote w:type="continuationSeparator" w:id="0">
    <w:p w:rsidR="00984628" w:rsidRPr="00290C63" w:rsidRDefault="00984628" w:rsidP="00290C63">
      <w:r>
        <w:continuationSeparator/>
      </w:r>
    </w:p>
    <w:p w:rsidR="00984628" w:rsidRDefault="00984628"/>
  </w:footnote>
  <w:footnote w:id="1">
    <w:p w:rsidR="00984628" w:rsidRDefault="00984628" w:rsidP="003C679C">
      <w:pPr>
        <w:pStyle w:val="FootnoteText"/>
      </w:pPr>
      <w:r>
        <w:rPr>
          <w:rStyle w:val="FootnoteReference"/>
        </w:rPr>
        <w:footnoteRef/>
      </w:r>
      <w:r>
        <w:t xml:space="preserve"> NER, cl. </w:t>
      </w:r>
      <w:proofErr w:type="gramStart"/>
      <w:r>
        <w:t>6A.5.4(</w:t>
      </w:r>
      <w:proofErr w:type="gramEnd"/>
      <w:r>
        <w:t>a)(1) and (3).</w:t>
      </w:r>
    </w:p>
  </w:footnote>
  <w:footnote w:id="2">
    <w:p w:rsidR="00984628" w:rsidRDefault="00984628" w:rsidP="001827B0">
      <w:pPr>
        <w:pStyle w:val="FootnoteText"/>
      </w:pPr>
      <w:r>
        <w:rPr>
          <w:rStyle w:val="FootnoteReference"/>
        </w:rPr>
        <w:footnoteRef/>
      </w:r>
      <w:r>
        <w:t xml:space="preserve"> </w:t>
      </w:r>
      <w:r>
        <w:tab/>
      </w:r>
      <w:proofErr w:type="spellStart"/>
      <w:proofErr w:type="gramStart"/>
      <w:r>
        <w:t>TransGrid</w:t>
      </w:r>
      <w:proofErr w:type="spellEnd"/>
      <w:r>
        <w:t xml:space="preserve">, </w:t>
      </w:r>
      <w:r w:rsidRPr="002852F8">
        <w:rPr>
          <w:rStyle w:val="AERtextitalic"/>
        </w:rPr>
        <w:t>R</w:t>
      </w:r>
      <w:r>
        <w:rPr>
          <w:rStyle w:val="AERtextitalic"/>
        </w:rPr>
        <w:t>evised r</w:t>
      </w:r>
      <w:r w:rsidRPr="002852F8">
        <w:rPr>
          <w:rStyle w:val="AERtextitalic"/>
        </w:rPr>
        <w:t>evenue proposal</w:t>
      </w:r>
      <w:r>
        <w:t>, pp.</w:t>
      </w:r>
      <w:proofErr w:type="gramEnd"/>
      <w:r>
        <w:t xml:space="preserve">  </w:t>
      </w:r>
      <w:proofErr w:type="gramStart"/>
      <w:r>
        <w:t>126–127.</w:t>
      </w:r>
      <w:proofErr w:type="gramEnd"/>
    </w:p>
  </w:footnote>
  <w:footnote w:id="3">
    <w:p w:rsidR="00984628" w:rsidRDefault="00984628">
      <w:pPr>
        <w:pStyle w:val="FootnoteText"/>
      </w:pPr>
      <w:r>
        <w:rPr>
          <w:rStyle w:val="FootnoteReference"/>
        </w:rPr>
        <w:footnoteRef/>
      </w:r>
      <w:r>
        <w:t xml:space="preserve"> </w:t>
      </w:r>
      <w:r>
        <w:tab/>
      </w:r>
      <w:proofErr w:type="spellStart"/>
      <w:proofErr w:type="gramStart"/>
      <w:r>
        <w:t>TransGrid</w:t>
      </w:r>
      <w:proofErr w:type="spellEnd"/>
      <w:r>
        <w:t xml:space="preserve">, </w:t>
      </w:r>
      <w:r w:rsidRPr="002852F8">
        <w:rPr>
          <w:rStyle w:val="AERtextitalic"/>
        </w:rPr>
        <w:t>R</w:t>
      </w:r>
      <w:r>
        <w:rPr>
          <w:rStyle w:val="AERtextitalic"/>
        </w:rPr>
        <w:t>evised r</w:t>
      </w:r>
      <w:r w:rsidRPr="002852F8">
        <w:rPr>
          <w:rStyle w:val="AERtextitalic"/>
        </w:rPr>
        <w:t>evenue proposal</w:t>
      </w:r>
      <w:r>
        <w:t>, p.</w:t>
      </w:r>
      <w:proofErr w:type="gramEnd"/>
      <w:r>
        <w:t xml:space="preserve">  127.</w:t>
      </w:r>
    </w:p>
  </w:footnote>
  <w:footnote w:id="4">
    <w:p w:rsidR="000A69B9" w:rsidRDefault="000A69B9" w:rsidP="000A69B9">
      <w:pPr>
        <w:pStyle w:val="FootnoteText"/>
      </w:pPr>
      <w:r>
        <w:rPr>
          <w:rStyle w:val="FootnoteReference"/>
        </w:rPr>
        <w:footnoteRef/>
      </w:r>
      <w:r>
        <w:t xml:space="preserve"> </w:t>
      </w:r>
      <w:r>
        <w:tab/>
        <w:t xml:space="preserve">NER, cl. </w:t>
      </w:r>
      <w:proofErr w:type="gramStart"/>
      <w:r>
        <w:t>6A.6.3(</w:t>
      </w:r>
      <w:proofErr w:type="gramEnd"/>
      <w:r>
        <w:t>b)(1).</w:t>
      </w:r>
    </w:p>
  </w:footnote>
  <w:footnote w:id="5">
    <w:p w:rsidR="00234D75" w:rsidRPr="00746223" w:rsidRDefault="00234D75" w:rsidP="00746223">
      <w:pPr>
        <w:pStyle w:val="FootnoteText"/>
      </w:pPr>
      <w:r>
        <w:rPr>
          <w:rStyle w:val="FootnoteReference"/>
        </w:rPr>
        <w:footnoteRef/>
      </w:r>
      <w:r>
        <w:t xml:space="preserve"> </w:t>
      </w:r>
      <w:r>
        <w:tab/>
      </w:r>
      <w:r w:rsidRPr="00EB23DC">
        <w:rPr>
          <w:rStyle w:val="AERtexthighlight"/>
          <w:shd w:val="clear" w:color="auto" w:fill="auto"/>
        </w:rPr>
        <w:t>EMRF</w:t>
      </w:r>
      <w:proofErr w:type="gramStart"/>
      <w:r w:rsidR="00746223" w:rsidRPr="00EB23DC">
        <w:rPr>
          <w:rStyle w:val="AERtexthighlight"/>
          <w:shd w:val="clear" w:color="auto" w:fill="auto"/>
        </w:rPr>
        <w:t xml:space="preserve">,  </w:t>
      </w:r>
      <w:r w:rsidR="00746223" w:rsidRPr="00EB23DC">
        <w:rPr>
          <w:rStyle w:val="AERtextitalic"/>
        </w:rPr>
        <w:t>AER</w:t>
      </w:r>
      <w:proofErr w:type="gramEnd"/>
      <w:r w:rsidR="00746223" w:rsidRPr="00EB23DC">
        <w:rPr>
          <w:rStyle w:val="AERtextitalic"/>
        </w:rPr>
        <w:t xml:space="preserve"> draft decision and </w:t>
      </w:r>
      <w:proofErr w:type="spellStart"/>
      <w:r w:rsidR="00746223" w:rsidRPr="00EB23DC">
        <w:rPr>
          <w:rStyle w:val="AERtextitalic"/>
        </w:rPr>
        <w:t>TransGrid</w:t>
      </w:r>
      <w:proofErr w:type="spellEnd"/>
      <w:r w:rsidR="00746223" w:rsidRPr="00EB23DC">
        <w:rPr>
          <w:rStyle w:val="AERtextitalic"/>
        </w:rPr>
        <w:t xml:space="preserve"> revised proposal: A response by the Energy Markets Reform Forum</w:t>
      </w:r>
      <w:r w:rsidR="00746223" w:rsidRPr="00EB23DC">
        <w:rPr>
          <w:rStyle w:val="AERtexthighlight"/>
          <w:shd w:val="clear" w:color="auto" w:fill="auto"/>
        </w:rPr>
        <w:t>, January 2015, p. 30.</w:t>
      </w:r>
    </w:p>
  </w:footnote>
  <w:footnote w:id="6">
    <w:p w:rsidR="007C5617" w:rsidRDefault="007C5617">
      <w:pPr>
        <w:pStyle w:val="FootnoteText"/>
      </w:pPr>
      <w:r>
        <w:rPr>
          <w:rStyle w:val="FootnoteReference"/>
        </w:rPr>
        <w:footnoteRef/>
      </w:r>
      <w:r>
        <w:t xml:space="preserve"> </w:t>
      </w:r>
      <w:r>
        <w:tab/>
      </w:r>
      <w:proofErr w:type="spellStart"/>
      <w:r>
        <w:t>TransGrid</w:t>
      </w:r>
      <w:proofErr w:type="spellEnd"/>
      <w:r>
        <w:t xml:space="preserve">, </w:t>
      </w:r>
      <w:r>
        <w:rPr>
          <w:rStyle w:val="AERtextitalic"/>
        </w:rPr>
        <w:t>R</w:t>
      </w:r>
      <w:r w:rsidRPr="00954948">
        <w:rPr>
          <w:rStyle w:val="AERtextitalic"/>
        </w:rPr>
        <w:t xml:space="preserve">esponse to information request AER </w:t>
      </w:r>
      <w:proofErr w:type="spellStart"/>
      <w:r w:rsidRPr="00954948">
        <w:rPr>
          <w:rStyle w:val="AERtextitalic"/>
        </w:rPr>
        <w:t>TransGrid</w:t>
      </w:r>
      <w:proofErr w:type="spellEnd"/>
      <w:r>
        <w:rPr>
          <w:rStyle w:val="AERtextitalic"/>
        </w:rPr>
        <w:t xml:space="preserve"> D</w:t>
      </w:r>
      <w:r w:rsidRPr="00954948">
        <w:rPr>
          <w:rStyle w:val="AERtextitalic"/>
        </w:rPr>
        <w:t xml:space="preserve">epreciation </w:t>
      </w:r>
      <w:r>
        <w:rPr>
          <w:rStyle w:val="AERtextitalic"/>
        </w:rPr>
        <w:t>R</w:t>
      </w:r>
      <w:r w:rsidRPr="00954948">
        <w:rPr>
          <w:rStyle w:val="AERtextitalic"/>
        </w:rPr>
        <w:t>1</w:t>
      </w:r>
      <w:r>
        <w:rPr>
          <w:rStyle w:val="AERtextitalic"/>
        </w:rPr>
        <w:t xml:space="preserve"> – Life extension</w:t>
      </w:r>
      <w:r>
        <w:t>, 9 March 2015, pp. 1–2.</w:t>
      </w:r>
    </w:p>
  </w:footnote>
  <w:footnote w:id="7">
    <w:p w:rsidR="00790318" w:rsidRDefault="00790318">
      <w:pPr>
        <w:pStyle w:val="FootnoteText"/>
      </w:pPr>
      <w:r>
        <w:rPr>
          <w:rStyle w:val="FootnoteReference"/>
        </w:rPr>
        <w:footnoteRef/>
      </w:r>
      <w:r>
        <w:t xml:space="preserve"> </w:t>
      </w:r>
      <w:r>
        <w:tab/>
        <w:t>Further, there are practical</w:t>
      </w:r>
      <w:r w:rsidRPr="00790318">
        <w:t xml:space="preserve"> </w:t>
      </w:r>
      <w:r>
        <w:t>implementation issues to consider for revising the remaining asset lives to the two underlying transmission line assets. This is because the RAB is categorised at an asset class level rather than an individual asset level.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3F44DE"/>
    <w:multiLevelType w:val="multilevel"/>
    <w:tmpl w:val="950A1C52"/>
    <w:numStyleLink w:val="AERHeadings"/>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592056E"/>
    <w:multiLevelType w:val="multilevel"/>
    <w:tmpl w:val="950A1C52"/>
    <w:numStyleLink w:val="AERHeadings"/>
  </w:abstractNum>
  <w:abstractNum w:abstractNumId="17">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1">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F5F4FFC"/>
    <w:multiLevelType w:val="multilevel"/>
    <w:tmpl w:val="950A1C52"/>
    <w:numStyleLink w:val="AERHeadings"/>
  </w:abstractNum>
  <w:abstractNum w:abstractNumId="25">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1A80E45"/>
    <w:multiLevelType w:val="multilevel"/>
    <w:tmpl w:val="950A1C52"/>
    <w:numStyleLink w:val="AERHeadings"/>
  </w:abstractNum>
  <w:abstractNum w:abstractNumId="27">
    <w:nsid w:val="487C7731"/>
    <w:multiLevelType w:val="multilevel"/>
    <w:tmpl w:val="950A1C52"/>
    <w:numStyleLink w:val="AERHeadings"/>
  </w:abstractNum>
  <w:abstractNum w:abstractNumId="28">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1">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3">
    <w:nsid w:val="5ECE4384"/>
    <w:multiLevelType w:val="multilevel"/>
    <w:tmpl w:val="D166B556"/>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5">
    <w:nsid w:val="6DE36827"/>
    <w:multiLevelType w:val="multilevel"/>
    <w:tmpl w:val="950A1C52"/>
    <w:numStyleLink w:val="AERHeadings"/>
  </w:abstractNum>
  <w:abstractNum w:abstractNumId="36">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22"/>
  </w:num>
  <w:num w:numId="14">
    <w:abstractNumId w:val="10"/>
  </w:num>
  <w:num w:numId="15">
    <w:abstractNumId w:val="13"/>
  </w:num>
  <w:num w:numId="16">
    <w:abstractNumId w:val="28"/>
  </w:num>
  <w:num w:numId="17">
    <w:abstractNumId w:val="9"/>
  </w:num>
  <w:num w:numId="18">
    <w:abstractNumId w:val="18"/>
  </w:num>
  <w:num w:numId="19">
    <w:abstractNumId w:val="29"/>
  </w:num>
  <w:num w:numId="20">
    <w:abstractNumId w:val="36"/>
  </w:num>
  <w:num w:numId="21">
    <w:abstractNumId w:val="14"/>
  </w:num>
  <w:num w:numId="22">
    <w:abstractNumId w:val="32"/>
  </w:num>
  <w:num w:numId="23">
    <w:abstractNumId w:val="30"/>
  </w:num>
  <w:num w:numId="24">
    <w:abstractNumId w:val="20"/>
  </w:num>
  <w:num w:numId="25">
    <w:abstractNumId w:val="31"/>
  </w:num>
  <w:num w:numId="26">
    <w:abstractNumId w:val="33"/>
  </w:num>
  <w:num w:numId="27">
    <w:abstractNumId w:val="21"/>
  </w:num>
  <w:num w:numId="28">
    <w:abstractNumId w:val="19"/>
  </w:num>
  <w:num w:numId="29">
    <w:abstractNumId w:val="17"/>
  </w:num>
  <w:num w:numId="30">
    <w:abstractNumId w:val="37"/>
  </w:num>
  <w:num w:numId="31">
    <w:abstractNumId w:val="15"/>
  </w:num>
  <w:num w:numId="32">
    <w:abstractNumId w:val="25"/>
  </w:num>
  <w:num w:numId="33">
    <w:abstractNumId w:val="20"/>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20"/>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5"/>
  </w:num>
  <w:num w:numId="37">
    <w:abstractNumId w:val="27"/>
  </w:num>
  <w:num w:numId="38">
    <w:abstractNumId w:val="24"/>
  </w:num>
  <w:num w:numId="39">
    <w:abstractNumId w:val="12"/>
  </w:num>
  <w:num w:numId="40">
    <w:abstractNumId w:val="33"/>
  </w:num>
  <w:num w:numId="41">
    <w:abstractNumId w:val="33"/>
  </w:num>
  <w:num w:numId="42">
    <w:abstractNumId w:val="26"/>
  </w:num>
  <w:num w:numId="43">
    <w:abstractNumId w:val="16"/>
  </w:num>
  <w:num w:numId="44">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SEXysUy6WDzaH/m+WB3FkvsFb/bh4HeBzUuPDZXwRHE=" w:saltValue="4psPWMNyC0//1l7P13QlnA==" w:algorithmName="SHA-256"/>
  <w:defaultTabStop w:val="34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T:\AER\TransGrid 2014 reset\Final decision - Public\Overview and attachments - Public\AER - Final Decision TransGrid transmission determination - Attachment 5 - regulatory depreciation - April 2015 fixed.docx"/>
  </w:docVars>
  <w:rsids>
    <w:rsidRoot w:val="00961A4A"/>
    <w:rsid w:val="000019A3"/>
    <w:rsid w:val="000029F0"/>
    <w:rsid w:val="000149D9"/>
    <w:rsid w:val="00021202"/>
    <w:rsid w:val="00021C2B"/>
    <w:rsid w:val="0002517F"/>
    <w:rsid w:val="0003578C"/>
    <w:rsid w:val="00063247"/>
    <w:rsid w:val="00070F9F"/>
    <w:rsid w:val="0007137B"/>
    <w:rsid w:val="00085663"/>
    <w:rsid w:val="00085EBF"/>
    <w:rsid w:val="000A16AA"/>
    <w:rsid w:val="000A3020"/>
    <w:rsid w:val="000A69B9"/>
    <w:rsid w:val="000A6C7B"/>
    <w:rsid w:val="000C2B40"/>
    <w:rsid w:val="000D122C"/>
    <w:rsid w:val="000E130B"/>
    <w:rsid w:val="000E1819"/>
    <w:rsid w:val="000E4821"/>
    <w:rsid w:val="000E6C72"/>
    <w:rsid w:val="00105CC4"/>
    <w:rsid w:val="001067EA"/>
    <w:rsid w:val="00116EB2"/>
    <w:rsid w:val="0012211A"/>
    <w:rsid w:val="00124609"/>
    <w:rsid w:val="00126A4C"/>
    <w:rsid w:val="0014573B"/>
    <w:rsid w:val="001573E4"/>
    <w:rsid w:val="00160756"/>
    <w:rsid w:val="0017232E"/>
    <w:rsid w:val="00174102"/>
    <w:rsid w:val="001754EE"/>
    <w:rsid w:val="00180157"/>
    <w:rsid w:val="001827B0"/>
    <w:rsid w:val="00185CB9"/>
    <w:rsid w:val="00186F77"/>
    <w:rsid w:val="001926A4"/>
    <w:rsid w:val="00192AD5"/>
    <w:rsid w:val="00193DF3"/>
    <w:rsid w:val="001B45A0"/>
    <w:rsid w:val="001B7C15"/>
    <w:rsid w:val="001C58D4"/>
    <w:rsid w:val="001D055E"/>
    <w:rsid w:val="001F492E"/>
    <w:rsid w:val="001F6DA3"/>
    <w:rsid w:val="002010BC"/>
    <w:rsid w:val="002016E7"/>
    <w:rsid w:val="002017A2"/>
    <w:rsid w:val="00202E03"/>
    <w:rsid w:val="0020492C"/>
    <w:rsid w:val="0022480D"/>
    <w:rsid w:val="00224DB9"/>
    <w:rsid w:val="0022601F"/>
    <w:rsid w:val="00233775"/>
    <w:rsid w:val="00234D75"/>
    <w:rsid w:val="00251745"/>
    <w:rsid w:val="00252729"/>
    <w:rsid w:val="00263AC0"/>
    <w:rsid w:val="00264264"/>
    <w:rsid w:val="0026772D"/>
    <w:rsid w:val="00286874"/>
    <w:rsid w:val="00290C63"/>
    <w:rsid w:val="00296B65"/>
    <w:rsid w:val="002A7DEF"/>
    <w:rsid w:val="002D72E8"/>
    <w:rsid w:val="002E7B22"/>
    <w:rsid w:val="002F7986"/>
    <w:rsid w:val="00301B40"/>
    <w:rsid w:val="003029EE"/>
    <w:rsid w:val="00305CC8"/>
    <w:rsid w:val="00307F6D"/>
    <w:rsid w:val="003177A2"/>
    <w:rsid w:val="003271B5"/>
    <w:rsid w:val="00327A1E"/>
    <w:rsid w:val="00331264"/>
    <w:rsid w:val="00334C8D"/>
    <w:rsid w:val="00343A18"/>
    <w:rsid w:val="003518B3"/>
    <w:rsid w:val="00380772"/>
    <w:rsid w:val="003846F1"/>
    <w:rsid w:val="003B484F"/>
    <w:rsid w:val="003B4BE6"/>
    <w:rsid w:val="003B5053"/>
    <w:rsid w:val="003B7FBA"/>
    <w:rsid w:val="003C679C"/>
    <w:rsid w:val="003E00B8"/>
    <w:rsid w:val="003F174D"/>
    <w:rsid w:val="00415F31"/>
    <w:rsid w:val="00423A77"/>
    <w:rsid w:val="004517AE"/>
    <w:rsid w:val="0045777E"/>
    <w:rsid w:val="00472D4B"/>
    <w:rsid w:val="00480B4B"/>
    <w:rsid w:val="00485DC4"/>
    <w:rsid w:val="004A43D1"/>
    <w:rsid w:val="004B4412"/>
    <w:rsid w:val="004C348C"/>
    <w:rsid w:val="004D2996"/>
    <w:rsid w:val="004D55BA"/>
    <w:rsid w:val="004E22EC"/>
    <w:rsid w:val="00500D5B"/>
    <w:rsid w:val="00515BE0"/>
    <w:rsid w:val="00530128"/>
    <w:rsid w:val="00532467"/>
    <w:rsid w:val="00564A4D"/>
    <w:rsid w:val="00567BA5"/>
    <w:rsid w:val="005706D2"/>
    <w:rsid w:val="00571B35"/>
    <w:rsid w:val="00571D57"/>
    <w:rsid w:val="005755BC"/>
    <w:rsid w:val="00577A09"/>
    <w:rsid w:val="005829C2"/>
    <w:rsid w:val="00584D8F"/>
    <w:rsid w:val="005A404D"/>
    <w:rsid w:val="005B1E3C"/>
    <w:rsid w:val="005B53CC"/>
    <w:rsid w:val="005B704A"/>
    <w:rsid w:val="005C1C34"/>
    <w:rsid w:val="005C26CC"/>
    <w:rsid w:val="005D7BA2"/>
    <w:rsid w:val="005E20C7"/>
    <w:rsid w:val="005E36C2"/>
    <w:rsid w:val="005F2A96"/>
    <w:rsid w:val="00612F4F"/>
    <w:rsid w:val="00615C6B"/>
    <w:rsid w:val="00621DCE"/>
    <w:rsid w:val="00626787"/>
    <w:rsid w:val="00632D6D"/>
    <w:rsid w:val="00642C3E"/>
    <w:rsid w:val="006447CE"/>
    <w:rsid w:val="0065381D"/>
    <w:rsid w:val="0066104A"/>
    <w:rsid w:val="00663DAD"/>
    <w:rsid w:val="00675E20"/>
    <w:rsid w:val="00676679"/>
    <w:rsid w:val="00683C89"/>
    <w:rsid w:val="00693198"/>
    <w:rsid w:val="006B2395"/>
    <w:rsid w:val="006B4CF9"/>
    <w:rsid w:val="006B4F91"/>
    <w:rsid w:val="006B7AC8"/>
    <w:rsid w:val="006D0DB3"/>
    <w:rsid w:val="006D550F"/>
    <w:rsid w:val="006F2688"/>
    <w:rsid w:val="00701CAB"/>
    <w:rsid w:val="00707563"/>
    <w:rsid w:val="007104C5"/>
    <w:rsid w:val="0072348C"/>
    <w:rsid w:val="00724A37"/>
    <w:rsid w:val="007303C3"/>
    <w:rsid w:val="007429BE"/>
    <w:rsid w:val="00743223"/>
    <w:rsid w:val="00746223"/>
    <w:rsid w:val="00746E01"/>
    <w:rsid w:val="00757BDF"/>
    <w:rsid w:val="00763E5D"/>
    <w:rsid w:val="00767740"/>
    <w:rsid w:val="00777EE6"/>
    <w:rsid w:val="00782EEA"/>
    <w:rsid w:val="00790318"/>
    <w:rsid w:val="007B186E"/>
    <w:rsid w:val="007B2C72"/>
    <w:rsid w:val="007C109F"/>
    <w:rsid w:val="007C1C53"/>
    <w:rsid w:val="007C5617"/>
    <w:rsid w:val="007C74BB"/>
    <w:rsid w:val="007D456E"/>
    <w:rsid w:val="007E4904"/>
    <w:rsid w:val="007E4CB5"/>
    <w:rsid w:val="007E6916"/>
    <w:rsid w:val="007F066B"/>
    <w:rsid w:val="007F52D4"/>
    <w:rsid w:val="008033C4"/>
    <w:rsid w:val="00806C88"/>
    <w:rsid w:val="0081034E"/>
    <w:rsid w:val="008344F6"/>
    <w:rsid w:val="0083510F"/>
    <w:rsid w:val="00851209"/>
    <w:rsid w:val="008837AC"/>
    <w:rsid w:val="00895CD5"/>
    <w:rsid w:val="008A587D"/>
    <w:rsid w:val="008B35CD"/>
    <w:rsid w:val="008B5FCC"/>
    <w:rsid w:val="008C5486"/>
    <w:rsid w:val="008C749D"/>
    <w:rsid w:val="008D1661"/>
    <w:rsid w:val="008D57DF"/>
    <w:rsid w:val="008E7031"/>
    <w:rsid w:val="008E77DE"/>
    <w:rsid w:val="008F07A3"/>
    <w:rsid w:val="009001B6"/>
    <w:rsid w:val="00900E1B"/>
    <w:rsid w:val="009233EE"/>
    <w:rsid w:val="009460AA"/>
    <w:rsid w:val="009462D1"/>
    <w:rsid w:val="00951978"/>
    <w:rsid w:val="00961A4A"/>
    <w:rsid w:val="009661DE"/>
    <w:rsid w:val="00983C25"/>
    <w:rsid w:val="00984628"/>
    <w:rsid w:val="009856B7"/>
    <w:rsid w:val="00985C86"/>
    <w:rsid w:val="009A5FC3"/>
    <w:rsid w:val="009B5338"/>
    <w:rsid w:val="009B74B0"/>
    <w:rsid w:val="009D3906"/>
    <w:rsid w:val="009D6B46"/>
    <w:rsid w:val="009E5904"/>
    <w:rsid w:val="009F3D13"/>
    <w:rsid w:val="009F4940"/>
    <w:rsid w:val="009F5BA1"/>
    <w:rsid w:val="009F72C7"/>
    <w:rsid w:val="00A02A88"/>
    <w:rsid w:val="00A0562E"/>
    <w:rsid w:val="00A0726D"/>
    <w:rsid w:val="00A32FBB"/>
    <w:rsid w:val="00A428EE"/>
    <w:rsid w:val="00A4478A"/>
    <w:rsid w:val="00A44852"/>
    <w:rsid w:val="00A57D04"/>
    <w:rsid w:val="00A60A26"/>
    <w:rsid w:val="00A61598"/>
    <w:rsid w:val="00A74DAF"/>
    <w:rsid w:val="00A84A99"/>
    <w:rsid w:val="00A84F46"/>
    <w:rsid w:val="00A871F4"/>
    <w:rsid w:val="00AC1B2C"/>
    <w:rsid w:val="00AC3264"/>
    <w:rsid w:val="00AE0F9E"/>
    <w:rsid w:val="00AE1BF1"/>
    <w:rsid w:val="00AF0DD2"/>
    <w:rsid w:val="00B13048"/>
    <w:rsid w:val="00B1716D"/>
    <w:rsid w:val="00B17A1D"/>
    <w:rsid w:val="00B207A0"/>
    <w:rsid w:val="00B50922"/>
    <w:rsid w:val="00B514DD"/>
    <w:rsid w:val="00B52AF0"/>
    <w:rsid w:val="00B561BD"/>
    <w:rsid w:val="00B56E03"/>
    <w:rsid w:val="00B8080B"/>
    <w:rsid w:val="00B82223"/>
    <w:rsid w:val="00B87BA5"/>
    <w:rsid w:val="00B87C39"/>
    <w:rsid w:val="00B9562D"/>
    <w:rsid w:val="00BA4665"/>
    <w:rsid w:val="00BA49A6"/>
    <w:rsid w:val="00BB28F2"/>
    <w:rsid w:val="00BB2FB2"/>
    <w:rsid w:val="00BB3304"/>
    <w:rsid w:val="00BD3446"/>
    <w:rsid w:val="00BE1F1B"/>
    <w:rsid w:val="00BE306A"/>
    <w:rsid w:val="00BE47B5"/>
    <w:rsid w:val="00BE50EB"/>
    <w:rsid w:val="00C07A25"/>
    <w:rsid w:val="00C15AB4"/>
    <w:rsid w:val="00C21275"/>
    <w:rsid w:val="00C25FA6"/>
    <w:rsid w:val="00C26E36"/>
    <w:rsid w:val="00C538A9"/>
    <w:rsid w:val="00C53B5A"/>
    <w:rsid w:val="00C54F5A"/>
    <w:rsid w:val="00C55BCC"/>
    <w:rsid w:val="00C569B4"/>
    <w:rsid w:val="00C6788B"/>
    <w:rsid w:val="00C67A92"/>
    <w:rsid w:val="00C749B4"/>
    <w:rsid w:val="00C7552E"/>
    <w:rsid w:val="00C84560"/>
    <w:rsid w:val="00C86679"/>
    <w:rsid w:val="00CA489E"/>
    <w:rsid w:val="00CB0279"/>
    <w:rsid w:val="00CB666B"/>
    <w:rsid w:val="00CC7F1D"/>
    <w:rsid w:val="00CE1BDD"/>
    <w:rsid w:val="00D006AE"/>
    <w:rsid w:val="00D01CF0"/>
    <w:rsid w:val="00D0442A"/>
    <w:rsid w:val="00D60775"/>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3722"/>
    <w:rsid w:val="00DE4EFA"/>
    <w:rsid w:val="00DE5520"/>
    <w:rsid w:val="00DE563D"/>
    <w:rsid w:val="00E04818"/>
    <w:rsid w:val="00E06442"/>
    <w:rsid w:val="00E23993"/>
    <w:rsid w:val="00E25B8C"/>
    <w:rsid w:val="00E26F35"/>
    <w:rsid w:val="00E65C85"/>
    <w:rsid w:val="00E66199"/>
    <w:rsid w:val="00E755EC"/>
    <w:rsid w:val="00E7624D"/>
    <w:rsid w:val="00EA3D42"/>
    <w:rsid w:val="00EA6B1B"/>
    <w:rsid w:val="00EB23DC"/>
    <w:rsid w:val="00EC04F1"/>
    <w:rsid w:val="00ED7323"/>
    <w:rsid w:val="00EE28F3"/>
    <w:rsid w:val="00EE50D1"/>
    <w:rsid w:val="00EE75F6"/>
    <w:rsid w:val="00EF11A4"/>
    <w:rsid w:val="00EF20EE"/>
    <w:rsid w:val="00EF5110"/>
    <w:rsid w:val="00F10411"/>
    <w:rsid w:val="00F15882"/>
    <w:rsid w:val="00F171E0"/>
    <w:rsid w:val="00F20BD3"/>
    <w:rsid w:val="00F373A5"/>
    <w:rsid w:val="00F40DA7"/>
    <w:rsid w:val="00F41DFD"/>
    <w:rsid w:val="00F47559"/>
    <w:rsid w:val="00F52856"/>
    <w:rsid w:val="00F64C7B"/>
    <w:rsid w:val="00F676DD"/>
    <w:rsid w:val="00F75A26"/>
    <w:rsid w:val="00F76706"/>
    <w:rsid w:val="00F83FAD"/>
    <w:rsid w:val="00F952A0"/>
    <w:rsid w:val="00F97F96"/>
    <w:rsid w:val="00FA3C7F"/>
    <w:rsid w:val="00FB60FE"/>
    <w:rsid w:val="00FB74E2"/>
    <w:rsid w:val="00FD5614"/>
    <w:rsid w:val="00FD5E78"/>
    <w:rsid w:val="00FE0BE1"/>
    <w:rsid w:val="00FE0D8E"/>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3863BDDC</Template>
  <TotalTime>0</TotalTime>
  <Pages>12</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2015-04-29T04:21:00Z</dcterms:created>
  <dcterms:modified xsi:type="dcterms:W3CDTF">2015-07-02T03:23:00Z</dcterms:modified>
  <cp:contentStatus/>
</cp:coreProperties>
</file>